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81B36" w14:textId="77777777" w:rsidR="009A602C" w:rsidRDefault="009A602C" w:rsidP="009A602C">
      <w:pPr>
        <w:rPr>
          <w:rStyle w:val="IntenseEmphasis"/>
        </w:rPr>
      </w:pPr>
      <w:bookmarkStart w:id="0" w:name="_Hlk503433997"/>
      <w:bookmarkStart w:id="1" w:name="_Toc448369494"/>
      <w:bookmarkStart w:id="2" w:name="_Toc427153112"/>
      <w:bookmarkEnd w:id="0"/>
    </w:p>
    <w:p w14:paraId="2178C375" w14:textId="77777777" w:rsidR="009A602C" w:rsidRDefault="009A602C" w:rsidP="009A602C">
      <w:pPr>
        <w:rPr>
          <w:rStyle w:val="IntenseEmphasis"/>
        </w:rPr>
      </w:pPr>
    </w:p>
    <w:p w14:paraId="30EF1501" w14:textId="77777777" w:rsidR="009A602C" w:rsidRDefault="009A602C" w:rsidP="009A602C">
      <w:pPr>
        <w:rPr>
          <w:rStyle w:val="IntenseEmphasis"/>
        </w:rPr>
      </w:pPr>
    </w:p>
    <w:p w14:paraId="5F05955D" w14:textId="77777777" w:rsidR="009A602C" w:rsidRDefault="009A602C" w:rsidP="009A602C">
      <w:pPr>
        <w:rPr>
          <w:rStyle w:val="IntenseEmphasis"/>
        </w:rPr>
      </w:pPr>
    </w:p>
    <w:p w14:paraId="743FEDFE" w14:textId="77777777" w:rsidR="009A602C" w:rsidRPr="00F162FA" w:rsidRDefault="009A602C" w:rsidP="009A602C">
      <w:pPr>
        <w:rPr>
          <w:rStyle w:val="IntenseEmphasis"/>
        </w:rPr>
      </w:pPr>
      <w:r w:rsidRPr="00F162FA">
        <w:rPr>
          <w:b/>
          <w:bCs/>
          <w:noProof/>
          <w:color w:val="1952F3"/>
          <w:lang w:val="en-AU"/>
        </w:rPr>
        <mc:AlternateContent>
          <mc:Choice Requires="wps">
            <w:drawing>
              <wp:inline distT="0" distB="0" distL="0" distR="0" wp14:anchorId="44E97341" wp14:editId="42BAAF03">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E975D1" w14:textId="77777777" w:rsidR="00DC5609" w:rsidRPr="005C7FB0" w:rsidRDefault="00DC5609" w:rsidP="009A602C">
                            <w:pPr>
                              <w:pStyle w:val="CoverH1White"/>
                              <w:spacing w:line="240" w:lineRule="auto"/>
                            </w:pPr>
                            <w:r w:rsidRPr="005C7FB0">
                              <w:t>Medicare Benefits Schedule Review Taskforce</w:t>
                            </w:r>
                          </w:p>
                          <w:p w14:paraId="7A59A5CB" w14:textId="50F935EB" w:rsidR="00DC5609" w:rsidRPr="00C40D80" w:rsidRDefault="00DC5609" w:rsidP="009A602C">
                            <w:pPr>
                              <w:pStyle w:val="CoverH1Green"/>
                              <w:spacing w:line="240" w:lineRule="auto"/>
                            </w:pPr>
                            <w:r w:rsidRPr="00B2255D">
                              <w:t xml:space="preserve">Ophthalmology </w:t>
                            </w:r>
                            <w:r>
                              <w:t>r</w:t>
                            </w:r>
                            <w:r w:rsidRPr="00B2255D">
                              <w:t>eport</w:t>
                            </w:r>
                            <w:r w:rsidRPr="00B2255D" w:rsidDel="00893E76">
                              <w:t xml:space="preserve"> </w:t>
                            </w:r>
                          </w:p>
                          <w:p w14:paraId="5C3A58E7" w14:textId="6F259D2A" w:rsidR="00DC5609" w:rsidRDefault="00DC5609" w:rsidP="009A602C">
                            <w:pPr>
                              <w:pStyle w:val="Coverdate"/>
                              <w:spacing w:after="360" w:line="240" w:lineRule="auto"/>
                            </w:pPr>
                            <w:r w:rsidRPr="00B2255D">
                              <w:t>20</w:t>
                            </w:r>
                            <w:r>
                              <w:t>20</w:t>
                            </w:r>
                          </w:p>
                          <w:p w14:paraId="45716F02" w14:textId="77777777" w:rsidR="00DC5609" w:rsidRDefault="00DC5609" w:rsidP="009A602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E97341"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3FE975D1" w14:textId="77777777" w:rsidR="00DC5609" w:rsidRPr="005C7FB0" w:rsidRDefault="00DC5609" w:rsidP="009A602C">
                      <w:pPr>
                        <w:pStyle w:val="CoverH1White"/>
                        <w:spacing w:line="240" w:lineRule="auto"/>
                      </w:pPr>
                      <w:r w:rsidRPr="005C7FB0">
                        <w:t>Medicare Benefits Schedule Review Taskforce</w:t>
                      </w:r>
                    </w:p>
                    <w:p w14:paraId="7A59A5CB" w14:textId="50F935EB" w:rsidR="00DC5609" w:rsidRPr="00C40D80" w:rsidRDefault="00DC5609" w:rsidP="009A602C">
                      <w:pPr>
                        <w:pStyle w:val="CoverH1Green"/>
                        <w:spacing w:line="240" w:lineRule="auto"/>
                      </w:pPr>
                      <w:r w:rsidRPr="00B2255D">
                        <w:t xml:space="preserve">Ophthalmology </w:t>
                      </w:r>
                      <w:r>
                        <w:t>r</w:t>
                      </w:r>
                      <w:r w:rsidRPr="00B2255D">
                        <w:t>eport</w:t>
                      </w:r>
                      <w:r w:rsidRPr="00B2255D" w:rsidDel="00893E76">
                        <w:t xml:space="preserve"> </w:t>
                      </w:r>
                    </w:p>
                    <w:p w14:paraId="5C3A58E7" w14:textId="6F259D2A" w:rsidR="00DC5609" w:rsidRDefault="00DC5609" w:rsidP="009A602C">
                      <w:pPr>
                        <w:pStyle w:val="Coverdate"/>
                        <w:spacing w:after="360" w:line="240" w:lineRule="auto"/>
                      </w:pPr>
                      <w:r w:rsidRPr="00B2255D">
                        <w:t>20</w:t>
                      </w:r>
                      <w:r>
                        <w:t>20</w:t>
                      </w:r>
                    </w:p>
                    <w:p w14:paraId="45716F02" w14:textId="77777777" w:rsidR="00DC5609" w:rsidRDefault="00DC5609" w:rsidP="009A602C">
                      <w:pPr>
                        <w:spacing w:line="240" w:lineRule="auto"/>
                      </w:pPr>
                    </w:p>
                  </w:txbxContent>
                </v:textbox>
                <w10:anchorlock/>
              </v:shape>
            </w:pict>
          </mc:Fallback>
        </mc:AlternateContent>
      </w:r>
    </w:p>
    <w:p w14:paraId="539A27FA" w14:textId="78868EBF" w:rsidR="009A602C" w:rsidRDefault="009A602C" w:rsidP="009A602C">
      <w:pPr>
        <w:pStyle w:val="BoxText0"/>
        <w:spacing w:line="240" w:lineRule="auto"/>
        <w:rPr>
          <w:b/>
          <w:bCs/>
          <w:color w:val="01653F"/>
          <w:sz w:val="28"/>
          <w:szCs w:val="28"/>
          <w:u w:color="01653F"/>
        </w:rPr>
      </w:pPr>
      <w:r w:rsidRPr="001714A8">
        <w:rPr>
          <w:b/>
          <w:bCs/>
          <w:color w:val="01653F"/>
          <w:sz w:val="28"/>
          <w:szCs w:val="28"/>
          <w:u w:color="01653F"/>
        </w:rPr>
        <w:lastRenderedPageBreak/>
        <w:t>Important note</w:t>
      </w:r>
    </w:p>
    <w:p w14:paraId="5A995E60" w14:textId="6D5DA0A9" w:rsidR="00B9569F" w:rsidRDefault="00B9569F" w:rsidP="00B9569F">
      <w:pPr>
        <w:pStyle w:val="BoxText0"/>
        <w:rPr>
          <w:rFonts w:cs="Times New Roman"/>
          <w:sz w:val="22"/>
          <w:lang w:val="en-AU"/>
        </w:rPr>
      </w:pPr>
      <w:r>
        <w:t>Final recommendations for the MBS Review Taskforce following the consultation of the Ophthalmology Clinical Committee Report with stakeholders.</w:t>
      </w:r>
    </w:p>
    <w:p w14:paraId="0106C9B9" w14:textId="77777777" w:rsidR="009A602C" w:rsidRPr="001714A8" w:rsidRDefault="009A602C" w:rsidP="009A602C">
      <w:pPr>
        <w:pStyle w:val="BoxText0"/>
        <w:spacing w:line="240" w:lineRule="auto"/>
      </w:pPr>
      <w:r w:rsidRPr="001714A8">
        <w:t xml:space="preserve">This report does not constitute the final position on these items, which is subject to: </w:t>
      </w:r>
    </w:p>
    <w:p w14:paraId="03199BBC" w14:textId="77777777" w:rsidR="009A602C" w:rsidRPr="001714A8" w:rsidRDefault="009A602C" w:rsidP="009A602C">
      <w:pPr>
        <w:pStyle w:val="BoxText0"/>
        <w:spacing w:line="240" w:lineRule="auto"/>
      </w:pPr>
      <w:r w:rsidRPr="001714A8">
        <w:t xml:space="preserve">Consideration by the MBS Review </w:t>
      </w:r>
      <w:proofErr w:type="gramStart"/>
      <w:r w:rsidRPr="001714A8">
        <w:t>Taskforce;</w:t>
      </w:r>
      <w:proofErr w:type="gramEnd"/>
    </w:p>
    <w:p w14:paraId="08782111" w14:textId="77777777" w:rsidR="009A602C" w:rsidRPr="001714A8" w:rsidRDefault="009A602C" w:rsidP="009A602C">
      <w:pPr>
        <w:pStyle w:val="BoxText0"/>
        <w:spacing w:line="240" w:lineRule="auto"/>
      </w:pPr>
      <w:r w:rsidRPr="001714A8">
        <w:t xml:space="preserve">Then, </w:t>
      </w:r>
      <w:r w:rsidRPr="001714A8">
        <w:rPr>
          <w:i/>
          <w:iCs/>
        </w:rPr>
        <w:t>if endorsed</w:t>
      </w:r>
    </w:p>
    <w:p w14:paraId="03992B46" w14:textId="77777777" w:rsidR="009A602C" w:rsidRPr="001714A8" w:rsidRDefault="009A602C" w:rsidP="009A602C">
      <w:pPr>
        <w:pStyle w:val="BoxText0"/>
        <w:spacing w:line="240" w:lineRule="auto"/>
      </w:pPr>
      <w:r w:rsidRPr="001714A8">
        <w:t xml:space="preserve">Consideration by the Minister for Health; and </w:t>
      </w:r>
    </w:p>
    <w:p w14:paraId="261DD957" w14:textId="77777777" w:rsidR="009A602C" w:rsidRPr="001714A8" w:rsidRDefault="009A602C" w:rsidP="009A602C">
      <w:pPr>
        <w:pStyle w:val="BoxText0"/>
        <w:spacing w:line="240" w:lineRule="auto"/>
      </w:pPr>
      <w:r w:rsidRPr="001714A8">
        <w:t>Government.</w:t>
      </w:r>
    </w:p>
    <w:p w14:paraId="24B26307" w14:textId="77777777" w:rsidR="009A602C" w:rsidRPr="001714A8" w:rsidRDefault="009A602C" w:rsidP="009A602C">
      <w:pPr>
        <w:pStyle w:val="BoxText0"/>
        <w:spacing w:line="240" w:lineRule="auto"/>
        <w:rPr>
          <w:b/>
          <w:bCs/>
          <w:color w:val="01653F"/>
          <w:sz w:val="28"/>
          <w:szCs w:val="28"/>
          <w:u w:color="01653F"/>
        </w:rPr>
      </w:pPr>
      <w:r w:rsidRPr="001714A8">
        <w:rPr>
          <w:b/>
          <w:bCs/>
          <w:color w:val="01653F"/>
          <w:sz w:val="28"/>
          <w:szCs w:val="28"/>
          <w:u w:color="01653F"/>
        </w:rPr>
        <w:t>Confidentiality of comments:</w:t>
      </w:r>
    </w:p>
    <w:p w14:paraId="6A8DD6A3" w14:textId="77777777" w:rsidR="009A602C" w:rsidRPr="001714A8" w:rsidRDefault="009A602C" w:rsidP="009A602C">
      <w:pPr>
        <w:pStyle w:val="BoxText0"/>
        <w:spacing w:line="240" w:lineRule="auto"/>
      </w:pPr>
      <w:r w:rsidRPr="001714A8">
        <w:t>If you want your feedback to remain confidential please mark it as such. It is important to be aware that confidential feedback may still be subject to access under freedom of information law.</w:t>
      </w:r>
    </w:p>
    <w:p w14:paraId="5E7015E9" w14:textId="77777777" w:rsidR="009A602C" w:rsidRPr="001714A8" w:rsidRDefault="009A602C" w:rsidP="009A602C">
      <w:pPr>
        <w:pStyle w:val="Body"/>
        <w:rPr>
          <w:lang w:val="en-GB"/>
        </w:rPr>
      </w:pPr>
    </w:p>
    <w:p w14:paraId="0D057EAA" w14:textId="77777777" w:rsidR="009A602C" w:rsidRPr="00F162FA" w:rsidRDefault="009A602C" w:rsidP="009A602C">
      <w:pPr>
        <w:pStyle w:val="Footer"/>
        <w:sectPr w:rsidR="009A602C" w:rsidRPr="00F162FA" w:rsidSect="004958B0">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p>
    <w:p w14:paraId="26D8EC44" w14:textId="77777777" w:rsidR="009A602C" w:rsidRPr="00F1034D" w:rsidRDefault="009A602C" w:rsidP="009A602C">
      <w:pPr>
        <w:pStyle w:val="TableofFigures"/>
        <w:rPr>
          <w:b/>
          <w:color w:val="01653F"/>
          <w:sz w:val="24"/>
        </w:rPr>
      </w:pPr>
      <w:r w:rsidRPr="00F1034D">
        <w:rPr>
          <w:b/>
          <w:color w:val="01653F"/>
          <w:sz w:val="24"/>
        </w:rPr>
        <w:lastRenderedPageBreak/>
        <w:t>Table of content</w:t>
      </w:r>
      <w:bookmarkEnd w:id="1"/>
      <w:r w:rsidRPr="00F1034D">
        <w:rPr>
          <w:b/>
          <w:color w:val="01653F"/>
          <w:sz w:val="24"/>
        </w:rPr>
        <w:t>s</w:t>
      </w:r>
    </w:p>
    <w:p w14:paraId="6545061C" w14:textId="2043322E" w:rsidR="001C6959" w:rsidRDefault="009A602C">
      <w:pPr>
        <w:pStyle w:val="TOC2"/>
        <w:rPr>
          <w:rFonts w:eastAsiaTheme="minorEastAsia" w:cstheme="minorBidi"/>
          <w:sz w:val="22"/>
          <w:szCs w:val="22"/>
          <w:lang w:val="en-AU"/>
        </w:rPr>
      </w:pPr>
      <w:r w:rsidRPr="00F162FA">
        <w:rPr>
          <w:b/>
        </w:rPr>
        <w:fldChar w:fldCharType="begin"/>
      </w:r>
      <w:r w:rsidRPr="00F162FA">
        <w:instrText xml:space="preserve"> TOC \o "1-3" \h \z \u </w:instrText>
      </w:r>
      <w:r w:rsidRPr="00F162FA">
        <w:rPr>
          <w:b/>
        </w:rPr>
        <w:fldChar w:fldCharType="separate"/>
      </w:r>
      <w:hyperlink w:anchor="_Toc35347201" w:history="1">
        <w:r w:rsidR="001C6959" w:rsidRPr="00737F18">
          <w:rPr>
            <w:rStyle w:val="Hyperlink"/>
          </w:rPr>
          <w:t>1.1</w:t>
        </w:r>
        <w:r w:rsidR="001C6959">
          <w:rPr>
            <w:rFonts w:eastAsiaTheme="minorEastAsia" w:cstheme="minorBidi"/>
            <w:sz w:val="22"/>
            <w:szCs w:val="22"/>
            <w:lang w:val="en-AU"/>
          </w:rPr>
          <w:tab/>
        </w:r>
        <w:r w:rsidR="001C6959" w:rsidRPr="00737F18">
          <w:rPr>
            <w:rStyle w:val="Hyperlink"/>
          </w:rPr>
          <w:t>Executive summary</w:t>
        </w:r>
        <w:r w:rsidR="001C6959">
          <w:rPr>
            <w:webHidden/>
          </w:rPr>
          <w:tab/>
        </w:r>
        <w:r w:rsidR="001C6959">
          <w:rPr>
            <w:webHidden/>
          </w:rPr>
          <w:fldChar w:fldCharType="begin"/>
        </w:r>
        <w:r w:rsidR="001C6959">
          <w:rPr>
            <w:webHidden/>
          </w:rPr>
          <w:instrText xml:space="preserve"> PAGEREF _Toc35347201 \h </w:instrText>
        </w:r>
        <w:r w:rsidR="001C6959">
          <w:rPr>
            <w:webHidden/>
          </w:rPr>
        </w:r>
        <w:r w:rsidR="001C6959">
          <w:rPr>
            <w:webHidden/>
          </w:rPr>
          <w:fldChar w:fldCharType="separate"/>
        </w:r>
        <w:r w:rsidR="001C6959">
          <w:rPr>
            <w:webHidden/>
          </w:rPr>
          <w:t>7</w:t>
        </w:r>
        <w:r w:rsidR="001C6959">
          <w:rPr>
            <w:webHidden/>
          </w:rPr>
          <w:fldChar w:fldCharType="end"/>
        </w:r>
      </w:hyperlink>
    </w:p>
    <w:p w14:paraId="24084A92" w14:textId="204E437F" w:rsidR="001C6959" w:rsidRDefault="00677F75">
      <w:pPr>
        <w:pStyle w:val="TOC2"/>
        <w:rPr>
          <w:rFonts w:eastAsiaTheme="minorEastAsia" w:cstheme="minorBidi"/>
          <w:sz w:val="22"/>
          <w:szCs w:val="22"/>
          <w:lang w:val="en-AU"/>
        </w:rPr>
      </w:pPr>
      <w:hyperlink w:anchor="_Toc35347202" w:history="1">
        <w:r w:rsidR="001C6959" w:rsidRPr="00737F18">
          <w:rPr>
            <w:rStyle w:val="Hyperlink"/>
          </w:rPr>
          <w:t>1.2</w:t>
        </w:r>
        <w:r w:rsidR="001C6959">
          <w:rPr>
            <w:rFonts w:eastAsiaTheme="minorEastAsia" w:cstheme="minorBidi"/>
            <w:sz w:val="22"/>
            <w:szCs w:val="22"/>
            <w:lang w:val="en-AU"/>
          </w:rPr>
          <w:tab/>
        </w:r>
        <w:r w:rsidR="001C6959" w:rsidRPr="00737F18">
          <w:rPr>
            <w:rStyle w:val="Hyperlink"/>
          </w:rPr>
          <w:t>Key recommendations</w:t>
        </w:r>
        <w:r w:rsidR="001C6959">
          <w:rPr>
            <w:webHidden/>
          </w:rPr>
          <w:tab/>
        </w:r>
        <w:r w:rsidR="001C6959">
          <w:rPr>
            <w:webHidden/>
          </w:rPr>
          <w:fldChar w:fldCharType="begin"/>
        </w:r>
        <w:r w:rsidR="001C6959">
          <w:rPr>
            <w:webHidden/>
          </w:rPr>
          <w:instrText xml:space="preserve"> PAGEREF _Toc35347202 \h </w:instrText>
        </w:r>
        <w:r w:rsidR="001C6959">
          <w:rPr>
            <w:webHidden/>
          </w:rPr>
        </w:r>
        <w:r w:rsidR="001C6959">
          <w:rPr>
            <w:webHidden/>
          </w:rPr>
          <w:fldChar w:fldCharType="separate"/>
        </w:r>
        <w:r w:rsidR="001C6959">
          <w:rPr>
            <w:webHidden/>
          </w:rPr>
          <w:t>7</w:t>
        </w:r>
        <w:r w:rsidR="001C6959">
          <w:rPr>
            <w:webHidden/>
          </w:rPr>
          <w:fldChar w:fldCharType="end"/>
        </w:r>
      </w:hyperlink>
    </w:p>
    <w:p w14:paraId="6D219A2E" w14:textId="518FB214" w:rsidR="001C6959" w:rsidRDefault="00677F75">
      <w:pPr>
        <w:pStyle w:val="TOC3"/>
        <w:rPr>
          <w:rFonts w:eastAsiaTheme="minorEastAsia" w:cstheme="minorBidi"/>
          <w:i w:val="0"/>
          <w:sz w:val="22"/>
          <w:szCs w:val="22"/>
          <w:lang w:val="en-AU"/>
        </w:rPr>
      </w:pPr>
      <w:hyperlink w:anchor="_Toc35347203" w:history="1">
        <w:r w:rsidR="001C6959" w:rsidRPr="00737F18">
          <w:rPr>
            <w:rStyle w:val="Hyperlink"/>
          </w:rPr>
          <w:t>1.2.1</w:t>
        </w:r>
        <w:r w:rsidR="001C6959">
          <w:rPr>
            <w:rFonts w:eastAsiaTheme="minorEastAsia" w:cstheme="minorBidi"/>
            <w:i w:val="0"/>
            <w:sz w:val="22"/>
            <w:szCs w:val="22"/>
            <w:lang w:val="en-AU"/>
          </w:rPr>
          <w:tab/>
        </w:r>
        <w:r w:rsidR="001C6959" w:rsidRPr="00737F18">
          <w:rPr>
            <w:rStyle w:val="Hyperlink"/>
          </w:rPr>
          <w:t>Compliance</w:t>
        </w:r>
        <w:r w:rsidR="001C6959">
          <w:rPr>
            <w:webHidden/>
          </w:rPr>
          <w:tab/>
        </w:r>
        <w:r w:rsidR="001C6959">
          <w:rPr>
            <w:webHidden/>
          </w:rPr>
          <w:fldChar w:fldCharType="begin"/>
        </w:r>
        <w:r w:rsidR="001C6959">
          <w:rPr>
            <w:webHidden/>
          </w:rPr>
          <w:instrText xml:space="preserve"> PAGEREF _Toc35347203 \h </w:instrText>
        </w:r>
        <w:r w:rsidR="001C6959">
          <w:rPr>
            <w:webHidden/>
          </w:rPr>
        </w:r>
        <w:r w:rsidR="001C6959">
          <w:rPr>
            <w:webHidden/>
          </w:rPr>
          <w:fldChar w:fldCharType="separate"/>
        </w:r>
        <w:r w:rsidR="001C6959">
          <w:rPr>
            <w:webHidden/>
          </w:rPr>
          <w:t>7</w:t>
        </w:r>
        <w:r w:rsidR="001C6959">
          <w:rPr>
            <w:webHidden/>
          </w:rPr>
          <w:fldChar w:fldCharType="end"/>
        </w:r>
      </w:hyperlink>
    </w:p>
    <w:p w14:paraId="3D24BA11" w14:textId="3BBACCA6" w:rsidR="001C6959" w:rsidRDefault="00677F75">
      <w:pPr>
        <w:pStyle w:val="TOC3"/>
        <w:rPr>
          <w:rFonts w:eastAsiaTheme="minorEastAsia" w:cstheme="minorBidi"/>
          <w:i w:val="0"/>
          <w:sz w:val="22"/>
          <w:szCs w:val="22"/>
          <w:lang w:val="en-AU"/>
        </w:rPr>
      </w:pPr>
      <w:hyperlink w:anchor="_Toc35347204" w:history="1">
        <w:r w:rsidR="001C6959" w:rsidRPr="00737F18">
          <w:rPr>
            <w:rStyle w:val="Hyperlink"/>
          </w:rPr>
          <w:t>1.2.2</w:t>
        </w:r>
        <w:r w:rsidR="001C6959">
          <w:rPr>
            <w:rFonts w:eastAsiaTheme="minorEastAsia" w:cstheme="minorBidi"/>
            <w:i w:val="0"/>
            <w:sz w:val="22"/>
            <w:szCs w:val="22"/>
            <w:lang w:val="en-AU"/>
          </w:rPr>
          <w:tab/>
        </w:r>
        <w:r w:rsidR="001C6959" w:rsidRPr="00737F18">
          <w:rPr>
            <w:rStyle w:val="Hyperlink"/>
          </w:rPr>
          <w:t>Retinal electrophysiology</w:t>
        </w:r>
        <w:r w:rsidR="001C6959">
          <w:rPr>
            <w:webHidden/>
          </w:rPr>
          <w:tab/>
        </w:r>
        <w:r w:rsidR="001C6959">
          <w:rPr>
            <w:webHidden/>
          </w:rPr>
          <w:fldChar w:fldCharType="begin"/>
        </w:r>
        <w:r w:rsidR="001C6959">
          <w:rPr>
            <w:webHidden/>
          </w:rPr>
          <w:instrText xml:space="preserve"> PAGEREF _Toc35347204 \h </w:instrText>
        </w:r>
        <w:r w:rsidR="001C6959">
          <w:rPr>
            <w:webHidden/>
          </w:rPr>
        </w:r>
        <w:r w:rsidR="001C6959">
          <w:rPr>
            <w:webHidden/>
          </w:rPr>
          <w:fldChar w:fldCharType="separate"/>
        </w:r>
        <w:r w:rsidR="001C6959">
          <w:rPr>
            <w:webHidden/>
          </w:rPr>
          <w:t>8</w:t>
        </w:r>
        <w:r w:rsidR="001C6959">
          <w:rPr>
            <w:webHidden/>
          </w:rPr>
          <w:fldChar w:fldCharType="end"/>
        </w:r>
      </w:hyperlink>
    </w:p>
    <w:p w14:paraId="4502F29F" w14:textId="13196195" w:rsidR="001C6959" w:rsidRDefault="00677F75">
      <w:pPr>
        <w:pStyle w:val="TOC3"/>
        <w:rPr>
          <w:rFonts w:eastAsiaTheme="minorEastAsia" w:cstheme="minorBidi"/>
          <w:i w:val="0"/>
          <w:sz w:val="22"/>
          <w:szCs w:val="22"/>
          <w:lang w:val="en-AU"/>
        </w:rPr>
      </w:pPr>
      <w:hyperlink w:anchor="_Toc35347205" w:history="1">
        <w:r w:rsidR="001C6959" w:rsidRPr="00737F18">
          <w:rPr>
            <w:rStyle w:val="Hyperlink"/>
          </w:rPr>
          <w:t>1.2.3</w:t>
        </w:r>
        <w:r w:rsidR="001C6959">
          <w:rPr>
            <w:rFonts w:eastAsiaTheme="minorEastAsia" w:cstheme="minorBidi"/>
            <w:i w:val="0"/>
            <w:sz w:val="22"/>
            <w:szCs w:val="22"/>
            <w:lang w:val="en-AU"/>
          </w:rPr>
          <w:tab/>
        </w:r>
        <w:r w:rsidR="001C6959" w:rsidRPr="00737F18">
          <w:rPr>
            <w:rStyle w:val="Hyperlink"/>
          </w:rPr>
          <w:t>Computerised perimetry</w:t>
        </w:r>
        <w:r w:rsidR="001C6959">
          <w:rPr>
            <w:webHidden/>
          </w:rPr>
          <w:tab/>
        </w:r>
        <w:r w:rsidR="001C6959">
          <w:rPr>
            <w:webHidden/>
          </w:rPr>
          <w:fldChar w:fldCharType="begin"/>
        </w:r>
        <w:r w:rsidR="001C6959">
          <w:rPr>
            <w:webHidden/>
          </w:rPr>
          <w:instrText xml:space="preserve"> PAGEREF _Toc35347205 \h </w:instrText>
        </w:r>
        <w:r w:rsidR="001C6959">
          <w:rPr>
            <w:webHidden/>
          </w:rPr>
        </w:r>
        <w:r w:rsidR="001C6959">
          <w:rPr>
            <w:webHidden/>
          </w:rPr>
          <w:fldChar w:fldCharType="separate"/>
        </w:r>
        <w:r w:rsidR="001C6959">
          <w:rPr>
            <w:webHidden/>
          </w:rPr>
          <w:t>10</w:t>
        </w:r>
        <w:r w:rsidR="001C6959">
          <w:rPr>
            <w:webHidden/>
          </w:rPr>
          <w:fldChar w:fldCharType="end"/>
        </w:r>
      </w:hyperlink>
    </w:p>
    <w:p w14:paraId="1D228C70" w14:textId="4682A82F" w:rsidR="001C6959" w:rsidRDefault="00677F75">
      <w:pPr>
        <w:pStyle w:val="TOC3"/>
        <w:rPr>
          <w:rFonts w:eastAsiaTheme="minorEastAsia" w:cstheme="minorBidi"/>
          <w:i w:val="0"/>
          <w:sz w:val="22"/>
          <w:szCs w:val="22"/>
          <w:lang w:val="en-AU"/>
        </w:rPr>
      </w:pPr>
      <w:hyperlink w:anchor="_Toc35347206" w:history="1">
        <w:r w:rsidR="001C6959" w:rsidRPr="00737F18">
          <w:rPr>
            <w:rStyle w:val="Hyperlink"/>
          </w:rPr>
          <w:t>1.2.4</w:t>
        </w:r>
        <w:r w:rsidR="001C6959">
          <w:rPr>
            <w:rFonts w:eastAsiaTheme="minorEastAsia" w:cstheme="minorBidi"/>
            <w:i w:val="0"/>
            <w:sz w:val="22"/>
            <w:szCs w:val="22"/>
            <w:lang w:val="en-AU"/>
          </w:rPr>
          <w:tab/>
        </w:r>
        <w:r w:rsidR="001C6959" w:rsidRPr="00737F18">
          <w:rPr>
            <w:rStyle w:val="Hyperlink"/>
          </w:rPr>
          <w:t>Eye injections</w:t>
        </w:r>
        <w:r w:rsidR="001C6959">
          <w:rPr>
            <w:webHidden/>
          </w:rPr>
          <w:tab/>
        </w:r>
        <w:r w:rsidR="001C6959">
          <w:rPr>
            <w:webHidden/>
          </w:rPr>
          <w:fldChar w:fldCharType="begin"/>
        </w:r>
        <w:r w:rsidR="001C6959">
          <w:rPr>
            <w:webHidden/>
          </w:rPr>
          <w:instrText xml:space="preserve"> PAGEREF _Toc35347206 \h </w:instrText>
        </w:r>
        <w:r w:rsidR="001C6959">
          <w:rPr>
            <w:webHidden/>
          </w:rPr>
        </w:r>
        <w:r w:rsidR="001C6959">
          <w:rPr>
            <w:webHidden/>
          </w:rPr>
          <w:fldChar w:fldCharType="separate"/>
        </w:r>
        <w:r w:rsidR="001C6959">
          <w:rPr>
            <w:webHidden/>
          </w:rPr>
          <w:t>11</w:t>
        </w:r>
        <w:r w:rsidR="001C6959">
          <w:rPr>
            <w:webHidden/>
          </w:rPr>
          <w:fldChar w:fldCharType="end"/>
        </w:r>
      </w:hyperlink>
    </w:p>
    <w:p w14:paraId="517273E3" w14:textId="11274FF1" w:rsidR="001C6959" w:rsidRDefault="00677F75">
      <w:pPr>
        <w:pStyle w:val="TOC3"/>
        <w:rPr>
          <w:rFonts w:eastAsiaTheme="minorEastAsia" w:cstheme="minorBidi"/>
          <w:i w:val="0"/>
          <w:sz w:val="22"/>
          <w:szCs w:val="22"/>
          <w:lang w:val="en-AU"/>
        </w:rPr>
      </w:pPr>
      <w:hyperlink w:anchor="_Toc35347207" w:history="1">
        <w:r w:rsidR="001C6959" w:rsidRPr="00737F18">
          <w:rPr>
            <w:rStyle w:val="Hyperlink"/>
          </w:rPr>
          <w:t>1.2.5</w:t>
        </w:r>
        <w:r w:rsidR="001C6959">
          <w:rPr>
            <w:rFonts w:eastAsiaTheme="minorEastAsia" w:cstheme="minorBidi"/>
            <w:i w:val="0"/>
            <w:sz w:val="22"/>
            <w:szCs w:val="22"/>
            <w:lang w:val="en-AU"/>
          </w:rPr>
          <w:tab/>
        </w:r>
        <w:r w:rsidR="001C6959" w:rsidRPr="00737F18">
          <w:rPr>
            <w:rStyle w:val="Hyperlink"/>
          </w:rPr>
          <w:t>Cataract surgery</w:t>
        </w:r>
        <w:r w:rsidR="001C6959">
          <w:rPr>
            <w:webHidden/>
          </w:rPr>
          <w:tab/>
        </w:r>
        <w:r w:rsidR="001C6959">
          <w:rPr>
            <w:webHidden/>
          </w:rPr>
          <w:fldChar w:fldCharType="begin"/>
        </w:r>
        <w:r w:rsidR="001C6959">
          <w:rPr>
            <w:webHidden/>
          </w:rPr>
          <w:instrText xml:space="preserve"> PAGEREF _Toc35347207 \h </w:instrText>
        </w:r>
        <w:r w:rsidR="001C6959">
          <w:rPr>
            <w:webHidden/>
          </w:rPr>
        </w:r>
        <w:r w:rsidR="001C6959">
          <w:rPr>
            <w:webHidden/>
          </w:rPr>
          <w:fldChar w:fldCharType="separate"/>
        </w:r>
        <w:r w:rsidR="001C6959">
          <w:rPr>
            <w:webHidden/>
          </w:rPr>
          <w:t>12</w:t>
        </w:r>
        <w:r w:rsidR="001C6959">
          <w:rPr>
            <w:webHidden/>
          </w:rPr>
          <w:fldChar w:fldCharType="end"/>
        </w:r>
      </w:hyperlink>
    </w:p>
    <w:p w14:paraId="2ED4A515" w14:textId="2784634A" w:rsidR="001C6959" w:rsidRDefault="00677F75">
      <w:pPr>
        <w:pStyle w:val="TOC3"/>
        <w:rPr>
          <w:rFonts w:eastAsiaTheme="minorEastAsia" w:cstheme="minorBidi"/>
          <w:i w:val="0"/>
          <w:sz w:val="22"/>
          <w:szCs w:val="22"/>
          <w:lang w:val="en-AU"/>
        </w:rPr>
      </w:pPr>
      <w:hyperlink w:anchor="_Toc35347208" w:history="1">
        <w:r w:rsidR="001C6959" w:rsidRPr="00737F18">
          <w:rPr>
            <w:rStyle w:val="Hyperlink"/>
          </w:rPr>
          <w:t>1.2.6</w:t>
        </w:r>
        <w:r w:rsidR="001C6959">
          <w:rPr>
            <w:rFonts w:eastAsiaTheme="minorEastAsia" w:cstheme="minorBidi"/>
            <w:i w:val="0"/>
            <w:sz w:val="22"/>
            <w:szCs w:val="22"/>
            <w:lang w:val="en-AU"/>
          </w:rPr>
          <w:tab/>
        </w:r>
        <w:r w:rsidR="001C6959" w:rsidRPr="00737F18">
          <w:rPr>
            <w:rStyle w:val="Hyperlink"/>
          </w:rPr>
          <w:t>Obsolete items</w:t>
        </w:r>
        <w:r w:rsidR="001C6959">
          <w:rPr>
            <w:webHidden/>
          </w:rPr>
          <w:tab/>
        </w:r>
        <w:r w:rsidR="001C6959">
          <w:rPr>
            <w:webHidden/>
          </w:rPr>
          <w:fldChar w:fldCharType="begin"/>
        </w:r>
        <w:r w:rsidR="001C6959">
          <w:rPr>
            <w:webHidden/>
          </w:rPr>
          <w:instrText xml:space="preserve"> PAGEREF _Toc35347208 \h </w:instrText>
        </w:r>
        <w:r w:rsidR="001C6959">
          <w:rPr>
            <w:webHidden/>
          </w:rPr>
        </w:r>
        <w:r w:rsidR="001C6959">
          <w:rPr>
            <w:webHidden/>
          </w:rPr>
          <w:fldChar w:fldCharType="separate"/>
        </w:r>
        <w:r w:rsidR="001C6959">
          <w:rPr>
            <w:webHidden/>
          </w:rPr>
          <w:t>14</w:t>
        </w:r>
        <w:r w:rsidR="001C6959">
          <w:rPr>
            <w:webHidden/>
          </w:rPr>
          <w:fldChar w:fldCharType="end"/>
        </w:r>
      </w:hyperlink>
    </w:p>
    <w:p w14:paraId="2ECDD366" w14:textId="1CBAECF9" w:rsidR="001C6959" w:rsidRDefault="00677F75">
      <w:pPr>
        <w:pStyle w:val="TOC3"/>
        <w:rPr>
          <w:rFonts w:eastAsiaTheme="minorEastAsia" w:cstheme="minorBidi"/>
          <w:i w:val="0"/>
          <w:sz w:val="22"/>
          <w:szCs w:val="22"/>
          <w:lang w:val="en-AU"/>
        </w:rPr>
      </w:pPr>
      <w:hyperlink w:anchor="_Toc35347209" w:history="1">
        <w:r w:rsidR="001C6959" w:rsidRPr="00737F18">
          <w:rPr>
            <w:rStyle w:val="Hyperlink"/>
          </w:rPr>
          <w:t>1.2.7</w:t>
        </w:r>
        <w:r w:rsidR="001C6959">
          <w:rPr>
            <w:rFonts w:eastAsiaTheme="minorEastAsia" w:cstheme="minorBidi"/>
            <w:i w:val="0"/>
            <w:sz w:val="22"/>
            <w:szCs w:val="22"/>
            <w:lang w:val="en-AU"/>
          </w:rPr>
          <w:tab/>
        </w:r>
        <w:r w:rsidR="001C6959" w:rsidRPr="00737F18">
          <w:rPr>
            <w:rStyle w:val="Hyperlink"/>
          </w:rPr>
          <w:t>Oculoplastic and orbital items</w:t>
        </w:r>
        <w:r w:rsidR="001C6959">
          <w:rPr>
            <w:webHidden/>
          </w:rPr>
          <w:tab/>
        </w:r>
        <w:r w:rsidR="001C6959">
          <w:rPr>
            <w:webHidden/>
          </w:rPr>
          <w:fldChar w:fldCharType="begin"/>
        </w:r>
        <w:r w:rsidR="001C6959">
          <w:rPr>
            <w:webHidden/>
          </w:rPr>
          <w:instrText xml:space="preserve"> PAGEREF _Toc35347209 \h </w:instrText>
        </w:r>
        <w:r w:rsidR="001C6959">
          <w:rPr>
            <w:webHidden/>
          </w:rPr>
        </w:r>
        <w:r w:rsidR="001C6959">
          <w:rPr>
            <w:webHidden/>
          </w:rPr>
          <w:fldChar w:fldCharType="separate"/>
        </w:r>
        <w:r w:rsidR="001C6959">
          <w:rPr>
            <w:webHidden/>
          </w:rPr>
          <w:t>14</w:t>
        </w:r>
        <w:r w:rsidR="001C6959">
          <w:rPr>
            <w:webHidden/>
          </w:rPr>
          <w:fldChar w:fldCharType="end"/>
        </w:r>
      </w:hyperlink>
    </w:p>
    <w:p w14:paraId="2933AF72" w14:textId="101CD3D7" w:rsidR="001C6959" w:rsidRDefault="00677F75">
      <w:pPr>
        <w:pStyle w:val="TOC3"/>
        <w:rPr>
          <w:rFonts w:eastAsiaTheme="minorEastAsia" w:cstheme="minorBidi"/>
          <w:i w:val="0"/>
          <w:sz w:val="22"/>
          <w:szCs w:val="22"/>
          <w:lang w:val="en-AU"/>
        </w:rPr>
      </w:pPr>
      <w:hyperlink w:anchor="_Toc35347210" w:history="1">
        <w:r w:rsidR="001C6959" w:rsidRPr="00737F18">
          <w:rPr>
            <w:rStyle w:val="Hyperlink"/>
          </w:rPr>
          <w:t>1.2.8</w:t>
        </w:r>
        <w:r w:rsidR="001C6959">
          <w:rPr>
            <w:rFonts w:eastAsiaTheme="minorEastAsia" w:cstheme="minorBidi"/>
            <w:i w:val="0"/>
            <w:sz w:val="22"/>
            <w:szCs w:val="22"/>
            <w:lang w:val="en-AU"/>
          </w:rPr>
          <w:tab/>
        </w:r>
        <w:r w:rsidR="001C6959" w:rsidRPr="00737F18">
          <w:rPr>
            <w:rStyle w:val="Hyperlink"/>
          </w:rPr>
          <w:t>Inappropriate co-claiming</w:t>
        </w:r>
        <w:r w:rsidR="001C6959">
          <w:rPr>
            <w:webHidden/>
          </w:rPr>
          <w:tab/>
        </w:r>
        <w:r w:rsidR="001C6959">
          <w:rPr>
            <w:webHidden/>
          </w:rPr>
          <w:fldChar w:fldCharType="begin"/>
        </w:r>
        <w:r w:rsidR="001C6959">
          <w:rPr>
            <w:webHidden/>
          </w:rPr>
          <w:instrText xml:space="preserve"> PAGEREF _Toc35347210 \h </w:instrText>
        </w:r>
        <w:r w:rsidR="001C6959">
          <w:rPr>
            <w:webHidden/>
          </w:rPr>
        </w:r>
        <w:r w:rsidR="001C6959">
          <w:rPr>
            <w:webHidden/>
          </w:rPr>
          <w:fldChar w:fldCharType="separate"/>
        </w:r>
        <w:r w:rsidR="001C6959">
          <w:rPr>
            <w:webHidden/>
          </w:rPr>
          <w:t>14</w:t>
        </w:r>
        <w:r w:rsidR="001C6959">
          <w:rPr>
            <w:webHidden/>
          </w:rPr>
          <w:fldChar w:fldCharType="end"/>
        </w:r>
      </w:hyperlink>
    </w:p>
    <w:p w14:paraId="3EDE7584" w14:textId="7F3E0120" w:rsidR="001C6959" w:rsidRDefault="00677F75">
      <w:pPr>
        <w:pStyle w:val="TOC3"/>
        <w:rPr>
          <w:rFonts w:eastAsiaTheme="minorEastAsia" w:cstheme="minorBidi"/>
          <w:i w:val="0"/>
          <w:sz w:val="22"/>
          <w:szCs w:val="22"/>
          <w:lang w:val="en-AU"/>
        </w:rPr>
      </w:pPr>
      <w:hyperlink w:anchor="_Toc35347211" w:history="1">
        <w:r w:rsidR="001C6959" w:rsidRPr="00737F18">
          <w:rPr>
            <w:rStyle w:val="Hyperlink"/>
          </w:rPr>
          <w:t>1.2.9</w:t>
        </w:r>
        <w:r w:rsidR="001C6959">
          <w:rPr>
            <w:rFonts w:eastAsiaTheme="minorEastAsia" w:cstheme="minorBidi"/>
            <w:i w:val="0"/>
            <w:sz w:val="22"/>
            <w:szCs w:val="22"/>
            <w:lang w:val="en-AU"/>
          </w:rPr>
          <w:tab/>
        </w:r>
        <w:r w:rsidR="001C6959" w:rsidRPr="00737F18">
          <w:rPr>
            <w:rStyle w:val="Hyperlink"/>
          </w:rPr>
          <w:t>Telemedicine</w:t>
        </w:r>
        <w:r w:rsidR="001C6959">
          <w:rPr>
            <w:webHidden/>
          </w:rPr>
          <w:tab/>
        </w:r>
        <w:r w:rsidR="001C6959">
          <w:rPr>
            <w:webHidden/>
          </w:rPr>
          <w:fldChar w:fldCharType="begin"/>
        </w:r>
        <w:r w:rsidR="001C6959">
          <w:rPr>
            <w:webHidden/>
          </w:rPr>
          <w:instrText xml:space="preserve"> PAGEREF _Toc35347211 \h </w:instrText>
        </w:r>
        <w:r w:rsidR="001C6959">
          <w:rPr>
            <w:webHidden/>
          </w:rPr>
        </w:r>
        <w:r w:rsidR="001C6959">
          <w:rPr>
            <w:webHidden/>
          </w:rPr>
          <w:fldChar w:fldCharType="separate"/>
        </w:r>
        <w:r w:rsidR="001C6959">
          <w:rPr>
            <w:webHidden/>
          </w:rPr>
          <w:t>15</w:t>
        </w:r>
        <w:r w:rsidR="001C6959">
          <w:rPr>
            <w:webHidden/>
          </w:rPr>
          <w:fldChar w:fldCharType="end"/>
        </w:r>
      </w:hyperlink>
    </w:p>
    <w:p w14:paraId="774F1F44" w14:textId="0464856B" w:rsidR="001C6959" w:rsidRDefault="00677F75">
      <w:pPr>
        <w:pStyle w:val="TOC3"/>
        <w:rPr>
          <w:rFonts w:eastAsiaTheme="minorEastAsia" w:cstheme="minorBidi"/>
          <w:i w:val="0"/>
          <w:sz w:val="22"/>
          <w:szCs w:val="22"/>
          <w:lang w:val="en-AU"/>
        </w:rPr>
      </w:pPr>
      <w:hyperlink w:anchor="_Toc35347212" w:history="1">
        <w:r w:rsidR="001C6959" w:rsidRPr="00737F18">
          <w:rPr>
            <w:rStyle w:val="Hyperlink"/>
          </w:rPr>
          <w:t>1.2.10</w:t>
        </w:r>
        <w:r w:rsidR="001C6959">
          <w:rPr>
            <w:rFonts w:eastAsiaTheme="minorEastAsia" w:cstheme="minorBidi"/>
            <w:i w:val="0"/>
            <w:sz w:val="22"/>
            <w:szCs w:val="22"/>
            <w:lang w:val="en-AU"/>
          </w:rPr>
          <w:tab/>
        </w:r>
        <w:r w:rsidR="001C6959" w:rsidRPr="00737F18">
          <w:rPr>
            <w:rStyle w:val="Hyperlink"/>
          </w:rPr>
          <w:t>General recommendations</w:t>
        </w:r>
        <w:r w:rsidR="001C6959">
          <w:rPr>
            <w:webHidden/>
          </w:rPr>
          <w:tab/>
        </w:r>
        <w:r w:rsidR="001C6959">
          <w:rPr>
            <w:webHidden/>
          </w:rPr>
          <w:fldChar w:fldCharType="begin"/>
        </w:r>
        <w:r w:rsidR="001C6959">
          <w:rPr>
            <w:webHidden/>
          </w:rPr>
          <w:instrText xml:space="preserve"> PAGEREF _Toc35347212 \h </w:instrText>
        </w:r>
        <w:r w:rsidR="001C6959">
          <w:rPr>
            <w:webHidden/>
          </w:rPr>
        </w:r>
        <w:r w:rsidR="001C6959">
          <w:rPr>
            <w:webHidden/>
          </w:rPr>
          <w:fldChar w:fldCharType="separate"/>
        </w:r>
        <w:r w:rsidR="001C6959">
          <w:rPr>
            <w:webHidden/>
          </w:rPr>
          <w:t>15</w:t>
        </w:r>
        <w:r w:rsidR="001C6959">
          <w:rPr>
            <w:webHidden/>
          </w:rPr>
          <w:fldChar w:fldCharType="end"/>
        </w:r>
      </w:hyperlink>
    </w:p>
    <w:p w14:paraId="316F7D7F" w14:textId="1D397960" w:rsidR="001C6959" w:rsidRDefault="00677F75">
      <w:pPr>
        <w:pStyle w:val="TOC3"/>
        <w:rPr>
          <w:rFonts w:eastAsiaTheme="minorEastAsia" w:cstheme="minorBidi"/>
          <w:i w:val="0"/>
          <w:sz w:val="22"/>
          <w:szCs w:val="22"/>
          <w:lang w:val="en-AU"/>
        </w:rPr>
      </w:pPr>
      <w:hyperlink w:anchor="_Toc35347213" w:history="1">
        <w:r w:rsidR="001C6959" w:rsidRPr="00737F18">
          <w:rPr>
            <w:rStyle w:val="Hyperlink"/>
          </w:rPr>
          <w:t>1.2.11</w:t>
        </w:r>
        <w:r w:rsidR="001C6959">
          <w:rPr>
            <w:rFonts w:eastAsiaTheme="minorEastAsia" w:cstheme="minorBidi"/>
            <w:i w:val="0"/>
            <w:sz w:val="22"/>
            <w:szCs w:val="22"/>
            <w:lang w:val="en-AU"/>
          </w:rPr>
          <w:tab/>
        </w:r>
        <w:r w:rsidR="001C6959" w:rsidRPr="00737F18">
          <w:rPr>
            <w:rStyle w:val="Hyperlink"/>
          </w:rPr>
          <w:t>New items</w:t>
        </w:r>
        <w:r w:rsidR="001C6959">
          <w:rPr>
            <w:webHidden/>
          </w:rPr>
          <w:tab/>
        </w:r>
        <w:r w:rsidR="001C6959">
          <w:rPr>
            <w:webHidden/>
          </w:rPr>
          <w:fldChar w:fldCharType="begin"/>
        </w:r>
        <w:r w:rsidR="001C6959">
          <w:rPr>
            <w:webHidden/>
          </w:rPr>
          <w:instrText xml:space="preserve"> PAGEREF _Toc35347213 \h </w:instrText>
        </w:r>
        <w:r w:rsidR="001C6959">
          <w:rPr>
            <w:webHidden/>
          </w:rPr>
        </w:r>
        <w:r w:rsidR="001C6959">
          <w:rPr>
            <w:webHidden/>
          </w:rPr>
          <w:fldChar w:fldCharType="separate"/>
        </w:r>
        <w:r w:rsidR="001C6959">
          <w:rPr>
            <w:webHidden/>
          </w:rPr>
          <w:t>16</w:t>
        </w:r>
        <w:r w:rsidR="001C6959">
          <w:rPr>
            <w:webHidden/>
          </w:rPr>
          <w:fldChar w:fldCharType="end"/>
        </w:r>
      </w:hyperlink>
    </w:p>
    <w:p w14:paraId="1D2E4C7A" w14:textId="2467824E" w:rsidR="001C6959" w:rsidRDefault="00677F75">
      <w:pPr>
        <w:pStyle w:val="TOC3"/>
        <w:rPr>
          <w:rFonts w:eastAsiaTheme="minorEastAsia" w:cstheme="minorBidi"/>
          <w:i w:val="0"/>
          <w:sz w:val="22"/>
          <w:szCs w:val="22"/>
          <w:lang w:val="en-AU"/>
        </w:rPr>
      </w:pPr>
      <w:hyperlink w:anchor="_Toc35347214" w:history="1">
        <w:r w:rsidR="001C6959" w:rsidRPr="00737F18">
          <w:rPr>
            <w:rStyle w:val="Hyperlink"/>
          </w:rPr>
          <w:t>1.2.12</w:t>
        </w:r>
        <w:r w:rsidR="001C6959">
          <w:rPr>
            <w:rFonts w:eastAsiaTheme="minorEastAsia" w:cstheme="minorBidi"/>
            <w:i w:val="0"/>
            <w:sz w:val="22"/>
            <w:szCs w:val="22"/>
            <w:lang w:val="en-AU"/>
          </w:rPr>
          <w:tab/>
        </w:r>
        <w:r w:rsidR="001C6959" w:rsidRPr="00737F18">
          <w:rPr>
            <w:rStyle w:val="Hyperlink"/>
          </w:rPr>
          <w:t>Cataract surgery and eye injections – questions from the Taskforce</w:t>
        </w:r>
        <w:r w:rsidR="001C6959">
          <w:rPr>
            <w:webHidden/>
          </w:rPr>
          <w:tab/>
        </w:r>
        <w:r w:rsidR="001C6959">
          <w:rPr>
            <w:webHidden/>
          </w:rPr>
          <w:fldChar w:fldCharType="begin"/>
        </w:r>
        <w:r w:rsidR="001C6959">
          <w:rPr>
            <w:webHidden/>
          </w:rPr>
          <w:instrText xml:space="preserve"> PAGEREF _Toc35347214 \h </w:instrText>
        </w:r>
        <w:r w:rsidR="001C6959">
          <w:rPr>
            <w:webHidden/>
          </w:rPr>
        </w:r>
        <w:r w:rsidR="001C6959">
          <w:rPr>
            <w:webHidden/>
          </w:rPr>
          <w:fldChar w:fldCharType="separate"/>
        </w:r>
        <w:r w:rsidR="001C6959">
          <w:rPr>
            <w:webHidden/>
          </w:rPr>
          <w:t>16</w:t>
        </w:r>
        <w:r w:rsidR="001C6959">
          <w:rPr>
            <w:webHidden/>
          </w:rPr>
          <w:fldChar w:fldCharType="end"/>
        </w:r>
      </w:hyperlink>
    </w:p>
    <w:p w14:paraId="1438A7E9" w14:textId="113817E2" w:rsidR="001C6959" w:rsidRDefault="00677F75">
      <w:pPr>
        <w:pStyle w:val="TOC2"/>
        <w:rPr>
          <w:rFonts w:eastAsiaTheme="minorEastAsia" w:cstheme="minorBidi"/>
          <w:sz w:val="22"/>
          <w:szCs w:val="22"/>
          <w:lang w:val="en-AU"/>
        </w:rPr>
      </w:pPr>
      <w:hyperlink w:anchor="_Toc35347215" w:history="1">
        <w:r w:rsidR="001C6959" w:rsidRPr="00737F18">
          <w:rPr>
            <w:rStyle w:val="Hyperlink"/>
          </w:rPr>
          <w:t>1.3</w:t>
        </w:r>
        <w:r w:rsidR="001C6959">
          <w:rPr>
            <w:rFonts w:eastAsiaTheme="minorEastAsia" w:cstheme="minorBidi"/>
            <w:sz w:val="22"/>
            <w:szCs w:val="22"/>
            <w:lang w:val="en-AU"/>
          </w:rPr>
          <w:tab/>
        </w:r>
        <w:r w:rsidR="001C6959" w:rsidRPr="00737F18">
          <w:rPr>
            <w:rStyle w:val="Hyperlink"/>
          </w:rPr>
          <w:t>Consumer impact summary</w:t>
        </w:r>
        <w:r w:rsidR="001C6959">
          <w:rPr>
            <w:webHidden/>
          </w:rPr>
          <w:tab/>
        </w:r>
        <w:r w:rsidR="001C6959">
          <w:rPr>
            <w:webHidden/>
          </w:rPr>
          <w:fldChar w:fldCharType="begin"/>
        </w:r>
        <w:r w:rsidR="001C6959">
          <w:rPr>
            <w:webHidden/>
          </w:rPr>
          <w:instrText xml:space="preserve"> PAGEREF _Toc35347215 \h </w:instrText>
        </w:r>
        <w:r w:rsidR="001C6959">
          <w:rPr>
            <w:webHidden/>
          </w:rPr>
        </w:r>
        <w:r w:rsidR="001C6959">
          <w:rPr>
            <w:webHidden/>
          </w:rPr>
          <w:fldChar w:fldCharType="separate"/>
        </w:r>
        <w:r w:rsidR="001C6959">
          <w:rPr>
            <w:webHidden/>
          </w:rPr>
          <w:t>17</w:t>
        </w:r>
        <w:r w:rsidR="001C6959">
          <w:rPr>
            <w:webHidden/>
          </w:rPr>
          <w:fldChar w:fldCharType="end"/>
        </w:r>
      </w:hyperlink>
    </w:p>
    <w:p w14:paraId="5C8E42FA" w14:textId="7BF7972B" w:rsidR="001C6959" w:rsidRDefault="00677F75">
      <w:pPr>
        <w:pStyle w:val="TOC3"/>
        <w:rPr>
          <w:rFonts w:eastAsiaTheme="minorEastAsia" w:cstheme="minorBidi"/>
          <w:i w:val="0"/>
          <w:sz w:val="22"/>
          <w:szCs w:val="22"/>
          <w:lang w:val="en-AU"/>
        </w:rPr>
      </w:pPr>
      <w:hyperlink w:anchor="_Toc35347216" w:history="1">
        <w:r w:rsidR="001C6959" w:rsidRPr="00737F18">
          <w:rPr>
            <w:rStyle w:val="Hyperlink"/>
          </w:rPr>
          <w:t>1.3.1</w:t>
        </w:r>
        <w:r w:rsidR="001C6959">
          <w:rPr>
            <w:rFonts w:eastAsiaTheme="minorEastAsia" w:cstheme="minorBidi"/>
            <w:i w:val="0"/>
            <w:sz w:val="22"/>
            <w:szCs w:val="22"/>
            <w:lang w:val="en-AU"/>
          </w:rPr>
          <w:tab/>
        </w:r>
        <w:r w:rsidR="001C6959" w:rsidRPr="00737F18">
          <w:rPr>
            <w:rStyle w:val="Hyperlink"/>
          </w:rPr>
          <w:t>Consumer representative framework</w:t>
        </w:r>
        <w:r w:rsidR="001C6959">
          <w:rPr>
            <w:webHidden/>
          </w:rPr>
          <w:tab/>
        </w:r>
        <w:r w:rsidR="001C6959">
          <w:rPr>
            <w:webHidden/>
          </w:rPr>
          <w:fldChar w:fldCharType="begin"/>
        </w:r>
        <w:r w:rsidR="001C6959">
          <w:rPr>
            <w:webHidden/>
          </w:rPr>
          <w:instrText xml:space="preserve"> PAGEREF _Toc35347216 \h </w:instrText>
        </w:r>
        <w:r w:rsidR="001C6959">
          <w:rPr>
            <w:webHidden/>
          </w:rPr>
        </w:r>
        <w:r w:rsidR="001C6959">
          <w:rPr>
            <w:webHidden/>
          </w:rPr>
          <w:fldChar w:fldCharType="separate"/>
        </w:r>
        <w:r w:rsidR="001C6959">
          <w:rPr>
            <w:webHidden/>
          </w:rPr>
          <w:t>19</w:t>
        </w:r>
        <w:r w:rsidR="001C6959">
          <w:rPr>
            <w:webHidden/>
          </w:rPr>
          <w:fldChar w:fldCharType="end"/>
        </w:r>
      </w:hyperlink>
    </w:p>
    <w:p w14:paraId="58AC4689" w14:textId="19AFD156" w:rsidR="001C6959" w:rsidRDefault="00677F75">
      <w:pPr>
        <w:pStyle w:val="TOC3"/>
        <w:rPr>
          <w:rFonts w:eastAsiaTheme="minorEastAsia" w:cstheme="minorBidi"/>
          <w:i w:val="0"/>
          <w:sz w:val="22"/>
          <w:szCs w:val="22"/>
          <w:lang w:val="en-AU"/>
        </w:rPr>
      </w:pPr>
      <w:hyperlink w:anchor="_Toc35347217" w:history="1">
        <w:r w:rsidR="001C6959" w:rsidRPr="00737F18">
          <w:rPr>
            <w:rStyle w:val="Hyperlink"/>
          </w:rPr>
          <w:t>1.3.2</w:t>
        </w:r>
        <w:r w:rsidR="001C6959">
          <w:rPr>
            <w:rFonts w:eastAsiaTheme="minorEastAsia" w:cstheme="minorBidi"/>
            <w:i w:val="0"/>
            <w:sz w:val="22"/>
            <w:szCs w:val="22"/>
            <w:lang w:val="en-AU"/>
          </w:rPr>
          <w:tab/>
        </w:r>
        <w:r w:rsidR="001C6959" w:rsidRPr="00737F18">
          <w:rPr>
            <w:rStyle w:val="Hyperlink"/>
          </w:rPr>
          <w:t>Ophthalmology outcomes</w:t>
        </w:r>
        <w:r w:rsidR="001C6959">
          <w:rPr>
            <w:webHidden/>
          </w:rPr>
          <w:tab/>
        </w:r>
        <w:r w:rsidR="001C6959">
          <w:rPr>
            <w:webHidden/>
          </w:rPr>
          <w:fldChar w:fldCharType="begin"/>
        </w:r>
        <w:r w:rsidR="001C6959">
          <w:rPr>
            <w:webHidden/>
          </w:rPr>
          <w:instrText xml:space="preserve"> PAGEREF _Toc35347217 \h </w:instrText>
        </w:r>
        <w:r w:rsidR="001C6959">
          <w:rPr>
            <w:webHidden/>
          </w:rPr>
        </w:r>
        <w:r w:rsidR="001C6959">
          <w:rPr>
            <w:webHidden/>
          </w:rPr>
          <w:fldChar w:fldCharType="separate"/>
        </w:r>
        <w:r w:rsidR="001C6959">
          <w:rPr>
            <w:webHidden/>
          </w:rPr>
          <w:t>20</w:t>
        </w:r>
        <w:r w:rsidR="001C6959">
          <w:rPr>
            <w:webHidden/>
          </w:rPr>
          <w:fldChar w:fldCharType="end"/>
        </w:r>
      </w:hyperlink>
    </w:p>
    <w:p w14:paraId="641AEE2D" w14:textId="26DF1DB7" w:rsidR="001C6959" w:rsidRDefault="00677F75">
      <w:pPr>
        <w:pStyle w:val="TOC1"/>
        <w:rPr>
          <w:rFonts w:eastAsiaTheme="minorEastAsia" w:cstheme="minorBidi"/>
          <w:b w:val="0"/>
          <w:sz w:val="22"/>
          <w:szCs w:val="22"/>
          <w:lang w:val="en-AU"/>
        </w:rPr>
      </w:pPr>
      <w:hyperlink w:anchor="_Toc35347218" w:history="1">
        <w:r w:rsidR="001C6959" w:rsidRPr="00737F18">
          <w:rPr>
            <w:rStyle w:val="Hyperlink"/>
          </w:rPr>
          <w:t>2</w:t>
        </w:r>
        <w:r w:rsidR="001C6959">
          <w:rPr>
            <w:rFonts w:eastAsiaTheme="minorEastAsia" w:cstheme="minorBidi"/>
            <w:b w:val="0"/>
            <w:sz w:val="22"/>
            <w:szCs w:val="22"/>
            <w:lang w:val="en-AU"/>
          </w:rPr>
          <w:tab/>
        </w:r>
        <w:r w:rsidR="001C6959" w:rsidRPr="00737F18">
          <w:rPr>
            <w:rStyle w:val="Hyperlink"/>
            <w:lang w:val="en-US"/>
          </w:rPr>
          <w:t>About the Medicare Benefits Schedule (MBS) Review</w:t>
        </w:r>
        <w:r w:rsidR="001C6959">
          <w:rPr>
            <w:webHidden/>
          </w:rPr>
          <w:tab/>
        </w:r>
        <w:r w:rsidR="001C6959">
          <w:rPr>
            <w:webHidden/>
          </w:rPr>
          <w:fldChar w:fldCharType="begin"/>
        </w:r>
        <w:r w:rsidR="001C6959">
          <w:rPr>
            <w:webHidden/>
          </w:rPr>
          <w:instrText xml:space="preserve"> PAGEREF _Toc35347218 \h </w:instrText>
        </w:r>
        <w:r w:rsidR="001C6959">
          <w:rPr>
            <w:webHidden/>
          </w:rPr>
        </w:r>
        <w:r w:rsidR="001C6959">
          <w:rPr>
            <w:webHidden/>
          </w:rPr>
          <w:fldChar w:fldCharType="separate"/>
        </w:r>
        <w:r w:rsidR="001C6959">
          <w:rPr>
            <w:webHidden/>
          </w:rPr>
          <w:t>22</w:t>
        </w:r>
        <w:r w:rsidR="001C6959">
          <w:rPr>
            <w:webHidden/>
          </w:rPr>
          <w:fldChar w:fldCharType="end"/>
        </w:r>
      </w:hyperlink>
    </w:p>
    <w:p w14:paraId="78303093" w14:textId="52A43ABF" w:rsidR="001C6959" w:rsidRDefault="00677F75">
      <w:pPr>
        <w:pStyle w:val="TOC2"/>
        <w:rPr>
          <w:rFonts w:eastAsiaTheme="minorEastAsia" w:cstheme="minorBidi"/>
          <w:sz w:val="22"/>
          <w:szCs w:val="22"/>
          <w:lang w:val="en-AU"/>
        </w:rPr>
      </w:pPr>
      <w:hyperlink w:anchor="_Toc35347219" w:history="1">
        <w:r w:rsidR="001C6959" w:rsidRPr="00737F18">
          <w:rPr>
            <w:rStyle w:val="Hyperlink"/>
          </w:rPr>
          <w:t>2.1</w:t>
        </w:r>
        <w:r w:rsidR="001C6959">
          <w:rPr>
            <w:rFonts w:eastAsiaTheme="minorEastAsia" w:cstheme="minorBidi"/>
            <w:sz w:val="22"/>
            <w:szCs w:val="22"/>
            <w:lang w:val="en-AU"/>
          </w:rPr>
          <w:tab/>
        </w:r>
        <w:r w:rsidR="001C6959" w:rsidRPr="00737F18">
          <w:rPr>
            <w:rStyle w:val="Hyperlink"/>
            <w:lang w:val="en-US"/>
          </w:rPr>
          <w:t>Medicare and the MBS</w:t>
        </w:r>
        <w:r w:rsidR="001C6959">
          <w:rPr>
            <w:webHidden/>
          </w:rPr>
          <w:tab/>
        </w:r>
        <w:r w:rsidR="001C6959">
          <w:rPr>
            <w:webHidden/>
          </w:rPr>
          <w:fldChar w:fldCharType="begin"/>
        </w:r>
        <w:r w:rsidR="001C6959">
          <w:rPr>
            <w:webHidden/>
          </w:rPr>
          <w:instrText xml:space="preserve"> PAGEREF _Toc35347219 \h </w:instrText>
        </w:r>
        <w:r w:rsidR="001C6959">
          <w:rPr>
            <w:webHidden/>
          </w:rPr>
        </w:r>
        <w:r w:rsidR="001C6959">
          <w:rPr>
            <w:webHidden/>
          </w:rPr>
          <w:fldChar w:fldCharType="separate"/>
        </w:r>
        <w:r w:rsidR="001C6959">
          <w:rPr>
            <w:webHidden/>
          </w:rPr>
          <w:t>22</w:t>
        </w:r>
        <w:r w:rsidR="001C6959">
          <w:rPr>
            <w:webHidden/>
          </w:rPr>
          <w:fldChar w:fldCharType="end"/>
        </w:r>
      </w:hyperlink>
    </w:p>
    <w:p w14:paraId="6BC47DBF" w14:textId="09FC94F1" w:rsidR="001C6959" w:rsidRDefault="00677F75">
      <w:pPr>
        <w:pStyle w:val="TOC2"/>
        <w:rPr>
          <w:rFonts w:eastAsiaTheme="minorEastAsia" w:cstheme="minorBidi"/>
          <w:sz w:val="22"/>
          <w:szCs w:val="22"/>
          <w:lang w:val="en-AU"/>
        </w:rPr>
      </w:pPr>
      <w:hyperlink w:anchor="_Toc35347220" w:history="1">
        <w:r w:rsidR="001C6959" w:rsidRPr="00737F18">
          <w:rPr>
            <w:rStyle w:val="Hyperlink"/>
          </w:rPr>
          <w:t>2.2</w:t>
        </w:r>
        <w:r w:rsidR="001C6959">
          <w:rPr>
            <w:rFonts w:eastAsiaTheme="minorEastAsia" w:cstheme="minorBidi"/>
            <w:sz w:val="22"/>
            <w:szCs w:val="22"/>
            <w:lang w:val="en-AU"/>
          </w:rPr>
          <w:tab/>
        </w:r>
        <w:r w:rsidR="001C6959" w:rsidRPr="00737F18">
          <w:rPr>
            <w:rStyle w:val="Hyperlink"/>
            <w:lang w:val="en-US"/>
          </w:rPr>
          <w:t>What is the MBS?</w:t>
        </w:r>
        <w:r w:rsidR="001C6959">
          <w:rPr>
            <w:webHidden/>
          </w:rPr>
          <w:tab/>
        </w:r>
        <w:r w:rsidR="001C6959">
          <w:rPr>
            <w:webHidden/>
          </w:rPr>
          <w:fldChar w:fldCharType="begin"/>
        </w:r>
        <w:r w:rsidR="001C6959">
          <w:rPr>
            <w:webHidden/>
          </w:rPr>
          <w:instrText xml:space="preserve"> PAGEREF _Toc35347220 \h </w:instrText>
        </w:r>
        <w:r w:rsidR="001C6959">
          <w:rPr>
            <w:webHidden/>
          </w:rPr>
        </w:r>
        <w:r w:rsidR="001C6959">
          <w:rPr>
            <w:webHidden/>
          </w:rPr>
          <w:fldChar w:fldCharType="separate"/>
        </w:r>
        <w:r w:rsidR="001C6959">
          <w:rPr>
            <w:webHidden/>
          </w:rPr>
          <w:t>22</w:t>
        </w:r>
        <w:r w:rsidR="001C6959">
          <w:rPr>
            <w:webHidden/>
          </w:rPr>
          <w:fldChar w:fldCharType="end"/>
        </w:r>
      </w:hyperlink>
    </w:p>
    <w:p w14:paraId="6C18FC73" w14:textId="796C534E" w:rsidR="001C6959" w:rsidRDefault="00677F75">
      <w:pPr>
        <w:pStyle w:val="TOC2"/>
        <w:rPr>
          <w:rFonts w:eastAsiaTheme="minorEastAsia" w:cstheme="minorBidi"/>
          <w:sz w:val="22"/>
          <w:szCs w:val="22"/>
          <w:lang w:val="en-AU"/>
        </w:rPr>
      </w:pPr>
      <w:hyperlink w:anchor="_Toc35347221" w:history="1">
        <w:r w:rsidR="001C6959" w:rsidRPr="00737F18">
          <w:rPr>
            <w:rStyle w:val="Hyperlink"/>
          </w:rPr>
          <w:t>2.3</w:t>
        </w:r>
        <w:r w:rsidR="001C6959">
          <w:rPr>
            <w:rFonts w:eastAsiaTheme="minorEastAsia" w:cstheme="minorBidi"/>
            <w:sz w:val="22"/>
            <w:szCs w:val="22"/>
            <w:lang w:val="en-AU"/>
          </w:rPr>
          <w:tab/>
        </w:r>
        <w:r w:rsidR="001C6959" w:rsidRPr="00737F18">
          <w:rPr>
            <w:rStyle w:val="Hyperlink"/>
            <w:lang w:val="en-US"/>
          </w:rPr>
          <w:t>What is the MBS Review Taskforce?</w:t>
        </w:r>
        <w:r w:rsidR="001C6959">
          <w:rPr>
            <w:webHidden/>
          </w:rPr>
          <w:tab/>
        </w:r>
        <w:r w:rsidR="001C6959">
          <w:rPr>
            <w:webHidden/>
          </w:rPr>
          <w:fldChar w:fldCharType="begin"/>
        </w:r>
        <w:r w:rsidR="001C6959">
          <w:rPr>
            <w:webHidden/>
          </w:rPr>
          <w:instrText xml:space="preserve"> PAGEREF _Toc35347221 \h </w:instrText>
        </w:r>
        <w:r w:rsidR="001C6959">
          <w:rPr>
            <w:webHidden/>
          </w:rPr>
        </w:r>
        <w:r w:rsidR="001C6959">
          <w:rPr>
            <w:webHidden/>
          </w:rPr>
          <w:fldChar w:fldCharType="separate"/>
        </w:r>
        <w:r w:rsidR="001C6959">
          <w:rPr>
            <w:webHidden/>
          </w:rPr>
          <w:t>22</w:t>
        </w:r>
        <w:r w:rsidR="001C6959">
          <w:rPr>
            <w:webHidden/>
          </w:rPr>
          <w:fldChar w:fldCharType="end"/>
        </w:r>
      </w:hyperlink>
    </w:p>
    <w:p w14:paraId="1599AF8E" w14:textId="59233FBD" w:rsidR="001C6959" w:rsidRDefault="00677F75">
      <w:pPr>
        <w:pStyle w:val="TOC3"/>
        <w:rPr>
          <w:rFonts w:eastAsiaTheme="minorEastAsia" w:cstheme="minorBidi"/>
          <w:i w:val="0"/>
          <w:sz w:val="22"/>
          <w:szCs w:val="22"/>
          <w:lang w:val="en-AU"/>
        </w:rPr>
      </w:pPr>
      <w:hyperlink w:anchor="_Toc35347222" w:history="1">
        <w:r w:rsidR="001C6959" w:rsidRPr="00737F18">
          <w:rPr>
            <w:rStyle w:val="Hyperlink"/>
            <w:lang w:val="en-US"/>
          </w:rPr>
          <w:t>2.3.1</w:t>
        </w:r>
        <w:r w:rsidR="001C6959">
          <w:rPr>
            <w:rFonts w:eastAsiaTheme="minorEastAsia" w:cstheme="minorBidi"/>
            <w:i w:val="0"/>
            <w:sz w:val="22"/>
            <w:szCs w:val="22"/>
            <w:lang w:val="en-AU"/>
          </w:rPr>
          <w:tab/>
        </w:r>
        <w:r w:rsidR="001C6959" w:rsidRPr="00737F18">
          <w:rPr>
            <w:rStyle w:val="Hyperlink"/>
            <w:lang w:val="en-US"/>
          </w:rPr>
          <w:t>What are the goals of the Taskforce?</w:t>
        </w:r>
        <w:r w:rsidR="001C6959">
          <w:rPr>
            <w:webHidden/>
          </w:rPr>
          <w:tab/>
        </w:r>
        <w:r w:rsidR="001C6959">
          <w:rPr>
            <w:webHidden/>
          </w:rPr>
          <w:fldChar w:fldCharType="begin"/>
        </w:r>
        <w:r w:rsidR="001C6959">
          <w:rPr>
            <w:webHidden/>
          </w:rPr>
          <w:instrText xml:space="preserve"> PAGEREF _Toc35347222 \h </w:instrText>
        </w:r>
        <w:r w:rsidR="001C6959">
          <w:rPr>
            <w:webHidden/>
          </w:rPr>
        </w:r>
        <w:r w:rsidR="001C6959">
          <w:rPr>
            <w:webHidden/>
          </w:rPr>
          <w:fldChar w:fldCharType="separate"/>
        </w:r>
        <w:r w:rsidR="001C6959">
          <w:rPr>
            <w:webHidden/>
          </w:rPr>
          <w:t>22</w:t>
        </w:r>
        <w:r w:rsidR="001C6959">
          <w:rPr>
            <w:webHidden/>
          </w:rPr>
          <w:fldChar w:fldCharType="end"/>
        </w:r>
      </w:hyperlink>
    </w:p>
    <w:p w14:paraId="43F0A417" w14:textId="1AAC7D94" w:rsidR="001C6959" w:rsidRDefault="00677F75">
      <w:pPr>
        <w:pStyle w:val="TOC2"/>
        <w:rPr>
          <w:rFonts w:eastAsiaTheme="minorEastAsia" w:cstheme="minorBidi"/>
          <w:sz w:val="22"/>
          <w:szCs w:val="22"/>
          <w:lang w:val="en-AU"/>
        </w:rPr>
      </w:pPr>
      <w:hyperlink w:anchor="_Toc35347223" w:history="1">
        <w:r w:rsidR="001C6959" w:rsidRPr="00737F18">
          <w:rPr>
            <w:rStyle w:val="Hyperlink"/>
          </w:rPr>
          <w:t>2.4</w:t>
        </w:r>
        <w:r w:rsidR="001C6959">
          <w:rPr>
            <w:rFonts w:eastAsiaTheme="minorEastAsia" w:cstheme="minorBidi"/>
            <w:sz w:val="22"/>
            <w:szCs w:val="22"/>
            <w:lang w:val="en-AU"/>
          </w:rPr>
          <w:tab/>
        </w:r>
        <w:r w:rsidR="001C6959" w:rsidRPr="00737F18">
          <w:rPr>
            <w:rStyle w:val="Hyperlink"/>
            <w:lang w:val="en-US"/>
          </w:rPr>
          <w:t>The Taskforce’s approach</w:t>
        </w:r>
        <w:r w:rsidR="001C6959">
          <w:rPr>
            <w:webHidden/>
          </w:rPr>
          <w:tab/>
        </w:r>
        <w:r w:rsidR="001C6959">
          <w:rPr>
            <w:webHidden/>
          </w:rPr>
          <w:fldChar w:fldCharType="begin"/>
        </w:r>
        <w:r w:rsidR="001C6959">
          <w:rPr>
            <w:webHidden/>
          </w:rPr>
          <w:instrText xml:space="preserve"> PAGEREF _Toc35347223 \h </w:instrText>
        </w:r>
        <w:r w:rsidR="001C6959">
          <w:rPr>
            <w:webHidden/>
          </w:rPr>
        </w:r>
        <w:r w:rsidR="001C6959">
          <w:rPr>
            <w:webHidden/>
          </w:rPr>
          <w:fldChar w:fldCharType="separate"/>
        </w:r>
        <w:r w:rsidR="001C6959">
          <w:rPr>
            <w:webHidden/>
          </w:rPr>
          <w:t>23</w:t>
        </w:r>
        <w:r w:rsidR="001C6959">
          <w:rPr>
            <w:webHidden/>
          </w:rPr>
          <w:fldChar w:fldCharType="end"/>
        </w:r>
      </w:hyperlink>
    </w:p>
    <w:p w14:paraId="01D3E777" w14:textId="3126DAF7" w:rsidR="001C6959" w:rsidRDefault="00677F75">
      <w:pPr>
        <w:pStyle w:val="TOC1"/>
        <w:rPr>
          <w:rFonts w:eastAsiaTheme="minorEastAsia" w:cstheme="minorBidi"/>
          <w:b w:val="0"/>
          <w:sz w:val="22"/>
          <w:szCs w:val="22"/>
          <w:lang w:val="en-AU"/>
        </w:rPr>
      </w:pPr>
      <w:hyperlink w:anchor="_Toc35347224" w:history="1">
        <w:r w:rsidR="001C6959" w:rsidRPr="00737F18">
          <w:rPr>
            <w:rStyle w:val="Hyperlink"/>
          </w:rPr>
          <w:t>3</w:t>
        </w:r>
        <w:r w:rsidR="001C6959">
          <w:rPr>
            <w:rFonts w:eastAsiaTheme="minorEastAsia" w:cstheme="minorBidi"/>
            <w:b w:val="0"/>
            <w:sz w:val="22"/>
            <w:szCs w:val="22"/>
            <w:lang w:val="en-AU"/>
          </w:rPr>
          <w:tab/>
        </w:r>
        <w:r w:rsidR="001C6959" w:rsidRPr="00737F18">
          <w:rPr>
            <w:rStyle w:val="Hyperlink"/>
            <w:lang w:val="en-US"/>
          </w:rPr>
          <w:t>About the Ophthalmology Clinical Committee</w:t>
        </w:r>
        <w:r w:rsidR="001C6959">
          <w:rPr>
            <w:webHidden/>
          </w:rPr>
          <w:tab/>
        </w:r>
        <w:r w:rsidR="001C6959">
          <w:rPr>
            <w:webHidden/>
          </w:rPr>
          <w:fldChar w:fldCharType="begin"/>
        </w:r>
        <w:r w:rsidR="001C6959">
          <w:rPr>
            <w:webHidden/>
          </w:rPr>
          <w:instrText xml:space="preserve"> PAGEREF _Toc35347224 \h </w:instrText>
        </w:r>
        <w:r w:rsidR="001C6959">
          <w:rPr>
            <w:webHidden/>
          </w:rPr>
        </w:r>
        <w:r w:rsidR="001C6959">
          <w:rPr>
            <w:webHidden/>
          </w:rPr>
          <w:fldChar w:fldCharType="separate"/>
        </w:r>
        <w:r w:rsidR="001C6959">
          <w:rPr>
            <w:webHidden/>
          </w:rPr>
          <w:t>27</w:t>
        </w:r>
        <w:r w:rsidR="001C6959">
          <w:rPr>
            <w:webHidden/>
          </w:rPr>
          <w:fldChar w:fldCharType="end"/>
        </w:r>
      </w:hyperlink>
    </w:p>
    <w:p w14:paraId="3963834B" w14:textId="4B7EF3E1" w:rsidR="001C6959" w:rsidRDefault="00677F75">
      <w:pPr>
        <w:pStyle w:val="TOC2"/>
        <w:rPr>
          <w:rFonts w:eastAsiaTheme="minorEastAsia" w:cstheme="minorBidi"/>
          <w:sz w:val="22"/>
          <w:szCs w:val="22"/>
          <w:lang w:val="en-AU"/>
        </w:rPr>
      </w:pPr>
      <w:hyperlink w:anchor="_Toc35347225" w:history="1">
        <w:r w:rsidR="001C6959" w:rsidRPr="00737F18">
          <w:rPr>
            <w:rStyle w:val="Hyperlink"/>
          </w:rPr>
          <w:t>3.1</w:t>
        </w:r>
        <w:r w:rsidR="001C6959">
          <w:rPr>
            <w:rFonts w:eastAsiaTheme="minorEastAsia" w:cstheme="minorBidi"/>
            <w:sz w:val="22"/>
            <w:szCs w:val="22"/>
            <w:lang w:val="en-AU"/>
          </w:rPr>
          <w:tab/>
        </w:r>
        <w:r w:rsidR="001C6959" w:rsidRPr="00737F18">
          <w:rPr>
            <w:rStyle w:val="Hyperlink"/>
            <w:lang w:val="en-US"/>
          </w:rPr>
          <w:t>Ophthalmology Clinical Committee members</w:t>
        </w:r>
        <w:r w:rsidR="001C6959">
          <w:rPr>
            <w:webHidden/>
          </w:rPr>
          <w:tab/>
        </w:r>
        <w:r w:rsidR="001C6959">
          <w:rPr>
            <w:webHidden/>
          </w:rPr>
          <w:fldChar w:fldCharType="begin"/>
        </w:r>
        <w:r w:rsidR="001C6959">
          <w:rPr>
            <w:webHidden/>
          </w:rPr>
          <w:instrText xml:space="preserve"> PAGEREF _Toc35347225 \h </w:instrText>
        </w:r>
        <w:r w:rsidR="001C6959">
          <w:rPr>
            <w:webHidden/>
          </w:rPr>
        </w:r>
        <w:r w:rsidR="001C6959">
          <w:rPr>
            <w:webHidden/>
          </w:rPr>
          <w:fldChar w:fldCharType="separate"/>
        </w:r>
        <w:r w:rsidR="001C6959">
          <w:rPr>
            <w:webHidden/>
          </w:rPr>
          <w:t>27</w:t>
        </w:r>
        <w:r w:rsidR="001C6959">
          <w:rPr>
            <w:webHidden/>
          </w:rPr>
          <w:fldChar w:fldCharType="end"/>
        </w:r>
      </w:hyperlink>
    </w:p>
    <w:p w14:paraId="39B09D87" w14:textId="3398C111" w:rsidR="001C6959" w:rsidRDefault="00677F75">
      <w:pPr>
        <w:pStyle w:val="TOC2"/>
        <w:rPr>
          <w:rFonts w:eastAsiaTheme="minorEastAsia" w:cstheme="minorBidi"/>
          <w:sz w:val="22"/>
          <w:szCs w:val="22"/>
          <w:lang w:val="en-AU"/>
        </w:rPr>
      </w:pPr>
      <w:hyperlink w:anchor="_Toc35347226" w:history="1">
        <w:r w:rsidR="001C6959" w:rsidRPr="00737F18">
          <w:rPr>
            <w:rStyle w:val="Hyperlink"/>
          </w:rPr>
          <w:t>3.2</w:t>
        </w:r>
        <w:r w:rsidR="001C6959">
          <w:rPr>
            <w:rFonts w:eastAsiaTheme="minorEastAsia" w:cstheme="minorBidi"/>
            <w:sz w:val="22"/>
            <w:szCs w:val="22"/>
            <w:lang w:val="en-AU"/>
          </w:rPr>
          <w:tab/>
        </w:r>
        <w:r w:rsidR="001C6959" w:rsidRPr="00737F18">
          <w:rPr>
            <w:rStyle w:val="Hyperlink"/>
            <w:lang w:val="en-US"/>
          </w:rPr>
          <w:t>Conflicts of interest</w:t>
        </w:r>
        <w:r w:rsidR="001C6959">
          <w:rPr>
            <w:webHidden/>
          </w:rPr>
          <w:tab/>
        </w:r>
        <w:r w:rsidR="001C6959">
          <w:rPr>
            <w:webHidden/>
          </w:rPr>
          <w:fldChar w:fldCharType="begin"/>
        </w:r>
        <w:r w:rsidR="001C6959">
          <w:rPr>
            <w:webHidden/>
          </w:rPr>
          <w:instrText xml:space="preserve"> PAGEREF _Toc35347226 \h </w:instrText>
        </w:r>
        <w:r w:rsidR="001C6959">
          <w:rPr>
            <w:webHidden/>
          </w:rPr>
        </w:r>
        <w:r w:rsidR="001C6959">
          <w:rPr>
            <w:webHidden/>
          </w:rPr>
          <w:fldChar w:fldCharType="separate"/>
        </w:r>
        <w:r w:rsidR="001C6959">
          <w:rPr>
            <w:webHidden/>
          </w:rPr>
          <w:t>29</w:t>
        </w:r>
        <w:r w:rsidR="001C6959">
          <w:rPr>
            <w:webHidden/>
          </w:rPr>
          <w:fldChar w:fldCharType="end"/>
        </w:r>
      </w:hyperlink>
    </w:p>
    <w:p w14:paraId="4798273F" w14:textId="7DC94991" w:rsidR="001C6959" w:rsidRDefault="00677F75">
      <w:pPr>
        <w:pStyle w:val="TOC2"/>
        <w:rPr>
          <w:rFonts w:eastAsiaTheme="minorEastAsia" w:cstheme="minorBidi"/>
          <w:sz w:val="22"/>
          <w:szCs w:val="22"/>
          <w:lang w:val="en-AU"/>
        </w:rPr>
      </w:pPr>
      <w:hyperlink w:anchor="_Toc35347227" w:history="1">
        <w:r w:rsidR="001C6959" w:rsidRPr="00737F18">
          <w:rPr>
            <w:rStyle w:val="Hyperlink"/>
          </w:rPr>
          <w:t>3.3</w:t>
        </w:r>
        <w:r w:rsidR="001C6959">
          <w:rPr>
            <w:rFonts w:eastAsiaTheme="minorEastAsia" w:cstheme="minorBidi"/>
            <w:sz w:val="22"/>
            <w:szCs w:val="22"/>
            <w:lang w:val="en-AU"/>
          </w:rPr>
          <w:tab/>
        </w:r>
        <w:r w:rsidR="001C6959" w:rsidRPr="00737F18">
          <w:rPr>
            <w:rStyle w:val="Hyperlink"/>
            <w:lang w:val="en-US"/>
          </w:rPr>
          <w:t>Areas of responsibility of the Committee</w:t>
        </w:r>
        <w:r w:rsidR="001C6959">
          <w:rPr>
            <w:webHidden/>
          </w:rPr>
          <w:tab/>
        </w:r>
        <w:r w:rsidR="001C6959">
          <w:rPr>
            <w:webHidden/>
          </w:rPr>
          <w:fldChar w:fldCharType="begin"/>
        </w:r>
        <w:r w:rsidR="001C6959">
          <w:rPr>
            <w:webHidden/>
          </w:rPr>
          <w:instrText xml:space="preserve"> PAGEREF _Toc35347227 \h </w:instrText>
        </w:r>
        <w:r w:rsidR="001C6959">
          <w:rPr>
            <w:webHidden/>
          </w:rPr>
        </w:r>
        <w:r w:rsidR="001C6959">
          <w:rPr>
            <w:webHidden/>
          </w:rPr>
          <w:fldChar w:fldCharType="separate"/>
        </w:r>
        <w:r w:rsidR="001C6959">
          <w:rPr>
            <w:webHidden/>
          </w:rPr>
          <w:t>29</w:t>
        </w:r>
        <w:r w:rsidR="001C6959">
          <w:rPr>
            <w:webHidden/>
          </w:rPr>
          <w:fldChar w:fldCharType="end"/>
        </w:r>
      </w:hyperlink>
    </w:p>
    <w:p w14:paraId="3326889C" w14:textId="71EA5CD5" w:rsidR="001C6959" w:rsidRDefault="00677F75">
      <w:pPr>
        <w:pStyle w:val="TOC2"/>
        <w:rPr>
          <w:rFonts w:eastAsiaTheme="minorEastAsia" w:cstheme="minorBidi"/>
          <w:sz w:val="22"/>
          <w:szCs w:val="22"/>
          <w:lang w:val="en-AU"/>
        </w:rPr>
      </w:pPr>
      <w:hyperlink w:anchor="_Toc35347228" w:history="1">
        <w:r w:rsidR="001C6959" w:rsidRPr="00737F18">
          <w:rPr>
            <w:rStyle w:val="Hyperlink"/>
          </w:rPr>
          <w:t>3.4</w:t>
        </w:r>
        <w:r w:rsidR="001C6959">
          <w:rPr>
            <w:rFonts w:eastAsiaTheme="minorEastAsia" w:cstheme="minorBidi"/>
            <w:sz w:val="22"/>
            <w:szCs w:val="22"/>
            <w:lang w:val="en-AU"/>
          </w:rPr>
          <w:tab/>
        </w:r>
        <w:r w:rsidR="001C6959" w:rsidRPr="00737F18">
          <w:rPr>
            <w:rStyle w:val="Hyperlink"/>
          </w:rPr>
          <w:t xml:space="preserve">Summary </w:t>
        </w:r>
        <w:r w:rsidR="001C6959" w:rsidRPr="00737F18">
          <w:rPr>
            <w:rStyle w:val="Hyperlink"/>
            <w:lang w:val="en-US"/>
          </w:rPr>
          <w:t>of</w:t>
        </w:r>
        <w:r w:rsidR="001C6959" w:rsidRPr="00737F18">
          <w:rPr>
            <w:rStyle w:val="Hyperlink"/>
          </w:rPr>
          <w:t xml:space="preserve"> the Committee’s review approach</w:t>
        </w:r>
        <w:r w:rsidR="001C6959">
          <w:rPr>
            <w:webHidden/>
          </w:rPr>
          <w:tab/>
        </w:r>
        <w:r w:rsidR="001C6959">
          <w:rPr>
            <w:webHidden/>
          </w:rPr>
          <w:fldChar w:fldCharType="begin"/>
        </w:r>
        <w:r w:rsidR="001C6959">
          <w:rPr>
            <w:webHidden/>
          </w:rPr>
          <w:instrText xml:space="preserve"> PAGEREF _Toc35347228 \h </w:instrText>
        </w:r>
        <w:r w:rsidR="001C6959">
          <w:rPr>
            <w:webHidden/>
          </w:rPr>
        </w:r>
        <w:r w:rsidR="001C6959">
          <w:rPr>
            <w:webHidden/>
          </w:rPr>
          <w:fldChar w:fldCharType="separate"/>
        </w:r>
        <w:r w:rsidR="001C6959">
          <w:rPr>
            <w:webHidden/>
          </w:rPr>
          <w:t>30</w:t>
        </w:r>
        <w:r w:rsidR="001C6959">
          <w:rPr>
            <w:webHidden/>
          </w:rPr>
          <w:fldChar w:fldCharType="end"/>
        </w:r>
      </w:hyperlink>
    </w:p>
    <w:p w14:paraId="685391A6" w14:textId="3E257965" w:rsidR="001C6959" w:rsidRDefault="00677F75">
      <w:pPr>
        <w:pStyle w:val="TOC1"/>
        <w:rPr>
          <w:rFonts w:eastAsiaTheme="minorEastAsia" w:cstheme="minorBidi"/>
          <w:b w:val="0"/>
          <w:sz w:val="22"/>
          <w:szCs w:val="22"/>
          <w:lang w:val="en-AU"/>
        </w:rPr>
      </w:pPr>
      <w:hyperlink w:anchor="_Toc35347229" w:history="1">
        <w:r w:rsidR="001C6959" w:rsidRPr="00737F18">
          <w:rPr>
            <w:rStyle w:val="Hyperlink"/>
          </w:rPr>
          <w:t>4</w:t>
        </w:r>
        <w:r w:rsidR="001C6959">
          <w:rPr>
            <w:rFonts w:eastAsiaTheme="minorEastAsia" w:cstheme="minorBidi"/>
            <w:b w:val="0"/>
            <w:sz w:val="22"/>
            <w:szCs w:val="22"/>
            <w:lang w:val="en-AU"/>
          </w:rPr>
          <w:tab/>
        </w:r>
        <w:r w:rsidR="001C6959" w:rsidRPr="00737F18">
          <w:rPr>
            <w:rStyle w:val="Hyperlink"/>
            <w:lang w:val="en-US"/>
          </w:rPr>
          <w:t>Retinal electrophysiology recommendations</w:t>
        </w:r>
        <w:r w:rsidR="001C6959">
          <w:rPr>
            <w:webHidden/>
          </w:rPr>
          <w:tab/>
        </w:r>
        <w:r w:rsidR="001C6959">
          <w:rPr>
            <w:webHidden/>
          </w:rPr>
          <w:fldChar w:fldCharType="begin"/>
        </w:r>
        <w:r w:rsidR="001C6959">
          <w:rPr>
            <w:webHidden/>
          </w:rPr>
          <w:instrText xml:space="preserve"> PAGEREF _Toc35347229 \h </w:instrText>
        </w:r>
        <w:r w:rsidR="001C6959">
          <w:rPr>
            <w:webHidden/>
          </w:rPr>
        </w:r>
        <w:r w:rsidR="001C6959">
          <w:rPr>
            <w:webHidden/>
          </w:rPr>
          <w:fldChar w:fldCharType="separate"/>
        </w:r>
        <w:r w:rsidR="001C6959">
          <w:rPr>
            <w:webHidden/>
          </w:rPr>
          <w:t>31</w:t>
        </w:r>
        <w:r w:rsidR="001C6959">
          <w:rPr>
            <w:webHidden/>
          </w:rPr>
          <w:fldChar w:fldCharType="end"/>
        </w:r>
      </w:hyperlink>
    </w:p>
    <w:p w14:paraId="69078A5C" w14:textId="5677F6F8" w:rsidR="001C6959" w:rsidRDefault="00677F75">
      <w:pPr>
        <w:pStyle w:val="TOC2"/>
        <w:rPr>
          <w:rFonts w:eastAsiaTheme="minorEastAsia" w:cstheme="minorBidi"/>
          <w:sz w:val="22"/>
          <w:szCs w:val="22"/>
          <w:lang w:val="en-AU"/>
        </w:rPr>
      </w:pPr>
      <w:hyperlink w:anchor="_Toc35347230" w:history="1">
        <w:r w:rsidR="001C6959" w:rsidRPr="00737F18">
          <w:rPr>
            <w:rStyle w:val="Hyperlink"/>
          </w:rPr>
          <w:t>4.1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_Toc35347230 \h </w:instrText>
        </w:r>
        <w:r w:rsidR="001C6959">
          <w:rPr>
            <w:webHidden/>
          </w:rPr>
        </w:r>
        <w:r w:rsidR="001C6959">
          <w:rPr>
            <w:webHidden/>
          </w:rPr>
          <w:fldChar w:fldCharType="separate"/>
        </w:r>
        <w:r w:rsidR="001C6959">
          <w:rPr>
            <w:webHidden/>
          </w:rPr>
          <w:t>31</w:t>
        </w:r>
        <w:r w:rsidR="001C6959">
          <w:rPr>
            <w:webHidden/>
          </w:rPr>
          <w:fldChar w:fldCharType="end"/>
        </w:r>
      </w:hyperlink>
    </w:p>
    <w:p w14:paraId="6153CB54" w14:textId="679EBF5D" w:rsidR="001C6959" w:rsidRDefault="00677F75">
      <w:pPr>
        <w:pStyle w:val="TOC2"/>
        <w:rPr>
          <w:rFonts w:eastAsiaTheme="minorEastAsia" w:cstheme="minorBidi"/>
          <w:sz w:val="22"/>
          <w:szCs w:val="22"/>
          <w:lang w:val="en-AU"/>
        </w:rPr>
      </w:pPr>
      <w:hyperlink w:anchor="_Toc35347231" w:history="1">
        <w:r w:rsidR="001C6959" w:rsidRPr="00737F18">
          <w:rPr>
            <w:rStyle w:val="Hyperlink"/>
          </w:rPr>
          <w:t>4.2</w:t>
        </w:r>
        <w:r w:rsidR="001C6959">
          <w:rPr>
            <w:rFonts w:eastAsiaTheme="minorEastAsia" w:cstheme="minorBidi"/>
            <w:sz w:val="22"/>
            <w:szCs w:val="22"/>
            <w:lang w:val="en-AU"/>
          </w:rPr>
          <w:tab/>
        </w:r>
        <w:r w:rsidR="001C6959" w:rsidRPr="00737F18">
          <w:rPr>
            <w:rStyle w:val="Hyperlink"/>
            <w:lang w:val="en-US"/>
          </w:rPr>
          <w:t>Electroretinography, electro-oculography and dark adaptometry</w:t>
        </w:r>
        <w:r w:rsidR="001C6959">
          <w:rPr>
            <w:webHidden/>
          </w:rPr>
          <w:tab/>
        </w:r>
        <w:r w:rsidR="001C6959">
          <w:rPr>
            <w:webHidden/>
          </w:rPr>
          <w:fldChar w:fldCharType="begin"/>
        </w:r>
        <w:r w:rsidR="001C6959">
          <w:rPr>
            <w:webHidden/>
          </w:rPr>
          <w:instrText xml:space="preserve"> PAGEREF _Toc35347231 \h </w:instrText>
        </w:r>
        <w:r w:rsidR="001C6959">
          <w:rPr>
            <w:webHidden/>
          </w:rPr>
        </w:r>
        <w:r w:rsidR="001C6959">
          <w:rPr>
            <w:webHidden/>
          </w:rPr>
          <w:fldChar w:fldCharType="separate"/>
        </w:r>
        <w:r w:rsidR="001C6959">
          <w:rPr>
            <w:webHidden/>
          </w:rPr>
          <w:t>31</w:t>
        </w:r>
        <w:r w:rsidR="001C6959">
          <w:rPr>
            <w:webHidden/>
          </w:rPr>
          <w:fldChar w:fldCharType="end"/>
        </w:r>
      </w:hyperlink>
    </w:p>
    <w:p w14:paraId="66AC4289" w14:textId="026D2D7A" w:rsidR="001C6959" w:rsidRDefault="00677F75">
      <w:pPr>
        <w:pStyle w:val="TOC3"/>
        <w:rPr>
          <w:rFonts w:eastAsiaTheme="minorEastAsia" w:cstheme="minorBidi"/>
          <w:i w:val="0"/>
          <w:sz w:val="22"/>
          <w:szCs w:val="22"/>
          <w:lang w:val="en-AU"/>
        </w:rPr>
      </w:pPr>
      <w:hyperlink w:anchor="_Toc35347232" w:history="1">
        <w:r w:rsidR="001C6959" w:rsidRPr="00737F18">
          <w:rPr>
            <w:rStyle w:val="Hyperlink"/>
          </w:rPr>
          <w:t>4.2.1</w:t>
        </w:r>
        <w:r w:rsidR="001C6959">
          <w:rPr>
            <w:rFonts w:eastAsiaTheme="minorEastAsia" w:cstheme="minorBidi"/>
            <w:i w:val="0"/>
            <w:sz w:val="22"/>
            <w:szCs w:val="22"/>
            <w:lang w:val="en-AU"/>
          </w:rPr>
          <w:tab/>
        </w:r>
        <w:r w:rsidR="001C6959" w:rsidRPr="00737F18">
          <w:rPr>
            <w:rStyle w:val="Hyperlink"/>
          </w:rPr>
          <w:t>Recommendation 1</w:t>
        </w:r>
        <w:r w:rsidR="001C6959">
          <w:rPr>
            <w:webHidden/>
          </w:rPr>
          <w:tab/>
        </w:r>
        <w:r w:rsidR="001C6959">
          <w:rPr>
            <w:webHidden/>
          </w:rPr>
          <w:fldChar w:fldCharType="begin"/>
        </w:r>
        <w:r w:rsidR="001C6959">
          <w:rPr>
            <w:webHidden/>
          </w:rPr>
          <w:instrText xml:space="preserve"> PAGEREF _Toc35347232 \h </w:instrText>
        </w:r>
        <w:r w:rsidR="001C6959">
          <w:rPr>
            <w:webHidden/>
          </w:rPr>
        </w:r>
        <w:r w:rsidR="001C6959">
          <w:rPr>
            <w:webHidden/>
          </w:rPr>
          <w:fldChar w:fldCharType="separate"/>
        </w:r>
        <w:r w:rsidR="001C6959">
          <w:rPr>
            <w:webHidden/>
          </w:rPr>
          <w:t>32</w:t>
        </w:r>
        <w:r w:rsidR="001C6959">
          <w:rPr>
            <w:webHidden/>
          </w:rPr>
          <w:fldChar w:fldCharType="end"/>
        </w:r>
      </w:hyperlink>
    </w:p>
    <w:p w14:paraId="7981669F" w14:textId="20FC662D" w:rsidR="001C6959" w:rsidRDefault="00677F75">
      <w:pPr>
        <w:pStyle w:val="TOC3"/>
        <w:rPr>
          <w:rFonts w:eastAsiaTheme="minorEastAsia" w:cstheme="minorBidi"/>
          <w:i w:val="0"/>
          <w:sz w:val="22"/>
          <w:szCs w:val="22"/>
          <w:lang w:val="en-AU"/>
        </w:rPr>
      </w:pPr>
      <w:hyperlink w:anchor="_Toc35347233" w:history="1">
        <w:r w:rsidR="001C6959" w:rsidRPr="00737F18">
          <w:rPr>
            <w:rStyle w:val="Hyperlink"/>
          </w:rPr>
          <w:t>4.2.2</w:t>
        </w:r>
        <w:r w:rsidR="001C6959">
          <w:rPr>
            <w:rFonts w:eastAsiaTheme="minorEastAsia" w:cstheme="minorBidi"/>
            <w:i w:val="0"/>
            <w:sz w:val="22"/>
            <w:szCs w:val="22"/>
            <w:lang w:val="en-AU"/>
          </w:rPr>
          <w:tab/>
        </w:r>
        <w:r w:rsidR="001C6959" w:rsidRPr="00737F18">
          <w:rPr>
            <w:rStyle w:val="Hyperlink"/>
          </w:rPr>
          <w:t>Rationale for Recommendation 1</w:t>
        </w:r>
        <w:r w:rsidR="001C6959">
          <w:rPr>
            <w:webHidden/>
          </w:rPr>
          <w:tab/>
        </w:r>
        <w:r w:rsidR="001C6959">
          <w:rPr>
            <w:webHidden/>
          </w:rPr>
          <w:fldChar w:fldCharType="begin"/>
        </w:r>
        <w:r w:rsidR="001C6959">
          <w:rPr>
            <w:webHidden/>
          </w:rPr>
          <w:instrText xml:space="preserve"> PAGEREF _Toc35347233 \h </w:instrText>
        </w:r>
        <w:r w:rsidR="001C6959">
          <w:rPr>
            <w:webHidden/>
          </w:rPr>
        </w:r>
        <w:r w:rsidR="001C6959">
          <w:rPr>
            <w:webHidden/>
          </w:rPr>
          <w:fldChar w:fldCharType="separate"/>
        </w:r>
        <w:r w:rsidR="001C6959">
          <w:rPr>
            <w:webHidden/>
          </w:rPr>
          <w:t>32</w:t>
        </w:r>
        <w:r w:rsidR="001C6959">
          <w:rPr>
            <w:webHidden/>
          </w:rPr>
          <w:fldChar w:fldCharType="end"/>
        </w:r>
      </w:hyperlink>
    </w:p>
    <w:p w14:paraId="744ACE54" w14:textId="30451C3C" w:rsidR="001C6959" w:rsidRDefault="00677F75">
      <w:pPr>
        <w:pStyle w:val="TOC2"/>
        <w:rPr>
          <w:rFonts w:eastAsiaTheme="minorEastAsia" w:cstheme="minorBidi"/>
          <w:sz w:val="22"/>
          <w:szCs w:val="22"/>
          <w:lang w:val="en-AU"/>
        </w:rPr>
      </w:pPr>
      <w:hyperlink w:anchor="_Toc35347234" w:history="1">
        <w:r w:rsidR="001C6959" w:rsidRPr="00737F18">
          <w:rPr>
            <w:rStyle w:val="Hyperlink"/>
          </w:rPr>
          <w:t>4.3</w:t>
        </w:r>
        <w:r w:rsidR="001C6959">
          <w:rPr>
            <w:rFonts w:eastAsiaTheme="minorEastAsia" w:cstheme="minorBidi"/>
            <w:sz w:val="22"/>
            <w:szCs w:val="22"/>
            <w:lang w:val="en-AU"/>
          </w:rPr>
          <w:tab/>
        </w:r>
        <w:r w:rsidR="001C6959" w:rsidRPr="00737F18">
          <w:rPr>
            <w:rStyle w:val="Hyperlink"/>
          </w:rPr>
          <w:t>Pattern electroretinography</w:t>
        </w:r>
        <w:r w:rsidR="001C6959">
          <w:rPr>
            <w:webHidden/>
          </w:rPr>
          <w:tab/>
        </w:r>
        <w:r w:rsidR="001C6959">
          <w:rPr>
            <w:webHidden/>
          </w:rPr>
          <w:fldChar w:fldCharType="begin"/>
        </w:r>
        <w:r w:rsidR="001C6959">
          <w:rPr>
            <w:webHidden/>
          </w:rPr>
          <w:instrText xml:space="preserve"> PAGEREF _Toc35347234 \h </w:instrText>
        </w:r>
        <w:r w:rsidR="001C6959">
          <w:rPr>
            <w:webHidden/>
          </w:rPr>
        </w:r>
        <w:r w:rsidR="001C6959">
          <w:rPr>
            <w:webHidden/>
          </w:rPr>
          <w:fldChar w:fldCharType="separate"/>
        </w:r>
        <w:r w:rsidR="001C6959">
          <w:rPr>
            <w:webHidden/>
          </w:rPr>
          <w:t>34</w:t>
        </w:r>
        <w:r w:rsidR="001C6959">
          <w:rPr>
            <w:webHidden/>
          </w:rPr>
          <w:fldChar w:fldCharType="end"/>
        </w:r>
      </w:hyperlink>
    </w:p>
    <w:p w14:paraId="74DA745C" w14:textId="7B7B0919" w:rsidR="001C6959" w:rsidRDefault="00677F75">
      <w:pPr>
        <w:pStyle w:val="TOC3"/>
        <w:rPr>
          <w:rFonts w:eastAsiaTheme="minorEastAsia" w:cstheme="minorBidi"/>
          <w:i w:val="0"/>
          <w:sz w:val="22"/>
          <w:szCs w:val="22"/>
          <w:lang w:val="en-AU"/>
        </w:rPr>
      </w:pPr>
      <w:hyperlink w:anchor="_Toc35347235" w:history="1">
        <w:r w:rsidR="001C6959" w:rsidRPr="00737F18">
          <w:rPr>
            <w:rStyle w:val="Hyperlink"/>
          </w:rPr>
          <w:t>4.3.1</w:t>
        </w:r>
        <w:r w:rsidR="001C6959">
          <w:rPr>
            <w:rFonts w:eastAsiaTheme="minorEastAsia" w:cstheme="minorBidi"/>
            <w:i w:val="0"/>
            <w:sz w:val="22"/>
            <w:szCs w:val="22"/>
            <w:lang w:val="en-AU"/>
          </w:rPr>
          <w:tab/>
        </w:r>
        <w:r w:rsidR="001C6959" w:rsidRPr="00737F18">
          <w:rPr>
            <w:rStyle w:val="Hyperlink"/>
          </w:rPr>
          <w:t>Recommendation 2</w:t>
        </w:r>
        <w:r w:rsidR="001C6959">
          <w:rPr>
            <w:webHidden/>
          </w:rPr>
          <w:tab/>
        </w:r>
        <w:r w:rsidR="001C6959">
          <w:rPr>
            <w:webHidden/>
          </w:rPr>
          <w:fldChar w:fldCharType="begin"/>
        </w:r>
        <w:r w:rsidR="001C6959">
          <w:rPr>
            <w:webHidden/>
          </w:rPr>
          <w:instrText xml:space="preserve"> PAGEREF _Toc35347235 \h </w:instrText>
        </w:r>
        <w:r w:rsidR="001C6959">
          <w:rPr>
            <w:webHidden/>
          </w:rPr>
        </w:r>
        <w:r w:rsidR="001C6959">
          <w:rPr>
            <w:webHidden/>
          </w:rPr>
          <w:fldChar w:fldCharType="separate"/>
        </w:r>
        <w:r w:rsidR="001C6959">
          <w:rPr>
            <w:webHidden/>
          </w:rPr>
          <w:t>34</w:t>
        </w:r>
        <w:r w:rsidR="001C6959">
          <w:rPr>
            <w:webHidden/>
          </w:rPr>
          <w:fldChar w:fldCharType="end"/>
        </w:r>
      </w:hyperlink>
    </w:p>
    <w:p w14:paraId="7BAED365" w14:textId="6A0E9590" w:rsidR="001C6959" w:rsidRDefault="00677F75">
      <w:pPr>
        <w:pStyle w:val="TOC3"/>
        <w:rPr>
          <w:rFonts w:eastAsiaTheme="minorEastAsia" w:cstheme="minorBidi"/>
          <w:i w:val="0"/>
          <w:sz w:val="22"/>
          <w:szCs w:val="22"/>
          <w:lang w:val="en-AU"/>
        </w:rPr>
      </w:pPr>
      <w:hyperlink w:anchor="_Toc35347236" w:history="1">
        <w:r w:rsidR="001C6959" w:rsidRPr="00737F18">
          <w:rPr>
            <w:rStyle w:val="Hyperlink"/>
          </w:rPr>
          <w:t>4.3.2</w:t>
        </w:r>
        <w:r w:rsidR="001C6959">
          <w:rPr>
            <w:rFonts w:eastAsiaTheme="minorEastAsia" w:cstheme="minorBidi"/>
            <w:i w:val="0"/>
            <w:sz w:val="22"/>
            <w:szCs w:val="22"/>
            <w:lang w:val="en-AU"/>
          </w:rPr>
          <w:tab/>
        </w:r>
        <w:r w:rsidR="001C6959" w:rsidRPr="00737F18">
          <w:rPr>
            <w:rStyle w:val="Hyperlink"/>
          </w:rPr>
          <w:t>Rationale for Recommendation 2</w:t>
        </w:r>
        <w:r w:rsidR="001C6959">
          <w:rPr>
            <w:webHidden/>
          </w:rPr>
          <w:tab/>
        </w:r>
        <w:r w:rsidR="001C6959">
          <w:rPr>
            <w:webHidden/>
          </w:rPr>
          <w:fldChar w:fldCharType="begin"/>
        </w:r>
        <w:r w:rsidR="001C6959">
          <w:rPr>
            <w:webHidden/>
          </w:rPr>
          <w:instrText xml:space="preserve"> PAGEREF _Toc35347236 \h </w:instrText>
        </w:r>
        <w:r w:rsidR="001C6959">
          <w:rPr>
            <w:webHidden/>
          </w:rPr>
        </w:r>
        <w:r w:rsidR="001C6959">
          <w:rPr>
            <w:webHidden/>
          </w:rPr>
          <w:fldChar w:fldCharType="separate"/>
        </w:r>
        <w:r w:rsidR="001C6959">
          <w:rPr>
            <w:webHidden/>
          </w:rPr>
          <w:t>34</w:t>
        </w:r>
        <w:r w:rsidR="001C6959">
          <w:rPr>
            <w:webHidden/>
          </w:rPr>
          <w:fldChar w:fldCharType="end"/>
        </w:r>
      </w:hyperlink>
    </w:p>
    <w:p w14:paraId="7CF0D222" w14:textId="4850F1D9" w:rsidR="001C6959" w:rsidRDefault="00677F75">
      <w:pPr>
        <w:pStyle w:val="TOC1"/>
        <w:rPr>
          <w:rFonts w:eastAsiaTheme="minorEastAsia" w:cstheme="minorBidi"/>
          <w:b w:val="0"/>
          <w:sz w:val="22"/>
          <w:szCs w:val="22"/>
          <w:lang w:val="en-AU"/>
        </w:rPr>
      </w:pPr>
      <w:hyperlink w:anchor="_Toc35347237" w:history="1">
        <w:r w:rsidR="001C6959" w:rsidRPr="00737F18">
          <w:rPr>
            <w:rStyle w:val="Hyperlink"/>
          </w:rPr>
          <w:t>5</w:t>
        </w:r>
        <w:r w:rsidR="001C6959">
          <w:rPr>
            <w:rFonts w:eastAsiaTheme="minorEastAsia" w:cstheme="minorBidi"/>
            <w:b w:val="0"/>
            <w:sz w:val="22"/>
            <w:szCs w:val="22"/>
            <w:lang w:val="en-AU"/>
          </w:rPr>
          <w:tab/>
        </w:r>
        <w:r w:rsidR="001C6959" w:rsidRPr="00737F18">
          <w:rPr>
            <w:rStyle w:val="Hyperlink"/>
            <w:lang w:val="en-US"/>
          </w:rPr>
          <w:t>Computerised perimetry recommendations</w:t>
        </w:r>
        <w:r w:rsidR="001C6959">
          <w:rPr>
            <w:webHidden/>
          </w:rPr>
          <w:tab/>
        </w:r>
        <w:r w:rsidR="001C6959">
          <w:rPr>
            <w:webHidden/>
          </w:rPr>
          <w:fldChar w:fldCharType="begin"/>
        </w:r>
        <w:r w:rsidR="001C6959">
          <w:rPr>
            <w:webHidden/>
          </w:rPr>
          <w:instrText xml:space="preserve"> PAGEREF _Toc35347237 \h </w:instrText>
        </w:r>
        <w:r w:rsidR="001C6959">
          <w:rPr>
            <w:webHidden/>
          </w:rPr>
        </w:r>
        <w:r w:rsidR="001C6959">
          <w:rPr>
            <w:webHidden/>
          </w:rPr>
          <w:fldChar w:fldCharType="separate"/>
        </w:r>
        <w:r w:rsidR="001C6959">
          <w:rPr>
            <w:webHidden/>
          </w:rPr>
          <w:t>36</w:t>
        </w:r>
        <w:r w:rsidR="001C6959">
          <w:rPr>
            <w:webHidden/>
          </w:rPr>
          <w:fldChar w:fldCharType="end"/>
        </w:r>
      </w:hyperlink>
    </w:p>
    <w:p w14:paraId="3DBA59B6" w14:textId="0E3E209A" w:rsidR="001C6959" w:rsidRDefault="00677F75">
      <w:pPr>
        <w:pStyle w:val="TOC2"/>
        <w:rPr>
          <w:rFonts w:eastAsiaTheme="minorEastAsia" w:cstheme="minorBidi"/>
          <w:sz w:val="22"/>
          <w:szCs w:val="22"/>
          <w:lang w:val="en-AU"/>
        </w:rPr>
      </w:pPr>
      <w:hyperlink w:anchor="_Toc35347238" w:history="1">
        <w:r w:rsidR="001C6959" w:rsidRPr="00737F18">
          <w:rPr>
            <w:rStyle w:val="Hyperlink"/>
          </w:rPr>
          <w:t>5.1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_Toc35347238 \h </w:instrText>
        </w:r>
        <w:r w:rsidR="001C6959">
          <w:rPr>
            <w:webHidden/>
          </w:rPr>
        </w:r>
        <w:r w:rsidR="001C6959">
          <w:rPr>
            <w:webHidden/>
          </w:rPr>
          <w:fldChar w:fldCharType="separate"/>
        </w:r>
        <w:r w:rsidR="001C6959">
          <w:rPr>
            <w:webHidden/>
          </w:rPr>
          <w:t>36</w:t>
        </w:r>
        <w:r w:rsidR="001C6959">
          <w:rPr>
            <w:webHidden/>
          </w:rPr>
          <w:fldChar w:fldCharType="end"/>
        </w:r>
      </w:hyperlink>
    </w:p>
    <w:p w14:paraId="31108298" w14:textId="32135729" w:rsidR="001C6959" w:rsidRDefault="00677F75">
      <w:pPr>
        <w:pStyle w:val="TOC2"/>
        <w:rPr>
          <w:rFonts w:eastAsiaTheme="minorEastAsia" w:cstheme="minorBidi"/>
          <w:sz w:val="22"/>
          <w:szCs w:val="22"/>
          <w:lang w:val="en-AU"/>
        </w:rPr>
      </w:pPr>
      <w:hyperlink w:anchor="_Toc35347239" w:history="1">
        <w:r w:rsidR="001C6959" w:rsidRPr="00737F18">
          <w:rPr>
            <w:rStyle w:val="Hyperlink"/>
          </w:rPr>
          <w:t>5.2</w:t>
        </w:r>
        <w:r w:rsidR="001C6959">
          <w:rPr>
            <w:rFonts w:eastAsiaTheme="minorEastAsia" w:cstheme="minorBidi"/>
            <w:sz w:val="22"/>
            <w:szCs w:val="22"/>
            <w:lang w:val="en-AU"/>
          </w:rPr>
          <w:tab/>
        </w:r>
        <w:r w:rsidR="001C6959" w:rsidRPr="00737F18">
          <w:rPr>
            <w:rStyle w:val="Hyperlink"/>
            <w:lang w:val="en-US"/>
          </w:rPr>
          <w:t>Computerised perimetry</w:t>
        </w:r>
        <w:r w:rsidR="001C6959">
          <w:rPr>
            <w:webHidden/>
          </w:rPr>
          <w:tab/>
        </w:r>
        <w:r w:rsidR="001C6959">
          <w:rPr>
            <w:webHidden/>
          </w:rPr>
          <w:fldChar w:fldCharType="begin"/>
        </w:r>
        <w:r w:rsidR="001C6959">
          <w:rPr>
            <w:webHidden/>
          </w:rPr>
          <w:instrText xml:space="preserve"> PAGEREF _Toc35347239 \h </w:instrText>
        </w:r>
        <w:r w:rsidR="001C6959">
          <w:rPr>
            <w:webHidden/>
          </w:rPr>
        </w:r>
        <w:r w:rsidR="001C6959">
          <w:rPr>
            <w:webHidden/>
          </w:rPr>
          <w:fldChar w:fldCharType="separate"/>
        </w:r>
        <w:r w:rsidR="001C6959">
          <w:rPr>
            <w:webHidden/>
          </w:rPr>
          <w:t>36</w:t>
        </w:r>
        <w:r w:rsidR="001C6959">
          <w:rPr>
            <w:webHidden/>
          </w:rPr>
          <w:fldChar w:fldCharType="end"/>
        </w:r>
      </w:hyperlink>
    </w:p>
    <w:p w14:paraId="616ED523" w14:textId="40596A92" w:rsidR="001C6959" w:rsidRDefault="00677F75">
      <w:pPr>
        <w:pStyle w:val="TOC3"/>
        <w:rPr>
          <w:rFonts w:eastAsiaTheme="minorEastAsia" w:cstheme="minorBidi"/>
          <w:i w:val="0"/>
          <w:sz w:val="22"/>
          <w:szCs w:val="22"/>
          <w:lang w:val="en-AU"/>
        </w:rPr>
      </w:pPr>
      <w:hyperlink w:anchor="_Toc35347240" w:history="1">
        <w:r w:rsidR="001C6959" w:rsidRPr="00737F18">
          <w:rPr>
            <w:rStyle w:val="Hyperlink"/>
          </w:rPr>
          <w:t>5.2.1</w:t>
        </w:r>
        <w:r w:rsidR="001C6959">
          <w:rPr>
            <w:rFonts w:eastAsiaTheme="minorEastAsia" w:cstheme="minorBidi"/>
            <w:i w:val="0"/>
            <w:sz w:val="22"/>
            <w:szCs w:val="22"/>
            <w:lang w:val="en-AU"/>
          </w:rPr>
          <w:tab/>
        </w:r>
        <w:r w:rsidR="001C6959" w:rsidRPr="00737F18">
          <w:rPr>
            <w:rStyle w:val="Hyperlink"/>
          </w:rPr>
          <w:t>Recommendation 3</w:t>
        </w:r>
        <w:r w:rsidR="001C6959">
          <w:rPr>
            <w:webHidden/>
          </w:rPr>
          <w:tab/>
        </w:r>
        <w:r w:rsidR="001C6959">
          <w:rPr>
            <w:webHidden/>
          </w:rPr>
          <w:fldChar w:fldCharType="begin"/>
        </w:r>
        <w:r w:rsidR="001C6959">
          <w:rPr>
            <w:webHidden/>
          </w:rPr>
          <w:instrText xml:space="preserve"> PAGEREF _Toc35347240 \h </w:instrText>
        </w:r>
        <w:r w:rsidR="001C6959">
          <w:rPr>
            <w:webHidden/>
          </w:rPr>
        </w:r>
        <w:r w:rsidR="001C6959">
          <w:rPr>
            <w:webHidden/>
          </w:rPr>
          <w:fldChar w:fldCharType="separate"/>
        </w:r>
        <w:r w:rsidR="001C6959">
          <w:rPr>
            <w:webHidden/>
          </w:rPr>
          <w:t>38</w:t>
        </w:r>
        <w:r w:rsidR="001C6959">
          <w:rPr>
            <w:webHidden/>
          </w:rPr>
          <w:fldChar w:fldCharType="end"/>
        </w:r>
      </w:hyperlink>
    </w:p>
    <w:p w14:paraId="73F38A56" w14:textId="3DDFC54F" w:rsidR="001C6959" w:rsidRDefault="00677F75">
      <w:pPr>
        <w:pStyle w:val="TOC3"/>
        <w:rPr>
          <w:rFonts w:eastAsiaTheme="minorEastAsia" w:cstheme="minorBidi"/>
          <w:i w:val="0"/>
          <w:sz w:val="22"/>
          <w:szCs w:val="22"/>
          <w:lang w:val="en-AU"/>
        </w:rPr>
      </w:pPr>
      <w:hyperlink w:anchor="_Toc35347241" w:history="1">
        <w:r w:rsidR="001C6959" w:rsidRPr="00737F18">
          <w:rPr>
            <w:rStyle w:val="Hyperlink"/>
          </w:rPr>
          <w:t>5.2.2</w:t>
        </w:r>
        <w:r w:rsidR="001C6959">
          <w:rPr>
            <w:rFonts w:eastAsiaTheme="minorEastAsia" w:cstheme="minorBidi"/>
            <w:i w:val="0"/>
            <w:sz w:val="22"/>
            <w:szCs w:val="22"/>
            <w:lang w:val="en-AU"/>
          </w:rPr>
          <w:tab/>
        </w:r>
        <w:r w:rsidR="001C6959" w:rsidRPr="00737F18">
          <w:rPr>
            <w:rStyle w:val="Hyperlink"/>
          </w:rPr>
          <w:t>Rationale for Recommendation 3</w:t>
        </w:r>
        <w:r w:rsidR="001C6959">
          <w:rPr>
            <w:webHidden/>
          </w:rPr>
          <w:tab/>
        </w:r>
        <w:r w:rsidR="001C6959">
          <w:rPr>
            <w:webHidden/>
          </w:rPr>
          <w:fldChar w:fldCharType="begin"/>
        </w:r>
        <w:r w:rsidR="001C6959">
          <w:rPr>
            <w:webHidden/>
          </w:rPr>
          <w:instrText xml:space="preserve"> PAGEREF _Toc35347241 \h </w:instrText>
        </w:r>
        <w:r w:rsidR="001C6959">
          <w:rPr>
            <w:webHidden/>
          </w:rPr>
        </w:r>
        <w:r w:rsidR="001C6959">
          <w:rPr>
            <w:webHidden/>
          </w:rPr>
          <w:fldChar w:fldCharType="separate"/>
        </w:r>
        <w:r w:rsidR="001C6959">
          <w:rPr>
            <w:webHidden/>
          </w:rPr>
          <w:t>39</w:t>
        </w:r>
        <w:r w:rsidR="001C6959">
          <w:rPr>
            <w:webHidden/>
          </w:rPr>
          <w:fldChar w:fldCharType="end"/>
        </w:r>
      </w:hyperlink>
    </w:p>
    <w:p w14:paraId="610EF149" w14:textId="60762726" w:rsidR="001C6959" w:rsidRDefault="00677F75">
      <w:pPr>
        <w:pStyle w:val="TOC1"/>
        <w:rPr>
          <w:rFonts w:eastAsiaTheme="minorEastAsia" w:cstheme="minorBidi"/>
          <w:b w:val="0"/>
          <w:sz w:val="22"/>
          <w:szCs w:val="22"/>
          <w:lang w:val="en-AU"/>
        </w:rPr>
      </w:pPr>
      <w:hyperlink w:anchor="_Toc35347242" w:history="1">
        <w:r w:rsidR="001C6959" w:rsidRPr="00737F18">
          <w:rPr>
            <w:rStyle w:val="Hyperlink"/>
          </w:rPr>
          <w:t>6</w:t>
        </w:r>
        <w:r w:rsidR="001C6959">
          <w:rPr>
            <w:rFonts w:eastAsiaTheme="minorEastAsia" w:cstheme="minorBidi"/>
            <w:b w:val="0"/>
            <w:sz w:val="22"/>
            <w:szCs w:val="22"/>
            <w:lang w:val="en-AU"/>
          </w:rPr>
          <w:tab/>
        </w:r>
        <w:r w:rsidR="001C6959" w:rsidRPr="00737F18">
          <w:rPr>
            <w:rStyle w:val="Hyperlink"/>
            <w:lang w:val="en-US"/>
          </w:rPr>
          <w:t>Eye injection recommendations</w:t>
        </w:r>
        <w:r w:rsidR="001C6959">
          <w:rPr>
            <w:webHidden/>
          </w:rPr>
          <w:tab/>
        </w:r>
        <w:r w:rsidR="001C6959">
          <w:rPr>
            <w:webHidden/>
          </w:rPr>
          <w:fldChar w:fldCharType="begin"/>
        </w:r>
        <w:r w:rsidR="001C6959">
          <w:rPr>
            <w:webHidden/>
          </w:rPr>
          <w:instrText xml:space="preserve"> PAGEREF _Toc35347242 \h </w:instrText>
        </w:r>
        <w:r w:rsidR="001C6959">
          <w:rPr>
            <w:webHidden/>
          </w:rPr>
        </w:r>
        <w:r w:rsidR="001C6959">
          <w:rPr>
            <w:webHidden/>
          </w:rPr>
          <w:fldChar w:fldCharType="separate"/>
        </w:r>
        <w:r w:rsidR="001C6959">
          <w:rPr>
            <w:webHidden/>
          </w:rPr>
          <w:t>41</w:t>
        </w:r>
        <w:r w:rsidR="001C6959">
          <w:rPr>
            <w:webHidden/>
          </w:rPr>
          <w:fldChar w:fldCharType="end"/>
        </w:r>
      </w:hyperlink>
    </w:p>
    <w:p w14:paraId="154B7B07" w14:textId="456C4313" w:rsidR="001C6959" w:rsidRDefault="00677F75">
      <w:pPr>
        <w:pStyle w:val="TOC2"/>
        <w:rPr>
          <w:rFonts w:eastAsiaTheme="minorEastAsia" w:cstheme="minorBidi"/>
          <w:sz w:val="22"/>
          <w:szCs w:val="22"/>
          <w:lang w:val="en-AU"/>
        </w:rPr>
      </w:pPr>
      <w:hyperlink w:anchor="_Toc35347243" w:history="1">
        <w:r w:rsidR="001C6959" w:rsidRPr="00737F18">
          <w:rPr>
            <w:rStyle w:val="Hyperlink"/>
          </w:rPr>
          <w:t>6.1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_Toc35347243 \h </w:instrText>
        </w:r>
        <w:r w:rsidR="001C6959">
          <w:rPr>
            <w:webHidden/>
          </w:rPr>
        </w:r>
        <w:r w:rsidR="001C6959">
          <w:rPr>
            <w:webHidden/>
          </w:rPr>
          <w:fldChar w:fldCharType="separate"/>
        </w:r>
        <w:r w:rsidR="001C6959">
          <w:rPr>
            <w:webHidden/>
          </w:rPr>
          <w:t>41</w:t>
        </w:r>
        <w:r w:rsidR="001C6959">
          <w:rPr>
            <w:webHidden/>
          </w:rPr>
          <w:fldChar w:fldCharType="end"/>
        </w:r>
      </w:hyperlink>
    </w:p>
    <w:p w14:paraId="0BBB788A" w14:textId="309E1140" w:rsidR="001C6959" w:rsidRDefault="00677F75">
      <w:pPr>
        <w:pStyle w:val="TOC2"/>
        <w:rPr>
          <w:rFonts w:eastAsiaTheme="minorEastAsia" w:cstheme="minorBidi"/>
          <w:sz w:val="22"/>
          <w:szCs w:val="22"/>
          <w:lang w:val="en-AU"/>
        </w:rPr>
      </w:pPr>
      <w:hyperlink w:anchor="_Toc35347244" w:history="1">
        <w:r w:rsidR="001C6959" w:rsidRPr="00737F18">
          <w:rPr>
            <w:rStyle w:val="Hyperlink"/>
          </w:rPr>
          <w:t>6.2</w:t>
        </w:r>
        <w:r w:rsidR="001C6959">
          <w:rPr>
            <w:rFonts w:eastAsiaTheme="minorEastAsia" w:cstheme="minorBidi"/>
            <w:sz w:val="22"/>
            <w:szCs w:val="22"/>
            <w:lang w:val="en-AU"/>
          </w:rPr>
          <w:tab/>
        </w:r>
        <w:r w:rsidR="001C6959" w:rsidRPr="00737F18">
          <w:rPr>
            <w:rStyle w:val="Hyperlink"/>
            <w:lang w:val="en-US"/>
          </w:rPr>
          <w:t>Eye injections</w:t>
        </w:r>
        <w:r w:rsidR="001C6959">
          <w:rPr>
            <w:webHidden/>
          </w:rPr>
          <w:tab/>
        </w:r>
        <w:r w:rsidR="001C6959">
          <w:rPr>
            <w:webHidden/>
          </w:rPr>
          <w:fldChar w:fldCharType="begin"/>
        </w:r>
        <w:r w:rsidR="001C6959">
          <w:rPr>
            <w:webHidden/>
          </w:rPr>
          <w:instrText xml:space="preserve"> PAGEREF _Toc35347244 \h </w:instrText>
        </w:r>
        <w:r w:rsidR="001C6959">
          <w:rPr>
            <w:webHidden/>
          </w:rPr>
        </w:r>
        <w:r w:rsidR="001C6959">
          <w:rPr>
            <w:webHidden/>
          </w:rPr>
          <w:fldChar w:fldCharType="separate"/>
        </w:r>
        <w:r w:rsidR="001C6959">
          <w:rPr>
            <w:webHidden/>
          </w:rPr>
          <w:t>41</w:t>
        </w:r>
        <w:r w:rsidR="001C6959">
          <w:rPr>
            <w:webHidden/>
          </w:rPr>
          <w:fldChar w:fldCharType="end"/>
        </w:r>
      </w:hyperlink>
    </w:p>
    <w:p w14:paraId="320BF411" w14:textId="507E19E1" w:rsidR="001C6959" w:rsidRDefault="00677F75">
      <w:pPr>
        <w:pStyle w:val="TOC3"/>
        <w:rPr>
          <w:rFonts w:eastAsiaTheme="minorEastAsia" w:cstheme="minorBidi"/>
          <w:i w:val="0"/>
          <w:sz w:val="22"/>
          <w:szCs w:val="22"/>
          <w:lang w:val="en-AU"/>
        </w:rPr>
      </w:pPr>
      <w:hyperlink w:anchor="_Toc35347245" w:history="1">
        <w:r w:rsidR="001C6959" w:rsidRPr="00737F18">
          <w:rPr>
            <w:rStyle w:val="Hyperlink"/>
          </w:rPr>
          <w:t>6.2.1</w:t>
        </w:r>
        <w:r w:rsidR="001C6959">
          <w:rPr>
            <w:rFonts w:eastAsiaTheme="minorEastAsia" w:cstheme="minorBidi"/>
            <w:i w:val="0"/>
            <w:sz w:val="22"/>
            <w:szCs w:val="22"/>
            <w:lang w:val="en-AU"/>
          </w:rPr>
          <w:tab/>
        </w:r>
        <w:r w:rsidR="001C6959" w:rsidRPr="00737F18">
          <w:rPr>
            <w:rStyle w:val="Hyperlink"/>
          </w:rPr>
          <w:t>Recommendation 4</w:t>
        </w:r>
        <w:r w:rsidR="001C6959">
          <w:rPr>
            <w:webHidden/>
          </w:rPr>
          <w:tab/>
        </w:r>
        <w:r w:rsidR="001C6959">
          <w:rPr>
            <w:webHidden/>
          </w:rPr>
          <w:fldChar w:fldCharType="begin"/>
        </w:r>
        <w:r w:rsidR="001C6959">
          <w:rPr>
            <w:webHidden/>
          </w:rPr>
          <w:instrText xml:space="preserve"> PAGEREF _Toc35347245 \h </w:instrText>
        </w:r>
        <w:r w:rsidR="001C6959">
          <w:rPr>
            <w:webHidden/>
          </w:rPr>
        </w:r>
        <w:r w:rsidR="001C6959">
          <w:rPr>
            <w:webHidden/>
          </w:rPr>
          <w:fldChar w:fldCharType="separate"/>
        </w:r>
        <w:r w:rsidR="001C6959">
          <w:rPr>
            <w:webHidden/>
          </w:rPr>
          <w:t>42</w:t>
        </w:r>
        <w:r w:rsidR="001C6959">
          <w:rPr>
            <w:webHidden/>
          </w:rPr>
          <w:fldChar w:fldCharType="end"/>
        </w:r>
      </w:hyperlink>
    </w:p>
    <w:p w14:paraId="0F9EF0EB" w14:textId="55835F06" w:rsidR="001C6959" w:rsidRDefault="00677F75">
      <w:pPr>
        <w:pStyle w:val="TOC3"/>
        <w:rPr>
          <w:rFonts w:eastAsiaTheme="minorEastAsia" w:cstheme="minorBidi"/>
          <w:i w:val="0"/>
          <w:sz w:val="22"/>
          <w:szCs w:val="22"/>
          <w:lang w:val="en-AU"/>
        </w:rPr>
      </w:pPr>
      <w:hyperlink w:anchor="_Toc35347246" w:history="1">
        <w:r w:rsidR="001C6959" w:rsidRPr="00737F18">
          <w:rPr>
            <w:rStyle w:val="Hyperlink"/>
          </w:rPr>
          <w:t>6.2.2</w:t>
        </w:r>
        <w:r w:rsidR="001C6959">
          <w:rPr>
            <w:rFonts w:eastAsiaTheme="minorEastAsia" w:cstheme="minorBidi"/>
            <w:i w:val="0"/>
            <w:sz w:val="22"/>
            <w:szCs w:val="22"/>
            <w:lang w:val="en-AU"/>
          </w:rPr>
          <w:tab/>
        </w:r>
        <w:r w:rsidR="001C6959" w:rsidRPr="00737F18">
          <w:rPr>
            <w:rStyle w:val="Hyperlink"/>
          </w:rPr>
          <w:t>Rationale for Recommendation 4</w:t>
        </w:r>
        <w:r w:rsidR="001C6959">
          <w:rPr>
            <w:webHidden/>
          </w:rPr>
          <w:tab/>
        </w:r>
        <w:r w:rsidR="001C6959">
          <w:rPr>
            <w:webHidden/>
          </w:rPr>
          <w:fldChar w:fldCharType="begin"/>
        </w:r>
        <w:r w:rsidR="001C6959">
          <w:rPr>
            <w:webHidden/>
          </w:rPr>
          <w:instrText xml:space="preserve"> PAGEREF _Toc35347246 \h </w:instrText>
        </w:r>
        <w:r w:rsidR="001C6959">
          <w:rPr>
            <w:webHidden/>
          </w:rPr>
        </w:r>
        <w:r w:rsidR="001C6959">
          <w:rPr>
            <w:webHidden/>
          </w:rPr>
          <w:fldChar w:fldCharType="separate"/>
        </w:r>
        <w:r w:rsidR="001C6959">
          <w:rPr>
            <w:webHidden/>
          </w:rPr>
          <w:t>42</w:t>
        </w:r>
        <w:r w:rsidR="001C6959">
          <w:rPr>
            <w:webHidden/>
          </w:rPr>
          <w:fldChar w:fldCharType="end"/>
        </w:r>
      </w:hyperlink>
    </w:p>
    <w:p w14:paraId="5F8D1873" w14:textId="7F4480E9" w:rsidR="001C6959" w:rsidRDefault="00677F75">
      <w:pPr>
        <w:pStyle w:val="TOC3"/>
        <w:rPr>
          <w:rFonts w:eastAsiaTheme="minorEastAsia" w:cstheme="minorBidi"/>
          <w:i w:val="0"/>
          <w:sz w:val="22"/>
          <w:szCs w:val="22"/>
          <w:lang w:val="en-AU"/>
        </w:rPr>
      </w:pPr>
      <w:hyperlink w:anchor="_Toc35347247" w:history="1">
        <w:r w:rsidR="001C6959" w:rsidRPr="00737F18">
          <w:rPr>
            <w:rStyle w:val="Hyperlink"/>
          </w:rPr>
          <w:t>6.2.3</w:t>
        </w:r>
        <w:r w:rsidR="001C6959">
          <w:rPr>
            <w:rFonts w:eastAsiaTheme="minorEastAsia" w:cstheme="minorBidi"/>
            <w:i w:val="0"/>
            <w:sz w:val="22"/>
            <w:szCs w:val="22"/>
            <w:lang w:val="en-AU"/>
          </w:rPr>
          <w:tab/>
        </w:r>
        <w:r w:rsidR="001C6959" w:rsidRPr="00737F18">
          <w:rPr>
            <w:rStyle w:val="Hyperlink"/>
          </w:rPr>
          <w:t>Recommendation 5</w:t>
        </w:r>
        <w:r w:rsidR="001C6959">
          <w:rPr>
            <w:webHidden/>
          </w:rPr>
          <w:tab/>
        </w:r>
        <w:r w:rsidR="001C6959">
          <w:rPr>
            <w:webHidden/>
          </w:rPr>
          <w:fldChar w:fldCharType="begin"/>
        </w:r>
        <w:r w:rsidR="001C6959">
          <w:rPr>
            <w:webHidden/>
          </w:rPr>
          <w:instrText xml:space="preserve"> PAGEREF _Toc35347247 \h </w:instrText>
        </w:r>
        <w:r w:rsidR="001C6959">
          <w:rPr>
            <w:webHidden/>
          </w:rPr>
        </w:r>
        <w:r w:rsidR="001C6959">
          <w:rPr>
            <w:webHidden/>
          </w:rPr>
          <w:fldChar w:fldCharType="separate"/>
        </w:r>
        <w:r w:rsidR="001C6959">
          <w:rPr>
            <w:webHidden/>
          </w:rPr>
          <w:t>43</w:t>
        </w:r>
        <w:r w:rsidR="001C6959">
          <w:rPr>
            <w:webHidden/>
          </w:rPr>
          <w:fldChar w:fldCharType="end"/>
        </w:r>
      </w:hyperlink>
    </w:p>
    <w:p w14:paraId="42EFCCA4" w14:textId="184650D2" w:rsidR="001C6959" w:rsidRDefault="00677F75">
      <w:pPr>
        <w:pStyle w:val="TOC3"/>
        <w:rPr>
          <w:rFonts w:eastAsiaTheme="minorEastAsia" w:cstheme="minorBidi"/>
          <w:i w:val="0"/>
          <w:sz w:val="22"/>
          <w:szCs w:val="22"/>
          <w:lang w:val="en-AU"/>
        </w:rPr>
      </w:pPr>
      <w:hyperlink w:anchor="_Toc35347248" w:history="1">
        <w:r w:rsidR="001C6959" w:rsidRPr="00737F18">
          <w:rPr>
            <w:rStyle w:val="Hyperlink"/>
          </w:rPr>
          <w:t>6.2.4</w:t>
        </w:r>
        <w:r w:rsidR="001C6959">
          <w:rPr>
            <w:rFonts w:eastAsiaTheme="minorEastAsia" w:cstheme="minorBidi"/>
            <w:i w:val="0"/>
            <w:sz w:val="22"/>
            <w:szCs w:val="22"/>
            <w:lang w:val="en-AU"/>
          </w:rPr>
          <w:tab/>
        </w:r>
        <w:r w:rsidR="001C6959" w:rsidRPr="00737F18">
          <w:rPr>
            <w:rStyle w:val="Hyperlink"/>
          </w:rPr>
          <w:t>Rationale for Recommendation 5</w:t>
        </w:r>
        <w:r w:rsidR="001C6959">
          <w:rPr>
            <w:webHidden/>
          </w:rPr>
          <w:tab/>
        </w:r>
        <w:r w:rsidR="001C6959">
          <w:rPr>
            <w:webHidden/>
          </w:rPr>
          <w:fldChar w:fldCharType="begin"/>
        </w:r>
        <w:r w:rsidR="001C6959">
          <w:rPr>
            <w:webHidden/>
          </w:rPr>
          <w:instrText xml:space="preserve"> PAGEREF _Toc35347248 \h </w:instrText>
        </w:r>
        <w:r w:rsidR="001C6959">
          <w:rPr>
            <w:webHidden/>
          </w:rPr>
        </w:r>
        <w:r w:rsidR="001C6959">
          <w:rPr>
            <w:webHidden/>
          </w:rPr>
          <w:fldChar w:fldCharType="separate"/>
        </w:r>
        <w:r w:rsidR="001C6959">
          <w:rPr>
            <w:webHidden/>
          </w:rPr>
          <w:t>43</w:t>
        </w:r>
        <w:r w:rsidR="001C6959">
          <w:rPr>
            <w:webHidden/>
          </w:rPr>
          <w:fldChar w:fldCharType="end"/>
        </w:r>
      </w:hyperlink>
    </w:p>
    <w:p w14:paraId="048A99C1" w14:textId="350726E6" w:rsidR="001C6959" w:rsidRDefault="00677F75">
      <w:pPr>
        <w:pStyle w:val="TOC3"/>
        <w:rPr>
          <w:rFonts w:eastAsiaTheme="minorEastAsia" w:cstheme="minorBidi"/>
          <w:i w:val="0"/>
          <w:sz w:val="22"/>
          <w:szCs w:val="22"/>
          <w:lang w:val="en-AU"/>
        </w:rPr>
      </w:pPr>
      <w:hyperlink w:anchor="_Toc35347249" w:history="1">
        <w:r w:rsidR="001C6959" w:rsidRPr="00737F18">
          <w:rPr>
            <w:rStyle w:val="Hyperlink"/>
          </w:rPr>
          <w:t>6.2.5</w:t>
        </w:r>
        <w:r w:rsidR="001C6959">
          <w:rPr>
            <w:rFonts w:eastAsiaTheme="minorEastAsia" w:cstheme="minorBidi"/>
            <w:i w:val="0"/>
            <w:sz w:val="22"/>
            <w:szCs w:val="22"/>
            <w:lang w:val="en-AU"/>
          </w:rPr>
          <w:tab/>
        </w:r>
        <w:r w:rsidR="001C6959" w:rsidRPr="00737F18">
          <w:rPr>
            <w:rStyle w:val="Hyperlink"/>
          </w:rPr>
          <w:t>Recommendation 6</w:t>
        </w:r>
        <w:r w:rsidR="001C6959">
          <w:rPr>
            <w:webHidden/>
          </w:rPr>
          <w:tab/>
        </w:r>
        <w:r w:rsidR="001C6959">
          <w:rPr>
            <w:webHidden/>
          </w:rPr>
          <w:fldChar w:fldCharType="begin"/>
        </w:r>
        <w:r w:rsidR="001C6959">
          <w:rPr>
            <w:webHidden/>
          </w:rPr>
          <w:instrText xml:space="preserve"> PAGEREF _Toc35347249 \h </w:instrText>
        </w:r>
        <w:r w:rsidR="001C6959">
          <w:rPr>
            <w:webHidden/>
          </w:rPr>
        </w:r>
        <w:r w:rsidR="001C6959">
          <w:rPr>
            <w:webHidden/>
          </w:rPr>
          <w:fldChar w:fldCharType="separate"/>
        </w:r>
        <w:r w:rsidR="001C6959">
          <w:rPr>
            <w:webHidden/>
          </w:rPr>
          <w:t>43</w:t>
        </w:r>
        <w:r w:rsidR="001C6959">
          <w:rPr>
            <w:webHidden/>
          </w:rPr>
          <w:fldChar w:fldCharType="end"/>
        </w:r>
      </w:hyperlink>
    </w:p>
    <w:p w14:paraId="54394359" w14:textId="4467BE17" w:rsidR="001C6959" w:rsidRDefault="00677F75">
      <w:pPr>
        <w:pStyle w:val="TOC3"/>
        <w:rPr>
          <w:rFonts w:eastAsiaTheme="minorEastAsia" w:cstheme="minorBidi"/>
          <w:i w:val="0"/>
          <w:sz w:val="22"/>
          <w:szCs w:val="22"/>
          <w:lang w:val="en-AU"/>
        </w:rPr>
      </w:pPr>
      <w:hyperlink w:anchor="_Toc35347250" w:history="1">
        <w:r w:rsidR="001C6959" w:rsidRPr="00737F18">
          <w:rPr>
            <w:rStyle w:val="Hyperlink"/>
          </w:rPr>
          <w:t>6.2.6</w:t>
        </w:r>
        <w:r w:rsidR="001C6959">
          <w:rPr>
            <w:rFonts w:eastAsiaTheme="minorEastAsia" w:cstheme="minorBidi"/>
            <w:i w:val="0"/>
            <w:sz w:val="22"/>
            <w:szCs w:val="22"/>
            <w:lang w:val="en-AU"/>
          </w:rPr>
          <w:tab/>
        </w:r>
        <w:r w:rsidR="001C6959" w:rsidRPr="00737F18">
          <w:rPr>
            <w:rStyle w:val="Hyperlink"/>
          </w:rPr>
          <w:t>Rationale for Recommendation 6</w:t>
        </w:r>
        <w:r w:rsidR="001C6959">
          <w:rPr>
            <w:webHidden/>
          </w:rPr>
          <w:tab/>
        </w:r>
        <w:r w:rsidR="001C6959">
          <w:rPr>
            <w:webHidden/>
          </w:rPr>
          <w:fldChar w:fldCharType="begin"/>
        </w:r>
        <w:r w:rsidR="001C6959">
          <w:rPr>
            <w:webHidden/>
          </w:rPr>
          <w:instrText xml:space="preserve"> PAGEREF _Toc35347250 \h </w:instrText>
        </w:r>
        <w:r w:rsidR="001C6959">
          <w:rPr>
            <w:webHidden/>
          </w:rPr>
        </w:r>
        <w:r w:rsidR="001C6959">
          <w:rPr>
            <w:webHidden/>
          </w:rPr>
          <w:fldChar w:fldCharType="separate"/>
        </w:r>
        <w:r w:rsidR="001C6959">
          <w:rPr>
            <w:webHidden/>
          </w:rPr>
          <w:t>44</w:t>
        </w:r>
        <w:r w:rsidR="001C6959">
          <w:rPr>
            <w:webHidden/>
          </w:rPr>
          <w:fldChar w:fldCharType="end"/>
        </w:r>
      </w:hyperlink>
    </w:p>
    <w:p w14:paraId="33D99D0D" w14:textId="679535C5" w:rsidR="001C6959" w:rsidRDefault="00677F75">
      <w:pPr>
        <w:pStyle w:val="TOC3"/>
        <w:rPr>
          <w:rFonts w:eastAsiaTheme="minorEastAsia" w:cstheme="minorBidi"/>
          <w:i w:val="0"/>
          <w:sz w:val="22"/>
          <w:szCs w:val="22"/>
          <w:lang w:val="en-AU"/>
        </w:rPr>
      </w:pPr>
      <w:hyperlink w:anchor="_Toc35347251" w:history="1">
        <w:r w:rsidR="001C6959" w:rsidRPr="00737F18">
          <w:rPr>
            <w:rStyle w:val="Hyperlink"/>
          </w:rPr>
          <w:t>6.2.7</w:t>
        </w:r>
        <w:r w:rsidR="001C6959">
          <w:rPr>
            <w:rFonts w:eastAsiaTheme="minorEastAsia" w:cstheme="minorBidi"/>
            <w:i w:val="0"/>
            <w:sz w:val="22"/>
            <w:szCs w:val="22"/>
            <w:lang w:val="en-AU"/>
          </w:rPr>
          <w:tab/>
        </w:r>
        <w:r w:rsidR="001C6959" w:rsidRPr="00737F18">
          <w:rPr>
            <w:rStyle w:val="Hyperlink"/>
          </w:rPr>
          <w:t>Recommendation 7</w:t>
        </w:r>
        <w:r w:rsidR="001C6959">
          <w:rPr>
            <w:webHidden/>
          </w:rPr>
          <w:tab/>
        </w:r>
        <w:r w:rsidR="001C6959">
          <w:rPr>
            <w:webHidden/>
          </w:rPr>
          <w:fldChar w:fldCharType="begin"/>
        </w:r>
        <w:r w:rsidR="001C6959">
          <w:rPr>
            <w:webHidden/>
          </w:rPr>
          <w:instrText xml:space="preserve"> PAGEREF _Toc35347251 \h </w:instrText>
        </w:r>
        <w:r w:rsidR="001C6959">
          <w:rPr>
            <w:webHidden/>
          </w:rPr>
        </w:r>
        <w:r w:rsidR="001C6959">
          <w:rPr>
            <w:webHidden/>
          </w:rPr>
          <w:fldChar w:fldCharType="separate"/>
        </w:r>
        <w:r w:rsidR="001C6959">
          <w:rPr>
            <w:webHidden/>
          </w:rPr>
          <w:t>44</w:t>
        </w:r>
        <w:r w:rsidR="001C6959">
          <w:rPr>
            <w:webHidden/>
          </w:rPr>
          <w:fldChar w:fldCharType="end"/>
        </w:r>
      </w:hyperlink>
    </w:p>
    <w:p w14:paraId="3E6ACEE5" w14:textId="4BFC3AC7" w:rsidR="001C6959" w:rsidRDefault="00677F75">
      <w:pPr>
        <w:pStyle w:val="TOC3"/>
        <w:rPr>
          <w:rFonts w:eastAsiaTheme="minorEastAsia" w:cstheme="minorBidi"/>
          <w:i w:val="0"/>
          <w:sz w:val="22"/>
          <w:szCs w:val="22"/>
          <w:lang w:val="en-AU"/>
        </w:rPr>
      </w:pPr>
      <w:hyperlink w:anchor="_Toc35347252" w:history="1">
        <w:r w:rsidR="001C6959" w:rsidRPr="00737F18">
          <w:rPr>
            <w:rStyle w:val="Hyperlink"/>
          </w:rPr>
          <w:t>6.2.8</w:t>
        </w:r>
        <w:r w:rsidR="001C6959">
          <w:rPr>
            <w:rFonts w:eastAsiaTheme="minorEastAsia" w:cstheme="minorBidi"/>
            <w:i w:val="0"/>
            <w:sz w:val="22"/>
            <w:szCs w:val="22"/>
            <w:lang w:val="en-AU"/>
          </w:rPr>
          <w:tab/>
        </w:r>
        <w:r w:rsidR="001C6959" w:rsidRPr="00737F18">
          <w:rPr>
            <w:rStyle w:val="Hyperlink"/>
          </w:rPr>
          <w:t>Rationale for Recommendation 7</w:t>
        </w:r>
        <w:r w:rsidR="001C6959">
          <w:rPr>
            <w:webHidden/>
          </w:rPr>
          <w:tab/>
        </w:r>
        <w:r w:rsidR="001C6959">
          <w:rPr>
            <w:webHidden/>
          </w:rPr>
          <w:fldChar w:fldCharType="begin"/>
        </w:r>
        <w:r w:rsidR="001C6959">
          <w:rPr>
            <w:webHidden/>
          </w:rPr>
          <w:instrText xml:space="preserve"> PAGEREF _Toc35347252 \h </w:instrText>
        </w:r>
        <w:r w:rsidR="001C6959">
          <w:rPr>
            <w:webHidden/>
          </w:rPr>
        </w:r>
        <w:r w:rsidR="001C6959">
          <w:rPr>
            <w:webHidden/>
          </w:rPr>
          <w:fldChar w:fldCharType="separate"/>
        </w:r>
        <w:r w:rsidR="001C6959">
          <w:rPr>
            <w:webHidden/>
          </w:rPr>
          <w:t>45</w:t>
        </w:r>
        <w:r w:rsidR="001C6959">
          <w:rPr>
            <w:webHidden/>
          </w:rPr>
          <w:fldChar w:fldCharType="end"/>
        </w:r>
      </w:hyperlink>
    </w:p>
    <w:p w14:paraId="228FF27F" w14:textId="779C5180" w:rsidR="001C6959" w:rsidRDefault="00677F75">
      <w:pPr>
        <w:pStyle w:val="TOC1"/>
        <w:rPr>
          <w:rFonts w:eastAsiaTheme="minorEastAsia" w:cstheme="minorBidi"/>
          <w:b w:val="0"/>
          <w:sz w:val="22"/>
          <w:szCs w:val="22"/>
          <w:lang w:val="en-AU"/>
        </w:rPr>
      </w:pPr>
      <w:hyperlink w:anchor="_Toc35347253" w:history="1">
        <w:r w:rsidR="001C6959" w:rsidRPr="00737F18">
          <w:rPr>
            <w:rStyle w:val="Hyperlink"/>
          </w:rPr>
          <w:t>7</w:t>
        </w:r>
        <w:r w:rsidR="001C6959">
          <w:rPr>
            <w:rFonts w:eastAsiaTheme="minorEastAsia" w:cstheme="minorBidi"/>
            <w:b w:val="0"/>
            <w:sz w:val="22"/>
            <w:szCs w:val="22"/>
            <w:lang w:val="en-AU"/>
          </w:rPr>
          <w:tab/>
        </w:r>
        <w:r w:rsidR="001C6959" w:rsidRPr="00737F18">
          <w:rPr>
            <w:rStyle w:val="Hyperlink"/>
            <w:lang w:val="en-US"/>
          </w:rPr>
          <w:t>Cataract surgery recommendations</w:t>
        </w:r>
        <w:r w:rsidR="001C6959">
          <w:rPr>
            <w:webHidden/>
          </w:rPr>
          <w:tab/>
        </w:r>
        <w:r w:rsidR="001C6959">
          <w:rPr>
            <w:webHidden/>
          </w:rPr>
          <w:fldChar w:fldCharType="begin"/>
        </w:r>
        <w:r w:rsidR="001C6959">
          <w:rPr>
            <w:webHidden/>
          </w:rPr>
          <w:instrText xml:space="preserve"> PAGEREF _Toc35347253 \h </w:instrText>
        </w:r>
        <w:r w:rsidR="001C6959">
          <w:rPr>
            <w:webHidden/>
          </w:rPr>
        </w:r>
        <w:r w:rsidR="001C6959">
          <w:rPr>
            <w:webHidden/>
          </w:rPr>
          <w:fldChar w:fldCharType="separate"/>
        </w:r>
        <w:r w:rsidR="001C6959">
          <w:rPr>
            <w:webHidden/>
          </w:rPr>
          <w:t>47</w:t>
        </w:r>
        <w:r w:rsidR="001C6959">
          <w:rPr>
            <w:webHidden/>
          </w:rPr>
          <w:fldChar w:fldCharType="end"/>
        </w:r>
      </w:hyperlink>
    </w:p>
    <w:p w14:paraId="0756BAAC" w14:textId="7B1E7230" w:rsidR="001C6959" w:rsidRDefault="00677F75">
      <w:pPr>
        <w:pStyle w:val="TOC2"/>
        <w:rPr>
          <w:rFonts w:eastAsiaTheme="minorEastAsia" w:cstheme="minorBidi"/>
          <w:sz w:val="22"/>
          <w:szCs w:val="22"/>
          <w:lang w:val="en-AU"/>
        </w:rPr>
      </w:pPr>
      <w:hyperlink w:anchor="_Toc35347254" w:history="1">
        <w:r w:rsidR="001C6959" w:rsidRPr="00737F18">
          <w:rPr>
            <w:rStyle w:val="Hyperlink"/>
          </w:rPr>
          <w:t>7.1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_Toc35347254 \h </w:instrText>
        </w:r>
        <w:r w:rsidR="001C6959">
          <w:rPr>
            <w:webHidden/>
          </w:rPr>
        </w:r>
        <w:r w:rsidR="001C6959">
          <w:rPr>
            <w:webHidden/>
          </w:rPr>
          <w:fldChar w:fldCharType="separate"/>
        </w:r>
        <w:r w:rsidR="001C6959">
          <w:rPr>
            <w:webHidden/>
          </w:rPr>
          <w:t>47</w:t>
        </w:r>
        <w:r w:rsidR="001C6959">
          <w:rPr>
            <w:webHidden/>
          </w:rPr>
          <w:fldChar w:fldCharType="end"/>
        </w:r>
      </w:hyperlink>
    </w:p>
    <w:p w14:paraId="2544055E" w14:textId="24B00A4B" w:rsidR="001C6959" w:rsidRDefault="00677F75">
      <w:pPr>
        <w:pStyle w:val="TOC3"/>
        <w:rPr>
          <w:rFonts w:eastAsiaTheme="minorEastAsia" w:cstheme="minorBidi"/>
          <w:i w:val="0"/>
          <w:sz w:val="22"/>
          <w:szCs w:val="22"/>
          <w:lang w:val="en-AU"/>
        </w:rPr>
      </w:pPr>
      <w:hyperlink w:anchor="_Toc35347255" w:history="1">
        <w:r w:rsidR="001C6959" w:rsidRPr="00737F18">
          <w:rPr>
            <w:rStyle w:val="Hyperlink"/>
          </w:rPr>
          <w:t>7.1.1</w:t>
        </w:r>
        <w:r w:rsidR="001C6959">
          <w:rPr>
            <w:rFonts w:eastAsiaTheme="minorEastAsia" w:cstheme="minorBidi"/>
            <w:i w:val="0"/>
            <w:sz w:val="22"/>
            <w:szCs w:val="22"/>
            <w:lang w:val="en-AU"/>
          </w:rPr>
          <w:tab/>
        </w:r>
        <w:r w:rsidR="001C6959" w:rsidRPr="00737F18">
          <w:rPr>
            <w:rStyle w:val="Hyperlink"/>
          </w:rPr>
          <w:t>Rural and remote access</w:t>
        </w:r>
        <w:r w:rsidR="001C6959">
          <w:rPr>
            <w:webHidden/>
          </w:rPr>
          <w:tab/>
        </w:r>
        <w:r w:rsidR="001C6959">
          <w:rPr>
            <w:webHidden/>
          </w:rPr>
          <w:fldChar w:fldCharType="begin"/>
        </w:r>
        <w:r w:rsidR="001C6959">
          <w:rPr>
            <w:webHidden/>
          </w:rPr>
          <w:instrText xml:space="preserve"> PAGEREF _Toc35347255 \h </w:instrText>
        </w:r>
        <w:r w:rsidR="001C6959">
          <w:rPr>
            <w:webHidden/>
          </w:rPr>
        </w:r>
        <w:r w:rsidR="001C6959">
          <w:rPr>
            <w:webHidden/>
          </w:rPr>
          <w:fldChar w:fldCharType="separate"/>
        </w:r>
        <w:r w:rsidR="001C6959">
          <w:rPr>
            <w:webHidden/>
          </w:rPr>
          <w:t>47</w:t>
        </w:r>
        <w:r w:rsidR="001C6959">
          <w:rPr>
            <w:webHidden/>
          </w:rPr>
          <w:fldChar w:fldCharType="end"/>
        </w:r>
      </w:hyperlink>
    </w:p>
    <w:p w14:paraId="3D8EB96C" w14:textId="4033856B" w:rsidR="001C6959" w:rsidRDefault="00677F75">
      <w:pPr>
        <w:pStyle w:val="TOC3"/>
        <w:rPr>
          <w:rFonts w:eastAsiaTheme="minorEastAsia" w:cstheme="minorBidi"/>
          <w:i w:val="0"/>
          <w:sz w:val="22"/>
          <w:szCs w:val="22"/>
          <w:lang w:val="en-AU"/>
        </w:rPr>
      </w:pPr>
      <w:hyperlink w:anchor="_Toc35347256" w:history="1">
        <w:r w:rsidR="001C6959" w:rsidRPr="00737F18">
          <w:rPr>
            <w:rStyle w:val="Hyperlink"/>
          </w:rPr>
          <w:t>7.1.2</w:t>
        </w:r>
        <w:r w:rsidR="001C6959">
          <w:rPr>
            <w:rFonts w:eastAsiaTheme="minorEastAsia" w:cstheme="minorBidi"/>
            <w:i w:val="0"/>
            <w:sz w:val="22"/>
            <w:szCs w:val="22"/>
            <w:lang w:val="en-AU"/>
          </w:rPr>
          <w:tab/>
        </w:r>
        <w:r w:rsidR="001C6959" w:rsidRPr="00737F18">
          <w:rPr>
            <w:rStyle w:val="Hyperlink"/>
          </w:rPr>
          <w:t>Bulk billing</w:t>
        </w:r>
        <w:r w:rsidR="001C6959">
          <w:rPr>
            <w:webHidden/>
          </w:rPr>
          <w:tab/>
        </w:r>
        <w:r w:rsidR="001C6959">
          <w:rPr>
            <w:webHidden/>
          </w:rPr>
          <w:fldChar w:fldCharType="begin"/>
        </w:r>
        <w:r w:rsidR="001C6959">
          <w:rPr>
            <w:webHidden/>
          </w:rPr>
          <w:instrText xml:space="preserve"> PAGEREF _Toc35347256 \h </w:instrText>
        </w:r>
        <w:r w:rsidR="001C6959">
          <w:rPr>
            <w:webHidden/>
          </w:rPr>
        </w:r>
        <w:r w:rsidR="001C6959">
          <w:rPr>
            <w:webHidden/>
          </w:rPr>
          <w:fldChar w:fldCharType="separate"/>
        </w:r>
        <w:r w:rsidR="001C6959">
          <w:rPr>
            <w:webHidden/>
          </w:rPr>
          <w:t>48</w:t>
        </w:r>
        <w:r w:rsidR="001C6959">
          <w:rPr>
            <w:webHidden/>
          </w:rPr>
          <w:fldChar w:fldCharType="end"/>
        </w:r>
      </w:hyperlink>
    </w:p>
    <w:p w14:paraId="276C28A5" w14:textId="68559BA0" w:rsidR="001C6959" w:rsidRDefault="00677F75">
      <w:pPr>
        <w:pStyle w:val="TOC3"/>
        <w:rPr>
          <w:rFonts w:eastAsiaTheme="minorEastAsia" w:cstheme="minorBidi"/>
          <w:i w:val="0"/>
          <w:sz w:val="22"/>
          <w:szCs w:val="22"/>
          <w:lang w:val="en-AU"/>
        </w:rPr>
      </w:pPr>
      <w:hyperlink w:anchor="_Toc35347257" w:history="1">
        <w:r w:rsidR="001C6959" w:rsidRPr="00737F18">
          <w:rPr>
            <w:rStyle w:val="Hyperlink"/>
          </w:rPr>
          <w:t>7.1.3</w:t>
        </w:r>
        <w:r w:rsidR="001C6959">
          <w:rPr>
            <w:rFonts w:eastAsiaTheme="minorEastAsia" w:cstheme="minorBidi"/>
            <w:i w:val="0"/>
            <w:sz w:val="22"/>
            <w:szCs w:val="22"/>
            <w:lang w:val="en-AU"/>
          </w:rPr>
          <w:tab/>
        </w:r>
        <w:r w:rsidR="001C6959" w:rsidRPr="00737F18">
          <w:rPr>
            <w:rStyle w:val="Hyperlink"/>
          </w:rPr>
          <w:t>Referral guidelines</w:t>
        </w:r>
        <w:r w:rsidR="001C6959">
          <w:rPr>
            <w:webHidden/>
          </w:rPr>
          <w:tab/>
        </w:r>
        <w:r w:rsidR="001C6959">
          <w:rPr>
            <w:webHidden/>
          </w:rPr>
          <w:fldChar w:fldCharType="begin"/>
        </w:r>
        <w:r w:rsidR="001C6959">
          <w:rPr>
            <w:webHidden/>
          </w:rPr>
          <w:instrText xml:space="preserve"> PAGEREF _Toc35347257 \h </w:instrText>
        </w:r>
        <w:r w:rsidR="001C6959">
          <w:rPr>
            <w:webHidden/>
          </w:rPr>
        </w:r>
        <w:r w:rsidR="001C6959">
          <w:rPr>
            <w:webHidden/>
          </w:rPr>
          <w:fldChar w:fldCharType="separate"/>
        </w:r>
        <w:r w:rsidR="001C6959">
          <w:rPr>
            <w:webHidden/>
          </w:rPr>
          <w:t>48</w:t>
        </w:r>
        <w:r w:rsidR="001C6959">
          <w:rPr>
            <w:webHidden/>
          </w:rPr>
          <w:fldChar w:fldCharType="end"/>
        </w:r>
      </w:hyperlink>
    </w:p>
    <w:p w14:paraId="7B60158F" w14:textId="37F690F0" w:rsidR="001C6959" w:rsidRDefault="00677F75">
      <w:pPr>
        <w:pStyle w:val="TOC2"/>
        <w:rPr>
          <w:rFonts w:eastAsiaTheme="minorEastAsia" w:cstheme="minorBidi"/>
          <w:sz w:val="22"/>
          <w:szCs w:val="22"/>
          <w:lang w:val="en-AU"/>
        </w:rPr>
      </w:pPr>
      <w:hyperlink w:anchor="_Toc35347258" w:history="1">
        <w:r w:rsidR="001C6959" w:rsidRPr="00737F18">
          <w:rPr>
            <w:rStyle w:val="Hyperlink"/>
          </w:rPr>
          <w:t>7.2</w:t>
        </w:r>
        <w:r w:rsidR="001C6959">
          <w:rPr>
            <w:rFonts w:eastAsiaTheme="minorEastAsia" w:cstheme="minorBidi"/>
            <w:sz w:val="22"/>
            <w:szCs w:val="22"/>
            <w:lang w:val="en-AU"/>
          </w:rPr>
          <w:tab/>
        </w:r>
        <w:r w:rsidR="001C6959" w:rsidRPr="00737F18">
          <w:rPr>
            <w:rStyle w:val="Hyperlink"/>
            <w:lang w:val="en-US"/>
          </w:rPr>
          <w:t>Cataract surgery</w:t>
        </w:r>
        <w:r w:rsidR="001C6959">
          <w:rPr>
            <w:webHidden/>
          </w:rPr>
          <w:tab/>
        </w:r>
        <w:r w:rsidR="001C6959">
          <w:rPr>
            <w:webHidden/>
          </w:rPr>
          <w:fldChar w:fldCharType="begin"/>
        </w:r>
        <w:r w:rsidR="001C6959">
          <w:rPr>
            <w:webHidden/>
          </w:rPr>
          <w:instrText xml:space="preserve"> PAGEREF _Toc35347258 \h </w:instrText>
        </w:r>
        <w:r w:rsidR="001C6959">
          <w:rPr>
            <w:webHidden/>
          </w:rPr>
        </w:r>
        <w:r w:rsidR="001C6959">
          <w:rPr>
            <w:webHidden/>
          </w:rPr>
          <w:fldChar w:fldCharType="separate"/>
        </w:r>
        <w:r w:rsidR="001C6959">
          <w:rPr>
            <w:webHidden/>
          </w:rPr>
          <w:t>49</w:t>
        </w:r>
        <w:r w:rsidR="001C6959">
          <w:rPr>
            <w:webHidden/>
          </w:rPr>
          <w:fldChar w:fldCharType="end"/>
        </w:r>
      </w:hyperlink>
    </w:p>
    <w:p w14:paraId="30280410" w14:textId="244F345D" w:rsidR="001C6959" w:rsidRDefault="00677F75">
      <w:pPr>
        <w:pStyle w:val="TOC3"/>
        <w:rPr>
          <w:rFonts w:eastAsiaTheme="minorEastAsia" w:cstheme="minorBidi"/>
          <w:i w:val="0"/>
          <w:sz w:val="22"/>
          <w:szCs w:val="22"/>
          <w:lang w:val="en-AU"/>
        </w:rPr>
      </w:pPr>
      <w:hyperlink w:anchor="_Toc35347259" w:history="1">
        <w:r w:rsidR="001C6959" w:rsidRPr="00737F18">
          <w:rPr>
            <w:rStyle w:val="Hyperlink"/>
          </w:rPr>
          <w:t>7.2.1</w:t>
        </w:r>
        <w:r w:rsidR="001C6959">
          <w:rPr>
            <w:rFonts w:eastAsiaTheme="minorEastAsia" w:cstheme="minorBidi"/>
            <w:i w:val="0"/>
            <w:sz w:val="22"/>
            <w:szCs w:val="22"/>
            <w:lang w:val="en-AU"/>
          </w:rPr>
          <w:tab/>
        </w:r>
        <w:r w:rsidR="001C6959" w:rsidRPr="00737F18">
          <w:rPr>
            <w:rStyle w:val="Hyperlink"/>
          </w:rPr>
          <w:t>Recommendation 8</w:t>
        </w:r>
        <w:r w:rsidR="001C6959">
          <w:rPr>
            <w:webHidden/>
          </w:rPr>
          <w:tab/>
        </w:r>
        <w:r w:rsidR="001C6959">
          <w:rPr>
            <w:webHidden/>
          </w:rPr>
          <w:fldChar w:fldCharType="begin"/>
        </w:r>
        <w:r w:rsidR="001C6959">
          <w:rPr>
            <w:webHidden/>
          </w:rPr>
          <w:instrText xml:space="preserve"> PAGEREF _Toc35347259 \h </w:instrText>
        </w:r>
        <w:r w:rsidR="001C6959">
          <w:rPr>
            <w:webHidden/>
          </w:rPr>
        </w:r>
        <w:r w:rsidR="001C6959">
          <w:rPr>
            <w:webHidden/>
          </w:rPr>
          <w:fldChar w:fldCharType="separate"/>
        </w:r>
        <w:r w:rsidR="001C6959">
          <w:rPr>
            <w:webHidden/>
          </w:rPr>
          <w:t>49</w:t>
        </w:r>
        <w:r w:rsidR="001C6959">
          <w:rPr>
            <w:webHidden/>
          </w:rPr>
          <w:fldChar w:fldCharType="end"/>
        </w:r>
      </w:hyperlink>
    </w:p>
    <w:p w14:paraId="0A30B00F" w14:textId="313BF37C" w:rsidR="001C6959" w:rsidRDefault="00677F75">
      <w:pPr>
        <w:pStyle w:val="TOC3"/>
        <w:rPr>
          <w:rFonts w:eastAsiaTheme="minorEastAsia" w:cstheme="minorBidi"/>
          <w:i w:val="0"/>
          <w:sz w:val="22"/>
          <w:szCs w:val="22"/>
          <w:lang w:val="en-AU"/>
        </w:rPr>
      </w:pPr>
      <w:hyperlink w:anchor="_Toc35347260" w:history="1">
        <w:r w:rsidR="001C6959" w:rsidRPr="00737F18">
          <w:rPr>
            <w:rStyle w:val="Hyperlink"/>
          </w:rPr>
          <w:t>7.2.2</w:t>
        </w:r>
        <w:r w:rsidR="001C6959">
          <w:rPr>
            <w:rFonts w:eastAsiaTheme="minorEastAsia" w:cstheme="minorBidi"/>
            <w:i w:val="0"/>
            <w:sz w:val="22"/>
            <w:szCs w:val="22"/>
            <w:lang w:val="en-AU"/>
          </w:rPr>
          <w:tab/>
        </w:r>
        <w:r w:rsidR="001C6959" w:rsidRPr="00737F18">
          <w:rPr>
            <w:rStyle w:val="Hyperlink"/>
          </w:rPr>
          <w:t>Rationale for Recommendation 8</w:t>
        </w:r>
        <w:r w:rsidR="001C6959">
          <w:rPr>
            <w:webHidden/>
          </w:rPr>
          <w:tab/>
        </w:r>
        <w:r w:rsidR="001C6959">
          <w:rPr>
            <w:webHidden/>
          </w:rPr>
          <w:fldChar w:fldCharType="begin"/>
        </w:r>
        <w:r w:rsidR="001C6959">
          <w:rPr>
            <w:webHidden/>
          </w:rPr>
          <w:instrText xml:space="preserve"> PAGEREF _Toc35347260 \h </w:instrText>
        </w:r>
        <w:r w:rsidR="001C6959">
          <w:rPr>
            <w:webHidden/>
          </w:rPr>
        </w:r>
        <w:r w:rsidR="001C6959">
          <w:rPr>
            <w:webHidden/>
          </w:rPr>
          <w:fldChar w:fldCharType="separate"/>
        </w:r>
        <w:r w:rsidR="001C6959">
          <w:rPr>
            <w:webHidden/>
          </w:rPr>
          <w:t>49</w:t>
        </w:r>
        <w:r w:rsidR="001C6959">
          <w:rPr>
            <w:webHidden/>
          </w:rPr>
          <w:fldChar w:fldCharType="end"/>
        </w:r>
      </w:hyperlink>
    </w:p>
    <w:p w14:paraId="08DEE58D" w14:textId="56108687" w:rsidR="001C6959" w:rsidRDefault="00677F75">
      <w:pPr>
        <w:pStyle w:val="TOC3"/>
        <w:rPr>
          <w:rFonts w:eastAsiaTheme="minorEastAsia" w:cstheme="minorBidi"/>
          <w:i w:val="0"/>
          <w:sz w:val="22"/>
          <w:szCs w:val="22"/>
          <w:lang w:val="en-AU"/>
        </w:rPr>
      </w:pPr>
      <w:hyperlink w:anchor="_Toc35347261" w:history="1">
        <w:r w:rsidR="001C6959" w:rsidRPr="00737F18">
          <w:rPr>
            <w:rStyle w:val="Hyperlink"/>
          </w:rPr>
          <w:t>7.2.3</w:t>
        </w:r>
        <w:r w:rsidR="001C6959">
          <w:rPr>
            <w:rFonts w:eastAsiaTheme="minorEastAsia" w:cstheme="minorBidi"/>
            <w:i w:val="0"/>
            <w:sz w:val="22"/>
            <w:szCs w:val="22"/>
            <w:lang w:val="en-AU"/>
          </w:rPr>
          <w:tab/>
        </w:r>
        <w:r w:rsidR="001C6959" w:rsidRPr="00737F18">
          <w:rPr>
            <w:rStyle w:val="Hyperlink"/>
          </w:rPr>
          <w:t>Taskforce commentary</w:t>
        </w:r>
        <w:r w:rsidR="001C6959">
          <w:rPr>
            <w:webHidden/>
          </w:rPr>
          <w:tab/>
        </w:r>
        <w:r w:rsidR="001C6959">
          <w:rPr>
            <w:webHidden/>
          </w:rPr>
          <w:fldChar w:fldCharType="begin"/>
        </w:r>
        <w:r w:rsidR="001C6959">
          <w:rPr>
            <w:webHidden/>
          </w:rPr>
          <w:instrText xml:space="preserve"> PAGEREF _Toc35347261 \h </w:instrText>
        </w:r>
        <w:r w:rsidR="001C6959">
          <w:rPr>
            <w:webHidden/>
          </w:rPr>
        </w:r>
        <w:r w:rsidR="001C6959">
          <w:rPr>
            <w:webHidden/>
          </w:rPr>
          <w:fldChar w:fldCharType="separate"/>
        </w:r>
        <w:r w:rsidR="001C6959">
          <w:rPr>
            <w:webHidden/>
          </w:rPr>
          <w:t>50</w:t>
        </w:r>
        <w:r w:rsidR="001C6959">
          <w:rPr>
            <w:webHidden/>
          </w:rPr>
          <w:fldChar w:fldCharType="end"/>
        </w:r>
      </w:hyperlink>
    </w:p>
    <w:p w14:paraId="6A190B3E" w14:textId="1DC1D8E8" w:rsidR="001C6959" w:rsidRDefault="00677F75">
      <w:pPr>
        <w:pStyle w:val="TOC1"/>
        <w:rPr>
          <w:rFonts w:eastAsiaTheme="minorEastAsia" w:cstheme="minorBidi"/>
          <w:b w:val="0"/>
          <w:sz w:val="22"/>
          <w:szCs w:val="22"/>
          <w:lang w:val="en-AU"/>
        </w:rPr>
      </w:pPr>
      <w:hyperlink w:anchor="_Toc35347262" w:history="1">
        <w:r w:rsidR="001C6959" w:rsidRPr="00737F18">
          <w:rPr>
            <w:rStyle w:val="Hyperlink"/>
          </w:rPr>
          <w:t>8</w:t>
        </w:r>
        <w:r w:rsidR="001C6959">
          <w:rPr>
            <w:rFonts w:eastAsiaTheme="minorEastAsia" w:cstheme="minorBidi"/>
            <w:b w:val="0"/>
            <w:sz w:val="22"/>
            <w:szCs w:val="22"/>
            <w:lang w:val="en-AU"/>
          </w:rPr>
          <w:tab/>
        </w:r>
        <w:r w:rsidR="001C6959" w:rsidRPr="00737F18">
          <w:rPr>
            <w:rStyle w:val="Hyperlink"/>
            <w:lang w:val="en-US"/>
          </w:rPr>
          <w:t>Obsolete item recommendations</w:t>
        </w:r>
        <w:r w:rsidR="001C6959">
          <w:rPr>
            <w:webHidden/>
          </w:rPr>
          <w:tab/>
        </w:r>
        <w:r w:rsidR="001C6959">
          <w:rPr>
            <w:webHidden/>
          </w:rPr>
          <w:fldChar w:fldCharType="begin"/>
        </w:r>
        <w:r w:rsidR="001C6959">
          <w:rPr>
            <w:webHidden/>
          </w:rPr>
          <w:instrText xml:space="preserve"> PAGEREF _Toc35347262 \h </w:instrText>
        </w:r>
        <w:r w:rsidR="001C6959">
          <w:rPr>
            <w:webHidden/>
          </w:rPr>
        </w:r>
        <w:r w:rsidR="001C6959">
          <w:rPr>
            <w:webHidden/>
          </w:rPr>
          <w:fldChar w:fldCharType="separate"/>
        </w:r>
        <w:r w:rsidR="001C6959">
          <w:rPr>
            <w:webHidden/>
          </w:rPr>
          <w:t>52</w:t>
        </w:r>
        <w:r w:rsidR="001C6959">
          <w:rPr>
            <w:webHidden/>
          </w:rPr>
          <w:fldChar w:fldCharType="end"/>
        </w:r>
      </w:hyperlink>
    </w:p>
    <w:p w14:paraId="5DD12C21" w14:textId="2BEFF24B" w:rsidR="001C6959" w:rsidRDefault="00677F75">
      <w:pPr>
        <w:pStyle w:val="TOC2"/>
        <w:rPr>
          <w:rFonts w:eastAsiaTheme="minorEastAsia" w:cstheme="minorBidi"/>
          <w:sz w:val="22"/>
          <w:szCs w:val="22"/>
          <w:lang w:val="en-AU"/>
        </w:rPr>
      </w:pPr>
      <w:hyperlink w:anchor="_Toc35347263" w:history="1">
        <w:r w:rsidR="001C6959" w:rsidRPr="00737F18">
          <w:rPr>
            <w:rStyle w:val="Hyperlink"/>
          </w:rPr>
          <w:t>8.1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_Toc35347263 \h </w:instrText>
        </w:r>
        <w:r w:rsidR="001C6959">
          <w:rPr>
            <w:webHidden/>
          </w:rPr>
        </w:r>
        <w:r w:rsidR="001C6959">
          <w:rPr>
            <w:webHidden/>
          </w:rPr>
          <w:fldChar w:fldCharType="separate"/>
        </w:r>
        <w:r w:rsidR="001C6959">
          <w:rPr>
            <w:webHidden/>
          </w:rPr>
          <w:t>52</w:t>
        </w:r>
        <w:r w:rsidR="001C6959">
          <w:rPr>
            <w:webHidden/>
          </w:rPr>
          <w:fldChar w:fldCharType="end"/>
        </w:r>
      </w:hyperlink>
    </w:p>
    <w:p w14:paraId="3C96C954" w14:textId="35AEC42E" w:rsidR="001C6959" w:rsidRDefault="00677F75">
      <w:pPr>
        <w:pStyle w:val="TOC2"/>
        <w:rPr>
          <w:rFonts w:eastAsiaTheme="minorEastAsia" w:cstheme="minorBidi"/>
          <w:sz w:val="22"/>
          <w:szCs w:val="22"/>
          <w:lang w:val="en-AU"/>
        </w:rPr>
      </w:pPr>
      <w:hyperlink w:anchor="_Toc35347264" w:history="1">
        <w:r w:rsidR="001C6959" w:rsidRPr="00737F18">
          <w:rPr>
            <w:rStyle w:val="Hyperlink"/>
          </w:rPr>
          <w:t>8.2</w:t>
        </w:r>
        <w:r w:rsidR="001C6959">
          <w:rPr>
            <w:rFonts w:eastAsiaTheme="minorEastAsia" w:cstheme="minorBidi"/>
            <w:sz w:val="22"/>
            <w:szCs w:val="22"/>
            <w:lang w:val="en-AU"/>
          </w:rPr>
          <w:tab/>
        </w:r>
        <w:r w:rsidR="001C6959" w:rsidRPr="00737F18">
          <w:rPr>
            <w:rStyle w:val="Hyperlink"/>
            <w:lang w:val="en-US"/>
          </w:rPr>
          <w:t>Obsolete items</w:t>
        </w:r>
        <w:r w:rsidR="001C6959">
          <w:rPr>
            <w:webHidden/>
          </w:rPr>
          <w:tab/>
        </w:r>
        <w:r w:rsidR="001C6959">
          <w:rPr>
            <w:webHidden/>
          </w:rPr>
          <w:fldChar w:fldCharType="begin"/>
        </w:r>
        <w:r w:rsidR="001C6959">
          <w:rPr>
            <w:webHidden/>
          </w:rPr>
          <w:instrText xml:space="preserve"> PAGEREF _Toc35347264 \h </w:instrText>
        </w:r>
        <w:r w:rsidR="001C6959">
          <w:rPr>
            <w:webHidden/>
          </w:rPr>
        </w:r>
        <w:r w:rsidR="001C6959">
          <w:rPr>
            <w:webHidden/>
          </w:rPr>
          <w:fldChar w:fldCharType="separate"/>
        </w:r>
        <w:r w:rsidR="001C6959">
          <w:rPr>
            <w:webHidden/>
          </w:rPr>
          <w:t>52</w:t>
        </w:r>
        <w:r w:rsidR="001C6959">
          <w:rPr>
            <w:webHidden/>
          </w:rPr>
          <w:fldChar w:fldCharType="end"/>
        </w:r>
      </w:hyperlink>
    </w:p>
    <w:p w14:paraId="7FB65F19" w14:textId="4562DFF1" w:rsidR="001C6959" w:rsidRDefault="00677F75">
      <w:pPr>
        <w:pStyle w:val="TOC3"/>
        <w:rPr>
          <w:rFonts w:eastAsiaTheme="minorEastAsia" w:cstheme="minorBidi"/>
          <w:i w:val="0"/>
          <w:sz w:val="22"/>
          <w:szCs w:val="22"/>
          <w:lang w:val="en-AU"/>
        </w:rPr>
      </w:pPr>
      <w:hyperlink w:anchor="_Toc35347265" w:history="1">
        <w:r w:rsidR="001C6959" w:rsidRPr="00737F18">
          <w:rPr>
            <w:rStyle w:val="Hyperlink"/>
          </w:rPr>
          <w:t>8.2.1</w:t>
        </w:r>
        <w:r w:rsidR="001C6959">
          <w:rPr>
            <w:rFonts w:eastAsiaTheme="minorEastAsia" w:cstheme="minorBidi"/>
            <w:i w:val="0"/>
            <w:sz w:val="22"/>
            <w:szCs w:val="22"/>
            <w:lang w:val="en-AU"/>
          </w:rPr>
          <w:tab/>
        </w:r>
        <w:r w:rsidR="001C6959" w:rsidRPr="00737F18">
          <w:rPr>
            <w:rStyle w:val="Hyperlink"/>
          </w:rPr>
          <w:t>Recommendation 9</w:t>
        </w:r>
        <w:r w:rsidR="001C6959">
          <w:rPr>
            <w:webHidden/>
          </w:rPr>
          <w:tab/>
        </w:r>
        <w:r w:rsidR="001C6959">
          <w:rPr>
            <w:webHidden/>
          </w:rPr>
          <w:fldChar w:fldCharType="begin"/>
        </w:r>
        <w:r w:rsidR="001C6959">
          <w:rPr>
            <w:webHidden/>
          </w:rPr>
          <w:instrText xml:space="preserve"> PAGEREF _Toc35347265 \h </w:instrText>
        </w:r>
        <w:r w:rsidR="001C6959">
          <w:rPr>
            <w:webHidden/>
          </w:rPr>
        </w:r>
        <w:r w:rsidR="001C6959">
          <w:rPr>
            <w:webHidden/>
          </w:rPr>
          <w:fldChar w:fldCharType="separate"/>
        </w:r>
        <w:r w:rsidR="001C6959">
          <w:rPr>
            <w:webHidden/>
          </w:rPr>
          <w:t>53</w:t>
        </w:r>
        <w:r w:rsidR="001C6959">
          <w:rPr>
            <w:webHidden/>
          </w:rPr>
          <w:fldChar w:fldCharType="end"/>
        </w:r>
      </w:hyperlink>
    </w:p>
    <w:p w14:paraId="126B3C25" w14:textId="1B663968" w:rsidR="001C6959" w:rsidRDefault="00677F75">
      <w:pPr>
        <w:pStyle w:val="TOC3"/>
        <w:rPr>
          <w:rFonts w:eastAsiaTheme="minorEastAsia" w:cstheme="minorBidi"/>
          <w:i w:val="0"/>
          <w:sz w:val="22"/>
          <w:szCs w:val="22"/>
          <w:lang w:val="en-AU"/>
        </w:rPr>
      </w:pPr>
      <w:hyperlink w:anchor="_Toc35347266" w:history="1">
        <w:r w:rsidR="001C6959" w:rsidRPr="00737F18">
          <w:rPr>
            <w:rStyle w:val="Hyperlink"/>
          </w:rPr>
          <w:t>8.2.2</w:t>
        </w:r>
        <w:r w:rsidR="001C6959">
          <w:rPr>
            <w:rFonts w:eastAsiaTheme="minorEastAsia" w:cstheme="minorBidi"/>
            <w:i w:val="0"/>
            <w:sz w:val="22"/>
            <w:szCs w:val="22"/>
            <w:lang w:val="en-AU"/>
          </w:rPr>
          <w:tab/>
        </w:r>
        <w:r w:rsidR="001C6959" w:rsidRPr="00737F18">
          <w:rPr>
            <w:rStyle w:val="Hyperlink"/>
          </w:rPr>
          <w:t>Rationale for Recommendation 9</w:t>
        </w:r>
        <w:r w:rsidR="001C6959">
          <w:rPr>
            <w:webHidden/>
          </w:rPr>
          <w:tab/>
        </w:r>
        <w:r w:rsidR="001C6959">
          <w:rPr>
            <w:webHidden/>
          </w:rPr>
          <w:fldChar w:fldCharType="begin"/>
        </w:r>
        <w:r w:rsidR="001C6959">
          <w:rPr>
            <w:webHidden/>
          </w:rPr>
          <w:instrText xml:space="preserve"> PAGEREF _Toc35347266 \h </w:instrText>
        </w:r>
        <w:r w:rsidR="001C6959">
          <w:rPr>
            <w:webHidden/>
          </w:rPr>
        </w:r>
        <w:r w:rsidR="001C6959">
          <w:rPr>
            <w:webHidden/>
          </w:rPr>
          <w:fldChar w:fldCharType="separate"/>
        </w:r>
        <w:r w:rsidR="001C6959">
          <w:rPr>
            <w:webHidden/>
          </w:rPr>
          <w:t>54</w:t>
        </w:r>
        <w:r w:rsidR="001C6959">
          <w:rPr>
            <w:webHidden/>
          </w:rPr>
          <w:fldChar w:fldCharType="end"/>
        </w:r>
      </w:hyperlink>
    </w:p>
    <w:p w14:paraId="36EF06DF" w14:textId="2C7C19C4" w:rsidR="001C6959" w:rsidRDefault="00677F75">
      <w:pPr>
        <w:pStyle w:val="TOC1"/>
        <w:rPr>
          <w:rFonts w:eastAsiaTheme="minorEastAsia" w:cstheme="minorBidi"/>
          <w:b w:val="0"/>
          <w:sz w:val="22"/>
          <w:szCs w:val="22"/>
          <w:lang w:val="en-AU"/>
        </w:rPr>
      </w:pPr>
      <w:hyperlink w:anchor="_Toc35347267" w:history="1">
        <w:r w:rsidR="001C6959" w:rsidRPr="00737F18">
          <w:rPr>
            <w:rStyle w:val="Hyperlink"/>
          </w:rPr>
          <w:t>9</w:t>
        </w:r>
        <w:r w:rsidR="001C6959">
          <w:rPr>
            <w:rFonts w:eastAsiaTheme="minorEastAsia" w:cstheme="minorBidi"/>
            <w:b w:val="0"/>
            <w:sz w:val="22"/>
            <w:szCs w:val="22"/>
            <w:lang w:val="en-AU"/>
          </w:rPr>
          <w:tab/>
        </w:r>
        <w:r w:rsidR="001C6959" w:rsidRPr="00737F18">
          <w:rPr>
            <w:rStyle w:val="Hyperlink"/>
            <w:lang w:val="en-US"/>
          </w:rPr>
          <w:t>Oculoplastic and orbital item recommendations</w:t>
        </w:r>
        <w:r w:rsidR="001C6959">
          <w:rPr>
            <w:webHidden/>
          </w:rPr>
          <w:tab/>
        </w:r>
        <w:r w:rsidR="001C6959">
          <w:rPr>
            <w:webHidden/>
          </w:rPr>
          <w:fldChar w:fldCharType="begin"/>
        </w:r>
        <w:r w:rsidR="001C6959">
          <w:rPr>
            <w:webHidden/>
          </w:rPr>
          <w:instrText xml:space="preserve"> PAGEREF _Toc35347267 \h </w:instrText>
        </w:r>
        <w:r w:rsidR="001C6959">
          <w:rPr>
            <w:webHidden/>
          </w:rPr>
        </w:r>
        <w:r w:rsidR="001C6959">
          <w:rPr>
            <w:webHidden/>
          </w:rPr>
          <w:fldChar w:fldCharType="separate"/>
        </w:r>
        <w:r w:rsidR="001C6959">
          <w:rPr>
            <w:webHidden/>
          </w:rPr>
          <w:t>55</w:t>
        </w:r>
        <w:r w:rsidR="001C6959">
          <w:rPr>
            <w:webHidden/>
          </w:rPr>
          <w:fldChar w:fldCharType="end"/>
        </w:r>
      </w:hyperlink>
    </w:p>
    <w:p w14:paraId="0AE77208" w14:textId="6FD9D803" w:rsidR="001C6959" w:rsidRDefault="00677F75">
      <w:pPr>
        <w:pStyle w:val="TOC2"/>
        <w:rPr>
          <w:rFonts w:eastAsiaTheme="minorEastAsia" w:cstheme="minorBidi"/>
          <w:sz w:val="22"/>
          <w:szCs w:val="22"/>
          <w:lang w:val="en-AU"/>
        </w:rPr>
      </w:pPr>
      <w:hyperlink w:anchor="_Toc35347268" w:history="1">
        <w:r w:rsidR="001C6959" w:rsidRPr="00737F18">
          <w:rPr>
            <w:rStyle w:val="Hyperlink"/>
          </w:rPr>
          <w:t>9.1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_Toc35347268 \h </w:instrText>
        </w:r>
        <w:r w:rsidR="001C6959">
          <w:rPr>
            <w:webHidden/>
          </w:rPr>
        </w:r>
        <w:r w:rsidR="001C6959">
          <w:rPr>
            <w:webHidden/>
          </w:rPr>
          <w:fldChar w:fldCharType="separate"/>
        </w:r>
        <w:r w:rsidR="001C6959">
          <w:rPr>
            <w:webHidden/>
          </w:rPr>
          <w:t>55</w:t>
        </w:r>
        <w:r w:rsidR="001C6959">
          <w:rPr>
            <w:webHidden/>
          </w:rPr>
          <w:fldChar w:fldCharType="end"/>
        </w:r>
      </w:hyperlink>
    </w:p>
    <w:p w14:paraId="6C0E484A" w14:textId="3A2849AB" w:rsidR="001C6959" w:rsidRDefault="00677F75">
      <w:pPr>
        <w:pStyle w:val="TOC2"/>
        <w:rPr>
          <w:rFonts w:eastAsiaTheme="minorEastAsia" w:cstheme="minorBidi"/>
          <w:sz w:val="22"/>
          <w:szCs w:val="22"/>
          <w:lang w:val="en-AU"/>
        </w:rPr>
      </w:pPr>
      <w:hyperlink w:anchor="_Toc35347269" w:history="1">
        <w:r w:rsidR="001C6959" w:rsidRPr="00737F18">
          <w:rPr>
            <w:rStyle w:val="Hyperlink"/>
          </w:rPr>
          <w:t>9.2</w:t>
        </w:r>
        <w:r w:rsidR="001C6959">
          <w:rPr>
            <w:rFonts w:eastAsiaTheme="minorEastAsia" w:cstheme="minorBidi"/>
            <w:sz w:val="22"/>
            <w:szCs w:val="22"/>
            <w:lang w:val="en-AU"/>
          </w:rPr>
          <w:tab/>
        </w:r>
        <w:r w:rsidR="001C6959" w:rsidRPr="00737F18">
          <w:rPr>
            <w:rStyle w:val="Hyperlink"/>
            <w:lang w:val="en-US"/>
          </w:rPr>
          <w:t>Oculoplastic and orbital amendments</w:t>
        </w:r>
        <w:r w:rsidR="001C6959">
          <w:rPr>
            <w:webHidden/>
          </w:rPr>
          <w:tab/>
        </w:r>
        <w:r w:rsidR="001C6959">
          <w:rPr>
            <w:webHidden/>
          </w:rPr>
          <w:fldChar w:fldCharType="begin"/>
        </w:r>
        <w:r w:rsidR="001C6959">
          <w:rPr>
            <w:webHidden/>
          </w:rPr>
          <w:instrText xml:space="preserve"> PAGEREF _Toc35347269 \h </w:instrText>
        </w:r>
        <w:r w:rsidR="001C6959">
          <w:rPr>
            <w:webHidden/>
          </w:rPr>
        </w:r>
        <w:r w:rsidR="001C6959">
          <w:rPr>
            <w:webHidden/>
          </w:rPr>
          <w:fldChar w:fldCharType="separate"/>
        </w:r>
        <w:r w:rsidR="001C6959">
          <w:rPr>
            <w:webHidden/>
          </w:rPr>
          <w:t>55</w:t>
        </w:r>
        <w:r w:rsidR="001C6959">
          <w:rPr>
            <w:webHidden/>
          </w:rPr>
          <w:fldChar w:fldCharType="end"/>
        </w:r>
      </w:hyperlink>
    </w:p>
    <w:p w14:paraId="7AF81F3D" w14:textId="0D90CA91" w:rsidR="001C6959" w:rsidRDefault="00677F75">
      <w:pPr>
        <w:pStyle w:val="TOC3"/>
        <w:rPr>
          <w:rFonts w:eastAsiaTheme="minorEastAsia" w:cstheme="minorBidi"/>
          <w:i w:val="0"/>
          <w:sz w:val="22"/>
          <w:szCs w:val="22"/>
          <w:lang w:val="en-AU"/>
        </w:rPr>
      </w:pPr>
      <w:hyperlink w:anchor="_Toc35347270" w:history="1">
        <w:r w:rsidR="001C6959" w:rsidRPr="00737F18">
          <w:rPr>
            <w:rStyle w:val="Hyperlink"/>
          </w:rPr>
          <w:t>9.2.1</w:t>
        </w:r>
        <w:r w:rsidR="001C6959">
          <w:rPr>
            <w:rFonts w:eastAsiaTheme="minorEastAsia" w:cstheme="minorBidi"/>
            <w:i w:val="0"/>
            <w:sz w:val="22"/>
            <w:szCs w:val="22"/>
            <w:lang w:val="en-AU"/>
          </w:rPr>
          <w:tab/>
        </w:r>
        <w:r w:rsidR="001C6959" w:rsidRPr="00737F18">
          <w:rPr>
            <w:rStyle w:val="Hyperlink"/>
          </w:rPr>
          <w:t>Recommendation 10</w:t>
        </w:r>
        <w:r w:rsidR="001C6959">
          <w:rPr>
            <w:webHidden/>
          </w:rPr>
          <w:tab/>
        </w:r>
        <w:r w:rsidR="001C6959">
          <w:rPr>
            <w:webHidden/>
          </w:rPr>
          <w:fldChar w:fldCharType="begin"/>
        </w:r>
        <w:r w:rsidR="001C6959">
          <w:rPr>
            <w:webHidden/>
          </w:rPr>
          <w:instrText xml:space="preserve"> PAGEREF _Toc35347270 \h </w:instrText>
        </w:r>
        <w:r w:rsidR="001C6959">
          <w:rPr>
            <w:webHidden/>
          </w:rPr>
        </w:r>
        <w:r w:rsidR="001C6959">
          <w:rPr>
            <w:webHidden/>
          </w:rPr>
          <w:fldChar w:fldCharType="separate"/>
        </w:r>
        <w:r w:rsidR="001C6959">
          <w:rPr>
            <w:webHidden/>
          </w:rPr>
          <w:t>56</w:t>
        </w:r>
        <w:r w:rsidR="001C6959">
          <w:rPr>
            <w:webHidden/>
          </w:rPr>
          <w:fldChar w:fldCharType="end"/>
        </w:r>
      </w:hyperlink>
    </w:p>
    <w:p w14:paraId="1BD357C8" w14:textId="565FC6D4" w:rsidR="001C6959" w:rsidRDefault="00677F75">
      <w:pPr>
        <w:pStyle w:val="TOC3"/>
        <w:rPr>
          <w:rFonts w:eastAsiaTheme="minorEastAsia" w:cstheme="minorBidi"/>
          <w:i w:val="0"/>
          <w:sz w:val="22"/>
          <w:szCs w:val="22"/>
          <w:lang w:val="en-AU"/>
        </w:rPr>
      </w:pPr>
      <w:hyperlink w:anchor="_Toc35347271" w:history="1">
        <w:r w:rsidR="001C6959" w:rsidRPr="00737F18">
          <w:rPr>
            <w:rStyle w:val="Hyperlink"/>
          </w:rPr>
          <w:t>9.2.2</w:t>
        </w:r>
        <w:r w:rsidR="001C6959">
          <w:rPr>
            <w:rFonts w:eastAsiaTheme="minorEastAsia" w:cstheme="minorBidi"/>
            <w:i w:val="0"/>
            <w:sz w:val="22"/>
            <w:szCs w:val="22"/>
            <w:lang w:val="en-AU"/>
          </w:rPr>
          <w:tab/>
        </w:r>
        <w:r w:rsidR="001C6959" w:rsidRPr="00737F18">
          <w:rPr>
            <w:rStyle w:val="Hyperlink"/>
          </w:rPr>
          <w:t>Rationale for Recommendation 10</w:t>
        </w:r>
        <w:r w:rsidR="001C6959">
          <w:rPr>
            <w:webHidden/>
          </w:rPr>
          <w:tab/>
        </w:r>
        <w:r w:rsidR="001C6959">
          <w:rPr>
            <w:webHidden/>
          </w:rPr>
          <w:fldChar w:fldCharType="begin"/>
        </w:r>
        <w:r w:rsidR="001C6959">
          <w:rPr>
            <w:webHidden/>
          </w:rPr>
          <w:instrText xml:space="preserve"> PAGEREF _Toc35347271 \h </w:instrText>
        </w:r>
        <w:r w:rsidR="001C6959">
          <w:rPr>
            <w:webHidden/>
          </w:rPr>
        </w:r>
        <w:r w:rsidR="001C6959">
          <w:rPr>
            <w:webHidden/>
          </w:rPr>
          <w:fldChar w:fldCharType="separate"/>
        </w:r>
        <w:r w:rsidR="001C6959">
          <w:rPr>
            <w:webHidden/>
          </w:rPr>
          <w:t>58</w:t>
        </w:r>
        <w:r w:rsidR="001C6959">
          <w:rPr>
            <w:webHidden/>
          </w:rPr>
          <w:fldChar w:fldCharType="end"/>
        </w:r>
      </w:hyperlink>
    </w:p>
    <w:p w14:paraId="15DB476F" w14:textId="5B59D22B" w:rsidR="001C6959" w:rsidRDefault="00677F75">
      <w:pPr>
        <w:pStyle w:val="TOC1"/>
        <w:rPr>
          <w:rFonts w:eastAsiaTheme="minorEastAsia" w:cstheme="minorBidi"/>
          <w:b w:val="0"/>
          <w:sz w:val="22"/>
          <w:szCs w:val="22"/>
          <w:lang w:val="en-AU"/>
        </w:rPr>
      </w:pPr>
      <w:hyperlink w:anchor="_Toc35347272" w:history="1">
        <w:r w:rsidR="001C6959" w:rsidRPr="00737F18">
          <w:rPr>
            <w:rStyle w:val="Hyperlink"/>
          </w:rPr>
          <w:t>10</w:t>
        </w:r>
        <w:r w:rsidR="001C6959">
          <w:rPr>
            <w:rFonts w:eastAsiaTheme="minorEastAsia" w:cstheme="minorBidi"/>
            <w:b w:val="0"/>
            <w:sz w:val="22"/>
            <w:szCs w:val="22"/>
            <w:lang w:val="en-AU"/>
          </w:rPr>
          <w:tab/>
        </w:r>
        <w:r w:rsidR="001C6959" w:rsidRPr="00737F18">
          <w:rPr>
            <w:rStyle w:val="Hyperlink"/>
          </w:rPr>
          <w:t>Co-claiming recommendations</w:t>
        </w:r>
        <w:r w:rsidR="001C6959">
          <w:rPr>
            <w:webHidden/>
          </w:rPr>
          <w:tab/>
        </w:r>
        <w:r w:rsidR="001C6959">
          <w:rPr>
            <w:webHidden/>
          </w:rPr>
          <w:fldChar w:fldCharType="begin"/>
        </w:r>
        <w:r w:rsidR="001C6959">
          <w:rPr>
            <w:webHidden/>
          </w:rPr>
          <w:instrText xml:space="preserve"> PAGEREF _Toc35347272 \h </w:instrText>
        </w:r>
        <w:r w:rsidR="001C6959">
          <w:rPr>
            <w:webHidden/>
          </w:rPr>
        </w:r>
        <w:r w:rsidR="001C6959">
          <w:rPr>
            <w:webHidden/>
          </w:rPr>
          <w:fldChar w:fldCharType="separate"/>
        </w:r>
        <w:r w:rsidR="001C6959">
          <w:rPr>
            <w:webHidden/>
          </w:rPr>
          <w:t>59</w:t>
        </w:r>
        <w:r w:rsidR="001C6959">
          <w:rPr>
            <w:webHidden/>
          </w:rPr>
          <w:fldChar w:fldCharType="end"/>
        </w:r>
      </w:hyperlink>
    </w:p>
    <w:p w14:paraId="18503482" w14:textId="069EB85C" w:rsidR="001C6959" w:rsidRDefault="00677F75">
      <w:pPr>
        <w:pStyle w:val="TOC2"/>
        <w:rPr>
          <w:rFonts w:eastAsiaTheme="minorEastAsia" w:cstheme="minorBidi"/>
          <w:sz w:val="22"/>
          <w:szCs w:val="22"/>
          <w:lang w:val="en-AU"/>
        </w:rPr>
      </w:pPr>
      <w:hyperlink w:anchor="_Toc35347273" w:history="1">
        <w:r w:rsidR="001C6959" w:rsidRPr="00737F18">
          <w:rPr>
            <w:rStyle w:val="Hyperlink"/>
          </w:rPr>
          <w:t>10.1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_Toc35347273 \h </w:instrText>
        </w:r>
        <w:r w:rsidR="001C6959">
          <w:rPr>
            <w:webHidden/>
          </w:rPr>
        </w:r>
        <w:r w:rsidR="001C6959">
          <w:rPr>
            <w:webHidden/>
          </w:rPr>
          <w:fldChar w:fldCharType="separate"/>
        </w:r>
        <w:r w:rsidR="001C6959">
          <w:rPr>
            <w:webHidden/>
          </w:rPr>
          <w:t>59</w:t>
        </w:r>
        <w:r w:rsidR="001C6959">
          <w:rPr>
            <w:webHidden/>
          </w:rPr>
          <w:fldChar w:fldCharType="end"/>
        </w:r>
      </w:hyperlink>
    </w:p>
    <w:p w14:paraId="57FB2821" w14:textId="0CC0954E" w:rsidR="001C6959" w:rsidRDefault="00677F75">
      <w:pPr>
        <w:pStyle w:val="TOC2"/>
        <w:rPr>
          <w:rFonts w:eastAsiaTheme="minorEastAsia" w:cstheme="minorBidi"/>
          <w:sz w:val="22"/>
          <w:szCs w:val="22"/>
          <w:lang w:val="en-AU"/>
        </w:rPr>
      </w:pPr>
      <w:hyperlink w:anchor="_Toc35347274" w:history="1">
        <w:r w:rsidR="001C6959" w:rsidRPr="00737F18">
          <w:rPr>
            <w:rStyle w:val="Hyperlink"/>
          </w:rPr>
          <w:t>10.2</w:t>
        </w:r>
        <w:r w:rsidR="001C6959">
          <w:rPr>
            <w:rFonts w:eastAsiaTheme="minorEastAsia" w:cstheme="minorBidi"/>
            <w:sz w:val="22"/>
            <w:szCs w:val="22"/>
            <w:lang w:val="en-AU"/>
          </w:rPr>
          <w:tab/>
        </w:r>
        <w:r w:rsidR="001C6959" w:rsidRPr="00737F18">
          <w:rPr>
            <w:rStyle w:val="Hyperlink"/>
            <w:lang w:val="en-US"/>
          </w:rPr>
          <w:t>Co-claiming restrictions</w:t>
        </w:r>
        <w:r w:rsidR="001C6959">
          <w:rPr>
            <w:webHidden/>
          </w:rPr>
          <w:tab/>
        </w:r>
        <w:r w:rsidR="001C6959">
          <w:rPr>
            <w:webHidden/>
          </w:rPr>
          <w:fldChar w:fldCharType="begin"/>
        </w:r>
        <w:r w:rsidR="001C6959">
          <w:rPr>
            <w:webHidden/>
          </w:rPr>
          <w:instrText xml:space="preserve"> PAGEREF _Toc35347274 \h </w:instrText>
        </w:r>
        <w:r w:rsidR="001C6959">
          <w:rPr>
            <w:webHidden/>
          </w:rPr>
        </w:r>
        <w:r w:rsidR="001C6959">
          <w:rPr>
            <w:webHidden/>
          </w:rPr>
          <w:fldChar w:fldCharType="separate"/>
        </w:r>
        <w:r w:rsidR="001C6959">
          <w:rPr>
            <w:webHidden/>
          </w:rPr>
          <w:t>59</w:t>
        </w:r>
        <w:r w:rsidR="001C6959">
          <w:rPr>
            <w:webHidden/>
          </w:rPr>
          <w:fldChar w:fldCharType="end"/>
        </w:r>
      </w:hyperlink>
    </w:p>
    <w:p w14:paraId="593F7013" w14:textId="6E99899A" w:rsidR="001C6959" w:rsidRDefault="00677F75">
      <w:pPr>
        <w:pStyle w:val="TOC3"/>
        <w:rPr>
          <w:rFonts w:eastAsiaTheme="minorEastAsia" w:cstheme="minorBidi"/>
          <w:i w:val="0"/>
          <w:sz w:val="22"/>
          <w:szCs w:val="22"/>
          <w:lang w:val="en-AU"/>
        </w:rPr>
      </w:pPr>
      <w:hyperlink w:anchor="_Toc35347275" w:history="1">
        <w:r w:rsidR="001C6959" w:rsidRPr="00737F18">
          <w:rPr>
            <w:rStyle w:val="Hyperlink"/>
          </w:rPr>
          <w:t>10.2.1</w:t>
        </w:r>
        <w:r w:rsidR="001C6959">
          <w:rPr>
            <w:rFonts w:eastAsiaTheme="minorEastAsia" w:cstheme="minorBidi"/>
            <w:i w:val="0"/>
            <w:sz w:val="22"/>
            <w:szCs w:val="22"/>
            <w:lang w:val="en-AU"/>
          </w:rPr>
          <w:tab/>
        </w:r>
        <w:r w:rsidR="001C6959" w:rsidRPr="00737F18">
          <w:rPr>
            <w:rStyle w:val="Hyperlink"/>
          </w:rPr>
          <w:t>Recommendation 11</w:t>
        </w:r>
        <w:r w:rsidR="001C6959">
          <w:rPr>
            <w:webHidden/>
          </w:rPr>
          <w:tab/>
        </w:r>
        <w:r w:rsidR="001C6959">
          <w:rPr>
            <w:webHidden/>
          </w:rPr>
          <w:fldChar w:fldCharType="begin"/>
        </w:r>
        <w:r w:rsidR="001C6959">
          <w:rPr>
            <w:webHidden/>
          </w:rPr>
          <w:instrText xml:space="preserve"> PAGEREF _Toc35347275 \h </w:instrText>
        </w:r>
        <w:r w:rsidR="001C6959">
          <w:rPr>
            <w:webHidden/>
          </w:rPr>
        </w:r>
        <w:r w:rsidR="001C6959">
          <w:rPr>
            <w:webHidden/>
          </w:rPr>
          <w:fldChar w:fldCharType="separate"/>
        </w:r>
        <w:r w:rsidR="001C6959">
          <w:rPr>
            <w:webHidden/>
          </w:rPr>
          <w:t>59</w:t>
        </w:r>
        <w:r w:rsidR="001C6959">
          <w:rPr>
            <w:webHidden/>
          </w:rPr>
          <w:fldChar w:fldCharType="end"/>
        </w:r>
      </w:hyperlink>
    </w:p>
    <w:p w14:paraId="71BB6CEE" w14:textId="37D4CFA0" w:rsidR="001C6959" w:rsidRDefault="00677F75">
      <w:pPr>
        <w:pStyle w:val="TOC3"/>
        <w:rPr>
          <w:rFonts w:eastAsiaTheme="minorEastAsia" w:cstheme="minorBidi"/>
          <w:i w:val="0"/>
          <w:sz w:val="22"/>
          <w:szCs w:val="22"/>
          <w:lang w:val="en-AU"/>
        </w:rPr>
      </w:pPr>
      <w:hyperlink w:anchor="_Toc35347276" w:history="1">
        <w:r w:rsidR="001C6959" w:rsidRPr="00737F18">
          <w:rPr>
            <w:rStyle w:val="Hyperlink"/>
          </w:rPr>
          <w:t>10.2.2</w:t>
        </w:r>
        <w:r w:rsidR="001C6959">
          <w:rPr>
            <w:rFonts w:eastAsiaTheme="minorEastAsia" w:cstheme="minorBidi"/>
            <w:i w:val="0"/>
            <w:sz w:val="22"/>
            <w:szCs w:val="22"/>
            <w:lang w:val="en-AU"/>
          </w:rPr>
          <w:tab/>
        </w:r>
        <w:r w:rsidR="001C6959" w:rsidRPr="00737F18">
          <w:rPr>
            <w:rStyle w:val="Hyperlink"/>
          </w:rPr>
          <w:t>Rationale for Recommendation 11</w:t>
        </w:r>
        <w:r w:rsidR="001C6959">
          <w:rPr>
            <w:webHidden/>
          </w:rPr>
          <w:tab/>
        </w:r>
        <w:r w:rsidR="001C6959">
          <w:rPr>
            <w:webHidden/>
          </w:rPr>
          <w:fldChar w:fldCharType="begin"/>
        </w:r>
        <w:r w:rsidR="001C6959">
          <w:rPr>
            <w:webHidden/>
          </w:rPr>
          <w:instrText xml:space="preserve"> PAGEREF _Toc35347276 \h </w:instrText>
        </w:r>
        <w:r w:rsidR="001C6959">
          <w:rPr>
            <w:webHidden/>
          </w:rPr>
        </w:r>
        <w:r w:rsidR="001C6959">
          <w:rPr>
            <w:webHidden/>
          </w:rPr>
          <w:fldChar w:fldCharType="separate"/>
        </w:r>
        <w:r w:rsidR="001C6959">
          <w:rPr>
            <w:webHidden/>
          </w:rPr>
          <w:t>60</w:t>
        </w:r>
        <w:r w:rsidR="001C6959">
          <w:rPr>
            <w:webHidden/>
          </w:rPr>
          <w:fldChar w:fldCharType="end"/>
        </w:r>
      </w:hyperlink>
    </w:p>
    <w:p w14:paraId="3E4ED31B" w14:textId="540D150C" w:rsidR="001C6959" w:rsidRDefault="00677F75">
      <w:pPr>
        <w:pStyle w:val="TOC1"/>
        <w:rPr>
          <w:rFonts w:eastAsiaTheme="minorEastAsia" w:cstheme="minorBidi"/>
          <w:b w:val="0"/>
          <w:sz w:val="22"/>
          <w:szCs w:val="22"/>
          <w:lang w:val="en-AU"/>
        </w:rPr>
      </w:pPr>
      <w:hyperlink w:anchor="_Toc35347277" w:history="1">
        <w:r w:rsidR="001C6959" w:rsidRPr="00737F18">
          <w:rPr>
            <w:rStyle w:val="Hyperlink"/>
          </w:rPr>
          <w:t>11</w:t>
        </w:r>
        <w:r w:rsidR="001C6959">
          <w:rPr>
            <w:rFonts w:eastAsiaTheme="minorEastAsia" w:cstheme="minorBidi"/>
            <w:b w:val="0"/>
            <w:sz w:val="22"/>
            <w:szCs w:val="22"/>
            <w:lang w:val="en-AU"/>
          </w:rPr>
          <w:tab/>
        </w:r>
        <w:r w:rsidR="001C6959" w:rsidRPr="00737F18">
          <w:rPr>
            <w:rStyle w:val="Hyperlink"/>
            <w:lang w:val="en-US"/>
          </w:rPr>
          <w:t>Telemedicine recommendations</w:t>
        </w:r>
        <w:r w:rsidR="001C6959">
          <w:rPr>
            <w:webHidden/>
          </w:rPr>
          <w:tab/>
        </w:r>
        <w:r w:rsidR="001C6959">
          <w:rPr>
            <w:webHidden/>
          </w:rPr>
          <w:fldChar w:fldCharType="begin"/>
        </w:r>
        <w:r w:rsidR="001C6959">
          <w:rPr>
            <w:webHidden/>
          </w:rPr>
          <w:instrText xml:space="preserve"> PAGEREF _Toc35347277 \h </w:instrText>
        </w:r>
        <w:r w:rsidR="001C6959">
          <w:rPr>
            <w:webHidden/>
          </w:rPr>
        </w:r>
        <w:r w:rsidR="001C6959">
          <w:rPr>
            <w:webHidden/>
          </w:rPr>
          <w:fldChar w:fldCharType="separate"/>
        </w:r>
        <w:r w:rsidR="001C6959">
          <w:rPr>
            <w:webHidden/>
          </w:rPr>
          <w:t>61</w:t>
        </w:r>
        <w:r w:rsidR="001C6959">
          <w:rPr>
            <w:webHidden/>
          </w:rPr>
          <w:fldChar w:fldCharType="end"/>
        </w:r>
      </w:hyperlink>
    </w:p>
    <w:p w14:paraId="71059B55" w14:textId="6E32FCCD" w:rsidR="001C6959" w:rsidRDefault="00677F75">
      <w:pPr>
        <w:pStyle w:val="TOC2"/>
        <w:rPr>
          <w:rFonts w:eastAsiaTheme="minorEastAsia" w:cstheme="minorBidi"/>
          <w:sz w:val="22"/>
          <w:szCs w:val="22"/>
          <w:lang w:val="en-AU"/>
        </w:rPr>
      </w:pPr>
      <w:hyperlink w:anchor="_Toc35347278" w:history="1">
        <w:r w:rsidR="001C6959" w:rsidRPr="00737F18">
          <w:rPr>
            <w:rStyle w:val="Hyperlink"/>
          </w:rPr>
          <w:t>11.1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_Toc35347278 \h </w:instrText>
        </w:r>
        <w:r w:rsidR="001C6959">
          <w:rPr>
            <w:webHidden/>
          </w:rPr>
        </w:r>
        <w:r w:rsidR="001C6959">
          <w:rPr>
            <w:webHidden/>
          </w:rPr>
          <w:fldChar w:fldCharType="separate"/>
        </w:r>
        <w:r w:rsidR="001C6959">
          <w:rPr>
            <w:webHidden/>
          </w:rPr>
          <w:t>61</w:t>
        </w:r>
        <w:r w:rsidR="001C6959">
          <w:rPr>
            <w:webHidden/>
          </w:rPr>
          <w:fldChar w:fldCharType="end"/>
        </w:r>
      </w:hyperlink>
    </w:p>
    <w:p w14:paraId="7F24F4A0" w14:textId="219B1E91" w:rsidR="001C6959" w:rsidRDefault="00677F75">
      <w:pPr>
        <w:pStyle w:val="TOC2"/>
        <w:rPr>
          <w:rFonts w:eastAsiaTheme="minorEastAsia" w:cstheme="minorBidi"/>
          <w:sz w:val="22"/>
          <w:szCs w:val="22"/>
          <w:lang w:val="en-AU"/>
        </w:rPr>
      </w:pPr>
      <w:hyperlink w:anchor="_Toc35347279" w:history="1">
        <w:r w:rsidR="001C6959" w:rsidRPr="00737F18">
          <w:rPr>
            <w:rStyle w:val="Hyperlink"/>
          </w:rPr>
          <w:t>11.2</w:t>
        </w:r>
        <w:r w:rsidR="001C6959">
          <w:rPr>
            <w:rFonts w:eastAsiaTheme="minorEastAsia" w:cstheme="minorBidi"/>
            <w:sz w:val="22"/>
            <w:szCs w:val="22"/>
            <w:lang w:val="en-AU"/>
          </w:rPr>
          <w:tab/>
        </w:r>
        <w:r w:rsidR="001C6959" w:rsidRPr="00737F18">
          <w:rPr>
            <w:rStyle w:val="Hyperlink"/>
            <w:lang w:val="en-US"/>
          </w:rPr>
          <w:t>Restructuring telemedicine items</w:t>
        </w:r>
        <w:r w:rsidR="001C6959">
          <w:rPr>
            <w:webHidden/>
          </w:rPr>
          <w:tab/>
        </w:r>
        <w:r w:rsidR="001C6959">
          <w:rPr>
            <w:webHidden/>
          </w:rPr>
          <w:fldChar w:fldCharType="begin"/>
        </w:r>
        <w:r w:rsidR="001C6959">
          <w:rPr>
            <w:webHidden/>
          </w:rPr>
          <w:instrText xml:space="preserve"> PAGEREF _Toc35347279 \h </w:instrText>
        </w:r>
        <w:r w:rsidR="001C6959">
          <w:rPr>
            <w:webHidden/>
          </w:rPr>
        </w:r>
        <w:r w:rsidR="001C6959">
          <w:rPr>
            <w:webHidden/>
          </w:rPr>
          <w:fldChar w:fldCharType="separate"/>
        </w:r>
        <w:r w:rsidR="001C6959">
          <w:rPr>
            <w:webHidden/>
          </w:rPr>
          <w:t>61</w:t>
        </w:r>
        <w:r w:rsidR="001C6959">
          <w:rPr>
            <w:webHidden/>
          </w:rPr>
          <w:fldChar w:fldCharType="end"/>
        </w:r>
      </w:hyperlink>
    </w:p>
    <w:p w14:paraId="47C99BEE" w14:textId="60D59FED" w:rsidR="001C6959" w:rsidRDefault="00677F75">
      <w:pPr>
        <w:pStyle w:val="TOC3"/>
        <w:rPr>
          <w:rFonts w:eastAsiaTheme="minorEastAsia" w:cstheme="minorBidi"/>
          <w:i w:val="0"/>
          <w:sz w:val="22"/>
          <w:szCs w:val="22"/>
          <w:lang w:val="en-AU"/>
        </w:rPr>
      </w:pPr>
      <w:hyperlink w:anchor="_Toc35347280" w:history="1">
        <w:r w:rsidR="001C6959" w:rsidRPr="00737F18">
          <w:rPr>
            <w:rStyle w:val="Hyperlink"/>
          </w:rPr>
          <w:t>11.2.1</w:t>
        </w:r>
        <w:r w:rsidR="001C6959">
          <w:rPr>
            <w:rFonts w:eastAsiaTheme="minorEastAsia" w:cstheme="minorBidi"/>
            <w:i w:val="0"/>
            <w:sz w:val="22"/>
            <w:szCs w:val="22"/>
            <w:lang w:val="en-AU"/>
          </w:rPr>
          <w:tab/>
        </w:r>
        <w:r w:rsidR="001C6959" w:rsidRPr="00737F18">
          <w:rPr>
            <w:rStyle w:val="Hyperlink"/>
          </w:rPr>
          <w:t>Recommendation 12</w:t>
        </w:r>
        <w:r w:rsidR="001C6959">
          <w:rPr>
            <w:webHidden/>
          </w:rPr>
          <w:tab/>
        </w:r>
        <w:r w:rsidR="001C6959">
          <w:rPr>
            <w:webHidden/>
          </w:rPr>
          <w:fldChar w:fldCharType="begin"/>
        </w:r>
        <w:r w:rsidR="001C6959">
          <w:rPr>
            <w:webHidden/>
          </w:rPr>
          <w:instrText xml:space="preserve"> PAGEREF _Toc35347280 \h </w:instrText>
        </w:r>
        <w:r w:rsidR="001C6959">
          <w:rPr>
            <w:webHidden/>
          </w:rPr>
        </w:r>
        <w:r w:rsidR="001C6959">
          <w:rPr>
            <w:webHidden/>
          </w:rPr>
          <w:fldChar w:fldCharType="separate"/>
        </w:r>
        <w:r w:rsidR="001C6959">
          <w:rPr>
            <w:webHidden/>
          </w:rPr>
          <w:t>61</w:t>
        </w:r>
        <w:r w:rsidR="001C6959">
          <w:rPr>
            <w:webHidden/>
          </w:rPr>
          <w:fldChar w:fldCharType="end"/>
        </w:r>
      </w:hyperlink>
    </w:p>
    <w:p w14:paraId="1C6FD267" w14:textId="0D959059" w:rsidR="001C6959" w:rsidRDefault="00677F75">
      <w:pPr>
        <w:pStyle w:val="TOC3"/>
        <w:rPr>
          <w:rFonts w:eastAsiaTheme="minorEastAsia" w:cstheme="minorBidi"/>
          <w:i w:val="0"/>
          <w:sz w:val="22"/>
          <w:szCs w:val="22"/>
          <w:lang w:val="en-AU"/>
        </w:rPr>
      </w:pPr>
      <w:hyperlink w:anchor="_Toc35347281" w:history="1">
        <w:r w:rsidR="001C6959" w:rsidRPr="00737F18">
          <w:rPr>
            <w:rStyle w:val="Hyperlink"/>
          </w:rPr>
          <w:t>11.2.2</w:t>
        </w:r>
        <w:r w:rsidR="001C6959">
          <w:rPr>
            <w:rFonts w:eastAsiaTheme="minorEastAsia" w:cstheme="minorBidi"/>
            <w:i w:val="0"/>
            <w:sz w:val="22"/>
            <w:szCs w:val="22"/>
            <w:lang w:val="en-AU"/>
          </w:rPr>
          <w:tab/>
        </w:r>
        <w:r w:rsidR="001C6959" w:rsidRPr="00737F18">
          <w:rPr>
            <w:rStyle w:val="Hyperlink"/>
          </w:rPr>
          <w:t>Rationale for Recommendation 12</w:t>
        </w:r>
        <w:r w:rsidR="001C6959">
          <w:rPr>
            <w:webHidden/>
          </w:rPr>
          <w:tab/>
        </w:r>
        <w:r w:rsidR="001C6959">
          <w:rPr>
            <w:webHidden/>
          </w:rPr>
          <w:fldChar w:fldCharType="begin"/>
        </w:r>
        <w:r w:rsidR="001C6959">
          <w:rPr>
            <w:webHidden/>
          </w:rPr>
          <w:instrText xml:space="preserve"> PAGEREF _Toc35347281 \h </w:instrText>
        </w:r>
        <w:r w:rsidR="001C6959">
          <w:rPr>
            <w:webHidden/>
          </w:rPr>
        </w:r>
        <w:r w:rsidR="001C6959">
          <w:rPr>
            <w:webHidden/>
          </w:rPr>
          <w:fldChar w:fldCharType="separate"/>
        </w:r>
        <w:r w:rsidR="001C6959">
          <w:rPr>
            <w:webHidden/>
          </w:rPr>
          <w:t>61</w:t>
        </w:r>
        <w:r w:rsidR="001C6959">
          <w:rPr>
            <w:webHidden/>
          </w:rPr>
          <w:fldChar w:fldCharType="end"/>
        </w:r>
      </w:hyperlink>
    </w:p>
    <w:p w14:paraId="08E78433" w14:textId="56FA28C4" w:rsidR="001C6959" w:rsidRDefault="00677F75">
      <w:pPr>
        <w:pStyle w:val="TOC1"/>
        <w:rPr>
          <w:rFonts w:eastAsiaTheme="minorEastAsia" w:cstheme="minorBidi"/>
          <w:b w:val="0"/>
          <w:sz w:val="22"/>
          <w:szCs w:val="22"/>
          <w:lang w:val="en-AU"/>
        </w:rPr>
      </w:pPr>
      <w:hyperlink w:anchor="_Toc35347282" w:history="1">
        <w:r w:rsidR="001C6959" w:rsidRPr="00737F18">
          <w:rPr>
            <w:rStyle w:val="Hyperlink"/>
          </w:rPr>
          <w:t>12</w:t>
        </w:r>
        <w:r w:rsidR="001C6959">
          <w:rPr>
            <w:rFonts w:eastAsiaTheme="minorEastAsia" w:cstheme="minorBidi"/>
            <w:b w:val="0"/>
            <w:sz w:val="22"/>
            <w:szCs w:val="22"/>
            <w:lang w:val="en-AU"/>
          </w:rPr>
          <w:tab/>
        </w:r>
        <w:r w:rsidR="001C6959" w:rsidRPr="00737F18">
          <w:rPr>
            <w:rStyle w:val="Hyperlink"/>
            <w:lang w:val="en-US"/>
          </w:rPr>
          <w:t>General recommendations</w:t>
        </w:r>
        <w:r w:rsidR="001C6959">
          <w:rPr>
            <w:webHidden/>
          </w:rPr>
          <w:tab/>
        </w:r>
        <w:r w:rsidR="001C6959">
          <w:rPr>
            <w:webHidden/>
          </w:rPr>
          <w:fldChar w:fldCharType="begin"/>
        </w:r>
        <w:r w:rsidR="001C6959">
          <w:rPr>
            <w:webHidden/>
          </w:rPr>
          <w:instrText xml:space="preserve"> PAGEREF _Toc35347282 \h </w:instrText>
        </w:r>
        <w:r w:rsidR="001C6959">
          <w:rPr>
            <w:webHidden/>
          </w:rPr>
        </w:r>
        <w:r w:rsidR="001C6959">
          <w:rPr>
            <w:webHidden/>
          </w:rPr>
          <w:fldChar w:fldCharType="separate"/>
        </w:r>
        <w:r w:rsidR="001C6959">
          <w:rPr>
            <w:webHidden/>
          </w:rPr>
          <w:t>63</w:t>
        </w:r>
        <w:r w:rsidR="001C6959">
          <w:rPr>
            <w:webHidden/>
          </w:rPr>
          <w:fldChar w:fldCharType="end"/>
        </w:r>
      </w:hyperlink>
    </w:p>
    <w:p w14:paraId="34C756A5" w14:textId="12283983" w:rsidR="001C6959" w:rsidRDefault="00677F75">
      <w:pPr>
        <w:pStyle w:val="TOC2"/>
        <w:rPr>
          <w:rFonts w:eastAsiaTheme="minorEastAsia" w:cstheme="minorBidi"/>
          <w:sz w:val="22"/>
          <w:szCs w:val="22"/>
          <w:lang w:val="en-AU"/>
        </w:rPr>
      </w:pPr>
      <w:hyperlink w:anchor="_Toc35347283" w:history="1">
        <w:r w:rsidR="001C6959" w:rsidRPr="00737F18">
          <w:rPr>
            <w:rStyle w:val="Hyperlink"/>
          </w:rPr>
          <w:t>12.1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_Toc35347283 \h </w:instrText>
        </w:r>
        <w:r w:rsidR="001C6959">
          <w:rPr>
            <w:webHidden/>
          </w:rPr>
        </w:r>
        <w:r w:rsidR="001C6959">
          <w:rPr>
            <w:webHidden/>
          </w:rPr>
          <w:fldChar w:fldCharType="separate"/>
        </w:r>
        <w:r w:rsidR="001C6959">
          <w:rPr>
            <w:webHidden/>
          </w:rPr>
          <w:t>63</w:t>
        </w:r>
        <w:r w:rsidR="001C6959">
          <w:rPr>
            <w:webHidden/>
          </w:rPr>
          <w:fldChar w:fldCharType="end"/>
        </w:r>
      </w:hyperlink>
    </w:p>
    <w:p w14:paraId="5E53C1AB" w14:textId="3F8E6365" w:rsidR="001C6959" w:rsidRDefault="00677F75">
      <w:pPr>
        <w:pStyle w:val="TOC2"/>
        <w:rPr>
          <w:rFonts w:eastAsiaTheme="minorEastAsia" w:cstheme="minorBidi"/>
          <w:sz w:val="22"/>
          <w:szCs w:val="22"/>
          <w:lang w:val="en-AU"/>
        </w:rPr>
      </w:pPr>
      <w:hyperlink w:anchor="_Toc35347284" w:history="1">
        <w:r w:rsidR="001C6959" w:rsidRPr="00737F18">
          <w:rPr>
            <w:rStyle w:val="Hyperlink"/>
          </w:rPr>
          <w:t>12.2</w:t>
        </w:r>
        <w:r w:rsidR="001C6959">
          <w:rPr>
            <w:rFonts w:eastAsiaTheme="minorEastAsia" w:cstheme="minorBidi"/>
            <w:sz w:val="22"/>
            <w:szCs w:val="22"/>
            <w:lang w:val="en-AU"/>
          </w:rPr>
          <w:tab/>
        </w:r>
        <w:r w:rsidR="001C6959" w:rsidRPr="00737F18">
          <w:rPr>
            <w:rStyle w:val="Hyperlink"/>
            <w:lang w:val="en-US"/>
          </w:rPr>
          <w:t>Ongoing review</w:t>
        </w:r>
        <w:r w:rsidR="001C6959">
          <w:rPr>
            <w:webHidden/>
          </w:rPr>
          <w:tab/>
        </w:r>
        <w:r w:rsidR="001C6959">
          <w:rPr>
            <w:webHidden/>
          </w:rPr>
          <w:fldChar w:fldCharType="begin"/>
        </w:r>
        <w:r w:rsidR="001C6959">
          <w:rPr>
            <w:webHidden/>
          </w:rPr>
          <w:instrText xml:space="preserve"> PAGEREF _Toc35347284 \h </w:instrText>
        </w:r>
        <w:r w:rsidR="001C6959">
          <w:rPr>
            <w:webHidden/>
          </w:rPr>
        </w:r>
        <w:r w:rsidR="001C6959">
          <w:rPr>
            <w:webHidden/>
          </w:rPr>
          <w:fldChar w:fldCharType="separate"/>
        </w:r>
        <w:r w:rsidR="001C6959">
          <w:rPr>
            <w:webHidden/>
          </w:rPr>
          <w:t>63</w:t>
        </w:r>
        <w:r w:rsidR="001C6959">
          <w:rPr>
            <w:webHidden/>
          </w:rPr>
          <w:fldChar w:fldCharType="end"/>
        </w:r>
      </w:hyperlink>
    </w:p>
    <w:p w14:paraId="4E39B322" w14:textId="00A1A28C" w:rsidR="001C6959" w:rsidRDefault="00677F75">
      <w:pPr>
        <w:pStyle w:val="TOC3"/>
        <w:rPr>
          <w:rFonts w:eastAsiaTheme="minorEastAsia" w:cstheme="minorBidi"/>
          <w:i w:val="0"/>
          <w:sz w:val="22"/>
          <w:szCs w:val="22"/>
          <w:lang w:val="en-AU"/>
        </w:rPr>
      </w:pPr>
      <w:hyperlink w:anchor="_Toc35347285" w:history="1">
        <w:r w:rsidR="001C6959" w:rsidRPr="00737F18">
          <w:rPr>
            <w:rStyle w:val="Hyperlink"/>
          </w:rPr>
          <w:t>12.2.1</w:t>
        </w:r>
        <w:r w:rsidR="001C6959">
          <w:rPr>
            <w:rFonts w:eastAsiaTheme="minorEastAsia" w:cstheme="minorBidi"/>
            <w:i w:val="0"/>
            <w:sz w:val="22"/>
            <w:szCs w:val="22"/>
            <w:lang w:val="en-AU"/>
          </w:rPr>
          <w:tab/>
        </w:r>
        <w:r w:rsidR="001C6959" w:rsidRPr="00737F18">
          <w:rPr>
            <w:rStyle w:val="Hyperlink"/>
          </w:rPr>
          <w:t>Recommendation 13</w:t>
        </w:r>
        <w:r w:rsidR="001C6959">
          <w:rPr>
            <w:webHidden/>
          </w:rPr>
          <w:tab/>
        </w:r>
        <w:r w:rsidR="001C6959">
          <w:rPr>
            <w:webHidden/>
          </w:rPr>
          <w:fldChar w:fldCharType="begin"/>
        </w:r>
        <w:r w:rsidR="001C6959">
          <w:rPr>
            <w:webHidden/>
          </w:rPr>
          <w:instrText xml:space="preserve"> PAGEREF _Toc35347285 \h </w:instrText>
        </w:r>
        <w:r w:rsidR="001C6959">
          <w:rPr>
            <w:webHidden/>
          </w:rPr>
        </w:r>
        <w:r w:rsidR="001C6959">
          <w:rPr>
            <w:webHidden/>
          </w:rPr>
          <w:fldChar w:fldCharType="separate"/>
        </w:r>
        <w:r w:rsidR="001C6959">
          <w:rPr>
            <w:webHidden/>
          </w:rPr>
          <w:t>63</w:t>
        </w:r>
        <w:r w:rsidR="001C6959">
          <w:rPr>
            <w:webHidden/>
          </w:rPr>
          <w:fldChar w:fldCharType="end"/>
        </w:r>
      </w:hyperlink>
    </w:p>
    <w:p w14:paraId="1699FC6A" w14:textId="2470422A" w:rsidR="001C6959" w:rsidRDefault="00677F75">
      <w:pPr>
        <w:pStyle w:val="TOC3"/>
        <w:rPr>
          <w:rFonts w:eastAsiaTheme="minorEastAsia" w:cstheme="minorBidi"/>
          <w:i w:val="0"/>
          <w:sz w:val="22"/>
          <w:szCs w:val="22"/>
          <w:lang w:val="en-AU"/>
        </w:rPr>
      </w:pPr>
      <w:hyperlink w:anchor="_Toc35347286" w:history="1">
        <w:r w:rsidR="001C6959" w:rsidRPr="00737F18">
          <w:rPr>
            <w:rStyle w:val="Hyperlink"/>
          </w:rPr>
          <w:t>12.2.2</w:t>
        </w:r>
        <w:r w:rsidR="001C6959">
          <w:rPr>
            <w:rFonts w:eastAsiaTheme="minorEastAsia" w:cstheme="minorBidi"/>
            <w:i w:val="0"/>
            <w:sz w:val="22"/>
            <w:szCs w:val="22"/>
            <w:lang w:val="en-AU"/>
          </w:rPr>
          <w:tab/>
        </w:r>
        <w:r w:rsidR="001C6959" w:rsidRPr="00737F18">
          <w:rPr>
            <w:rStyle w:val="Hyperlink"/>
          </w:rPr>
          <w:t>Rationale for Recommendation 13</w:t>
        </w:r>
        <w:r w:rsidR="001C6959">
          <w:rPr>
            <w:webHidden/>
          </w:rPr>
          <w:tab/>
        </w:r>
        <w:r w:rsidR="001C6959">
          <w:rPr>
            <w:webHidden/>
          </w:rPr>
          <w:fldChar w:fldCharType="begin"/>
        </w:r>
        <w:r w:rsidR="001C6959">
          <w:rPr>
            <w:webHidden/>
          </w:rPr>
          <w:instrText xml:space="preserve"> PAGEREF _Toc35347286 \h </w:instrText>
        </w:r>
        <w:r w:rsidR="001C6959">
          <w:rPr>
            <w:webHidden/>
          </w:rPr>
        </w:r>
        <w:r w:rsidR="001C6959">
          <w:rPr>
            <w:webHidden/>
          </w:rPr>
          <w:fldChar w:fldCharType="separate"/>
        </w:r>
        <w:r w:rsidR="001C6959">
          <w:rPr>
            <w:webHidden/>
          </w:rPr>
          <w:t>63</w:t>
        </w:r>
        <w:r w:rsidR="001C6959">
          <w:rPr>
            <w:webHidden/>
          </w:rPr>
          <w:fldChar w:fldCharType="end"/>
        </w:r>
      </w:hyperlink>
    </w:p>
    <w:p w14:paraId="2C7538EA" w14:textId="7EEBA718" w:rsidR="001C6959" w:rsidRDefault="00677F75">
      <w:pPr>
        <w:pStyle w:val="TOC2"/>
        <w:rPr>
          <w:rFonts w:eastAsiaTheme="minorEastAsia" w:cstheme="minorBidi"/>
          <w:sz w:val="22"/>
          <w:szCs w:val="22"/>
          <w:lang w:val="en-AU"/>
        </w:rPr>
      </w:pPr>
      <w:hyperlink w:anchor="_Toc35347287" w:history="1">
        <w:r w:rsidR="001C6959" w:rsidRPr="00737F18">
          <w:rPr>
            <w:rStyle w:val="Hyperlink"/>
          </w:rPr>
          <w:t>12.3</w:t>
        </w:r>
        <w:r w:rsidR="001C6959">
          <w:rPr>
            <w:rFonts w:eastAsiaTheme="minorEastAsia" w:cstheme="minorBidi"/>
            <w:sz w:val="22"/>
            <w:szCs w:val="22"/>
            <w:lang w:val="en-AU"/>
          </w:rPr>
          <w:tab/>
        </w:r>
        <w:r w:rsidR="001C6959" w:rsidRPr="00737F18">
          <w:rPr>
            <w:rStyle w:val="Hyperlink"/>
            <w:lang w:val="en-US"/>
          </w:rPr>
          <w:t>Rural and remote incentives</w:t>
        </w:r>
        <w:r w:rsidR="001C6959">
          <w:rPr>
            <w:webHidden/>
          </w:rPr>
          <w:tab/>
        </w:r>
        <w:r w:rsidR="001C6959">
          <w:rPr>
            <w:webHidden/>
          </w:rPr>
          <w:fldChar w:fldCharType="begin"/>
        </w:r>
        <w:r w:rsidR="001C6959">
          <w:rPr>
            <w:webHidden/>
          </w:rPr>
          <w:instrText xml:space="preserve"> PAGEREF _Toc35347287 \h </w:instrText>
        </w:r>
        <w:r w:rsidR="001C6959">
          <w:rPr>
            <w:webHidden/>
          </w:rPr>
        </w:r>
        <w:r w:rsidR="001C6959">
          <w:rPr>
            <w:webHidden/>
          </w:rPr>
          <w:fldChar w:fldCharType="separate"/>
        </w:r>
        <w:r w:rsidR="001C6959">
          <w:rPr>
            <w:webHidden/>
          </w:rPr>
          <w:t>63</w:t>
        </w:r>
        <w:r w:rsidR="001C6959">
          <w:rPr>
            <w:webHidden/>
          </w:rPr>
          <w:fldChar w:fldCharType="end"/>
        </w:r>
      </w:hyperlink>
    </w:p>
    <w:p w14:paraId="28152AA6" w14:textId="1EFF0A22" w:rsidR="001C6959" w:rsidRDefault="00677F75">
      <w:pPr>
        <w:pStyle w:val="TOC3"/>
        <w:rPr>
          <w:rFonts w:eastAsiaTheme="minorEastAsia" w:cstheme="minorBidi"/>
          <w:i w:val="0"/>
          <w:sz w:val="22"/>
          <w:szCs w:val="22"/>
          <w:lang w:val="en-AU"/>
        </w:rPr>
      </w:pPr>
      <w:hyperlink w:anchor="_Toc35347288" w:history="1">
        <w:r w:rsidR="001C6959" w:rsidRPr="00737F18">
          <w:rPr>
            <w:rStyle w:val="Hyperlink"/>
          </w:rPr>
          <w:t>12.3.1</w:t>
        </w:r>
        <w:r w:rsidR="001C6959">
          <w:rPr>
            <w:rFonts w:eastAsiaTheme="minorEastAsia" w:cstheme="minorBidi"/>
            <w:i w:val="0"/>
            <w:sz w:val="22"/>
            <w:szCs w:val="22"/>
            <w:lang w:val="en-AU"/>
          </w:rPr>
          <w:tab/>
        </w:r>
        <w:r w:rsidR="001C6959" w:rsidRPr="00737F18">
          <w:rPr>
            <w:rStyle w:val="Hyperlink"/>
          </w:rPr>
          <w:t>Recommendation 14</w:t>
        </w:r>
        <w:r w:rsidR="001C6959">
          <w:rPr>
            <w:webHidden/>
          </w:rPr>
          <w:tab/>
        </w:r>
        <w:r w:rsidR="001C6959">
          <w:rPr>
            <w:webHidden/>
          </w:rPr>
          <w:fldChar w:fldCharType="begin"/>
        </w:r>
        <w:r w:rsidR="001C6959">
          <w:rPr>
            <w:webHidden/>
          </w:rPr>
          <w:instrText xml:space="preserve"> PAGEREF _Toc35347288 \h </w:instrText>
        </w:r>
        <w:r w:rsidR="001C6959">
          <w:rPr>
            <w:webHidden/>
          </w:rPr>
        </w:r>
        <w:r w:rsidR="001C6959">
          <w:rPr>
            <w:webHidden/>
          </w:rPr>
          <w:fldChar w:fldCharType="separate"/>
        </w:r>
        <w:r w:rsidR="001C6959">
          <w:rPr>
            <w:webHidden/>
          </w:rPr>
          <w:t>63</w:t>
        </w:r>
        <w:r w:rsidR="001C6959">
          <w:rPr>
            <w:webHidden/>
          </w:rPr>
          <w:fldChar w:fldCharType="end"/>
        </w:r>
      </w:hyperlink>
    </w:p>
    <w:p w14:paraId="4F11DA47" w14:textId="2BAE0C75" w:rsidR="001C6959" w:rsidRDefault="00677F75">
      <w:pPr>
        <w:pStyle w:val="TOC3"/>
        <w:rPr>
          <w:rFonts w:eastAsiaTheme="minorEastAsia" w:cstheme="minorBidi"/>
          <w:i w:val="0"/>
          <w:sz w:val="22"/>
          <w:szCs w:val="22"/>
          <w:lang w:val="en-AU"/>
        </w:rPr>
      </w:pPr>
      <w:hyperlink w:anchor="_Toc35347289" w:history="1">
        <w:r w:rsidR="001C6959" w:rsidRPr="00737F18">
          <w:rPr>
            <w:rStyle w:val="Hyperlink"/>
          </w:rPr>
          <w:t>12.3.2</w:t>
        </w:r>
        <w:r w:rsidR="001C6959">
          <w:rPr>
            <w:rFonts w:eastAsiaTheme="minorEastAsia" w:cstheme="minorBidi"/>
            <w:i w:val="0"/>
            <w:sz w:val="22"/>
            <w:szCs w:val="22"/>
            <w:lang w:val="en-AU"/>
          </w:rPr>
          <w:tab/>
        </w:r>
        <w:r w:rsidR="001C6959" w:rsidRPr="00737F18">
          <w:rPr>
            <w:rStyle w:val="Hyperlink"/>
          </w:rPr>
          <w:t>Rationale for Recommendation 14</w:t>
        </w:r>
        <w:r w:rsidR="001C6959">
          <w:rPr>
            <w:webHidden/>
          </w:rPr>
          <w:tab/>
        </w:r>
        <w:r w:rsidR="001C6959">
          <w:rPr>
            <w:webHidden/>
          </w:rPr>
          <w:fldChar w:fldCharType="begin"/>
        </w:r>
        <w:r w:rsidR="001C6959">
          <w:rPr>
            <w:webHidden/>
          </w:rPr>
          <w:instrText xml:space="preserve"> PAGEREF _Toc35347289 \h </w:instrText>
        </w:r>
        <w:r w:rsidR="001C6959">
          <w:rPr>
            <w:webHidden/>
          </w:rPr>
        </w:r>
        <w:r w:rsidR="001C6959">
          <w:rPr>
            <w:webHidden/>
          </w:rPr>
          <w:fldChar w:fldCharType="separate"/>
        </w:r>
        <w:r w:rsidR="001C6959">
          <w:rPr>
            <w:webHidden/>
          </w:rPr>
          <w:t>63</w:t>
        </w:r>
        <w:r w:rsidR="001C6959">
          <w:rPr>
            <w:webHidden/>
          </w:rPr>
          <w:fldChar w:fldCharType="end"/>
        </w:r>
      </w:hyperlink>
    </w:p>
    <w:p w14:paraId="7AEFA391" w14:textId="3230D5D0" w:rsidR="001C6959" w:rsidRDefault="00677F75">
      <w:pPr>
        <w:pStyle w:val="TOC1"/>
        <w:rPr>
          <w:rFonts w:eastAsiaTheme="minorEastAsia" w:cstheme="minorBidi"/>
          <w:b w:val="0"/>
          <w:sz w:val="22"/>
          <w:szCs w:val="22"/>
          <w:lang w:val="en-AU"/>
        </w:rPr>
      </w:pPr>
      <w:hyperlink w:anchor="_Toc35347290" w:history="1">
        <w:r w:rsidR="001C6959" w:rsidRPr="00737F18">
          <w:rPr>
            <w:rStyle w:val="Hyperlink"/>
          </w:rPr>
          <w:t>13</w:t>
        </w:r>
        <w:r w:rsidR="001C6959">
          <w:rPr>
            <w:rFonts w:eastAsiaTheme="minorEastAsia" w:cstheme="minorBidi"/>
            <w:b w:val="0"/>
            <w:sz w:val="22"/>
            <w:szCs w:val="22"/>
            <w:lang w:val="en-AU"/>
          </w:rPr>
          <w:tab/>
        </w:r>
        <w:r w:rsidR="001C6959" w:rsidRPr="00737F18">
          <w:rPr>
            <w:rStyle w:val="Hyperlink"/>
            <w:lang w:val="en-US"/>
          </w:rPr>
          <w:t>New item recommendations</w:t>
        </w:r>
        <w:r w:rsidR="001C6959">
          <w:rPr>
            <w:webHidden/>
          </w:rPr>
          <w:tab/>
        </w:r>
        <w:r w:rsidR="001C6959">
          <w:rPr>
            <w:webHidden/>
          </w:rPr>
          <w:fldChar w:fldCharType="begin"/>
        </w:r>
        <w:r w:rsidR="001C6959">
          <w:rPr>
            <w:webHidden/>
          </w:rPr>
          <w:instrText xml:space="preserve"> PAGEREF _Toc35347290 \h </w:instrText>
        </w:r>
        <w:r w:rsidR="001C6959">
          <w:rPr>
            <w:webHidden/>
          </w:rPr>
        </w:r>
        <w:r w:rsidR="001C6959">
          <w:rPr>
            <w:webHidden/>
          </w:rPr>
          <w:fldChar w:fldCharType="separate"/>
        </w:r>
        <w:r w:rsidR="001C6959">
          <w:rPr>
            <w:webHidden/>
          </w:rPr>
          <w:t>65</w:t>
        </w:r>
        <w:r w:rsidR="001C6959">
          <w:rPr>
            <w:webHidden/>
          </w:rPr>
          <w:fldChar w:fldCharType="end"/>
        </w:r>
      </w:hyperlink>
    </w:p>
    <w:p w14:paraId="5662E058" w14:textId="5FA1DAEE" w:rsidR="001C6959" w:rsidRDefault="00677F75">
      <w:pPr>
        <w:pStyle w:val="TOC2"/>
        <w:rPr>
          <w:rFonts w:eastAsiaTheme="minorEastAsia" w:cstheme="minorBidi"/>
          <w:sz w:val="22"/>
          <w:szCs w:val="22"/>
          <w:lang w:val="en-AU"/>
        </w:rPr>
      </w:pPr>
      <w:hyperlink w:anchor="_Toc35347291" w:history="1">
        <w:r w:rsidR="001C6959" w:rsidRPr="00737F18">
          <w:rPr>
            <w:rStyle w:val="Hyperlink"/>
          </w:rPr>
          <w:t>13.1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_Toc35347291 \h </w:instrText>
        </w:r>
        <w:r w:rsidR="001C6959">
          <w:rPr>
            <w:webHidden/>
          </w:rPr>
        </w:r>
        <w:r w:rsidR="001C6959">
          <w:rPr>
            <w:webHidden/>
          </w:rPr>
          <w:fldChar w:fldCharType="separate"/>
        </w:r>
        <w:r w:rsidR="001C6959">
          <w:rPr>
            <w:webHidden/>
          </w:rPr>
          <w:t>65</w:t>
        </w:r>
        <w:r w:rsidR="001C6959">
          <w:rPr>
            <w:webHidden/>
          </w:rPr>
          <w:fldChar w:fldCharType="end"/>
        </w:r>
      </w:hyperlink>
    </w:p>
    <w:p w14:paraId="2A4574C0" w14:textId="6BA97EDF" w:rsidR="001C6959" w:rsidRDefault="00677F75">
      <w:pPr>
        <w:pStyle w:val="TOC2"/>
        <w:rPr>
          <w:rFonts w:eastAsiaTheme="minorEastAsia" w:cstheme="minorBidi"/>
          <w:sz w:val="22"/>
          <w:szCs w:val="22"/>
          <w:lang w:val="en-AU"/>
        </w:rPr>
      </w:pPr>
      <w:hyperlink w:anchor="_Toc35347292" w:history="1">
        <w:r w:rsidR="001C6959" w:rsidRPr="00737F18">
          <w:rPr>
            <w:rStyle w:val="Hyperlink"/>
          </w:rPr>
          <w:t>13.2</w:t>
        </w:r>
        <w:r w:rsidR="001C6959">
          <w:rPr>
            <w:rFonts w:eastAsiaTheme="minorEastAsia" w:cstheme="minorBidi"/>
            <w:sz w:val="22"/>
            <w:szCs w:val="22"/>
            <w:lang w:val="en-AU"/>
          </w:rPr>
          <w:tab/>
        </w:r>
        <w:r w:rsidR="001C6959" w:rsidRPr="00737F18">
          <w:rPr>
            <w:rStyle w:val="Hyperlink"/>
            <w:lang w:val="en-US"/>
          </w:rPr>
          <w:t>Glaucoma procedures</w:t>
        </w:r>
        <w:r w:rsidR="001C6959">
          <w:rPr>
            <w:webHidden/>
          </w:rPr>
          <w:tab/>
        </w:r>
        <w:r w:rsidR="001C6959">
          <w:rPr>
            <w:webHidden/>
          </w:rPr>
          <w:fldChar w:fldCharType="begin"/>
        </w:r>
        <w:r w:rsidR="001C6959">
          <w:rPr>
            <w:webHidden/>
          </w:rPr>
          <w:instrText xml:space="preserve"> PAGEREF _Toc35347292 \h </w:instrText>
        </w:r>
        <w:r w:rsidR="001C6959">
          <w:rPr>
            <w:webHidden/>
          </w:rPr>
        </w:r>
        <w:r w:rsidR="001C6959">
          <w:rPr>
            <w:webHidden/>
          </w:rPr>
          <w:fldChar w:fldCharType="separate"/>
        </w:r>
        <w:r w:rsidR="001C6959">
          <w:rPr>
            <w:webHidden/>
          </w:rPr>
          <w:t>65</w:t>
        </w:r>
        <w:r w:rsidR="001C6959">
          <w:rPr>
            <w:webHidden/>
          </w:rPr>
          <w:fldChar w:fldCharType="end"/>
        </w:r>
      </w:hyperlink>
    </w:p>
    <w:p w14:paraId="459CA8FD" w14:textId="0980CD15" w:rsidR="001C6959" w:rsidRDefault="00677F75">
      <w:pPr>
        <w:pStyle w:val="TOC3"/>
        <w:rPr>
          <w:rFonts w:eastAsiaTheme="minorEastAsia" w:cstheme="minorBidi"/>
          <w:i w:val="0"/>
          <w:sz w:val="22"/>
          <w:szCs w:val="22"/>
          <w:lang w:val="en-AU"/>
        </w:rPr>
      </w:pPr>
      <w:hyperlink w:anchor="_Toc35347293" w:history="1">
        <w:r w:rsidR="001C6959" w:rsidRPr="00737F18">
          <w:rPr>
            <w:rStyle w:val="Hyperlink"/>
          </w:rPr>
          <w:t>13.2.1</w:t>
        </w:r>
        <w:r w:rsidR="001C6959">
          <w:rPr>
            <w:rFonts w:eastAsiaTheme="minorEastAsia" w:cstheme="minorBidi"/>
            <w:i w:val="0"/>
            <w:sz w:val="22"/>
            <w:szCs w:val="22"/>
            <w:lang w:val="en-AU"/>
          </w:rPr>
          <w:tab/>
        </w:r>
        <w:r w:rsidR="001C6959" w:rsidRPr="00737F18">
          <w:rPr>
            <w:rStyle w:val="Hyperlink"/>
          </w:rPr>
          <w:t>Recommendation 15</w:t>
        </w:r>
        <w:r w:rsidR="001C6959">
          <w:rPr>
            <w:webHidden/>
          </w:rPr>
          <w:tab/>
        </w:r>
        <w:r w:rsidR="001C6959">
          <w:rPr>
            <w:webHidden/>
          </w:rPr>
          <w:fldChar w:fldCharType="begin"/>
        </w:r>
        <w:r w:rsidR="001C6959">
          <w:rPr>
            <w:webHidden/>
          </w:rPr>
          <w:instrText xml:space="preserve"> PAGEREF _Toc35347293 \h </w:instrText>
        </w:r>
        <w:r w:rsidR="001C6959">
          <w:rPr>
            <w:webHidden/>
          </w:rPr>
        </w:r>
        <w:r w:rsidR="001C6959">
          <w:rPr>
            <w:webHidden/>
          </w:rPr>
          <w:fldChar w:fldCharType="separate"/>
        </w:r>
        <w:r w:rsidR="001C6959">
          <w:rPr>
            <w:webHidden/>
          </w:rPr>
          <w:t>65</w:t>
        </w:r>
        <w:r w:rsidR="001C6959">
          <w:rPr>
            <w:webHidden/>
          </w:rPr>
          <w:fldChar w:fldCharType="end"/>
        </w:r>
      </w:hyperlink>
    </w:p>
    <w:p w14:paraId="260BD771" w14:textId="48635FEC" w:rsidR="001C6959" w:rsidRDefault="00677F75">
      <w:pPr>
        <w:pStyle w:val="TOC3"/>
        <w:rPr>
          <w:rFonts w:eastAsiaTheme="minorEastAsia" w:cstheme="minorBidi"/>
          <w:i w:val="0"/>
          <w:sz w:val="22"/>
          <w:szCs w:val="22"/>
          <w:lang w:val="en-AU"/>
        </w:rPr>
      </w:pPr>
      <w:hyperlink w:anchor="_Toc35347294" w:history="1">
        <w:r w:rsidR="001C6959" w:rsidRPr="00737F18">
          <w:rPr>
            <w:rStyle w:val="Hyperlink"/>
          </w:rPr>
          <w:t>13.2.2</w:t>
        </w:r>
        <w:r w:rsidR="001C6959">
          <w:rPr>
            <w:rFonts w:eastAsiaTheme="minorEastAsia" w:cstheme="minorBidi"/>
            <w:i w:val="0"/>
            <w:sz w:val="22"/>
            <w:szCs w:val="22"/>
            <w:lang w:val="en-AU"/>
          </w:rPr>
          <w:tab/>
        </w:r>
        <w:r w:rsidR="001C6959" w:rsidRPr="00737F18">
          <w:rPr>
            <w:rStyle w:val="Hyperlink"/>
          </w:rPr>
          <w:t>Rationale for Recommendation 15</w:t>
        </w:r>
        <w:r w:rsidR="001C6959">
          <w:rPr>
            <w:webHidden/>
          </w:rPr>
          <w:tab/>
        </w:r>
        <w:r w:rsidR="001C6959">
          <w:rPr>
            <w:webHidden/>
          </w:rPr>
          <w:fldChar w:fldCharType="begin"/>
        </w:r>
        <w:r w:rsidR="001C6959">
          <w:rPr>
            <w:webHidden/>
          </w:rPr>
          <w:instrText xml:space="preserve"> PAGEREF _Toc35347294 \h </w:instrText>
        </w:r>
        <w:r w:rsidR="001C6959">
          <w:rPr>
            <w:webHidden/>
          </w:rPr>
        </w:r>
        <w:r w:rsidR="001C6959">
          <w:rPr>
            <w:webHidden/>
          </w:rPr>
          <w:fldChar w:fldCharType="separate"/>
        </w:r>
        <w:r w:rsidR="001C6959">
          <w:rPr>
            <w:webHidden/>
          </w:rPr>
          <w:t>66</w:t>
        </w:r>
        <w:r w:rsidR="001C6959">
          <w:rPr>
            <w:webHidden/>
          </w:rPr>
          <w:fldChar w:fldCharType="end"/>
        </w:r>
      </w:hyperlink>
    </w:p>
    <w:p w14:paraId="2F54C240" w14:textId="39A5B7CE" w:rsidR="001C6959" w:rsidRDefault="00677F75">
      <w:pPr>
        <w:pStyle w:val="TOC1"/>
        <w:rPr>
          <w:rFonts w:eastAsiaTheme="minorEastAsia" w:cstheme="minorBidi"/>
          <w:b w:val="0"/>
          <w:sz w:val="22"/>
          <w:szCs w:val="22"/>
          <w:lang w:val="en-AU"/>
        </w:rPr>
      </w:pPr>
      <w:hyperlink w:anchor="_Toc35347295" w:history="1">
        <w:r w:rsidR="001C6959" w:rsidRPr="00737F18">
          <w:rPr>
            <w:rStyle w:val="Hyperlink"/>
          </w:rPr>
          <w:t>14</w:t>
        </w:r>
        <w:r w:rsidR="001C6959">
          <w:rPr>
            <w:rFonts w:eastAsiaTheme="minorEastAsia" w:cstheme="minorBidi"/>
            <w:b w:val="0"/>
            <w:sz w:val="22"/>
            <w:szCs w:val="22"/>
            <w:lang w:val="en-AU"/>
          </w:rPr>
          <w:tab/>
        </w:r>
        <w:r w:rsidR="001C6959" w:rsidRPr="00737F18">
          <w:rPr>
            <w:rStyle w:val="Hyperlink"/>
          </w:rPr>
          <w:t>Cataract surgery and eye injections – questions from the Taskforce</w:t>
        </w:r>
        <w:r w:rsidR="001C6959">
          <w:rPr>
            <w:webHidden/>
          </w:rPr>
          <w:tab/>
        </w:r>
        <w:r w:rsidR="001C6959">
          <w:rPr>
            <w:webHidden/>
          </w:rPr>
          <w:fldChar w:fldCharType="begin"/>
        </w:r>
        <w:r w:rsidR="001C6959">
          <w:rPr>
            <w:webHidden/>
          </w:rPr>
          <w:instrText xml:space="preserve"> PAGEREF _Toc35347295 \h </w:instrText>
        </w:r>
        <w:r w:rsidR="001C6959">
          <w:rPr>
            <w:webHidden/>
          </w:rPr>
        </w:r>
        <w:r w:rsidR="001C6959">
          <w:rPr>
            <w:webHidden/>
          </w:rPr>
          <w:fldChar w:fldCharType="separate"/>
        </w:r>
        <w:r w:rsidR="001C6959">
          <w:rPr>
            <w:webHidden/>
          </w:rPr>
          <w:t>67</w:t>
        </w:r>
        <w:r w:rsidR="001C6959">
          <w:rPr>
            <w:webHidden/>
          </w:rPr>
          <w:fldChar w:fldCharType="end"/>
        </w:r>
      </w:hyperlink>
    </w:p>
    <w:p w14:paraId="61ACCD91" w14:textId="1B7666B0" w:rsidR="001C6959" w:rsidRDefault="00677F75">
      <w:pPr>
        <w:pStyle w:val="TOC2"/>
        <w:rPr>
          <w:rFonts w:eastAsiaTheme="minorEastAsia" w:cstheme="minorBidi"/>
          <w:sz w:val="22"/>
          <w:szCs w:val="22"/>
          <w:lang w:val="en-AU"/>
        </w:rPr>
      </w:pPr>
      <w:hyperlink w:anchor="_Toc35347296" w:history="1">
        <w:r w:rsidR="001C6959" w:rsidRPr="00737F18">
          <w:rPr>
            <w:rStyle w:val="Hyperlink"/>
          </w:rPr>
          <w:t>14.1</w:t>
        </w:r>
        <w:r w:rsidR="001C6959">
          <w:rPr>
            <w:rFonts w:eastAsiaTheme="minorEastAsia" w:cstheme="minorBidi"/>
            <w:sz w:val="22"/>
            <w:szCs w:val="22"/>
            <w:lang w:val="en-AU"/>
          </w:rPr>
          <w:tab/>
        </w:r>
        <w:r w:rsidR="001C6959" w:rsidRPr="00737F18">
          <w:rPr>
            <w:rStyle w:val="Hyperlink"/>
            <w:lang w:val="en-US"/>
          </w:rPr>
          <w:t>Overview</w:t>
        </w:r>
        <w:r w:rsidR="001C6959">
          <w:rPr>
            <w:webHidden/>
          </w:rPr>
          <w:tab/>
        </w:r>
        <w:r w:rsidR="001C6959">
          <w:rPr>
            <w:webHidden/>
          </w:rPr>
          <w:fldChar w:fldCharType="begin"/>
        </w:r>
        <w:r w:rsidR="001C6959">
          <w:rPr>
            <w:webHidden/>
          </w:rPr>
          <w:instrText xml:space="preserve"> PAGEREF _Toc35347296 \h </w:instrText>
        </w:r>
        <w:r w:rsidR="001C6959">
          <w:rPr>
            <w:webHidden/>
          </w:rPr>
        </w:r>
        <w:r w:rsidR="001C6959">
          <w:rPr>
            <w:webHidden/>
          </w:rPr>
          <w:fldChar w:fldCharType="separate"/>
        </w:r>
        <w:r w:rsidR="001C6959">
          <w:rPr>
            <w:webHidden/>
          </w:rPr>
          <w:t>67</w:t>
        </w:r>
        <w:r w:rsidR="001C6959">
          <w:rPr>
            <w:webHidden/>
          </w:rPr>
          <w:fldChar w:fldCharType="end"/>
        </w:r>
      </w:hyperlink>
    </w:p>
    <w:p w14:paraId="3D5715FB" w14:textId="58229427" w:rsidR="001C6959" w:rsidRDefault="00677F75">
      <w:pPr>
        <w:pStyle w:val="TOC2"/>
        <w:rPr>
          <w:rFonts w:eastAsiaTheme="minorEastAsia" w:cstheme="minorBidi"/>
          <w:sz w:val="22"/>
          <w:szCs w:val="22"/>
          <w:lang w:val="en-AU"/>
        </w:rPr>
      </w:pPr>
      <w:hyperlink w:anchor="_Toc35347297" w:history="1">
        <w:r w:rsidR="001C6959" w:rsidRPr="00737F18">
          <w:rPr>
            <w:rStyle w:val="Hyperlink"/>
          </w:rPr>
          <w:t>14.2</w:t>
        </w:r>
        <w:r w:rsidR="001C6959">
          <w:rPr>
            <w:rFonts w:eastAsiaTheme="minorEastAsia" w:cstheme="minorBidi"/>
            <w:sz w:val="22"/>
            <w:szCs w:val="22"/>
            <w:lang w:val="en-AU"/>
          </w:rPr>
          <w:tab/>
        </w:r>
        <w:r w:rsidR="001C6959" w:rsidRPr="00737F18">
          <w:rPr>
            <w:rStyle w:val="Hyperlink"/>
            <w:lang w:val="en-US"/>
          </w:rPr>
          <w:t>Questions and recommendations</w:t>
        </w:r>
        <w:r w:rsidR="001C6959">
          <w:rPr>
            <w:webHidden/>
          </w:rPr>
          <w:tab/>
        </w:r>
        <w:r w:rsidR="001C6959">
          <w:rPr>
            <w:webHidden/>
          </w:rPr>
          <w:fldChar w:fldCharType="begin"/>
        </w:r>
        <w:r w:rsidR="001C6959">
          <w:rPr>
            <w:webHidden/>
          </w:rPr>
          <w:instrText xml:space="preserve"> PAGEREF _Toc35347297 \h </w:instrText>
        </w:r>
        <w:r w:rsidR="001C6959">
          <w:rPr>
            <w:webHidden/>
          </w:rPr>
        </w:r>
        <w:r w:rsidR="001C6959">
          <w:rPr>
            <w:webHidden/>
          </w:rPr>
          <w:fldChar w:fldCharType="separate"/>
        </w:r>
        <w:r w:rsidR="001C6959">
          <w:rPr>
            <w:webHidden/>
          </w:rPr>
          <w:t>67</w:t>
        </w:r>
        <w:r w:rsidR="001C6959">
          <w:rPr>
            <w:webHidden/>
          </w:rPr>
          <w:fldChar w:fldCharType="end"/>
        </w:r>
      </w:hyperlink>
    </w:p>
    <w:p w14:paraId="50F32403" w14:textId="60517E01" w:rsidR="001C6959" w:rsidRDefault="00677F75">
      <w:pPr>
        <w:pStyle w:val="TOC3"/>
        <w:rPr>
          <w:rFonts w:eastAsiaTheme="minorEastAsia" w:cstheme="minorBidi"/>
          <w:i w:val="0"/>
          <w:sz w:val="22"/>
          <w:szCs w:val="22"/>
          <w:lang w:val="en-AU"/>
        </w:rPr>
      </w:pPr>
      <w:hyperlink w:anchor="_Toc35347298" w:history="1">
        <w:r w:rsidR="001C6959" w:rsidRPr="00737F18">
          <w:rPr>
            <w:rStyle w:val="Hyperlink"/>
          </w:rPr>
          <w:t>14.2.1</w:t>
        </w:r>
        <w:r w:rsidR="001C6959">
          <w:rPr>
            <w:rFonts w:eastAsiaTheme="minorEastAsia" w:cstheme="minorBidi"/>
            <w:i w:val="0"/>
            <w:sz w:val="22"/>
            <w:szCs w:val="22"/>
            <w:lang w:val="en-AU"/>
          </w:rPr>
          <w:tab/>
        </w:r>
        <w:r w:rsidR="001C6959" w:rsidRPr="00737F18">
          <w:rPr>
            <w:rStyle w:val="Hyperlink"/>
          </w:rPr>
          <w:t>Recommendation 16</w:t>
        </w:r>
        <w:r w:rsidR="001C6959">
          <w:rPr>
            <w:webHidden/>
          </w:rPr>
          <w:tab/>
        </w:r>
        <w:r w:rsidR="001C6959">
          <w:rPr>
            <w:webHidden/>
          </w:rPr>
          <w:fldChar w:fldCharType="begin"/>
        </w:r>
        <w:r w:rsidR="001C6959">
          <w:rPr>
            <w:webHidden/>
          </w:rPr>
          <w:instrText xml:space="preserve"> PAGEREF _Toc35347298 \h </w:instrText>
        </w:r>
        <w:r w:rsidR="001C6959">
          <w:rPr>
            <w:webHidden/>
          </w:rPr>
        </w:r>
        <w:r w:rsidR="001C6959">
          <w:rPr>
            <w:webHidden/>
          </w:rPr>
          <w:fldChar w:fldCharType="separate"/>
        </w:r>
        <w:r w:rsidR="001C6959">
          <w:rPr>
            <w:webHidden/>
          </w:rPr>
          <w:t>68</w:t>
        </w:r>
        <w:r w:rsidR="001C6959">
          <w:rPr>
            <w:webHidden/>
          </w:rPr>
          <w:fldChar w:fldCharType="end"/>
        </w:r>
      </w:hyperlink>
    </w:p>
    <w:p w14:paraId="1AB95B29" w14:textId="2D16B94A" w:rsidR="001C6959" w:rsidRDefault="00677F75">
      <w:pPr>
        <w:pStyle w:val="TOC3"/>
        <w:rPr>
          <w:rFonts w:eastAsiaTheme="minorEastAsia" w:cstheme="minorBidi"/>
          <w:i w:val="0"/>
          <w:sz w:val="22"/>
          <w:szCs w:val="22"/>
          <w:lang w:val="en-AU"/>
        </w:rPr>
      </w:pPr>
      <w:hyperlink w:anchor="_Toc35347299" w:history="1">
        <w:r w:rsidR="001C6959" w:rsidRPr="00737F18">
          <w:rPr>
            <w:rStyle w:val="Hyperlink"/>
          </w:rPr>
          <w:t>14.2.2</w:t>
        </w:r>
        <w:r w:rsidR="001C6959">
          <w:rPr>
            <w:rFonts w:eastAsiaTheme="minorEastAsia" w:cstheme="minorBidi"/>
            <w:i w:val="0"/>
            <w:sz w:val="22"/>
            <w:szCs w:val="22"/>
            <w:lang w:val="en-AU"/>
          </w:rPr>
          <w:tab/>
        </w:r>
        <w:r w:rsidR="001C6959" w:rsidRPr="00737F18">
          <w:rPr>
            <w:rStyle w:val="Hyperlink"/>
          </w:rPr>
          <w:t>Rationale for Recommendation 16</w:t>
        </w:r>
        <w:r w:rsidR="001C6959">
          <w:rPr>
            <w:webHidden/>
          </w:rPr>
          <w:tab/>
        </w:r>
        <w:r w:rsidR="001C6959">
          <w:rPr>
            <w:webHidden/>
          </w:rPr>
          <w:fldChar w:fldCharType="begin"/>
        </w:r>
        <w:r w:rsidR="001C6959">
          <w:rPr>
            <w:webHidden/>
          </w:rPr>
          <w:instrText xml:space="preserve"> PAGEREF _Toc35347299 \h </w:instrText>
        </w:r>
        <w:r w:rsidR="001C6959">
          <w:rPr>
            <w:webHidden/>
          </w:rPr>
        </w:r>
        <w:r w:rsidR="001C6959">
          <w:rPr>
            <w:webHidden/>
          </w:rPr>
          <w:fldChar w:fldCharType="separate"/>
        </w:r>
        <w:r w:rsidR="001C6959">
          <w:rPr>
            <w:webHidden/>
          </w:rPr>
          <w:t>69</w:t>
        </w:r>
        <w:r w:rsidR="001C6959">
          <w:rPr>
            <w:webHidden/>
          </w:rPr>
          <w:fldChar w:fldCharType="end"/>
        </w:r>
      </w:hyperlink>
    </w:p>
    <w:p w14:paraId="53EB0617" w14:textId="354017DF" w:rsidR="001C6959" w:rsidRDefault="00677F75">
      <w:pPr>
        <w:pStyle w:val="TOC3"/>
        <w:rPr>
          <w:rFonts w:eastAsiaTheme="minorEastAsia" w:cstheme="minorBidi"/>
          <w:i w:val="0"/>
          <w:sz w:val="22"/>
          <w:szCs w:val="22"/>
          <w:lang w:val="en-AU"/>
        </w:rPr>
      </w:pPr>
      <w:hyperlink w:anchor="_Toc35347300" w:history="1">
        <w:r w:rsidR="001C6959" w:rsidRPr="00737F18">
          <w:rPr>
            <w:rStyle w:val="Hyperlink"/>
          </w:rPr>
          <w:t>14.2.3</w:t>
        </w:r>
        <w:r w:rsidR="001C6959">
          <w:rPr>
            <w:rFonts w:eastAsiaTheme="minorEastAsia" w:cstheme="minorBidi"/>
            <w:i w:val="0"/>
            <w:sz w:val="22"/>
            <w:szCs w:val="22"/>
            <w:lang w:val="en-AU"/>
          </w:rPr>
          <w:tab/>
        </w:r>
        <w:r w:rsidR="001C6959" w:rsidRPr="00737F18">
          <w:rPr>
            <w:rStyle w:val="Hyperlink"/>
          </w:rPr>
          <w:t>Recommendation 17</w:t>
        </w:r>
        <w:r w:rsidR="001C6959">
          <w:rPr>
            <w:webHidden/>
          </w:rPr>
          <w:tab/>
        </w:r>
        <w:r w:rsidR="001C6959">
          <w:rPr>
            <w:webHidden/>
          </w:rPr>
          <w:fldChar w:fldCharType="begin"/>
        </w:r>
        <w:r w:rsidR="001C6959">
          <w:rPr>
            <w:webHidden/>
          </w:rPr>
          <w:instrText xml:space="preserve"> PAGEREF _Toc35347300 \h </w:instrText>
        </w:r>
        <w:r w:rsidR="001C6959">
          <w:rPr>
            <w:webHidden/>
          </w:rPr>
        </w:r>
        <w:r w:rsidR="001C6959">
          <w:rPr>
            <w:webHidden/>
          </w:rPr>
          <w:fldChar w:fldCharType="separate"/>
        </w:r>
        <w:r w:rsidR="001C6959">
          <w:rPr>
            <w:webHidden/>
          </w:rPr>
          <w:t>69</w:t>
        </w:r>
        <w:r w:rsidR="001C6959">
          <w:rPr>
            <w:webHidden/>
          </w:rPr>
          <w:fldChar w:fldCharType="end"/>
        </w:r>
      </w:hyperlink>
    </w:p>
    <w:p w14:paraId="7A558428" w14:textId="206A3680" w:rsidR="001C6959" w:rsidRDefault="00677F75">
      <w:pPr>
        <w:pStyle w:val="TOC3"/>
        <w:rPr>
          <w:rFonts w:eastAsiaTheme="minorEastAsia" w:cstheme="minorBidi"/>
          <w:i w:val="0"/>
          <w:sz w:val="22"/>
          <w:szCs w:val="22"/>
          <w:lang w:val="en-AU"/>
        </w:rPr>
      </w:pPr>
      <w:hyperlink w:anchor="_Toc35347301" w:history="1">
        <w:r w:rsidR="001C6959" w:rsidRPr="00737F18">
          <w:rPr>
            <w:rStyle w:val="Hyperlink"/>
          </w:rPr>
          <w:t>14.2.4</w:t>
        </w:r>
        <w:r w:rsidR="001C6959">
          <w:rPr>
            <w:rFonts w:eastAsiaTheme="minorEastAsia" w:cstheme="minorBidi"/>
            <w:i w:val="0"/>
            <w:sz w:val="22"/>
            <w:szCs w:val="22"/>
            <w:lang w:val="en-AU"/>
          </w:rPr>
          <w:tab/>
        </w:r>
        <w:r w:rsidR="001C6959" w:rsidRPr="00737F18">
          <w:rPr>
            <w:rStyle w:val="Hyperlink"/>
          </w:rPr>
          <w:t>Rationale for Recommendation 17</w:t>
        </w:r>
        <w:r w:rsidR="001C6959">
          <w:rPr>
            <w:webHidden/>
          </w:rPr>
          <w:tab/>
        </w:r>
        <w:r w:rsidR="001C6959">
          <w:rPr>
            <w:webHidden/>
          </w:rPr>
          <w:fldChar w:fldCharType="begin"/>
        </w:r>
        <w:r w:rsidR="001C6959">
          <w:rPr>
            <w:webHidden/>
          </w:rPr>
          <w:instrText xml:space="preserve"> PAGEREF _Toc35347301 \h </w:instrText>
        </w:r>
        <w:r w:rsidR="001C6959">
          <w:rPr>
            <w:webHidden/>
          </w:rPr>
        </w:r>
        <w:r w:rsidR="001C6959">
          <w:rPr>
            <w:webHidden/>
          </w:rPr>
          <w:fldChar w:fldCharType="separate"/>
        </w:r>
        <w:r w:rsidR="001C6959">
          <w:rPr>
            <w:webHidden/>
          </w:rPr>
          <w:t>69</w:t>
        </w:r>
        <w:r w:rsidR="001C6959">
          <w:rPr>
            <w:webHidden/>
          </w:rPr>
          <w:fldChar w:fldCharType="end"/>
        </w:r>
      </w:hyperlink>
    </w:p>
    <w:p w14:paraId="3DBBF0A3" w14:textId="5CF8B73E" w:rsidR="001C6959" w:rsidRDefault="00677F75">
      <w:pPr>
        <w:pStyle w:val="TOC1"/>
        <w:rPr>
          <w:rFonts w:eastAsiaTheme="minorEastAsia" w:cstheme="minorBidi"/>
          <w:b w:val="0"/>
          <w:sz w:val="22"/>
          <w:szCs w:val="22"/>
          <w:lang w:val="en-AU"/>
        </w:rPr>
      </w:pPr>
      <w:hyperlink w:anchor="_Toc35347302" w:history="1">
        <w:r w:rsidR="001C6959" w:rsidRPr="00737F18">
          <w:rPr>
            <w:rStyle w:val="Hyperlink"/>
          </w:rPr>
          <w:t>15</w:t>
        </w:r>
        <w:r w:rsidR="001C6959">
          <w:rPr>
            <w:rFonts w:eastAsiaTheme="minorEastAsia" w:cstheme="minorBidi"/>
            <w:b w:val="0"/>
            <w:sz w:val="22"/>
            <w:szCs w:val="22"/>
            <w:lang w:val="en-AU"/>
          </w:rPr>
          <w:tab/>
        </w:r>
        <w:r w:rsidR="001C6959" w:rsidRPr="00737F18">
          <w:rPr>
            <w:rStyle w:val="Hyperlink"/>
          </w:rPr>
          <w:t>Stakeholder</w:t>
        </w:r>
        <w:r w:rsidR="001C6959" w:rsidRPr="00737F18">
          <w:rPr>
            <w:rStyle w:val="Hyperlink"/>
            <w:lang w:val="en-US"/>
          </w:rPr>
          <w:t xml:space="preserve"> impact statement</w:t>
        </w:r>
        <w:r w:rsidR="001C6959">
          <w:rPr>
            <w:webHidden/>
          </w:rPr>
          <w:tab/>
        </w:r>
        <w:r w:rsidR="001C6959">
          <w:rPr>
            <w:webHidden/>
          </w:rPr>
          <w:fldChar w:fldCharType="begin"/>
        </w:r>
        <w:r w:rsidR="001C6959">
          <w:rPr>
            <w:webHidden/>
          </w:rPr>
          <w:instrText xml:space="preserve"> PAGEREF _Toc35347302 \h </w:instrText>
        </w:r>
        <w:r w:rsidR="001C6959">
          <w:rPr>
            <w:webHidden/>
          </w:rPr>
        </w:r>
        <w:r w:rsidR="001C6959">
          <w:rPr>
            <w:webHidden/>
          </w:rPr>
          <w:fldChar w:fldCharType="separate"/>
        </w:r>
        <w:r w:rsidR="001C6959">
          <w:rPr>
            <w:webHidden/>
          </w:rPr>
          <w:t>71</w:t>
        </w:r>
        <w:r w:rsidR="001C6959">
          <w:rPr>
            <w:webHidden/>
          </w:rPr>
          <w:fldChar w:fldCharType="end"/>
        </w:r>
      </w:hyperlink>
    </w:p>
    <w:p w14:paraId="6E0B6BAA" w14:textId="66449D66" w:rsidR="001C6959" w:rsidRDefault="00677F75">
      <w:pPr>
        <w:pStyle w:val="TOC1"/>
        <w:tabs>
          <w:tab w:val="left" w:pos="1474"/>
        </w:tabs>
        <w:rPr>
          <w:rFonts w:eastAsiaTheme="minorEastAsia" w:cstheme="minorBidi"/>
          <w:b w:val="0"/>
          <w:sz w:val="22"/>
          <w:szCs w:val="22"/>
          <w:lang w:val="en-AU"/>
        </w:rPr>
      </w:pPr>
      <w:hyperlink w:anchor="_Toc35347303" w:history="1">
        <w:r w:rsidR="001C6959" w:rsidRPr="00737F18">
          <w:rPr>
            <w:rStyle w:val="Hyperlink"/>
            <w14:scene3d>
              <w14:camera w14:prst="orthographicFront"/>
              <w14:lightRig w14:rig="threePt" w14:dir="t">
                <w14:rot w14:lat="0" w14:lon="0" w14:rev="0"/>
              </w14:lightRig>
            </w14:scene3d>
          </w:rPr>
          <w:t>Appendix A</w:t>
        </w:r>
        <w:r w:rsidR="001C6959">
          <w:rPr>
            <w:rFonts w:eastAsiaTheme="minorEastAsia" w:cstheme="minorBidi"/>
            <w:b w:val="0"/>
            <w:sz w:val="22"/>
            <w:szCs w:val="22"/>
            <w:lang w:val="en-AU"/>
          </w:rPr>
          <w:tab/>
        </w:r>
        <w:r w:rsidR="001C6959" w:rsidRPr="00737F18">
          <w:rPr>
            <w:rStyle w:val="Hyperlink"/>
          </w:rPr>
          <w:t>Summary for consumers</w:t>
        </w:r>
        <w:r w:rsidR="001C6959">
          <w:rPr>
            <w:webHidden/>
          </w:rPr>
          <w:tab/>
        </w:r>
        <w:r w:rsidR="001C6959">
          <w:rPr>
            <w:webHidden/>
          </w:rPr>
          <w:fldChar w:fldCharType="begin"/>
        </w:r>
        <w:r w:rsidR="001C6959">
          <w:rPr>
            <w:webHidden/>
          </w:rPr>
          <w:instrText xml:space="preserve"> PAGEREF _Toc35347303 \h </w:instrText>
        </w:r>
        <w:r w:rsidR="001C6959">
          <w:rPr>
            <w:webHidden/>
          </w:rPr>
        </w:r>
        <w:r w:rsidR="001C6959">
          <w:rPr>
            <w:webHidden/>
          </w:rPr>
          <w:fldChar w:fldCharType="separate"/>
        </w:r>
        <w:r w:rsidR="001C6959">
          <w:rPr>
            <w:webHidden/>
          </w:rPr>
          <w:t>72</w:t>
        </w:r>
        <w:r w:rsidR="001C6959">
          <w:rPr>
            <w:webHidden/>
          </w:rPr>
          <w:fldChar w:fldCharType="end"/>
        </w:r>
      </w:hyperlink>
    </w:p>
    <w:p w14:paraId="472E396A" w14:textId="3B609DA7" w:rsidR="001C6959" w:rsidRDefault="00677F75">
      <w:pPr>
        <w:pStyle w:val="TOC1"/>
        <w:rPr>
          <w:rFonts w:eastAsiaTheme="minorEastAsia" w:cstheme="minorBidi"/>
          <w:b w:val="0"/>
          <w:sz w:val="22"/>
          <w:szCs w:val="22"/>
          <w:lang w:val="en-AU"/>
        </w:rPr>
      </w:pPr>
      <w:hyperlink w:anchor="_Toc35347304" w:history="1">
        <w:r w:rsidR="001C6959" w:rsidRPr="00737F18">
          <w:rPr>
            <w:rStyle w:val="Hyperlink"/>
          </w:rPr>
          <w:t>16</w:t>
        </w:r>
        <w:r w:rsidR="001C6959">
          <w:rPr>
            <w:rFonts w:eastAsiaTheme="minorEastAsia" w:cstheme="minorBidi"/>
            <w:b w:val="0"/>
            <w:sz w:val="22"/>
            <w:szCs w:val="22"/>
            <w:lang w:val="en-AU"/>
          </w:rPr>
          <w:tab/>
        </w:r>
        <w:r w:rsidR="001C6959" w:rsidRPr="00737F18">
          <w:rPr>
            <w:rStyle w:val="Hyperlink"/>
          </w:rPr>
          <w:t>Glossary</w:t>
        </w:r>
        <w:r w:rsidR="001C6959">
          <w:rPr>
            <w:webHidden/>
          </w:rPr>
          <w:tab/>
        </w:r>
        <w:r w:rsidR="001C6959">
          <w:rPr>
            <w:webHidden/>
          </w:rPr>
          <w:fldChar w:fldCharType="begin"/>
        </w:r>
        <w:r w:rsidR="001C6959">
          <w:rPr>
            <w:webHidden/>
          </w:rPr>
          <w:instrText xml:space="preserve"> PAGEREF _Toc35347304 \h </w:instrText>
        </w:r>
        <w:r w:rsidR="001C6959">
          <w:rPr>
            <w:webHidden/>
          </w:rPr>
        </w:r>
        <w:r w:rsidR="001C6959">
          <w:rPr>
            <w:webHidden/>
          </w:rPr>
          <w:fldChar w:fldCharType="separate"/>
        </w:r>
        <w:r w:rsidR="001C6959">
          <w:rPr>
            <w:webHidden/>
          </w:rPr>
          <w:t>94</w:t>
        </w:r>
        <w:r w:rsidR="001C6959">
          <w:rPr>
            <w:webHidden/>
          </w:rPr>
          <w:fldChar w:fldCharType="end"/>
        </w:r>
      </w:hyperlink>
    </w:p>
    <w:p w14:paraId="535D7DA2" w14:textId="2C687797" w:rsidR="001C6959" w:rsidRDefault="00677F75">
      <w:pPr>
        <w:pStyle w:val="TOC1"/>
        <w:rPr>
          <w:rFonts w:eastAsiaTheme="minorEastAsia" w:cstheme="minorBidi"/>
          <w:b w:val="0"/>
          <w:sz w:val="22"/>
          <w:szCs w:val="22"/>
          <w:lang w:val="en-AU"/>
        </w:rPr>
      </w:pPr>
      <w:hyperlink w:anchor="_Toc35347305" w:history="1">
        <w:r w:rsidR="001C6959" w:rsidRPr="00737F18">
          <w:rPr>
            <w:rStyle w:val="Hyperlink"/>
          </w:rPr>
          <w:t>17</w:t>
        </w:r>
        <w:r w:rsidR="001C6959">
          <w:rPr>
            <w:rFonts w:eastAsiaTheme="minorEastAsia" w:cstheme="minorBidi"/>
            <w:b w:val="0"/>
            <w:sz w:val="22"/>
            <w:szCs w:val="22"/>
            <w:lang w:val="en-AU"/>
          </w:rPr>
          <w:tab/>
        </w:r>
        <w:r w:rsidR="001C6959" w:rsidRPr="00737F18">
          <w:rPr>
            <w:rStyle w:val="Hyperlink"/>
            <w:lang w:val="en-US"/>
          </w:rPr>
          <w:t>References</w:t>
        </w:r>
        <w:r w:rsidR="001C6959">
          <w:rPr>
            <w:webHidden/>
          </w:rPr>
          <w:tab/>
        </w:r>
        <w:r w:rsidR="001C6959">
          <w:rPr>
            <w:webHidden/>
          </w:rPr>
          <w:fldChar w:fldCharType="begin"/>
        </w:r>
        <w:r w:rsidR="001C6959">
          <w:rPr>
            <w:webHidden/>
          </w:rPr>
          <w:instrText xml:space="preserve"> PAGEREF _Toc35347305 \h </w:instrText>
        </w:r>
        <w:r w:rsidR="001C6959">
          <w:rPr>
            <w:webHidden/>
          </w:rPr>
        </w:r>
        <w:r w:rsidR="001C6959">
          <w:rPr>
            <w:webHidden/>
          </w:rPr>
          <w:fldChar w:fldCharType="separate"/>
        </w:r>
        <w:r w:rsidR="001C6959">
          <w:rPr>
            <w:webHidden/>
          </w:rPr>
          <w:t>97</w:t>
        </w:r>
        <w:r w:rsidR="001C6959">
          <w:rPr>
            <w:webHidden/>
          </w:rPr>
          <w:fldChar w:fldCharType="end"/>
        </w:r>
      </w:hyperlink>
    </w:p>
    <w:p w14:paraId="720C440C" w14:textId="21AF8318" w:rsidR="009A602C" w:rsidRDefault="009A602C" w:rsidP="009A602C">
      <w:pPr>
        <w:pStyle w:val="TableofFigures"/>
        <w:rPr>
          <w:szCs w:val="22"/>
        </w:rPr>
      </w:pPr>
      <w:r w:rsidRPr="00F162FA">
        <w:rPr>
          <w:szCs w:val="22"/>
        </w:rPr>
        <w:fldChar w:fldCharType="end"/>
      </w:r>
    </w:p>
    <w:p w14:paraId="5B9B82F5" w14:textId="77777777" w:rsidR="009A602C" w:rsidRDefault="009A602C" w:rsidP="009A602C">
      <w:pPr>
        <w:spacing w:before="0" w:after="160" w:line="259" w:lineRule="auto"/>
        <w:rPr>
          <w:noProof/>
          <w:sz w:val="20"/>
          <w:szCs w:val="22"/>
        </w:rPr>
      </w:pPr>
      <w:r>
        <w:rPr>
          <w:szCs w:val="22"/>
        </w:rPr>
        <w:br w:type="page"/>
      </w:r>
    </w:p>
    <w:p w14:paraId="77FBE1EB" w14:textId="77777777" w:rsidR="009A602C" w:rsidRDefault="009A602C" w:rsidP="009A602C">
      <w:pPr>
        <w:pStyle w:val="TableofFigures"/>
      </w:pPr>
    </w:p>
    <w:p w14:paraId="1516EA50" w14:textId="77777777" w:rsidR="009A602C" w:rsidRPr="00C66B9C" w:rsidRDefault="009A602C" w:rsidP="009A602C">
      <w:pPr>
        <w:pStyle w:val="TableofFigures"/>
        <w:rPr>
          <w:b/>
          <w:color w:val="01653F"/>
        </w:rPr>
      </w:pPr>
      <w:r w:rsidRPr="00C66B9C">
        <w:rPr>
          <w:b/>
          <w:color w:val="01653F"/>
        </w:rPr>
        <w:t>List of tables</w:t>
      </w:r>
    </w:p>
    <w:p w14:paraId="2B27AEF1" w14:textId="6404459C" w:rsidR="009A602C" w:rsidRDefault="009A602C" w:rsidP="009A602C">
      <w:pPr>
        <w:pStyle w:val="TableofFigures"/>
        <w:rPr>
          <w:rFonts w:eastAsiaTheme="minorEastAsia" w:cstheme="minorBidi"/>
          <w:sz w:val="22"/>
          <w:szCs w:val="22"/>
          <w:lang w:val="en-AU"/>
        </w:rPr>
      </w:pPr>
      <w:r w:rsidRPr="00F162FA">
        <w:fldChar w:fldCharType="begin"/>
      </w:r>
      <w:r w:rsidRPr="00F162FA">
        <w:instrText xml:space="preserve"> TOC \h \z \c "Table" </w:instrText>
      </w:r>
      <w:r w:rsidRPr="00F162FA">
        <w:fldChar w:fldCharType="separate"/>
      </w:r>
      <w:hyperlink w:anchor="_Toc2170539" w:history="1">
        <w:r w:rsidRPr="00E556C4">
          <w:rPr>
            <w:rStyle w:val="Hyperlink"/>
            <w:lang w:val="en-US"/>
          </w:rPr>
          <w:t>Table 1 : Ophthalmology Clinical Committee members</w:t>
        </w:r>
        <w:r>
          <w:rPr>
            <w:webHidden/>
          </w:rPr>
          <w:tab/>
        </w:r>
        <w:r>
          <w:rPr>
            <w:webHidden/>
          </w:rPr>
          <w:fldChar w:fldCharType="begin"/>
        </w:r>
        <w:r>
          <w:rPr>
            <w:webHidden/>
          </w:rPr>
          <w:instrText xml:space="preserve"> PAGEREF _Toc2170539 \h </w:instrText>
        </w:r>
        <w:r>
          <w:rPr>
            <w:webHidden/>
          </w:rPr>
        </w:r>
        <w:r>
          <w:rPr>
            <w:webHidden/>
          </w:rPr>
          <w:fldChar w:fldCharType="separate"/>
        </w:r>
        <w:r w:rsidR="001C6959">
          <w:rPr>
            <w:webHidden/>
          </w:rPr>
          <w:t>27</w:t>
        </w:r>
        <w:r>
          <w:rPr>
            <w:webHidden/>
          </w:rPr>
          <w:fldChar w:fldCharType="end"/>
        </w:r>
      </w:hyperlink>
    </w:p>
    <w:p w14:paraId="2C6F3004" w14:textId="0358996F" w:rsidR="009A602C" w:rsidRDefault="00677F75" w:rsidP="009A602C">
      <w:pPr>
        <w:pStyle w:val="TableofFigures"/>
        <w:rPr>
          <w:rFonts w:eastAsiaTheme="minorEastAsia" w:cstheme="minorBidi"/>
          <w:sz w:val="22"/>
          <w:szCs w:val="22"/>
          <w:lang w:val="en-AU"/>
        </w:rPr>
      </w:pPr>
      <w:hyperlink w:anchor="_Toc2170540" w:history="1">
        <w:r w:rsidR="009A602C" w:rsidRPr="00E556C4">
          <w:rPr>
            <w:rStyle w:val="Hyperlink"/>
            <w:lang w:val="en-US"/>
          </w:rPr>
          <w:t>Table 2 : Item introduction table for items 11204, 11205 and 11211</w:t>
        </w:r>
        <w:r w:rsidR="009A602C">
          <w:rPr>
            <w:webHidden/>
          </w:rPr>
          <w:tab/>
        </w:r>
        <w:r w:rsidR="009A602C">
          <w:rPr>
            <w:webHidden/>
          </w:rPr>
          <w:fldChar w:fldCharType="begin"/>
        </w:r>
        <w:r w:rsidR="009A602C">
          <w:rPr>
            <w:webHidden/>
          </w:rPr>
          <w:instrText xml:space="preserve"> PAGEREF _Toc2170540 \h </w:instrText>
        </w:r>
        <w:r w:rsidR="009A602C">
          <w:rPr>
            <w:webHidden/>
          </w:rPr>
        </w:r>
        <w:r w:rsidR="009A602C">
          <w:rPr>
            <w:webHidden/>
          </w:rPr>
          <w:fldChar w:fldCharType="separate"/>
        </w:r>
        <w:r w:rsidR="001C6959">
          <w:rPr>
            <w:webHidden/>
          </w:rPr>
          <w:t>31</w:t>
        </w:r>
        <w:r w:rsidR="009A602C">
          <w:rPr>
            <w:webHidden/>
          </w:rPr>
          <w:fldChar w:fldCharType="end"/>
        </w:r>
      </w:hyperlink>
    </w:p>
    <w:p w14:paraId="4091C279" w14:textId="020D3418" w:rsidR="009A602C" w:rsidRDefault="00677F75" w:rsidP="009A602C">
      <w:pPr>
        <w:pStyle w:val="TableofFigures"/>
        <w:rPr>
          <w:rFonts w:eastAsiaTheme="minorEastAsia" w:cstheme="minorBidi"/>
          <w:sz w:val="22"/>
          <w:szCs w:val="22"/>
          <w:lang w:val="en-AU"/>
        </w:rPr>
      </w:pPr>
      <w:hyperlink w:anchor="_Toc2170541" w:history="1">
        <w:r w:rsidR="009A602C" w:rsidRPr="00E556C4">
          <w:rPr>
            <w:rStyle w:val="Hyperlink"/>
            <w:lang w:val="en-US"/>
          </w:rPr>
          <w:t xml:space="preserve">Table 3 : </w:t>
        </w:r>
        <w:r w:rsidR="009A602C" w:rsidRPr="00E556C4">
          <w:rPr>
            <w:rStyle w:val="Hyperlink"/>
            <w:bCs/>
          </w:rPr>
          <w:t xml:space="preserve"> Item introduction table for item 11210</w:t>
        </w:r>
        <w:r w:rsidR="009A602C">
          <w:rPr>
            <w:webHidden/>
          </w:rPr>
          <w:tab/>
        </w:r>
        <w:r w:rsidR="009A602C">
          <w:rPr>
            <w:webHidden/>
          </w:rPr>
          <w:fldChar w:fldCharType="begin"/>
        </w:r>
        <w:r w:rsidR="009A602C">
          <w:rPr>
            <w:webHidden/>
          </w:rPr>
          <w:instrText xml:space="preserve"> PAGEREF _Toc2170541 \h </w:instrText>
        </w:r>
        <w:r w:rsidR="009A602C">
          <w:rPr>
            <w:webHidden/>
          </w:rPr>
        </w:r>
        <w:r w:rsidR="009A602C">
          <w:rPr>
            <w:webHidden/>
          </w:rPr>
          <w:fldChar w:fldCharType="separate"/>
        </w:r>
        <w:r w:rsidR="001C6959">
          <w:rPr>
            <w:webHidden/>
          </w:rPr>
          <w:t>34</w:t>
        </w:r>
        <w:r w:rsidR="009A602C">
          <w:rPr>
            <w:webHidden/>
          </w:rPr>
          <w:fldChar w:fldCharType="end"/>
        </w:r>
      </w:hyperlink>
    </w:p>
    <w:p w14:paraId="32DE7E90" w14:textId="03153F53" w:rsidR="009A602C" w:rsidRDefault="00677F75" w:rsidP="009A602C">
      <w:pPr>
        <w:pStyle w:val="TableofFigures"/>
        <w:rPr>
          <w:rFonts w:eastAsiaTheme="minorEastAsia" w:cstheme="minorBidi"/>
          <w:sz w:val="22"/>
          <w:szCs w:val="22"/>
          <w:lang w:val="en-AU"/>
        </w:rPr>
      </w:pPr>
      <w:hyperlink w:anchor="_Toc2170542" w:history="1">
        <w:r w:rsidR="009A602C" w:rsidRPr="00E556C4">
          <w:rPr>
            <w:rStyle w:val="Hyperlink"/>
            <w:lang w:val="en-US"/>
          </w:rPr>
          <w:t xml:space="preserve">Table 4 : </w:t>
        </w:r>
        <w:r w:rsidR="009A602C" w:rsidRPr="00E556C4">
          <w:rPr>
            <w:rStyle w:val="Hyperlink"/>
            <w:bCs/>
          </w:rPr>
          <w:t xml:space="preserve"> Item introduction table for items 11221, 11222, 11224 and 11225</w:t>
        </w:r>
        <w:r w:rsidR="009A602C">
          <w:rPr>
            <w:webHidden/>
          </w:rPr>
          <w:tab/>
        </w:r>
        <w:r w:rsidR="009A602C">
          <w:rPr>
            <w:webHidden/>
          </w:rPr>
          <w:fldChar w:fldCharType="begin"/>
        </w:r>
        <w:r w:rsidR="009A602C">
          <w:rPr>
            <w:webHidden/>
          </w:rPr>
          <w:instrText xml:space="preserve"> PAGEREF _Toc2170542 \h </w:instrText>
        </w:r>
        <w:r w:rsidR="009A602C">
          <w:rPr>
            <w:webHidden/>
          </w:rPr>
        </w:r>
        <w:r w:rsidR="009A602C">
          <w:rPr>
            <w:webHidden/>
          </w:rPr>
          <w:fldChar w:fldCharType="separate"/>
        </w:r>
        <w:r w:rsidR="001C6959">
          <w:rPr>
            <w:webHidden/>
          </w:rPr>
          <w:t>36</w:t>
        </w:r>
        <w:r w:rsidR="009A602C">
          <w:rPr>
            <w:webHidden/>
          </w:rPr>
          <w:fldChar w:fldCharType="end"/>
        </w:r>
      </w:hyperlink>
    </w:p>
    <w:p w14:paraId="1CAA35A7" w14:textId="4B92F5B0" w:rsidR="009A602C" w:rsidRDefault="00677F75" w:rsidP="009A602C">
      <w:pPr>
        <w:pStyle w:val="TableofFigures"/>
        <w:rPr>
          <w:rFonts w:eastAsiaTheme="minorEastAsia" w:cstheme="minorBidi"/>
          <w:sz w:val="22"/>
          <w:szCs w:val="22"/>
          <w:lang w:val="en-AU"/>
        </w:rPr>
      </w:pPr>
      <w:hyperlink w:anchor="_Toc2170543" w:history="1">
        <w:r w:rsidR="009A602C" w:rsidRPr="00E556C4">
          <w:rPr>
            <w:rStyle w:val="Hyperlink"/>
            <w:lang w:val="en-US"/>
          </w:rPr>
          <w:t>Table 5 : Item introduction table for items 42738 and 42739</w:t>
        </w:r>
        <w:r w:rsidR="009A602C">
          <w:rPr>
            <w:webHidden/>
          </w:rPr>
          <w:tab/>
        </w:r>
        <w:r w:rsidR="009A602C">
          <w:rPr>
            <w:webHidden/>
          </w:rPr>
          <w:fldChar w:fldCharType="begin"/>
        </w:r>
        <w:r w:rsidR="009A602C">
          <w:rPr>
            <w:webHidden/>
          </w:rPr>
          <w:instrText xml:space="preserve"> PAGEREF _Toc2170543 \h </w:instrText>
        </w:r>
        <w:r w:rsidR="009A602C">
          <w:rPr>
            <w:webHidden/>
          </w:rPr>
        </w:r>
        <w:r w:rsidR="009A602C">
          <w:rPr>
            <w:webHidden/>
          </w:rPr>
          <w:fldChar w:fldCharType="separate"/>
        </w:r>
        <w:r w:rsidR="001C6959">
          <w:rPr>
            <w:webHidden/>
          </w:rPr>
          <w:t>41</w:t>
        </w:r>
        <w:r w:rsidR="009A602C">
          <w:rPr>
            <w:webHidden/>
          </w:rPr>
          <w:fldChar w:fldCharType="end"/>
        </w:r>
      </w:hyperlink>
    </w:p>
    <w:p w14:paraId="48D90B41" w14:textId="6A7CFD77" w:rsidR="009A602C" w:rsidRDefault="00677F75" w:rsidP="009A602C">
      <w:pPr>
        <w:pStyle w:val="TableofFigures"/>
        <w:rPr>
          <w:rFonts w:eastAsiaTheme="minorEastAsia" w:cstheme="minorBidi"/>
          <w:sz w:val="22"/>
          <w:szCs w:val="22"/>
          <w:lang w:val="en-AU"/>
        </w:rPr>
      </w:pPr>
      <w:hyperlink w:anchor="_Toc2170544" w:history="1">
        <w:r w:rsidR="009A602C" w:rsidRPr="00E556C4">
          <w:rPr>
            <w:rStyle w:val="Hyperlink"/>
            <w:lang w:val="en-US"/>
          </w:rPr>
          <w:t>Table 6 : Item introduction table for item 42702</w:t>
        </w:r>
        <w:r w:rsidR="009A602C">
          <w:rPr>
            <w:webHidden/>
          </w:rPr>
          <w:tab/>
        </w:r>
        <w:r w:rsidR="009A602C">
          <w:rPr>
            <w:webHidden/>
          </w:rPr>
          <w:fldChar w:fldCharType="begin"/>
        </w:r>
        <w:r w:rsidR="009A602C">
          <w:rPr>
            <w:webHidden/>
          </w:rPr>
          <w:instrText xml:space="preserve"> PAGEREF _Toc2170544 \h </w:instrText>
        </w:r>
        <w:r w:rsidR="009A602C">
          <w:rPr>
            <w:webHidden/>
          </w:rPr>
        </w:r>
        <w:r w:rsidR="009A602C">
          <w:rPr>
            <w:webHidden/>
          </w:rPr>
          <w:fldChar w:fldCharType="separate"/>
        </w:r>
        <w:r w:rsidR="001C6959">
          <w:rPr>
            <w:webHidden/>
          </w:rPr>
          <w:t>49</w:t>
        </w:r>
        <w:r w:rsidR="009A602C">
          <w:rPr>
            <w:webHidden/>
          </w:rPr>
          <w:fldChar w:fldCharType="end"/>
        </w:r>
      </w:hyperlink>
    </w:p>
    <w:p w14:paraId="4991904F" w14:textId="2A5CADBA" w:rsidR="009A602C" w:rsidRDefault="00677F75" w:rsidP="009A602C">
      <w:pPr>
        <w:pStyle w:val="TableofFigures"/>
        <w:rPr>
          <w:rFonts w:eastAsiaTheme="minorEastAsia" w:cstheme="minorBidi"/>
          <w:sz w:val="22"/>
          <w:szCs w:val="22"/>
          <w:lang w:val="en-AU"/>
        </w:rPr>
      </w:pPr>
      <w:hyperlink w:anchor="_Toc2170545" w:history="1">
        <w:r w:rsidR="009A602C" w:rsidRPr="00E556C4">
          <w:rPr>
            <w:rStyle w:val="Hyperlink"/>
            <w:lang w:val="en-US"/>
          </w:rPr>
          <w:t>Table 7 : Item introduction table for items 42741, 42524, 42593, 42783, 42786, 42789, 42792, 42806, 42807, 42808 and 43023</w:t>
        </w:r>
        <w:r w:rsidR="009A602C">
          <w:rPr>
            <w:webHidden/>
          </w:rPr>
          <w:tab/>
        </w:r>
        <w:r w:rsidR="009A602C">
          <w:rPr>
            <w:webHidden/>
          </w:rPr>
          <w:fldChar w:fldCharType="begin"/>
        </w:r>
        <w:r w:rsidR="009A602C">
          <w:rPr>
            <w:webHidden/>
          </w:rPr>
          <w:instrText xml:space="preserve"> PAGEREF _Toc2170545 \h </w:instrText>
        </w:r>
        <w:r w:rsidR="009A602C">
          <w:rPr>
            <w:webHidden/>
          </w:rPr>
        </w:r>
        <w:r w:rsidR="009A602C">
          <w:rPr>
            <w:webHidden/>
          </w:rPr>
          <w:fldChar w:fldCharType="separate"/>
        </w:r>
        <w:r w:rsidR="001C6959">
          <w:rPr>
            <w:webHidden/>
          </w:rPr>
          <w:t>52</w:t>
        </w:r>
        <w:r w:rsidR="009A602C">
          <w:rPr>
            <w:webHidden/>
          </w:rPr>
          <w:fldChar w:fldCharType="end"/>
        </w:r>
      </w:hyperlink>
    </w:p>
    <w:p w14:paraId="7059FC6A" w14:textId="459B5AA9" w:rsidR="009A602C" w:rsidRDefault="00677F75" w:rsidP="009A602C">
      <w:pPr>
        <w:pStyle w:val="TableofFigures"/>
        <w:rPr>
          <w:rFonts w:eastAsiaTheme="minorEastAsia" w:cstheme="minorBidi"/>
          <w:sz w:val="22"/>
          <w:szCs w:val="22"/>
          <w:lang w:val="en-AU"/>
        </w:rPr>
      </w:pPr>
      <w:hyperlink w:anchor="_Toc2170546" w:history="1">
        <w:r w:rsidR="009A602C" w:rsidRPr="00E556C4">
          <w:rPr>
            <w:rStyle w:val="Hyperlink"/>
            <w:lang w:val="en-US"/>
          </w:rPr>
          <w:t>Table 8 : Item introduction table for items 42506, 42509, 42510, 42530, 42533, 42536, 42539, 42542, 42590, 42593, 42623, 42626, 42629, 42863 and 42866</w:t>
        </w:r>
        <w:r w:rsidR="009A602C">
          <w:rPr>
            <w:webHidden/>
          </w:rPr>
          <w:tab/>
        </w:r>
        <w:r w:rsidR="009A602C">
          <w:rPr>
            <w:webHidden/>
          </w:rPr>
          <w:fldChar w:fldCharType="begin"/>
        </w:r>
        <w:r w:rsidR="009A602C">
          <w:rPr>
            <w:webHidden/>
          </w:rPr>
          <w:instrText xml:space="preserve"> PAGEREF _Toc2170546 \h </w:instrText>
        </w:r>
        <w:r w:rsidR="009A602C">
          <w:rPr>
            <w:webHidden/>
          </w:rPr>
        </w:r>
        <w:r w:rsidR="009A602C">
          <w:rPr>
            <w:webHidden/>
          </w:rPr>
          <w:fldChar w:fldCharType="separate"/>
        </w:r>
        <w:r w:rsidR="001C6959">
          <w:rPr>
            <w:webHidden/>
          </w:rPr>
          <w:t>55</w:t>
        </w:r>
        <w:r w:rsidR="009A602C">
          <w:rPr>
            <w:webHidden/>
          </w:rPr>
          <w:fldChar w:fldCharType="end"/>
        </w:r>
      </w:hyperlink>
    </w:p>
    <w:p w14:paraId="473566EB" w14:textId="23133B31" w:rsidR="009A602C" w:rsidRDefault="00677F75" w:rsidP="009A602C">
      <w:pPr>
        <w:pStyle w:val="TableofFigures"/>
        <w:rPr>
          <w:rFonts w:eastAsiaTheme="minorEastAsia" w:cstheme="minorBidi"/>
          <w:sz w:val="22"/>
          <w:szCs w:val="22"/>
          <w:lang w:val="en-AU"/>
        </w:rPr>
      </w:pPr>
      <w:hyperlink w:anchor="_Toc2170547" w:history="1">
        <w:r w:rsidR="009A602C" w:rsidRPr="00E556C4">
          <w:rPr>
            <w:rStyle w:val="Hyperlink"/>
            <w:lang w:val="en-US"/>
          </w:rPr>
          <w:t>Table 9 : Item introduction table for items 42632, 42647 and 42773</w:t>
        </w:r>
        <w:r w:rsidR="009A602C">
          <w:rPr>
            <w:webHidden/>
          </w:rPr>
          <w:tab/>
        </w:r>
        <w:r w:rsidR="009A602C">
          <w:rPr>
            <w:webHidden/>
          </w:rPr>
          <w:fldChar w:fldCharType="begin"/>
        </w:r>
        <w:r w:rsidR="009A602C">
          <w:rPr>
            <w:webHidden/>
          </w:rPr>
          <w:instrText xml:space="preserve"> PAGEREF _Toc2170547 \h </w:instrText>
        </w:r>
        <w:r w:rsidR="009A602C">
          <w:rPr>
            <w:webHidden/>
          </w:rPr>
        </w:r>
        <w:r w:rsidR="009A602C">
          <w:rPr>
            <w:webHidden/>
          </w:rPr>
          <w:fldChar w:fldCharType="separate"/>
        </w:r>
        <w:r w:rsidR="001C6959">
          <w:rPr>
            <w:webHidden/>
          </w:rPr>
          <w:t>59</w:t>
        </w:r>
        <w:r w:rsidR="009A602C">
          <w:rPr>
            <w:webHidden/>
          </w:rPr>
          <w:fldChar w:fldCharType="end"/>
        </w:r>
      </w:hyperlink>
    </w:p>
    <w:p w14:paraId="66BA1B50" w14:textId="77777777" w:rsidR="009A602C" w:rsidRDefault="009A602C" w:rsidP="009A602C">
      <w:pPr>
        <w:pStyle w:val="TableofFigures"/>
      </w:pPr>
      <w:r w:rsidRPr="00F162FA">
        <w:fldChar w:fldCharType="end"/>
      </w:r>
    </w:p>
    <w:p w14:paraId="0CB6B304" w14:textId="77777777" w:rsidR="009A602C" w:rsidRPr="00C66B9C" w:rsidRDefault="009A602C" w:rsidP="009A602C">
      <w:pPr>
        <w:pStyle w:val="TableofFigures"/>
        <w:rPr>
          <w:b/>
          <w:color w:val="01653F"/>
        </w:rPr>
      </w:pPr>
      <w:r w:rsidRPr="00C66B9C">
        <w:rPr>
          <w:b/>
          <w:color w:val="01653F"/>
        </w:rPr>
        <w:t>List of figures</w:t>
      </w:r>
    </w:p>
    <w:p w14:paraId="57FE69F5" w14:textId="306F9C03" w:rsidR="009A602C" w:rsidRDefault="009A602C" w:rsidP="009A602C">
      <w:pPr>
        <w:pStyle w:val="TableofFigures"/>
        <w:rPr>
          <w:rFonts w:eastAsiaTheme="minorEastAsia" w:cstheme="minorBidi"/>
          <w:sz w:val="22"/>
          <w:szCs w:val="22"/>
          <w:lang w:val="en-AU"/>
        </w:rPr>
      </w:pPr>
      <w:r w:rsidRPr="00F162FA">
        <w:rPr>
          <w:smallCaps/>
        </w:rPr>
        <w:fldChar w:fldCharType="begin"/>
      </w:r>
      <w:r w:rsidRPr="00F162FA">
        <w:rPr>
          <w:smallCaps/>
        </w:rPr>
        <w:instrText xml:space="preserve"> TOC \h \z \t "Figure Caption,1" \c "Figure" </w:instrText>
      </w:r>
      <w:r w:rsidRPr="00F162FA">
        <w:rPr>
          <w:smallCaps/>
        </w:rPr>
        <w:fldChar w:fldCharType="separate"/>
      </w:r>
      <w:hyperlink w:anchor="_Toc2170548" w:history="1">
        <w:r w:rsidRPr="006B3931">
          <w:rPr>
            <w:rStyle w:val="Hyperlink"/>
          </w:rPr>
          <w:t>Figure 1: Prioritisation matrix</w:t>
        </w:r>
        <w:r>
          <w:rPr>
            <w:webHidden/>
          </w:rPr>
          <w:tab/>
        </w:r>
        <w:r>
          <w:rPr>
            <w:webHidden/>
          </w:rPr>
          <w:fldChar w:fldCharType="begin"/>
        </w:r>
        <w:r>
          <w:rPr>
            <w:webHidden/>
          </w:rPr>
          <w:instrText xml:space="preserve"> PAGEREF _Toc2170548 \h </w:instrText>
        </w:r>
        <w:r>
          <w:rPr>
            <w:webHidden/>
          </w:rPr>
        </w:r>
        <w:r>
          <w:rPr>
            <w:webHidden/>
          </w:rPr>
          <w:fldChar w:fldCharType="separate"/>
        </w:r>
        <w:r w:rsidR="001C6959">
          <w:rPr>
            <w:webHidden/>
          </w:rPr>
          <w:t>25</w:t>
        </w:r>
        <w:r>
          <w:rPr>
            <w:webHidden/>
          </w:rPr>
          <w:fldChar w:fldCharType="end"/>
        </w:r>
      </w:hyperlink>
    </w:p>
    <w:p w14:paraId="5633BD1C" w14:textId="397F5B1E" w:rsidR="009A602C" w:rsidRDefault="00677F75" w:rsidP="009A602C">
      <w:pPr>
        <w:pStyle w:val="TableofFigures"/>
        <w:rPr>
          <w:rFonts w:eastAsiaTheme="minorEastAsia" w:cstheme="minorBidi"/>
          <w:sz w:val="22"/>
          <w:szCs w:val="22"/>
          <w:lang w:val="en-AU"/>
        </w:rPr>
      </w:pPr>
      <w:hyperlink w:anchor="_Toc2170549" w:history="1">
        <w:r w:rsidR="009A602C" w:rsidRPr="006B3931">
          <w:rPr>
            <w:rStyle w:val="Hyperlink"/>
            <w:lang w:val="en-US"/>
          </w:rPr>
          <w:t>Figure 2: Drivers of ophthalmology item growth, FY2011/12 to FY2016/17</w:t>
        </w:r>
        <w:r w:rsidR="009A602C">
          <w:rPr>
            <w:webHidden/>
          </w:rPr>
          <w:tab/>
        </w:r>
        <w:r w:rsidR="009A602C">
          <w:rPr>
            <w:webHidden/>
          </w:rPr>
          <w:fldChar w:fldCharType="begin"/>
        </w:r>
        <w:r w:rsidR="009A602C">
          <w:rPr>
            <w:webHidden/>
          </w:rPr>
          <w:instrText xml:space="preserve"> PAGEREF _Toc2170549 \h </w:instrText>
        </w:r>
        <w:r w:rsidR="009A602C">
          <w:rPr>
            <w:webHidden/>
          </w:rPr>
        </w:r>
        <w:r w:rsidR="009A602C">
          <w:rPr>
            <w:webHidden/>
          </w:rPr>
          <w:fldChar w:fldCharType="separate"/>
        </w:r>
        <w:r w:rsidR="001C6959">
          <w:rPr>
            <w:webHidden/>
          </w:rPr>
          <w:t>30</w:t>
        </w:r>
        <w:r w:rsidR="009A602C">
          <w:rPr>
            <w:webHidden/>
          </w:rPr>
          <w:fldChar w:fldCharType="end"/>
        </w:r>
      </w:hyperlink>
    </w:p>
    <w:p w14:paraId="19EAC499" w14:textId="127D1D4D" w:rsidR="009A602C" w:rsidRDefault="00677F75" w:rsidP="009A602C">
      <w:pPr>
        <w:pStyle w:val="TableofFigures"/>
        <w:rPr>
          <w:rFonts w:eastAsiaTheme="minorEastAsia" w:cstheme="minorBidi"/>
          <w:sz w:val="22"/>
          <w:szCs w:val="22"/>
          <w:lang w:val="en-AU"/>
        </w:rPr>
      </w:pPr>
      <w:hyperlink w:anchor="_Toc2170550" w:history="1">
        <w:r w:rsidR="009A602C" w:rsidRPr="006B3931">
          <w:rPr>
            <w:rStyle w:val="Hyperlink"/>
            <w:lang w:val="en-US"/>
          </w:rPr>
          <w:t xml:space="preserve">Figure 3: </w:t>
        </w:r>
        <w:r w:rsidR="009A602C" w:rsidRPr="006B3931">
          <w:rPr>
            <w:rStyle w:val="Hyperlink"/>
            <w:bCs/>
          </w:rPr>
          <w:t>Specialised retinal electrophysiology centres in Australia</w:t>
        </w:r>
        <w:r w:rsidR="009A602C">
          <w:rPr>
            <w:webHidden/>
          </w:rPr>
          <w:tab/>
        </w:r>
        <w:r w:rsidR="009A602C">
          <w:rPr>
            <w:webHidden/>
          </w:rPr>
          <w:fldChar w:fldCharType="begin"/>
        </w:r>
        <w:r w:rsidR="009A602C">
          <w:rPr>
            <w:webHidden/>
          </w:rPr>
          <w:instrText xml:space="preserve"> PAGEREF _Toc2170550 \h </w:instrText>
        </w:r>
        <w:r w:rsidR="009A602C">
          <w:rPr>
            <w:webHidden/>
          </w:rPr>
        </w:r>
        <w:r w:rsidR="009A602C">
          <w:rPr>
            <w:webHidden/>
          </w:rPr>
          <w:fldChar w:fldCharType="separate"/>
        </w:r>
        <w:r w:rsidR="001C6959">
          <w:rPr>
            <w:webHidden/>
          </w:rPr>
          <w:t>35</w:t>
        </w:r>
        <w:r w:rsidR="009A602C">
          <w:rPr>
            <w:webHidden/>
          </w:rPr>
          <w:fldChar w:fldCharType="end"/>
        </w:r>
      </w:hyperlink>
    </w:p>
    <w:p w14:paraId="5E84EADC" w14:textId="15031465" w:rsidR="009A602C" w:rsidRDefault="00677F75" w:rsidP="009A602C">
      <w:pPr>
        <w:pStyle w:val="TableofFigures"/>
        <w:rPr>
          <w:rFonts w:eastAsiaTheme="minorEastAsia" w:cstheme="minorBidi"/>
          <w:sz w:val="22"/>
          <w:szCs w:val="22"/>
          <w:lang w:val="en-AU"/>
        </w:rPr>
      </w:pPr>
      <w:hyperlink w:anchor="_Toc2170551" w:history="1">
        <w:r w:rsidR="009A602C" w:rsidRPr="006B3931">
          <w:rPr>
            <w:rStyle w:val="Hyperlink"/>
            <w:lang w:val="en-US"/>
          </w:rPr>
          <w:t>Figure 4: Item 11204 services per 100,000 population by SA4, ophthalmologists versus other specialists, January to March 2018</w:t>
        </w:r>
        <w:r w:rsidR="009A602C">
          <w:rPr>
            <w:webHidden/>
          </w:rPr>
          <w:tab/>
        </w:r>
        <w:r w:rsidR="009A602C">
          <w:rPr>
            <w:webHidden/>
          </w:rPr>
          <w:fldChar w:fldCharType="begin"/>
        </w:r>
        <w:r w:rsidR="009A602C">
          <w:rPr>
            <w:webHidden/>
          </w:rPr>
          <w:instrText xml:space="preserve"> PAGEREF _Toc2170551 \h </w:instrText>
        </w:r>
        <w:r w:rsidR="009A602C">
          <w:rPr>
            <w:webHidden/>
          </w:rPr>
        </w:r>
        <w:r w:rsidR="009A602C">
          <w:rPr>
            <w:webHidden/>
          </w:rPr>
          <w:fldChar w:fldCharType="separate"/>
        </w:r>
        <w:r w:rsidR="001C6959">
          <w:rPr>
            <w:webHidden/>
          </w:rPr>
          <w:t>35</w:t>
        </w:r>
        <w:r w:rsidR="009A602C">
          <w:rPr>
            <w:webHidden/>
          </w:rPr>
          <w:fldChar w:fldCharType="end"/>
        </w:r>
      </w:hyperlink>
    </w:p>
    <w:p w14:paraId="2C32EC7D" w14:textId="4A479115" w:rsidR="009A602C" w:rsidRDefault="00677F75" w:rsidP="009A602C">
      <w:pPr>
        <w:pStyle w:val="TableofFigures"/>
        <w:rPr>
          <w:rFonts w:eastAsiaTheme="minorEastAsia" w:cstheme="minorBidi"/>
          <w:sz w:val="22"/>
          <w:szCs w:val="22"/>
          <w:lang w:val="en-AU"/>
        </w:rPr>
      </w:pPr>
      <w:hyperlink w:anchor="_Toc2170552" w:history="1">
        <w:r w:rsidR="009A602C" w:rsidRPr="006B3931">
          <w:rPr>
            <w:rStyle w:val="Hyperlink"/>
            <w:lang w:val="en-US"/>
          </w:rPr>
          <w:t>Figure 5: Item 11221 versus item 10940 services per 100,000 population by age group, FY2016/17</w:t>
        </w:r>
        <w:r w:rsidR="009A602C">
          <w:rPr>
            <w:webHidden/>
          </w:rPr>
          <w:tab/>
        </w:r>
        <w:r w:rsidR="009A602C">
          <w:rPr>
            <w:webHidden/>
          </w:rPr>
          <w:fldChar w:fldCharType="begin"/>
        </w:r>
        <w:r w:rsidR="009A602C">
          <w:rPr>
            <w:webHidden/>
          </w:rPr>
          <w:instrText xml:space="preserve"> PAGEREF _Toc2170552 \h </w:instrText>
        </w:r>
        <w:r w:rsidR="009A602C">
          <w:rPr>
            <w:webHidden/>
          </w:rPr>
        </w:r>
        <w:r w:rsidR="009A602C">
          <w:rPr>
            <w:webHidden/>
          </w:rPr>
          <w:fldChar w:fldCharType="separate"/>
        </w:r>
        <w:r w:rsidR="001C6959">
          <w:rPr>
            <w:webHidden/>
          </w:rPr>
          <w:t>40</w:t>
        </w:r>
        <w:r w:rsidR="009A602C">
          <w:rPr>
            <w:webHidden/>
          </w:rPr>
          <w:fldChar w:fldCharType="end"/>
        </w:r>
      </w:hyperlink>
    </w:p>
    <w:p w14:paraId="38A746D6" w14:textId="26820F37" w:rsidR="009A602C" w:rsidRDefault="00677F75" w:rsidP="009A602C">
      <w:pPr>
        <w:pStyle w:val="TableofFigures"/>
        <w:rPr>
          <w:rFonts w:eastAsiaTheme="minorEastAsia" w:cstheme="minorBidi"/>
          <w:sz w:val="22"/>
          <w:szCs w:val="22"/>
          <w:lang w:val="en-AU"/>
        </w:rPr>
      </w:pPr>
      <w:hyperlink w:anchor="_Toc2170553" w:history="1">
        <w:r w:rsidR="009A602C" w:rsidRPr="006B3931">
          <w:rPr>
            <w:rStyle w:val="Hyperlink"/>
            <w:lang w:val="en-US"/>
          </w:rPr>
          <w:t>Figure 6: Item 42738 patient count by frequency of services, FY2016/17</w:t>
        </w:r>
        <w:r w:rsidR="009A602C">
          <w:rPr>
            <w:webHidden/>
          </w:rPr>
          <w:tab/>
        </w:r>
        <w:r w:rsidR="009A602C">
          <w:rPr>
            <w:webHidden/>
          </w:rPr>
          <w:fldChar w:fldCharType="begin"/>
        </w:r>
        <w:r w:rsidR="009A602C">
          <w:rPr>
            <w:webHidden/>
          </w:rPr>
          <w:instrText xml:space="preserve"> PAGEREF _Toc2170553 \h </w:instrText>
        </w:r>
        <w:r w:rsidR="009A602C">
          <w:rPr>
            <w:webHidden/>
          </w:rPr>
        </w:r>
        <w:r w:rsidR="009A602C">
          <w:rPr>
            <w:webHidden/>
          </w:rPr>
          <w:fldChar w:fldCharType="separate"/>
        </w:r>
        <w:r w:rsidR="001C6959">
          <w:rPr>
            <w:webHidden/>
          </w:rPr>
          <w:t>44</w:t>
        </w:r>
        <w:r w:rsidR="009A602C">
          <w:rPr>
            <w:webHidden/>
          </w:rPr>
          <w:fldChar w:fldCharType="end"/>
        </w:r>
      </w:hyperlink>
    </w:p>
    <w:p w14:paraId="045547E7" w14:textId="0508F09F" w:rsidR="009A602C" w:rsidRDefault="00677F75" w:rsidP="009A602C">
      <w:pPr>
        <w:pStyle w:val="TableofFigures"/>
        <w:rPr>
          <w:rFonts w:eastAsiaTheme="minorEastAsia" w:cstheme="minorBidi"/>
          <w:sz w:val="22"/>
          <w:szCs w:val="22"/>
          <w:lang w:val="en-AU"/>
        </w:rPr>
      </w:pPr>
      <w:hyperlink w:anchor="_Toc2170554" w:history="1">
        <w:r w:rsidR="009A602C" w:rsidRPr="006B3931">
          <w:rPr>
            <w:rStyle w:val="Hyperlink"/>
            <w:lang w:val="en-US"/>
          </w:rPr>
          <w:t>Figure 7: Item 42702 socio-economic status of patients, number of services and bulk-billing rate, FY2015/16</w:t>
        </w:r>
        <w:r w:rsidR="009A602C">
          <w:rPr>
            <w:webHidden/>
          </w:rPr>
          <w:tab/>
        </w:r>
        <w:r w:rsidR="009A602C">
          <w:rPr>
            <w:webHidden/>
          </w:rPr>
          <w:fldChar w:fldCharType="begin"/>
        </w:r>
        <w:r w:rsidR="009A602C">
          <w:rPr>
            <w:webHidden/>
          </w:rPr>
          <w:instrText xml:space="preserve"> PAGEREF _Toc2170554 \h </w:instrText>
        </w:r>
        <w:r w:rsidR="009A602C">
          <w:rPr>
            <w:webHidden/>
          </w:rPr>
        </w:r>
        <w:r w:rsidR="009A602C">
          <w:rPr>
            <w:webHidden/>
          </w:rPr>
          <w:fldChar w:fldCharType="separate"/>
        </w:r>
        <w:r w:rsidR="001C6959">
          <w:rPr>
            <w:webHidden/>
          </w:rPr>
          <w:t>49</w:t>
        </w:r>
        <w:r w:rsidR="009A602C">
          <w:rPr>
            <w:webHidden/>
          </w:rPr>
          <w:fldChar w:fldCharType="end"/>
        </w:r>
      </w:hyperlink>
    </w:p>
    <w:p w14:paraId="56B41952" w14:textId="7FC4BA66" w:rsidR="009A602C" w:rsidRDefault="00677F75" w:rsidP="009A602C">
      <w:pPr>
        <w:pStyle w:val="TableofFigures"/>
        <w:rPr>
          <w:rFonts w:eastAsiaTheme="minorEastAsia" w:cstheme="minorBidi"/>
          <w:sz w:val="22"/>
          <w:szCs w:val="22"/>
          <w:lang w:val="en-AU"/>
        </w:rPr>
      </w:pPr>
      <w:hyperlink w:anchor="_Toc2170555" w:history="1">
        <w:r w:rsidR="009A602C" w:rsidRPr="006B3931">
          <w:rPr>
            <w:rStyle w:val="Hyperlink"/>
            <w:lang w:val="en-AU"/>
          </w:rPr>
          <w:t xml:space="preserve">Figure 8: </w:t>
        </w:r>
        <w:r w:rsidR="009A602C" w:rsidRPr="006B3931">
          <w:rPr>
            <w:rStyle w:val="Hyperlink"/>
            <w:bCs/>
            <w:lang w:val="en-US"/>
          </w:rPr>
          <w:t>Cataract surgery rebate per hour vs other comparable surgical items, FY2016/17</w:t>
        </w:r>
        <w:r w:rsidR="009A602C">
          <w:rPr>
            <w:webHidden/>
          </w:rPr>
          <w:tab/>
        </w:r>
        <w:r w:rsidR="009A602C">
          <w:rPr>
            <w:webHidden/>
          </w:rPr>
          <w:fldChar w:fldCharType="begin"/>
        </w:r>
        <w:r w:rsidR="009A602C">
          <w:rPr>
            <w:webHidden/>
          </w:rPr>
          <w:instrText xml:space="preserve"> PAGEREF _Toc2170555 \h </w:instrText>
        </w:r>
        <w:r w:rsidR="009A602C">
          <w:rPr>
            <w:webHidden/>
          </w:rPr>
        </w:r>
        <w:r w:rsidR="009A602C">
          <w:rPr>
            <w:webHidden/>
          </w:rPr>
          <w:fldChar w:fldCharType="separate"/>
        </w:r>
        <w:r w:rsidR="001C6959">
          <w:rPr>
            <w:webHidden/>
          </w:rPr>
          <w:t>51</w:t>
        </w:r>
        <w:r w:rsidR="009A602C">
          <w:rPr>
            <w:webHidden/>
          </w:rPr>
          <w:fldChar w:fldCharType="end"/>
        </w:r>
      </w:hyperlink>
    </w:p>
    <w:p w14:paraId="59E6D942" w14:textId="77777777" w:rsidR="009A602C" w:rsidRDefault="009A602C" w:rsidP="009A602C">
      <w:pPr>
        <w:pStyle w:val="TableofFigures"/>
        <w:rPr>
          <w:smallCaps/>
        </w:rPr>
      </w:pPr>
      <w:r w:rsidRPr="00F162FA">
        <w:rPr>
          <w:smallCaps/>
        </w:rPr>
        <w:fldChar w:fldCharType="end"/>
      </w:r>
    </w:p>
    <w:p w14:paraId="0829A208" w14:textId="77777777" w:rsidR="009A602C" w:rsidRDefault="009A602C" w:rsidP="009A602C">
      <w:pPr>
        <w:pStyle w:val="TableofFigures"/>
        <w:rPr>
          <w:smallCaps/>
        </w:rPr>
      </w:pPr>
    </w:p>
    <w:p w14:paraId="4039B358" w14:textId="77777777" w:rsidR="009A602C" w:rsidRPr="00F162FA" w:rsidRDefault="009A602C" w:rsidP="009A602C">
      <w:pPr>
        <w:pStyle w:val="TableofFigures"/>
      </w:pPr>
      <w:r w:rsidRPr="00F162FA">
        <w:br w:type="page"/>
      </w:r>
    </w:p>
    <w:p w14:paraId="00A217C8" w14:textId="64CFC2B7" w:rsidR="009A602C" w:rsidRDefault="009A602C" w:rsidP="009A602C">
      <w:pPr>
        <w:pStyle w:val="Heading2"/>
      </w:pPr>
      <w:bookmarkStart w:id="3" w:name="_Toc525222697"/>
      <w:bookmarkStart w:id="4" w:name="_Toc35347201"/>
      <w:bookmarkStart w:id="5" w:name="_Toc524100387"/>
      <w:bookmarkStart w:id="6" w:name="_Toc485295711"/>
      <w:bookmarkStart w:id="7" w:name="_Toc505843865"/>
      <w:bookmarkStart w:id="8" w:name="_Toc485295724"/>
      <w:bookmarkEnd w:id="2"/>
      <w:r w:rsidRPr="00315286">
        <w:lastRenderedPageBreak/>
        <w:t>Executive summary</w:t>
      </w:r>
      <w:bookmarkEnd w:id="3"/>
      <w:bookmarkEnd w:id="4"/>
    </w:p>
    <w:p w14:paraId="6576FAD7" w14:textId="25E1EF20" w:rsidR="009A602C" w:rsidRPr="001714A8" w:rsidRDefault="009A602C" w:rsidP="009A602C">
      <w:pPr>
        <w:pStyle w:val="Heading2"/>
      </w:pPr>
      <w:bookmarkStart w:id="9" w:name="_Toc525744155"/>
      <w:bookmarkStart w:id="10" w:name="_Toc525744274"/>
      <w:bookmarkStart w:id="11" w:name="_Toc525744391"/>
      <w:bookmarkStart w:id="12" w:name="_Toc525744767"/>
      <w:bookmarkStart w:id="13" w:name="_Toc525744884"/>
      <w:bookmarkStart w:id="14" w:name="_Toc525745001"/>
      <w:bookmarkStart w:id="15" w:name="_Toc525745117"/>
      <w:bookmarkStart w:id="16" w:name="_Toc525745231"/>
      <w:bookmarkStart w:id="17" w:name="_Toc525744156"/>
      <w:bookmarkStart w:id="18" w:name="_Toc525744275"/>
      <w:bookmarkStart w:id="19" w:name="_Toc525744392"/>
      <w:bookmarkStart w:id="20" w:name="_Toc525744768"/>
      <w:bookmarkStart w:id="21" w:name="_Toc525744885"/>
      <w:bookmarkStart w:id="22" w:name="_Toc525745002"/>
      <w:bookmarkStart w:id="23" w:name="_Toc525745118"/>
      <w:bookmarkStart w:id="24" w:name="_Toc525745232"/>
      <w:bookmarkStart w:id="25" w:name="_Toc525744157"/>
      <w:bookmarkStart w:id="26" w:name="_Toc525744276"/>
      <w:bookmarkStart w:id="27" w:name="_Toc525744393"/>
      <w:bookmarkStart w:id="28" w:name="_Toc525744769"/>
      <w:bookmarkStart w:id="29" w:name="_Toc525744886"/>
      <w:bookmarkStart w:id="30" w:name="_Toc525745003"/>
      <w:bookmarkStart w:id="31" w:name="_Toc525745119"/>
      <w:bookmarkStart w:id="32" w:name="_Toc525745233"/>
      <w:bookmarkStart w:id="33" w:name="_Toc525744158"/>
      <w:bookmarkStart w:id="34" w:name="_Toc525744277"/>
      <w:bookmarkStart w:id="35" w:name="_Toc525744394"/>
      <w:bookmarkStart w:id="36" w:name="_Toc525744770"/>
      <w:bookmarkStart w:id="37" w:name="_Toc525744887"/>
      <w:bookmarkStart w:id="38" w:name="_Toc525745004"/>
      <w:bookmarkStart w:id="39" w:name="_Toc525745120"/>
      <w:bookmarkStart w:id="40" w:name="_Toc525745234"/>
      <w:bookmarkStart w:id="41" w:name="_Toc525744159"/>
      <w:bookmarkStart w:id="42" w:name="_Toc525744278"/>
      <w:bookmarkStart w:id="43" w:name="_Toc525744395"/>
      <w:bookmarkStart w:id="44" w:name="_Toc525744771"/>
      <w:bookmarkStart w:id="45" w:name="_Toc525744888"/>
      <w:bookmarkStart w:id="46" w:name="_Toc525745005"/>
      <w:bookmarkStart w:id="47" w:name="_Toc525745121"/>
      <w:bookmarkStart w:id="48" w:name="_Toc525745235"/>
      <w:bookmarkStart w:id="49" w:name="_Toc525744160"/>
      <w:bookmarkStart w:id="50" w:name="_Toc525744279"/>
      <w:bookmarkStart w:id="51" w:name="_Toc525744396"/>
      <w:bookmarkStart w:id="52" w:name="_Toc525744772"/>
      <w:bookmarkStart w:id="53" w:name="_Toc525744889"/>
      <w:bookmarkStart w:id="54" w:name="_Toc525745006"/>
      <w:bookmarkStart w:id="55" w:name="_Toc525745122"/>
      <w:bookmarkStart w:id="56" w:name="_Toc525745236"/>
      <w:bookmarkStart w:id="57" w:name="_Toc525744161"/>
      <w:bookmarkStart w:id="58" w:name="_Toc525744280"/>
      <w:bookmarkStart w:id="59" w:name="_Toc525744397"/>
      <w:bookmarkStart w:id="60" w:name="_Toc525744773"/>
      <w:bookmarkStart w:id="61" w:name="_Toc525744890"/>
      <w:bookmarkStart w:id="62" w:name="_Toc525745007"/>
      <w:bookmarkStart w:id="63" w:name="_Toc525745123"/>
      <w:bookmarkStart w:id="64" w:name="_Toc525745237"/>
      <w:bookmarkStart w:id="65" w:name="_Toc525744162"/>
      <w:bookmarkStart w:id="66" w:name="_Toc525744281"/>
      <w:bookmarkStart w:id="67" w:name="_Toc525744398"/>
      <w:bookmarkStart w:id="68" w:name="_Toc525744774"/>
      <w:bookmarkStart w:id="69" w:name="_Toc525744891"/>
      <w:bookmarkStart w:id="70" w:name="_Toc525745008"/>
      <w:bookmarkStart w:id="71" w:name="_Toc525745124"/>
      <w:bookmarkStart w:id="72" w:name="_Toc525745238"/>
      <w:bookmarkStart w:id="73" w:name="_Toc525744163"/>
      <w:bookmarkStart w:id="74" w:name="_Toc525744282"/>
      <w:bookmarkStart w:id="75" w:name="_Toc525744399"/>
      <w:bookmarkStart w:id="76" w:name="_Toc525744775"/>
      <w:bookmarkStart w:id="77" w:name="_Toc525744892"/>
      <w:bookmarkStart w:id="78" w:name="_Toc525745009"/>
      <w:bookmarkStart w:id="79" w:name="_Toc525745125"/>
      <w:bookmarkStart w:id="80" w:name="_Toc525745239"/>
      <w:bookmarkStart w:id="81" w:name="_Toc525744164"/>
      <w:bookmarkStart w:id="82" w:name="_Toc525744283"/>
      <w:bookmarkStart w:id="83" w:name="_Toc525744400"/>
      <w:bookmarkStart w:id="84" w:name="_Toc525744776"/>
      <w:bookmarkStart w:id="85" w:name="_Toc525744893"/>
      <w:bookmarkStart w:id="86" w:name="_Toc525745010"/>
      <w:bookmarkStart w:id="87" w:name="_Toc525745126"/>
      <w:bookmarkStart w:id="88" w:name="_Toc525745240"/>
      <w:bookmarkStart w:id="89" w:name="_Toc524100388"/>
      <w:bookmarkStart w:id="90" w:name="_Toc536548099"/>
      <w:bookmarkStart w:id="91" w:name="_Toc35347202"/>
      <w:bookmarkEnd w:id="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6D761C">
        <w:t>Key</w:t>
      </w:r>
      <w:r w:rsidRPr="001714A8">
        <w:t xml:space="preserve"> recommendations</w:t>
      </w:r>
      <w:bookmarkEnd w:id="89"/>
      <w:bookmarkEnd w:id="90"/>
      <w:bookmarkEnd w:id="91"/>
    </w:p>
    <w:p w14:paraId="5C2CB5D9" w14:textId="71052783" w:rsidR="00BC01E6" w:rsidRDefault="00BC01E6" w:rsidP="00BC01E6">
      <w:r>
        <w:t xml:space="preserve">The 15 members of the Ophthalmology Clinical Committee, led by Chair Dr </w:t>
      </w:r>
      <w:r w:rsidRPr="00A7691F">
        <w:t>Bradley Horsburgh</w:t>
      </w:r>
      <w:r>
        <w:t>,</w:t>
      </w:r>
      <w:r w:rsidRPr="00A7691F">
        <w:t xml:space="preserve"> have reviewed 189 items and recommended some level of revision to 31. The </w:t>
      </w:r>
      <w:r>
        <w:t xml:space="preserve">MBS Review </w:t>
      </w:r>
      <w:r w:rsidRPr="00A7691F">
        <w:t>Taskforce appreciate</w:t>
      </w:r>
      <w:r>
        <w:t xml:space="preserve">s and recognises their work </w:t>
      </w:r>
      <w:r w:rsidRPr="00A7691F">
        <w:t xml:space="preserve">and careful consideration of the relevant </w:t>
      </w:r>
      <w:r>
        <w:t xml:space="preserve">MBS </w:t>
      </w:r>
      <w:r w:rsidR="009301ED">
        <w:t xml:space="preserve">items, and broadly supports the recommendations of the Committee. </w:t>
      </w:r>
    </w:p>
    <w:p w14:paraId="702679CC" w14:textId="0E92C25D" w:rsidR="00893E76" w:rsidRDefault="009A602C" w:rsidP="009A602C">
      <w:pPr>
        <w:pStyle w:val="Body"/>
        <w:rPr>
          <w:lang w:val="en-GB"/>
        </w:rPr>
      </w:pPr>
      <w:r w:rsidRPr="001714A8">
        <w:rPr>
          <w:lang w:val="en-GB"/>
        </w:rPr>
        <w:t xml:space="preserve">The most important </w:t>
      </w:r>
      <w:r w:rsidR="00B7526F">
        <w:rPr>
          <w:lang w:val="en-GB"/>
        </w:rPr>
        <w:t xml:space="preserve">ophthalmology </w:t>
      </w:r>
      <w:r w:rsidRPr="001714A8">
        <w:rPr>
          <w:lang w:val="en-GB"/>
        </w:rPr>
        <w:t xml:space="preserve">recommendations </w:t>
      </w:r>
      <w:r w:rsidR="00893E76">
        <w:rPr>
          <w:lang w:val="en-GB"/>
        </w:rPr>
        <w:t xml:space="preserve">are summarised </w:t>
      </w:r>
      <w:r w:rsidRPr="001714A8">
        <w:rPr>
          <w:lang w:val="en-GB"/>
        </w:rPr>
        <w:t>below</w:t>
      </w:r>
      <w:r w:rsidR="00B7526F">
        <w:rPr>
          <w:lang w:val="en-GB"/>
        </w:rPr>
        <w:t xml:space="preserve">. </w:t>
      </w:r>
    </w:p>
    <w:p w14:paraId="220CCCD2" w14:textId="610827AF" w:rsidR="00893E76" w:rsidRDefault="009A602C" w:rsidP="009A602C">
      <w:pPr>
        <w:pStyle w:val="Body"/>
        <w:rPr>
          <w:lang w:val="en-GB"/>
        </w:rPr>
      </w:pPr>
      <w:r w:rsidRPr="001714A8">
        <w:rPr>
          <w:lang w:val="en-GB"/>
        </w:rPr>
        <w:t xml:space="preserve">Five items were considered obsolete and have been recommended for removal from the MBS. </w:t>
      </w:r>
    </w:p>
    <w:p w14:paraId="74944685" w14:textId="77777777" w:rsidR="00893E76" w:rsidRDefault="009A602C" w:rsidP="009A602C">
      <w:pPr>
        <w:pStyle w:val="Body"/>
        <w:rPr>
          <w:lang w:val="en-GB"/>
        </w:rPr>
      </w:pPr>
      <w:r w:rsidRPr="001714A8">
        <w:rPr>
          <w:lang w:val="en-GB"/>
        </w:rPr>
        <w:t>Detailed recommendations and accompanying rationales for all items</w:t>
      </w:r>
      <w:r>
        <w:rPr>
          <w:lang w:val="en-GB"/>
        </w:rPr>
        <w:t>, as well as</w:t>
      </w:r>
      <w:r w:rsidRPr="001714A8">
        <w:rPr>
          <w:lang w:val="en-GB"/>
        </w:rPr>
        <w:t xml:space="preserve"> broader issues</w:t>
      </w:r>
      <w:r>
        <w:rPr>
          <w:lang w:val="en-GB"/>
        </w:rPr>
        <w:t>,</w:t>
      </w:r>
      <w:r w:rsidRPr="001714A8">
        <w:rPr>
          <w:lang w:val="en-GB"/>
        </w:rPr>
        <w:t xml:space="preserve"> </w:t>
      </w:r>
      <w:r>
        <w:rPr>
          <w:lang w:val="en-GB"/>
        </w:rPr>
        <w:t>can be</w:t>
      </w:r>
      <w:r w:rsidRPr="001714A8">
        <w:rPr>
          <w:lang w:val="en-GB"/>
        </w:rPr>
        <w:t xml:space="preserve"> found in Sections </w:t>
      </w:r>
      <w:hyperlink w:anchor="Ref463555087" w:history="1">
        <w:r w:rsidRPr="001714A8">
          <w:rPr>
            <w:lang w:val="en-GB"/>
          </w:rPr>
          <w:t>4</w:t>
        </w:r>
      </w:hyperlink>
      <w:r w:rsidRPr="001714A8">
        <w:rPr>
          <w:lang w:val="en-GB"/>
        </w:rPr>
        <w:t xml:space="preserve"> to 14 of this report. </w:t>
      </w:r>
    </w:p>
    <w:p w14:paraId="37CF75F7" w14:textId="77777777" w:rsidR="009A602C" w:rsidRPr="00315286" w:rsidRDefault="009A602C" w:rsidP="009A602C">
      <w:pPr>
        <w:pStyle w:val="Heading3"/>
        <w:rPr>
          <w:u w:color="B66113"/>
        </w:rPr>
      </w:pPr>
      <w:bookmarkStart w:id="92" w:name="_Toc536548100"/>
      <w:bookmarkStart w:id="93" w:name="_Toc35347203"/>
      <w:r w:rsidRPr="00315286">
        <w:rPr>
          <w:u w:color="B66113"/>
        </w:rPr>
        <w:t>Compliance</w:t>
      </w:r>
      <w:bookmarkEnd w:id="92"/>
      <w:bookmarkEnd w:id="93"/>
    </w:p>
    <w:p w14:paraId="2CED5A3A" w14:textId="47176760" w:rsidR="009A602C" w:rsidRPr="001714A8" w:rsidRDefault="009A602C" w:rsidP="009A602C">
      <w:pPr>
        <w:pStyle w:val="Body"/>
        <w:rPr>
          <w:lang w:val="en-GB"/>
        </w:rPr>
      </w:pPr>
      <w:r w:rsidRPr="001714A8">
        <w:rPr>
          <w:lang w:val="en-GB"/>
        </w:rPr>
        <w:t xml:space="preserve">During </w:t>
      </w:r>
      <w:r>
        <w:rPr>
          <w:lang w:val="en-GB"/>
        </w:rPr>
        <w:t>its</w:t>
      </w:r>
      <w:r w:rsidRPr="001714A8">
        <w:rPr>
          <w:lang w:val="en-GB"/>
        </w:rPr>
        <w:t xml:space="preserve"> review, </w:t>
      </w:r>
      <w:r>
        <w:rPr>
          <w:lang w:val="en-GB"/>
        </w:rPr>
        <w:t>the Committee identified various opportunities to clarify</w:t>
      </w:r>
      <w:r w:rsidR="00DC5609">
        <w:rPr>
          <w:lang w:val="en-GB"/>
        </w:rPr>
        <w:t>, apply contemporary clinical standards and practice</w:t>
      </w:r>
      <w:r>
        <w:rPr>
          <w:lang w:val="en-GB"/>
        </w:rPr>
        <w:t xml:space="preserve"> and update definitions and when needed, address </w:t>
      </w:r>
      <w:r w:rsidRPr="001714A8">
        <w:rPr>
          <w:lang w:val="en-GB"/>
        </w:rPr>
        <w:t xml:space="preserve">compliance issues </w:t>
      </w:r>
      <w:r>
        <w:rPr>
          <w:lang w:val="en-GB"/>
        </w:rPr>
        <w:t>relating to</w:t>
      </w:r>
      <w:r w:rsidRPr="001714A8">
        <w:rPr>
          <w:lang w:val="en-GB"/>
        </w:rPr>
        <w:t xml:space="preserve"> several items under consideration. These issues are discussed within each relevant item’s detailed recommendation in Sections 4 to 14.</w:t>
      </w:r>
    </w:p>
    <w:p w14:paraId="28AB2037" w14:textId="77777777" w:rsidR="009A602C" w:rsidRPr="001714A8" w:rsidRDefault="009A602C" w:rsidP="009A602C">
      <w:pPr>
        <w:pStyle w:val="Body"/>
        <w:rPr>
          <w:lang w:val="en-GB"/>
        </w:rPr>
      </w:pPr>
      <w:r w:rsidRPr="001714A8">
        <w:rPr>
          <w:lang w:val="en-GB"/>
        </w:rPr>
        <w:t>The Committee recommended improving</w:t>
      </w:r>
      <w:r>
        <w:rPr>
          <w:lang w:val="en-GB"/>
        </w:rPr>
        <w:t xml:space="preserve"> definitions, which will in-turn improve</w:t>
      </w:r>
      <w:r w:rsidRPr="001714A8">
        <w:rPr>
          <w:lang w:val="en-GB"/>
        </w:rPr>
        <w:t xml:space="preserve"> compliance and audit functions to identify and prevent low-value use or </w:t>
      </w:r>
      <w:r>
        <w:rPr>
          <w:lang w:val="en-GB"/>
        </w:rPr>
        <w:t xml:space="preserve">unintended or intended </w:t>
      </w:r>
      <w:r w:rsidRPr="001714A8">
        <w:rPr>
          <w:lang w:val="en-GB"/>
        </w:rPr>
        <w:t>misuse</w:t>
      </w:r>
      <w:r>
        <w:rPr>
          <w:lang w:val="en-GB"/>
        </w:rPr>
        <w:t xml:space="preserve"> of MBS items</w:t>
      </w:r>
      <w:r w:rsidRPr="001714A8">
        <w:rPr>
          <w:lang w:val="en-GB"/>
        </w:rPr>
        <w:t xml:space="preserve">. Although every effort has been made to align the proposed item descriptors with contemporary best practice, it is not possible (nor is it desirable) to create descriptors that account for every complexity of clinical medicine. Improving </w:t>
      </w:r>
      <w:r>
        <w:rPr>
          <w:lang w:val="en-GB"/>
        </w:rPr>
        <w:t xml:space="preserve">definitions will clarify how items should be used appropriately, and </w:t>
      </w:r>
      <w:r w:rsidRPr="001714A8">
        <w:rPr>
          <w:lang w:val="en-GB"/>
        </w:rPr>
        <w:t xml:space="preserve">compliance and audit functions </w:t>
      </w:r>
      <w:r w:rsidRPr="00DD7222">
        <w:t>would</w:t>
      </w:r>
      <w:r w:rsidRPr="001714A8">
        <w:rPr>
          <w:lang w:val="en-GB"/>
        </w:rPr>
        <w:t xml:space="preserve"> help to ensure that items are used appropriately and as intended. </w:t>
      </w:r>
    </w:p>
    <w:p w14:paraId="20836692" w14:textId="77777777" w:rsidR="00B7526F" w:rsidRDefault="009A602C" w:rsidP="009A602C">
      <w:pPr>
        <w:pStyle w:val="Body"/>
        <w:rPr>
          <w:color w:val="auto"/>
          <w:lang w:val="en-GB"/>
        </w:rPr>
      </w:pPr>
      <w:r>
        <w:rPr>
          <w:lang w:val="en-GB"/>
        </w:rPr>
        <w:lastRenderedPageBreak/>
        <w:t xml:space="preserve">The Committee notes that the Department’s Compliance team is uniquely positioned to identify anomalous behaviour </w:t>
      </w:r>
      <w:r w:rsidRPr="0070302C">
        <w:rPr>
          <w:color w:val="auto"/>
          <w:lang w:val="en-GB"/>
        </w:rPr>
        <w:t xml:space="preserve">by </w:t>
      </w:r>
      <w:proofErr w:type="gramStart"/>
      <w:r w:rsidRPr="0070302C">
        <w:rPr>
          <w:color w:val="auto"/>
          <w:lang w:val="en-GB"/>
        </w:rPr>
        <w:t>providers, and</w:t>
      </w:r>
      <w:proofErr w:type="gramEnd"/>
      <w:r w:rsidRPr="0070302C">
        <w:rPr>
          <w:color w:val="auto"/>
          <w:lang w:val="en-GB"/>
        </w:rPr>
        <w:t xml:space="preserve"> believes that Compliance has a critical role to play in preventing and remedying low-value care, which has only been partly fulfilled in previous years. </w:t>
      </w:r>
    </w:p>
    <w:p w14:paraId="47FF99D9" w14:textId="5934BE8A" w:rsidR="009A602C" w:rsidRPr="001714A8" w:rsidRDefault="009A602C" w:rsidP="009A602C">
      <w:pPr>
        <w:pStyle w:val="Body"/>
        <w:rPr>
          <w:lang w:val="en-GB"/>
        </w:rPr>
      </w:pPr>
      <w:r w:rsidRPr="0070302C">
        <w:rPr>
          <w:color w:val="auto"/>
          <w:lang w:val="en-GB"/>
        </w:rPr>
        <w:t>The Committee recommended that Compliance work with the Royal Australian and New Zealand College of Ophthalmologists (RANZCO) to su</w:t>
      </w:r>
      <w:r w:rsidRPr="001714A8">
        <w:rPr>
          <w:lang w:val="en-GB"/>
        </w:rPr>
        <w:t xml:space="preserve">pport the effective implementation of these recommendations. For example, RANZCO and </w:t>
      </w:r>
      <w:r>
        <w:rPr>
          <w:lang w:val="en-GB"/>
        </w:rPr>
        <w:t xml:space="preserve">MBS </w:t>
      </w:r>
      <w:r w:rsidRPr="001714A8">
        <w:rPr>
          <w:lang w:val="en-GB"/>
        </w:rPr>
        <w:t>Compliance could work together to monitor eye injection frequency</w:t>
      </w:r>
      <w:r>
        <w:rPr>
          <w:lang w:val="en-GB"/>
        </w:rPr>
        <w:t xml:space="preserve"> which is currently reported to the Department of Health</w:t>
      </w:r>
      <w:r w:rsidR="009138E0">
        <w:rPr>
          <w:lang w:val="en-GB"/>
        </w:rPr>
        <w:t xml:space="preserve"> (the Department)</w:t>
      </w:r>
      <w:r>
        <w:rPr>
          <w:lang w:val="en-GB"/>
        </w:rPr>
        <w:t>, but not accessed in terms of how many right and how many left eye injections are being carried out on each individual over a year</w:t>
      </w:r>
      <w:r w:rsidRPr="001714A8">
        <w:rPr>
          <w:lang w:val="en-GB"/>
        </w:rPr>
        <w:t xml:space="preserve">. </w:t>
      </w:r>
    </w:p>
    <w:p w14:paraId="33BDF8B1" w14:textId="77777777" w:rsidR="009A602C" w:rsidRPr="00315286" w:rsidRDefault="009A602C" w:rsidP="009A602C">
      <w:pPr>
        <w:pStyle w:val="Heading3"/>
        <w:rPr>
          <w:u w:color="B66113"/>
        </w:rPr>
      </w:pPr>
      <w:bookmarkStart w:id="94" w:name="_Hlk521935572"/>
      <w:bookmarkStart w:id="95" w:name="_Toc536548101"/>
      <w:bookmarkStart w:id="96" w:name="_Toc35347204"/>
      <w:r w:rsidRPr="00315286">
        <w:rPr>
          <w:u w:color="B66113"/>
        </w:rPr>
        <w:t>Retinal electrophysiology</w:t>
      </w:r>
      <w:bookmarkEnd w:id="94"/>
      <w:bookmarkEnd w:id="95"/>
      <w:bookmarkEnd w:id="96"/>
    </w:p>
    <w:p w14:paraId="19FA767E" w14:textId="2CC8DEC0" w:rsidR="009A602C" w:rsidRPr="001714A8" w:rsidRDefault="009A602C" w:rsidP="009A602C">
      <w:pPr>
        <w:pStyle w:val="Body"/>
        <w:rPr>
          <w:lang w:val="en-GB"/>
        </w:rPr>
      </w:pPr>
      <w:r w:rsidRPr="001714A8">
        <w:rPr>
          <w:lang w:val="en-GB"/>
        </w:rPr>
        <w:t xml:space="preserve">The Committee recommended </w:t>
      </w:r>
      <w:r>
        <w:rPr>
          <w:lang w:val="en-GB"/>
        </w:rPr>
        <w:t>changing</w:t>
      </w:r>
      <w:r w:rsidRPr="001714A8">
        <w:rPr>
          <w:lang w:val="en-GB"/>
        </w:rPr>
        <w:t xml:space="preserve"> the retinal electrophysiology</w:t>
      </w:r>
      <w:r>
        <w:rPr>
          <w:lang w:val="en-GB"/>
        </w:rPr>
        <w:t xml:space="preserve"> item</w:t>
      </w:r>
      <w:r w:rsidRPr="001714A8">
        <w:rPr>
          <w:lang w:val="en-GB"/>
        </w:rPr>
        <w:t xml:space="preserve"> descriptors to </w:t>
      </w:r>
      <w:r>
        <w:rPr>
          <w:lang w:val="en-GB"/>
        </w:rPr>
        <w:t>ensure that they are only performed by specialists with suitable training and expertise, according to the relevant professional guidelines</w:t>
      </w:r>
      <w:r w:rsidRPr="001714A8">
        <w:rPr>
          <w:lang w:val="en-GB"/>
        </w:rPr>
        <w:t>. The Committee also recommended that the Department</w:t>
      </w:r>
      <w:r>
        <w:rPr>
          <w:lang w:val="en-GB"/>
        </w:rPr>
        <w:t xml:space="preserve"> </w:t>
      </w:r>
      <w:r w:rsidRPr="001714A8">
        <w:rPr>
          <w:lang w:val="en-GB"/>
        </w:rPr>
        <w:t xml:space="preserve">monitor these clinicians to ensure that services are performed in accordance with specified standards of care. These tests are highly specialised and are used to detect retinal disease. They should only be performed in centres that adhere to the required standard of care, specified by the International Society for Clinical Electrophysiology of Vision (ISCEV). </w:t>
      </w:r>
    </w:p>
    <w:p w14:paraId="38A09199" w14:textId="3120BE3C" w:rsidR="009A602C" w:rsidRPr="00315286" w:rsidRDefault="009A602C" w:rsidP="009A602C">
      <w:pPr>
        <w:pStyle w:val="Body"/>
        <w:keepNext/>
        <w:ind w:right="142"/>
        <w:rPr>
          <w:b/>
          <w:bCs/>
          <w:i/>
          <w:lang w:val="en-GB"/>
        </w:rPr>
      </w:pPr>
      <w:r w:rsidRPr="00315286">
        <w:rPr>
          <w:b/>
          <w:bCs/>
          <w:i/>
          <w:lang w:val="en-GB"/>
        </w:rPr>
        <w:t>Restricting item descriptors</w:t>
      </w:r>
      <w:r w:rsidR="00DC5609">
        <w:rPr>
          <w:b/>
          <w:bCs/>
          <w:i/>
          <w:lang w:val="en-GB"/>
        </w:rPr>
        <w:t xml:space="preserve"> to ophthalmologists</w:t>
      </w:r>
      <w:r w:rsidRPr="00315286">
        <w:rPr>
          <w:b/>
          <w:bCs/>
          <w:i/>
          <w:lang w:val="en-GB"/>
        </w:rPr>
        <w:t xml:space="preserve"> </w:t>
      </w:r>
    </w:p>
    <w:p w14:paraId="02FE5B8D" w14:textId="3F27AE42" w:rsidR="009A602C" w:rsidRPr="001714A8" w:rsidRDefault="009A602C" w:rsidP="009A602C">
      <w:pPr>
        <w:pStyle w:val="Body"/>
        <w:rPr>
          <w:lang w:val="en-GB"/>
        </w:rPr>
      </w:pPr>
      <w:r w:rsidRPr="001714A8">
        <w:rPr>
          <w:lang w:val="en-GB"/>
        </w:rPr>
        <w:t xml:space="preserve">The Committee recommended </w:t>
      </w:r>
      <w:r>
        <w:rPr>
          <w:lang w:val="en-GB"/>
        </w:rPr>
        <w:t>changing</w:t>
      </w:r>
      <w:r w:rsidRPr="001714A8">
        <w:rPr>
          <w:lang w:val="en-GB"/>
        </w:rPr>
        <w:t xml:space="preserve"> the following item descriptors to restrict use to ophthalmologists</w:t>
      </w:r>
      <w:r w:rsidR="003450C6">
        <w:rPr>
          <w:lang w:val="en-GB"/>
        </w:rPr>
        <w:t>,</w:t>
      </w:r>
      <w:r>
        <w:rPr>
          <w:lang w:val="en-GB"/>
        </w:rPr>
        <w:t xml:space="preserve"> or a technician on behalf of an </w:t>
      </w:r>
      <w:proofErr w:type="gramStart"/>
      <w:r>
        <w:rPr>
          <w:lang w:val="en-GB"/>
        </w:rPr>
        <w:t>ophthalmologist</w:t>
      </w:r>
      <w:r w:rsidR="003450C6">
        <w:rPr>
          <w:lang w:val="en-GB"/>
        </w:rPr>
        <w:t>,</w:t>
      </w:r>
      <w:r w:rsidRPr="001714A8">
        <w:rPr>
          <w:lang w:val="en-GB"/>
        </w:rPr>
        <w:t>:</w:t>
      </w:r>
      <w:proofErr w:type="gramEnd"/>
      <w:r w:rsidRPr="001714A8">
        <w:rPr>
          <w:lang w:val="en-GB"/>
        </w:rPr>
        <w:t xml:space="preserve"> </w:t>
      </w:r>
    </w:p>
    <w:p w14:paraId="730ACFD7" w14:textId="77777777" w:rsidR="009A602C" w:rsidRPr="006D761C" w:rsidRDefault="009A602C" w:rsidP="009A602C">
      <w:pPr>
        <w:pStyle w:val="Bullet-green"/>
      </w:pPr>
      <w:r w:rsidRPr="006D761C">
        <w:t>Item 11204: Electroretinography.</w:t>
      </w:r>
    </w:p>
    <w:p w14:paraId="00D45DFA" w14:textId="77777777" w:rsidR="009A602C" w:rsidRPr="006D761C" w:rsidRDefault="009A602C" w:rsidP="009A602C">
      <w:pPr>
        <w:pStyle w:val="Bullet-green"/>
      </w:pPr>
      <w:r w:rsidRPr="006D761C">
        <w:t>Item 11205: Electro-oculography.</w:t>
      </w:r>
    </w:p>
    <w:p w14:paraId="6E25F564" w14:textId="77777777" w:rsidR="009A602C" w:rsidRPr="006D761C" w:rsidRDefault="009A602C" w:rsidP="009A602C">
      <w:pPr>
        <w:pStyle w:val="Bullet-green"/>
      </w:pPr>
      <w:r w:rsidRPr="006D761C">
        <w:t>Item 11211: Dark adaptometry.</w:t>
      </w:r>
    </w:p>
    <w:p w14:paraId="4143F8A9" w14:textId="77777777" w:rsidR="009A602C" w:rsidRPr="001714A8" w:rsidRDefault="009A602C" w:rsidP="009A602C">
      <w:pPr>
        <w:pStyle w:val="Body"/>
        <w:rPr>
          <w:lang w:val="en-GB"/>
        </w:rPr>
      </w:pPr>
      <w:r w:rsidRPr="001714A8">
        <w:rPr>
          <w:lang w:val="en-GB"/>
        </w:rPr>
        <w:t xml:space="preserve">The Committee noted that items 11204 and 11205 were recently </w:t>
      </w:r>
      <w:r>
        <w:rPr>
          <w:lang w:val="en-GB"/>
        </w:rPr>
        <w:t>changed</w:t>
      </w:r>
      <w:r w:rsidRPr="001714A8">
        <w:rPr>
          <w:lang w:val="en-GB"/>
        </w:rPr>
        <w:t xml:space="preserve"> (effective November 2017) to exclude claiming by general practitioners (GPs). This amendment </w:t>
      </w:r>
      <w:r w:rsidRPr="001714A8">
        <w:rPr>
          <w:lang w:val="en-GB"/>
        </w:rPr>
        <w:lastRenderedPageBreak/>
        <w:t>has been effective, with no services claimed by GPs in 2018. However, the Committee felt that further restrictions were required due to:</w:t>
      </w:r>
    </w:p>
    <w:p w14:paraId="67A75005" w14:textId="77777777" w:rsidR="009A602C" w:rsidRPr="001714A8" w:rsidRDefault="009A602C" w:rsidP="009A602C">
      <w:pPr>
        <w:pStyle w:val="Bullet-green"/>
      </w:pPr>
      <w:r w:rsidRPr="001714A8">
        <w:t>Significant geographic variation in service provision.</w:t>
      </w:r>
    </w:p>
    <w:p w14:paraId="18B5CDD9" w14:textId="77777777" w:rsidR="009A602C" w:rsidRPr="001714A8" w:rsidRDefault="009A602C" w:rsidP="009A602C">
      <w:pPr>
        <w:pStyle w:val="Bullet-green"/>
      </w:pPr>
      <w:r w:rsidRPr="001714A8">
        <w:t>A higher than expected number of clinicians claiming these items.</w:t>
      </w:r>
    </w:p>
    <w:p w14:paraId="11A6C53E" w14:textId="77777777" w:rsidR="009A602C" w:rsidRPr="001714A8" w:rsidRDefault="009A602C" w:rsidP="009A602C">
      <w:pPr>
        <w:pStyle w:val="Bullet-green"/>
      </w:pPr>
      <w:r w:rsidRPr="001714A8">
        <w:t xml:space="preserve">The broad range of specialty clinicians co-claiming item 11205. </w:t>
      </w:r>
      <w:r>
        <w:t>Ophthalmologists o</w:t>
      </w:r>
      <w:r w:rsidRPr="001714A8">
        <w:t>nly</w:t>
      </w:r>
      <w:r>
        <w:t xml:space="preserve"> claim</w:t>
      </w:r>
      <w:r w:rsidRPr="001714A8">
        <w:t xml:space="preserve"> 1 per cent of episodes. </w:t>
      </w:r>
      <w:r>
        <w:t>N</w:t>
      </w:r>
      <w:r w:rsidRPr="001714A8">
        <w:t>eurologists</w:t>
      </w:r>
      <w:r>
        <w:t xml:space="preserve"> claim </w:t>
      </w:r>
      <w:proofErr w:type="gramStart"/>
      <w:r>
        <w:t>the majority of</w:t>
      </w:r>
      <w:proofErr w:type="gramEnd"/>
      <w:r>
        <w:t xml:space="preserve"> episodes</w:t>
      </w:r>
      <w:r w:rsidRPr="001714A8">
        <w:t xml:space="preserve"> (50 per cent), indicating significant and broad indication creep. </w:t>
      </w:r>
    </w:p>
    <w:p w14:paraId="45E992F8" w14:textId="77777777" w:rsidR="009A602C" w:rsidRPr="00315286" w:rsidRDefault="009A602C" w:rsidP="009A602C">
      <w:pPr>
        <w:pStyle w:val="Body"/>
        <w:keepNext/>
        <w:ind w:right="142"/>
        <w:rPr>
          <w:b/>
          <w:bCs/>
          <w:i/>
          <w:lang w:val="en-GB"/>
        </w:rPr>
      </w:pPr>
      <w:r w:rsidRPr="00315286">
        <w:rPr>
          <w:b/>
          <w:bCs/>
          <w:i/>
          <w:lang w:val="en-GB"/>
        </w:rPr>
        <w:t>Restricting use of items to specialists</w:t>
      </w:r>
    </w:p>
    <w:p w14:paraId="38C9135A" w14:textId="77777777" w:rsidR="009138E0" w:rsidRDefault="009A602C" w:rsidP="009A602C">
      <w:pPr>
        <w:pStyle w:val="Body"/>
        <w:rPr>
          <w:lang w:val="en-GB"/>
        </w:rPr>
      </w:pPr>
      <w:r w:rsidRPr="001714A8">
        <w:rPr>
          <w:lang w:val="en-GB"/>
        </w:rPr>
        <w:t xml:space="preserve">The Committee recommended </w:t>
      </w:r>
      <w:r>
        <w:rPr>
          <w:lang w:val="en-GB"/>
        </w:rPr>
        <w:t>changing</w:t>
      </w:r>
      <w:r w:rsidRPr="001714A8">
        <w:rPr>
          <w:lang w:val="en-GB"/>
        </w:rPr>
        <w:t xml:space="preserve"> the descriptor for item 11210 (pattern electroretinography) to restrict use to specialists, excluding GPs. </w:t>
      </w:r>
    </w:p>
    <w:p w14:paraId="5FDD7164" w14:textId="2BCED4DE" w:rsidR="009138E0" w:rsidRDefault="009A602C" w:rsidP="009A602C">
      <w:pPr>
        <w:pStyle w:val="Body"/>
        <w:rPr>
          <w:lang w:val="en-GB"/>
        </w:rPr>
      </w:pPr>
      <w:r>
        <w:rPr>
          <w:lang w:val="en-GB"/>
        </w:rPr>
        <w:t>A</w:t>
      </w:r>
      <w:r w:rsidRPr="001714A8">
        <w:rPr>
          <w:lang w:val="en-GB"/>
        </w:rPr>
        <w:t xml:space="preserve"> variety of specialists</w:t>
      </w:r>
      <w:r>
        <w:rPr>
          <w:lang w:val="en-GB"/>
        </w:rPr>
        <w:t xml:space="preserve"> claim this item</w:t>
      </w:r>
      <w:r w:rsidRPr="001714A8">
        <w:rPr>
          <w:lang w:val="en-GB"/>
        </w:rPr>
        <w:t xml:space="preserve"> </w:t>
      </w:r>
      <w:r>
        <w:rPr>
          <w:lang w:val="en-GB"/>
        </w:rPr>
        <w:t>(</w:t>
      </w:r>
      <w:r w:rsidRPr="001714A8">
        <w:rPr>
          <w:lang w:val="en-GB"/>
        </w:rPr>
        <w:t>in addition to ophthalmologists</w:t>
      </w:r>
      <w:r>
        <w:rPr>
          <w:lang w:val="en-GB"/>
        </w:rPr>
        <w:t>)</w:t>
      </w:r>
      <w:r w:rsidRPr="001714A8">
        <w:rPr>
          <w:lang w:val="en-GB"/>
        </w:rPr>
        <w:t xml:space="preserve">, including neurologists, general surgeons, paediatricians and GPs. The purpose of this recommendation is to exclude GPs from using this highly specialised item, recognising </w:t>
      </w:r>
      <w:r>
        <w:rPr>
          <w:lang w:val="en-GB"/>
        </w:rPr>
        <w:t xml:space="preserve">the </w:t>
      </w:r>
      <w:r w:rsidRPr="001714A8">
        <w:rPr>
          <w:lang w:val="en-GB"/>
        </w:rPr>
        <w:t xml:space="preserve">appropriate equipment </w:t>
      </w:r>
      <w:r>
        <w:rPr>
          <w:lang w:val="en-GB"/>
        </w:rPr>
        <w:t xml:space="preserve">and </w:t>
      </w:r>
      <w:r w:rsidRPr="001714A8">
        <w:rPr>
          <w:lang w:val="en-GB"/>
        </w:rPr>
        <w:t>training/expertise</w:t>
      </w:r>
      <w:r>
        <w:rPr>
          <w:lang w:val="en-GB"/>
        </w:rPr>
        <w:t xml:space="preserve"> necessary.</w:t>
      </w:r>
      <w:r w:rsidRPr="001714A8">
        <w:rPr>
          <w:lang w:val="en-GB"/>
        </w:rPr>
        <w:t xml:space="preserve"> </w:t>
      </w:r>
    </w:p>
    <w:p w14:paraId="05F79D29" w14:textId="77777777" w:rsidR="009138E0" w:rsidRDefault="009A602C" w:rsidP="009A602C">
      <w:pPr>
        <w:pStyle w:val="Body"/>
        <w:rPr>
          <w:lang w:val="en-GB"/>
        </w:rPr>
      </w:pPr>
      <w:r w:rsidRPr="001714A8">
        <w:rPr>
          <w:lang w:val="en-GB"/>
        </w:rPr>
        <w:t xml:space="preserve">This will prevent claims for services that are not provided in accordance with the item descriptor. </w:t>
      </w:r>
    </w:p>
    <w:p w14:paraId="2CB81DD2" w14:textId="38A9EE6D" w:rsidR="009A602C" w:rsidRPr="001714A8" w:rsidRDefault="009A602C" w:rsidP="009A602C">
      <w:pPr>
        <w:pStyle w:val="Body"/>
        <w:rPr>
          <w:lang w:val="en-GB"/>
        </w:rPr>
      </w:pPr>
      <w:r w:rsidRPr="001714A8">
        <w:rPr>
          <w:lang w:val="en-GB"/>
        </w:rPr>
        <w:t xml:space="preserve">Other specialists have not been restricted from using this item. </w:t>
      </w:r>
      <w:r w:rsidR="00DC5609">
        <w:rPr>
          <w:lang w:val="en-GB"/>
        </w:rPr>
        <w:t>Unlike items 11204, 11205 and 11211, s</w:t>
      </w:r>
      <w:r w:rsidRPr="001714A8">
        <w:rPr>
          <w:lang w:val="en-GB"/>
        </w:rPr>
        <w:t>pecialists other than ophthalmologists (</w:t>
      </w:r>
      <w:r>
        <w:rPr>
          <w:lang w:val="en-GB"/>
        </w:rPr>
        <w:t>mainly</w:t>
      </w:r>
      <w:r w:rsidRPr="001714A8">
        <w:rPr>
          <w:lang w:val="en-GB"/>
        </w:rPr>
        <w:t xml:space="preserve"> neurologists) have the requisite equipment and expertise to perform and interpret this test.</w:t>
      </w:r>
    </w:p>
    <w:p w14:paraId="2E5CC015" w14:textId="77777777" w:rsidR="009A602C" w:rsidRPr="00315286" w:rsidRDefault="009A602C" w:rsidP="009A602C">
      <w:pPr>
        <w:pStyle w:val="Body"/>
        <w:keepNext/>
        <w:ind w:right="142"/>
        <w:rPr>
          <w:b/>
          <w:bCs/>
          <w:i/>
          <w:lang w:val="en-GB"/>
        </w:rPr>
      </w:pPr>
      <w:r w:rsidRPr="00315286">
        <w:rPr>
          <w:b/>
          <w:bCs/>
          <w:i/>
          <w:lang w:val="en-GB"/>
        </w:rPr>
        <w:t>Monitoring service provision</w:t>
      </w:r>
    </w:p>
    <w:p w14:paraId="2545C293" w14:textId="77777777" w:rsidR="009138E0" w:rsidRDefault="009A602C" w:rsidP="009A602C">
      <w:pPr>
        <w:pStyle w:val="Body"/>
      </w:pPr>
      <w:r w:rsidRPr="001714A8">
        <w:t xml:space="preserve">The Committee recommended that the Department investigate clinicians claiming items 11204, 11205 or 11211 who are not located in areas with specialised retinal electrophysiology centres. </w:t>
      </w:r>
    </w:p>
    <w:p w14:paraId="3741A159" w14:textId="06FFFAD0" w:rsidR="009A602C" w:rsidRPr="001714A8" w:rsidRDefault="009A602C" w:rsidP="009A602C">
      <w:pPr>
        <w:pStyle w:val="Body"/>
      </w:pPr>
      <w:r w:rsidRPr="001714A8">
        <w:t>The Committee suspects that some clinicians are using these items in a manner that does not comply with best</w:t>
      </w:r>
      <w:r>
        <w:t>-</w:t>
      </w:r>
      <w:r w:rsidRPr="001714A8">
        <w:t xml:space="preserve">practice standards of care, which are referenced in the item descriptors and detailed in the explanatory notes. </w:t>
      </w:r>
    </w:p>
    <w:p w14:paraId="6BD7A441" w14:textId="77777777" w:rsidR="009A602C" w:rsidRPr="00315286" w:rsidRDefault="009A602C" w:rsidP="009A602C">
      <w:pPr>
        <w:pStyle w:val="Heading3"/>
        <w:rPr>
          <w:u w:color="B66113"/>
        </w:rPr>
      </w:pPr>
      <w:bookmarkStart w:id="97" w:name="_Hlk521935592"/>
      <w:bookmarkStart w:id="98" w:name="_Toc536548102"/>
      <w:bookmarkStart w:id="99" w:name="_Toc35347205"/>
      <w:r w:rsidRPr="00315286">
        <w:rPr>
          <w:u w:color="B66113"/>
        </w:rPr>
        <w:lastRenderedPageBreak/>
        <w:t>Computerised perimetry</w:t>
      </w:r>
      <w:bookmarkEnd w:id="97"/>
      <w:bookmarkEnd w:id="98"/>
      <w:bookmarkEnd w:id="99"/>
    </w:p>
    <w:p w14:paraId="52A8E2FE" w14:textId="77777777" w:rsidR="009138E0" w:rsidRDefault="009A602C" w:rsidP="009A602C">
      <w:pPr>
        <w:pStyle w:val="Body"/>
      </w:pPr>
      <w:r w:rsidRPr="001714A8">
        <w:t xml:space="preserve">The Committee respectfully recommended that the Optometry Clinical Committee investigate the optometric computerised perimetry items for possible inappropriate use. </w:t>
      </w:r>
    </w:p>
    <w:p w14:paraId="4AC5320C" w14:textId="407E3D1C" w:rsidR="009A602C" w:rsidRPr="001714A8" w:rsidRDefault="009A602C" w:rsidP="009A602C">
      <w:pPr>
        <w:pStyle w:val="Body"/>
      </w:pPr>
      <w:r w:rsidRPr="001714A8">
        <w:t xml:space="preserve">Computerised perimetry has become the standard of care in optometric and ophthalmic practice for the </w:t>
      </w:r>
      <w:r w:rsidR="00584729">
        <w:t>assessment</w:t>
      </w:r>
      <w:r w:rsidRPr="001714A8">
        <w:t xml:space="preserve"> and monitoring of </w:t>
      </w:r>
      <w:r w:rsidR="001A527C">
        <w:t xml:space="preserve">the </w:t>
      </w:r>
      <w:r w:rsidR="00AD0356">
        <w:t xml:space="preserve">visual </w:t>
      </w:r>
      <w:r w:rsidR="001A527C">
        <w:t>field</w:t>
      </w:r>
      <w:r w:rsidR="00AD0356">
        <w:t xml:space="preserve"> defects caused by</w:t>
      </w:r>
      <w:r w:rsidR="001A527C">
        <w:t xml:space="preserve"> </w:t>
      </w:r>
      <w:r w:rsidRPr="001714A8">
        <w:t xml:space="preserve">glaucoma. These are not screening tests and should be performed for specified indications only.  </w:t>
      </w:r>
    </w:p>
    <w:p w14:paraId="0A1DC783" w14:textId="77777777" w:rsidR="009A602C" w:rsidRPr="001714A8" w:rsidRDefault="009A602C" w:rsidP="009A602C">
      <w:pPr>
        <w:pStyle w:val="Body"/>
      </w:pPr>
      <w:r w:rsidRPr="001714A8">
        <w:t xml:space="preserve">The Committee noted that computerised perimetry services performed by ophthalmologists appear to be in line with expectations, with the rate of servicing increasing exponentially with age (in a similar way to glaucoma prevalence rates). However, service rates by age and growth for optometric item 10940 do not appear to be in line with expectations. Service growth for item 10940 was double the rate of comparable ophthalmology items (8 per cent and 4 per cent per year, respectively). The rate of servicing also did not increase exponentially with age. Instead, it dropped off for patients aged 80 years and </w:t>
      </w:r>
      <w:proofErr w:type="gramStart"/>
      <w:r w:rsidRPr="001714A8">
        <w:t>above, and</w:t>
      </w:r>
      <w:proofErr w:type="gramEnd"/>
      <w:r w:rsidRPr="001714A8">
        <w:t xml:space="preserve"> was higher than expected for those aged 50 and below. The Committee felt that this may indicate that computerised perimetry is being used as a screening tool.</w:t>
      </w:r>
    </w:p>
    <w:p w14:paraId="337B9534" w14:textId="522D5A40" w:rsidR="009A602C" w:rsidRDefault="009A602C" w:rsidP="009A602C">
      <w:pPr>
        <w:pStyle w:val="Body"/>
        <w:rPr>
          <w:lang w:val="en-GB"/>
        </w:rPr>
      </w:pPr>
      <w:r w:rsidRPr="001714A8">
        <w:rPr>
          <w:lang w:val="en-GB"/>
        </w:rPr>
        <w:t xml:space="preserve">The Committee recognised that the optometric items are </w:t>
      </w:r>
      <w:r>
        <w:rPr>
          <w:lang w:val="en-GB"/>
        </w:rPr>
        <w:t>beyond</w:t>
      </w:r>
      <w:r w:rsidRPr="001714A8">
        <w:rPr>
          <w:lang w:val="en-GB"/>
        </w:rPr>
        <w:t xml:space="preserve"> its remit but wished to acknowledge the need for better targeting of patients for testing. This would allow for a higher rate of glaucoma </w:t>
      </w:r>
      <w:r w:rsidR="00634C94">
        <w:rPr>
          <w:lang w:val="en-GB"/>
        </w:rPr>
        <w:t>assessment</w:t>
      </w:r>
      <w:r w:rsidRPr="001714A8">
        <w:rPr>
          <w:lang w:val="en-GB"/>
        </w:rPr>
        <w:t xml:space="preserve"> and represents an opportunity for collaborative research between ophthalmologists and optometrists to achieve the best </w:t>
      </w:r>
      <w:r w:rsidR="00BB073A">
        <w:rPr>
          <w:lang w:val="en-GB"/>
        </w:rPr>
        <w:t>monitoring</w:t>
      </w:r>
      <w:r w:rsidRPr="001714A8">
        <w:rPr>
          <w:lang w:val="en-GB"/>
        </w:rPr>
        <w:t xml:space="preserve"> rates for glaucoma patients. </w:t>
      </w:r>
    </w:p>
    <w:p w14:paraId="074B92D4" w14:textId="73080060" w:rsidR="00702019" w:rsidRPr="000154B8" w:rsidRDefault="000154B8" w:rsidP="00702019">
      <w:pPr>
        <w:pStyle w:val="Body"/>
        <w:rPr>
          <w:i/>
        </w:rPr>
      </w:pPr>
      <w:r w:rsidRPr="000154B8">
        <w:rPr>
          <w:i/>
        </w:rPr>
        <w:t>P</w:t>
      </w:r>
      <w:r w:rsidR="00702019" w:rsidRPr="000154B8">
        <w:rPr>
          <w:i/>
        </w:rPr>
        <w:t xml:space="preserve">lease note: The Taskforce asked the Optometry Committee as part of its discussions to </w:t>
      </w:r>
      <w:r w:rsidR="00702019" w:rsidRPr="000154B8">
        <w:rPr>
          <w:b/>
          <w:bCs/>
          <w:i/>
        </w:rPr>
        <w:t>provide clarification on the usage of its Computerised Perimetry items.</w:t>
      </w:r>
      <w:r w:rsidR="00702019" w:rsidRPr="000154B8">
        <w:rPr>
          <w:i/>
        </w:rPr>
        <w:t xml:space="preserve">  Below is the response from Optometry Clinical Committee. </w:t>
      </w:r>
    </w:p>
    <w:p w14:paraId="794C8436" w14:textId="77777777" w:rsidR="00702019" w:rsidRPr="000154B8" w:rsidRDefault="00702019" w:rsidP="00702019">
      <w:pPr>
        <w:pStyle w:val="ListParagraph"/>
        <w:numPr>
          <w:ilvl w:val="0"/>
          <w:numId w:val="227"/>
        </w:numPr>
        <w:rPr>
          <w:i/>
        </w:rPr>
      </w:pPr>
      <w:r w:rsidRPr="000154B8">
        <w:rPr>
          <w:i/>
        </w:rPr>
        <w:t xml:space="preserve">An increasing number of therapeutic optometrists who are highly skilled at detecting, monitoring and treating a wide range of eye diseases. </w:t>
      </w:r>
    </w:p>
    <w:p w14:paraId="07790A79" w14:textId="77777777" w:rsidR="00702019" w:rsidRPr="000154B8" w:rsidRDefault="00702019" w:rsidP="00702019">
      <w:pPr>
        <w:pStyle w:val="ListParagraph"/>
        <w:numPr>
          <w:ilvl w:val="0"/>
          <w:numId w:val="227"/>
        </w:numPr>
        <w:rPr>
          <w:i/>
        </w:rPr>
      </w:pPr>
      <w:r w:rsidRPr="000154B8">
        <w:rPr>
          <w:i/>
        </w:rPr>
        <w:lastRenderedPageBreak/>
        <w:t xml:space="preserve">A dramatic increase in the availability of optical coherence tomography (OCT) OCT has revolutionised ophthalmic care, enabling far earlier diagnosis of conditions such as glaucoma, exudative macular degeneration and diabetic macular oedema. </w:t>
      </w:r>
    </w:p>
    <w:p w14:paraId="49938B5D" w14:textId="77777777" w:rsidR="00702019" w:rsidRPr="000154B8" w:rsidRDefault="00702019" w:rsidP="00702019">
      <w:pPr>
        <w:pStyle w:val="ListParagraph"/>
        <w:numPr>
          <w:ilvl w:val="0"/>
          <w:numId w:val="227"/>
        </w:numPr>
        <w:rPr>
          <w:i/>
        </w:rPr>
      </w:pPr>
      <w:r w:rsidRPr="000154B8">
        <w:rPr>
          <w:i/>
        </w:rPr>
        <w:t xml:space="preserve">Optometrists are primary eyecare practitioners who use visual fields as part of a diagnostic test regime on indication as per the schedule. Optometrists conduct over 75% of all eye examinations in Australia and need to differentiate the normal and healthy against conditions and diseases of the eye and visual pathway. </w:t>
      </w:r>
    </w:p>
    <w:p w14:paraId="55C54CF1" w14:textId="77777777" w:rsidR="00702019" w:rsidRPr="00702019" w:rsidRDefault="00702019" w:rsidP="00702019">
      <w:pPr>
        <w:rPr>
          <w:i/>
        </w:rPr>
      </w:pPr>
      <w:r w:rsidRPr="000154B8">
        <w:rPr>
          <w:i/>
        </w:rPr>
        <w:t>This response was accepted by the Taskforce in December 2018.</w:t>
      </w:r>
      <w:r w:rsidRPr="00702019">
        <w:rPr>
          <w:i/>
        </w:rPr>
        <w:t xml:space="preserve"> </w:t>
      </w:r>
    </w:p>
    <w:p w14:paraId="2717B09A" w14:textId="53E443BA" w:rsidR="009A602C" w:rsidRPr="006D761C" w:rsidRDefault="00702019" w:rsidP="009A602C">
      <w:pPr>
        <w:pStyle w:val="Heading3"/>
      </w:pPr>
      <w:bookmarkStart w:id="100" w:name="_Toc536548103"/>
      <w:bookmarkStart w:id="101" w:name="_Toc35347206"/>
      <w:r>
        <w:t>E</w:t>
      </w:r>
      <w:r w:rsidR="009A602C" w:rsidRPr="006D761C">
        <w:t>ye injections</w:t>
      </w:r>
      <w:bookmarkEnd w:id="100"/>
      <w:bookmarkEnd w:id="101"/>
      <w:r w:rsidR="009A602C" w:rsidRPr="006D761C">
        <w:t xml:space="preserve"> </w:t>
      </w:r>
    </w:p>
    <w:p w14:paraId="52DECD13" w14:textId="77777777" w:rsidR="009A602C" w:rsidRPr="006D761C" w:rsidRDefault="009A602C" w:rsidP="009A602C">
      <w:pPr>
        <w:pStyle w:val="Body"/>
        <w:keepNext/>
        <w:ind w:right="142"/>
        <w:rPr>
          <w:b/>
          <w:bCs/>
          <w:i/>
          <w:lang w:val="en-GB"/>
        </w:rPr>
      </w:pPr>
      <w:r>
        <w:rPr>
          <w:b/>
          <w:i/>
          <w:lang w:val="en-GB"/>
        </w:rPr>
        <w:t xml:space="preserve">Creating </w:t>
      </w:r>
      <w:r>
        <w:rPr>
          <w:b/>
          <w:bCs/>
          <w:i/>
          <w:lang w:val="en-GB"/>
        </w:rPr>
        <w:t>s</w:t>
      </w:r>
      <w:r w:rsidRPr="006D761C">
        <w:rPr>
          <w:b/>
          <w:bCs/>
          <w:i/>
          <w:lang w:val="en-GB"/>
        </w:rPr>
        <w:t>eparate items for eye injections for the left and right eye</w:t>
      </w:r>
    </w:p>
    <w:p w14:paraId="1C030D21" w14:textId="77777777" w:rsidR="009138E0" w:rsidRDefault="009A602C" w:rsidP="009A602C">
      <w:pPr>
        <w:pStyle w:val="Body"/>
        <w:rPr>
          <w:color w:val="auto"/>
        </w:rPr>
      </w:pPr>
      <w:r>
        <w:t>The Committee recommended c</w:t>
      </w:r>
      <w:r w:rsidRPr="00FD516A">
        <w:t xml:space="preserve">reating two separate items for eye injections—one for the left eye and one for the right eye—to allow for appropriate monitoring of </w:t>
      </w:r>
      <w:r w:rsidRPr="003B4CE7">
        <w:rPr>
          <w:color w:val="auto"/>
        </w:rPr>
        <w:t xml:space="preserve">treatment frequency. </w:t>
      </w:r>
    </w:p>
    <w:p w14:paraId="5FF87D8B" w14:textId="77777777" w:rsidR="009138E0" w:rsidRDefault="009A602C" w:rsidP="009A602C">
      <w:pPr>
        <w:pStyle w:val="Body"/>
      </w:pPr>
      <w:r w:rsidRPr="003B4CE7">
        <w:rPr>
          <w:color w:val="auto"/>
        </w:rPr>
        <w:t xml:space="preserve">The Committee noted that Medicare cannot provide searchable per-eye </w:t>
      </w:r>
      <w:r w:rsidRPr="001714A8">
        <w:t>data. This information is crucial to determine and monitor treatment frequency, which occurs on a per-eye basis.</w:t>
      </w:r>
      <w:r>
        <w:t xml:space="preserve"> </w:t>
      </w:r>
    </w:p>
    <w:p w14:paraId="486E3688" w14:textId="3E72C3C9" w:rsidR="009A602C" w:rsidRPr="00315286" w:rsidRDefault="009A602C" w:rsidP="009A602C">
      <w:pPr>
        <w:pStyle w:val="Body"/>
      </w:pPr>
      <w:r>
        <w:t>V</w:t>
      </w:r>
      <w:r w:rsidRPr="001714A8">
        <w:t>ery low frequency treatment (</w:t>
      </w:r>
      <w:r w:rsidR="009138E0">
        <w:t>fewer</w:t>
      </w:r>
      <w:r w:rsidRPr="001714A8">
        <w:t xml:space="preserve"> than three injections</w:t>
      </w:r>
      <w:r>
        <w:t xml:space="preserve"> a year</w:t>
      </w:r>
      <w:r w:rsidRPr="001714A8">
        <w:t xml:space="preserve"> </w:t>
      </w:r>
      <w:r>
        <w:t xml:space="preserve">in each eye, </w:t>
      </w:r>
      <w:r w:rsidRPr="001714A8">
        <w:t xml:space="preserve">per patient) and very high frequency treatment (more than 12 injections </w:t>
      </w:r>
      <w:r>
        <w:t>a year in each eye, per patient</w:t>
      </w:r>
      <w:r w:rsidRPr="001714A8">
        <w:t xml:space="preserve">) may represent low-value care. </w:t>
      </w:r>
    </w:p>
    <w:p w14:paraId="472ED712" w14:textId="77777777" w:rsidR="009A602C" w:rsidRPr="00315286" w:rsidRDefault="009A602C" w:rsidP="009A602C">
      <w:pPr>
        <w:pStyle w:val="Body"/>
        <w:keepNext/>
        <w:ind w:right="142"/>
        <w:rPr>
          <w:b/>
          <w:i/>
          <w:lang w:val="en-GB"/>
        </w:rPr>
      </w:pPr>
      <w:r w:rsidRPr="00315286">
        <w:rPr>
          <w:b/>
          <w:bCs/>
          <w:i/>
          <w:lang w:val="en-GB"/>
        </w:rPr>
        <w:t>Monitoring treatment frequency</w:t>
      </w:r>
    </w:p>
    <w:p w14:paraId="6AFDBB4F" w14:textId="77777777" w:rsidR="009A602C" w:rsidRPr="001714A8" w:rsidRDefault="009A602C" w:rsidP="009A602C">
      <w:pPr>
        <w:pStyle w:val="Body"/>
      </w:pPr>
      <w:r w:rsidRPr="001714A8">
        <w:rPr>
          <w:lang w:val="en-GB"/>
        </w:rPr>
        <w:t xml:space="preserve">The Committee </w:t>
      </w:r>
      <w:r w:rsidRPr="006D761C">
        <w:t>recognised</w:t>
      </w:r>
      <w:r w:rsidRPr="001714A8">
        <w:rPr>
          <w:lang w:val="en-GB"/>
        </w:rPr>
        <w:t xml:space="preserve"> the need to monitor treatment frequency for item 42738 due to:</w:t>
      </w:r>
    </w:p>
    <w:p w14:paraId="2307A383" w14:textId="77777777" w:rsidR="009A602C" w:rsidRPr="001714A8" w:rsidRDefault="009A602C" w:rsidP="009A602C">
      <w:pPr>
        <w:pStyle w:val="Bullet-green"/>
      </w:pPr>
      <w:r w:rsidRPr="001714A8">
        <w:t xml:space="preserve">High service growth of 14 per cent per year between the 2013/14 financial year (FY) and FY2017/18 (although the Committee noted that this rate is expected to decline in the coming years). </w:t>
      </w:r>
    </w:p>
    <w:p w14:paraId="77189BF3" w14:textId="77777777" w:rsidR="009A602C" w:rsidRPr="001714A8" w:rsidRDefault="009A602C" w:rsidP="009A602C">
      <w:pPr>
        <w:pStyle w:val="Bullet-green"/>
      </w:pPr>
      <w:r w:rsidRPr="001714A8">
        <w:lastRenderedPageBreak/>
        <w:t>Large variation in the frequency of injections per patient.</w:t>
      </w:r>
    </w:p>
    <w:p w14:paraId="06239E6F" w14:textId="77777777" w:rsidR="009A602C" w:rsidRPr="00315286" w:rsidRDefault="009A602C" w:rsidP="009A602C">
      <w:pPr>
        <w:pStyle w:val="Body"/>
        <w:keepNext/>
        <w:ind w:right="142"/>
        <w:rPr>
          <w:b/>
          <w:bCs/>
          <w:i/>
          <w:lang w:val="en-GB"/>
        </w:rPr>
      </w:pPr>
      <w:r>
        <w:rPr>
          <w:b/>
          <w:bCs/>
          <w:i/>
          <w:lang w:val="en-GB"/>
        </w:rPr>
        <w:t>Providing c</w:t>
      </w:r>
      <w:r w:rsidRPr="00315286">
        <w:rPr>
          <w:b/>
          <w:bCs/>
          <w:i/>
          <w:lang w:val="en-GB"/>
        </w:rPr>
        <w:t>linician education</w:t>
      </w:r>
    </w:p>
    <w:p w14:paraId="7F42D878" w14:textId="77777777" w:rsidR="00E94D3A" w:rsidRDefault="009A602C" w:rsidP="009A602C">
      <w:pPr>
        <w:pStyle w:val="Body"/>
      </w:pPr>
      <w:r w:rsidRPr="001714A8">
        <w:t xml:space="preserve">The </w:t>
      </w:r>
      <w:r w:rsidRPr="006D761C">
        <w:t>Committee</w:t>
      </w:r>
      <w:r w:rsidRPr="001714A8">
        <w:t xml:space="preserve"> recognised that RANZCO can play a role in educating clinicians on appropriate treatment frequency, and that MBS Compliance can support these efforts through an audit of treatment frequency. </w:t>
      </w:r>
    </w:p>
    <w:p w14:paraId="1F81C432" w14:textId="174A9C89" w:rsidR="009A602C" w:rsidRPr="001714A8" w:rsidRDefault="009A602C" w:rsidP="009A602C">
      <w:pPr>
        <w:pStyle w:val="Body"/>
      </w:pPr>
      <w:r w:rsidRPr="001714A8">
        <w:t xml:space="preserve">A panel of experts from the Australian and New Zealand </w:t>
      </w:r>
      <w:r w:rsidRPr="006D761C">
        <w:t>Society</w:t>
      </w:r>
      <w:r w:rsidRPr="001714A8">
        <w:t xml:space="preserve"> of Retinal Specialists could formulate clinical practice guidelines for the use of intravitreal anti-vascular endothelial growth factor (anti-VEGF) </w:t>
      </w:r>
      <w:r w:rsidR="001314D8">
        <w:t>therapy</w:t>
      </w:r>
      <w:r>
        <w:t xml:space="preserve"> and these could then be incorporated into the item descriptor. </w:t>
      </w:r>
    </w:p>
    <w:p w14:paraId="50506AA9" w14:textId="77777777" w:rsidR="009A602C" w:rsidRPr="00315286" w:rsidRDefault="009A602C" w:rsidP="009A602C">
      <w:pPr>
        <w:pStyle w:val="Body"/>
        <w:keepNext/>
        <w:ind w:right="142"/>
        <w:rPr>
          <w:b/>
          <w:bCs/>
          <w:i/>
          <w:lang w:val="en-GB"/>
        </w:rPr>
      </w:pPr>
      <w:r w:rsidRPr="00315286">
        <w:rPr>
          <w:b/>
          <w:bCs/>
          <w:i/>
          <w:lang w:val="en-GB"/>
        </w:rPr>
        <w:t>Limiting in-hospital treatment</w:t>
      </w:r>
    </w:p>
    <w:p w14:paraId="3818AD96" w14:textId="77777777" w:rsidR="009A602C" w:rsidRPr="001714A8" w:rsidRDefault="009A602C" w:rsidP="009A602C">
      <w:pPr>
        <w:pStyle w:val="Body"/>
      </w:pPr>
      <w:r>
        <w:rPr>
          <w:lang w:val="en-GB"/>
        </w:rPr>
        <w:t>The Committee recommended r</w:t>
      </w:r>
      <w:r w:rsidRPr="001714A8">
        <w:rPr>
          <w:lang w:val="en-GB"/>
        </w:rPr>
        <w:t xml:space="preserve">estricting the patient setting to outpatient by reclassifying item 42738 </w:t>
      </w:r>
      <w:r>
        <w:rPr>
          <w:lang w:val="en-GB"/>
        </w:rPr>
        <w:t>as</w:t>
      </w:r>
      <w:r w:rsidRPr="001714A8">
        <w:rPr>
          <w:lang w:val="en-GB"/>
        </w:rPr>
        <w:t xml:space="preserve"> a Type C procedure, with an exclusion for Modified Monash Model</w:t>
      </w:r>
      <w:r>
        <w:rPr>
          <w:vertAlign w:val="superscript"/>
          <w:lang w:val="en-GB"/>
        </w:rPr>
        <w:t>1</w:t>
      </w:r>
      <w:r w:rsidRPr="001714A8">
        <w:rPr>
          <w:lang w:val="en-GB"/>
        </w:rPr>
        <w:t xml:space="preserve"> (MMM) </w:t>
      </w:r>
      <w:r>
        <w:rPr>
          <w:lang w:val="en-GB"/>
        </w:rPr>
        <w:t>regions</w:t>
      </w:r>
      <w:r w:rsidRPr="001714A8">
        <w:rPr>
          <w:lang w:val="en-GB"/>
        </w:rPr>
        <w:t xml:space="preserve"> 5,</w:t>
      </w:r>
      <w:r>
        <w:rPr>
          <w:lang w:val="en-GB"/>
        </w:rPr>
        <w:t xml:space="preserve"> </w:t>
      </w:r>
      <w:r w:rsidRPr="001714A8">
        <w:rPr>
          <w:lang w:val="en-GB"/>
        </w:rPr>
        <w:t>6</w:t>
      </w:r>
      <w:r>
        <w:rPr>
          <w:lang w:val="en-GB"/>
        </w:rPr>
        <w:t xml:space="preserve"> and </w:t>
      </w:r>
      <w:r w:rsidRPr="001714A8">
        <w:rPr>
          <w:lang w:val="en-GB"/>
        </w:rPr>
        <w:t xml:space="preserve">7. A Type C procedure does not normally need hospital treatment and requires </w:t>
      </w:r>
      <w:r>
        <w:rPr>
          <w:lang w:val="en-GB"/>
        </w:rPr>
        <w:t>clinicians</w:t>
      </w:r>
      <w:r w:rsidRPr="001714A8">
        <w:rPr>
          <w:lang w:val="en-GB"/>
        </w:rPr>
        <w:t xml:space="preserve"> to fill out a form to justify in-hospital use. </w:t>
      </w:r>
    </w:p>
    <w:p w14:paraId="25C82551" w14:textId="53CDD7A6" w:rsidR="009A602C" w:rsidRPr="001714A8" w:rsidRDefault="009A602C" w:rsidP="009A602C">
      <w:pPr>
        <w:pStyle w:val="Body"/>
      </w:pPr>
      <w:r w:rsidRPr="001714A8">
        <w:t>The Committee noted that in-hospital treatment</w:t>
      </w:r>
      <w:r>
        <w:t xml:space="preserve"> for intravitreal eye injections </w:t>
      </w:r>
      <w:r w:rsidRPr="001714A8">
        <w:t xml:space="preserve">should occur in </w:t>
      </w:r>
      <w:r w:rsidR="00E94D3A">
        <w:t>fewer</w:t>
      </w:r>
      <w:r w:rsidR="00E94D3A" w:rsidRPr="001714A8">
        <w:t xml:space="preserve"> </w:t>
      </w:r>
      <w:r w:rsidRPr="001714A8">
        <w:t>than 3 per cent of patients. It currently occurs in 18 per cent of patients, and this number is increasing. This</w:t>
      </w:r>
      <w:r>
        <w:t xml:space="preserve"> is largely unnecessary and</w:t>
      </w:r>
      <w:r w:rsidRPr="001714A8">
        <w:t xml:space="preserve"> may be due to </w:t>
      </w:r>
      <w:r>
        <w:t>financial</w:t>
      </w:r>
      <w:r w:rsidRPr="001714A8">
        <w:t xml:space="preserve"> incentives. Evidence supporting this recommendation includes RANZCO’s Choosing Wisely guidelines, as well as rates of in-hospital services in other jurisdictions (for example, rates of 1–2 per cent in the United States). </w:t>
      </w:r>
    </w:p>
    <w:p w14:paraId="0A4C5564" w14:textId="77777777" w:rsidR="009A602C" w:rsidRPr="00315286" w:rsidRDefault="009A602C" w:rsidP="009A602C">
      <w:pPr>
        <w:pStyle w:val="Heading3"/>
        <w:rPr>
          <w:u w:color="B66113"/>
        </w:rPr>
      </w:pPr>
      <w:bookmarkStart w:id="102" w:name="_Toc536548104"/>
      <w:bookmarkStart w:id="103" w:name="_Toc35347207"/>
      <w:r w:rsidRPr="00315286">
        <w:rPr>
          <w:u w:color="B66113"/>
        </w:rPr>
        <w:t>Cataract surgery</w:t>
      </w:r>
      <w:bookmarkEnd w:id="102"/>
      <w:bookmarkEnd w:id="103"/>
    </w:p>
    <w:p w14:paraId="2D74A350" w14:textId="77777777" w:rsidR="009A602C" w:rsidRPr="001714A8" w:rsidRDefault="009A602C" w:rsidP="009A602C">
      <w:pPr>
        <w:pStyle w:val="Body"/>
        <w:rPr>
          <w:b/>
          <w:bCs/>
        </w:rPr>
      </w:pPr>
      <w:r w:rsidRPr="001714A8">
        <w:t xml:space="preserve">The Committee has not recommended item-level changes but </w:t>
      </w:r>
      <w:r>
        <w:t xml:space="preserve">has </w:t>
      </w:r>
      <w:r w:rsidRPr="001714A8">
        <w:t>comment</w:t>
      </w:r>
      <w:r>
        <w:t>ed</w:t>
      </w:r>
      <w:r w:rsidRPr="001714A8">
        <w:t xml:space="preserve"> on three issues relevant </w:t>
      </w:r>
      <w:r w:rsidRPr="003B4CE7">
        <w:rPr>
          <w:bCs/>
          <w:lang w:val="en-GB"/>
        </w:rPr>
        <w:t>to</w:t>
      </w:r>
      <w:r w:rsidRPr="00947CE3">
        <w:t xml:space="preserve"> </w:t>
      </w:r>
      <w:r w:rsidRPr="001714A8">
        <w:t>cataract surgery:</w:t>
      </w:r>
      <w:r>
        <w:t xml:space="preserve"> rural and remote access, bulk billing and referral guidelines.</w:t>
      </w:r>
    </w:p>
    <w:p w14:paraId="6EAA0090" w14:textId="77777777" w:rsidR="009A602C" w:rsidRPr="00315286" w:rsidRDefault="009A602C" w:rsidP="009A602C">
      <w:pPr>
        <w:pStyle w:val="Body"/>
        <w:ind w:right="142"/>
        <w:rPr>
          <w:b/>
          <w:bCs/>
          <w:i/>
          <w:lang w:val="en-GB"/>
        </w:rPr>
      </w:pPr>
      <w:r w:rsidRPr="00315286">
        <w:rPr>
          <w:b/>
          <w:bCs/>
          <w:i/>
          <w:lang w:val="en-GB"/>
        </w:rPr>
        <w:t>Rural and remote access</w:t>
      </w:r>
    </w:p>
    <w:p w14:paraId="52B1CCD6" w14:textId="77777777" w:rsidR="00E94D3A" w:rsidRDefault="009A602C" w:rsidP="009A602C">
      <w:pPr>
        <w:pStyle w:val="Body"/>
        <w:rPr>
          <w:lang w:val="en-GB"/>
        </w:rPr>
      </w:pPr>
      <w:r w:rsidRPr="001714A8">
        <w:rPr>
          <w:lang w:val="en-GB"/>
        </w:rPr>
        <w:lastRenderedPageBreak/>
        <w:t xml:space="preserve">The Committee recognised the logistical difficulties in servicing rural and remote areas for cataract surgery. </w:t>
      </w:r>
    </w:p>
    <w:p w14:paraId="1619D7B2" w14:textId="77777777" w:rsidR="00E94D3A" w:rsidRDefault="009A602C" w:rsidP="009A602C">
      <w:pPr>
        <w:pStyle w:val="Body"/>
        <w:rPr>
          <w:lang w:val="en-GB"/>
        </w:rPr>
      </w:pPr>
      <w:r w:rsidRPr="001714A8">
        <w:rPr>
          <w:lang w:val="en-GB"/>
        </w:rPr>
        <w:t xml:space="preserve">It further noted that inequity in access extends to all eye services. </w:t>
      </w:r>
    </w:p>
    <w:p w14:paraId="0AE47F9D" w14:textId="462BB70A" w:rsidR="009A602C" w:rsidRPr="001714A8" w:rsidRDefault="009A602C" w:rsidP="009A602C">
      <w:pPr>
        <w:pStyle w:val="Body"/>
        <w:rPr>
          <w:lang w:val="en-GB"/>
        </w:rPr>
      </w:pPr>
      <w:r w:rsidRPr="001714A8">
        <w:rPr>
          <w:lang w:val="en-GB"/>
        </w:rPr>
        <w:t xml:space="preserve">It </w:t>
      </w:r>
      <w:r>
        <w:rPr>
          <w:lang w:val="en-GB"/>
        </w:rPr>
        <w:t>has made</w:t>
      </w:r>
      <w:r w:rsidRPr="001714A8">
        <w:rPr>
          <w:lang w:val="en-GB"/>
        </w:rPr>
        <w:t xml:space="preserve"> a general recommendation to incentivise rural and remote ophthalmology services</w:t>
      </w:r>
      <w:r>
        <w:rPr>
          <w:lang w:val="en-GB"/>
        </w:rPr>
        <w:t>.</w:t>
      </w:r>
      <w:r w:rsidRPr="001714A8">
        <w:rPr>
          <w:lang w:val="en-GB"/>
        </w:rPr>
        <w:t xml:space="preserve"> </w:t>
      </w:r>
      <w:r>
        <w:rPr>
          <w:lang w:val="en-GB"/>
        </w:rPr>
        <w:t>(Recommendation 14, S</w:t>
      </w:r>
      <w:r w:rsidRPr="001714A8">
        <w:rPr>
          <w:lang w:val="en-GB"/>
        </w:rPr>
        <w:t>ection 12</w:t>
      </w:r>
      <w:r>
        <w:rPr>
          <w:lang w:val="en-GB"/>
        </w:rPr>
        <w:t>.3)</w:t>
      </w:r>
      <w:r w:rsidRPr="001714A8">
        <w:rPr>
          <w:lang w:val="en-GB"/>
        </w:rPr>
        <w:t xml:space="preserve">. </w:t>
      </w:r>
    </w:p>
    <w:p w14:paraId="7B0061B4" w14:textId="77777777" w:rsidR="009A602C" w:rsidRPr="00315286" w:rsidRDefault="009A602C" w:rsidP="009A602C">
      <w:pPr>
        <w:pStyle w:val="Body"/>
        <w:keepNext/>
        <w:ind w:right="142"/>
        <w:rPr>
          <w:b/>
          <w:bCs/>
          <w:i/>
          <w:lang w:val="en-GB"/>
        </w:rPr>
      </w:pPr>
      <w:r w:rsidRPr="00315286">
        <w:rPr>
          <w:b/>
          <w:bCs/>
          <w:i/>
          <w:lang w:val="en-GB"/>
        </w:rPr>
        <w:t xml:space="preserve">Bulk billing </w:t>
      </w:r>
    </w:p>
    <w:p w14:paraId="2389BA13" w14:textId="77777777" w:rsidR="00E94D3A" w:rsidRDefault="009A602C" w:rsidP="009A602C">
      <w:pPr>
        <w:pStyle w:val="Body"/>
        <w:rPr>
          <w:lang w:val="en-GB"/>
        </w:rPr>
      </w:pPr>
      <w:r w:rsidRPr="001714A8">
        <w:rPr>
          <w:lang w:val="en-GB"/>
        </w:rPr>
        <w:t xml:space="preserve">The Committee recognised that the bulk-billing </w:t>
      </w:r>
      <w:r w:rsidRPr="006D761C">
        <w:t>rate</w:t>
      </w:r>
      <w:r w:rsidRPr="001714A8">
        <w:rPr>
          <w:lang w:val="en-GB"/>
        </w:rPr>
        <w:t xml:space="preserve"> for cataract surgery is low, with an average rate of 3.5 per cent. </w:t>
      </w:r>
    </w:p>
    <w:p w14:paraId="58B13505" w14:textId="431BFB6F" w:rsidR="009A602C" w:rsidRPr="001714A8" w:rsidRDefault="009A602C" w:rsidP="009A602C">
      <w:pPr>
        <w:pStyle w:val="Body"/>
        <w:rPr>
          <w:lang w:val="en-GB"/>
        </w:rPr>
      </w:pPr>
      <w:r w:rsidRPr="001714A8">
        <w:rPr>
          <w:lang w:val="en-GB"/>
        </w:rPr>
        <w:t xml:space="preserve">It also noted that the bulk-billing rate only varies slightly across socio-economic groups, ranging from 2.0 per cent in the least disadvantaged group to 5.9 per cent in the most disadvantaged group in FY2015/16. </w:t>
      </w:r>
    </w:p>
    <w:p w14:paraId="214BD9C2" w14:textId="191027F1" w:rsidR="009A602C" w:rsidRPr="001714A8" w:rsidRDefault="009A602C" w:rsidP="009A602C">
      <w:pPr>
        <w:pStyle w:val="Body"/>
      </w:pPr>
      <w:r w:rsidRPr="001714A8">
        <w:t xml:space="preserve">The Committee </w:t>
      </w:r>
      <w:r>
        <w:t>agreed that</w:t>
      </w:r>
      <w:r w:rsidRPr="001714A8">
        <w:t xml:space="preserve"> this low bulk-billing rate </w:t>
      </w:r>
      <w:r>
        <w:t>may be driven</w:t>
      </w:r>
      <w:r w:rsidRPr="001714A8">
        <w:t xml:space="preserve"> by additional costs of cataract surgery </w:t>
      </w:r>
      <w:r>
        <w:t xml:space="preserve">that are </w:t>
      </w:r>
      <w:r w:rsidRPr="001714A8">
        <w:t>not covered by the MBS</w:t>
      </w:r>
      <w:r>
        <w:t>.</w:t>
      </w:r>
      <w:r w:rsidRPr="001714A8">
        <w:t xml:space="preserve"> </w:t>
      </w:r>
      <w:r>
        <w:t>T</w:t>
      </w:r>
      <w:r w:rsidRPr="001714A8">
        <w:t>hese costs are usually covered by private health insurance</w:t>
      </w:r>
      <w:r>
        <w:t>.</w:t>
      </w:r>
      <w:r w:rsidRPr="001714A8">
        <w:t xml:space="preserve"> (</w:t>
      </w:r>
      <w:r>
        <w:t>F</w:t>
      </w:r>
      <w:r w:rsidRPr="001714A8">
        <w:t>or example, the cost of intra-ocular lenses and theatre fees</w:t>
      </w:r>
      <w:r>
        <w:t>,</w:t>
      </w:r>
      <w:r w:rsidRPr="001714A8">
        <w:t xml:space="preserve"> which are typically $1,800</w:t>
      </w:r>
      <w:r>
        <w:t>–</w:t>
      </w:r>
      <w:r w:rsidRPr="001714A8">
        <w:t>$2,200</w:t>
      </w:r>
      <w:r>
        <w:t>,</w:t>
      </w:r>
      <w:r w:rsidRPr="001714A8">
        <w:t xml:space="preserve"> must be paid by an uninsured patient, irrespective of what fee is charged by the ophthalmologist</w:t>
      </w:r>
      <w:r>
        <w:t>.</w:t>
      </w:r>
      <w:r w:rsidRPr="001714A8">
        <w:t>) Patients</w:t>
      </w:r>
      <w:r w:rsidR="00DC5609">
        <w:t>/consumers</w:t>
      </w:r>
      <w:r w:rsidRPr="001714A8">
        <w:t xml:space="preserve"> in lower socio-economic groups without private health insurance </w:t>
      </w:r>
      <w:r>
        <w:t>may</w:t>
      </w:r>
      <w:r w:rsidRPr="001714A8">
        <w:t xml:space="preserve"> seek treatment in the public system</w:t>
      </w:r>
      <w:r w:rsidR="00DC5609">
        <w:t xml:space="preserve"> which already have considerable waiting lists</w:t>
      </w:r>
      <w:r w:rsidRPr="001714A8">
        <w:t xml:space="preserve">.  </w:t>
      </w:r>
    </w:p>
    <w:p w14:paraId="75EDB241" w14:textId="77777777" w:rsidR="009A602C" w:rsidRPr="00315286" w:rsidRDefault="009A602C" w:rsidP="009A602C">
      <w:pPr>
        <w:pStyle w:val="Body"/>
        <w:ind w:right="142"/>
        <w:rPr>
          <w:b/>
          <w:bCs/>
          <w:i/>
          <w:lang w:val="en-GB"/>
        </w:rPr>
      </w:pPr>
      <w:r w:rsidRPr="00315286">
        <w:rPr>
          <w:b/>
          <w:bCs/>
          <w:i/>
          <w:lang w:val="en-GB"/>
        </w:rPr>
        <w:t xml:space="preserve">Referral guidelines </w:t>
      </w:r>
    </w:p>
    <w:p w14:paraId="3ADC4C18" w14:textId="733823EF" w:rsidR="009A602C" w:rsidRPr="001714A8" w:rsidRDefault="009A602C" w:rsidP="009A602C">
      <w:pPr>
        <w:pStyle w:val="Body"/>
      </w:pPr>
      <w:r w:rsidRPr="001714A8">
        <w:t>The Committee recognised that several jurisdictions include visual acuity</w:t>
      </w:r>
      <w:r>
        <w:t xml:space="preserve"> (</w:t>
      </w:r>
      <w:r w:rsidRPr="001714A8">
        <w:t>in combination with quality of life or functional capacity</w:t>
      </w:r>
      <w:r>
        <w:t>)</w:t>
      </w:r>
      <w:r w:rsidRPr="001714A8">
        <w:t xml:space="preserve"> in cataract surgery referral guidelines, including </w:t>
      </w:r>
      <w:r>
        <w:t xml:space="preserve">in </w:t>
      </w:r>
      <w:r w:rsidRPr="001714A8">
        <w:t xml:space="preserve">Victoria, New Zealand and Sweden. However, the Committee </w:t>
      </w:r>
      <w:r>
        <w:t>considers</w:t>
      </w:r>
      <w:r w:rsidRPr="001714A8">
        <w:t xml:space="preserve"> the United Kingdom</w:t>
      </w:r>
      <w:r>
        <w:t>’s</w:t>
      </w:r>
      <w:r w:rsidRPr="001714A8">
        <w:t xml:space="preserve"> National Institute for Health and Care Excellence (NICE) guidelines to be more reflective of modern practice</w:t>
      </w:r>
      <w:r>
        <w:t xml:space="preserve"> </w:t>
      </w:r>
      <w:r w:rsidR="00DC5609">
        <w:t>which</w:t>
      </w:r>
      <w:r>
        <w:t xml:space="preserve"> could be adopted more widely in Australia. These guidelines</w:t>
      </w:r>
      <w:r w:rsidRPr="001714A8">
        <w:t xml:space="preserve"> do not include Snellen visual acuity and </w:t>
      </w:r>
      <w:r w:rsidRPr="001714A8">
        <w:lastRenderedPageBreak/>
        <w:t>emphasise the effects of cataract on the patient’s ability to perform day-to-day activities.</w:t>
      </w:r>
    </w:p>
    <w:p w14:paraId="305FFE86" w14:textId="77777777" w:rsidR="009A602C" w:rsidRPr="001714A8" w:rsidRDefault="009A602C" w:rsidP="009A602C">
      <w:pPr>
        <w:pStyle w:val="Body"/>
      </w:pPr>
      <w:r w:rsidRPr="001714A8">
        <w:t xml:space="preserve">The Committee </w:t>
      </w:r>
      <w:r>
        <w:t xml:space="preserve">considered that the use of </w:t>
      </w:r>
      <w:r w:rsidRPr="001714A8">
        <w:t xml:space="preserve">Snellen visual acuity </w:t>
      </w:r>
      <w:r>
        <w:t>w</w:t>
      </w:r>
      <w:r w:rsidRPr="001714A8">
        <w:t xml:space="preserve">as a rationing mechanism and noted that this measure does not adequately represent visual function and important criteria such as contrast sensitivity and glare. </w:t>
      </w:r>
    </w:p>
    <w:p w14:paraId="6DB4314B" w14:textId="77777777" w:rsidR="009A602C" w:rsidRPr="00315286" w:rsidRDefault="009A602C" w:rsidP="009A602C">
      <w:pPr>
        <w:pStyle w:val="Heading3"/>
      </w:pPr>
      <w:bookmarkStart w:id="104" w:name="_Toc536548105"/>
      <w:bookmarkStart w:id="105" w:name="_Toc35347208"/>
      <w:r w:rsidRPr="00315286">
        <w:rPr>
          <w:u w:color="B66113"/>
        </w:rPr>
        <w:t>Obsolete item</w:t>
      </w:r>
      <w:r>
        <w:rPr>
          <w:u w:color="B66113"/>
        </w:rPr>
        <w:t>s</w:t>
      </w:r>
      <w:bookmarkEnd w:id="104"/>
      <w:bookmarkEnd w:id="105"/>
      <w:r w:rsidRPr="00315286">
        <w:rPr>
          <w:u w:color="B66113"/>
        </w:rPr>
        <w:t xml:space="preserve"> </w:t>
      </w:r>
    </w:p>
    <w:p w14:paraId="188A63D4" w14:textId="77777777" w:rsidR="00E94D3A" w:rsidRDefault="009A602C" w:rsidP="009A602C">
      <w:pPr>
        <w:pStyle w:val="Body"/>
      </w:pPr>
      <w:r w:rsidRPr="001714A8">
        <w:t>The Committee assessed</w:t>
      </w:r>
      <w:r>
        <w:t xml:space="preserve"> the clinical relevance of</w:t>
      </w:r>
      <w:r w:rsidRPr="001714A8">
        <w:t xml:space="preserve"> items in its area of responsibility, </w:t>
      </w:r>
      <w:r>
        <w:t>including</w:t>
      </w:r>
      <w:r w:rsidRPr="001714A8">
        <w:t xml:space="preserve"> those with low service volumes in FY2016/17. </w:t>
      </w:r>
    </w:p>
    <w:p w14:paraId="37B9A0AC" w14:textId="77777777" w:rsidR="00E94D3A" w:rsidRDefault="009A602C" w:rsidP="009A602C">
      <w:pPr>
        <w:pStyle w:val="Body"/>
      </w:pPr>
      <w:r w:rsidRPr="001714A8">
        <w:t xml:space="preserve">Based on this review, the Committee recommended removing five items from the MBS. </w:t>
      </w:r>
    </w:p>
    <w:p w14:paraId="34D4098D" w14:textId="71B494B4" w:rsidR="009A602C" w:rsidRPr="001714A8" w:rsidRDefault="009A602C" w:rsidP="009A602C">
      <w:pPr>
        <w:pStyle w:val="Body"/>
      </w:pPr>
      <w:r w:rsidRPr="001714A8">
        <w:t xml:space="preserve">The Committee noted that four additional items are already listed for deletion, effective November 2018. </w:t>
      </w:r>
    </w:p>
    <w:p w14:paraId="457F3113" w14:textId="77777777" w:rsidR="009A602C" w:rsidRPr="00315286" w:rsidRDefault="009A602C" w:rsidP="009A602C">
      <w:pPr>
        <w:pStyle w:val="Heading3"/>
        <w:rPr>
          <w:u w:color="B66113"/>
        </w:rPr>
      </w:pPr>
      <w:bookmarkStart w:id="106" w:name="_Toc536548106"/>
      <w:bookmarkStart w:id="107" w:name="_Toc35347209"/>
      <w:r w:rsidRPr="00315286">
        <w:rPr>
          <w:u w:color="B66113"/>
        </w:rPr>
        <w:t>Oculoplastic and orbital item</w:t>
      </w:r>
      <w:r>
        <w:rPr>
          <w:u w:color="B66113"/>
        </w:rPr>
        <w:t>s</w:t>
      </w:r>
      <w:bookmarkEnd w:id="106"/>
      <w:bookmarkEnd w:id="107"/>
      <w:r w:rsidRPr="00315286">
        <w:rPr>
          <w:u w:color="B66113"/>
        </w:rPr>
        <w:t xml:space="preserve"> </w:t>
      </w:r>
    </w:p>
    <w:p w14:paraId="3B8A915A" w14:textId="77777777" w:rsidR="009A602C" w:rsidRPr="001714A8" w:rsidRDefault="009A602C" w:rsidP="009A602C">
      <w:pPr>
        <w:pStyle w:val="Body"/>
      </w:pPr>
      <w:r w:rsidRPr="001714A8">
        <w:t>The Committee considered the Australian and New Zealand Society of Ophthalmic Plastic Surgeons’ (</w:t>
      </w:r>
      <w:r w:rsidRPr="005656B3">
        <w:t>ANZSOPS</w:t>
      </w:r>
      <w:r w:rsidRPr="001714A8">
        <w:t xml:space="preserve">) recommendations on oculoplastic and orbital items and supports several of these recommendations to modernise terminology, reflect current best practice, and avoid indication creep and inappropriate co-claiming. </w:t>
      </w:r>
    </w:p>
    <w:p w14:paraId="4DF6EF4E" w14:textId="77777777" w:rsidR="009A602C" w:rsidRPr="00315286" w:rsidRDefault="009A602C" w:rsidP="009A602C">
      <w:pPr>
        <w:pStyle w:val="Heading3"/>
        <w:rPr>
          <w:u w:color="B66113"/>
        </w:rPr>
      </w:pPr>
      <w:bookmarkStart w:id="108" w:name="_Toc536548107"/>
      <w:bookmarkStart w:id="109" w:name="_Toc35347210"/>
      <w:r w:rsidRPr="00315286">
        <w:rPr>
          <w:u w:color="B66113"/>
        </w:rPr>
        <w:t>Inappropriate co-claiming</w:t>
      </w:r>
      <w:bookmarkEnd w:id="108"/>
      <w:bookmarkEnd w:id="109"/>
    </w:p>
    <w:p w14:paraId="1547535D" w14:textId="77777777" w:rsidR="009A602C" w:rsidRPr="001714A8" w:rsidRDefault="009A602C" w:rsidP="009A602C">
      <w:pPr>
        <w:pStyle w:val="Body"/>
      </w:pPr>
      <w:r w:rsidRPr="001714A8">
        <w:t xml:space="preserve">The Committee recommended </w:t>
      </w:r>
      <w:r>
        <w:t xml:space="preserve">introducing </w:t>
      </w:r>
      <w:r w:rsidRPr="001714A8">
        <w:t>co-claiming restrictions for three items</w:t>
      </w:r>
      <w:r>
        <w:t>, having identified</w:t>
      </w:r>
      <w:r w:rsidRPr="001714A8">
        <w:t xml:space="preserve"> inappropriate co-claiming patterns</w:t>
      </w:r>
      <w:r>
        <w:t>:</w:t>
      </w:r>
    </w:p>
    <w:p w14:paraId="6C55C9F5" w14:textId="77777777" w:rsidR="009A602C" w:rsidRPr="001714A8" w:rsidRDefault="009A602C" w:rsidP="009A602C">
      <w:pPr>
        <w:pStyle w:val="Bullet-green"/>
      </w:pPr>
      <w:r w:rsidRPr="001714A8">
        <w:t xml:space="preserve">Item 42632: </w:t>
      </w:r>
      <w:r>
        <w:t>C</w:t>
      </w:r>
      <w:r w:rsidRPr="001714A8">
        <w:t xml:space="preserve">onjunctival peritomy or repair of corneal laceration by conjunctival flap. </w:t>
      </w:r>
    </w:p>
    <w:p w14:paraId="3231BE88" w14:textId="77777777" w:rsidR="009A602C" w:rsidRPr="001714A8" w:rsidRDefault="009A602C" w:rsidP="009A602C">
      <w:pPr>
        <w:pStyle w:val="Bullet-green"/>
      </w:pPr>
      <w:r w:rsidRPr="001714A8">
        <w:t xml:space="preserve">Item 42647: </w:t>
      </w:r>
      <w:r>
        <w:t>R</w:t>
      </w:r>
      <w:r w:rsidRPr="001714A8">
        <w:t>emoval of corneal scars by partial keratectomy.</w:t>
      </w:r>
    </w:p>
    <w:p w14:paraId="39672B11" w14:textId="77777777" w:rsidR="009A602C" w:rsidRPr="001714A8" w:rsidRDefault="009A602C" w:rsidP="009A602C">
      <w:pPr>
        <w:pStyle w:val="Bullet-green"/>
      </w:pPr>
      <w:r w:rsidRPr="001714A8">
        <w:t xml:space="preserve">Item 42773: </w:t>
      </w:r>
      <w:r>
        <w:t>P</w:t>
      </w:r>
      <w:r w:rsidRPr="001714A8">
        <w:t xml:space="preserve">neumatic retinopexy for retinal detachment. </w:t>
      </w:r>
    </w:p>
    <w:p w14:paraId="45EC05D7" w14:textId="77777777" w:rsidR="009A602C" w:rsidRPr="00315286" w:rsidRDefault="009A602C" w:rsidP="009A602C">
      <w:pPr>
        <w:pStyle w:val="Heading3"/>
        <w:rPr>
          <w:u w:color="B66113"/>
        </w:rPr>
      </w:pPr>
      <w:bookmarkStart w:id="110" w:name="_Toc536548108"/>
      <w:bookmarkStart w:id="111" w:name="_Toc35347211"/>
      <w:r w:rsidRPr="00315286">
        <w:rPr>
          <w:u w:color="B66113"/>
        </w:rPr>
        <w:lastRenderedPageBreak/>
        <w:t>Telemedicine</w:t>
      </w:r>
      <w:bookmarkEnd w:id="110"/>
      <w:bookmarkEnd w:id="111"/>
    </w:p>
    <w:p w14:paraId="070621F1" w14:textId="77777777" w:rsidR="00E94D3A" w:rsidRDefault="009A602C" w:rsidP="009A602C">
      <w:pPr>
        <w:pStyle w:val="Body"/>
        <w:rPr>
          <w:lang w:val="en-GB"/>
        </w:rPr>
      </w:pPr>
      <w:r w:rsidRPr="001714A8">
        <w:rPr>
          <w:lang w:val="en-GB"/>
        </w:rPr>
        <w:t xml:space="preserve">The Committee </w:t>
      </w:r>
      <w:r>
        <w:rPr>
          <w:lang w:val="en-GB"/>
        </w:rPr>
        <w:t>acknowledged</w:t>
      </w:r>
      <w:r w:rsidRPr="001714A8">
        <w:rPr>
          <w:lang w:val="en-GB"/>
        </w:rPr>
        <w:t xml:space="preserve"> </w:t>
      </w:r>
      <w:r>
        <w:rPr>
          <w:lang w:val="en-GB"/>
        </w:rPr>
        <w:t xml:space="preserve">that </w:t>
      </w:r>
      <w:r w:rsidRPr="001714A8">
        <w:rPr>
          <w:lang w:val="en-GB"/>
        </w:rPr>
        <w:t xml:space="preserve">telemedicine items </w:t>
      </w:r>
      <w:r>
        <w:rPr>
          <w:lang w:val="en-GB"/>
        </w:rPr>
        <w:t>are</w:t>
      </w:r>
      <w:r w:rsidRPr="001714A8">
        <w:rPr>
          <w:lang w:val="en-GB"/>
        </w:rPr>
        <w:t xml:space="preserve"> not </w:t>
      </w:r>
      <w:r>
        <w:rPr>
          <w:lang w:val="en-GB"/>
        </w:rPr>
        <w:t>within its scope,</w:t>
      </w:r>
      <w:r w:rsidRPr="001714A8">
        <w:rPr>
          <w:lang w:val="en-GB"/>
        </w:rPr>
        <w:t xml:space="preserve"> and</w:t>
      </w:r>
      <w:r>
        <w:rPr>
          <w:lang w:val="en-GB"/>
        </w:rPr>
        <w:t xml:space="preserve"> that</w:t>
      </w:r>
      <w:r w:rsidRPr="001714A8">
        <w:rPr>
          <w:lang w:val="en-GB"/>
        </w:rPr>
        <w:t xml:space="preserve"> the Optometry Clinical Committee and the Specialist and Consulta</w:t>
      </w:r>
      <w:r>
        <w:rPr>
          <w:lang w:val="en-GB"/>
        </w:rPr>
        <w:t xml:space="preserve">nt Physician Clinical </w:t>
      </w:r>
      <w:r w:rsidRPr="001714A8">
        <w:rPr>
          <w:lang w:val="en-GB"/>
        </w:rPr>
        <w:t>Committee</w:t>
      </w:r>
      <w:r>
        <w:rPr>
          <w:lang w:val="en-GB"/>
        </w:rPr>
        <w:t xml:space="preserve"> will determine the final recommendations</w:t>
      </w:r>
      <w:r w:rsidRPr="001714A8">
        <w:rPr>
          <w:lang w:val="en-GB"/>
        </w:rPr>
        <w:t xml:space="preserve">. </w:t>
      </w:r>
    </w:p>
    <w:p w14:paraId="0C611608" w14:textId="77777777" w:rsidR="00E94D3A" w:rsidRDefault="009A602C" w:rsidP="009A602C">
      <w:pPr>
        <w:pStyle w:val="Body"/>
      </w:pPr>
      <w:r w:rsidRPr="001714A8">
        <w:t>However, the Committee has suggested an approach to restructur</w:t>
      </w:r>
      <w:r>
        <w:t>ing</w:t>
      </w:r>
      <w:r w:rsidRPr="001714A8">
        <w:t xml:space="preserve"> MBS telemedicine items</w:t>
      </w:r>
      <w:r>
        <w:t>, including</w:t>
      </w:r>
      <w:r w:rsidRPr="001714A8">
        <w:t xml:space="preserve"> for the consideration of the Optometry Clinical Committee. </w:t>
      </w:r>
    </w:p>
    <w:p w14:paraId="0AA8DAB5" w14:textId="141F35D6" w:rsidR="009A602C" w:rsidRDefault="009A602C" w:rsidP="009A602C">
      <w:pPr>
        <w:pStyle w:val="Body"/>
      </w:pPr>
      <w:r w:rsidRPr="001714A8">
        <w:t xml:space="preserve">It noted that telemedicine </w:t>
      </w:r>
      <w:r>
        <w:t>has a</w:t>
      </w:r>
      <w:r w:rsidRPr="001714A8">
        <w:t xml:space="preserve"> crucial</w:t>
      </w:r>
      <w:r>
        <w:t xml:space="preserve"> role</w:t>
      </w:r>
      <w:r w:rsidRPr="001714A8">
        <w:t xml:space="preserve"> to</w:t>
      </w:r>
      <w:r>
        <w:t xml:space="preserve"> play in</w:t>
      </w:r>
      <w:r w:rsidRPr="001714A8">
        <w:t xml:space="preserve"> improv</w:t>
      </w:r>
      <w:r>
        <w:t>ing</w:t>
      </w:r>
      <w:r w:rsidRPr="001714A8">
        <w:t xml:space="preserve"> rural and remote eye health, given the maldistribution of the ophthalmology workforce and current uptake issues</w:t>
      </w:r>
      <w:r>
        <w:t xml:space="preserve"> and the considerable international evidence for, and the beneficial usage of, telemedicine, remote monitoring and “store and forward”</w:t>
      </w:r>
      <w:r w:rsidRPr="001714A8">
        <w:t>.</w:t>
      </w:r>
    </w:p>
    <w:p w14:paraId="0ADAFDD1" w14:textId="77777777" w:rsidR="009A602C" w:rsidRPr="001714A8" w:rsidRDefault="009A602C" w:rsidP="009A602C">
      <w:pPr>
        <w:pStyle w:val="Body"/>
      </w:pPr>
      <w:r>
        <w:t xml:space="preserve">An issue in the Australian model, is the lack of co-ordination built into the service funding (unlike in other countries) to ensure consulting times of both sides are aligned.  </w:t>
      </w:r>
    </w:p>
    <w:p w14:paraId="0E47E6E9" w14:textId="02F58ED0" w:rsidR="009A602C" w:rsidRPr="001714A8" w:rsidRDefault="009A602C" w:rsidP="009A602C">
      <w:pPr>
        <w:pStyle w:val="Body"/>
      </w:pPr>
      <w:r w:rsidRPr="001714A8">
        <w:t>The proposed structure focuses on coordination and asynchronous health</w:t>
      </w:r>
      <w:r>
        <w:t xml:space="preserve"> </w:t>
      </w:r>
      <w:r w:rsidRPr="001714A8">
        <w:t xml:space="preserve">care and would be delivered through </w:t>
      </w:r>
      <w:r w:rsidR="003450C6">
        <w:t xml:space="preserve">introducing two new teleophthalmology </w:t>
      </w:r>
      <w:r w:rsidRPr="001714A8">
        <w:t>items</w:t>
      </w:r>
      <w:r>
        <w:t>:</w:t>
      </w:r>
    </w:p>
    <w:p w14:paraId="75A869AD" w14:textId="1B09CECB" w:rsidR="009A602C" w:rsidRPr="001714A8" w:rsidRDefault="009A602C" w:rsidP="009A602C">
      <w:pPr>
        <w:pStyle w:val="Bullet-green"/>
      </w:pPr>
      <w:r w:rsidRPr="001714A8">
        <w:t xml:space="preserve">Item </w:t>
      </w:r>
      <w:r w:rsidR="003450C6">
        <w:t>A</w:t>
      </w:r>
      <w:r w:rsidRPr="001714A8">
        <w:t xml:space="preserve">: Virtual </w:t>
      </w:r>
      <w:r>
        <w:t>“</w:t>
      </w:r>
      <w:r w:rsidRPr="001714A8">
        <w:t>home visit</w:t>
      </w:r>
      <w:r>
        <w:t>”</w:t>
      </w:r>
      <w:r w:rsidRPr="001714A8">
        <w:t xml:space="preserve"> via telephone or video with only patient present.</w:t>
      </w:r>
    </w:p>
    <w:p w14:paraId="58EB0769" w14:textId="624F1464" w:rsidR="009A602C" w:rsidRPr="001714A8" w:rsidRDefault="009A602C" w:rsidP="009A602C">
      <w:pPr>
        <w:pStyle w:val="Bullet-green"/>
      </w:pPr>
      <w:r w:rsidRPr="001714A8">
        <w:t xml:space="preserve">Item </w:t>
      </w:r>
      <w:r w:rsidR="003450C6">
        <w:t>B</w:t>
      </w:r>
      <w:r w:rsidRPr="001714A8">
        <w:t xml:space="preserve">: Asynchronous management </w:t>
      </w:r>
      <w:r>
        <w:t xml:space="preserve">“store and forward’ </w:t>
      </w:r>
      <w:r w:rsidRPr="001714A8">
        <w:t>advice via report to optometrist and patient, for optometry referrals only, with a requirement to send a formal report to the optometrist and patient.</w:t>
      </w:r>
    </w:p>
    <w:p w14:paraId="4B8820D5" w14:textId="77777777" w:rsidR="009A602C" w:rsidRPr="00315286" w:rsidRDefault="009A602C" w:rsidP="009A602C">
      <w:pPr>
        <w:pStyle w:val="Heading3"/>
        <w:rPr>
          <w:u w:color="B66113"/>
        </w:rPr>
      </w:pPr>
      <w:bookmarkStart w:id="112" w:name="_Toc536548109"/>
      <w:bookmarkStart w:id="113" w:name="_Toc35347212"/>
      <w:r w:rsidRPr="00315286">
        <w:rPr>
          <w:u w:color="B66113"/>
        </w:rPr>
        <w:t>General recommendations</w:t>
      </w:r>
      <w:bookmarkEnd w:id="112"/>
      <w:bookmarkEnd w:id="113"/>
    </w:p>
    <w:p w14:paraId="4060757A" w14:textId="77777777" w:rsidR="009A602C" w:rsidRPr="00315286" w:rsidRDefault="009A602C" w:rsidP="009A602C">
      <w:pPr>
        <w:pStyle w:val="Body"/>
        <w:rPr>
          <w:b/>
          <w:bCs/>
          <w:i/>
          <w:lang w:val="en-GB"/>
        </w:rPr>
      </w:pPr>
      <w:r w:rsidRPr="00315286">
        <w:rPr>
          <w:b/>
          <w:bCs/>
          <w:i/>
          <w:lang w:val="en-GB"/>
        </w:rPr>
        <w:t>Ongoing review process</w:t>
      </w:r>
    </w:p>
    <w:p w14:paraId="4F87AAF4" w14:textId="77777777" w:rsidR="009A602C" w:rsidRPr="001714A8" w:rsidRDefault="009A602C" w:rsidP="009A602C">
      <w:pPr>
        <w:pStyle w:val="Body"/>
      </w:pPr>
      <w:r w:rsidRPr="001714A8">
        <w:t>The Committee recommended implementing an ongoing review process to maintain MBS alignment with contemporary clinical practice</w:t>
      </w:r>
      <w:r>
        <w:t>,</w:t>
      </w:r>
      <w:r w:rsidRPr="001714A8">
        <w:t xml:space="preserve"> and</w:t>
      </w:r>
      <w:r>
        <w:t xml:space="preserve"> to</w:t>
      </w:r>
      <w:r w:rsidRPr="001714A8">
        <w:t xml:space="preserve"> ensure </w:t>
      </w:r>
      <w:r>
        <w:t>that</w:t>
      </w:r>
      <w:r w:rsidRPr="001714A8">
        <w:t xml:space="preserve"> significant recommendations achieve</w:t>
      </w:r>
      <w:r>
        <w:t xml:space="preserve"> the</w:t>
      </w:r>
      <w:r w:rsidRPr="001714A8">
        <w:t xml:space="preserve"> intended outcomes. </w:t>
      </w:r>
    </w:p>
    <w:p w14:paraId="22B6201E" w14:textId="77777777" w:rsidR="009A602C" w:rsidRPr="00315286" w:rsidRDefault="009A602C" w:rsidP="009A602C">
      <w:pPr>
        <w:pStyle w:val="Body"/>
        <w:rPr>
          <w:b/>
          <w:bCs/>
          <w:i/>
          <w:lang w:val="en-GB"/>
        </w:rPr>
      </w:pPr>
      <w:r w:rsidRPr="00315286">
        <w:rPr>
          <w:b/>
          <w:bCs/>
          <w:i/>
          <w:lang w:val="en-GB"/>
        </w:rPr>
        <w:t>Rural and remote incentives</w:t>
      </w:r>
    </w:p>
    <w:p w14:paraId="3F37DF29" w14:textId="77777777" w:rsidR="00FA0026" w:rsidRPr="00FA0026" w:rsidRDefault="00FA0026" w:rsidP="00FA0026">
      <w:pPr>
        <w:pStyle w:val="Body"/>
      </w:pPr>
      <w:r w:rsidRPr="00FA0026">
        <w:lastRenderedPageBreak/>
        <w:t>The Taskforce has recommended</w:t>
      </w:r>
      <w:r>
        <w:t xml:space="preserve"> that the Government </w:t>
      </w:r>
      <w:r w:rsidRPr="00FA0026">
        <w:t>consider implementing</w:t>
      </w:r>
      <w:r>
        <w:t xml:space="preserve"> a mechanism to cover the additional costs of rural and remote service provision. </w:t>
      </w:r>
    </w:p>
    <w:p w14:paraId="5D7900FC" w14:textId="77777777" w:rsidR="00FA0026" w:rsidRDefault="00FA0026" w:rsidP="00FA0026">
      <w:pPr>
        <w:pStyle w:val="Body"/>
      </w:pPr>
      <w:r>
        <w:t xml:space="preserve">The Committee </w:t>
      </w:r>
      <w:r w:rsidRPr="00FA0026">
        <w:t>proposed three options</w:t>
      </w:r>
      <w:r>
        <w:t xml:space="preserve"> for developing an incentive scheme to encourage ophthalmologists to provide services in MMM regions 5, 6 and 7, for targeted improvement of rural and remote eye services to assist in closing the gap in eye health and vision care by 2020</w:t>
      </w:r>
      <w:r>
        <w:rPr>
          <w:vertAlign w:val="superscript"/>
        </w:rPr>
        <w:t>2</w:t>
      </w:r>
      <w:r>
        <w:t>.</w:t>
      </w:r>
    </w:p>
    <w:p w14:paraId="23AD808C" w14:textId="77777777" w:rsidR="009A602C" w:rsidRPr="00315286" w:rsidRDefault="009A602C" w:rsidP="009A602C">
      <w:pPr>
        <w:pStyle w:val="Heading3"/>
        <w:rPr>
          <w:u w:color="B66113"/>
        </w:rPr>
      </w:pPr>
      <w:bookmarkStart w:id="114" w:name="_Toc536548110"/>
      <w:bookmarkStart w:id="115" w:name="_Toc35347213"/>
      <w:r w:rsidRPr="00315286">
        <w:rPr>
          <w:u w:color="B66113"/>
        </w:rPr>
        <w:t>New item</w:t>
      </w:r>
      <w:r>
        <w:rPr>
          <w:u w:color="B66113"/>
        </w:rPr>
        <w:t>s</w:t>
      </w:r>
      <w:bookmarkEnd w:id="114"/>
      <w:bookmarkEnd w:id="115"/>
      <w:r w:rsidRPr="00315286">
        <w:rPr>
          <w:u w:color="B66113"/>
        </w:rPr>
        <w:t xml:space="preserve"> </w:t>
      </w:r>
    </w:p>
    <w:p w14:paraId="39BE4970" w14:textId="77777777" w:rsidR="009301ED" w:rsidRDefault="009A602C" w:rsidP="009A602C">
      <w:pPr>
        <w:pStyle w:val="Body"/>
      </w:pPr>
      <w:r w:rsidRPr="001714A8">
        <w:t xml:space="preserve">The Committee recommended several new items for the treatment of glaucoma. These treatments reflect modern best practice but are not currently listed </w:t>
      </w:r>
      <w:r>
        <w:t>on</w:t>
      </w:r>
      <w:r w:rsidRPr="001714A8">
        <w:t xml:space="preserve"> the MBS.</w:t>
      </w:r>
    </w:p>
    <w:p w14:paraId="52294C3B" w14:textId="4F815CF2" w:rsidR="009A602C" w:rsidRPr="001714A8" w:rsidRDefault="009A602C" w:rsidP="009A602C">
      <w:pPr>
        <w:pStyle w:val="Body"/>
      </w:pPr>
      <w:r w:rsidRPr="001714A8">
        <w:t>The Committee recognised that these procedures require ongoing assessment</w:t>
      </w:r>
      <w:r>
        <w:t xml:space="preserve"> of clinical efficacy and best practice</w:t>
      </w:r>
      <w:r w:rsidRPr="001714A8">
        <w:t xml:space="preserve"> and nominated Associate Professor Paul Healey and Professor Stephanie Watson to work with the Department and RANZCO </w:t>
      </w:r>
      <w:r>
        <w:t>on</w:t>
      </w:r>
      <w:r w:rsidRPr="001714A8">
        <w:t xml:space="preserve"> this</w:t>
      </w:r>
      <w:r>
        <w:t>.</w:t>
      </w:r>
      <w:r w:rsidRPr="001714A8">
        <w:t xml:space="preserve"> RANZCO has agreed to sponsor Medical Services Advisory Committee (MSAC) applications for these items and will provide the necessary supporting evidence.</w:t>
      </w:r>
    </w:p>
    <w:p w14:paraId="155E5751" w14:textId="77777777" w:rsidR="009A602C" w:rsidRPr="00315286" w:rsidRDefault="009A602C" w:rsidP="009A602C">
      <w:pPr>
        <w:pStyle w:val="Heading3"/>
        <w:rPr>
          <w:u w:color="B66113"/>
        </w:rPr>
      </w:pPr>
      <w:bookmarkStart w:id="116" w:name="_Toc536548111"/>
      <w:bookmarkStart w:id="117" w:name="_Toc35347214"/>
      <w:r w:rsidRPr="00315286">
        <w:rPr>
          <w:u w:color="B66113"/>
        </w:rPr>
        <w:t>Cataract surgery and eye injection</w:t>
      </w:r>
      <w:r>
        <w:rPr>
          <w:u w:color="B66113"/>
        </w:rPr>
        <w:t>s – questions from the Taskforce</w:t>
      </w:r>
      <w:bookmarkEnd w:id="116"/>
      <w:bookmarkEnd w:id="117"/>
      <w:r w:rsidRPr="00315286">
        <w:rPr>
          <w:u w:color="B66113"/>
        </w:rPr>
        <w:t xml:space="preserve"> </w:t>
      </w:r>
    </w:p>
    <w:p w14:paraId="5F4876C5" w14:textId="77777777" w:rsidR="009A602C" w:rsidRPr="001714A8" w:rsidRDefault="009A602C" w:rsidP="009A602C">
      <w:pPr>
        <w:pStyle w:val="Body"/>
        <w:rPr>
          <w:lang w:val="en-GB"/>
        </w:rPr>
      </w:pPr>
      <w:r w:rsidRPr="001714A8">
        <w:rPr>
          <w:rStyle w:val="None"/>
          <w:lang w:val="en-GB"/>
        </w:rPr>
        <w:t xml:space="preserve">The Taskforce requested that the Committee respond to three questions related to stakeholder concerns </w:t>
      </w:r>
      <w:r>
        <w:rPr>
          <w:rStyle w:val="None"/>
          <w:lang w:val="en-GB"/>
        </w:rPr>
        <w:t>about</w:t>
      </w:r>
      <w:r w:rsidRPr="001714A8">
        <w:rPr>
          <w:rStyle w:val="None"/>
          <w:lang w:val="en-GB"/>
        </w:rPr>
        <w:t xml:space="preserve"> cataract surgery and eye injection </w:t>
      </w:r>
      <w:r>
        <w:rPr>
          <w:rStyle w:val="None"/>
          <w:lang w:val="en-GB"/>
        </w:rPr>
        <w:t xml:space="preserve">schedule </w:t>
      </w:r>
      <w:r w:rsidRPr="001714A8">
        <w:rPr>
          <w:rStyle w:val="None"/>
          <w:lang w:val="en-GB"/>
        </w:rPr>
        <w:t>fees and out-of-pocket costs</w:t>
      </w:r>
      <w:r>
        <w:rPr>
          <w:rStyle w:val="None"/>
          <w:vertAlign w:val="superscript"/>
          <w:lang w:val="en-GB"/>
        </w:rPr>
        <w:t>3</w:t>
      </w:r>
      <w:r w:rsidRPr="001714A8">
        <w:rPr>
          <w:rStyle w:val="None"/>
          <w:lang w:val="en-GB"/>
        </w:rPr>
        <w:t xml:space="preserve">. </w:t>
      </w:r>
    </w:p>
    <w:p w14:paraId="7A01542E" w14:textId="77777777" w:rsidR="009A602C" w:rsidRPr="001714A8" w:rsidRDefault="009A602C" w:rsidP="009A602C">
      <w:pPr>
        <w:pStyle w:val="Body"/>
        <w:rPr>
          <w:lang w:val="en-GB"/>
        </w:rPr>
      </w:pPr>
      <w:r w:rsidRPr="001714A8">
        <w:rPr>
          <w:lang w:val="en-GB"/>
        </w:rPr>
        <w:t xml:space="preserve">The </w:t>
      </w:r>
      <w:r>
        <w:rPr>
          <w:lang w:val="en-GB"/>
        </w:rPr>
        <w:t>Taskforce seeks stakeholder input on</w:t>
      </w:r>
      <w:r w:rsidRPr="001714A8">
        <w:rPr>
          <w:lang w:val="en-GB"/>
        </w:rPr>
        <w:t xml:space="preserve"> </w:t>
      </w:r>
      <w:r>
        <w:rPr>
          <w:lang w:val="en-GB"/>
        </w:rPr>
        <w:t>three</w:t>
      </w:r>
      <w:r w:rsidRPr="001714A8">
        <w:rPr>
          <w:lang w:val="en-GB"/>
        </w:rPr>
        <w:t xml:space="preserve"> actions </w:t>
      </w:r>
      <w:r>
        <w:rPr>
          <w:lang w:val="en-GB"/>
        </w:rPr>
        <w:t xml:space="preserve">recommended by the Committee </w:t>
      </w:r>
      <w:r w:rsidRPr="001714A8">
        <w:rPr>
          <w:lang w:val="en-GB"/>
        </w:rPr>
        <w:t>to address these concerns:</w:t>
      </w:r>
    </w:p>
    <w:p w14:paraId="20076924" w14:textId="77777777" w:rsidR="009A602C" w:rsidRPr="001714A8" w:rsidRDefault="009A602C" w:rsidP="009A602C">
      <w:pPr>
        <w:pStyle w:val="Bullet-green"/>
      </w:pPr>
      <w:r>
        <w:t>Allocate m</w:t>
      </w:r>
      <w:r w:rsidRPr="001714A8">
        <w:t xml:space="preserve">ore funding to public hospital ophthalmology </w:t>
      </w:r>
      <w:r>
        <w:t xml:space="preserve">staff specialist </w:t>
      </w:r>
      <w:r w:rsidRPr="001714A8">
        <w:t>positions in the public system</w:t>
      </w:r>
      <w:r>
        <w:t xml:space="preserve"> so that public hospitals have the capacity to treat more patients.</w:t>
      </w:r>
      <w:r w:rsidRPr="001714A8">
        <w:t xml:space="preserve"> </w:t>
      </w:r>
      <w:r>
        <w:t>T</w:t>
      </w:r>
      <w:r w:rsidRPr="001714A8">
        <w:t>hese positions should only be made available to ophthalmologists who will participate in</w:t>
      </w:r>
      <w:r>
        <w:t xml:space="preserve"> the</w:t>
      </w:r>
      <w:r w:rsidRPr="001714A8">
        <w:t xml:space="preserve"> training and supervision of registrars</w:t>
      </w:r>
      <w:r>
        <w:t>, junior doctors, nurses and optometrists, orthopaedists and students of these professions</w:t>
      </w:r>
    </w:p>
    <w:p w14:paraId="57594A71" w14:textId="77777777" w:rsidR="009A602C" w:rsidRDefault="009A602C" w:rsidP="009A602C">
      <w:pPr>
        <w:pStyle w:val="Bullet-green"/>
      </w:pPr>
      <w:r>
        <w:lastRenderedPageBreak/>
        <w:t>Provide g</w:t>
      </w:r>
      <w:r w:rsidRPr="001714A8">
        <w:t>reater patient education on the costs of services</w:t>
      </w:r>
      <w:r>
        <w:t xml:space="preserve"> so p</w:t>
      </w:r>
      <w:r w:rsidRPr="001714A8">
        <w:t>atients know</w:t>
      </w:r>
      <w:r>
        <w:t xml:space="preserve"> that</w:t>
      </w:r>
      <w:r w:rsidRPr="001714A8">
        <w:t xml:space="preserve"> they have a right to </w:t>
      </w:r>
      <w:r>
        <w:t>contact</w:t>
      </w:r>
      <w:r w:rsidRPr="001714A8">
        <w:t xml:space="preserve"> clinics and inquire about costs. </w:t>
      </w:r>
      <w:r>
        <w:t>The Committee</w:t>
      </w:r>
      <w:r w:rsidRPr="001714A8">
        <w:t xml:space="preserve"> felt</w:t>
      </w:r>
      <w:r>
        <w:t xml:space="preserve"> that</w:t>
      </w:r>
      <w:r w:rsidRPr="001714A8">
        <w:t xml:space="preserve"> this</w:t>
      </w:r>
      <w:r>
        <w:t xml:space="preserve"> information</w:t>
      </w:r>
      <w:r w:rsidRPr="001714A8">
        <w:t xml:space="preserve"> should not be </w:t>
      </w:r>
      <w:r>
        <w:t xml:space="preserve">delivered via </w:t>
      </w:r>
      <w:r w:rsidRPr="001714A8">
        <w:t xml:space="preserve">a </w:t>
      </w:r>
      <w:r>
        <w:t>clinician</w:t>
      </w:r>
      <w:r w:rsidRPr="001714A8">
        <w:t xml:space="preserve"> rating tool</w:t>
      </w:r>
      <w:r>
        <w:t>,</w:t>
      </w:r>
      <w:r w:rsidRPr="001714A8">
        <w:t xml:space="preserve"> but </w:t>
      </w:r>
      <w:r>
        <w:t>that</w:t>
      </w:r>
      <w:r w:rsidRPr="001714A8">
        <w:t xml:space="preserve"> </w:t>
      </w:r>
      <w:r>
        <w:t xml:space="preserve">consumer </w:t>
      </w:r>
      <w:r w:rsidRPr="001714A8">
        <w:t>educat</w:t>
      </w:r>
      <w:r>
        <w:t>ion</w:t>
      </w:r>
      <w:r w:rsidRPr="001714A8">
        <w:t xml:space="preserve"> on </w:t>
      </w:r>
      <w:r>
        <w:t>patients’</w:t>
      </w:r>
      <w:r w:rsidRPr="001714A8">
        <w:t xml:space="preserve"> rights and options</w:t>
      </w:r>
      <w:r>
        <w:t xml:space="preserve"> should be made available</w:t>
      </w:r>
      <w:r w:rsidRPr="001714A8">
        <w:t xml:space="preserve">.   </w:t>
      </w:r>
    </w:p>
    <w:p w14:paraId="1789AC04" w14:textId="77777777" w:rsidR="009A602C" w:rsidRDefault="009A602C" w:rsidP="009A602C">
      <w:pPr>
        <w:pStyle w:val="Bullet-green"/>
      </w:pPr>
      <w:r>
        <w:t xml:space="preserve">A whole of health system review to develop a consumer centred health system. </w:t>
      </w:r>
    </w:p>
    <w:p w14:paraId="01C93AD5" w14:textId="77777777" w:rsidR="009A602C" w:rsidRPr="001714A8" w:rsidRDefault="009A602C" w:rsidP="009A602C">
      <w:pPr>
        <w:pStyle w:val="Header2"/>
      </w:pPr>
      <w:bookmarkStart w:id="118" w:name="_Toc536548112"/>
      <w:bookmarkStart w:id="119" w:name="_Toc35347215"/>
      <w:bookmarkStart w:id="120" w:name="_Toc524100389"/>
      <w:r w:rsidRPr="001714A8">
        <w:t>Consumer impact summary</w:t>
      </w:r>
      <w:bookmarkEnd w:id="118"/>
      <w:bookmarkEnd w:id="119"/>
      <w:r w:rsidRPr="001714A8">
        <w:t xml:space="preserve"> </w:t>
      </w:r>
      <w:bookmarkEnd w:id="120"/>
    </w:p>
    <w:p w14:paraId="1FE2AFF5" w14:textId="77777777" w:rsidR="009A602C" w:rsidRPr="001714A8" w:rsidRDefault="009A602C" w:rsidP="009A602C">
      <w:pPr>
        <w:pStyle w:val="Body"/>
        <w:rPr>
          <w:lang w:val="en-GB"/>
        </w:rPr>
      </w:pPr>
      <w:r w:rsidRPr="001714A8">
        <w:rPr>
          <w:lang w:val="en-GB"/>
        </w:rPr>
        <w:t xml:space="preserve">The Committee brought together clinicians with experience in and a commitment to the care of people </w:t>
      </w:r>
      <w:r w:rsidRPr="005656B3">
        <w:t>with</w:t>
      </w:r>
      <w:r w:rsidRPr="001714A8">
        <w:rPr>
          <w:lang w:val="en-GB"/>
        </w:rPr>
        <w:t xml:space="preserve"> ophthalmic conditions to examine how well MBS items match current clinical practice and meet the needs of Australians. </w:t>
      </w:r>
    </w:p>
    <w:p w14:paraId="7B714898" w14:textId="77777777" w:rsidR="002153E9" w:rsidRDefault="009A602C" w:rsidP="009A602C">
      <w:pPr>
        <w:pStyle w:val="Body"/>
      </w:pPr>
      <w:r w:rsidRPr="001714A8">
        <w:t xml:space="preserve">This section provides a more detailed discussion of the consumer impacts of the recommendations outlined in this report, using the consumer framework. </w:t>
      </w:r>
    </w:p>
    <w:p w14:paraId="568514C9" w14:textId="66663E4F" w:rsidR="009A602C" w:rsidRDefault="009A602C" w:rsidP="009A602C">
      <w:pPr>
        <w:pStyle w:val="Body"/>
      </w:pPr>
      <w:r w:rsidRPr="001714A8">
        <w:t xml:space="preserve">A list of the recommendations, written in plain English, can be found in </w:t>
      </w:r>
      <w:hyperlink w:anchor="Ref464873962" w:history="1">
        <w:r w:rsidRPr="001714A8">
          <w:t xml:space="preserve">Appendix A </w:t>
        </w:r>
      </w:hyperlink>
      <w:r w:rsidRPr="001714A8">
        <w:t xml:space="preserve">– </w:t>
      </w:r>
      <w:hyperlink w:anchor="Ref464873965" w:history="1">
        <w:r w:rsidRPr="001714A8">
          <w:rPr>
            <w:rStyle w:val="Hyperlink0"/>
            <w:lang w:val="en-GB"/>
          </w:rPr>
          <w:t>Summary for consumers</w:t>
        </w:r>
      </w:hyperlink>
      <w:r>
        <w:t>.</w:t>
      </w:r>
    </w:p>
    <w:p w14:paraId="4A7B3823" w14:textId="77777777" w:rsidR="009A602C" w:rsidRPr="00B250F7" w:rsidRDefault="009A602C" w:rsidP="009A602C">
      <w:pPr>
        <w:pStyle w:val="Body"/>
      </w:pPr>
      <w:r w:rsidRPr="00B250F7">
        <w:t>The MBS Review Taskf</w:t>
      </w:r>
      <w:r>
        <w:t xml:space="preserve">orce has been asked to review, advise and make recommendations on </w:t>
      </w:r>
      <w:r w:rsidRPr="00B250F7">
        <w:t>aspects of the MBS, to deliver an affordable and universally accessible, best practice, individual patient focused, v</w:t>
      </w:r>
      <w:r>
        <w:t xml:space="preserve">aluable health care system; in </w:t>
      </w:r>
      <w:r w:rsidRPr="00B250F7">
        <w:t xml:space="preserve">context, how the MBS contributes to a modern, transparent and responsive system.  </w:t>
      </w:r>
    </w:p>
    <w:p w14:paraId="2F6300DC" w14:textId="77777777" w:rsidR="002153E9" w:rsidRDefault="009A602C" w:rsidP="009A602C">
      <w:pPr>
        <w:pStyle w:val="Body"/>
        <w:rPr>
          <w:lang w:val="en-GB"/>
        </w:rPr>
      </w:pPr>
      <w:r w:rsidRPr="008958B5">
        <w:rPr>
          <w:lang w:val="en-GB"/>
        </w:rPr>
        <w:t xml:space="preserve">Recommendations to </w:t>
      </w:r>
      <w:r w:rsidRPr="005B51CC">
        <w:rPr>
          <w:lang w:val="en-GB"/>
        </w:rPr>
        <w:t xml:space="preserve">government should </w:t>
      </w:r>
      <w:r w:rsidRPr="007F4CFA">
        <w:rPr>
          <w:lang w:val="en-GB"/>
        </w:rPr>
        <w:t>demonstrate value for the health system and value and best practice for the patient.</w:t>
      </w:r>
      <w:r>
        <w:rPr>
          <w:lang w:val="en-GB"/>
        </w:rPr>
        <w:t xml:space="preserve"> </w:t>
      </w:r>
    </w:p>
    <w:p w14:paraId="74257DBD" w14:textId="7EB8EA32" w:rsidR="009A602C" w:rsidRPr="005B51CC" w:rsidRDefault="009A602C" w:rsidP="009A602C">
      <w:pPr>
        <w:pStyle w:val="Body"/>
        <w:rPr>
          <w:lang w:val="en-GB"/>
        </w:rPr>
      </w:pPr>
      <w:r w:rsidRPr="005B51CC">
        <w:rPr>
          <w:lang w:val="en-GB"/>
        </w:rPr>
        <w:t>The OCC report has focused on the clinical opinion and available evidence</w:t>
      </w:r>
      <w:r>
        <w:rPr>
          <w:lang w:val="en-GB"/>
        </w:rPr>
        <w:t xml:space="preserve"> </w:t>
      </w:r>
      <w:r w:rsidRPr="005B51CC">
        <w:rPr>
          <w:lang w:val="en-GB"/>
        </w:rPr>
        <w:t>relating to ophthalmic services and how any changes, or not, would affect consumers. Broader aspects, including system level and patient out of pocket costs, sustainability and</w:t>
      </w:r>
      <w:r w:rsidRPr="00B250F7">
        <w:t xml:space="preserve"> measures to achieve a more ‘patient-centred’</w:t>
      </w:r>
      <w:r>
        <w:t xml:space="preserve"> </w:t>
      </w:r>
      <w:r w:rsidRPr="00B250F7">
        <w:t xml:space="preserve">approach, are critical aspects of a sustainable high value health care system.  </w:t>
      </w:r>
    </w:p>
    <w:p w14:paraId="4061D143" w14:textId="77777777" w:rsidR="002153E9" w:rsidRDefault="009A602C" w:rsidP="009A602C">
      <w:pPr>
        <w:pStyle w:val="Body"/>
      </w:pPr>
      <w:r w:rsidRPr="005B51CC">
        <w:rPr>
          <w:lang w:val="en-GB"/>
        </w:rPr>
        <w:t>There is likely to be significant public intere</w:t>
      </w:r>
      <w:r>
        <w:rPr>
          <w:lang w:val="en-GB"/>
        </w:rPr>
        <w:t xml:space="preserve">st in the report given the high </w:t>
      </w:r>
      <w:r w:rsidRPr="005B51CC">
        <w:rPr>
          <w:lang w:val="en-GB"/>
        </w:rPr>
        <w:t>variability in service access including rural and remote, the rapid increase in service upta</w:t>
      </w:r>
      <w:r>
        <w:rPr>
          <w:lang w:val="en-GB"/>
        </w:rPr>
        <w:t>ke due to an ageing population,</w:t>
      </w:r>
      <w:r w:rsidRPr="005B51CC">
        <w:rPr>
          <w:lang w:val="en-GB"/>
        </w:rPr>
        <w:t xml:space="preserve"> budgetary </w:t>
      </w:r>
      <w:r w:rsidRPr="00B250F7">
        <w:t xml:space="preserve">impact, and high out </w:t>
      </w:r>
      <w:r>
        <w:t>of pocket charges experienced</w:t>
      </w:r>
      <w:r w:rsidRPr="00B250F7">
        <w:t xml:space="preserve"> for some procedures and by some consumers.  </w:t>
      </w:r>
    </w:p>
    <w:p w14:paraId="2C2E5E00" w14:textId="77777777" w:rsidR="002153E9" w:rsidRDefault="009A602C" w:rsidP="009A602C">
      <w:pPr>
        <w:pStyle w:val="Body"/>
      </w:pPr>
      <w:r w:rsidRPr="00B250F7">
        <w:lastRenderedPageBreak/>
        <w:t xml:space="preserve">Additional consumer and public input would provide further insights into how the community accesses services and to identify areas for future improvement. </w:t>
      </w:r>
    </w:p>
    <w:p w14:paraId="5D55B27F" w14:textId="73234C2D" w:rsidR="009A602C" w:rsidRPr="00E336FB" w:rsidRDefault="009A602C" w:rsidP="009A602C">
      <w:pPr>
        <w:pStyle w:val="Body"/>
        <w:rPr>
          <w:lang w:val="en-GB"/>
        </w:rPr>
      </w:pPr>
      <w:r w:rsidRPr="00B250F7">
        <w:t>It is particularly crucial that a “whole of system” approach be taken when seeking this input, as a change in one area of the system, may not produce the change required or sought, unless the other aspects of the system are taken into consideration.</w:t>
      </w:r>
    </w:p>
    <w:p w14:paraId="35701960" w14:textId="16FD88B0" w:rsidR="002153E9" w:rsidRDefault="009A602C" w:rsidP="009A602C">
      <w:pPr>
        <w:pStyle w:val="Body"/>
      </w:pPr>
      <w:r w:rsidRPr="00B250F7">
        <w:t>The Ophthalmology Clinical Committee notes t</w:t>
      </w:r>
      <w:r>
        <w:t xml:space="preserve">hat systems to focus on patient </w:t>
      </w:r>
      <w:r w:rsidRPr="00B250F7">
        <w:t>centred approach to high value ophthalmology services will require chan</w:t>
      </w:r>
      <w:r>
        <w:t xml:space="preserve">ges to </w:t>
      </w:r>
      <w:r w:rsidRPr="00B250F7">
        <w:t>be made along the system. This would include</w:t>
      </w:r>
      <w:r w:rsidR="002153E9">
        <w:t>:</w:t>
      </w:r>
    </w:p>
    <w:p w14:paraId="14E869DC" w14:textId="7FE76EDA" w:rsidR="00DC5609" w:rsidRDefault="009A602C" w:rsidP="00203192">
      <w:pPr>
        <w:pStyle w:val="Body"/>
        <w:numPr>
          <w:ilvl w:val="0"/>
          <w:numId w:val="224"/>
        </w:numPr>
        <w:spacing w:before="120" w:line="240" w:lineRule="auto"/>
        <w:ind w:left="714" w:hanging="357"/>
      </w:pPr>
      <w:r w:rsidRPr="00B250F7">
        <w:t xml:space="preserve">improved clinician </w:t>
      </w:r>
      <w:r w:rsidR="00DC5609">
        <w:t>education</w:t>
      </w:r>
    </w:p>
    <w:p w14:paraId="01A24942" w14:textId="082190E7" w:rsidR="002153E9" w:rsidRDefault="00DC5609" w:rsidP="00203192">
      <w:pPr>
        <w:pStyle w:val="Body"/>
        <w:numPr>
          <w:ilvl w:val="0"/>
          <w:numId w:val="224"/>
        </w:numPr>
        <w:spacing w:before="120" w:line="240" w:lineRule="auto"/>
        <w:ind w:left="714" w:hanging="357"/>
      </w:pPr>
      <w:r>
        <w:t>improved</w:t>
      </w:r>
      <w:r w:rsidR="009A602C" w:rsidRPr="00B250F7">
        <w:t xml:space="preserve"> patient</w:t>
      </w:r>
      <w:r>
        <w:t>/consumer</w:t>
      </w:r>
      <w:r w:rsidR="009A602C" w:rsidRPr="00B250F7">
        <w:t xml:space="preserve"> education</w:t>
      </w:r>
    </w:p>
    <w:p w14:paraId="7656E46F" w14:textId="635DA2E9" w:rsidR="002153E9" w:rsidRDefault="009A602C" w:rsidP="00203192">
      <w:pPr>
        <w:pStyle w:val="Body"/>
        <w:numPr>
          <w:ilvl w:val="0"/>
          <w:numId w:val="224"/>
        </w:numPr>
        <w:spacing w:before="120" w:line="240" w:lineRule="auto"/>
        <w:ind w:left="714" w:hanging="357"/>
      </w:pPr>
      <w:r w:rsidRPr="00B250F7">
        <w:t>patient</w:t>
      </w:r>
      <w:r w:rsidR="00DC5609">
        <w:t>/consumer</w:t>
      </w:r>
      <w:r w:rsidRPr="00B250F7">
        <w:t xml:space="preserve"> oriented professional standards</w:t>
      </w:r>
    </w:p>
    <w:p w14:paraId="16340303" w14:textId="5D9DAD3D" w:rsidR="002153E9" w:rsidRDefault="009A602C" w:rsidP="00203192">
      <w:pPr>
        <w:pStyle w:val="Body"/>
        <w:numPr>
          <w:ilvl w:val="0"/>
          <w:numId w:val="224"/>
        </w:numPr>
        <w:spacing w:before="120" w:line="240" w:lineRule="auto"/>
        <w:ind w:left="714" w:hanging="357"/>
      </w:pPr>
      <w:r w:rsidRPr="00B250F7">
        <w:t xml:space="preserve">consideration of the current </w:t>
      </w:r>
      <w:proofErr w:type="gramStart"/>
      <w:r w:rsidRPr="00B250F7">
        <w:t>difficulties</w:t>
      </w:r>
      <w:proofErr w:type="gramEnd"/>
      <w:r w:rsidRPr="00B250F7">
        <w:t xml:space="preserve"> patients</w:t>
      </w:r>
      <w:r w:rsidR="00DC5609">
        <w:t>/consumers</w:t>
      </w:r>
      <w:r w:rsidRPr="00B250F7">
        <w:t xml:space="preserve"> have in accessing publicly provided services</w:t>
      </w:r>
    </w:p>
    <w:p w14:paraId="1B8F5621" w14:textId="5505EFE1" w:rsidR="002153E9" w:rsidRDefault="009A602C" w:rsidP="00203192">
      <w:pPr>
        <w:pStyle w:val="Body"/>
        <w:numPr>
          <w:ilvl w:val="0"/>
          <w:numId w:val="224"/>
        </w:numPr>
        <w:spacing w:before="120" w:line="240" w:lineRule="auto"/>
        <w:ind w:left="714" w:hanging="357"/>
      </w:pPr>
      <w:r w:rsidRPr="00B250F7">
        <w:t>exploring opportunities for a more flexible, trained workforce</w:t>
      </w:r>
    </w:p>
    <w:p w14:paraId="481493AE" w14:textId="7A4ABF2A" w:rsidR="002153E9" w:rsidRDefault="009A602C" w:rsidP="00203192">
      <w:pPr>
        <w:pStyle w:val="Body"/>
        <w:numPr>
          <w:ilvl w:val="0"/>
          <w:numId w:val="224"/>
        </w:numPr>
        <w:spacing w:before="120" w:line="240" w:lineRule="auto"/>
        <w:ind w:left="714" w:hanging="357"/>
      </w:pPr>
      <w:r w:rsidRPr="00B250F7">
        <w:t>consideration of out of pocket costs</w:t>
      </w:r>
      <w:r w:rsidR="00DC5609">
        <w:t xml:space="preserve"> to patients/consumers</w:t>
      </w:r>
    </w:p>
    <w:p w14:paraId="5C0A7BF6" w14:textId="6422ABAB" w:rsidR="002153E9" w:rsidRDefault="009A602C" w:rsidP="00203192">
      <w:pPr>
        <w:pStyle w:val="Body"/>
        <w:numPr>
          <w:ilvl w:val="0"/>
          <w:numId w:val="224"/>
        </w:numPr>
        <w:spacing w:before="120" w:line="240" w:lineRule="auto"/>
        <w:ind w:left="714" w:hanging="357"/>
      </w:pPr>
      <w:r w:rsidRPr="00B250F7">
        <w:t xml:space="preserve">the variety </w:t>
      </w:r>
      <w:r w:rsidR="00DC5609">
        <w:t xml:space="preserve">and amount </w:t>
      </w:r>
      <w:r w:rsidRPr="00B250F7">
        <w:t>of private health insurance coverage</w:t>
      </w:r>
    </w:p>
    <w:p w14:paraId="654D7851" w14:textId="17561C2E" w:rsidR="002153E9" w:rsidRDefault="009A602C" w:rsidP="00203192">
      <w:pPr>
        <w:pStyle w:val="Body"/>
        <w:numPr>
          <w:ilvl w:val="0"/>
          <w:numId w:val="224"/>
        </w:numPr>
        <w:spacing w:before="120" w:line="240" w:lineRule="auto"/>
        <w:ind w:left="714" w:hanging="357"/>
      </w:pPr>
      <w:r w:rsidRPr="00B250F7">
        <w:t>private health premiums</w:t>
      </w:r>
    </w:p>
    <w:p w14:paraId="64B93C15" w14:textId="5D83DC16" w:rsidR="002153E9" w:rsidRDefault="009A602C" w:rsidP="00203192">
      <w:pPr>
        <w:pStyle w:val="Body"/>
        <w:numPr>
          <w:ilvl w:val="0"/>
          <w:numId w:val="224"/>
        </w:numPr>
        <w:spacing w:before="120" w:line="240" w:lineRule="auto"/>
        <w:ind w:left="714" w:hanging="357"/>
      </w:pPr>
      <w:r w:rsidRPr="00B250F7">
        <w:t>how to meet the high costs associated with consumables</w:t>
      </w:r>
    </w:p>
    <w:p w14:paraId="084ED0C0" w14:textId="269F2DDB" w:rsidR="002153E9" w:rsidRDefault="009A602C" w:rsidP="00203192">
      <w:pPr>
        <w:pStyle w:val="Body"/>
        <w:numPr>
          <w:ilvl w:val="0"/>
          <w:numId w:val="224"/>
        </w:numPr>
        <w:spacing w:before="120" w:line="240" w:lineRule="auto"/>
        <w:ind w:left="714" w:hanging="357"/>
      </w:pPr>
      <w:r w:rsidRPr="00B250F7">
        <w:t>informed patient consent</w:t>
      </w:r>
    </w:p>
    <w:p w14:paraId="03244B81" w14:textId="43AEF9AF" w:rsidR="002153E9" w:rsidRDefault="009A602C" w:rsidP="00203192">
      <w:pPr>
        <w:pStyle w:val="Body"/>
        <w:numPr>
          <w:ilvl w:val="0"/>
          <w:numId w:val="224"/>
        </w:numPr>
        <w:spacing w:before="120" w:line="240" w:lineRule="auto"/>
        <w:ind w:left="714" w:hanging="357"/>
      </w:pPr>
      <w:r w:rsidRPr="00B250F7">
        <w:t>services integration and coordination</w:t>
      </w:r>
      <w:r w:rsidR="002153E9">
        <w:t xml:space="preserve"> </w:t>
      </w:r>
      <w:r w:rsidRPr="00B250F7">
        <w:t xml:space="preserve">and </w:t>
      </w:r>
    </w:p>
    <w:p w14:paraId="3BAD8F46" w14:textId="7862D8CE" w:rsidR="009A602C" w:rsidRPr="00B250F7" w:rsidRDefault="009A602C" w:rsidP="00203192">
      <w:pPr>
        <w:pStyle w:val="Body"/>
        <w:numPr>
          <w:ilvl w:val="0"/>
          <w:numId w:val="224"/>
        </w:numPr>
        <w:spacing w:before="120" w:line="240" w:lineRule="auto"/>
        <w:ind w:left="714" w:hanging="357"/>
      </w:pPr>
      <w:r w:rsidRPr="00B250F7">
        <w:t xml:space="preserve">cultural factors that can improve eye health outcomes and the role and responsibility of the public system.   </w:t>
      </w:r>
    </w:p>
    <w:p w14:paraId="521428C6" w14:textId="77777777" w:rsidR="00E7682C" w:rsidRDefault="009A602C" w:rsidP="009A602C">
      <w:pPr>
        <w:pStyle w:val="Body"/>
      </w:pPr>
      <w:r w:rsidRPr="00B250F7">
        <w:t xml:space="preserve">Ultimately it is essential that consumers are informed about services, treatment, options and costs in a clear and open way. </w:t>
      </w:r>
    </w:p>
    <w:p w14:paraId="0C5E41CE" w14:textId="533186AF" w:rsidR="009A602C" w:rsidRPr="00B250F7" w:rsidRDefault="009A602C" w:rsidP="009A602C">
      <w:pPr>
        <w:pStyle w:val="Body"/>
      </w:pPr>
      <w:r w:rsidRPr="00B250F7">
        <w:t>Patients</w:t>
      </w:r>
      <w:r w:rsidR="00DC5609">
        <w:t>/consumers</w:t>
      </w:r>
      <w:r w:rsidRPr="00B250F7">
        <w:t xml:space="preserve"> with chronic conditions, and in particular those without private health insurance, and those who live outside major urban centres frequently find it difficult to access treatment within the public system, and as result bear a considerable economic and social burden within the private system. This is likely to continue while Australia’s population ages. </w:t>
      </w:r>
    </w:p>
    <w:p w14:paraId="170F395B" w14:textId="5666397C" w:rsidR="009A602C" w:rsidRPr="00B250F7" w:rsidRDefault="009A602C" w:rsidP="009A602C">
      <w:pPr>
        <w:pStyle w:val="Body"/>
      </w:pPr>
      <w:r w:rsidRPr="00B250F7">
        <w:lastRenderedPageBreak/>
        <w:t xml:space="preserve">The consumers on the committee have highlighted the need for a systems level </w:t>
      </w:r>
      <w:r>
        <w:t>r</w:t>
      </w:r>
      <w:r w:rsidRPr="00B250F7">
        <w:t xml:space="preserve">esponse which includes key stakeholders </w:t>
      </w:r>
      <w:r w:rsidR="00DC5609">
        <w:t xml:space="preserve">in </w:t>
      </w:r>
      <w:r w:rsidRPr="00B250F7">
        <w:t>the syste</w:t>
      </w:r>
      <w:r>
        <w:t xml:space="preserve">m </w:t>
      </w:r>
      <w:r w:rsidRPr="00B250F7">
        <w:t>to address these concerns.</w:t>
      </w:r>
      <w:r>
        <w:t xml:space="preserve"> This </w:t>
      </w:r>
      <w:r w:rsidRPr="00B250F7">
        <w:t>has been recommended by various consumer groups, within the context of Australia’s Federal, State and private health system having served us well in the past, but with demographic, economic and societal changes now needing a crucial review and change to meet the future needs.</w:t>
      </w:r>
    </w:p>
    <w:p w14:paraId="3C3A3009" w14:textId="77777777" w:rsidR="009A602C" w:rsidRPr="00F1034D" w:rsidRDefault="009A602C" w:rsidP="009A602C">
      <w:pPr>
        <w:pStyle w:val="Heading3"/>
      </w:pPr>
      <w:bookmarkStart w:id="121" w:name="_Toc536548113"/>
      <w:bookmarkStart w:id="122" w:name="_Toc35347216"/>
      <w:r w:rsidRPr="00315286">
        <w:rPr>
          <w:rStyle w:val="None"/>
        </w:rPr>
        <w:t>Consumer representative framework</w:t>
      </w:r>
      <w:bookmarkEnd w:id="121"/>
      <w:bookmarkEnd w:id="122"/>
    </w:p>
    <w:p w14:paraId="1F51A356" w14:textId="77777777" w:rsidR="009A602C" w:rsidRPr="001714A8" w:rsidRDefault="009A602C" w:rsidP="009A602C">
      <w:pPr>
        <w:pStyle w:val="Body"/>
        <w:rPr>
          <w:lang w:val="en-GB"/>
        </w:rPr>
      </w:pPr>
      <w:r w:rsidRPr="001714A8">
        <w:rPr>
          <w:lang w:val="en-GB"/>
        </w:rPr>
        <w:t>The consumer representative used the following framework to assess recommendations.</w:t>
      </w:r>
    </w:p>
    <w:p w14:paraId="19F3DA75" w14:textId="77777777" w:rsidR="009A602C" w:rsidRPr="001714A8" w:rsidRDefault="009A602C" w:rsidP="009A602C">
      <w:pPr>
        <w:pStyle w:val="ListParagraph"/>
        <w:numPr>
          <w:ilvl w:val="0"/>
          <w:numId w:val="124"/>
        </w:numPr>
        <w:pBdr>
          <w:top w:val="nil"/>
          <w:left w:val="nil"/>
          <w:bottom w:val="nil"/>
          <w:right w:val="nil"/>
          <w:between w:val="nil"/>
          <w:bar w:val="nil"/>
        </w:pBdr>
        <w:spacing w:before="120" w:after="60"/>
        <w:ind w:left="357" w:hanging="357"/>
        <w:contextualSpacing w:val="0"/>
      </w:pPr>
      <w:r w:rsidRPr="001714A8">
        <w:t>If changes to an MBS item were recommended, or if the item was recommended for deletion, the consumer representative</w:t>
      </w:r>
      <w:r>
        <w:t>s</w:t>
      </w:r>
      <w:r w:rsidRPr="001714A8">
        <w:t xml:space="preserve"> considered the following questions:</w:t>
      </w:r>
    </w:p>
    <w:p w14:paraId="3B108788" w14:textId="5E1AE811" w:rsidR="009A602C" w:rsidRPr="001714A8" w:rsidRDefault="009A602C" w:rsidP="009A602C">
      <w:pPr>
        <w:pStyle w:val="Body"/>
        <w:numPr>
          <w:ilvl w:val="0"/>
          <w:numId w:val="126"/>
        </w:numPr>
        <w:spacing w:before="120" w:after="60"/>
        <w:ind w:left="714" w:hanging="357"/>
        <w:rPr>
          <w:lang w:val="en-GB"/>
        </w:rPr>
      </w:pPr>
      <w:r w:rsidRPr="001714A8">
        <w:rPr>
          <w:lang w:val="en-GB"/>
        </w:rPr>
        <w:t xml:space="preserve">Would there be a positive or negative impact on </w:t>
      </w:r>
      <w:r>
        <w:rPr>
          <w:lang w:val="en-GB"/>
        </w:rPr>
        <w:t>patient</w:t>
      </w:r>
      <w:r w:rsidR="00DC5609">
        <w:rPr>
          <w:lang w:val="en-GB"/>
        </w:rPr>
        <w:t>/consumer</w:t>
      </w:r>
      <w:r>
        <w:rPr>
          <w:lang w:val="en-GB"/>
        </w:rPr>
        <w:t xml:space="preserve"> </w:t>
      </w:r>
      <w:r w:rsidRPr="001714A8">
        <w:rPr>
          <w:lang w:val="en-GB"/>
        </w:rPr>
        <w:t>safety?</w:t>
      </w:r>
    </w:p>
    <w:p w14:paraId="042C3BC2" w14:textId="77777777" w:rsidR="009A602C" w:rsidRPr="001714A8" w:rsidRDefault="009A602C" w:rsidP="009A602C">
      <w:pPr>
        <w:pStyle w:val="Body"/>
        <w:numPr>
          <w:ilvl w:val="0"/>
          <w:numId w:val="126"/>
        </w:numPr>
        <w:spacing w:before="120" w:after="60"/>
        <w:ind w:left="714" w:hanging="357"/>
        <w:rPr>
          <w:lang w:val="en-GB"/>
        </w:rPr>
      </w:pPr>
      <w:r w:rsidRPr="001714A8">
        <w:rPr>
          <w:lang w:val="en-GB"/>
        </w:rPr>
        <w:t>Would there be a positive or negative impact on the quality of services provided?</w:t>
      </w:r>
    </w:p>
    <w:p w14:paraId="2FFD42AA" w14:textId="77777777" w:rsidR="009A602C" w:rsidRPr="001714A8" w:rsidRDefault="009A602C" w:rsidP="009A602C">
      <w:pPr>
        <w:pStyle w:val="Body"/>
        <w:numPr>
          <w:ilvl w:val="0"/>
          <w:numId w:val="126"/>
        </w:numPr>
        <w:spacing w:before="120" w:after="60"/>
        <w:ind w:left="714" w:hanging="357"/>
        <w:rPr>
          <w:lang w:val="en-GB"/>
        </w:rPr>
      </w:pPr>
      <w:r w:rsidRPr="001714A8">
        <w:rPr>
          <w:lang w:val="en-GB"/>
        </w:rPr>
        <w:t xml:space="preserve">Would there be any limitations on access, particularly for people living in rural and remote locations or people with special needs, including </w:t>
      </w:r>
      <w:r>
        <w:rPr>
          <w:lang w:val="en-GB"/>
        </w:rPr>
        <w:t>Aboriginal and Torres Strait Islander</w:t>
      </w:r>
      <w:r w:rsidRPr="001714A8">
        <w:rPr>
          <w:lang w:val="en-GB"/>
        </w:rPr>
        <w:t xml:space="preserve"> </w:t>
      </w:r>
      <w:r>
        <w:rPr>
          <w:lang w:val="en-GB"/>
        </w:rPr>
        <w:t>people</w:t>
      </w:r>
      <w:r w:rsidRPr="001714A8">
        <w:rPr>
          <w:lang w:val="en-GB"/>
        </w:rPr>
        <w:t>?</w:t>
      </w:r>
    </w:p>
    <w:p w14:paraId="21F34EA6" w14:textId="77777777" w:rsidR="009A602C" w:rsidRPr="001714A8" w:rsidRDefault="009A602C" w:rsidP="009A602C">
      <w:pPr>
        <w:pStyle w:val="Body"/>
        <w:numPr>
          <w:ilvl w:val="0"/>
          <w:numId w:val="126"/>
        </w:numPr>
        <w:spacing w:before="120" w:after="60"/>
        <w:ind w:left="714" w:hanging="357"/>
        <w:rPr>
          <w:lang w:val="en-GB"/>
        </w:rPr>
      </w:pPr>
      <w:r w:rsidRPr="001714A8">
        <w:rPr>
          <w:lang w:val="en-GB"/>
        </w:rPr>
        <w:t>Would the efficacy of the test or treatment (or sometimes a series of tests or treatments) be reduced or increased?</w:t>
      </w:r>
    </w:p>
    <w:p w14:paraId="0E1CF672" w14:textId="77777777" w:rsidR="009A602C" w:rsidRPr="001714A8" w:rsidRDefault="009A602C" w:rsidP="009A602C">
      <w:pPr>
        <w:pStyle w:val="Body"/>
        <w:numPr>
          <w:ilvl w:val="0"/>
          <w:numId w:val="126"/>
        </w:numPr>
        <w:spacing w:before="120" w:after="60"/>
        <w:ind w:left="714" w:hanging="357"/>
        <w:rPr>
          <w:lang w:val="en-GB"/>
        </w:rPr>
      </w:pPr>
      <w:r w:rsidRPr="001714A8">
        <w:rPr>
          <w:lang w:val="en-GB"/>
        </w:rPr>
        <w:t xml:space="preserve">Would the changes reduce or increase costs, and </w:t>
      </w:r>
      <w:r>
        <w:rPr>
          <w:lang w:val="en-GB"/>
        </w:rPr>
        <w:t>is</w:t>
      </w:r>
      <w:r w:rsidRPr="001714A8">
        <w:rPr>
          <w:lang w:val="en-GB"/>
        </w:rPr>
        <w:t xml:space="preserve"> there the potential for a perverse outcome?</w:t>
      </w:r>
    </w:p>
    <w:p w14:paraId="0827397A" w14:textId="77777777" w:rsidR="009A602C" w:rsidRPr="001714A8" w:rsidRDefault="009A602C" w:rsidP="009A602C">
      <w:pPr>
        <w:pStyle w:val="Body"/>
        <w:numPr>
          <w:ilvl w:val="0"/>
          <w:numId w:val="126"/>
        </w:numPr>
        <w:spacing w:before="120" w:after="60"/>
        <w:ind w:left="714" w:hanging="357"/>
        <w:rPr>
          <w:lang w:val="en-GB"/>
        </w:rPr>
      </w:pPr>
      <w:r w:rsidRPr="001714A8">
        <w:rPr>
          <w:lang w:val="en-GB"/>
        </w:rPr>
        <w:t>Would the change increase accountability by providing conditions against which clinicians could be measured?</w:t>
      </w:r>
    </w:p>
    <w:p w14:paraId="63D4AA6D" w14:textId="77777777" w:rsidR="009A602C" w:rsidRDefault="009A602C" w:rsidP="009A602C">
      <w:pPr>
        <w:pStyle w:val="Body"/>
        <w:numPr>
          <w:ilvl w:val="0"/>
          <w:numId w:val="126"/>
        </w:numPr>
        <w:spacing w:before="120" w:after="60"/>
        <w:ind w:left="714" w:hanging="357"/>
        <w:rPr>
          <w:lang w:val="en-GB"/>
        </w:rPr>
      </w:pPr>
      <w:r w:rsidRPr="001714A8">
        <w:rPr>
          <w:lang w:val="en-GB"/>
        </w:rPr>
        <w:t>Would the change increase data collection for research, monitoring and audit purposes?</w:t>
      </w:r>
    </w:p>
    <w:p w14:paraId="052CD058" w14:textId="77777777" w:rsidR="009A602C" w:rsidRPr="00315286" w:rsidRDefault="009A602C" w:rsidP="009A602C">
      <w:pPr>
        <w:pStyle w:val="Heading3"/>
        <w:rPr>
          <w:rStyle w:val="None"/>
        </w:rPr>
      </w:pPr>
      <w:bookmarkStart w:id="123" w:name="_Toc536548114"/>
      <w:bookmarkStart w:id="124" w:name="_Toc35347217"/>
      <w:r w:rsidRPr="00315286">
        <w:rPr>
          <w:rStyle w:val="None"/>
        </w:rPr>
        <w:lastRenderedPageBreak/>
        <w:t>Ophthalmology outcomes</w:t>
      </w:r>
      <w:bookmarkEnd w:id="123"/>
      <w:bookmarkEnd w:id="124"/>
    </w:p>
    <w:p w14:paraId="23416E5A" w14:textId="77777777" w:rsidR="009A602C" w:rsidRPr="001714A8" w:rsidRDefault="009A602C" w:rsidP="009A602C">
      <w:pPr>
        <w:pStyle w:val="Body"/>
        <w:rPr>
          <w:lang w:val="en-GB"/>
        </w:rPr>
      </w:pPr>
      <w:r w:rsidRPr="001714A8">
        <w:rPr>
          <w:lang w:val="en-GB"/>
        </w:rPr>
        <w:t>During the review of ophthalmology MBS items, clinician expert opinion was relied upon in several instances where the research did not demonstrate a clear position. In some instances, there was disagreement among clinicians. In general, the consumer issues were resolved as follows.</w:t>
      </w:r>
    </w:p>
    <w:p w14:paraId="203336E2" w14:textId="77777777" w:rsidR="009A602C" w:rsidRPr="00315286" w:rsidRDefault="009A602C" w:rsidP="009A602C">
      <w:pPr>
        <w:pStyle w:val="Bullet-green"/>
        <w:rPr>
          <w:b/>
        </w:rPr>
      </w:pPr>
      <w:r w:rsidRPr="00B12868">
        <w:rPr>
          <w:rStyle w:val="None"/>
          <w:b/>
          <w:bCs/>
        </w:rPr>
        <w:t>Safety</w:t>
      </w:r>
      <w:r w:rsidRPr="00315286">
        <w:rPr>
          <w:rStyle w:val="None"/>
          <w:rFonts w:ascii="Calibri" w:eastAsia="Calibri" w:hAnsi="Calibri" w:cs="Calibri"/>
          <w:b/>
          <w:bCs/>
          <w:color w:val="000000"/>
          <w:szCs w:val="22"/>
          <w:u w:color="000000"/>
          <w:bdr w:val="nil"/>
          <w:lang w:val="en-AU"/>
        </w:rPr>
        <w:t>:</w:t>
      </w:r>
      <w:r w:rsidRPr="00315286">
        <w:rPr>
          <w:rFonts w:ascii="Calibri" w:eastAsia="Calibri" w:hAnsi="Calibri" w:cs="Calibri"/>
          <w:b/>
          <w:color w:val="000000"/>
          <w:szCs w:val="22"/>
          <w:u w:color="000000"/>
          <w:bdr w:val="nil"/>
          <w:lang w:val="en-AU"/>
        </w:rPr>
        <w:t xml:space="preserve"> </w:t>
      </w:r>
      <w:r w:rsidRPr="00B12868">
        <w:t>None of the Committee</w:t>
      </w:r>
      <w:r w:rsidRPr="00B12868">
        <w:rPr>
          <w:rStyle w:val="Hyperlink0"/>
        </w:rPr>
        <w:t>’</w:t>
      </w:r>
      <w:r w:rsidRPr="00B12868">
        <w:t xml:space="preserve">s recommendations </w:t>
      </w:r>
      <w:r>
        <w:t xml:space="preserve">appear to </w:t>
      </w:r>
      <w:r w:rsidRPr="00B12868">
        <w:t>negatively affect the safety of ophthalmology services.</w:t>
      </w:r>
    </w:p>
    <w:p w14:paraId="67CD3AD0" w14:textId="35555946" w:rsidR="009A602C" w:rsidRPr="00B12868" w:rsidRDefault="009A602C" w:rsidP="009A602C">
      <w:pPr>
        <w:pStyle w:val="Bullet-green"/>
      </w:pPr>
      <w:r w:rsidRPr="00B12868">
        <w:rPr>
          <w:rStyle w:val="None"/>
          <w:b/>
          <w:bCs/>
        </w:rPr>
        <w:t>Quality</w:t>
      </w:r>
      <w:r w:rsidRPr="00315286">
        <w:rPr>
          <w:rStyle w:val="None"/>
          <w:rFonts w:ascii="Calibri" w:eastAsia="Calibri" w:hAnsi="Calibri" w:cs="Calibri"/>
          <w:b/>
          <w:bCs/>
          <w:color w:val="000000"/>
          <w:szCs w:val="22"/>
          <w:u w:color="000000"/>
          <w:bdr w:val="nil"/>
          <w:lang w:val="en-AU"/>
        </w:rPr>
        <w:t xml:space="preserve">: </w:t>
      </w:r>
      <w:r w:rsidRPr="00B12868">
        <w:t>Many of the recommended changes seek to improve the quality of care, primarily by aligning the MBS with evidence-based practice</w:t>
      </w:r>
      <w:r>
        <w:t xml:space="preserve"> which was updated with and reflected current published </w:t>
      </w:r>
      <w:r w:rsidR="00DC5609">
        <w:t xml:space="preserve">peer-reviewed </w:t>
      </w:r>
      <w:r>
        <w:t>research or clinical guidelines</w:t>
      </w:r>
      <w:r w:rsidRPr="00B12868">
        <w:t xml:space="preserve">. None of the recommendations </w:t>
      </w:r>
      <w:r>
        <w:t xml:space="preserve">should </w:t>
      </w:r>
      <w:r w:rsidRPr="00B12868">
        <w:t xml:space="preserve">negatively affect the quality of ophthalmology services. However, it is important to note that, in some instances, rural or remote populations and/or Aboriginal and Torres Strait Islander people have poorer access to </w:t>
      </w:r>
      <w:r>
        <w:t xml:space="preserve">consistent </w:t>
      </w:r>
      <w:r w:rsidRPr="00B12868">
        <w:t>quality care than populations in cities. It is difficult to achieve the right balance in such instances, because many people prefer to receive services close to their home</w:t>
      </w:r>
      <w:r w:rsidRPr="00B12868">
        <w:rPr>
          <w:rStyle w:val="Hyperlink0"/>
        </w:rPr>
        <w:t>—</w:t>
      </w:r>
      <w:r w:rsidRPr="00B12868">
        <w:t>even if local services are of an inferior quality</w:t>
      </w:r>
      <w:r w:rsidRPr="00B12868">
        <w:rPr>
          <w:rStyle w:val="Hyperlink0"/>
        </w:rPr>
        <w:t>—</w:t>
      </w:r>
      <w:r w:rsidRPr="00B12868">
        <w:t xml:space="preserve">rather than travelling to a major centre for treatment. </w:t>
      </w:r>
      <w:r>
        <w:t>The continued development of care pathways and ongoing evidence review, along with improved transparency relating to available services and costs, would assist consumers in making informed decisions about their treatment.</w:t>
      </w:r>
      <w:r w:rsidR="00DC5609">
        <w:t xml:space="preserve"> Patient health literacy remains an important problem to be addressed.</w:t>
      </w:r>
    </w:p>
    <w:p w14:paraId="47563F0A" w14:textId="026B684F" w:rsidR="009A602C" w:rsidRPr="00676621" w:rsidRDefault="009A602C" w:rsidP="009A602C">
      <w:pPr>
        <w:pStyle w:val="Bullet-green"/>
      </w:pPr>
      <w:r w:rsidRPr="00676621">
        <w:rPr>
          <w:rStyle w:val="None"/>
          <w:b/>
          <w:bCs/>
        </w:rPr>
        <w:t>Access</w:t>
      </w:r>
      <w:r w:rsidRPr="00315286">
        <w:rPr>
          <w:rStyle w:val="None"/>
          <w:rFonts w:ascii="Calibri" w:eastAsia="Calibri" w:hAnsi="Calibri" w:cs="Calibri"/>
          <w:b/>
          <w:bCs/>
          <w:color w:val="000000"/>
          <w:szCs w:val="22"/>
          <w:u w:color="000000"/>
          <w:bdr w:val="nil"/>
          <w:lang w:val="en-AU"/>
        </w:rPr>
        <w:t>:</w:t>
      </w:r>
      <w:r>
        <w:t xml:space="preserve"> </w:t>
      </w:r>
      <w:r w:rsidRPr="00676621">
        <w:t xml:space="preserve">None of the recommended changes negatively affect appropriate access, although existing issues facing rural areas persist (see above). </w:t>
      </w:r>
      <w:r w:rsidR="00DC5609">
        <w:t xml:space="preserve">The delay in service access, the travel and time away from work and family are cost and wellbeing issues, which need to be addressed. </w:t>
      </w:r>
      <w:r w:rsidRPr="00676621">
        <w:t>It was also noted that some patient</w:t>
      </w:r>
      <w:r w:rsidR="00DC5609">
        <w:t>/consumer</w:t>
      </w:r>
      <w:r w:rsidRPr="00676621">
        <w:t xml:space="preserve"> groups have been receiving services they do not need, which can result in either negative health impacts or neutral health impacts with unnecessary cost. </w:t>
      </w:r>
      <w:r w:rsidR="00DC5609" w:rsidRPr="00DC5609">
        <w:t xml:space="preserve">The availability of Telehealth and Store and Forward for continued remote and rural screening and monitoring </w:t>
      </w:r>
      <w:proofErr w:type="gramStart"/>
      <w:r w:rsidR="00DC5609" w:rsidRPr="00DC5609">
        <w:t>was seen as</w:t>
      </w:r>
      <w:proofErr w:type="gramEnd"/>
      <w:r w:rsidR="00DC5609" w:rsidRPr="00DC5609">
        <w:t xml:space="preserve"> a service which not only provided greater access, but reduced the cost of travel, hospitalisation and </w:t>
      </w:r>
      <w:r w:rsidR="00DC5609">
        <w:t>other</w:t>
      </w:r>
      <w:r w:rsidR="00DC5609" w:rsidRPr="00DC5609">
        <w:t xml:space="preserve"> costs at a later date.</w:t>
      </w:r>
    </w:p>
    <w:p w14:paraId="52BD37AD" w14:textId="77777777" w:rsidR="009A602C" w:rsidRPr="000074E5" w:rsidRDefault="009A602C" w:rsidP="009A602C">
      <w:pPr>
        <w:pStyle w:val="Bullet-green"/>
      </w:pPr>
      <w:r w:rsidRPr="000074E5">
        <w:rPr>
          <w:rStyle w:val="None"/>
          <w:b/>
          <w:bCs/>
        </w:rPr>
        <w:t>Effectiveness</w:t>
      </w:r>
      <w:r>
        <w:rPr>
          <w:rStyle w:val="None"/>
          <w:b/>
          <w:bCs/>
        </w:rPr>
        <w:t>:</w:t>
      </w:r>
      <w:r>
        <w:t xml:space="preserve"> </w:t>
      </w:r>
      <w:r w:rsidRPr="000074E5">
        <w:t>None of the recommended changes have a negative impact on effectiveness.</w:t>
      </w:r>
    </w:p>
    <w:p w14:paraId="400DC7E8" w14:textId="77777777" w:rsidR="009A602C" w:rsidRPr="00145B39" w:rsidRDefault="009A602C" w:rsidP="009A602C">
      <w:pPr>
        <w:pStyle w:val="Bullet-green"/>
      </w:pPr>
      <w:r w:rsidRPr="00145B39">
        <w:rPr>
          <w:rStyle w:val="None"/>
          <w:b/>
          <w:bCs/>
        </w:rPr>
        <w:lastRenderedPageBreak/>
        <w:t>Accountability</w:t>
      </w:r>
      <w:r w:rsidRPr="00315286">
        <w:rPr>
          <w:rStyle w:val="None"/>
          <w:rFonts w:ascii="Calibri" w:eastAsia="Calibri" w:hAnsi="Calibri" w:cs="Calibri"/>
          <w:b/>
          <w:bCs/>
          <w:color w:val="000000"/>
          <w:szCs w:val="22"/>
          <w:u w:color="000000"/>
          <w:bdr w:val="nil"/>
          <w:lang w:val="en-AU"/>
        </w:rPr>
        <w:t>:</w:t>
      </w:r>
      <w:r w:rsidRPr="00145B39">
        <w:rPr>
          <w:rStyle w:val="None"/>
          <w:b/>
          <w:bCs/>
        </w:rPr>
        <w:t xml:space="preserve"> </w:t>
      </w:r>
      <w:r w:rsidRPr="00145B39">
        <w:t xml:space="preserve">There is an opportunity to require specific data collection and reporting on meaningful key performance indicators to ensure that MBS items are being used appropriately. In many instances, the Committee added wording to item descriptors specifically to facilitate </w:t>
      </w:r>
      <w:r>
        <w:t xml:space="preserve">the correct usage of item numbers and </w:t>
      </w:r>
      <w:r w:rsidRPr="00145B39">
        <w:t>auditing for quality purposes.</w:t>
      </w:r>
    </w:p>
    <w:p w14:paraId="6BBAE3DF" w14:textId="77777777" w:rsidR="009A602C" w:rsidRPr="00145B39" w:rsidRDefault="009A602C" w:rsidP="009A602C">
      <w:pPr>
        <w:pStyle w:val="Bullet-green"/>
      </w:pPr>
      <w:r w:rsidRPr="00145B39">
        <w:rPr>
          <w:rStyle w:val="None"/>
          <w:b/>
          <w:bCs/>
        </w:rPr>
        <w:t>Data collection</w:t>
      </w:r>
      <w:r w:rsidRPr="00315286">
        <w:rPr>
          <w:rStyle w:val="None"/>
          <w:rFonts w:ascii="Calibri" w:eastAsia="Calibri" w:hAnsi="Calibri" w:cs="Calibri"/>
          <w:b/>
          <w:bCs/>
          <w:color w:val="000000"/>
          <w:szCs w:val="22"/>
          <w:u w:color="000000"/>
          <w:bdr w:val="nil"/>
          <w:lang w:val="en-AU"/>
        </w:rPr>
        <w:t>:</w:t>
      </w:r>
      <w:r>
        <w:t xml:space="preserve"> </w:t>
      </w:r>
      <w:r w:rsidRPr="00145B39">
        <w:t xml:space="preserve">Data collection for research, monitoring and auditing purposes presents a huge opportunity for a revised MBS. The </w:t>
      </w:r>
      <w:r>
        <w:t>definitions a</w:t>
      </w:r>
      <w:r w:rsidRPr="00145B39">
        <w:t xml:space="preserve">ttached to the revised items should generally improve opportunities to use this data for targeted research in the future. </w:t>
      </w:r>
    </w:p>
    <w:p w14:paraId="7BC4E4FC" w14:textId="77777777" w:rsidR="009A602C" w:rsidRPr="00F1034D" w:rsidRDefault="009A602C" w:rsidP="009A602C">
      <w:pPr>
        <w:pStyle w:val="Heading1"/>
        <w:rPr>
          <w:color w:val="01653F"/>
        </w:rPr>
      </w:pPr>
      <w:bookmarkStart w:id="125" w:name="_Toc524100390"/>
      <w:bookmarkStart w:id="126" w:name="_Toc35347218"/>
      <w:r w:rsidRPr="00F1034D">
        <w:rPr>
          <w:rStyle w:val="Hyperlink0"/>
          <w:color w:val="01653F"/>
        </w:rPr>
        <w:lastRenderedPageBreak/>
        <w:t>About the Medicare Benefits Schedule (MBS) Review</w:t>
      </w:r>
      <w:bookmarkEnd w:id="125"/>
      <w:bookmarkEnd w:id="126"/>
    </w:p>
    <w:p w14:paraId="4B9184DE" w14:textId="77777777" w:rsidR="009A602C" w:rsidRPr="001714A8" w:rsidRDefault="009A602C" w:rsidP="009A602C">
      <w:pPr>
        <w:pStyle w:val="Heading2"/>
      </w:pPr>
      <w:bookmarkStart w:id="127" w:name="_Toc524100391"/>
      <w:bookmarkStart w:id="128" w:name="_Toc536548116"/>
      <w:bookmarkStart w:id="129" w:name="_Toc35347219"/>
      <w:r w:rsidRPr="00F1034D">
        <w:rPr>
          <w:rStyle w:val="Hyperlink0"/>
        </w:rPr>
        <w:t>Medicare</w:t>
      </w:r>
      <w:r w:rsidRPr="001714A8">
        <w:rPr>
          <w:rStyle w:val="Hyperlink0"/>
        </w:rPr>
        <w:t xml:space="preserve"> and the MBS</w:t>
      </w:r>
      <w:bookmarkEnd w:id="127"/>
      <w:bookmarkEnd w:id="128"/>
      <w:bookmarkEnd w:id="129"/>
    </w:p>
    <w:p w14:paraId="28A31317" w14:textId="77777777" w:rsidR="009A602C" w:rsidRPr="001714A8" w:rsidRDefault="009A602C" w:rsidP="009A602C">
      <w:pPr>
        <w:pStyle w:val="Boldhdg"/>
        <w:rPr>
          <w:rStyle w:val="Hyperlink0"/>
          <w:lang w:val="en-GB"/>
        </w:rPr>
      </w:pPr>
      <w:r>
        <w:rPr>
          <w:rStyle w:val="Hyperlink0"/>
          <w:lang w:val="en-GB"/>
        </w:rPr>
        <w:t>2</w:t>
      </w:r>
      <w:r w:rsidRPr="001714A8">
        <w:rPr>
          <w:rStyle w:val="Hyperlink0"/>
          <w:lang w:val="en-GB"/>
        </w:rPr>
        <w:t>.1.1</w:t>
      </w:r>
      <w:r w:rsidRPr="001714A8">
        <w:rPr>
          <w:rStyle w:val="Hyperlink0"/>
          <w:lang w:val="en-GB"/>
        </w:rPr>
        <w:tab/>
        <w:t>What is Medicare?</w:t>
      </w:r>
    </w:p>
    <w:p w14:paraId="1320160D" w14:textId="77777777" w:rsidR="009A602C" w:rsidRPr="001714A8" w:rsidRDefault="009A602C" w:rsidP="009A602C">
      <w:pPr>
        <w:pStyle w:val="Body"/>
        <w:rPr>
          <w:lang w:val="en-GB"/>
        </w:rPr>
      </w:pPr>
      <w:r w:rsidRPr="001714A8">
        <w:rPr>
          <w:lang w:val="en-GB"/>
        </w:rPr>
        <w:t>Medicare is Australia’s universal health scheme</w:t>
      </w:r>
      <w:r>
        <w:rPr>
          <w:lang w:val="en-GB"/>
        </w:rPr>
        <w:t xml:space="preserve"> that</w:t>
      </w:r>
      <w:r w:rsidRPr="001714A8">
        <w:rPr>
          <w:lang w:val="en-GB"/>
        </w:rPr>
        <w:t xml:space="preserve"> enables all Australian</w:t>
      </w:r>
      <w:r>
        <w:rPr>
          <w:lang w:val="en-GB"/>
        </w:rPr>
        <w:t>s</w:t>
      </w:r>
      <w:r w:rsidRPr="001714A8">
        <w:rPr>
          <w:lang w:val="en-GB"/>
        </w:rPr>
        <w:t xml:space="preserve"> (and some overseas visitors) to have access to a wide range of health services and medicines at little or no cost. </w:t>
      </w:r>
    </w:p>
    <w:p w14:paraId="50FAA925" w14:textId="77777777" w:rsidR="009A602C" w:rsidRPr="001714A8" w:rsidRDefault="009A602C" w:rsidP="009A602C">
      <w:pPr>
        <w:pStyle w:val="Body"/>
      </w:pPr>
      <w:r w:rsidRPr="001714A8">
        <w:t xml:space="preserve">Introduced in 1984, Medicare has three components: </w:t>
      </w:r>
    </w:p>
    <w:p w14:paraId="3B37C1AA" w14:textId="77777777" w:rsidR="009A602C" w:rsidRPr="001714A8" w:rsidRDefault="009A602C" w:rsidP="009A602C">
      <w:pPr>
        <w:pStyle w:val="Bullet-green"/>
      </w:pPr>
      <w:r w:rsidRPr="001714A8">
        <w:rPr>
          <w:rStyle w:val="Hyperlink0"/>
        </w:rPr>
        <w:t xml:space="preserve">Free public hospital services for public patients. </w:t>
      </w:r>
    </w:p>
    <w:p w14:paraId="650D6CB3" w14:textId="77777777" w:rsidR="009A602C" w:rsidRPr="001714A8" w:rsidRDefault="009A602C" w:rsidP="009A602C">
      <w:pPr>
        <w:pStyle w:val="Bullet-green"/>
      </w:pPr>
      <w:proofErr w:type="spellStart"/>
      <w:r w:rsidRPr="001714A8">
        <w:rPr>
          <w:rStyle w:val="Hyperlink0"/>
        </w:rPr>
        <w:t>Subsidised</w:t>
      </w:r>
      <w:proofErr w:type="spellEnd"/>
      <w:r w:rsidRPr="001714A8">
        <w:rPr>
          <w:rStyle w:val="Hyperlink0"/>
        </w:rPr>
        <w:t xml:space="preserve"> drugs covered by the Pharmaceutical Benefits Scheme (PBS). </w:t>
      </w:r>
    </w:p>
    <w:p w14:paraId="4F0FF5FA" w14:textId="77777777" w:rsidR="009A602C" w:rsidRPr="001714A8" w:rsidRDefault="009A602C" w:rsidP="009A602C">
      <w:pPr>
        <w:pStyle w:val="Bullet-green"/>
        <w:rPr>
          <w:b/>
          <w:bCs/>
        </w:rPr>
      </w:pPr>
      <w:r w:rsidRPr="001714A8">
        <w:rPr>
          <w:rStyle w:val="None"/>
        </w:rPr>
        <w:t>Subsidised health professional services listed on the MBS.</w:t>
      </w:r>
    </w:p>
    <w:p w14:paraId="325C67B0" w14:textId="77777777" w:rsidR="009A602C" w:rsidRPr="001714A8" w:rsidRDefault="009A602C" w:rsidP="009A602C">
      <w:pPr>
        <w:pStyle w:val="Heading2"/>
      </w:pPr>
      <w:bookmarkStart w:id="130" w:name="_Toc524100392"/>
      <w:bookmarkStart w:id="131" w:name="_Toc536548117"/>
      <w:bookmarkStart w:id="132" w:name="_Toc35347220"/>
      <w:r w:rsidRPr="001714A8">
        <w:rPr>
          <w:rStyle w:val="Hyperlink0"/>
        </w:rPr>
        <w:t>What is the MBS?</w:t>
      </w:r>
      <w:bookmarkEnd w:id="130"/>
      <w:bookmarkEnd w:id="131"/>
      <w:bookmarkEnd w:id="132"/>
      <w:r w:rsidRPr="001714A8">
        <w:rPr>
          <w:rStyle w:val="Hyperlink0"/>
        </w:rPr>
        <w:t xml:space="preserve"> </w:t>
      </w:r>
    </w:p>
    <w:p w14:paraId="1E02AC0C" w14:textId="7FD28FCF" w:rsidR="009A602C" w:rsidRPr="001714A8" w:rsidRDefault="009A602C" w:rsidP="009A602C">
      <w:pPr>
        <w:pStyle w:val="Body"/>
      </w:pPr>
      <w:r w:rsidRPr="001714A8">
        <w:t xml:space="preserve">The MBS is a listing of the health professional services subsidised by the Australian Government. There are </w:t>
      </w:r>
      <w:r w:rsidR="00E7682C">
        <w:t xml:space="preserve">more than </w:t>
      </w:r>
      <w:r w:rsidRPr="001714A8">
        <w:t xml:space="preserve">5,700 MBS items that provide benefits to patients for a comprehensive range of services, including consultations, diagnostic tests and operations. </w:t>
      </w:r>
    </w:p>
    <w:p w14:paraId="678F0B6B" w14:textId="77777777" w:rsidR="009A602C" w:rsidRPr="001714A8" w:rsidRDefault="009A602C" w:rsidP="009A602C">
      <w:pPr>
        <w:pStyle w:val="Heading2"/>
      </w:pPr>
      <w:bookmarkStart w:id="133" w:name="_Toc524100393"/>
      <w:bookmarkStart w:id="134" w:name="_Toc536548118"/>
      <w:bookmarkStart w:id="135" w:name="_Toc35347221"/>
      <w:r w:rsidRPr="001714A8">
        <w:rPr>
          <w:rStyle w:val="Hyperlink0"/>
        </w:rPr>
        <w:t>What is the MBS Review Taskforce?</w:t>
      </w:r>
      <w:bookmarkEnd w:id="133"/>
      <w:bookmarkEnd w:id="134"/>
      <w:bookmarkEnd w:id="135"/>
    </w:p>
    <w:p w14:paraId="75B5F783" w14:textId="7069FB39" w:rsidR="009A602C" w:rsidRPr="001714A8" w:rsidRDefault="009A602C" w:rsidP="009A602C">
      <w:pPr>
        <w:pStyle w:val="Body"/>
      </w:pPr>
      <w:r w:rsidRPr="001714A8">
        <w:t xml:space="preserve">The Government established </w:t>
      </w:r>
      <w:r>
        <w:t>the</w:t>
      </w:r>
      <w:r w:rsidRPr="001714A8">
        <w:t xml:space="preserve"> Taskforce as an advisory body to review all MBS items to ensure they are aligned with contemporary clinical evidence and practice and improve health outcomes for patients. The Taskforce </w:t>
      </w:r>
      <w:r w:rsidR="00E7682C">
        <w:t xml:space="preserve">is </w:t>
      </w:r>
      <w:r w:rsidRPr="001714A8">
        <w:t>also modernis</w:t>
      </w:r>
      <w:r w:rsidR="00E7682C">
        <w:t>ing</w:t>
      </w:r>
      <w:r w:rsidRPr="001714A8">
        <w:t xml:space="preserve"> the MBS by identifying any services that may be unnecessary, outdated or potentially unsafe. The MBS Review is clinician-led, and there are no targets for savings attached to the review. </w:t>
      </w:r>
    </w:p>
    <w:p w14:paraId="60E54F27" w14:textId="77777777" w:rsidR="009A602C" w:rsidRPr="001714A8" w:rsidRDefault="009A602C" w:rsidP="009A602C">
      <w:pPr>
        <w:pStyle w:val="Heading3"/>
        <w:rPr>
          <w:rStyle w:val="Hyperlink0"/>
        </w:rPr>
      </w:pPr>
      <w:bookmarkStart w:id="136" w:name="_Toc536548119"/>
      <w:bookmarkStart w:id="137" w:name="_Toc35347222"/>
      <w:r w:rsidRPr="001714A8">
        <w:rPr>
          <w:rStyle w:val="Hyperlink0"/>
        </w:rPr>
        <w:t>What are the goals of the Taskforce?</w:t>
      </w:r>
      <w:bookmarkEnd w:id="136"/>
      <w:bookmarkEnd w:id="137"/>
    </w:p>
    <w:p w14:paraId="581A8107" w14:textId="77777777" w:rsidR="009A602C" w:rsidRPr="001714A8" w:rsidRDefault="009A602C" w:rsidP="009A602C">
      <w:pPr>
        <w:pStyle w:val="Body"/>
        <w:rPr>
          <w:lang w:val="en-GB"/>
        </w:rPr>
      </w:pPr>
      <w:r w:rsidRPr="001714A8">
        <w:rPr>
          <w:lang w:val="en-GB"/>
        </w:rPr>
        <w:t xml:space="preserve">The Taskforce is committed to providing recommendations to the Minister that will allow the MBS to </w:t>
      </w:r>
      <w:r w:rsidRPr="005656B3">
        <w:t>deliver</w:t>
      </w:r>
      <w:r w:rsidRPr="001714A8">
        <w:rPr>
          <w:lang w:val="en-GB"/>
        </w:rPr>
        <w:t xml:space="preserve"> on each of these four goals:</w:t>
      </w:r>
    </w:p>
    <w:p w14:paraId="0BD4DF09" w14:textId="77777777" w:rsidR="009A602C" w:rsidRPr="001714A8" w:rsidRDefault="009A602C" w:rsidP="009A602C">
      <w:pPr>
        <w:pStyle w:val="Bullet-green"/>
      </w:pPr>
      <w:r w:rsidRPr="001714A8">
        <w:rPr>
          <w:rStyle w:val="None"/>
          <w:b/>
          <w:bCs/>
        </w:rPr>
        <w:lastRenderedPageBreak/>
        <w:t>Affordable and universal access</w:t>
      </w:r>
      <w:r w:rsidRPr="001714A8">
        <w:rPr>
          <w:rStyle w:val="Hyperlink0"/>
        </w:rPr>
        <w:t xml:space="preserve">—the evidence demonstrates that the MBS supports very good access to primary care services for most Australians, particularly in urban Australia. However, despite increases in the specialist workforce over the last decade, </w:t>
      </w:r>
      <w:r>
        <w:rPr>
          <w:rStyle w:val="Hyperlink0"/>
        </w:rPr>
        <w:t xml:space="preserve">the countervailing increase in part time practitioners and increasing patient needs have left </w:t>
      </w:r>
      <w:r w:rsidRPr="001714A8">
        <w:rPr>
          <w:rStyle w:val="Hyperlink0"/>
        </w:rPr>
        <w:t>access to many specialist services remain</w:t>
      </w:r>
      <w:r>
        <w:rPr>
          <w:rStyle w:val="Hyperlink0"/>
        </w:rPr>
        <w:t>ing</w:t>
      </w:r>
      <w:r w:rsidRPr="001714A8">
        <w:rPr>
          <w:rStyle w:val="Hyperlink0"/>
        </w:rPr>
        <w:t xml:space="preserve"> problematic, with some rural patients particularly under-serviced.</w:t>
      </w:r>
    </w:p>
    <w:p w14:paraId="007D088E" w14:textId="77777777" w:rsidR="009A602C" w:rsidRPr="001714A8" w:rsidRDefault="009A602C" w:rsidP="009A602C">
      <w:pPr>
        <w:pStyle w:val="Bullet-green"/>
      </w:pPr>
      <w:r w:rsidRPr="001714A8">
        <w:rPr>
          <w:rStyle w:val="None"/>
          <w:b/>
          <w:bCs/>
        </w:rPr>
        <w:t>Best-practice health services</w:t>
      </w:r>
      <w:r w:rsidRPr="001714A8">
        <w:rPr>
          <w:rStyle w:val="Hyperlink0"/>
        </w:rPr>
        <w:t xml:space="preserve">—one of the core objectives of the MBS Review is to </w:t>
      </w:r>
      <w:proofErr w:type="spellStart"/>
      <w:r w:rsidRPr="001714A8">
        <w:rPr>
          <w:rStyle w:val="Hyperlink0"/>
        </w:rPr>
        <w:t>modernise</w:t>
      </w:r>
      <w:proofErr w:type="spellEnd"/>
      <w:r w:rsidRPr="001714A8">
        <w:rPr>
          <w:rStyle w:val="Hyperlink0"/>
        </w:rPr>
        <w:t xml:space="preserve"> the MBS, ensuring that individual items and their descriptors are consistent with contemporary best practice and the evidence base when possible. Although the MSAC plays a crucial role in thoroughly evaluating new services, the vast majority of existing MBS items pre-date this process and have never been reviewed.</w:t>
      </w:r>
    </w:p>
    <w:p w14:paraId="57BDF079" w14:textId="77777777" w:rsidR="009A602C" w:rsidRPr="001714A8" w:rsidRDefault="009A602C" w:rsidP="009A602C">
      <w:pPr>
        <w:pStyle w:val="Bullet-green"/>
      </w:pPr>
      <w:r w:rsidRPr="001714A8">
        <w:rPr>
          <w:rStyle w:val="None"/>
          <w:b/>
          <w:bCs/>
        </w:rPr>
        <w:t>Value for the individual patient</w:t>
      </w:r>
      <w:r w:rsidRPr="001714A8">
        <w:rPr>
          <w:rStyle w:val="Hyperlink0"/>
        </w:rPr>
        <w:t>—another core objective of the</w:t>
      </w:r>
      <w:r>
        <w:rPr>
          <w:rStyle w:val="Hyperlink0"/>
        </w:rPr>
        <w:t xml:space="preserve"> r</w:t>
      </w:r>
      <w:r w:rsidRPr="001714A8">
        <w:rPr>
          <w:rStyle w:val="Hyperlink0"/>
        </w:rPr>
        <w:t>eview is to have an MBS that supports the delivery of services that are appropriate to the patient’s needs, provide real clinical value and do not expose the patient to unnecessary risk or expense.</w:t>
      </w:r>
    </w:p>
    <w:p w14:paraId="2CBF3756" w14:textId="77777777" w:rsidR="009A602C" w:rsidRPr="001714A8" w:rsidRDefault="009A602C" w:rsidP="009A602C">
      <w:pPr>
        <w:pStyle w:val="Bullet-green"/>
      </w:pPr>
      <w:r w:rsidRPr="001714A8">
        <w:rPr>
          <w:rStyle w:val="None"/>
          <w:b/>
          <w:bCs/>
        </w:rPr>
        <w:t>Value for the health system</w:t>
      </w:r>
      <w:r w:rsidRPr="001714A8">
        <w:rPr>
          <w:rStyle w:val="Hyperlink0"/>
        </w:rPr>
        <w:t>—achieving the above elements will go a long way towards achieving improved value for the health system overall. Reducing the volume of services that provide little or no clinical benefit will enable resources to be redirected to new and existing services that have proven benefits but are underused, particularly for patients who cannot readily access these services.</w:t>
      </w:r>
    </w:p>
    <w:p w14:paraId="3EBABA54" w14:textId="77777777" w:rsidR="009A602C" w:rsidRPr="001714A8" w:rsidRDefault="009A602C" w:rsidP="009A602C">
      <w:pPr>
        <w:pStyle w:val="Heading2"/>
      </w:pPr>
      <w:bookmarkStart w:id="138" w:name="_Ref462870354"/>
      <w:bookmarkStart w:id="139" w:name="_Toc524100394"/>
      <w:bookmarkStart w:id="140" w:name="_Toc536548120"/>
      <w:bookmarkStart w:id="141" w:name="_Toc35347223"/>
      <w:r w:rsidRPr="001714A8">
        <w:rPr>
          <w:rStyle w:val="Hyperlink0"/>
        </w:rPr>
        <w:t>The Taskforce’s approach</w:t>
      </w:r>
      <w:bookmarkEnd w:id="138"/>
      <w:bookmarkEnd w:id="139"/>
      <w:bookmarkEnd w:id="140"/>
      <w:bookmarkEnd w:id="141"/>
    </w:p>
    <w:p w14:paraId="1C8B0B6C" w14:textId="77777777" w:rsidR="009A602C" w:rsidRPr="001714A8" w:rsidRDefault="009A602C" w:rsidP="009A602C">
      <w:pPr>
        <w:pStyle w:val="Body"/>
        <w:rPr>
          <w:lang w:val="en-GB"/>
        </w:rPr>
      </w:pPr>
      <w:r w:rsidRPr="001714A8">
        <w:rPr>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1D41FF16" w14:textId="77777777" w:rsidR="009A602C" w:rsidRPr="001714A8" w:rsidRDefault="009A602C" w:rsidP="009A602C">
      <w:pPr>
        <w:pStyle w:val="Body"/>
        <w:rPr>
          <w:lang w:val="en-GB"/>
        </w:rPr>
      </w:pPr>
      <w:r w:rsidRPr="001714A8">
        <w:rPr>
          <w:lang w:val="en-GB"/>
        </w:rPr>
        <w:t xml:space="preserve">The Taskforce has made a conscious decision to be ambitious in its approach, and to seize this unique opportunity to recommend changes to modernise the MBS at all </w:t>
      </w:r>
      <w:r w:rsidRPr="001714A8">
        <w:rPr>
          <w:lang w:val="en-GB"/>
        </w:rPr>
        <w:lastRenderedPageBreak/>
        <w:t>levels, from the clinical detail of individual items, to administrative rules and mechanisms, to structural, whole-of-MBS issues. The Taskforce will also develop a mechanism for an ongoing review of the MBS once the current review has concluded.</w:t>
      </w:r>
    </w:p>
    <w:p w14:paraId="07E3A219" w14:textId="77777777" w:rsidR="009A602C" w:rsidRPr="001714A8" w:rsidRDefault="009A602C" w:rsidP="009A602C">
      <w:pPr>
        <w:pStyle w:val="Body"/>
        <w:rPr>
          <w:lang w:val="en-GB"/>
        </w:rPr>
      </w:pPr>
      <w:r w:rsidRPr="001714A8">
        <w:rPr>
          <w:lang w:val="en-GB"/>
        </w:rPr>
        <w:t xml:space="preserve">As the MBS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42CE47EA" w14:textId="77777777" w:rsidR="009A602C" w:rsidRPr="001714A8" w:rsidRDefault="009A602C" w:rsidP="009A602C">
      <w:pPr>
        <w:pStyle w:val="Body"/>
        <w:rPr>
          <w:lang w:val="en-GB"/>
        </w:rPr>
      </w:pPr>
      <w:r w:rsidRPr="001714A8">
        <w:rPr>
          <w:lang w:val="en-GB"/>
        </w:rPr>
        <w:t xml:space="preserve">The Taskforce asked the committees to review MBS items using a framework based on Professor Adam </w:t>
      </w:r>
      <w:proofErr w:type="spellStart"/>
      <w:r w:rsidRPr="001714A8">
        <w:rPr>
          <w:lang w:val="en-GB"/>
        </w:rPr>
        <w:t>Elshaug’s</w:t>
      </w:r>
      <w:proofErr w:type="spellEnd"/>
      <w:r w:rsidRPr="001714A8">
        <w:rPr>
          <w:lang w:val="en-GB"/>
        </w:rPr>
        <w:t xml:space="preserve"> appropriate use criteria</w:t>
      </w:r>
      <w:r>
        <w:rPr>
          <w:vertAlign w:val="superscript"/>
          <w:lang w:val="en-GB"/>
        </w:rPr>
        <w:t>5</w:t>
      </w:r>
      <w:r w:rsidRPr="001714A8">
        <w:rPr>
          <w:lang w:val="en-GB"/>
        </w:rPr>
        <w:t>. The framework consists of seven steps:</w:t>
      </w:r>
    </w:p>
    <w:p w14:paraId="7EA9A3A3"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 xml:space="preserve">Develop an initial fact base for all items under consideration, drawing on the relevant data and literature. </w:t>
      </w:r>
    </w:p>
    <w:p w14:paraId="4CF796EE" w14:textId="2CD7A648"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Identify items that are obsolete, are of questionable clinical value</w:t>
      </w:r>
      <w:r w:rsidR="00C45141">
        <w:rPr>
          <w:rStyle w:val="Hyperlink0"/>
          <w:sz w:val="24"/>
          <w:szCs w:val="24"/>
          <w:vertAlign w:val="superscript"/>
          <w:lang w:val="en-GB"/>
        </w:rPr>
        <w:t>6</w:t>
      </w:r>
      <w:r w:rsidRPr="005656B3">
        <w:rPr>
          <w:rStyle w:val="Hyperlink0"/>
          <w:sz w:val="24"/>
          <w:szCs w:val="24"/>
          <w:lang w:val="en-GB"/>
        </w:rPr>
        <w:t>, are misused</w:t>
      </w:r>
      <w:r>
        <w:rPr>
          <w:rStyle w:val="Hyperlink0"/>
          <w:sz w:val="24"/>
          <w:szCs w:val="24"/>
          <w:vertAlign w:val="superscript"/>
          <w:lang w:val="en-GB"/>
        </w:rPr>
        <w:t>7</w:t>
      </w:r>
      <w:r w:rsidRPr="005656B3">
        <w:rPr>
          <w:rStyle w:val="Hyperlink0"/>
          <w:sz w:val="24"/>
          <w:szCs w:val="24"/>
          <w:lang w:val="en-GB"/>
        </w:rPr>
        <w:t xml:space="preserve"> and/or pose a risk to patient safety. This step includes prioritising items as “priority 1”, “priority 2” or “priority 3”, using a prioritisation methodology (described in more detail below).</w:t>
      </w:r>
    </w:p>
    <w:p w14:paraId="516605E5"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Identify any issues, develop hypotheses for recommendations and create a work plan to arrive at recommendations for each item.</w:t>
      </w:r>
    </w:p>
    <w:p w14:paraId="51FD0F70"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Gather further data, clinical guidelines and relevant literature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74460F14"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Review the provisional recommendations and the accompanying rationales, and gather further evidence as required.</w:t>
      </w:r>
    </w:p>
    <w:p w14:paraId="3EBD78D6"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lastRenderedPageBreak/>
        <w:t>Finalise the recommendations in preparation for broader stakeholder consultation.</w:t>
      </w:r>
    </w:p>
    <w:p w14:paraId="05D18C47" w14:textId="77777777" w:rsidR="009A602C" w:rsidRPr="005656B3" w:rsidRDefault="009A602C" w:rsidP="009A602C">
      <w:pPr>
        <w:pStyle w:val="01squarebullet"/>
        <w:numPr>
          <w:ilvl w:val="0"/>
          <w:numId w:val="132"/>
        </w:numPr>
        <w:spacing w:line="360" w:lineRule="auto"/>
        <w:ind w:left="357" w:hanging="357"/>
        <w:rPr>
          <w:sz w:val="24"/>
          <w:szCs w:val="24"/>
          <w:lang w:val="en-GB"/>
        </w:rPr>
      </w:pPr>
      <w:r w:rsidRPr="005656B3">
        <w:rPr>
          <w:rStyle w:val="Hyperlink0"/>
          <w:sz w:val="24"/>
          <w:szCs w:val="24"/>
          <w:lang w:val="en-GB"/>
        </w:rPr>
        <w:t xml:space="preserve">Incorporate feedback gathered during stakeholder consultation and finalise the review report, which provides recommendations for the Taskforce. </w:t>
      </w:r>
    </w:p>
    <w:p w14:paraId="52FF2DCC" w14:textId="77777777" w:rsidR="009A602C" w:rsidRPr="001714A8" w:rsidRDefault="009A602C" w:rsidP="009A602C">
      <w:pPr>
        <w:pStyle w:val="Body"/>
        <w:rPr>
          <w:lang w:val="en-GB"/>
        </w:rPr>
      </w:pPr>
      <w:r w:rsidRPr="001714A8">
        <w:rPr>
          <w:lang w:val="en-GB"/>
        </w:rPr>
        <w:t xml:space="preserve">All MBS items will be reviewed </w:t>
      </w:r>
      <w:proofErr w:type="gramStart"/>
      <w:r w:rsidRPr="001714A8">
        <w:rPr>
          <w:lang w:val="en-GB"/>
        </w:rPr>
        <w:t>during the course of</w:t>
      </w:r>
      <w:proofErr w:type="gramEnd"/>
      <w:r w:rsidRPr="001714A8">
        <w:rPr>
          <w:lang w:val="en-GB"/>
        </w:rPr>
        <w:t xml:space="preserve"> the MBS Review. However, given the breadth of the review, and its timeframe, each clinical committee </w:t>
      </w:r>
      <w:proofErr w:type="gramStart"/>
      <w:r w:rsidRPr="001714A8">
        <w:rPr>
          <w:lang w:val="en-GB"/>
        </w:rPr>
        <w:t>has to</w:t>
      </w:r>
      <w:proofErr w:type="gramEnd"/>
      <w:r w:rsidRPr="001714A8">
        <w:rPr>
          <w:lang w:val="en-GB"/>
        </w:rPr>
        <w:t xml:space="preserve"> develop a work plan and assign priorities, keeping in mind the objectives of the review. Committees use a robust prioritisation methodology to focus their attention and resources on the most important items requiring review. This is determined based on a combination of two standard metrics, derived from the appropriate use criteria:</w:t>
      </w:r>
    </w:p>
    <w:p w14:paraId="228CD92E" w14:textId="77777777" w:rsidR="009A602C" w:rsidRPr="001714A8" w:rsidRDefault="009A602C" w:rsidP="009A602C">
      <w:pPr>
        <w:pStyle w:val="Bullet-green"/>
      </w:pPr>
      <w:r w:rsidRPr="001714A8">
        <w:rPr>
          <w:rStyle w:val="Hyperlink0"/>
        </w:rPr>
        <w:t>Service volume.</w:t>
      </w:r>
    </w:p>
    <w:p w14:paraId="10748D09" w14:textId="77777777" w:rsidR="009A602C" w:rsidRPr="001714A8" w:rsidRDefault="009A602C" w:rsidP="009A602C">
      <w:pPr>
        <w:pStyle w:val="Bullet-green"/>
      </w:pPr>
      <w:r w:rsidRPr="001714A8">
        <w:rPr>
          <w:rStyle w:val="Hyperlink0"/>
        </w:rPr>
        <w:t xml:space="preserve">The likelihood that the item needs to be revised, determined by indicators such as identified safety concerns, geographic or temporal variation, delivery irregularity, the potential misuse of indications or other concerns raised by the </w:t>
      </w:r>
      <w:r>
        <w:rPr>
          <w:rStyle w:val="Hyperlink0"/>
        </w:rPr>
        <w:t>c</w:t>
      </w:r>
      <w:r w:rsidRPr="001714A8">
        <w:rPr>
          <w:rStyle w:val="Hyperlink0"/>
        </w:rPr>
        <w:t xml:space="preserve">linical </w:t>
      </w:r>
      <w:r>
        <w:rPr>
          <w:rStyle w:val="Hyperlink0"/>
        </w:rPr>
        <w:t>c</w:t>
      </w:r>
      <w:r w:rsidRPr="001714A8">
        <w:rPr>
          <w:rStyle w:val="Hyperlink0"/>
        </w:rPr>
        <w:t>ommittee (such as inappropriate co-claiming).</w:t>
      </w:r>
    </w:p>
    <w:p w14:paraId="62534525" w14:textId="2A5ABB00" w:rsidR="009A602C" w:rsidRPr="00C656B4" w:rsidRDefault="009A602C" w:rsidP="009A602C">
      <w:pPr>
        <w:pStyle w:val="Caption"/>
      </w:pPr>
      <w:bookmarkStart w:id="142" w:name="_Toc2170548"/>
      <w:r w:rsidRPr="00C656B4">
        <w:t xml:space="preserve">Figure </w:t>
      </w:r>
      <w:r>
        <w:fldChar w:fldCharType="begin"/>
      </w:r>
      <w:r>
        <w:instrText xml:space="preserve"> SEQ Figure \* ARABIC </w:instrText>
      </w:r>
      <w:r>
        <w:fldChar w:fldCharType="separate"/>
      </w:r>
      <w:r w:rsidR="001C6959">
        <w:rPr>
          <w:noProof/>
        </w:rPr>
        <w:t>1</w:t>
      </w:r>
      <w:r>
        <w:fldChar w:fldCharType="end"/>
      </w:r>
      <w:r w:rsidRPr="00C656B4">
        <w:t xml:space="preserve">: </w:t>
      </w:r>
      <w:proofErr w:type="spellStart"/>
      <w:r w:rsidRPr="003013A8">
        <w:t>Prioritisation</w:t>
      </w:r>
      <w:proofErr w:type="spellEnd"/>
      <w:r w:rsidRPr="00C656B4">
        <w:t xml:space="preserve"> matrix</w:t>
      </w:r>
      <w:bookmarkEnd w:id="142"/>
    </w:p>
    <w:p w14:paraId="2F908318" w14:textId="77777777" w:rsidR="009A602C" w:rsidRPr="001714A8" w:rsidRDefault="009A602C" w:rsidP="009A602C">
      <w:pPr>
        <w:pStyle w:val="Body"/>
        <w:jc w:val="center"/>
        <w:rPr>
          <w:lang w:val="en-GB"/>
        </w:rPr>
      </w:pPr>
      <w:r w:rsidRPr="001714A8">
        <w:rPr>
          <w:noProof/>
        </w:rPr>
        <w:drawing>
          <wp:inline distT="0" distB="0" distL="0" distR="0" wp14:anchorId="100ECCE2" wp14:editId="22D6B705">
            <wp:extent cx="4476750" cy="3219450"/>
            <wp:effectExtent l="0" t="0" r="0" b="0"/>
            <wp:docPr id="1073741831" name="officeArt object"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 xmlns:a="http://schemas.openxmlformats.org/drawingml/2006/main">
              <a:graphicData uri="http://schemas.openxmlformats.org/drawingml/2006/picture">
                <pic:pic xmlns:pic="http://schemas.openxmlformats.org/drawingml/2006/picture">
                  <pic:nvPicPr>
                    <pic:cNvPr id="1073741831" name="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Magnitude low, likelihood low = priority lowMagnitude medium, likelihood low = priority lowMagnitude high, likelihood low = priority mediumMagnitude low, likelihood medium = priority lowMagnitude medium, likelihood medium  = priority mediumMagnitude high, likelihood medium = priority highMagnitude low, likelihood high  = priority mediumMagnitude medium, likelihood high = priority highMagnitude high, likelihood high = priority high"/>
                    <pic:cNvPicPr>
                      <a:picLocks noChangeAspect="1"/>
                    </pic:cNvPicPr>
                  </pic:nvPicPr>
                  <pic:blipFill>
                    <a:blip r:embed="rId11"/>
                    <a:srcRect b="3977"/>
                    <a:stretch>
                      <a:fillRect/>
                    </a:stretch>
                  </pic:blipFill>
                  <pic:spPr>
                    <a:xfrm>
                      <a:off x="0" y="0"/>
                      <a:ext cx="4476750" cy="3219450"/>
                    </a:xfrm>
                    <a:prstGeom prst="rect">
                      <a:avLst/>
                    </a:prstGeom>
                    <a:ln w="12700" cap="flat">
                      <a:noFill/>
                      <a:miter lim="400000"/>
                    </a:ln>
                    <a:effectLst/>
                  </pic:spPr>
                </pic:pic>
              </a:graphicData>
            </a:graphic>
          </wp:inline>
        </w:drawing>
      </w:r>
    </w:p>
    <w:p w14:paraId="560203B6" w14:textId="77777777" w:rsidR="009A602C" w:rsidRPr="001714A8" w:rsidRDefault="009A602C" w:rsidP="009A602C">
      <w:pPr>
        <w:pStyle w:val="Body"/>
        <w:rPr>
          <w:lang w:val="en-GB"/>
        </w:rPr>
      </w:pPr>
      <w:r w:rsidRPr="001714A8">
        <w:rPr>
          <w:lang w:val="en-GB"/>
        </w:rPr>
        <w:t xml:space="preserve">For each item, these two metrics were ranked high, medium or low. These rankings were then combined to </w:t>
      </w:r>
      <w:r w:rsidRPr="00C656B4">
        <w:t>generate</w:t>
      </w:r>
      <w:r w:rsidRPr="001714A8">
        <w:rPr>
          <w:lang w:val="en-GB"/>
        </w:rPr>
        <w:t xml:space="preserve"> a priority ranking ranging from one to three (where </w:t>
      </w:r>
      <w:r w:rsidRPr="001714A8">
        <w:rPr>
          <w:lang w:val="en-GB"/>
        </w:rPr>
        <w:lastRenderedPageBreak/>
        <w:t>priority 1 items are the highest priority</w:t>
      </w:r>
      <w:r>
        <w:rPr>
          <w:lang w:val="en-GB"/>
        </w:rPr>
        <w:t xml:space="preserve"> for review</w:t>
      </w:r>
      <w:r w:rsidRPr="001714A8">
        <w:rPr>
          <w:lang w:val="en-GB"/>
        </w:rPr>
        <w:t xml:space="preserve"> and priority 3 items are the lowest priority), using a prioritisation matrix (Figure 1). Clinical committees use this priority ranking to organise their review of item numbers and apportion the amount of time spent on each item.</w:t>
      </w:r>
    </w:p>
    <w:p w14:paraId="26554EB6" w14:textId="77777777" w:rsidR="009A602C" w:rsidRPr="00F1034D" w:rsidRDefault="009A602C" w:rsidP="009A602C">
      <w:pPr>
        <w:pStyle w:val="Heading1"/>
        <w:rPr>
          <w:color w:val="01653F"/>
        </w:rPr>
      </w:pPr>
      <w:bookmarkStart w:id="143" w:name="_Toc524100395"/>
      <w:bookmarkStart w:id="144" w:name="_Toc35347224"/>
      <w:r w:rsidRPr="00F1034D">
        <w:rPr>
          <w:rStyle w:val="Hyperlink0"/>
          <w:color w:val="01653F"/>
        </w:rPr>
        <w:lastRenderedPageBreak/>
        <w:t>About the Ophthalmology Clinical Committee</w:t>
      </w:r>
      <w:bookmarkEnd w:id="143"/>
      <w:bookmarkEnd w:id="144"/>
    </w:p>
    <w:p w14:paraId="31B95DAE" w14:textId="77777777" w:rsidR="009A602C" w:rsidRPr="001714A8" w:rsidRDefault="009A602C" w:rsidP="009A602C">
      <w:pPr>
        <w:pStyle w:val="Body"/>
      </w:pPr>
      <w:r w:rsidRPr="001714A8">
        <w:t xml:space="preserve">The Committee was established in June 2018 to make recommendations to the Taskforce on MBS items within its remit, based on rapid evidence review and clinical expertise. The Taskforce asked the Committee to review ophthalmic-related MBS items. </w:t>
      </w:r>
    </w:p>
    <w:p w14:paraId="2F4BB394" w14:textId="77777777" w:rsidR="009A602C" w:rsidRPr="001714A8" w:rsidRDefault="009A602C" w:rsidP="009A602C">
      <w:pPr>
        <w:pStyle w:val="Heading2"/>
      </w:pPr>
      <w:bookmarkStart w:id="145" w:name="_Ref462871865"/>
      <w:bookmarkStart w:id="146" w:name="_Toc524100396"/>
      <w:bookmarkStart w:id="147" w:name="_Toc536548122"/>
      <w:bookmarkStart w:id="148" w:name="_Toc35347225"/>
      <w:r w:rsidRPr="001714A8">
        <w:rPr>
          <w:rStyle w:val="Hyperlink0"/>
        </w:rPr>
        <w:t>Ophthalmology Clinical Committee members</w:t>
      </w:r>
      <w:bookmarkEnd w:id="145"/>
      <w:bookmarkEnd w:id="146"/>
      <w:bookmarkEnd w:id="147"/>
      <w:bookmarkEnd w:id="148"/>
    </w:p>
    <w:p w14:paraId="063506AB" w14:textId="77777777" w:rsidR="009A602C" w:rsidRPr="001714A8" w:rsidRDefault="009A602C" w:rsidP="009A602C">
      <w:pPr>
        <w:pStyle w:val="Body"/>
      </w:pPr>
      <w:r w:rsidRPr="001714A8">
        <w:t xml:space="preserve">The Committee consists of 15 members, whose names, positions/organisations and declared conflicts of interest are listed in Table 1. </w:t>
      </w:r>
    </w:p>
    <w:p w14:paraId="3B4D6FB1" w14:textId="59A61E24" w:rsidR="009A602C" w:rsidRPr="00C656B4" w:rsidRDefault="009A602C" w:rsidP="009A602C">
      <w:pPr>
        <w:pStyle w:val="Caption"/>
        <w:rPr>
          <w:lang w:val="en-US"/>
        </w:rPr>
      </w:pPr>
      <w:bookmarkStart w:id="149" w:name="_Toc2170539"/>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1</w:t>
      </w:r>
      <w:r>
        <w:fldChar w:fldCharType="end"/>
      </w:r>
      <w:r w:rsidRPr="00C656B4">
        <w:rPr>
          <w:lang w:val="en-US"/>
        </w:rPr>
        <w:t> : Ophthalmology Clinical Committee members</w:t>
      </w:r>
      <w:bookmarkEnd w:id="14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 : Ophthalmology Clinical Committee members"/>
        <w:tblDescription w:val="Table 1 consists of 3 columns.  Column 1 lists Committee members, column 2 lists Position and Organisation name and Column 3 lists Declared conflict of interest."/>
      </w:tblPr>
      <w:tblGrid>
        <w:gridCol w:w="1736"/>
        <w:gridCol w:w="4213"/>
        <w:gridCol w:w="2353"/>
      </w:tblGrid>
      <w:tr w:rsidR="009A602C" w:rsidRPr="001F1A87" w14:paraId="61369A6B" w14:textId="77777777" w:rsidTr="004102C8">
        <w:trPr>
          <w:tblHeader/>
        </w:trPr>
        <w:tc>
          <w:tcPr>
            <w:tcW w:w="1736" w:type="dxa"/>
            <w:shd w:val="clear" w:color="auto" w:fill="01653F"/>
            <w:vAlign w:val="bottom"/>
          </w:tcPr>
          <w:p w14:paraId="24C29B2A" w14:textId="77777777" w:rsidR="009A602C" w:rsidRPr="00315286" w:rsidRDefault="009A602C" w:rsidP="004102C8">
            <w:pPr>
              <w:pStyle w:val="Body"/>
              <w:widowControl w:val="0"/>
              <w:spacing w:before="20" w:after="20" w:line="240" w:lineRule="auto"/>
              <w:rPr>
                <w:rFonts w:asciiTheme="minorHAnsi" w:hAnsiTheme="minorHAnsi" w:cstheme="minorHAnsi"/>
                <w:b/>
                <w:color w:val="FFFFFF" w:themeColor="background1"/>
                <w:sz w:val="20"/>
                <w:lang w:val="en-GB"/>
              </w:rPr>
            </w:pPr>
            <w:r w:rsidRPr="00315286">
              <w:rPr>
                <w:rStyle w:val="None"/>
                <w:rFonts w:asciiTheme="minorHAnsi" w:hAnsiTheme="minorHAnsi" w:cstheme="minorHAnsi"/>
                <w:b/>
                <w:bCs/>
                <w:color w:val="FFFFFF" w:themeColor="background1"/>
                <w:sz w:val="20"/>
                <w:lang w:val="en-GB"/>
              </w:rPr>
              <w:t>Name</w:t>
            </w:r>
          </w:p>
        </w:tc>
        <w:tc>
          <w:tcPr>
            <w:tcW w:w="4213" w:type="dxa"/>
            <w:shd w:val="clear" w:color="auto" w:fill="01653F"/>
            <w:vAlign w:val="bottom"/>
          </w:tcPr>
          <w:p w14:paraId="58C76722" w14:textId="77777777" w:rsidR="009A602C" w:rsidRPr="00315286" w:rsidRDefault="009A602C" w:rsidP="004102C8">
            <w:pPr>
              <w:pStyle w:val="Body"/>
              <w:widowControl w:val="0"/>
              <w:spacing w:before="20" w:after="20" w:line="240" w:lineRule="auto"/>
              <w:rPr>
                <w:rFonts w:asciiTheme="minorHAnsi" w:hAnsiTheme="minorHAnsi" w:cstheme="minorHAnsi"/>
                <w:b/>
                <w:color w:val="FFFFFF" w:themeColor="background1"/>
                <w:sz w:val="20"/>
                <w:lang w:val="en-GB"/>
              </w:rPr>
            </w:pPr>
            <w:r w:rsidRPr="00315286">
              <w:rPr>
                <w:rStyle w:val="None"/>
                <w:rFonts w:asciiTheme="minorHAnsi" w:hAnsiTheme="minorHAnsi" w:cstheme="minorHAnsi"/>
                <w:b/>
                <w:bCs/>
                <w:color w:val="FFFFFF" w:themeColor="background1"/>
                <w:sz w:val="20"/>
                <w:lang w:val="en-GB"/>
              </w:rPr>
              <w:t>Position/organisation</w:t>
            </w:r>
          </w:p>
        </w:tc>
        <w:tc>
          <w:tcPr>
            <w:tcW w:w="2353" w:type="dxa"/>
            <w:shd w:val="clear" w:color="auto" w:fill="01653F"/>
            <w:vAlign w:val="bottom"/>
          </w:tcPr>
          <w:p w14:paraId="74CC6B20" w14:textId="77777777" w:rsidR="009A602C" w:rsidRPr="00315286" w:rsidRDefault="009A602C" w:rsidP="004102C8">
            <w:pPr>
              <w:pStyle w:val="Body"/>
              <w:widowControl w:val="0"/>
              <w:spacing w:before="20" w:after="20" w:line="240" w:lineRule="auto"/>
              <w:rPr>
                <w:rFonts w:asciiTheme="minorHAnsi" w:hAnsiTheme="minorHAnsi" w:cstheme="minorHAnsi"/>
                <w:b/>
                <w:color w:val="FFFFFF" w:themeColor="background1"/>
                <w:sz w:val="20"/>
                <w:lang w:val="en-GB"/>
              </w:rPr>
            </w:pPr>
            <w:r w:rsidRPr="00315286">
              <w:rPr>
                <w:rStyle w:val="None"/>
                <w:rFonts w:asciiTheme="minorHAnsi" w:hAnsiTheme="minorHAnsi" w:cstheme="minorHAnsi"/>
                <w:b/>
                <w:bCs/>
                <w:color w:val="FFFFFF" w:themeColor="background1"/>
                <w:sz w:val="20"/>
                <w:lang w:val="en-GB"/>
              </w:rPr>
              <w:t>Declared conflict of interest</w:t>
            </w:r>
          </w:p>
        </w:tc>
      </w:tr>
      <w:tr w:rsidR="009A602C" w:rsidRPr="001F1A87" w14:paraId="7598D3F7" w14:textId="77777777" w:rsidTr="004102C8">
        <w:tc>
          <w:tcPr>
            <w:tcW w:w="1736" w:type="dxa"/>
            <w:shd w:val="clear" w:color="auto" w:fill="auto"/>
          </w:tcPr>
          <w:p w14:paraId="06CED503"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Dr Bradley Horsburgh (Chair)</w:t>
            </w:r>
          </w:p>
        </w:tc>
        <w:tc>
          <w:tcPr>
            <w:tcW w:w="4213" w:type="dxa"/>
            <w:shd w:val="clear" w:color="auto" w:fill="auto"/>
          </w:tcPr>
          <w:p w14:paraId="47CE9B46"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Ophthalmologist, Royal Brisbane Hospital; Immediate Past President, Royal Australian and New Zealand College of Ophthalmologists</w:t>
            </w:r>
          </w:p>
        </w:tc>
        <w:tc>
          <w:tcPr>
            <w:tcW w:w="2353" w:type="dxa"/>
            <w:shd w:val="clear" w:color="auto" w:fill="auto"/>
          </w:tcPr>
          <w:p w14:paraId="5C279555"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Claim</w:t>
            </w: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 xml:space="preserve"> in-scope MBS items</w:t>
            </w:r>
          </w:p>
        </w:tc>
      </w:tr>
      <w:tr w:rsidR="009A602C" w:rsidRPr="001F1A87" w14:paraId="5810FEFF" w14:textId="77777777" w:rsidTr="004102C8">
        <w:tc>
          <w:tcPr>
            <w:tcW w:w="1736" w:type="dxa"/>
            <w:shd w:val="clear" w:color="auto" w:fill="auto"/>
          </w:tcPr>
          <w:p w14:paraId="03088EC4"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 xml:space="preserve">Assoc. Prof. Alex </w:t>
            </w:r>
            <w:proofErr w:type="spellStart"/>
            <w:r w:rsidRPr="00315286">
              <w:rPr>
                <w:rStyle w:val="None"/>
                <w:rFonts w:asciiTheme="minorHAnsi" w:hAnsiTheme="minorHAnsi" w:cstheme="minorHAnsi"/>
                <w:sz w:val="20"/>
                <w:lang w:val="en-GB"/>
              </w:rPr>
              <w:t>Hunyor</w:t>
            </w:r>
            <w:proofErr w:type="spellEnd"/>
          </w:p>
        </w:tc>
        <w:tc>
          <w:tcPr>
            <w:tcW w:w="4213" w:type="dxa"/>
            <w:shd w:val="clear" w:color="auto" w:fill="auto"/>
          </w:tcPr>
          <w:p w14:paraId="7A599532"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Pr>
                <w:rStyle w:val="None"/>
                <w:rFonts w:asciiTheme="minorHAnsi" w:hAnsiTheme="minorHAnsi" w:cstheme="minorHAnsi"/>
                <w:sz w:val="20"/>
                <w:lang w:val="en-GB"/>
              </w:rPr>
              <w:t xml:space="preserve">Ophthalmologist - </w:t>
            </w:r>
            <w:r w:rsidRPr="00315286">
              <w:rPr>
                <w:rStyle w:val="None"/>
                <w:rFonts w:asciiTheme="minorHAnsi" w:hAnsiTheme="minorHAnsi" w:cstheme="minorHAnsi"/>
                <w:sz w:val="20"/>
                <w:lang w:val="en-GB"/>
              </w:rPr>
              <w:t>Vitreoretinal/Macular Specialist</w:t>
            </w:r>
            <w:r w:rsidRPr="001F1A87">
              <w:rPr>
                <w:rStyle w:val="None"/>
                <w:rFonts w:asciiTheme="minorHAnsi" w:hAnsiTheme="minorHAnsi" w:cstheme="minorHAnsi"/>
                <w:sz w:val="20"/>
                <w:lang w:val="en-GB"/>
              </w:rPr>
              <w:t>;</w:t>
            </w:r>
            <w:r w:rsidRPr="00315286">
              <w:rPr>
                <w:rStyle w:val="None"/>
                <w:rFonts w:asciiTheme="minorHAnsi" w:hAnsiTheme="minorHAnsi" w:cstheme="minorHAnsi"/>
                <w:sz w:val="20"/>
                <w:lang w:val="en-GB"/>
              </w:rPr>
              <w:t xml:space="preserve"> Visiting Medical Officer, Vitreoretinal Unit, Sydney Eye Hospital</w:t>
            </w:r>
            <w:r w:rsidRPr="001F1A87">
              <w:rPr>
                <w:rStyle w:val="None"/>
                <w:rFonts w:asciiTheme="minorHAnsi" w:hAnsiTheme="minorHAnsi" w:cstheme="minorHAnsi"/>
                <w:sz w:val="20"/>
                <w:lang w:val="en-GB"/>
              </w:rPr>
              <w:t xml:space="preserve">; </w:t>
            </w:r>
            <w:r w:rsidRPr="00315286">
              <w:rPr>
                <w:rStyle w:val="None"/>
                <w:rFonts w:asciiTheme="minorHAnsi" w:hAnsiTheme="minorHAnsi" w:cstheme="minorHAnsi"/>
                <w:sz w:val="20"/>
                <w:lang w:val="en-GB"/>
              </w:rPr>
              <w:t>Clinical Associate Professor, University of Sydney</w:t>
            </w:r>
            <w:r>
              <w:rPr>
                <w:rStyle w:val="None"/>
                <w:rFonts w:asciiTheme="minorHAnsi" w:hAnsiTheme="minorHAnsi" w:cstheme="minorHAnsi"/>
                <w:sz w:val="20"/>
                <w:lang w:val="en-GB"/>
              </w:rPr>
              <w:t>; Director, Retina Associates</w:t>
            </w:r>
          </w:p>
        </w:tc>
        <w:tc>
          <w:tcPr>
            <w:tcW w:w="2353" w:type="dxa"/>
            <w:shd w:val="clear" w:color="auto" w:fill="auto"/>
          </w:tcPr>
          <w:p w14:paraId="59BD8E82"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Claim</w:t>
            </w: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 xml:space="preserve"> in-scope MBS items; Chair of Medical Committee, Macular Disease Foundation Australia; Board member of the Australian Society of Ophthalmologists</w:t>
            </w:r>
          </w:p>
        </w:tc>
      </w:tr>
      <w:tr w:rsidR="009A602C" w:rsidRPr="001F1A87" w14:paraId="3A77D6BB" w14:textId="77777777" w:rsidTr="004102C8">
        <w:tc>
          <w:tcPr>
            <w:tcW w:w="1736" w:type="dxa"/>
            <w:shd w:val="clear" w:color="auto" w:fill="auto"/>
          </w:tcPr>
          <w:p w14:paraId="1F135A73"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Assoc. Prof. Angus Turner</w:t>
            </w:r>
          </w:p>
        </w:tc>
        <w:tc>
          <w:tcPr>
            <w:tcW w:w="4213" w:type="dxa"/>
            <w:shd w:val="clear" w:color="auto" w:fill="auto"/>
          </w:tcPr>
          <w:p w14:paraId="4481B123"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Ophthalmologist, Director of Lions Outback Vision; Policy Committee Member, Vision 2020; Co-Chair, Eye Health Advisory Committee, W</w:t>
            </w:r>
            <w:r w:rsidRPr="001F1A87">
              <w:rPr>
                <w:rStyle w:val="None"/>
                <w:rFonts w:asciiTheme="minorHAnsi" w:hAnsiTheme="minorHAnsi" w:cstheme="minorHAnsi"/>
                <w:sz w:val="20"/>
                <w:lang w:val="en-GB"/>
              </w:rPr>
              <w:t xml:space="preserve">estern </w:t>
            </w:r>
            <w:r w:rsidRPr="00315286">
              <w:rPr>
                <w:rStyle w:val="None"/>
                <w:rFonts w:asciiTheme="minorHAnsi" w:hAnsiTheme="minorHAnsi" w:cstheme="minorHAnsi"/>
                <w:sz w:val="20"/>
                <w:lang w:val="en-GB"/>
              </w:rPr>
              <w:t>A</w:t>
            </w:r>
            <w:r w:rsidRPr="001F1A87">
              <w:rPr>
                <w:rStyle w:val="None"/>
                <w:rFonts w:asciiTheme="minorHAnsi" w:hAnsiTheme="minorHAnsi" w:cstheme="minorHAnsi"/>
                <w:sz w:val="20"/>
                <w:lang w:val="en-GB"/>
              </w:rPr>
              <w:t>ustralia</w:t>
            </w:r>
            <w:r w:rsidRPr="00315286">
              <w:rPr>
                <w:rStyle w:val="None"/>
                <w:rFonts w:asciiTheme="minorHAnsi" w:hAnsiTheme="minorHAnsi" w:cstheme="minorHAnsi"/>
                <w:sz w:val="20"/>
                <w:lang w:val="en-GB"/>
              </w:rPr>
              <w:t xml:space="preserve"> Department of Health; Co-Chair, Indigenous Eye Health Committee, Royal Australian and New Zealand College of Ophthalmologists</w:t>
            </w:r>
          </w:p>
        </w:tc>
        <w:tc>
          <w:tcPr>
            <w:tcW w:w="2353" w:type="dxa"/>
            <w:shd w:val="clear" w:color="auto" w:fill="auto"/>
          </w:tcPr>
          <w:p w14:paraId="3E7570DE"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Claim</w:t>
            </w: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 xml:space="preserve"> in-scope MBS items</w:t>
            </w:r>
          </w:p>
        </w:tc>
      </w:tr>
      <w:tr w:rsidR="009A602C" w:rsidRPr="001F1A87" w14:paraId="2F74B857" w14:textId="77777777" w:rsidTr="004102C8">
        <w:tc>
          <w:tcPr>
            <w:tcW w:w="1736" w:type="dxa"/>
            <w:shd w:val="clear" w:color="auto" w:fill="auto"/>
          </w:tcPr>
          <w:p w14:paraId="227594DC"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Prof. Stephanie Watson</w:t>
            </w:r>
          </w:p>
        </w:tc>
        <w:tc>
          <w:tcPr>
            <w:tcW w:w="4213" w:type="dxa"/>
            <w:shd w:val="clear" w:color="auto" w:fill="auto"/>
          </w:tcPr>
          <w:p w14:paraId="13DC75FF"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 xml:space="preserve">Ophthalmologist – Cataract, Cornea and Laser Surgeon; Professor, Save Sight Institute, University of Sydney; Chair, Ophthalmic Research Institute of Australia; </w:t>
            </w:r>
            <w:r w:rsidRPr="001F1A87">
              <w:rPr>
                <w:rStyle w:val="None"/>
                <w:rFonts w:asciiTheme="minorHAnsi" w:hAnsiTheme="minorHAnsi" w:cstheme="minorHAnsi"/>
                <w:sz w:val="20"/>
                <w:lang w:val="en-GB"/>
              </w:rPr>
              <w:t>member,</w:t>
            </w:r>
            <w:r w:rsidRPr="00315286">
              <w:rPr>
                <w:rStyle w:val="None"/>
                <w:rFonts w:asciiTheme="minorHAnsi" w:hAnsiTheme="minorHAnsi" w:cstheme="minorHAnsi"/>
                <w:sz w:val="20"/>
                <w:lang w:val="en-GB"/>
              </w:rPr>
              <w:t xml:space="preserve"> Australian and New Zealand Corneal Society</w:t>
            </w:r>
          </w:p>
        </w:tc>
        <w:tc>
          <w:tcPr>
            <w:tcW w:w="2353" w:type="dxa"/>
            <w:shd w:val="clear" w:color="auto" w:fill="auto"/>
          </w:tcPr>
          <w:p w14:paraId="0BA76259"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Claim</w:t>
            </w: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 xml:space="preserve"> in-scope MBS items; State representative for New South Wales Corneal Society; interest in a day surgery</w:t>
            </w:r>
          </w:p>
        </w:tc>
      </w:tr>
      <w:tr w:rsidR="009A602C" w:rsidRPr="001F1A87" w14:paraId="2DFCD6F3" w14:textId="77777777" w:rsidTr="004102C8">
        <w:tc>
          <w:tcPr>
            <w:tcW w:w="1736" w:type="dxa"/>
            <w:shd w:val="clear" w:color="auto" w:fill="auto"/>
          </w:tcPr>
          <w:p w14:paraId="2BD0AA70"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Assoc. Prof. Paul Healey</w:t>
            </w:r>
          </w:p>
        </w:tc>
        <w:tc>
          <w:tcPr>
            <w:tcW w:w="4213" w:type="dxa"/>
            <w:shd w:val="clear" w:color="auto" w:fill="auto"/>
          </w:tcPr>
          <w:p w14:paraId="7F275370"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Ophthalmologist, Clinical Associate Professor, University of Sydney; Ophthalmic Surgeon, glaucoma and cataract, diseases of the eye</w:t>
            </w:r>
          </w:p>
        </w:tc>
        <w:tc>
          <w:tcPr>
            <w:tcW w:w="2353" w:type="dxa"/>
            <w:shd w:val="clear" w:color="auto" w:fill="auto"/>
          </w:tcPr>
          <w:p w14:paraId="22B8FE34"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Claim</w:t>
            </w: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 xml:space="preserve"> in-scope MBS items; </w:t>
            </w:r>
          </w:p>
        </w:tc>
      </w:tr>
      <w:tr w:rsidR="009A602C" w:rsidRPr="001F1A87" w14:paraId="554314F3" w14:textId="77777777" w:rsidTr="004102C8">
        <w:tc>
          <w:tcPr>
            <w:tcW w:w="1736" w:type="dxa"/>
            <w:shd w:val="clear" w:color="auto" w:fill="auto"/>
          </w:tcPr>
          <w:p w14:paraId="57CEFBBF"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Prof. Hugh Taylor</w:t>
            </w:r>
          </w:p>
        </w:tc>
        <w:tc>
          <w:tcPr>
            <w:tcW w:w="4213" w:type="dxa"/>
            <w:shd w:val="clear" w:color="auto" w:fill="auto"/>
          </w:tcPr>
          <w:p w14:paraId="3A9CB590" w14:textId="77777777" w:rsidR="009A602C" w:rsidRPr="00315286" w:rsidRDefault="009A602C" w:rsidP="004102C8">
            <w:pPr>
              <w:pStyle w:val="Body"/>
              <w:widowControl w:val="0"/>
              <w:spacing w:before="20" w:after="20" w:line="240" w:lineRule="auto"/>
              <w:ind w:hanging="24"/>
              <w:rPr>
                <w:rFonts w:asciiTheme="minorHAnsi" w:hAnsiTheme="minorHAnsi" w:cstheme="minorHAnsi"/>
                <w:sz w:val="20"/>
                <w:lang w:val="en-GB"/>
              </w:rPr>
            </w:pPr>
            <w:r w:rsidRPr="00315286">
              <w:rPr>
                <w:rStyle w:val="None"/>
                <w:rFonts w:asciiTheme="minorHAnsi" w:hAnsiTheme="minorHAnsi" w:cstheme="minorHAnsi"/>
                <w:sz w:val="20"/>
                <w:lang w:val="en-GB"/>
              </w:rPr>
              <w:t>Ophthalmologist; Melbourne Laureate Professor, Harold Mitchell Chair of Indigenous Eye Health, Melbourne School of Population and Global Health, The University of Melbourne</w:t>
            </w:r>
          </w:p>
        </w:tc>
        <w:tc>
          <w:tcPr>
            <w:tcW w:w="2353" w:type="dxa"/>
            <w:shd w:val="clear" w:color="auto" w:fill="auto"/>
          </w:tcPr>
          <w:p w14:paraId="28EE33B9"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605E3167" w14:textId="77777777" w:rsidTr="004102C8">
        <w:tc>
          <w:tcPr>
            <w:tcW w:w="1736" w:type="dxa"/>
            <w:shd w:val="clear" w:color="auto" w:fill="auto"/>
          </w:tcPr>
          <w:p w14:paraId="098798D4"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 xml:space="preserve">Assoc. Prof. Stephen </w:t>
            </w:r>
            <w:proofErr w:type="spellStart"/>
            <w:r w:rsidRPr="00315286">
              <w:rPr>
                <w:rStyle w:val="None"/>
                <w:rFonts w:asciiTheme="minorHAnsi" w:hAnsiTheme="minorHAnsi" w:cstheme="minorHAnsi"/>
                <w:sz w:val="20"/>
                <w:lang w:val="en-GB"/>
              </w:rPr>
              <w:t>Shumack</w:t>
            </w:r>
            <w:proofErr w:type="spellEnd"/>
          </w:p>
        </w:tc>
        <w:tc>
          <w:tcPr>
            <w:tcW w:w="4213" w:type="dxa"/>
            <w:shd w:val="clear" w:color="auto" w:fill="auto"/>
          </w:tcPr>
          <w:p w14:paraId="31FEBBBB" w14:textId="77777777" w:rsidR="009A602C" w:rsidRPr="00315286" w:rsidRDefault="009A602C" w:rsidP="004102C8">
            <w:pPr>
              <w:pStyle w:val="Body"/>
              <w:widowControl w:val="0"/>
              <w:spacing w:before="20" w:after="20" w:line="240" w:lineRule="auto"/>
              <w:ind w:hanging="24"/>
              <w:rPr>
                <w:rFonts w:asciiTheme="minorHAnsi" w:hAnsiTheme="minorHAnsi" w:cstheme="minorHAnsi"/>
                <w:sz w:val="20"/>
                <w:lang w:val="en-GB"/>
              </w:rPr>
            </w:pPr>
            <w:r w:rsidRPr="00315286">
              <w:rPr>
                <w:rStyle w:val="None"/>
                <w:rFonts w:asciiTheme="minorHAnsi" w:hAnsiTheme="minorHAnsi" w:cstheme="minorHAnsi"/>
                <w:sz w:val="20"/>
                <w:lang w:val="en-GB"/>
              </w:rPr>
              <w:t xml:space="preserve">Dermatologist; Clinical Associate Professor of Dermatology, Northern Clinical School, The University of Sydney; Chair, Dermatology, Allergy, </w:t>
            </w:r>
            <w:r w:rsidRPr="00315286">
              <w:rPr>
                <w:rStyle w:val="None"/>
                <w:rFonts w:asciiTheme="minorHAnsi" w:hAnsiTheme="minorHAnsi" w:cstheme="minorHAnsi"/>
                <w:sz w:val="20"/>
                <w:lang w:val="en-GB"/>
              </w:rPr>
              <w:lastRenderedPageBreak/>
              <w:t>and Immunology Clinical Committee; Chair, Skin and Cancer Foundation Australia; Chair, Non-Melanoma Skin Cancer Guidelines Review Committee</w:t>
            </w:r>
          </w:p>
        </w:tc>
        <w:tc>
          <w:tcPr>
            <w:tcW w:w="2353" w:type="dxa"/>
            <w:shd w:val="clear" w:color="auto" w:fill="auto"/>
          </w:tcPr>
          <w:p w14:paraId="1474D00D"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lastRenderedPageBreak/>
              <w:t>None</w:t>
            </w:r>
          </w:p>
        </w:tc>
      </w:tr>
      <w:tr w:rsidR="009A602C" w:rsidRPr="001F1A87" w14:paraId="34B73BB8" w14:textId="77777777" w:rsidTr="004102C8">
        <w:tc>
          <w:tcPr>
            <w:tcW w:w="1736" w:type="dxa"/>
            <w:shd w:val="clear" w:color="auto" w:fill="auto"/>
          </w:tcPr>
          <w:p w14:paraId="189A1C7B"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Assoc. Prof. John Laidlaw</w:t>
            </w:r>
          </w:p>
        </w:tc>
        <w:tc>
          <w:tcPr>
            <w:tcW w:w="4213" w:type="dxa"/>
            <w:shd w:val="clear" w:color="auto" w:fill="auto"/>
          </w:tcPr>
          <w:p w14:paraId="6B4348E9" w14:textId="77777777" w:rsidR="009A602C" w:rsidRPr="00315286" w:rsidRDefault="009A602C" w:rsidP="004102C8">
            <w:pPr>
              <w:pStyle w:val="Body"/>
              <w:widowControl w:val="0"/>
              <w:spacing w:before="20" w:after="20" w:line="240" w:lineRule="auto"/>
              <w:ind w:hanging="23"/>
              <w:rPr>
                <w:rFonts w:asciiTheme="minorHAnsi" w:hAnsiTheme="minorHAnsi" w:cstheme="minorHAnsi"/>
                <w:sz w:val="20"/>
                <w:lang w:val="en-GB"/>
              </w:rPr>
            </w:pPr>
            <w:r w:rsidRPr="00315286">
              <w:rPr>
                <w:rStyle w:val="None"/>
                <w:rFonts w:asciiTheme="minorHAnsi" w:hAnsiTheme="minorHAnsi" w:cstheme="minorHAnsi"/>
                <w:sz w:val="20"/>
                <w:lang w:val="en-GB"/>
              </w:rPr>
              <w:t>Neurosurgeon with expertise in cranial surgery, neurosurgery, spinal disorders and trauma; Head of Cerebrovascular Disorders and Deputy Director of Neurosurgery at Royal Melbourne Hospital</w:t>
            </w:r>
          </w:p>
        </w:tc>
        <w:tc>
          <w:tcPr>
            <w:tcW w:w="2353" w:type="dxa"/>
            <w:shd w:val="clear" w:color="auto" w:fill="auto"/>
          </w:tcPr>
          <w:p w14:paraId="0F51159F"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748A4F4E" w14:textId="77777777" w:rsidTr="004102C8">
        <w:tc>
          <w:tcPr>
            <w:tcW w:w="1736" w:type="dxa"/>
            <w:shd w:val="clear" w:color="auto" w:fill="auto"/>
          </w:tcPr>
          <w:p w14:paraId="747ADC34"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Dr Linda Mann</w:t>
            </w:r>
          </w:p>
        </w:tc>
        <w:tc>
          <w:tcPr>
            <w:tcW w:w="4213" w:type="dxa"/>
            <w:shd w:val="clear" w:color="auto" w:fill="auto"/>
          </w:tcPr>
          <w:p w14:paraId="285EB958" w14:textId="77777777" w:rsidR="009A602C" w:rsidRPr="00315286" w:rsidRDefault="009A602C" w:rsidP="004102C8">
            <w:pPr>
              <w:pStyle w:val="Body"/>
              <w:widowControl w:val="0"/>
              <w:spacing w:before="20" w:after="20" w:line="240" w:lineRule="auto"/>
              <w:ind w:hanging="23"/>
              <w:rPr>
                <w:rFonts w:asciiTheme="minorHAnsi" w:hAnsiTheme="minorHAnsi" w:cstheme="minorHAnsi"/>
                <w:sz w:val="20"/>
                <w:lang w:val="en-GB"/>
              </w:rPr>
            </w:pPr>
            <w:r w:rsidRPr="00315286">
              <w:rPr>
                <w:rStyle w:val="None"/>
                <w:rFonts w:asciiTheme="minorHAnsi" w:hAnsiTheme="minorHAnsi" w:cstheme="minorHAnsi"/>
                <w:sz w:val="20"/>
                <w:lang w:val="en-GB"/>
              </w:rPr>
              <w:t xml:space="preserve">General Practitioner; GP Clinical Lead, </w:t>
            </w:r>
            <w:proofErr w:type="spellStart"/>
            <w:r w:rsidRPr="00315286">
              <w:rPr>
                <w:rStyle w:val="None"/>
                <w:rFonts w:asciiTheme="minorHAnsi" w:hAnsiTheme="minorHAnsi" w:cstheme="minorHAnsi"/>
                <w:sz w:val="20"/>
                <w:lang w:val="en-GB"/>
              </w:rPr>
              <w:t>HealthPathways</w:t>
            </w:r>
            <w:proofErr w:type="spellEnd"/>
            <w:r w:rsidRPr="00315286">
              <w:rPr>
                <w:rStyle w:val="None"/>
                <w:rFonts w:asciiTheme="minorHAnsi" w:hAnsiTheme="minorHAnsi" w:cstheme="minorHAnsi"/>
                <w:sz w:val="20"/>
                <w:lang w:val="en-GB"/>
              </w:rPr>
              <w:t xml:space="preserve"> Sydney; Clinical Lecturer, Department of GP, Sydney University</w:t>
            </w:r>
          </w:p>
        </w:tc>
        <w:tc>
          <w:tcPr>
            <w:tcW w:w="2353" w:type="dxa"/>
            <w:shd w:val="clear" w:color="auto" w:fill="auto"/>
          </w:tcPr>
          <w:p w14:paraId="54F92196"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00B35852" w14:textId="77777777" w:rsidTr="004102C8">
        <w:tc>
          <w:tcPr>
            <w:tcW w:w="1736" w:type="dxa"/>
            <w:shd w:val="clear" w:color="auto" w:fill="auto"/>
          </w:tcPr>
          <w:p w14:paraId="79115F0A" w14:textId="77777777" w:rsidR="009A602C" w:rsidRPr="00315286" w:rsidRDefault="009A602C" w:rsidP="004102C8">
            <w:pPr>
              <w:pStyle w:val="Body"/>
              <w:widowControl w:val="0"/>
              <w:spacing w:before="20" w:after="20" w:line="240" w:lineRule="auto"/>
              <w:rPr>
                <w:rStyle w:val="None"/>
                <w:rFonts w:asciiTheme="minorHAnsi" w:hAnsiTheme="minorHAnsi" w:cstheme="minorHAnsi"/>
                <w:sz w:val="20"/>
                <w:lang w:val="en-GB"/>
              </w:rPr>
            </w:pPr>
            <w:r w:rsidRPr="00315286">
              <w:rPr>
                <w:rStyle w:val="None"/>
                <w:rFonts w:asciiTheme="minorHAnsi" w:hAnsiTheme="minorHAnsi" w:cstheme="minorHAnsi"/>
                <w:sz w:val="20"/>
                <w:lang w:val="en-GB"/>
              </w:rPr>
              <w:t>Ms Rebecca James</w:t>
            </w:r>
          </w:p>
          <w:p w14:paraId="2A77FEA4"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(Consumer)</w:t>
            </w:r>
          </w:p>
        </w:tc>
        <w:tc>
          <w:tcPr>
            <w:tcW w:w="4213" w:type="dxa"/>
            <w:shd w:val="clear" w:color="auto" w:fill="auto"/>
          </w:tcPr>
          <w:p w14:paraId="5870A4BB" w14:textId="77777777" w:rsidR="009A602C" w:rsidRPr="00315286" w:rsidRDefault="009A602C" w:rsidP="004102C8">
            <w:pPr>
              <w:pStyle w:val="Body"/>
              <w:widowControl w:val="0"/>
              <w:spacing w:before="20" w:after="20" w:line="240" w:lineRule="auto"/>
              <w:ind w:hanging="24"/>
              <w:rPr>
                <w:rFonts w:asciiTheme="minorHAnsi" w:hAnsiTheme="minorHAnsi" w:cstheme="minorHAnsi"/>
                <w:sz w:val="20"/>
                <w:lang w:val="en-GB"/>
              </w:rPr>
            </w:pPr>
            <w:r w:rsidRPr="00315286">
              <w:rPr>
                <w:rStyle w:val="None"/>
                <w:rFonts w:asciiTheme="minorHAnsi" w:hAnsiTheme="minorHAnsi" w:cstheme="minorHAnsi"/>
                <w:sz w:val="20"/>
                <w:lang w:val="en-GB"/>
              </w:rPr>
              <w:t>Consumer; Member of the MBS Review Taskforce; former member of the Medical Services Advisory Committee</w:t>
            </w:r>
          </w:p>
        </w:tc>
        <w:tc>
          <w:tcPr>
            <w:tcW w:w="2353" w:type="dxa"/>
            <w:shd w:val="clear" w:color="auto" w:fill="auto"/>
          </w:tcPr>
          <w:p w14:paraId="746C7AE3"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20090FCA" w14:textId="77777777" w:rsidTr="004102C8">
        <w:tc>
          <w:tcPr>
            <w:tcW w:w="1736" w:type="dxa"/>
            <w:shd w:val="clear" w:color="auto" w:fill="auto"/>
          </w:tcPr>
          <w:p w14:paraId="7B4FED05" w14:textId="77777777" w:rsidR="009A602C" w:rsidRPr="00315286" w:rsidRDefault="009A602C" w:rsidP="004102C8">
            <w:pPr>
              <w:pStyle w:val="Body"/>
              <w:widowControl w:val="0"/>
              <w:spacing w:before="20" w:after="20" w:line="240" w:lineRule="auto"/>
              <w:rPr>
                <w:rStyle w:val="None"/>
                <w:rFonts w:asciiTheme="minorHAnsi" w:hAnsiTheme="minorHAnsi" w:cstheme="minorHAnsi"/>
                <w:sz w:val="20"/>
                <w:lang w:val="en-GB"/>
              </w:rPr>
            </w:pPr>
            <w:r w:rsidRPr="00315286">
              <w:rPr>
                <w:rStyle w:val="None"/>
                <w:rFonts w:asciiTheme="minorHAnsi" w:hAnsiTheme="minorHAnsi" w:cstheme="minorHAnsi"/>
                <w:sz w:val="20"/>
                <w:lang w:val="en-GB"/>
              </w:rPr>
              <w:t xml:space="preserve">Ms Susanne </w:t>
            </w:r>
            <w:proofErr w:type="spellStart"/>
            <w:r w:rsidRPr="00315286">
              <w:rPr>
                <w:rStyle w:val="None"/>
                <w:rFonts w:asciiTheme="minorHAnsi" w:hAnsiTheme="minorHAnsi" w:cstheme="minorHAnsi"/>
                <w:sz w:val="20"/>
                <w:lang w:val="en-GB"/>
              </w:rPr>
              <w:t>Tegen</w:t>
            </w:r>
            <w:proofErr w:type="spellEnd"/>
          </w:p>
          <w:p w14:paraId="4444D19A"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(Consumer)</w:t>
            </w:r>
          </w:p>
        </w:tc>
        <w:tc>
          <w:tcPr>
            <w:tcW w:w="4213" w:type="dxa"/>
            <w:shd w:val="clear" w:color="auto" w:fill="auto"/>
          </w:tcPr>
          <w:p w14:paraId="1F29DED5" w14:textId="6812D346" w:rsidR="009A602C" w:rsidRPr="00315286" w:rsidRDefault="009A602C" w:rsidP="004102C8">
            <w:pPr>
              <w:pStyle w:val="Body"/>
              <w:widowControl w:val="0"/>
              <w:spacing w:before="20" w:after="20" w:line="240" w:lineRule="auto"/>
              <w:ind w:hanging="24"/>
              <w:rPr>
                <w:rFonts w:asciiTheme="minorHAnsi" w:hAnsiTheme="minorHAnsi" w:cstheme="minorHAnsi"/>
                <w:sz w:val="20"/>
                <w:lang w:val="en-GB"/>
              </w:rPr>
            </w:pPr>
            <w:r w:rsidRPr="00315286">
              <w:rPr>
                <w:rStyle w:val="None"/>
                <w:rFonts w:asciiTheme="minorHAnsi" w:hAnsiTheme="minorHAnsi" w:cstheme="minorHAnsi"/>
                <w:sz w:val="20"/>
                <w:lang w:val="en-GB"/>
              </w:rPr>
              <w:t xml:space="preserve">Consumer; rural advocate; </w:t>
            </w:r>
            <w:r>
              <w:rPr>
                <w:rStyle w:val="None"/>
                <w:rFonts w:asciiTheme="minorHAnsi" w:hAnsiTheme="minorHAnsi" w:cstheme="minorHAnsi"/>
                <w:sz w:val="20"/>
                <w:lang w:val="en-GB"/>
              </w:rPr>
              <w:t>Member</w:t>
            </w:r>
            <w:r w:rsidRPr="00315286">
              <w:rPr>
                <w:rStyle w:val="None"/>
                <w:rFonts w:asciiTheme="minorHAnsi" w:hAnsiTheme="minorHAnsi" w:cstheme="minorHAnsi"/>
                <w:sz w:val="20"/>
                <w:lang w:val="en-GB"/>
              </w:rPr>
              <w:t xml:space="preserve"> of the Royal Australian College of Surgeons</w:t>
            </w:r>
            <w:r w:rsidRPr="001F1A87">
              <w:rPr>
                <w:rStyle w:val="None"/>
                <w:rFonts w:asciiTheme="minorHAnsi" w:hAnsiTheme="minorHAnsi" w:cstheme="minorHAnsi"/>
                <w:sz w:val="20"/>
                <w:lang w:val="en-GB"/>
              </w:rPr>
              <w:t xml:space="preserve"> International Medical Graduates</w:t>
            </w:r>
            <w:r w:rsidRPr="00315286">
              <w:rPr>
                <w:rStyle w:val="None"/>
                <w:rFonts w:asciiTheme="minorHAnsi" w:hAnsiTheme="minorHAnsi" w:cstheme="minorHAnsi"/>
                <w:sz w:val="20"/>
                <w:lang w:val="en-GB"/>
              </w:rPr>
              <w:t xml:space="preserve"> </w:t>
            </w:r>
            <w:r w:rsidRPr="001F1A87">
              <w:rPr>
                <w:rStyle w:val="None"/>
                <w:rFonts w:asciiTheme="minorHAnsi" w:hAnsiTheme="minorHAnsi" w:cstheme="minorHAnsi"/>
                <w:sz w:val="20"/>
                <w:lang w:val="en-GB"/>
              </w:rPr>
              <w:t>(</w:t>
            </w:r>
            <w:r w:rsidRPr="00315286">
              <w:rPr>
                <w:rStyle w:val="None"/>
                <w:rFonts w:asciiTheme="minorHAnsi" w:hAnsiTheme="minorHAnsi" w:cstheme="minorHAnsi"/>
                <w:sz w:val="20"/>
                <w:lang w:val="en-GB"/>
              </w:rPr>
              <w:t>IMG</w:t>
            </w:r>
            <w:r w:rsidRPr="001F1A87">
              <w:rPr>
                <w:rStyle w:val="None"/>
                <w:rFonts w:asciiTheme="minorHAnsi" w:hAnsiTheme="minorHAnsi" w:cstheme="minorHAnsi"/>
                <w:sz w:val="20"/>
                <w:lang w:val="en-GB"/>
              </w:rPr>
              <w:t>)</w:t>
            </w:r>
            <w:r w:rsidRPr="00315286">
              <w:rPr>
                <w:rStyle w:val="None"/>
                <w:rFonts w:asciiTheme="minorHAnsi" w:hAnsiTheme="minorHAnsi" w:cstheme="minorHAnsi"/>
                <w:sz w:val="20"/>
                <w:lang w:val="en-GB"/>
              </w:rPr>
              <w:t xml:space="preserve"> Committee;</w:t>
            </w:r>
            <w:r>
              <w:rPr>
                <w:rStyle w:val="None"/>
                <w:rFonts w:asciiTheme="minorHAnsi" w:hAnsiTheme="minorHAnsi" w:cstheme="minorHAnsi"/>
                <w:sz w:val="20"/>
                <w:lang w:val="en-GB"/>
              </w:rPr>
              <w:t xml:space="preserve"> Member of the Federal Training Committee Australian Orthopaedic Association, Member Consumer Health Forum, </w:t>
            </w:r>
            <w:r w:rsidRPr="00315286">
              <w:rPr>
                <w:rStyle w:val="None"/>
                <w:rFonts w:asciiTheme="minorHAnsi" w:hAnsiTheme="minorHAnsi" w:cstheme="minorHAnsi"/>
                <w:sz w:val="20"/>
                <w:lang w:val="en-GB"/>
              </w:rPr>
              <w:t xml:space="preserve">former </w:t>
            </w:r>
            <w:r>
              <w:rPr>
                <w:rStyle w:val="None"/>
                <w:rFonts w:asciiTheme="minorHAnsi" w:hAnsiTheme="minorHAnsi" w:cstheme="minorHAnsi"/>
                <w:sz w:val="20"/>
                <w:lang w:val="en-GB"/>
              </w:rPr>
              <w:t>CE</w:t>
            </w:r>
            <w:r w:rsidRPr="00315286">
              <w:rPr>
                <w:rStyle w:val="None"/>
                <w:rFonts w:asciiTheme="minorHAnsi" w:hAnsiTheme="minorHAnsi" w:cstheme="minorHAnsi"/>
                <w:sz w:val="20"/>
                <w:lang w:val="en-GB"/>
              </w:rPr>
              <w:t xml:space="preserve"> of the Medical Technology Association of Australia; Former CE</w:t>
            </w:r>
            <w:r>
              <w:rPr>
                <w:rStyle w:val="None"/>
                <w:rFonts w:asciiTheme="minorHAnsi" w:hAnsiTheme="minorHAnsi" w:cstheme="minorHAnsi"/>
                <w:sz w:val="20"/>
                <w:lang w:val="en-GB"/>
              </w:rPr>
              <w:t xml:space="preserve"> </w:t>
            </w:r>
            <w:r w:rsidRPr="00315286">
              <w:rPr>
                <w:rStyle w:val="None"/>
                <w:rFonts w:asciiTheme="minorHAnsi" w:hAnsiTheme="minorHAnsi" w:cstheme="minorHAnsi"/>
                <w:sz w:val="20"/>
                <w:lang w:val="en-GB"/>
              </w:rPr>
              <w:t>of The Royal Australian and New Zealand College of Ophthalmologists</w:t>
            </w:r>
            <w:r>
              <w:rPr>
                <w:rStyle w:val="None"/>
                <w:rFonts w:asciiTheme="minorHAnsi" w:hAnsiTheme="minorHAnsi" w:cstheme="minorHAnsi"/>
                <w:sz w:val="20"/>
                <w:lang w:val="en-GB"/>
              </w:rPr>
              <w:t>, Member CHARGE Syndrome Association</w:t>
            </w:r>
          </w:p>
        </w:tc>
        <w:tc>
          <w:tcPr>
            <w:tcW w:w="2353" w:type="dxa"/>
            <w:shd w:val="clear" w:color="auto" w:fill="auto"/>
          </w:tcPr>
          <w:p w14:paraId="24565BB6"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1F1A87">
              <w:rPr>
                <w:rStyle w:val="None"/>
                <w:rFonts w:asciiTheme="minorHAnsi" w:hAnsiTheme="minorHAnsi" w:cstheme="minorHAnsi"/>
                <w:sz w:val="20"/>
                <w:lang w:val="en-GB"/>
              </w:rPr>
              <w:t>S</w:t>
            </w:r>
            <w:r w:rsidRPr="00315286">
              <w:rPr>
                <w:rStyle w:val="None"/>
                <w:rFonts w:asciiTheme="minorHAnsi" w:hAnsiTheme="minorHAnsi" w:cstheme="minorHAnsi"/>
                <w:sz w:val="20"/>
                <w:lang w:val="en-GB"/>
              </w:rPr>
              <w:t>pouse is a practising ophthalmologist</w:t>
            </w:r>
          </w:p>
        </w:tc>
      </w:tr>
      <w:tr w:rsidR="009A602C" w:rsidRPr="001F1A87" w14:paraId="3DB1A0D1" w14:textId="77777777" w:rsidTr="004102C8">
        <w:tc>
          <w:tcPr>
            <w:tcW w:w="1736" w:type="dxa"/>
            <w:shd w:val="clear" w:color="auto" w:fill="auto"/>
          </w:tcPr>
          <w:p w14:paraId="16AF747A" w14:textId="77777777" w:rsidR="009A602C" w:rsidRPr="00315286" w:rsidRDefault="009A602C" w:rsidP="004102C8">
            <w:pPr>
              <w:pStyle w:val="Body"/>
              <w:widowControl w:val="0"/>
              <w:spacing w:before="20" w:after="20" w:line="240" w:lineRule="auto"/>
              <w:rPr>
                <w:rStyle w:val="None"/>
                <w:rFonts w:asciiTheme="minorHAnsi" w:hAnsiTheme="minorHAnsi" w:cstheme="minorHAnsi"/>
                <w:sz w:val="20"/>
                <w:lang w:val="en-GB"/>
              </w:rPr>
            </w:pPr>
            <w:r w:rsidRPr="00315286">
              <w:rPr>
                <w:rStyle w:val="None"/>
                <w:rFonts w:asciiTheme="minorHAnsi" w:hAnsiTheme="minorHAnsi" w:cstheme="minorHAnsi"/>
                <w:sz w:val="20"/>
                <w:lang w:val="en-GB"/>
              </w:rPr>
              <w:t>Dr Jo Sutherland</w:t>
            </w:r>
          </w:p>
          <w:p w14:paraId="641439B8"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(Taskforce Ex-Officio)</w:t>
            </w:r>
          </w:p>
        </w:tc>
        <w:tc>
          <w:tcPr>
            <w:tcW w:w="4213" w:type="dxa"/>
            <w:shd w:val="clear" w:color="auto" w:fill="auto"/>
          </w:tcPr>
          <w:p w14:paraId="76F73A08"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Member of the MBS Review Taskforce; V</w:t>
            </w:r>
            <w:r w:rsidRPr="001F1A87">
              <w:rPr>
                <w:rStyle w:val="None"/>
                <w:rFonts w:asciiTheme="minorHAnsi" w:hAnsiTheme="minorHAnsi" w:cstheme="minorHAnsi"/>
                <w:sz w:val="20"/>
                <w:lang w:val="en-GB"/>
              </w:rPr>
              <w:t>isiting Medical Officer (V</w:t>
            </w:r>
            <w:r w:rsidRPr="00315286">
              <w:rPr>
                <w:rStyle w:val="None"/>
                <w:rFonts w:asciiTheme="minorHAnsi" w:hAnsiTheme="minorHAnsi" w:cstheme="minorHAnsi"/>
                <w:sz w:val="20"/>
                <w:lang w:val="en-GB"/>
              </w:rPr>
              <w:t>MO</w:t>
            </w:r>
            <w:r w:rsidRPr="001F1A87">
              <w:rPr>
                <w:rStyle w:val="None"/>
                <w:rFonts w:asciiTheme="minorHAnsi" w:hAnsiTheme="minorHAnsi" w:cstheme="minorHAnsi"/>
                <w:sz w:val="20"/>
                <w:lang w:val="en-GB"/>
              </w:rPr>
              <w:t>)</w:t>
            </w:r>
            <w:r w:rsidRPr="00315286">
              <w:rPr>
                <w:rStyle w:val="None"/>
                <w:rFonts w:asciiTheme="minorHAnsi" w:hAnsiTheme="minorHAnsi" w:cstheme="minorHAnsi"/>
                <w:sz w:val="20"/>
                <w:lang w:val="en-GB"/>
              </w:rPr>
              <w:t xml:space="preserve"> Anaesthetist at Coffs Harbour Health Campus; Conjoint Associate Professor with the U</w:t>
            </w:r>
            <w:r w:rsidRPr="001F1A87">
              <w:rPr>
                <w:rStyle w:val="None"/>
                <w:rFonts w:asciiTheme="minorHAnsi" w:hAnsiTheme="minorHAnsi" w:cstheme="minorHAnsi"/>
                <w:sz w:val="20"/>
                <w:lang w:val="en-GB"/>
              </w:rPr>
              <w:t xml:space="preserve">niversity of </w:t>
            </w:r>
            <w:r w:rsidRPr="00315286">
              <w:rPr>
                <w:rStyle w:val="None"/>
                <w:rFonts w:asciiTheme="minorHAnsi" w:hAnsiTheme="minorHAnsi" w:cstheme="minorHAnsi"/>
                <w:sz w:val="20"/>
                <w:lang w:val="en-GB"/>
              </w:rPr>
              <w:t>N</w:t>
            </w:r>
            <w:r w:rsidRPr="001F1A87">
              <w:rPr>
                <w:rStyle w:val="None"/>
                <w:rFonts w:asciiTheme="minorHAnsi" w:hAnsiTheme="minorHAnsi" w:cstheme="minorHAnsi"/>
                <w:sz w:val="20"/>
                <w:lang w:val="en-GB"/>
              </w:rPr>
              <w:t xml:space="preserve">ew </w:t>
            </w:r>
            <w:r w:rsidRPr="00315286">
              <w:rPr>
                <w:rStyle w:val="None"/>
                <w:rFonts w:asciiTheme="minorHAnsi" w:hAnsiTheme="minorHAnsi" w:cstheme="minorHAnsi"/>
                <w:sz w:val="20"/>
                <w:lang w:val="en-GB"/>
              </w:rPr>
              <w:t>S</w:t>
            </w:r>
            <w:r w:rsidRPr="001F1A87">
              <w:rPr>
                <w:rStyle w:val="None"/>
                <w:rFonts w:asciiTheme="minorHAnsi" w:hAnsiTheme="minorHAnsi" w:cstheme="minorHAnsi"/>
                <w:sz w:val="20"/>
                <w:lang w:val="en-GB"/>
              </w:rPr>
              <w:t xml:space="preserve">outh </w:t>
            </w:r>
            <w:r w:rsidRPr="00315286">
              <w:rPr>
                <w:rStyle w:val="None"/>
                <w:rFonts w:asciiTheme="minorHAnsi" w:hAnsiTheme="minorHAnsi" w:cstheme="minorHAnsi"/>
                <w:sz w:val="20"/>
                <w:lang w:val="en-GB"/>
              </w:rPr>
              <w:t>W</w:t>
            </w:r>
            <w:r w:rsidRPr="001F1A87">
              <w:rPr>
                <w:rStyle w:val="None"/>
                <w:rFonts w:asciiTheme="minorHAnsi" w:hAnsiTheme="minorHAnsi" w:cstheme="minorHAnsi"/>
                <w:sz w:val="20"/>
                <w:lang w:val="en-GB"/>
              </w:rPr>
              <w:t>ales</w:t>
            </w:r>
            <w:r w:rsidRPr="00315286">
              <w:rPr>
                <w:rStyle w:val="None"/>
                <w:rFonts w:asciiTheme="minorHAnsi" w:hAnsiTheme="minorHAnsi" w:cstheme="minorHAnsi"/>
                <w:sz w:val="20"/>
                <w:lang w:val="en-GB"/>
              </w:rPr>
              <w:t xml:space="preserve"> Rural Medical School</w:t>
            </w:r>
          </w:p>
        </w:tc>
        <w:tc>
          <w:tcPr>
            <w:tcW w:w="2353" w:type="dxa"/>
            <w:shd w:val="clear" w:color="auto" w:fill="auto"/>
          </w:tcPr>
          <w:p w14:paraId="057A3E38"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51374BE7" w14:textId="77777777" w:rsidTr="004102C8">
        <w:tc>
          <w:tcPr>
            <w:tcW w:w="1736" w:type="dxa"/>
            <w:shd w:val="clear" w:color="auto" w:fill="auto"/>
          </w:tcPr>
          <w:p w14:paraId="62734DC9"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Prof. Michael Grigg (Taskforce Ex-Officio)</w:t>
            </w:r>
          </w:p>
        </w:tc>
        <w:tc>
          <w:tcPr>
            <w:tcW w:w="4213" w:type="dxa"/>
            <w:shd w:val="clear" w:color="auto" w:fill="auto"/>
          </w:tcPr>
          <w:p w14:paraId="7C7C0C61"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Member of the MBS Review Taskforce; Vascular Surgeon</w:t>
            </w:r>
            <w:r w:rsidRPr="00315286">
              <w:rPr>
                <w:rStyle w:val="None"/>
                <w:rFonts w:asciiTheme="minorHAnsi" w:hAnsiTheme="minorHAnsi" w:cstheme="minorHAnsi"/>
                <w:sz w:val="20"/>
                <w:lang w:val="en-GB"/>
              </w:rPr>
              <w:tab/>
            </w:r>
          </w:p>
        </w:tc>
        <w:tc>
          <w:tcPr>
            <w:tcW w:w="2353" w:type="dxa"/>
            <w:shd w:val="clear" w:color="auto" w:fill="auto"/>
          </w:tcPr>
          <w:p w14:paraId="3DF3E8D0"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456B074E" w14:textId="77777777" w:rsidTr="004102C8">
        <w:tc>
          <w:tcPr>
            <w:tcW w:w="1736" w:type="dxa"/>
            <w:shd w:val="clear" w:color="auto" w:fill="auto"/>
          </w:tcPr>
          <w:p w14:paraId="5167BCAD" w14:textId="77777777" w:rsidR="009A602C" w:rsidRPr="00315286" w:rsidRDefault="009A602C" w:rsidP="004102C8">
            <w:pPr>
              <w:pStyle w:val="Body"/>
              <w:widowControl w:val="0"/>
              <w:spacing w:before="20" w:after="20" w:line="240" w:lineRule="auto"/>
              <w:rPr>
                <w:rStyle w:val="None"/>
                <w:rFonts w:asciiTheme="minorHAnsi" w:hAnsiTheme="minorHAnsi" w:cstheme="minorHAnsi"/>
                <w:sz w:val="20"/>
                <w:lang w:val="en-GB"/>
              </w:rPr>
            </w:pPr>
            <w:r>
              <w:rPr>
                <w:rStyle w:val="None"/>
                <w:rFonts w:asciiTheme="minorHAnsi" w:hAnsiTheme="minorHAnsi" w:cstheme="minorHAnsi"/>
                <w:sz w:val="20"/>
                <w:lang w:val="en-GB"/>
              </w:rPr>
              <w:t xml:space="preserve">Prof. </w:t>
            </w:r>
            <w:r w:rsidRPr="00315286">
              <w:rPr>
                <w:rStyle w:val="None"/>
                <w:rFonts w:asciiTheme="minorHAnsi" w:hAnsiTheme="minorHAnsi" w:cstheme="minorHAnsi"/>
                <w:sz w:val="20"/>
                <w:lang w:val="en-GB"/>
              </w:rPr>
              <w:t xml:space="preserve">Adam </w:t>
            </w:r>
            <w:proofErr w:type="spellStart"/>
            <w:r w:rsidRPr="00315286">
              <w:rPr>
                <w:rStyle w:val="None"/>
                <w:rFonts w:asciiTheme="minorHAnsi" w:hAnsiTheme="minorHAnsi" w:cstheme="minorHAnsi"/>
                <w:sz w:val="20"/>
                <w:lang w:val="en-GB"/>
              </w:rPr>
              <w:t>Elshaug</w:t>
            </w:r>
            <w:proofErr w:type="spellEnd"/>
          </w:p>
          <w:p w14:paraId="13BE17EF"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(Taskforce Ex-Officio)</w:t>
            </w:r>
          </w:p>
        </w:tc>
        <w:tc>
          <w:tcPr>
            <w:tcW w:w="4213" w:type="dxa"/>
            <w:shd w:val="clear" w:color="auto" w:fill="auto"/>
          </w:tcPr>
          <w:p w14:paraId="7EA8F28E"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 xml:space="preserve">Member of the MBS Review Taskforce; Professor of Health Policy, HCF Research Foundation; Professorial Research Fellow and Co-Director of the Menzies Centre for Health Policy at the University of Sydney; member of the Choosing Wisely Australia advisory group, the Choosing Wisely International Planning Committee and the </w:t>
            </w:r>
            <w:r w:rsidRPr="001F1A87">
              <w:rPr>
                <w:rStyle w:val="None"/>
                <w:rFonts w:asciiTheme="minorHAnsi" w:hAnsiTheme="minorHAnsi" w:cstheme="minorHAnsi"/>
                <w:sz w:val="20"/>
                <w:lang w:val="en-GB"/>
              </w:rPr>
              <w:t>Australian Commission on Safety and Quality in Health Care’s (</w:t>
            </w:r>
            <w:r w:rsidRPr="00315286">
              <w:rPr>
                <w:rStyle w:val="None"/>
                <w:rFonts w:asciiTheme="minorHAnsi" w:hAnsiTheme="minorHAnsi" w:cstheme="minorHAnsi"/>
                <w:sz w:val="20"/>
                <w:lang w:val="en-GB"/>
              </w:rPr>
              <w:t>ACSQHC</w:t>
            </w:r>
            <w:r w:rsidRPr="001F1A87">
              <w:rPr>
                <w:rStyle w:val="None"/>
                <w:rFonts w:asciiTheme="minorHAnsi" w:hAnsiTheme="minorHAnsi" w:cstheme="minorHAnsi"/>
                <w:sz w:val="20"/>
                <w:lang w:val="en-GB"/>
              </w:rPr>
              <w:t>)</w:t>
            </w:r>
            <w:r w:rsidRPr="00315286">
              <w:rPr>
                <w:rStyle w:val="None"/>
                <w:rFonts w:asciiTheme="minorHAnsi" w:hAnsiTheme="minorHAnsi" w:cstheme="minorHAnsi"/>
                <w:sz w:val="20"/>
                <w:lang w:val="en-GB"/>
              </w:rPr>
              <w:t xml:space="preserve"> Atlas of Healthcare Variation Advisory Group; </w:t>
            </w:r>
            <w:r w:rsidRPr="001F1A87">
              <w:rPr>
                <w:rStyle w:val="None"/>
                <w:rFonts w:asciiTheme="minorHAnsi" w:hAnsiTheme="minorHAnsi" w:cstheme="minorHAnsi"/>
                <w:sz w:val="20"/>
                <w:lang w:val="en-GB"/>
              </w:rPr>
              <w:t>E</w:t>
            </w:r>
            <w:r w:rsidRPr="00315286">
              <w:rPr>
                <w:rStyle w:val="None"/>
                <w:rFonts w:asciiTheme="minorHAnsi" w:hAnsiTheme="minorHAnsi" w:cstheme="minorHAnsi"/>
                <w:sz w:val="20"/>
                <w:lang w:val="en-GB"/>
              </w:rPr>
              <w:t>lected Member of the Executive Committee of the Health Services Research Association of Australia and New Zealand</w:t>
            </w:r>
          </w:p>
        </w:tc>
        <w:tc>
          <w:tcPr>
            <w:tcW w:w="2353" w:type="dxa"/>
            <w:shd w:val="clear" w:color="auto" w:fill="auto"/>
          </w:tcPr>
          <w:p w14:paraId="326E1D69"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None</w:t>
            </w:r>
          </w:p>
        </w:tc>
      </w:tr>
      <w:tr w:rsidR="009A602C" w:rsidRPr="001F1A87" w14:paraId="79561DDD" w14:textId="77777777" w:rsidTr="004102C8">
        <w:tc>
          <w:tcPr>
            <w:tcW w:w="1736" w:type="dxa"/>
            <w:shd w:val="clear" w:color="auto" w:fill="auto"/>
          </w:tcPr>
          <w:p w14:paraId="36042416" w14:textId="35400A55" w:rsidR="009A602C" w:rsidRPr="00315286" w:rsidRDefault="009A602C" w:rsidP="004102C8">
            <w:pPr>
              <w:pStyle w:val="Body"/>
              <w:widowControl w:val="0"/>
              <w:spacing w:before="20" w:after="20" w:line="240" w:lineRule="auto"/>
              <w:rPr>
                <w:rStyle w:val="None"/>
                <w:rFonts w:asciiTheme="minorHAnsi" w:hAnsiTheme="minorHAnsi" w:cstheme="minorHAnsi"/>
                <w:sz w:val="20"/>
                <w:lang w:val="en-GB"/>
              </w:rPr>
            </w:pPr>
            <w:r>
              <w:rPr>
                <w:rStyle w:val="None"/>
                <w:rFonts w:asciiTheme="minorHAnsi" w:hAnsiTheme="minorHAnsi" w:cstheme="minorHAnsi"/>
                <w:sz w:val="20"/>
                <w:lang w:val="en-GB"/>
              </w:rPr>
              <w:t>Assoc. Prof.</w:t>
            </w:r>
            <w:r w:rsidRPr="00315286">
              <w:rPr>
                <w:rStyle w:val="None"/>
                <w:rFonts w:asciiTheme="minorHAnsi" w:hAnsiTheme="minorHAnsi" w:cstheme="minorHAnsi"/>
                <w:sz w:val="20"/>
                <w:lang w:val="en-GB"/>
              </w:rPr>
              <w:t xml:space="preserve"> Susan Wearne</w:t>
            </w:r>
          </w:p>
          <w:p w14:paraId="57E93748"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Medical Advisor</w:t>
            </w:r>
          </w:p>
        </w:tc>
        <w:tc>
          <w:tcPr>
            <w:tcW w:w="4213" w:type="dxa"/>
            <w:shd w:val="clear" w:color="auto" w:fill="auto"/>
          </w:tcPr>
          <w:p w14:paraId="28FAB673" w14:textId="77777777" w:rsidR="009A602C" w:rsidRPr="00315286" w:rsidRDefault="009A602C" w:rsidP="004102C8">
            <w:pPr>
              <w:pStyle w:val="Body"/>
              <w:widowControl w:val="0"/>
              <w:spacing w:before="20" w:after="20" w:line="240" w:lineRule="auto"/>
              <w:ind w:hanging="24"/>
              <w:rPr>
                <w:rFonts w:asciiTheme="minorHAnsi" w:hAnsiTheme="minorHAnsi" w:cstheme="minorHAnsi"/>
                <w:sz w:val="20"/>
                <w:lang w:val="en-GB"/>
              </w:rPr>
            </w:pPr>
            <w:r w:rsidRPr="00315286">
              <w:rPr>
                <w:rStyle w:val="None"/>
                <w:rFonts w:asciiTheme="minorHAnsi" w:hAnsiTheme="minorHAnsi" w:cstheme="minorHAnsi"/>
                <w:sz w:val="20"/>
                <w:lang w:val="en-GB"/>
              </w:rPr>
              <w:t xml:space="preserve">Senior Medical Adviser in the Health Workforce Division in the Department of Health; Clinical Associate Professor, The Australian National University; </w:t>
            </w:r>
            <w:r w:rsidRPr="001F1A87">
              <w:rPr>
                <w:rStyle w:val="None"/>
                <w:rFonts w:asciiTheme="minorHAnsi" w:hAnsiTheme="minorHAnsi" w:cstheme="minorHAnsi"/>
                <w:sz w:val="20"/>
                <w:lang w:val="en-GB"/>
              </w:rPr>
              <w:t>P</w:t>
            </w:r>
            <w:r w:rsidRPr="00315286">
              <w:rPr>
                <w:rStyle w:val="None"/>
                <w:rFonts w:asciiTheme="minorHAnsi" w:hAnsiTheme="minorHAnsi" w:cstheme="minorHAnsi"/>
                <w:sz w:val="20"/>
                <w:lang w:val="en-GB"/>
              </w:rPr>
              <w:t>art-time GP at East Canberra General Practice and Central Clinic in Alice Springs</w:t>
            </w:r>
          </w:p>
        </w:tc>
        <w:tc>
          <w:tcPr>
            <w:tcW w:w="2353" w:type="dxa"/>
            <w:shd w:val="clear" w:color="auto" w:fill="auto"/>
          </w:tcPr>
          <w:p w14:paraId="353625D5" w14:textId="77777777" w:rsidR="009A602C" w:rsidRPr="00315286" w:rsidRDefault="009A602C" w:rsidP="004102C8">
            <w:pPr>
              <w:pStyle w:val="Body"/>
              <w:widowControl w:val="0"/>
              <w:spacing w:before="20" w:after="20" w:line="240" w:lineRule="auto"/>
              <w:rPr>
                <w:rFonts w:asciiTheme="minorHAnsi" w:hAnsiTheme="minorHAnsi" w:cstheme="minorHAnsi"/>
                <w:sz w:val="20"/>
                <w:lang w:val="en-GB"/>
              </w:rPr>
            </w:pPr>
            <w:r w:rsidRPr="00315286">
              <w:rPr>
                <w:rStyle w:val="None"/>
                <w:rFonts w:asciiTheme="minorHAnsi" w:hAnsiTheme="minorHAnsi" w:cstheme="minorHAnsi"/>
                <w:sz w:val="20"/>
                <w:lang w:val="en-GB"/>
              </w:rPr>
              <w:t>Spouse is a practising ophthalmologist</w:t>
            </w:r>
          </w:p>
        </w:tc>
      </w:tr>
    </w:tbl>
    <w:p w14:paraId="77C49E0B" w14:textId="77777777" w:rsidR="009A602C" w:rsidRPr="001714A8" w:rsidRDefault="009A602C" w:rsidP="009A602C">
      <w:pPr>
        <w:pStyle w:val="Heading2"/>
      </w:pPr>
      <w:bookmarkStart w:id="150" w:name="_Toc524100397"/>
      <w:bookmarkStart w:id="151" w:name="_Toc536548123"/>
      <w:bookmarkStart w:id="152" w:name="_Toc35347226"/>
      <w:bookmarkStart w:id="153" w:name="_Ref464874370"/>
      <w:r w:rsidRPr="001714A8">
        <w:rPr>
          <w:rStyle w:val="Hyperlink0"/>
        </w:rPr>
        <w:lastRenderedPageBreak/>
        <w:t>Conflicts of interest</w:t>
      </w:r>
      <w:bookmarkEnd w:id="150"/>
      <w:bookmarkEnd w:id="151"/>
      <w:bookmarkEnd w:id="152"/>
    </w:p>
    <w:p w14:paraId="4CF00874" w14:textId="77777777" w:rsidR="009A602C" w:rsidRPr="001714A8" w:rsidRDefault="009A602C" w:rsidP="009A602C">
      <w:pPr>
        <w:pStyle w:val="Body"/>
        <w:rPr>
          <w:lang w:val="en-GB"/>
        </w:rPr>
      </w:pPr>
      <w:r w:rsidRPr="001714A8">
        <w:rPr>
          <w:lang w:val="en-GB"/>
        </w:rPr>
        <w:t xml:space="preserve">All members of the Taskforce, </w:t>
      </w:r>
      <w:r w:rsidRPr="00C656B4">
        <w:t>clinical</w:t>
      </w:r>
      <w:r w:rsidRPr="001714A8">
        <w:rPr>
          <w:lang w:val="en-GB"/>
        </w:rPr>
        <w:t xml:space="preserve"> committees and working groups are asked to declare any conflicts of interest at the start of their involvement and are reminded to update their declarations periodically. A complete list of declared conflicts of interest can be viewed in Table 1. </w:t>
      </w:r>
    </w:p>
    <w:p w14:paraId="2F8118BE" w14:textId="77777777" w:rsidR="009A602C" w:rsidRPr="001714A8" w:rsidRDefault="009A602C" w:rsidP="009A602C">
      <w:pPr>
        <w:pStyle w:val="Body"/>
      </w:pPr>
      <w:r w:rsidRPr="001714A8">
        <w:t xml:space="preserve">It is noted that the </w:t>
      </w:r>
      <w:r>
        <w:t xml:space="preserve">ophthalmologist </w:t>
      </w:r>
      <w:r w:rsidRPr="001714A8">
        <w:t xml:space="preserve">Committee members share a common conflict of interest in reviewing items that are a source of revenue for them (i.e., members claim the items under review). This conflict is inherent in a clinician-led </w:t>
      </w:r>
      <w:proofErr w:type="gramStart"/>
      <w:r w:rsidRPr="001714A8">
        <w:t>process, and</w:t>
      </w:r>
      <w:proofErr w:type="gramEnd"/>
      <w:r w:rsidRPr="001714A8">
        <w:t xml:space="preserve"> having been acknowledged by the Committee and the Taskforce, it was agreed that this should not prevent a clinician from participating in the review. </w:t>
      </w:r>
    </w:p>
    <w:p w14:paraId="069EF942" w14:textId="77777777" w:rsidR="009A602C" w:rsidRPr="001714A8" w:rsidRDefault="009A602C" w:rsidP="009A602C">
      <w:pPr>
        <w:pStyle w:val="Heading2"/>
      </w:pPr>
      <w:bookmarkStart w:id="154" w:name="_Toc524100398"/>
      <w:bookmarkStart w:id="155" w:name="_Toc536548124"/>
      <w:bookmarkStart w:id="156" w:name="_Toc35347227"/>
      <w:r w:rsidRPr="001714A8">
        <w:rPr>
          <w:rStyle w:val="Hyperlink0"/>
        </w:rPr>
        <w:t>Areas of responsibility of the Committee</w:t>
      </w:r>
      <w:bookmarkEnd w:id="154"/>
      <w:bookmarkEnd w:id="155"/>
      <w:bookmarkEnd w:id="156"/>
    </w:p>
    <w:p w14:paraId="62123BAF" w14:textId="74D939EA" w:rsidR="00C45141" w:rsidRDefault="009A602C" w:rsidP="009A602C">
      <w:pPr>
        <w:pStyle w:val="Body"/>
      </w:pPr>
      <w:r w:rsidRPr="001714A8">
        <w:t>The Committee reviewed 1</w:t>
      </w:r>
      <w:r w:rsidR="00C45141">
        <w:t>8</w:t>
      </w:r>
      <w:r w:rsidRPr="001714A8">
        <w:t xml:space="preserve">9 ophthalmology MBS items. </w:t>
      </w:r>
    </w:p>
    <w:p w14:paraId="6E839D2F" w14:textId="77777777" w:rsidR="00C45141" w:rsidRDefault="009A602C" w:rsidP="009A602C">
      <w:pPr>
        <w:pStyle w:val="Body"/>
      </w:pPr>
      <w:r w:rsidRPr="001714A8">
        <w:t xml:space="preserve">In FY2016/17, these items accounted for approximately 1.45 million services and $346 million in benefits. </w:t>
      </w:r>
    </w:p>
    <w:p w14:paraId="250A90BF" w14:textId="77777777" w:rsidR="00C45141" w:rsidRDefault="009A602C" w:rsidP="009A602C">
      <w:pPr>
        <w:pStyle w:val="Body"/>
      </w:pPr>
      <w:r w:rsidRPr="001714A8">
        <w:t xml:space="preserve">Over the past five years, service volumes for these items have grown at 5.5 per cent per year, and total benefits have increased by 6.0 per cent per year. This growth is largely explained by an increase in the number of services per capita (Figure </w:t>
      </w:r>
      <w:r>
        <w:t>2</w:t>
      </w:r>
      <w:r w:rsidRPr="001714A8">
        <w:t xml:space="preserve">). </w:t>
      </w:r>
    </w:p>
    <w:p w14:paraId="1BCD105A" w14:textId="136BAE4E" w:rsidR="009A602C" w:rsidRPr="001714A8" w:rsidRDefault="009A602C" w:rsidP="009A602C">
      <w:pPr>
        <w:pStyle w:val="Body"/>
      </w:pPr>
      <w:r w:rsidRPr="001714A8">
        <w:t>Eye injections and cataract surgery account for 42 per cent of total services and 67 per cent of benefits paid.</w:t>
      </w:r>
    </w:p>
    <w:p w14:paraId="24F90917" w14:textId="6B64DECE" w:rsidR="009A602C" w:rsidRPr="00315286" w:rsidRDefault="009A602C" w:rsidP="009A602C">
      <w:pPr>
        <w:pStyle w:val="Caption"/>
        <w:rPr>
          <w:rStyle w:val="None"/>
          <w:bCs/>
          <w:lang w:val="en-US"/>
        </w:rPr>
      </w:pPr>
      <w:bookmarkStart w:id="157" w:name="_Toc2170549"/>
      <w:r w:rsidRPr="00C656B4">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2</w:t>
      </w:r>
      <w:r>
        <w:rPr>
          <w:lang w:val="en-US"/>
        </w:rPr>
        <w:fldChar w:fldCharType="end"/>
      </w:r>
      <w:r w:rsidRPr="00C656B4">
        <w:rPr>
          <w:lang w:val="en-US"/>
        </w:rPr>
        <w:t>: Drivers of ophthalmology item growth, FY2011/12 to FY2016/17</w:t>
      </w:r>
      <w:bookmarkEnd w:id="157"/>
    </w:p>
    <w:p w14:paraId="00DE7A45" w14:textId="77777777" w:rsidR="009A602C" w:rsidRPr="001714A8" w:rsidRDefault="009A602C" w:rsidP="009A602C">
      <w:pPr>
        <w:pStyle w:val="Body"/>
        <w:rPr>
          <w:rStyle w:val="None"/>
          <w:b/>
          <w:bCs/>
          <w:lang w:val="en-GB"/>
        </w:rPr>
      </w:pPr>
      <w:r w:rsidRPr="00C656B4">
        <w:rPr>
          <w:noProof/>
        </w:rPr>
        <w:drawing>
          <wp:inline distT="0" distB="0" distL="0" distR="0" wp14:anchorId="22380825" wp14:editId="4DE79D0D">
            <wp:extent cx="4975201" cy="3521605"/>
            <wp:effectExtent l="0" t="0" r="0" b="3175"/>
            <wp:docPr id="1073741832" name="officeArt object" descr="This figure shows the drivers of growth rate from financial year 2011-12 to 2016-17 for all ophthalmology services for: 1. total benefits ($ millions) - which grew 6.0% annually and was driven by 2a. Number of services (millions) - which grew 5.5% annually and 2b. average benefits per service $  - which grew 0.5% annually. The growth in the number of services was driven by the growth in population 1.6% annually and services per 100,000 population 3.9% annual growth." title="Figure 2: Drivers of ophthalmology item growth FY2011/12 to FY2016/17"/>
            <wp:cNvGraphicFramePr/>
            <a:graphic xmlns:a="http://schemas.openxmlformats.org/drawingml/2006/main">
              <a:graphicData uri="http://schemas.openxmlformats.org/drawingml/2006/picture">
                <pic:pic xmlns:pic="http://schemas.openxmlformats.org/drawingml/2006/picture">
                  <pic:nvPicPr>
                    <pic:cNvPr id="1073741832" name="image4.png"/>
                    <pic:cNvPicPr>
                      <a:picLocks noChangeAspect="1"/>
                    </pic:cNvPicPr>
                  </pic:nvPicPr>
                  <pic:blipFill>
                    <a:blip r:embed="rId12"/>
                    <a:stretch>
                      <a:fillRect/>
                    </a:stretch>
                  </pic:blipFill>
                  <pic:spPr>
                    <a:xfrm>
                      <a:off x="0" y="0"/>
                      <a:ext cx="4975201" cy="3521605"/>
                    </a:xfrm>
                    <a:prstGeom prst="rect">
                      <a:avLst/>
                    </a:prstGeom>
                    <a:ln w="12700" cap="flat">
                      <a:noFill/>
                      <a:miter lim="400000"/>
                    </a:ln>
                    <a:effectLst/>
                  </pic:spPr>
                </pic:pic>
              </a:graphicData>
            </a:graphic>
          </wp:inline>
        </w:drawing>
      </w:r>
    </w:p>
    <w:p w14:paraId="72056468" w14:textId="77777777" w:rsidR="009A602C" w:rsidRPr="001714A8" w:rsidRDefault="009A602C" w:rsidP="009A602C">
      <w:pPr>
        <w:pStyle w:val="Heading2"/>
      </w:pPr>
      <w:bookmarkStart w:id="158" w:name="_Toc524100399"/>
      <w:bookmarkStart w:id="159" w:name="_Toc536548125"/>
      <w:bookmarkStart w:id="160" w:name="_Toc35347228"/>
      <w:r w:rsidRPr="001714A8">
        <w:t xml:space="preserve">Summary </w:t>
      </w:r>
      <w:r w:rsidRPr="001714A8">
        <w:rPr>
          <w:rStyle w:val="Hyperlink0"/>
        </w:rPr>
        <w:t>of</w:t>
      </w:r>
      <w:r w:rsidRPr="001714A8">
        <w:t xml:space="preserve"> the Committee’s review approach</w:t>
      </w:r>
      <w:bookmarkEnd w:id="158"/>
      <w:bookmarkEnd w:id="159"/>
      <w:bookmarkEnd w:id="160"/>
    </w:p>
    <w:p w14:paraId="53E9E497" w14:textId="77777777" w:rsidR="009A602C" w:rsidRPr="001714A8" w:rsidRDefault="009A602C" w:rsidP="009A602C">
      <w:pPr>
        <w:pStyle w:val="Body"/>
      </w:pPr>
      <w:r w:rsidRPr="001714A8">
        <w:rPr>
          <w:lang w:val="en-GB"/>
        </w:rPr>
        <w:t xml:space="preserve">The Committee completed a review of its items across four full committee meetings (two teleconferences and two </w:t>
      </w:r>
      <w:r w:rsidRPr="00C656B4">
        <w:t>in</w:t>
      </w:r>
      <w:r w:rsidRPr="001714A8">
        <w:rPr>
          <w:lang w:val="en-GB"/>
        </w:rPr>
        <w:t xml:space="preserve">-person meetings). It developed the recommendations and rationales contained in this report during these meetings. </w:t>
      </w:r>
    </w:p>
    <w:p w14:paraId="4EF34F25" w14:textId="77777777" w:rsidR="009A602C" w:rsidRPr="001714A8" w:rsidRDefault="009A602C" w:rsidP="009A602C">
      <w:pPr>
        <w:pStyle w:val="Body"/>
      </w:pPr>
      <w:r w:rsidRPr="001714A8">
        <w:t xml:space="preserve">The review drew on various types of MBS data, including data on utilisation of items (services, benefits, patients, clinicians and growth rates); service provision (type of clinician, geography of service provision); patients (demographics and services per patient); co-claiming or episodes of services (same-day claiming and claiming with specific items over time); and additional clinician and patient-level data, when required. </w:t>
      </w:r>
    </w:p>
    <w:p w14:paraId="6730138F" w14:textId="77777777" w:rsidR="009A602C" w:rsidRPr="001714A8" w:rsidRDefault="009A602C" w:rsidP="009A602C">
      <w:pPr>
        <w:pStyle w:val="Body"/>
      </w:pPr>
      <w:r w:rsidRPr="001714A8">
        <w:t xml:space="preserve">The review also drew on data presented in the relevant literature and clinical guidelines, all of which are referenced in the report. Guidelines and literature were identified through medical journals and other sources, such as </w:t>
      </w:r>
      <w:r>
        <w:t xml:space="preserve">Cochrane Reviews, </w:t>
      </w:r>
      <w:r w:rsidRPr="001714A8">
        <w:t>professional societies.</w:t>
      </w:r>
      <w:bookmarkEnd w:id="153"/>
    </w:p>
    <w:p w14:paraId="3A6B3BFA" w14:textId="77777777" w:rsidR="009A602C" w:rsidRPr="00F1034D" w:rsidRDefault="009A602C" w:rsidP="009A602C">
      <w:pPr>
        <w:pStyle w:val="Heading1"/>
        <w:rPr>
          <w:color w:val="01653F"/>
        </w:rPr>
      </w:pPr>
      <w:bookmarkStart w:id="161" w:name="_Ref462921985"/>
      <w:bookmarkStart w:id="162" w:name="_Toc524100400"/>
      <w:bookmarkStart w:id="163" w:name="_Toc35347229"/>
      <w:r w:rsidRPr="00F1034D">
        <w:rPr>
          <w:rStyle w:val="Hyperlink0"/>
          <w:color w:val="01653F"/>
        </w:rPr>
        <w:lastRenderedPageBreak/>
        <w:t>R</w:t>
      </w:r>
      <w:bookmarkStart w:id="164" w:name="_Ref4635550871"/>
      <w:bookmarkEnd w:id="161"/>
      <w:r w:rsidRPr="00F1034D">
        <w:rPr>
          <w:rStyle w:val="Hyperlink0"/>
          <w:color w:val="01653F"/>
        </w:rPr>
        <w:t>etinal electrophysiology recommendation</w:t>
      </w:r>
      <w:bookmarkEnd w:id="164"/>
      <w:r w:rsidRPr="00F1034D">
        <w:rPr>
          <w:rStyle w:val="Hyperlink0"/>
          <w:color w:val="01653F"/>
        </w:rPr>
        <w:t>s</w:t>
      </w:r>
      <w:bookmarkEnd w:id="162"/>
      <w:bookmarkEnd w:id="163"/>
    </w:p>
    <w:p w14:paraId="3EE8B64B" w14:textId="77777777" w:rsidR="009A602C" w:rsidRPr="001714A8" w:rsidRDefault="009A602C" w:rsidP="009A602C">
      <w:pPr>
        <w:pStyle w:val="Heading2"/>
      </w:pPr>
      <w:bookmarkStart w:id="165" w:name="_Toc524100401"/>
      <w:bookmarkStart w:id="166" w:name="_Toc536548127"/>
      <w:bookmarkStart w:id="167" w:name="_Toc35347230"/>
      <w:r w:rsidRPr="001714A8">
        <w:rPr>
          <w:rStyle w:val="Hyperlink0"/>
        </w:rPr>
        <w:t>Overview</w:t>
      </w:r>
      <w:bookmarkEnd w:id="165"/>
      <w:bookmarkEnd w:id="166"/>
      <w:bookmarkEnd w:id="167"/>
    </w:p>
    <w:p w14:paraId="00A6383C" w14:textId="0EBCF50B" w:rsidR="009A602C" w:rsidRPr="001714A8" w:rsidRDefault="009A602C" w:rsidP="009A602C">
      <w:pPr>
        <w:pStyle w:val="Body"/>
        <w:ind w:right="142"/>
        <w:rPr>
          <w:lang w:val="en-GB"/>
        </w:rPr>
      </w:pPr>
      <w:r w:rsidRPr="001714A8">
        <w:rPr>
          <w:lang w:val="en-GB"/>
        </w:rPr>
        <w:t>Retinal electrophysiology tests are u</w:t>
      </w:r>
      <w:r w:rsidRPr="00C656B4">
        <w:t>s</w:t>
      </w:r>
      <w:r w:rsidRPr="001714A8">
        <w:rPr>
          <w:lang w:val="en-GB"/>
        </w:rPr>
        <w:t>ed to detect retinal disease and are highly specialised. They should only be performed in centres that adhere to the required standard of care, as specified by the I</w:t>
      </w:r>
      <w:r w:rsidR="00D80E2B">
        <w:rPr>
          <w:lang w:val="en-GB"/>
        </w:rPr>
        <w:t xml:space="preserve">nternational </w:t>
      </w:r>
      <w:r w:rsidRPr="001714A8">
        <w:rPr>
          <w:lang w:val="en-GB"/>
        </w:rPr>
        <w:t>S</w:t>
      </w:r>
      <w:r w:rsidR="00D80E2B">
        <w:rPr>
          <w:lang w:val="en-GB"/>
        </w:rPr>
        <w:t xml:space="preserve">ociety for </w:t>
      </w:r>
      <w:r w:rsidRPr="001714A8">
        <w:rPr>
          <w:lang w:val="en-GB"/>
        </w:rPr>
        <w:t>C</w:t>
      </w:r>
      <w:r w:rsidR="00D80E2B">
        <w:rPr>
          <w:lang w:val="en-GB"/>
        </w:rPr>
        <w:t xml:space="preserve">linical </w:t>
      </w:r>
      <w:r w:rsidRPr="001714A8">
        <w:rPr>
          <w:lang w:val="en-GB"/>
        </w:rPr>
        <w:t>E</w:t>
      </w:r>
      <w:r w:rsidR="00D80E2B">
        <w:rPr>
          <w:lang w:val="en-GB"/>
        </w:rPr>
        <w:t xml:space="preserve">lectrophysiology of </w:t>
      </w:r>
      <w:r w:rsidRPr="001714A8">
        <w:rPr>
          <w:lang w:val="en-GB"/>
        </w:rPr>
        <w:t>V</w:t>
      </w:r>
      <w:r w:rsidR="00D80E2B">
        <w:rPr>
          <w:lang w:val="en-GB"/>
        </w:rPr>
        <w:t>ision (ISCEV)</w:t>
      </w:r>
      <w:r w:rsidRPr="001714A8">
        <w:rPr>
          <w:lang w:val="en-GB"/>
        </w:rPr>
        <w:t xml:space="preserve">. </w:t>
      </w:r>
    </w:p>
    <w:p w14:paraId="03C8193D" w14:textId="77777777" w:rsidR="009A602C" w:rsidRPr="001714A8" w:rsidRDefault="009A602C" w:rsidP="009A602C">
      <w:pPr>
        <w:pStyle w:val="Body"/>
      </w:pPr>
      <w:r w:rsidRPr="001714A8">
        <w:t>The Committee noted that items 11204 and 11205 have recently been amended (effective November 2017) to exclude claiming by GPs. This amendment has proved effective, with no services claimed by GPs in 2018. However, the Committee felt that further restrictions were required due to:</w:t>
      </w:r>
    </w:p>
    <w:p w14:paraId="2E7CD88F" w14:textId="77777777" w:rsidR="009A602C" w:rsidRPr="001714A8" w:rsidRDefault="009A602C" w:rsidP="009A602C">
      <w:pPr>
        <w:pStyle w:val="Bullet-green"/>
      </w:pPr>
      <w:r w:rsidRPr="001714A8">
        <w:t>Significant geographic variation in service provision.</w:t>
      </w:r>
    </w:p>
    <w:p w14:paraId="068CA90C" w14:textId="77777777" w:rsidR="009A602C" w:rsidRPr="001714A8" w:rsidRDefault="009A602C" w:rsidP="009A602C">
      <w:pPr>
        <w:pStyle w:val="Bullet-green"/>
      </w:pPr>
      <w:r w:rsidRPr="001714A8">
        <w:t>A higher than expected number of clinicians claiming these items.</w:t>
      </w:r>
    </w:p>
    <w:p w14:paraId="5D3DE34C" w14:textId="77777777" w:rsidR="009A602C" w:rsidRPr="001714A8" w:rsidRDefault="009A602C" w:rsidP="009A602C">
      <w:pPr>
        <w:pStyle w:val="Bullet-green"/>
      </w:pPr>
      <w:r w:rsidRPr="001714A8">
        <w:t xml:space="preserve">The broad range of specialty clinicians co-claiming item 11205. </w:t>
      </w:r>
      <w:r>
        <w:t>O</w:t>
      </w:r>
      <w:r w:rsidRPr="001714A8">
        <w:t>phthalmologists</w:t>
      </w:r>
      <w:r>
        <w:t xml:space="preserve"> claim just 1 per cent of episodes</w:t>
      </w:r>
      <w:r w:rsidRPr="001714A8">
        <w:t xml:space="preserve">. </w:t>
      </w:r>
      <w:r>
        <w:t>N</w:t>
      </w:r>
      <w:r w:rsidRPr="001714A8">
        <w:t>eurologists</w:t>
      </w:r>
      <w:r>
        <w:t xml:space="preserve"> claim </w:t>
      </w:r>
      <w:proofErr w:type="gramStart"/>
      <w:r>
        <w:t>the majority of</w:t>
      </w:r>
      <w:proofErr w:type="gramEnd"/>
      <w:r>
        <w:t xml:space="preserve"> episodes</w:t>
      </w:r>
      <w:r w:rsidRPr="001714A8">
        <w:t xml:space="preserve"> (50 per cent), indicating significant and broad indication creep. </w:t>
      </w:r>
    </w:p>
    <w:p w14:paraId="2A45CA11" w14:textId="77777777" w:rsidR="009A602C" w:rsidRPr="001714A8" w:rsidRDefault="009A602C" w:rsidP="009A602C">
      <w:pPr>
        <w:pStyle w:val="Heading2"/>
      </w:pPr>
      <w:bookmarkStart w:id="168" w:name="_Toc524100402"/>
      <w:bookmarkStart w:id="169" w:name="_Toc536548128"/>
      <w:bookmarkStart w:id="170" w:name="_Toc35347231"/>
      <w:r w:rsidRPr="001714A8">
        <w:rPr>
          <w:rStyle w:val="Hyperlink0"/>
        </w:rPr>
        <w:t>Electroretinography, electro-oculography and dark adaptometry</w:t>
      </w:r>
      <w:bookmarkEnd w:id="168"/>
      <w:bookmarkEnd w:id="169"/>
      <w:bookmarkEnd w:id="170"/>
    </w:p>
    <w:p w14:paraId="5265BC1A" w14:textId="5FF72F0E" w:rsidR="009A602C" w:rsidRPr="008B57A9" w:rsidRDefault="009A602C" w:rsidP="009A602C">
      <w:pPr>
        <w:pStyle w:val="Caption"/>
        <w:rPr>
          <w:rStyle w:val="None"/>
          <w:lang w:val="en-US"/>
        </w:rPr>
      </w:pPr>
      <w:bookmarkStart w:id="171" w:name="_Toc2170540"/>
      <w:r w:rsidRPr="001F1A87">
        <w:rPr>
          <w:lang w:val="en-US"/>
        </w:rPr>
        <w:t xml:space="preserve">Table </w:t>
      </w:r>
      <w:r w:rsidRPr="001F1A87">
        <w:fldChar w:fldCharType="begin"/>
      </w:r>
      <w:r w:rsidRPr="001F1A87">
        <w:rPr>
          <w:lang w:val="en-US"/>
        </w:rPr>
        <w:instrText xml:space="preserve"> SEQ Table \* ARABIC </w:instrText>
      </w:r>
      <w:r w:rsidRPr="001F1A87">
        <w:fldChar w:fldCharType="separate"/>
      </w:r>
      <w:r w:rsidR="001C6959">
        <w:rPr>
          <w:noProof/>
          <w:lang w:val="en-US"/>
        </w:rPr>
        <w:t>2</w:t>
      </w:r>
      <w:r w:rsidRPr="001F1A87">
        <w:fldChar w:fldCharType="end"/>
      </w:r>
      <w:r w:rsidRPr="001F1A87">
        <w:rPr>
          <w:lang w:val="en-US"/>
        </w:rPr>
        <w:t xml:space="preserve"> : </w:t>
      </w:r>
      <w:r w:rsidRPr="008B57A9">
        <w:rPr>
          <w:rStyle w:val="None"/>
          <w:lang w:val="en-US"/>
        </w:rPr>
        <w:t>Item introduction table for items 11204, 11205 and 11211</w:t>
      </w:r>
      <w:bookmarkEnd w:id="171"/>
      <w:r w:rsidRPr="008B57A9">
        <w:rPr>
          <w:rStyle w:val="None"/>
          <w:lang w:val="en-U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Caption w:val="Table 2: Item Introduction table for items 11204, 11205 and 11211"/>
        <w:tblDescription w:val="Table consists of 6 columns. Column 1 Item, column 2 Descriptor, Column 3 Schedule Column 4 Benefits FY2016/17, Column 5 Services FY2016/17, Column 6 Services 5-year service change% CAGR"/>
      </w:tblPr>
      <w:tblGrid>
        <w:gridCol w:w="784"/>
        <w:gridCol w:w="3312"/>
        <w:gridCol w:w="1059"/>
        <w:gridCol w:w="1182"/>
        <w:gridCol w:w="1050"/>
        <w:gridCol w:w="915"/>
      </w:tblGrid>
      <w:tr w:rsidR="009A602C" w:rsidRPr="001F1A87" w14:paraId="7DD9250D" w14:textId="77777777" w:rsidTr="004102C8">
        <w:trPr>
          <w:tblHeader/>
        </w:trPr>
        <w:tc>
          <w:tcPr>
            <w:tcW w:w="482" w:type="pct"/>
            <w:shd w:val="clear" w:color="auto" w:fill="01653F"/>
            <w:tcMar>
              <w:top w:w="80" w:type="dxa"/>
              <w:left w:w="80" w:type="dxa"/>
              <w:bottom w:w="80" w:type="dxa"/>
              <w:right w:w="80" w:type="dxa"/>
            </w:tcMar>
            <w:vAlign w:val="bottom"/>
          </w:tcPr>
          <w:p w14:paraId="23EE07B1" w14:textId="77777777" w:rsidR="009A602C" w:rsidRPr="001F1A87" w:rsidRDefault="009A602C" w:rsidP="004102C8">
            <w:pPr>
              <w:pStyle w:val="Tableheading-white"/>
              <w:spacing w:line="240" w:lineRule="auto"/>
              <w:rPr>
                <w:sz w:val="20"/>
                <w:szCs w:val="20"/>
              </w:rPr>
            </w:pPr>
            <w:r w:rsidRPr="001F1A87">
              <w:rPr>
                <w:rStyle w:val="None"/>
                <w:sz w:val="20"/>
                <w:szCs w:val="20"/>
              </w:rPr>
              <w:t>Item</w:t>
            </w:r>
          </w:p>
        </w:tc>
        <w:tc>
          <w:tcPr>
            <w:tcW w:w="2004" w:type="pct"/>
            <w:shd w:val="clear" w:color="auto" w:fill="01653F"/>
            <w:tcMar>
              <w:top w:w="80" w:type="dxa"/>
              <w:left w:w="80" w:type="dxa"/>
              <w:bottom w:w="80" w:type="dxa"/>
              <w:right w:w="80" w:type="dxa"/>
            </w:tcMar>
            <w:vAlign w:val="bottom"/>
          </w:tcPr>
          <w:p w14:paraId="7DA9C765" w14:textId="77777777" w:rsidR="009A602C" w:rsidRPr="001F1A87" w:rsidRDefault="009A602C" w:rsidP="004102C8">
            <w:pPr>
              <w:pStyle w:val="Tableheading-white"/>
              <w:spacing w:line="240" w:lineRule="auto"/>
              <w:rPr>
                <w:sz w:val="20"/>
                <w:szCs w:val="20"/>
              </w:rPr>
            </w:pPr>
            <w:r w:rsidRPr="001F1A87">
              <w:rPr>
                <w:rStyle w:val="None"/>
                <w:sz w:val="20"/>
                <w:szCs w:val="20"/>
              </w:rPr>
              <w:t>Descriptor</w:t>
            </w:r>
          </w:p>
        </w:tc>
        <w:tc>
          <w:tcPr>
            <w:tcW w:w="647" w:type="pct"/>
            <w:shd w:val="clear" w:color="auto" w:fill="01653F"/>
            <w:tcMar>
              <w:top w:w="80" w:type="dxa"/>
              <w:left w:w="80" w:type="dxa"/>
              <w:bottom w:w="80" w:type="dxa"/>
              <w:right w:w="80" w:type="dxa"/>
            </w:tcMar>
            <w:vAlign w:val="bottom"/>
          </w:tcPr>
          <w:p w14:paraId="7553736F" w14:textId="77777777" w:rsidR="009A602C" w:rsidRPr="001F1A87" w:rsidRDefault="009A602C" w:rsidP="004102C8">
            <w:pPr>
              <w:pStyle w:val="Tableheading-white"/>
              <w:spacing w:line="240" w:lineRule="auto"/>
              <w:rPr>
                <w:sz w:val="20"/>
                <w:szCs w:val="20"/>
              </w:rPr>
            </w:pPr>
            <w:r w:rsidRPr="001F1A87">
              <w:rPr>
                <w:rStyle w:val="None"/>
                <w:sz w:val="20"/>
                <w:szCs w:val="20"/>
              </w:rPr>
              <w:t>Schedule fee</w:t>
            </w:r>
          </w:p>
        </w:tc>
        <w:tc>
          <w:tcPr>
            <w:tcW w:w="721" w:type="pct"/>
            <w:shd w:val="clear" w:color="auto" w:fill="01653F"/>
            <w:tcMar>
              <w:top w:w="80" w:type="dxa"/>
              <w:left w:w="80" w:type="dxa"/>
              <w:bottom w:w="80" w:type="dxa"/>
              <w:right w:w="80" w:type="dxa"/>
            </w:tcMar>
            <w:vAlign w:val="bottom"/>
          </w:tcPr>
          <w:p w14:paraId="1D80725F" w14:textId="77777777" w:rsidR="009A602C" w:rsidRPr="001F1A87" w:rsidRDefault="009A602C" w:rsidP="004102C8">
            <w:pPr>
              <w:pStyle w:val="Tableheading-white"/>
              <w:spacing w:line="240" w:lineRule="auto"/>
              <w:rPr>
                <w:sz w:val="20"/>
                <w:szCs w:val="20"/>
              </w:rPr>
            </w:pPr>
            <w:r w:rsidRPr="001F1A87">
              <w:rPr>
                <w:rStyle w:val="None"/>
                <w:sz w:val="20"/>
                <w:szCs w:val="20"/>
              </w:rPr>
              <w:t>Benefits FY2016/17</w:t>
            </w:r>
          </w:p>
        </w:tc>
        <w:tc>
          <w:tcPr>
            <w:tcW w:w="585" w:type="pct"/>
            <w:shd w:val="clear" w:color="auto" w:fill="01653F"/>
            <w:tcMar>
              <w:top w:w="80" w:type="dxa"/>
              <w:left w:w="80" w:type="dxa"/>
              <w:bottom w:w="80" w:type="dxa"/>
              <w:right w:w="80" w:type="dxa"/>
            </w:tcMar>
            <w:vAlign w:val="bottom"/>
          </w:tcPr>
          <w:p w14:paraId="63B06287" w14:textId="77777777" w:rsidR="009A602C" w:rsidRPr="001F1A87" w:rsidRDefault="009A602C" w:rsidP="004102C8">
            <w:pPr>
              <w:pStyle w:val="Tableheading-white"/>
              <w:spacing w:line="240" w:lineRule="auto"/>
              <w:rPr>
                <w:sz w:val="20"/>
                <w:szCs w:val="20"/>
              </w:rPr>
            </w:pPr>
            <w:r w:rsidRPr="001F1A87">
              <w:rPr>
                <w:rStyle w:val="None"/>
                <w:sz w:val="20"/>
                <w:szCs w:val="20"/>
              </w:rPr>
              <w:t>Services FY2016/17</w:t>
            </w:r>
          </w:p>
        </w:tc>
        <w:tc>
          <w:tcPr>
            <w:tcW w:w="560" w:type="pct"/>
            <w:shd w:val="clear" w:color="auto" w:fill="01653F"/>
            <w:tcMar>
              <w:top w:w="80" w:type="dxa"/>
              <w:left w:w="80" w:type="dxa"/>
              <w:bottom w:w="80" w:type="dxa"/>
              <w:right w:w="80" w:type="dxa"/>
            </w:tcMar>
            <w:vAlign w:val="bottom"/>
          </w:tcPr>
          <w:p w14:paraId="00C0C1D8" w14:textId="77777777" w:rsidR="009A602C" w:rsidRPr="001F1A87" w:rsidRDefault="009A602C" w:rsidP="004102C8">
            <w:pPr>
              <w:pStyle w:val="Tableheading-white"/>
              <w:spacing w:line="240" w:lineRule="auto"/>
              <w:rPr>
                <w:sz w:val="20"/>
                <w:szCs w:val="20"/>
              </w:rPr>
            </w:pPr>
            <w:r w:rsidRPr="001F1A87">
              <w:rPr>
                <w:rStyle w:val="None"/>
                <w:sz w:val="20"/>
                <w:szCs w:val="20"/>
              </w:rPr>
              <w:t>Services 5-year service change % (CAGR)</w:t>
            </w:r>
          </w:p>
        </w:tc>
      </w:tr>
      <w:tr w:rsidR="009A602C" w:rsidRPr="001F1A87" w14:paraId="46ACCB00" w14:textId="77777777" w:rsidTr="004102C8">
        <w:tblPrEx>
          <w:shd w:val="clear" w:color="auto" w:fill="CED7E7"/>
        </w:tblPrEx>
        <w:tc>
          <w:tcPr>
            <w:tcW w:w="482" w:type="pct"/>
            <w:shd w:val="clear" w:color="auto" w:fill="auto"/>
            <w:tcMar>
              <w:top w:w="80" w:type="dxa"/>
              <w:left w:w="80" w:type="dxa"/>
              <w:bottom w:w="80" w:type="dxa"/>
              <w:right w:w="80" w:type="dxa"/>
            </w:tcMar>
          </w:tcPr>
          <w:p w14:paraId="0E6F5CA9"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11204</w:t>
            </w:r>
          </w:p>
        </w:tc>
        <w:tc>
          <w:tcPr>
            <w:tcW w:w="2004" w:type="pct"/>
            <w:shd w:val="clear" w:color="auto" w:fill="auto"/>
            <w:tcMar>
              <w:top w:w="80" w:type="dxa"/>
              <w:left w:w="80" w:type="dxa"/>
              <w:bottom w:w="80" w:type="dxa"/>
              <w:right w:w="80" w:type="dxa"/>
            </w:tcMar>
          </w:tcPr>
          <w:p w14:paraId="614284DA"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Electroretinography of one or both eyes by computerised averaging techniques, including 3 or more studies performed according to current professional guidelines or standards, performed by or on behalf of a specialist or consultant physician in the practice of his or her speciality.</w:t>
            </w:r>
          </w:p>
        </w:tc>
        <w:tc>
          <w:tcPr>
            <w:tcW w:w="647" w:type="pct"/>
            <w:shd w:val="clear" w:color="auto" w:fill="auto"/>
            <w:tcMar>
              <w:top w:w="80" w:type="dxa"/>
              <w:left w:w="80" w:type="dxa"/>
              <w:bottom w:w="80" w:type="dxa"/>
              <w:right w:w="80" w:type="dxa"/>
            </w:tcMar>
          </w:tcPr>
          <w:p w14:paraId="4FEF87A5"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 $108.25 </w:t>
            </w:r>
          </w:p>
        </w:tc>
        <w:tc>
          <w:tcPr>
            <w:tcW w:w="721" w:type="pct"/>
            <w:shd w:val="clear" w:color="auto" w:fill="auto"/>
            <w:tcMar>
              <w:top w:w="80" w:type="dxa"/>
              <w:left w:w="80" w:type="dxa"/>
              <w:bottom w:w="80" w:type="dxa"/>
              <w:right w:w="80" w:type="dxa"/>
            </w:tcMar>
          </w:tcPr>
          <w:p w14:paraId="3333A6B9"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 $332,720 </w:t>
            </w:r>
          </w:p>
        </w:tc>
        <w:tc>
          <w:tcPr>
            <w:tcW w:w="585" w:type="pct"/>
            <w:shd w:val="clear" w:color="auto" w:fill="auto"/>
            <w:tcMar>
              <w:top w:w="80" w:type="dxa"/>
              <w:left w:w="80" w:type="dxa"/>
              <w:bottom w:w="80" w:type="dxa"/>
              <w:right w:w="80" w:type="dxa"/>
            </w:tcMar>
          </w:tcPr>
          <w:p w14:paraId="5F8FE29E"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3,557 </w:t>
            </w:r>
          </w:p>
        </w:tc>
        <w:tc>
          <w:tcPr>
            <w:tcW w:w="560" w:type="pct"/>
            <w:shd w:val="clear" w:color="auto" w:fill="auto"/>
            <w:tcMar>
              <w:top w:w="80" w:type="dxa"/>
              <w:left w:w="80" w:type="dxa"/>
              <w:bottom w:w="80" w:type="dxa"/>
              <w:right w:w="80" w:type="dxa"/>
            </w:tcMar>
          </w:tcPr>
          <w:p w14:paraId="2DF5B851"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18.5%</w:t>
            </w:r>
          </w:p>
        </w:tc>
      </w:tr>
      <w:tr w:rsidR="009A602C" w:rsidRPr="001F1A87" w14:paraId="3319D12C" w14:textId="77777777" w:rsidTr="004102C8">
        <w:tblPrEx>
          <w:shd w:val="clear" w:color="auto" w:fill="CED7E7"/>
        </w:tblPrEx>
        <w:tc>
          <w:tcPr>
            <w:tcW w:w="482" w:type="pct"/>
            <w:shd w:val="clear" w:color="auto" w:fill="auto"/>
            <w:tcMar>
              <w:top w:w="80" w:type="dxa"/>
              <w:left w:w="80" w:type="dxa"/>
              <w:bottom w:w="80" w:type="dxa"/>
              <w:right w:w="80" w:type="dxa"/>
            </w:tcMar>
          </w:tcPr>
          <w:p w14:paraId="6DF49517"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11205</w:t>
            </w:r>
          </w:p>
        </w:tc>
        <w:tc>
          <w:tcPr>
            <w:tcW w:w="2004" w:type="pct"/>
            <w:shd w:val="clear" w:color="auto" w:fill="auto"/>
            <w:tcMar>
              <w:top w:w="80" w:type="dxa"/>
              <w:left w:w="80" w:type="dxa"/>
              <w:bottom w:w="80" w:type="dxa"/>
              <w:right w:w="80" w:type="dxa"/>
            </w:tcMar>
          </w:tcPr>
          <w:p w14:paraId="5B08883E"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Electrooculography of one or both eyes performed according to current professional guidelines or standards, performed by or on behalf of a </w:t>
            </w:r>
            <w:r w:rsidRPr="001F1A87">
              <w:rPr>
                <w:rStyle w:val="None"/>
                <w:sz w:val="20"/>
                <w:szCs w:val="20"/>
                <w:lang w:val="en-GB"/>
              </w:rPr>
              <w:lastRenderedPageBreak/>
              <w:t>specialist or consultant physician in the practice of his or her speciality.</w:t>
            </w:r>
          </w:p>
        </w:tc>
        <w:tc>
          <w:tcPr>
            <w:tcW w:w="647" w:type="pct"/>
            <w:shd w:val="clear" w:color="auto" w:fill="auto"/>
            <w:tcMar>
              <w:top w:w="80" w:type="dxa"/>
              <w:left w:w="80" w:type="dxa"/>
              <w:bottom w:w="80" w:type="dxa"/>
              <w:right w:w="80" w:type="dxa"/>
            </w:tcMar>
          </w:tcPr>
          <w:p w14:paraId="715F9A26"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lastRenderedPageBreak/>
              <w:t xml:space="preserve"> $108.25 </w:t>
            </w:r>
          </w:p>
        </w:tc>
        <w:tc>
          <w:tcPr>
            <w:tcW w:w="721" w:type="pct"/>
            <w:shd w:val="clear" w:color="auto" w:fill="auto"/>
            <w:tcMar>
              <w:top w:w="80" w:type="dxa"/>
              <w:left w:w="80" w:type="dxa"/>
              <w:bottom w:w="80" w:type="dxa"/>
              <w:right w:w="80" w:type="dxa"/>
            </w:tcMar>
          </w:tcPr>
          <w:p w14:paraId="7BA985A8" w14:textId="5E898A62"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 $1,376,128 </w:t>
            </w:r>
          </w:p>
        </w:tc>
        <w:tc>
          <w:tcPr>
            <w:tcW w:w="585" w:type="pct"/>
            <w:shd w:val="clear" w:color="auto" w:fill="auto"/>
            <w:tcMar>
              <w:top w:w="80" w:type="dxa"/>
              <w:left w:w="80" w:type="dxa"/>
              <w:bottom w:w="80" w:type="dxa"/>
              <w:right w:w="80" w:type="dxa"/>
            </w:tcMar>
          </w:tcPr>
          <w:p w14:paraId="317986ED"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14,766 </w:t>
            </w:r>
          </w:p>
        </w:tc>
        <w:tc>
          <w:tcPr>
            <w:tcW w:w="560" w:type="pct"/>
            <w:shd w:val="clear" w:color="auto" w:fill="auto"/>
            <w:tcMar>
              <w:top w:w="80" w:type="dxa"/>
              <w:left w:w="80" w:type="dxa"/>
              <w:bottom w:w="80" w:type="dxa"/>
              <w:right w:w="80" w:type="dxa"/>
            </w:tcMar>
          </w:tcPr>
          <w:p w14:paraId="1E3A068B"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15.9%</w:t>
            </w:r>
          </w:p>
        </w:tc>
      </w:tr>
      <w:tr w:rsidR="009A602C" w:rsidRPr="001F1A87" w14:paraId="4622B459" w14:textId="77777777" w:rsidTr="004102C8">
        <w:tblPrEx>
          <w:shd w:val="clear" w:color="auto" w:fill="CED7E7"/>
        </w:tblPrEx>
        <w:tc>
          <w:tcPr>
            <w:tcW w:w="482" w:type="pct"/>
            <w:shd w:val="clear" w:color="auto" w:fill="auto"/>
            <w:tcMar>
              <w:top w:w="80" w:type="dxa"/>
              <w:left w:w="80" w:type="dxa"/>
              <w:bottom w:w="80" w:type="dxa"/>
              <w:right w:w="80" w:type="dxa"/>
            </w:tcMar>
          </w:tcPr>
          <w:p w14:paraId="007A5430"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11211</w:t>
            </w:r>
          </w:p>
        </w:tc>
        <w:tc>
          <w:tcPr>
            <w:tcW w:w="2004" w:type="pct"/>
            <w:shd w:val="clear" w:color="auto" w:fill="auto"/>
            <w:tcMar>
              <w:top w:w="80" w:type="dxa"/>
              <w:left w:w="80" w:type="dxa"/>
              <w:bottom w:w="80" w:type="dxa"/>
              <w:right w:w="80" w:type="dxa"/>
            </w:tcMar>
          </w:tcPr>
          <w:p w14:paraId="6FFC68B0"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Dark adaptometry of 1 or both eyes with a quantitative estimation of threshold in log lumens at 45 minutes of dark adaptations</w:t>
            </w:r>
          </w:p>
        </w:tc>
        <w:tc>
          <w:tcPr>
            <w:tcW w:w="647" w:type="pct"/>
            <w:shd w:val="clear" w:color="auto" w:fill="auto"/>
            <w:tcMar>
              <w:top w:w="80" w:type="dxa"/>
              <w:left w:w="80" w:type="dxa"/>
              <w:bottom w:w="80" w:type="dxa"/>
              <w:right w:w="80" w:type="dxa"/>
            </w:tcMar>
          </w:tcPr>
          <w:p w14:paraId="41490B12"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 $108.25 </w:t>
            </w:r>
          </w:p>
        </w:tc>
        <w:tc>
          <w:tcPr>
            <w:tcW w:w="721" w:type="pct"/>
            <w:shd w:val="clear" w:color="auto" w:fill="auto"/>
            <w:tcMar>
              <w:top w:w="80" w:type="dxa"/>
              <w:left w:w="80" w:type="dxa"/>
              <w:bottom w:w="80" w:type="dxa"/>
              <w:right w:w="80" w:type="dxa"/>
            </w:tcMar>
          </w:tcPr>
          <w:p w14:paraId="2A3A7C8B"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 $20,745 </w:t>
            </w:r>
          </w:p>
        </w:tc>
        <w:tc>
          <w:tcPr>
            <w:tcW w:w="585" w:type="pct"/>
            <w:shd w:val="clear" w:color="auto" w:fill="auto"/>
            <w:tcMar>
              <w:top w:w="80" w:type="dxa"/>
              <w:left w:w="80" w:type="dxa"/>
              <w:bottom w:w="80" w:type="dxa"/>
              <w:right w:w="80" w:type="dxa"/>
            </w:tcMar>
          </w:tcPr>
          <w:p w14:paraId="20C8B385"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 xml:space="preserve">223 </w:t>
            </w:r>
          </w:p>
        </w:tc>
        <w:tc>
          <w:tcPr>
            <w:tcW w:w="560" w:type="pct"/>
            <w:shd w:val="clear" w:color="auto" w:fill="auto"/>
            <w:tcMar>
              <w:top w:w="80" w:type="dxa"/>
              <w:left w:w="80" w:type="dxa"/>
              <w:bottom w:w="80" w:type="dxa"/>
              <w:right w:w="80" w:type="dxa"/>
            </w:tcMar>
          </w:tcPr>
          <w:p w14:paraId="4E9BB2AF" w14:textId="77777777" w:rsidR="009A602C" w:rsidRPr="001F1A87" w:rsidRDefault="009A602C" w:rsidP="004102C8">
            <w:pPr>
              <w:pStyle w:val="Body"/>
              <w:spacing w:before="0" w:after="0" w:line="240" w:lineRule="auto"/>
              <w:rPr>
                <w:sz w:val="20"/>
                <w:szCs w:val="20"/>
                <w:lang w:val="en-GB"/>
              </w:rPr>
            </w:pPr>
            <w:r w:rsidRPr="001F1A87">
              <w:rPr>
                <w:rStyle w:val="None"/>
                <w:sz w:val="20"/>
                <w:szCs w:val="20"/>
                <w:lang w:val="en-GB"/>
              </w:rPr>
              <w:t>-0.3%</w:t>
            </w:r>
          </w:p>
        </w:tc>
      </w:tr>
    </w:tbl>
    <w:p w14:paraId="3C6D8CD4" w14:textId="77777777" w:rsidR="009A602C" w:rsidRPr="00C656B4" w:rsidRDefault="009A602C" w:rsidP="009A602C">
      <w:pPr>
        <w:pStyle w:val="Heading3"/>
      </w:pPr>
      <w:bookmarkStart w:id="172" w:name="_Toc536548129"/>
      <w:bookmarkStart w:id="173" w:name="_Toc35347232"/>
      <w:r w:rsidRPr="00C656B4">
        <w:t>Recommendation 1</w:t>
      </w:r>
      <w:bookmarkEnd w:id="172"/>
      <w:bookmarkEnd w:id="173"/>
      <w:r w:rsidRPr="00C656B4">
        <w:t xml:space="preserve"> </w:t>
      </w:r>
    </w:p>
    <w:p w14:paraId="51C07A54" w14:textId="77777777" w:rsidR="009A602C" w:rsidRPr="001714A8" w:rsidRDefault="009A602C" w:rsidP="009A602C">
      <w:pPr>
        <w:pStyle w:val="Bullet-green"/>
      </w:pPr>
      <w:r w:rsidRPr="001714A8">
        <w:t>Items 11204, 11205 and 11211</w:t>
      </w:r>
    </w:p>
    <w:p w14:paraId="6021D622" w14:textId="3DF9DA69" w:rsidR="009A602C" w:rsidRPr="001714A8" w:rsidRDefault="009A602C" w:rsidP="009A602C">
      <w:pPr>
        <w:pStyle w:val="Bullet2"/>
      </w:pPr>
      <w:r w:rsidRPr="001714A8">
        <w:t>Amend the item descriptors to restrict use to ophthalmologists</w:t>
      </w:r>
      <w:r w:rsidR="00FB751A">
        <w:t>,</w:t>
      </w:r>
      <w:r>
        <w:t xml:space="preserve"> or a technician on behalf of an ophthalmologist</w:t>
      </w:r>
      <w:r w:rsidR="00FB751A">
        <w:t>,</w:t>
      </w:r>
      <w:r w:rsidRPr="001714A8">
        <w:t xml:space="preserve"> by incorporating the following wording: “performed by </w:t>
      </w:r>
      <w:r>
        <w:t xml:space="preserve">or on behalf of </w:t>
      </w:r>
      <w:r w:rsidRPr="001714A8">
        <w:t>a specialist practising in his or her speciality of Ophthalmology</w:t>
      </w:r>
      <w:r>
        <w:t>”</w:t>
      </w:r>
      <w:r w:rsidRPr="001714A8">
        <w:t xml:space="preserve">. </w:t>
      </w:r>
    </w:p>
    <w:p w14:paraId="0D20CC98" w14:textId="77777777" w:rsidR="009A602C" w:rsidRPr="001714A8" w:rsidRDefault="009A602C" w:rsidP="009A602C">
      <w:pPr>
        <w:pStyle w:val="Bullet2"/>
      </w:pPr>
      <w:r w:rsidRPr="001714A8">
        <w:t xml:space="preserve">Investigate clinicians who are not based at specialised retinal electrophysiology centres in Australia (Figure </w:t>
      </w:r>
      <w:r>
        <w:t>3</w:t>
      </w:r>
      <w:r w:rsidRPr="001714A8">
        <w:t>).</w:t>
      </w:r>
    </w:p>
    <w:p w14:paraId="3E558875" w14:textId="77777777" w:rsidR="009A602C" w:rsidRPr="00C656B4" w:rsidRDefault="009A602C" w:rsidP="009A602C">
      <w:pPr>
        <w:pStyle w:val="Heading3"/>
      </w:pPr>
      <w:bookmarkStart w:id="174" w:name="_Toc536548130"/>
      <w:bookmarkStart w:id="175" w:name="_Toc35347233"/>
      <w:r w:rsidRPr="00C656B4">
        <w:t>Rationale for Recommendation 1</w:t>
      </w:r>
      <w:bookmarkEnd w:id="174"/>
      <w:bookmarkEnd w:id="175"/>
    </w:p>
    <w:p w14:paraId="7260D4E8" w14:textId="77777777" w:rsidR="009A602C" w:rsidRPr="001714A8" w:rsidRDefault="009A602C" w:rsidP="009A602C">
      <w:pPr>
        <w:pStyle w:val="Body"/>
        <w:ind w:right="142"/>
        <w:rPr>
          <w:lang w:val="en-GB"/>
        </w:rPr>
      </w:pPr>
      <w:r w:rsidRPr="001714A8">
        <w:rPr>
          <w:lang w:val="en-GB"/>
        </w:rPr>
        <w:t>This recommendation prevents claims for services that do not adhere to the item descriptors. It is based on the following.</w:t>
      </w:r>
    </w:p>
    <w:p w14:paraId="07D4B169" w14:textId="77777777" w:rsidR="009A602C" w:rsidRPr="001714A8" w:rsidRDefault="009A602C" w:rsidP="009A602C">
      <w:pPr>
        <w:pStyle w:val="Bullet-green"/>
      </w:pPr>
      <w:r w:rsidRPr="001714A8">
        <w:t>Items 11204 and 11205</w:t>
      </w:r>
      <w:r w:rsidRPr="001714A8">
        <w:tab/>
      </w:r>
    </w:p>
    <w:p w14:paraId="05A6B6A1" w14:textId="77777777" w:rsidR="009A602C" w:rsidRPr="001714A8" w:rsidRDefault="009A602C" w:rsidP="009A602C">
      <w:pPr>
        <w:pStyle w:val="Bullet2"/>
      </w:pPr>
      <w:r w:rsidRPr="001714A8">
        <w:t>This recommendation replaces the current descriptor restriction for items 11204 and 11205 (“performed by or on behalf of a specialist or consultant physician in the practice of his or her speciality”)</w:t>
      </w:r>
      <w:r w:rsidRPr="001714A8">
        <w:rPr>
          <w:rStyle w:val="None"/>
          <w:i/>
          <w:iCs/>
        </w:rPr>
        <w:t>.</w:t>
      </w:r>
      <w:r w:rsidRPr="001714A8">
        <w:t xml:space="preserve">  </w:t>
      </w:r>
    </w:p>
    <w:p w14:paraId="67B8FBC7" w14:textId="77777777" w:rsidR="009A602C" w:rsidRPr="001714A8" w:rsidRDefault="009A602C" w:rsidP="009A602C">
      <w:pPr>
        <w:pStyle w:val="Bullet2"/>
      </w:pPr>
      <w:r w:rsidRPr="001714A8">
        <w:t xml:space="preserve">A broad range of specialty clinicians are claiming item 11205 and, to a lesser extent, item 11204. The Committee reviewed MBS data from January 1 to March </w:t>
      </w:r>
      <w:proofErr w:type="gramStart"/>
      <w:r w:rsidRPr="001714A8">
        <w:t>31</w:t>
      </w:r>
      <w:proofErr w:type="gramEnd"/>
      <w:r w:rsidRPr="001714A8">
        <w:t xml:space="preserve"> 2018 and found the following:</w:t>
      </w:r>
    </w:p>
    <w:p w14:paraId="3E9FF176" w14:textId="77777777" w:rsidR="009A602C" w:rsidRPr="001714A8" w:rsidRDefault="009A602C" w:rsidP="009A602C">
      <w:pPr>
        <w:pStyle w:val="Dash3"/>
      </w:pPr>
      <w:r w:rsidRPr="001714A8">
        <w:t xml:space="preserve">Item 11205: </w:t>
      </w:r>
      <w:r>
        <w:t xml:space="preserve">Ophthalmologists made </w:t>
      </w:r>
      <w:r w:rsidRPr="001714A8">
        <w:t>1 per cent of claims (45 episodes),</w:t>
      </w:r>
      <w:r>
        <w:t xml:space="preserve"> neurologists made</w:t>
      </w:r>
      <w:r w:rsidRPr="001714A8">
        <w:t xml:space="preserve"> 55 per cent</w:t>
      </w:r>
      <w:r>
        <w:t xml:space="preserve"> of claims</w:t>
      </w:r>
      <w:r w:rsidRPr="001714A8">
        <w:t xml:space="preserve"> (1,729 episodes), and</w:t>
      </w:r>
      <w:r>
        <w:t xml:space="preserve"> ear, nose and throat specialists made</w:t>
      </w:r>
      <w:r w:rsidRPr="001714A8">
        <w:t xml:space="preserve"> 28 per cent</w:t>
      </w:r>
      <w:r>
        <w:t xml:space="preserve"> of claims</w:t>
      </w:r>
      <w:r w:rsidRPr="001714A8">
        <w:t xml:space="preserve"> (894 episodes). The </w:t>
      </w:r>
      <w:r w:rsidRPr="001714A8">
        <w:lastRenderedPageBreak/>
        <w:t>Committee agreed that this represent</w:t>
      </w:r>
      <w:r>
        <w:t>s</w:t>
      </w:r>
      <w:r w:rsidRPr="001714A8">
        <w:t xml:space="preserve"> significant and broad indication creep. </w:t>
      </w:r>
    </w:p>
    <w:p w14:paraId="18FF127D" w14:textId="353CC151" w:rsidR="009A602C" w:rsidRPr="001714A8" w:rsidRDefault="009A602C" w:rsidP="00D00955">
      <w:pPr>
        <w:pStyle w:val="Dash3"/>
        <w:jc w:val="both"/>
      </w:pPr>
      <w:r w:rsidRPr="001714A8">
        <w:t xml:space="preserve">Item 11204: </w:t>
      </w:r>
      <w:r>
        <w:t xml:space="preserve">Ophthalmologists made </w:t>
      </w:r>
      <w:r w:rsidRPr="001714A8">
        <w:t xml:space="preserve">75 per cent of claims (265 episodes), endocrinologists </w:t>
      </w:r>
      <w:r>
        <w:t xml:space="preserve">made </w:t>
      </w:r>
      <w:r w:rsidRPr="001714A8">
        <w:t xml:space="preserve">9 per cent </w:t>
      </w:r>
      <w:r>
        <w:t xml:space="preserve">of claims </w:t>
      </w:r>
      <w:r w:rsidRPr="001714A8">
        <w:t>(34 episodes),</w:t>
      </w:r>
      <w:r>
        <w:t xml:space="preserve"> neurologists made</w:t>
      </w:r>
      <w:r w:rsidRPr="001714A8">
        <w:t xml:space="preserve"> 8 per cent</w:t>
      </w:r>
      <w:r>
        <w:t xml:space="preserve"> of claims</w:t>
      </w:r>
      <w:r w:rsidRPr="001714A8">
        <w:t xml:space="preserve"> (27 episodes), and</w:t>
      </w:r>
      <w:r>
        <w:t xml:space="preserve"> ear, nose and throat specialists made</w:t>
      </w:r>
      <w:r w:rsidRPr="001714A8">
        <w:t xml:space="preserve"> 8 per cent </w:t>
      </w:r>
      <w:r>
        <w:t xml:space="preserve">of claims </w:t>
      </w:r>
      <w:r w:rsidRPr="001714A8">
        <w:t>(29 episodes). The Committee agreed that this represent</w:t>
      </w:r>
      <w:r>
        <w:t>s</w:t>
      </w:r>
      <w:r w:rsidRPr="001714A8">
        <w:t xml:space="preserve"> mild indication creep. </w:t>
      </w:r>
    </w:p>
    <w:p w14:paraId="0C74F7FD" w14:textId="77777777" w:rsidR="009A602C" w:rsidRPr="001714A8" w:rsidRDefault="009A602C" w:rsidP="00D00955">
      <w:pPr>
        <w:pStyle w:val="Bullet2"/>
      </w:pPr>
      <w:r w:rsidRPr="001714A8">
        <w:t xml:space="preserve">The Committee is unaware of the specific services provided by non-ophthalmic specialists but is confident that they do not include electro-oculograms (item 11205) or electroretinograms (item 11204). Accepted professional ISCEV standards state that these tests should only be done in specialised </w:t>
      </w:r>
      <w:r>
        <w:t>retinal electrophysiology</w:t>
      </w:r>
      <w:r w:rsidRPr="001714A8">
        <w:t xml:space="preserve"> units. The literature recognises that the practice of clinical visual electrophysiologic testing is a subspecialty of ophthalmic care that requires specific training and dedication to become proficient.</w:t>
      </w:r>
      <w:r>
        <w:rPr>
          <w:vertAlign w:val="superscript"/>
        </w:rPr>
        <w:t>8</w:t>
      </w:r>
      <w:r w:rsidRPr="001714A8">
        <w:t xml:space="preserve"> </w:t>
      </w:r>
    </w:p>
    <w:p w14:paraId="7E5A6FAF" w14:textId="77777777" w:rsidR="009A602C" w:rsidRPr="001714A8" w:rsidRDefault="009A602C" w:rsidP="009A602C">
      <w:pPr>
        <w:pStyle w:val="Bullet-green"/>
      </w:pPr>
      <w:r w:rsidRPr="001714A8">
        <w:t>Item 11211</w:t>
      </w:r>
    </w:p>
    <w:p w14:paraId="6E7B976A" w14:textId="77777777" w:rsidR="009A602C" w:rsidRPr="001714A8" w:rsidRDefault="009A602C" w:rsidP="009A602C">
      <w:pPr>
        <w:pStyle w:val="Bullet2"/>
        <w:rPr>
          <w:i/>
          <w:iCs/>
        </w:rPr>
      </w:pPr>
      <w:r w:rsidRPr="001714A8">
        <w:rPr>
          <w:rStyle w:val="None"/>
        </w:rPr>
        <w:t xml:space="preserve">This recommendation places an additional restriction on the descriptor for item 11211. </w:t>
      </w:r>
      <w:r w:rsidRPr="001714A8">
        <w:rPr>
          <w:i/>
          <w:iCs/>
        </w:rPr>
        <w:t xml:space="preserve"> </w:t>
      </w:r>
    </w:p>
    <w:p w14:paraId="166CADAE" w14:textId="5BC62179" w:rsidR="009A602C" w:rsidRPr="001714A8" w:rsidRDefault="009A602C" w:rsidP="009A602C">
      <w:pPr>
        <w:pStyle w:val="Bullet2"/>
        <w:rPr>
          <w:i/>
          <w:iCs/>
        </w:rPr>
      </w:pPr>
      <w:r w:rsidRPr="001714A8">
        <w:rPr>
          <w:rStyle w:val="None"/>
        </w:rPr>
        <w:t>This item has been restricted to promote consistency among retinal electrophysiology items, which should only be performed by ophthalmologists,</w:t>
      </w:r>
      <w:r>
        <w:rPr>
          <w:rStyle w:val="None"/>
        </w:rPr>
        <w:t xml:space="preserve"> or technicians on behalf of an ophthalmologist,</w:t>
      </w:r>
      <w:r w:rsidRPr="001714A8">
        <w:rPr>
          <w:rStyle w:val="None"/>
        </w:rPr>
        <w:t xml:space="preserve"> and to prevent future indication creep. The Committee recognised that</w:t>
      </w:r>
      <w:r>
        <w:rPr>
          <w:rStyle w:val="None"/>
        </w:rPr>
        <w:t xml:space="preserve"> </w:t>
      </w:r>
      <w:r w:rsidRPr="001714A8">
        <w:rPr>
          <w:rStyle w:val="None"/>
        </w:rPr>
        <w:t>ophthalmologists</w:t>
      </w:r>
      <w:r>
        <w:rPr>
          <w:rStyle w:val="None"/>
        </w:rPr>
        <w:t xml:space="preserve"> currently claim all services</w:t>
      </w:r>
      <w:r w:rsidRPr="001714A8">
        <w:rPr>
          <w:rStyle w:val="None"/>
        </w:rPr>
        <w:t xml:space="preserve">. </w:t>
      </w:r>
    </w:p>
    <w:p w14:paraId="624F9C8A" w14:textId="77777777" w:rsidR="009A602C" w:rsidRPr="001714A8" w:rsidRDefault="009A602C" w:rsidP="009A602C">
      <w:pPr>
        <w:pStyle w:val="Bullet-green"/>
        <w:rPr>
          <w:i/>
          <w:iCs/>
        </w:rPr>
      </w:pPr>
      <w:r w:rsidRPr="001714A8">
        <w:rPr>
          <w:rStyle w:val="None"/>
        </w:rPr>
        <w:t>Items 11204, 11205 and 11211</w:t>
      </w:r>
    </w:p>
    <w:p w14:paraId="23353A0B" w14:textId="77777777" w:rsidR="009A602C" w:rsidRPr="001714A8" w:rsidRDefault="009A602C" w:rsidP="009A602C">
      <w:pPr>
        <w:pStyle w:val="Bullet2"/>
      </w:pPr>
      <w:r w:rsidRPr="001714A8">
        <w:t>The Committee recommended investigating clinicians who are not based at specialised retinal electrophysiology centres</w:t>
      </w:r>
      <w:r>
        <w:t>.</w:t>
      </w:r>
      <w:r w:rsidRPr="001714A8">
        <w:t xml:space="preserve"> </w:t>
      </w:r>
      <w:r>
        <w:t>It</w:t>
      </w:r>
      <w:r w:rsidRPr="001714A8">
        <w:t xml:space="preserve"> noted significant geographic variation in service provision for these items (Figure </w:t>
      </w:r>
      <w:r>
        <w:t>4</w:t>
      </w:r>
      <w:r w:rsidRPr="001714A8">
        <w:t>) and suspects that some clinicians are using the items in a manner that is not compliant with best</w:t>
      </w:r>
      <w:r>
        <w:t>-</w:t>
      </w:r>
      <w:r w:rsidRPr="001714A8">
        <w:t xml:space="preserve">practice ISCEV standards of care. These standards are referenced in the item descriptors and detailed in the explanatory notes. This recommendation should minimise the number of services performed </w:t>
      </w:r>
      <w:r>
        <w:t>outside specialised retinal electrophysiology centres.</w:t>
      </w:r>
    </w:p>
    <w:p w14:paraId="4C007EA7" w14:textId="77777777" w:rsidR="009A602C" w:rsidRPr="001714A8" w:rsidRDefault="009A602C" w:rsidP="009A602C">
      <w:pPr>
        <w:pStyle w:val="Bullet2"/>
      </w:pPr>
      <w:r w:rsidRPr="001714A8">
        <w:lastRenderedPageBreak/>
        <w:t xml:space="preserve">The Committee also noted that variation in servicing among ophthalmologists is higher than expected and requires further investigation by MBS Compliance. </w:t>
      </w:r>
    </w:p>
    <w:p w14:paraId="4A07B185" w14:textId="77777777" w:rsidR="009A602C" w:rsidRPr="001714A8" w:rsidRDefault="009A602C" w:rsidP="009A602C">
      <w:pPr>
        <w:pStyle w:val="Heading2"/>
      </w:pPr>
      <w:bookmarkStart w:id="176" w:name="_Toc524100403"/>
      <w:bookmarkStart w:id="177" w:name="_Toc536548131"/>
      <w:bookmarkStart w:id="178" w:name="_Toc35347234"/>
      <w:r w:rsidRPr="001714A8">
        <w:t>Pattern electroretinography</w:t>
      </w:r>
      <w:bookmarkEnd w:id="176"/>
      <w:bookmarkEnd w:id="177"/>
      <w:bookmarkEnd w:id="178"/>
    </w:p>
    <w:p w14:paraId="243227E4" w14:textId="4EA48D60" w:rsidR="009A602C" w:rsidRPr="00315286" w:rsidRDefault="009A602C" w:rsidP="009A602C">
      <w:pPr>
        <w:pStyle w:val="Caption"/>
        <w:rPr>
          <w:rStyle w:val="None"/>
          <w:bCs/>
          <w:color w:val="000000"/>
          <w:sz w:val="24"/>
          <w:szCs w:val="22"/>
          <w:u w:color="000000"/>
          <w:lang w:val="en-GB"/>
        </w:rPr>
      </w:pPr>
      <w:bookmarkStart w:id="179" w:name="_Toc2170541"/>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3</w:t>
      </w:r>
      <w:r>
        <w:fldChar w:fldCharType="end"/>
      </w:r>
      <w:r w:rsidRPr="00C656B4">
        <w:rPr>
          <w:lang w:val="en-US"/>
        </w:rPr>
        <w:t xml:space="preserve"> : </w:t>
      </w:r>
      <w:r w:rsidRPr="00BD7192">
        <w:rPr>
          <w:rStyle w:val="None"/>
          <w:bCs/>
          <w:lang w:val="en-GB"/>
        </w:rPr>
        <w:t xml:space="preserve"> Item introduction table for item 11210</w:t>
      </w:r>
      <w:bookmarkEnd w:id="179"/>
      <w:r w:rsidRPr="00BD7192">
        <w:rPr>
          <w:rStyle w:val="None"/>
          <w:bCs/>
          <w:lang w:val="en-GB"/>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66"/>
        <w:gridCol w:w="3294"/>
        <w:gridCol w:w="1039"/>
        <w:gridCol w:w="1162"/>
        <w:gridCol w:w="1139"/>
        <w:gridCol w:w="902"/>
      </w:tblGrid>
      <w:tr w:rsidR="009A602C" w:rsidRPr="005D4CE2" w14:paraId="167AC0DF" w14:textId="77777777" w:rsidTr="004102C8">
        <w:trPr>
          <w:trHeight w:val="1269"/>
          <w:tblHeader/>
        </w:trPr>
        <w:tc>
          <w:tcPr>
            <w:tcW w:w="461" w:type="pct"/>
            <w:shd w:val="clear" w:color="auto" w:fill="01653F"/>
            <w:tcMar>
              <w:top w:w="80" w:type="dxa"/>
              <w:left w:w="80" w:type="dxa"/>
              <w:bottom w:w="80" w:type="dxa"/>
              <w:right w:w="80" w:type="dxa"/>
            </w:tcMar>
            <w:vAlign w:val="bottom"/>
          </w:tcPr>
          <w:p w14:paraId="333110DF" w14:textId="77777777" w:rsidR="009A602C" w:rsidRPr="005D4CE2" w:rsidRDefault="009A602C" w:rsidP="004102C8">
            <w:pPr>
              <w:pStyle w:val="Tableheading-white"/>
              <w:spacing w:line="240" w:lineRule="auto"/>
              <w:rPr>
                <w:sz w:val="20"/>
                <w:szCs w:val="20"/>
              </w:rPr>
            </w:pPr>
            <w:r w:rsidRPr="005D4CE2">
              <w:rPr>
                <w:rStyle w:val="None"/>
                <w:sz w:val="20"/>
                <w:szCs w:val="20"/>
              </w:rPr>
              <w:t>Item</w:t>
            </w:r>
          </w:p>
        </w:tc>
        <w:tc>
          <w:tcPr>
            <w:tcW w:w="1983" w:type="pct"/>
            <w:shd w:val="clear" w:color="auto" w:fill="01653F"/>
            <w:tcMar>
              <w:top w:w="80" w:type="dxa"/>
              <w:left w:w="80" w:type="dxa"/>
              <w:bottom w:w="80" w:type="dxa"/>
              <w:right w:w="80" w:type="dxa"/>
            </w:tcMar>
            <w:vAlign w:val="bottom"/>
          </w:tcPr>
          <w:p w14:paraId="7C6119F1" w14:textId="77777777" w:rsidR="009A602C" w:rsidRPr="005D4CE2" w:rsidRDefault="009A602C" w:rsidP="004102C8">
            <w:pPr>
              <w:pStyle w:val="Tableheading-white"/>
              <w:spacing w:line="240" w:lineRule="auto"/>
              <w:rPr>
                <w:sz w:val="20"/>
                <w:szCs w:val="20"/>
              </w:rPr>
            </w:pPr>
            <w:r w:rsidRPr="005D4CE2">
              <w:rPr>
                <w:rStyle w:val="None"/>
                <w:sz w:val="20"/>
                <w:szCs w:val="20"/>
              </w:rPr>
              <w:t>Descriptor</w:t>
            </w:r>
          </w:p>
        </w:tc>
        <w:tc>
          <w:tcPr>
            <w:tcW w:w="626" w:type="pct"/>
            <w:shd w:val="clear" w:color="auto" w:fill="01653F"/>
            <w:tcMar>
              <w:top w:w="80" w:type="dxa"/>
              <w:left w:w="80" w:type="dxa"/>
              <w:bottom w:w="80" w:type="dxa"/>
              <w:right w:w="80" w:type="dxa"/>
            </w:tcMar>
            <w:vAlign w:val="bottom"/>
          </w:tcPr>
          <w:p w14:paraId="342D3813" w14:textId="77777777" w:rsidR="009A602C" w:rsidRPr="005D4CE2" w:rsidRDefault="009A602C" w:rsidP="004102C8">
            <w:pPr>
              <w:pStyle w:val="Tableheading-white"/>
              <w:spacing w:line="240" w:lineRule="auto"/>
              <w:rPr>
                <w:sz w:val="20"/>
                <w:szCs w:val="20"/>
              </w:rPr>
            </w:pPr>
            <w:r w:rsidRPr="005D4CE2">
              <w:rPr>
                <w:rStyle w:val="None"/>
                <w:sz w:val="20"/>
                <w:szCs w:val="20"/>
              </w:rPr>
              <w:t>Schedule fee</w:t>
            </w:r>
          </w:p>
        </w:tc>
        <w:tc>
          <w:tcPr>
            <w:tcW w:w="700" w:type="pct"/>
            <w:shd w:val="clear" w:color="auto" w:fill="01653F"/>
            <w:tcMar>
              <w:top w:w="80" w:type="dxa"/>
              <w:left w:w="80" w:type="dxa"/>
              <w:bottom w:w="80" w:type="dxa"/>
              <w:right w:w="80" w:type="dxa"/>
            </w:tcMar>
            <w:vAlign w:val="bottom"/>
          </w:tcPr>
          <w:p w14:paraId="45CCFEC1" w14:textId="77777777" w:rsidR="009A602C" w:rsidRPr="005D4CE2" w:rsidRDefault="009A602C" w:rsidP="004102C8">
            <w:pPr>
              <w:pStyle w:val="Tableheading-white"/>
              <w:spacing w:line="240" w:lineRule="auto"/>
              <w:rPr>
                <w:sz w:val="20"/>
                <w:szCs w:val="20"/>
              </w:rPr>
            </w:pPr>
            <w:r w:rsidRPr="005D4CE2">
              <w:rPr>
                <w:rStyle w:val="None"/>
                <w:sz w:val="20"/>
                <w:szCs w:val="20"/>
              </w:rPr>
              <w:t>Benefits FY2016/17</w:t>
            </w:r>
          </w:p>
        </w:tc>
        <w:tc>
          <w:tcPr>
            <w:tcW w:w="686" w:type="pct"/>
            <w:shd w:val="clear" w:color="auto" w:fill="01653F"/>
            <w:tcMar>
              <w:top w:w="80" w:type="dxa"/>
              <w:left w:w="80" w:type="dxa"/>
              <w:bottom w:w="80" w:type="dxa"/>
              <w:right w:w="80" w:type="dxa"/>
            </w:tcMar>
            <w:vAlign w:val="bottom"/>
          </w:tcPr>
          <w:p w14:paraId="64560163" w14:textId="77777777" w:rsidR="009A602C" w:rsidRPr="005D4CE2" w:rsidRDefault="009A602C" w:rsidP="004102C8">
            <w:pPr>
              <w:pStyle w:val="Tableheading-white"/>
              <w:spacing w:line="240" w:lineRule="auto"/>
              <w:rPr>
                <w:sz w:val="20"/>
                <w:szCs w:val="20"/>
              </w:rPr>
            </w:pPr>
            <w:r w:rsidRPr="005D4CE2">
              <w:rPr>
                <w:rStyle w:val="None"/>
                <w:sz w:val="20"/>
                <w:szCs w:val="20"/>
              </w:rPr>
              <w:t>Services FY2016/17</w:t>
            </w:r>
          </w:p>
        </w:tc>
        <w:tc>
          <w:tcPr>
            <w:tcW w:w="543" w:type="pct"/>
            <w:shd w:val="clear" w:color="auto" w:fill="01653F"/>
            <w:tcMar>
              <w:top w:w="80" w:type="dxa"/>
              <w:left w:w="80" w:type="dxa"/>
              <w:bottom w:w="80" w:type="dxa"/>
              <w:right w:w="80" w:type="dxa"/>
            </w:tcMar>
            <w:vAlign w:val="bottom"/>
          </w:tcPr>
          <w:p w14:paraId="5280138C" w14:textId="77777777" w:rsidR="009A602C" w:rsidRPr="005D4CE2" w:rsidRDefault="009A602C" w:rsidP="004102C8">
            <w:pPr>
              <w:pStyle w:val="Tableheading-white"/>
              <w:spacing w:line="240" w:lineRule="auto"/>
              <w:rPr>
                <w:sz w:val="20"/>
                <w:szCs w:val="20"/>
              </w:rPr>
            </w:pPr>
            <w:r w:rsidRPr="005D4CE2">
              <w:rPr>
                <w:rStyle w:val="None"/>
                <w:sz w:val="20"/>
                <w:szCs w:val="20"/>
              </w:rPr>
              <w:t>Services 5-year service change % (CAGR)</w:t>
            </w:r>
          </w:p>
        </w:tc>
      </w:tr>
      <w:tr w:rsidR="009A602C" w:rsidRPr="005D4CE2" w14:paraId="5EE91A85" w14:textId="77777777" w:rsidTr="004102C8">
        <w:tblPrEx>
          <w:shd w:val="clear" w:color="auto" w:fill="CED7E7"/>
        </w:tblPrEx>
        <w:trPr>
          <w:trHeight w:val="1339"/>
        </w:trPr>
        <w:tc>
          <w:tcPr>
            <w:tcW w:w="461" w:type="pct"/>
            <w:shd w:val="clear" w:color="auto" w:fill="auto"/>
            <w:tcMar>
              <w:top w:w="80" w:type="dxa"/>
              <w:left w:w="80" w:type="dxa"/>
              <w:bottom w:w="80" w:type="dxa"/>
              <w:right w:w="80" w:type="dxa"/>
            </w:tcMar>
          </w:tcPr>
          <w:p w14:paraId="7E45EAC6"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11210</w:t>
            </w:r>
          </w:p>
        </w:tc>
        <w:tc>
          <w:tcPr>
            <w:tcW w:w="1983" w:type="pct"/>
            <w:shd w:val="clear" w:color="auto" w:fill="auto"/>
            <w:tcMar>
              <w:top w:w="80" w:type="dxa"/>
              <w:left w:w="80" w:type="dxa"/>
              <w:bottom w:w="80" w:type="dxa"/>
              <w:right w:w="80" w:type="dxa"/>
            </w:tcMar>
          </w:tcPr>
          <w:p w14:paraId="5B4C9DDF"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Pattern electroretinography of 1 or both eyes by computerised averaging techniques, including 3 or more studies performed according to current professional guidelines or standards</w:t>
            </w:r>
          </w:p>
        </w:tc>
        <w:tc>
          <w:tcPr>
            <w:tcW w:w="626" w:type="pct"/>
            <w:shd w:val="clear" w:color="auto" w:fill="auto"/>
            <w:tcMar>
              <w:top w:w="80" w:type="dxa"/>
              <w:left w:w="80" w:type="dxa"/>
              <w:bottom w:w="80" w:type="dxa"/>
              <w:right w:w="80" w:type="dxa"/>
            </w:tcMar>
          </w:tcPr>
          <w:p w14:paraId="25515C3D"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 xml:space="preserve"> $108.25 </w:t>
            </w:r>
          </w:p>
        </w:tc>
        <w:tc>
          <w:tcPr>
            <w:tcW w:w="700" w:type="pct"/>
            <w:shd w:val="clear" w:color="auto" w:fill="auto"/>
            <w:tcMar>
              <w:top w:w="80" w:type="dxa"/>
              <w:left w:w="80" w:type="dxa"/>
              <w:bottom w:w="80" w:type="dxa"/>
              <w:right w:w="80" w:type="dxa"/>
            </w:tcMar>
          </w:tcPr>
          <w:p w14:paraId="3D4C5D09"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 xml:space="preserve"> $74,944 </w:t>
            </w:r>
          </w:p>
        </w:tc>
        <w:tc>
          <w:tcPr>
            <w:tcW w:w="686" w:type="pct"/>
            <w:shd w:val="clear" w:color="auto" w:fill="auto"/>
            <w:tcMar>
              <w:top w:w="80" w:type="dxa"/>
              <w:left w:w="80" w:type="dxa"/>
              <w:bottom w:w="80" w:type="dxa"/>
              <w:right w:w="80" w:type="dxa"/>
            </w:tcMar>
          </w:tcPr>
          <w:p w14:paraId="359A0A0C"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 xml:space="preserve"> 770 </w:t>
            </w:r>
          </w:p>
        </w:tc>
        <w:tc>
          <w:tcPr>
            <w:tcW w:w="543" w:type="pct"/>
            <w:shd w:val="clear" w:color="auto" w:fill="auto"/>
            <w:tcMar>
              <w:top w:w="80" w:type="dxa"/>
              <w:left w:w="80" w:type="dxa"/>
              <w:bottom w:w="80" w:type="dxa"/>
              <w:right w:w="80" w:type="dxa"/>
            </w:tcMar>
          </w:tcPr>
          <w:p w14:paraId="718037C9" w14:textId="77777777" w:rsidR="009A602C" w:rsidRPr="005D4CE2" w:rsidRDefault="009A602C" w:rsidP="004102C8">
            <w:pPr>
              <w:pStyle w:val="Body"/>
              <w:spacing w:before="0" w:after="0" w:line="240" w:lineRule="auto"/>
              <w:rPr>
                <w:sz w:val="20"/>
                <w:szCs w:val="20"/>
                <w:lang w:val="en-GB"/>
              </w:rPr>
            </w:pPr>
            <w:r w:rsidRPr="005D4CE2">
              <w:rPr>
                <w:rStyle w:val="None"/>
                <w:sz w:val="20"/>
                <w:szCs w:val="20"/>
                <w:lang w:val="en-GB"/>
              </w:rPr>
              <w:t>1.8%</w:t>
            </w:r>
          </w:p>
        </w:tc>
      </w:tr>
    </w:tbl>
    <w:p w14:paraId="2FAB4DF0" w14:textId="77777777" w:rsidR="009A602C" w:rsidRPr="000676D7" w:rsidRDefault="009A602C" w:rsidP="009A602C">
      <w:pPr>
        <w:pStyle w:val="Heading3"/>
      </w:pPr>
      <w:bookmarkStart w:id="180" w:name="_Toc536548132"/>
      <w:bookmarkStart w:id="181" w:name="_Toc35347235"/>
      <w:r w:rsidRPr="000676D7">
        <w:t>Recommendation 2</w:t>
      </w:r>
      <w:bookmarkEnd w:id="180"/>
      <w:bookmarkEnd w:id="181"/>
      <w:r w:rsidRPr="000676D7">
        <w:t xml:space="preserve"> </w:t>
      </w:r>
    </w:p>
    <w:p w14:paraId="59D9C00F" w14:textId="77777777" w:rsidR="009A602C" w:rsidRPr="001714A8" w:rsidRDefault="009A602C" w:rsidP="009A602C">
      <w:pPr>
        <w:pStyle w:val="Bullet-green"/>
        <w:rPr>
          <w:b/>
          <w:bCs/>
        </w:rPr>
      </w:pPr>
      <w:r w:rsidRPr="001714A8">
        <w:rPr>
          <w:rStyle w:val="None"/>
        </w:rPr>
        <w:t>Item 11210: Amend the item descriptor to restrict GP and non-specialist use by incorporating the following wording: “performed by or on behalf of a specialist or consultant physician in the practice of his or her speciality</w:t>
      </w:r>
      <w:r>
        <w:rPr>
          <w:rStyle w:val="None"/>
        </w:rPr>
        <w:t>”</w:t>
      </w:r>
      <w:r w:rsidRPr="001714A8">
        <w:rPr>
          <w:rStyle w:val="None"/>
        </w:rPr>
        <w:t>.</w:t>
      </w:r>
    </w:p>
    <w:p w14:paraId="11A9F16B" w14:textId="77777777" w:rsidR="009A602C" w:rsidRPr="000676D7" w:rsidRDefault="009A602C" w:rsidP="009A602C">
      <w:pPr>
        <w:pStyle w:val="Heading3"/>
      </w:pPr>
      <w:bookmarkStart w:id="182" w:name="_Toc536548133"/>
      <w:bookmarkStart w:id="183" w:name="_Toc35347236"/>
      <w:r w:rsidRPr="000676D7">
        <w:t>Rationale for Recommendation 2</w:t>
      </w:r>
      <w:bookmarkEnd w:id="182"/>
      <w:bookmarkEnd w:id="183"/>
    </w:p>
    <w:p w14:paraId="3F9F53E9" w14:textId="77777777" w:rsidR="009A602C" w:rsidRPr="001714A8" w:rsidRDefault="009A602C" w:rsidP="009A602C">
      <w:pPr>
        <w:pStyle w:val="Body"/>
        <w:ind w:right="142"/>
        <w:rPr>
          <w:lang w:val="en-GB"/>
        </w:rPr>
      </w:pPr>
      <w:r w:rsidRPr="001714A8">
        <w:rPr>
          <w:lang w:val="en-GB"/>
        </w:rPr>
        <w:t>This recommendation prevents claims for services that do not adhere to the item descriptor. It is based on the following.</w:t>
      </w:r>
    </w:p>
    <w:p w14:paraId="5E62FAC4" w14:textId="77777777" w:rsidR="009A602C" w:rsidRPr="001714A8" w:rsidRDefault="009A602C" w:rsidP="009A602C">
      <w:pPr>
        <w:pStyle w:val="Bullet-green"/>
      </w:pPr>
      <w:r w:rsidRPr="001714A8">
        <w:t>MBS data indicates that ophthalmologists, neurologists, general surgeons, paediatricians and GPs</w:t>
      </w:r>
      <w:r>
        <w:t xml:space="preserve"> claim item 11210.</w:t>
      </w:r>
      <w:r w:rsidRPr="001714A8">
        <w:t xml:space="preserve"> </w:t>
      </w:r>
    </w:p>
    <w:p w14:paraId="163B2B57" w14:textId="77777777" w:rsidR="009A602C" w:rsidRPr="001714A8" w:rsidRDefault="009A602C" w:rsidP="009A602C">
      <w:pPr>
        <w:pStyle w:val="Bullet-green"/>
      </w:pPr>
      <w:r w:rsidRPr="001714A8">
        <w:t xml:space="preserve">This recommendation excludes GPs from claiming this highly specialised item, recognising that they do not have the appropriate equipment or training to interpret the results. The Committee noted that while the volume of GP claims is low, it has increased from 0.1 per cent in FY2016/17 to 10 per cent (87 services) in FY2017/18. This recommendation is intended to prevent future indication creep.  </w:t>
      </w:r>
    </w:p>
    <w:p w14:paraId="76FA5EED" w14:textId="5AFF1797" w:rsidR="009A602C" w:rsidRPr="001714A8" w:rsidRDefault="009A602C" w:rsidP="009A602C">
      <w:pPr>
        <w:pStyle w:val="Bullet-green"/>
      </w:pPr>
      <w:r w:rsidRPr="001714A8">
        <w:lastRenderedPageBreak/>
        <w:t xml:space="preserve">This restriction will not apply to </w:t>
      </w:r>
      <w:r>
        <w:t>ophthalmologists or neurologists</w:t>
      </w:r>
      <w:r w:rsidRPr="001714A8">
        <w:t xml:space="preserve">. </w:t>
      </w:r>
      <w:r w:rsidR="000050D4">
        <w:t>S</w:t>
      </w:r>
      <w:r w:rsidRPr="001714A8">
        <w:t>pecialists other than ophthalmologists (</w:t>
      </w:r>
      <w:r>
        <w:t>mainly</w:t>
      </w:r>
      <w:r w:rsidRPr="001714A8">
        <w:t xml:space="preserve"> neurologists) have the requisite equipment and expertise to perform and interpret this test. </w:t>
      </w:r>
    </w:p>
    <w:p w14:paraId="7E189E62" w14:textId="4993F775" w:rsidR="009A602C" w:rsidRPr="00315286" w:rsidRDefault="009A602C" w:rsidP="009A602C">
      <w:pPr>
        <w:pStyle w:val="Caption"/>
        <w:rPr>
          <w:sz w:val="20"/>
          <w:szCs w:val="20"/>
          <w:lang w:val="en-US"/>
        </w:rPr>
      </w:pPr>
      <w:bookmarkStart w:id="184" w:name="_Toc2170550"/>
      <w:r w:rsidRPr="003013A8">
        <w:rPr>
          <w:lang w:val="en-US"/>
        </w:rPr>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3</w:t>
      </w:r>
      <w:r>
        <w:rPr>
          <w:lang w:val="en-US"/>
        </w:rPr>
        <w:fldChar w:fldCharType="end"/>
      </w:r>
      <w:r w:rsidRPr="003013A8">
        <w:rPr>
          <w:lang w:val="en-US"/>
        </w:rPr>
        <w:t xml:space="preserve">: </w:t>
      </w:r>
      <w:r w:rsidRPr="007859A8">
        <w:rPr>
          <w:rStyle w:val="None"/>
          <w:bCs/>
          <w:lang w:val="en-GB"/>
        </w:rPr>
        <w:t>Specialised retinal electrophysiology centres in Australia</w:t>
      </w:r>
      <w:bookmarkEnd w:id="184"/>
    </w:p>
    <w:p w14:paraId="11811236" w14:textId="77777777" w:rsidR="009A602C" w:rsidRPr="001714A8" w:rsidRDefault="009A602C" w:rsidP="009A602C">
      <w:pPr>
        <w:pStyle w:val="Body"/>
        <w:ind w:right="142"/>
        <w:rPr>
          <w:b/>
          <w:bCs/>
          <w:lang w:val="en-GB"/>
        </w:rPr>
      </w:pPr>
      <w:r>
        <w:rPr>
          <w:noProof/>
        </w:rPr>
        <w:drawing>
          <wp:inline distT="0" distB="0" distL="0" distR="0" wp14:anchorId="5C85B90A" wp14:editId="348ED500">
            <wp:extent cx="5088467" cy="2814234"/>
            <wp:effectExtent l="0" t="0" r="0" b="5715"/>
            <wp:docPr id="1" name="Picture 1" descr="Figure 3 shows the Specialised retinal electrophysiology centres in Australia as per State (capital City). Column 1 Victoria - Melbourne has  4 centres.  NSW - Sydney has 5 centres. QLD - Brisbane has 2 centres and WA - Perth has 1 centre.  No centres in ACT, NT or Tasmania which perform retinal electrophysiology according to ISCEV guidelines. This information will be referred to Compliance to ivestigate provider location." title="Figure 3: Specialised retinal electrophysiology centres in Austra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0776" cy="2815511"/>
                    </a:xfrm>
                    <a:prstGeom prst="rect">
                      <a:avLst/>
                    </a:prstGeom>
                  </pic:spPr>
                </pic:pic>
              </a:graphicData>
            </a:graphic>
          </wp:inline>
        </w:drawing>
      </w:r>
    </w:p>
    <w:p w14:paraId="1FA457CB" w14:textId="1AF05B51" w:rsidR="009A602C" w:rsidRPr="00315286" w:rsidRDefault="009A602C" w:rsidP="009A602C">
      <w:pPr>
        <w:pStyle w:val="Caption"/>
        <w:rPr>
          <w:lang w:val="en-US"/>
        </w:rPr>
      </w:pPr>
      <w:bookmarkStart w:id="185" w:name="_Toc2170551"/>
      <w:r w:rsidRPr="003013A8">
        <w:rPr>
          <w:lang w:val="en-US"/>
        </w:rPr>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4</w:t>
      </w:r>
      <w:r>
        <w:rPr>
          <w:lang w:val="en-US"/>
        </w:rPr>
        <w:fldChar w:fldCharType="end"/>
      </w:r>
      <w:r w:rsidRPr="003013A8">
        <w:rPr>
          <w:lang w:val="en-US"/>
        </w:rPr>
        <w:t xml:space="preserve">: </w:t>
      </w:r>
      <w:r w:rsidRPr="00315286">
        <w:rPr>
          <w:lang w:val="en-US"/>
        </w:rPr>
        <w:t>Item 11204 services per 100,000 population by SA4, ophthalmologist</w:t>
      </w:r>
      <w:r w:rsidRPr="00C82CAE">
        <w:rPr>
          <w:lang w:val="en-US"/>
        </w:rPr>
        <w:t>s</w:t>
      </w:r>
      <w:r w:rsidRPr="00315286">
        <w:rPr>
          <w:lang w:val="en-US"/>
        </w:rPr>
        <w:t xml:space="preserve"> versus other specialists, January to March 2018</w:t>
      </w:r>
      <w:bookmarkEnd w:id="185"/>
    </w:p>
    <w:p w14:paraId="7EC8C6BB" w14:textId="77777777" w:rsidR="009A602C" w:rsidRPr="001714A8" w:rsidRDefault="009A602C" w:rsidP="009A602C">
      <w:pPr>
        <w:pStyle w:val="Body"/>
        <w:ind w:right="142"/>
        <w:rPr>
          <w:lang w:val="en-GB"/>
        </w:rPr>
      </w:pPr>
      <w:r w:rsidRPr="001714A8">
        <w:rPr>
          <w:noProof/>
        </w:rPr>
        <w:drawing>
          <wp:inline distT="0" distB="0" distL="0" distR="0" wp14:anchorId="7680453B" wp14:editId="15854620">
            <wp:extent cx="5426765" cy="3313044"/>
            <wp:effectExtent l="0" t="0" r="2540" b="1905"/>
            <wp:docPr id="1073741834" name="officeArt object" descr="Figure 4 displays a bar chart displaying services per 100,000 population as per ABS SA4 Area (Data by Regions) for item 11204 by ophthalmologists versus other specialists, January to March2018.  Source  Medicare Data - MBD O50 Database 2017/18 data" title="Figure 4: Item 11204 services per 100,000 population by SA4, ophthalmologists versus other specialists, January to March 2018"/>
            <wp:cNvGraphicFramePr/>
            <a:graphic xmlns:a="http://schemas.openxmlformats.org/drawingml/2006/main">
              <a:graphicData uri="http://schemas.openxmlformats.org/drawingml/2006/picture">
                <pic:pic xmlns:pic="http://schemas.openxmlformats.org/drawingml/2006/picture">
                  <pic:nvPicPr>
                    <pic:cNvPr id="1073741834" name="image6.png"/>
                    <pic:cNvPicPr>
                      <a:picLocks noChangeAspect="1"/>
                    </pic:cNvPicPr>
                  </pic:nvPicPr>
                  <pic:blipFill>
                    <a:blip r:embed="rId14"/>
                    <a:stretch>
                      <a:fillRect/>
                    </a:stretch>
                  </pic:blipFill>
                  <pic:spPr>
                    <a:xfrm>
                      <a:off x="0" y="0"/>
                      <a:ext cx="5428493" cy="3314099"/>
                    </a:xfrm>
                    <a:prstGeom prst="rect">
                      <a:avLst/>
                    </a:prstGeom>
                    <a:ln w="12700" cap="flat">
                      <a:noFill/>
                      <a:miter lim="400000"/>
                    </a:ln>
                    <a:effectLst/>
                  </pic:spPr>
                </pic:pic>
              </a:graphicData>
            </a:graphic>
          </wp:inline>
        </w:drawing>
      </w:r>
    </w:p>
    <w:p w14:paraId="777CF8C7" w14:textId="77777777" w:rsidR="009A602C" w:rsidRPr="001714A8" w:rsidRDefault="009A602C" w:rsidP="009A602C">
      <w:pPr>
        <w:pStyle w:val="Body"/>
        <w:rPr>
          <w:lang w:val="en-GB"/>
        </w:rPr>
      </w:pPr>
    </w:p>
    <w:p w14:paraId="1060EC72" w14:textId="77777777" w:rsidR="009A602C" w:rsidRPr="001714A8" w:rsidRDefault="009A602C" w:rsidP="009A602C">
      <w:pPr>
        <w:pStyle w:val="Heading1"/>
      </w:pPr>
      <w:bookmarkStart w:id="186" w:name="_Toc524100404"/>
      <w:bookmarkStart w:id="187" w:name="_Toc35347237"/>
      <w:bookmarkStart w:id="188" w:name="_Ref464864451"/>
      <w:proofErr w:type="spellStart"/>
      <w:r w:rsidRPr="00F1034D">
        <w:rPr>
          <w:rStyle w:val="Hyperlink0"/>
          <w:color w:val="01653F"/>
        </w:rPr>
        <w:lastRenderedPageBreak/>
        <w:t>Computerised</w:t>
      </w:r>
      <w:proofErr w:type="spellEnd"/>
      <w:r w:rsidRPr="00F1034D">
        <w:rPr>
          <w:rStyle w:val="Hyperlink0"/>
          <w:color w:val="01653F"/>
        </w:rPr>
        <w:t xml:space="preserve"> perimetry recommendations</w:t>
      </w:r>
      <w:bookmarkEnd w:id="186"/>
      <w:bookmarkEnd w:id="187"/>
    </w:p>
    <w:p w14:paraId="715B9885" w14:textId="77777777" w:rsidR="009A602C" w:rsidRPr="001714A8" w:rsidRDefault="009A602C" w:rsidP="009A602C">
      <w:pPr>
        <w:pStyle w:val="Heading2"/>
      </w:pPr>
      <w:bookmarkStart w:id="189" w:name="_Toc524100405"/>
      <w:bookmarkStart w:id="190" w:name="_Toc536548135"/>
      <w:bookmarkStart w:id="191" w:name="_Toc35347238"/>
      <w:r w:rsidRPr="001714A8">
        <w:rPr>
          <w:rStyle w:val="Hyperlink0"/>
        </w:rPr>
        <w:t>Overview</w:t>
      </w:r>
      <w:bookmarkEnd w:id="189"/>
      <w:bookmarkEnd w:id="190"/>
      <w:bookmarkEnd w:id="191"/>
    </w:p>
    <w:p w14:paraId="61F70E9D" w14:textId="18717F75" w:rsidR="009A602C" w:rsidRPr="001714A8" w:rsidRDefault="009A602C" w:rsidP="009A602C">
      <w:pPr>
        <w:pStyle w:val="Body"/>
        <w:rPr>
          <w:lang w:val="en-GB"/>
        </w:rPr>
      </w:pPr>
      <w:bookmarkStart w:id="192" w:name="_Hlk523166522"/>
      <w:r w:rsidRPr="001714A8">
        <w:rPr>
          <w:lang w:val="en-GB"/>
        </w:rPr>
        <w:t>Computerised perimetry has become the standard of care in optometric and ophthalmic practice for the</w:t>
      </w:r>
      <w:r w:rsidR="0011763B">
        <w:rPr>
          <w:lang w:val="en-GB"/>
        </w:rPr>
        <w:t xml:space="preserve"> assessment</w:t>
      </w:r>
      <w:r w:rsidRPr="001714A8">
        <w:rPr>
          <w:lang w:val="en-GB"/>
        </w:rPr>
        <w:t xml:space="preserve"> and monitoring of</w:t>
      </w:r>
      <w:r w:rsidR="003413D2">
        <w:rPr>
          <w:lang w:val="en-GB"/>
        </w:rPr>
        <w:t xml:space="preserve"> the </w:t>
      </w:r>
      <w:r w:rsidR="00AD0356">
        <w:rPr>
          <w:lang w:val="en-GB"/>
        </w:rPr>
        <w:t xml:space="preserve">visual </w:t>
      </w:r>
      <w:r w:rsidR="003413D2">
        <w:rPr>
          <w:lang w:val="en-GB"/>
        </w:rPr>
        <w:t>field defects caused by</w:t>
      </w:r>
      <w:r w:rsidRPr="001714A8">
        <w:rPr>
          <w:lang w:val="en-GB"/>
        </w:rPr>
        <w:t xml:space="preserve"> glaucoma. These tests are not intended to be used for screening purposes and should be performed for specified indications only</w:t>
      </w:r>
      <w:r>
        <w:rPr>
          <w:lang w:val="en-GB"/>
        </w:rPr>
        <w:t>.</w:t>
      </w:r>
      <w:r>
        <w:rPr>
          <w:vertAlign w:val="superscript"/>
          <w:lang w:val="en-GB"/>
        </w:rPr>
        <w:t>9</w:t>
      </w:r>
      <w:bookmarkStart w:id="193" w:name="_Hlk536796883"/>
      <w:r w:rsidRPr="001714A8">
        <w:rPr>
          <w:lang w:val="en-GB"/>
        </w:rPr>
        <w:t xml:space="preserve"> </w:t>
      </w:r>
      <w:bookmarkEnd w:id="193"/>
      <w:r w:rsidRPr="001714A8">
        <w:rPr>
          <w:lang w:val="en-GB"/>
        </w:rPr>
        <w:t xml:space="preserve">The Committee is concerned about variation in service provision across the ophthalmic and optometric items, particularly the variation in services per capita by age group. </w:t>
      </w:r>
    </w:p>
    <w:p w14:paraId="5DF8973E" w14:textId="77777777" w:rsidR="009A602C" w:rsidRPr="001714A8" w:rsidRDefault="009A602C" w:rsidP="009A602C">
      <w:pPr>
        <w:pStyle w:val="Body"/>
        <w:rPr>
          <w:lang w:val="en-GB"/>
        </w:rPr>
      </w:pPr>
      <w:r w:rsidRPr="001714A8">
        <w:rPr>
          <w:lang w:val="en-GB"/>
        </w:rPr>
        <w:t xml:space="preserve">The ophthalmology computerised perimetry items (11221–12225) accounted for 320,848 services in FY2016/17. Item 11221 accounted for 97 per cent of these services. The optometry computerised perimetry items (10940 and 10941) accounted for 421,576 services in </w:t>
      </w:r>
      <w:r>
        <w:rPr>
          <w:lang w:val="en-GB"/>
        </w:rPr>
        <w:t>FY</w:t>
      </w:r>
      <w:r w:rsidRPr="001714A8">
        <w:rPr>
          <w:lang w:val="en-GB"/>
        </w:rPr>
        <w:t>2016/17. Item 10940 accounted for 96 per cent of these services.</w:t>
      </w:r>
    </w:p>
    <w:p w14:paraId="24CF092E" w14:textId="77777777" w:rsidR="009A602C" w:rsidRPr="001714A8" w:rsidRDefault="009A602C" w:rsidP="009A602C">
      <w:pPr>
        <w:pStyle w:val="Heading2"/>
      </w:pPr>
      <w:bookmarkStart w:id="194" w:name="_Toc524100406"/>
      <w:bookmarkStart w:id="195" w:name="_Toc536548136"/>
      <w:bookmarkStart w:id="196" w:name="_Toc35347239"/>
      <w:proofErr w:type="spellStart"/>
      <w:r w:rsidRPr="001714A8">
        <w:rPr>
          <w:rStyle w:val="Hyperlink0"/>
        </w:rPr>
        <w:t>Computerised</w:t>
      </w:r>
      <w:proofErr w:type="spellEnd"/>
      <w:r w:rsidRPr="001714A8">
        <w:rPr>
          <w:rStyle w:val="Hyperlink0"/>
        </w:rPr>
        <w:t xml:space="preserve"> perimetry</w:t>
      </w:r>
      <w:bookmarkEnd w:id="194"/>
      <w:bookmarkEnd w:id="195"/>
      <w:bookmarkEnd w:id="196"/>
    </w:p>
    <w:p w14:paraId="359FF384" w14:textId="22FF55A1" w:rsidR="009A602C" w:rsidRPr="00315286" w:rsidRDefault="009A602C" w:rsidP="009A602C">
      <w:pPr>
        <w:pStyle w:val="Caption"/>
        <w:rPr>
          <w:sz w:val="20"/>
          <w:szCs w:val="20"/>
          <w:lang w:val="en-US"/>
        </w:rPr>
      </w:pPr>
      <w:bookmarkStart w:id="197" w:name="_Toc2170542"/>
      <w:bookmarkEnd w:id="192"/>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4</w:t>
      </w:r>
      <w:r>
        <w:fldChar w:fldCharType="end"/>
      </w:r>
      <w:r w:rsidRPr="00C656B4">
        <w:rPr>
          <w:lang w:val="en-US"/>
        </w:rPr>
        <w:t xml:space="preserve"> : </w:t>
      </w:r>
      <w:r w:rsidRPr="006D5B44">
        <w:rPr>
          <w:rStyle w:val="None"/>
          <w:bCs/>
          <w:lang w:val="en-GB"/>
        </w:rPr>
        <w:t xml:space="preserve"> Item introduction table for items 11221, 11222, 11224 and 11225</w:t>
      </w:r>
      <w:bookmarkEnd w:id="188"/>
      <w:bookmarkEnd w:id="19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85"/>
        <w:gridCol w:w="3282"/>
        <w:gridCol w:w="1056"/>
        <w:gridCol w:w="1217"/>
        <w:gridCol w:w="1050"/>
        <w:gridCol w:w="912"/>
      </w:tblGrid>
      <w:tr w:rsidR="009A602C" w:rsidRPr="000676D7" w14:paraId="3D8E6D6E" w14:textId="77777777" w:rsidTr="004102C8">
        <w:trPr>
          <w:trHeight w:val="1369"/>
          <w:tblHeader/>
        </w:trPr>
        <w:tc>
          <w:tcPr>
            <w:tcW w:w="478" w:type="pct"/>
            <w:shd w:val="clear" w:color="auto" w:fill="01653F"/>
            <w:tcMar>
              <w:top w:w="80" w:type="dxa"/>
              <w:left w:w="80" w:type="dxa"/>
              <w:bottom w:w="80" w:type="dxa"/>
              <w:right w:w="80" w:type="dxa"/>
            </w:tcMar>
            <w:vAlign w:val="bottom"/>
          </w:tcPr>
          <w:p w14:paraId="544DE592"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982" w:type="pct"/>
            <w:shd w:val="clear" w:color="auto" w:fill="01653F"/>
            <w:tcMar>
              <w:top w:w="80" w:type="dxa"/>
              <w:left w:w="80" w:type="dxa"/>
              <w:bottom w:w="80" w:type="dxa"/>
              <w:right w:w="80" w:type="dxa"/>
            </w:tcMar>
            <w:vAlign w:val="bottom"/>
          </w:tcPr>
          <w:p w14:paraId="4B6CEAFB"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1" w:type="pct"/>
            <w:shd w:val="clear" w:color="auto" w:fill="01653F"/>
            <w:tcMar>
              <w:top w:w="80" w:type="dxa"/>
              <w:left w:w="80" w:type="dxa"/>
              <w:bottom w:w="80" w:type="dxa"/>
              <w:right w:w="80" w:type="dxa"/>
            </w:tcMar>
            <w:vAlign w:val="bottom"/>
          </w:tcPr>
          <w:p w14:paraId="2C7F69F7"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738" w:type="pct"/>
            <w:shd w:val="clear" w:color="auto" w:fill="01653F"/>
            <w:tcMar>
              <w:top w:w="80" w:type="dxa"/>
              <w:left w:w="80" w:type="dxa"/>
              <w:bottom w:w="80" w:type="dxa"/>
              <w:right w:w="80" w:type="dxa"/>
            </w:tcMar>
            <w:vAlign w:val="bottom"/>
          </w:tcPr>
          <w:p w14:paraId="2F10E6D9"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607" w:type="pct"/>
            <w:shd w:val="clear" w:color="auto" w:fill="01653F"/>
            <w:tcMar>
              <w:top w:w="80" w:type="dxa"/>
              <w:left w:w="80" w:type="dxa"/>
              <w:bottom w:w="80" w:type="dxa"/>
              <w:right w:w="80" w:type="dxa"/>
            </w:tcMar>
            <w:vAlign w:val="bottom"/>
          </w:tcPr>
          <w:p w14:paraId="3674DC90"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5" w:type="pct"/>
            <w:shd w:val="clear" w:color="auto" w:fill="01653F"/>
            <w:tcMar>
              <w:top w:w="80" w:type="dxa"/>
              <w:left w:w="80" w:type="dxa"/>
              <w:bottom w:w="80" w:type="dxa"/>
              <w:right w:w="80" w:type="dxa"/>
            </w:tcMar>
            <w:vAlign w:val="bottom"/>
          </w:tcPr>
          <w:p w14:paraId="3C3E4FF6" w14:textId="77777777" w:rsidR="009A602C" w:rsidRPr="000676D7" w:rsidRDefault="009A602C" w:rsidP="004102C8">
            <w:pPr>
              <w:pStyle w:val="Tableheading-white"/>
              <w:spacing w:line="240" w:lineRule="auto"/>
              <w:rPr>
                <w:sz w:val="20"/>
                <w:szCs w:val="20"/>
              </w:rPr>
            </w:pPr>
            <w:r w:rsidRPr="000676D7">
              <w:rPr>
                <w:rStyle w:val="None"/>
                <w:sz w:val="20"/>
                <w:szCs w:val="20"/>
              </w:rPr>
              <w:t>Services 5-year service change % (CAGR)</w:t>
            </w:r>
          </w:p>
        </w:tc>
      </w:tr>
      <w:tr w:rsidR="009A602C" w:rsidRPr="000676D7" w14:paraId="0C874A73" w14:textId="77777777" w:rsidTr="004102C8">
        <w:tblPrEx>
          <w:shd w:val="clear" w:color="auto" w:fill="CED7E7"/>
        </w:tblPrEx>
        <w:trPr>
          <w:trHeight w:val="3176"/>
        </w:trPr>
        <w:tc>
          <w:tcPr>
            <w:tcW w:w="478" w:type="pct"/>
            <w:shd w:val="clear" w:color="auto" w:fill="auto"/>
            <w:tcMar>
              <w:top w:w="80" w:type="dxa"/>
              <w:left w:w="80" w:type="dxa"/>
              <w:bottom w:w="80" w:type="dxa"/>
              <w:right w:w="80" w:type="dxa"/>
            </w:tcMar>
          </w:tcPr>
          <w:p w14:paraId="1C08DF5E"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11221</w:t>
            </w:r>
          </w:p>
        </w:tc>
        <w:tc>
          <w:tcPr>
            <w:tcW w:w="1982" w:type="pct"/>
            <w:shd w:val="clear" w:color="auto" w:fill="auto"/>
            <w:tcMar>
              <w:top w:w="80" w:type="dxa"/>
              <w:left w:w="80" w:type="dxa"/>
              <w:bottom w:w="80" w:type="dxa"/>
              <w:right w:w="80" w:type="dxa"/>
            </w:tcMar>
          </w:tcPr>
          <w:p w14:paraId="1B6DDACA"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Full quantitative computerised perimetry (automated absolute static threshold), not being a service involving multifocal multichannel objective perimetry, performed by or on behalf of a specialist in the practice of his or her specialty, if indicated by the presence of relevant ocular disease or suspected pathology of the visual pathways or brain with assessment and report, bilateral — to a maximum of 2 examinations (including examinations to which item 11224 applies) in any 12 month period</w:t>
            </w:r>
          </w:p>
        </w:tc>
        <w:tc>
          <w:tcPr>
            <w:tcW w:w="641" w:type="pct"/>
            <w:shd w:val="clear" w:color="auto" w:fill="auto"/>
            <w:tcMar>
              <w:top w:w="80" w:type="dxa"/>
              <w:left w:w="80" w:type="dxa"/>
              <w:bottom w:w="80" w:type="dxa"/>
              <w:right w:w="80" w:type="dxa"/>
            </w:tcMar>
          </w:tcPr>
          <w:p w14:paraId="606F2F5A"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$67.75 </w:t>
            </w:r>
          </w:p>
        </w:tc>
        <w:tc>
          <w:tcPr>
            <w:tcW w:w="738" w:type="pct"/>
            <w:shd w:val="clear" w:color="auto" w:fill="auto"/>
            <w:tcMar>
              <w:top w:w="80" w:type="dxa"/>
              <w:left w:w="80" w:type="dxa"/>
              <w:bottom w:w="80" w:type="dxa"/>
              <w:right w:w="80" w:type="dxa"/>
            </w:tcMar>
          </w:tcPr>
          <w:p w14:paraId="247883D6"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$19,508,314 </w:t>
            </w:r>
          </w:p>
        </w:tc>
        <w:tc>
          <w:tcPr>
            <w:tcW w:w="607" w:type="pct"/>
            <w:shd w:val="clear" w:color="auto" w:fill="auto"/>
            <w:tcMar>
              <w:top w:w="80" w:type="dxa"/>
              <w:left w:w="80" w:type="dxa"/>
              <w:bottom w:w="80" w:type="dxa"/>
              <w:right w:w="80" w:type="dxa"/>
            </w:tcMar>
          </w:tcPr>
          <w:p w14:paraId="3E66710C"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320,848 </w:t>
            </w:r>
          </w:p>
        </w:tc>
        <w:tc>
          <w:tcPr>
            <w:tcW w:w="555" w:type="pct"/>
            <w:shd w:val="clear" w:color="auto" w:fill="auto"/>
            <w:tcMar>
              <w:top w:w="80" w:type="dxa"/>
              <w:left w:w="80" w:type="dxa"/>
              <w:bottom w:w="80" w:type="dxa"/>
              <w:right w:w="80" w:type="dxa"/>
            </w:tcMar>
          </w:tcPr>
          <w:p w14:paraId="7B0BBE0F"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3.7%</w:t>
            </w:r>
          </w:p>
        </w:tc>
      </w:tr>
      <w:tr w:rsidR="009A602C" w:rsidRPr="000676D7" w14:paraId="71076856" w14:textId="77777777" w:rsidTr="004102C8">
        <w:tblPrEx>
          <w:shd w:val="clear" w:color="auto" w:fill="CED7E7"/>
        </w:tblPrEx>
        <w:trPr>
          <w:trHeight w:val="6146"/>
        </w:trPr>
        <w:tc>
          <w:tcPr>
            <w:tcW w:w="478" w:type="pct"/>
            <w:shd w:val="clear" w:color="auto" w:fill="auto"/>
            <w:tcMar>
              <w:top w:w="80" w:type="dxa"/>
              <w:left w:w="80" w:type="dxa"/>
              <w:bottom w:w="80" w:type="dxa"/>
              <w:right w:w="80" w:type="dxa"/>
            </w:tcMar>
          </w:tcPr>
          <w:p w14:paraId="3D3FE123"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lastRenderedPageBreak/>
              <w:t>11222</w:t>
            </w:r>
          </w:p>
        </w:tc>
        <w:tc>
          <w:tcPr>
            <w:tcW w:w="1982" w:type="pct"/>
            <w:shd w:val="clear" w:color="auto" w:fill="auto"/>
            <w:tcMar>
              <w:top w:w="80" w:type="dxa"/>
              <w:left w:w="80" w:type="dxa"/>
              <w:bottom w:w="80" w:type="dxa"/>
              <w:right w:w="80" w:type="dxa"/>
            </w:tcMar>
          </w:tcPr>
          <w:p w14:paraId="56ACE0DE"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Full quantitative computerised perimetry (automated absolute static threshold), not being a service involving multifocal multichannel objective perimetry, performed by or on behalf of a specialist in the practice of his or her specialty, with assessment and report, bilateral, if it can be demonstrated that a further examination is indicated in the same 12 month period to which item 11221 applies due to presence of 1 of the following conditions: (a) established glaucoma (when surgery may be required within a 6 month period) if there has been definite progression of damage over a 12 month period; (b) established neurological disease which may be progressive and if a visual field is necessary for the management of the patient; (c) monitoring for ocular disease or disease of the visual pathways which may be caused by systemic drug toxicity, if there may also be other disease such as glaucoma or neurological disease; each additional examination</w:t>
            </w:r>
          </w:p>
        </w:tc>
        <w:tc>
          <w:tcPr>
            <w:tcW w:w="641" w:type="pct"/>
            <w:shd w:val="clear" w:color="auto" w:fill="auto"/>
            <w:tcMar>
              <w:top w:w="80" w:type="dxa"/>
              <w:left w:w="80" w:type="dxa"/>
              <w:bottom w:w="80" w:type="dxa"/>
              <w:right w:w="80" w:type="dxa"/>
            </w:tcMar>
          </w:tcPr>
          <w:p w14:paraId="413B86BB"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$67.75 </w:t>
            </w:r>
          </w:p>
        </w:tc>
        <w:tc>
          <w:tcPr>
            <w:tcW w:w="738" w:type="pct"/>
            <w:shd w:val="clear" w:color="auto" w:fill="auto"/>
            <w:tcMar>
              <w:top w:w="80" w:type="dxa"/>
              <w:left w:w="80" w:type="dxa"/>
              <w:bottom w:w="80" w:type="dxa"/>
              <w:right w:w="80" w:type="dxa"/>
            </w:tcMar>
          </w:tcPr>
          <w:p w14:paraId="23AC84DC"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$73,473 </w:t>
            </w:r>
          </w:p>
        </w:tc>
        <w:tc>
          <w:tcPr>
            <w:tcW w:w="607" w:type="pct"/>
            <w:shd w:val="clear" w:color="auto" w:fill="auto"/>
            <w:tcMar>
              <w:top w:w="80" w:type="dxa"/>
              <w:left w:w="80" w:type="dxa"/>
              <w:bottom w:w="80" w:type="dxa"/>
              <w:right w:w="80" w:type="dxa"/>
            </w:tcMar>
          </w:tcPr>
          <w:p w14:paraId="2C71A5FE"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1,133 </w:t>
            </w:r>
          </w:p>
        </w:tc>
        <w:tc>
          <w:tcPr>
            <w:tcW w:w="555" w:type="pct"/>
            <w:shd w:val="clear" w:color="auto" w:fill="auto"/>
            <w:tcMar>
              <w:top w:w="80" w:type="dxa"/>
              <w:left w:w="80" w:type="dxa"/>
              <w:bottom w:w="80" w:type="dxa"/>
              <w:right w:w="80" w:type="dxa"/>
            </w:tcMar>
          </w:tcPr>
          <w:p w14:paraId="1EF9D259"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10.6%</w:t>
            </w:r>
          </w:p>
        </w:tc>
      </w:tr>
      <w:tr w:rsidR="009A602C" w:rsidRPr="000676D7" w14:paraId="47AE0351" w14:textId="77777777" w:rsidTr="004102C8">
        <w:tblPrEx>
          <w:shd w:val="clear" w:color="auto" w:fill="CED7E7"/>
        </w:tblPrEx>
        <w:trPr>
          <w:trHeight w:val="3176"/>
        </w:trPr>
        <w:tc>
          <w:tcPr>
            <w:tcW w:w="478" w:type="pct"/>
            <w:shd w:val="clear" w:color="auto" w:fill="auto"/>
            <w:tcMar>
              <w:top w:w="80" w:type="dxa"/>
              <w:left w:w="80" w:type="dxa"/>
              <w:bottom w:w="80" w:type="dxa"/>
              <w:right w:w="80" w:type="dxa"/>
            </w:tcMar>
          </w:tcPr>
          <w:p w14:paraId="443A9A70"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11224</w:t>
            </w:r>
          </w:p>
        </w:tc>
        <w:tc>
          <w:tcPr>
            <w:tcW w:w="1982" w:type="pct"/>
            <w:shd w:val="clear" w:color="auto" w:fill="auto"/>
            <w:tcMar>
              <w:top w:w="80" w:type="dxa"/>
              <w:left w:w="80" w:type="dxa"/>
              <w:bottom w:w="80" w:type="dxa"/>
              <w:right w:w="80" w:type="dxa"/>
            </w:tcMar>
          </w:tcPr>
          <w:p w14:paraId="1743837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Full quantitative computerised perimetry (automated absolute static threshold), not being a service involving multifocal multichannel objective perimetry, performed by or on behalf of a specialist in the practice of his or her specialty, if indicated by the presence of relevant ocular disease or suspected pathology of the visual pathways or brain with assessment and report, unilateral — to a maximum of 2 examinations (including examinations to which item 11221 applies) in any 12 month period</w:t>
            </w:r>
          </w:p>
        </w:tc>
        <w:tc>
          <w:tcPr>
            <w:tcW w:w="641" w:type="pct"/>
            <w:shd w:val="clear" w:color="auto" w:fill="auto"/>
            <w:tcMar>
              <w:top w:w="80" w:type="dxa"/>
              <w:left w:w="80" w:type="dxa"/>
              <w:bottom w:w="80" w:type="dxa"/>
              <w:right w:w="80" w:type="dxa"/>
            </w:tcMar>
          </w:tcPr>
          <w:p w14:paraId="14166E34"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$40.85 </w:t>
            </w:r>
          </w:p>
        </w:tc>
        <w:tc>
          <w:tcPr>
            <w:tcW w:w="738" w:type="pct"/>
            <w:shd w:val="clear" w:color="auto" w:fill="auto"/>
            <w:tcMar>
              <w:top w:w="80" w:type="dxa"/>
              <w:left w:w="80" w:type="dxa"/>
              <w:bottom w:w="80" w:type="dxa"/>
              <w:right w:w="80" w:type="dxa"/>
            </w:tcMar>
          </w:tcPr>
          <w:p w14:paraId="3B8E86CD"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$333,663 </w:t>
            </w:r>
          </w:p>
        </w:tc>
        <w:tc>
          <w:tcPr>
            <w:tcW w:w="607" w:type="pct"/>
            <w:shd w:val="clear" w:color="auto" w:fill="auto"/>
            <w:tcMar>
              <w:top w:w="80" w:type="dxa"/>
              <w:left w:w="80" w:type="dxa"/>
              <w:bottom w:w="80" w:type="dxa"/>
              <w:right w:w="80" w:type="dxa"/>
            </w:tcMar>
          </w:tcPr>
          <w:p w14:paraId="65D62C01"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8,867 </w:t>
            </w:r>
          </w:p>
        </w:tc>
        <w:tc>
          <w:tcPr>
            <w:tcW w:w="555" w:type="pct"/>
            <w:shd w:val="clear" w:color="auto" w:fill="auto"/>
            <w:tcMar>
              <w:top w:w="80" w:type="dxa"/>
              <w:left w:w="80" w:type="dxa"/>
              <w:bottom w:w="80" w:type="dxa"/>
              <w:right w:w="80" w:type="dxa"/>
            </w:tcMar>
          </w:tcPr>
          <w:p w14:paraId="646311C8"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1.5%</w:t>
            </w:r>
          </w:p>
        </w:tc>
      </w:tr>
      <w:tr w:rsidR="009A602C" w:rsidRPr="000676D7" w14:paraId="77ADC6E6" w14:textId="77777777" w:rsidTr="004102C8">
        <w:tblPrEx>
          <w:shd w:val="clear" w:color="auto" w:fill="CED7E7"/>
        </w:tblPrEx>
        <w:trPr>
          <w:trHeight w:val="6146"/>
        </w:trPr>
        <w:tc>
          <w:tcPr>
            <w:tcW w:w="478" w:type="pct"/>
            <w:shd w:val="clear" w:color="auto" w:fill="auto"/>
            <w:tcMar>
              <w:top w:w="80" w:type="dxa"/>
              <w:left w:w="80" w:type="dxa"/>
              <w:bottom w:w="80" w:type="dxa"/>
              <w:right w:w="80" w:type="dxa"/>
            </w:tcMar>
          </w:tcPr>
          <w:p w14:paraId="79C21636"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lastRenderedPageBreak/>
              <w:t>11225</w:t>
            </w:r>
          </w:p>
        </w:tc>
        <w:tc>
          <w:tcPr>
            <w:tcW w:w="1982" w:type="pct"/>
            <w:shd w:val="clear" w:color="auto" w:fill="auto"/>
            <w:tcMar>
              <w:top w:w="80" w:type="dxa"/>
              <w:left w:w="80" w:type="dxa"/>
              <w:bottom w:w="80" w:type="dxa"/>
              <w:right w:w="80" w:type="dxa"/>
            </w:tcMar>
          </w:tcPr>
          <w:p w14:paraId="25DB0304"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Full quantitative computerised perimetry (automated absolute static threshold), not being a service involving multifocal multichannel objective perimetry, performed by or on behalf of a specialist in the practice of his or her specialty, with assessment and report, unilateral, if it can be demonstrated that a further examination is indicated in the same 12 month period to which item 11224 applies due to presence of 1 of the following conditions: (a) established glaucoma (when surgery may be required within a 6 month period) if there has been definite progression of damage over a 12 month period; (b) established neurological disease which may be progressive and if a visual field is necessary for the management of the patient; (c) monitoring for ocular disease or disease of the visual pathways which may be caused by systemic drug toxicity, if there may also be other disease such as glaucoma or neurological disease; each additional examination</w:t>
            </w:r>
          </w:p>
        </w:tc>
        <w:tc>
          <w:tcPr>
            <w:tcW w:w="641" w:type="pct"/>
            <w:shd w:val="clear" w:color="auto" w:fill="auto"/>
            <w:tcMar>
              <w:top w:w="80" w:type="dxa"/>
              <w:left w:w="80" w:type="dxa"/>
              <w:bottom w:w="80" w:type="dxa"/>
              <w:right w:w="80" w:type="dxa"/>
            </w:tcMar>
          </w:tcPr>
          <w:p w14:paraId="5E0F6B6C"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$40.85 </w:t>
            </w:r>
          </w:p>
        </w:tc>
        <w:tc>
          <w:tcPr>
            <w:tcW w:w="738" w:type="pct"/>
            <w:shd w:val="clear" w:color="auto" w:fill="auto"/>
            <w:tcMar>
              <w:top w:w="80" w:type="dxa"/>
              <w:left w:w="80" w:type="dxa"/>
              <w:bottom w:w="80" w:type="dxa"/>
              <w:right w:w="80" w:type="dxa"/>
            </w:tcMar>
          </w:tcPr>
          <w:p w14:paraId="1098E634"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$2,056 </w:t>
            </w:r>
          </w:p>
        </w:tc>
        <w:tc>
          <w:tcPr>
            <w:tcW w:w="607" w:type="pct"/>
            <w:shd w:val="clear" w:color="auto" w:fill="auto"/>
            <w:tcMar>
              <w:top w:w="80" w:type="dxa"/>
              <w:left w:w="80" w:type="dxa"/>
              <w:bottom w:w="80" w:type="dxa"/>
              <w:right w:w="80" w:type="dxa"/>
            </w:tcMar>
          </w:tcPr>
          <w:p w14:paraId="54C415CE"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48 </w:t>
            </w:r>
          </w:p>
        </w:tc>
        <w:tc>
          <w:tcPr>
            <w:tcW w:w="555" w:type="pct"/>
            <w:shd w:val="clear" w:color="auto" w:fill="auto"/>
            <w:tcMar>
              <w:top w:w="80" w:type="dxa"/>
              <w:left w:w="80" w:type="dxa"/>
              <w:bottom w:w="80" w:type="dxa"/>
              <w:right w:w="80" w:type="dxa"/>
            </w:tcMar>
          </w:tcPr>
          <w:p w14:paraId="01857388"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-6.7%</w:t>
            </w:r>
          </w:p>
        </w:tc>
      </w:tr>
    </w:tbl>
    <w:p w14:paraId="60B462FC" w14:textId="77777777" w:rsidR="009A602C" w:rsidRPr="000676D7" w:rsidRDefault="009A602C" w:rsidP="009A602C">
      <w:pPr>
        <w:pStyle w:val="Heading3"/>
      </w:pPr>
      <w:bookmarkStart w:id="198" w:name="_Toc536548137"/>
      <w:bookmarkStart w:id="199" w:name="_Toc35347240"/>
      <w:r w:rsidRPr="000676D7">
        <w:t>Recommendation 3</w:t>
      </w:r>
      <w:bookmarkEnd w:id="198"/>
      <w:bookmarkEnd w:id="199"/>
      <w:r w:rsidRPr="000676D7">
        <w:t xml:space="preserve"> </w:t>
      </w:r>
    </w:p>
    <w:p w14:paraId="0346457A" w14:textId="77777777" w:rsidR="009A602C" w:rsidRPr="001714A8" w:rsidRDefault="009A602C" w:rsidP="009A602C">
      <w:pPr>
        <w:pStyle w:val="Bullet-green"/>
      </w:pPr>
      <w:r w:rsidRPr="001714A8">
        <w:t>Items 11221, 11222, 11224 and 11225: No change.</w:t>
      </w:r>
    </w:p>
    <w:p w14:paraId="39E40A53" w14:textId="6B709B9A" w:rsidR="009A602C" w:rsidRDefault="009A602C" w:rsidP="009A602C">
      <w:pPr>
        <w:pStyle w:val="Bullet-green"/>
      </w:pPr>
      <w:r w:rsidRPr="001714A8">
        <w:t>The Committee recommend</w:t>
      </w:r>
      <w:r w:rsidR="00702019">
        <w:t xml:space="preserve">ed </w:t>
      </w:r>
      <w:r w:rsidRPr="001714A8">
        <w:t>that the Optometry Clinical Committee investigate the optometric computerised perimetry items for</w:t>
      </w:r>
      <w:r>
        <w:t xml:space="preserve"> possible</w:t>
      </w:r>
      <w:r w:rsidRPr="001714A8">
        <w:t xml:space="preserve"> inappropriate use.</w:t>
      </w:r>
    </w:p>
    <w:p w14:paraId="39CC6C7E" w14:textId="77777777" w:rsidR="00702019" w:rsidRPr="000154B8" w:rsidRDefault="00702019" w:rsidP="00702019">
      <w:pPr>
        <w:pStyle w:val="Body"/>
        <w:rPr>
          <w:i/>
        </w:rPr>
      </w:pPr>
      <w:r w:rsidRPr="000154B8">
        <w:t xml:space="preserve">Please note: </w:t>
      </w:r>
      <w:r w:rsidRPr="000154B8">
        <w:rPr>
          <w:i/>
        </w:rPr>
        <w:t xml:space="preserve">The Taskforce asked the Optometry Committee as part of its discussions to </w:t>
      </w:r>
      <w:r w:rsidRPr="000154B8">
        <w:rPr>
          <w:b/>
          <w:bCs/>
          <w:i/>
        </w:rPr>
        <w:t>provide clarification on the usage of its Computerised Perimetry items.</w:t>
      </w:r>
      <w:r w:rsidRPr="000154B8">
        <w:rPr>
          <w:i/>
        </w:rPr>
        <w:t xml:space="preserve">  Below is the response from Optometry Clinical Committee. </w:t>
      </w:r>
    </w:p>
    <w:p w14:paraId="56D1FD17" w14:textId="77777777" w:rsidR="00702019" w:rsidRPr="000154B8" w:rsidRDefault="00702019" w:rsidP="00702019">
      <w:pPr>
        <w:pStyle w:val="ListParagraph"/>
        <w:numPr>
          <w:ilvl w:val="0"/>
          <w:numId w:val="229"/>
        </w:numPr>
        <w:spacing w:before="0" w:after="0" w:line="240" w:lineRule="auto"/>
      </w:pPr>
      <w:r w:rsidRPr="000154B8">
        <w:t xml:space="preserve">An increasing number of therapeutic optometrists who are highly skilled at detecting, monitoring and treating a wide range of eye diseases. </w:t>
      </w:r>
    </w:p>
    <w:p w14:paraId="50E74321" w14:textId="77777777" w:rsidR="00702019" w:rsidRPr="000154B8" w:rsidRDefault="00702019" w:rsidP="00702019">
      <w:pPr>
        <w:pStyle w:val="ListParagraph"/>
        <w:numPr>
          <w:ilvl w:val="0"/>
          <w:numId w:val="229"/>
        </w:numPr>
        <w:spacing w:before="0" w:after="0" w:line="240" w:lineRule="auto"/>
      </w:pPr>
      <w:r w:rsidRPr="000154B8">
        <w:lastRenderedPageBreak/>
        <w:t xml:space="preserve">A dramatic increase in the availability of optical coherence tomography (OCT) OCT has revolutionised ophthalmic care, enabling far earlier diagnosis of conditions such as glaucoma, exudative macular degeneration and diabetic macular oedema. </w:t>
      </w:r>
    </w:p>
    <w:p w14:paraId="530738C8" w14:textId="77777777" w:rsidR="00702019" w:rsidRPr="000154B8" w:rsidRDefault="00702019" w:rsidP="00702019">
      <w:pPr>
        <w:pStyle w:val="ListParagraph"/>
        <w:numPr>
          <w:ilvl w:val="0"/>
          <w:numId w:val="229"/>
        </w:numPr>
        <w:spacing w:before="0" w:after="0" w:line="240" w:lineRule="auto"/>
      </w:pPr>
      <w:r w:rsidRPr="000154B8">
        <w:t xml:space="preserve">Optometrists are primary eyecare practitioners who use visual fields as part of a diagnostic test regime on indication as per the schedule. Optometrists conduct over 75% of all eye examinations in Australia and need to differentiate the normal and healthy against conditions and diseases of the eye and visual pathway. </w:t>
      </w:r>
    </w:p>
    <w:p w14:paraId="21E89B4B" w14:textId="77777777" w:rsidR="00702019" w:rsidRDefault="00702019" w:rsidP="00702019">
      <w:r w:rsidRPr="000154B8">
        <w:t>This response was accepted by the Taskforce in December 2018.</w:t>
      </w:r>
      <w:r>
        <w:t xml:space="preserve"> </w:t>
      </w:r>
    </w:p>
    <w:p w14:paraId="7C6CE40C" w14:textId="77777777" w:rsidR="009A602C" w:rsidRPr="000676D7" w:rsidRDefault="009A602C" w:rsidP="009A602C">
      <w:pPr>
        <w:pStyle w:val="Heading3"/>
      </w:pPr>
      <w:bookmarkStart w:id="200" w:name="_Toc536548138"/>
      <w:bookmarkStart w:id="201" w:name="_Toc35347241"/>
      <w:r w:rsidRPr="000676D7">
        <w:t>Rationale for Recommendation 3</w:t>
      </w:r>
      <w:bookmarkEnd w:id="200"/>
      <w:bookmarkEnd w:id="201"/>
    </w:p>
    <w:p w14:paraId="7875A5A7" w14:textId="77777777" w:rsidR="009A602C" w:rsidRPr="001714A8" w:rsidRDefault="009A602C" w:rsidP="009A602C">
      <w:pPr>
        <w:pStyle w:val="Body"/>
        <w:rPr>
          <w:rStyle w:val="None"/>
          <w:b/>
          <w:bCs/>
          <w:lang w:val="en-GB"/>
        </w:rPr>
      </w:pPr>
      <w:r w:rsidRPr="001714A8">
        <w:rPr>
          <w:lang w:val="en-GB"/>
        </w:rPr>
        <w:t>This recommendation focuses on reducing low</w:t>
      </w:r>
      <w:r>
        <w:rPr>
          <w:lang w:val="en-GB"/>
        </w:rPr>
        <w:t>-</w:t>
      </w:r>
      <w:r w:rsidRPr="001714A8">
        <w:rPr>
          <w:lang w:val="en-GB"/>
        </w:rPr>
        <w:t>value care. It is based on the following.</w:t>
      </w:r>
    </w:p>
    <w:p w14:paraId="5460FD44" w14:textId="77777777" w:rsidR="009A602C" w:rsidRPr="001714A8" w:rsidRDefault="009A602C" w:rsidP="009A602C">
      <w:pPr>
        <w:pStyle w:val="Bullet-green"/>
      </w:pPr>
      <w:bookmarkStart w:id="202" w:name="_Hlk523166583"/>
      <w:r w:rsidRPr="001714A8">
        <w:t xml:space="preserve">The Committee noted that computerised perimetry services performed by ophthalmologists appear to be in line with expectations: the rate of services per capita increases exponentially with age (Figure </w:t>
      </w:r>
      <w:r>
        <w:t>5</w:t>
      </w:r>
      <w:r w:rsidRPr="001714A8">
        <w:t xml:space="preserve">), </w:t>
      </w:r>
      <w:proofErr w:type="gramStart"/>
      <w:r w:rsidRPr="001714A8">
        <w:t>similar to</w:t>
      </w:r>
      <w:proofErr w:type="gramEnd"/>
      <w:r w:rsidRPr="001714A8">
        <w:t xml:space="preserve"> glaucoma prevalence rates (based on Australian population studies)</w:t>
      </w:r>
      <w:r>
        <w:rPr>
          <w:vertAlign w:val="superscript"/>
        </w:rPr>
        <w:t>10</w:t>
      </w:r>
      <w:r w:rsidRPr="001714A8">
        <w:t>.</w:t>
      </w:r>
    </w:p>
    <w:p w14:paraId="27E0EE73" w14:textId="77777777" w:rsidR="009A602C" w:rsidRPr="001714A8" w:rsidRDefault="009A602C" w:rsidP="009A602C">
      <w:pPr>
        <w:pStyle w:val="Bullet-green"/>
      </w:pPr>
      <w:r w:rsidRPr="001714A8">
        <w:t>However, service rates by age and growth for optometric item 10940 do not appear to be in line with expectations. The Committee felt that this may indicate that computerised perimetry is being used as a screening tool.</w:t>
      </w:r>
    </w:p>
    <w:p w14:paraId="7B2875F5" w14:textId="77777777" w:rsidR="009A602C" w:rsidRPr="001714A8" w:rsidRDefault="009A602C" w:rsidP="009A602C">
      <w:pPr>
        <w:pStyle w:val="Bullet2"/>
      </w:pPr>
      <w:r w:rsidRPr="001714A8">
        <w:t>Service growth for item 10940 was double the rate of comparable ophthalmology items (8 per cent and 4 per cent per year, respectively).</w:t>
      </w:r>
    </w:p>
    <w:p w14:paraId="5A424372" w14:textId="77777777" w:rsidR="009A602C" w:rsidRPr="001714A8" w:rsidRDefault="009A602C" w:rsidP="009A602C">
      <w:pPr>
        <w:pStyle w:val="Bullet2"/>
      </w:pPr>
      <w:r w:rsidRPr="001714A8">
        <w:t xml:space="preserve">Servicing did not increase exponentially with age. Instead, it dropped off for patients aged </w:t>
      </w:r>
      <w:r>
        <w:t>70</w:t>
      </w:r>
      <w:r w:rsidRPr="001714A8">
        <w:t xml:space="preserve"> years and above and was higher than expected for those aged 50 and below (Figure </w:t>
      </w:r>
      <w:r>
        <w:t>5</w:t>
      </w:r>
      <w:r w:rsidRPr="001714A8">
        <w:t xml:space="preserve">). </w:t>
      </w:r>
    </w:p>
    <w:p w14:paraId="3B22479A" w14:textId="578E7B28" w:rsidR="009A602C" w:rsidRPr="001714A8" w:rsidRDefault="009A602C" w:rsidP="009A602C">
      <w:pPr>
        <w:pStyle w:val="Bullet-green"/>
      </w:pPr>
      <w:r w:rsidRPr="001714A8">
        <w:t xml:space="preserve">The Committee recognised that the optometric items are beyond its remit but wished to acknowledge the need to improve targeting of patients for testing. This would allow for a higher rate of glaucoma </w:t>
      </w:r>
      <w:r w:rsidR="004336B3">
        <w:t>assessment</w:t>
      </w:r>
      <w:r>
        <w:t xml:space="preserve">. It also </w:t>
      </w:r>
      <w:r w:rsidRPr="001714A8">
        <w:t xml:space="preserve">represents an opportunity for collaborative research between ophthalmologists and optometrists to achieve the best </w:t>
      </w:r>
      <w:r w:rsidR="00E779D5">
        <w:t>monitoring</w:t>
      </w:r>
      <w:r w:rsidRPr="001714A8">
        <w:t xml:space="preserve"> rates for glaucoma patients, </w:t>
      </w:r>
      <w:r>
        <w:t>using</w:t>
      </w:r>
      <w:r w:rsidRPr="001714A8">
        <w:t xml:space="preserve"> the RANZCO </w:t>
      </w:r>
      <w:r>
        <w:t>g</w:t>
      </w:r>
      <w:r w:rsidRPr="001714A8">
        <w:t xml:space="preserve">uidelines </w:t>
      </w:r>
      <w:r>
        <w:t>(</w:t>
      </w:r>
      <w:r w:rsidRPr="001714A8">
        <w:t>which have already been adopted by groups within the optometric profession</w:t>
      </w:r>
      <w:bookmarkEnd w:id="202"/>
      <w:r>
        <w:t>).</w:t>
      </w:r>
    </w:p>
    <w:p w14:paraId="2D21BAF5" w14:textId="01984571" w:rsidR="009A602C" w:rsidRPr="00315286" w:rsidRDefault="009A602C" w:rsidP="009A602C">
      <w:pPr>
        <w:pStyle w:val="Caption"/>
        <w:rPr>
          <w:lang w:val="en-US"/>
        </w:rPr>
      </w:pPr>
      <w:bookmarkStart w:id="203" w:name="_Toc2170552"/>
      <w:r w:rsidRPr="003013A8">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5</w:t>
      </w:r>
      <w:r>
        <w:rPr>
          <w:lang w:val="en-US"/>
        </w:rPr>
        <w:fldChar w:fldCharType="end"/>
      </w:r>
      <w:r w:rsidRPr="003013A8">
        <w:rPr>
          <w:lang w:val="en-US"/>
        </w:rPr>
        <w:t xml:space="preserve">: </w:t>
      </w:r>
      <w:r w:rsidRPr="00315286">
        <w:rPr>
          <w:lang w:val="en-US"/>
        </w:rPr>
        <w:t>Item 11221 versus item 10940 services per 100,000 population by age group, FY2016/17</w:t>
      </w:r>
      <w:bookmarkEnd w:id="203"/>
    </w:p>
    <w:p w14:paraId="020E24F2" w14:textId="77777777" w:rsidR="009A602C" w:rsidRPr="001714A8" w:rsidRDefault="009A602C" w:rsidP="009A602C">
      <w:pPr>
        <w:pStyle w:val="Body"/>
        <w:rPr>
          <w:lang w:val="en-GB"/>
        </w:rPr>
      </w:pPr>
      <w:r w:rsidRPr="001714A8">
        <w:rPr>
          <w:noProof/>
        </w:rPr>
        <w:drawing>
          <wp:inline distT="0" distB="0" distL="0" distR="0" wp14:anchorId="64D432EE" wp14:editId="177595DC">
            <wp:extent cx="5068800" cy="3400352"/>
            <wp:effectExtent l="0" t="0" r="0" b="0"/>
            <wp:docPr id="1073741835" name="officeArt object" descr="Figure 5 shows a bar chart that shows the difference in number of services per 100,000 population by age group between item 11221 and item 10940." title="Figure 5: Item 11221 versus item 10940 services per 100,000 population by age group FY2016/17"/>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15"/>
                    <a:stretch>
                      <a:fillRect/>
                    </a:stretch>
                  </pic:blipFill>
                  <pic:spPr>
                    <a:xfrm>
                      <a:off x="0" y="0"/>
                      <a:ext cx="5068800" cy="3400352"/>
                    </a:xfrm>
                    <a:prstGeom prst="rect">
                      <a:avLst/>
                    </a:prstGeom>
                    <a:ln w="12700" cap="flat">
                      <a:noFill/>
                      <a:miter lim="400000"/>
                    </a:ln>
                    <a:effectLst/>
                  </pic:spPr>
                </pic:pic>
              </a:graphicData>
            </a:graphic>
          </wp:inline>
        </w:drawing>
      </w:r>
    </w:p>
    <w:p w14:paraId="73AC0684" w14:textId="77777777" w:rsidR="009A602C" w:rsidRPr="00F1034D" w:rsidRDefault="009A602C" w:rsidP="009A602C">
      <w:pPr>
        <w:pStyle w:val="Heading1"/>
        <w:rPr>
          <w:color w:val="01653F"/>
        </w:rPr>
      </w:pPr>
      <w:bookmarkStart w:id="204" w:name="_Toc524100407"/>
      <w:bookmarkStart w:id="205" w:name="_Toc35347242"/>
      <w:r w:rsidRPr="00F1034D">
        <w:rPr>
          <w:rStyle w:val="Hyperlink0"/>
          <w:color w:val="01653F"/>
        </w:rPr>
        <w:lastRenderedPageBreak/>
        <w:t>Eye injection recommendations</w:t>
      </w:r>
      <w:bookmarkEnd w:id="204"/>
      <w:bookmarkEnd w:id="205"/>
    </w:p>
    <w:p w14:paraId="2982F569" w14:textId="77777777" w:rsidR="009A602C" w:rsidRPr="001714A8" w:rsidRDefault="009A602C" w:rsidP="009A602C">
      <w:pPr>
        <w:pStyle w:val="Heading2"/>
      </w:pPr>
      <w:bookmarkStart w:id="206" w:name="_Toc524100408"/>
      <w:bookmarkStart w:id="207" w:name="_Toc536548140"/>
      <w:bookmarkStart w:id="208" w:name="_Toc35347243"/>
      <w:r w:rsidRPr="001714A8">
        <w:rPr>
          <w:rStyle w:val="Hyperlink0"/>
        </w:rPr>
        <w:t>Overview</w:t>
      </w:r>
      <w:bookmarkEnd w:id="206"/>
      <w:bookmarkEnd w:id="207"/>
      <w:bookmarkEnd w:id="208"/>
    </w:p>
    <w:p w14:paraId="52189BA5" w14:textId="77777777" w:rsidR="00D80E2B" w:rsidRDefault="009A602C" w:rsidP="009A602C">
      <w:pPr>
        <w:pStyle w:val="Body"/>
        <w:rPr>
          <w:lang w:val="en-GB"/>
        </w:rPr>
      </w:pPr>
      <w:r w:rsidRPr="001714A8">
        <w:rPr>
          <w:lang w:val="en-GB"/>
        </w:rPr>
        <w:t xml:space="preserve">Intravitreal eye injections are used to treat retinal conditions, predominantly age-related macular degeneration, diabetic retinopathy and </w:t>
      </w:r>
      <w:r>
        <w:rPr>
          <w:lang w:val="en-GB"/>
        </w:rPr>
        <w:t>retinal vein</w:t>
      </w:r>
      <w:r w:rsidRPr="001714A8">
        <w:rPr>
          <w:lang w:val="en-GB"/>
        </w:rPr>
        <w:t xml:space="preserve"> occlusions. These conditions can affect one or both eyes and often require a course of repeated intravitreal injections. </w:t>
      </w:r>
    </w:p>
    <w:p w14:paraId="557E1A0F" w14:textId="77777777" w:rsidR="00D80E2B" w:rsidRDefault="009A602C" w:rsidP="009A602C">
      <w:pPr>
        <w:pStyle w:val="Body"/>
        <w:rPr>
          <w:lang w:val="en-GB"/>
        </w:rPr>
      </w:pPr>
      <w:r w:rsidRPr="001714A8">
        <w:rPr>
          <w:lang w:val="en-GB"/>
        </w:rPr>
        <w:t>Anti-</w:t>
      </w:r>
      <w:r w:rsidRPr="001714A8" w:rsidDel="0035128B">
        <w:rPr>
          <w:lang w:val="en-GB"/>
        </w:rPr>
        <w:t xml:space="preserve"> </w:t>
      </w:r>
      <w:r w:rsidRPr="001714A8">
        <w:rPr>
          <w:lang w:val="en-GB"/>
        </w:rPr>
        <w:t>VEGF therapy injections are the most common type of intravitreal injections</w:t>
      </w:r>
      <w:r>
        <w:rPr>
          <w:lang w:val="en-GB"/>
        </w:rPr>
        <w:t>. They</w:t>
      </w:r>
      <w:r w:rsidRPr="001714A8">
        <w:rPr>
          <w:lang w:val="en-GB"/>
        </w:rPr>
        <w:t xml:space="preserve"> inhibit the growth of abnormal new blood </w:t>
      </w:r>
      <w:proofErr w:type="gramStart"/>
      <w:r w:rsidRPr="001714A8">
        <w:rPr>
          <w:lang w:val="en-GB"/>
        </w:rPr>
        <w:t>vessels</w:t>
      </w:r>
      <w:r>
        <w:rPr>
          <w:lang w:val="en-GB"/>
        </w:rPr>
        <w:t>, and</w:t>
      </w:r>
      <w:proofErr w:type="gramEnd"/>
      <w:r>
        <w:rPr>
          <w:lang w:val="en-GB"/>
        </w:rPr>
        <w:t xml:space="preserve"> reduce leakage from blood vessels</w:t>
      </w:r>
      <w:r w:rsidRPr="001714A8">
        <w:rPr>
          <w:lang w:val="en-GB"/>
        </w:rPr>
        <w:t xml:space="preserve">. </w:t>
      </w:r>
    </w:p>
    <w:p w14:paraId="7C1866AF" w14:textId="77777777" w:rsidR="00D80E2B" w:rsidRDefault="009A602C" w:rsidP="009A602C">
      <w:pPr>
        <w:pStyle w:val="Body"/>
        <w:rPr>
          <w:lang w:val="en-GB"/>
        </w:rPr>
      </w:pPr>
      <w:r w:rsidRPr="001714A8">
        <w:rPr>
          <w:lang w:val="en-GB"/>
        </w:rPr>
        <w:t xml:space="preserve">The two anti-VEGF drugs listed on the PBS are Lucentis (ranibizumab) and Eylea (aflibercept). </w:t>
      </w:r>
    </w:p>
    <w:p w14:paraId="200D8680" w14:textId="284F0FA8" w:rsidR="009A602C" w:rsidRPr="001714A8" w:rsidRDefault="009A602C" w:rsidP="009A602C">
      <w:pPr>
        <w:pStyle w:val="Body"/>
        <w:rPr>
          <w:lang w:val="en-GB"/>
        </w:rPr>
      </w:pPr>
      <w:r w:rsidRPr="001714A8">
        <w:rPr>
          <w:lang w:val="en-GB"/>
        </w:rPr>
        <w:t xml:space="preserve">Most procedures are performed under item 42738, but 2 per cent are claimed under item 42739, which involves </w:t>
      </w:r>
      <w:r>
        <w:rPr>
          <w:lang w:val="en-GB"/>
        </w:rPr>
        <w:t>the provision of anaesthetic services</w:t>
      </w:r>
      <w:r w:rsidRPr="001714A8">
        <w:rPr>
          <w:lang w:val="en-GB"/>
        </w:rPr>
        <w:t xml:space="preserve">. </w:t>
      </w:r>
    </w:p>
    <w:p w14:paraId="41EDAFAC" w14:textId="77777777" w:rsidR="009A602C" w:rsidRPr="001714A8" w:rsidRDefault="009A602C" w:rsidP="009A602C">
      <w:pPr>
        <w:pStyle w:val="Body"/>
        <w:rPr>
          <w:lang w:val="en-GB"/>
        </w:rPr>
      </w:pPr>
      <w:r w:rsidRPr="001714A8">
        <w:rPr>
          <w:lang w:val="en-GB"/>
        </w:rPr>
        <w:t>The Committee noted that there is no universally accepted treatment regimen that defines a required frequency of treatment to achieve optimal visual outcomes while balancing the burden of long-term and frequent treatment.</w:t>
      </w:r>
      <w:r>
        <w:rPr>
          <w:vertAlign w:val="superscript"/>
          <w:lang w:val="en-GB"/>
        </w:rPr>
        <w:t>11</w:t>
      </w:r>
      <w:r w:rsidRPr="001714A8">
        <w:rPr>
          <w:lang w:val="en-GB"/>
        </w:rPr>
        <w:t xml:space="preserve"> </w:t>
      </w:r>
    </w:p>
    <w:p w14:paraId="567924C9" w14:textId="77777777" w:rsidR="009A602C" w:rsidRPr="001714A8" w:rsidRDefault="009A602C" w:rsidP="009A602C">
      <w:pPr>
        <w:pStyle w:val="Heading2"/>
      </w:pPr>
      <w:bookmarkStart w:id="209" w:name="_Toc524100409"/>
      <w:bookmarkStart w:id="210" w:name="_Toc536548141"/>
      <w:bookmarkStart w:id="211" w:name="_Toc35347244"/>
      <w:r w:rsidRPr="001714A8">
        <w:rPr>
          <w:rStyle w:val="Hyperlink0"/>
        </w:rPr>
        <w:t>Eye injections</w:t>
      </w:r>
      <w:bookmarkEnd w:id="209"/>
      <w:bookmarkEnd w:id="210"/>
      <w:bookmarkEnd w:id="211"/>
    </w:p>
    <w:p w14:paraId="008521EB" w14:textId="34C49420" w:rsidR="009A602C" w:rsidRPr="00315286" w:rsidRDefault="009A602C" w:rsidP="009A602C">
      <w:pPr>
        <w:pStyle w:val="Caption"/>
        <w:rPr>
          <w:rStyle w:val="None"/>
          <w:lang w:val="en-US"/>
        </w:rPr>
      </w:pPr>
      <w:bookmarkStart w:id="212" w:name="_Toc2170543"/>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5</w:t>
      </w:r>
      <w:r>
        <w:fldChar w:fldCharType="end"/>
      </w:r>
      <w:r w:rsidRPr="00C656B4">
        <w:rPr>
          <w:lang w:val="en-US"/>
        </w:rPr>
        <w:t xml:space="preserve"> : </w:t>
      </w:r>
      <w:r w:rsidRPr="00315286">
        <w:rPr>
          <w:rStyle w:val="None"/>
          <w:lang w:val="en-US"/>
        </w:rPr>
        <w:t>Item introduction table for items 42738 and 42739</w:t>
      </w:r>
      <w:bookmarkEnd w:id="212"/>
      <w:r w:rsidRPr="00315286">
        <w:rPr>
          <w:rStyle w:val="None"/>
          <w:lang w:val="en-U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53"/>
        <w:gridCol w:w="2993"/>
        <w:gridCol w:w="1045"/>
        <w:gridCol w:w="1545"/>
        <w:gridCol w:w="1050"/>
        <w:gridCol w:w="916"/>
      </w:tblGrid>
      <w:tr w:rsidR="009A602C" w:rsidRPr="000676D7" w14:paraId="3D1E3A16" w14:textId="77777777" w:rsidTr="004102C8">
        <w:trPr>
          <w:tblHeader/>
        </w:trPr>
        <w:tc>
          <w:tcPr>
            <w:tcW w:w="472" w:type="pct"/>
            <w:shd w:val="clear" w:color="auto" w:fill="01653F"/>
            <w:tcMar>
              <w:top w:w="80" w:type="dxa"/>
              <w:left w:w="80" w:type="dxa"/>
              <w:bottom w:w="80" w:type="dxa"/>
              <w:right w:w="80" w:type="dxa"/>
            </w:tcMar>
            <w:vAlign w:val="bottom"/>
          </w:tcPr>
          <w:p w14:paraId="0E72E142"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821" w:type="pct"/>
            <w:shd w:val="clear" w:color="auto" w:fill="01653F"/>
            <w:tcMar>
              <w:top w:w="80" w:type="dxa"/>
              <w:left w:w="80" w:type="dxa"/>
              <w:bottom w:w="80" w:type="dxa"/>
              <w:right w:w="80" w:type="dxa"/>
            </w:tcMar>
            <w:vAlign w:val="bottom"/>
          </w:tcPr>
          <w:p w14:paraId="68384CE2"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8" w:type="pct"/>
            <w:shd w:val="clear" w:color="auto" w:fill="01653F"/>
            <w:tcMar>
              <w:top w:w="80" w:type="dxa"/>
              <w:left w:w="80" w:type="dxa"/>
              <w:bottom w:w="80" w:type="dxa"/>
              <w:right w:w="80" w:type="dxa"/>
            </w:tcMar>
            <w:vAlign w:val="bottom"/>
          </w:tcPr>
          <w:p w14:paraId="52EA7060"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949" w:type="pct"/>
            <w:shd w:val="clear" w:color="auto" w:fill="01653F"/>
            <w:tcMar>
              <w:top w:w="80" w:type="dxa"/>
              <w:left w:w="80" w:type="dxa"/>
              <w:bottom w:w="80" w:type="dxa"/>
              <w:right w:w="80" w:type="dxa"/>
            </w:tcMar>
            <w:vAlign w:val="bottom"/>
          </w:tcPr>
          <w:p w14:paraId="06E5F52F"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558" w:type="pct"/>
            <w:shd w:val="clear" w:color="auto" w:fill="01653F"/>
            <w:tcMar>
              <w:top w:w="80" w:type="dxa"/>
              <w:left w:w="80" w:type="dxa"/>
              <w:bottom w:w="80" w:type="dxa"/>
              <w:right w:w="80" w:type="dxa"/>
            </w:tcMar>
            <w:vAlign w:val="bottom"/>
          </w:tcPr>
          <w:p w14:paraId="3EFBCB8A"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1" w:type="pct"/>
            <w:shd w:val="clear" w:color="auto" w:fill="01653F"/>
            <w:tcMar>
              <w:top w:w="80" w:type="dxa"/>
              <w:left w:w="80" w:type="dxa"/>
              <w:bottom w:w="80" w:type="dxa"/>
              <w:right w:w="80" w:type="dxa"/>
            </w:tcMar>
            <w:vAlign w:val="bottom"/>
          </w:tcPr>
          <w:p w14:paraId="5CBC4133" w14:textId="77777777" w:rsidR="009A602C" w:rsidRPr="000676D7" w:rsidRDefault="009A602C" w:rsidP="004102C8">
            <w:pPr>
              <w:pStyle w:val="Tableheading-white"/>
              <w:spacing w:line="240" w:lineRule="auto"/>
              <w:rPr>
                <w:sz w:val="20"/>
                <w:szCs w:val="20"/>
              </w:rPr>
            </w:pPr>
            <w:r w:rsidRPr="000676D7">
              <w:rPr>
                <w:rStyle w:val="None"/>
                <w:sz w:val="20"/>
                <w:szCs w:val="20"/>
              </w:rPr>
              <w:t>Services 4-year service change % (CAGR) 2012/13-2017/18</w:t>
            </w:r>
          </w:p>
        </w:tc>
      </w:tr>
      <w:tr w:rsidR="009A602C" w:rsidRPr="000676D7" w14:paraId="1BF560AB" w14:textId="77777777" w:rsidTr="004102C8">
        <w:tblPrEx>
          <w:shd w:val="clear" w:color="auto" w:fill="CED7E7"/>
        </w:tblPrEx>
        <w:tc>
          <w:tcPr>
            <w:tcW w:w="472" w:type="pct"/>
            <w:shd w:val="clear" w:color="auto" w:fill="auto"/>
            <w:tcMar>
              <w:top w:w="80" w:type="dxa"/>
              <w:left w:w="80" w:type="dxa"/>
              <w:bottom w:w="80" w:type="dxa"/>
              <w:right w:w="80" w:type="dxa"/>
            </w:tcMar>
          </w:tcPr>
          <w:p w14:paraId="4BA741CC"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42738</w:t>
            </w:r>
          </w:p>
        </w:tc>
        <w:tc>
          <w:tcPr>
            <w:tcW w:w="1821" w:type="pct"/>
            <w:shd w:val="clear" w:color="auto" w:fill="auto"/>
            <w:tcMar>
              <w:top w:w="80" w:type="dxa"/>
              <w:left w:w="80" w:type="dxa"/>
              <w:bottom w:w="80" w:type="dxa"/>
              <w:right w:w="80" w:type="dxa"/>
            </w:tcMar>
          </w:tcPr>
          <w:p w14:paraId="6A9406D9"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Paracentesis of anterior chamber or vitreous cavity, or both, for the injection of therapeutic substances, or the removal of aqueous or vitreous humours for diagnostic or therapeutic </w:t>
            </w:r>
            <w:r w:rsidRPr="000676D7">
              <w:rPr>
                <w:rStyle w:val="None"/>
                <w:sz w:val="20"/>
                <w:szCs w:val="20"/>
                <w:lang w:val="en-GB"/>
              </w:rPr>
              <w:lastRenderedPageBreak/>
              <w:t>purposes, 1 or more of, as an independent procedure.</w:t>
            </w:r>
          </w:p>
        </w:tc>
        <w:tc>
          <w:tcPr>
            <w:tcW w:w="648" w:type="pct"/>
            <w:shd w:val="clear" w:color="auto" w:fill="auto"/>
            <w:tcMar>
              <w:top w:w="80" w:type="dxa"/>
              <w:left w:w="80" w:type="dxa"/>
              <w:bottom w:w="80" w:type="dxa"/>
              <w:right w:w="80" w:type="dxa"/>
            </w:tcMar>
          </w:tcPr>
          <w:p w14:paraId="4BD7A79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lastRenderedPageBreak/>
              <w:t xml:space="preserve"> $300.75 </w:t>
            </w:r>
          </w:p>
        </w:tc>
        <w:tc>
          <w:tcPr>
            <w:tcW w:w="949" w:type="pct"/>
            <w:shd w:val="clear" w:color="auto" w:fill="auto"/>
            <w:tcMar>
              <w:top w:w="80" w:type="dxa"/>
              <w:left w:w="80" w:type="dxa"/>
              <w:bottom w:w="80" w:type="dxa"/>
              <w:right w:w="80" w:type="dxa"/>
            </w:tcMar>
          </w:tcPr>
          <w:p w14:paraId="2B4465BB"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$118,341,850 </w:t>
            </w:r>
          </w:p>
        </w:tc>
        <w:tc>
          <w:tcPr>
            <w:tcW w:w="558" w:type="pct"/>
            <w:shd w:val="clear" w:color="auto" w:fill="auto"/>
            <w:tcMar>
              <w:top w:w="80" w:type="dxa"/>
              <w:left w:w="80" w:type="dxa"/>
              <w:bottom w:w="80" w:type="dxa"/>
              <w:right w:w="80" w:type="dxa"/>
            </w:tcMar>
          </w:tcPr>
          <w:p w14:paraId="79FF7AAA"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408,516 </w:t>
            </w:r>
          </w:p>
        </w:tc>
        <w:tc>
          <w:tcPr>
            <w:tcW w:w="551" w:type="pct"/>
            <w:shd w:val="clear" w:color="auto" w:fill="auto"/>
            <w:tcMar>
              <w:top w:w="80" w:type="dxa"/>
              <w:left w:w="80" w:type="dxa"/>
              <w:bottom w:w="80" w:type="dxa"/>
              <w:right w:w="80" w:type="dxa"/>
            </w:tcMar>
          </w:tcPr>
          <w:p w14:paraId="5911D3C0"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13.5%</w:t>
            </w:r>
          </w:p>
        </w:tc>
      </w:tr>
      <w:tr w:rsidR="009A602C" w:rsidRPr="000676D7" w14:paraId="59AC61C6" w14:textId="77777777" w:rsidTr="004102C8">
        <w:tblPrEx>
          <w:shd w:val="clear" w:color="auto" w:fill="CED7E7"/>
        </w:tblPrEx>
        <w:tc>
          <w:tcPr>
            <w:tcW w:w="472" w:type="pct"/>
            <w:shd w:val="clear" w:color="auto" w:fill="auto"/>
            <w:tcMar>
              <w:top w:w="80" w:type="dxa"/>
              <w:left w:w="80" w:type="dxa"/>
              <w:bottom w:w="80" w:type="dxa"/>
              <w:right w:w="80" w:type="dxa"/>
            </w:tcMar>
          </w:tcPr>
          <w:p w14:paraId="2F8A3386"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42739</w:t>
            </w:r>
          </w:p>
        </w:tc>
        <w:tc>
          <w:tcPr>
            <w:tcW w:w="1821" w:type="pct"/>
            <w:shd w:val="clear" w:color="auto" w:fill="auto"/>
            <w:tcMar>
              <w:top w:w="80" w:type="dxa"/>
              <w:left w:w="80" w:type="dxa"/>
              <w:bottom w:w="80" w:type="dxa"/>
              <w:right w:w="80" w:type="dxa"/>
            </w:tcMar>
          </w:tcPr>
          <w:p w14:paraId="63E7666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Paracentesis of anterior chamber or vitreous cavity, or both, for the injection of therapeutic substances, or the removal of aqueous or vitreous humours for diagnostic or therapeutic purposes, 1 or more of, as an independent procedure, for a patient requiring anaesthetic services. (</w:t>
            </w:r>
            <w:proofErr w:type="spellStart"/>
            <w:r w:rsidRPr="000676D7">
              <w:rPr>
                <w:rStyle w:val="None"/>
                <w:sz w:val="20"/>
                <w:szCs w:val="20"/>
                <w:lang w:val="en-GB"/>
              </w:rPr>
              <w:t>Anaes</w:t>
            </w:r>
            <w:proofErr w:type="spellEnd"/>
            <w:r w:rsidRPr="000676D7">
              <w:rPr>
                <w:rStyle w:val="None"/>
                <w:sz w:val="20"/>
                <w:szCs w:val="20"/>
                <w:lang w:val="en-GB"/>
              </w:rPr>
              <w:t>.)</w:t>
            </w:r>
          </w:p>
        </w:tc>
        <w:tc>
          <w:tcPr>
            <w:tcW w:w="648" w:type="pct"/>
            <w:shd w:val="clear" w:color="auto" w:fill="auto"/>
            <w:tcMar>
              <w:top w:w="80" w:type="dxa"/>
              <w:left w:w="80" w:type="dxa"/>
              <w:bottom w:w="80" w:type="dxa"/>
              <w:right w:w="80" w:type="dxa"/>
            </w:tcMar>
          </w:tcPr>
          <w:p w14:paraId="3F4F9B1D"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$300.75 </w:t>
            </w:r>
          </w:p>
        </w:tc>
        <w:tc>
          <w:tcPr>
            <w:tcW w:w="949" w:type="pct"/>
            <w:shd w:val="clear" w:color="auto" w:fill="auto"/>
            <w:tcMar>
              <w:top w:w="80" w:type="dxa"/>
              <w:left w:w="80" w:type="dxa"/>
              <w:bottom w:w="80" w:type="dxa"/>
              <w:right w:w="80" w:type="dxa"/>
            </w:tcMar>
          </w:tcPr>
          <w:p w14:paraId="6BFE756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$1,884,422 </w:t>
            </w:r>
          </w:p>
        </w:tc>
        <w:tc>
          <w:tcPr>
            <w:tcW w:w="558" w:type="pct"/>
            <w:shd w:val="clear" w:color="auto" w:fill="auto"/>
            <w:tcMar>
              <w:top w:w="80" w:type="dxa"/>
              <w:left w:w="80" w:type="dxa"/>
              <w:bottom w:w="80" w:type="dxa"/>
              <w:right w:w="80" w:type="dxa"/>
            </w:tcMar>
          </w:tcPr>
          <w:p w14:paraId="1BEA263E"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9,092 </w:t>
            </w:r>
          </w:p>
        </w:tc>
        <w:tc>
          <w:tcPr>
            <w:tcW w:w="551" w:type="pct"/>
            <w:shd w:val="clear" w:color="auto" w:fill="auto"/>
            <w:tcMar>
              <w:top w:w="80" w:type="dxa"/>
              <w:left w:w="80" w:type="dxa"/>
              <w:bottom w:w="80" w:type="dxa"/>
              <w:right w:w="80" w:type="dxa"/>
            </w:tcMar>
          </w:tcPr>
          <w:p w14:paraId="00C9D2E6"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-6.2%</w:t>
            </w:r>
          </w:p>
        </w:tc>
      </w:tr>
    </w:tbl>
    <w:p w14:paraId="452FC6D1" w14:textId="77777777" w:rsidR="009A602C" w:rsidRPr="000676D7" w:rsidRDefault="009A602C" w:rsidP="009A602C">
      <w:pPr>
        <w:pStyle w:val="Heading3"/>
      </w:pPr>
      <w:bookmarkStart w:id="213" w:name="_Toc536548142"/>
      <w:bookmarkStart w:id="214" w:name="_Toc35347245"/>
      <w:r w:rsidRPr="000676D7">
        <w:t>Recommendation 4</w:t>
      </w:r>
      <w:bookmarkEnd w:id="213"/>
      <w:bookmarkEnd w:id="214"/>
    </w:p>
    <w:p w14:paraId="54EB15B8" w14:textId="77777777" w:rsidR="009A602C" w:rsidRPr="001714A8" w:rsidRDefault="009A602C" w:rsidP="009A602C">
      <w:pPr>
        <w:pStyle w:val="Bullet-green"/>
      </w:pPr>
      <w:r w:rsidRPr="001714A8">
        <w:t xml:space="preserve">Item 42738: Create two new items to replace </w:t>
      </w:r>
      <w:r>
        <w:t xml:space="preserve">this </w:t>
      </w:r>
      <w:r w:rsidRPr="001714A8">
        <w:t>item.</w:t>
      </w:r>
    </w:p>
    <w:p w14:paraId="59AD0CDB" w14:textId="77777777" w:rsidR="009A602C" w:rsidRPr="001714A8" w:rsidRDefault="009A602C" w:rsidP="009A602C">
      <w:pPr>
        <w:pStyle w:val="Bullet2"/>
      </w:pPr>
      <w:r w:rsidRPr="001714A8">
        <w:t xml:space="preserve">These new items would specify whether the injection is administered into the left or right eye. </w:t>
      </w:r>
    </w:p>
    <w:p w14:paraId="5ED325AB" w14:textId="77777777" w:rsidR="009A602C" w:rsidRPr="001714A8" w:rsidRDefault="009A602C" w:rsidP="009A602C">
      <w:pPr>
        <w:pStyle w:val="Bullet2"/>
      </w:pPr>
      <w:r w:rsidRPr="001714A8">
        <w:t>The items would retain the current descriptor for item 42738, with the additional specification of either left or right eye.</w:t>
      </w:r>
    </w:p>
    <w:p w14:paraId="6558F17A" w14:textId="77777777" w:rsidR="009A602C" w:rsidRPr="000676D7" w:rsidRDefault="009A602C" w:rsidP="009A602C">
      <w:pPr>
        <w:pStyle w:val="Heading3"/>
      </w:pPr>
      <w:bookmarkStart w:id="215" w:name="_Toc536548143"/>
      <w:bookmarkStart w:id="216" w:name="_Toc35347246"/>
      <w:r w:rsidRPr="000676D7">
        <w:t>Rationale for Recommendation 4</w:t>
      </w:r>
      <w:bookmarkEnd w:id="215"/>
      <w:bookmarkEnd w:id="216"/>
    </w:p>
    <w:p w14:paraId="2034C5CA" w14:textId="77777777" w:rsidR="009A602C" w:rsidRPr="001714A8" w:rsidRDefault="009A602C" w:rsidP="009A602C">
      <w:pPr>
        <w:pStyle w:val="Body"/>
        <w:rPr>
          <w:lang w:val="en-GB"/>
        </w:rPr>
      </w:pPr>
      <w:r w:rsidRPr="001714A8">
        <w:rPr>
          <w:lang w:val="en-GB"/>
        </w:rPr>
        <w:t xml:space="preserve">This </w:t>
      </w:r>
      <w:r w:rsidRPr="000676D7">
        <w:t>recommendation</w:t>
      </w:r>
      <w:r w:rsidRPr="001714A8">
        <w:rPr>
          <w:lang w:val="en-GB"/>
        </w:rPr>
        <w:t xml:space="preserve"> aims to improve the quality of care for patients and reduce low-value care. It is based on the following.</w:t>
      </w:r>
    </w:p>
    <w:p w14:paraId="2394A283" w14:textId="77777777" w:rsidR="009A602C" w:rsidRPr="001714A8" w:rsidRDefault="009A602C" w:rsidP="009A602C">
      <w:pPr>
        <w:pStyle w:val="Bullet-green"/>
      </w:pPr>
      <w:r w:rsidRPr="001714A8">
        <w:t xml:space="preserve">MBS data does not stipulate which eye is being treated, which makes it difficult to interpret clinician behaviour and identify low-value care. </w:t>
      </w:r>
    </w:p>
    <w:p w14:paraId="182B440C" w14:textId="77777777" w:rsidR="009A602C" w:rsidRPr="001714A8" w:rsidRDefault="009A602C" w:rsidP="009A602C">
      <w:pPr>
        <w:pStyle w:val="Bullet-green"/>
      </w:pPr>
      <w:r w:rsidRPr="001714A8">
        <w:t xml:space="preserve">Treatment regimens are still evolving, and per-eye data is required to assist in defining frequency criteria. MBS data shows large variation in patient treatment frequency, and the Committee felt that the lowest and highest treatment frequencies may reflect low-value care (Figure </w:t>
      </w:r>
      <w:r>
        <w:t>6</w:t>
      </w:r>
      <w:r w:rsidRPr="001714A8">
        <w:t xml:space="preserve">). </w:t>
      </w:r>
    </w:p>
    <w:p w14:paraId="4EDE4CA3" w14:textId="77777777" w:rsidR="009A602C" w:rsidRPr="001714A8" w:rsidRDefault="009A602C" w:rsidP="009A602C">
      <w:pPr>
        <w:pStyle w:val="Bullet2"/>
      </w:pPr>
      <w:r w:rsidRPr="001714A8">
        <w:t xml:space="preserve">More than 24 injections per year for both eyes </w:t>
      </w:r>
      <w:r>
        <w:t xml:space="preserve">can </w:t>
      </w:r>
      <w:r w:rsidRPr="001714A8">
        <w:t xml:space="preserve">exceed the recommended frequency supported by drug information and randomised </w:t>
      </w:r>
      <w:r w:rsidRPr="001714A8">
        <w:lastRenderedPageBreak/>
        <w:t>clinical trials</w:t>
      </w:r>
      <w:r>
        <w:t>, assuming that only one therapeutic agent is being injected.</w:t>
      </w:r>
      <w:r w:rsidRPr="001714A8">
        <w:t xml:space="preserve"> Monthly injections are considered the maximum treatment frequency, but 0.4 per cent of patients (247) received 24 or more injections in FY2016/17.</w:t>
      </w:r>
    </w:p>
    <w:p w14:paraId="412EDF9B" w14:textId="4C8FBA72" w:rsidR="009A602C" w:rsidRPr="001714A8" w:rsidRDefault="00D80E2B" w:rsidP="009A602C">
      <w:pPr>
        <w:pStyle w:val="Bullet2"/>
        <w:rPr>
          <w:b/>
          <w:bCs/>
        </w:rPr>
      </w:pPr>
      <w:r>
        <w:rPr>
          <w:rStyle w:val="None"/>
        </w:rPr>
        <w:t>Fewer</w:t>
      </w:r>
      <w:r w:rsidRPr="001714A8">
        <w:rPr>
          <w:rStyle w:val="None"/>
        </w:rPr>
        <w:t xml:space="preserve"> </w:t>
      </w:r>
      <w:r w:rsidR="009A602C" w:rsidRPr="001714A8">
        <w:rPr>
          <w:rStyle w:val="None"/>
        </w:rPr>
        <w:t>than three injections per year most likely indicates low-value care. In FY2016/17, 31 per cent of patients (21,222) received three or fewer injections. However, the Committee recognised that there are several valid reasons for low treatment frequency</w:t>
      </w:r>
      <w:r w:rsidR="009A602C">
        <w:rPr>
          <w:rStyle w:val="None"/>
        </w:rPr>
        <w:t>,</w:t>
      </w:r>
      <w:r w:rsidR="009A602C" w:rsidRPr="001714A8">
        <w:rPr>
          <w:rStyle w:val="None"/>
        </w:rPr>
        <w:t xml:space="preserve"> and</w:t>
      </w:r>
      <w:r w:rsidR="009A602C">
        <w:rPr>
          <w:rStyle w:val="None"/>
        </w:rPr>
        <w:t xml:space="preserve"> that</w:t>
      </w:r>
      <w:r w:rsidR="009A602C" w:rsidRPr="001714A8">
        <w:rPr>
          <w:rStyle w:val="None"/>
        </w:rPr>
        <w:t xml:space="preserve"> this would be too difficult to monitor.  </w:t>
      </w:r>
    </w:p>
    <w:p w14:paraId="3E4527B5" w14:textId="77777777" w:rsidR="009A602C" w:rsidRPr="000676D7" w:rsidRDefault="009A602C" w:rsidP="009A602C">
      <w:pPr>
        <w:pStyle w:val="Heading3"/>
      </w:pPr>
      <w:bookmarkStart w:id="217" w:name="_Toc536548144"/>
      <w:bookmarkStart w:id="218" w:name="_Toc35347247"/>
      <w:r w:rsidRPr="000676D7">
        <w:t>Recommendation 5</w:t>
      </w:r>
      <w:bookmarkEnd w:id="217"/>
      <w:bookmarkEnd w:id="218"/>
      <w:r w:rsidRPr="000676D7">
        <w:t xml:space="preserve"> </w:t>
      </w:r>
    </w:p>
    <w:p w14:paraId="7E1121E4" w14:textId="77777777" w:rsidR="009A602C" w:rsidRPr="001714A8" w:rsidRDefault="009A602C" w:rsidP="009A602C">
      <w:pPr>
        <w:pStyle w:val="Bullet-green"/>
      </w:pPr>
      <w:r w:rsidRPr="001714A8">
        <w:t xml:space="preserve">Monitor treatment frequency for eye injections once per-eye data is available. </w:t>
      </w:r>
    </w:p>
    <w:p w14:paraId="724E318B" w14:textId="77777777" w:rsidR="009A602C" w:rsidRPr="001714A8" w:rsidRDefault="009A602C" w:rsidP="009A602C">
      <w:pPr>
        <w:pStyle w:val="Bullet-green"/>
      </w:pPr>
      <w:r w:rsidRPr="001714A8">
        <w:t>Specifically, the Committee recommends that:</w:t>
      </w:r>
    </w:p>
    <w:p w14:paraId="3CCF9C4E" w14:textId="77777777" w:rsidR="009A602C" w:rsidRPr="001714A8" w:rsidRDefault="009A602C" w:rsidP="009A602C">
      <w:pPr>
        <w:pStyle w:val="Bullet2"/>
      </w:pPr>
      <w:r w:rsidRPr="001714A8">
        <w:t xml:space="preserve">MBS Compliance audits clinicians who administer a very high frequency of injections (greater than </w:t>
      </w:r>
      <w:r>
        <w:t>12 per eye</w:t>
      </w:r>
      <w:r w:rsidRPr="001714A8">
        <w:t xml:space="preserve">) or </w:t>
      </w:r>
      <w:r>
        <w:t xml:space="preserve">have </w:t>
      </w:r>
      <w:r w:rsidRPr="001714A8">
        <w:t xml:space="preserve">a </w:t>
      </w:r>
      <w:r>
        <w:t xml:space="preserve">large proportion of patients with a </w:t>
      </w:r>
      <w:r w:rsidRPr="001714A8">
        <w:t>very low frequency of injections (three or fewer per year) and requests that these clinicians justify treatment with clinical indications.</w:t>
      </w:r>
    </w:p>
    <w:p w14:paraId="03AC2B17" w14:textId="77777777" w:rsidR="009A602C" w:rsidRPr="001714A8" w:rsidRDefault="009A602C" w:rsidP="009A602C">
      <w:pPr>
        <w:pStyle w:val="Bullet2"/>
      </w:pPr>
      <w:r w:rsidRPr="001714A8">
        <w:t>RANZCO assists in determining clinically appropriate justifications for high or low frequencies of injections.</w:t>
      </w:r>
    </w:p>
    <w:p w14:paraId="7EFDC128" w14:textId="77777777" w:rsidR="009A602C" w:rsidRPr="000676D7" w:rsidRDefault="009A602C" w:rsidP="009A602C">
      <w:pPr>
        <w:pStyle w:val="Heading3"/>
      </w:pPr>
      <w:bookmarkStart w:id="219" w:name="_Toc536548145"/>
      <w:bookmarkStart w:id="220" w:name="_Toc35347248"/>
      <w:r w:rsidRPr="000676D7">
        <w:t>Rationale for Recommendation 5</w:t>
      </w:r>
      <w:bookmarkEnd w:id="219"/>
      <w:bookmarkEnd w:id="220"/>
    </w:p>
    <w:p w14:paraId="67E81763" w14:textId="77777777" w:rsidR="009A602C" w:rsidRPr="001714A8" w:rsidRDefault="009A602C" w:rsidP="009A602C">
      <w:pPr>
        <w:pStyle w:val="Body"/>
        <w:rPr>
          <w:lang w:val="en-GB"/>
        </w:rPr>
      </w:pPr>
      <w:r w:rsidRPr="001714A8">
        <w:rPr>
          <w:lang w:val="en-GB"/>
        </w:rPr>
        <w:t xml:space="preserve">This recommendation focuses on improving the quality of care for patients and reducing low-value care. It is based on the observations discussed in the rationale for Recommendation 4. </w:t>
      </w:r>
    </w:p>
    <w:p w14:paraId="4DD6148B" w14:textId="77777777" w:rsidR="009A602C" w:rsidRPr="000676D7" w:rsidRDefault="009A602C" w:rsidP="009A602C">
      <w:pPr>
        <w:pStyle w:val="Heading3"/>
      </w:pPr>
      <w:bookmarkStart w:id="221" w:name="_Toc536548146"/>
      <w:bookmarkStart w:id="222" w:name="_Toc35347249"/>
      <w:r w:rsidRPr="000676D7">
        <w:t>Recommendation 6</w:t>
      </w:r>
      <w:bookmarkEnd w:id="221"/>
      <w:bookmarkEnd w:id="222"/>
      <w:r w:rsidRPr="000676D7">
        <w:t xml:space="preserve"> </w:t>
      </w:r>
    </w:p>
    <w:p w14:paraId="28DF01B2" w14:textId="77777777" w:rsidR="009A602C" w:rsidRDefault="009A602C" w:rsidP="009A602C">
      <w:pPr>
        <w:pStyle w:val="Bullet-green"/>
      </w:pPr>
      <w:r>
        <w:t>Facilitate</w:t>
      </w:r>
      <w:r w:rsidRPr="001714A8">
        <w:t xml:space="preserve"> RANZCO </w:t>
      </w:r>
      <w:r>
        <w:t>education of</w:t>
      </w:r>
      <w:r w:rsidRPr="001714A8">
        <w:t xml:space="preserve"> clinicians on appropriate treatment </w:t>
      </w:r>
      <w:proofErr w:type="spellStart"/>
      <w:r w:rsidRPr="001714A8">
        <w:t>regimes</w:t>
      </w:r>
      <w:proofErr w:type="spellEnd"/>
      <w:r w:rsidRPr="001714A8">
        <w:t xml:space="preserve"> by disease type, ideally in the form of guidelines. </w:t>
      </w:r>
    </w:p>
    <w:p w14:paraId="0E50E468" w14:textId="77777777" w:rsidR="009A602C" w:rsidRPr="001714A8" w:rsidRDefault="009A602C" w:rsidP="009A602C">
      <w:pPr>
        <w:pStyle w:val="Bullet2"/>
      </w:pPr>
      <w:r w:rsidRPr="001714A8">
        <w:t xml:space="preserve">A panel of </w:t>
      </w:r>
      <w:r w:rsidRPr="00315286">
        <w:rPr>
          <w:lang w:val="en-US"/>
        </w:rPr>
        <w:t>experts</w:t>
      </w:r>
      <w:r w:rsidRPr="001714A8">
        <w:t xml:space="preserve"> from the Australian and New Zealand Society of Retinal Specialists could formulate clinical practice guidelines for the use of intravitreal anti-VEGF therapy.</w:t>
      </w:r>
    </w:p>
    <w:p w14:paraId="50571BFC" w14:textId="77777777" w:rsidR="009A602C" w:rsidRPr="000676D7" w:rsidRDefault="009A602C" w:rsidP="009A602C">
      <w:pPr>
        <w:pStyle w:val="Heading3"/>
      </w:pPr>
      <w:bookmarkStart w:id="223" w:name="_Toc536548147"/>
      <w:bookmarkStart w:id="224" w:name="_Toc35347250"/>
      <w:r w:rsidRPr="000676D7">
        <w:lastRenderedPageBreak/>
        <w:t>Rationale for Recommendation 6</w:t>
      </w:r>
      <w:bookmarkEnd w:id="223"/>
      <w:bookmarkEnd w:id="224"/>
    </w:p>
    <w:p w14:paraId="38D960D9" w14:textId="77777777" w:rsidR="009A602C" w:rsidRDefault="009A602C" w:rsidP="009A602C">
      <w:pPr>
        <w:pStyle w:val="Body"/>
        <w:rPr>
          <w:lang w:val="en-GB"/>
        </w:rPr>
      </w:pPr>
      <w:r w:rsidRPr="001714A8">
        <w:rPr>
          <w:lang w:val="en-GB"/>
        </w:rPr>
        <w:t xml:space="preserve">This </w:t>
      </w:r>
      <w:r w:rsidRPr="000676D7">
        <w:t>recommendation</w:t>
      </w:r>
      <w:r w:rsidRPr="001714A8">
        <w:rPr>
          <w:lang w:val="en-GB"/>
        </w:rPr>
        <w:t xml:space="preserve"> focuses on improving the quality of care for patients and reducing low-value care. It is based on the observations discussed in the rationale for Recommendation 4. </w:t>
      </w:r>
    </w:p>
    <w:p w14:paraId="74110A70" w14:textId="7B9DCEC1" w:rsidR="009A602C" w:rsidRPr="00315286" w:rsidRDefault="009A602C" w:rsidP="009A602C">
      <w:pPr>
        <w:pStyle w:val="Caption"/>
        <w:rPr>
          <w:rStyle w:val="None"/>
          <w:rFonts w:eastAsia="Calibri"/>
          <w:lang w:val="en-US"/>
        </w:rPr>
      </w:pPr>
      <w:bookmarkStart w:id="225" w:name="_Toc2170553"/>
      <w:r w:rsidRPr="00C82CAE">
        <w:rPr>
          <w:lang w:val="en-US"/>
        </w:rPr>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6</w:t>
      </w:r>
      <w:r>
        <w:rPr>
          <w:lang w:val="en-US"/>
        </w:rPr>
        <w:fldChar w:fldCharType="end"/>
      </w:r>
      <w:r w:rsidRPr="00C82CAE">
        <w:rPr>
          <w:lang w:val="en-US"/>
        </w:rPr>
        <w:t xml:space="preserve">: </w:t>
      </w:r>
      <w:r w:rsidRPr="00315286">
        <w:rPr>
          <w:rStyle w:val="None"/>
          <w:lang w:val="en-US"/>
        </w:rPr>
        <w:t xml:space="preserve">Item 42738 patient count by frequency of services, </w:t>
      </w:r>
      <w:r w:rsidRPr="00C82CAE">
        <w:rPr>
          <w:rStyle w:val="None"/>
          <w:lang w:val="en-US"/>
        </w:rPr>
        <w:t>FY</w:t>
      </w:r>
      <w:r w:rsidRPr="00315286">
        <w:rPr>
          <w:rStyle w:val="None"/>
          <w:lang w:val="en-US"/>
        </w:rPr>
        <w:t>2016/17</w:t>
      </w:r>
      <w:bookmarkEnd w:id="225"/>
    </w:p>
    <w:p w14:paraId="4CCA724F" w14:textId="77777777" w:rsidR="009A602C" w:rsidRPr="001714A8" w:rsidRDefault="009A602C" w:rsidP="009A602C">
      <w:pPr>
        <w:pStyle w:val="Body"/>
        <w:rPr>
          <w:lang w:val="en-GB"/>
        </w:rPr>
      </w:pPr>
      <w:r w:rsidRPr="001714A8">
        <w:rPr>
          <w:noProof/>
        </w:rPr>
        <w:drawing>
          <wp:inline distT="0" distB="0" distL="0" distR="0" wp14:anchorId="54D203BC" wp14:editId="63718EB7">
            <wp:extent cx="4711148" cy="3763617"/>
            <wp:effectExtent l="0" t="0" r="0" b="8890"/>
            <wp:docPr id="1073741836" name="officeArt object" descr="Figure 6 shows a Bar Chart displaying Item 42738 patient count by frequency of services FY2016/17. Axis Y lists number of services/patient from 1 to 24 plus.  Axis X shows the number of patients ranging from 247 patients for 24+number of services/patient to 8,084 patients for 1 number of services/patient." title="Item 42738 patient count by frequency of services FY2016/17."/>
            <wp:cNvGraphicFramePr/>
            <a:graphic xmlns:a="http://schemas.openxmlformats.org/drawingml/2006/main">
              <a:graphicData uri="http://schemas.openxmlformats.org/drawingml/2006/picture">
                <pic:pic xmlns:pic="http://schemas.openxmlformats.org/drawingml/2006/picture">
                  <pic:nvPicPr>
                    <pic:cNvPr id="1073741836" name="image8.png"/>
                    <pic:cNvPicPr>
                      <a:picLocks noChangeAspect="1"/>
                    </pic:cNvPicPr>
                  </pic:nvPicPr>
                  <pic:blipFill>
                    <a:blip r:embed="rId16"/>
                    <a:stretch>
                      <a:fillRect/>
                    </a:stretch>
                  </pic:blipFill>
                  <pic:spPr>
                    <a:xfrm>
                      <a:off x="0" y="0"/>
                      <a:ext cx="4712668" cy="3764831"/>
                    </a:xfrm>
                    <a:prstGeom prst="rect">
                      <a:avLst/>
                    </a:prstGeom>
                    <a:ln w="12700" cap="flat">
                      <a:noFill/>
                      <a:miter lim="400000"/>
                    </a:ln>
                    <a:effectLst/>
                  </pic:spPr>
                </pic:pic>
              </a:graphicData>
            </a:graphic>
          </wp:inline>
        </w:drawing>
      </w:r>
    </w:p>
    <w:p w14:paraId="0D9011DA" w14:textId="77777777" w:rsidR="009A602C" w:rsidRPr="000676D7" w:rsidRDefault="009A602C" w:rsidP="009A602C">
      <w:pPr>
        <w:pStyle w:val="Heading3"/>
      </w:pPr>
      <w:bookmarkStart w:id="226" w:name="_Toc536548148"/>
      <w:bookmarkStart w:id="227" w:name="_Toc35347251"/>
      <w:r w:rsidRPr="000676D7">
        <w:t>Recommendation 7</w:t>
      </w:r>
      <w:bookmarkEnd w:id="226"/>
      <w:bookmarkEnd w:id="227"/>
    </w:p>
    <w:p w14:paraId="6B0980CE" w14:textId="77777777" w:rsidR="009A602C" w:rsidRDefault="009A602C" w:rsidP="009A602C">
      <w:pPr>
        <w:pStyle w:val="Bullet-green"/>
      </w:pPr>
      <w:r w:rsidRPr="001714A8">
        <w:t xml:space="preserve">Item 42738: </w:t>
      </w:r>
      <w:r>
        <w:t>Recommend this item for reclassification as a</w:t>
      </w:r>
      <w:r w:rsidRPr="001714A8">
        <w:t xml:space="preserve"> Type</w:t>
      </w:r>
      <w:r>
        <w:t xml:space="preserve"> C</w:t>
      </w:r>
      <w:r w:rsidRPr="0027737F">
        <w:t xml:space="preserve"> </w:t>
      </w:r>
      <w:r w:rsidRPr="001714A8">
        <w:t>procedure</w:t>
      </w:r>
      <w:r>
        <w:t xml:space="preserve"> by the National Procedures Banding Committee, to inform its banding in the system used for private hospitals</w:t>
      </w:r>
      <w:r w:rsidRPr="001714A8">
        <w:t xml:space="preserve">, with an exclusion for </w:t>
      </w:r>
      <w:r>
        <w:t>MMM regions</w:t>
      </w:r>
      <w:r w:rsidRPr="001714A8">
        <w:t xml:space="preserve"> 5,</w:t>
      </w:r>
      <w:r>
        <w:t xml:space="preserve"> </w:t>
      </w:r>
      <w:r w:rsidRPr="001714A8">
        <w:t>6</w:t>
      </w:r>
      <w:r>
        <w:t xml:space="preserve"> and </w:t>
      </w:r>
      <w:r w:rsidRPr="001714A8">
        <w:t xml:space="preserve">7. </w:t>
      </w:r>
    </w:p>
    <w:p w14:paraId="669F49E8" w14:textId="77777777" w:rsidR="009A602C" w:rsidRPr="001714A8" w:rsidRDefault="009A602C" w:rsidP="009A602C">
      <w:pPr>
        <w:pStyle w:val="Bullet2"/>
      </w:pPr>
      <w:r>
        <w:t xml:space="preserve">A Type C procedure does not normally need hospital treatment and requires clinicians to fill out a form to justify in-hospital use. </w:t>
      </w:r>
      <w:r w:rsidRPr="001714A8">
        <w:t xml:space="preserve">The Committee </w:t>
      </w:r>
      <w:r>
        <w:t>agreed that</w:t>
      </w:r>
      <w:r w:rsidRPr="001714A8">
        <w:t xml:space="preserve"> clinically justifiable</w:t>
      </w:r>
      <w:r>
        <w:t xml:space="preserve"> reasons for</w:t>
      </w:r>
      <w:r w:rsidRPr="001714A8">
        <w:t xml:space="preserve"> in-hospital</w:t>
      </w:r>
      <w:r>
        <w:t xml:space="preserve"> intravitreal injections</w:t>
      </w:r>
      <w:r w:rsidRPr="001714A8">
        <w:t xml:space="preserve"> include</w:t>
      </w:r>
      <w:r>
        <w:t xml:space="preserve"> the following</w:t>
      </w:r>
      <w:r w:rsidRPr="001714A8">
        <w:t>:</w:t>
      </w:r>
    </w:p>
    <w:p w14:paraId="07E338DA" w14:textId="77777777" w:rsidR="009A602C" w:rsidRPr="001714A8" w:rsidRDefault="009A602C" w:rsidP="009A602C">
      <w:pPr>
        <w:pStyle w:val="Dash3"/>
      </w:pPr>
      <w:r w:rsidRPr="001714A8">
        <w:t>Nystagmus or eye movement disorder. </w:t>
      </w:r>
    </w:p>
    <w:p w14:paraId="3308C86E" w14:textId="77777777" w:rsidR="009A602C" w:rsidRPr="001714A8" w:rsidRDefault="009A602C" w:rsidP="009A602C">
      <w:pPr>
        <w:pStyle w:val="Dash3"/>
      </w:pPr>
      <w:r w:rsidRPr="001714A8">
        <w:t>Cognitive impairment precluding safe intravitreal injection without sedation. </w:t>
      </w:r>
    </w:p>
    <w:p w14:paraId="72FDF781" w14:textId="77777777" w:rsidR="009A602C" w:rsidRPr="001714A8" w:rsidRDefault="009A602C" w:rsidP="009A602C">
      <w:pPr>
        <w:pStyle w:val="Dash3"/>
      </w:pPr>
      <w:r w:rsidRPr="001714A8">
        <w:lastRenderedPageBreak/>
        <w:t>Patient under the age of 18. </w:t>
      </w:r>
    </w:p>
    <w:p w14:paraId="140CFE03" w14:textId="77777777" w:rsidR="009A602C" w:rsidRPr="001714A8" w:rsidRDefault="009A602C" w:rsidP="009A602C">
      <w:pPr>
        <w:pStyle w:val="Dash3"/>
      </w:pPr>
      <w:r w:rsidRPr="001714A8">
        <w:t>Patient unable to tolerate intravitreal injection under local anaesthetic without sedation. </w:t>
      </w:r>
    </w:p>
    <w:p w14:paraId="51796D2A" w14:textId="77777777" w:rsidR="009A602C" w:rsidRPr="001714A8" w:rsidRDefault="009A602C" w:rsidP="009A602C">
      <w:pPr>
        <w:pStyle w:val="Dash3"/>
      </w:pPr>
      <w:r w:rsidRPr="001714A8">
        <w:t>Endophthalmitis or other inflammation requiring more extensive anaesthesia (for example, peribulbar). </w:t>
      </w:r>
    </w:p>
    <w:p w14:paraId="3A5DC750" w14:textId="5696EC9F" w:rsidR="009A602C" w:rsidRPr="001714A8" w:rsidRDefault="009A602C" w:rsidP="009A602C">
      <w:pPr>
        <w:pStyle w:val="Bullet2"/>
      </w:pPr>
      <w:r w:rsidRPr="001714A8">
        <w:t xml:space="preserve">The Committee recognises that </w:t>
      </w:r>
      <w:r>
        <w:t>this procedure</w:t>
      </w:r>
      <w:r w:rsidRPr="001714A8">
        <w:t xml:space="preserve"> is being</w:t>
      </w:r>
      <w:r>
        <w:t xml:space="preserve"> carried out</w:t>
      </w:r>
      <w:r w:rsidRPr="001714A8">
        <w:t xml:space="preserve"> in day surgeries because it is defined as a Type B procedure</w:t>
      </w:r>
      <w:r>
        <w:t>,</w:t>
      </w:r>
      <w:r w:rsidRPr="001714A8">
        <w:t xml:space="preserve"> which allows regular in-hospital use. </w:t>
      </w:r>
      <w:r>
        <w:t>It was also acknowledged that philosophically, for some surgeons the setting is the preferred clinically appropriate environment for the patient whether they are covered by private health funding or not</w:t>
      </w:r>
      <w:r w:rsidR="00D80E2B">
        <w:t>.</w:t>
      </w:r>
    </w:p>
    <w:p w14:paraId="3AB426D9" w14:textId="77777777" w:rsidR="009A602C" w:rsidRPr="001714A8" w:rsidRDefault="009A602C" w:rsidP="009A602C">
      <w:pPr>
        <w:pStyle w:val="Bullet-green"/>
      </w:pPr>
      <w:r w:rsidRPr="001714A8">
        <w:t>Item 42739: No change.</w:t>
      </w:r>
    </w:p>
    <w:p w14:paraId="2C43240E" w14:textId="77777777" w:rsidR="009A602C" w:rsidRPr="000676D7" w:rsidRDefault="009A602C" w:rsidP="009A602C">
      <w:pPr>
        <w:pStyle w:val="Heading3"/>
      </w:pPr>
      <w:bookmarkStart w:id="228" w:name="_Toc536548149"/>
      <w:bookmarkStart w:id="229" w:name="_Toc35347252"/>
      <w:r w:rsidRPr="000676D7">
        <w:t>Rationale for Recommendation 7</w:t>
      </w:r>
      <w:bookmarkEnd w:id="228"/>
      <w:bookmarkEnd w:id="229"/>
    </w:p>
    <w:p w14:paraId="26CB0308" w14:textId="77777777" w:rsidR="009A602C" w:rsidRPr="001714A8" w:rsidRDefault="009A602C" w:rsidP="009A602C">
      <w:pPr>
        <w:pStyle w:val="Body"/>
        <w:rPr>
          <w:lang w:val="en-GB"/>
        </w:rPr>
      </w:pPr>
      <w:r w:rsidRPr="001714A8">
        <w:rPr>
          <w:lang w:val="en-GB"/>
        </w:rPr>
        <w:t xml:space="preserve">This </w:t>
      </w:r>
      <w:r w:rsidRPr="000676D7">
        <w:t>recommendation</w:t>
      </w:r>
      <w:r w:rsidRPr="001714A8">
        <w:rPr>
          <w:lang w:val="en-GB"/>
        </w:rPr>
        <w:t xml:space="preserve"> focuses on reducing low-value care. It is based on the following.</w:t>
      </w:r>
    </w:p>
    <w:p w14:paraId="55400A7E" w14:textId="40F08BBE" w:rsidR="009A602C" w:rsidRPr="001714A8" w:rsidRDefault="009A602C" w:rsidP="009A602C">
      <w:pPr>
        <w:pStyle w:val="Bullet-green"/>
      </w:pPr>
      <w:r w:rsidRPr="001714A8">
        <w:t xml:space="preserve">In-hospital </w:t>
      </w:r>
      <w:r>
        <w:t>intravitreal injections</w:t>
      </w:r>
      <w:r w:rsidRPr="001714A8">
        <w:t xml:space="preserve"> </w:t>
      </w:r>
      <w:r>
        <w:t xml:space="preserve">for retinal disease such as macular degeneration </w:t>
      </w:r>
      <w:r w:rsidRPr="001714A8">
        <w:t xml:space="preserve">should occur in </w:t>
      </w:r>
      <w:r w:rsidR="00D80E2B">
        <w:t>fewer</w:t>
      </w:r>
      <w:r w:rsidR="00D80E2B" w:rsidRPr="001714A8">
        <w:t xml:space="preserve"> </w:t>
      </w:r>
      <w:r w:rsidRPr="001714A8">
        <w:t>than 3 per cent of patients. It currently occurs in 18 per cent of patients, and this number is increasing. The Committee felt that this</w:t>
      </w:r>
      <w:r>
        <w:t xml:space="preserve"> is largely unnecessary and</w:t>
      </w:r>
      <w:r w:rsidRPr="001714A8">
        <w:t xml:space="preserve"> may be due to </w:t>
      </w:r>
      <w:r>
        <w:t>financial</w:t>
      </w:r>
      <w:r w:rsidRPr="001714A8">
        <w:t xml:space="preserve"> incentives. </w:t>
      </w:r>
    </w:p>
    <w:p w14:paraId="14DF73A5" w14:textId="77777777" w:rsidR="009A602C" w:rsidRPr="001714A8" w:rsidRDefault="009A602C" w:rsidP="009A602C">
      <w:pPr>
        <w:pStyle w:val="Bullet-green"/>
      </w:pPr>
      <w:r w:rsidRPr="001714A8">
        <w:t>RANZCO’s Choosing Wisely guidelines specify that injections should not be performed in a hospital or day surgery unless there is a valid clinical indication. They can be safely performed on an outpatient basis</w:t>
      </w:r>
      <w:r>
        <w:rPr>
          <w:vertAlign w:val="superscript"/>
        </w:rPr>
        <w:t>12</w:t>
      </w:r>
      <w:r w:rsidRPr="001714A8">
        <w:t xml:space="preserve"> The most severe complication of intravitreal injections is infection inside the eye (endophthalmitis)</w:t>
      </w:r>
      <w:r>
        <w:t>.</w:t>
      </w:r>
      <w:r>
        <w:rPr>
          <w:vertAlign w:val="superscript"/>
        </w:rPr>
        <w:t>13</w:t>
      </w:r>
      <w:r w:rsidRPr="001714A8">
        <w:t xml:space="preserve"> Various studies have compared injections given in an outpatient setting with those performed in an operating theatre and found no significant difference in endophthalmitis rates</w:t>
      </w:r>
      <w:r>
        <w:t>.</w:t>
      </w:r>
      <w:r>
        <w:rPr>
          <w:vertAlign w:val="superscript"/>
        </w:rPr>
        <w:t>14</w:t>
      </w:r>
      <w:r w:rsidRPr="001714A8">
        <w:t xml:space="preserve"> </w:t>
      </w:r>
    </w:p>
    <w:p w14:paraId="5B643BAF" w14:textId="77777777" w:rsidR="009A602C" w:rsidRPr="001714A8" w:rsidRDefault="009A602C" w:rsidP="009A602C">
      <w:pPr>
        <w:pStyle w:val="Bullet-green"/>
      </w:pPr>
      <w:r w:rsidRPr="001714A8">
        <w:t>The protocols for performing injections on an outpatient basis are detailed in guidelines developed by RANZCO for performing intravitreal therapy and include the use of standard aseptic technique, topical antiseptic in the conjunctival sac, and a face mask.</w:t>
      </w:r>
      <w:r>
        <w:rPr>
          <w:vertAlign w:val="superscript"/>
        </w:rPr>
        <w:t>15</w:t>
      </w:r>
    </w:p>
    <w:p w14:paraId="2F529200" w14:textId="77777777" w:rsidR="009A602C" w:rsidRPr="001714A8" w:rsidRDefault="009A602C" w:rsidP="009A602C">
      <w:pPr>
        <w:pStyle w:val="Bullet-green"/>
      </w:pPr>
      <w:r w:rsidRPr="001714A8">
        <w:t>In the United States and the United Kingdom, eye injections are not performed in</w:t>
      </w:r>
      <w:r>
        <w:t xml:space="preserve"> </w:t>
      </w:r>
      <w:r w:rsidRPr="001714A8">
        <w:t xml:space="preserve">hospital unless there are exceptional circumstances (such as a general </w:t>
      </w:r>
      <w:r w:rsidRPr="001714A8">
        <w:lastRenderedPageBreak/>
        <w:t>anaesthetic requirement). In the United Kingdom, injections are performed in a procedure room. In the United States, they are performed “in office”.</w:t>
      </w:r>
      <w:r>
        <w:rPr>
          <w:vertAlign w:val="superscript"/>
        </w:rPr>
        <w:t>16</w:t>
      </w:r>
    </w:p>
    <w:p w14:paraId="0DB7D349" w14:textId="77777777" w:rsidR="009A602C" w:rsidRPr="001714A8" w:rsidRDefault="009A602C" w:rsidP="009A602C">
      <w:pPr>
        <w:pStyle w:val="Bullet-green"/>
      </w:pPr>
      <w:r w:rsidRPr="001714A8">
        <w:t xml:space="preserve">Performing these injections in a hospital or day surgery adds significant cost to the procedure with no </w:t>
      </w:r>
      <w:r>
        <w:t xml:space="preserve">apparent </w:t>
      </w:r>
      <w:r w:rsidRPr="001714A8">
        <w:t>clinical benefit.</w:t>
      </w:r>
      <w:r>
        <w:rPr>
          <w:vertAlign w:val="superscript"/>
        </w:rPr>
        <w:t>17</w:t>
      </w:r>
      <w:r w:rsidRPr="001714A8">
        <w:t xml:space="preserve"> </w:t>
      </w:r>
    </w:p>
    <w:p w14:paraId="60313D5B" w14:textId="77777777" w:rsidR="009A602C" w:rsidRPr="00F1034D" w:rsidRDefault="009A602C" w:rsidP="009A602C">
      <w:pPr>
        <w:pStyle w:val="Heading1"/>
        <w:rPr>
          <w:color w:val="01653F"/>
        </w:rPr>
      </w:pPr>
      <w:bookmarkStart w:id="230" w:name="_Toc524100410"/>
      <w:bookmarkStart w:id="231" w:name="_Toc35347253"/>
      <w:r w:rsidRPr="00F1034D">
        <w:rPr>
          <w:rStyle w:val="Hyperlink0"/>
          <w:color w:val="01653F"/>
        </w:rPr>
        <w:lastRenderedPageBreak/>
        <w:t>Cataract surgery recommendations</w:t>
      </w:r>
      <w:bookmarkEnd w:id="230"/>
      <w:bookmarkEnd w:id="231"/>
    </w:p>
    <w:p w14:paraId="5C0BC1D8" w14:textId="77777777" w:rsidR="009A602C" w:rsidRPr="001714A8" w:rsidRDefault="009A602C" w:rsidP="009A602C">
      <w:pPr>
        <w:pStyle w:val="Heading2"/>
      </w:pPr>
      <w:bookmarkStart w:id="232" w:name="_Toc524100411"/>
      <w:bookmarkStart w:id="233" w:name="_Toc536548151"/>
      <w:bookmarkStart w:id="234" w:name="_Toc35347254"/>
      <w:r w:rsidRPr="001714A8">
        <w:rPr>
          <w:rStyle w:val="Hyperlink0"/>
        </w:rPr>
        <w:t>Overview</w:t>
      </w:r>
      <w:bookmarkEnd w:id="232"/>
      <w:bookmarkEnd w:id="233"/>
      <w:bookmarkEnd w:id="234"/>
    </w:p>
    <w:p w14:paraId="4A1869FD" w14:textId="672DDA2D" w:rsidR="009A602C" w:rsidRPr="001714A8" w:rsidRDefault="009A602C" w:rsidP="009A602C">
      <w:pPr>
        <w:pStyle w:val="Body"/>
        <w:ind w:right="142"/>
        <w:rPr>
          <w:lang w:val="en-GB"/>
        </w:rPr>
      </w:pPr>
      <w:r w:rsidRPr="001714A8">
        <w:rPr>
          <w:lang w:val="en-GB"/>
        </w:rPr>
        <w:t>The Committee conside</w:t>
      </w:r>
      <w:r>
        <w:rPr>
          <w:lang w:val="en-GB"/>
        </w:rPr>
        <w:t>rs</w:t>
      </w:r>
      <w:r w:rsidRPr="001714A8">
        <w:rPr>
          <w:lang w:val="en-GB"/>
        </w:rPr>
        <w:t xml:space="preserve"> cataract surgery to be a mature procedure with well-documented outcomes and impacts. It noted that growth is lower than population growth for ageing populations, and that there is a decline in services for patients over the age of 80</w:t>
      </w:r>
      <w:r>
        <w:rPr>
          <w:lang w:val="en-GB"/>
        </w:rPr>
        <w:t xml:space="preserve">, which may be due to </w:t>
      </w:r>
      <w:r w:rsidRPr="001714A8">
        <w:rPr>
          <w:lang w:val="en-GB"/>
        </w:rPr>
        <w:t>more than 50 per cent of patients in this age group hav</w:t>
      </w:r>
      <w:r w:rsidR="00D80E2B">
        <w:rPr>
          <w:lang w:val="en-GB"/>
        </w:rPr>
        <w:t>ing</w:t>
      </w:r>
      <w:r w:rsidRPr="001714A8">
        <w:rPr>
          <w:lang w:val="en-GB"/>
        </w:rPr>
        <w:t xml:space="preserve"> already received cataract surgery.</w:t>
      </w:r>
    </w:p>
    <w:p w14:paraId="25A6E5AE" w14:textId="77777777" w:rsidR="009A602C" w:rsidRPr="001714A8" w:rsidRDefault="009A602C" w:rsidP="009A602C">
      <w:pPr>
        <w:pStyle w:val="Body"/>
        <w:ind w:right="142"/>
        <w:rPr>
          <w:lang w:val="en-GB"/>
        </w:rPr>
      </w:pPr>
      <w:r w:rsidRPr="001714A8">
        <w:rPr>
          <w:lang w:val="en-GB"/>
        </w:rPr>
        <w:t>The Committee identified three main issues relevant to cataract surgery:</w:t>
      </w:r>
    </w:p>
    <w:p w14:paraId="0EC604BA" w14:textId="77777777" w:rsidR="009A602C" w:rsidRPr="001714A8" w:rsidRDefault="009A602C" w:rsidP="009A602C">
      <w:pPr>
        <w:pStyle w:val="Bullet-green"/>
      </w:pPr>
      <w:r w:rsidRPr="001714A8">
        <w:t>Rural and remote access.</w:t>
      </w:r>
    </w:p>
    <w:p w14:paraId="5DB0161B" w14:textId="77777777" w:rsidR="009A602C" w:rsidRPr="001714A8" w:rsidRDefault="009A602C" w:rsidP="009A602C">
      <w:pPr>
        <w:pStyle w:val="Bullet-green"/>
      </w:pPr>
      <w:r w:rsidRPr="001714A8">
        <w:t>Bulk billing.</w:t>
      </w:r>
    </w:p>
    <w:p w14:paraId="474CEF09" w14:textId="77777777" w:rsidR="009A602C" w:rsidRPr="001714A8" w:rsidRDefault="009A602C" w:rsidP="009A602C">
      <w:pPr>
        <w:pStyle w:val="Bullet-green"/>
      </w:pPr>
      <w:r w:rsidRPr="001714A8">
        <w:t xml:space="preserve">Referral guidelines. </w:t>
      </w:r>
    </w:p>
    <w:p w14:paraId="6D7B1551" w14:textId="77777777" w:rsidR="009A602C" w:rsidRPr="000676D7" w:rsidRDefault="009A602C" w:rsidP="009A602C">
      <w:pPr>
        <w:pStyle w:val="Heading3"/>
      </w:pPr>
      <w:bookmarkStart w:id="235" w:name="_Toc536548152"/>
      <w:bookmarkStart w:id="236" w:name="_Toc35347255"/>
      <w:r w:rsidRPr="000676D7">
        <w:t>Rural and remote access</w:t>
      </w:r>
      <w:bookmarkEnd w:id="235"/>
      <w:bookmarkEnd w:id="236"/>
    </w:p>
    <w:p w14:paraId="25EDB798" w14:textId="6517EE9A" w:rsidR="009A602C" w:rsidRPr="001714A8" w:rsidRDefault="009A602C" w:rsidP="009A602C">
      <w:pPr>
        <w:pStyle w:val="Body"/>
        <w:ind w:right="142"/>
        <w:rPr>
          <w:lang w:val="en-GB"/>
        </w:rPr>
      </w:pPr>
      <w:r w:rsidRPr="001714A8">
        <w:rPr>
          <w:lang w:val="en-GB"/>
        </w:rPr>
        <w:t xml:space="preserve">The Committee noted that there are logistical difficulties in providing eye services to rural and remote areas, particularly cataract surgery services. These servicing issues are </w:t>
      </w:r>
      <w:proofErr w:type="spellStart"/>
      <w:r w:rsidRPr="001714A8">
        <w:rPr>
          <w:lang w:val="en-GB"/>
        </w:rPr>
        <w:t>accompan</w:t>
      </w:r>
      <w:r w:rsidRPr="000676D7">
        <w:t>i</w:t>
      </w:r>
      <w:proofErr w:type="spellEnd"/>
      <w:r w:rsidRPr="001714A8">
        <w:rPr>
          <w:lang w:val="en-GB"/>
        </w:rPr>
        <w:t xml:space="preserve">ed by a higher prevalence of eye disease among rural Australians, particularly </w:t>
      </w:r>
      <w:r>
        <w:rPr>
          <w:lang w:val="en-GB"/>
        </w:rPr>
        <w:t>Aboriginal and Torres Strait Islander people</w:t>
      </w:r>
      <w:r w:rsidRPr="001714A8">
        <w:rPr>
          <w:lang w:val="en-GB"/>
        </w:rPr>
        <w:t>, compared to their urban counterparts</w:t>
      </w:r>
      <w:r w:rsidR="00D80E2B">
        <w:rPr>
          <w:vertAlign w:val="superscript"/>
          <w:lang w:val="en-GB"/>
        </w:rPr>
        <w:t>18</w:t>
      </w:r>
      <w:r w:rsidRPr="001714A8">
        <w:rPr>
          <w:lang w:val="en-GB"/>
        </w:rPr>
        <w:t xml:space="preserve">. The rate of blindness among </w:t>
      </w:r>
      <w:r>
        <w:rPr>
          <w:lang w:val="en-GB"/>
        </w:rPr>
        <w:t>Aboriginal and Torres Strait Islander</w:t>
      </w:r>
      <w:r w:rsidRPr="001714A8">
        <w:rPr>
          <w:lang w:val="en-GB"/>
        </w:rPr>
        <w:t xml:space="preserve"> adults is 2.8</w:t>
      </w:r>
      <w:r>
        <w:rPr>
          <w:lang w:val="en-GB"/>
        </w:rPr>
        <w:t xml:space="preserve"> per cent—</w:t>
      </w:r>
      <w:r w:rsidRPr="001714A8">
        <w:rPr>
          <w:lang w:val="en-GB"/>
        </w:rPr>
        <w:t>6.2 times the rate for the total population</w:t>
      </w:r>
      <w:r>
        <w:rPr>
          <w:lang w:val="en-GB"/>
        </w:rPr>
        <w:t>. T</w:t>
      </w:r>
      <w:r w:rsidRPr="001714A8">
        <w:rPr>
          <w:lang w:val="en-GB"/>
        </w:rPr>
        <w:t>he occurrence of cataract is also higher</w:t>
      </w:r>
      <w:r>
        <w:rPr>
          <w:lang w:val="en-GB"/>
        </w:rPr>
        <w:t>:</w:t>
      </w:r>
      <w:r w:rsidRPr="001714A8">
        <w:rPr>
          <w:lang w:val="en-GB"/>
        </w:rPr>
        <w:t xml:space="preserve"> 11</w:t>
      </w:r>
      <w:r>
        <w:rPr>
          <w:lang w:val="en-GB"/>
        </w:rPr>
        <w:t xml:space="preserve"> per cent</w:t>
      </w:r>
      <w:r w:rsidRPr="001714A8">
        <w:rPr>
          <w:lang w:val="en-GB"/>
        </w:rPr>
        <w:t xml:space="preserve"> of </w:t>
      </w:r>
      <w:r>
        <w:rPr>
          <w:lang w:val="en-GB"/>
        </w:rPr>
        <w:t>Aboriginal and Torres Strait Islander</w:t>
      </w:r>
      <w:r w:rsidRPr="001714A8">
        <w:rPr>
          <w:lang w:val="en-GB"/>
        </w:rPr>
        <w:t xml:space="preserve"> people aged over 55 report a history of cataract</w:t>
      </w:r>
      <w:r>
        <w:rPr>
          <w:lang w:val="en-GB"/>
        </w:rPr>
        <w:t>,</w:t>
      </w:r>
      <w:r w:rsidRPr="001714A8">
        <w:rPr>
          <w:lang w:val="en-GB"/>
        </w:rPr>
        <w:t xml:space="preserve"> compared with 7</w:t>
      </w:r>
      <w:r>
        <w:rPr>
          <w:lang w:val="en-GB"/>
        </w:rPr>
        <w:t xml:space="preserve"> per cent</w:t>
      </w:r>
      <w:r w:rsidRPr="001714A8">
        <w:rPr>
          <w:lang w:val="en-GB"/>
        </w:rPr>
        <w:t xml:space="preserve"> of non-</w:t>
      </w:r>
      <w:r>
        <w:rPr>
          <w:lang w:val="en-GB"/>
        </w:rPr>
        <w:t>Indigenous</w:t>
      </w:r>
      <w:r w:rsidRPr="001714A8">
        <w:rPr>
          <w:lang w:val="en-GB"/>
        </w:rPr>
        <w:t xml:space="preserve"> people.</w:t>
      </w:r>
      <w:r>
        <w:rPr>
          <w:vertAlign w:val="superscript"/>
          <w:lang w:val="en-GB"/>
        </w:rPr>
        <w:t>19</w:t>
      </w:r>
    </w:p>
    <w:p w14:paraId="2BA8FCBD" w14:textId="77777777" w:rsidR="009A602C" w:rsidRPr="001714A8" w:rsidRDefault="009A602C" w:rsidP="009A602C">
      <w:pPr>
        <w:pStyle w:val="Body"/>
      </w:pPr>
      <w:r w:rsidRPr="001714A8">
        <w:t xml:space="preserve">The Committee also noted that cataracts in </w:t>
      </w:r>
      <w:r>
        <w:t xml:space="preserve">patients from </w:t>
      </w:r>
      <w:r w:rsidRPr="001714A8">
        <w:t xml:space="preserve">rural/remote </w:t>
      </w:r>
      <w:r>
        <w:t>areas</w:t>
      </w:r>
      <w:r w:rsidRPr="001714A8">
        <w:t xml:space="preserve"> are often more complex, and that clinicians experience attendance issues, both of which make the provision of services less efficient. For example, </w:t>
      </w:r>
      <w:r>
        <w:t>the Committee</w:t>
      </w:r>
      <w:r w:rsidRPr="001714A8">
        <w:t xml:space="preserve"> noted that clinicians in Perth see double the number of patients for the same kind of operation, compared to remote areas, despite efforts to improve the efficiency of rural/remote service delivery. </w:t>
      </w:r>
      <w:r>
        <w:t xml:space="preserve">In addition, surgeries in urban areas have well trained teams who </w:t>
      </w:r>
      <w:r>
        <w:lastRenderedPageBreak/>
        <w:t>regularly work with the surgeon, whereas in rural areas, the nursing and support staff generally work across all specialties of visiting surgeons.</w:t>
      </w:r>
    </w:p>
    <w:p w14:paraId="0CF4B32F" w14:textId="77777777" w:rsidR="009A602C" w:rsidRPr="001714A8" w:rsidRDefault="009A602C" w:rsidP="009A602C">
      <w:pPr>
        <w:pStyle w:val="Body"/>
      </w:pPr>
      <w:r w:rsidRPr="001714A8">
        <w:t xml:space="preserve">The Committee </w:t>
      </w:r>
      <w:r>
        <w:t>agreed that</w:t>
      </w:r>
      <w:r w:rsidRPr="001714A8">
        <w:t xml:space="preserve"> rural and remote servicing issues </w:t>
      </w:r>
      <w:r>
        <w:t>extend beyond</w:t>
      </w:r>
      <w:r w:rsidRPr="001714A8">
        <w:t xml:space="preserve"> cataract surgery </w:t>
      </w:r>
      <w:r>
        <w:t xml:space="preserve">and </w:t>
      </w:r>
      <w:r w:rsidRPr="001714A8">
        <w:t>h</w:t>
      </w:r>
      <w:r>
        <w:t>as</w:t>
      </w:r>
      <w:r w:rsidRPr="001714A8">
        <w:t xml:space="preserve"> made a general recommendation to incentivise rural and remote ophthalmology services</w:t>
      </w:r>
      <w:r>
        <w:t xml:space="preserve"> (See S</w:t>
      </w:r>
      <w:r w:rsidRPr="001714A8">
        <w:t>ection 12</w:t>
      </w:r>
      <w:r>
        <w:t xml:space="preserve">.3). </w:t>
      </w:r>
    </w:p>
    <w:p w14:paraId="228AC15B" w14:textId="77777777" w:rsidR="009A602C" w:rsidRPr="000676D7" w:rsidRDefault="009A602C" w:rsidP="009A602C">
      <w:pPr>
        <w:pStyle w:val="Heading3"/>
      </w:pPr>
      <w:bookmarkStart w:id="237" w:name="_Toc536548153"/>
      <w:bookmarkStart w:id="238" w:name="_Toc35347256"/>
      <w:r w:rsidRPr="000676D7">
        <w:t>Bulk billing</w:t>
      </w:r>
      <w:bookmarkEnd w:id="237"/>
      <w:bookmarkEnd w:id="238"/>
      <w:r w:rsidRPr="000676D7">
        <w:t xml:space="preserve"> </w:t>
      </w:r>
    </w:p>
    <w:p w14:paraId="40288B23" w14:textId="43D74BFF" w:rsidR="009A602C" w:rsidRPr="001714A8" w:rsidRDefault="009A602C" w:rsidP="009A602C">
      <w:pPr>
        <w:pStyle w:val="Body"/>
      </w:pPr>
      <w:r w:rsidRPr="001714A8">
        <w:t>The Committee noted that the bulk-billing rate for cataract surgery is low, with an average rate of 3.5 per cent. It also noted that the bulk-billing rate only varies slightly across socio-economic groups, ranging from 2.0 per cent in the least disadvantaged group to 5.9 per cent in the most disadvantaged group in FY</w:t>
      </w:r>
      <w:r>
        <w:t>20</w:t>
      </w:r>
      <w:r w:rsidRPr="001714A8">
        <w:t xml:space="preserve">15/16. This low bulk-billing rate may reflect additional costs of cataract surgery that are not covered by the MBS. These costs are usually covered by private health insurance (for example, the cost of intra-ocular lenses, theatre fees), but patients from lower socio-economic groups </w:t>
      </w:r>
      <w:r w:rsidR="00701E1C">
        <w:t xml:space="preserve">and/or rural and remote areas </w:t>
      </w:r>
      <w:r w:rsidRPr="001714A8">
        <w:t xml:space="preserve">may not have private health insurance and may seek treatment in the public system instead. </w:t>
      </w:r>
      <w:r>
        <w:t>It was also discussed that bulk-billing rates for other high-volume surgical procedures were similarly low.</w:t>
      </w:r>
    </w:p>
    <w:p w14:paraId="6E6E97B4" w14:textId="77777777" w:rsidR="009A602C" w:rsidRDefault="009A602C" w:rsidP="009A602C">
      <w:pPr>
        <w:pStyle w:val="Heading3"/>
      </w:pPr>
      <w:bookmarkStart w:id="239" w:name="_Toc536548154"/>
      <w:bookmarkStart w:id="240" w:name="_Toc35347257"/>
      <w:r w:rsidRPr="000676D7">
        <w:t>Referral guidelines</w:t>
      </w:r>
      <w:bookmarkEnd w:id="239"/>
      <w:bookmarkEnd w:id="240"/>
    </w:p>
    <w:p w14:paraId="23BEB400" w14:textId="77777777" w:rsidR="009A602C" w:rsidRPr="001714A8" w:rsidRDefault="009A602C" w:rsidP="009A602C">
      <w:pPr>
        <w:pStyle w:val="Body"/>
      </w:pPr>
      <w:r w:rsidRPr="001714A8">
        <w:t>The Committee recognised that several jurisdictions include visual acuity</w:t>
      </w:r>
      <w:r>
        <w:t xml:space="preserve"> (</w:t>
      </w:r>
      <w:r w:rsidRPr="001714A8">
        <w:t>in combination with quality of life or functional capacity</w:t>
      </w:r>
      <w:r>
        <w:t>)</w:t>
      </w:r>
      <w:r w:rsidRPr="001714A8">
        <w:t xml:space="preserve"> in cataract surgery referral guidelines, including </w:t>
      </w:r>
      <w:r>
        <w:t xml:space="preserve">in </w:t>
      </w:r>
      <w:r w:rsidRPr="001714A8">
        <w:t xml:space="preserve">Victoria, New Zealand and Sweden. However, the Committee </w:t>
      </w:r>
      <w:r>
        <w:t>considers</w:t>
      </w:r>
      <w:r w:rsidRPr="001714A8">
        <w:t xml:space="preserve"> the United Kingdom</w:t>
      </w:r>
      <w:r>
        <w:t>’s</w:t>
      </w:r>
      <w:r w:rsidRPr="001714A8">
        <w:t xml:space="preserve"> National Institute for Health and Care Excellence (NICE) guidelines to be more reflective of modern practice</w:t>
      </w:r>
      <w:r>
        <w:t xml:space="preserve"> and could be adopted more widely in Australia. These guidelines</w:t>
      </w:r>
      <w:r w:rsidRPr="001714A8">
        <w:t xml:space="preserve"> do not include Snellen visual acuity and emphasise the effects of cataract on the patient’s ability to perform day-to-day activities.</w:t>
      </w:r>
    </w:p>
    <w:p w14:paraId="660C3525" w14:textId="77777777" w:rsidR="009A602C" w:rsidRPr="001714A8" w:rsidRDefault="009A602C" w:rsidP="009A602C">
      <w:pPr>
        <w:pStyle w:val="Body"/>
      </w:pPr>
      <w:r w:rsidRPr="001714A8">
        <w:t xml:space="preserve">The Committee </w:t>
      </w:r>
      <w:r>
        <w:t xml:space="preserve">considered that the use of </w:t>
      </w:r>
      <w:r w:rsidRPr="001714A8">
        <w:t xml:space="preserve">Snellen visual acuity </w:t>
      </w:r>
      <w:r>
        <w:t>w</w:t>
      </w:r>
      <w:r w:rsidRPr="001714A8">
        <w:t xml:space="preserve">as a rationing mechanism and noted that this measure does not adequately represent visual function and important criteria such as contrast sensitivity and glare. </w:t>
      </w:r>
    </w:p>
    <w:p w14:paraId="7D5FC1C7" w14:textId="3EDC7081" w:rsidR="009A602C" w:rsidRPr="00315286" w:rsidRDefault="009A602C" w:rsidP="009A602C">
      <w:pPr>
        <w:pStyle w:val="Caption"/>
        <w:rPr>
          <w:rStyle w:val="None"/>
          <w:lang w:val="en-US"/>
        </w:rPr>
      </w:pPr>
      <w:bookmarkStart w:id="241" w:name="_Toc2170554"/>
      <w:r w:rsidRPr="003013A8">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1C6959">
        <w:rPr>
          <w:noProof/>
          <w:lang w:val="en-US"/>
        </w:rPr>
        <w:t>7</w:t>
      </w:r>
      <w:r>
        <w:rPr>
          <w:lang w:val="en-US"/>
        </w:rPr>
        <w:fldChar w:fldCharType="end"/>
      </w:r>
      <w:r w:rsidRPr="003013A8">
        <w:rPr>
          <w:lang w:val="en-US"/>
        </w:rPr>
        <w:t xml:space="preserve">: </w:t>
      </w:r>
      <w:r w:rsidRPr="00315286">
        <w:rPr>
          <w:rStyle w:val="None"/>
          <w:lang w:val="en-US"/>
        </w:rPr>
        <w:t>Item 42702 socio-economic status of patients, number of services and bulk-billing rate, FY2015/16</w:t>
      </w:r>
      <w:bookmarkEnd w:id="241"/>
    </w:p>
    <w:p w14:paraId="5D99DA5D" w14:textId="77777777" w:rsidR="009A602C" w:rsidRDefault="009A602C" w:rsidP="009A602C">
      <w:pPr>
        <w:pStyle w:val="Body"/>
        <w:rPr>
          <w:lang w:val="en-GB"/>
        </w:rPr>
      </w:pPr>
      <w:r w:rsidRPr="001714A8">
        <w:rPr>
          <w:noProof/>
        </w:rPr>
        <w:drawing>
          <wp:inline distT="0" distB="0" distL="0" distR="0" wp14:anchorId="71210315" wp14:editId="73220271">
            <wp:extent cx="5102087" cy="2975113"/>
            <wp:effectExtent l="0" t="0" r="3810" b="0"/>
            <wp:docPr id="1073741837" name="officeArt object" descr="Figure 7 Item 42702 socio-economic status of patients, number of services and bulk-billing rate, FY2015/16. Displays as a BAR Chart with Axis Y, Number of services per thousand ranging from 0 - 40 thousand. Axis X shows  Bulk Billing rates as per Most Disadvantaged 4.9%, Second Most Distavantaged 4.6%, Middle Quintile 4.4%, Second Least Disadvantaged 3.0% and Least Disadvantaged 2.0%. " title="FIGURE 7: Item 42702 socio-economic status of patients, number of services and bulk-billing rate, FY2015/16"/>
            <wp:cNvGraphicFramePr/>
            <a:graphic xmlns:a="http://schemas.openxmlformats.org/drawingml/2006/main">
              <a:graphicData uri="http://schemas.openxmlformats.org/drawingml/2006/picture">
                <pic:pic xmlns:pic="http://schemas.openxmlformats.org/drawingml/2006/picture">
                  <pic:nvPicPr>
                    <pic:cNvPr id="1073741837" name="image9.png"/>
                    <pic:cNvPicPr>
                      <a:picLocks noChangeAspect="1"/>
                    </pic:cNvPicPr>
                  </pic:nvPicPr>
                  <pic:blipFill>
                    <a:blip r:embed="rId17"/>
                    <a:stretch>
                      <a:fillRect/>
                    </a:stretch>
                  </pic:blipFill>
                  <pic:spPr>
                    <a:xfrm>
                      <a:off x="0" y="0"/>
                      <a:ext cx="5102584" cy="2975403"/>
                    </a:xfrm>
                    <a:prstGeom prst="rect">
                      <a:avLst/>
                    </a:prstGeom>
                    <a:ln w="12700" cap="flat">
                      <a:noFill/>
                      <a:miter lim="400000"/>
                    </a:ln>
                    <a:effectLst/>
                  </pic:spPr>
                </pic:pic>
              </a:graphicData>
            </a:graphic>
          </wp:inline>
        </w:drawing>
      </w:r>
    </w:p>
    <w:p w14:paraId="725B115A" w14:textId="77777777" w:rsidR="009A602C" w:rsidRPr="001714A8" w:rsidRDefault="009A602C" w:rsidP="009A602C">
      <w:pPr>
        <w:pStyle w:val="Heading2"/>
      </w:pPr>
      <w:bookmarkStart w:id="242" w:name="_Toc525744221"/>
      <w:bookmarkStart w:id="243" w:name="_Toc525744340"/>
      <w:bookmarkStart w:id="244" w:name="_Toc525744457"/>
      <w:bookmarkStart w:id="245" w:name="_Toc525744832"/>
      <w:bookmarkStart w:id="246" w:name="_Toc525744949"/>
      <w:bookmarkStart w:id="247" w:name="_Toc525745066"/>
      <w:bookmarkStart w:id="248" w:name="_Toc525745182"/>
      <w:bookmarkStart w:id="249" w:name="_Toc525745296"/>
      <w:bookmarkStart w:id="250" w:name="_Toc524100412"/>
      <w:bookmarkStart w:id="251" w:name="_Toc536548155"/>
      <w:bookmarkStart w:id="252" w:name="_Toc35347258"/>
      <w:bookmarkEnd w:id="242"/>
      <w:bookmarkEnd w:id="243"/>
      <w:bookmarkEnd w:id="244"/>
      <w:bookmarkEnd w:id="245"/>
      <w:bookmarkEnd w:id="246"/>
      <w:bookmarkEnd w:id="247"/>
      <w:bookmarkEnd w:id="248"/>
      <w:bookmarkEnd w:id="249"/>
      <w:r w:rsidRPr="001714A8">
        <w:rPr>
          <w:rStyle w:val="Hyperlink0"/>
        </w:rPr>
        <w:t>Cataract surgery</w:t>
      </w:r>
      <w:bookmarkEnd w:id="250"/>
      <w:bookmarkEnd w:id="251"/>
      <w:bookmarkEnd w:id="252"/>
    </w:p>
    <w:p w14:paraId="2AB5954B" w14:textId="216598B6" w:rsidR="009A602C" w:rsidRPr="00315286" w:rsidRDefault="009A602C" w:rsidP="009A602C">
      <w:pPr>
        <w:pStyle w:val="Caption"/>
        <w:rPr>
          <w:lang w:val="en-US"/>
        </w:rPr>
      </w:pPr>
      <w:bookmarkStart w:id="253" w:name="_Toc2170544"/>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6</w:t>
      </w:r>
      <w:r>
        <w:fldChar w:fldCharType="end"/>
      </w:r>
      <w:r w:rsidRPr="00C656B4">
        <w:rPr>
          <w:lang w:val="en-US"/>
        </w:rPr>
        <w:t xml:space="preserve"> : </w:t>
      </w:r>
      <w:r w:rsidRPr="00315286">
        <w:rPr>
          <w:lang w:val="en-US"/>
        </w:rPr>
        <w:t>Item introduction table for item 42702</w:t>
      </w:r>
      <w:bookmarkEnd w:id="253"/>
      <w:r w:rsidRPr="00315286">
        <w:rPr>
          <w:lang w:val="en-U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60"/>
        <w:gridCol w:w="2999"/>
        <w:gridCol w:w="1053"/>
        <w:gridCol w:w="1551"/>
        <w:gridCol w:w="1050"/>
        <w:gridCol w:w="889"/>
      </w:tblGrid>
      <w:tr w:rsidR="009A602C" w:rsidRPr="000676D7" w14:paraId="116E5593" w14:textId="77777777" w:rsidTr="004102C8">
        <w:trPr>
          <w:trHeight w:val="1382"/>
          <w:tblHeader/>
        </w:trPr>
        <w:tc>
          <w:tcPr>
            <w:tcW w:w="473" w:type="pct"/>
            <w:shd w:val="clear" w:color="auto" w:fill="01653F"/>
            <w:tcMar>
              <w:top w:w="80" w:type="dxa"/>
              <w:left w:w="80" w:type="dxa"/>
              <w:bottom w:w="80" w:type="dxa"/>
              <w:right w:w="80" w:type="dxa"/>
            </w:tcMar>
            <w:vAlign w:val="bottom"/>
          </w:tcPr>
          <w:p w14:paraId="132D31CB"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821" w:type="pct"/>
            <w:shd w:val="clear" w:color="auto" w:fill="01653F"/>
            <w:tcMar>
              <w:top w:w="80" w:type="dxa"/>
              <w:left w:w="80" w:type="dxa"/>
              <w:bottom w:w="80" w:type="dxa"/>
              <w:right w:w="80" w:type="dxa"/>
            </w:tcMar>
            <w:vAlign w:val="bottom"/>
          </w:tcPr>
          <w:p w14:paraId="47DC0087"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9" w:type="pct"/>
            <w:shd w:val="clear" w:color="auto" w:fill="01653F"/>
            <w:tcMar>
              <w:top w:w="80" w:type="dxa"/>
              <w:left w:w="80" w:type="dxa"/>
              <w:bottom w:w="80" w:type="dxa"/>
              <w:right w:w="80" w:type="dxa"/>
            </w:tcMar>
            <w:vAlign w:val="bottom"/>
          </w:tcPr>
          <w:p w14:paraId="5E0D1554"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949" w:type="pct"/>
            <w:shd w:val="clear" w:color="auto" w:fill="01653F"/>
            <w:tcMar>
              <w:top w:w="80" w:type="dxa"/>
              <w:left w:w="80" w:type="dxa"/>
              <w:bottom w:w="80" w:type="dxa"/>
              <w:right w:w="80" w:type="dxa"/>
            </w:tcMar>
            <w:vAlign w:val="bottom"/>
          </w:tcPr>
          <w:p w14:paraId="36F83300"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558" w:type="pct"/>
            <w:shd w:val="clear" w:color="auto" w:fill="01653F"/>
            <w:tcMar>
              <w:top w:w="80" w:type="dxa"/>
              <w:left w:w="80" w:type="dxa"/>
              <w:bottom w:w="80" w:type="dxa"/>
              <w:right w:w="80" w:type="dxa"/>
            </w:tcMar>
            <w:vAlign w:val="bottom"/>
          </w:tcPr>
          <w:p w14:paraId="6AC947A9"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1" w:type="pct"/>
            <w:shd w:val="clear" w:color="auto" w:fill="01653F"/>
            <w:tcMar>
              <w:top w:w="80" w:type="dxa"/>
              <w:left w:w="80" w:type="dxa"/>
              <w:bottom w:w="80" w:type="dxa"/>
              <w:right w:w="80" w:type="dxa"/>
            </w:tcMar>
            <w:vAlign w:val="bottom"/>
          </w:tcPr>
          <w:p w14:paraId="46CF153B" w14:textId="77777777" w:rsidR="009A602C" w:rsidRPr="000676D7" w:rsidRDefault="009A602C" w:rsidP="004102C8">
            <w:pPr>
              <w:pStyle w:val="Tableheading-white"/>
              <w:spacing w:line="240" w:lineRule="auto"/>
              <w:rPr>
                <w:sz w:val="20"/>
                <w:szCs w:val="20"/>
              </w:rPr>
            </w:pPr>
            <w:r w:rsidRPr="000676D7">
              <w:rPr>
                <w:rStyle w:val="None"/>
                <w:sz w:val="20"/>
                <w:szCs w:val="20"/>
              </w:rPr>
              <w:t>Services 5-year service change % (CAGR)</w:t>
            </w:r>
          </w:p>
        </w:tc>
      </w:tr>
      <w:tr w:rsidR="009A602C" w:rsidRPr="000676D7" w14:paraId="13123FC5" w14:textId="77777777" w:rsidTr="004102C8">
        <w:tblPrEx>
          <w:shd w:val="clear" w:color="auto" w:fill="CED7E7"/>
        </w:tblPrEx>
        <w:trPr>
          <w:trHeight w:val="1806"/>
        </w:trPr>
        <w:tc>
          <w:tcPr>
            <w:tcW w:w="473" w:type="pct"/>
            <w:shd w:val="clear" w:color="auto" w:fill="auto"/>
            <w:tcMar>
              <w:top w:w="80" w:type="dxa"/>
              <w:left w:w="80" w:type="dxa"/>
              <w:bottom w:w="80" w:type="dxa"/>
              <w:right w:w="80" w:type="dxa"/>
            </w:tcMar>
          </w:tcPr>
          <w:p w14:paraId="50D59369"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42702</w:t>
            </w:r>
          </w:p>
        </w:tc>
        <w:tc>
          <w:tcPr>
            <w:tcW w:w="1821" w:type="pct"/>
            <w:shd w:val="clear" w:color="auto" w:fill="auto"/>
            <w:tcMar>
              <w:top w:w="80" w:type="dxa"/>
              <w:left w:w="80" w:type="dxa"/>
              <w:bottom w:w="80" w:type="dxa"/>
              <w:right w:w="80" w:type="dxa"/>
            </w:tcMar>
          </w:tcPr>
          <w:p w14:paraId="2C850707"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Lens extraction and insertion of artificial lens, excluding surgery performed for the correction of refractive error except for anisometropia greater than 3 dioptres following the removal of cataract in the first eye (</w:t>
            </w:r>
            <w:proofErr w:type="spellStart"/>
            <w:r w:rsidRPr="000676D7">
              <w:rPr>
                <w:rStyle w:val="None"/>
                <w:sz w:val="20"/>
                <w:szCs w:val="20"/>
                <w:lang w:val="en-GB"/>
              </w:rPr>
              <w:t>Anaes</w:t>
            </w:r>
            <w:proofErr w:type="spellEnd"/>
            <w:r w:rsidRPr="000676D7">
              <w:rPr>
                <w:rStyle w:val="None"/>
                <w:sz w:val="20"/>
                <w:szCs w:val="20"/>
                <w:lang w:val="en-GB"/>
              </w:rPr>
              <w:t>.)</w:t>
            </w:r>
          </w:p>
        </w:tc>
        <w:tc>
          <w:tcPr>
            <w:tcW w:w="649" w:type="pct"/>
            <w:shd w:val="clear" w:color="auto" w:fill="auto"/>
            <w:tcMar>
              <w:top w:w="80" w:type="dxa"/>
              <w:left w:w="80" w:type="dxa"/>
              <w:bottom w:w="80" w:type="dxa"/>
              <w:right w:w="80" w:type="dxa"/>
            </w:tcMar>
          </w:tcPr>
          <w:p w14:paraId="066B4FE5"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$760.65 </w:t>
            </w:r>
          </w:p>
        </w:tc>
        <w:tc>
          <w:tcPr>
            <w:tcW w:w="949" w:type="pct"/>
            <w:shd w:val="clear" w:color="auto" w:fill="auto"/>
            <w:tcMar>
              <w:top w:w="80" w:type="dxa"/>
              <w:left w:w="80" w:type="dxa"/>
              <w:bottom w:w="80" w:type="dxa"/>
              <w:right w:w="80" w:type="dxa"/>
            </w:tcMar>
          </w:tcPr>
          <w:p w14:paraId="5DE4A815"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$98,995,528 </w:t>
            </w:r>
          </w:p>
        </w:tc>
        <w:tc>
          <w:tcPr>
            <w:tcW w:w="558" w:type="pct"/>
            <w:shd w:val="clear" w:color="auto" w:fill="auto"/>
            <w:tcMar>
              <w:top w:w="80" w:type="dxa"/>
              <w:left w:w="80" w:type="dxa"/>
              <w:bottom w:w="80" w:type="dxa"/>
              <w:right w:w="80" w:type="dxa"/>
            </w:tcMar>
          </w:tcPr>
          <w:p w14:paraId="281107B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173,193 </w:t>
            </w:r>
          </w:p>
        </w:tc>
        <w:tc>
          <w:tcPr>
            <w:tcW w:w="551" w:type="pct"/>
            <w:shd w:val="clear" w:color="auto" w:fill="auto"/>
            <w:tcMar>
              <w:top w:w="80" w:type="dxa"/>
              <w:left w:w="80" w:type="dxa"/>
              <w:bottom w:w="80" w:type="dxa"/>
              <w:right w:w="80" w:type="dxa"/>
            </w:tcMar>
          </w:tcPr>
          <w:p w14:paraId="3060F7E1"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3.1%</w:t>
            </w:r>
          </w:p>
        </w:tc>
      </w:tr>
    </w:tbl>
    <w:p w14:paraId="3E25118D" w14:textId="77777777" w:rsidR="009A602C" w:rsidRPr="000676D7" w:rsidRDefault="009A602C" w:rsidP="009A602C">
      <w:pPr>
        <w:pStyle w:val="Heading3"/>
      </w:pPr>
      <w:bookmarkStart w:id="254" w:name="_Toc536548156"/>
      <w:bookmarkStart w:id="255" w:name="_Toc35347259"/>
      <w:r w:rsidRPr="000676D7">
        <w:t>Recommendation 8</w:t>
      </w:r>
      <w:bookmarkEnd w:id="254"/>
      <w:bookmarkEnd w:id="255"/>
      <w:r w:rsidRPr="000676D7">
        <w:t xml:space="preserve"> </w:t>
      </w:r>
    </w:p>
    <w:p w14:paraId="2F1F35C6" w14:textId="77777777" w:rsidR="009A602C" w:rsidRPr="001714A8" w:rsidRDefault="009A602C" w:rsidP="009A602C">
      <w:pPr>
        <w:pStyle w:val="Bullet-green"/>
      </w:pPr>
      <w:r w:rsidRPr="001714A8">
        <w:t xml:space="preserve">Item 42702: No change. </w:t>
      </w:r>
    </w:p>
    <w:p w14:paraId="5B5EC7D1" w14:textId="77777777" w:rsidR="009A602C" w:rsidRPr="000676D7" w:rsidRDefault="009A602C" w:rsidP="009A602C">
      <w:pPr>
        <w:pStyle w:val="Heading3"/>
      </w:pPr>
      <w:bookmarkStart w:id="256" w:name="_Toc536548157"/>
      <w:bookmarkStart w:id="257" w:name="_Toc35347260"/>
      <w:r w:rsidRPr="000676D7">
        <w:t>Rationale for Recommendation 8</w:t>
      </w:r>
      <w:bookmarkEnd w:id="256"/>
      <w:bookmarkEnd w:id="257"/>
    </w:p>
    <w:p w14:paraId="5E24836D" w14:textId="77777777" w:rsidR="009A602C" w:rsidRPr="001714A8" w:rsidRDefault="009A602C" w:rsidP="009A602C">
      <w:pPr>
        <w:pStyle w:val="Body"/>
        <w:rPr>
          <w:lang w:val="en-GB"/>
        </w:rPr>
      </w:pPr>
      <w:r w:rsidRPr="001714A8">
        <w:rPr>
          <w:lang w:val="en-GB"/>
        </w:rPr>
        <w:t xml:space="preserve">This </w:t>
      </w:r>
      <w:r w:rsidRPr="000676D7">
        <w:t>recommendation</w:t>
      </w:r>
      <w:r w:rsidRPr="001714A8">
        <w:rPr>
          <w:lang w:val="en-GB"/>
        </w:rPr>
        <w:t xml:space="preserve"> focuses on aligning the MBS with modern best practice. It is based on the following.  </w:t>
      </w:r>
    </w:p>
    <w:p w14:paraId="39D2D905" w14:textId="3EA05904" w:rsidR="009A602C" w:rsidRPr="001714A8" w:rsidRDefault="009A602C" w:rsidP="009A602C">
      <w:pPr>
        <w:pStyle w:val="Bullet-green"/>
      </w:pPr>
      <w:r w:rsidRPr="001714A8">
        <w:lastRenderedPageBreak/>
        <w:t xml:space="preserve">The Committee agreed that there are broader issues that cannot be </w:t>
      </w:r>
      <w:r>
        <w:t>resolved</w:t>
      </w:r>
      <w:r w:rsidRPr="001714A8">
        <w:t xml:space="preserve"> by item-level changes</w:t>
      </w:r>
      <w:r>
        <w:t xml:space="preserve"> to the MBS</w:t>
      </w:r>
      <w:r w:rsidRPr="001714A8">
        <w:t xml:space="preserve"> and</w:t>
      </w:r>
      <w:r>
        <w:t xml:space="preserve"> </w:t>
      </w:r>
      <w:r w:rsidRPr="001714A8">
        <w:t xml:space="preserve">require further investigation beyond the scope of the MBS Review, as well as MBS Compliance action. For example, it acknowledged geographical variation in services and noted that RANZCO is working with the Australian Atlas of Healthcare Variation to understand the underlying issues associated with this variation. The </w:t>
      </w:r>
      <w:r>
        <w:t>mal</w:t>
      </w:r>
      <w:r w:rsidRPr="001714A8">
        <w:t>distribution of ophthalmologists</w:t>
      </w:r>
      <w:r>
        <w:t>, like other clinicians</w:t>
      </w:r>
      <w:r w:rsidRPr="001714A8">
        <w:t xml:space="preserve"> across Australia</w:t>
      </w:r>
      <w:r>
        <w:t>,</w:t>
      </w:r>
      <w:r w:rsidRPr="001714A8">
        <w:t xml:space="preserve"> is one of the causes of undersupply</w:t>
      </w:r>
      <w:r>
        <w:t xml:space="preserve"> outside major urban areas</w:t>
      </w:r>
      <w:r w:rsidRPr="001714A8">
        <w:t xml:space="preserve">. RANZCO is implementing a regional training scheme where registrars will be based in regional locations and rotated into cities for specialist training. </w:t>
      </w:r>
      <w:r w:rsidR="00A54DC5">
        <w:t xml:space="preserve">Health literacy of patients/consumers is also an </w:t>
      </w:r>
      <w:proofErr w:type="gramStart"/>
      <w:r w:rsidR="00A54DC5">
        <w:t>important issues</w:t>
      </w:r>
      <w:proofErr w:type="gramEnd"/>
      <w:r w:rsidR="00A54DC5">
        <w:t xml:space="preserve"> in lower socio-economic communities and rural and remote areas.</w:t>
      </w:r>
    </w:p>
    <w:p w14:paraId="68DC6849" w14:textId="77777777" w:rsidR="009A602C" w:rsidRPr="001714A8" w:rsidRDefault="009A602C" w:rsidP="009A602C">
      <w:pPr>
        <w:pStyle w:val="Bullet-green"/>
      </w:pPr>
      <w:r w:rsidRPr="001714A8">
        <w:t>The Committee considered</w:t>
      </w:r>
      <w:r>
        <w:t xml:space="preserve"> both</w:t>
      </w:r>
      <w:r w:rsidRPr="001714A8">
        <w:t xml:space="preserve"> the volume of services and service growth</w:t>
      </w:r>
      <w:r>
        <w:t xml:space="preserve"> for cataract surgery</w:t>
      </w:r>
      <w:r w:rsidRPr="001714A8">
        <w:t xml:space="preserve"> to be in line with expectations. Services per capita declined among </w:t>
      </w:r>
      <w:r>
        <w:t>people</w:t>
      </w:r>
      <w:r w:rsidRPr="001714A8">
        <w:t xml:space="preserve"> aged 80 and above at a rate of -0.7 per cent per year between FY2010/11 and FY2016/17. Growth is relatively low for other population groups, ranging from 0.2 per cent to 2.2 per cent per capita. The Committee agreed that this decline in services for patients over the age of 80 is </w:t>
      </w:r>
      <w:r>
        <w:t>probably</w:t>
      </w:r>
      <w:r w:rsidRPr="001714A8">
        <w:t xml:space="preserve"> because more than 50 per cent of patients in this age group have already received cataract surgery. </w:t>
      </w:r>
    </w:p>
    <w:p w14:paraId="6A999FB2" w14:textId="77777777" w:rsidR="009A602C" w:rsidRDefault="009A602C" w:rsidP="009A602C">
      <w:pPr>
        <w:pStyle w:val="Bullet-green"/>
      </w:pPr>
      <w:r w:rsidRPr="001714A8">
        <w:t xml:space="preserve">Regarding purely refractive lens surgery, the Committee noted that occasionally an educated patient asks for a clear lens exchange surgery to be billed as a cataract surgery. This is rare and explicitly excluded in the </w:t>
      </w:r>
      <w:r>
        <w:t xml:space="preserve">item </w:t>
      </w:r>
      <w:r w:rsidRPr="001714A8">
        <w:t>descriptor, but it may explain the 0.2 per cent of total services provided to patients below 40 years of age. The Committee recommends that MBS Compliance investigate these cases</w:t>
      </w:r>
      <w:r>
        <w:t>, noting that there are legitimate uses of 42702 under age 40, such as premature cataract due to other ocular or systemic conditions.</w:t>
      </w:r>
    </w:p>
    <w:p w14:paraId="22904E13" w14:textId="77777777" w:rsidR="009A602C" w:rsidRPr="00D67433" w:rsidRDefault="009A602C" w:rsidP="009A602C">
      <w:pPr>
        <w:pStyle w:val="Heading3"/>
      </w:pPr>
      <w:bookmarkStart w:id="258" w:name="_Toc536548158"/>
      <w:bookmarkStart w:id="259" w:name="_Toc35347261"/>
      <w:r w:rsidRPr="00D67433">
        <w:t xml:space="preserve">Taskforce </w:t>
      </w:r>
      <w:r>
        <w:t>c</w:t>
      </w:r>
      <w:r w:rsidRPr="00D67433">
        <w:t>ommentary</w:t>
      </w:r>
      <w:bookmarkEnd w:id="258"/>
      <w:bookmarkEnd w:id="259"/>
      <w:r w:rsidRPr="00D67433">
        <w:t xml:space="preserve"> </w:t>
      </w:r>
    </w:p>
    <w:p w14:paraId="151003A6" w14:textId="77777777" w:rsidR="009A602C" w:rsidRPr="003279C6" w:rsidRDefault="009A602C" w:rsidP="009A602C">
      <w:r>
        <w:t>While the Taskforce does not intend to override the Clinical Committee’s recommendation of no change to the cataract surgery item, it considered it important to include additional facts on the cataract surgery rebate. These facts were circulated to the Clinical Committee throughout the review process.</w:t>
      </w:r>
    </w:p>
    <w:p w14:paraId="26ED8F7E" w14:textId="77777777" w:rsidR="009A602C" w:rsidRDefault="009A602C" w:rsidP="009A602C">
      <w:pPr>
        <w:pStyle w:val="Bullet-green"/>
        <w:numPr>
          <w:ilvl w:val="0"/>
          <w:numId w:val="0"/>
        </w:numPr>
        <w:rPr>
          <w:lang w:val="en-AU"/>
        </w:rPr>
      </w:pPr>
      <w:r>
        <w:rPr>
          <w:lang w:val="en-AU"/>
        </w:rPr>
        <w:t>The Taskforce noted</w:t>
      </w:r>
      <w:r w:rsidRPr="00E7587A">
        <w:rPr>
          <w:lang w:val="en-AU"/>
        </w:rPr>
        <w:t xml:space="preserve"> </w:t>
      </w:r>
      <w:r>
        <w:rPr>
          <w:lang w:val="en-AU"/>
        </w:rPr>
        <w:t>the following facts:</w:t>
      </w:r>
    </w:p>
    <w:p w14:paraId="02A68987" w14:textId="77777777" w:rsidR="009A602C" w:rsidRDefault="009A602C" w:rsidP="009A602C">
      <w:pPr>
        <w:pStyle w:val="Bullet-green"/>
        <w:numPr>
          <w:ilvl w:val="0"/>
          <w:numId w:val="221"/>
        </w:numPr>
        <w:rPr>
          <w:lang w:val="en-AU"/>
        </w:rPr>
      </w:pPr>
      <w:r>
        <w:rPr>
          <w:lang w:val="en-AU"/>
        </w:rPr>
        <w:lastRenderedPageBreak/>
        <w:t xml:space="preserve">The </w:t>
      </w:r>
      <w:r w:rsidRPr="00E020FC">
        <w:rPr>
          <w:lang w:val="en-AU"/>
        </w:rPr>
        <w:t xml:space="preserve">average time </w:t>
      </w:r>
      <w:r>
        <w:rPr>
          <w:lang w:val="en-AU"/>
        </w:rPr>
        <w:t>to perform a</w:t>
      </w:r>
      <w:r w:rsidRPr="00E020FC">
        <w:rPr>
          <w:lang w:val="en-AU"/>
        </w:rPr>
        <w:t xml:space="preserve"> cataract surgery has decreased from ~60 mins 20 years ago, to 30 minutes today</w:t>
      </w:r>
      <w:r>
        <w:rPr>
          <w:lang w:val="en-AU"/>
        </w:rPr>
        <w:t>;</w:t>
      </w:r>
      <w:r>
        <w:rPr>
          <w:vertAlign w:val="superscript"/>
          <w:lang w:val="en-AU"/>
        </w:rPr>
        <w:t>20</w:t>
      </w:r>
      <w:r>
        <w:rPr>
          <w:lang w:val="en-AU"/>
        </w:rPr>
        <w:t xml:space="preserve"> and </w:t>
      </w:r>
    </w:p>
    <w:p w14:paraId="49F6AEB9" w14:textId="77777777" w:rsidR="009A602C" w:rsidRDefault="009A602C" w:rsidP="009A602C">
      <w:pPr>
        <w:pStyle w:val="Bullet-green"/>
        <w:numPr>
          <w:ilvl w:val="0"/>
          <w:numId w:val="221"/>
        </w:numPr>
        <w:rPr>
          <w:lang w:val="en-AU"/>
        </w:rPr>
      </w:pPr>
      <w:r w:rsidRPr="0013346F">
        <w:rPr>
          <w:lang w:val="en-AU"/>
        </w:rPr>
        <w:t xml:space="preserve">The rebate per hour </w:t>
      </w:r>
      <w:r>
        <w:rPr>
          <w:lang w:val="en-AU"/>
        </w:rPr>
        <w:t xml:space="preserve">of $1,140, </w:t>
      </w:r>
      <w:r w:rsidRPr="0013346F">
        <w:rPr>
          <w:lang w:val="en-AU"/>
        </w:rPr>
        <w:t>is much higher than the rebate per hour</w:t>
      </w:r>
      <w:r>
        <w:rPr>
          <w:lang w:val="en-AU"/>
        </w:rPr>
        <w:t xml:space="preserve"> of </w:t>
      </w:r>
      <w:r w:rsidRPr="0013346F">
        <w:rPr>
          <w:lang w:val="en-AU"/>
        </w:rPr>
        <w:t>for other comparable surgical items (Figure 8)</w:t>
      </w:r>
      <w:r>
        <w:rPr>
          <w:lang w:val="en-AU"/>
        </w:rPr>
        <w:t>:</w:t>
      </w:r>
      <w:r>
        <w:rPr>
          <w:vertAlign w:val="superscript"/>
          <w:lang w:val="en-AU"/>
        </w:rPr>
        <w:t>21</w:t>
      </w:r>
      <w:r w:rsidRPr="0013346F">
        <w:rPr>
          <w:lang w:val="en-AU"/>
        </w:rPr>
        <w:t xml:space="preserve"> </w:t>
      </w:r>
      <w:r w:rsidRPr="006B2F66">
        <w:rPr>
          <w:lang w:val="en-AU"/>
        </w:rPr>
        <w:t>1.7 times greater, or $481 per hour greater, than the rebate per hour for the next comparable procedure (prostatectomy); and</w:t>
      </w:r>
      <w:r>
        <w:rPr>
          <w:lang w:val="en-AU"/>
        </w:rPr>
        <w:t xml:space="preserve"> </w:t>
      </w:r>
      <w:r w:rsidRPr="00485070">
        <w:rPr>
          <w:lang w:val="en-AU"/>
        </w:rPr>
        <w:t>2.3 times greater, or $639 per hour greater, than the average rebate per hour based on comparable procedures.</w:t>
      </w:r>
    </w:p>
    <w:p w14:paraId="02B14F4E" w14:textId="70B71002" w:rsidR="009A602C" w:rsidRDefault="009A602C" w:rsidP="009A602C">
      <w:pPr>
        <w:pStyle w:val="Caption"/>
        <w:rPr>
          <w:lang w:val="en-AU"/>
        </w:rPr>
      </w:pPr>
      <w:bookmarkStart w:id="260" w:name="ExhibitNum"/>
      <w:bookmarkStart w:id="261" w:name="_Toc2170555"/>
      <w:bookmarkEnd w:id="260"/>
      <w:r w:rsidRPr="00273A51">
        <w:rPr>
          <w:lang w:val="en-AU"/>
        </w:rPr>
        <w:t xml:space="preserve">Figure </w:t>
      </w:r>
      <w:r>
        <w:fldChar w:fldCharType="begin"/>
      </w:r>
      <w:r w:rsidRPr="00273A51">
        <w:rPr>
          <w:lang w:val="en-AU"/>
        </w:rPr>
        <w:instrText xml:space="preserve"> SEQ Figure \* ARABIC </w:instrText>
      </w:r>
      <w:r>
        <w:fldChar w:fldCharType="separate"/>
      </w:r>
      <w:r w:rsidR="001C6959">
        <w:rPr>
          <w:noProof/>
          <w:lang w:val="en-AU"/>
        </w:rPr>
        <w:t>8</w:t>
      </w:r>
      <w:r>
        <w:fldChar w:fldCharType="end"/>
      </w:r>
      <w:r w:rsidRPr="00273A51">
        <w:rPr>
          <w:lang w:val="en-AU"/>
        </w:rPr>
        <w:t xml:space="preserve">: </w:t>
      </w:r>
      <w:r w:rsidRPr="0034193C">
        <w:rPr>
          <w:bCs/>
          <w:lang w:val="en-US"/>
        </w:rPr>
        <w:t>Cataract surgery rebate per hour vs other comparable surgical items</w:t>
      </w:r>
      <w:r>
        <w:rPr>
          <w:bCs/>
          <w:lang w:val="en-US"/>
        </w:rPr>
        <w:t>, FY2016/17</w:t>
      </w:r>
      <w:bookmarkEnd w:id="26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9A602C" w14:paraId="0652861B" w14:textId="77777777" w:rsidTr="004102C8">
        <w:trPr>
          <w:cantSplit/>
        </w:trPr>
        <w:tc>
          <w:tcPr>
            <w:tcW w:w="5000" w:type="pct"/>
          </w:tcPr>
          <w:p w14:paraId="673C1084" w14:textId="77777777" w:rsidR="009A602C" w:rsidRDefault="009A602C" w:rsidP="004102C8">
            <w:pPr>
              <w:pStyle w:val="70exhtblnormal"/>
            </w:pPr>
            <w:r w:rsidRPr="00BF3773">
              <w:rPr>
                <w:noProof/>
                <w:lang w:val="en-AU" w:eastAsia="en-AU"/>
              </w:rPr>
              <w:drawing>
                <wp:inline distT="0" distB="0" distL="0" distR="0" wp14:anchorId="44ECA63A" wp14:editId="322B5FD4">
                  <wp:extent cx="4906645" cy="3504634"/>
                  <wp:effectExtent l="0" t="0" r="8255" b="635"/>
                  <wp:docPr id="13" name="Picture 13" descr="Figure 8 shows a bar chart with the following headings. Procedure, Relative rebate per hour (% of median  median rebate and Column 3 Number of services per year (thousands with figures displayed as a bar chart. The Figure also has a box embeded that shows &quot;Criteria for selecting surgical items for comparison2." title="Figure 8: Cataract surgery rebate per hour vs other coparable surgical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4810"/>
                          <a:stretch/>
                        </pic:blipFill>
                        <pic:spPr bwMode="auto">
                          <a:xfrm>
                            <a:off x="0" y="0"/>
                            <a:ext cx="4906645" cy="3504634"/>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15140DAE" w14:textId="77777777" w:rsidR="009A602C" w:rsidRPr="00F1034D" w:rsidRDefault="009A602C" w:rsidP="009A602C">
      <w:pPr>
        <w:pStyle w:val="Heading1"/>
        <w:rPr>
          <w:color w:val="01653F"/>
        </w:rPr>
      </w:pPr>
      <w:bookmarkStart w:id="262" w:name="_Toc524100413"/>
      <w:bookmarkStart w:id="263" w:name="_Toc35347262"/>
      <w:r w:rsidRPr="00F1034D">
        <w:rPr>
          <w:rStyle w:val="Hyperlink0"/>
          <w:color w:val="01653F"/>
        </w:rPr>
        <w:lastRenderedPageBreak/>
        <w:t>Obsolete item recommendations</w:t>
      </w:r>
      <w:bookmarkEnd w:id="262"/>
      <w:bookmarkEnd w:id="263"/>
    </w:p>
    <w:p w14:paraId="3D5D7BDE" w14:textId="77777777" w:rsidR="009A602C" w:rsidRPr="001714A8" w:rsidRDefault="009A602C" w:rsidP="009A602C">
      <w:pPr>
        <w:pStyle w:val="Heading2"/>
      </w:pPr>
      <w:bookmarkStart w:id="264" w:name="_Toc524100414"/>
      <w:bookmarkStart w:id="265" w:name="_Toc536548160"/>
      <w:bookmarkStart w:id="266" w:name="_Toc35347263"/>
      <w:r w:rsidRPr="001714A8">
        <w:rPr>
          <w:rStyle w:val="Hyperlink0"/>
        </w:rPr>
        <w:t>Overview</w:t>
      </w:r>
      <w:bookmarkEnd w:id="264"/>
      <w:bookmarkEnd w:id="265"/>
      <w:bookmarkEnd w:id="266"/>
    </w:p>
    <w:p w14:paraId="4665BB34" w14:textId="77777777" w:rsidR="009A602C" w:rsidRPr="001714A8" w:rsidRDefault="009A602C" w:rsidP="009A602C">
      <w:pPr>
        <w:pStyle w:val="Body"/>
        <w:rPr>
          <w:lang w:val="en-GB"/>
        </w:rPr>
      </w:pPr>
      <w:r w:rsidRPr="001714A8">
        <w:rPr>
          <w:lang w:val="en-GB"/>
        </w:rPr>
        <w:t xml:space="preserve">The Committee assessed MBS items within its area of responsibility for clinical relevance, </w:t>
      </w:r>
      <w:r>
        <w:rPr>
          <w:lang w:val="en-GB"/>
        </w:rPr>
        <w:t xml:space="preserve">which included </w:t>
      </w:r>
      <w:r w:rsidRPr="001714A8">
        <w:rPr>
          <w:lang w:val="en-GB"/>
        </w:rPr>
        <w:t xml:space="preserve">reviewing items with low service volumes. Based on this review, the Committee recommended removing five items from the MBS and updating one item descriptor. </w:t>
      </w:r>
    </w:p>
    <w:p w14:paraId="47CBA5A3" w14:textId="77777777" w:rsidR="009A602C" w:rsidRPr="001714A8" w:rsidRDefault="009A602C" w:rsidP="009A602C">
      <w:pPr>
        <w:pStyle w:val="Body"/>
        <w:rPr>
          <w:lang w:val="en-GB"/>
        </w:rPr>
      </w:pPr>
      <w:r w:rsidRPr="001714A8">
        <w:rPr>
          <w:lang w:val="en-GB"/>
        </w:rPr>
        <w:t xml:space="preserve">The Committee noted that an additional four items are already listed for deletion, effective November 2018. </w:t>
      </w:r>
    </w:p>
    <w:p w14:paraId="6A9E3FB2" w14:textId="77777777" w:rsidR="009A602C" w:rsidRPr="001714A8" w:rsidRDefault="009A602C" w:rsidP="009A602C">
      <w:pPr>
        <w:pStyle w:val="Heading2"/>
      </w:pPr>
      <w:bookmarkStart w:id="267" w:name="_Toc524100415"/>
      <w:bookmarkStart w:id="268" w:name="_Toc536548161"/>
      <w:bookmarkStart w:id="269" w:name="_Toc35347264"/>
      <w:r w:rsidRPr="001714A8">
        <w:rPr>
          <w:rStyle w:val="Hyperlink0"/>
        </w:rPr>
        <w:t>Obsolete items</w:t>
      </w:r>
      <w:bookmarkEnd w:id="267"/>
      <w:bookmarkEnd w:id="268"/>
      <w:bookmarkEnd w:id="269"/>
    </w:p>
    <w:p w14:paraId="53FE7591" w14:textId="2977CF09" w:rsidR="009A602C" w:rsidRPr="00315286" w:rsidRDefault="009A602C" w:rsidP="009A602C">
      <w:pPr>
        <w:pStyle w:val="Caption"/>
        <w:rPr>
          <w:rStyle w:val="None"/>
          <w:lang w:val="en-US"/>
        </w:rPr>
      </w:pPr>
      <w:bookmarkStart w:id="270" w:name="_Toc2170545"/>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7</w:t>
      </w:r>
      <w:r>
        <w:fldChar w:fldCharType="end"/>
      </w:r>
      <w:r w:rsidRPr="00C656B4">
        <w:rPr>
          <w:lang w:val="en-US"/>
        </w:rPr>
        <w:t xml:space="preserve"> : </w:t>
      </w:r>
      <w:r w:rsidRPr="00315286">
        <w:rPr>
          <w:rStyle w:val="None"/>
          <w:lang w:val="en-US"/>
        </w:rPr>
        <w:t>Item introduction table for items 42741, 42524, 42593,</w:t>
      </w:r>
      <w:r w:rsidRPr="005D4CE2">
        <w:rPr>
          <w:rStyle w:val="None"/>
          <w:lang w:val="en-US"/>
        </w:rPr>
        <w:t xml:space="preserve"> 42783, 42786, 42789, 42792,</w:t>
      </w:r>
      <w:r w:rsidRPr="00315286">
        <w:rPr>
          <w:rStyle w:val="None"/>
          <w:lang w:val="en-US"/>
        </w:rPr>
        <w:t xml:space="preserve"> 42806, 42807, 42808</w:t>
      </w:r>
      <w:r w:rsidRPr="005D4CE2">
        <w:rPr>
          <w:rStyle w:val="None"/>
          <w:lang w:val="en-US"/>
        </w:rPr>
        <w:t xml:space="preserve"> and</w:t>
      </w:r>
      <w:r w:rsidRPr="00315286">
        <w:rPr>
          <w:rStyle w:val="None"/>
          <w:lang w:val="en-US"/>
        </w:rPr>
        <w:t xml:space="preserve"> 43023</w:t>
      </w:r>
      <w:bookmarkEnd w:id="27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760"/>
        <w:gridCol w:w="2997"/>
        <w:gridCol w:w="1054"/>
        <w:gridCol w:w="1550"/>
        <w:gridCol w:w="1050"/>
        <w:gridCol w:w="891"/>
      </w:tblGrid>
      <w:tr w:rsidR="009A602C" w:rsidRPr="000676D7" w14:paraId="5EB964C1" w14:textId="77777777" w:rsidTr="004102C8">
        <w:trPr>
          <w:tblHeader/>
        </w:trPr>
        <w:tc>
          <w:tcPr>
            <w:tcW w:w="473" w:type="pct"/>
            <w:tcBorders>
              <w:top w:val="single" w:sz="4" w:space="0" w:color="000000"/>
              <w:left w:val="single" w:sz="4" w:space="0" w:color="000000"/>
              <w:bottom w:val="single" w:sz="4" w:space="0" w:color="BFBFBF"/>
              <w:right w:val="single" w:sz="4" w:space="0" w:color="BFBFBF"/>
            </w:tcBorders>
            <w:shd w:val="clear" w:color="auto" w:fill="01653F"/>
            <w:tcMar>
              <w:top w:w="80" w:type="dxa"/>
              <w:left w:w="80" w:type="dxa"/>
              <w:bottom w:w="80" w:type="dxa"/>
              <w:right w:w="80" w:type="dxa"/>
            </w:tcMar>
            <w:vAlign w:val="bottom"/>
          </w:tcPr>
          <w:p w14:paraId="63F116B6"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820" w:type="pct"/>
            <w:tcBorders>
              <w:top w:val="single" w:sz="4" w:space="0" w:color="000000"/>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01388F"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9" w:type="pct"/>
            <w:tcBorders>
              <w:top w:val="single" w:sz="4" w:space="0" w:color="000000"/>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0E383C4"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948" w:type="pct"/>
            <w:tcBorders>
              <w:top w:val="single" w:sz="4" w:space="0" w:color="000000"/>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342CA6C"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558" w:type="pct"/>
            <w:tcBorders>
              <w:top w:val="single" w:sz="4" w:space="0" w:color="000000"/>
              <w:left w:val="single" w:sz="4" w:space="0" w:color="BFBFBF"/>
              <w:bottom w:val="single" w:sz="4" w:space="0" w:color="BFBFBF"/>
              <w:right w:val="single" w:sz="4" w:space="0" w:color="000000"/>
            </w:tcBorders>
            <w:shd w:val="clear" w:color="auto" w:fill="01653F"/>
            <w:tcMar>
              <w:top w:w="80" w:type="dxa"/>
              <w:left w:w="80" w:type="dxa"/>
              <w:bottom w:w="80" w:type="dxa"/>
              <w:right w:w="80" w:type="dxa"/>
            </w:tcMar>
            <w:vAlign w:val="bottom"/>
          </w:tcPr>
          <w:p w14:paraId="745C715D"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1" w:type="pct"/>
            <w:tcBorders>
              <w:top w:val="single" w:sz="4" w:space="0" w:color="000000"/>
              <w:left w:val="single" w:sz="4" w:space="0" w:color="000000"/>
              <w:bottom w:val="single" w:sz="4" w:space="0" w:color="BFBFBF"/>
              <w:right w:val="single" w:sz="4" w:space="0" w:color="000000"/>
            </w:tcBorders>
            <w:shd w:val="clear" w:color="auto" w:fill="01653F"/>
            <w:tcMar>
              <w:top w:w="80" w:type="dxa"/>
              <w:left w:w="80" w:type="dxa"/>
              <w:bottom w:w="80" w:type="dxa"/>
              <w:right w:w="80" w:type="dxa"/>
            </w:tcMar>
            <w:vAlign w:val="bottom"/>
          </w:tcPr>
          <w:p w14:paraId="1975FEB7" w14:textId="77777777" w:rsidR="009A602C" w:rsidRPr="000676D7" w:rsidRDefault="009A602C" w:rsidP="004102C8">
            <w:pPr>
              <w:pStyle w:val="Tableheading-white"/>
              <w:spacing w:line="240" w:lineRule="auto"/>
              <w:rPr>
                <w:sz w:val="20"/>
                <w:szCs w:val="20"/>
              </w:rPr>
            </w:pPr>
            <w:r w:rsidRPr="000676D7">
              <w:rPr>
                <w:rStyle w:val="None"/>
                <w:sz w:val="20"/>
                <w:szCs w:val="20"/>
              </w:rPr>
              <w:t>Services 5-year service change % (CAGR)</w:t>
            </w:r>
          </w:p>
        </w:tc>
      </w:tr>
      <w:tr w:rsidR="009A602C" w:rsidRPr="000676D7" w14:paraId="5C2156BC"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5B3BC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42741</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0FDCF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Posterior </w:t>
            </w:r>
            <w:proofErr w:type="spellStart"/>
            <w:r w:rsidRPr="000676D7">
              <w:rPr>
                <w:rStyle w:val="None"/>
                <w:rFonts w:asciiTheme="minorHAnsi" w:hAnsiTheme="minorHAnsi" w:cstheme="minorHAnsi"/>
                <w:sz w:val="20"/>
                <w:szCs w:val="20"/>
                <w:lang w:val="en-GB"/>
              </w:rPr>
              <w:t>juxtascleral</w:t>
            </w:r>
            <w:proofErr w:type="spellEnd"/>
            <w:r w:rsidRPr="000676D7">
              <w:rPr>
                <w:rStyle w:val="None"/>
                <w:rFonts w:asciiTheme="minorHAnsi" w:hAnsiTheme="minorHAnsi" w:cstheme="minorHAnsi"/>
                <w:sz w:val="20"/>
                <w:szCs w:val="20"/>
                <w:lang w:val="en-GB"/>
              </w:rPr>
              <w:t xml:space="preserve"> depot injection of a therapeutic substance, for the treatment of </w:t>
            </w:r>
            <w:proofErr w:type="spellStart"/>
            <w:r w:rsidRPr="000676D7">
              <w:rPr>
                <w:rStyle w:val="None"/>
                <w:rFonts w:asciiTheme="minorHAnsi" w:hAnsiTheme="minorHAnsi" w:cstheme="minorHAnsi"/>
                <w:sz w:val="20"/>
                <w:szCs w:val="20"/>
                <w:lang w:val="en-GB"/>
              </w:rPr>
              <w:t>subfoveal</w:t>
            </w:r>
            <w:proofErr w:type="spellEnd"/>
            <w:r w:rsidRPr="000676D7">
              <w:rPr>
                <w:rStyle w:val="None"/>
                <w:rFonts w:asciiTheme="minorHAnsi" w:hAnsiTheme="minorHAnsi" w:cstheme="minorHAnsi"/>
                <w:sz w:val="20"/>
                <w:szCs w:val="20"/>
                <w:lang w:val="en-GB"/>
              </w:rPr>
              <w:t xml:space="preserve"> choroidal neovascularisation due to age-related macular degeneration, 1 or more of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9D9E2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$300.75</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C8A8D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$94,331</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101165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391</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C20AB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-24.70%</w:t>
            </w:r>
          </w:p>
        </w:tc>
      </w:tr>
      <w:tr w:rsidR="009A602C" w:rsidRPr="000676D7" w14:paraId="7670148A"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093EBF"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42524</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B8CDB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skin graft to, as a delayed procedure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B81B3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$204.60</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F959B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F271B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0</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00EC25"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-100.00%</w:t>
            </w:r>
          </w:p>
        </w:tc>
      </w:tr>
      <w:tr w:rsidR="009A602C" w:rsidRPr="000676D7" w14:paraId="7EFF4B62"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D0EED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42593</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6684FF"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Lacrimal gland, excision of palpebral lobe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08DF8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$204.60</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746DC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$153</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A3369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712E05"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-32.20%</w:t>
            </w:r>
          </w:p>
        </w:tc>
      </w:tr>
      <w:tr w:rsidR="009A602C" w:rsidRPr="000676D7" w14:paraId="5C5F507A"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FBD91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42783</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C38C1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Laser trabeculoplasty - each treatment to 1 eye - where it can be demonstrated that a 5th or subsequent treatment to that eye (including any treatments to which item 42782 applies) is indicated in a </w:t>
            </w:r>
            <w:proofErr w:type="gramStart"/>
            <w:r w:rsidRPr="000676D7">
              <w:rPr>
                <w:rStyle w:val="None"/>
                <w:rFonts w:asciiTheme="minorHAnsi" w:hAnsiTheme="minorHAnsi" w:cstheme="minorHAnsi"/>
                <w:sz w:val="20"/>
                <w:szCs w:val="20"/>
                <w:lang w:val="en-GB"/>
              </w:rPr>
              <w:t>2 year</w:t>
            </w:r>
            <w:proofErr w:type="gramEnd"/>
            <w:r w:rsidRPr="000676D7">
              <w:rPr>
                <w:rStyle w:val="None"/>
                <w:rFonts w:asciiTheme="minorHAnsi" w:hAnsiTheme="minorHAnsi" w:cstheme="minorHAnsi"/>
                <w:sz w:val="20"/>
                <w:szCs w:val="20"/>
                <w:lang w:val="en-GB"/>
              </w:rPr>
              <w:t xml:space="preserve"> period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2E20E3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$451.10 </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4764B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$1,365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EF7E1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 </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C45E37"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32.0%</w:t>
            </w:r>
          </w:p>
        </w:tc>
      </w:tr>
      <w:tr w:rsidR="009A602C" w:rsidRPr="000676D7" w14:paraId="5F133F7C"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9F32C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42786</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6B1F8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Laser iridotomy - each treatment episode to 1 eye - where it can be demonstrated that a 3rd or subsequent treatment to that eye </w:t>
            </w:r>
            <w:r w:rsidRPr="000676D7">
              <w:rPr>
                <w:rStyle w:val="None"/>
                <w:rFonts w:asciiTheme="minorHAnsi" w:hAnsiTheme="minorHAnsi" w:cstheme="minorHAnsi"/>
                <w:sz w:val="20"/>
                <w:szCs w:val="20"/>
                <w:lang w:val="en-GB"/>
              </w:rPr>
              <w:lastRenderedPageBreak/>
              <w:t xml:space="preserve">(including any treatments to which item 42785 applies) is indicated in a </w:t>
            </w:r>
            <w:proofErr w:type="gramStart"/>
            <w:r w:rsidRPr="000676D7">
              <w:rPr>
                <w:rStyle w:val="None"/>
                <w:rFonts w:asciiTheme="minorHAnsi" w:hAnsiTheme="minorHAnsi" w:cstheme="minorHAnsi"/>
                <w:sz w:val="20"/>
                <w:szCs w:val="20"/>
                <w:lang w:val="en-GB"/>
              </w:rPr>
              <w:t>2 year</w:t>
            </w:r>
            <w:proofErr w:type="gramEnd"/>
            <w:r w:rsidRPr="000676D7">
              <w:rPr>
                <w:rStyle w:val="None"/>
                <w:rFonts w:asciiTheme="minorHAnsi" w:hAnsiTheme="minorHAnsi" w:cstheme="minorHAnsi"/>
                <w:sz w:val="20"/>
                <w:szCs w:val="20"/>
                <w:lang w:val="en-GB"/>
              </w:rPr>
              <w:t xml:space="preserve"> period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A5833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lastRenderedPageBreak/>
              <w:t xml:space="preserve">$353.35 </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A6C00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$901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217C2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 </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0A39837"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24.6%</w:t>
            </w:r>
          </w:p>
        </w:tc>
      </w:tr>
      <w:tr w:rsidR="009A602C" w:rsidRPr="000676D7" w14:paraId="37BC4570"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775928"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42789</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A4169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Laser capsulotomy—each treatment episode to one eye—if it can be demonstrated that a third or subsequent treatment to that eye (including any treatments to which item42788 applies) is indicated in a 2 year period—other than a service associated with a service to which item 42702 applies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038E8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$353.35 </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7E9C3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$605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3CC4E5"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 </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5A856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0.0%</w:t>
            </w:r>
          </w:p>
        </w:tc>
      </w:tr>
      <w:tr w:rsidR="009A602C" w:rsidRPr="000676D7" w14:paraId="64C74E2B"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C0BA1F"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42792</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B1085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Laser </w:t>
            </w:r>
            <w:proofErr w:type="spellStart"/>
            <w:r w:rsidRPr="000676D7">
              <w:rPr>
                <w:rStyle w:val="None"/>
                <w:rFonts w:asciiTheme="minorHAnsi" w:hAnsiTheme="minorHAnsi" w:cstheme="minorHAnsi"/>
                <w:sz w:val="20"/>
                <w:szCs w:val="20"/>
                <w:lang w:val="en-GB"/>
              </w:rPr>
              <w:t>vitreolysis</w:t>
            </w:r>
            <w:proofErr w:type="spellEnd"/>
            <w:r w:rsidRPr="000676D7">
              <w:rPr>
                <w:rStyle w:val="None"/>
                <w:rFonts w:asciiTheme="minorHAnsi" w:hAnsiTheme="minorHAnsi" w:cstheme="minorHAnsi"/>
                <w:sz w:val="20"/>
                <w:szCs w:val="20"/>
                <w:lang w:val="en-GB"/>
              </w:rPr>
              <w:t xml:space="preserve"> or </w:t>
            </w:r>
            <w:proofErr w:type="spellStart"/>
            <w:r w:rsidRPr="000676D7">
              <w:rPr>
                <w:rStyle w:val="None"/>
                <w:rFonts w:asciiTheme="minorHAnsi" w:hAnsiTheme="minorHAnsi" w:cstheme="minorHAnsi"/>
                <w:sz w:val="20"/>
                <w:szCs w:val="20"/>
                <w:lang w:val="en-GB"/>
              </w:rPr>
              <w:t>corticolysis</w:t>
            </w:r>
            <w:proofErr w:type="spellEnd"/>
            <w:r w:rsidRPr="000676D7">
              <w:rPr>
                <w:rStyle w:val="None"/>
                <w:rFonts w:asciiTheme="minorHAnsi" w:hAnsiTheme="minorHAnsi" w:cstheme="minorHAnsi"/>
                <w:sz w:val="20"/>
                <w:szCs w:val="20"/>
                <w:lang w:val="en-GB"/>
              </w:rPr>
              <w:t xml:space="preserve"> of lens material or fibrinolysis, excluding </w:t>
            </w:r>
            <w:proofErr w:type="spellStart"/>
            <w:r w:rsidRPr="000676D7">
              <w:rPr>
                <w:rStyle w:val="None"/>
                <w:rFonts w:asciiTheme="minorHAnsi" w:hAnsiTheme="minorHAnsi" w:cstheme="minorHAnsi"/>
                <w:sz w:val="20"/>
                <w:szCs w:val="20"/>
                <w:lang w:val="en-GB"/>
              </w:rPr>
              <w:t>vitreolysis</w:t>
            </w:r>
            <w:proofErr w:type="spellEnd"/>
            <w:r w:rsidRPr="000676D7">
              <w:rPr>
                <w:rStyle w:val="None"/>
                <w:rFonts w:asciiTheme="minorHAnsi" w:hAnsiTheme="minorHAnsi" w:cstheme="minorHAnsi"/>
                <w:sz w:val="20"/>
                <w:szCs w:val="20"/>
                <w:lang w:val="en-GB"/>
              </w:rPr>
              <w:t xml:space="preserve"> in the posterior vitreous cavity —each treatment to one eye—if it can be demonstrated that a third or subsequent treatment to that eye (including any treatments to which item42791 applies) is indicated in a 2 year period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99933F"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$353.35 </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B2C71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$9,293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8C396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25 </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824CC1"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90.4%</w:t>
            </w:r>
          </w:p>
        </w:tc>
      </w:tr>
      <w:tr w:rsidR="009A602C" w:rsidRPr="000676D7" w14:paraId="4B5B2ECC"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0EC17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42806</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20665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Iris tumour, laser photocoagulation of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020FD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$353.35</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6597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$1,879</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43D498"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8</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3FB04B"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-14.00%</w:t>
            </w:r>
          </w:p>
        </w:tc>
      </w:tr>
      <w:tr w:rsidR="009A602C" w:rsidRPr="000676D7" w14:paraId="170B8D75"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1F242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42807</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B9953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proofErr w:type="spellStart"/>
            <w:r w:rsidRPr="000676D7">
              <w:rPr>
                <w:rStyle w:val="None"/>
                <w:rFonts w:asciiTheme="minorHAnsi" w:hAnsiTheme="minorHAnsi" w:cstheme="minorHAnsi"/>
                <w:sz w:val="20"/>
                <w:szCs w:val="20"/>
                <w:lang w:val="en-GB"/>
              </w:rPr>
              <w:t>Photomydriasis</w:t>
            </w:r>
            <w:proofErr w:type="spellEnd"/>
            <w:r w:rsidRPr="000676D7">
              <w:rPr>
                <w:rStyle w:val="None"/>
                <w:rFonts w:asciiTheme="minorHAnsi" w:hAnsiTheme="minorHAnsi" w:cstheme="minorHAnsi"/>
                <w:sz w:val="20"/>
                <w:szCs w:val="20"/>
                <w:lang w:val="en-GB"/>
              </w:rPr>
              <w:t>, laser</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9D9A8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$355.80</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3CD33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$42,773</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8030C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198</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DC6B43"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15.10%</w:t>
            </w:r>
          </w:p>
        </w:tc>
      </w:tr>
      <w:tr w:rsidR="009A602C" w:rsidRPr="000676D7" w14:paraId="193B1051"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13E8A1C"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42808</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452E6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Laser peripheral </w:t>
            </w:r>
            <w:proofErr w:type="spellStart"/>
            <w:r w:rsidRPr="000676D7">
              <w:rPr>
                <w:rStyle w:val="None"/>
                <w:rFonts w:asciiTheme="minorHAnsi" w:hAnsiTheme="minorHAnsi" w:cstheme="minorHAnsi"/>
                <w:sz w:val="20"/>
                <w:szCs w:val="20"/>
                <w:lang w:val="en-GB"/>
              </w:rPr>
              <w:t>iridoplasty</w:t>
            </w:r>
            <w:proofErr w:type="spellEnd"/>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115A1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$355.80</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BAF5AE"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$102,344</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700AA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401</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5648FE"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34.50%</w:t>
            </w:r>
          </w:p>
        </w:tc>
      </w:tr>
      <w:tr w:rsidR="009A602C" w:rsidRPr="000676D7" w14:paraId="3EADD0AC" w14:textId="77777777" w:rsidTr="004102C8">
        <w:tblPrEx>
          <w:shd w:val="clear" w:color="auto" w:fill="CED7E7"/>
        </w:tblPrEx>
        <w:tc>
          <w:tcPr>
            <w:tcW w:w="473"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EDB75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43023</w:t>
            </w:r>
          </w:p>
        </w:tc>
        <w:tc>
          <w:tcPr>
            <w:tcW w:w="1820"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9E414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Infusion of verteporfin for discontinued photodynamic therapy, where a session of therapy which would have been provided under item 43021 or 43022 has been discontinued on medical grounds.</w:t>
            </w:r>
          </w:p>
        </w:tc>
        <w:tc>
          <w:tcPr>
            <w:tcW w:w="649"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3AB94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$88.50</w:t>
            </w:r>
          </w:p>
        </w:tc>
        <w:tc>
          <w:tcPr>
            <w:tcW w:w="94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E3928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   </w:t>
            </w:r>
          </w:p>
        </w:tc>
        <w:tc>
          <w:tcPr>
            <w:tcW w:w="558"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78C02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0</w:t>
            </w:r>
          </w:p>
        </w:tc>
        <w:tc>
          <w:tcPr>
            <w:tcW w:w="551" w:type="pct"/>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71393E" w14:textId="48624DE0"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100.00%</w:t>
            </w:r>
          </w:p>
        </w:tc>
      </w:tr>
    </w:tbl>
    <w:p w14:paraId="2D2B2576" w14:textId="77777777" w:rsidR="009A602C" w:rsidRPr="000676D7" w:rsidRDefault="009A602C" w:rsidP="009A602C">
      <w:pPr>
        <w:pStyle w:val="Heading3"/>
      </w:pPr>
      <w:bookmarkStart w:id="271" w:name="_Toc536548162"/>
      <w:bookmarkStart w:id="272" w:name="_Toc35347265"/>
      <w:r w:rsidRPr="000676D7">
        <w:t>Recommendation 9</w:t>
      </w:r>
      <w:bookmarkEnd w:id="271"/>
      <w:bookmarkEnd w:id="272"/>
    </w:p>
    <w:p w14:paraId="6B48E493" w14:textId="77777777" w:rsidR="009A602C" w:rsidRPr="001714A8" w:rsidRDefault="009A602C" w:rsidP="009A602C">
      <w:pPr>
        <w:pStyle w:val="Bullet-green"/>
      </w:pPr>
      <w:r w:rsidRPr="001714A8">
        <w:t>Items 42471, 42524, 42593, 42806, 42807</w:t>
      </w:r>
      <w:r>
        <w:t xml:space="preserve"> and</w:t>
      </w:r>
      <w:r w:rsidRPr="001714A8">
        <w:t xml:space="preserve"> 43023: Delete items. </w:t>
      </w:r>
    </w:p>
    <w:p w14:paraId="6675CAE5" w14:textId="77777777" w:rsidR="009A602C" w:rsidRPr="001714A8" w:rsidRDefault="009A602C" w:rsidP="009A602C">
      <w:pPr>
        <w:pStyle w:val="Bullet-green"/>
      </w:pPr>
      <w:r w:rsidRPr="001714A8">
        <w:lastRenderedPageBreak/>
        <w:t xml:space="preserve">Item 42808: Amend the item descriptor to incorporate laser </w:t>
      </w:r>
      <w:proofErr w:type="spellStart"/>
      <w:r w:rsidRPr="001714A8">
        <w:t>photomydriasis</w:t>
      </w:r>
      <w:proofErr w:type="spellEnd"/>
      <w:r w:rsidRPr="001714A8">
        <w:t xml:space="preserve"> by </w:t>
      </w:r>
      <w:r>
        <w:t>changing wording to</w:t>
      </w:r>
      <w:r w:rsidRPr="001714A8">
        <w:t xml:space="preserve"> “laser </w:t>
      </w:r>
      <w:proofErr w:type="spellStart"/>
      <w:r w:rsidRPr="001714A8">
        <w:t>iridoplasty</w:t>
      </w:r>
      <w:proofErr w:type="spellEnd"/>
      <w:r w:rsidRPr="001714A8">
        <w:t xml:space="preserve">”. </w:t>
      </w:r>
    </w:p>
    <w:p w14:paraId="4FF597D2" w14:textId="77777777" w:rsidR="009A602C" w:rsidRPr="001714A8" w:rsidRDefault="009A602C" w:rsidP="009A602C">
      <w:pPr>
        <w:pStyle w:val="Bullet-green"/>
      </w:pPr>
      <w:r w:rsidRPr="001714A8">
        <w:t xml:space="preserve">The Committee noted that items 42783, 42792, 42786 and 42789 are already listed for deletion, due to the disbanding of the Medicare Claims Review Panel (MCRP), effective November 2018. </w:t>
      </w:r>
    </w:p>
    <w:p w14:paraId="1BCE2AF5" w14:textId="77777777" w:rsidR="009A602C" w:rsidRPr="000676D7" w:rsidRDefault="009A602C" w:rsidP="009A602C">
      <w:pPr>
        <w:pStyle w:val="Heading3"/>
      </w:pPr>
      <w:bookmarkStart w:id="273" w:name="_Toc536548163"/>
      <w:bookmarkStart w:id="274" w:name="_Toc35347266"/>
      <w:r w:rsidRPr="000676D7">
        <w:t>Rationale for Recommendation 9</w:t>
      </w:r>
      <w:bookmarkEnd w:id="273"/>
      <w:bookmarkEnd w:id="274"/>
    </w:p>
    <w:p w14:paraId="4F52C069" w14:textId="77777777" w:rsidR="009A602C" w:rsidRPr="001714A8" w:rsidRDefault="009A602C" w:rsidP="009A602C">
      <w:pPr>
        <w:pStyle w:val="Body"/>
        <w:ind w:right="142"/>
        <w:rPr>
          <w:rStyle w:val="None"/>
          <w:b/>
          <w:bCs/>
          <w:lang w:val="en-GB"/>
        </w:rPr>
      </w:pPr>
      <w:r w:rsidRPr="001714A8">
        <w:rPr>
          <w:lang w:val="en-GB"/>
        </w:rPr>
        <w:t>This recommendation focuses on aligning the MBS with modern best practice. It is based on the following.</w:t>
      </w:r>
    </w:p>
    <w:p w14:paraId="34AC59F5" w14:textId="77777777" w:rsidR="009A602C" w:rsidRPr="001714A8" w:rsidRDefault="009A602C" w:rsidP="009A602C">
      <w:pPr>
        <w:pStyle w:val="Bullet-green"/>
      </w:pPr>
      <w:r w:rsidRPr="001714A8">
        <w:t>Item 42741</w:t>
      </w:r>
    </w:p>
    <w:p w14:paraId="5303CF5D" w14:textId="77777777" w:rsidR="009A602C" w:rsidRPr="009C31D2" w:rsidRDefault="009A602C" w:rsidP="009A602C">
      <w:pPr>
        <w:pStyle w:val="Bullet2"/>
      </w:pPr>
      <w:r w:rsidRPr="001714A8">
        <w:t>This item was created for a very specific mode of delivering a medication that is no longer available in Australia (</w:t>
      </w:r>
      <w:proofErr w:type="spellStart"/>
      <w:r w:rsidRPr="001714A8">
        <w:t>anecortave</w:t>
      </w:r>
      <w:proofErr w:type="spellEnd"/>
      <w:r w:rsidRPr="001714A8">
        <w:t xml:space="preserve"> acetate). This item should no longer be used. The Committee suspects it is being used for other (off-label) drugs. </w:t>
      </w:r>
    </w:p>
    <w:p w14:paraId="543707F0" w14:textId="77777777" w:rsidR="009A602C" w:rsidRPr="001714A8" w:rsidRDefault="009A602C" w:rsidP="009A602C">
      <w:pPr>
        <w:pStyle w:val="Bullet-green"/>
      </w:pPr>
      <w:r w:rsidRPr="001714A8">
        <w:t>Item 42806</w:t>
      </w:r>
    </w:p>
    <w:p w14:paraId="5E386444" w14:textId="77777777" w:rsidR="009A602C" w:rsidRPr="009C31D2" w:rsidRDefault="009A602C" w:rsidP="009A602C">
      <w:pPr>
        <w:pStyle w:val="Bullet2"/>
      </w:pPr>
      <w:r w:rsidRPr="001714A8">
        <w:t xml:space="preserve">The Committee consulted with clinicians who practice ocular oncology in Australia, who confirmed that </w:t>
      </w:r>
      <w:r>
        <w:t>they do not use this item,</w:t>
      </w:r>
      <w:r w:rsidRPr="001714A8">
        <w:t xml:space="preserve"> and </w:t>
      </w:r>
      <w:r>
        <w:t xml:space="preserve">it </w:t>
      </w:r>
      <w:r w:rsidRPr="001714A8">
        <w:t xml:space="preserve">does not have clinical merit. </w:t>
      </w:r>
    </w:p>
    <w:p w14:paraId="346B7BFD" w14:textId="77777777" w:rsidR="009A602C" w:rsidRPr="00836BFF" w:rsidRDefault="009A602C" w:rsidP="009A602C">
      <w:pPr>
        <w:pStyle w:val="Bullet-green"/>
        <w:rPr>
          <w:b/>
          <w:bCs/>
        </w:rPr>
      </w:pPr>
      <w:r w:rsidRPr="001F4EB3">
        <w:rPr>
          <w:rStyle w:val="None"/>
        </w:rPr>
        <w:t>Item 42593</w:t>
      </w:r>
    </w:p>
    <w:p w14:paraId="1A807958" w14:textId="77777777" w:rsidR="009A602C" w:rsidRPr="00836BFF" w:rsidRDefault="009A602C" w:rsidP="009A602C">
      <w:pPr>
        <w:pStyle w:val="Bullet2"/>
      </w:pPr>
      <w:r w:rsidRPr="00836BFF">
        <w:t xml:space="preserve">The Committee determined that this item has no clinical merit. It has very low service volumes and the ANZSOPS has recommended it for deletion. </w:t>
      </w:r>
    </w:p>
    <w:p w14:paraId="4DBBF60A" w14:textId="77777777" w:rsidR="009A602C" w:rsidRPr="001714A8" w:rsidRDefault="009A602C" w:rsidP="009A602C">
      <w:pPr>
        <w:pStyle w:val="Bullet-green"/>
        <w:rPr>
          <w:b/>
          <w:bCs/>
        </w:rPr>
      </w:pPr>
      <w:r w:rsidRPr="001714A8">
        <w:rPr>
          <w:rStyle w:val="None"/>
        </w:rPr>
        <w:t>Items 42524 and 43023</w:t>
      </w:r>
    </w:p>
    <w:p w14:paraId="3EDACC01" w14:textId="77777777" w:rsidR="009A602C" w:rsidRPr="000B566B" w:rsidRDefault="009A602C" w:rsidP="009A602C">
      <w:pPr>
        <w:pStyle w:val="Bullet2"/>
      </w:pPr>
      <w:r w:rsidRPr="001714A8">
        <w:t xml:space="preserve">The Committee determined that these items have no clinical merit, given that no services are being performed. </w:t>
      </w:r>
    </w:p>
    <w:p w14:paraId="6AD10B31" w14:textId="77777777" w:rsidR="009A602C" w:rsidRPr="001714A8" w:rsidRDefault="009A602C" w:rsidP="009A602C">
      <w:pPr>
        <w:pStyle w:val="Bullet-green"/>
      </w:pPr>
      <w:r w:rsidRPr="001714A8">
        <w:t>Items 42807 and 42808</w:t>
      </w:r>
    </w:p>
    <w:p w14:paraId="70A745EB" w14:textId="77777777" w:rsidR="009A602C" w:rsidRPr="001714A8" w:rsidRDefault="009A602C" w:rsidP="009A602C">
      <w:pPr>
        <w:pStyle w:val="Bullet2"/>
      </w:pPr>
      <w:r w:rsidRPr="001714A8">
        <w:t>These items describe two similar procedures involving laser photocoagulation to the iris. Combining these items into a single item will streamline the MBS, with no impact on patient care, access or cost.</w:t>
      </w:r>
    </w:p>
    <w:p w14:paraId="5C323098" w14:textId="77777777" w:rsidR="009A602C" w:rsidRPr="00F1034D" w:rsidRDefault="009A602C" w:rsidP="009A602C">
      <w:pPr>
        <w:pStyle w:val="Heading1"/>
        <w:rPr>
          <w:color w:val="01653F"/>
        </w:rPr>
      </w:pPr>
      <w:bookmarkStart w:id="275" w:name="_Toc524100416"/>
      <w:bookmarkStart w:id="276" w:name="_Toc35347267"/>
      <w:r w:rsidRPr="00F1034D">
        <w:rPr>
          <w:rStyle w:val="Hyperlink0"/>
          <w:color w:val="01653F"/>
        </w:rPr>
        <w:lastRenderedPageBreak/>
        <w:t>Oculoplastic and orbital item recommendations</w:t>
      </w:r>
      <w:bookmarkEnd w:id="275"/>
      <w:bookmarkEnd w:id="276"/>
      <w:r w:rsidRPr="00F1034D">
        <w:rPr>
          <w:rStyle w:val="Hyperlink0"/>
          <w:color w:val="01653F"/>
        </w:rPr>
        <w:t xml:space="preserve"> </w:t>
      </w:r>
    </w:p>
    <w:p w14:paraId="0C7F2A89" w14:textId="77777777" w:rsidR="009A602C" w:rsidRPr="001714A8" w:rsidRDefault="009A602C" w:rsidP="009A602C">
      <w:pPr>
        <w:pStyle w:val="Heading2"/>
      </w:pPr>
      <w:bookmarkStart w:id="277" w:name="_Toc524100417"/>
      <w:bookmarkStart w:id="278" w:name="_Toc536548165"/>
      <w:bookmarkStart w:id="279" w:name="_Toc35347268"/>
      <w:r w:rsidRPr="001714A8">
        <w:rPr>
          <w:rStyle w:val="Hyperlink0"/>
        </w:rPr>
        <w:t>Overview</w:t>
      </w:r>
      <w:bookmarkEnd w:id="277"/>
      <w:bookmarkEnd w:id="278"/>
      <w:bookmarkEnd w:id="279"/>
    </w:p>
    <w:p w14:paraId="058F9227" w14:textId="77777777" w:rsidR="009A602C" w:rsidRPr="001714A8" w:rsidRDefault="009A602C" w:rsidP="009A602C">
      <w:pPr>
        <w:pStyle w:val="Body"/>
        <w:rPr>
          <w:lang w:val="en-GB"/>
        </w:rPr>
      </w:pPr>
      <w:r w:rsidRPr="001714A8">
        <w:rPr>
          <w:lang w:val="en-GB"/>
        </w:rPr>
        <w:t xml:space="preserve">The Committee considered </w:t>
      </w:r>
      <w:r>
        <w:rPr>
          <w:lang w:val="en-GB"/>
        </w:rPr>
        <w:t xml:space="preserve">the </w:t>
      </w:r>
      <w:r w:rsidRPr="001714A8">
        <w:rPr>
          <w:lang w:val="en-GB"/>
        </w:rPr>
        <w:t>ANZSOPS</w:t>
      </w:r>
      <w:r>
        <w:rPr>
          <w:lang w:val="en-GB"/>
        </w:rPr>
        <w:t>’</w:t>
      </w:r>
      <w:r w:rsidRPr="001714A8">
        <w:rPr>
          <w:lang w:val="en-GB"/>
        </w:rPr>
        <w:t xml:space="preserve"> recommendations on oculoplastic and orbital items and supports several of its recommendations to modernise terminology, reflect current best practice, and avoid indication creep and inappropriate co-claiming. </w:t>
      </w:r>
    </w:p>
    <w:p w14:paraId="6FE6A779" w14:textId="77777777" w:rsidR="009A602C" w:rsidRPr="001714A8" w:rsidRDefault="009A602C" w:rsidP="009A602C">
      <w:pPr>
        <w:pStyle w:val="Heading2"/>
      </w:pPr>
      <w:bookmarkStart w:id="280" w:name="_Toc524100418"/>
      <w:bookmarkStart w:id="281" w:name="_Toc536548166"/>
      <w:bookmarkStart w:id="282" w:name="_Toc35347269"/>
      <w:r w:rsidRPr="001714A8">
        <w:rPr>
          <w:rStyle w:val="Hyperlink0"/>
        </w:rPr>
        <w:t>Oculoplastic and orbital amendments</w:t>
      </w:r>
      <w:bookmarkEnd w:id="280"/>
      <w:bookmarkEnd w:id="281"/>
      <w:bookmarkEnd w:id="282"/>
    </w:p>
    <w:p w14:paraId="7EB3CDD5" w14:textId="0AC585B1" w:rsidR="009A602C" w:rsidRPr="00315286" w:rsidRDefault="009A602C" w:rsidP="009A602C">
      <w:pPr>
        <w:pStyle w:val="Caption"/>
        <w:rPr>
          <w:lang w:val="en-US"/>
        </w:rPr>
      </w:pPr>
      <w:bookmarkStart w:id="283" w:name="_Toc2170546"/>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8</w:t>
      </w:r>
      <w:r>
        <w:fldChar w:fldCharType="end"/>
      </w:r>
      <w:r w:rsidRPr="00C656B4">
        <w:rPr>
          <w:lang w:val="en-US"/>
        </w:rPr>
        <w:t xml:space="preserve"> : </w:t>
      </w:r>
      <w:r w:rsidRPr="00315286">
        <w:rPr>
          <w:lang w:val="en-US"/>
        </w:rPr>
        <w:t>Item introduction table for items 42506, 42509, 42510, 42530, 42533, 42536, 42539, 42542, 42590, 42593, 42623, 42626, 42629, 42863 and 42866</w:t>
      </w:r>
      <w:bookmarkEnd w:id="283"/>
      <w:r w:rsidRPr="00315286">
        <w:rPr>
          <w:lang w:val="en-U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60"/>
        <w:gridCol w:w="2997"/>
        <w:gridCol w:w="1054"/>
        <w:gridCol w:w="1550"/>
        <w:gridCol w:w="1050"/>
        <w:gridCol w:w="891"/>
      </w:tblGrid>
      <w:tr w:rsidR="009A602C" w:rsidRPr="000676D7" w14:paraId="4C72FFFC" w14:textId="77777777" w:rsidTr="004102C8">
        <w:trPr>
          <w:tblHeader/>
        </w:trPr>
        <w:tc>
          <w:tcPr>
            <w:tcW w:w="473" w:type="pct"/>
            <w:shd w:val="clear" w:color="auto" w:fill="01653F"/>
            <w:tcMar>
              <w:top w:w="80" w:type="dxa"/>
              <w:left w:w="80" w:type="dxa"/>
              <w:bottom w:w="80" w:type="dxa"/>
              <w:right w:w="80" w:type="dxa"/>
            </w:tcMar>
            <w:vAlign w:val="bottom"/>
          </w:tcPr>
          <w:p w14:paraId="52EC4E67"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820" w:type="pct"/>
            <w:shd w:val="clear" w:color="auto" w:fill="01653F"/>
            <w:tcMar>
              <w:top w:w="80" w:type="dxa"/>
              <w:left w:w="80" w:type="dxa"/>
              <w:bottom w:w="80" w:type="dxa"/>
              <w:right w:w="80" w:type="dxa"/>
            </w:tcMar>
            <w:vAlign w:val="bottom"/>
          </w:tcPr>
          <w:p w14:paraId="4E88A028"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9" w:type="pct"/>
            <w:shd w:val="clear" w:color="auto" w:fill="01653F"/>
            <w:tcMar>
              <w:top w:w="80" w:type="dxa"/>
              <w:left w:w="80" w:type="dxa"/>
              <w:bottom w:w="80" w:type="dxa"/>
              <w:right w:w="80" w:type="dxa"/>
            </w:tcMar>
            <w:vAlign w:val="bottom"/>
          </w:tcPr>
          <w:p w14:paraId="6A74F718"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948" w:type="pct"/>
            <w:shd w:val="clear" w:color="auto" w:fill="01653F"/>
            <w:tcMar>
              <w:top w:w="80" w:type="dxa"/>
              <w:left w:w="80" w:type="dxa"/>
              <w:bottom w:w="80" w:type="dxa"/>
              <w:right w:w="80" w:type="dxa"/>
            </w:tcMar>
            <w:vAlign w:val="bottom"/>
          </w:tcPr>
          <w:p w14:paraId="24384862"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558" w:type="pct"/>
            <w:shd w:val="clear" w:color="auto" w:fill="01653F"/>
            <w:tcMar>
              <w:top w:w="80" w:type="dxa"/>
              <w:left w:w="80" w:type="dxa"/>
              <w:bottom w:w="80" w:type="dxa"/>
              <w:right w:w="80" w:type="dxa"/>
            </w:tcMar>
            <w:vAlign w:val="bottom"/>
          </w:tcPr>
          <w:p w14:paraId="1E3DAA53"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1" w:type="pct"/>
            <w:shd w:val="clear" w:color="auto" w:fill="01653F"/>
            <w:tcMar>
              <w:top w:w="80" w:type="dxa"/>
              <w:left w:w="80" w:type="dxa"/>
              <w:bottom w:w="80" w:type="dxa"/>
              <w:right w:w="80" w:type="dxa"/>
            </w:tcMar>
            <w:vAlign w:val="bottom"/>
          </w:tcPr>
          <w:p w14:paraId="3EBBFA02" w14:textId="77777777" w:rsidR="009A602C" w:rsidRPr="000676D7" w:rsidRDefault="009A602C" w:rsidP="004102C8">
            <w:pPr>
              <w:pStyle w:val="Tableheading-white"/>
              <w:spacing w:line="240" w:lineRule="auto"/>
              <w:rPr>
                <w:sz w:val="20"/>
                <w:szCs w:val="20"/>
              </w:rPr>
            </w:pPr>
            <w:r w:rsidRPr="000676D7">
              <w:rPr>
                <w:rStyle w:val="None"/>
                <w:sz w:val="20"/>
                <w:szCs w:val="20"/>
              </w:rPr>
              <w:t>Services 5-year service change % (CAGR)</w:t>
            </w:r>
          </w:p>
        </w:tc>
      </w:tr>
      <w:tr w:rsidR="009A602C" w:rsidRPr="000676D7" w14:paraId="22A32FB1" w14:textId="77777777" w:rsidTr="004102C8">
        <w:tblPrEx>
          <w:shd w:val="clear" w:color="auto" w:fill="CED7E7"/>
        </w:tblPrEx>
        <w:tc>
          <w:tcPr>
            <w:tcW w:w="473" w:type="pct"/>
            <w:shd w:val="clear" w:color="auto" w:fill="auto"/>
            <w:tcMar>
              <w:top w:w="80" w:type="dxa"/>
              <w:left w:w="80" w:type="dxa"/>
              <w:bottom w:w="80" w:type="dxa"/>
              <w:right w:w="80" w:type="dxa"/>
            </w:tcMar>
          </w:tcPr>
          <w:p w14:paraId="72D3378B"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42506</w:t>
            </w:r>
          </w:p>
        </w:tc>
        <w:tc>
          <w:tcPr>
            <w:tcW w:w="1820" w:type="pct"/>
            <w:shd w:val="clear" w:color="auto" w:fill="auto"/>
            <w:tcMar>
              <w:top w:w="80" w:type="dxa"/>
              <w:left w:w="80" w:type="dxa"/>
              <w:bottom w:w="80" w:type="dxa"/>
              <w:right w:w="80" w:type="dxa"/>
            </w:tcMar>
          </w:tcPr>
          <w:p w14:paraId="2C06B6E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Eye, enucleation of, with or without sphere implant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18A3628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$481.25 </w:t>
            </w:r>
          </w:p>
        </w:tc>
        <w:tc>
          <w:tcPr>
            <w:tcW w:w="948" w:type="pct"/>
            <w:shd w:val="clear" w:color="auto" w:fill="auto"/>
            <w:tcMar>
              <w:top w:w="80" w:type="dxa"/>
              <w:left w:w="80" w:type="dxa"/>
              <w:bottom w:w="80" w:type="dxa"/>
              <w:right w:w="80" w:type="dxa"/>
            </w:tcMar>
          </w:tcPr>
          <w:p w14:paraId="4F06DD9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$2,438 </w:t>
            </w:r>
          </w:p>
        </w:tc>
        <w:tc>
          <w:tcPr>
            <w:tcW w:w="558" w:type="pct"/>
            <w:shd w:val="clear" w:color="auto" w:fill="auto"/>
            <w:tcMar>
              <w:top w:w="80" w:type="dxa"/>
              <w:left w:w="80" w:type="dxa"/>
              <w:bottom w:w="80" w:type="dxa"/>
              <w:right w:w="80" w:type="dxa"/>
            </w:tcMar>
          </w:tcPr>
          <w:p w14:paraId="55706EF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 </w:t>
            </w:r>
          </w:p>
        </w:tc>
        <w:tc>
          <w:tcPr>
            <w:tcW w:w="551" w:type="pct"/>
            <w:shd w:val="clear" w:color="auto" w:fill="auto"/>
            <w:tcMar>
              <w:top w:w="80" w:type="dxa"/>
              <w:left w:w="80" w:type="dxa"/>
              <w:bottom w:w="80" w:type="dxa"/>
              <w:right w:w="80" w:type="dxa"/>
            </w:tcMar>
          </w:tcPr>
          <w:p w14:paraId="555E6DB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-29.8%</w:t>
            </w:r>
          </w:p>
        </w:tc>
      </w:tr>
      <w:tr w:rsidR="009A602C" w:rsidRPr="000676D7" w14:paraId="46C47974" w14:textId="77777777" w:rsidTr="004102C8">
        <w:tblPrEx>
          <w:shd w:val="clear" w:color="auto" w:fill="CED7E7"/>
        </w:tblPrEx>
        <w:tc>
          <w:tcPr>
            <w:tcW w:w="473" w:type="pct"/>
            <w:shd w:val="clear" w:color="auto" w:fill="auto"/>
            <w:tcMar>
              <w:top w:w="80" w:type="dxa"/>
              <w:left w:w="80" w:type="dxa"/>
              <w:bottom w:w="80" w:type="dxa"/>
              <w:right w:w="80" w:type="dxa"/>
            </w:tcMar>
          </w:tcPr>
          <w:p w14:paraId="69694D99"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42509</w:t>
            </w:r>
          </w:p>
        </w:tc>
        <w:tc>
          <w:tcPr>
            <w:tcW w:w="1820" w:type="pct"/>
            <w:shd w:val="clear" w:color="auto" w:fill="auto"/>
            <w:tcMar>
              <w:top w:w="80" w:type="dxa"/>
              <w:left w:w="80" w:type="dxa"/>
              <w:bottom w:w="80" w:type="dxa"/>
              <w:right w:w="80" w:type="dxa"/>
            </w:tcMar>
          </w:tcPr>
          <w:p w14:paraId="07D2DE8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Eye, enucleation of, with insertion of integrated implant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3FB04CE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$609.05 </w:t>
            </w:r>
          </w:p>
        </w:tc>
        <w:tc>
          <w:tcPr>
            <w:tcW w:w="948" w:type="pct"/>
            <w:shd w:val="clear" w:color="auto" w:fill="auto"/>
            <w:tcMar>
              <w:top w:w="80" w:type="dxa"/>
              <w:left w:w="80" w:type="dxa"/>
              <w:bottom w:w="80" w:type="dxa"/>
              <w:right w:w="80" w:type="dxa"/>
            </w:tcMar>
          </w:tcPr>
          <w:p w14:paraId="6983A5B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$7,783 </w:t>
            </w:r>
          </w:p>
        </w:tc>
        <w:tc>
          <w:tcPr>
            <w:tcW w:w="558" w:type="pct"/>
            <w:shd w:val="clear" w:color="auto" w:fill="auto"/>
            <w:tcMar>
              <w:top w:w="80" w:type="dxa"/>
              <w:left w:w="80" w:type="dxa"/>
              <w:bottom w:w="80" w:type="dxa"/>
              <w:right w:w="80" w:type="dxa"/>
            </w:tcMar>
          </w:tcPr>
          <w:p w14:paraId="7A794F38"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23 </w:t>
            </w:r>
          </w:p>
        </w:tc>
        <w:tc>
          <w:tcPr>
            <w:tcW w:w="551" w:type="pct"/>
            <w:shd w:val="clear" w:color="auto" w:fill="auto"/>
            <w:tcMar>
              <w:top w:w="80" w:type="dxa"/>
              <w:left w:w="80" w:type="dxa"/>
              <w:bottom w:w="80" w:type="dxa"/>
              <w:right w:w="80" w:type="dxa"/>
            </w:tcMar>
          </w:tcPr>
          <w:p w14:paraId="1AE10D35"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-2.4%</w:t>
            </w:r>
          </w:p>
        </w:tc>
      </w:tr>
      <w:tr w:rsidR="009A602C" w:rsidRPr="000676D7" w14:paraId="14C157AA" w14:textId="77777777" w:rsidTr="004102C8">
        <w:tblPrEx>
          <w:shd w:val="clear" w:color="auto" w:fill="CED7E7"/>
        </w:tblPrEx>
        <w:tc>
          <w:tcPr>
            <w:tcW w:w="473" w:type="pct"/>
            <w:shd w:val="clear" w:color="auto" w:fill="auto"/>
            <w:tcMar>
              <w:top w:w="80" w:type="dxa"/>
              <w:left w:w="80" w:type="dxa"/>
              <w:bottom w:w="80" w:type="dxa"/>
              <w:right w:w="80" w:type="dxa"/>
            </w:tcMar>
          </w:tcPr>
          <w:p w14:paraId="7A7430C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42510</w:t>
            </w:r>
          </w:p>
        </w:tc>
        <w:tc>
          <w:tcPr>
            <w:tcW w:w="1820" w:type="pct"/>
            <w:shd w:val="clear" w:color="auto" w:fill="auto"/>
            <w:tcMar>
              <w:top w:w="80" w:type="dxa"/>
              <w:left w:w="80" w:type="dxa"/>
              <w:bottom w:w="80" w:type="dxa"/>
              <w:right w:w="80" w:type="dxa"/>
            </w:tcMar>
          </w:tcPr>
          <w:p w14:paraId="567F3F3E"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Eye, enucleation of, with insertion of hydroxy apatite implant or similar coralline implant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6AAA135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$702.05 </w:t>
            </w:r>
          </w:p>
        </w:tc>
        <w:tc>
          <w:tcPr>
            <w:tcW w:w="948" w:type="pct"/>
            <w:shd w:val="clear" w:color="auto" w:fill="auto"/>
            <w:tcMar>
              <w:top w:w="80" w:type="dxa"/>
              <w:left w:w="80" w:type="dxa"/>
              <w:bottom w:w="80" w:type="dxa"/>
              <w:right w:w="80" w:type="dxa"/>
            </w:tcMar>
          </w:tcPr>
          <w:p w14:paraId="19B537C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$21,062 </w:t>
            </w:r>
          </w:p>
        </w:tc>
        <w:tc>
          <w:tcPr>
            <w:tcW w:w="558" w:type="pct"/>
            <w:shd w:val="clear" w:color="auto" w:fill="auto"/>
            <w:tcMar>
              <w:top w:w="80" w:type="dxa"/>
              <w:left w:w="80" w:type="dxa"/>
              <w:bottom w:w="80" w:type="dxa"/>
              <w:right w:w="80" w:type="dxa"/>
            </w:tcMar>
          </w:tcPr>
          <w:p w14:paraId="58292C6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40 </w:t>
            </w:r>
          </w:p>
        </w:tc>
        <w:tc>
          <w:tcPr>
            <w:tcW w:w="551" w:type="pct"/>
            <w:shd w:val="clear" w:color="auto" w:fill="auto"/>
            <w:tcMar>
              <w:top w:w="80" w:type="dxa"/>
              <w:left w:w="80" w:type="dxa"/>
              <w:bottom w:w="80" w:type="dxa"/>
              <w:right w:w="80" w:type="dxa"/>
            </w:tcMar>
          </w:tcPr>
          <w:p w14:paraId="3E9928DC"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-11.3%</w:t>
            </w:r>
          </w:p>
        </w:tc>
      </w:tr>
      <w:tr w:rsidR="009A602C" w:rsidRPr="000676D7" w14:paraId="1F48CD8F" w14:textId="77777777" w:rsidTr="004102C8">
        <w:tblPrEx>
          <w:shd w:val="clear" w:color="auto" w:fill="CED7E7"/>
        </w:tblPrEx>
        <w:tc>
          <w:tcPr>
            <w:tcW w:w="473" w:type="pct"/>
            <w:shd w:val="clear" w:color="auto" w:fill="auto"/>
            <w:tcMar>
              <w:top w:w="80" w:type="dxa"/>
              <w:left w:w="80" w:type="dxa"/>
              <w:bottom w:w="80" w:type="dxa"/>
              <w:right w:w="80" w:type="dxa"/>
            </w:tcMar>
          </w:tcPr>
          <w:p w14:paraId="584CE32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42530</w:t>
            </w:r>
          </w:p>
        </w:tc>
        <w:tc>
          <w:tcPr>
            <w:tcW w:w="1820" w:type="pct"/>
            <w:shd w:val="clear" w:color="auto" w:fill="auto"/>
            <w:tcMar>
              <w:top w:w="80" w:type="dxa"/>
              <w:left w:w="80" w:type="dxa"/>
              <w:bottom w:w="80" w:type="dxa"/>
              <w:right w:w="80" w:type="dxa"/>
            </w:tcMar>
          </w:tcPr>
          <w:p w14:paraId="18B2690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exploration with or without biopsy, requiring removal of bone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0F748EB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$631.75 </w:t>
            </w:r>
          </w:p>
        </w:tc>
        <w:tc>
          <w:tcPr>
            <w:tcW w:w="948" w:type="pct"/>
            <w:shd w:val="clear" w:color="auto" w:fill="auto"/>
            <w:tcMar>
              <w:top w:w="80" w:type="dxa"/>
              <w:left w:w="80" w:type="dxa"/>
              <w:bottom w:w="80" w:type="dxa"/>
              <w:right w:w="80" w:type="dxa"/>
            </w:tcMar>
          </w:tcPr>
          <w:p w14:paraId="05947D9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$8,285 </w:t>
            </w:r>
          </w:p>
        </w:tc>
        <w:tc>
          <w:tcPr>
            <w:tcW w:w="558" w:type="pct"/>
            <w:shd w:val="clear" w:color="auto" w:fill="auto"/>
            <w:tcMar>
              <w:top w:w="80" w:type="dxa"/>
              <w:left w:w="80" w:type="dxa"/>
              <w:bottom w:w="80" w:type="dxa"/>
              <w:right w:w="80" w:type="dxa"/>
            </w:tcMar>
          </w:tcPr>
          <w:p w14:paraId="2CA1F12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24 </w:t>
            </w:r>
          </w:p>
        </w:tc>
        <w:tc>
          <w:tcPr>
            <w:tcW w:w="551" w:type="pct"/>
            <w:shd w:val="clear" w:color="auto" w:fill="auto"/>
            <w:tcMar>
              <w:top w:w="80" w:type="dxa"/>
              <w:left w:w="80" w:type="dxa"/>
              <w:bottom w:w="80" w:type="dxa"/>
              <w:right w:w="80" w:type="dxa"/>
            </w:tcMar>
          </w:tcPr>
          <w:p w14:paraId="5BAD37F6"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-6.2%</w:t>
            </w:r>
          </w:p>
        </w:tc>
      </w:tr>
      <w:tr w:rsidR="009A602C" w:rsidRPr="000676D7" w14:paraId="76BEB3AF" w14:textId="77777777" w:rsidTr="004102C8">
        <w:tblPrEx>
          <w:shd w:val="clear" w:color="auto" w:fill="CED7E7"/>
        </w:tblPrEx>
        <w:tc>
          <w:tcPr>
            <w:tcW w:w="473" w:type="pct"/>
            <w:shd w:val="clear" w:color="auto" w:fill="auto"/>
            <w:tcMar>
              <w:top w:w="80" w:type="dxa"/>
              <w:left w:w="80" w:type="dxa"/>
              <w:bottom w:w="80" w:type="dxa"/>
              <w:right w:w="80" w:type="dxa"/>
            </w:tcMar>
          </w:tcPr>
          <w:p w14:paraId="47029DB9"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42533</w:t>
            </w:r>
          </w:p>
        </w:tc>
        <w:tc>
          <w:tcPr>
            <w:tcW w:w="1820" w:type="pct"/>
            <w:shd w:val="clear" w:color="auto" w:fill="auto"/>
            <w:tcMar>
              <w:top w:w="80" w:type="dxa"/>
              <w:left w:w="80" w:type="dxa"/>
              <w:bottom w:w="80" w:type="dxa"/>
              <w:right w:w="80" w:type="dxa"/>
            </w:tcMar>
          </w:tcPr>
          <w:p w14:paraId="4A69939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exploration of, with drainage or biopsy not requiring removal of bone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4F4F78A5"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$406.05 </w:t>
            </w:r>
          </w:p>
        </w:tc>
        <w:tc>
          <w:tcPr>
            <w:tcW w:w="948" w:type="pct"/>
            <w:shd w:val="clear" w:color="auto" w:fill="auto"/>
            <w:tcMar>
              <w:top w:w="80" w:type="dxa"/>
              <w:left w:w="80" w:type="dxa"/>
              <w:bottom w:w="80" w:type="dxa"/>
              <w:right w:w="80" w:type="dxa"/>
            </w:tcMar>
          </w:tcPr>
          <w:p w14:paraId="36D430A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$46,521 </w:t>
            </w:r>
          </w:p>
        </w:tc>
        <w:tc>
          <w:tcPr>
            <w:tcW w:w="558" w:type="pct"/>
            <w:shd w:val="clear" w:color="auto" w:fill="auto"/>
            <w:tcMar>
              <w:top w:w="80" w:type="dxa"/>
              <w:left w:w="80" w:type="dxa"/>
              <w:bottom w:w="80" w:type="dxa"/>
              <w:right w:w="80" w:type="dxa"/>
            </w:tcMar>
          </w:tcPr>
          <w:p w14:paraId="055B40E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169 </w:t>
            </w:r>
          </w:p>
        </w:tc>
        <w:tc>
          <w:tcPr>
            <w:tcW w:w="551" w:type="pct"/>
            <w:shd w:val="clear" w:color="auto" w:fill="auto"/>
            <w:tcMar>
              <w:top w:w="80" w:type="dxa"/>
              <w:left w:w="80" w:type="dxa"/>
              <w:bottom w:w="80" w:type="dxa"/>
              <w:right w:w="80" w:type="dxa"/>
            </w:tcMar>
          </w:tcPr>
          <w:p w14:paraId="18D677CD"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6.7%</w:t>
            </w:r>
          </w:p>
        </w:tc>
      </w:tr>
      <w:tr w:rsidR="009A602C" w:rsidRPr="000676D7" w14:paraId="2A01B145" w14:textId="77777777" w:rsidTr="004102C8">
        <w:tblPrEx>
          <w:shd w:val="clear" w:color="auto" w:fill="CED7E7"/>
        </w:tblPrEx>
        <w:tc>
          <w:tcPr>
            <w:tcW w:w="473" w:type="pct"/>
            <w:shd w:val="clear" w:color="auto" w:fill="auto"/>
            <w:tcMar>
              <w:top w:w="80" w:type="dxa"/>
              <w:left w:w="80" w:type="dxa"/>
              <w:bottom w:w="80" w:type="dxa"/>
              <w:right w:w="80" w:type="dxa"/>
            </w:tcMar>
          </w:tcPr>
          <w:p w14:paraId="0D0033F8"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42536</w:t>
            </w:r>
          </w:p>
        </w:tc>
        <w:tc>
          <w:tcPr>
            <w:tcW w:w="1820" w:type="pct"/>
            <w:shd w:val="clear" w:color="auto" w:fill="auto"/>
            <w:tcMar>
              <w:top w:w="80" w:type="dxa"/>
              <w:left w:w="80" w:type="dxa"/>
              <w:bottom w:w="80" w:type="dxa"/>
              <w:right w:w="80" w:type="dxa"/>
            </w:tcMar>
          </w:tcPr>
          <w:p w14:paraId="5BD65A1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exenteration of, with or without skin graft and with or without temporalis muscle transplant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494A98D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$834.60 </w:t>
            </w:r>
          </w:p>
        </w:tc>
        <w:tc>
          <w:tcPr>
            <w:tcW w:w="948" w:type="pct"/>
            <w:shd w:val="clear" w:color="auto" w:fill="auto"/>
            <w:tcMar>
              <w:top w:w="80" w:type="dxa"/>
              <w:left w:w="80" w:type="dxa"/>
              <w:bottom w:w="80" w:type="dxa"/>
              <w:right w:w="80" w:type="dxa"/>
            </w:tcMar>
          </w:tcPr>
          <w:p w14:paraId="4DD564D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$6,694 </w:t>
            </w:r>
          </w:p>
        </w:tc>
        <w:tc>
          <w:tcPr>
            <w:tcW w:w="558" w:type="pct"/>
            <w:shd w:val="clear" w:color="auto" w:fill="auto"/>
            <w:tcMar>
              <w:top w:w="80" w:type="dxa"/>
              <w:left w:w="80" w:type="dxa"/>
              <w:bottom w:w="80" w:type="dxa"/>
              <w:right w:w="80" w:type="dxa"/>
            </w:tcMar>
          </w:tcPr>
          <w:p w14:paraId="0E896611"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17 </w:t>
            </w:r>
          </w:p>
        </w:tc>
        <w:tc>
          <w:tcPr>
            <w:tcW w:w="551" w:type="pct"/>
            <w:shd w:val="clear" w:color="auto" w:fill="auto"/>
            <w:tcMar>
              <w:top w:w="80" w:type="dxa"/>
              <w:left w:w="80" w:type="dxa"/>
              <w:bottom w:w="80" w:type="dxa"/>
              <w:right w:w="80" w:type="dxa"/>
            </w:tcMar>
          </w:tcPr>
          <w:p w14:paraId="481D603C"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-2.2%</w:t>
            </w:r>
          </w:p>
        </w:tc>
      </w:tr>
      <w:tr w:rsidR="009A602C" w:rsidRPr="000676D7" w14:paraId="540E002F" w14:textId="77777777" w:rsidTr="004102C8">
        <w:tblPrEx>
          <w:shd w:val="clear" w:color="auto" w:fill="CED7E7"/>
        </w:tblPrEx>
        <w:tc>
          <w:tcPr>
            <w:tcW w:w="473" w:type="pct"/>
            <w:shd w:val="clear" w:color="auto" w:fill="auto"/>
            <w:tcMar>
              <w:top w:w="80" w:type="dxa"/>
              <w:left w:w="80" w:type="dxa"/>
              <w:bottom w:w="80" w:type="dxa"/>
              <w:right w:w="80" w:type="dxa"/>
            </w:tcMar>
          </w:tcPr>
          <w:p w14:paraId="1DFA64E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42539</w:t>
            </w:r>
          </w:p>
        </w:tc>
        <w:tc>
          <w:tcPr>
            <w:tcW w:w="1820" w:type="pct"/>
            <w:shd w:val="clear" w:color="auto" w:fill="auto"/>
            <w:tcMar>
              <w:top w:w="80" w:type="dxa"/>
              <w:left w:w="80" w:type="dxa"/>
              <w:bottom w:w="80" w:type="dxa"/>
              <w:right w:w="80" w:type="dxa"/>
            </w:tcMar>
          </w:tcPr>
          <w:p w14:paraId="29FCEA2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exploration of, with removal of tumour or foreign body, requiring removal of bone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66AF888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$1,188.20 </w:t>
            </w:r>
          </w:p>
        </w:tc>
        <w:tc>
          <w:tcPr>
            <w:tcW w:w="948" w:type="pct"/>
            <w:shd w:val="clear" w:color="auto" w:fill="auto"/>
            <w:tcMar>
              <w:top w:w="80" w:type="dxa"/>
              <w:left w:w="80" w:type="dxa"/>
              <w:bottom w:w="80" w:type="dxa"/>
              <w:right w:w="80" w:type="dxa"/>
            </w:tcMar>
          </w:tcPr>
          <w:p w14:paraId="77164D68"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$33,660 </w:t>
            </w:r>
          </w:p>
        </w:tc>
        <w:tc>
          <w:tcPr>
            <w:tcW w:w="558" w:type="pct"/>
            <w:shd w:val="clear" w:color="auto" w:fill="auto"/>
            <w:tcMar>
              <w:top w:w="80" w:type="dxa"/>
              <w:left w:w="80" w:type="dxa"/>
              <w:bottom w:w="80" w:type="dxa"/>
              <w:right w:w="80" w:type="dxa"/>
            </w:tcMar>
          </w:tcPr>
          <w:p w14:paraId="2DA473D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45 </w:t>
            </w:r>
          </w:p>
        </w:tc>
        <w:tc>
          <w:tcPr>
            <w:tcW w:w="551" w:type="pct"/>
            <w:shd w:val="clear" w:color="auto" w:fill="auto"/>
            <w:tcMar>
              <w:top w:w="80" w:type="dxa"/>
              <w:left w:w="80" w:type="dxa"/>
              <w:bottom w:w="80" w:type="dxa"/>
              <w:right w:w="80" w:type="dxa"/>
            </w:tcMar>
          </w:tcPr>
          <w:p w14:paraId="18FD9A1D"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-6.8%</w:t>
            </w:r>
          </w:p>
        </w:tc>
      </w:tr>
      <w:tr w:rsidR="009A602C" w:rsidRPr="000676D7" w14:paraId="0DBF876D" w14:textId="77777777" w:rsidTr="004102C8">
        <w:tblPrEx>
          <w:shd w:val="clear" w:color="auto" w:fill="CED7E7"/>
        </w:tblPrEx>
        <w:tc>
          <w:tcPr>
            <w:tcW w:w="473" w:type="pct"/>
            <w:shd w:val="clear" w:color="auto" w:fill="auto"/>
            <w:tcMar>
              <w:top w:w="80" w:type="dxa"/>
              <w:left w:w="80" w:type="dxa"/>
              <w:bottom w:w="80" w:type="dxa"/>
              <w:right w:w="80" w:type="dxa"/>
            </w:tcMar>
          </w:tcPr>
          <w:p w14:paraId="3829E703"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lastRenderedPageBreak/>
              <w:t>42542</w:t>
            </w:r>
          </w:p>
        </w:tc>
        <w:tc>
          <w:tcPr>
            <w:tcW w:w="1820" w:type="pct"/>
            <w:shd w:val="clear" w:color="auto" w:fill="auto"/>
            <w:tcMar>
              <w:top w:w="80" w:type="dxa"/>
              <w:left w:w="80" w:type="dxa"/>
              <w:bottom w:w="80" w:type="dxa"/>
              <w:right w:w="80" w:type="dxa"/>
            </w:tcMar>
          </w:tcPr>
          <w:p w14:paraId="3A90330F"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Orbit, exploration of anterior aspect with removal of tumour or foreign body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49039F8A"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$503.85 </w:t>
            </w:r>
          </w:p>
        </w:tc>
        <w:tc>
          <w:tcPr>
            <w:tcW w:w="948" w:type="pct"/>
            <w:shd w:val="clear" w:color="auto" w:fill="auto"/>
            <w:tcMar>
              <w:top w:w="80" w:type="dxa"/>
              <w:left w:w="80" w:type="dxa"/>
              <w:bottom w:w="80" w:type="dxa"/>
              <w:right w:w="80" w:type="dxa"/>
            </w:tcMar>
          </w:tcPr>
          <w:p w14:paraId="2B0C49D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$26,750 </w:t>
            </w:r>
          </w:p>
        </w:tc>
        <w:tc>
          <w:tcPr>
            <w:tcW w:w="558" w:type="pct"/>
            <w:shd w:val="clear" w:color="auto" w:fill="auto"/>
            <w:tcMar>
              <w:top w:w="80" w:type="dxa"/>
              <w:left w:w="80" w:type="dxa"/>
              <w:bottom w:w="80" w:type="dxa"/>
              <w:right w:w="80" w:type="dxa"/>
            </w:tcMar>
          </w:tcPr>
          <w:p w14:paraId="1179E61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82 </w:t>
            </w:r>
          </w:p>
        </w:tc>
        <w:tc>
          <w:tcPr>
            <w:tcW w:w="551" w:type="pct"/>
            <w:shd w:val="clear" w:color="auto" w:fill="auto"/>
            <w:tcMar>
              <w:top w:w="80" w:type="dxa"/>
              <w:left w:w="80" w:type="dxa"/>
              <w:bottom w:w="80" w:type="dxa"/>
              <w:right w:w="80" w:type="dxa"/>
            </w:tcMar>
          </w:tcPr>
          <w:p w14:paraId="0C7C0B05"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-5.9%</w:t>
            </w:r>
          </w:p>
        </w:tc>
      </w:tr>
      <w:tr w:rsidR="009A602C" w:rsidRPr="000676D7" w14:paraId="66AE2EDF" w14:textId="77777777" w:rsidTr="004102C8">
        <w:tblPrEx>
          <w:shd w:val="clear" w:color="auto" w:fill="CED7E7"/>
        </w:tblPrEx>
        <w:tc>
          <w:tcPr>
            <w:tcW w:w="473" w:type="pct"/>
            <w:shd w:val="clear" w:color="auto" w:fill="auto"/>
            <w:tcMar>
              <w:top w:w="80" w:type="dxa"/>
              <w:left w:w="80" w:type="dxa"/>
              <w:bottom w:w="80" w:type="dxa"/>
              <w:right w:w="80" w:type="dxa"/>
            </w:tcMar>
          </w:tcPr>
          <w:p w14:paraId="07BB147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42590</w:t>
            </w:r>
          </w:p>
        </w:tc>
        <w:tc>
          <w:tcPr>
            <w:tcW w:w="1820" w:type="pct"/>
            <w:shd w:val="clear" w:color="auto" w:fill="auto"/>
            <w:tcMar>
              <w:top w:w="80" w:type="dxa"/>
              <w:left w:w="80" w:type="dxa"/>
              <w:bottom w:w="80" w:type="dxa"/>
              <w:right w:w="80" w:type="dxa"/>
            </w:tcMar>
          </w:tcPr>
          <w:p w14:paraId="2F0C4DEE"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proofErr w:type="spellStart"/>
            <w:r w:rsidRPr="000676D7">
              <w:rPr>
                <w:rStyle w:val="None"/>
                <w:rFonts w:asciiTheme="minorHAnsi" w:hAnsiTheme="minorHAnsi" w:cstheme="minorHAnsi"/>
                <w:sz w:val="20"/>
                <w:szCs w:val="20"/>
                <w:lang w:val="en-GB"/>
              </w:rPr>
              <w:t>Canthoplasty</w:t>
            </w:r>
            <w:proofErr w:type="spellEnd"/>
            <w:r w:rsidRPr="000676D7">
              <w:rPr>
                <w:rStyle w:val="None"/>
                <w:rFonts w:asciiTheme="minorHAnsi" w:hAnsiTheme="minorHAnsi" w:cstheme="minorHAnsi"/>
                <w:sz w:val="20"/>
                <w:szCs w:val="20"/>
                <w:lang w:val="en-GB"/>
              </w:rPr>
              <w:t>, medial or lateral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0616684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$338.35 </w:t>
            </w:r>
          </w:p>
        </w:tc>
        <w:tc>
          <w:tcPr>
            <w:tcW w:w="948" w:type="pct"/>
            <w:shd w:val="clear" w:color="auto" w:fill="auto"/>
            <w:tcMar>
              <w:top w:w="80" w:type="dxa"/>
              <w:left w:w="80" w:type="dxa"/>
              <w:bottom w:w="80" w:type="dxa"/>
              <w:right w:w="80" w:type="dxa"/>
            </w:tcMar>
          </w:tcPr>
          <w:p w14:paraId="24AA08F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$772,645 </w:t>
            </w:r>
          </w:p>
        </w:tc>
        <w:tc>
          <w:tcPr>
            <w:tcW w:w="558" w:type="pct"/>
            <w:shd w:val="clear" w:color="auto" w:fill="auto"/>
            <w:tcMar>
              <w:top w:w="80" w:type="dxa"/>
              <w:left w:w="80" w:type="dxa"/>
              <w:bottom w:w="80" w:type="dxa"/>
              <w:right w:w="80" w:type="dxa"/>
            </w:tcMar>
          </w:tcPr>
          <w:p w14:paraId="2A278C0E"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5,361 </w:t>
            </w:r>
          </w:p>
        </w:tc>
        <w:tc>
          <w:tcPr>
            <w:tcW w:w="551" w:type="pct"/>
            <w:shd w:val="clear" w:color="auto" w:fill="auto"/>
            <w:tcMar>
              <w:top w:w="80" w:type="dxa"/>
              <w:left w:w="80" w:type="dxa"/>
              <w:bottom w:w="80" w:type="dxa"/>
              <w:right w:w="80" w:type="dxa"/>
            </w:tcMar>
          </w:tcPr>
          <w:p w14:paraId="4A34CD20"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2.4%</w:t>
            </w:r>
          </w:p>
        </w:tc>
      </w:tr>
      <w:tr w:rsidR="009A602C" w:rsidRPr="000676D7" w14:paraId="02885455" w14:textId="77777777" w:rsidTr="004102C8">
        <w:tblPrEx>
          <w:shd w:val="clear" w:color="auto" w:fill="CED7E7"/>
        </w:tblPrEx>
        <w:tc>
          <w:tcPr>
            <w:tcW w:w="473" w:type="pct"/>
            <w:shd w:val="clear" w:color="auto" w:fill="auto"/>
            <w:tcMar>
              <w:top w:w="80" w:type="dxa"/>
              <w:left w:w="80" w:type="dxa"/>
              <w:bottom w:w="80" w:type="dxa"/>
              <w:right w:w="80" w:type="dxa"/>
            </w:tcMar>
          </w:tcPr>
          <w:p w14:paraId="43491094"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42623</w:t>
            </w:r>
          </w:p>
        </w:tc>
        <w:tc>
          <w:tcPr>
            <w:tcW w:w="1820" w:type="pct"/>
            <w:shd w:val="clear" w:color="auto" w:fill="auto"/>
            <w:tcMar>
              <w:top w:w="80" w:type="dxa"/>
              <w:left w:w="80" w:type="dxa"/>
              <w:bottom w:w="80" w:type="dxa"/>
              <w:right w:w="80" w:type="dxa"/>
            </w:tcMar>
          </w:tcPr>
          <w:p w14:paraId="650DE95C"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Dacryocystorhinostomy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61BE6854"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$699.45 </w:t>
            </w:r>
          </w:p>
        </w:tc>
        <w:tc>
          <w:tcPr>
            <w:tcW w:w="948" w:type="pct"/>
            <w:shd w:val="clear" w:color="auto" w:fill="auto"/>
            <w:tcMar>
              <w:top w:w="80" w:type="dxa"/>
              <w:left w:w="80" w:type="dxa"/>
              <w:bottom w:w="80" w:type="dxa"/>
              <w:right w:w="80" w:type="dxa"/>
            </w:tcMar>
          </w:tcPr>
          <w:p w14:paraId="60B54CA9"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$743,514 </w:t>
            </w:r>
          </w:p>
        </w:tc>
        <w:tc>
          <w:tcPr>
            <w:tcW w:w="558" w:type="pct"/>
            <w:shd w:val="clear" w:color="auto" w:fill="auto"/>
            <w:tcMar>
              <w:top w:w="80" w:type="dxa"/>
              <w:left w:w="80" w:type="dxa"/>
              <w:bottom w:w="80" w:type="dxa"/>
              <w:right w:w="80" w:type="dxa"/>
            </w:tcMar>
          </w:tcPr>
          <w:p w14:paraId="264AC9AF"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1,537 </w:t>
            </w:r>
          </w:p>
        </w:tc>
        <w:tc>
          <w:tcPr>
            <w:tcW w:w="551" w:type="pct"/>
            <w:shd w:val="clear" w:color="auto" w:fill="auto"/>
            <w:tcMar>
              <w:top w:w="80" w:type="dxa"/>
              <w:left w:w="80" w:type="dxa"/>
              <w:bottom w:w="80" w:type="dxa"/>
              <w:right w:w="80" w:type="dxa"/>
            </w:tcMar>
          </w:tcPr>
          <w:p w14:paraId="1E2813B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1.1%</w:t>
            </w:r>
          </w:p>
        </w:tc>
      </w:tr>
      <w:tr w:rsidR="009A602C" w:rsidRPr="000676D7" w14:paraId="5D4AFBC2" w14:textId="77777777" w:rsidTr="004102C8">
        <w:tblPrEx>
          <w:shd w:val="clear" w:color="auto" w:fill="CED7E7"/>
        </w:tblPrEx>
        <w:tc>
          <w:tcPr>
            <w:tcW w:w="473" w:type="pct"/>
            <w:shd w:val="clear" w:color="auto" w:fill="auto"/>
            <w:tcMar>
              <w:top w:w="80" w:type="dxa"/>
              <w:left w:w="80" w:type="dxa"/>
              <w:bottom w:w="80" w:type="dxa"/>
              <w:right w:w="80" w:type="dxa"/>
            </w:tcMar>
          </w:tcPr>
          <w:p w14:paraId="4317EAFD"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42626</w:t>
            </w:r>
          </w:p>
        </w:tc>
        <w:tc>
          <w:tcPr>
            <w:tcW w:w="1820" w:type="pct"/>
            <w:shd w:val="clear" w:color="auto" w:fill="auto"/>
            <w:tcMar>
              <w:top w:w="80" w:type="dxa"/>
              <w:left w:w="80" w:type="dxa"/>
              <w:bottom w:w="80" w:type="dxa"/>
              <w:right w:w="80" w:type="dxa"/>
            </w:tcMar>
          </w:tcPr>
          <w:p w14:paraId="079EC8E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Dacryocystorhinostomy where a previous dacryocystorhinostomy has been performed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718DF9FE"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$1,128.05 </w:t>
            </w:r>
          </w:p>
        </w:tc>
        <w:tc>
          <w:tcPr>
            <w:tcW w:w="948" w:type="pct"/>
            <w:shd w:val="clear" w:color="auto" w:fill="auto"/>
            <w:tcMar>
              <w:top w:w="80" w:type="dxa"/>
              <w:left w:w="80" w:type="dxa"/>
              <w:bottom w:w="80" w:type="dxa"/>
              <w:right w:w="80" w:type="dxa"/>
            </w:tcMar>
          </w:tcPr>
          <w:p w14:paraId="6EBC685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$156,567 </w:t>
            </w:r>
          </w:p>
        </w:tc>
        <w:tc>
          <w:tcPr>
            <w:tcW w:w="558" w:type="pct"/>
            <w:shd w:val="clear" w:color="auto" w:fill="auto"/>
            <w:tcMar>
              <w:top w:w="80" w:type="dxa"/>
              <w:left w:w="80" w:type="dxa"/>
              <w:bottom w:w="80" w:type="dxa"/>
              <w:right w:w="80" w:type="dxa"/>
            </w:tcMar>
          </w:tcPr>
          <w:p w14:paraId="4CFB3D7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195 </w:t>
            </w:r>
          </w:p>
        </w:tc>
        <w:tc>
          <w:tcPr>
            <w:tcW w:w="551" w:type="pct"/>
            <w:shd w:val="clear" w:color="auto" w:fill="auto"/>
            <w:tcMar>
              <w:top w:w="80" w:type="dxa"/>
              <w:left w:w="80" w:type="dxa"/>
              <w:bottom w:w="80" w:type="dxa"/>
              <w:right w:w="80" w:type="dxa"/>
            </w:tcMar>
          </w:tcPr>
          <w:p w14:paraId="5D714402"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-2.9%</w:t>
            </w:r>
          </w:p>
        </w:tc>
      </w:tr>
      <w:tr w:rsidR="009A602C" w:rsidRPr="000676D7" w14:paraId="0027173D" w14:textId="77777777" w:rsidTr="004102C8">
        <w:tblPrEx>
          <w:shd w:val="clear" w:color="auto" w:fill="CED7E7"/>
        </w:tblPrEx>
        <w:tc>
          <w:tcPr>
            <w:tcW w:w="473" w:type="pct"/>
            <w:shd w:val="clear" w:color="auto" w:fill="auto"/>
            <w:tcMar>
              <w:top w:w="80" w:type="dxa"/>
              <w:left w:w="80" w:type="dxa"/>
              <w:bottom w:w="80" w:type="dxa"/>
              <w:right w:w="80" w:type="dxa"/>
            </w:tcMar>
          </w:tcPr>
          <w:p w14:paraId="20A9250F"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42629</w:t>
            </w:r>
          </w:p>
        </w:tc>
        <w:tc>
          <w:tcPr>
            <w:tcW w:w="1820" w:type="pct"/>
            <w:shd w:val="clear" w:color="auto" w:fill="auto"/>
            <w:tcMar>
              <w:top w:w="80" w:type="dxa"/>
              <w:left w:w="80" w:type="dxa"/>
              <w:bottom w:w="80" w:type="dxa"/>
              <w:right w:w="80" w:type="dxa"/>
            </w:tcMar>
          </w:tcPr>
          <w:p w14:paraId="13FF734A"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proofErr w:type="spellStart"/>
            <w:r w:rsidRPr="000676D7">
              <w:rPr>
                <w:rStyle w:val="None"/>
                <w:rFonts w:asciiTheme="minorHAnsi" w:hAnsiTheme="minorHAnsi" w:cstheme="minorHAnsi"/>
                <w:sz w:val="20"/>
                <w:szCs w:val="20"/>
                <w:lang w:val="en-GB"/>
              </w:rPr>
              <w:t>Conjunctivorhinostomy</w:t>
            </w:r>
            <w:proofErr w:type="spellEnd"/>
            <w:r w:rsidRPr="000676D7">
              <w:rPr>
                <w:rStyle w:val="None"/>
                <w:rFonts w:asciiTheme="minorHAnsi" w:hAnsiTheme="minorHAnsi" w:cstheme="minorHAnsi"/>
                <w:sz w:val="20"/>
                <w:szCs w:val="20"/>
                <w:lang w:val="en-GB"/>
              </w:rPr>
              <w:t xml:space="preserve"> including dacryocystorhinostomy and fashioning of conjunctival flaps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49F69242"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$849.70 </w:t>
            </w:r>
          </w:p>
        </w:tc>
        <w:tc>
          <w:tcPr>
            <w:tcW w:w="948" w:type="pct"/>
            <w:shd w:val="clear" w:color="auto" w:fill="auto"/>
            <w:tcMar>
              <w:top w:w="80" w:type="dxa"/>
              <w:left w:w="80" w:type="dxa"/>
              <w:bottom w:w="80" w:type="dxa"/>
              <w:right w:w="80" w:type="dxa"/>
            </w:tcMar>
          </w:tcPr>
          <w:p w14:paraId="1355C68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$18,181 </w:t>
            </w:r>
          </w:p>
        </w:tc>
        <w:tc>
          <w:tcPr>
            <w:tcW w:w="558" w:type="pct"/>
            <w:shd w:val="clear" w:color="auto" w:fill="auto"/>
            <w:tcMar>
              <w:top w:w="80" w:type="dxa"/>
              <w:left w:w="80" w:type="dxa"/>
              <w:bottom w:w="80" w:type="dxa"/>
              <w:right w:w="80" w:type="dxa"/>
            </w:tcMar>
          </w:tcPr>
          <w:p w14:paraId="5CAE90C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31 </w:t>
            </w:r>
          </w:p>
        </w:tc>
        <w:tc>
          <w:tcPr>
            <w:tcW w:w="551" w:type="pct"/>
            <w:shd w:val="clear" w:color="auto" w:fill="auto"/>
            <w:tcMar>
              <w:top w:w="80" w:type="dxa"/>
              <w:left w:w="80" w:type="dxa"/>
              <w:bottom w:w="80" w:type="dxa"/>
              <w:right w:w="80" w:type="dxa"/>
            </w:tcMar>
          </w:tcPr>
          <w:p w14:paraId="2FF5B4D5"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10.3%</w:t>
            </w:r>
          </w:p>
        </w:tc>
      </w:tr>
      <w:tr w:rsidR="009A602C" w:rsidRPr="000676D7" w14:paraId="276F17AC" w14:textId="77777777" w:rsidTr="004102C8">
        <w:tblPrEx>
          <w:shd w:val="clear" w:color="auto" w:fill="CED7E7"/>
        </w:tblPrEx>
        <w:tc>
          <w:tcPr>
            <w:tcW w:w="473" w:type="pct"/>
            <w:shd w:val="clear" w:color="auto" w:fill="auto"/>
            <w:tcMar>
              <w:top w:w="80" w:type="dxa"/>
              <w:left w:w="80" w:type="dxa"/>
              <w:bottom w:w="80" w:type="dxa"/>
              <w:right w:w="80" w:type="dxa"/>
            </w:tcMar>
          </w:tcPr>
          <w:p w14:paraId="76B33A0D"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42863</w:t>
            </w:r>
          </w:p>
        </w:tc>
        <w:tc>
          <w:tcPr>
            <w:tcW w:w="1820" w:type="pct"/>
            <w:shd w:val="clear" w:color="auto" w:fill="auto"/>
            <w:tcMar>
              <w:top w:w="80" w:type="dxa"/>
              <w:left w:w="80" w:type="dxa"/>
              <w:bottom w:w="80" w:type="dxa"/>
              <w:right w:w="80" w:type="dxa"/>
            </w:tcMar>
          </w:tcPr>
          <w:p w14:paraId="54C6FC15"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Eyelid, recession of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70C1A77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$774.55 </w:t>
            </w:r>
          </w:p>
        </w:tc>
        <w:tc>
          <w:tcPr>
            <w:tcW w:w="948" w:type="pct"/>
            <w:shd w:val="clear" w:color="auto" w:fill="auto"/>
            <w:tcMar>
              <w:top w:w="80" w:type="dxa"/>
              <w:left w:w="80" w:type="dxa"/>
              <w:bottom w:w="80" w:type="dxa"/>
              <w:right w:w="80" w:type="dxa"/>
            </w:tcMar>
          </w:tcPr>
          <w:p w14:paraId="50435BE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$463,447 </w:t>
            </w:r>
          </w:p>
        </w:tc>
        <w:tc>
          <w:tcPr>
            <w:tcW w:w="558" w:type="pct"/>
            <w:shd w:val="clear" w:color="auto" w:fill="auto"/>
            <w:tcMar>
              <w:top w:w="80" w:type="dxa"/>
              <w:left w:w="80" w:type="dxa"/>
              <w:bottom w:w="80" w:type="dxa"/>
              <w:right w:w="80" w:type="dxa"/>
            </w:tcMar>
          </w:tcPr>
          <w:p w14:paraId="43295933"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879 </w:t>
            </w:r>
          </w:p>
        </w:tc>
        <w:tc>
          <w:tcPr>
            <w:tcW w:w="551" w:type="pct"/>
            <w:shd w:val="clear" w:color="auto" w:fill="auto"/>
            <w:tcMar>
              <w:top w:w="80" w:type="dxa"/>
              <w:left w:w="80" w:type="dxa"/>
              <w:bottom w:w="80" w:type="dxa"/>
              <w:right w:w="80" w:type="dxa"/>
            </w:tcMar>
          </w:tcPr>
          <w:p w14:paraId="244FE0C8"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5.5%</w:t>
            </w:r>
          </w:p>
        </w:tc>
      </w:tr>
      <w:tr w:rsidR="009A602C" w:rsidRPr="000676D7" w14:paraId="68665B80" w14:textId="77777777" w:rsidTr="004102C8">
        <w:tblPrEx>
          <w:shd w:val="clear" w:color="auto" w:fill="CED7E7"/>
        </w:tblPrEx>
        <w:tc>
          <w:tcPr>
            <w:tcW w:w="473" w:type="pct"/>
            <w:shd w:val="clear" w:color="auto" w:fill="auto"/>
            <w:tcMar>
              <w:top w:w="80" w:type="dxa"/>
              <w:left w:w="80" w:type="dxa"/>
              <w:bottom w:w="80" w:type="dxa"/>
              <w:right w:w="80" w:type="dxa"/>
            </w:tcMar>
          </w:tcPr>
          <w:p w14:paraId="6BEBF21B"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42866</w:t>
            </w:r>
          </w:p>
        </w:tc>
        <w:tc>
          <w:tcPr>
            <w:tcW w:w="1820" w:type="pct"/>
            <w:shd w:val="clear" w:color="auto" w:fill="auto"/>
            <w:tcMar>
              <w:top w:w="80" w:type="dxa"/>
              <w:left w:w="80" w:type="dxa"/>
              <w:bottom w:w="80" w:type="dxa"/>
              <w:right w:w="80" w:type="dxa"/>
            </w:tcMar>
          </w:tcPr>
          <w:p w14:paraId="55B3E0B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Entropion or tarsal ectropion, repair of, by tightening, shortening or repair of inferior retractors by open operation across the entire width of the eyelid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 (Assist.)</w:t>
            </w:r>
          </w:p>
        </w:tc>
        <w:tc>
          <w:tcPr>
            <w:tcW w:w="649" w:type="pct"/>
            <w:shd w:val="clear" w:color="auto" w:fill="auto"/>
            <w:tcMar>
              <w:top w:w="80" w:type="dxa"/>
              <w:left w:w="80" w:type="dxa"/>
              <w:bottom w:w="80" w:type="dxa"/>
              <w:right w:w="80" w:type="dxa"/>
            </w:tcMar>
          </w:tcPr>
          <w:p w14:paraId="70C14790"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$751.85 </w:t>
            </w:r>
          </w:p>
        </w:tc>
        <w:tc>
          <w:tcPr>
            <w:tcW w:w="948" w:type="pct"/>
            <w:shd w:val="clear" w:color="auto" w:fill="auto"/>
            <w:tcMar>
              <w:top w:w="80" w:type="dxa"/>
              <w:left w:w="80" w:type="dxa"/>
              <w:bottom w:w="80" w:type="dxa"/>
              <w:right w:w="80" w:type="dxa"/>
            </w:tcMar>
          </w:tcPr>
          <w:p w14:paraId="41E35327"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$1,662,403 </w:t>
            </w:r>
          </w:p>
        </w:tc>
        <w:tc>
          <w:tcPr>
            <w:tcW w:w="558" w:type="pct"/>
            <w:shd w:val="clear" w:color="auto" w:fill="auto"/>
            <w:tcMar>
              <w:top w:w="80" w:type="dxa"/>
              <w:left w:w="80" w:type="dxa"/>
              <w:bottom w:w="80" w:type="dxa"/>
              <w:right w:w="80" w:type="dxa"/>
            </w:tcMar>
          </w:tcPr>
          <w:p w14:paraId="48F9D21D"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3,216 </w:t>
            </w:r>
          </w:p>
        </w:tc>
        <w:tc>
          <w:tcPr>
            <w:tcW w:w="551" w:type="pct"/>
            <w:shd w:val="clear" w:color="auto" w:fill="auto"/>
            <w:tcMar>
              <w:top w:w="80" w:type="dxa"/>
              <w:left w:w="80" w:type="dxa"/>
              <w:bottom w:w="80" w:type="dxa"/>
              <w:right w:w="80" w:type="dxa"/>
            </w:tcMar>
          </w:tcPr>
          <w:p w14:paraId="32FE7F4C"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5.1%</w:t>
            </w:r>
          </w:p>
        </w:tc>
      </w:tr>
      <w:tr w:rsidR="009A602C" w:rsidRPr="000676D7" w14:paraId="4C8EFEEA" w14:textId="77777777" w:rsidTr="004102C8">
        <w:tblPrEx>
          <w:shd w:val="clear" w:color="auto" w:fill="CED7E7"/>
        </w:tblPrEx>
        <w:tc>
          <w:tcPr>
            <w:tcW w:w="473" w:type="pct"/>
            <w:shd w:val="clear" w:color="auto" w:fill="auto"/>
            <w:tcMar>
              <w:top w:w="80" w:type="dxa"/>
              <w:left w:w="80" w:type="dxa"/>
              <w:bottom w:w="80" w:type="dxa"/>
              <w:right w:w="80" w:type="dxa"/>
            </w:tcMar>
          </w:tcPr>
          <w:p w14:paraId="39D135FC"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42872</w:t>
            </w:r>
          </w:p>
        </w:tc>
        <w:tc>
          <w:tcPr>
            <w:tcW w:w="1820" w:type="pct"/>
            <w:shd w:val="clear" w:color="auto" w:fill="auto"/>
            <w:tcMar>
              <w:top w:w="80" w:type="dxa"/>
              <w:left w:w="80" w:type="dxa"/>
              <w:bottom w:w="80" w:type="dxa"/>
              <w:right w:w="80" w:type="dxa"/>
            </w:tcMar>
          </w:tcPr>
          <w:p w14:paraId="2A10E162" w14:textId="71DA5B26"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Eyebrow, elevation of, for paretic states (</w:t>
            </w:r>
            <w:proofErr w:type="spellStart"/>
            <w:r w:rsidRPr="000676D7">
              <w:rPr>
                <w:rStyle w:val="None"/>
                <w:rFonts w:asciiTheme="minorHAnsi" w:hAnsiTheme="minorHAnsi" w:cstheme="minorHAnsi"/>
                <w:sz w:val="20"/>
                <w:szCs w:val="20"/>
                <w:lang w:val="en-GB"/>
              </w:rPr>
              <w:t>Anaes</w:t>
            </w:r>
            <w:proofErr w:type="spellEnd"/>
            <w:r w:rsidRPr="000676D7">
              <w:rPr>
                <w:rStyle w:val="None"/>
                <w:rFonts w:asciiTheme="minorHAnsi" w:hAnsiTheme="minorHAnsi" w:cstheme="minorHAnsi"/>
                <w:sz w:val="20"/>
                <w:szCs w:val="20"/>
                <w:lang w:val="en-GB"/>
              </w:rPr>
              <w:t>.)</w:t>
            </w:r>
            <w:r w:rsidR="00F50888">
              <w:rPr>
                <w:rStyle w:val="None"/>
                <w:rFonts w:asciiTheme="minorHAnsi" w:hAnsiTheme="minorHAnsi" w:cstheme="minorHAnsi"/>
                <w:sz w:val="20"/>
                <w:szCs w:val="20"/>
                <w:lang w:val="en-GB"/>
              </w:rPr>
              <w:t xml:space="preserve"> (Assist.)</w:t>
            </w:r>
          </w:p>
        </w:tc>
        <w:tc>
          <w:tcPr>
            <w:tcW w:w="649" w:type="pct"/>
            <w:shd w:val="clear" w:color="auto" w:fill="auto"/>
            <w:tcMar>
              <w:top w:w="80" w:type="dxa"/>
              <w:left w:w="80" w:type="dxa"/>
              <w:bottom w:w="80" w:type="dxa"/>
              <w:right w:w="80" w:type="dxa"/>
            </w:tcMar>
          </w:tcPr>
          <w:p w14:paraId="64A34876"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$240.70 </w:t>
            </w:r>
          </w:p>
        </w:tc>
        <w:tc>
          <w:tcPr>
            <w:tcW w:w="948" w:type="pct"/>
            <w:shd w:val="clear" w:color="auto" w:fill="auto"/>
            <w:tcMar>
              <w:top w:w="80" w:type="dxa"/>
              <w:left w:w="80" w:type="dxa"/>
              <w:bottom w:w="80" w:type="dxa"/>
              <w:right w:w="80" w:type="dxa"/>
            </w:tcMar>
          </w:tcPr>
          <w:p w14:paraId="671FCB3B"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$70,304 </w:t>
            </w:r>
          </w:p>
        </w:tc>
        <w:tc>
          <w:tcPr>
            <w:tcW w:w="558" w:type="pct"/>
            <w:shd w:val="clear" w:color="auto" w:fill="auto"/>
            <w:tcMar>
              <w:top w:w="80" w:type="dxa"/>
              <w:left w:w="80" w:type="dxa"/>
              <w:bottom w:w="80" w:type="dxa"/>
              <w:right w:w="80" w:type="dxa"/>
            </w:tcMar>
          </w:tcPr>
          <w:p w14:paraId="49C473A5" w14:textId="77777777" w:rsidR="009A602C" w:rsidRPr="000676D7" w:rsidRDefault="009A602C" w:rsidP="004102C8">
            <w:pPr>
              <w:pStyle w:val="Body"/>
              <w:spacing w:before="0" w:after="0" w:line="240" w:lineRule="auto"/>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 xml:space="preserve"> 404 </w:t>
            </w:r>
          </w:p>
        </w:tc>
        <w:tc>
          <w:tcPr>
            <w:tcW w:w="551" w:type="pct"/>
            <w:shd w:val="clear" w:color="auto" w:fill="auto"/>
            <w:tcMar>
              <w:top w:w="80" w:type="dxa"/>
              <w:left w:w="80" w:type="dxa"/>
              <w:bottom w:w="80" w:type="dxa"/>
              <w:right w:w="80" w:type="dxa"/>
            </w:tcMar>
          </w:tcPr>
          <w:p w14:paraId="10955949" w14:textId="77777777" w:rsidR="009A602C" w:rsidRPr="000676D7" w:rsidRDefault="009A602C" w:rsidP="004102C8">
            <w:pPr>
              <w:pStyle w:val="Body"/>
              <w:spacing w:before="0" w:after="0" w:line="240" w:lineRule="auto"/>
              <w:jc w:val="right"/>
              <w:rPr>
                <w:rFonts w:asciiTheme="minorHAnsi" w:hAnsiTheme="minorHAnsi" w:cstheme="minorHAnsi"/>
                <w:sz w:val="20"/>
                <w:szCs w:val="20"/>
                <w:lang w:val="en-GB"/>
              </w:rPr>
            </w:pPr>
            <w:r w:rsidRPr="000676D7">
              <w:rPr>
                <w:rStyle w:val="None"/>
                <w:rFonts w:asciiTheme="minorHAnsi" w:hAnsiTheme="minorHAnsi" w:cstheme="minorHAnsi"/>
                <w:sz w:val="20"/>
                <w:szCs w:val="20"/>
                <w:lang w:val="en-GB"/>
              </w:rPr>
              <w:t>18.5%</w:t>
            </w:r>
          </w:p>
        </w:tc>
      </w:tr>
    </w:tbl>
    <w:p w14:paraId="24D63618" w14:textId="77777777" w:rsidR="009A602C" w:rsidRPr="000676D7" w:rsidRDefault="009A602C" w:rsidP="009A602C">
      <w:pPr>
        <w:pStyle w:val="Heading3"/>
      </w:pPr>
      <w:bookmarkStart w:id="284" w:name="_Toc536548167"/>
      <w:bookmarkStart w:id="285" w:name="_Toc35347270"/>
      <w:r w:rsidRPr="000676D7">
        <w:t>Recommendation 10</w:t>
      </w:r>
      <w:bookmarkEnd w:id="284"/>
      <w:bookmarkEnd w:id="285"/>
    </w:p>
    <w:p w14:paraId="48E5FD73" w14:textId="77777777" w:rsidR="009A602C" w:rsidRPr="001714A8" w:rsidRDefault="009A602C" w:rsidP="009A602C">
      <w:pPr>
        <w:pStyle w:val="Bullet-green"/>
      </w:pPr>
      <w:r>
        <w:t>Change</w:t>
      </w:r>
      <w:r w:rsidRPr="001714A8">
        <w:t xml:space="preserve"> the proposed item descriptors to the following:</w:t>
      </w:r>
    </w:p>
    <w:p w14:paraId="3A39109A" w14:textId="77777777" w:rsidR="009A602C" w:rsidRPr="001714A8" w:rsidRDefault="009A602C" w:rsidP="009A602C">
      <w:pPr>
        <w:pStyle w:val="Bullet2"/>
      </w:pPr>
      <w:r w:rsidRPr="001714A8">
        <w:t>Item 42506: Eye, enucleation of, without insertion of implant (</w:t>
      </w:r>
      <w:proofErr w:type="spellStart"/>
      <w:r w:rsidRPr="001714A8">
        <w:t>anaes</w:t>
      </w:r>
      <w:proofErr w:type="spellEnd"/>
      <w:r w:rsidRPr="001714A8">
        <w:t>.) (assist.).</w:t>
      </w:r>
    </w:p>
    <w:p w14:paraId="3A3EA608" w14:textId="77777777" w:rsidR="009A602C" w:rsidRPr="001714A8" w:rsidRDefault="009A602C" w:rsidP="009A602C">
      <w:pPr>
        <w:pStyle w:val="Bullet2"/>
      </w:pPr>
      <w:r w:rsidRPr="001714A8">
        <w:t>Item 42509: Eye, enucleation of, with insertion of non-integrated implant, without muscle attachment.</w:t>
      </w:r>
    </w:p>
    <w:p w14:paraId="107462B1" w14:textId="572C8437" w:rsidR="009A602C" w:rsidRPr="001714A8" w:rsidRDefault="009A602C" w:rsidP="009A602C">
      <w:pPr>
        <w:pStyle w:val="Bullet2"/>
      </w:pPr>
      <w:r w:rsidRPr="001714A8">
        <w:t>Item 42510: Eye, enucleation of, with insertion of coralline or integrated implant, with attachment of at least the four rectus muscles (with or without oblique muscles) to the implant or its wrap</w:t>
      </w:r>
      <w:r w:rsidR="0027311D">
        <w:t xml:space="preserve"> o</w:t>
      </w:r>
      <w:r w:rsidR="00E52893">
        <w:t xml:space="preserve">r where </w:t>
      </w:r>
      <w:proofErr w:type="spellStart"/>
      <w:r w:rsidR="00E52893">
        <w:lastRenderedPageBreak/>
        <w:t>myoconjunctival</w:t>
      </w:r>
      <w:proofErr w:type="spellEnd"/>
      <w:r w:rsidR="00E52893">
        <w:t xml:space="preserve"> insertion of extraocular muscles are fashioned when another type of </w:t>
      </w:r>
      <w:r w:rsidR="0027311D">
        <w:t xml:space="preserve">integrated </w:t>
      </w:r>
      <w:r w:rsidR="00E52893">
        <w:t xml:space="preserve">implant is </w:t>
      </w:r>
      <w:r w:rsidR="0027311D">
        <w:t>used</w:t>
      </w:r>
      <w:r w:rsidR="00E52893">
        <w:t xml:space="preserve">. </w:t>
      </w:r>
    </w:p>
    <w:p w14:paraId="5BFAD559" w14:textId="77777777" w:rsidR="009A602C" w:rsidRPr="001714A8" w:rsidRDefault="009A602C" w:rsidP="009A602C">
      <w:pPr>
        <w:pStyle w:val="Bullet2"/>
      </w:pPr>
      <w:r w:rsidRPr="001714A8">
        <w:t>Item 42530: Orbit, exploration requiring removal of bone (orbitotomy) for access, with subsequent drainage or biopsy, including repair of any bone and/or soft tissue surgical defect, not being a service to which items 45590 or 45593 apply.</w:t>
      </w:r>
    </w:p>
    <w:p w14:paraId="40D7A840" w14:textId="77777777" w:rsidR="009A602C" w:rsidRPr="001714A8" w:rsidRDefault="009A602C" w:rsidP="009A602C">
      <w:pPr>
        <w:pStyle w:val="Bullet2"/>
      </w:pPr>
      <w:r w:rsidRPr="001714A8">
        <w:t>Item 42533: Orbit, exploration of, without requiring removal of bone (orbitotomy) for access, with drainage or biopsy, including repair of any bone and/or soft tissue surgical defect.</w:t>
      </w:r>
    </w:p>
    <w:p w14:paraId="2C5E6ED3" w14:textId="77777777" w:rsidR="009A602C" w:rsidRPr="001714A8" w:rsidRDefault="009A602C" w:rsidP="009A602C">
      <w:pPr>
        <w:pStyle w:val="Bullet2"/>
      </w:pPr>
      <w:r w:rsidRPr="001714A8">
        <w:t>Item 42536: Orbit, exenteration of, including repair of any bone and/or soft tissue surgical defect, with or without skin graft and with or without temporalis muscle transplant.</w:t>
      </w:r>
    </w:p>
    <w:p w14:paraId="3DCE6ABF" w14:textId="77777777" w:rsidR="009A602C" w:rsidRPr="001714A8" w:rsidRDefault="009A602C" w:rsidP="009A602C">
      <w:pPr>
        <w:pStyle w:val="Bullet2"/>
      </w:pPr>
      <w:r w:rsidRPr="001714A8">
        <w:t>Item 42539: Orbit, exploration of, requiring removal of bone (orbitotomy) for access, for removal of tumour or foreign body (not incisional biopsy), including repair of any bone and/or soft tissue surgical defect.</w:t>
      </w:r>
    </w:p>
    <w:p w14:paraId="32E1EFEA" w14:textId="77777777" w:rsidR="009A602C" w:rsidRPr="001714A8" w:rsidRDefault="009A602C" w:rsidP="009A602C">
      <w:pPr>
        <w:pStyle w:val="Bullet2"/>
      </w:pPr>
      <w:r w:rsidRPr="001714A8">
        <w:t>Item 42542: Orbit, exploration of, anterior aspect with removal of tumour or foreign body (not incisional biopsy), including repair of any bone and/or soft tissue surgical defect.</w:t>
      </w:r>
    </w:p>
    <w:p w14:paraId="20BDA546" w14:textId="77777777" w:rsidR="009A602C" w:rsidRPr="001714A8" w:rsidRDefault="009A602C" w:rsidP="009A602C">
      <w:pPr>
        <w:pStyle w:val="Bullet2"/>
      </w:pPr>
      <w:r w:rsidRPr="001714A8">
        <w:t xml:space="preserve">Item 42590: </w:t>
      </w:r>
      <w:proofErr w:type="spellStart"/>
      <w:r w:rsidRPr="001714A8">
        <w:t>Canthoplasty</w:t>
      </w:r>
      <w:proofErr w:type="spellEnd"/>
      <w:r w:rsidRPr="001714A8">
        <w:t>, medial or lateral, not to be used where cosmetic blepharoplasty is concurrently performed.</w:t>
      </w:r>
    </w:p>
    <w:p w14:paraId="267A29ED" w14:textId="77777777" w:rsidR="009A602C" w:rsidRPr="001714A8" w:rsidRDefault="009A602C" w:rsidP="009A602C">
      <w:pPr>
        <w:pStyle w:val="Bullet2"/>
      </w:pPr>
      <w:r w:rsidRPr="001714A8">
        <w:t>Item 42623: Dacryocystorhinostomy, external or endonasal approach, including any sinus or turbinate or uncinate operation performed by same surgeon for access, with or without silicone intubation stenting.</w:t>
      </w:r>
    </w:p>
    <w:p w14:paraId="37A7251E" w14:textId="77777777" w:rsidR="009A602C" w:rsidRPr="001714A8" w:rsidRDefault="009A602C" w:rsidP="009A602C">
      <w:pPr>
        <w:pStyle w:val="Bullet2"/>
      </w:pPr>
      <w:r w:rsidRPr="001714A8">
        <w:t>Item 42626: Dacryocystorhinostomy, where a previous dacryocystorhinostomy has been performed, external or endonasal approach, including any sinus or turbinate or uncinate operation performed by same surgeon for access, with or without silicone intubation/stenting.</w:t>
      </w:r>
    </w:p>
    <w:p w14:paraId="2247B655" w14:textId="77777777" w:rsidR="009A602C" w:rsidRPr="001714A8" w:rsidRDefault="009A602C" w:rsidP="009A602C">
      <w:pPr>
        <w:pStyle w:val="Bullet2"/>
      </w:pPr>
      <w:r w:rsidRPr="001714A8">
        <w:t>Item 42629: Dacryocystorhinostomy with placement of a permanent bypass tube from the conjunctival sac to the nasal cavity.</w:t>
      </w:r>
    </w:p>
    <w:p w14:paraId="342AAAD4" w14:textId="77777777" w:rsidR="009A602C" w:rsidRPr="001714A8" w:rsidRDefault="009A602C" w:rsidP="009A602C">
      <w:pPr>
        <w:pStyle w:val="Bullet2"/>
      </w:pPr>
      <w:r w:rsidRPr="001714A8">
        <w:t>Item 42863: Eyelid, upper or lower, recession of, by open operating on and direct release of the lid retractors, one eye.</w:t>
      </w:r>
    </w:p>
    <w:p w14:paraId="63E85996" w14:textId="77777777" w:rsidR="009A602C" w:rsidRPr="001714A8" w:rsidRDefault="009A602C" w:rsidP="009A602C">
      <w:pPr>
        <w:pStyle w:val="Bullet2"/>
      </w:pPr>
      <w:r w:rsidRPr="001714A8">
        <w:t xml:space="preserve">Item 42866: Entropion or tarsal ectropion, repair of, by tightening, shortening or repair of inferior retractors by open operation across the </w:t>
      </w:r>
      <w:r w:rsidRPr="001714A8">
        <w:lastRenderedPageBreak/>
        <w:t>entire width of the eyelid – not to be used for closure of the retractors in using conjunctival approaches for performing fat pad reduction or orbital surgery.</w:t>
      </w:r>
    </w:p>
    <w:p w14:paraId="63C1AFC6" w14:textId="4580D7C4" w:rsidR="009A602C" w:rsidRPr="001714A8" w:rsidRDefault="009A602C" w:rsidP="009A602C">
      <w:pPr>
        <w:pStyle w:val="Bullet2"/>
      </w:pPr>
      <w:r w:rsidRPr="001714A8">
        <w:t xml:space="preserve">Item 42872: Eyebrow, direct eyebrow </w:t>
      </w:r>
      <w:proofErr w:type="gramStart"/>
      <w:r w:rsidRPr="001714A8">
        <w:t>lift</w:t>
      </w:r>
      <w:proofErr w:type="gramEnd"/>
      <w:r w:rsidRPr="001714A8">
        <w:t xml:space="preserve"> in paretic states, or in involutional states where vision is obscured as evidenced by the resting of upper lid skin on the eyelashes in straight ahead gaze, documented photographically</w:t>
      </w:r>
      <w:r w:rsidR="0027311D">
        <w:t xml:space="preserve"> (</w:t>
      </w:r>
      <w:proofErr w:type="spellStart"/>
      <w:r w:rsidR="0027311D">
        <w:t>anaes</w:t>
      </w:r>
      <w:proofErr w:type="spellEnd"/>
      <w:r w:rsidR="0027311D">
        <w:t>.)</w:t>
      </w:r>
      <w:r w:rsidRPr="001714A8">
        <w:t>.</w:t>
      </w:r>
    </w:p>
    <w:p w14:paraId="1881286E" w14:textId="77777777" w:rsidR="009A602C" w:rsidRPr="000676D7" w:rsidRDefault="009A602C" w:rsidP="009A602C">
      <w:pPr>
        <w:pStyle w:val="Heading3"/>
      </w:pPr>
      <w:bookmarkStart w:id="286" w:name="_Toc536548168"/>
      <w:bookmarkStart w:id="287" w:name="_Toc35347271"/>
      <w:r w:rsidRPr="000676D7">
        <w:t>Rationale for Recommendation 10</w:t>
      </w:r>
      <w:bookmarkEnd w:id="286"/>
      <w:bookmarkEnd w:id="287"/>
    </w:p>
    <w:p w14:paraId="2DF8D436" w14:textId="77777777" w:rsidR="009A602C" w:rsidRPr="001714A8" w:rsidRDefault="009A602C" w:rsidP="009A602C">
      <w:pPr>
        <w:pStyle w:val="Body"/>
        <w:ind w:right="142"/>
        <w:rPr>
          <w:lang w:val="en-GB"/>
        </w:rPr>
      </w:pPr>
      <w:r>
        <w:rPr>
          <w:lang w:val="en-GB"/>
        </w:rPr>
        <w:t>This</w:t>
      </w:r>
      <w:r w:rsidRPr="001714A8">
        <w:rPr>
          <w:lang w:val="en-GB"/>
        </w:rPr>
        <w:t xml:space="preserve"> recommendation focuses </w:t>
      </w:r>
      <w:r>
        <w:rPr>
          <w:lang w:val="en-GB"/>
        </w:rPr>
        <w:t xml:space="preserve">on modernising the Schedule. It is based </w:t>
      </w:r>
      <w:r w:rsidRPr="001714A8">
        <w:rPr>
          <w:lang w:val="en-GB"/>
        </w:rPr>
        <w:t>on</w:t>
      </w:r>
      <w:r>
        <w:rPr>
          <w:lang w:val="en-GB"/>
        </w:rPr>
        <w:t xml:space="preserve"> the following.</w:t>
      </w:r>
    </w:p>
    <w:p w14:paraId="3DF1E3B3" w14:textId="77777777" w:rsidR="009A602C" w:rsidRPr="001714A8" w:rsidRDefault="009A602C" w:rsidP="009A602C">
      <w:pPr>
        <w:pStyle w:val="Bullet-green"/>
      </w:pPr>
      <w:r>
        <w:t>I</w:t>
      </w:r>
      <w:r w:rsidRPr="001714A8">
        <w:t>tems 42506, 42509 and 42510</w:t>
      </w:r>
      <w:r>
        <w:t>: Changes have been made to the item descriptors to r</w:t>
      </w:r>
      <w:r w:rsidRPr="001714A8">
        <w:t>eflect current practice and terminology, as well as</w:t>
      </w:r>
      <w:r>
        <w:t xml:space="preserve"> the</w:t>
      </w:r>
      <w:r w:rsidRPr="001714A8">
        <w:t xml:space="preserve"> relative complexity of each procedure. </w:t>
      </w:r>
    </w:p>
    <w:p w14:paraId="03B919D4" w14:textId="77777777" w:rsidR="009A602C" w:rsidRPr="001714A8" w:rsidRDefault="009A602C" w:rsidP="009A602C">
      <w:pPr>
        <w:pStyle w:val="Bullet-green"/>
      </w:pPr>
      <w:r>
        <w:t>I</w:t>
      </w:r>
      <w:r w:rsidRPr="001714A8">
        <w:t>tems 42530, 42533, 42536, 42539, 42542, 42623, 42626, 42629 and 42863</w:t>
      </w:r>
      <w:r>
        <w:t xml:space="preserve">: Changes have been made to the item descriptors to specify the level of complexity and avoid inappropriate co-claiming. </w:t>
      </w:r>
    </w:p>
    <w:p w14:paraId="6F209EA6" w14:textId="77777777" w:rsidR="009A602C" w:rsidRPr="001714A8" w:rsidRDefault="009A602C" w:rsidP="009A602C">
      <w:pPr>
        <w:pStyle w:val="Bullet-green"/>
      </w:pPr>
      <w:r>
        <w:t>I</w:t>
      </w:r>
      <w:r w:rsidRPr="001714A8">
        <w:t>tems 42590 and 42866</w:t>
      </w:r>
      <w:r>
        <w:t>: Item descriptors have been changed to avoid indication creep.</w:t>
      </w:r>
    </w:p>
    <w:p w14:paraId="51732ED4" w14:textId="77777777" w:rsidR="009A602C" w:rsidRPr="00F1034D" w:rsidRDefault="009A602C" w:rsidP="009A602C">
      <w:pPr>
        <w:pStyle w:val="Heading1"/>
        <w:rPr>
          <w:color w:val="01653F"/>
        </w:rPr>
      </w:pPr>
      <w:bookmarkStart w:id="288" w:name="_Toc524100419"/>
      <w:r w:rsidRPr="00F1034D">
        <w:rPr>
          <w:color w:val="01653F"/>
        </w:rPr>
        <w:lastRenderedPageBreak/>
        <w:t xml:space="preserve"> </w:t>
      </w:r>
      <w:bookmarkStart w:id="289" w:name="_Toc35347272"/>
      <w:r w:rsidRPr="00F1034D">
        <w:rPr>
          <w:color w:val="01653F"/>
        </w:rPr>
        <w:t>Co-claiming</w:t>
      </w:r>
      <w:bookmarkEnd w:id="288"/>
      <w:r w:rsidRPr="00F1034D">
        <w:rPr>
          <w:color w:val="01653F"/>
        </w:rPr>
        <w:t xml:space="preserve"> recommendations</w:t>
      </w:r>
      <w:bookmarkEnd w:id="289"/>
    </w:p>
    <w:p w14:paraId="4AD863D7" w14:textId="77777777" w:rsidR="009A602C" w:rsidRPr="001714A8" w:rsidRDefault="009A602C" w:rsidP="009A602C">
      <w:pPr>
        <w:pStyle w:val="Heading2"/>
      </w:pPr>
      <w:bookmarkStart w:id="290" w:name="_Toc524100420"/>
      <w:r>
        <w:rPr>
          <w:rStyle w:val="Hyperlink0"/>
        </w:rPr>
        <w:t xml:space="preserve"> </w:t>
      </w:r>
      <w:bookmarkStart w:id="291" w:name="_Toc536548170"/>
      <w:bookmarkStart w:id="292" w:name="_Toc35347273"/>
      <w:r w:rsidRPr="001714A8">
        <w:rPr>
          <w:rStyle w:val="Hyperlink0"/>
        </w:rPr>
        <w:t>Overview</w:t>
      </w:r>
      <w:bookmarkEnd w:id="290"/>
      <w:bookmarkEnd w:id="291"/>
      <w:bookmarkEnd w:id="292"/>
    </w:p>
    <w:p w14:paraId="6A7B0D5D" w14:textId="77777777" w:rsidR="009A602C" w:rsidRPr="001714A8" w:rsidRDefault="009A602C" w:rsidP="009A602C">
      <w:pPr>
        <w:pStyle w:val="Body"/>
        <w:rPr>
          <w:lang w:val="en-GB"/>
        </w:rPr>
      </w:pPr>
      <w:r w:rsidRPr="001714A8">
        <w:rPr>
          <w:lang w:val="en-GB"/>
        </w:rPr>
        <w:t xml:space="preserve">The Committee investigated co-claiming patterns for several items and </w:t>
      </w:r>
      <w:r>
        <w:rPr>
          <w:lang w:val="en-GB"/>
        </w:rPr>
        <w:t>identified inappropriate co-claiming for</w:t>
      </w:r>
      <w:r w:rsidRPr="001714A8">
        <w:rPr>
          <w:lang w:val="en-GB"/>
        </w:rPr>
        <w:t xml:space="preserve"> three items. </w:t>
      </w:r>
    </w:p>
    <w:p w14:paraId="0DBC95F6" w14:textId="77777777" w:rsidR="009A602C" w:rsidRPr="001714A8" w:rsidRDefault="009A602C" w:rsidP="009A602C">
      <w:pPr>
        <w:pStyle w:val="Heading2"/>
      </w:pPr>
      <w:bookmarkStart w:id="293" w:name="_Toc524100421"/>
      <w:r>
        <w:rPr>
          <w:rStyle w:val="Hyperlink0"/>
        </w:rPr>
        <w:t xml:space="preserve"> </w:t>
      </w:r>
      <w:bookmarkStart w:id="294" w:name="_Toc536548171"/>
      <w:bookmarkStart w:id="295" w:name="_Toc35347274"/>
      <w:r w:rsidRPr="001714A8">
        <w:rPr>
          <w:rStyle w:val="Hyperlink0"/>
        </w:rPr>
        <w:t>Co-claiming restrictions</w:t>
      </w:r>
      <w:bookmarkEnd w:id="293"/>
      <w:bookmarkEnd w:id="294"/>
      <w:bookmarkEnd w:id="295"/>
    </w:p>
    <w:p w14:paraId="16D1A46F" w14:textId="652F0293" w:rsidR="009A602C" w:rsidRPr="00315286" w:rsidRDefault="009A602C" w:rsidP="009A602C">
      <w:pPr>
        <w:pStyle w:val="Caption"/>
        <w:rPr>
          <w:rStyle w:val="None"/>
          <w:lang w:val="en-US"/>
        </w:rPr>
      </w:pPr>
      <w:bookmarkStart w:id="296" w:name="_Toc2170547"/>
      <w:r w:rsidRPr="00C656B4">
        <w:rPr>
          <w:lang w:val="en-US"/>
        </w:rPr>
        <w:t xml:space="preserve">Table </w:t>
      </w:r>
      <w:r>
        <w:fldChar w:fldCharType="begin"/>
      </w:r>
      <w:r w:rsidRPr="00C656B4">
        <w:rPr>
          <w:lang w:val="en-US"/>
        </w:rPr>
        <w:instrText xml:space="preserve"> SEQ Table \* ARABIC </w:instrText>
      </w:r>
      <w:r>
        <w:fldChar w:fldCharType="separate"/>
      </w:r>
      <w:r w:rsidR="001C6959">
        <w:rPr>
          <w:noProof/>
          <w:lang w:val="en-US"/>
        </w:rPr>
        <w:t>9</w:t>
      </w:r>
      <w:r>
        <w:fldChar w:fldCharType="end"/>
      </w:r>
      <w:r w:rsidRPr="00C656B4">
        <w:rPr>
          <w:lang w:val="en-US"/>
        </w:rPr>
        <w:t xml:space="preserve"> : </w:t>
      </w:r>
      <w:r w:rsidRPr="00315286">
        <w:rPr>
          <w:rStyle w:val="None"/>
          <w:lang w:val="en-US"/>
        </w:rPr>
        <w:t>Item introduction table for items 42632, 42647 and 42773</w:t>
      </w:r>
      <w:bookmarkEnd w:id="29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4F81BD"/>
        <w:tblLook w:val="04A0" w:firstRow="1" w:lastRow="0" w:firstColumn="1" w:lastColumn="0" w:noHBand="0" w:noVBand="1"/>
      </w:tblPr>
      <w:tblGrid>
        <w:gridCol w:w="760"/>
        <w:gridCol w:w="2999"/>
        <w:gridCol w:w="1053"/>
        <w:gridCol w:w="1551"/>
        <w:gridCol w:w="1050"/>
        <w:gridCol w:w="889"/>
      </w:tblGrid>
      <w:tr w:rsidR="009A602C" w:rsidRPr="000676D7" w14:paraId="7A81FB2F" w14:textId="77777777" w:rsidTr="004102C8">
        <w:trPr>
          <w:tblHeader/>
        </w:trPr>
        <w:tc>
          <w:tcPr>
            <w:tcW w:w="473" w:type="pct"/>
            <w:shd w:val="clear" w:color="auto" w:fill="01653F"/>
            <w:tcMar>
              <w:top w:w="80" w:type="dxa"/>
              <w:left w:w="80" w:type="dxa"/>
              <w:bottom w:w="80" w:type="dxa"/>
              <w:right w:w="80" w:type="dxa"/>
            </w:tcMar>
            <w:vAlign w:val="bottom"/>
          </w:tcPr>
          <w:p w14:paraId="039DF44B" w14:textId="77777777" w:rsidR="009A602C" w:rsidRPr="000676D7" w:rsidRDefault="009A602C" w:rsidP="004102C8">
            <w:pPr>
              <w:pStyle w:val="Tableheading-white"/>
              <w:spacing w:line="240" w:lineRule="auto"/>
              <w:rPr>
                <w:sz w:val="20"/>
                <w:szCs w:val="20"/>
              </w:rPr>
            </w:pPr>
            <w:r w:rsidRPr="000676D7">
              <w:rPr>
                <w:rStyle w:val="None"/>
                <w:sz w:val="20"/>
                <w:szCs w:val="20"/>
              </w:rPr>
              <w:t>Item</w:t>
            </w:r>
          </w:p>
        </w:tc>
        <w:tc>
          <w:tcPr>
            <w:tcW w:w="1821" w:type="pct"/>
            <w:shd w:val="clear" w:color="auto" w:fill="01653F"/>
            <w:tcMar>
              <w:top w:w="80" w:type="dxa"/>
              <w:left w:w="80" w:type="dxa"/>
              <w:bottom w:w="80" w:type="dxa"/>
              <w:right w:w="80" w:type="dxa"/>
            </w:tcMar>
            <w:vAlign w:val="bottom"/>
          </w:tcPr>
          <w:p w14:paraId="5DB19D0A" w14:textId="77777777" w:rsidR="009A602C" w:rsidRPr="000676D7" w:rsidRDefault="009A602C" w:rsidP="004102C8">
            <w:pPr>
              <w:pStyle w:val="Tableheading-white"/>
              <w:spacing w:line="240" w:lineRule="auto"/>
              <w:rPr>
                <w:sz w:val="20"/>
                <w:szCs w:val="20"/>
              </w:rPr>
            </w:pPr>
            <w:r w:rsidRPr="000676D7">
              <w:rPr>
                <w:rStyle w:val="None"/>
                <w:sz w:val="20"/>
                <w:szCs w:val="20"/>
              </w:rPr>
              <w:t>Descriptor</w:t>
            </w:r>
          </w:p>
        </w:tc>
        <w:tc>
          <w:tcPr>
            <w:tcW w:w="649" w:type="pct"/>
            <w:shd w:val="clear" w:color="auto" w:fill="01653F"/>
            <w:tcMar>
              <w:top w:w="80" w:type="dxa"/>
              <w:left w:w="80" w:type="dxa"/>
              <w:bottom w:w="80" w:type="dxa"/>
              <w:right w:w="80" w:type="dxa"/>
            </w:tcMar>
            <w:vAlign w:val="bottom"/>
          </w:tcPr>
          <w:p w14:paraId="01E26087" w14:textId="77777777" w:rsidR="009A602C" w:rsidRPr="000676D7" w:rsidRDefault="009A602C" w:rsidP="004102C8">
            <w:pPr>
              <w:pStyle w:val="Tableheading-white"/>
              <w:spacing w:line="240" w:lineRule="auto"/>
              <w:rPr>
                <w:sz w:val="20"/>
                <w:szCs w:val="20"/>
              </w:rPr>
            </w:pPr>
            <w:r w:rsidRPr="000676D7">
              <w:rPr>
                <w:rStyle w:val="None"/>
                <w:sz w:val="20"/>
                <w:szCs w:val="20"/>
              </w:rPr>
              <w:t>Schedule fee</w:t>
            </w:r>
          </w:p>
        </w:tc>
        <w:tc>
          <w:tcPr>
            <w:tcW w:w="949" w:type="pct"/>
            <w:shd w:val="clear" w:color="auto" w:fill="01653F"/>
            <w:tcMar>
              <w:top w:w="80" w:type="dxa"/>
              <w:left w:w="80" w:type="dxa"/>
              <w:bottom w:w="80" w:type="dxa"/>
              <w:right w:w="80" w:type="dxa"/>
            </w:tcMar>
            <w:vAlign w:val="bottom"/>
          </w:tcPr>
          <w:p w14:paraId="649DD0FD" w14:textId="77777777" w:rsidR="009A602C" w:rsidRPr="000676D7" w:rsidRDefault="009A602C" w:rsidP="004102C8">
            <w:pPr>
              <w:pStyle w:val="Tableheading-white"/>
              <w:spacing w:line="240" w:lineRule="auto"/>
              <w:rPr>
                <w:sz w:val="20"/>
                <w:szCs w:val="20"/>
              </w:rPr>
            </w:pPr>
            <w:r w:rsidRPr="000676D7">
              <w:rPr>
                <w:rStyle w:val="None"/>
                <w:sz w:val="20"/>
                <w:szCs w:val="20"/>
              </w:rPr>
              <w:t>Benefits FY2016/17</w:t>
            </w:r>
          </w:p>
        </w:tc>
        <w:tc>
          <w:tcPr>
            <w:tcW w:w="558" w:type="pct"/>
            <w:shd w:val="clear" w:color="auto" w:fill="01653F"/>
            <w:tcMar>
              <w:top w:w="80" w:type="dxa"/>
              <w:left w:w="80" w:type="dxa"/>
              <w:bottom w:w="80" w:type="dxa"/>
              <w:right w:w="80" w:type="dxa"/>
            </w:tcMar>
            <w:vAlign w:val="bottom"/>
          </w:tcPr>
          <w:p w14:paraId="156771BA" w14:textId="77777777" w:rsidR="009A602C" w:rsidRPr="000676D7" w:rsidRDefault="009A602C" w:rsidP="004102C8">
            <w:pPr>
              <w:pStyle w:val="Tableheading-white"/>
              <w:spacing w:line="240" w:lineRule="auto"/>
              <w:rPr>
                <w:sz w:val="20"/>
                <w:szCs w:val="20"/>
              </w:rPr>
            </w:pPr>
            <w:r w:rsidRPr="000676D7">
              <w:rPr>
                <w:rStyle w:val="None"/>
                <w:sz w:val="20"/>
                <w:szCs w:val="20"/>
              </w:rPr>
              <w:t>Services FY2016/17</w:t>
            </w:r>
          </w:p>
        </w:tc>
        <w:tc>
          <w:tcPr>
            <w:tcW w:w="551" w:type="pct"/>
            <w:shd w:val="clear" w:color="auto" w:fill="01653F"/>
            <w:tcMar>
              <w:top w:w="80" w:type="dxa"/>
              <w:left w:w="80" w:type="dxa"/>
              <w:bottom w:w="80" w:type="dxa"/>
              <w:right w:w="80" w:type="dxa"/>
            </w:tcMar>
            <w:vAlign w:val="bottom"/>
          </w:tcPr>
          <w:p w14:paraId="3C82A1B2" w14:textId="77777777" w:rsidR="009A602C" w:rsidRPr="000676D7" w:rsidRDefault="009A602C" w:rsidP="004102C8">
            <w:pPr>
              <w:pStyle w:val="Tableheading-white"/>
              <w:spacing w:line="240" w:lineRule="auto"/>
              <w:rPr>
                <w:sz w:val="20"/>
                <w:szCs w:val="20"/>
              </w:rPr>
            </w:pPr>
            <w:r w:rsidRPr="000676D7">
              <w:rPr>
                <w:rStyle w:val="None"/>
                <w:sz w:val="20"/>
                <w:szCs w:val="20"/>
              </w:rPr>
              <w:t>Services 5-year service change % (CAGR)</w:t>
            </w:r>
          </w:p>
        </w:tc>
      </w:tr>
      <w:tr w:rsidR="009A602C" w:rsidRPr="000676D7" w14:paraId="2BC98E6E" w14:textId="77777777" w:rsidTr="004102C8">
        <w:tblPrEx>
          <w:shd w:val="clear" w:color="auto" w:fill="CED7E7"/>
        </w:tblPrEx>
        <w:tc>
          <w:tcPr>
            <w:tcW w:w="473" w:type="pct"/>
            <w:shd w:val="clear" w:color="auto" w:fill="auto"/>
            <w:tcMar>
              <w:top w:w="80" w:type="dxa"/>
              <w:left w:w="80" w:type="dxa"/>
              <w:bottom w:w="80" w:type="dxa"/>
              <w:right w:w="80" w:type="dxa"/>
            </w:tcMar>
          </w:tcPr>
          <w:p w14:paraId="678E2BE3"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42632</w:t>
            </w:r>
          </w:p>
        </w:tc>
        <w:tc>
          <w:tcPr>
            <w:tcW w:w="1821" w:type="pct"/>
            <w:shd w:val="clear" w:color="auto" w:fill="auto"/>
            <w:tcMar>
              <w:top w:w="80" w:type="dxa"/>
              <w:left w:w="80" w:type="dxa"/>
              <w:bottom w:w="80" w:type="dxa"/>
              <w:right w:w="80" w:type="dxa"/>
            </w:tcMar>
          </w:tcPr>
          <w:p w14:paraId="5436A05F"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Conjunctival peritomy or repair of corneal laceration by conjunctival flap (</w:t>
            </w:r>
            <w:proofErr w:type="spellStart"/>
            <w:r w:rsidRPr="000676D7">
              <w:rPr>
                <w:rStyle w:val="None"/>
                <w:sz w:val="20"/>
                <w:szCs w:val="20"/>
                <w:lang w:val="en-GB"/>
              </w:rPr>
              <w:t>Anaes</w:t>
            </w:r>
            <w:proofErr w:type="spellEnd"/>
            <w:r w:rsidRPr="000676D7">
              <w:rPr>
                <w:rStyle w:val="None"/>
                <w:sz w:val="20"/>
                <w:szCs w:val="20"/>
                <w:lang w:val="en-GB"/>
              </w:rPr>
              <w:t>.)</w:t>
            </w:r>
          </w:p>
        </w:tc>
        <w:tc>
          <w:tcPr>
            <w:tcW w:w="649" w:type="pct"/>
            <w:shd w:val="clear" w:color="auto" w:fill="auto"/>
            <w:tcMar>
              <w:top w:w="80" w:type="dxa"/>
              <w:left w:w="80" w:type="dxa"/>
              <w:bottom w:w="80" w:type="dxa"/>
              <w:right w:w="80" w:type="dxa"/>
            </w:tcMar>
          </w:tcPr>
          <w:p w14:paraId="4EB32E7C"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$117.35</w:t>
            </w:r>
          </w:p>
        </w:tc>
        <w:tc>
          <w:tcPr>
            <w:tcW w:w="949" w:type="pct"/>
            <w:shd w:val="clear" w:color="auto" w:fill="auto"/>
            <w:tcMar>
              <w:top w:w="80" w:type="dxa"/>
              <w:left w:w="80" w:type="dxa"/>
              <w:bottom w:w="80" w:type="dxa"/>
              <w:right w:w="80" w:type="dxa"/>
            </w:tcMar>
          </w:tcPr>
          <w:p w14:paraId="4B0B19F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$8,247</w:t>
            </w:r>
          </w:p>
        </w:tc>
        <w:tc>
          <w:tcPr>
            <w:tcW w:w="558" w:type="pct"/>
            <w:shd w:val="clear" w:color="auto" w:fill="auto"/>
            <w:tcMar>
              <w:top w:w="80" w:type="dxa"/>
              <w:left w:w="80" w:type="dxa"/>
              <w:bottom w:w="80" w:type="dxa"/>
              <w:right w:w="80" w:type="dxa"/>
            </w:tcMar>
          </w:tcPr>
          <w:p w14:paraId="03EF3D06"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113 </w:t>
            </w:r>
          </w:p>
        </w:tc>
        <w:tc>
          <w:tcPr>
            <w:tcW w:w="551" w:type="pct"/>
            <w:shd w:val="clear" w:color="auto" w:fill="auto"/>
            <w:tcMar>
              <w:top w:w="80" w:type="dxa"/>
              <w:left w:w="80" w:type="dxa"/>
              <w:bottom w:w="80" w:type="dxa"/>
              <w:right w:w="80" w:type="dxa"/>
            </w:tcMar>
          </w:tcPr>
          <w:p w14:paraId="0C04B612"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-11.32%</w:t>
            </w:r>
          </w:p>
        </w:tc>
      </w:tr>
      <w:tr w:rsidR="009A602C" w:rsidRPr="000676D7" w14:paraId="0C0A3211" w14:textId="77777777" w:rsidTr="004102C8">
        <w:tblPrEx>
          <w:shd w:val="clear" w:color="auto" w:fill="CED7E7"/>
        </w:tblPrEx>
        <w:tc>
          <w:tcPr>
            <w:tcW w:w="473" w:type="pct"/>
            <w:shd w:val="clear" w:color="auto" w:fill="auto"/>
            <w:tcMar>
              <w:top w:w="80" w:type="dxa"/>
              <w:left w:w="80" w:type="dxa"/>
              <w:bottom w:w="80" w:type="dxa"/>
              <w:right w:w="80" w:type="dxa"/>
            </w:tcMar>
          </w:tcPr>
          <w:p w14:paraId="6E69ED25"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42647</w:t>
            </w:r>
          </w:p>
        </w:tc>
        <w:tc>
          <w:tcPr>
            <w:tcW w:w="1821" w:type="pct"/>
            <w:shd w:val="clear" w:color="auto" w:fill="auto"/>
            <w:tcMar>
              <w:top w:w="80" w:type="dxa"/>
              <w:left w:w="80" w:type="dxa"/>
              <w:bottom w:w="80" w:type="dxa"/>
              <w:right w:w="80" w:type="dxa"/>
            </w:tcMar>
          </w:tcPr>
          <w:p w14:paraId="70BBA6D0"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Corneal scars, removal of, by partial keratectomy, not being a service associated with a service to which item 42686 applies (</w:t>
            </w:r>
            <w:proofErr w:type="spellStart"/>
            <w:r w:rsidRPr="000676D7">
              <w:rPr>
                <w:rStyle w:val="None"/>
                <w:sz w:val="20"/>
                <w:szCs w:val="20"/>
                <w:lang w:val="en-GB"/>
              </w:rPr>
              <w:t>Anaes</w:t>
            </w:r>
            <w:proofErr w:type="spellEnd"/>
            <w:r w:rsidRPr="000676D7">
              <w:rPr>
                <w:rStyle w:val="None"/>
                <w:sz w:val="20"/>
                <w:szCs w:val="20"/>
                <w:lang w:val="en-GB"/>
              </w:rPr>
              <w:t>.)</w:t>
            </w:r>
          </w:p>
        </w:tc>
        <w:tc>
          <w:tcPr>
            <w:tcW w:w="649" w:type="pct"/>
            <w:shd w:val="clear" w:color="auto" w:fill="auto"/>
            <w:tcMar>
              <w:top w:w="80" w:type="dxa"/>
              <w:left w:w="80" w:type="dxa"/>
              <w:bottom w:w="80" w:type="dxa"/>
              <w:right w:w="80" w:type="dxa"/>
            </w:tcMar>
          </w:tcPr>
          <w:p w14:paraId="69FB7BDC"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$204.60</w:t>
            </w:r>
          </w:p>
        </w:tc>
        <w:tc>
          <w:tcPr>
            <w:tcW w:w="949" w:type="pct"/>
            <w:shd w:val="clear" w:color="auto" w:fill="auto"/>
            <w:tcMar>
              <w:top w:w="80" w:type="dxa"/>
              <w:left w:w="80" w:type="dxa"/>
              <w:bottom w:w="80" w:type="dxa"/>
              <w:right w:w="80" w:type="dxa"/>
            </w:tcMar>
          </w:tcPr>
          <w:p w14:paraId="6FCBA254"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$65,435</w:t>
            </w:r>
          </w:p>
        </w:tc>
        <w:tc>
          <w:tcPr>
            <w:tcW w:w="558" w:type="pct"/>
            <w:shd w:val="clear" w:color="auto" w:fill="auto"/>
            <w:tcMar>
              <w:top w:w="80" w:type="dxa"/>
              <w:left w:w="80" w:type="dxa"/>
              <w:bottom w:w="80" w:type="dxa"/>
              <w:right w:w="80" w:type="dxa"/>
            </w:tcMar>
          </w:tcPr>
          <w:p w14:paraId="721F5092"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437 </w:t>
            </w:r>
          </w:p>
        </w:tc>
        <w:tc>
          <w:tcPr>
            <w:tcW w:w="551" w:type="pct"/>
            <w:shd w:val="clear" w:color="auto" w:fill="auto"/>
            <w:tcMar>
              <w:top w:w="80" w:type="dxa"/>
              <w:left w:w="80" w:type="dxa"/>
              <w:bottom w:w="80" w:type="dxa"/>
              <w:right w:w="80" w:type="dxa"/>
            </w:tcMar>
          </w:tcPr>
          <w:p w14:paraId="3662EC26"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3.12%</w:t>
            </w:r>
          </w:p>
        </w:tc>
      </w:tr>
      <w:tr w:rsidR="009A602C" w:rsidRPr="000676D7" w14:paraId="5AAE96A8" w14:textId="77777777" w:rsidTr="004102C8">
        <w:tblPrEx>
          <w:shd w:val="clear" w:color="auto" w:fill="CED7E7"/>
        </w:tblPrEx>
        <w:tc>
          <w:tcPr>
            <w:tcW w:w="473" w:type="pct"/>
            <w:shd w:val="clear" w:color="auto" w:fill="auto"/>
            <w:tcMar>
              <w:top w:w="80" w:type="dxa"/>
              <w:left w:w="80" w:type="dxa"/>
              <w:bottom w:w="80" w:type="dxa"/>
              <w:right w:w="80" w:type="dxa"/>
            </w:tcMar>
          </w:tcPr>
          <w:p w14:paraId="7E2F7BDB"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42773</w:t>
            </w:r>
          </w:p>
        </w:tc>
        <w:tc>
          <w:tcPr>
            <w:tcW w:w="1821" w:type="pct"/>
            <w:shd w:val="clear" w:color="auto" w:fill="auto"/>
            <w:tcMar>
              <w:top w:w="80" w:type="dxa"/>
              <w:left w:w="80" w:type="dxa"/>
              <w:bottom w:w="80" w:type="dxa"/>
              <w:right w:w="80" w:type="dxa"/>
            </w:tcMar>
          </w:tcPr>
          <w:p w14:paraId="7EAF7DE9"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Detached retina, pneumatic retinopexy for, not being a service associated with a service to which item 42776 applies (</w:t>
            </w:r>
            <w:proofErr w:type="spellStart"/>
            <w:r w:rsidRPr="000676D7">
              <w:rPr>
                <w:rStyle w:val="None"/>
                <w:sz w:val="20"/>
                <w:szCs w:val="20"/>
                <w:lang w:val="en-GB"/>
              </w:rPr>
              <w:t>Anaes</w:t>
            </w:r>
            <w:proofErr w:type="spellEnd"/>
            <w:r w:rsidRPr="000676D7">
              <w:rPr>
                <w:rStyle w:val="None"/>
                <w:sz w:val="20"/>
                <w:szCs w:val="20"/>
                <w:lang w:val="en-GB"/>
              </w:rPr>
              <w:t>.) (Assist.)</w:t>
            </w:r>
          </w:p>
        </w:tc>
        <w:tc>
          <w:tcPr>
            <w:tcW w:w="649" w:type="pct"/>
            <w:shd w:val="clear" w:color="auto" w:fill="auto"/>
            <w:tcMar>
              <w:top w:w="80" w:type="dxa"/>
              <w:left w:w="80" w:type="dxa"/>
              <w:bottom w:w="80" w:type="dxa"/>
              <w:right w:w="80" w:type="dxa"/>
            </w:tcMar>
          </w:tcPr>
          <w:p w14:paraId="2D7E4F81"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$902.30 </w:t>
            </w:r>
          </w:p>
        </w:tc>
        <w:tc>
          <w:tcPr>
            <w:tcW w:w="949" w:type="pct"/>
            <w:shd w:val="clear" w:color="auto" w:fill="auto"/>
            <w:tcMar>
              <w:top w:w="80" w:type="dxa"/>
              <w:left w:w="80" w:type="dxa"/>
              <w:bottom w:w="80" w:type="dxa"/>
              <w:right w:w="80" w:type="dxa"/>
            </w:tcMar>
          </w:tcPr>
          <w:p w14:paraId="61BCC514"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$608,509 </w:t>
            </w:r>
          </w:p>
        </w:tc>
        <w:tc>
          <w:tcPr>
            <w:tcW w:w="558" w:type="pct"/>
            <w:shd w:val="clear" w:color="auto" w:fill="auto"/>
            <w:tcMar>
              <w:top w:w="80" w:type="dxa"/>
              <w:left w:w="80" w:type="dxa"/>
              <w:bottom w:w="80" w:type="dxa"/>
              <w:right w:w="80" w:type="dxa"/>
            </w:tcMar>
          </w:tcPr>
          <w:p w14:paraId="21E17978" w14:textId="77777777" w:rsidR="009A602C" w:rsidRPr="000676D7" w:rsidRDefault="009A602C" w:rsidP="004102C8">
            <w:pPr>
              <w:pStyle w:val="Body"/>
              <w:spacing w:before="0" w:after="0" w:line="240" w:lineRule="auto"/>
              <w:rPr>
                <w:sz w:val="20"/>
                <w:szCs w:val="20"/>
                <w:lang w:val="en-GB"/>
              </w:rPr>
            </w:pPr>
            <w:r w:rsidRPr="000676D7">
              <w:rPr>
                <w:rStyle w:val="None"/>
                <w:sz w:val="20"/>
                <w:szCs w:val="20"/>
                <w:lang w:val="en-GB"/>
              </w:rPr>
              <w:t xml:space="preserve"> 1,666 </w:t>
            </w:r>
          </w:p>
        </w:tc>
        <w:tc>
          <w:tcPr>
            <w:tcW w:w="551" w:type="pct"/>
            <w:shd w:val="clear" w:color="auto" w:fill="auto"/>
            <w:tcMar>
              <w:top w:w="80" w:type="dxa"/>
              <w:left w:w="80" w:type="dxa"/>
              <w:bottom w:w="80" w:type="dxa"/>
              <w:right w:w="80" w:type="dxa"/>
            </w:tcMar>
          </w:tcPr>
          <w:p w14:paraId="61FDA4F8" w14:textId="77777777" w:rsidR="009A602C" w:rsidRPr="000676D7" w:rsidRDefault="009A602C" w:rsidP="004102C8">
            <w:pPr>
              <w:pStyle w:val="Body"/>
              <w:spacing w:before="0" w:after="0" w:line="240" w:lineRule="auto"/>
              <w:jc w:val="right"/>
              <w:rPr>
                <w:sz w:val="20"/>
                <w:szCs w:val="20"/>
                <w:lang w:val="en-GB"/>
              </w:rPr>
            </w:pPr>
            <w:r w:rsidRPr="000676D7">
              <w:rPr>
                <w:rStyle w:val="None"/>
                <w:sz w:val="20"/>
                <w:szCs w:val="20"/>
                <w:lang w:val="en-GB"/>
              </w:rPr>
              <w:t>-14.4%</w:t>
            </w:r>
          </w:p>
        </w:tc>
      </w:tr>
    </w:tbl>
    <w:p w14:paraId="76D69FB1" w14:textId="77777777" w:rsidR="009A602C" w:rsidRPr="006C0792" w:rsidRDefault="009A602C" w:rsidP="009A602C">
      <w:pPr>
        <w:pStyle w:val="Heading3"/>
      </w:pPr>
      <w:bookmarkStart w:id="297" w:name="_Toc536548172"/>
      <w:bookmarkStart w:id="298" w:name="_Toc35347275"/>
      <w:r w:rsidRPr="006C0792">
        <w:t>Recommendation 11</w:t>
      </w:r>
      <w:bookmarkEnd w:id="297"/>
      <w:bookmarkEnd w:id="298"/>
    </w:p>
    <w:p w14:paraId="22B94263" w14:textId="77777777" w:rsidR="009A602C" w:rsidRPr="001714A8" w:rsidRDefault="009A602C" w:rsidP="009A602C">
      <w:pPr>
        <w:pStyle w:val="ListParagraph"/>
        <w:numPr>
          <w:ilvl w:val="0"/>
          <w:numId w:val="115"/>
        </w:numPr>
        <w:pBdr>
          <w:top w:val="nil"/>
          <w:left w:val="nil"/>
          <w:bottom w:val="nil"/>
          <w:right w:val="nil"/>
          <w:between w:val="nil"/>
          <w:bar w:val="nil"/>
        </w:pBdr>
        <w:spacing w:before="120" w:after="60" w:line="240" w:lineRule="auto"/>
        <w:ind w:left="357" w:hanging="357"/>
        <w:contextualSpacing w:val="0"/>
      </w:pPr>
      <w:r>
        <w:t xml:space="preserve">Items 42632, </w:t>
      </w:r>
      <w:r w:rsidRPr="001714A8">
        <w:t>42647</w:t>
      </w:r>
      <w:r>
        <w:t xml:space="preserve"> and </w:t>
      </w:r>
      <w:r w:rsidRPr="001714A8">
        <w:t>42773</w:t>
      </w:r>
      <w:r>
        <w:t xml:space="preserve">: Change the item descriptors to restrict co-claiming. </w:t>
      </w:r>
    </w:p>
    <w:p w14:paraId="383497D2" w14:textId="77777777" w:rsidR="009A602C" w:rsidRDefault="009A602C" w:rsidP="009A602C">
      <w:pPr>
        <w:pStyle w:val="Bullet2"/>
      </w:pPr>
      <w:r>
        <w:t>Item 42632: Exclude</w:t>
      </w:r>
      <w:r w:rsidRPr="001714A8">
        <w:t xml:space="preserve"> co-claiming with item 42686. </w:t>
      </w:r>
      <w:r>
        <w:t>The proposed item descriptor is as follows:</w:t>
      </w:r>
      <w:r w:rsidRPr="001714A8">
        <w:t xml:space="preserve"> </w:t>
      </w:r>
    </w:p>
    <w:p w14:paraId="54B1348C" w14:textId="77777777" w:rsidR="009A602C" w:rsidRPr="0033034B" w:rsidRDefault="009A602C" w:rsidP="009A602C">
      <w:pPr>
        <w:pStyle w:val="Dash3"/>
      </w:pPr>
      <w:r w:rsidRPr="0033034B">
        <w:t>Conjunctival peritomy or repair of corneal laceration by conjunctival flap, not being a service associated with a service to which item 42686 applies (</w:t>
      </w:r>
      <w:proofErr w:type="spellStart"/>
      <w:r w:rsidRPr="0033034B">
        <w:t>Anaes</w:t>
      </w:r>
      <w:proofErr w:type="spellEnd"/>
      <w:r w:rsidRPr="0033034B">
        <w:t>.)</w:t>
      </w:r>
    </w:p>
    <w:p w14:paraId="2D39AFDC" w14:textId="77777777" w:rsidR="009A602C" w:rsidRDefault="009A602C" w:rsidP="009A602C">
      <w:pPr>
        <w:pStyle w:val="Bullet2"/>
      </w:pPr>
      <w:r>
        <w:t xml:space="preserve">Item </w:t>
      </w:r>
      <w:r w:rsidRPr="001714A8">
        <w:t>42647</w:t>
      </w:r>
      <w:r>
        <w:t xml:space="preserve">: </w:t>
      </w:r>
      <w:r w:rsidRPr="001714A8">
        <w:t xml:space="preserve">Exclude co-claiming with </w:t>
      </w:r>
      <w:r>
        <w:t xml:space="preserve">item </w:t>
      </w:r>
      <w:r w:rsidRPr="001714A8">
        <w:t xml:space="preserve">42650. </w:t>
      </w:r>
      <w:r>
        <w:t>The proposed item descriptor is as follows</w:t>
      </w:r>
      <w:r w:rsidRPr="001714A8">
        <w:t xml:space="preserve">: </w:t>
      </w:r>
    </w:p>
    <w:p w14:paraId="191C4BF6" w14:textId="77777777" w:rsidR="009A602C" w:rsidRPr="0033034B" w:rsidRDefault="009A602C" w:rsidP="009A602C">
      <w:pPr>
        <w:pStyle w:val="Dash3"/>
      </w:pPr>
      <w:r w:rsidRPr="0033034B">
        <w:lastRenderedPageBreak/>
        <w:t>Corneal scars, removal of, by partial keratectomy, not being a service associated with a service to which item 42686 or 42650 applies (</w:t>
      </w:r>
      <w:proofErr w:type="spellStart"/>
      <w:r w:rsidRPr="0033034B">
        <w:t>Anaes</w:t>
      </w:r>
      <w:proofErr w:type="spellEnd"/>
      <w:r w:rsidRPr="0033034B">
        <w:t>.)</w:t>
      </w:r>
    </w:p>
    <w:p w14:paraId="6D9AE951" w14:textId="77777777" w:rsidR="009A602C" w:rsidRDefault="009A602C" w:rsidP="009A602C">
      <w:pPr>
        <w:pStyle w:val="Bullet2"/>
      </w:pPr>
      <w:r>
        <w:t xml:space="preserve">Item </w:t>
      </w:r>
      <w:r w:rsidRPr="001714A8">
        <w:t>42773</w:t>
      </w:r>
      <w:r>
        <w:t xml:space="preserve">: </w:t>
      </w:r>
      <w:r w:rsidRPr="001714A8">
        <w:t xml:space="preserve">Exclude co-claiming with any item. </w:t>
      </w:r>
      <w:r>
        <w:t>The proposed item descriptor is as follows:</w:t>
      </w:r>
      <w:r w:rsidRPr="001714A8">
        <w:t xml:space="preserve"> </w:t>
      </w:r>
    </w:p>
    <w:p w14:paraId="6AF5B72B" w14:textId="77777777" w:rsidR="009A602C" w:rsidRPr="0033034B" w:rsidRDefault="009A602C" w:rsidP="009A602C">
      <w:pPr>
        <w:pStyle w:val="Dash3"/>
      </w:pPr>
      <w:r w:rsidRPr="0033034B">
        <w:t>Detached retina, pneumatic retinopexy for, as an independent procedure (</w:t>
      </w:r>
      <w:proofErr w:type="spellStart"/>
      <w:r w:rsidRPr="0033034B">
        <w:t>Anaes</w:t>
      </w:r>
      <w:proofErr w:type="spellEnd"/>
      <w:r w:rsidRPr="0033034B">
        <w:t>.) (Assist.)</w:t>
      </w:r>
    </w:p>
    <w:p w14:paraId="6F80D871" w14:textId="77777777" w:rsidR="009A602C" w:rsidRPr="006C0792" w:rsidRDefault="009A602C" w:rsidP="009A602C">
      <w:pPr>
        <w:pStyle w:val="Heading3"/>
      </w:pPr>
      <w:bookmarkStart w:id="299" w:name="_Toc536548173"/>
      <w:bookmarkStart w:id="300" w:name="_Toc35347276"/>
      <w:r w:rsidRPr="006C0792">
        <w:t>Rationale for Recommendation 11</w:t>
      </w:r>
      <w:bookmarkEnd w:id="299"/>
      <w:bookmarkEnd w:id="300"/>
    </w:p>
    <w:p w14:paraId="3CFC4F94" w14:textId="77777777" w:rsidR="009A602C" w:rsidRPr="001714A8" w:rsidRDefault="009A602C" w:rsidP="009A602C">
      <w:pPr>
        <w:pStyle w:val="Body"/>
        <w:ind w:right="142"/>
        <w:rPr>
          <w:lang w:val="en-GB"/>
        </w:rPr>
      </w:pPr>
      <w:r w:rsidRPr="001714A8">
        <w:rPr>
          <w:lang w:val="en-GB"/>
        </w:rPr>
        <w:t>This recommendation prevents inappropriate co-claiming. It is based on the following.</w:t>
      </w:r>
    </w:p>
    <w:p w14:paraId="3685A33A" w14:textId="77777777" w:rsidR="009A602C" w:rsidRPr="001714A8" w:rsidRDefault="009A602C" w:rsidP="009A602C">
      <w:pPr>
        <w:pStyle w:val="Bullet-green"/>
      </w:pPr>
      <w:r w:rsidRPr="001714A8">
        <w:t xml:space="preserve">Item 42632 </w:t>
      </w:r>
    </w:p>
    <w:p w14:paraId="3FD3C655" w14:textId="77777777" w:rsidR="009A602C" w:rsidRPr="001714A8" w:rsidRDefault="009A602C" w:rsidP="009A602C">
      <w:pPr>
        <w:pStyle w:val="Bullet2"/>
      </w:pPr>
      <w:r w:rsidRPr="001714A8">
        <w:rPr>
          <w:rStyle w:val="Hyperlink0"/>
        </w:rPr>
        <w:t>MBS data indicated</w:t>
      </w:r>
      <w:r>
        <w:rPr>
          <w:rStyle w:val="Hyperlink0"/>
        </w:rPr>
        <w:t xml:space="preserve"> that</w:t>
      </w:r>
      <w:r w:rsidRPr="001714A8">
        <w:rPr>
          <w:rStyle w:val="Hyperlink0"/>
        </w:rPr>
        <w:t xml:space="preserve"> this procedure was </w:t>
      </w:r>
      <w:r w:rsidRPr="001714A8">
        <w:rPr>
          <w:rStyle w:val="None"/>
        </w:rPr>
        <w:t xml:space="preserve">claimed with 10 different item numbers </w:t>
      </w:r>
      <w:r>
        <w:rPr>
          <w:rStyle w:val="None"/>
        </w:rPr>
        <w:t>between</w:t>
      </w:r>
      <w:r w:rsidRPr="001714A8">
        <w:rPr>
          <w:rStyle w:val="None"/>
        </w:rPr>
        <w:t xml:space="preserve"> March 1 </w:t>
      </w:r>
      <w:r>
        <w:rPr>
          <w:rStyle w:val="None"/>
        </w:rPr>
        <w:t>and</w:t>
      </w:r>
      <w:r w:rsidRPr="001714A8">
        <w:rPr>
          <w:rStyle w:val="None"/>
        </w:rPr>
        <w:t xml:space="preserve"> July </w:t>
      </w:r>
      <w:proofErr w:type="gramStart"/>
      <w:r w:rsidRPr="001714A8">
        <w:rPr>
          <w:rStyle w:val="None"/>
        </w:rPr>
        <w:t>1</w:t>
      </w:r>
      <w:proofErr w:type="gramEnd"/>
      <w:r>
        <w:rPr>
          <w:rStyle w:val="None"/>
        </w:rPr>
        <w:t xml:space="preserve"> </w:t>
      </w:r>
      <w:r w:rsidRPr="001714A8">
        <w:rPr>
          <w:rStyle w:val="None"/>
        </w:rPr>
        <w:t xml:space="preserve">2017. </w:t>
      </w:r>
      <w:r>
        <w:rPr>
          <w:rStyle w:val="None"/>
        </w:rPr>
        <w:t>It was primarily</w:t>
      </w:r>
      <w:r w:rsidRPr="001714A8">
        <w:rPr>
          <w:rStyle w:val="None"/>
        </w:rPr>
        <w:t xml:space="preserve"> co-claimed with item 42686 </w:t>
      </w:r>
      <w:r>
        <w:rPr>
          <w:rStyle w:val="None"/>
        </w:rPr>
        <w:t>(p</w:t>
      </w:r>
      <w:r w:rsidRPr="001714A8">
        <w:rPr>
          <w:rStyle w:val="None"/>
        </w:rPr>
        <w:t>terygium, removal of</w:t>
      </w:r>
      <w:r>
        <w:rPr>
          <w:rStyle w:val="None"/>
        </w:rPr>
        <w:t>). T</w:t>
      </w:r>
      <w:r w:rsidRPr="001714A8">
        <w:rPr>
          <w:rStyle w:val="None"/>
        </w:rPr>
        <w:t>h</w:t>
      </w:r>
      <w:r>
        <w:rPr>
          <w:rStyle w:val="None"/>
        </w:rPr>
        <w:t>e Committee</w:t>
      </w:r>
      <w:r w:rsidRPr="001714A8">
        <w:rPr>
          <w:rStyle w:val="None"/>
        </w:rPr>
        <w:t xml:space="preserve"> consider</w:t>
      </w:r>
      <w:r>
        <w:rPr>
          <w:rStyle w:val="None"/>
        </w:rPr>
        <w:t>s this clinically unnecessary and</w:t>
      </w:r>
      <w:r w:rsidRPr="001714A8">
        <w:rPr>
          <w:rStyle w:val="None"/>
        </w:rPr>
        <w:t xml:space="preserve"> inappropriate.</w:t>
      </w:r>
    </w:p>
    <w:p w14:paraId="3A6C71B0" w14:textId="77777777" w:rsidR="009A602C" w:rsidRPr="001714A8" w:rsidRDefault="009A602C" w:rsidP="009A602C">
      <w:pPr>
        <w:pStyle w:val="Bullet-green"/>
      </w:pPr>
      <w:r w:rsidRPr="001714A8">
        <w:t>Item 42647</w:t>
      </w:r>
    </w:p>
    <w:p w14:paraId="6D52395D" w14:textId="77777777" w:rsidR="009A602C" w:rsidRPr="001714A8" w:rsidRDefault="009A602C" w:rsidP="009A602C">
      <w:pPr>
        <w:pStyle w:val="Bullet2"/>
      </w:pPr>
      <w:r w:rsidRPr="001714A8">
        <w:rPr>
          <w:rStyle w:val="Hyperlink0"/>
        </w:rPr>
        <w:t xml:space="preserve">MBS data indicated </w:t>
      </w:r>
      <w:r>
        <w:rPr>
          <w:rStyle w:val="Hyperlink0"/>
        </w:rPr>
        <w:t xml:space="preserve">that </w:t>
      </w:r>
      <w:r w:rsidRPr="001714A8">
        <w:rPr>
          <w:rStyle w:val="Hyperlink0"/>
        </w:rPr>
        <w:t xml:space="preserve">this procedure was </w:t>
      </w:r>
      <w:r w:rsidRPr="001714A8">
        <w:rPr>
          <w:rStyle w:val="None"/>
        </w:rPr>
        <w:t xml:space="preserve">claimed with 18 different item numbers </w:t>
      </w:r>
      <w:r>
        <w:rPr>
          <w:rStyle w:val="None"/>
        </w:rPr>
        <w:t>between</w:t>
      </w:r>
      <w:r w:rsidRPr="001714A8">
        <w:rPr>
          <w:rStyle w:val="None"/>
        </w:rPr>
        <w:t xml:space="preserve"> March 1 </w:t>
      </w:r>
      <w:r>
        <w:rPr>
          <w:rStyle w:val="None"/>
        </w:rPr>
        <w:t>and</w:t>
      </w:r>
      <w:r w:rsidRPr="001714A8">
        <w:rPr>
          <w:rStyle w:val="None"/>
        </w:rPr>
        <w:t xml:space="preserve"> July </w:t>
      </w:r>
      <w:proofErr w:type="gramStart"/>
      <w:r w:rsidRPr="001714A8">
        <w:rPr>
          <w:rStyle w:val="None"/>
        </w:rPr>
        <w:t>1</w:t>
      </w:r>
      <w:proofErr w:type="gramEnd"/>
      <w:r>
        <w:rPr>
          <w:rStyle w:val="None"/>
        </w:rPr>
        <w:t xml:space="preserve"> </w:t>
      </w:r>
      <w:r w:rsidRPr="001714A8">
        <w:rPr>
          <w:rStyle w:val="None"/>
        </w:rPr>
        <w:t xml:space="preserve">2017. The </w:t>
      </w:r>
      <w:r>
        <w:rPr>
          <w:rStyle w:val="None"/>
        </w:rPr>
        <w:t xml:space="preserve">Committee was particularly concerned about claiming with </w:t>
      </w:r>
      <w:r w:rsidRPr="001714A8">
        <w:rPr>
          <w:rStyle w:val="None"/>
        </w:rPr>
        <w:t xml:space="preserve">item 42650 </w:t>
      </w:r>
      <w:r>
        <w:rPr>
          <w:rStyle w:val="None"/>
        </w:rPr>
        <w:t>(c</w:t>
      </w:r>
      <w:r w:rsidRPr="001714A8">
        <w:rPr>
          <w:rStyle w:val="None"/>
        </w:rPr>
        <w:t>ornea, epithelial debridement for corneal ulcer or corneal erosion</w:t>
      </w:r>
      <w:r>
        <w:rPr>
          <w:rStyle w:val="None"/>
        </w:rPr>
        <w:t xml:space="preserve">, </w:t>
      </w:r>
      <w:r w:rsidRPr="001714A8">
        <w:rPr>
          <w:rStyle w:val="None"/>
        </w:rPr>
        <w:t>excluding aftercare)</w:t>
      </w:r>
      <w:r>
        <w:rPr>
          <w:rStyle w:val="None"/>
        </w:rPr>
        <w:t>, which</w:t>
      </w:r>
      <w:r w:rsidRPr="001714A8">
        <w:rPr>
          <w:rStyle w:val="None"/>
        </w:rPr>
        <w:t xml:space="preserve"> was co-claimed in 11</w:t>
      </w:r>
      <w:r>
        <w:rPr>
          <w:rStyle w:val="None"/>
        </w:rPr>
        <w:t xml:space="preserve"> per cent</w:t>
      </w:r>
      <w:r w:rsidRPr="001714A8">
        <w:rPr>
          <w:rStyle w:val="None"/>
        </w:rPr>
        <w:t xml:space="preserve"> of episodes</w:t>
      </w:r>
      <w:r>
        <w:rPr>
          <w:rStyle w:val="None"/>
        </w:rPr>
        <w:t>. The Committee considers this clinically unnecessary</w:t>
      </w:r>
      <w:r w:rsidRPr="001714A8">
        <w:rPr>
          <w:rStyle w:val="None"/>
        </w:rPr>
        <w:t xml:space="preserve"> and inappropriate. </w:t>
      </w:r>
    </w:p>
    <w:p w14:paraId="066F891E" w14:textId="77777777" w:rsidR="009A602C" w:rsidRPr="001714A8" w:rsidRDefault="009A602C" w:rsidP="009A602C">
      <w:pPr>
        <w:pStyle w:val="Bullet-green"/>
      </w:pPr>
      <w:r w:rsidRPr="001714A8">
        <w:rPr>
          <w:rStyle w:val="None"/>
        </w:rPr>
        <w:t>Item 42773</w:t>
      </w:r>
    </w:p>
    <w:p w14:paraId="7FEBFFC3" w14:textId="77777777" w:rsidR="009A602C" w:rsidRPr="001714A8" w:rsidRDefault="009A602C" w:rsidP="009A602C">
      <w:pPr>
        <w:pStyle w:val="Bullet2"/>
      </w:pPr>
      <w:r w:rsidRPr="001714A8">
        <w:rPr>
          <w:rStyle w:val="None"/>
        </w:rPr>
        <w:t>The item descriptor was changed in November 2012 at RANZCO</w:t>
      </w:r>
      <w:r>
        <w:rPr>
          <w:rStyle w:val="None"/>
        </w:rPr>
        <w:t>’</w:t>
      </w:r>
      <w:r w:rsidRPr="001714A8">
        <w:rPr>
          <w:rStyle w:val="None"/>
        </w:rPr>
        <w:t>s suggestion, in response to suspected indication creep</w:t>
      </w:r>
      <w:r>
        <w:rPr>
          <w:rStyle w:val="None"/>
        </w:rPr>
        <w:t>.</w:t>
      </w:r>
      <w:r w:rsidRPr="001714A8">
        <w:rPr>
          <w:rStyle w:val="None"/>
        </w:rPr>
        <w:t xml:space="preserve"> </w:t>
      </w:r>
      <w:r>
        <w:rPr>
          <w:rStyle w:val="None"/>
        </w:rPr>
        <w:t>S</w:t>
      </w:r>
      <w:r w:rsidRPr="001714A8">
        <w:rPr>
          <w:rStyle w:val="None"/>
        </w:rPr>
        <w:t xml:space="preserve">ervice volumes have not </w:t>
      </w:r>
      <w:r>
        <w:rPr>
          <w:rStyle w:val="None"/>
        </w:rPr>
        <w:t>decreased</w:t>
      </w:r>
      <w:r w:rsidRPr="001714A8">
        <w:rPr>
          <w:rStyle w:val="None"/>
        </w:rPr>
        <w:t xml:space="preserve"> as much as expected</w:t>
      </w:r>
      <w:r>
        <w:rPr>
          <w:rStyle w:val="None"/>
        </w:rPr>
        <w:t xml:space="preserve"> since that change</w:t>
      </w:r>
      <w:r w:rsidRPr="001714A8">
        <w:rPr>
          <w:rStyle w:val="None"/>
        </w:rPr>
        <w:t>.</w:t>
      </w:r>
    </w:p>
    <w:p w14:paraId="1BBFE111" w14:textId="77777777" w:rsidR="009A602C" w:rsidRDefault="009A602C" w:rsidP="009A602C">
      <w:pPr>
        <w:pStyle w:val="Bullet2"/>
        <w:rPr>
          <w:rStyle w:val="None"/>
        </w:rPr>
      </w:pPr>
      <w:r w:rsidRPr="001714A8">
        <w:rPr>
          <w:rStyle w:val="Hyperlink0"/>
        </w:rPr>
        <w:t xml:space="preserve">MBS data indicated </w:t>
      </w:r>
      <w:r>
        <w:rPr>
          <w:rStyle w:val="Hyperlink0"/>
        </w:rPr>
        <w:t xml:space="preserve">that </w:t>
      </w:r>
      <w:r w:rsidRPr="001714A8">
        <w:rPr>
          <w:rStyle w:val="Hyperlink0"/>
        </w:rPr>
        <w:t xml:space="preserve">this procedure was </w:t>
      </w:r>
      <w:r w:rsidRPr="001714A8">
        <w:rPr>
          <w:rStyle w:val="None"/>
        </w:rPr>
        <w:t xml:space="preserve">claimed with 23 different item numbers </w:t>
      </w:r>
      <w:r>
        <w:rPr>
          <w:rStyle w:val="None"/>
        </w:rPr>
        <w:t>between</w:t>
      </w:r>
      <w:r w:rsidRPr="001714A8">
        <w:rPr>
          <w:rStyle w:val="None"/>
        </w:rPr>
        <w:t xml:space="preserve"> March 1 </w:t>
      </w:r>
      <w:r>
        <w:rPr>
          <w:rStyle w:val="None"/>
        </w:rPr>
        <w:t>and</w:t>
      </w:r>
      <w:r w:rsidRPr="001714A8">
        <w:rPr>
          <w:rStyle w:val="None"/>
        </w:rPr>
        <w:t xml:space="preserve"> July </w:t>
      </w:r>
      <w:proofErr w:type="gramStart"/>
      <w:r w:rsidRPr="001714A8">
        <w:rPr>
          <w:rStyle w:val="None"/>
        </w:rPr>
        <w:t>1</w:t>
      </w:r>
      <w:proofErr w:type="gramEnd"/>
      <w:r>
        <w:rPr>
          <w:rStyle w:val="None"/>
        </w:rPr>
        <w:t xml:space="preserve"> </w:t>
      </w:r>
      <w:r w:rsidRPr="001714A8">
        <w:rPr>
          <w:rStyle w:val="None"/>
        </w:rPr>
        <w:t xml:space="preserve">2017. </w:t>
      </w:r>
      <w:r>
        <w:rPr>
          <w:rStyle w:val="None"/>
        </w:rPr>
        <w:t>It was most frequently co-claimed with item</w:t>
      </w:r>
      <w:r w:rsidRPr="001714A8">
        <w:rPr>
          <w:rStyle w:val="None"/>
        </w:rPr>
        <w:t xml:space="preserve"> 42725 </w:t>
      </w:r>
      <w:r>
        <w:rPr>
          <w:rStyle w:val="None"/>
        </w:rPr>
        <w:t xml:space="preserve">(in </w:t>
      </w:r>
      <w:r w:rsidRPr="001714A8">
        <w:rPr>
          <w:rStyle w:val="None"/>
        </w:rPr>
        <w:t>95</w:t>
      </w:r>
      <w:r>
        <w:rPr>
          <w:rStyle w:val="None"/>
        </w:rPr>
        <w:t xml:space="preserve"> per cent</w:t>
      </w:r>
      <w:r w:rsidRPr="001714A8">
        <w:rPr>
          <w:rStyle w:val="None"/>
        </w:rPr>
        <w:t xml:space="preserve"> of episodes</w:t>
      </w:r>
      <w:r>
        <w:rPr>
          <w:rStyle w:val="None"/>
        </w:rPr>
        <w:t>)</w:t>
      </w:r>
      <w:r w:rsidRPr="001714A8">
        <w:rPr>
          <w:rStyle w:val="None"/>
        </w:rPr>
        <w:t xml:space="preserve">. </w:t>
      </w:r>
      <w:r>
        <w:rPr>
          <w:rStyle w:val="None"/>
        </w:rPr>
        <w:t>The procedure of pneumatic retinopexy clearly describes a specific method of retinal detachment repair which does not include vitrectomy (item 42725).</w:t>
      </w:r>
      <w:r w:rsidRPr="001714A8">
        <w:rPr>
          <w:rStyle w:val="None"/>
        </w:rPr>
        <w:t xml:space="preserve"> </w:t>
      </w:r>
    </w:p>
    <w:p w14:paraId="2B29FB28" w14:textId="77777777" w:rsidR="009A602C" w:rsidRDefault="009A602C" w:rsidP="009A602C">
      <w:pPr>
        <w:spacing w:before="0" w:after="160" w:line="259" w:lineRule="auto"/>
      </w:pPr>
    </w:p>
    <w:p w14:paraId="0494E6EE" w14:textId="77777777" w:rsidR="009A602C" w:rsidRPr="00F1034D" w:rsidRDefault="009A602C" w:rsidP="009A602C">
      <w:pPr>
        <w:pStyle w:val="Heading1"/>
        <w:rPr>
          <w:color w:val="01653F"/>
        </w:rPr>
      </w:pPr>
      <w:bookmarkStart w:id="301" w:name="_Toc524100422"/>
      <w:r w:rsidRPr="00F1034D">
        <w:rPr>
          <w:rStyle w:val="Hyperlink0"/>
          <w:color w:val="01653F"/>
        </w:rPr>
        <w:lastRenderedPageBreak/>
        <w:t xml:space="preserve"> </w:t>
      </w:r>
      <w:bookmarkStart w:id="302" w:name="_Toc35347277"/>
      <w:r w:rsidRPr="00F1034D">
        <w:rPr>
          <w:rStyle w:val="Hyperlink0"/>
          <w:color w:val="01653F"/>
        </w:rPr>
        <w:t>Telemedicine</w:t>
      </w:r>
      <w:bookmarkEnd w:id="301"/>
      <w:r w:rsidRPr="00F1034D">
        <w:rPr>
          <w:rStyle w:val="Hyperlink0"/>
          <w:color w:val="01653F"/>
        </w:rPr>
        <w:t xml:space="preserve"> recommendations</w:t>
      </w:r>
      <w:bookmarkEnd w:id="302"/>
    </w:p>
    <w:p w14:paraId="5F6BF12E" w14:textId="77777777" w:rsidR="009A602C" w:rsidRPr="001714A8" w:rsidRDefault="009A602C" w:rsidP="009A602C">
      <w:pPr>
        <w:pStyle w:val="Heading2"/>
      </w:pPr>
      <w:bookmarkStart w:id="303" w:name="_Toc524100423"/>
      <w:r w:rsidRPr="001714A8">
        <w:rPr>
          <w:rStyle w:val="Hyperlink0"/>
        </w:rPr>
        <w:t xml:space="preserve"> </w:t>
      </w:r>
      <w:bookmarkStart w:id="304" w:name="_Toc536548175"/>
      <w:bookmarkStart w:id="305" w:name="_Toc35347278"/>
      <w:r w:rsidRPr="001714A8">
        <w:rPr>
          <w:rStyle w:val="Hyperlink0"/>
        </w:rPr>
        <w:t>Overview</w:t>
      </w:r>
      <w:bookmarkEnd w:id="303"/>
      <w:bookmarkEnd w:id="304"/>
      <w:bookmarkEnd w:id="305"/>
    </w:p>
    <w:p w14:paraId="4B105ECE" w14:textId="77777777" w:rsidR="009A602C" w:rsidRPr="001714A8" w:rsidRDefault="009A602C" w:rsidP="009A602C">
      <w:pPr>
        <w:pStyle w:val="Body"/>
        <w:rPr>
          <w:lang w:val="en-GB"/>
        </w:rPr>
      </w:pPr>
      <w:r w:rsidRPr="001714A8">
        <w:rPr>
          <w:lang w:val="en-GB"/>
        </w:rPr>
        <w:t xml:space="preserve">The Committee </w:t>
      </w:r>
      <w:r>
        <w:rPr>
          <w:lang w:val="en-GB"/>
        </w:rPr>
        <w:t>acknowledges</w:t>
      </w:r>
      <w:r w:rsidRPr="001714A8">
        <w:rPr>
          <w:lang w:val="en-GB"/>
        </w:rPr>
        <w:t xml:space="preserve"> </w:t>
      </w:r>
      <w:r>
        <w:rPr>
          <w:lang w:val="en-GB"/>
        </w:rPr>
        <w:t xml:space="preserve">that </w:t>
      </w:r>
      <w:r w:rsidRPr="001714A8">
        <w:rPr>
          <w:lang w:val="en-GB"/>
        </w:rPr>
        <w:t xml:space="preserve">telemedicine items </w:t>
      </w:r>
      <w:r>
        <w:rPr>
          <w:lang w:val="en-GB"/>
        </w:rPr>
        <w:t>are</w:t>
      </w:r>
      <w:r w:rsidRPr="001714A8">
        <w:rPr>
          <w:lang w:val="en-GB"/>
        </w:rPr>
        <w:t xml:space="preserve"> not within it</w:t>
      </w:r>
      <w:r w:rsidRPr="001714A8">
        <w:rPr>
          <w:rStyle w:val="Hyperlink0"/>
          <w:lang w:val="en-GB"/>
        </w:rPr>
        <w:t>s</w:t>
      </w:r>
      <w:r w:rsidRPr="001714A8">
        <w:rPr>
          <w:lang w:val="en-GB"/>
        </w:rPr>
        <w:t xml:space="preserve"> </w:t>
      </w:r>
      <w:r>
        <w:rPr>
          <w:lang w:val="en-GB"/>
        </w:rPr>
        <w:t>area of responsibility,</w:t>
      </w:r>
      <w:r w:rsidRPr="001714A8">
        <w:rPr>
          <w:lang w:val="en-GB"/>
        </w:rPr>
        <w:t xml:space="preserve"> and</w:t>
      </w:r>
      <w:r>
        <w:rPr>
          <w:lang w:val="en-GB"/>
        </w:rPr>
        <w:t xml:space="preserve"> that</w:t>
      </w:r>
      <w:r w:rsidRPr="001714A8">
        <w:rPr>
          <w:lang w:val="en-GB"/>
        </w:rPr>
        <w:t xml:space="preserve"> the Optometry Clinical Committee </w:t>
      </w:r>
      <w:r>
        <w:rPr>
          <w:lang w:val="en-GB"/>
        </w:rPr>
        <w:t>will determine the final recommendations</w:t>
      </w:r>
      <w:r w:rsidRPr="001714A8">
        <w:rPr>
          <w:lang w:val="en-GB"/>
        </w:rPr>
        <w:t>. However, the Committee has suggested an approach to restructur</w:t>
      </w:r>
      <w:r>
        <w:rPr>
          <w:lang w:val="en-GB"/>
        </w:rPr>
        <w:t>ing</w:t>
      </w:r>
      <w:r w:rsidRPr="001714A8">
        <w:rPr>
          <w:lang w:val="en-GB"/>
        </w:rPr>
        <w:t xml:space="preserve"> MBS telemedicine items for the consideration of the Optometry Clinical Committee. It noted that telemedicine </w:t>
      </w:r>
      <w:r>
        <w:rPr>
          <w:lang w:val="en-GB"/>
        </w:rPr>
        <w:t>has a</w:t>
      </w:r>
      <w:r w:rsidRPr="001714A8">
        <w:rPr>
          <w:lang w:val="en-GB"/>
        </w:rPr>
        <w:t xml:space="preserve"> crucial </w:t>
      </w:r>
      <w:r>
        <w:rPr>
          <w:lang w:val="en-GB"/>
        </w:rPr>
        <w:t xml:space="preserve">role </w:t>
      </w:r>
      <w:r w:rsidRPr="001714A8">
        <w:rPr>
          <w:lang w:val="en-GB"/>
        </w:rPr>
        <w:t>to</w:t>
      </w:r>
      <w:r>
        <w:rPr>
          <w:lang w:val="en-GB"/>
        </w:rPr>
        <w:t xml:space="preserve"> play in</w:t>
      </w:r>
      <w:r w:rsidRPr="001714A8">
        <w:rPr>
          <w:lang w:val="en-GB"/>
        </w:rPr>
        <w:t xml:space="preserve"> improv</w:t>
      </w:r>
      <w:r>
        <w:rPr>
          <w:lang w:val="en-GB"/>
        </w:rPr>
        <w:t>ing</w:t>
      </w:r>
      <w:r w:rsidRPr="001714A8">
        <w:rPr>
          <w:lang w:val="en-GB"/>
        </w:rPr>
        <w:t xml:space="preserve"> rural and remote eye health, given the maldistribution of the ophthalmology workforce and limited uptake</w:t>
      </w:r>
      <w:r>
        <w:rPr>
          <w:lang w:val="en-GB"/>
        </w:rPr>
        <w:t xml:space="preserve"> in the current system</w:t>
      </w:r>
      <w:r w:rsidRPr="001714A8">
        <w:rPr>
          <w:lang w:val="en-GB"/>
        </w:rPr>
        <w:t>.</w:t>
      </w:r>
    </w:p>
    <w:p w14:paraId="4E11F0A8" w14:textId="77777777" w:rsidR="009A602C" w:rsidRPr="001714A8" w:rsidRDefault="009A602C" w:rsidP="009A602C">
      <w:pPr>
        <w:pStyle w:val="Heading2"/>
      </w:pPr>
      <w:bookmarkStart w:id="306" w:name="_Toc524100424"/>
      <w:r w:rsidRPr="001714A8">
        <w:rPr>
          <w:rStyle w:val="Hyperlink0"/>
        </w:rPr>
        <w:t xml:space="preserve"> </w:t>
      </w:r>
      <w:bookmarkStart w:id="307" w:name="_Toc536548176"/>
      <w:bookmarkStart w:id="308" w:name="_Toc35347279"/>
      <w:r w:rsidRPr="001714A8">
        <w:rPr>
          <w:rStyle w:val="Hyperlink0"/>
        </w:rPr>
        <w:t>Restructuring telemedicine items</w:t>
      </w:r>
      <w:bookmarkEnd w:id="306"/>
      <w:bookmarkEnd w:id="307"/>
      <w:bookmarkEnd w:id="308"/>
    </w:p>
    <w:p w14:paraId="214A457C" w14:textId="77777777" w:rsidR="009A602C" w:rsidRPr="006C0792" w:rsidRDefault="009A602C" w:rsidP="009A602C">
      <w:pPr>
        <w:pStyle w:val="Heading3"/>
      </w:pPr>
      <w:bookmarkStart w:id="309" w:name="_Toc536548177"/>
      <w:bookmarkStart w:id="310" w:name="_Toc35347280"/>
      <w:r w:rsidRPr="006C0792">
        <w:t>Recommendation 12</w:t>
      </w:r>
      <w:bookmarkEnd w:id="309"/>
      <w:bookmarkEnd w:id="310"/>
    </w:p>
    <w:p w14:paraId="39586177" w14:textId="2CF4821C" w:rsidR="009A602C" w:rsidRDefault="003659F6" w:rsidP="009A602C">
      <w:pPr>
        <w:pStyle w:val="Bullet-green"/>
      </w:pPr>
      <w:r>
        <w:t>Introduce two new teleophthalmology item numbers that include</w:t>
      </w:r>
      <w:r w:rsidR="009A602C">
        <w:t xml:space="preserve"> asynchronous options:</w:t>
      </w:r>
    </w:p>
    <w:p w14:paraId="286C9D7F" w14:textId="445145E7" w:rsidR="009A602C" w:rsidRPr="001714A8" w:rsidRDefault="009A602C" w:rsidP="009A602C">
      <w:pPr>
        <w:pStyle w:val="Bullet2"/>
      </w:pPr>
      <w:r w:rsidRPr="001714A8">
        <w:t xml:space="preserve">Item </w:t>
      </w:r>
      <w:r w:rsidR="003659F6">
        <w:t>A</w:t>
      </w:r>
      <w:r w:rsidRPr="001714A8">
        <w:t xml:space="preserve">: Virtual </w:t>
      </w:r>
      <w:r>
        <w:t>“</w:t>
      </w:r>
      <w:r w:rsidRPr="001714A8">
        <w:t>home visit</w:t>
      </w:r>
      <w:r>
        <w:t>”</w:t>
      </w:r>
      <w:r w:rsidRPr="001714A8">
        <w:t xml:space="preserve"> via telephone or video with only patient present, for optometry referrals only.</w:t>
      </w:r>
    </w:p>
    <w:p w14:paraId="69E2E0B5" w14:textId="7CF38468" w:rsidR="009A602C" w:rsidRPr="001714A8" w:rsidRDefault="009A602C" w:rsidP="009A602C">
      <w:pPr>
        <w:pStyle w:val="Bullet2"/>
      </w:pPr>
      <w:r w:rsidRPr="001714A8">
        <w:t xml:space="preserve">Item </w:t>
      </w:r>
      <w:r w:rsidR="003659F6">
        <w:t>B</w:t>
      </w:r>
      <w:r w:rsidRPr="001714A8">
        <w:t>: Asynchronous management advice via report to optometrist and patient, for optometry referrals only, with a requirement to send a formal report to the optometrist and patient.</w:t>
      </w:r>
    </w:p>
    <w:p w14:paraId="3FD37C36" w14:textId="77777777" w:rsidR="009A602C" w:rsidRPr="006C0792" w:rsidRDefault="009A602C" w:rsidP="009A602C">
      <w:pPr>
        <w:pStyle w:val="Heading3"/>
      </w:pPr>
      <w:bookmarkStart w:id="311" w:name="_Toc536548178"/>
      <w:bookmarkStart w:id="312" w:name="_Toc35347281"/>
      <w:r w:rsidRPr="006C0792">
        <w:t>Rationale for Recommendation 12</w:t>
      </w:r>
      <w:bookmarkEnd w:id="311"/>
      <w:bookmarkEnd w:id="312"/>
    </w:p>
    <w:p w14:paraId="2F50F225" w14:textId="77777777" w:rsidR="009A602C" w:rsidRPr="001714A8" w:rsidRDefault="009A602C" w:rsidP="009A602C">
      <w:pPr>
        <w:pStyle w:val="Body"/>
        <w:rPr>
          <w:lang w:val="en-GB"/>
        </w:rPr>
      </w:pPr>
      <w:r w:rsidRPr="001714A8">
        <w:rPr>
          <w:lang w:val="en-GB"/>
        </w:rPr>
        <w:t>This recommendation aims to increase the uptake of telehealth services and promote a coordinated and asynchronous approach to eye health</w:t>
      </w:r>
      <w:r>
        <w:rPr>
          <w:lang w:val="en-GB"/>
        </w:rPr>
        <w:t xml:space="preserve"> </w:t>
      </w:r>
      <w:r w:rsidRPr="001714A8">
        <w:rPr>
          <w:lang w:val="en-GB"/>
        </w:rPr>
        <w:t>care. It is based on the following.</w:t>
      </w:r>
    </w:p>
    <w:p w14:paraId="4F6636B4" w14:textId="690AEE12" w:rsidR="009A602C" w:rsidRPr="001714A8" w:rsidRDefault="009A602C" w:rsidP="009A602C">
      <w:pPr>
        <w:pStyle w:val="Bullet-green"/>
      </w:pPr>
      <w:r w:rsidRPr="001714A8">
        <w:t xml:space="preserve">The current system presents difficulties in coordination, requiring three people </w:t>
      </w:r>
      <w:r>
        <w:t xml:space="preserve">to </w:t>
      </w:r>
      <w:r w:rsidRPr="001714A8">
        <w:t>be present at once</w:t>
      </w:r>
      <w:r>
        <w:t>. This means that</w:t>
      </w:r>
      <w:r w:rsidRPr="001714A8">
        <w:t xml:space="preserve"> if someone is running late</w:t>
      </w:r>
      <w:r>
        <w:t>, it</w:t>
      </w:r>
      <w:r w:rsidRPr="001714A8">
        <w:t xml:space="preserve"> </w:t>
      </w:r>
      <w:r>
        <w:t>affects</w:t>
      </w:r>
      <w:r w:rsidRPr="001714A8">
        <w:t xml:space="preserve"> everyone. Asynchronous health</w:t>
      </w:r>
      <w:r>
        <w:t xml:space="preserve"> </w:t>
      </w:r>
      <w:r w:rsidRPr="001714A8">
        <w:t xml:space="preserve">care is important and </w:t>
      </w:r>
      <w:r>
        <w:t xml:space="preserve">has been </w:t>
      </w:r>
      <w:r w:rsidRPr="001714A8">
        <w:t>proven internationally to be effective in the coordination of telehealth</w:t>
      </w:r>
      <w:r w:rsidR="00701E1C" w:rsidRPr="00701E1C">
        <w:t>, improving rural and remote and elderly access and reducing patient/consumer cost due to travel and time “downstream”</w:t>
      </w:r>
      <w:r w:rsidRPr="001714A8">
        <w:t>.</w:t>
      </w:r>
    </w:p>
    <w:p w14:paraId="1F4D7940" w14:textId="77777777" w:rsidR="009A602C" w:rsidRPr="001714A8" w:rsidRDefault="009A602C" w:rsidP="009A602C">
      <w:pPr>
        <w:pStyle w:val="Bullet-green"/>
      </w:pPr>
      <w:r w:rsidRPr="001714A8">
        <w:lastRenderedPageBreak/>
        <w:t>There is significant maldistribution in the ophthalmology workforce across Australia</w:t>
      </w:r>
      <w:r>
        <w:t>, with</w:t>
      </w:r>
      <w:r w:rsidRPr="001714A8">
        <w:t xml:space="preserve"> 84 per cent of ophthalmologists work</w:t>
      </w:r>
      <w:r>
        <w:t>ing</w:t>
      </w:r>
      <w:r w:rsidRPr="001714A8">
        <w:t xml:space="preserve"> in metropolitan areas.</w:t>
      </w:r>
      <w:r>
        <w:rPr>
          <w:vertAlign w:val="superscript"/>
        </w:rPr>
        <w:t>22</w:t>
      </w:r>
      <w:r w:rsidRPr="001714A8">
        <w:t xml:space="preserve"> </w:t>
      </w:r>
    </w:p>
    <w:p w14:paraId="7A314844" w14:textId="77777777" w:rsidR="009A602C" w:rsidRPr="001714A8" w:rsidRDefault="009A602C" w:rsidP="009A602C">
      <w:pPr>
        <w:pStyle w:val="Bullet-green"/>
      </w:pPr>
      <w:r w:rsidRPr="001714A8">
        <w:t>Ophthalmology telehealth services have a single referral group</w:t>
      </w:r>
      <w:r>
        <w:t xml:space="preserve">: </w:t>
      </w:r>
      <w:r w:rsidRPr="001714A8">
        <w:t>optometrists</w:t>
      </w:r>
      <w:r>
        <w:t>.</w:t>
      </w:r>
      <w:r w:rsidRPr="001714A8">
        <w:t xml:space="preserve"> </w:t>
      </w:r>
      <w:r>
        <w:t>T</w:t>
      </w:r>
      <w:r w:rsidRPr="001714A8">
        <w:t>his is an unusual primary care source with advanced equipment. Ophthalmologists often receive multiple scans, images or field tests in a patient referral</w:t>
      </w:r>
      <w:r>
        <w:t>,</w:t>
      </w:r>
      <w:r w:rsidRPr="001714A8">
        <w:t xml:space="preserve"> which require asynchronous interpretation of results. </w:t>
      </w:r>
    </w:p>
    <w:p w14:paraId="4FAE4580" w14:textId="77777777" w:rsidR="009A602C" w:rsidRPr="00F1034D" w:rsidRDefault="009A602C" w:rsidP="009A602C">
      <w:pPr>
        <w:pStyle w:val="Heading1"/>
        <w:rPr>
          <w:color w:val="01653F"/>
        </w:rPr>
      </w:pPr>
      <w:bookmarkStart w:id="313" w:name="_Toc524100425"/>
      <w:r w:rsidRPr="00F1034D">
        <w:rPr>
          <w:rStyle w:val="Hyperlink0"/>
          <w:color w:val="01653F"/>
        </w:rPr>
        <w:lastRenderedPageBreak/>
        <w:t xml:space="preserve"> </w:t>
      </w:r>
      <w:bookmarkStart w:id="314" w:name="_Toc35347282"/>
      <w:r w:rsidRPr="00F1034D">
        <w:rPr>
          <w:rStyle w:val="Hyperlink0"/>
          <w:color w:val="01653F"/>
        </w:rPr>
        <w:t>General recommendations</w:t>
      </w:r>
      <w:bookmarkEnd w:id="313"/>
      <w:bookmarkEnd w:id="314"/>
    </w:p>
    <w:p w14:paraId="6BAD0F72" w14:textId="77777777" w:rsidR="009A602C" w:rsidRPr="001714A8" w:rsidRDefault="009A602C" w:rsidP="009A602C">
      <w:pPr>
        <w:pStyle w:val="Heading2"/>
      </w:pPr>
      <w:bookmarkStart w:id="315" w:name="_Toc524100426"/>
      <w:r w:rsidRPr="001714A8">
        <w:rPr>
          <w:rStyle w:val="Hyperlink0"/>
        </w:rPr>
        <w:t xml:space="preserve"> </w:t>
      </w:r>
      <w:bookmarkStart w:id="316" w:name="_Toc536548180"/>
      <w:bookmarkStart w:id="317" w:name="_Toc35347283"/>
      <w:r w:rsidRPr="001714A8">
        <w:rPr>
          <w:rStyle w:val="Hyperlink0"/>
        </w:rPr>
        <w:t>Overview</w:t>
      </w:r>
      <w:bookmarkEnd w:id="315"/>
      <w:bookmarkEnd w:id="316"/>
      <w:bookmarkEnd w:id="317"/>
    </w:p>
    <w:p w14:paraId="69368159" w14:textId="77777777" w:rsidR="009A602C" w:rsidRPr="001714A8" w:rsidRDefault="009A602C" w:rsidP="009A602C">
      <w:pPr>
        <w:pStyle w:val="Body"/>
        <w:rPr>
          <w:lang w:val="en-GB"/>
        </w:rPr>
      </w:pPr>
      <w:r w:rsidRPr="001714A8">
        <w:rPr>
          <w:lang w:val="en-GB"/>
        </w:rPr>
        <w:t xml:space="preserve">The Committee made two general recommendations, with unanimous support. These </w:t>
      </w:r>
      <w:r>
        <w:rPr>
          <w:lang w:val="en-GB"/>
        </w:rPr>
        <w:t>recommendations address</w:t>
      </w:r>
      <w:r w:rsidRPr="001714A8">
        <w:rPr>
          <w:lang w:val="en-GB"/>
        </w:rPr>
        <w:t xml:space="preserve"> broad issues, </w:t>
      </w:r>
      <w:r>
        <w:rPr>
          <w:lang w:val="en-GB"/>
        </w:rPr>
        <w:t>rather than</w:t>
      </w:r>
      <w:r w:rsidRPr="001714A8">
        <w:rPr>
          <w:lang w:val="en-GB"/>
        </w:rPr>
        <w:t xml:space="preserve"> individual</w:t>
      </w:r>
      <w:r>
        <w:rPr>
          <w:lang w:val="en-GB"/>
        </w:rPr>
        <w:t xml:space="preserve"> MBS</w:t>
      </w:r>
      <w:r w:rsidRPr="001714A8">
        <w:rPr>
          <w:lang w:val="en-GB"/>
        </w:rPr>
        <w:t xml:space="preserve"> item</w:t>
      </w:r>
      <w:r>
        <w:rPr>
          <w:lang w:val="en-GB"/>
        </w:rPr>
        <w:t>s</w:t>
      </w:r>
      <w:r w:rsidRPr="001714A8">
        <w:rPr>
          <w:lang w:val="en-GB"/>
        </w:rPr>
        <w:t xml:space="preserve">. </w:t>
      </w:r>
    </w:p>
    <w:p w14:paraId="6B0D13C3" w14:textId="77777777" w:rsidR="009A602C" w:rsidRPr="001714A8" w:rsidRDefault="009A602C" w:rsidP="009A602C">
      <w:pPr>
        <w:pStyle w:val="Heading2"/>
      </w:pPr>
      <w:bookmarkStart w:id="318" w:name="_Toc524100427"/>
      <w:r w:rsidRPr="001714A8">
        <w:rPr>
          <w:rStyle w:val="Hyperlink0"/>
        </w:rPr>
        <w:t xml:space="preserve"> </w:t>
      </w:r>
      <w:bookmarkStart w:id="319" w:name="_Toc536548181"/>
      <w:bookmarkStart w:id="320" w:name="_Toc35347284"/>
      <w:r w:rsidRPr="001714A8">
        <w:rPr>
          <w:rStyle w:val="Hyperlink0"/>
        </w:rPr>
        <w:t>Ongoing review</w:t>
      </w:r>
      <w:bookmarkEnd w:id="318"/>
      <w:bookmarkEnd w:id="319"/>
      <w:bookmarkEnd w:id="320"/>
      <w:r w:rsidRPr="001714A8">
        <w:rPr>
          <w:rStyle w:val="Hyperlink0"/>
        </w:rPr>
        <w:t xml:space="preserve"> </w:t>
      </w:r>
    </w:p>
    <w:p w14:paraId="6FBC1746" w14:textId="77777777" w:rsidR="009A602C" w:rsidRPr="006C0792" w:rsidRDefault="009A602C" w:rsidP="009A602C">
      <w:pPr>
        <w:pStyle w:val="Heading3"/>
      </w:pPr>
      <w:bookmarkStart w:id="321" w:name="_Toc536548182"/>
      <w:bookmarkStart w:id="322" w:name="_Toc35347285"/>
      <w:r w:rsidRPr="006C0792">
        <w:t>Recommendation 13</w:t>
      </w:r>
      <w:bookmarkEnd w:id="321"/>
      <w:bookmarkEnd w:id="322"/>
    </w:p>
    <w:p w14:paraId="1DD5C6F4" w14:textId="77777777" w:rsidR="009A602C" w:rsidRPr="001714A8" w:rsidRDefault="009A602C" w:rsidP="009A602C">
      <w:pPr>
        <w:pStyle w:val="Bullet-green"/>
      </w:pPr>
      <w:bookmarkStart w:id="323" w:name="_Hlk523853176"/>
      <w:r>
        <w:t>Implement</w:t>
      </w:r>
      <w:r w:rsidRPr="001714A8">
        <w:t xml:space="preserve"> an ongoing review process for all ophthalmology items, including a review of recommendations 12 months after implementation. </w:t>
      </w:r>
      <w:bookmarkEnd w:id="323"/>
    </w:p>
    <w:p w14:paraId="2D3E2F1F" w14:textId="77777777" w:rsidR="009A602C" w:rsidRPr="006C0792" w:rsidRDefault="009A602C" w:rsidP="009A602C">
      <w:pPr>
        <w:pStyle w:val="Heading3"/>
      </w:pPr>
      <w:bookmarkStart w:id="324" w:name="_Toc536548183"/>
      <w:bookmarkStart w:id="325" w:name="_Toc35347286"/>
      <w:r w:rsidRPr="006C0792">
        <w:t>Rationale for Recommendation 13</w:t>
      </w:r>
      <w:bookmarkEnd w:id="324"/>
      <w:bookmarkEnd w:id="325"/>
    </w:p>
    <w:p w14:paraId="45A27FBE" w14:textId="77777777" w:rsidR="009A602C" w:rsidRPr="001714A8" w:rsidRDefault="009A602C" w:rsidP="009A602C">
      <w:pPr>
        <w:pStyle w:val="Body"/>
        <w:rPr>
          <w:lang w:val="en-GB"/>
        </w:rPr>
      </w:pPr>
      <w:r w:rsidRPr="001714A8">
        <w:rPr>
          <w:lang w:val="en-GB"/>
        </w:rPr>
        <w:t xml:space="preserve">This recommendation seeks to maintain </w:t>
      </w:r>
      <w:r>
        <w:rPr>
          <w:lang w:val="en-GB"/>
        </w:rPr>
        <w:t>MBS</w:t>
      </w:r>
      <w:r w:rsidRPr="001714A8">
        <w:rPr>
          <w:lang w:val="en-GB"/>
        </w:rPr>
        <w:t xml:space="preserve"> alignment with contemporary clinical practice</w:t>
      </w:r>
      <w:r>
        <w:rPr>
          <w:lang w:val="en-GB"/>
        </w:rPr>
        <w:t>,</w:t>
      </w:r>
      <w:r w:rsidRPr="001714A8">
        <w:rPr>
          <w:lang w:val="en-GB"/>
        </w:rPr>
        <w:t xml:space="preserve"> and </w:t>
      </w:r>
      <w:r>
        <w:rPr>
          <w:lang w:val="en-GB"/>
        </w:rPr>
        <w:t xml:space="preserve">to facilitate </w:t>
      </w:r>
      <w:r w:rsidRPr="001714A8">
        <w:rPr>
          <w:lang w:val="en-GB"/>
        </w:rPr>
        <w:t>review</w:t>
      </w:r>
      <w:r>
        <w:rPr>
          <w:lang w:val="en-GB"/>
        </w:rPr>
        <w:t>s of</w:t>
      </w:r>
      <w:r w:rsidRPr="001714A8">
        <w:rPr>
          <w:lang w:val="en-GB"/>
        </w:rPr>
        <w:t xml:space="preserve"> significant recommendations </w:t>
      </w:r>
      <w:r>
        <w:rPr>
          <w:lang w:val="en-GB"/>
        </w:rPr>
        <w:t xml:space="preserve">after </w:t>
      </w:r>
      <w:r w:rsidRPr="001714A8">
        <w:rPr>
          <w:lang w:val="en-GB"/>
        </w:rPr>
        <w:t xml:space="preserve">implementation to ensure </w:t>
      </w:r>
      <w:r>
        <w:rPr>
          <w:lang w:val="en-GB"/>
        </w:rPr>
        <w:t xml:space="preserve">that </w:t>
      </w:r>
      <w:r w:rsidRPr="001714A8">
        <w:rPr>
          <w:lang w:val="en-GB"/>
        </w:rPr>
        <w:t>the intended outcomes are achieved.</w:t>
      </w:r>
    </w:p>
    <w:p w14:paraId="060B80CE" w14:textId="77777777" w:rsidR="009A602C" w:rsidRPr="001714A8" w:rsidRDefault="009A602C" w:rsidP="009A602C">
      <w:pPr>
        <w:pStyle w:val="Heading2"/>
      </w:pPr>
      <w:bookmarkStart w:id="326" w:name="_Toc524100428"/>
      <w:r w:rsidRPr="001714A8">
        <w:rPr>
          <w:rStyle w:val="Hyperlink0"/>
        </w:rPr>
        <w:t xml:space="preserve"> </w:t>
      </w:r>
      <w:bookmarkStart w:id="327" w:name="_Toc536548184"/>
      <w:bookmarkStart w:id="328" w:name="_Toc35347287"/>
      <w:r w:rsidRPr="001714A8">
        <w:rPr>
          <w:rStyle w:val="Hyperlink0"/>
        </w:rPr>
        <w:t>Rural and remote incentives</w:t>
      </w:r>
      <w:bookmarkEnd w:id="326"/>
      <w:bookmarkEnd w:id="327"/>
      <w:bookmarkEnd w:id="328"/>
      <w:r w:rsidRPr="001714A8">
        <w:rPr>
          <w:rStyle w:val="Hyperlink0"/>
        </w:rPr>
        <w:t xml:space="preserve"> </w:t>
      </w:r>
    </w:p>
    <w:p w14:paraId="02591E14" w14:textId="77777777" w:rsidR="009A602C" w:rsidRPr="006C0792" w:rsidRDefault="009A602C" w:rsidP="009A602C">
      <w:pPr>
        <w:pStyle w:val="Heading3"/>
      </w:pPr>
      <w:bookmarkStart w:id="329" w:name="_Toc536548185"/>
      <w:bookmarkStart w:id="330" w:name="_Toc35347288"/>
      <w:r w:rsidRPr="006C0792">
        <w:t>Recommendation 14</w:t>
      </w:r>
      <w:bookmarkEnd w:id="329"/>
      <w:bookmarkEnd w:id="330"/>
    </w:p>
    <w:p w14:paraId="2FE3A46E" w14:textId="62296641" w:rsidR="009A602C" w:rsidRPr="004541AC" w:rsidRDefault="009A602C" w:rsidP="00203192">
      <w:pPr>
        <w:pStyle w:val="Bullet-green"/>
        <w:rPr>
          <w:rFonts w:cs="Calibri"/>
          <w:sz w:val="22"/>
          <w:szCs w:val="22"/>
          <w:lang w:val="en-AU"/>
        </w:rPr>
      </w:pPr>
      <w:r>
        <w:t>Undertake</w:t>
      </w:r>
      <w:r w:rsidRPr="001714A8">
        <w:t xml:space="preserve"> targeted improvement of rural and remote eye services to assist in </w:t>
      </w:r>
      <w:r>
        <w:t>c</w:t>
      </w:r>
      <w:r w:rsidRPr="001714A8">
        <w:t xml:space="preserve">losing the </w:t>
      </w:r>
      <w:r>
        <w:t>g</w:t>
      </w:r>
      <w:r w:rsidRPr="001714A8">
        <w:t xml:space="preserve">ap in </w:t>
      </w:r>
      <w:r>
        <w:t>e</w:t>
      </w:r>
      <w:r w:rsidRPr="001714A8">
        <w:t xml:space="preserve">ye </w:t>
      </w:r>
      <w:r>
        <w:t>h</w:t>
      </w:r>
      <w:r w:rsidRPr="001714A8">
        <w:t xml:space="preserve">ealth and </w:t>
      </w:r>
      <w:r>
        <w:t>v</w:t>
      </w:r>
      <w:r w:rsidRPr="001714A8">
        <w:t xml:space="preserve">ision </w:t>
      </w:r>
      <w:r>
        <w:t>c</w:t>
      </w:r>
      <w:r w:rsidRPr="001714A8">
        <w:t>are by 2020</w:t>
      </w:r>
      <w:r w:rsidR="00615920">
        <w:rPr>
          <w:vertAlign w:val="superscript"/>
        </w:rPr>
        <w:t>23</w:t>
      </w:r>
      <w:r w:rsidRPr="001714A8">
        <w:t>.</w:t>
      </w:r>
      <w:r>
        <w:t xml:space="preserve"> The Committee recommended that the Government implement a mechanism to cover additional costs of rural and remote service provision, and proposed three implementation options</w:t>
      </w:r>
    </w:p>
    <w:p w14:paraId="4B27EE86" w14:textId="77777777" w:rsidR="009A602C" w:rsidRDefault="009A602C" w:rsidP="00203192">
      <w:pPr>
        <w:pStyle w:val="Bullet-green"/>
        <w:rPr>
          <w:rFonts w:cs="Calibri"/>
          <w:sz w:val="22"/>
          <w:szCs w:val="22"/>
          <w:lang w:val="en-AU"/>
        </w:rPr>
      </w:pPr>
      <w:r>
        <w:t xml:space="preserve">The Taskforce were unable to fully endorse these </w:t>
      </w:r>
      <w:proofErr w:type="gramStart"/>
      <w:r>
        <w:t>options, but</w:t>
      </w:r>
      <w:proofErr w:type="gramEnd"/>
      <w:r>
        <w:t xml:space="preserve"> agree on the general recommendation that the Government implement a mechanism to cover the additional costs of rural and remote service provision.</w:t>
      </w:r>
    </w:p>
    <w:p w14:paraId="55F65E00" w14:textId="77777777" w:rsidR="009A602C" w:rsidRPr="006C0792" w:rsidRDefault="009A602C" w:rsidP="009A602C">
      <w:pPr>
        <w:pStyle w:val="Heading3"/>
      </w:pPr>
      <w:bookmarkStart w:id="331" w:name="_Toc536548186"/>
      <w:bookmarkStart w:id="332" w:name="_Toc35347289"/>
      <w:r w:rsidRPr="006C0792">
        <w:t>Rationale for Recommendation 14</w:t>
      </w:r>
      <w:bookmarkEnd w:id="331"/>
      <w:bookmarkEnd w:id="332"/>
    </w:p>
    <w:p w14:paraId="6780FF3D" w14:textId="77777777" w:rsidR="009A602C" w:rsidRPr="001714A8" w:rsidRDefault="009A602C" w:rsidP="009A602C">
      <w:pPr>
        <w:pStyle w:val="Body"/>
        <w:rPr>
          <w:lang w:val="en-GB"/>
        </w:rPr>
      </w:pPr>
      <w:r w:rsidRPr="001714A8">
        <w:rPr>
          <w:lang w:val="en-GB"/>
        </w:rPr>
        <w:t xml:space="preserve">This recommendation seeks to improve equity of access </w:t>
      </w:r>
      <w:r>
        <w:rPr>
          <w:lang w:val="en-GB"/>
        </w:rPr>
        <w:t xml:space="preserve">to eye services </w:t>
      </w:r>
      <w:r w:rsidRPr="001714A8">
        <w:rPr>
          <w:lang w:val="en-GB"/>
        </w:rPr>
        <w:t>across Australia</w:t>
      </w:r>
      <w:r>
        <w:rPr>
          <w:lang w:val="en-GB"/>
        </w:rPr>
        <w:t xml:space="preserve">. It is based on the following. </w:t>
      </w:r>
      <w:r w:rsidRPr="001714A8">
        <w:rPr>
          <w:lang w:val="en-GB"/>
        </w:rPr>
        <w:t xml:space="preserve"> </w:t>
      </w:r>
    </w:p>
    <w:p w14:paraId="5ACCADD0" w14:textId="77777777" w:rsidR="009A602C" w:rsidRDefault="009A602C" w:rsidP="009A602C">
      <w:pPr>
        <w:pStyle w:val="Bullet-green"/>
      </w:pPr>
      <w:r>
        <w:lastRenderedPageBreak/>
        <w:t>Through this recommendation, the Committee seeks to address:</w:t>
      </w:r>
    </w:p>
    <w:p w14:paraId="7934D88E" w14:textId="77777777" w:rsidR="009A602C" w:rsidRPr="001714A8" w:rsidRDefault="009A602C" w:rsidP="009A602C">
      <w:pPr>
        <w:pStyle w:val="Bullet2"/>
      </w:pPr>
      <w:r w:rsidRPr="001714A8">
        <w:t xml:space="preserve">The higher prevalence of eye disease in rural Australians compared to their urban counterparts, particularly among the </w:t>
      </w:r>
      <w:r>
        <w:t>Aboriginal and Torres Strait Islander</w:t>
      </w:r>
      <w:r w:rsidRPr="001714A8">
        <w:t xml:space="preserve"> population. </w:t>
      </w:r>
    </w:p>
    <w:p w14:paraId="7B64B12D" w14:textId="77777777" w:rsidR="009A602C" w:rsidRPr="001714A8" w:rsidRDefault="009A602C" w:rsidP="009A602C">
      <w:pPr>
        <w:pStyle w:val="Bullet2"/>
      </w:pPr>
      <w:r w:rsidRPr="001714A8">
        <w:t xml:space="preserve">The maldistribution in the ophthalmology workforce across Australia. </w:t>
      </w:r>
    </w:p>
    <w:p w14:paraId="60EDF346" w14:textId="39EB599F" w:rsidR="009A602C" w:rsidRDefault="009A602C" w:rsidP="009A602C">
      <w:pPr>
        <w:pStyle w:val="Bullet2"/>
      </w:pPr>
      <w:r w:rsidRPr="001714A8">
        <w:t xml:space="preserve">Insufficient funding for rural/remote </w:t>
      </w:r>
      <w:r>
        <w:t>clinicians.</w:t>
      </w:r>
      <w:r w:rsidRPr="001714A8">
        <w:t xml:space="preserve"> </w:t>
      </w:r>
      <w:r>
        <w:t>C</w:t>
      </w:r>
      <w:r w:rsidRPr="001714A8">
        <w:t xml:space="preserve">urrent </w:t>
      </w:r>
      <w:r>
        <w:t>o</w:t>
      </w:r>
      <w:r w:rsidRPr="001714A8">
        <w:t>utreach funds focus on assisting patients in accessing available health services, rather than incentivising clinicians to provide services</w:t>
      </w:r>
      <w:r>
        <w:t>. T</w:t>
      </w:r>
      <w:r w:rsidRPr="001714A8">
        <w:t xml:space="preserve">here is competition for funding across specialties and allied health. </w:t>
      </w:r>
    </w:p>
    <w:p w14:paraId="14D9F112" w14:textId="45B9C0EE" w:rsidR="00701E1C" w:rsidRPr="001714A8" w:rsidRDefault="00701E1C" w:rsidP="009A602C">
      <w:pPr>
        <w:pStyle w:val="Bullet2"/>
      </w:pPr>
      <w:r>
        <w:t>Patient/consumer health literacy education be increased</w:t>
      </w:r>
    </w:p>
    <w:p w14:paraId="239A9BE0" w14:textId="77777777" w:rsidR="009A602C" w:rsidRPr="001714A8" w:rsidRDefault="009A602C" w:rsidP="009A602C">
      <w:pPr>
        <w:pStyle w:val="Body"/>
      </w:pPr>
    </w:p>
    <w:p w14:paraId="7D5A92E0" w14:textId="77777777" w:rsidR="009A602C" w:rsidRDefault="009A602C" w:rsidP="009A602C">
      <w:pPr>
        <w:spacing w:before="0" w:after="160" w:line="259" w:lineRule="auto"/>
        <w:rPr>
          <w:rFonts w:ascii="Calibri" w:eastAsia="Calibri" w:hAnsi="Calibri" w:cs="Calibri"/>
          <w:color w:val="000000"/>
          <w:szCs w:val="22"/>
          <w:u w:color="000000"/>
          <w:bdr w:val="nil"/>
        </w:rPr>
      </w:pPr>
      <w:r>
        <w:br w:type="page"/>
      </w:r>
    </w:p>
    <w:p w14:paraId="16C1858D" w14:textId="77777777" w:rsidR="009A602C" w:rsidRPr="00F1034D" w:rsidRDefault="009A602C" w:rsidP="009A602C">
      <w:pPr>
        <w:pStyle w:val="Heading1"/>
        <w:rPr>
          <w:color w:val="01653F"/>
        </w:rPr>
      </w:pPr>
      <w:bookmarkStart w:id="333" w:name="_Toc524100429"/>
      <w:r w:rsidRPr="00F1034D">
        <w:rPr>
          <w:rStyle w:val="Hyperlink0"/>
          <w:color w:val="01653F"/>
        </w:rPr>
        <w:lastRenderedPageBreak/>
        <w:t xml:space="preserve"> </w:t>
      </w:r>
      <w:bookmarkStart w:id="334" w:name="_Toc35347290"/>
      <w:r w:rsidRPr="00F1034D">
        <w:rPr>
          <w:rStyle w:val="Hyperlink0"/>
          <w:color w:val="01653F"/>
        </w:rPr>
        <w:t>New item recommendations</w:t>
      </w:r>
      <w:bookmarkEnd w:id="333"/>
      <w:bookmarkEnd w:id="334"/>
    </w:p>
    <w:p w14:paraId="192D3489" w14:textId="77777777" w:rsidR="009A602C" w:rsidRPr="001714A8" w:rsidRDefault="009A602C" w:rsidP="009A602C">
      <w:pPr>
        <w:pStyle w:val="Heading2"/>
      </w:pPr>
      <w:bookmarkStart w:id="335" w:name="_Toc524100430"/>
      <w:r w:rsidRPr="001714A8">
        <w:rPr>
          <w:rStyle w:val="Hyperlink0"/>
        </w:rPr>
        <w:t xml:space="preserve"> </w:t>
      </w:r>
      <w:bookmarkStart w:id="336" w:name="_Toc536548188"/>
      <w:bookmarkStart w:id="337" w:name="_Toc35347291"/>
      <w:r w:rsidRPr="001714A8">
        <w:rPr>
          <w:rStyle w:val="Hyperlink0"/>
        </w:rPr>
        <w:t>Overview</w:t>
      </w:r>
      <w:bookmarkEnd w:id="335"/>
      <w:bookmarkEnd w:id="336"/>
      <w:bookmarkEnd w:id="337"/>
    </w:p>
    <w:p w14:paraId="76453C17" w14:textId="77777777" w:rsidR="009A602C" w:rsidRPr="001714A8" w:rsidRDefault="009A602C" w:rsidP="009A602C">
      <w:pPr>
        <w:pStyle w:val="Body"/>
        <w:rPr>
          <w:lang w:val="en-GB"/>
        </w:rPr>
      </w:pPr>
      <w:r w:rsidRPr="001714A8">
        <w:rPr>
          <w:lang w:val="en-GB"/>
        </w:rPr>
        <w:t xml:space="preserve">The Committee recommended several new items for the treatment of glaucoma. These treatments reflect modern best practice but are not currently listed </w:t>
      </w:r>
      <w:r>
        <w:rPr>
          <w:lang w:val="en-GB"/>
        </w:rPr>
        <w:t>on</w:t>
      </w:r>
      <w:r w:rsidRPr="001714A8">
        <w:rPr>
          <w:lang w:val="en-GB"/>
        </w:rPr>
        <w:t xml:space="preserve"> the MBS. </w:t>
      </w:r>
    </w:p>
    <w:p w14:paraId="5B974EE1" w14:textId="77777777" w:rsidR="00615920" w:rsidRDefault="009A602C" w:rsidP="009A602C">
      <w:pPr>
        <w:pStyle w:val="Body"/>
        <w:rPr>
          <w:lang w:val="en-GB"/>
        </w:rPr>
      </w:pPr>
      <w:r w:rsidRPr="001714A8">
        <w:rPr>
          <w:lang w:val="en-GB"/>
        </w:rPr>
        <w:t>The Committee recognised that these procedures require ongoing assessment</w:t>
      </w:r>
      <w:r>
        <w:rPr>
          <w:lang w:val="en-GB"/>
        </w:rPr>
        <w:t xml:space="preserve"> of clinical efficacy and appropriate practice</w:t>
      </w:r>
      <w:r w:rsidRPr="001714A8">
        <w:rPr>
          <w:lang w:val="en-GB"/>
        </w:rPr>
        <w:t xml:space="preserve"> to enable implementation and nominated Associate Professor Paul Healey and Professor Stephanie Watson to work with the Department and RANZCO </w:t>
      </w:r>
      <w:r>
        <w:rPr>
          <w:lang w:val="en-GB"/>
        </w:rPr>
        <w:t>on</w:t>
      </w:r>
      <w:r w:rsidRPr="001714A8">
        <w:rPr>
          <w:lang w:val="en-GB"/>
        </w:rPr>
        <w:t xml:space="preserve"> this</w:t>
      </w:r>
      <w:r>
        <w:rPr>
          <w:lang w:val="en-GB"/>
        </w:rPr>
        <w:t>.</w:t>
      </w:r>
      <w:r w:rsidRPr="001714A8">
        <w:rPr>
          <w:lang w:val="en-GB"/>
        </w:rPr>
        <w:t xml:space="preserve"> </w:t>
      </w:r>
    </w:p>
    <w:p w14:paraId="591F33C4" w14:textId="4968FBF9" w:rsidR="009A602C" w:rsidRPr="001714A8" w:rsidRDefault="009A602C" w:rsidP="009A602C">
      <w:pPr>
        <w:pStyle w:val="Body"/>
        <w:rPr>
          <w:lang w:val="en-GB"/>
        </w:rPr>
      </w:pPr>
      <w:r w:rsidRPr="001714A8">
        <w:rPr>
          <w:lang w:val="en-GB"/>
        </w:rPr>
        <w:t>RANZCO has agreed to sponsor MSAC applications for these items and will provide the necessary supporting evidence.</w:t>
      </w:r>
    </w:p>
    <w:p w14:paraId="1D11D852" w14:textId="77777777" w:rsidR="009A602C" w:rsidRPr="001714A8" w:rsidRDefault="009A602C" w:rsidP="009A602C">
      <w:pPr>
        <w:pStyle w:val="Heading2"/>
      </w:pPr>
      <w:r w:rsidRPr="001714A8">
        <w:rPr>
          <w:rStyle w:val="None"/>
          <w:b w:val="0"/>
          <w:bCs/>
        </w:rPr>
        <w:t xml:space="preserve"> </w:t>
      </w:r>
      <w:bookmarkStart w:id="338" w:name="_Toc524100431"/>
      <w:bookmarkStart w:id="339" w:name="_Toc536548189"/>
      <w:bookmarkStart w:id="340" w:name="_Toc35347292"/>
      <w:r w:rsidRPr="001714A8">
        <w:rPr>
          <w:rStyle w:val="Hyperlink0"/>
        </w:rPr>
        <w:t>Glaucoma procedures</w:t>
      </w:r>
      <w:bookmarkEnd w:id="338"/>
      <w:bookmarkEnd w:id="339"/>
      <w:bookmarkEnd w:id="340"/>
    </w:p>
    <w:p w14:paraId="50A48DC4" w14:textId="77777777" w:rsidR="009A602C" w:rsidRPr="006C0792" w:rsidRDefault="009A602C" w:rsidP="009A602C">
      <w:pPr>
        <w:pStyle w:val="Heading3"/>
        <w:rPr>
          <w:rStyle w:val="None"/>
        </w:rPr>
      </w:pPr>
      <w:bookmarkStart w:id="341" w:name="_Toc536548190"/>
      <w:bookmarkStart w:id="342" w:name="_Toc35347293"/>
      <w:r w:rsidRPr="006C0792">
        <w:rPr>
          <w:rStyle w:val="None"/>
        </w:rPr>
        <w:t>Recommendation 15</w:t>
      </w:r>
      <w:bookmarkEnd w:id="341"/>
      <w:bookmarkEnd w:id="342"/>
    </w:p>
    <w:p w14:paraId="53DF7916" w14:textId="77777777" w:rsidR="009A602C" w:rsidRDefault="009A602C" w:rsidP="009A602C">
      <w:pPr>
        <w:pStyle w:val="Bullet-green"/>
        <w:rPr>
          <w:rStyle w:val="None"/>
          <w:rFonts w:ascii="Times New Roman" w:eastAsia="Arial Unicode MS" w:hAnsi="Times New Roman" w:cs="Times New Roman"/>
          <w:lang w:eastAsia="en-US"/>
        </w:rPr>
      </w:pPr>
      <w:r>
        <w:rPr>
          <w:rStyle w:val="None"/>
        </w:rPr>
        <w:t>Consider the creation of several new items for the treatment of glaucoma which have been proposed by ANZGS. These new items would cover the following procedures:</w:t>
      </w:r>
    </w:p>
    <w:p w14:paraId="3F351583" w14:textId="77777777" w:rsidR="009A602C" w:rsidRPr="001714A8" w:rsidRDefault="009A602C" w:rsidP="009A602C">
      <w:pPr>
        <w:pStyle w:val="Bullet2"/>
      </w:pPr>
      <w:r w:rsidRPr="001714A8">
        <w:rPr>
          <w:rStyle w:val="None"/>
        </w:rPr>
        <w:t xml:space="preserve">Repair of </w:t>
      </w:r>
      <w:proofErr w:type="spellStart"/>
      <w:r>
        <w:rPr>
          <w:rStyle w:val="None"/>
        </w:rPr>
        <w:t>c</w:t>
      </w:r>
      <w:r w:rsidRPr="001714A8">
        <w:rPr>
          <w:rStyle w:val="None"/>
        </w:rPr>
        <w:t>yclodialysis</w:t>
      </w:r>
      <w:proofErr w:type="spellEnd"/>
      <w:r w:rsidRPr="001714A8">
        <w:rPr>
          <w:rStyle w:val="None"/>
        </w:rPr>
        <w:t xml:space="preserve"> cleft.</w:t>
      </w:r>
    </w:p>
    <w:p w14:paraId="7287183B" w14:textId="77777777" w:rsidR="009A602C" w:rsidRPr="001714A8" w:rsidRDefault="009A602C" w:rsidP="009A602C">
      <w:pPr>
        <w:pStyle w:val="Bullet2"/>
      </w:pPr>
      <w:r w:rsidRPr="001714A8">
        <w:rPr>
          <w:rStyle w:val="None"/>
        </w:rPr>
        <w:t xml:space="preserve">Glaucoma, drainage device, removal or insertion of intraluminal stent or tying </w:t>
      </w:r>
      <w:proofErr w:type="gramStart"/>
      <w:r w:rsidRPr="001714A8">
        <w:rPr>
          <w:rStyle w:val="None"/>
        </w:rPr>
        <w:t>off of</w:t>
      </w:r>
      <w:proofErr w:type="gramEnd"/>
      <w:r w:rsidRPr="001714A8">
        <w:rPr>
          <w:rStyle w:val="None"/>
        </w:rPr>
        <w:t xml:space="preserve"> lumen.</w:t>
      </w:r>
    </w:p>
    <w:p w14:paraId="43B980E0" w14:textId="77777777" w:rsidR="009A602C" w:rsidRPr="001714A8" w:rsidRDefault="009A602C" w:rsidP="009A602C">
      <w:pPr>
        <w:pStyle w:val="Bullet2"/>
      </w:pPr>
      <w:r w:rsidRPr="001714A8">
        <w:rPr>
          <w:rStyle w:val="None"/>
        </w:rPr>
        <w:t xml:space="preserve">Sutured </w:t>
      </w:r>
      <w:proofErr w:type="spellStart"/>
      <w:r w:rsidRPr="001714A8">
        <w:rPr>
          <w:rStyle w:val="None"/>
        </w:rPr>
        <w:t>pupiloplasty</w:t>
      </w:r>
      <w:proofErr w:type="spellEnd"/>
      <w:r w:rsidRPr="001714A8">
        <w:rPr>
          <w:rStyle w:val="None"/>
        </w:rPr>
        <w:t xml:space="preserve"> for traumatic mydriasis. </w:t>
      </w:r>
    </w:p>
    <w:p w14:paraId="3E91EB84" w14:textId="77777777" w:rsidR="009A602C" w:rsidRPr="001714A8" w:rsidRDefault="009A602C" w:rsidP="009A602C">
      <w:pPr>
        <w:pStyle w:val="Bullet2"/>
      </w:pPr>
      <w:r w:rsidRPr="001714A8">
        <w:rPr>
          <w:rStyle w:val="None"/>
        </w:rPr>
        <w:t>Conjunctival flap repair of leaking blebs.</w:t>
      </w:r>
    </w:p>
    <w:p w14:paraId="7F04EE22" w14:textId="77777777" w:rsidR="009A602C" w:rsidRPr="001714A8" w:rsidRDefault="009A602C" w:rsidP="009A602C">
      <w:pPr>
        <w:pStyle w:val="Bullet2"/>
      </w:pPr>
      <w:proofErr w:type="gramStart"/>
      <w:r w:rsidRPr="001714A8">
        <w:rPr>
          <w:rStyle w:val="None"/>
        </w:rPr>
        <w:t>5-FU injection post filtration surgery,</w:t>
      </w:r>
      <w:proofErr w:type="gramEnd"/>
      <w:r w:rsidRPr="001714A8">
        <w:rPr>
          <w:rStyle w:val="None"/>
        </w:rPr>
        <w:t xml:space="preserve"> not associated with needling.</w:t>
      </w:r>
    </w:p>
    <w:p w14:paraId="7B307D9E" w14:textId="77777777" w:rsidR="009A602C" w:rsidRPr="001714A8" w:rsidRDefault="009A602C" w:rsidP="009A602C">
      <w:pPr>
        <w:pStyle w:val="Bullet2"/>
      </w:pPr>
      <w:r w:rsidRPr="001714A8">
        <w:rPr>
          <w:rStyle w:val="None"/>
        </w:rPr>
        <w:t>OCT diagnosis/monitoring of glaucoma, optic disc photographs</w:t>
      </w:r>
      <w:r>
        <w:rPr>
          <w:rStyle w:val="None"/>
        </w:rPr>
        <w:t>.</w:t>
      </w:r>
      <w:r w:rsidRPr="001714A8">
        <w:rPr>
          <w:rStyle w:val="None"/>
        </w:rPr>
        <w:t xml:space="preserve"> </w:t>
      </w:r>
    </w:p>
    <w:p w14:paraId="0E500C90" w14:textId="77777777" w:rsidR="009A602C" w:rsidRPr="001714A8" w:rsidRDefault="009A602C" w:rsidP="009A602C">
      <w:pPr>
        <w:pStyle w:val="Bullet2"/>
      </w:pPr>
      <w:r w:rsidRPr="001714A8">
        <w:rPr>
          <w:rStyle w:val="None"/>
        </w:rPr>
        <w:t xml:space="preserve">Delimiting (by conjunctival incision and suturing) of bleb for </w:t>
      </w:r>
      <w:proofErr w:type="spellStart"/>
      <w:r w:rsidRPr="001714A8">
        <w:rPr>
          <w:rStyle w:val="None"/>
        </w:rPr>
        <w:t>dysaesthesia</w:t>
      </w:r>
      <w:proofErr w:type="spellEnd"/>
      <w:r w:rsidRPr="001714A8">
        <w:rPr>
          <w:rStyle w:val="None"/>
        </w:rPr>
        <w:t xml:space="preserve"> or over-filtration.</w:t>
      </w:r>
    </w:p>
    <w:p w14:paraId="2FFEB506" w14:textId="77777777" w:rsidR="009A602C" w:rsidRPr="001714A8" w:rsidRDefault="009A602C" w:rsidP="009A602C">
      <w:pPr>
        <w:pStyle w:val="Bullet2"/>
      </w:pPr>
      <w:r w:rsidRPr="001714A8">
        <w:rPr>
          <w:rStyle w:val="None"/>
        </w:rPr>
        <w:t>Drainage of choroidal effusions.</w:t>
      </w:r>
    </w:p>
    <w:p w14:paraId="5973704F" w14:textId="77777777" w:rsidR="009A602C" w:rsidRPr="001714A8" w:rsidRDefault="009A602C" w:rsidP="009A602C">
      <w:pPr>
        <w:pStyle w:val="Bullet2"/>
      </w:pPr>
      <w:r w:rsidRPr="001714A8">
        <w:rPr>
          <w:rStyle w:val="None"/>
        </w:rPr>
        <w:t xml:space="preserve">Trans-conjunctival </w:t>
      </w:r>
      <w:r>
        <w:rPr>
          <w:rStyle w:val="None"/>
        </w:rPr>
        <w:t>b</w:t>
      </w:r>
      <w:r w:rsidRPr="001714A8">
        <w:rPr>
          <w:rStyle w:val="None"/>
        </w:rPr>
        <w:t>leb compression suturing.</w:t>
      </w:r>
    </w:p>
    <w:p w14:paraId="3CA86B54" w14:textId="77777777" w:rsidR="009A602C" w:rsidRPr="001714A8" w:rsidRDefault="009A602C" w:rsidP="009A602C">
      <w:pPr>
        <w:pStyle w:val="Body"/>
        <w:rPr>
          <w:lang w:val="en-GB"/>
        </w:rPr>
      </w:pPr>
    </w:p>
    <w:p w14:paraId="242A4D2F" w14:textId="77777777" w:rsidR="009A602C" w:rsidRPr="006C0792" w:rsidRDefault="009A602C" w:rsidP="009A602C">
      <w:pPr>
        <w:pStyle w:val="Heading3"/>
        <w:rPr>
          <w:rStyle w:val="None"/>
        </w:rPr>
      </w:pPr>
      <w:bookmarkStart w:id="343" w:name="_Toc536548191"/>
      <w:bookmarkStart w:id="344" w:name="_Toc35347294"/>
      <w:r>
        <w:rPr>
          <w:rStyle w:val="None"/>
        </w:rPr>
        <w:t>Rationale for Recommendation</w:t>
      </w:r>
      <w:r w:rsidRPr="006C0792">
        <w:rPr>
          <w:rStyle w:val="None"/>
        </w:rPr>
        <w:t xml:space="preserve"> 15</w:t>
      </w:r>
      <w:bookmarkEnd w:id="343"/>
      <w:bookmarkEnd w:id="344"/>
    </w:p>
    <w:p w14:paraId="05DFCB7C" w14:textId="77777777" w:rsidR="009A602C" w:rsidRDefault="009A602C" w:rsidP="009A602C">
      <w:pPr>
        <w:pStyle w:val="Body"/>
        <w:rPr>
          <w:lang w:val="en-GB"/>
        </w:rPr>
      </w:pPr>
      <w:r>
        <w:rPr>
          <w:lang w:val="en-GB"/>
        </w:rPr>
        <w:t xml:space="preserve">This recommendation focuses on aligning the MBS with modern best practice. It is based on the following. </w:t>
      </w:r>
    </w:p>
    <w:p w14:paraId="758E0B7E" w14:textId="77777777" w:rsidR="009A602C" w:rsidRPr="001714A8" w:rsidRDefault="009A602C" w:rsidP="009A602C">
      <w:pPr>
        <w:pStyle w:val="Bullet-green"/>
      </w:pPr>
      <w:r w:rsidRPr="001714A8">
        <w:t xml:space="preserve">These treatments reflect modern best practice </w:t>
      </w:r>
      <w:r>
        <w:t xml:space="preserve">in the Committee’s view </w:t>
      </w:r>
      <w:r w:rsidRPr="001714A8">
        <w:t xml:space="preserve">but are not currently listed </w:t>
      </w:r>
      <w:r>
        <w:t>on</w:t>
      </w:r>
      <w:r w:rsidRPr="001714A8">
        <w:t xml:space="preserve"> the MBS. RANZCO has agreed to sponsor MSAC applications for these items and will provide the necessary supporting evidence. </w:t>
      </w:r>
    </w:p>
    <w:p w14:paraId="655BCA7F" w14:textId="77777777" w:rsidR="009A602C" w:rsidRDefault="009A602C" w:rsidP="009A602C">
      <w:pPr>
        <w:pStyle w:val="Bullet-green"/>
      </w:pPr>
      <w:r w:rsidRPr="00BE6B9E">
        <w:t xml:space="preserve">The Committee nominated Associate Professor Paul Healey and Professor Stephanie Watson to work with the Department and RANZCO </w:t>
      </w:r>
      <w:r>
        <w:t>on</w:t>
      </w:r>
      <w:r w:rsidRPr="00BE6B9E">
        <w:t xml:space="preserve"> </w:t>
      </w:r>
      <w:r>
        <w:t>an</w:t>
      </w:r>
      <w:r w:rsidRPr="00BE6B9E">
        <w:t xml:space="preserve"> ongoing assessment</w:t>
      </w:r>
      <w:r>
        <w:t xml:space="preserve"> of clinical efficacy and appropriate practice</w:t>
      </w:r>
      <w:r w:rsidRPr="00BE6B9E">
        <w:t xml:space="preserve">. </w:t>
      </w:r>
    </w:p>
    <w:p w14:paraId="0D744F5E" w14:textId="77777777" w:rsidR="009A602C" w:rsidRDefault="009A602C" w:rsidP="009A602C">
      <w:pPr>
        <w:spacing w:before="0" w:after="160" w:line="259" w:lineRule="auto"/>
      </w:pPr>
      <w:r>
        <w:br w:type="page"/>
      </w:r>
    </w:p>
    <w:p w14:paraId="42158BD6" w14:textId="77777777" w:rsidR="009A602C" w:rsidRPr="00F1034D" w:rsidRDefault="009A602C" w:rsidP="009A602C">
      <w:pPr>
        <w:pStyle w:val="Heading1"/>
        <w:rPr>
          <w:color w:val="01653F"/>
        </w:rPr>
      </w:pPr>
      <w:bookmarkStart w:id="345" w:name="_Toc524100432"/>
      <w:r w:rsidRPr="00F1034D">
        <w:rPr>
          <w:color w:val="01653F"/>
        </w:rPr>
        <w:lastRenderedPageBreak/>
        <w:t xml:space="preserve"> </w:t>
      </w:r>
      <w:bookmarkStart w:id="346" w:name="_Toc35347295"/>
      <w:r w:rsidRPr="00F1034D">
        <w:rPr>
          <w:color w:val="01653F"/>
        </w:rPr>
        <w:t>Cataract surgery and eye injections – questions from the Taskforce</w:t>
      </w:r>
      <w:bookmarkEnd w:id="346"/>
      <w:r w:rsidRPr="00F1034D">
        <w:rPr>
          <w:color w:val="01653F"/>
        </w:rPr>
        <w:t xml:space="preserve"> </w:t>
      </w:r>
      <w:bookmarkEnd w:id="345"/>
    </w:p>
    <w:p w14:paraId="4FA25D8B" w14:textId="77777777" w:rsidR="009A602C" w:rsidRPr="001714A8" w:rsidRDefault="009A602C" w:rsidP="009A602C">
      <w:pPr>
        <w:pStyle w:val="Heading2"/>
      </w:pPr>
      <w:bookmarkStart w:id="347" w:name="_Toc524100433"/>
      <w:r w:rsidRPr="001714A8">
        <w:rPr>
          <w:rStyle w:val="Hyperlink0"/>
        </w:rPr>
        <w:t xml:space="preserve"> </w:t>
      </w:r>
      <w:bookmarkStart w:id="348" w:name="_Toc536548193"/>
      <w:bookmarkStart w:id="349" w:name="_Toc35347296"/>
      <w:r w:rsidRPr="001714A8">
        <w:rPr>
          <w:rStyle w:val="Hyperlink0"/>
        </w:rPr>
        <w:t>Overview</w:t>
      </w:r>
      <w:bookmarkEnd w:id="347"/>
      <w:bookmarkEnd w:id="348"/>
      <w:bookmarkEnd w:id="349"/>
    </w:p>
    <w:p w14:paraId="5849CEA2" w14:textId="77777777" w:rsidR="00615920" w:rsidRDefault="009A602C" w:rsidP="009A602C">
      <w:pPr>
        <w:pStyle w:val="Body"/>
        <w:rPr>
          <w:rStyle w:val="None"/>
          <w:lang w:val="en-GB"/>
        </w:rPr>
      </w:pPr>
      <w:r w:rsidRPr="001714A8">
        <w:rPr>
          <w:rStyle w:val="None"/>
          <w:lang w:val="en-GB"/>
        </w:rPr>
        <w:t xml:space="preserve">The Taskforce requested that the Committee respond to three questions related to stakeholder concerns </w:t>
      </w:r>
      <w:r>
        <w:rPr>
          <w:rStyle w:val="None"/>
          <w:lang w:val="en-GB"/>
        </w:rPr>
        <w:t>about</w:t>
      </w:r>
      <w:r w:rsidRPr="001714A8">
        <w:rPr>
          <w:rStyle w:val="None"/>
          <w:lang w:val="en-GB"/>
        </w:rPr>
        <w:t xml:space="preserve"> cataract surgery and eye injection </w:t>
      </w:r>
      <w:r>
        <w:rPr>
          <w:rStyle w:val="None"/>
          <w:lang w:val="en-GB"/>
        </w:rPr>
        <w:t xml:space="preserve">schedule </w:t>
      </w:r>
      <w:r w:rsidRPr="001714A8">
        <w:rPr>
          <w:rStyle w:val="None"/>
          <w:lang w:val="en-GB"/>
        </w:rPr>
        <w:t xml:space="preserve">fees and out-of-pocket costs. </w:t>
      </w:r>
      <w:r>
        <w:rPr>
          <w:rStyle w:val="None"/>
          <w:lang w:val="en-GB"/>
        </w:rPr>
        <w:t xml:space="preserve"> </w:t>
      </w:r>
    </w:p>
    <w:p w14:paraId="22EB7E4E" w14:textId="3A07CCD5" w:rsidR="009A602C" w:rsidRPr="001714A8" w:rsidRDefault="009A602C" w:rsidP="009A602C">
      <w:pPr>
        <w:pStyle w:val="Body"/>
        <w:rPr>
          <w:lang w:val="en-GB"/>
        </w:rPr>
      </w:pPr>
      <w:r w:rsidRPr="001714A8">
        <w:rPr>
          <w:rStyle w:val="None"/>
          <w:lang w:val="en-GB"/>
        </w:rPr>
        <w:t xml:space="preserve">The Taskforce recognised that </w:t>
      </w:r>
      <w:r w:rsidRPr="001714A8">
        <w:rPr>
          <w:lang w:val="en-GB"/>
        </w:rPr>
        <w:t xml:space="preserve">while the primary focus of the </w:t>
      </w:r>
      <w:r>
        <w:rPr>
          <w:lang w:val="en-GB"/>
        </w:rPr>
        <w:t xml:space="preserve">MBS </w:t>
      </w:r>
      <w:r w:rsidRPr="001714A8">
        <w:rPr>
          <w:lang w:val="en-GB"/>
        </w:rPr>
        <w:t xml:space="preserve">Review is ensuring that individual items and usage meet the definition of best practice, there is considerable scope to review and provide advice on all aspects that would contribute to a modern, transparent and responsive system. </w:t>
      </w:r>
      <w:r w:rsidRPr="001714A8">
        <w:rPr>
          <w:rStyle w:val="None"/>
          <w:lang w:val="en-GB"/>
        </w:rPr>
        <w:t xml:space="preserve"> </w:t>
      </w:r>
    </w:p>
    <w:p w14:paraId="3F5943E3" w14:textId="77777777" w:rsidR="009A602C" w:rsidRPr="001714A8" w:rsidRDefault="009A602C" w:rsidP="009A602C">
      <w:pPr>
        <w:pStyle w:val="Body"/>
        <w:rPr>
          <w:lang w:val="en-GB"/>
        </w:rPr>
      </w:pPr>
      <w:r w:rsidRPr="001714A8">
        <w:rPr>
          <w:rStyle w:val="None"/>
          <w:lang w:val="en-GB"/>
        </w:rPr>
        <w:t xml:space="preserve">The Committee has made </w:t>
      </w:r>
      <w:r>
        <w:rPr>
          <w:rStyle w:val="None"/>
          <w:lang w:val="en-GB"/>
        </w:rPr>
        <w:t>two</w:t>
      </w:r>
      <w:r w:rsidRPr="001714A8">
        <w:rPr>
          <w:rStyle w:val="None"/>
          <w:lang w:val="en-GB"/>
        </w:rPr>
        <w:t xml:space="preserve"> recommendations related to these questions.</w:t>
      </w:r>
    </w:p>
    <w:p w14:paraId="5E8E353A" w14:textId="77777777" w:rsidR="009A602C" w:rsidRPr="001714A8" w:rsidRDefault="009A602C" w:rsidP="009A602C">
      <w:pPr>
        <w:pStyle w:val="Heading2"/>
      </w:pPr>
      <w:bookmarkStart w:id="350" w:name="_Toc524100434"/>
      <w:r w:rsidRPr="001714A8">
        <w:rPr>
          <w:rStyle w:val="Hyperlink0"/>
        </w:rPr>
        <w:t xml:space="preserve"> </w:t>
      </w:r>
      <w:bookmarkStart w:id="351" w:name="_Toc536548194"/>
      <w:bookmarkStart w:id="352" w:name="_Toc35347297"/>
      <w:r w:rsidRPr="001714A8">
        <w:rPr>
          <w:rStyle w:val="Hyperlink0"/>
        </w:rPr>
        <w:t>Questions and recommendations</w:t>
      </w:r>
      <w:bookmarkEnd w:id="350"/>
      <w:bookmarkEnd w:id="351"/>
      <w:bookmarkEnd w:id="352"/>
    </w:p>
    <w:p w14:paraId="109CE324" w14:textId="77777777" w:rsidR="009A602C" w:rsidRDefault="009A602C" w:rsidP="009A602C">
      <w:pPr>
        <w:pStyle w:val="Body"/>
        <w:rPr>
          <w:b/>
          <w:i/>
        </w:rPr>
      </w:pPr>
      <w:r w:rsidRPr="00315286">
        <w:rPr>
          <w:b/>
          <w:i/>
        </w:rPr>
        <w:t xml:space="preserve">Question 1: The MBS rebate/schedule fee for cataract surgery and eye injections is higher on a time basis than other schedule items. Can this be justified? </w:t>
      </w:r>
    </w:p>
    <w:p w14:paraId="6DC29339" w14:textId="77777777" w:rsidR="009A602C" w:rsidRPr="00DD1587" w:rsidRDefault="009A602C" w:rsidP="009A602C">
      <w:pPr>
        <w:pStyle w:val="Body"/>
        <w:rPr>
          <w:rStyle w:val="None"/>
        </w:rPr>
      </w:pPr>
      <w:r>
        <w:rPr>
          <w:b/>
          <w:i/>
        </w:rPr>
        <w:t>Answer:</w:t>
      </w:r>
    </w:p>
    <w:p w14:paraId="5C96E5EB" w14:textId="77777777" w:rsidR="009A602C" w:rsidRDefault="009A602C" w:rsidP="009A602C">
      <w:pPr>
        <w:pStyle w:val="Bullet-green"/>
        <w:rPr>
          <w:rStyle w:val="None"/>
        </w:rPr>
      </w:pPr>
      <w:r w:rsidRPr="001714A8">
        <w:rPr>
          <w:rStyle w:val="None"/>
        </w:rPr>
        <w:t>The Committee consider</w:t>
      </w:r>
      <w:r>
        <w:rPr>
          <w:rStyle w:val="None"/>
        </w:rPr>
        <w:t>s</w:t>
      </w:r>
      <w:r w:rsidRPr="001714A8">
        <w:rPr>
          <w:rStyle w:val="None"/>
        </w:rPr>
        <w:t xml:space="preserve"> the cataract surgery </w:t>
      </w:r>
      <w:r>
        <w:rPr>
          <w:rStyle w:val="None"/>
        </w:rPr>
        <w:t>s</w:t>
      </w:r>
      <w:r w:rsidRPr="001714A8">
        <w:rPr>
          <w:rStyle w:val="None"/>
        </w:rPr>
        <w:t>chedule fee to be justified</w:t>
      </w:r>
      <w:r>
        <w:rPr>
          <w:rStyle w:val="None"/>
        </w:rPr>
        <w:t>. This schedule fee</w:t>
      </w:r>
      <w:r w:rsidRPr="001714A8">
        <w:rPr>
          <w:rStyle w:val="None"/>
        </w:rPr>
        <w:t xml:space="preserve"> has</w:t>
      </w:r>
      <w:r>
        <w:rPr>
          <w:rStyle w:val="None"/>
        </w:rPr>
        <w:t xml:space="preserve"> already</w:t>
      </w:r>
      <w:r w:rsidRPr="001714A8">
        <w:rPr>
          <w:rStyle w:val="None"/>
        </w:rPr>
        <w:t xml:space="preserve"> been reduced </w:t>
      </w:r>
      <w:r>
        <w:rPr>
          <w:rStyle w:val="None"/>
        </w:rPr>
        <w:t>three times</w:t>
      </w:r>
      <w:r w:rsidRPr="001714A8">
        <w:rPr>
          <w:rStyle w:val="None"/>
        </w:rPr>
        <w:t xml:space="preserve"> (</w:t>
      </w:r>
      <w:r>
        <w:rPr>
          <w:rStyle w:val="None"/>
        </w:rPr>
        <w:t xml:space="preserve">in </w:t>
      </w:r>
      <w:r w:rsidRPr="001714A8">
        <w:rPr>
          <w:rStyle w:val="None"/>
        </w:rPr>
        <w:t>198</w:t>
      </w:r>
      <w:r>
        <w:rPr>
          <w:rStyle w:val="None"/>
        </w:rPr>
        <w:t>7, 1996</w:t>
      </w:r>
      <w:r w:rsidRPr="001714A8">
        <w:rPr>
          <w:rStyle w:val="None"/>
        </w:rPr>
        <w:t xml:space="preserve"> and 20</w:t>
      </w:r>
      <w:r>
        <w:rPr>
          <w:rStyle w:val="None"/>
        </w:rPr>
        <w:t>09</w:t>
      </w:r>
      <w:r w:rsidRPr="001714A8">
        <w:rPr>
          <w:rStyle w:val="None"/>
        </w:rPr>
        <w:t>)</w:t>
      </w:r>
      <w:r>
        <w:rPr>
          <w:rStyle w:val="None"/>
        </w:rPr>
        <w:t xml:space="preserve"> and frozen since 2010; and</w:t>
      </w:r>
      <w:r w:rsidRPr="001714A8">
        <w:rPr>
          <w:rStyle w:val="None"/>
        </w:rPr>
        <w:t xml:space="preserve"> </w:t>
      </w:r>
      <w:r>
        <w:rPr>
          <w:rStyle w:val="None"/>
        </w:rPr>
        <w:t>t</w:t>
      </w:r>
      <w:r w:rsidRPr="001714A8">
        <w:rPr>
          <w:rStyle w:val="None"/>
        </w:rPr>
        <w:t xml:space="preserve">here has been no material change in the time efficiency of cataract surgery since the late 1990s. </w:t>
      </w:r>
      <w:r>
        <w:rPr>
          <w:rStyle w:val="None"/>
        </w:rPr>
        <w:t>The i</w:t>
      </w:r>
      <w:r w:rsidRPr="001714A8">
        <w:rPr>
          <w:rStyle w:val="None"/>
        </w:rPr>
        <w:t xml:space="preserve">ntroduction of new technology, such as </w:t>
      </w:r>
      <w:proofErr w:type="spellStart"/>
      <w:r w:rsidRPr="001714A8">
        <w:rPr>
          <w:rStyle w:val="None"/>
        </w:rPr>
        <w:t>toric</w:t>
      </w:r>
      <w:proofErr w:type="spellEnd"/>
      <w:r w:rsidRPr="001714A8">
        <w:rPr>
          <w:rStyle w:val="None"/>
        </w:rPr>
        <w:t xml:space="preserve"> intra</w:t>
      </w:r>
      <w:r>
        <w:rPr>
          <w:rStyle w:val="None"/>
        </w:rPr>
        <w:t>-</w:t>
      </w:r>
      <w:r w:rsidRPr="001714A8">
        <w:rPr>
          <w:rStyle w:val="None"/>
        </w:rPr>
        <w:t>ocular lenses, has</w:t>
      </w:r>
      <w:r>
        <w:rPr>
          <w:rStyle w:val="None"/>
        </w:rPr>
        <w:t xml:space="preserve"> also</w:t>
      </w:r>
      <w:r w:rsidRPr="001714A8">
        <w:rPr>
          <w:rStyle w:val="None"/>
        </w:rPr>
        <w:t xml:space="preserve"> increased patient expectations. Responding to these expectations requires enhanced preoperative technical measurement</w:t>
      </w:r>
      <w:r>
        <w:rPr>
          <w:rStyle w:val="None"/>
        </w:rPr>
        <w:t xml:space="preserve"> and </w:t>
      </w:r>
      <w:r w:rsidRPr="001714A8">
        <w:rPr>
          <w:rStyle w:val="None"/>
        </w:rPr>
        <w:t xml:space="preserve">additional staff, equipment and infrastructure. </w:t>
      </w:r>
    </w:p>
    <w:p w14:paraId="23FF5E16" w14:textId="77777777" w:rsidR="009A602C" w:rsidRDefault="009A602C" w:rsidP="009A602C">
      <w:pPr>
        <w:pStyle w:val="Bullet-green"/>
        <w:rPr>
          <w:rStyle w:val="None"/>
        </w:rPr>
      </w:pPr>
      <w:r w:rsidRPr="009C159A">
        <w:t xml:space="preserve">The Committee </w:t>
      </w:r>
      <w:r w:rsidRPr="009C159A">
        <w:rPr>
          <w:rStyle w:val="None"/>
        </w:rPr>
        <w:t>consider</w:t>
      </w:r>
      <w:r>
        <w:rPr>
          <w:rStyle w:val="None"/>
        </w:rPr>
        <w:t>s</w:t>
      </w:r>
      <w:r w:rsidRPr="009C159A">
        <w:rPr>
          <w:rStyle w:val="None"/>
        </w:rPr>
        <w:t xml:space="preserve"> the current eye injection </w:t>
      </w:r>
      <w:r>
        <w:rPr>
          <w:rStyle w:val="None"/>
        </w:rPr>
        <w:t>s</w:t>
      </w:r>
      <w:r w:rsidRPr="009C159A">
        <w:rPr>
          <w:rStyle w:val="None"/>
        </w:rPr>
        <w:t xml:space="preserve">chedule fee to be justified. </w:t>
      </w:r>
      <w:r>
        <w:rPr>
          <w:rStyle w:val="None"/>
        </w:rPr>
        <w:t>The schedule fee</w:t>
      </w:r>
      <w:r w:rsidRPr="009C159A">
        <w:rPr>
          <w:rStyle w:val="None"/>
        </w:rPr>
        <w:t xml:space="preserve"> underpins service delivery, particularly for patients </w:t>
      </w:r>
      <w:r>
        <w:rPr>
          <w:rStyle w:val="None"/>
        </w:rPr>
        <w:t xml:space="preserve">initially </w:t>
      </w:r>
      <w:r w:rsidRPr="009C159A">
        <w:rPr>
          <w:rStyle w:val="None"/>
        </w:rPr>
        <w:t>treated in the overburdened public system then transferred to private ophthalmologists</w:t>
      </w:r>
      <w:r>
        <w:rPr>
          <w:rStyle w:val="None"/>
        </w:rPr>
        <w:t>, and those treated in “privatised” clinics associated with public hospitals.</w:t>
      </w:r>
      <w:r w:rsidRPr="009C159A">
        <w:rPr>
          <w:rStyle w:val="None"/>
        </w:rPr>
        <w:t xml:space="preserve"> </w:t>
      </w:r>
      <w:r>
        <w:rPr>
          <w:rStyle w:val="None"/>
        </w:rPr>
        <w:t>The Committee</w:t>
      </w:r>
      <w:r w:rsidRPr="009C159A">
        <w:rPr>
          <w:rStyle w:val="None"/>
        </w:rPr>
        <w:t xml:space="preserve"> </w:t>
      </w:r>
      <w:r>
        <w:rPr>
          <w:rStyle w:val="None"/>
        </w:rPr>
        <w:t>noted</w:t>
      </w:r>
      <w:r w:rsidRPr="009C159A">
        <w:rPr>
          <w:rStyle w:val="None"/>
        </w:rPr>
        <w:t xml:space="preserve"> that </w:t>
      </w:r>
      <w:r>
        <w:rPr>
          <w:rStyle w:val="None"/>
        </w:rPr>
        <w:t>al</w:t>
      </w:r>
      <w:r w:rsidRPr="009C159A">
        <w:rPr>
          <w:rStyle w:val="None"/>
        </w:rPr>
        <w:t xml:space="preserve">most </w:t>
      </w:r>
      <w:r>
        <w:rPr>
          <w:rStyle w:val="None"/>
        </w:rPr>
        <w:t xml:space="preserve">all </w:t>
      </w:r>
      <w:r w:rsidRPr="009C159A">
        <w:rPr>
          <w:rStyle w:val="None"/>
        </w:rPr>
        <w:t xml:space="preserve">intravitreal injections also </w:t>
      </w:r>
      <w:r>
        <w:rPr>
          <w:rStyle w:val="None"/>
        </w:rPr>
        <w:t>include</w:t>
      </w:r>
      <w:r w:rsidRPr="009C159A">
        <w:rPr>
          <w:rStyle w:val="None"/>
        </w:rPr>
        <w:t xml:space="preserve"> an OCT service and consultation</w:t>
      </w:r>
      <w:r>
        <w:rPr>
          <w:rStyle w:val="None"/>
        </w:rPr>
        <w:t>.</w:t>
      </w:r>
      <w:r w:rsidRPr="009C159A">
        <w:rPr>
          <w:rStyle w:val="None"/>
        </w:rPr>
        <w:t xml:space="preserve"> </w:t>
      </w:r>
      <w:r>
        <w:rPr>
          <w:rStyle w:val="None"/>
        </w:rPr>
        <w:t>T</w:t>
      </w:r>
      <w:r w:rsidRPr="009C159A">
        <w:rPr>
          <w:rStyle w:val="None"/>
        </w:rPr>
        <w:t>he</w:t>
      </w:r>
      <w:r>
        <w:rPr>
          <w:rStyle w:val="None"/>
        </w:rPr>
        <w:t xml:space="preserve"> MBS only has</w:t>
      </w:r>
      <w:r w:rsidRPr="009C159A">
        <w:rPr>
          <w:rStyle w:val="None"/>
        </w:rPr>
        <w:t xml:space="preserve"> an initial OCT item</w:t>
      </w:r>
      <w:r>
        <w:rPr>
          <w:rStyle w:val="None"/>
        </w:rPr>
        <w:t>,</w:t>
      </w:r>
      <w:r w:rsidRPr="009C159A">
        <w:rPr>
          <w:rStyle w:val="None"/>
        </w:rPr>
        <w:t xml:space="preserve"> </w:t>
      </w:r>
      <w:r w:rsidRPr="009C159A">
        <w:rPr>
          <w:rStyle w:val="None"/>
        </w:rPr>
        <w:lastRenderedPageBreak/>
        <w:t>and a subsequent consultation item number 105 can no longer be charged at the time of an intravitreal injection</w:t>
      </w:r>
      <w:r>
        <w:rPr>
          <w:rStyle w:val="None"/>
        </w:rPr>
        <w:t xml:space="preserve"> (effective November 1, 2017)</w:t>
      </w:r>
      <w:r w:rsidRPr="009C159A">
        <w:rPr>
          <w:rStyle w:val="None"/>
        </w:rPr>
        <w:t xml:space="preserve">. </w:t>
      </w:r>
    </w:p>
    <w:p w14:paraId="16C9332F" w14:textId="77777777" w:rsidR="009A602C" w:rsidRPr="0079766A" w:rsidRDefault="009A602C" w:rsidP="009A602C">
      <w:pPr>
        <w:pStyle w:val="Bullet-green"/>
        <w:numPr>
          <w:ilvl w:val="0"/>
          <w:numId w:val="0"/>
        </w:numPr>
      </w:pPr>
      <w:r>
        <w:rPr>
          <w:rStyle w:val="None"/>
        </w:rPr>
        <w:t xml:space="preserve">The Committee suggested an OCT item be introduced, </w:t>
      </w:r>
      <w:r w:rsidRPr="001714A8">
        <w:rPr>
          <w:rStyle w:val="None"/>
        </w:rPr>
        <w:t xml:space="preserve">to </w:t>
      </w:r>
      <w:r>
        <w:rPr>
          <w:rStyle w:val="None"/>
        </w:rPr>
        <w:t>fund subsequent</w:t>
      </w:r>
      <w:r w:rsidRPr="001714A8">
        <w:rPr>
          <w:rStyle w:val="None"/>
        </w:rPr>
        <w:t xml:space="preserve"> OCT</w:t>
      </w:r>
      <w:r>
        <w:rPr>
          <w:rStyle w:val="None"/>
        </w:rPr>
        <w:t xml:space="preserve"> scans,</w:t>
      </w:r>
      <w:r w:rsidRPr="001714A8">
        <w:rPr>
          <w:rStyle w:val="None"/>
        </w:rPr>
        <w:t xml:space="preserve"> and</w:t>
      </w:r>
      <w:r>
        <w:rPr>
          <w:rStyle w:val="None"/>
        </w:rPr>
        <w:t xml:space="preserve"> that the</w:t>
      </w:r>
      <w:r w:rsidRPr="001714A8">
        <w:rPr>
          <w:rStyle w:val="None"/>
        </w:rPr>
        <w:t xml:space="preserve"> eye injection </w:t>
      </w:r>
      <w:r>
        <w:rPr>
          <w:rStyle w:val="None"/>
        </w:rPr>
        <w:t>schedule fee be lowered by</w:t>
      </w:r>
      <w:r w:rsidRPr="001714A8">
        <w:rPr>
          <w:rStyle w:val="None"/>
        </w:rPr>
        <w:t xml:space="preserve"> approximately the amount of the OCT </w:t>
      </w:r>
      <w:r>
        <w:rPr>
          <w:rStyle w:val="None"/>
        </w:rPr>
        <w:t>s</w:t>
      </w:r>
      <w:r w:rsidRPr="001714A8">
        <w:rPr>
          <w:rStyle w:val="None"/>
        </w:rPr>
        <w:t>chedule fee.</w:t>
      </w:r>
      <w:r>
        <w:rPr>
          <w:rStyle w:val="None"/>
        </w:rPr>
        <w:t xml:space="preserve"> The Committee’s reason for this was that it </w:t>
      </w:r>
      <w:r>
        <w:t>considered current</w:t>
      </w:r>
      <w:r w:rsidRPr="0054549A">
        <w:t xml:space="preserve"> treatment regimens </w:t>
      </w:r>
      <w:r>
        <w:t xml:space="preserve">to </w:t>
      </w:r>
      <w:r w:rsidRPr="0054549A">
        <w:t>rely on the use of OCT to determine the need for / timing of intravitreal (eye)</w:t>
      </w:r>
      <w:r>
        <w:t xml:space="preserve"> injections. The Committee notes</w:t>
      </w:r>
      <w:r w:rsidRPr="0054549A">
        <w:t xml:space="preserve"> that a further MSAC application would likely be necessary for such an item, given MSAC’s recent review of OCT.</w:t>
      </w:r>
    </w:p>
    <w:p w14:paraId="3FBD4699" w14:textId="77777777" w:rsidR="009A602C" w:rsidRDefault="009A602C" w:rsidP="009A602C">
      <w:pPr>
        <w:pStyle w:val="Body"/>
        <w:rPr>
          <w:b/>
          <w:i/>
        </w:rPr>
      </w:pPr>
      <w:r w:rsidRPr="00315286">
        <w:rPr>
          <w:b/>
          <w:i/>
        </w:rPr>
        <w:t>Question 2: Out-of-pocket costs for eye injections and cataract surgery are high. What can be done to reduce the financial burden on patients?</w:t>
      </w:r>
    </w:p>
    <w:p w14:paraId="5B4A4215" w14:textId="77777777" w:rsidR="009A602C" w:rsidRDefault="009A602C" w:rsidP="009A602C">
      <w:pPr>
        <w:pStyle w:val="Body"/>
        <w:rPr>
          <w:b/>
          <w:i/>
        </w:rPr>
      </w:pPr>
      <w:r>
        <w:rPr>
          <w:b/>
          <w:i/>
        </w:rPr>
        <w:t>Answer:</w:t>
      </w:r>
    </w:p>
    <w:p w14:paraId="4AD60C0D" w14:textId="77777777" w:rsidR="009A602C" w:rsidRDefault="009A602C" w:rsidP="009A602C">
      <w:pPr>
        <w:pStyle w:val="Body"/>
      </w:pPr>
      <w:r>
        <w:t>Expanding and improving public hospital service provision through improved funding for ophthalmology staff specialists, as well as infrastructure and services themselves. This is further detailed in Recommendation 16 below.</w:t>
      </w:r>
    </w:p>
    <w:p w14:paraId="10992232" w14:textId="1A5F3E67" w:rsidR="009A602C" w:rsidRDefault="009A602C" w:rsidP="009A602C">
      <w:pPr>
        <w:pStyle w:val="Body"/>
      </w:pPr>
      <w:r>
        <w:t>Improving consumer knowledge of, and access to, accurate information</w:t>
      </w:r>
      <w:r w:rsidR="00701E1C">
        <w:t xml:space="preserve"> (health literacy)</w:t>
      </w:r>
      <w:r>
        <w:t xml:space="preserve"> regarding the costs of specialist services, as described in Recommendation 17 below.</w:t>
      </w:r>
    </w:p>
    <w:p w14:paraId="5DC198FA" w14:textId="77777777" w:rsidR="009A602C" w:rsidRPr="0079766A" w:rsidRDefault="009A602C" w:rsidP="009A602C">
      <w:pPr>
        <w:pStyle w:val="Bullet-green"/>
        <w:numPr>
          <w:ilvl w:val="0"/>
          <w:numId w:val="0"/>
        </w:numPr>
        <w:rPr>
          <w:rFonts w:ascii="Calibri" w:eastAsia="Calibri" w:hAnsi="Calibri" w:cs="Calibri"/>
          <w:color w:val="000000"/>
          <w:szCs w:val="22"/>
          <w:u w:color="000000"/>
          <w:bdr w:val="nil"/>
          <w:lang w:val="en-AU"/>
        </w:rPr>
      </w:pPr>
      <w:r>
        <w:t xml:space="preserve">The Committee noted the high level of variation in out-of-pocket fees charged by </w:t>
      </w:r>
      <w:r w:rsidRPr="00550932">
        <w:t xml:space="preserve">clinicians for the same </w:t>
      </w:r>
      <w:proofErr w:type="gramStart"/>
      <w:r w:rsidRPr="00550932">
        <w:t>treatment, and</w:t>
      </w:r>
      <w:proofErr w:type="gramEnd"/>
      <w:r w:rsidRPr="00550932">
        <w:t xml:space="preserve"> believes this to contribute to the high out-of-pocket levels for some patients. The MBS could further assist consumers by monitoring providers charging anomalous out-of-pocket levels. </w:t>
      </w:r>
    </w:p>
    <w:p w14:paraId="67168D3A" w14:textId="77777777" w:rsidR="009A602C" w:rsidRPr="000676D7" w:rsidRDefault="009A602C" w:rsidP="009A602C">
      <w:pPr>
        <w:pStyle w:val="Heading3"/>
      </w:pPr>
      <w:bookmarkStart w:id="353" w:name="_Toc536548195"/>
      <w:bookmarkStart w:id="354" w:name="_Toc35347298"/>
      <w:r w:rsidRPr="000676D7">
        <w:t>Recommendation 1</w:t>
      </w:r>
      <w:r>
        <w:t>6</w:t>
      </w:r>
      <w:bookmarkEnd w:id="353"/>
      <w:bookmarkEnd w:id="354"/>
    </w:p>
    <w:p w14:paraId="6734E52D" w14:textId="77777777" w:rsidR="009A602C" w:rsidRPr="00786A2F" w:rsidRDefault="009A602C" w:rsidP="009A602C">
      <w:pPr>
        <w:pStyle w:val="Bullet-green"/>
        <w:rPr>
          <w:rStyle w:val="None"/>
          <w:rFonts w:asciiTheme="majorHAnsi" w:eastAsiaTheme="majorEastAsia" w:hAnsiTheme="majorHAnsi" w:cstheme="majorBidi"/>
          <w:b/>
          <w:color w:val="01653F"/>
        </w:rPr>
      </w:pPr>
      <w:r>
        <w:rPr>
          <w:rStyle w:val="None"/>
        </w:rPr>
        <w:t>Allocate</w:t>
      </w:r>
      <w:r w:rsidRPr="001714A8">
        <w:rPr>
          <w:rStyle w:val="None"/>
        </w:rPr>
        <w:t xml:space="preserve"> more funding</w:t>
      </w:r>
      <w:r>
        <w:rPr>
          <w:rStyle w:val="None"/>
        </w:rPr>
        <w:t xml:space="preserve"> for </w:t>
      </w:r>
      <w:r w:rsidRPr="001714A8">
        <w:rPr>
          <w:rStyle w:val="None"/>
        </w:rPr>
        <w:t>ophthalmology</w:t>
      </w:r>
      <w:r>
        <w:rPr>
          <w:rStyle w:val="None"/>
        </w:rPr>
        <w:t xml:space="preserve"> </w:t>
      </w:r>
      <w:r w:rsidRPr="001714A8">
        <w:rPr>
          <w:rStyle w:val="None"/>
        </w:rPr>
        <w:t>staff specialist positions in the public system</w:t>
      </w:r>
      <w:r>
        <w:rPr>
          <w:rStyle w:val="None"/>
        </w:rPr>
        <w:t>.</w:t>
      </w:r>
      <w:r w:rsidRPr="001714A8">
        <w:rPr>
          <w:rStyle w:val="None"/>
        </w:rPr>
        <w:t xml:space="preserve"> </w:t>
      </w:r>
      <w:r>
        <w:rPr>
          <w:rStyle w:val="None"/>
        </w:rPr>
        <w:t>T</w:t>
      </w:r>
      <w:r w:rsidRPr="001714A8">
        <w:rPr>
          <w:rStyle w:val="None"/>
        </w:rPr>
        <w:t>hese positions should only be made available to ophthalmologists who will participate in</w:t>
      </w:r>
      <w:r>
        <w:rPr>
          <w:rStyle w:val="None"/>
        </w:rPr>
        <w:t xml:space="preserve"> the</w:t>
      </w:r>
      <w:r w:rsidRPr="001714A8">
        <w:rPr>
          <w:rStyle w:val="None"/>
        </w:rPr>
        <w:t xml:space="preserve"> training and supervision of registrars. </w:t>
      </w:r>
      <w:r>
        <w:rPr>
          <w:rStyle w:val="None"/>
        </w:rPr>
        <w:t xml:space="preserve"> </w:t>
      </w:r>
    </w:p>
    <w:p w14:paraId="7348D9E5" w14:textId="6944C36C" w:rsidR="009A602C" w:rsidRPr="00455C10" w:rsidRDefault="009A602C" w:rsidP="009A602C">
      <w:pPr>
        <w:pStyle w:val="Bullet-green"/>
        <w:rPr>
          <w:rStyle w:val="None"/>
        </w:rPr>
      </w:pPr>
      <w:r>
        <w:t xml:space="preserve">Health services research should be imbedded into any plans for the delivery of ophthalmology in the public sector. Not only should staff have roles in training registrars, funding should also be available for health services research conducted in collaboration with the university system. </w:t>
      </w:r>
    </w:p>
    <w:p w14:paraId="4CDC0B45" w14:textId="77777777" w:rsidR="009A602C" w:rsidRPr="000676D7" w:rsidRDefault="009A602C" w:rsidP="009A602C">
      <w:pPr>
        <w:pStyle w:val="Heading3"/>
      </w:pPr>
      <w:bookmarkStart w:id="355" w:name="_Toc536548196"/>
      <w:bookmarkStart w:id="356" w:name="_Toc35347299"/>
      <w:r w:rsidRPr="000676D7">
        <w:lastRenderedPageBreak/>
        <w:t>Rationale for Recommendation 1</w:t>
      </w:r>
      <w:r>
        <w:t>6</w:t>
      </w:r>
      <w:bookmarkEnd w:id="355"/>
      <w:bookmarkEnd w:id="356"/>
    </w:p>
    <w:p w14:paraId="30A93141" w14:textId="77777777" w:rsidR="009A602C" w:rsidRPr="001714A8" w:rsidRDefault="009A602C" w:rsidP="009A602C">
      <w:pPr>
        <w:pStyle w:val="Body"/>
        <w:rPr>
          <w:rStyle w:val="None"/>
          <w:lang w:val="en-GB"/>
        </w:rPr>
      </w:pPr>
      <w:r w:rsidRPr="001714A8">
        <w:rPr>
          <w:rStyle w:val="None"/>
          <w:lang w:val="en-GB"/>
        </w:rPr>
        <w:t xml:space="preserve">This recommendation aims to reduce the financial burden on patients and improve timely access to ophthalmology services. </w:t>
      </w:r>
      <w:r>
        <w:rPr>
          <w:rStyle w:val="None"/>
          <w:lang w:val="en-GB"/>
        </w:rPr>
        <w:t>It is based on the following.</w:t>
      </w:r>
    </w:p>
    <w:p w14:paraId="65D366A0" w14:textId="77777777" w:rsidR="009A602C" w:rsidRPr="00550932" w:rsidRDefault="009A602C" w:rsidP="009A602C">
      <w:pPr>
        <w:pStyle w:val="Bullet-green"/>
        <w:rPr>
          <w:rStyle w:val="None"/>
          <w:rFonts w:ascii="Times New Roman" w:eastAsia="Arial Unicode MS" w:hAnsi="Times New Roman" w:cs="Times New Roman"/>
          <w:lang w:eastAsia="en-US"/>
        </w:rPr>
      </w:pPr>
      <w:r>
        <w:rPr>
          <w:rStyle w:val="None"/>
        </w:rPr>
        <w:t>The Committee</w:t>
      </w:r>
      <w:r w:rsidRPr="001714A8">
        <w:rPr>
          <w:rStyle w:val="None"/>
        </w:rPr>
        <w:t xml:space="preserve"> </w:t>
      </w:r>
      <w:r>
        <w:rPr>
          <w:rStyle w:val="None"/>
        </w:rPr>
        <w:t>agreed</w:t>
      </w:r>
      <w:r w:rsidRPr="001714A8">
        <w:rPr>
          <w:rStyle w:val="None"/>
        </w:rPr>
        <w:t xml:space="preserve"> that the public system need</w:t>
      </w:r>
      <w:r>
        <w:rPr>
          <w:rStyle w:val="None"/>
        </w:rPr>
        <w:t>s</w:t>
      </w:r>
      <w:r w:rsidRPr="001714A8">
        <w:rPr>
          <w:rStyle w:val="None"/>
        </w:rPr>
        <w:t xml:space="preserve"> to be improved </w:t>
      </w:r>
      <w:r>
        <w:rPr>
          <w:rStyle w:val="None"/>
        </w:rPr>
        <w:t xml:space="preserve">in terms of capacity and efficiency </w:t>
      </w:r>
      <w:r w:rsidRPr="001714A8">
        <w:rPr>
          <w:rStyle w:val="None"/>
        </w:rPr>
        <w:t xml:space="preserve">to allow uninsured patients to seek timely access to cataract surgery within public hospitals. </w:t>
      </w:r>
    </w:p>
    <w:p w14:paraId="7A14E40F" w14:textId="77777777" w:rsidR="009A602C" w:rsidRPr="00DD1587" w:rsidRDefault="009A602C" w:rsidP="009A602C">
      <w:pPr>
        <w:pStyle w:val="Bullet-green"/>
        <w:rPr>
          <w:rStyle w:val="None"/>
          <w:rFonts w:ascii="Times New Roman" w:eastAsia="Arial Unicode MS" w:hAnsi="Times New Roman" w:cs="Times New Roman"/>
          <w:lang w:eastAsia="en-US"/>
        </w:rPr>
      </w:pPr>
      <w:r w:rsidRPr="001714A8">
        <w:rPr>
          <w:rStyle w:val="None"/>
        </w:rPr>
        <w:t xml:space="preserve">The Committee </w:t>
      </w:r>
      <w:r>
        <w:rPr>
          <w:rStyle w:val="None"/>
        </w:rPr>
        <w:t>felt</w:t>
      </w:r>
      <w:r w:rsidRPr="001714A8">
        <w:rPr>
          <w:rStyle w:val="None"/>
        </w:rPr>
        <w:t xml:space="preserve"> </w:t>
      </w:r>
      <w:r>
        <w:rPr>
          <w:rStyle w:val="None"/>
        </w:rPr>
        <w:t>that</w:t>
      </w:r>
      <w:r w:rsidRPr="001714A8">
        <w:rPr>
          <w:rStyle w:val="None"/>
        </w:rPr>
        <w:t xml:space="preserve"> patient concerns </w:t>
      </w:r>
      <w:r>
        <w:rPr>
          <w:rStyle w:val="None"/>
        </w:rPr>
        <w:t xml:space="preserve">were mainly driven by </w:t>
      </w:r>
      <w:r w:rsidRPr="001714A8">
        <w:rPr>
          <w:rStyle w:val="None"/>
        </w:rPr>
        <w:t xml:space="preserve">costs </w:t>
      </w:r>
      <w:r>
        <w:rPr>
          <w:rStyle w:val="None"/>
        </w:rPr>
        <w:t xml:space="preserve">that are </w:t>
      </w:r>
      <w:r w:rsidRPr="001714A8">
        <w:rPr>
          <w:rStyle w:val="None"/>
        </w:rPr>
        <w:t>not covered by the MBS, such as theatre and lens costs for cataract surgery</w:t>
      </w:r>
      <w:r>
        <w:rPr>
          <w:rStyle w:val="None"/>
        </w:rPr>
        <w:t>.</w:t>
      </w:r>
      <w:r w:rsidRPr="001714A8">
        <w:rPr>
          <w:rStyle w:val="None"/>
        </w:rPr>
        <w:t xml:space="preserve"> </w:t>
      </w:r>
      <w:r>
        <w:rPr>
          <w:rStyle w:val="None"/>
        </w:rPr>
        <w:t>P</w:t>
      </w:r>
      <w:r w:rsidRPr="001714A8">
        <w:rPr>
          <w:rStyle w:val="None"/>
        </w:rPr>
        <w:t xml:space="preserve">atients without </w:t>
      </w:r>
      <w:r>
        <w:rPr>
          <w:rStyle w:val="None"/>
        </w:rPr>
        <w:t>p</w:t>
      </w:r>
      <w:r w:rsidRPr="001714A8">
        <w:rPr>
          <w:rStyle w:val="None"/>
        </w:rPr>
        <w:t xml:space="preserve">rivate </w:t>
      </w:r>
      <w:r>
        <w:rPr>
          <w:rStyle w:val="None"/>
        </w:rPr>
        <w:t>h</w:t>
      </w:r>
      <w:r w:rsidRPr="001714A8">
        <w:rPr>
          <w:rStyle w:val="None"/>
        </w:rPr>
        <w:t xml:space="preserve">ealth </w:t>
      </w:r>
      <w:r>
        <w:rPr>
          <w:rStyle w:val="None"/>
        </w:rPr>
        <w:t>i</w:t>
      </w:r>
      <w:r w:rsidRPr="001714A8">
        <w:rPr>
          <w:rStyle w:val="None"/>
        </w:rPr>
        <w:t xml:space="preserve">nsurance must pay these additional costs in the private system, irrespective of the surgeon’s fee. </w:t>
      </w:r>
    </w:p>
    <w:p w14:paraId="0E7E0EC9" w14:textId="77777777" w:rsidR="009A602C" w:rsidRPr="00DD1587" w:rsidRDefault="009A602C" w:rsidP="009A602C">
      <w:pPr>
        <w:pStyle w:val="Bullet-green"/>
        <w:rPr>
          <w:rStyle w:val="None"/>
          <w:rFonts w:eastAsia="Arial Unicode MS"/>
          <w:lang w:eastAsia="en-US"/>
        </w:rPr>
      </w:pPr>
      <w:r w:rsidRPr="00DD1587">
        <w:rPr>
          <w:rStyle w:val="None"/>
          <w:rFonts w:eastAsia="Arial Unicode MS"/>
          <w:lang w:eastAsia="en-US"/>
        </w:rPr>
        <w:t>There is a maldistribution of Ophthalmologists, hence access for rural and regional patients is affected</w:t>
      </w:r>
      <w:r>
        <w:rPr>
          <w:rStyle w:val="None"/>
          <w:rFonts w:eastAsia="Arial Unicode MS"/>
          <w:lang w:eastAsia="en-US"/>
        </w:rPr>
        <w:t>.</w:t>
      </w:r>
    </w:p>
    <w:p w14:paraId="1509E7E6" w14:textId="77777777" w:rsidR="009A602C" w:rsidRDefault="009A602C" w:rsidP="009A602C">
      <w:pPr>
        <w:pStyle w:val="Bullet-green"/>
        <w:rPr>
          <w:rStyle w:val="None"/>
        </w:rPr>
      </w:pPr>
      <w:r w:rsidRPr="00574D41">
        <w:rPr>
          <w:rStyle w:val="None"/>
        </w:rPr>
        <w:t xml:space="preserve">The Committee noted the importance of </w:t>
      </w:r>
      <w:r w:rsidRPr="00817C3E">
        <w:rPr>
          <w:rStyle w:val="None"/>
        </w:rPr>
        <w:t>providing sustainable care in the public system and</w:t>
      </w:r>
      <w:r w:rsidRPr="003B381D">
        <w:rPr>
          <w:rStyle w:val="None"/>
        </w:rPr>
        <w:t xml:space="preserve"> felt that mandating training and supervision for any funded position would enable this. </w:t>
      </w:r>
    </w:p>
    <w:p w14:paraId="381222D8" w14:textId="77777777" w:rsidR="009A602C" w:rsidRDefault="009A602C" w:rsidP="009A602C">
      <w:pPr>
        <w:pStyle w:val="Bullet-green"/>
        <w:rPr>
          <w:rStyle w:val="None"/>
        </w:rPr>
      </w:pPr>
      <w:r>
        <w:rPr>
          <w:rStyle w:val="None"/>
        </w:rPr>
        <w:t>There is a large range of out of pocket costs between various areas of Australia/states funded privately.</w:t>
      </w:r>
    </w:p>
    <w:p w14:paraId="2ACF8C77" w14:textId="77777777" w:rsidR="009A602C" w:rsidRPr="000676D7" w:rsidRDefault="009A602C" w:rsidP="009A602C">
      <w:pPr>
        <w:pStyle w:val="Heading3"/>
      </w:pPr>
      <w:bookmarkStart w:id="357" w:name="_Toc536548197"/>
      <w:bookmarkStart w:id="358" w:name="_Toc35347300"/>
      <w:r w:rsidRPr="000676D7">
        <w:t>Recommendation 1</w:t>
      </w:r>
      <w:r>
        <w:t>7</w:t>
      </w:r>
      <w:bookmarkEnd w:id="357"/>
      <w:bookmarkEnd w:id="358"/>
    </w:p>
    <w:p w14:paraId="774C7C75" w14:textId="479F0644" w:rsidR="009A602C" w:rsidRDefault="009A602C" w:rsidP="009A602C">
      <w:pPr>
        <w:pStyle w:val="Bullet-green"/>
        <w:rPr>
          <w:rStyle w:val="None"/>
          <w:rFonts w:asciiTheme="majorHAnsi" w:eastAsiaTheme="majorEastAsia" w:hAnsiTheme="majorHAnsi" w:cstheme="majorBidi"/>
          <w:b/>
          <w:color w:val="01653F"/>
        </w:rPr>
      </w:pPr>
      <w:r>
        <w:rPr>
          <w:rStyle w:val="None"/>
        </w:rPr>
        <w:t>Provide more</w:t>
      </w:r>
      <w:r w:rsidRPr="001714A8">
        <w:rPr>
          <w:rStyle w:val="None"/>
        </w:rPr>
        <w:t xml:space="preserve"> </w:t>
      </w:r>
      <w:r>
        <w:rPr>
          <w:rStyle w:val="None"/>
        </w:rPr>
        <w:t>consumer</w:t>
      </w:r>
      <w:r w:rsidRPr="001714A8">
        <w:rPr>
          <w:rStyle w:val="None"/>
        </w:rPr>
        <w:t xml:space="preserve"> education</w:t>
      </w:r>
      <w:r w:rsidR="00701E1C">
        <w:rPr>
          <w:rStyle w:val="None"/>
        </w:rPr>
        <w:t xml:space="preserve"> to increase health literacy</w:t>
      </w:r>
      <w:r w:rsidRPr="001714A8">
        <w:rPr>
          <w:rStyle w:val="None"/>
        </w:rPr>
        <w:t xml:space="preserve"> on the costs of services</w:t>
      </w:r>
      <w:r>
        <w:rPr>
          <w:rStyle w:val="None"/>
        </w:rPr>
        <w:t>.</w:t>
      </w:r>
      <w:r w:rsidRPr="001714A8">
        <w:rPr>
          <w:rStyle w:val="None"/>
        </w:rPr>
        <w:t xml:space="preserve"> </w:t>
      </w:r>
      <w:r>
        <w:rPr>
          <w:rStyle w:val="None"/>
        </w:rPr>
        <w:t>Eye health care consumers</w:t>
      </w:r>
      <w:r w:rsidRPr="001714A8">
        <w:rPr>
          <w:rStyle w:val="None"/>
        </w:rPr>
        <w:t xml:space="preserve"> should know</w:t>
      </w:r>
      <w:r>
        <w:rPr>
          <w:rStyle w:val="None"/>
        </w:rPr>
        <w:t xml:space="preserve"> that</w:t>
      </w:r>
      <w:r w:rsidRPr="001714A8">
        <w:rPr>
          <w:rStyle w:val="None"/>
        </w:rPr>
        <w:t xml:space="preserve"> they have a right to </w:t>
      </w:r>
      <w:r>
        <w:rPr>
          <w:rStyle w:val="None"/>
        </w:rPr>
        <w:t>contact</w:t>
      </w:r>
      <w:r w:rsidRPr="001714A8">
        <w:rPr>
          <w:rStyle w:val="None"/>
        </w:rPr>
        <w:t xml:space="preserve"> clinics and inquire about costs. </w:t>
      </w:r>
      <w:r>
        <w:rPr>
          <w:rStyle w:val="None"/>
        </w:rPr>
        <w:t>The Committee</w:t>
      </w:r>
      <w:r w:rsidRPr="001714A8">
        <w:rPr>
          <w:rStyle w:val="None"/>
        </w:rPr>
        <w:t xml:space="preserve"> felt</w:t>
      </w:r>
      <w:r>
        <w:rPr>
          <w:rStyle w:val="None"/>
        </w:rPr>
        <w:t xml:space="preserve"> that</w:t>
      </w:r>
      <w:r w:rsidRPr="001714A8">
        <w:rPr>
          <w:rStyle w:val="None"/>
        </w:rPr>
        <w:t xml:space="preserve"> this</w:t>
      </w:r>
      <w:r>
        <w:rPr>
          <w:rStyle w:val="None"/>
        </w:rPr>
        <w:t xml:space="preserve"> information</w:t>
      </w:r>
      <w:r w:rsidRPr="001714A8">
        <w:rPr>
          <w:rStyle w:val="None"/>
        </w:rPr>
        <w:t xml:space="preserve"> should not be</w:t>
      </w:r>
      <w:r>
        <w:rPr>
          <w:rStyle w:val="None"/>
        </w:rPr>
        <w:t xml:space="preserve"> delivered through</w:t>
      </w:r>
      <w:r w:rsidRPr="001714A8">
        <w:rPr>
          <w:rStyle w:val="None"/>
        </w:rPr>
        <w:t xml:space="preserve"> a </w:t>
      </w:r>
      <w:r>
        <w:rPr>
          <w:rStyle w:val="None"/>
        </w:rPr>
        <w:t>clinician</w:t>
      </w:r>
      <w:r w:rsidRPr="001714A8">
        <w:rPr>
          <w:rStyle w:val="None"/>
        </w:rPr>
        <w:t xml:space="preserve"> rating tool</w:t>
      </w:r>
      <w:r>
        <w:rPr>
          <w:rStyle w:val="None"/>
        </w:rPr>
        <w:t>,</w:t>
      </w:r>
      <w:r w:rsidRPr="001714A8">
        <w:rPr>
          <w:rStyle w:val="None"/>
        </w:rPr>
        <w:t xml:space="preserve"> but </w:t>
      </w:r>
      <w:r>
        <w:rPr>
          <w:rStyle w:val="None"/>
        </w:rPr>
        <w:t>that</w:t>
      </w:r>
      <w:r w:rsidRPr="001714A8">
        <w:rPr>
          <w:rStyle w:val="None"/>
        </w:rPr>
        <w:t xml:space="preserve"> </w:t>
      </w:r>
      <w:r>
        <w:rPr>
          <w:rStyle w:val="None"/>
        </w:rPr>
        <w:t>consumer education</w:t>
      </w:r>
      <w:r w:rsidRPr="001714A8">
        <w:rPr>
          <w:rStyle w:val="None"/>
        </w:rPr>
        <w:t xml:space="preserve"> on </w:t>
      </w:r>
      <w:r>
        <w:rPr>
          <w:rStyle w:val="None"/>
        </w:rPr>
        <w:t>patients’</w:t>
      </w:r>
      <w:r w:rsidRPr="001714A8">
        <w:rPr>
          <w:rStyle w:val="None"/>
        </w:rPr>
        <w:t xml:space="preserve"> rights and options</w:t>
      </w:r>
      <w:r>
        <w:rPr>
          <w:rStyle w:val="None"/>
        </w:rPr>
        <w:t xml:space="preserve"> should be made available</w:t>
      </w:r>
      <w:r w:rsidRPr="001714A8">
        <w:rPr>
          <w:rStyle w:val="None"/>
        </w:rPr>
        <w:t xml:space="preserve">.  </w:t>
      </w:r>
    </w:p>
    <w:p w14:paraId="4C4F7C6E" w14:textId="77777777" w:rsidR="009A602C" w:rsidRPr="00A2458E" w:rsidRDefault="009A602C" w:rsidP="009A602C">
      <w:pPr>
        <w:pStyle w:val="Heading3"/>
      </w:pPr>
      <w:bookmarkStart w:id="359" w:name="_Toc536548198"/>
      <w:bookmarkStart w:id="360" w:name="_Toc35347301"/>
      <w:r w:rsidRPr="00A2458E">
        <w:t>Rationale for Recommendation 1</w:t>
      </w:r>
      <w:r>
        <w:t>7</w:t>
      </w:r>
      <w:bookmarkEnd w:id="359"/>
      <w:bookmarkEnd w:id="360"/>
    </w:p>
    <w:p w14:paraId="20655F68" w14:textId="77777777" w:rsidR="009A602C" w:rsidRDefault="009A602C" w:rsidP="009A602C">
      <w:pPr>
        <w:pStyle w:val="Body"/>
        <w:rPr>
          <w:rStyle w:val="None"/>
          <w:lang w:val="en-GB"/>
        </w:rPr>
      </w:pPr>
      <w:r>
        <w:rPr>
          <w:rStyle w:val="None"/>
          <w:lang w:val="en-GB"/>
        </w:rPr>
        <w:t>This recommendation focuses on improving consumer knowledge and informed consent. It is based on the following.</w:t>
      </w:r>
    </w:p>
    <w:p w14:paraId="6C09CB48" w14:textId="77777777" w:rsidR="009A602C" w:rsidRDefault="009A602C" w:rsidP="009A602C">
      <w:pPr>
        <w:pStyle w:val="Bullet-green"/>
        <w:rPr>
          <w:rStyle w:val="None"/>
        </w:rPr>
      </w:pPr>
      <w:r w:rsidRPr="001714A8">
        <w:rPr>
          <w:rStyle w:val="None"/>
        </w:rPr>
        <w:t xml:space="preserve">The Committee recognised that a lack of consumer awareness </w:t>
      </w:r>
      <w:r>
        <w:rPr>
          <w:rStyle w:val="None"/>
        </w:rPr>
        <w:t>about</w:t>
      </w:r>
      <w:r w:rsidRPr="001714A8">
        <w:rPr>
          <w:rStyle w:val="None"/>
        </w:rPr>
        <w:t xml:space="preserve"> costs and treatment options may be a market driver of high costs for consumers. The Committee awaits the recommendations of the </w:t>
      </w:r>
      <w:r>
        <w:rPr>
          <w:rStyle w:val="None"/>
        </w:rPr>
        <w:t>G</w:t>
      </w:r>
      <w:r w:rsidRPr="001714A8">
        <w:rPr>
          <w:rStyle w:val="None"/>
        </w:rPr>
        <w:t>overnment</w:t>
      </w:r>
      <w:r>
        <w:rPr>
          <w:rStyle w:val="None"/>
        </w:rPr>
        <w:t>’s</w:t>
      </w:r>
      <w:r w:rsidRPr="001714A8">
        <w:rPr>
          <w:rStyle w:val="None"/>
        </w:rPr>
        <w:t xml:space="preserve"> Out-of-</w:t>
      </w:r>
      <w:r>
        <w:rPr>
          <w:rStyle w:val="None"/>
        </w:rPr>
        <w:t>P</w:t>
      </w:r>
      <w:r w:rsidRPr="001714A8">
        <w:rPr>
          <w:rStyle w:val="None"/>
        </w:rPr>
        <w:t xml:space="preserve">ocket </w:t>
      </w:r>
      <w:r w:rsidRPr="001714A8">
        <w:rPr>
          <w:rStyle w:val="None"/>
        </w:rPr>
        <w:lastRenderedPageBreak/>
        <w:t xml:space="preserve">Committee and anticipated out-of-pocket cost website, </w:t>
      </w:r>
      <w:r>
        <w:rPr>
          <w:rStyle w:val="None"/>
        </w:rPr>
        <w:t xml:space="preserve">which is </w:t>
      </w:r>
      <w:r w:rsidRPr="001714A8">
        <w:rPr>
          <w:rStyle w:val="None"/>
        </w:rPr>
        <w:t>currently under construction.</w:t>
      </w:r>
    </w:p>
    <w:p w14:paraId="4EC87354" w14:textId="77777777" w:rsidR="009A602C" w:rsidRDefault="009A602C" w:rsidP="009A602C">
      <w:pPr>
        <w:pStyle w:val="Body"/>
        <w:rPr>
          <w:b/>
          <w:i/>
        </w:rPr>
      </w:pPr>
      <w:r w:rsidRPr="00315286">
        <w:rPr>
          <w:b/>
          <w:i/>
        </w:rPr>
        <w:t xml:space="preserve">Question 3: Long public hospital waitlists for cataract surgery and recent workforce reports indicate ophthalmology supply issues. How should this be addressed? </w:t>
      </w:r>
    </w:p>
    <w:p w14:paraId="7AFD4630" w14:textId="77777777" w:rsidR="009A602C" w:rsidRPr="00315286" w:rsidRDefault="009A602C" w:rsidP="009A602C">
      <w:pPr>
        <w:pStyle w:val="Body"/>
        <w:rPr>
          <w:b/>
          <w:i/>
        </w:rPr>
      </w:pPr>
      <w:r>
        <w:rPr>
          <w:b/>
          <w:i/>
        </w:rPr>
        <w:t>Answer:</w:t>
      </w:r>
    </w:p>
    <w:p w14:paraId="617A961F" w14:textId="77777777" w:rsidR="009A602C" w:rsidRDefault="009A602C" w:rsidP="009A602C">
      <w:pPr>
        <w:pStyle w:val="Bullet-green"/>
        <w:rPr>
          <w:rStyle w:val="None"/>
        </w:rPr>
      </w:pPr>
      <w:r w:rsidRPr="001714A8">
        <w:rPr>
          <w:rStyle w:val="None"/>
        </w:rPr>
        <w:t xml:space="preserve">The Committee recognised that the public system has long waitlists for ophthalmology services and lacks the resources to cope with demand. </w:t>
      </w:r>
      <w:r>
        <w:rPr>
          <w:rStyle w:val="None"/>
        </w:rPr>
        <w:t>Recommendations 16 and 17 address</w:t>
      </w:r>
      <w:r w:rsidRPr="001714A8">
        <w:rPr>
          <w:rStyle w:val="None"/>
        </w:rPr>
        <w:t xml:space="preserve"> this question. </w:t>
      </w:r>
    </w:p>
    <w:p w14:paraId="36DE18AD" w14:textId="77777777" w:rsidR="009A602C" w:rsidRDefault="009A602C" w:rsidP="009A602C">
      <w:pPr>
        <w:pStyle w:val="Bullet-green"/>
        <w:numPr>
          <w:ilvl w:val="0"/>
          <w:numId w:val="0"/>
        </w:numPr>
        <w:rPr>
          <w:rStyle w:val="None"/>
        </w:rPr>
      </w:pPr>
    </w:p>
    <w:p w14:paraId="710F1DFC" w14:textId="05EED192" w:rsidR="002800E3" w:rsidRDefault="002800E3" w:rsidP="009A602C"/>
    <w:p w14:paraId="10B96F14" w14:textId="77777777" w:rsidR="009A602C" w:rsidRPr="00D12795" w:rsidRDefault="009A602C" w:rsidP="009A602C">
      <w:pPr>
        <w:rPr>
          <w:lang w:val="en-AU"/>
        </w:rPr>
      </w:pPr>
      <w:bookmarkStart w:id="361" w:name="_Hlk535965716"/>
    </w:p>
    <w:bookmarkEnd w:id="361"/>
    <w:p w14:paraId="34E71C12" w14:textId="13076B2E" w:rsidR="009A602C" w:rsidRPr="00D2164C" w:rsidRDefault="009A602C" w:rsidP="009A602C">
      <w:pPr>
        <w:rPr>
          <w:lang w:val="en-US"/>
        </w:rPr>
      </w:pPr>
    </w:p>
    <w:p w14:paraId="212CB529" w14:textId="6B7D8F68" w:rsidR="009A602C" w:rsidRPr="00FF1780" w:rsidRDefault="009A602C" w:rsidP="009A602C">
      <w:pPr>
        <w:pStyle w:val="ListParagraph"/>
        <w:rPr>
          <w:lang w:val="en-US"/>
        </w:rPr>
      </w:pPr>
    </w:p>
    <w:p w14:paraId="4B2E9879" w14:textId="77777777" w:rsidR="009A602C" w:rsidRPr="0079766A" w:rsidRDefault="009A602C" w:rsidP="009A602C">
      <w:pPr>
        <w:pStyle w:val="Heading1"/>
        <w:rPr>
          <w:color w:val="01653F"/>
        </w:rPr>
      </w:pPr>
      <w:bookmarkStart w:id="362" w:name="_Toc524100435"/>
      <w:bookmarkStart w:id="363" w:name="_Toc35347302"/>
      <w:bookmarkStart w:id="364" w:name="_Ref462783356"/>
      <w:r w:rsidRPr="0079766A">
        <w:rPr>
          <w:color w:val="01653F"/>
        </w:rPr>
        <w:lastRenderedPageBreak/>
        <w:t>Stakeholder</w:t>
      </w:r>
      <w:r w:rsidRPr="0079766A">
        <w:rPr>
          <w:rStyle w:val="Hyperlink0"/>
          <w:color w:val="01653F"/>
        </w:rPr>
        <w:t xml:space="preserve"> impact statement</w:t>
      </w:r>
      <w:bookmarkEnd w:id="362"/>
      <w:bookmarkEnd w:id="363"/>
    </w:p>
    <w:p w14:paraId="559C24BC" w14:textId="5116FE0C" w:rsidR="009A602C" w:rsidRPr="00F162FA" w:rsidRDefault="009A602C" w:rsidP="009A602C">
      <w:r w:rsidRPr="00F162FA">
        <w:rPr>
          <w:lang w:eastAsia="en-US"/>
        </w:rPr>
        <w:t>Both patients</w:t>
      </w:r>
      <w:r w:rsidR="00701E1C">
        <w:rPr>
          <w:lang w:eastAsia="en-US"/>
        </w:rPr>
        <w:t>/consumers</w:t>
      </w:r>
      <w:r w:rsidRPr="00F162FA">
        <w:rPr>
          <w:lang w:eastAsia="en-US"/>
        </w:rPr>
        <w:t xml:space="preserve"> and </w:t>
      </w:r>
      <w:r w:rsidRPr="00F162FA">
        <w:t>clinicians</w:t>
      </w:r>
      <w:r w:rsidRPr="00F162FA">
        <w:rPr>
          <w:lang w:eastAsia="en-US"/>
        </w:rPr>
        <w:t xml:space="preserve"> are expected to benefit from these recommendations because they address co</w:t>
      </w:r>
      <w:r>
        <w:rPr>
          <w:lang w:eastAsia="en-US"/>
        </w:rPr>
        <w:t>ncerns regarding patient safety, appropriate use</w:t>
      </w:r>
      <w:r w:rsidRPr="00F162FA">
        <w:rPr>
          <w:lang w:eastAsia="en-US"/>
        </w:rPr>
        <w:t xml:space="preserve"> </w:t>
      </w:r>
      <w:r>
        <w:rPr>
          <w:lang w:eastAsia="en-US"/>
        </w:rPr>
        <w:t xml:space="preserve">and access </w:t>
      </w:r>
      <w:r w:rsidRPr="00F162FA">
        <w:rPr>
          <w:lang w:eastAsia="en-US"/>
        </w:rPr>
        <w:t xml:space="preserve">of care. The Committee also considered each recommendation’s impact on </w:t>
      </w:r>
      <w:r>
        <w:rPr>
          <w:lang w:eastAsia="en-US"/>
        </w:rPr>
        <w:t>clinician</w:t>
      </w:r>
      <w:r w:rsidRPr="00F162FA">
        <w:rPr>
          <w:lang w:eastAsia="en-US"/>
        </w:rPr>
        <w:t xml:space="preserve"> groups to ensure that any changes were reasonable and fair. However, if the Committee identified evidence of potential item misuse or safety concerns, recommendations were made to encourage best practice, in line with the overarching purpose of the MBS Review.</w:t>
      </w:r>
    </w:p>
    <w:p w14:paraId="623A24C6" w14:textId="77777777" w:rsidR="009A602C" w:rsidRPr="00F162FA" w:rsidRDefault="009A602C" w:rsidP="009A602C">
      <w:r w:rsidRPr="00F162FA">
        <w:t>The changes recommended to the</w:t>
      </w:r>
      <w:r>
        <w:t xml:space="preserve"> ophthalmology</w:t>
      </w:r>
      <w:r w:rsidRPr="00F162FA">
        <w:t xml:space="preserve"> items predominantly seek to</w:t>
      </w:r>
      <w:r>
        <w:t xml:space="preserve"> attain these goals by:</w:t>
      </w:r>
      <w:r w:rsidRPr="00F162FA">
        <w:t xml:space="preserve"> </w:t>
      </w:r>
    </w:p>
    <w:p w14:paraId="6BA1B005" w14:textId="77777777" w:rsidR="009A602C" w:rsidRPr="00F162FA" w:rsidRDefault="009A602C" w:rsidP="009A602C">
      <w:pPr>
        <w:pStyle w:val="Bullet-green"/>
        <w:spacing w:line="360" w:lineRule="auto"/>
      </w:pPr>
      <w:r w:rsidRPr="00F162FA">
        <w:t>Improv</w:t>
      </w:r>
      <w:r>
        <w:t>ing</w:t>
      </w:r>
      <w:r w:rsidRPr="00F162FA">
        <w:t xml:space="preserve"> safe practices</w:t>
      </w:r>
      <w:r>
        <w:t xml:space="preserve">: for instance, by ensuring that retinal electrophysiology procedures are performed by appropriate providers in the correct setting; by deleting five obsolete items; and by recommending the creation of new items for the treatment of glaucoma given recent advances in technology and practice. </w:t>
      </w:r>
    </w:p>
    <w:p w14:paraId="34EAA5D4" w14:textId="77777777" w:rsidR="009A602C" w:rsidRDefault="009A602C" w:rsidP="009A602C">
      <w:pPr>
        <w:pStyle w:val="Bullet-green"/>
        <w:spacing w:line="360" w:lineRule="auto"/>
      </w:pPr>
      <w:r>
        <w:t xml:space="preserve">Encouraging appropriate use: for instance, by monitoring the frequency of eye injections for outlier providers and limiting in-hospital treatment to appropriate </w:t>
      </w:r>
      <w:proofErr w:type="gramStart"/>
      <w:r>
        <w:t>cases, and</w:t>
      </w:r>
      <w:proofErr w:type="gramEnd"/>
      <w:r>
        <w:t xml:space="preserve"> introducing co-claiming restrictions for three items. </w:t>
      </w:r>
    </w:p>
    <w:p w14:paraId="28E89327" w14:textId="593767AC" w:rsidR="009A602C" w:rsidRDefault="009A602C" w:rsidP="009A602C">
      <w:pPr>
        <w:pStyle w:val="Bullet-green"/>
        <w:sectPr w:rsidR="009A602C" w:rsidSect="00892C84">
          <w:footerReference w:type="default" r:id="rId19"/>
          <w:endnotePr>
            <w:numFmt w:val="decimal"/>
          </w:endnotePr>
          <w:pgSz w:w="11906" w:h="16838" w:code="9"/>
          <w:pgMar w:top="1440" w:right="1797" w:bottom="1440" w:left="1797" w:header="510" w:footer="720" w:gutter="0"/>
          <w:cols w:space="720"/>
          <w:docGrid w:linePitch="326"/>
        </w:sectPr>
      </w:pPr>
      <w:r>
        <w:t xml:space="preserve">Improving access to care: for instance, </w:t>
      </w:r>
      <w:r w:rsidRPr="00CE2DDE">
        <w:t>by incentivising provision of ser</w:t>
      </w:r>
      <w:r>
        <w:t>vices in rural and remote areas</w:t>
      </w:r>
      <w:r w:rsidR="00A54DC5">
        <w:t xml:space="preserve"> and for Indigenous populations</w:t>
      </w:r>
      <w:r>
        <w:t>.</w:t>
      </w:r>
    </w:p>
    <w:p w14:paraId="7D621089" w14:textId="77777777" w:rsidR="009A602C" w:rsidRPr="002F3AE3" w:rsidRDefault="009A602C" w:rsidP="009A602C">
      <w:pPr>
        <w:spacing w:before="0" w:after="160" w:line="259" w:lineRule="auto"/>
      </w:pPr>
      <w:bookmarkStart w:id="365" w:name="_Toc519689993"/>
      <w:bookmarkStart w:id="366" w:name="_Toc520126286"/>
      <w:bookmarkStart w:id="367" w:name="_Toc531593862"/>
      <w:bookmarkEnd w:id="6"/>
      <w:bookmarkEnd w:id="7"/>
      <w:bookmarkEnd w:id="8"/>
      <w:bookmarkEnd w:id="364"/>
    </w:p>
    <w:p w14:paraId="36216203" w14:textId="77777777" w:rsidR="009A602C" w:rsidRPr="00304A04" w:rsidRDefault="009A602C" w:rsidP="009A602C">
      <w:pPr>
        <w:pStyle w:val="AppendixStyle1"/>
        <w:spacing w:before="0" w:after="0" w:line="312" w:lineRule="auto"/>
      </w:pPr>
      <w:bookmarkStart w:id="368" w:name="_Toc35347303"/>
      <w:r w:rsidRPr="00304A04">
        <w:t>Summary for consumers</w:t>
      </w:r>
      <w:bookmarkEnd w:id="368"/>
      <w:r w:rsidRPr="00304A04">
        <w:tab/>
      </w:r>
      <w:bookmarkEnd w:id="365"/>
      <w:bookmarkEnd w:id="366"/>
      <w:bookmarkEnd w:id="367"/>
      <w:r w:rsidRPr="00304A04">
        <w:tab/>
      </w:r>
    </w:p>
    <w:p w14:paraId="39B9EBE0" w14:textId="77777777" w:rsidR="009A602C" w:rsidRPr="008A7B10" w:rsidRDefault="009A602C" w:rsidP="009A602C">
      <w:pPr>
        <w:spacing w:before="180" w:after="60" w:line="312" w:lineRule="auto"/>
        <w:rPr>
          <w:rFonts w:ascii="Calibri" w:hAnsi="Calibri" w:cs="Times New Roman"/>
          <w:color w:val="000000"/>
          <w:sz w:val="22"/>
          <w:lang w:val="en-AU"/>
        </w:rPr>
      </w:pPr>
      <w:r w:rsidRPr="008A7B10">
        <w:rPr>
          <w:rFonts w:ascii="Calibri" w:hAnsi="Calibri" w:cs="Times New Roman"/>
          <w:color w:val="000000"/>
          <w:sz w:val="22"/>
          <w:lang w:val="en-AU"/>
        </w:rPr>
        <w:t>This table describes the medical service, the recommendation(s) of the clinical experts and why the recommendation(s) has been made.</w:t>
      </w:r>
    </w:p>
    <w:p w14:paraId="2C9AC199" w14:textId="5610061D" w:rsidR="009A602C" w:rsidRPr="008A7B10" w:rsidRDefault="009A602C" w:rsidP="009A602C">
      <w:pPr>
        <w:keepNext/>
        <w:spacing w:before="120" w:line="312" w:lineRule="auto"/>
        <w:rPr>
          <w:rFonts w:ascii="Calibri" w:eastAsia="Calibri" w:hAnsi="Calibri" w:cs="Arial"/>
          <w:color w:val="000000"/>
          <w:sz w:val="20"/>
          <w:szCs w:val="22"/>
          <w:lang w:val="en-AU" w:eastAsia="en-US"/>
        </w:rPr>
      </w:pPr>
      <w:bookmarkStart w:id="369" w:name="_Toc503779136"/>
      <w:r w:rsidRPr="008A7B10">
        <w:rPr>
          <w:rFonts w:ascii="Calibri" w:eastAsia="Calibri" w:hAnsi="Calibri" w:cs="Arial"/>
          <w:color w:val="000000"/>
          <w:sz w:val="20"/>
          <w:szCs w:val="22"/>
          <w:lang w:val="en-AU" w:eastAsia="en-US"/>
        </w:rPr>
        <w:t xml:space="preserve">Recommendation </w:t>
      </w:r>
      <w:r w:rsidRPr="008A7B10">
        <w:rPr>
          <w:rFonts w:ascii="Calibri" w:eastAsia="Calibri" w:hAnsi="Calibri" w:cs="Arial"/>
          <w:noProof/>
          <w:color w:val="000000"/>
          <w:sz w:val="20"/>
          <w:szCs w:val="22"/>
          <w:lang w:val="en-AU" w:eastAsia="en-US"/>
        </w:rPr>
        <w:fldChar w:fldCharType="begin"/>
      </w:r>
      <w:r w:rsidRPr="008A7B10">
        <w:rPr>
          <w:rFonts w:ascii="Calibri" w:eastAsia="Calibri" w:hAnsi="Calibri" w:cs="Arial"/>
          <w:noProof/>
          <w:color w:val="000000"/>
          <w:sz w:val="20"/>
          <w:szCs w:val="22"/>
          <w:lang w:val="en-AU" w:eastAsia="en-US"/>
        </w:rPr>
        <w:instrText xml:space="preserve"> SEQ Recommendation \* ARABIC </w:instrText>
      </w:r>
      <w:r w:rsidRPr="008A7B10">
        <w:rPr>
          <w:rFonts w:ascii="Calibri" w:eastAsia="Calibri" w:hAnsi="Calibri" w:cs="Arial"/>
          <w:noProof/>
          <w:color w:val="000000"/>
          <w:sz w:val="20"/>
          <w:szCs w:val="22"/>
          <w:lang w:val="en-AU" w:eastAsia="en-US"/>
        </w:rPr>
        <w:fldChar w:fldCharType="separate"/>
      </w:r>
      <w:r w:rsidR="001C6959">
        <w:rPr>
          <w:rFonts w:ascii="Calibri" w:eastAsia="Calibri" w:hAnsi="Calibri" w:cs="Arial"/>
          <w:noProof/>
          <w:color w:val="000000"/>
          <w:sz w:val="20"/>
          <w:szCs w:val="22"/>
          <w:lang w:val="en-AU" w:eastAsia="en-US"/>
        </w:rPr>
        <w:t>1</w:t>
      </w:r>
      <w:r w:rsidRPr="008A7B10">
        <w:rPr>
          <w:rFonts w:ascii="Calibri" w:eastAsia="Calibri" w:hAnsi="Calibri" w:cs="Arial"/>
          <w:noProof/>
          <w:color w:val="000000"/>
          <w:sz w:val="20"/>
          <w:szCs w:val="22"/>
          <w:lang w:val="en-AU" w:eastAsia="en-US"/>
        </w:rPr>
        <w:fldChar w:fldCharType="end"/>
      </w:r>
      <w:r w:rsidRPr="008A7B10">
        <w:rPr>
          <w:rFonts w:ascii="Calibri" w:eastAsia="Calibri" w:hAnsi="Calibri" w:cs="Arial"/>
          <w:color w:val="000000"/>
          <w:sz w:val="20"/>
          <w:szCs w:val="22"/>
          <w:lang w:val="en-AU" w:eastAsia="en-US"/>
        </w:rPr>
        <w:t xml:space="preserve">: </w:t>
      </w:r>
      <w:bookmarkEnd w:id="369"/>
      <w:r w:rsidRPr="008A7B10">
        <w:rPr>
          <w:rFonts w:ascii="Calibri" w:eastAsia="Calibri" w:hAnsi="Calibri" w:cs="Arial"/>
          <w:color w:val="000000"/>
          <w:sz w:val="20"/>
          <w:szCs w:val="22"/>
          <w:lang w:val="en-AU" w:eastAsia="en-US"/>
        </w:rPr>
        <w:t xml:space="preserve">Amend the item descriptors to restrict use to Ophthalmologists by incorporating the following wording: “performed by </w:t>
      </w:r>
      <w:r>
        <w:rPr>
          <w:rFonts w:ascii="Calibri" w:eastAsia="Calibri" w:hAnsi="Calibri" w:cs="Arial"/>
          <w:color w:val="000000"/>
          <w:sz w:val="20"/>
          <w:szCs w:val="22"/>
          <w:lang w:val="en-AU" w:eastAsia="en-US"/>
        </w:rPr>
        <w:t xml:space="preserve">or on behalf of </w:t>
      </w:r>
      <w:r w:rsidRPr="008A7B10">
        <w:rPr>
          <w:rFonts w:ascii="Calibri" w:eastAsia="Calibri" w:hAnsi="Calibri" w:cs="Arial"/>
          <w:color w:val="000000"/>
          <w:sz w:val="20"/>
          <w:szCs w:val="22"/>
          <w:lang w:val="en-AU" w:eastAsia="en-US"/>
        </w:rPr>
        <w:t>a specialist practising in his or her speciality of Ophthalmology.”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58"/>
        <w:gridCol w:w="1830"/>
        <w:gridCol w:w="1741"/>
        <w:gridCol w:w="1938"/>
        <w:gridCol w:w="1945"/>
      </w:tblGrid>
      <w:tr w:rsidR="009A602C" w:rsidRPr="008A7B10" w14:paraId="637E25DA" w14:textId="77777777" w:rsidTr="004102C8">
        <w:trPr>
          <w:cantSplit/>
          <w:tblHeader/>
        </w:trPr>
        <w:tc>
          <w:tcPr>
            <w:tcW w:w="1557" w:type="dxa"/>
            <w:tcBorders>
              <w:top w:val="single" w:sz="4" w:space="0" w:color="B66113"/>
              <w:bottom w:val="single" w:sz="4" w:space="0" w:color="B66113"/>
            </w:tcBorders>
            <w:shd w:val="clear" w:color="auto" w:fill="B66113"/>
          </w:tcPr>
          <w:p w14:paraId="4801E086" w14:textId="77777777" w:rsidR="009A602C" w:rsidRPr="008A7B10" w:rsidRDefault="009A602C" w:rsidP="004102C8">
            <w:pPr>
              <w:keepNext/>
              <w:spacing w:before="60" w:after="60" w:line="312" w:lineRule="auto"/>
              <w:rPr>
                <w:rFonts w:ascii="Calibri" w:eastAsia="Calibri" w:hAnsi="Calibri" w:cs="Calibri"/>
                <w:color w:val="000000"/>
                <w:sz w:val="18"/>
                <w:szCs w:val="22"/>
                <w:lang w:val="en-AU" w:eastAsia="en-US"/>
              </w:rPr>
            </w:pPr>
            <w:r w:rsidRPr="008A7B10">
              <w:rPr>
                <w:rFonts w:ascii="Calibri" w:eastAsia="Calibri" w:hAnsi="Calibri" w:cs="Calibr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0B0F5BA2" w14:textId="77777777" w:rsidR="009A602C" w:rsidRPr="008A7B10" w:rsidRDefault="009A602C" w:rsidP="004102C8">
            <w:pPr>
              <w:keepNext/>
              <w:spacing w:before="60" w:after="60" w:line="312" w:lineRule="auto"/>
              <w:rPr>
                <w:rFonts w:ascii="Calibri" w:eastAsia="Calibri" w:hAnsi="Calibri" w:cs="Calibri"/>
                <w:color w:val="000000"/>
                <w:sz w:val="18"/>
                <w:szCs w:val="22"/>
                <w:lang w:val="en-AU" w:eastAsia="en-US"/>
              </w:rPr>
            </w:pPr>
            <w:r w:rsidRPr="008A7B10">
              <w:rPr>
                <w:rFonts w:ascii="Calibri" w:eastAsia="Calibri" w:hAnsi="Calibri" w:cs="Calibr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673B1F5B" w14:textId="77777777" w:rsidR="009A602C" w:rsidRPr="008A7B10" w:rsidRDefault="009A602C" w:rsidP="004102C8">
            <w:pPr>
              <w:keepNext/>
              <w:spacing w:before="60" w:after="60" w:line="312" w:lineRule="auto"/>
              <w:rPr>
                <w:rFonts w:ascii="Calibri" w:eastAsia="Calibri" w:hAnsi="Calibri" w:cs="Calibri"/>
                <w:color w:val="000000"/>
                <w:sz w:val="18"/>
                <w:szCs w:val="22"/>
                <w:lang w:val="en-AU" w:eastAsia="en-US"/>
              </w:rPr>
            </w:pPr>
            <w:r w:rsidRPr="008A7B10">
              <w:rPr>
                <w:rFonts w:ascii="Calibri" w:eastAsia="Calibri" w:hAnsi="Calibri" w:cs="Calibr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622EC72A" w14:textId="77777777" w:rsidR="009A602C" w:rsidRPr="008A7B10" w:rsidRDefault="009A602C" w:rsidP="004102C8">
            <w:pPr>
              <w:keepNext/>
              <w:spacing w:before="60" w:after="60" w:line="312" w:lineRule="auto"/>
              <w:rPr>
                <w:rFonts w:ascii="Calibri" w:eastAsia="Calibri" w:hAnsi="Calibri" w:cs="Calibri"/>
                <w:color w:val="000000"/>
                <w:sz w:val="18"/>
                <w:szCs w:val="22"/>
                <w:lang w:val="en-AU" w:eastAsia="en-US"/>
              </w:rPr>
            </w:pPr>
            <w:r w:rsidRPr="008A7B10">
              <w:rPr>
                <w:rFonts w:ascii="Calibri" w:eastAsia="Calibri" w:hAnsi="Calibri" w:cs="Calibr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379B7FAF" w14:textId="77777777" w:rsidR="009A602C" w:rsidRPr="008A7B10" w:rsidRDefault="009A602C" w:rsidP="004102C8">
            <w:pPr>
              <w:keepNext/>
              <w:spacing w:before="60" w:after="60" w:line="312" w:lineRule="auto"/>
              <w:rPr>
                <w:rFonts w:ascii="Calibri" w:eastAsia="Calibri" w:hAnsi="Calibri" w:cs="Calibri"/>
                <w:color w:val="000000"/>
                <w:sz w:val="18"/>
                <w:szCs w:val="22"/>
                <w:lang w:val="en-AU" w:eastAsia="en-US"/>
              </w:rPr>
            </w:pPr>
            <w:r w:rsidRPr="008A7B10">
              <w:rPr>
                <w:rFonts w:ascii="Calibri" w:eastAsia="Calibri" w:hAnsi="Calibri" w:cs="Calibri"/>
                <w:color w:val="000000"/>
                <w:sz w:val="18"/>
                <w:szCs w:val="22"/>
                <w:lang w:val="en-AU" w:eastAsia="en-US"/>
              </w:rPr>
              <w:t>Why</w:t>
            </w:r>
          </w:p>
        </w:tc>
      </w:tr>
      <w:tr w:rsidR="009A602C" w:rsidRPr="008A7B10" w14:paraId="588D1218" w14:textId="77777777" w:rsidTr="004102C8">
        <w:trPr>
          <w:cantSplit/>
        </w:trPr>
        <w:tc>
          <w:tcPr>
            <w:tcW w:w="1557" w:type="dxa"/>
            <w:tcBorders>
              <w:top w:val="single" w:sz="4" w:space="0" w:color="B66113"/>
              <w:bottom w:val="single" w:sz="4" w:space="0" w:color="B66113"/>
            </w:tcBorders>
          </w:tcPr>
          <w:p w14:paraId="797F0EC2" w14:textId="77777777" w:rsidR="009A602C" w:rsidRPr="0079766A" w:rsidRDefault="009A602C" w:rsidP="004102C8">
            <w:pPr>
              <w:spacing w:before="40" w:after="40" w:line="240" w:lineRule="auto"/>
              <w:rPr>
                <w:rFonts w:asciiTheme="minorHAnsi" w:hAnsiTheme="minorHAnsi"/>
                <w:color w:val="000000"/>
                <w:sz w:val="18"/>
                <w:szCs w:val="18"/>
                <w:lang w:val="en-AU" w:eastAsia="en-US"/>
              </w:rPr>
            </w:pPr>
            <w:r w:rsidRPr="0079766A">
              <w:rPr>
                <w:rFonts w:asciiTheme="minorHAnsi" w:hAnsiTheme="minorHAnsi"/>
                <w:color w:val="000000"/>
                <w:sz w:val="18"/>
                <w:szCs w:val="18"/>
                <w:lang w:val="en-AU"/>
              </w:rPr>
              <w:t>11204</w:t>
            </w:r>
          </w:p>
        </w:tc>
        <w:tc>
          <w:tcPr>
            <w:tcW w:w="2412" w:type="dxa"/>
            <w:tcBorders>
              <w:top w:val="single" w:sz="4" w:space="0" w:color="B66113"/>
              <w:bottom w:val="single" w:sz="4" w:space="0" w:color="B66113"/>
            </w:tcBorders>
          </w:tcPr>
          <w:p w14:paraId="1A661E44" w14:textId="77777777" w:rsidR="009A602C" w:rsidRPr="0079766A" w:rsidRDefault="009A602C" w:rsidP="004102C8">
            <w:pPr>
              <w:rPr>
                <w:rFonts w:asciiTheme="minorHAnsi" w:hAnsiTheme="minorHAnsi"/>
                <w:sz w:val="18"/>
                <w:szCs w:val="18"/>
              </w:rPr>
            </w:pPr>
            <w:r w:rsidRPr="0079766A">
              <w:rPr>
                <w:rFonts w:asciiTheme="minorHAnsi" w:hAnsiTheme="minorHAnsi"/>
                <w:sz w:val="18"/>
                <w:szCs w:val="18"/>
              </w:rPr>
              <w:t xml:space="preserve">Electroretinography is used to diagnose diseases of the retina including retinitis and hereditary conditions and diabetic retinopathy.  It measures the electrical responses of cell types in the retina and requires specialized training and equipment to conduct the test and interpret results.  </w:t>
            </w:r>
          </w:p>
          <w:p w14:paraId="5AA3DEDC" w14:textId="77777777" w:rsidR="009A602C" w:rsidRPr="0079766A" w:rsidRDefault="009A602C" w:rsidP="004102C8">
            <w:pPr>
              <w:spacing w:before="180" w:after="6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This is performed on one or both eyes.</w:t>
            </w:r>
          </w:p>
        </w:tc>
        <w:tc>
          <w:tcPr>
            <w:tcW w:w="2453" w:type="dxa"/>
            <w:tcBorders>
              <w:top w:val="single" w:sz="4" w:space="0" w:color="B66113"/>
              <w:bottom w:val="single" w:sz="4" w:space="0" w:color="B66113"/>
            </w:tcBorders>
          </w:tcPr>
          <w:p w14:paraId="5BA974B0" w14:textId="36F3E62F"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 changing the item to restrict use to by or on behalf of Ophthalmologists</w:t>
            </w:r>
            <w:r w:rsidR="0027311D">
              <w:rPr>
                <w:rFonts w:asciiTheme="minorHAnsi" w:eastAsia="Calibri" w:hAnsiTheme="minorHAnsi"/>
                <w:color w:val="000000"/>
                <w:sz w:val="18"/>
                <w:szCs w:val="18"/>
                <w:lang w:val="en-AU"/>
              </w:rPr>
              <w:t xml:space="preserve">, </w:t>
            </w:r>
            <w:r w:rsidRPr="0079766A">
              <w:rPr>
                <w:rFonts w:asciiTheme="minorHAnsi" w:eastAsia="Calibri" w:hAnsiTheme="minorHAnsi"/>
                <w:color w:val="000000"/>
                <w:sz w:val="18"/>
                <w:szCs w:val="18"/>
                <w:lang w:val="en-AU"/>
              </w:rPr>
              <w:t>only.</w:t>
            </w:r>
          </w:p>
        </w:tc>
        <w:tc>
          <w:tcPr>
            <w:tcW w:w="3395" w:type="dxa"/>
            <w:tcBorders>
              <w:top w:val="single" w:sz="4" w:space="0" w:color="B66113"/>
              <w:bottom w:val="single" w:sz="4" w:space="0" w:color="B66113"/>
            </w:tcBorders>
          </w:tcPr>
          <w:p w14:paraId="0EEE6AD1" w14:textId="0533D8F4"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could only be claimed by or on behalf of Ophthalmologists</w:t>
            </w:r>
          </w:p>
        </w:tc>
        <w:tc>
          <w:tcPr>
            <w:tcW w:w="3427" w:type="dxa"/>
            <w:tcBorders>
              <w:top w:val="single" w:sz="4" w:space="0" w:color="B66113"/>
              <w:bottom w:val="single" w:sz="4" w:space="0" w:color="B66113"/>
            </w:tcBorders>
          </w:tcPr>
          <w:p w14:paraId="6B849676" w14:textId="3116C94E" w:rsidR="009A602C" w:rsidRPr="0079766A" w:rsidRDefault="009A602C" w:rsidP="002C3310">
            <w:pPr>
              <w:spacing w:before="180" w:after="60" w:line="312" w:lineRule="auto"/>
              <w:rPr>
                <w:rFonts w:asciiTheme="minorHAnsi" w:hAnsiTheme="minorHAnsi"/>
                <w:color w:val="000000"/>
                <w:sz w:val="18"/>
                <w:szCs w:val="18"/>
                <w:lang w:val="en-AU"/>
              </w:rPr>
            </w:pPr>
            <w:r w:rsidRPr="0079766A">
              <w:rPr>
                <w:rFonts w:asciiTheme="minorHAnsi" w:hAnsiTheme="minorHAnsi"/>
                <w:color w:val="000000"/>
                <w:sz w:val="18"/>
                <w:szCs w:val="18"/>
                <w:lang w:val="en-AU"/>
              </w:rPr>
              <w:t xml:space="preserve">The item is currently being claimed by clinicians other than ophthalmologists, potentially exposing patients to unnecessary risks and expense. This procedure should be performed </w:t>
            </w:r>
            <w:r w:rsidRPr="0079766A">
              <w:rPr>
                <w:rFonts w:asciiTheme="minorHAnsi" w:hAnsiTheme="minorHAnsi"/>
                <w:sz w:val="18"/>
                <w:szCs w:val="18"/>
              </w:rPr>
              <w:t>in a specialized electrophysiology cent</w:t>
            </w:r>
            <w:r>
              <w:rPr>
                <w:rFonts w:asciiTheme="minorHAnsi" w:hAnsiTheme="minorHAnsi"/>
                <w:sz w:val="18"/>
                <w:szCs w:val="18"/>
              </w:rPr>
              <w:t>re</w:t>
            </w:r>
            <w:r w:rsidRPr="0079766A">
              <w:rPr>
                <w:rFonts w:asciiTheme="minorHAnsi" w:hAnsiTheme="minorHAnsi"/>
                <w:sz w:val="18"/>
                <w:szCs w:val="18"/>
              </w:rPr>
              <w:t>, currently located in Melbourne, Sydney, Brisbane, Adelaide and Perth, according to standards set by the International Society for Clinical Electrophysiology of Vision.  (ISCEV)</w:t>
            </w:r>
          </w:p>
        </w:tc>
      </w:tr>
      <w:tr w:rsidR="009A602C" w:rsidRPr="0079766A" w14:paraId="09C35200" w14:textId="77777777" w:rsidTr="004102C8">
        <w:trPr>
          <w:cantSplit/>
        </w:trPr>
        <w:tc>
          <w:tcPr>
            <w:tcW w:w="1557" w:type="dxa"/>
            <w:tcBorders>
              <w:top w:val="single" w:sz="4" w:space="0" w:color="B66113"/>
              <w:bottom w:val="single" w:sz="4" w:space="0" w:color="B66113"/>
            </w:tcBorders>
          </w:tcPr>
          <w:p w14:paraId="36FC0BD8" w14:textId="77777777" w:rsidR="009A602C" w:rsidRPr="0079766A" w:rsidRDefault="009A602C" w:rsidP="004102C8">
            <w:pPr>
              <w:spacing w:before="40" w:after="40" w:line="240" w:lineRule="auto"/>
              <w:rPr>
                <w:rFonts w:asciiTheme="minorHAnsi" w:hAnsiTheme="minorHAnsi"/>
                <w:color w:val="000000"/>
                <w:sz w:val="18"/>
                <w:szCs w:val="18"/>
                <w:lang w:val="en-AU"/>
              </w:rPr>
            </w:pPr>
            <w:r w:rsidRPr="0079766A">
              <w:rPr>
                <w:rFonts w:asciiTheme="minorHAnsi" w:hAnsiTheme="minorHAnsi"/>
                <w:color w:val="000000"/>
                <w:sz w:val="18"/>
                <w:szCs w:val="18"/>
                <w:lang w:val="en-AU"/>
              </w:rPr>
              <w:lastRenderedPageBreak/>
              <w:t>11205</w:t>
            </w:r>
          </w:p>
        </w:tc>
        <w:tc>
          <w:tcPr>
            <w:tcW w:w="2412" w:type="dxa"/>
            <w:tcBorders>
              <w:top w:val="single" w:sz="4" w:space="0" w:color="B66113"/>
              <w:bottom w:val="single" w:sz="4" w:space="0" w:color="B66113"/>
            </w:tcBorders>
          </w:tcPr>
          <w:p w14:paraId="7E5F313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Electrooculography measures the movement of the eye through electrodes either above or below the eye. </w:t>
            </w:r>
          </w:p>
          <w:p w14:paraId="24F0CDD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 This is performed on one or both eyes.</w:t>
            </w:r>
          </w:p>
        </w:tc>
        <w:tc>
          <w:tcPr>
            <w:tcW w:w="2453" w:type="dxa"/>
            <w:tcBorders>
              <w:top w:val="single" w:sz="4" w:space="0" w:color="B66113"/>
              <w:bottom w:val="single" w:sz="4" w:space="0" w:color="B66113"/>
            </w:tcBorders>
          </w:tcPr>
          <w:p w14:paraId="4515CBD5" w14:textId="6A5B332F"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 changing the item to restrict use to by or on behalf of Ophthalmologists</w:t>
            </w:r>
            <w:r w:rsidR="00E04A5C" w:rsidRPr="00E04A5C">
              <w:rPr>
                <w:rFonts w:asciiTheme="minorHAnsi" w:eastAsia="Calibri" w:hAnsiTheme="minorHAnsi"/>
                <w:color w:val="000000"/>
                <w:sz w:val="18"/>
                <w:szCs w:val="18"/>
                <w:lang w:val="en-AU"/>
              </w:rPr>
              <w:t xml:space="preserve">, </w:t>
            </w:r>
            <w:r w:rsidRPr="0079766A">
              <w:rPr>
                <w:rFonts w:asciiTheme="minorHAnsi" w:eastAsia="Calibri" w:hAnsiTheme="minorHAnsi"/>
                <w:color w:val="000000"/>
                <w:sz w:val="18"/>
                <w:szCs w:val="18"/>
                <w:lang w:val="en-AU"/>
              </w:rPr>
              <w:t>only.</w:t>
            </w:r>
          </w:p>
        </w:tc>
        <w:tc>
          <w:tcPr>
            <w:tcW w:w="3395" w:type="dxa"/>
            <w:tcBorders>
              <w:top w:val="single" w:sz="4" w:space="0" w:color="B66113"/>
              <w:bottom w:val="single" w:sz="4" w:space="0" w:color="B66113"/>
            </w:tcBorders>
          </w:tcPr>
          <w:p w14:paraId="70398796" w14:textId="4AE80622"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could only be claimed by or on behalf of Ophthalmologists</w:t>
            </w:r>
            <w:r w:rsidR="00E04A5C" w:rsidRPr="00E04A5C">
              <w:rPr>
                <w:rFonts w:asciiTheme="minorHAnsi" w:eastAsia="Calibri" w:hAnsiTheme="minorHAnsi"/>
                <w:color w:val="000000"/>
                <w:sz w:val="18"/>
                <w:szCs w:val="18"/>
                <w:lang w:val="en-AU"/>
              </w:rPr>
              <w:t xml:space="preserve">, </w:t>
            </w:r>
          </w:p>
        </w:tc>
        <w:tc>
          <w:tcPr>
            <w:tcW w:w="3427" w:type="dxa"/>
            <w:tcBorders>
              <w:top w:val="single" w:sz="4" w:space="0" w:color="B66113"/>
              <w:bottom w:val="single" w:sz="4" w:space="0" w:color="B66113"/>
            </w:tcBorders>
          </w:tcPr>
          <w:p w14:paraId="6A138432" w14:textId="77777777" w:rsidR="009A602C" w:rsidRPr="0079766A" w:rsidRDefault="009A602C" w:rsidP="004102C8">
            <w:pPr>
              <w:spacing w:before="180" w:after="60" w:line="312" w:lineRule="auto"/>
              <w:rPr>
                <w:rFonts w:asciiTheme="minorHAnsi" w:hAnsiTheme="minorHAnsi"/>
                <w:color w:val="000000"/>
                <w:sz w:val="18"/>
                <w:szCs w:val="18"/>
                <w:lang w:val="en-AU"/>
              </w:rPr>
            </w:pPr>
            <w:r w:rsidRPr="0079766A">
              <w:rPr>
                <w:rFonts w:asciiTheme="minorHAnsi" w:eastAsia="Calibri" w:hAnsiTheme="minorHAnsi"/>
                <w:color w:val="000000"/>
                <w:sz w:val="18"/>
                <w:szCs w:val="18"/>
                <w:lang w:val="en-AU"/>
              </w:rPr>
              <w:t>To reduce inappropriate use as the committee noted a higher number of specialty clinicians claiming this item, with only 1 per cent claimed by Ophthalmologists</w:t>
            </w:r>
            <w:r w:rsidRPr="0079766A">
              <w:rPr>
                <w:rFonts w:asciiTheme="minorHAnsi" w:hAnsiTheme="minorHAnsi"/>
                <w:color w:val="000000"/>
                <w:sz w:val="18"/>
                <w:szCs w:val="18"/>
                <w:lang w:val="en-AU"/>
              </w:rPr>
              <w:t xml:space="preserve">.  This procedure should be performed </w:t>
            </w:r>
            <w:r w:rsidRPr="0079766A">
              <w:rPr>
                <w:rFonts w:asciiTheme="minorHAnsi" w:hAnsiTheme="minorHAnsi"/>
                <w:sz w:val="18"/>
                <w:szCs w:val="18"/>
              </w:rPr>
              <w:t>in a specialized electrophysiology cent</w:t>
            </w:r>
            <w:r>
              <w:rPr>
                <w:rFonts w:asciiTheme="minorHAnsi" w:hAnsiTheme="minorHAnsi"/>
                <w:sz w:val="18"/>
                <w:szCs w:val="18"/>
              </w:rPr>
              <w:t>re</w:t>
            </w:r>
            <w:r w:rsidRPr="0079766A">
              <w:rPr>
                <w:rFonts w:asciiTheme="minorHAnsi" w:hAnsiTheme="minorHAnsi"/>
                <w:sz w:val="18"/>
                <w:szCs w:val="18"/>
              </w:rPr>
              <w:t>, currently located in Melbourne, Sydney, Brisbane, Adelaide and Perth, according to standards set by the International Society for Clinical Electrophysiology of Vision.  (ISCEV)</w:t>
            </w:r>
          </w:p>
        </w:tc>
      </w:tr>
      <w:tr w:rsidR="009A602C" w:rsidRPr="0079766A" w14:paraId="0CA750B4" w14:textId="77777777" w:rsidTr="004102C8">
        <w:trPr>
          <w:cantSplit/>
        </w:trPr>
        <w:tc>
          <w:tcPr>
            <w:tcW w:w="1557" w:type="dxa"/>
            <w:tcBorders>
              <w:top w:val="single" w:sz="4" w:space="0" w:color="B66113"/>
            </w:tcBorders>
          </w:tcPr>
          <w:p w14:paraId="252D89B1" w14:textId="77777777" w:rsidR="009A602C" w:rsidRPr="0079766A" w:rsidRDefault="009A602C" w:rsidP="004102C8">
            <w:pPr>
              <w:spacing w:before="40" w:after="40" w:line="240" w:lineRule="auto"/>
              <w:rPr>
                <w:rFonts w:asciiTheme="minorHAnsi" w:hAnsiTheme="minorHAnsi"/>
                <w:color w:val="000000"/>
                <w:sz w:val="18"/>
                <w:szCs w:val="18"/>
                <w:lang w:val="en-AU"/>
              </w:rPr>
            </w:pPr>
            <w:r w:rsidRPr="0079766A">
              <w:rPr>
                <w:rFonts w:asciiTheme="minorHAnsi" w:hAnsiTheme="minorHAnsi"/>
                <w:color w:val="000000"/>
                <w:sz w:val="18"/>
                <w:szCs w:val="18"/>
                <w:lang w:val="en-AU"/>
              </w:rPr>
              <w:t>11211</w:t>
            </w:r>
          </w:p>
        </w:tc>
        <w:tc>
          <w:tcPr>
            <w:tcW w:w="2412" w:type="dxa"/>
            <w:tcBorders>
              <w:top w:val="single" w:sz="4" w:space="0" w:color="B66113"/>
            </w:tcBorders>
          </w:tcPr>
          <w:p w14:paraId="5F080DE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Dark adaptometry is a process of measuring the way the eye recovers from sensitivity to dark, when going from light to dark conditions. This is done on one for both eyes for 45 minutes of dark adaptions. </w:t>
            </w:r>
          </w:p>
        </w:tc>
        <w:tc>
          <w:tcPr>
            <w:tcW w:w="2453" w:type="dxa"/>
            <w:tcBorders>
              <w:top w:val="single" w:sz="4" w:space="0" w:color="B66113"/>
            </w:tcBorders>
          </w:tcPr>
          <w:p w14:paraId="530A8FD7" w14:textId="31BDE25C"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 changing the item to restrict use to by or on behalf of Ophthalmologists</w:t>
            </w:r>
            <w:r w:rsidR="00E04A5C" w:rsidRPr="00E04A5C">
              <w:rPr>
                <w:rFonts w:asciiTheme="minorHAnsi" w:eastAsia="Calibri" w:hAnsiTheme="minorHAnsi"/>
                <w:color w:val="000000"/>
                <w:sz w:val="18"/>
                <w:szCs w:val="18"/>
                <w:lang w:val="en-AU"/>
              </w:rPr>
              <w:t xml:space="preserve">, </w:t>
            </w:r>
            <w:r w:rsidRPr="0079766A">
              <w:rPr>
                <w:rFonts w:asciiTheme="minorHAnsi" w:eastAsia="Calibri" w:hAnsiTheme="minorHAnsi"/>
                <w:color w:val="000000"/>
                <w:sz w:val="18"/>
                <w:szCs w:val="18"/>
                <w:lang w:val="en-AU"/>
              </w:rPr>
              <w:t>only.</w:t>
            </w:r>
          </w:p>
        </w:tc>
        <w:tc>
          <w:tcPr>
            <w:tcW w:w="3395" w:type="dxa"/>
            <w:tcBorders>
              <w:top w:val="single" w:sz="4" w:space="0" w:color="B66113"/>
            </w:tcBorders>
          </w:tcPr>
          <w:p w14:paraId="573D1008" w14:textId="445C5FB6" w:rsidR="009A602C" w:rsidRPr="0079766A" w:rsidRDefault="009A602C" w:rsidP="002C3310">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could only be claimed by or on behalf of Ophthalmologists</w:t>
            </w:r>
            <w:r w:rsidR="00E04A5C" w:rsidRPr="00E04A5C">
              <w:rPr>
                <w:rFonts w:asciiTheme="minorHAnsi" w:eastAsia="Calibri" w:hAnsiTheme="minorHAnsi"/>
                <w:color w:val="000000"/>
                <w:sz w:val="18"/>
                <w:szCs w:val="18"/>
                <w:lang w:val="en-AU"/>
              </w:rPr>
              <w:t xml:space="preserve">, </w:t>
            </w:r>
          </w:p>
        </w:tc>
        <w:tc>
          <w:tcPr>
            <w:tcW w:w="3427" w:type="dxa"/>
            <w:tcBorders>
              <w:top w:val="single" w:sz="4" w:space="0" w:color="B66113"/>
            </w:tcBorders>
          </w:tcPr>
          <w:p w14:paraId="5C9CF67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reduce inappropriate use as the committee noted this item was being claimed by clinicians other than ophthalmologists. </w:t>
            </w:r>
            <w:r w:rsidRPr="0079766A">
              <w:rPr>
                <w:rFonts w:asciiTheme="minorHAnsi" w:hAnsiTheme="minorHAnsi"/>
                <w:color w:val="000000"/>
                <w:sz w:val="18"/>
                <w:szCs w:val="18"/>
                <w:lang w:val="en-AU"/>
              </w:rPr>
              <w:t xml:space="preserve">This procedure should be performed </w:t>
            </w:r>
            <w:r w:rsidRPr="0079766A">
              <w:rPr>
                <w:rFonts w:asciiTheme="minorHAnsi" w:hAnsiTheme="minorHAnsi"/>
                <w:sz w:val="18"/>
                <w:szCs w:val="18"/>
              </w:rPr>
              <w:t>in a specialized electrophysiology cent</w:t>
            </w:r>
            <w:r>
              <w:rPr>
                <w:rFonts w:asciiTheme="minorHAnsi" w:hAnsiTheme="minorHAnsi"/>
                <w:sz w:val="18"/>
                <w:szCs w:val="18"/>
              </w:rPr>
              <w:t>re</w:t>
            </w:r>
            <w:r w:rsidRPr="0079766A">
              <w:rPr>
                <w:rFonts w:asciiTheme="minorHAnsi" w:hAnsiTheme="minorHAnsi"/>
                <w:sz w:val="18"/>
                <w:szCs w:val="18"/>
              </w:rPr>
              <w:t>, currently located in Melbourne, Sydney, Brisbane, Adelaide and Perth, according to standards set by the International Society for Clinical Electrophysiology of Vision.  (ISCEV)</w:t>
            </w:r>
          </w:p>
        </w:tc>
      </w:tr>
    </w:tbl>
    <w:p w14:paraId="09CFC257" w14:textId="77777777" w:rsidR="009A602C" w:rsidRPr="0079766A" w:rsidRDefault="009A602C" w:rsidP="009A602C">
      <w:pPr>
        <w:keepNext/>
        <w:spacing w:before="120" w:line="312" w:lineRule="auto"/>
        <w:rPr>
          <w:rFonts w:eastAsia="Calibri"/>
          <w:color w:val="000000"/>
          <w:sz w:val="22"/>
          <w:szCs w:val="22"/>
          <w:lang w:val="en-AU" w:eastAsia="en-US"/>
        </w:rPr>
      </w:pPr>
    </w:p>
    <w:p w14:paraId="025F38E2"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2: Amend the item descriptor to restrict GP and non-specialist use by incorporation the following wording: “performed by or on behalf of a specialist or consultant physician in the practice of his or her speciality.”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81"/>
        <w:gridCol w:w="1849"/>
        <w:gridCol w:w="1710"/>
        <w:gridCol w:w="1932"/>
        <w:gridCol w:w="1940"/>
      </w:tblGrid>
      <w:tr w:rsidR="009A602C" w:rsidRPr="0079766A" w14:paraId="1C456AFF" w14:textId="77777777" w:rsidTr="004102C8">
        <w:trPr>
          <w:cantSplit/>
          <w:tblHeader/>
        </w:trPr>
        <w:tc>
          <w:tcPr>
            <w:tcW w:w="1557" w:type="dxa"/>
            <w:tcBorders>
              <w:top w:val="single" w:sz="4" w:space="0" w:color="B66113"/>
              <w:bottom w:val="single" w:sz="4" w:space="0" w:color="B66113"/>
            </w:tcBorders>
            <w:shd w:val="clear" w:color="auto" w:fill="B66113"/>
          </w:tcPr>
          <w:p w14:paraId="1A15EF33"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56863ABD"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768852E0"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66E062F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4942A1C9"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32E97456" w14:textId="77777777" w:rsidTr="004102C8">
        <w:trPr>
          <w:cantSplit/>
        </w:trPr>
        <w:tc>
          <w:tcPr>
            <w:tcW w:w="1557" w:type="dxa"/>
            <w:tcBorders>
              <w:top w:val="single" w:sz="4" w:space="0" w:color="B66113"/>
            </w:tcBorders>
          </w:tcPr>
          <w:p w14:paraId="2E267D59" w14:textId="77777777" w:rsidR="009A602C" w:rsidRPr="0079766A" w:rsidRDefault="009A602C" w:rsidP="004102C8">
            <w:pPr>
              <w:spacing w:before="40" w:after="40" w:line="240" w:lineRule="auto"/>
              <w:rPr>
                <w:rFonts w:asciiTheme="minorHAnsi" w:hAnsiTheme="minorHAnsi"/>
                <w:color w:val="000000"/>
                <w:sz w:val="18"/>
                <w:szCs w:val="18"/>
                <w:lang w:val="en-AU" w:eastAsia="en-US"/>
              </w:rPr>
            </w:pPr>
            <w:r w:rsidRPr="0079766A">
              <w:rPr>
                <w:rFonts w:asciiTheme="minorHAnsi" w:hAnsiTheme="minorHAnsi"/>
                <w:color w:val="000000"/>
                <w:sz w:val="18"/>
                <w:szCs w:val="18"/>
                <w:lang w:val="en-AU" w:eastAsia="en-US"/>
              </w:rPr>
              <w:t>11210</w:t>
            </w:r>
          </w:p>
        </w:tc>
        <w:tc>
          <w:tcPr>
            <w:tcW w:w="2412" w:type="dxa"/>
            <w:tcBorders>
              <w:top w:val="single" w:sz="4" w:space="0" w:color="B66113"/>
            </w:tcBorders>
          </w:tcPr>
          <w:p w14:paraId="15A3887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Pattern Electroretinography of 1 or both eyes, including 3 or more studies performed according to current professional guidelines or standards. </w:t>
            </w:r>
          </w:p>
        </w:tc>
        <w:tc>
          <w:tcPr>
            <w:tcW w:w="2453" w:type="dxa"/>
            <w:tcBorders>
              <w:top w:val="single" w:sz="4" w:space="0" w:color="B66113"/>
            </w:tcBorders>
          </w:tcPr>
          <w:p w14:paraId="3DB6FB7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Change the description to restrict to GP and non-specialist use. </w:t>
            </w:r>
          </w:p>
        </w:tc>
        <w:tc>
          <w:tcPr>
            <w:tcW w:w="3395" w:type="dxa"/>
            <w:tcBorders>
              <w:top w:val="single" w:sz="4" w:space="0" w:color="B66113"/>
            </w:tcBorders>
          </w:tcPr>
          <w:p w14:paraId="2FDB0EC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Item could only be claimed by specialists and ophthalmologists who have the requisite training and equipment. </w:t>
            </w:r>
          </w:p>
        </w:tc>
        <w:tc>
          <w:tcPr>
            <w:tcW w:w="3427" w:type="dxa"/>
            <w:tcBorders>
              <w:top w:val="single" w:sz="4" w:space="0" w:color="B66113"/>
            </w:tcBorders>
          </w:tcPr>
          <w:p w14:paraId="01D3BC3F" w14:textId="77777777" w:rsidR="009A602C" w:rsidRPr="0079766A" w:rsidRDefault="009A602C" w:rsidP="004102C8">
            <w:pPr>
              <w:spacing w:before="180" w:after="60" w:line="312" w:lineRule="auto"/>
              <w:rPr>
                <w:rFonts w:asciiTheme="minorHAnsi" w:hAnsiTheme="minorHAnsi"/>
                <w:color w:val="000000"/>
                <w:sz w:val="22"/>
                <w:lang w:val="en-AU"/>
              </w:rPr>
            </w:pPr>
            <w:r w:rsidRPr="0079766A">
              <w:rPr>
                <w:rFonts w:asciiTheme="minorHAnsi" w:eastAsia="Calibri" w:hAnsiTheme="minorHAnsi"/>
                <w:color w:val="000000"/>
                <w:sz w:val="18"/>
                <w:szCs w:val="18"/>
                <w:lang w:val="en-AU"/>
              </w:rPr>
              <w:t>To ensure appropriate quality care and use by limiting use of this item to specialists and ophthalmologists who have the equipment and expertise to perform and interpret the test.</w:t>
            </w:r>
          </w:p>
        </w:tc>
      </w:tr>
    </w:tbl>
    <w:p w14:paraId="4120CA9B" w14:textId="77777777" w:rsidR="009A602C" w:rsidRPr="0079766A" w:rsidRDefault="009A602C" w:rsidP="009A602C">
      <w:pPr>
        <w:keepNext/>
        <w:spacing w:before="120" w:line="312" w:lineRule="auto"/>
        <w:rPr>
          <w:rFonts w:eastAsia="Calibri"/>
          <w:color w:val="000000"/>
          <w:sz w:val="20"/>
          <w:szCs w:val="22"/>
          <w:lang w:val="en-AU" w:eastAsia="en-US"/>
        </w:rPr>
      </w:pPr>
    </w:p>
    <w:p w14:paraId="2209721B"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3: No change to computerised perimetry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022"/>
        <w:gridCol w:w="1475"/>
        <w:gridCol w:w="1834"/>
        <w:gridCol w:w="1777"/>
        <w:gridCol w:w="2204"/>
      </w:tblGrid>
      <w:tr w:rsidR="009A602C" w:rsidRPr="0079766A" w14:paraId="621BE99D" w14:textId="77777777" w:rsidTr="004102C8">
        <w:trPr>
          <w:cantSplit/>
          <w:tblHeader/>
        </w:trPr>
        <w:tc>
          <w:tcPr>
            <w:tcW w:w="1557" w:type="dxa"/>
            <w:tcBorders>
              <w:top w:val="single" w:sz="4" w:space="0" w:color="B66113"/>
              <w:bottom w:val="single" w:sz="4" w:space="0" w:color="B66113"/>
            </w:tcBorders>
            <w:shd w:val="clear" w:color="auto" w:fill="B66113"/>
          </w:tcPr>
          <w:p w14:paraId="5F6B2875"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2CFC089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5BE34F64"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3A699FCC"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0124213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4ED135DF" w14:textId="77777777" w:rsidTr="004102C8">
        <w:trPr>
          <w:cantSplit/>
        </w:trPr>
        <w:tc>
          <w:tcPr>
            <w:tcW w:w="1557" w:type="dxa"/>
            <w:tcBorders>
              <w:top w:val="single" w:sz="4" w:space="0" w:color="B66113"/>
            </w:tcBorders>
          </w:tcPr>
          <w:p w14:paraId="63DE1EA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eastAsia="en-US"/>
              </w:rPr>
              <w:t xml:space="preserve">11221, 11222, 11224 </w:t>
            </w:r>
            <w:proofErr w:type="gramStart"/>
            <w:r w:rsidRPr="0079766A">
              <w:rPr>
                <w:rFonts w:asciiTheme="minorHAnsi" w:eastAsia="Calibri" w:hAnsiTheme="minorHAnsi"/>
                <w:color w:val="000000"/>
                <w:sz w:val="18"/>
                <w:szCs w:val="18"/>
                <w:lang w:val="en-AU" w:eastAsia="en-US"/>
              </w:rPr>
              <w:t>and  11225</w:t>
            </w:r>
            <w:proofErr w:type="gramEnd"/>
          </w:p>
        </w:tc>
        <w:tc>
          <w:tcPr>
            <w:tcW w:w="2412" w:type="dxa"/>
            <w:tcBorders>
              <w:top w:val="single" w:sz="4" w:space="0" w:color="B66113"/>
            </w:tcBorders>
          </w:tcPr>
          <w:p w14:paraId="5B4BB4B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Items relating to perimetry which measures a person’s field of vision.</w:t>
            </w:r>
          </w:p>
        </w:tc>
        <w:tc>
          <w:tcPr>
            <w:tcW w:w="2453" w:type="dxa"/>
            <w:tcBorders>
              <w:top w:val="single" w:sz="4" w:space="0" w:color="B66113"/>
            </w:tcBorders>
          </w:tcPr>
          <w:p w14:paraId="02603FC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No change.</w:t>
            </w:r>
          </w:p>
        </w:tc>
        <w:tc>
          <w:tcPr>
            <w:tcW w:w="3395" w:type="dxa"/>
            <w:tcBorders>
              <w:top w:val="single" w:sz="4" w:space="0" w:color="B66113"/>
            </w:tcBorders>
          </w:tcPr>
          <w:p w14:paraId="417B555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All items in this category remain the same.</w:t>
            </w:r>
          </w:p>
        </w:tc>
        <w:tc>
          <w:tcPr>
            <w:tcW w:w="3427" w:type="dxa"/>
            <w:tcBorders>
              <w:top w:val="single" w:sz="4" w:space="0" w:color="B66113"/>
            </w:tcBorders>
          </w:tcPr>
          <w:p w14:paraId="3386A0B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notes that these items performed by Ophthalmologists are in line with expectations.  The items currently reflect best practice.  The Committee noted the relatively higher growth of computerised perimetry services conducted by optometrists and recommended this be subject to review.</w:t>
            </w:r>
          </w:p>
        </w:tc>
      </w:tr>
    </w:tbl>
    <w:p w14:paraId="4B0C833A" w14:textId="77777777" w:rsidR="009A602C" w:rsidRPr="0079766A" w:rsidRDefault="009A602C" w:rsidP="009A602C">
      <w:pPr>
        <w:keepNext/>
        <w:spacing w:before="120" w:line="312" w:lineRule="auto"/>
        <w:rPr>
          <w:rFonts w:eastAsia="Calibri"/>
          <w:color w:val="000000"/>
          <w:sz w:val="20"/>
          <w:szCs w:val="22"/>
          <w:lang w:val="en-AU" w:eastAsia="en-US"/>
        </w:rPr>
      </w:pPr>
    </w:p>
    <w:p w14:paraId="3A133265"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4: Create two new items to replace item 42738</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015"/>
        <w:gridCol w:w="1641"/>
        <w:gridCol w:w="1858"/>
        <w:gridCol w:w="1840"/>
        <w:gridCol w:w="1958"/>
      </w:tblGrid>
      <w:tr w:rsidR="009A602C" w:rsidRPr="0079766A" w14:paraId="7320CA21" w14:textId="77777777" w:rsidTr="004102C8">
        <w:trPr>
          <w:cantSplit/>
          <w:tblHeader/>
        </w:trPr>
        <w:tc>
          <w:tcPr>
            <w:tcW w:w="1557" w:type="dxa"/>
            <w:tcBorders>
              <w:top w:val="single" w:sz="4" w:space="0" w:color="B66113"/>
              <w:bottom w:val="single" w:sz="4" w:space="0" w:color="B66113"/>
            </w:tcBorders>
            <w:shd w:val="clear" w:color="auto" w:fill="B66113"/>
          </w:tcPr>
          <w:p w14:paraId="0D811CD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2D3D31C3"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1FAAD9C3"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7870D219"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1B38F522"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28EE0922" w14:textId="77777777" w:rsidTr="004102C8">
        <w:trPr>
          <w:cantSplit/>
        </w:trPr>
        <w:tc>
          <w:tcPr>
            <w:tcW w:w="1557" w:type="dxa"/>
            <w:tcBorders>
              <w:top w:val="single" w:sz="4" w:space="0" w:color="B66113"/>
              <w:bottom w:val="single" w:sz="4" w:space="0" w:color="B66113"/>
            </w:tcBorders>
          </w:tcPr>
          <w:p w14:paraId="4BF7375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42738</w:t>
            </w:r>
          </w:p>
        </w:tc>
        <w:tc>
          <w:tcPr>
            <w:tcW w:w="2412" w:type="dxa"/>
            <w:tcBorders>
              <w:top w:val="single" w:sz="4" w:space="0" w:color="B66113"/>
              <w:bottom w:val="single" w:sz="4" w:space="0" w:color="B66113"/>
            </w:tcBorders>
          </w:tcPr>
          <w:p w14:paraId="6612FF6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Paracentesis of anterior chamber is a technique to reduce fluid pressure inside the eye, either via injection of substances of removal of fluids.  For diagnostic or therapeutic purposes, 1 or more as an independent procedure. </w:t>
            </w:r>
          </w:p>
        </w:tc>
        <w:tc>
          <w:tcPr>
            <w:tcW w:w="2453" w:type="dxa"/>
            <w:tcBorders>
              <w:top w:val="single" w:sz="4" w:space="0" w:color="B66113"/>
              <w:bottom w:val="single" w:sz="4" w:space="0" w:color="B66113"/>
            </w:tcBorders>
          </w:tcPr>
          <w:p w14:paraId="01DD543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Recommend there be an item for the right eye and an item for the left eye. </w:t>
            </w:r>
          </w:p>
        </w:tc>
        <w:tc>
          <w:tcPr>
            <w:tcW w:w="3395" w:type="dxa"/>
            <w:tcBorders>
              <w:top w:val="single" w:sz="4" w:space="0" w:color="B66113"/>
              <w:bottom w:val="single" w:sz="4" w:space="0" w:color="B66113"/>
            </w:tcBorders>
          </w:tcPr>
          <w:p w14:paraId="22F35E4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item will specify which eye. </w:t>
            </w:r>
          </w:p>
        </w:tc>
        <w:tc>
          <w:tcPr>
            <w:tcW w:w="3427" w:type="dxa"/>
            <w:tcBorders>
              <w:top w:val="single" w:sz="4" w:space="0" w:color="B66113"/>
              <w:bottom w:val="single" w:sz="4" w:space="0" w:color="B66113"/>
            </w:tcBorders>
          </w:tcPr>
          <w:p w14:paraId="6D747D0B" w14:textId="77777777" w:rsidR="009A602C" w:rsidRPr="0079766A" w:rsidRDefault="009A602C" w:rsidP="004102C8">
            <w:pPr>
              <w:spacing w:before="180" w:after="6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Medicare doesn’t currently report on the data which identifies which eye is being treated.  This change will enable monitoring of item use.  </w:t>
            </w:r>
          </w:p>
        </w:tc>
      </w:tr>
      <w:tr w:rsidR="009A602C" w:rsidRPr="0079766A" w14:paraId="26DBF321" w14:textId="77777777" w:rsidTr="004102C8">
        <w:trPr>
          <w:cantSplit/>
        </w:trPr>
        <w:tc>
          <w:tcPr>
            <w:tcW w:w="1557" w:type="dxa"/>
            <w:tcBorders>
              <w:top w:val="single" w:sz="4" w:space="0" w:color="B66113"/>
            </w:tcBorders>
          </w:tcPr>
          <w:p w14:paraId="4EE113D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42739</w:t>
            </w:r>
          </w:p>
        </w:tc>
        <w:tc>
          <w:tcPr>
            <w:tcW w:w="2412" w:type="dxa"/>
            <w:tcBorders>
              <w:top w:val="single" w:sz="4" w:space="0" w:color="B66113"/>
            </w:tcBorders>
          </w:tcPr>
          <w:p w14:paraId="2BC2618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Paracentesis of anterior chamber is a technique to reduce fluid pressure inside the eye, either via injection of substances of removal of fluids.  For diagnostic or therapeutic purposes, 1 or more as an independent procedure. </w:t>
            </w:r>
          </w:p>
          <w:p w14:paraId="5B23D2F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For patients requiring anaesthetic services. </w:t>
            </w:r>
          </w:p>
        </w:tc>
        <w:tc>
          <w:tcPr>
            <w:tcW w:w="2453" w:type="dxa"/>
            <w:tcBorders>
              <w:top w:val="single" w:sz="4" w:space="0" w:color="B66113"/>
            </w:tcBorders>
          </w:tcPr>
          <w:p w14:paraId="0860B7D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Recommend there be an item for the right eye and an item for the left eye.</w:t>
            </w:r>
          </w:p>
        </w:tc>
        <w:tc>
          <w:tcPr>
            <w:tcW w:w="3395" w:type="dxa"/>
            <w:tcBorders>
              <w:top w:val="single" w:sz="4" w:space="0" w:color="B66113"/>
            </w:tcBorders>
          </w:tcPr>
          <w:p w14:paraId="0179FE8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item will specify which eye.</w:t>
            </w:r>
          </w:p>
        </w:tc>
        <w:tc>
          <w:tcPr>
            <w:tcW w:w="3427" w:type="dxa"/>
            <w:tcBorders>
              <w:top w:val="single" w:sz="4" w:space="0" w:color="B66113"/>
            </w:tcBorders>
          </w:tcPr>
          <w:p w14:paraId="4026AD87" w14:textId="77777777" w:rsidR="009A602C" w:rsidRPr="0079766A" w:rsidRDefault="009A602C" w:rsidP="004102C8">
            <w:pPr>
              <w:spacing w:before="180" w:after="6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Medicare reporting doesn’t currently identify which eye is being treated.  This change will enable monitoring of item use. </w:t>
            </w:r>
          </w:p>
        </w:tc>
      </w:tr>
    </w:tbl>
    <w:p w14:paraId="5F0B0B2F" w14:textId="77777777" w:rsidR="009A602C" w:rsidRPr="0079766A" w:rsidRDefault="009A602C" w:rsidP="009A602C">
      <w:pPr>
        <w:spacing w:before="180" w:after="60" w:line="312" w:lineRule="auto"/>
        <w:rPr>
          <w:color w:val="000000"/>
          <w:sz w:val="22"/>
          <w:lang w:val="en-AU" w:eastAsia="en-US"/>
        </w:rPr>
      </w:pPr>
    </w:p>
    <w:p w14:paraId="45B8EDE1"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lastRenderedPageBreak/>
        <w:t>Recommendation 7: Item 42738 to be reclassified as a Type C procedure by the NPBC, with an exclusion for Modified Monash Model 5,6,7.</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004"/>
        <w:gridCol w:w="1626"/>
        <w:gridCol w:w="1847"/>
        <w:gridCol w:w="1901"/>
        <w:gridCol w:w="1934"/>
      </w:tblGrid>
      <w:tr w:rsidR="009A602C" w:rsidRPr="0079766A" w14:paraId="74AFA887" w14:textId="77777777" w:rsidTr="004102C8">
        <w:trPr>
          <w:cantSplit/>
          <w:tblHeader/>
        </w:trPr>
        <w:tc>
          <w:tcPr>
            <w:tcW w:w="1557" w:type="dxa"/>
            <w:tcBorders>
              <w:top w:val="single" w:sz="4" w:space="0" w:color="B66113"/>
              <w:bottom w:val="single" w:sz="4" w:space="0" w:color="B66113"/>
            </w:tcBorders>
            <w:shd w:val="clear" w:color="auto" w:fill="B66113"/>
          </w:tcPr>
          <w:p w14:paraId="628AA87A"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7C6E450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2D5C2A24"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43C96AE3"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21166F1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5BC68176" w14:textId="77777777" w:rsidTr="004102C8">
        <w:trPr>
          <w:cantSplit/>
        </w:trPr>
        <w:tc>
          <w:tcPr>
            <w:tcW w:w="1557" w:type="dxa"/>
            <w:tcBorders>
              <w:top w:val="single" w:sz="4" w:space="0" w:color="B66113"/>
            </w:tcBorders>
          </w:tcPr>
          <w:p w14:paraId="11E13C9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42738</w:t>
            </w:r>
          </w:p>
        </w:tc>
        <w:tc>
          <w:tcPr>
            <w:tcW w:w="2412" w:type="dxa"/>
            <w:tcBorders>
              <w:top w:val="single" w:sz="4" w:space="0" w:color="B66113"/>
            </w:tcBorders>
          </w:tcPr>
          <w:p w14:paraId="08DDC53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Paracentesis of anterior chamber is a technique to reduce fluid pressure inside the eye, either via injection of substances or removal of fluids.  For diagnostic or therapeutic purposes, 1 or more as an independent procedure.</w:t>
            </w:r>
          </w:p>
        </w:tc>
        <w:tc>
          <w:tcPr>
            <w:tcW w:w="2453" w:type="dxa"/>
            <w:tcBorders>
              <w:top w:val="single" w:sz="4" w:space="0" w:color="B66113"/>
            </w:tcBorders>
          </w:tcPr>
          <w:p w14:paraId="3EE3CBD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A type C Procedure does not normally need in hospital treatment and requires providers to fill out a form to justify hospital use. </w:t>
            </w:r>
          </w:p>
        </w:tc>
        <w:tc>
          <w:tcPr>
            <w:tcW w:w="3395" w:type="dxa"/>
            <w:tcBorders>
              <w:top w:val="single" w:sz="4" w:space="0" w:color="B66113"/>
            </w:tcBorders>
          </w:tcPr>
          <w:p w14:paraId="440EB591" w14:textId="2457C79C"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process would not be performed in a hospital or day surgery</w:t>
            </w:r>
            <w:r w:rsidR="0041212C">
              <w:rPr>
                <w:rFonts w:asciiTheme="minorHAnsi" w:eastAsia="Calibri" w:hAnsiTheme="minorHAnsi"/>
                <w:color w:val="000000"/>
                <w:sz w:val="18"/>
                <w:szCs w:val="18"/>
                <w:lang w:val="en-AU"/>
              </w:rPr>
              <w:t xml:space="preserve"> without prior approval</w:t>
            </w:r>
            <w:r w:rsidRPr="0079766A">
              <w:rPr>
                <w:rFonts w:asciiTheme="minorHAnsi" w:eastAsia="Calibri" w:hAnsiTheme="minorHAnsi"/>
                <w:color w:val="000000"/>
                <w:sz w:val="18"/>
                <w:szCs w:val="18"/>
                <w:lang w:val="en-AU"/>
              </w:rPr>
              <w:t xml:space="preserve">. </w:t>
            </w:r>
          </w:p>
        </w:tc>
        <w:tc>
          <w:tcPr>
            <w:tcW w:w="3427" w:type="dxa"/>
            <w:tcBorders>
              <w:top w:val="single" w:sz="4" w:space="0" w:color="B66113"/>
            </w:tcBorders>
          </w:tcPr>
          <w:p w14:paraId="03584EB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support best practice. In </w:t>
            </w:r>
            <w:proofErr w:type="gramStart"/>
            <w:r w:rsidRPr="0079766A">
              <w:rPr>
                <w:rFonts w:asciiTheme="minorHAnsi" w:eastAsia="Calibri" w:hAnsiTheme="minorHAnsi"/>
                <w:color w:val="000000"/>
                <w:sz w:val="18"/>
                <w:szCs w:val="18"/>
                <w:lang w:val="en-AU"/>
              </w:rPr>
              <w:t>the majority of</w:t>
            </w:r>
            <w:proofErr w:type="gramEnd"/>
            <w:r w:rsidRPr="0079766A">
              <w:rPr>
                <w:rFonts w:asciiTheme="minorHAnsi" w:eastAsia="Calibri" w:hAnsiTheme="minorHAnsi"/>
                <w:color w:val="000000"/>
                <w:sz w:val="18"/>
                <w:szCs w:val="18"/>
                <w:lang w:val="en-AU"/>
              </w:rPr>
              <w:t xml:space="preserve"> cases this procedure should be performed / provided out of hospital, unless the patient has a disability and / or is extremely anxious.</w:t>
            </w:r>
          </w:p>
          <w:p w14:paraId="6DCFE664" w14:textId="77777777" w:rsidR="009A602C" w:rsidRPr="0079766A" w:rsidRDefault="009A602C" w:rsidP="004102C8">
            <w:pPr>
              <w:spacing w:before="180" w:after="60" w:line="312" w:lineRule="auto"/>
              <w:rPr>
                <w:rFonts w:asciiTheme="minorHAnsi" w:hAnsiTheme="minorHAnsi"/>
                <w:color w:val="000000"/>
                <w:sz w:val="22"/>
                <w:lang w:val="en-AU"/>
              </w:rPr>
            </w:pPr>
            <w:r w:rsidRPr="0079766A">
              <w:rPr>
                <w:rFonts w:asciiTheme="minorHAnsi" w:eastAsia="Calibri" w:hAnsiTheme="minorHAnsi"/>
                <w:color w:val="000000"/>
                <w:sz w:val="18"/>
                <w:szCs w:val="18"/>
                <w:lang w:val="en-AU"/>
              </w:rPr>
              <w:t>Performing the procedure in a hospital or day surgery adds significant cost with no clinical benefit.</w:t>
            </w:r>
            <w:r w:rsidRPr="006F30C0">
              <w:rPr>
                <w:rFonts w:asciiTheme="minorHAnsi" w:eastAsia="Calibri" w:hAnsiTheme="minorHAnsi"/>
                <w:color w:val="000000"/>
                <w:sz w:val="18"/>
                <w:szCs w:val="18"/>
                <w:lang w:val="en-AU"/>
              </w:rPr>
              <w:t xml:space="preserve"> The clinician may however prefer to provide the treatment in a day hospital setting as a preference</w:t>
            </w:r>
          </w:p>
        </w:tc>
      </w:tr>
    </w:tbl>
    <w:p w14:paraId="696184E0"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lastRenderedPageBreak/>
        <w:t>Recommendation 8: No change to item 42702</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96"/>
        <w:gridCol w:w="1692"/>
        <w:gridCol w:w="1837"/>
        <w:gridCol w:w="1786"/>
        <w:gridCol w:w="2001"/>
      </w:tblGrid>
      <w:tr w:rsidR="009A602C" w:rsidRPr="0079766A" w14:paraId="2DBA472D" w14:textId="77777777" w:rsidTr="004102C8">
        <w:trPr>
          <w:cantSplit/>
          <w:tblHeader/>
        </w:trPr>
        <w:tc>
          <w:tcPr>
            <w:tcW w:w="1557" w:type="dxa"/>
            <w:tcBorders>
              <w:top w:val="single" w:sz="4" w:space="0" w:color="B66113"/>
              <w:bottom w:val="single" w:sz="4" w:space="0" w:color="B66113"/>
            </w:tcBorders>
            <w:shd w:val="clear" w:color="auto" w:fill="B66113"/>
          </w:tcPr>
          <w:p w14:paraId="5D336CA0"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18DB1B8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28BAF47D"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274223F9"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2F6AC2A7"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1F2FD718" w14:textId="77777777" w:rsidTr="004102C8">
        <w:trPr>
          <w:cantSplit/>
        </w:trPr>
        <w:tc>
          <w:tcPr>
            <w:tcW w:w="1557" w:type="dxa"/>
            <w:tcBorders>
              <w:top w:val="single" w:sz="4" w:space="0" w:color="B66113"/>
            </w:tcBorders>
          </w:tcPr>
          <w:p w14:paraId="5E49604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42702</w:t>
            </w:r>
          </w:p>
        </w:tc>
        <w:tc>
          <w:tcPr>
            <w:tcW w:w="2412" w:type="dxa"/>
            <w:tcBorders>
              <w:top w:val="single" w:sz="4" w:space="0" w:color="B66113"/>
            </w:tcBorders>
          </w:tcPr>
          <w:p w14:paraId="3FFEDF2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Removal of the lens and insertion of an artificial lens.  This item excludes surgery performed for the correction of a refractive error (where the shape of the eye makes it difficult to focus on light). An exception is anisometropia (where two eyes have unequal refractive power) following the removal of a cataract in the first eye. </w:t>
            </w:r>
          </w:p>
        </w:tc>
        <w:tc>
          <w:tcPr>
            <w:tcW w:w="2453" w:type="dxa"/>
            <w:tcBorders>
              <w:top w:val="single" w:sz="4" w:space="0" w:color="B66113"/>
            </w:tcBorders>
          </w:tcPr>
          <w:p w14:paraId="2FC3BBD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No change.</w:t>
            </w:r>
          </w:p>
        </w:tc>
        <w:tc>
          <w:tcPr>
            <w:tcW w:w="3395" w:type="dxa"/>
            <w:tcBorders>
              <w:top w:val="single" w:sz="4" w:space="0" w:color="B66113"/>
            </w:tcBorders>
          </w:tcPr>
          <w:p w14:paraId="030973A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No change. </w:t>
            </w:r>
          </w:p>
        </w:tc>
        <w:tc>
          <w:tcPr>
            <w:tcW w:w="3427" w:type="dxa"/>
            <w:tcBorders>
              <w:top w:val="single" w:sz="4" w:space="0" w:color="B66113"/>
            </w:tcBorders>
          </w:tcPr>
          <w:p w14:paraId="1CA5C97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considered the volume of service and service growth to be in line with expectations of demographic trends. </w:t>
            </w:r>
          </w:p>
        </w:tc>
      </w:tr>
    </w:tbl>
    <w:p w14:paraId="095B88EA"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 xml:space="preserve">Recommendation 9: Items for deletion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802"/>
        <w:gridCol w:w="1797"/>
        <w:gridCol w:w="1773"/>
        <w:gridCol w:w="1981"/>
      </w:tblGrid>
      <w:tr w:rsidR="009A602C" w:rsidRPr="0079766A" w14:paraId="0599556B" w14:textId="77777777" w:rsidTr="004102C8">
        <w:trPr>
          <w:cantSplit/>
          <w:tblHeader/>
        </w:trPr>
        <w:tc>
          <w:tcPr>
            <w:tcW w:w="1557" w:type="dxa"/>
            <w:tcBorders>
              <w:top w:val="single" w:sz="4" w:space="0" w:color="B66113"/>
              <w:bottom w:val="single" w:sz="4" w:space="0" w:color="B66113"/>
            </w:tcBorders>
            <w:shd w:val="clear" w:color="auto" w:fill="B66113"/>
          </w:tcPr>
          <w:p w14:paraId="17A040A4"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79DC9FED"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1FF04AD3"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607340B7"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408691EF"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65EA3336" w14:textId="77777777" w:rsidTr="004102C8">
        <w:trPr>
          <w:cantSplit/>
        </w:trPr>
        <w:tc>
          <w:tcPr>
            <w:tcW w:w="1557" w:type="dxa"/>
            <w:tcBorders>
              <w:top w:val="single" w:sz="4" w:space="0" w:color="B66113"/>
              <w:bottom w:val="single" w:sz="4" w:space="0" w:color="B66113"/>
            </w:tcBorders>
          </w:tcPr>
          <w:p w14:paraId="666EAA4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42741</w:t>
            </w:r>
          </w:p>
        </w:tc>
        <w:tc>
          <w:tcPr>
            <w:tcW w:w="2412" w:type="dxa"/>
            <w:tcBorders>
              <w:top w:val="single" w:sz="4" w:space="0" w:color="B66113"/>
              <w:bottom w:val="single" w:sz="4" w:space="0" w:color="B66113"/>
            </w:tcBorders>
          </w:tcPr>
          <w:p w14:paraId="3E887AA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Injection of a therapeutic substance, for the treatment of age-related macular degeneration.</w:t>
            </w:r>
          </w:p>
        </w:tc>
        <w:tc>
          <w:tcPr>
            <w:tcW w:w="2453" w:type="dxa"/>
            <w:tcBorders>
              <w:top w:val="single" w:sz="4" w:space="0" w:color="B66113"/>
              <w:bottom w:val="single" w:sz="4" w:space="0" w:color="B66113"/>
            </w:tcBorders>
          </w:tcPr>
          <w:p w14:paraId="14D55BD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bottom w:val="single" w:sz="4" w:space="0" w:color="B66113"/>
            </w:tcBorders>
          </w:tcPr>
          <w:p w14:paraId="5831096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Item is no longer accessible. </w:t>
            </w:r>
          </w:p>
        </w:tc>
        <w:tc>
          <w:tcPr>
            <w:tcW w:w="3427" w:type="dxa"/>
            <w:tcBorders>
              <w:top w:val="single" w:sz="4" w:space="0" w:color="B66113"/>
              <w:bottom w:val="single" w:sz="4" w:space="0" w:color="B66113"/>
            </w:tcBorders>
          </w:tcPr>
          <w:p w14:paraId="6C431E3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was created for a very specific mode of delivering a medication that is no longer available in Australia.  This item is for a service that should no longer be used.  </w:t>
            </w:r>
          </w:p>
        </w:tc>
      </w:tr>
      <w:tr w:rsidR="009A602C" w:rsidRPr="0079766A" w14:paraId="01531303" w14:textId="77777777" w:rsidTr="004102C8">
        <w:trPr>
          <w:cantSplit/>
        </w:trPr>
        <w:tc>
          <w:tcPr>
            <w:tcW w:w="1557" w:type="dxa"/>
            <w:tcBorders>
              <w:top w:val="single" w:sz="4" w:space="0" w:color="B66113"/>
              <w:bottom w:val="single" w:sz="4" w:space="0" w:color="B66113"/>
            </w:tcBorders>
          </w:tcPr>
          <w:p w14:paraId="64BB90B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42524</w:t>
            </w:r>
          </w:p>
        </w:tc>
        <w:tc>
          <w:tcPr>
            <w:tcW w:w="2412" w:type="dxa"/>
            <w:tcBorders>
              <w:top w:val="single" w:sz="4" w:space="0" w:color="B66113"/>
              <w:bottom w:val="single" w:sz="4" w:space="0" w:color="B66113"/>
            </w:tcBorders>
          </w:tcPr>
          <w:p w14:paraId="0AAC484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A skin graft to the eye socket. </w:t>
            </w:r>
          </w:p>
        </w:tc>
        <w:tc>
          <w:tcPr>
            <w:tcW w:w="2453" w:type="dxa"/>
            <w:tcBorders>
              <w:top w:val="single" w:sz="4" w:space="0" w:color="B66113"/>
              <w:bottom w:val="single" w:sz="4" w:space="0" w:color="B66113"/>
            </w:tcBorders>
          </w:tcPr>
          <w:p w14:paraId="0E5D865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bottom w:val="single" w:sz="4" w:space="0" w:color="B66113"/>
            </w:tcBorders>
          </w:tcPr>
          <w:p w14:paraId="34F67F9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bottom w:val="single" w:sz="4" w:space="0" w:color="B66113"/>
            </w:tcBorders>
          </w:tcPr>
          <w:p w14:paraId="6F894CC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determined that this item is no longer </w:t>
            </w:r>
            <w:r>
              <w:rPr>
                <w:rFonts w:asciiTheme="minorHAnsi" w:eastAsia="Calibri" w:hAnsiTheme="minorHAnsi"/>
                <w:color w:val="000000"/>
                <w:sz w:val="18"/>
                <w:szCs w:val="18"/>
                <w:lang w:val="en-AU"/>
              </w:rPr>
              <w:t xml:space="preserve">best practice or </w:t>
            </w:r>
            <w:r w:rsidRPr="0079766A">
              <w:rPr>
                <w:rFonts w:asciiTheme="minorHAnsi" w:eastAsia="Calibri" w:hAnsiTheme="minorHAnsi"/>
                <w:color w:val="000000"/>
                <w:sz w:val="18"/>
                <w:szCs w:val="18"/>
                <w:lang w:val="en-AU"/>
              </w:rPr>
              <w:t xml:space="preserve">current. </w:t>
            </w:r>
          </w:p>
        </w:tc>
      </w:tr>
      <w:tr w:rsidR="009A602C" w:rsidRPr="0079766A" w14:paraId="23BDB4FD" w14:textId="77777777" w:rsidTr="004102C8">
        <w:trPr>
          <w:cantSplit/>
        </w:trPr>
        <w:tc>
          <w:tcPr>
            <w:tcW w:w="1557" w:type="dxa"/>
            <w:tcBorders>
              <w:top w:val="single" w:sz="4" w:space="0" w:color="B66113"/>
              <w:bottom w:val="single" w:sz="4" w:space="0" w:color="B66113"/>
            </w:tcBorders>
          </w:tcPr>
          <w:p w14:paraId="6B0D0DD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42593</w:t>
            </w:r>
          </w:p>
        </w:tc>
        <w:tc>
          <w:tcPr>
            <w:tcW w:w="2412" w:type="dxa"/>
            <w:tcBorders>
              <w:top w:val="single" w:sz="4" w:space="0" w:color="B66113"/>
              <w:bottom w:val="single" w:sz="4" w:space="0" w:color="B66113"/>
            </w:tcBorders>
          </w:tcPr>
          <w:p w14:paraId="6ED9C4D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Removal of part of the lacrimal (tear producing) gland. </w:t>
            </w:r>
          </w:p>
        </w:tc>
        <w:tc>
          <w:tcPr>
            <w:tcW w:w="2453" w:type="dxa"/>
            <w:tcBorders>
              <w:top w:val="single" w:sz="4" w:space="0" w:color="B66113"/>
              <w:bottom w:val="single" w:sz="4" w:space="0" w:color="B66113"/>
            </w:tcBorders>
          </w:tcPr>
          <w:p w14:paraId="3360F3D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bottom w:val="single" w:sz="4" w:space="0" w:color="B66113"/>
            </w:tcBorders>
          </w:tcPr>
          <w:p w14:paraId="2976B46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bottom w:val="single" w:sz="4" w:space="0" w:color="B66113"/>
            </w:tcBorders>
          </w:tcPr>
          <w:p w14:paraId="49F3A99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determined that this treatment and item is no longer </w:t>
            </w:r>
            <w:r>
              <w:rPr>
                <w:rFonts w:asciiTheme="minorHAnsi" w:eastAsia="Calibri" w:hAnsiTheme="minorHAnsi"/>
                <w:color w:val="000000"/>
                <w:sz w:val="18"/>
                <w:szCs w:val="18"/>
                <w:lang w:val="en-AU"/>
              </w:rPr>
              <w:t xml:space="preserve">best practice or </w:t>
            </w:r>
            <w:r w:rsidRPr="0079766A">
              <w:rPr>
                <w:rFonts w:asciiTheme="minorHAnsi" w:eastAsia="Calibri" w:hAnsiTheme="minorHAnsi"/>
                <w:color w:val="000000"/>
                <w:sz w:val="18"/>
                <w:szCs w:val="18"/>
                <w:lang w:val="en-AU"/>
              </w:rPr>
              <w:t xml:space="preserve">current. It has very low service volumes and is recommended it for deletion. </w:t>
            </w:r>
          </w:p>
        </w:tc>
      </w:tr>
      <w:tr w:rsidR="009A602C" w:rsidRPr="0079766A" w14:paraId="4EF17C85" w14:textId="77777777" w:rsidTr="004102C8">
        <w:trPr>
          <w:cantSplit/>
        </w:trPr>
        <w:tc>
          <w:tcPr>
            <w:tcW w:w="1557" w:type="dxa"/>
            <w:tcBorders>
              <w:top w:val="single" w:sz="4" w:space="0" w:color="B66113"/>
              <w:bottom w:val="single" w:sz="4" w:space="0" w:color="B66113"/>
            </w:tcBorders>
          </w:tcPr>
          <w:p w14:paraId="3FD50B0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42806</w:t>
            </w:r>
          </w:p>
        </w:tc>
        <w:tc>
          <w:tcPr>
            <w:tcW w:w="2412" w:type="dxa"/>
            <w:tcBorders>
              <w:top w:val="single" w:sz="4" w:space="0" w:color="B66113"/>
              <w:bottom w:val="single" w:sz="4" w:space="0" w:color="B66113"/>
            </w:tcBorders>
          </w:tcPr>
          <w:p w14:paraId="6B15D3F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US"/>
              </w:rPr>
              <w:t xml:space="preserve">Iris </w:t>
            </w:r>
            <w:proofErr w:type="spellStart"/>
            <w:r w:rsidRPr="0079766A">
              <w:rPr>
                <w:rFonts w:asciiTheme="minorHAnsi" w:eastAsia="Calibri" w:hAnsiTheme="minorHAnsi"/>
                <w:color w:val="000000"/>
                <w:sz w:val="18"/>
                <w:szCs w:val="18"/>
                <w:lang w:val="en-US"/>
              </w:rPr>
              <w:t>tumour</w:t>
            </w:r>
            <w:proofErr w:type="spellEnd"/>
            <w:r w:rsidRPr="0079766A">
              <w:rPr>
                <w:rFonts w:asciiTheme="minorHAnsi" w:eastAsia="Calibri" w:hAnsiTheme="minorHAnsi"/>
                <w:color w:val="000000"/>
                <w:sz w:val="18"/>
                <w:szCs w:val="18"/>
                <w:lang w:val="en-US"/>
              </w:rPr>
              <w:t xml:space="preserve">, laser photocoagulation (surgery to shrink or destroy abnormal structures in the retina). </w:t>
            </w:r>
          </w:p>
        </w:tc>
        <w:tc>
          <w:tcPr>
            <w:tcW w:w="2453" w:type="dxa"/>
            <w:tcBorders>
              <w:top w:val="single" w:sz="4" w:space="0" w:color="B66113"/>
              <w:bottom w:val="single" w:sz="4" w:space="0" w:color="B66113"/>
            </w:tcBorders>
          </w:tcPr>
          <w:p w14:paraId="3F71168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bottom w:val="single" w:sz="4" w:space="0" w:color="B66113"/>
            </w:tcBorders>
          </w:tcPr>
          <w:p w14:paraId="707904D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bottom w:val="single" w:sz="4" w:space="0" w:color="B66113"/>
            </w:tcBorders>
          </w:tcPr>
          <w:p w14:paraId="6DBB8BD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consulted with clinicians who practice ocular oncology in Australia, who confirmed that this item is no longer </w:t>
            </w:r>
            <w:r>
              <w:rPr>
                <w:rFonts w:asciiTheme="minorHAnsi" w:eastAsia="Calibri" w:hAnsiTheme="minorHAnsi"/>
                <w:color w:val="000000"/>
                <w:sz w:val="18"/>
                <w:szCs w:val="18"/>
                <w:lang w:val="en-AU"/>
              </w:rPr>
              <w:t xml:space="preserve">best practice or </w:t>
            </w:r>
            <w:r w:rsidRPr="0079766A">
              <w:rPr>
                <w:rFonts w:asciiTheme="minorHAnsi" w:eastAsia="Calibri" w:hAnsiTheme="minorHAnsi"/>
                <w:color w:val="000000"/>
                <w:sz w:val="18"/>
                <w:szCs w:val="18"/>
                <w:lang w:val="en-AU"/>
              </w:rPr>
              <w:t xml:space="preserve">current. </w:t>
            </w:r>
          </w:p>
        </w:tc>
      </w:tr>
      <w:tr w:rsidR="009A602C" w:rsidRPr="0079766A" w14:paraId="1EFF35A7" w14:textId="77777777" w:rsidTr="004102C8">
        <w:trPr>
          <w:cantSplit/>
        </w:trPr>
        <w:tc>
          <w:tcPr>
            <w:tcW w:w="1557" w:type="dxa"/>
            <w:tcBorders>
              <w:top w:val="single" w:sz="4" w:space="0" w:color="B66113"/>
              <w:bottom w:val="single" w:sz="4" w:space="0" w:color="B66113"/>
            </w:tcBorders>
          </w:tcPr>
          <w:p w14:paraId="2142CF1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42807 </w:t>
            </w:r>
          </w:p>
        </w:tc>
        <w:tc>
          <w:tcPr>
            <w:tcW w:w="2412" w:type="dxa"/>
            <w:tcBorders>
              <w:top w:val="single" w:sz="4" w:space="0" w:color="B66113"/>
              <w:bottom w:val="single" w:sz="4" w:space="0" w:color="B66113"/>
            </w:tcBorders>
          </w:tcPr>
          <w:p w14:paraId="1B0E5D0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roofErr w:type="spellStart"/>
            <w:r w:rsidRPr="0079766A">
              <w:rPr>
                <w:rFonts w:asciiTheme="minorHAnsi" w:eastAsia="Calibri" w:hAnsiTheme="minorHAnsi"/>
                <w:color w:val="000000"/>
                <w:sz w:val="18"/>
                <w:szCs w:val="18"/>
                <w:lang w:val="en-AU"/>
              </w:rPr>
              <w:t>Photomydriasis</w:t>
            </w:r>
            <w:proofErr w:type="spellEnd"/>
            <w:r w:rsidRPr="0079766A">
              <w:rPr>
                <w:rFonts w:asciiTheme="minorHAnsi" w:eastAsia="Calibri" w:hAnsiTheme="minorHAnsi"/>
                <w:color w:val="000000"/>
                <w:sz w:val="18"/>
                <w:szCs w:val="18"/>
                <w:lang w:val="en-AU"/>
              </w:rPr>
              <w:t>, laser, is a procedure to enlarge constricted pupils in open angle glaucoma.</w:t>
            </w:r>
          </w:p>
          <w:p w14:paraId="111287B8" w14:textId="77777777" w:rsidR="009A602C" w:rsidRPr="0079766A" w:rsidRDefault="009A602C" w:rsidP="004102C8">
            <w:pPr>
              <w:spacing w:before="180" w:after="60" w:line="312" w:lineRule="auto"/>
              <w:rPr>
                <w:rFonts w:asciiTheme="minorHAnsi" w:hAnsiTheme="minorHAnsi"/>
                <w:color w:val="000000"/>
                <w:sz w:val="22"/>
                <w:lang w:val="en-AU"/>
              </w:rPr>
            </w:pPr>
            <w:r w:rsidRPr="0079766A">
              <w:rPr>
                <w:rFonts w:asciiTheme="minorHAnsi" w:eastAsia="Calibri" w:hAnsiTheme="minorHAnsi"/>
                <w:color w:val="000000"/>
                <w:sz w:val="18"/>
                <w:szCs w:val="18"/>
                <w:lang w:val="en-AU"/>
              </w:rPr>
              <w:t xml:space="preserve">Open Angle Glaucoma is where the eyes drainage canals are become clogged causing damage to the optic nerve. </w:t>
            </w:r>
          </w:p>
        </w:tc>
        <w:tc>
          <w:tcPr>
            <w:tcW w:w="2453" w:type="dxa"/>
            <w:tcBorders>
              <w:top w:val="single" w:sz="4" w:space="0" w:color="B66113"/>
              <w:bottom w:val="single" w:sz="4" w:space="0" w:color="B66113"/>
            </w:tcBorders>
          </w:tcPr>
          <w:p w14:paraId="0EED529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bottom w:val="single" w:sz="4" w:space="0" w:color="B66113"/>
            </w:tcBorders>
          </w:tcPr>
          <w:p w14:paraId="4186664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bottom w:val="single" w:sz="4" w:space="0" w:color="B66113"/>
            </w:tcBorders>
          </w:tcPr>
          <w:p w14:paraId="5C0DF86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will be combined with 42808 into a single item, with no impact on patient care, access or cost. </w:t>
            </w:r>
          </w:p>
        </w:tc>
      </w:tr>
      <w:tr w:rsidR="009A602C" w:rsidRPr="0079766A" w14:paraId="41436493" w14:textId="77777777" w:rsidTr="004102C8">
        <w:trPr>
          <w:cantSplit/>
        </w:trPr>
        <w:tc>
          <w:tcPr>
            <w:tcW w:w="1557" w:type="dxa"/>
            <w:tcBorders>
              <w:top w:val="single" w:sz="4" w:space="0" w:color="B66113"/>
              <w:bottom w:val="single" w:sz="4" w:space="0" w:color="B66113"/>
            </w:tcBorders>
          </w:tcPr>
          <w:p w14:paraId="3FB9FDE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42808</w:t>
            </w:r>
          </w:p>
        </w:tc>
        <w:tc>
          <w:tcPr>
            <w:tcW w:w="2412" w:type="dxa"/>
            <w:tcBorders>
              <w:top w:val="single" w:sz="4" w:space="0" w:color="B66113"/>
              <w:bottom w:val="single" w:sz="4" w:space="0" w:color="B66113"/>
            </w:tcBorders>
          </w:tcPr>
          <w:p w14:paraId="5D4EE75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Laser peripheral </w:t>
            </w:r>
            <w:proofErr w:type="spellStart"/>
            <w:r w:rsidRPr="0079766A">
              <w:rPr>
                <w:rFonts w:asciiTheme="minorHAnsi" w:eastAsia="Calibri" w:hAnsiTheme="minorHAnsi"/>
                <w:color w:val="000000"/>
                <w:sz w:val="18"/>
                <w:szCs w:val="18"/>
                <w:lang w:val="en-AU"/>
              </w:rPr>
              <w:t>iridoplasty</w:t>
            </w:r>
            <w:proofErr w:type="spellEnd"/>
            <w:r w:rsidRPr="0079766A">
              <w:rPr>
                <w:rFonts w:asciiTheme="minorHAnsi" w:eastAsia="Calibri" w:hAnsiTheme="minorHAnsi"/>
                <w:color w:val="000000"/>
                <w:sz w:val="18"/>
                <w:szCs w:val="18"/>
                <w:lang w:val="en-AU"/>
              </w:rPr>
              <w:t xml:space="preserve">, a treatment for angle closure glaucoma. </w:t>
            </w:r>
          </w:p>
          <w:p w14:paraId="370D5BE1" w14:textId="77777777" w:rsidR="009A602C" w:rsidRPr="0079766A" w:rsidRDefault="009A602C" w:rsidP="004102C8">
            <w:pPr>
              <w:spacing w:before="180" w:after="60" w:line="312" w:lineRule="auto"/>
              <w:rPr>
                <w:rFonts w:asciiTheme="minorHAnsi" w:hAnsiTheme="minorHAnsi"/>
                <w:color w:val="000000"/>
                <w:sz w:val="22"/>
                <w:lang w:val="en-AU"/>
              </w:rPr>
            </w:pPr>
            <w:r w:rsidRPr="0079766A">
              <w:rPr>
                <w:rFonts w:asciiTheme="minorHAnsi" w:eastAsia="Calibri" w:hAnsiTheme="minorHAnsi"/>
                <w:color w:val="000000"/>
                <w:sz w:val="18"/>
                <w:szCs w:val="18"/>
                <w:lang w:val="en-AU"/>
              </w:rPr>
              <w:t>Angle closure glaucoma is where there is a rapid build-up of fluid inside the eye creating pressure.</w:t>
            </w:r>
          </w:p>
        </w:tc>
        <w:tc>
          <w:tcPr>
            <w:tcW w:w="2453" w:type="dxa"/>
            <w:tcBorders>
              <w:top w:val="single" w:sz="4" w:space="0" w:color="B66113"/>
              <w:bottom w:val="single" w:sz="4" w:space="0" w:color="B66113"/>
            </w:tcBorders>
          </w:tcPr>
          <w:p w14:paraId="168AA2D4" w14:textId="1F55605D" w:rsidR="009A602C" w:rsidRPr="0079766A" w:rsidRDefault="00D73373" w:rsidP="00E52893">
            <w:pPr>
              <w:spacing w:before="140" w:after="40" w:line="312" w:lineRule="auto"/>
              <w:rPr>
                <w:rFonts w:asciiTheme="minorHAnsi" w:eastAsia="Calibri" w:hAnsiTheme="minorHAnsi"/>
                <w:color w:val="000000"/>
                <w:sz w:val="18"/>
                <w:szCs w:val="18"/>
                <w:lang w:val="en-AU"/>
              </w:rPr>
            </w:pPr>
            <w:r>
              <w:rPr>
                <w:rFonts w:asciiTheme="minorHAnsi" w:eastAsia="Calibri" w:hAnsiTheme="minorHAnsi"/>
                <w:color w:val="000000"/>
                <w:sz w:val="18"/>
                <w:szCs w:val="18"/>
                <w:lang w:val="en-AU"/>
              </w:rPr>
              <w:t xml:space="preserve">The committee recommends that laser </w:t>
            </w:r>
            <w:proofErr w:type="spellStart"/>
            <w:r>
              <w:rPr>
                <w:rFonts w:asciiTheme="minorHAnsi" w:eastAsia="Calibri" w:hAnsiTheme="minorHAnsi"/>
                <w:color w:val="000000"/>
                <w:sz w:val="18"/>
                <w:szCs w:val="18"/>
                <w:lang w:val="en-AU"/>
              </w:rPr>
              <w:t>iridoplasty</w:t>
            </w:r>
            <w:proofErr w:type="spellEnd"/>
            <w:r>
              <w:rPr>
                <w:rFonts w:asciiTheme="minorHAnsi" w:eastAsia="Calibri" w:hAnsiTheme="minorHAnsi"/>
                <w:color w:val="000000"/>
                <w:sz w:val="18"/>
                <w:szCs w:val="18"/>
                <w:lang w:val="en-AU"/>
              </w:rPr>
              <w:t xml:space="preserve"> (currently item 42807) be combined into this item to form a new item 42808.</w:t>
            </w:r>
            <w:r w:rsidR="009A602C" w:rsidRPr="0079766A">
              <w:rPr>
                <w:rFonts w:asciiTheme="minorHAnsi" w:eastAsia="Calibri" w:hAnsiTheme="minorHAnsi"/>
                <w:color w:val="000000"/>
                <w:sz w:val="18"/>
                <w:szCs w:val="18"/>
                <w:lang w:val="en-AU"/>
              </w:rPr>
              <w:t xml:space="preserve"> </w:t>
            </w:r>
          </w:p>
        </w:tc>
        <w:tc>
          <w:tcPr>
            <w:tcW w:w="3395" w:type="dxa"/>
            <w:tcBorders>
              <w:top w:val="single" w:sz="4" w:space="0" w:color="B66113"/>
              <w:bottom w:val="single" w:sz="4" w:space="0" w:color="B66113"/>
            </w:tcBorders>
          </w:tcPr>
          <w:p w14:paraId="5F955B8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bottom w:val="single" w:sz="4" w:space="0" w:color="B66113"/>
            </w:tcBorders>
          </w:tcPr>
          <w:p w14:paraId="7FE64DCB" w14:textId="5D655F8E" w:rsidR="009A602C" w:rsidRPr="0079766A" w:rsidRDefault="00E52893" w:rsidP="00067487">
            <w:pPr>
              <w:spacing w:before="140" w:after="40" w:line="312" w:lineRule="auto"/>
              <w:rPr>
                <w:rFonts w:asciiTheme="minorHAnsi" w:eastAsia="Calibri" w:hAnsiTheme="minorHAnsi"/>
                <w:color w:val="000000"/>
                <w:sz w:val="18"/>
                <w:szCs w:val="18"/>
                <w:lang w:val="en-AU"/>
              </w:rPr>
            </w:pPr>
            <w:r>
              <w:rPr>
                <w:rFonts w:asciiTheme="minorHAnsi" w:eastAsia="Calibri" w:hAnsiTheme="minorHAnsi"/>
                <w:color w:val="000000"/>
                <w:sz w:val="18"/>
                <w:szCs w:val="18"/>
                <w:lang w:val="en-AU"/>
              </w:rPr>
              <w:t xml:space="preserve"> This item will be expanded to include the old item 42807</w:t>
            </w:r>
            <w:r w:rsidR="00067487">
              <w:rPr>
                <w:rFonts w:asciiTheme="minorHAnsi" w:eastAsia="Calibri" w:hAnsiTheme="minorHAnsi"/>
                <w:color w:val="000000"/>
                <w:sz w:val="18"/>
                <w:szCs w:val="18"/>
                <w:lang w:val="en-AU"/>
              </w:rPr>
              <w:t xml:space="preserve">, </w:t>
            </w:r>
            <w:r w:rsidR="009A602C" w:rsidRPr="0079766A">
              <w:rPr>
                <w:rFonts w:asciiTheme="minorHAnsi" w:eastAsia="Calibri" w:hAnsiTheme="minorHAnsi"/>
                <w:color w:val="000000"/>
                <w:sz w:val="18"/>
                <w:szCs w:val="18"/>
                <w:lang w:val="en-AU"/>
              </w:rPr>
              <w:t>with no impact on patient care, access or cost.</w:t>
            </w:r>
          </w:p>
        </w:tc>
      </w:tr>
      <w:tr w:rsidR="009A602C" w:rsidRPr="0079766A" w14:paraId="0D111905" w14:textId="77777777" w:rsidTr="004102C8">
        <w:trPr>
          <w:cantSplit/>
        </w:trPr>
        <w:tc>
          <w:tcPr>
            <w:tcW w:w="1557" w:type="dxa"/>
            <w:tcBorders>
              <w:top w:val="single" w:sz="4" w:space="0" w:color="B66113"/>
            </w:tcBorders>
          </w:tcPr>
          <w:p w14:paraId="517630B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43023</w:t>
            </w:r>
          </w:p>
        </w:tc>
        <w:tc>
          <w:tcPr>
            <w:tcW w:w="2412" w:type="dxa"/>
            <w:tcBorders>
              <w:top w:val="single" w:sz="4" w:space="0" w:color="B66113"/>
            </w:tcBorders>
          </w:tcPr>
          <w:p w14:paraId="3E38E4F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describes a laser procedure to treat the abnormal growth of leaky blood vessels in the eye caused by macular degeneration.   </w:t>
            </w:r>
          </w:p>
        </w:tc>
        <w:tc>
          <w:tcPr>
            <w:tcW w:w="2453" w:type="dxa"/>
            <w:tcBorders>
              <w:top w:val="single" w:sz="4" w:space="0" w:color="B66113"/>
            </w:tcBorders>
          </w:tcPr>
          <w:p w14:paraId="27B44F1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for deletion.  </w:t>
            </w:r>
          </w:p>
        </w:tc>
        <w:tc>
          <w:tcPr>
            <w:tcW w:w="3395" w:type="dxa"/>
            <w:tcBorders>
              <w:top w:val="single" w:sz="4" w:space="0" w:color="B66113"/>
            </w:tcBorders>
          </w:tcPr>
          <w:p w14:paraId="4B4BE9A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is no longer accessible.</w:t>
            </w:r>
          </w:p>
        </w:tc>
        <w:tc>
          <w:tcPr>
            <w:tcW w:w="3427" w:type="dxa"/>
            <w:tcBorders>
              <w:top w:val="single" w:sz="4" w:space="0" w:color="B66113"/>
            </w:tcBorders>
          </w:tcPr>
          <w:p w14:paraId="3A4F3E2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determined that this item is no longer clinically </w:t>
            </w:r>
            <w:r>
              <w:rPr>
                <w:rFonts w:asciiTheme="minorHAnsi" w:eastAsia="Calibri" w:hAnsiTheme="minorHAnsi"/>
                <w:color w:val="000000"/>
                <w:sz w:val="18"/>
                <w:szCs w:val="18"/>
                <w:lang w:val="en-AU"/>
              </w:rPr>
              <w:t xml:space="preserve">best practice or </w:t>
            </w:r>
            <w:r w:rsidRPr="0079766A">
              <w:rPr>
                <w:rFonts w:asciiTheme="minorHAnsi" w:eastAsia="Calibri" w:hAnsiTheme="minorHAnsi"/>
                <w:color w:val="000000"/>
                <w:sz w:val="18"/>
                <w:szCs w:val="18"/>
                <w:lang w:val="en-AU"/>
              </w:rPr>
              <w:t>current.</w:t>
            </w:r>
          </w:p>
        </w:tc>
      </w:tr>
    </w:tbl>
    <w:p w14:paraId="63F99208"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10: Amending the proposed item descriptors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76"/>
        <w:gridCol w:w="2056"/>
        <w:gridCol w:w="2135"/>
        <w:gridCol w:w="1520"/>
        <w:gridCol w:w="1725"/>
      </w:tblGrid>
      <w:tr w:rsidR="009A602C" w:rsidRPr="0079766A" w14:paraId="44BB2BDA" w14:textId="77777777" w:rsidTr="004102C8">
        <w:trPr>
          <w:cantSplit/>
          <w:tblHeader/>
        </w:trPr>
        <w:tc>
          <w:tcPr>
            <w:tcW w:w="1557" w:type="dxa"/>
            <w:tcBorders>
              <w:top w:val="single" w:sz="4" w:space="0" w:color="B66113"/>
              <w:bottom w:val="single" w:sz="4" w:space="0" w:color="B66113"/>
            </w:tcBorders>
            <w:shd w:val="clear" w:color="auto" w:fill="B66113"/>
          </w:tcPr>
          <w:p w14:paraId="7864261A"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3516B48C"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43193780"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3972FEC5"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0BA49A2B"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6C93EE5C" w14:textId="77777777" w:rsidTr="004102C8">
        <w:trPr>
          <w:cantSplit/>
        </w:trPr>
        <w:tc>
          <w:tcPr>
            <w:tcW w:w="1557" w:type="dxa"/>
            <w:tcBorders>
              <w:top w:val="single" w:sz="4" w:space="0" w:color="B66113"/>
              <w:bottom w:val="single" w:sz="4" w:space="0" w:color="B66113"/>
            </w:tcBorders>
          </w:tcPr>
          <w:p w14:paraId="5B8E27E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42506</w:t>
            </w:r>
          </w:p>
        </w:tc>
        <w:tc>
          <w:tcPr>
            <w:tcW w:w="2412" w:type="dxa"/>
            <w:tcBorders>
              <w:top w:val="single" w:sz="4" w:space="0" w:color="B66113"/>
              <w:bottom w:val="single" w:sz="4" w:space="0" w:color="B66113"/>
            </w:tcBorders>
          </w:tcPr>
          <w:p w14:paraId="779EB83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removal of the eye that leaves the eye muscles and surrounding orbital contents in place, with or without sphere implant. </w:t>
            </w:r>
          </w:p>
        </w:tc>
        <w:tc>
          <w:tcPr>
            <w:tcW w:w="2453" w:type="dxa"/>
            <w:tcBorders>
              <w:top w:val="single" w:sz="4" w:space="0" w:color="B66113"/>
              <w:bottom w:val="single" w:sz="4" w:space="0" w:color="B66113"/>
            </w:tcBorders>
          </w:tcPr>
          <w:p w14:paraId="1F0DFF4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‘Eye, enucleation of, without insertion of implant (</w:t>
            </w:r>
            <w:proofErr w:type="spellStart"/>
            <w:r w:rsidRPr="0079766A">
              <w:rPr>
                <w:rFonts w:asciiTheme="minorHAnsi" w:eastAsia="Calibri" w:hAnsiTheme="minorHAnsi"/>
                <w:color w:val="000000"/>
                <w:sz w:val="18"/>
                <w:szCs w:val="18"/>
                <w:lang w:val="en-AU"/>
              </w:rPr>
              <w:t>anaes</w:t>
            </w:r>
            <w:proofErr w:type="spellEnd"/>
            <w:r w:rsidRPr="0079766A">
              <w:rPr>
                <w:rFonts w:asciiTheme="minorHAnsi" w:eastAsia="Calibri" w:hAnsiTheme="minorHAnsi"/>
                <w:color w:val="000000"/>
                <w:sz w:val="18"/>
                <w:szCs w:val="18"/>
                <w:lang w:val="en-AU"/>
              </w:rPr>
              <w:t>.) (assist)’</w:t>
            </w:r>
          </w:p>
        </w:tc>
        <w:tc>
          <w:tcPr>
            <w:tcW w:w="3395" w:type="dxa"/>
            <w:tcBorders>
              <w:top w:val="single" w:sz="4" w:space="0" w:color="B66113"/>
              <w:bottom w:val="single" w:sz="4" w:space="0" w:color="B66113"/>
            </w:tcBorders>
          </w:tcPr>
          <w:p w14:paraId="7706426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item would now specify without sphere implant.  </w:t>
            </w:r>
          </w:p>
        </w:tc>
        <w:tc>
          <w:tcPr>
            <w:tcW w:w="3427" w:type="dxa"/>
            <w:tcBorders>
              <w:top w:val="single" w:sz="4" w:space="0" w:color="B66113"/>
              <w:bottom w:val="single" w:sz="4" w:space="0" w:color="B66113"/>
            </w:tcBorders>
          </w:tcPr>
          <w:p w14:paraId="462DF81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Item descriptors should specify the nature of the service provided to avoid inappropriate claiming. This wording </w:t>
            </w:r>
            <w:proofErr w:type="gramStart"/>
            <w:r w:rsidRPr="0079766A">
              <w:rPr>
                <w:rFonts w:asciiTheme="minorHAnsi" w:eastAsia="Calibri" w:hAnsiTheme="minorHAnsi"/>
                <w:color w:val="000000"/>
                <w:sz w:val="18"/>
                <w:szCs w:val="18"/>
                <w:lang w:val="en-AU"/>
              </w:rPr>
              <w:t>will  reflect</w:t>
            </w:r>
            <w:proofErr w:type="gramEnd"/>
            <w:r w:rsidRPr="0079766A">
              <w:rPr>
                <w:rFonts w:asciiTheme="minorHAnsi" w:eastAsia="Calibri" w:hAnsiTheme="minorHAnsi"/>
                <w:color w:val="000000"/>
                <w:sz w:val="18"/>
                <w:szCs w:val="18"/>
                <w:lang w:val="en-AU"/>
              </w:rPr>
              <w:t xml:space="preserve"> current practice and terminology, as well as the relative complexity of the procedure.</w:t>
            </w:r>
          </w:p>
        </w:tc>
      </w:tr>
      <w:tr w:rsidR="009A602C" w:rsidRPr="0079766A" w14:paraId="390BA303" w14:textId="77777777" w:rsidTr="004102C8">
        <w:trPr>
          <w:cantSplit/>
        </w:trPr>
        <w:tc>
          <w:tcPr>
            <w:tcW w:w="1557" w:type="dxa"/>
            <w:tcBorders>
              <w:top w:val="single" w:sz="4" w:space="0" w:color="B66113"/>
              <w:bottom w:val="single" w:sz="4" w:space="0" w:color="B66113"/>
            </w:tcBorders>
          </w:tcPr>
          <w:p w14:paraId="022C355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42509</w:t>
            </w:r>
          </w:p>
        </w:tc>
        <w:tc>
          <w:tcPr>
            <w:tcW w:w="2412" w:type="dxa"/>
            <w:tcBorders>
              <w:top w:val="single" w:sz="4" w:space="0" w:color="B66113"/>
              <w:bottom w:val="single" w:sz="4" w:space="0" w:color="B66113"/>
            </w:tcBorders>
          </w:tcPr>
          <w:p w14:paraId="7507E0A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removal of the eye that leaves the eye muscles and surrounding orbital contents in place</w:t>
            </w:r>
            <w:r w:rsidRPr="0079766A">
              <w:rPr>
                <w:rFonts w:asciiTheme="minorHAnsi" w:eastAsia="Calibri" w:hAnsiTheme="minorHAnsi"/>
                <w:color w:val="000000"/>
                <w:sz w:val="18"/>
                <w:szCs w:val="18"/>
                <w:lang w:val="en-US"/>
              </w:rPr>
              <w:t xml:space="preserve"> with insertion of integrated implant.</w:t>
            </w:r>
          </w:p>
        </w:tc>
        <w:tc>
          <w:tcPr>
            <w:tcW w:w="2453" w:type="dxa"/>
            <w:tcBorders>
              <w:top w:val="single" w:sz="4" w:space="0" w:color="B66113"/>
              <w:bottom w:val="single" w:sz="4" w:space="0" w:color="B66113"/>
            </w:tcBorders>
          </w:tcPr>
          <w:p w14:paraId="4A42B63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‘Eye, enucleation of, with insertion of non-integrated implant, without muscle attachment’.</w:t>
            </w:r>
          </w:p>
        </w:tc>
        <w:tc>
          <w:tcPr>
            <w:tcW w:w="3395" w:type="dxa"/>
            <w:tcBorders>
              <w:top w:val="single" w:sz="4" w:space="0" w:color="B66113"/>
              <w:bottom w:val="single" w:sz="4" w:space="0" w:color="B66113"/>
            </w:tcBorders>
          </w:tcPr>
          <w:p w14:paraId="7C5578C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7608575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descriptors should specify the nature of the service provided to avoid inappropriate claiming. This wording will reflect current practice and terminology, as well as the relative complexity of the procedure.</w:t>
            </w:r>
          </w:p>
        </w:tc>
      </w:tr>
      <w:tr w:rsidR="009A602C" w:rsidRPr="0079766A" w14:paraId="05DD8FAA" w14:textId="77777777" w:rsidTr="004102C8">
        <w:trPr>
          <w:cantSplit/>
        </w:trPr>
        <w:tc>
          <w:tcPr>
            <w:tcW w:w="1557" w:type="dxa"/>
            <w:tcBorders>
              <w:top w:val="single" w:sz="4" w:space="0" w:color="B66113"/>
              <w:bottom w:val="single" w:sz="4" w:space="0" w:color="B66113"/>
            </w:tcBorders>
          </w:tcPr>
          <w:p w14:paraId="0E796E0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42510</w:t>
            </w:r>
          </w:p>
        </w:tc>
        <w:tc>
          <w:tcPr>
            <w:tcW w:w="2412" w:type="dxa"/>
            <w:tcBorders>
              <w:top w:val="single" w:sz="4" w:space="0" w:color="B66113"/>
              <w:bottom w:val="single" w:sz="4" w:space="0" w:color="B66113"/>
            </w:tcBorders>
          </w:tcPr>
          <w:p w14:paraId="637FB8E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removal of the eye that leaves the eye muscles and surrounding orbital contents in place</w:t>
            </w:r>
            <w:r w:rsidRPr="0079766A">
              <w:rPr>
                <w:rFonts w:asciiTheme="minorHAnsi" w:eastAsia="Calibri" w:hAnsiTheme="minorHAnsi"/>
                <w:color w:val="000000"/>
                <w:sz w:val="18"/>
                <w:szCs w:val="18"/>
                <w:lang w:val="en-US"/>
              </w:rPr>
              <w:t xml:space="preserve">, with insertion of hydroxyapatite implant (made of calcium phosphate) or similar coralline implant (made of manufactured marine coral). </w:t>
            </w:r>
          </w:p>
        </w:tc>
        <w:tc>
          <w:tcPr>
            <w:tcW w:w="2453" w:type="dxa"/>
            <w:tcBorders>
              <w:top w:val="single" w:sz="4" w:space="0" w:color="B66113"/>
              <w:bottom w:val="single" w:sz="4" w:space="0" w:color="B66113"/>
            </w:tcBorders>
          </w:tcPr>
          <w:p w14:paraId="35E510AB" w14:textId="4CD0AC81"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‘Eye, enucleation of, with insertion of coralline or integrated implant, with attachment of at least the four rectus muscles (with or without oblique muscles) to the implant or its wrap</w:t>
            </w:r>
            <w:r w:rsidR="00E04A5C">
              <w:rPr>
                <w:rFonts w:asciiTheme="minorHAnsi" w:eastAsia="Calibri" w:hAnsiTheme="minorHAnsi"/>
                <w:color w:val="000000"/>
                <w:sz w:val="18"/>
                <w:szCs w:val="18"/>
                <w:lang w:val="en-AU"/>
              </w:rPr>
              <w:t xml:space="preserve"> or where </w:t>
            </w:r>
            <w:proofErr w:type="spellStart"/>
            <w:r w:rsidR="00E04A5C">
              <w:rPr>
                <w:rFonts w:asciiTheme="minorHAnsi" w:eastAsia="Calibri" w:hAnsiTheme="minorHAnsi"/>
                <w:color w:val="000000"/>
                <w:sz w:val="18"/>
                <w:szCs w:val="18"/>
                <w:lang w:val="en-AU"/>
              </w:rPr>
              <w:t>myoconjuctival</w:t>
            </w:r>
            <w:proofErr w:type="spellEnd"/>
            <w:r w:rsidR="00E04A5C">
              <w:rPr>
                <w:rFonts w:asciiTheme="minorHAnsi" w:eastAsia="Calibri" w:hAnsiTheme="minorHAnsi"/>
                <w:color w:val="000000"/>
                <w:sz w:val="18"/>
                <w:szCs w:val="18"/>
                <w:lang w:val="en-AU"/>
              </w:rPr>
              <w:t xml:space="preserve"> insertion of extraocular muscles are fashioned when another type of integrated implant is used</w:t>
            </w:r>
            <w:r w:rsidRPr="0079766A">
              <w:rPr>
                <w:rFonts w:asciiTheme="minorHAnsi" w:eastAsia="Calibri" w:hAnsiTheme="minorHAnsi"/>
                <w:color w:val="000000"/>
                <w:sz w:val="18"/>
                <w:szCs w:val="18"/>
                <w:lang w:val="en-AU"/>
              </w:rPr>
              <w:t>’.</w:t>
            </w:r>
          </w:p>
        </w:tc>
        <w:tc>
          <w:tcPr>
            <w:tcW w:w="3395" w:type="dxa"/>
            <w:tcBorders>
              <w:top w:val="single" w:sz="4" w:space="0" w:color="B66113"/>
              <w:bottom w:val="single" w:sz="4" w:space="0" w:color="B66113"/>
            </w:tcBorders>
          </w:tcPr>
          <w:p w14:paraId="2FBD440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0AE81E4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Item descriptors should specify the nature of the service provided to avoid inappropriate claiming. This wording will reflect current practice and terminology, as well as the relative complexity of the procedure.</w:t>
            </w:r>
          </w:p>
        </w:tc>
      </w:tr>
      <w:tr w:rsidR="009A602C" w:rsidRPr="0079766A" w14:paraId="28139A31" w14:textId="77777777" w:rsidTr="004102C8">
        <w:trPr>
          <w:cantSplit/>
        </w:trPr>
        <w:tc>
          <w:tcPr>
            <w:tcW w:w="1557" w:type="dxa"/>
            <w:tcBorders>
              <w:top w:val="single" w:sz="4" w:space="0" w:color="B66113"/>
              <w:bottom w:val="single" w:sz="4" w:space="0" w:color="B66113"/>
            </w:tcBorders>
          </w:tcPr>
          <w:p w14:paraId="1FDD1D6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42530</w:t>
            </w:r>
          </w:p>
        </w:tc>
        <w:tc>
          <w:tcPr>
            <w:tcW w:w="2412" w:type="dxa"/>
            <w:tcBorders>
              <w:top w:val="single" w:sz="4" w:space="0" w:color="B66113"/>
              <w:bottom w:val="single" w:sz="4" w:space="0" w:color="B66113"/>
            </w:tcBorders>
          </w:tcPr>
          <w:p w14:paraId="00BD346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US"/>
              </w:rPr>
              <w:t xml:space="preserve">An exploration of the eye socket with or without biopsy, requiring removal of bone. </w:t>
            </w:r>
          </w:p>
        </w:tc>
        <w:tc>
          <w:tcPr>
            <w:tcW w:w="2453" w:type="dxa"/>
            <w:tcBorders>
              <w:top w:val="single" w:sz="4" w:space="0" w:color="B66113"/>
              <w:bottom w:val="single" w:sz="4" w:space="0" w:color="B66113"/>
            </w:tcBorders>
          </w:tcPr>
          <w:p w14:paraId="758F702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‘Orbit, exploration requiring removal of bone (orbitotomy) for access, with subsequent drainage or biopsy, including repair of any bone and/or soft tissue surgical defect, not being a service to which items 45590 or 45593 apply’.</w:t>
            </w:r>
          </w:p>
        </w:tc>
        <w:tc>
          <w:tcPr>
            <w:tcW w:w="3395" w:type="dxa"/>
            <w:tcBorders>
              <w:top w:val="single" w:sz="4" w:space="0" w:color="B66113"/>
              <w:bottom w:val="single" w:sz="4" w:space="0" w:color="B66113"/>
            </w:tcBorders>
          </w:tcPr>
          <w:p w14:paraId="1ACDD51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6573D73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specify the level of complexity, define procedure and avoid inappropriate claiming of this item. </w:t>
            </w:r>
          </w:p>
        </w:tc>
      </w:tr>
      <w:tr w:rsidR="009A602C" w:rsidRPr="0079766A" w14:paraId="6213A41F" w14:textId="77777777" w:rsidTr="004102C8">
        <w:trPr>
          <w:cantSplit/>
        </w:trPr>
        <w:tc>
          <w:tcPr>
            <w:tcW w:w="1557" w:type="dxa"/>
            <w:tcBorders>
              <w:top w:val="single" w:sz="4" w:space="0" w:color="B66113"/>
              <w:bottom w:val="single" w:sz="4" w:space="0" w:color="B66113"/>
            </w:tcBorders>
          </w:tcPr>
          <w:p w14:paraId="130F1B6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42533</w:t>
            </w:r>
          </w:p>
        </w:tc>
        <w:tc>
          <w:tcPr>
            <w:tcW w:w="2412" w:type="dxa"/>
            <w:tcBorders>
              <w:top w:val="single" w:sz="4" w:space="0" w:color="B66113"/>
              <w:bottom w:val="single" w:sz="4" w:space="0" w:color="B66113"/>
            </w:tcBorders>
          </w:tcPr>
          <w:p w14:paraId="459AEA7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US"/>
              </w:rPr>
              <w:t xml:space="preserve">An exploration of the eye socket with drainage or biopsy not requiring removal of bone. </w:t>
            </w:r>
          </w:p>
        </w:tc>
        <w:tc>
          <w:tcPr>
            <w:tcW w:w="2453" w:type="dxa"/>
            <w:tcBorders>
              <w:top w:val="single" w:sz="4" w:space="0" w:color="B66113"/>
              <w:bottom w:val="single" w:sz="4" w:space="0" w:color="B66113"/>
            </w:tcBorders>
          </w:tcPr>
          <w:p w14:paraId="63221CA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Orbit, exploration of, without requiring removal of bone (orbitotomy) for access, with drainage or biopsy, including repair of any bone and/or soft tissue surgical defect’.</w:t>
            </w:r>
          </w:p>
        </w:tc>
        <w:tc>
          <w:tcPr>
            <w:tcW w:w="3395" w:type="dxa"/>
            <w:tcBorders>
              <w:top w:val="single" w:sz="4" w:space="0" w:color="B66113"/>
              <w:bottom w:val="single" w:sz="4" w:space="0" w:color="B66113"/>
            </w:tcBorders>
          </w:tcPr>
          <w:p w14:paraId="2EB2978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Change to the MBS item descriptor to reflect current practice and quality care for patients. </w:t>
            </w:r>
          </w:p>
        </w:tc>
        <w:tc>
          <w:tcPr>
            <w:tcW w:w="3427" w:type="dxa"/>
            <w:tcBorders>
              <w:top w:val="single" w:sz="4" w:space="0" w:color="B66113"/>
              <w:bottom w:val="single" w:sz="4" w:space="0" w:color="B66113"/>
            </w:tcBorders>
          </w:tcPr>
          <w:p w14:paraId="146AD90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1532BEEB" w14:textId="77777777" w:rsidTr="004102C8">
        <w:trPr>
          <w:cantSplit/>
        </w:trPr>
        <w:tc>
          <w:tcPr>
            <w:tcW w:w="1557" w:type="dxa"/>
            <w:tcBorders>
              <w:top w:val="single" w:sz="4" w:space="0" w:color="B66113"/>
              <w:bottom w:val="single" w:sz="4" w:space="0" w:color="B66113"/>
            </w:tcBorders>
          </w:tcPr>
          <w:p w14:paraId="268C324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42536</w:t>
            </w:r>
          </w:p>
        </w:tc>
        <w:tc>
          <w:tcPr>
            <w:tcW w:w="2412" w:type="dxa"/>
            <w:tcBorders>
              <w:top w:val="single" w:sz="4" w:space="0" w:color="B66113"/>
              <w:bottom w:val="single" w:sz="4" w:space="0" w:color="B66113"/>
            </w:tcBorders>
          </w:tcPr>
          <w:p w14:paraId="6B71685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US"/>
              </w:rPr>
              <w:t xml:space="preserve">The removal of the eyeball and surrounding tissues, with or without skin graft and with or without temporalis muscle transplant. </w:t>
            </w:r>
          </w:p>
        </w:tc>
        <w:tc>
          <w:tcPr>
            <w:tcW w:w="2453" w:type="dxa"/>
            <w:tcBorders>
              <w:top w:val="single" w:sz="4" w:space="0" w:color="B66113"/>
              <w:bottom w:val="single" w:sz="4" w:space="0" w:color="B66113"/>
            </w:tcBorders>
          </w:tcPr>
          <w:p w14:paraId="78BBD0C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‘Orbit, exenteration of, including repair of any bone and/or soft tissue surgical defect, with or without skin graft and with or without temporalis muscle transplant’.</w:t>
            </w:r>
          </w:p>
        </w:tc>
        <w:tc>
          <w:tcPr>
            <w:tcW w:w="3395" w:type="dxa"/>
            <w:tcBorders>
              <w:top w:val="single" w:sz="4" w:space="0" w:color="B66113"/>
              <w:bottom w:val="single" w:sz="4" w:space="0" w:color="B66113"/>
            </w:tcBorders>
          </w:tcPr>
          <w:p w14:paraId="58463F8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1A00366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13C604B5" w14:textId="77777777" w:rsidTr="004102C8">
        <w:trPr>
          <w:cantSplit/>
        </w:trPr>
        <w:tc>
          <w:tcPr>
            <w:tcW w:w="1557" w:type="dxa"/>
            <w:tcBorders>
              <w:top w:val="single" w:sz="4" w:space="0" w:color="B66113"/>
              <w:bottom w:val="single" w:sz="4" w:space="0" w:color="B66113"/>
            </w:tcBorders>
          </w:tcPr>
          <w:p w14:paraId="56D3002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42539</w:t>
            </w:r>
          </w:p>
        </w:tc>
        <w:tc>
          <w:tcPr>
            <w:tcW w:w="2412" w:type="dxa"/>
            <w:tcBorders>
              <w:top w:val="single" w:sz="4" w:space="0" w:color="B66113"/>
              <w:bottom w:val="single" w:sz="4" w:space="0" w:color="B66113"/>
            </w:tcBorders>
          </w:tcPr>
          <w:p w14:paraId="77B8EC1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US"/>
              </w:rPr>
              <w:t xml:space="preserve">An exploration of the eye socket with removal of </w:t>
            </w:r>
            <w:proofErr w:type="spellStart"/>
            <w:r w:rsidRPr="0079766A">
              <w:rPr>
                <w:rFonts w:asciiTheme="minorHAnsi" w:eastAsia="Calibri" w:hAnsiTheme="minorHAnsi"/>
                <w:color w:val="000000"/>
                <w:sz w:val="18"/>
                <w:szCs w:val="18"/>
                <w:lang w:val="en-US"/>
              </w:rPr>
              <w:t>tumour</w:t>
            </w:r>
            <w:proofErr w:type="spellEnd"/>
            <w:r w:rsidRPr="0079766A">
              <w:rPr>
                <w:rFonts w:asciiTheme="minorHAnsi" w:eastAsia="Calibri" w:hAnsiTheme="minorHAnsi"/>
                <w:color w:val="000000"/>
                <w:sz w:val="18"/>
                <w:szCs w:val="18"/>
                <w:lang w:val="en-US"/>
              </w:rPr>
              <w:t xml:space="preserve"> or foreign body, requiring removal of bone. </w:t>
            </w:r>
          </w:p>
        </w:tc>
        <w:tc>
          <w:tcPr>
            <w:tcW w:w="2453" w:type="dxa"/>
            <w:tcBorders>
              <w:top w:val="single" w:sz="4" w:space="0" w:color="B66113"/>
              <w:bottom w:val="single" w:sz="4" w:space="0" w:color="B66113"/>
            </w:tcBorders>
          </w:tcPr>
          <w:p w14:paraId="0C473DF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‘Orbit, exploration of, requiring removal of bone (orbitotomy) for access, for removal of tumour or foreign body (not incisional biopsy), including repair of any bone and/or soft tissue surgical defect’.</w:t>
            </w:r>
          </w:p>
        </w:tc>
        <w:tc>
          <w:tcPr>
            <w:tcW w:w="3395" w:type="dxa"/>
            <w:tcBorders>
              <w:top w:val="single" w:sz="4" w:space="0" w:color="B66113"/>
              <w:bottom w:val="single" w:sz="4" w:space="0" w:color="B66113"/>
            </w:tcBorders>
          </w:tcPr>
          <w:p w14:paraId="2420614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0940BE0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the procedure and avoid inappropriate claiming of this item.</w:t>
            </w:r>
          </w:p>
        </w:tc>
      </w:tr>
      <w:tr w:rsidR="009A602C" w:rsidRPr="0079766A" w14:paraId="0A98E03D" w14:textId="77777777" w:rsidTr="004102C8">
        <w:trPr>
          <w:cantSplit/>
        </w:trPr>
        <w:tc>
          <w:tcPr>
            <w:tcW w:w="1557" w:type="dxa"/>
            <w:tcBorders>
              <w:top w:val="single" w:sz="4" w:space="0" w:color="B66113"/>
              <w:bottom w:val="single" w:sz="4" w:space="0" w:color="B66113"/>
            </w:tcBorders>
          </w:tcPr>
          <w:p w14:paraId="2EAF4D2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42542</w:t>
            </w:r>
          </w:p>
        </w:tc>
        <w:tc>
          <w:tcPr>
            <w:tcW w:w="2412" w:type="dxa"/>
            <w:tcBorders>
              <w:top w:val="single" w:sz="4" w:space="0" w:color="B66113"/>
              <w:bottom w:val="single" w:sz="4" w:space="0" w:color="B66113"/>
            </w:tcBorders>
          </w:tcPr>
          <w:p w14:paraId="162F89E4"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The exploration of the eye socket and front third of the eye with removal of tumor or foreign body. </w:t>
            </w:r>
          </w:p>
        </w:tc>
        <w:tc>
          <w:tcPr>
            <w:tcW w:w="2453" w:type="dxa"/>
            <w:tcBorders>
              <w:top w:val="single" w:sz="4" w:space="0" w:color="B66113"/>
              <w:bottom w:val="single" w:sz="4" w:space="0" w:color="B66113"/>
            </w:tcBorders>
          </w:tcPr>
          <w:p w14:paraId="38C9B69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‘Orbit, exploration of, anterior aspect with removal of tumour or foreign body (not incisional biopsy), including repair of any bone and/or soft tissue surgical defect’.</w:t>
            </w:r>
          </w:p>
        </w:tc>
        <w:tc>
          <w:tcPr>
            <w:tcW w:w="3395" w:type="dxa"/>
            <w:tcBorders>
              <w:top w:val="single" w:sz="4" w:space="0" w:color="B66113"/>
              <w:bottom w:val="single" w:sz="4" w:space="0" w:color="B66113"/>
            </w:tcBorders>
          </w:tcPr>
          <w:p w14:paraId="2D6D77C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5B98A90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5A987BB9" w14:textId="77777777" w:rsidTr="004102C8">
        <w:trPr>
          <w:cantSplit/>
        </w:trPr>
        <w:tc>
          <w:tcPr>
            <w:tcW w:w="1557" w:type="dxa"/>
            <w:tcBorders>
              <w:top w:val="single" w:sz="4" w:space="0" w:color="B66113"/>
              <w:bottom w:val="single" w:sz="4" w:space="0" w:color="B66113"/>
            </w:tcBorders>
          </w:tcPr>
          <w:p w14:paraId="25DF393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42590</w:t>
            </w:r>
          </w:p>
        </w:tc>
        <w:tc>
          <w:tcPr>
            <w:tcW w:w="2412" w:type="dxa"/>
            <w:tcBorders>
              <w:top w:val="single" w:sz="4" w:space="0" w:color="B66113"/>
              <w:bottom w:val="single" w:sz="4" w:space="0" w:color="B66113"/>
            </w:tcBorders>
          </w:tcPr>
          <w:p w14:paraId="7FA2972B"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 </w:t>
            </w:r>
            <w:proofErr w:type="spellStart"/>
            <w:r w:rsidRPr="0079766A">
              <w:rPr>
                <w:rFonts w:asciiTheme="minorHAnsi" w:eastAsia="Calibri" w:hAnsiTheme="minorHAnsi"/>
                <w:color w:val="000000"/>
                <w:sz w:val="18"/>
                <w:szCs w:val="18"/>
                <w:lang w:val="en-US"/>
              </w:rPr>
              <w:t>Canthoplasty</w:t>
            </w:r>
            <w:proofErr w:type="spellEnd"/>
            <w:r w:rsidRPr="0079766A">
              <w:rPr>
                <w:rFonts w:asciiTheme="minorHAnsi" w:eastAsia="Calibri" w:hAnsiTheme="minorHAnsi"/>
                <w:color w:val="000000"/>
                <w:sz w:val="18"/>
                <w:szCs w:val="18"/>
                <w:lang w:val="en-US"/>
              </w:rPr>
              <w:t xml:space="preserve"> is a procedure to create an upward slant in the outer corner of the eyelid. Medial or lateral. </w:t>
            </w:r>
          </w:p>
        </w:tc>
        <w:tc>
          <w:tcPr>
            <w:tcW w:w="2453" w:type="dxa"/>
            <w:tcBorders>
              <w:top w:val="single" w:sz="4" w:space="0" w:color="B66113"/>
              <w:bottom w:val="single" w:sz="4" w:space="0" w:color="B66113"/>
            </w:tcBorders>
          </w:tcPr>
          <w:p w14:paraId="1B8E429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w:t>
            </w:r>
            <w:proofErr w:type="spellStart"/>
            <w:r w:rsidRPr="0079766A">
              <w:rPr>
                <w:rFonts w:asciiTheme="minorHAnsi" w:eastAsia="Calibri" w:hAnsiTheme="minorHAnsi"/>
                <w:color w:val="000000"/>
                <w:sz w:val="18"/>
                <w:szCs w:val="18"/>
                <w:lang w:val="en-AU"/>
              </w:rPr>
              <w:t>Canthoplasty</w:t>
            </w:r>
            <w:proofErr w:type="spellEnd"/>
            <w:r w:rsidRPr="0079766A">
              <w:rPr>
                <w:rFonts w:asciiTheme="minorHAnsi" w:eastAsia="Calibri" w:hAnsiTheme="minorHAnsi"/>
                <w:color w:val="000000"/>
                <w:sz w:val="18"/>
                <w:szCs w:val="18"/>
                <w:lang w:val="en-AU"/>
              </w:rPr>
              <w:t>, medial or lateral, not to be used where cosmetic blepharoplasty is concurrently performed’.</w:t>
            </w:r>
          </w:p>
        </w:tc>
        <w:tc>
          <w:tcPr>
            <w:tcW w:w="3395" w:type="dxa"/>
            <w:tcBorders>
              <w:top w:val="single" w:sz="4" w:space="0" w:color="B66113"/>
              <w:bottom w:val="single" w:sz="4" w:space="0" w:color="B66113"/>
            </w:tcBorders>
          </w:tcPr>
          <w:p w14:paraId="3B9C3E3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Change to the MBS item descriptor to reflect current practice and quality care for </w:t>
            </w:r>
            <w:proofErr w:type="gramStart"/>
            <w:r w:rsidRPr="0079766A">
              <w:rPr>
                <w:rFonts w:asciiTheme="minorHAnsi" w:eastAsia="Calibri" w:hAnsiTheme="minorHAnsi"/>
                <w:color w:val="000000"/>
                <w:sz w:val="18"/>
                <w:szCs w:val="18"/>
                <w:lang w:val="en-AU"/>
              </w:rPr>
              <w:t>patients..</w:t>
            </w:r>
            <w:proofErr w:type="gramEnd"/>
          </w:p>
        </w:tc>
        <w:tc>
          <w:tcPr>
            <w:tcW w:w="3427" w:type="dxa"/>
            <w:tcBorders>
              <w:top w:val="single" w:sz="4" w:space="0" w:color="B66113"/>
              <w:bottom w:val="single" w:sz="4" w:space="0" w:color="B66113"/>
            </w:tcBorders>
          </w:tcPr>
          <w:p w14:paraId="740ABA4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avoid inappropriate use of this item.  </w:t>
            </w:r>
          </w:p>
        </w:tc>
      </w:tr>
      <w:tr w:rsidR="009A602C" w:rsidRPr="0079766A" w14:paraId="3D4E2AF7" w14:textId="77777777" w:rsidTr="004102C8">
        <w:trPr>
          <w:cantSplit/>
        </w:trPr>
        <w:tc>
          <w:tcPr>
            <w:tcW w:w="1557" w:type="dxa"/>
            <w:tcBorders>
              <w:top w:val="single" w:sz="4" w:space="0" w:color="B66113"/>
              <w:bottom w:val="single" w:sz="4" w:space="0" w:color="B66113"/>
            </w:tcBorders>
          </w:tcPr>
          <w:p w14:paraId="26CF4AE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42623</w:t>
            </w:r>
          </w:p>
        </w:tc>
        <w:tc>
          <w:tcPr>
            <w:tcW w:w="2412" w:type="dxa"/>
            <w:tcBorders>
              <w:top w:val="single" w:sz="4" w:space="0" w:color="B66113"/>
              <w:bottom w:val="single" w:sz="4" w:space="0" w:color="B66113"/>
            </w:tcBorders>
          </w:tcPr>
          <w:p w14:paraId="7978C8C5"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Dacryocystorhinostomy is a surgical procedure to restore the flow of tears into the noise and eliminate fluid retention. </w:t>
            </w:r>
          </w:p>
        </w:tc>
        <w:tc>
          <w:tcPr>
            <w:tcW w:w="2453" w:type="dxa"/>
            <w:tcBorders>
              <w:top w:val="single" w:sz="4" w:space="0" w:color="B66113"/>
              <w:bottom w:val="single" w:sz="4" w:space="0" w:color="B66113"/>
            </w:tcBorders>
          </w:tcPr>
          <w:p w14:paraId="29BB136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updating the wording to read,’ Dacryocystorhinostomy, external or endonasal approach, including any sinus or turbinate or uncinate operation performed by same surgeon for access, with or without silicone intubation stenting’. </w:t>
            </w:r>
          </w:p>
        </w:tc>
        <w:tc>
          <w:tcPr>
            <w:tcW w:w="3395" w:type="dxa"/>
            <w:tcBorders>
              <w:top w:val="single" w:sz="4" w:space="0" w:color="B66113"/>
              <w:bottom w:val="single" w:sz="4" w:space="0" w:color="B66113"/>
            </w:tcBorders>
          </w:tcPr>
          <w:p w14:paraId="08E3DDD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28C233E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6AB55151" w14:textId="77777777" w:rsidTr="004102C8">
        <w:trPr>
          <w:cantSplit/>
        </w:trPr>
        <w:tc>
          <w:tcPr>
            <w:tcW w:w="1557" w:type="dxa"/>
            <w:tcBorders>
              <w:top w:val="single" w:sz="4" w:space="0" w:color="B66113"/>
              <w:bottom w:val="single" w:sz="4" w:space="0" w:color="B66113"/>
            </w:tcBorders>
          </w:tcPr>
          <w:p w14:paraId="7AD31DD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42626</w:t>
            </w:r>
          </w:p>
        </w:tc>
        <w:tc>
          <w:tcPr>
            <w:tcW w:w="2412" w:type="dxa"/>
            <w:tcBorders>
              <w:top w:val="single" w:sz="4" w:space="0" w:color="B66113"/>
              <w:bottom w:val="single" w:sz="4" w:space="0" w:color="B66113"/>
            </w:tcBorders>
          </w:tcPr>
          <w:p w14:paraId="102CD8B0"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Dacryocystorhinostomy where a previous dacryocystorhinostomy has been performed. </w:t>
            </w:r>
          </w:p>
          <w:p w14:paraId="23819D19" w14:textId="77777777" w:rsidR="009A602C" w:rsidRPr="0079766A" w:rsidRDefault="009A602C" w:rsidP="004102C8">
            <w:pPr>
              <w:spacing w:before="180" w:after="60" w:line="312" w:lineRule="auto"/>
              <w:rPr>
                <w:rFonts w:asciiTheme="minorHAnsi" w:hAnsiTheme="minorHAnsi"/>
                <w:color w:val="000000"/>
                <w:sz w:val="22"/>
                <w:lang w:val="en-US"/>
              </w:rPr>
            </w:pPr>
            <w:r w:rsidRPr="0079766A">
              <w:rPr>
                <w:rFonts w:asciiTheme="minorHAnsi" w:eastAsia="Calibri" w:hAnsiTheme="minorHAnsi"/>
                <w:color w:val="000000"/>
                <w:sz w:val="18"/>
                <w:szCs w:val="18"/>
                <w:lang w:val="en-US"/>
              </w:rPr>
              <w:t>Dacryocystorhinostomy is a surgical procedure to restore the flow of tears into the noise and eliminate fluid retention.</w:t>
            </w:r>
          </w:p>
        </w:tc>
        <w:tc>
          <w:tcPr>
            <w:tcW w:w="2453" w:type="dxa"/>
            <w:tcBorders>
              <w:top w:val="single" w:sz="4" w:space="0" w:color="B66113"/>
              <w:bottom w:val="single" w:sz="4" w:space="0" w:color="B66113"/>
            </w:tcBorders>
          </w:tcPr>
          <w:p w14:paraId="3E7494A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updating the wording to read, ‘Dacryocystorhinostomy, where a previous dacryocystorhinostomy has been performed, external or endonasal approach, including any sinus or turbinate or uncinate operation performed by same surgeon for access, with or without silicone intubation/stenting’. </w:t>
            </w:r>
          </w:p>
        </w:tc>
        <w:tc>
          <w:tcPr>
            <w:tcW w:w="3395" w:type="dxa"/>
            <w:tcBorders>
              <w:top w:val="single" w:sz="4" w:space="0" w:color="B66113"/>
              <w:bottom w:val="single" w:sz="4" w:space="0" w:color="B66113"/>
            </w:tcBorders>
          </w:tcPr>
          <w:p w14:paraId="1977E34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2757B48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4D22854E" w14:textId="77777777" w:rsidTr="004102C8">
        <w:trPr>
          <w:cantSplit/>
        </w:trPr>
        <w:tc>
          <w:tcPr>
            <w:tcW w:w="1557" w:type="dxa"/>
            <w:tcBorders>
              <w:top w:val="single" w:sz="4" w:space="0" w:color="B66113"/>
              <w:bottom w:val="single" w:sz="4" w:space="0" w:color="B66113"/>
            </w:tcBorders>
          </w:tcPr>
          <w:p w14:paraId="48FD8C0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42629</w:t>
            </w:r>
          </w:p>
        </w:tc>
        <w:tc>
          <w:tcPr>
            <w:tcW w:w="2412" w:type="dxa"/>
            <w:tcBorders>
              <w:top w:val="single" w:sz="4" w:space="0" w:color="B66113"/>
              <w:bottom w:val="single" w:sz="4" w:space="0" w:color="B66113"/>
            </w:tcBorders>
          </w:tcPr>
          <w:p w14:paraId="41F2EA0D"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proofErr w:type="spellStart"/>
            <w:r w:rsidRPr="0079766A">
              <w:rPr>
                <w:rFonts w:asciiTheme="minorHAnsi" w:eastAsia="Calibri" w:hAnsiTheme="minorHAnsi"/>
                <w:color w:val="000000"/>
                <w:sz w:val="18"/>
                <w:szCs w:val="18"/>
                <w:lang w:val="en-US"/>
              </w:rPr>
              <w:t>Conjunctivorhinostomy</w:t>
            </w:r>
            <w:proofErr w:type="spellEnd"/>
            <w:r w:rsidRPr="0079766A">
              <w:rPr>
                <w:rFonts w:asciiTheme="minorHAnsi" w:eastAsia="Calibri" w:hAnsiTheme="minorHAnsi"/>
                <w:color w:val="000000"/>
                <w:sz w:val="18"/>
                <w:szCs w:val="18"/>
                <w:lang w:val="en-US"/>
              </w:rPr>
              <w:t xml:space="preserve"> is the surgical creation of a passage through the front surface of the eye to the nasal cavity including dacryocystorhinostomy and fashioning of conjunctival flaps. </w:t>
            </w:r>
          </w:p>
          <w:p w14:paraId="1F09BCF5" w14:textId="77777777" w:rsidR="009A602C" w:rsidRPr="0079766A" w:rsidRDefault="009A602C" w:rsidP="004102C8">
            <w:pPr>
              <w:spacing w:before="180" w:after="6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Dacryocystorhinostomy is a surgical procedure to restore the flow of tears into the nose and eliminate watering of the eye.</w:t>
            </w:r>
          </w:p>
          <w:p w14:paraId="53A2BA60" w14:textId="77777777" w:rsidR="009A602C" w:rsidRPr="0079766A" w:rsidRDefault="009A602C" w:rsidP="004102C8">
            <w:pPr>
              <w:spacing w:before="180" w:after="60" w:line="312" w:lineRule="auto"/>
              <w:rPr>
                <w:rFonts w:asciiTheme="minorHAnsi" w:hAnsiTheme="minorHAnsi"/>
                <w:color w:val="000000"/>
                <w:sz w:val="22"/>
                <w:lang w:val="en-US"/>
              </w:rPr>
            </w:pPr>
            <w:r w:rsidRPr="0079766A">
              <w:rPr>
                <w:rFonts w:asciiTheme="minorHAnsi" w:eastAsia="Calibri" w:hAnsiTheme="minorHAnsi"/>
                <w:color w:val="000000"/>
                <w:sz w:val="18"/>
                <w:szCs w:val="18"/>
                <w:lang w:val="en-US"/>
              </w:rPr>
              <w:t xml:space="preserve">A conjunctival flap is a thin flap used to cover </w:t>
            </w:r>
            <w:proofErr w:type="gramStart"/>
            <w:r w:rsidRPr="0079766A">
              <w:rPr>
                <w:rFonts w:asciiTheme="minorHAnsi" w:eastAsia="Calibri" w:hAnsiTheme="minorHAnsi"/>
                <w:color w:val="000000"/>
                <w:sz w:val="18"/>
                <w:szCs w:val="18"/>
                <w:lang w:val="en-US"/>
              </w:rPr>
              <w:t>the  passage</w:t>
            </w:r>
            <w:proofErr w:type="gramEnd"/>
            <w:r w:rsidRPr="0079766A">
              <w:rPr>
                <w:rFonts w:asciiTheme="minorHAnsi" w:eastAsia="Calibri" w:hAnsiTheme="minorHAnsi"/>
                <w:color w:val="000000"/>
                <w:sz w:val="18"/>
                <w:szCs w:val="18"/>
                <w:lang w:val="en-US"/>
              </w:rPr>
              <w:t xml:space="preserve"> into the nose</w:t>
            </w:r>
          </w:p>
        </w:tc>
        <w:tc>
          <w:tcPr>
            <w:tcW w:w="2453" w:type="dxa"/>
            <w:tcBorders>
              <w:top w:val="single" w:sz="4" w:space="0" w:color="B66113"/>
              <w:bottom w:val="single" w:sz="4" w:space="0" w:color="B66113"/>
            </w:tcBorders>
          </w:tcPr>
          <w:p w14:paraId="24D4D7A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‘Dacryocystorhinostomy with placement of a permanent bypass tube from the conjunctival sac to the nasal cavity’.</w:t>
            </w:r>
          </w:p>
        </w:tc>
        <w:tc>
          <w:tcPr>
            <w:tcW w:w="3395" w:type="dxa"/>
            <w:tcBorders>
              <w:top w:val="single" w:sz="4" w:space="0" w:color="B66113"/>
              <w:bottom w:val="single" w:sz="4" w:space="0" w:color="B66113"/>
            </w:tcBorders>
          </w:tcPr>
          <w:p w14:paraId="146124C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6DCC2E8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22733B84" w14:textId="77777777" w:rsidTr="004102C8">
        <w:trPr>
          <w:cantSplit/>
        </w:trPr>
        <w:tc>
          <w:tcPr>
            <w:tcW w:w="1557" w:type="dxa"/>
            <w:tcBorders>
              <w:top w:val="single" w:sz="4" w:space="0" w:color="B66113"/>
              <w:bottom w:val="single" w:sz="4" w:space="0" w:color="B66113"/>
            </w:tcBorders>
          </w:tcPr>
          <w:p w14:paraId="4060D01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42863</w:t>
            </w:r>
          </w:p>
        </w:tc>
        <w:tc>
          <w:tcPr>
            <w:tcW w:w="2412" w:type="dxa"/>
            <w:tcBorders>
              <w:top w:val="single" w:sz="4" w:space="0" w:color="B66113"/>
              <w:bottom w:val="single" w:sz="4" w:space="0" w:color="B66113"/>
            </w:tcBorders>
          </w:tcPr>
          <w:p w14:paraId="5D1BB229"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Recession of the eyelid.</w:t>
            </w:r>
          </w:p>
        </w:tc>
        <w:tc>
          <w:tcPr>
            <w:tcW w:w="2453" w:type="dxa"/>
            <w:tcBorders>
              <w:top w:val="single" w:sz="4" w:space="0" w:color="B66113"/>
              <w:bottom w:val="single" w:sz="4" w:space="0" w:color="B66113"/>
            </w:tcBorders>
          </w:tcPr>
          <w:p w14:paraId="0A8EA46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updating the wording to read, ‘Eyelid, upper or lower, recession of, by open operating on and direct release of the lid retractors, one eye’. </w:t>
            </w:r>
          </w:p>
        </w:tc>
        <w:tc>
          <w:tcPr>
            <w:tcW w:w="3395" w:type="dxa"/>
            <w:tcBorders>
              <w:top w:val="single" w:sz="4" w:space="0" w:color="B66113"/>
              <w:bottom w:val="single" w:sz="4" w:space="0" w:color="B66113"/>
            </w:tcBorders>
          </w:tcPr>
          <w:p w14:paraId="1D454D79"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06B9D6D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specify the level of complexity, define procedure and avoid inappropriate claiming of this item.</w:t>
            </w:r>
          </w:p>
        </w:tc>
      </w:tr>
      <w:tr w:rsidR="009A602C" w:rsidRPr="0079766A" w14:paraId="01846ECB" w14:textId="77777777" w:rsidTr="004102C8">
        <w:trPr>
          <w:cantSplit/>
        </w:trPr>
        <w:tc>
          <w:tcPr>
            <w:tcW w:w="1557" w:type="dxa"/>
            <w:tcBorders>
              <w:top w:val="single" w:sz="4" w:space="0" w:color="B66113"/>
              <w:bottom w:val="single" w:sz="4" w:space="0" w:color="B66113"/>
            </w:tcBorders>
          </w:tcPr>
          <w:p w14:paraId="39BEE8C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42866</w:t>
            </w:r>
          </w:p>
        </w:tc>
        <w:tc>
          <w:tcPr>
            <w:tcW w:w="2412" w:type="dxa"/>
            <w:tcBorders>
              <w:top w:val="single" w:sz="4" w:space="0" w:color="B66113"/>
              <w:bottom w:val="single" w:sz="4" w:space="0" w:color="B66113"/>
            </w:tcBorders>
          </w:tcPr>
          <w:p w14:paraId="6BF5127A"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Entropion is a condition where the eyelid turns inwards. This item covers repair of this through tightening, shortening or repair of inferior retractors by open operation across the entire width of the eyelid (</w:t>
            </w:r>
            <w:proofErr w:type="spellStart"/>
            <w:r w:rsidRPr="0079766A">
              <w:rPr>
                <w:rFonts w:asciiTheme="minorHAnsi" w:eastAsia="Calibri" w:hAnsiTheme="minorHAnsi"/>
                <w:color w:val="000000"/>
                <w:sz w:val="18"/>
                <w:szCs w:val="18"/>
                <w:lang w:val="en-US"/>
              </w:rPr>
              <w:t>Anaes</w:t>
            </w:r>
            <w:proofErr w:type="spellEnd"/>
            <w:r w:rsidRPr="0079766A">
              <w:rPr>
                <w:rFonts w:asciiTheme="minorHAnsi" w:eastAsia="Calibri" w:hAnsiTheme="minorHAnsi"/>
                <w:color w:val="000000"/>
                <w:sz w:val="18"/>
                <w:szCs w:val="18"/>
                <w:lang w:val="en-US"/>
              </w:rPr>
              <w:t>.) (Assist.)</w:t>
            </w:r>
          </w:p>
        </w:tc>
        <w:tc>
          <w:tcPr>
            <w:tcW w:w="2453" w:type="dxa"/>
            <w:tcBorders>
              <w:top w:val="single" w:sz="4" w:space="0" w:color="B66113"/>
              <w:bottom w:val="single" w:sz="4" w:space="0" w:color="B66113"/>
            </w:tcBorders>
          </w:tcPr>
          <w:p w14:paraId="33D2B9A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‘Entropion or tarsal ectropion, repair of, by tightening, shortening or repair of inferior retractors by open operation across the entire width of the eyelid – not to be used for closure of the retractors in using conjunctival approaches for performing fat pad reduction or orbital surgery’.</w:t>
            </w:r>
          </w:p>
        </w:tc>
        <w:tc>
          <w:tcPr>
            <w:tcW w:w="3395" w:type="dxa"/>
            <w:tcBorders>
              <w:top w:val="single" w:sz="4" w:space="0" w:color="B66113"/>
              <w:bottom w:val="single" w:sz="4" w:space="0" w:color="B66113"/>
            </w:tcBorders>
          </w:tcPr>
          <w:p w14:paraId="3628DB5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descriptor to reflect current practice and quality care for patients.</w:t>
            </w:r>
          </w:p>
        </w:tc>
        <w:tc>
          <w:tcPr>
            <w:tcW w:w="3427" w:type="dxa"/>
            <w:tcBorders>
              <w:top w:val="single" w:sz="4" w:space="0" w:color="B66113"/>
              <w:bottom w:val="single" w:sz="4" w:space="0" w:color="B66113"/>
            </w:tcBorders>
          </w:tcPr>
          <w:p w14:paraId="5874524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ensure appropriate claiming of this item and support quality care for patients.   </w:t>
            </w:r>
          </w:p>
        </w:tc>
      </w:tr>
      <w:tr w:rsidR="009A602C" w:rsidRPr="0079766A" w14:paraId="7F3C5716" w14:textId="77777777" w:rsidTr="004102C8">
        <w:trPr>
          <w:cantSplit/>
        </w:trPr>
        <w:tc>
          <w:tcPr>
            <w:tcW w:w="1557" w:type="dxa"/>
            <w:tcBorders>
              <w:top w:val="single" w:sz="4" w:space="0" w:color="B66113"/>
            </w:tcBorders>
          </w:tcPr>
          <w:p w14:paraId="509B19C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42872</w:t>
            </w:r>
          </w:p>
        </w:tc>
        <w:tc>
          <w:tcPr>
            <w:tcW w:w="2412" w:type="dxa"/>
            <w:tcBorders>
              <w:top w:val="single" w:sz="4" w:space="0" w:color="B66113"/>
            </w:tcBorders>
          </w:tcPr>
          <w:p w14:paraId="6939557D" w14:textId="5B5F5298"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Elevation of the eyebrow for paretic states (</w:t>
            </w:r>
            <w:r w:rsidR="003B3E71">
              <w:rPr>
                <w:rFonts w:asciiTheme="minorHAnsi" w:eastAsia="Calibri" w:hAnsiTheme="minorHAnsi"/>
                <w:color w:val="000000"/>
                <w:sz w:val="18"/>
                <w:szCs w:val="18"/>
                <w:lang w:val="en-US"/>
              </w:rPr>
              <w:t>a</w:t>
            </w:r>
            <w:r w:rsidRPr="0079766A">
              <w:rPr>
                <w:rFonts w:asciiTheme="minorHAnsi" w:eastAsia="Calibri" w:hAnsiTheme="minorHAnsi"/>
                <w:color w:val="000000"/>
                <w:sz w:val="18"/>
                <w:szCs w:val="18"/>
                <w:lang w:val="en-US"/>
              </w:rPr>
              <w:t xml:space="preserve"> paretic state is where an area is partially paralyzed) </w:t>
            </w:r>
          </w:p>
        </w:tc>
        <w:tc>
          <w:tcPr>
            <w:tcW w:w="2453" w:type="dxa"/>
            <w:tcBorders>
              <w:top w:val="single" w:sz="4" w:space="0" w:color="B66113"/>
            </w:tcBorders>
          </w:tcPr>
          <w:p w14:paraId="5791926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updating the wording to read, ‘Eyebrow, direct eyebrow lift in paretic states, or in involutional states where vision is obscured as evidenced by the resting of upper lid skin on the eyelashes in straight ahead gaze, documented photographically’.</w:t>
            </w:r>
          </w:p>
        </w:tc>
        <w:tc>
          <w:tcPr>
            <w:tcW w:w="3395" w:type="dxa"/>
            <w:tcBorders>
              <w:top w:val="single" w:sz="4" w:space="0" w:color="B66113"/>
            </w:tcBorders>
          </w:tcPr>
          <w:p w14:paraId="06AB164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Change to the MBS item descriptor to reflect current practice and quality care for patients. </w:t>
            </w:r>
          </w:p>
        </w:tc>
        <w:tc>
          <w:tcPr>
            <w:tcW w:w="3427" w:type="dxa"/>
            <w:tcBorders>
              <w:top w:val="single" w:sz="4" w:space="0" w:color="B66113"/>
            </w:tcBorders>
          </w:tcPr>
          <w:p w14:paraId="6C832C0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ensure appropriate claiming of this item and support quality care for patients.   </w:t>
            </w:r>
          </w:p>
        </w:tc>
      </w:tr>
    </w:tbl>
    <w:p w14:paraId="48E5EBB1"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lastRenderedPageBreak/>
        <w:t>Recommendation 11: Co-Claiming Restrictions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80"/>
        <w:gridCol w:w="1583"/>
        <w:gridCol w:w="1820"/>
        <w:gridCol w:w="2032"/>
        <w:gridCol w:w="1897"/>
      </w:tblGrid>
      <w:tr w:rsidR="009A602C" w:rsidRPr="0079766A" w14:paraId="2C5C884E" w14:textId="77777777" w:rsidTr="004102C8">
        <w:trPr>
          <w:cantSplit/>
          <w:tblHeader/>
        </w:trPr>
        <w:tc>
          <w:tcPr>
            <w:tcW w:w="1557" w:type="dxa"/>
            <w:tcBorders>
              <w:top w:val="single" w:sz="4" w:space="0" w:color="B66113"/>
              <w:bottom w:val="single" w:sz="4" w:space="0" w:color="B66113"/>
            </w:tcBorders>
            <w:shd w:val="clear" w:color="auto" w:fill="B66113"/>
          </w:tcPr>
          <w:p w14:paraId="378FB327"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1ED8AE72"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79A905A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6449F6DC"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04903C0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48538CE8" w14:textId="77777777" w:rsidTr="004102C8">
        <w:trPr>
          <w:cantSplit/>
        </w:trPr>
        <w:tc>
          <w:tcPr>
            <w:tcW w:w="1557" w:type="dxa"/>
            <w:tcBorders>
              <w:top w:val="single" w:sz="4" w:space="0" w:color="B66113"/>
              <w:bottom w:val="single" w:sz="4" w:space="0" w:color="B66113"/>
            </w:tcBorders>
          </w:tcPr>
          <w:p w14:paraId="74E5DA0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42632</w:t>
            </w:r>
          </w:p>
        </w:tc>
        <w:tc>
          <w:tcPr>
            <w:tcW w:w="2412" w:type="dxa"/>
            <w:tcBorders>
              <w:top w:val="single" w:sz="4" w:space="0" w:color="B66113"/>
              <w:bottom w:val="single" w:sz="4" w:space="0" w:color="B66113"/>
            </w:tcBorders>
          </w:tcPr>
          <w:p w14:paraId="30EAE3AA"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Conjunctival peritomy is where a strip of the conjunctiva (the clear, thin membrane that covers part of the front surface of the eye and the inner surface of the eyelids) of an eye is removed, or repair of corneal laceration (cut on the clear front window of the eye) by conjunctival flap (a biologic patch, to restore a damaged corneal surface).</w:t>
            </w:r>
          </w:p>
        </w:tc>
        <w:tc>
          <w:tcPr>
            <w:tcW w:w="2453" w:type="dxa"/>
            <w:tcBorders>
              <w:top w:val="single" w:sz="4" w:space="0" w:color="B66113"/>
              <w:bottom w:val="single" w:sz="4" w:space="0" w:color="B66113"/>
            </w:tcBorders>
          </w:tcPr>
          <w:p w14:paraId="3E2CBA6A"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The Committee recommends changing the item descriptor to restrict co-claiming with item 42686. </w:t>
            </w:r>
          </w:p>
          <w:p w14:paraId="54F83D30"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AU"/>
              </w:rPr>
              <w:t>The item would read, ‘Conjunctival peritomy or repair of corneal laceration by conjunctival flap, not being a service associated with a service to which item 42686 applies (</w:t>
            </w:r>
            <w:proofErr w:type="spellStart"/>
            <w:r w:rsidRPr="0079766A">
              <w:rPr>
                <w:rFonts w:asciiTheme="minorHAnsi" w:eastAsia="Calibri" w:hAnsiTheme="minorHAnsi"/>
                <w:color w:val="000000"/>
                <w:sz w:val="18"/>
                <w:szCs w:val="18"/>
                <w:lang w:val="en-AU"/>
              </w:rPr>
              <w:t>Anaes</w:t>
            </w:r>
            <w:proofErr w:type="spellEnd"/>
            <w:r w:rsidRPr="0079766A">
              <w:rPr>
                <w:rFonts w:asciiTheme="minorHAnsi" w:eastAsia="Calibri" w:hAnsiTheme="minorHAnsi"/>
                <w:color w:val="000000"/>
                <w:sz w:val="18"/>
                <w:szCs w:val="18"/>
                <w:lang w:val="en-AU"/>
              </w:rPr>
              <w:t>.)’</w:t>
            </w:r>
          </w:p>
        </w:tc>
        <w:tc>
          <w:tcPr>
            <w:tcW w:w="3395" w:type="dxa"/>
            <w:tcBorders>
              <w:top w:val="single" w:sz="4" w:space="0" w:color="B66113"/>
              <w:bottom w:val="single" w:sz="4" w:space="0" w:color="B66113"/>
            </w:tcBorders>
          </w:tcPr>
          <w:p w14:paraId="52503B9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Change to the MBS item claiming restrictions would ensure item is claimed appropriately. </w:t>
            </w:r>
          </w:p>
        </w:tc>
        <w:tc>
          <w:tcPr>
            <w:tcW w:w="3427" w:type="dxa"/>
            <w:tcBorders>
              <w:top w:val="single" w:sz="4" w:space="0" w:color="B66113"/>
              <w:bottom w:val="single" w:sz="4" w:space="0" w:color="B66113"/>
            </w:tcBorders>
          </w:tcPr>
          <w:p w14:paraId="6B0C0CC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ensure appropriate claiming of this item and support quality care for patients.   </w:t>
            </w:r>
          </w:p>
        </w:tc>
      </w:tr>
      <w:tr w:rsidR="009A602C" w:rsidRPr="0079766A" w14:paraId="7A245A4A" w14:textId="77777777" w:rsidTr="004102C8">
        <w:trPr>
          <w:cantSplit/>
        </w:trPr>
        <w:tc>
          <w:tcPr>
            <w:tcW w:w="1557" w:type="dxa"/>
            <w:tcBorders>
              <w:top w:val="single" w:sz="4" w:space="0" w:color="B66113"/>
              <w:bottom w:val="single" w:sz="4" w:space="0" w:color="B66113"/>
            </w:tcBorders>
          </w:tcPr>
          <w:p w14:paraId="48516CE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42647</w:t>
            </w:r>
          </w:p>
        </w:tc>
        <w:tc>
          <w:tcPr>
            <w:tcW w:w="2412" w:type="dxa"/>
            <w:tcBorders>
              <w:top w:val="single" w:sz="4" w:space="0" w:color="B66113"/>
              <w:bottom w:val="single" w:sz="4" w:space="0" w:color="B66113"/>
            </w:tcBorders>
          </w:tcPr>
          <w:p w14:paraId="76CCDFB1"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Removal of corneal scars by partial keratectomy – a removal of the layer of the cornea, usually by laser.  Not associated with a service where item 42686 applies </w:t>
            </w:r>
          </w:p>
        </w:tc>
        <w:tc>
          <w:tcPr>
            <w:tcW w:w="2453" w:type="dxa"/>
            <w:tcBorders>
              <w:top w:val="single" w:sz="4" w:space="0" w:color="B66113"/>
              <w:bottom w:val="single" w:sz="4" w:space="0" w:color="B66113"/>
            </w:tcBorders>
          </w:tcPr>
          <w:p w14:paraId="2CAE8575"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The Committee recommends changing the item descriptor to restrict co-claiming with item 42650.</w:t>
            </w:r>
          </w:p>
          <w:p w14:paraId="3E42B298" w14:textId="77777777" w:rsidR="009A602C" w:rsidRPr="0079766A" w:rsidRDefault="009A602C" w:rsidP="004102C8">
            <w:pPr>
              <w:spacing w:before="180" w:after="6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The item would read, ‘Corneal scars, removal of, by partial keratectomy, not being a service associated with a service to which item 42686 or 42650 applies (</w:t>
            </w:r>
            <w:proofErr w:type="spellStart"/>
            <w:r w:rsidRPr="0079766A">
              <w:rPr>
                <w:rFonts w:asciiTheme="minorHAnsi" w:eastAsia="Calibri" w:hAnsiTheme="minorHAnsi"/>
                <w:color w:val="000000"/>
                <w:sz w:val="18"/>
                <w:szCs w:val="18"/>
                <w:lang w:val="en-US"/>
              </w:rPr>
              <w:t>Anaes</w:t>
            </w:r>
            <w:proofErr w:type="spellEnd"/>
            <w:r w:rsidRPr="0079766A">
              <w:rPr>
                <w:rFonts w:asciiTheme="minorHAnsi" w:eastAsia="Calibri" w:hAnsiTheme="minorHAnsi"/>
                <w:color w:val="000000"/>
                <w:sz w:val="18"/>
                <w:szCs w:val="18"/>
                <w:lang w:val="en-US"/>
              </w:rPr>
              <w:t>.)’</w:t>
            </w:r>
          </w:p>
        </w:tc>
        <w:tc>
          <w:tcPr>
            <w:tcW w:w="3395" w:type="dxa"/>
            <w:tcBorders>
              <w:top w:val="single" w:sz="4" w:space="0" w:color="B66113"/>
              <w:bottom w:val="single" w:sz="4" w:space="0" w:color="B66113"/>
            </w:tcBorders>
          </w:tcPr>
          <w:p w14:paraId="1FCA49F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Change to the MBS item claiming restrictions would ensure item is claimed appropriately.</w:t>
            </w:r>
          </w:p>
        </w:tc>
        <w:tc>
          <w:tcPr>
            <w:tcW w:w="3427" w:type="dxa"/>
            <w:tcBorders>
              <w:top w:val="single" w:sz="4" w:space="0" w:color="B66113"/>
              <w:bottom w:val="single" w:sz="4" w:space="0" w:color="B66113"/>
            </w:tcBorders>
          </w:tcPr>
          <w:p w14:paraId="2E83321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ensure appropriate claiming of this item and support quality care for patients.   </w:t>
            </w:r>
          </w:p>
        </w:tc>
      </w:tr>
      <w:tr w:rsidR="009A602C" w:rsidRPr="0079766A" w14:paraId="6827E9FE" w14:textId="77777777" w:rsidTr="004102C8">
        <w:trPr>
          <w:cantSplit/>
        </w:trPr>
        <w:tc>
          <w:tcPr>
            <w:tcW w:w="1557" w:type="dxa"/>
            <w:tcBorders>
              <w:top w:val="single" w:sz="4" w:space="0" w:color="B66113"/>
              <w:bottom w:val="single" w:sz="4" w:space="0" w:color="B66113"/>
            </w:tcBorders>
          </w:tcPr>
          <w:p w14:paraId="5FA8B7DA"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lastRenderedPageBreak/>
              <w:t>42773</w:t>
            </w:r>
          </w:p>
        </w:tc>
        <w:tc>
          <w:tcPr>
            <w:tcW w:w="2412" w:type="dxa"/>
            <w:tcBorders>
              <w:top w:val="single" w:sz="4" w:space="0" w:color="B66113"/>
              <w:bottom w:val="single" w:sz="4" w:space="0" w:color="B66113"/>
            </w:tcBorders>
          </w:tcPr>
          <w:p w14:paraId="66A2007B"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Pneumatic retinopexy, is a procedure to correct a detached retina using gas bubbles, not associated with a service where item 42776 applies. </w:t>
            </w:r>
          </w:p>
        </w:tc>
        <w:tc>
          <w:tcPr>
            <w:tcW w:w="2453" w:type="dxa"/>
            <w:tcBorders>
              <w:top w:val="single" w:sz="4" w:space="0" w:color="B66113"/>
              <w:bottom w:val="single" w:sz="4" w:space="0" w:color="B66113"/>
            </w:tcBorders>
          </w:tcPr>
          <w:p w14:paraId="6FF96A2A"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The Committee recommends changing the item descriptor to restrict co-claiming with any other item.</w:t>
            </w:r>
          </w:p>
          <w:p w14:paraId="4E6AB449" w14:textId="77777777" w:rsidR="009A602C" w:rsidRPr="0079766A" w:rsidRDefault="009A602C" w:rsidP="004102C8">
            <w:pPr>
              <w:spacing w:before="140" w:after="4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The committee recommends updating the wording to read, ‘Detached retina, pneumatic retinopexy for, as an independent procedure (</w:t>
            </w:r>
            <w:proofErr w:type="spellStart"/>
            <w:r w:rsidRPr="0079766A">
              <w:rPr>
                <w:rFonts w:asciiTheme="minorHAnsi" w:eastAsia="Calibri" w:hAnsiTheme="minorHAnsi"/>
                <w:color w:val="000000"/>
                <w:sz w:val="18"/>
                <w:szCs w:val="18"/>
                <w:lang w:val="en-US"/>
              </w:rPr>
              <w:t>Anaes</w:t>
            </w:r>
            <w:proofErr w:type="spellEnd"/>
            <w:r w:rsidRPr="0079766A">
              <w:rPr>
                <w:rFonts w:asciiTheme="minorHAnsi" w:eastAsia="Calibri" w:hAnsiTheme="minorHAnsi"/>
                <w:color w:val="000000"/>
                <w:sz w:val="18"/>
                <w:szCs w:val="18"/>
                <w:lang w:val="en-US"/>
              </w:rPr>
              <w:t>.) (Assist.)’</w:t>
            </w:r>
          </w:p>
          <w:p w14:paraId="6E932511" w14:textId="77777777" w:rsidR="009A602C" w:rsidRPr="0079766A" w:rsidRDefault="009A602C" w:rsidP="004102C8">
            <w:pPr>
              <w:spacing w:before="180" w:after="60" w:line="312" w:lineRule="auto"/>
              <w:rPr>
                <w:rFonts w:asciiTheme="minorHAnsi" w:eastAsia="Calibri" w:hAnsiTheme="minorHAnsi"/>
                <w:color w:val="000000"/>
                <w:sz w:val="18"/>
                <w:szCs w:val="18"/>
                <w:lang w:val="en-US"/>
              </w:rPr>
            </w:pPr>
          </w:p>
        </w:tc>
        <w:tc>
          <w:tcPr>
            <w:tcW w:w="3395" w:type="dxa"/>
            <w:tcBorders>
              <w:top w:val="single" w:sz="4" w:space="0" w:color="B66113"/>
              <w:bottom w:val="single" w:sz="4" w:space="0" w:color="B66113"/>
            </w:tcBorders>
          </w:tcPr>
          <w:p w14:paraId="1E01E122" w14:textId="77777777" w:rsidR="009A602C" w:rsidRPr="0079766A" w:rsidRDefault="009A602C" w:rsidP="004102C8">
            <w:pPr>
              <w:spacing w:before="180" w:after="60" w:line="312" w:lineRule="auto"/>
              <w:rPr>
                <w:rFonts w:asciiTheme="minorHAnsi" w:eastAsia="Calibri" w:hAnsiTheme="minorHAnsi"/>
                <w:color w:val="000000"/>
                <w:sz w:val="18"/>
                <w:szCs w:val="18"/>
                <w:lang w:val="en-US"/>
              </w:rPr>
            </w:pPr>
            <w:r w:rsidRPr="0079766A">
              <w:rPr>
                <w:rFonts w:asciiTheme="minorHAnsi" w:eastAsia="Calibri" w:hAnsiTheme="minorHAnsi"/>
                <w:color w:val="000000"/>
                <w:sz w:val="18"/>
                <w:szCs w:val="18"/>
                <w:lang w:val="en-US"/>
              </w:rPr>
              <w:t xml:space="preserve">Change to the MBS item claiming restrictions would ensure item is claimed </w:t>
            </w:r>
            <w:proofErr w:type="gramStart"/>
            <w:r w:rsidRPr="0079766A">
              <w:rPr>
                <w:rFonts w:asciiTheme="minorHAnsi" w:eastAsia="Calibri" w:hAnsiTheme="minorHAnsi"/>
                <w:color w:val="000000"/>
                <w:sz w:val="18"/>
                <w:szCs w:val="18"/>
                <w:lang w:val="en-US"/>
              </w:rPr>
              <w:t>appropriately.-</w:t>
            </w:r>
            <w:proofErr w:type="gramEnd"/>
          </w:p>
        </w:tc>
        <w:tc>
          <w:tcPr>
            <w:tcW w:w="3427" w:type="dxa"/>
            <w:tcBorders>
              <w:top w:val="single" w:sz="4" w:space="0" w:color="B66113"/>
              <w:bottom w:val="single" w:sz="4" w:space="0" w:color="B66113"/>
            </w:tcBorders>
          </w:tcPr>
          <w:p w14:paraId="492694D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To ensure appropriate claiming of this item and support quality care for patients.   </w:t>
            </w:r>
          </w:p>
        </w:tc>
      </w:tr>
    </w:tbl>
    <w:p w14:paraId="5E48ADD5"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lastRenderedPageBreak/>
        <w:t>Recommendation 12: Restructuring Telemedicine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69"/>
        <w:gridCol w:w="1579"/>
        <w:gridCol w:w="1786"/>
        <w:gridCol w:w="2034"/>
        <w:gridCol w:w="2044"/>
      </w:tblGrid>
      <w:tr w:rsidR="009A602C" w:rsidRPr="0079766A" w14:paraId="6A803146" w14:textId="77777777" w:rsidTr="004102C8">
        <w:trPr>
          <w:cantSplit/>
          <w:tblHeader/>
        </w:trPr>
        <w:tc>
          <w:tcPr>
            <w:tcW w:w="1557" w:type="dxa"/>
            <w:tcBorders>
              <w:top w:val="single" w:sz="4" w:space="0" w:color="B66113"/>
              <w:bottom w:val="single" w:sz="4" w:space="0" w:color="B66113"/>
            </w:tcBorders>
            <w:shd w:val="clear" w:color="auto" w:fill="B66113"/>
          </w:tcPr>
          <w:p w14:paraId="2541A82F"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62DDEAD0"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7686224C"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12DEBDAA"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061EE692"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6C2BA0F7" w14:textId="77777777" w:rsidTr="004102C8">
        <w:trPr>
          <w:cantSplit/>
        </w:trPr>
        <w:tc>
          <w:tcPr>
            <w:tcW w:w="1557" w:type="dxa"/>
            <w:tcBorders>
              <w:top w:val="single" w:sz="4" w:space="0" w:color="B66113"/>
              <w:bottom w:val="single" w:sz="4" w:space="0" w:color="B66113"/>
            </w:tcBorders>
          </w:tcPr>
          <w:p w14:paraId="4A29D01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4120AF9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Virtual ‘home visit’ via telephone or video with only the patient present, for optometry referrals only. </w:t>
            </w:r>
          </w:p>
        </w:tc>
        <w:tc>
          <w:tcPr>
            <w:tcW w:w="2453" w:type="dxa"/>
            <w:tcBorders>
              <w:top w:val="single" w:sz="4" w:space="0" w:color="B66113"/>
              <w:bottom w:val="single" w:sz="4" w:space="0" w:color="B66113"/>
            </w:tcBorders>
          </w:tcPr>
          <w:p w14:paraId="1DFDE8C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rPr>
              <w:t xml:space="preserve">This recommendation aims to increase patient access via the uptake of telehealth services and promote a coordinated and asynchronous </w:t>
            </w:r>
            <w:proofErr w:type="spellStart"/>
            <w:r w:rsidRPr="0079766A">
              <w:rPr>
                <w:rFonts w:asciiTheme="minorHAnsi" w:eastAsia="Calibri" w:hAnsiTheme="minorHAnsi"/>
                <w:color w:val="000000"/>
                <w:sz w:val="18"/>
                <w:szCs w:val="18"/>
              </w:rPr>
              <w:t>Asynchronous</w:t>
            </w:r>
            <w:proofErr w:type="spellEnd"/>
            <w:r w:rsidRPr="0079766A">
              <w:rPr>
                <w:rFonts w:asciiTheme="minorHAnsi" w:eastAsia="Calibri" w:hAnsiTheme="minorHAnsi"/>
                <w:color w:val="000000"/>
                <w:sz w:val="18"/>
                <w:szCs w:val="18"/>
              </w:rPr>
              <w:t xml:space="preserve"> communication is a method of segmented communication, where both parties involved can interact with each other at different times that are appropriate for them. This includes taking of photos of the eye in remote communities, storing them in</w:t>
            </w:r>
            <w:r>
              <w:rPr>
                <w:rFonts w:asciiTheme="minorHAnsi" w:eastAsia="Calibri" w:hAnsiTheme="minorHAnsi"/>
                <w:color w:val="000000"/>
                <w:sz w:val="18"/>
                <w:szCs w:val="18"/>
              </w:rPr>
              <w:t>to a secure drop box with other</w:t>
            </w:r>
            <w:r w:rsidRPr="0079766A">
              <w:rPr>
                <w:rFonts w:asciiTheme="minorHAnsi" w:eastAsia="Calibri" w:hAnsiTheme="minorHAnsi"/>
                <w:color w:val="000000"/>
                <w:sz w:val="18"/>
                <w:szCs w:val="18"/>
              </w:rPr>
              <w:t xml:space="preserve"> similar photos, awaiting to be reviewed by a clinician who checks the photos at a time that is suitable to them.</w:t>
            </w:r>
          </w:p>
        </w:tc>
        <w:tc>
          <w:tcPr>
            <w:tcW w:w="3395" w:type="dxa"/>
            <w:tcBorders>
              <w:top w:val="single" w:sz="4" w:space="0" w:color="B66113"/>
              <w:bottom w:val="single" w:sz="4" w:space="0" w:color="B66113"/>
            </w:tcBorders>
          </w:tcPr>
          <w:p w14:paraId="30D83D3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rPr>
              <w:t>The current system presents difficulties in coordination, requiring three people to be present at once. This means that if someone is running late, it affects everyone. Asynchronous health care has been proven internationally to be effective in the coordination of telehealth.</w:t>
            </w:r>
          </w:p>
        </w:tc>
        <w:tc>
          <w:tcPr>
            <w:tcW w:w="3427" w:type="dxa"/>
            <w:tcBorders>
              <w:top w:val="single" w:sz="4" w:space="0" w:color="B66113"/>
              <w:bottom w:val="single" w:sz="4" w:space="0" w:color="B66113"/>
            </w:tcBorders>
          </w:tcPr>
          <w:p w14:paraId="72B02FEE"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To improve patient care with a coordinated approach and</w:t>
            </w:r>
            <w:r w:rsidRPr="0079766A">
              <w:rPr>
                <w:rFonts w:asciiTheme="minorHAnsi" w:eastAsia="Calibri" w:hAnsiTheme="minorHAnsi"/>
                <w:color w:val="000000"/>
                <w:sz w:val="18"/>
                <w:szCs w:val="18"/>
                <w:lang w:val="en-AU"/>
              </w:rPr>
              <w:t xml:space="preserve"> provide greater access for patients in rural and remote areas and in instances where they cannot reach an ophthalmologist in person.</w:t>
            </w:r>
          </w:p>
        </w:tc>
      </w:tr>
      <w:tr w:rsidR="009A602C" w:rsidRPr="0079766A" w14:paraId="2A1CE9EE" w14:textId="77777777" w:rsidTr="004102C8">
        <w:trPr>
          <w:cantSplit/>
        </w:trPr>
        <w:tc>
          <w:tcPr>
            <w:tcW w:w="1557" w:type="dxa"/>
            <w:tcBorders>
              <w:top w:val="single" w:sz="4" w:space="0" w:color="B66113"/>
            </w:tcBorders>
          </w:tcPr>
          <w:p w14:paraId="60CB05F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New Item</w:t>
            </w:r>
          </w:p>
        </w:tc>
        <w:tc>
          <w:tcPr>
            <w:tcW w:w="2412" w:type="dxa"/>
            <w:tcBorders>
              <w:top w:val="single" w:sz="4" w:space="0" w:color="B66113"/>
            </w:tcBorders>
          </w:tcPr>
          <w:p w14:paraId="67B08D4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Management advice provided via a report to the optometrist and patient, for optometry referrals only. With a requirement to also send a formal report to the optometrist and patient. </w:t>
            </w:r>
          </w:p>
        </w:tc>
        <w:tc>
          <w:tcPr>
            <w:tcW w:w="2453" w:type="dxa"/>
            <w:tcBorders>
              <w:top w:val="single" w:sz="4" w:space="0" w:color="B66113"/>
            </w:tcBorders>
          </w:tcPr>
          <w:p w14:paraId="7B29A22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rPr>
              <w:t>This recommendation aims to increase the access to and uptake of telehealth services and promote a coordinated and asynchronous (where multiple things are) approach to eye health care.</w:t>
            </w:r>
          </w:p>
        </w:tc>
        <w:tc>
          <w:tcPr>
            <w:tcW w:w="3395" w:type="dxa"/>
            <w:tcBorders>
              <w:top w:val="single" w:sz="4" w:space="0" w:color="B66113"/>
            </w:tcBorders>
          </w:tcPr>
          <w:p w14:paraId="073DC00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Telehealth services will provide greater access for patients in rural and remote areas and in instances where they cannot reach an ophthalmologist in person</w:t>
            </w:r>
          </w:p>
        </w:tc>
        <w:tc>
          <w:tcPr>
            <w:tcW w:w="3427" w:type="dxa"/>
            <w:tcBorders>
              <w:top w:val="single" w:sz="4" w:space="0" w:color="B66113"/>
            </w:tcBorders>
          </w:tcPr>
          <w:p w14:paraId="66FD9A7F"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To improve patient care with a coordinated approach, and to enable </w:t>
            </w:r>
            <w:r>
              <w:rPr>
                <w:rFonts w:asciiTheme="minorHAnsi" w:eastAsia="Calibri" w:hAnsiTheme="minorHAnsi"/>
                <w:color w:val="000000"/>
                <w:sz w:val="18"/>
                <w:szCs w:val="18"/>
              </w:rPr>
              <w:t xml:space="preserve">rural and </w:t>
            </w:r>
            <w:r w:rsidRPr="0079766A">
              <w:rPr>
                <w:rFonts w:asciiTheme="minorHAnsi" w:eastAsia="Calibri" w:hAnsiTheme="minorHAnsi"/>
                <w:color w:val="000000"/>
                <w:sz w:val="18"/>
                <w:szCs w:val="18"/>
              </w:rPr>
              <w:t>remote access to co-ordinated patient care.</w:t>
            </w:r>
          </w:p>
        </w:tc>
      </w:tr>
    </w:tbl>
    <w:p w14:paraId="3247299A"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13: Ongoing review process</w:t>
      </w:r>
    </w:p>
    <w:p w14:paraId="6F13C020" w14:textId="77777777" w:rsidR="009A602C" w:rsidRPr="0079766A" w:rsidRDefault="009A602C" w:rsidP="009A602C">
      <w:pPr>
        <w:keepNext/>
        <w:spacing w:before="120" w:line="312" w:lineRule="auto"/>
        <w:rPr>
          <w:rFonts w:eastAsia="Calibri"/>
          <w:color w:val="000000"/>
          <w:sz w:val="20"/>
          <w:szCs w:val="22"/>
          <w:lang w:val="en-AU" w:eastAsia="en-US"/>
        </w:rPr>
      </w:pP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92"/>
        <w:gridCol w:w="1222"/>
        <w:gridCol w:w="1810"/>
        <w:gridCol w:w="2174"/>
        <w:gridCol w:w="2214"/>
      </w:tblGrid>
      <w:tr w:rsidR="009A602C" w:rsidRPr="0079766A" w14:paraId="1DE7BEA8" w14:textId="77777777" w:rsidTr="004102C8">
        <w:trPr>
          <w:cantSplit/>
          <w:tblHeader/>
        </w:trPr>
        <w:tc>
          <w:tcPr>
            <w:tcW w:w="1557" w:type="dxa"/>
            <w:tcBorders>
              <w:top w:val="single" w:sz="4" w:space="0" w:color="B66113"/>
              <w:bottom w:val="single" w:sz="4" w:space="0" w:color="B66113"/>
            </w:tcBorders>
            <w:shd w:val="clear" w:color="auto" w:fill="B66113"/>
          </w:tcPr>
          <w:p w14:paraId="63BE7AE4"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1D7D72F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70B13EE8"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5AC732C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26F4F1AA"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3BFFAB1C" w14:textId="77777777" w:rsidTr="004102C8">
        <w:trPr>
          <w:cantSplit/>
        </w:trPr>
        <w:tc>
          <w:tcPr>
            <w:tcW w:w="1557" w:type="dxa"/>
            <w:tcBorders>
              <w:top w:val="single" w:sz="4" w:space="0" w:color="B66113"/>
              <w:bottom w:val="single" w:sz="4" w:space="0" w:color="B66113"/>
            </w:tcBorders>
          </w:tcPr>
          <w:p w14:paraId="5E89F9D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N/A</w:t>
            </w:r>
          </w:p>
        </w:tc>
        <w:tc>
          <w:tcPr>
            <w:tcW w:w="2412" w:type="dxa"/>
            <w:tcBorders>
              <w:top w:val="single" w:sz="4" w:space="0" w:color="B66113"/>
              <w:bottom w:val="single" w:sz="4" w:space="0" w:color="B66113"/>
            </w:tcBorders>
          </w:tcPr>
          <w:p w14:paraId="6E427988"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N/A </w:t>
            </w:r>
          </w:p>
        </w:tc>
        <w:tc>
          <w:tcPr>
            <w:tcW w:w="2453" w:type="dxa"/>
            <w:tcBorders>
              <w:top w:val="single" w:sz="4" w:space="0" w:color="B66113"/>
              <w:bottom w:val="single" w:sz="4" w:space="0" w:color="B66113"/>
            </w:tcBorders>
          </w:tcPr>
          <w:p w14:paraId="073D3AB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the implementation of an ongoing review process for all ophthalmology items.</w:t>
            </w:r>
          </w:p>
        </w:tc>
        <w:tc>
          <w:tcPr>
            <w:tcW w:w="3395" w:type="dxa"/>
            <w:tcBorders>
              <w:top w:val="single" w:sz="4" w:space="0" w:color="B66113"/>
              <w:bottom w:val="single" w:sz="4" w:space="0" w:color="B66113"/>
            </w:tcBorders>
          </w:tcPr>
          <w:p w14:paraId="5303208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All ophthalmology items and recommendations will be reviewed, including all recommendations 12 months after implementation.</w:t>
            </w:r>
          </w:p>
        </w:tc>
        <w:tc>
          <w:tcPr>
            <w:tcW w:w="3427" w:type="dxa"/>
            <w:tcBorders>
              <w:top w:val="single" w:sz="4" w:space="0" w:color="B66113"/>
              <w:bottom w:val="single" w:sz="4" w:space="0" w:color="B66113"/>
            </w:tcBorders>
          </w:tcPr>
          <w:p w14:paraId="3A03B9E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maintain MBS alignment with contemporary clinical practice, and to facilitate reviews of significant recommendations.</w:t>
            </w:r>
          </w:p>
        </w:tc>
      </w:tr>
    </w:tbl>
    <w:p w14:paraId="5A5422FE" w14:textId="77777777" w:rsidR="009A602C" w:rsidRPr="0079766A" w:rsidRDefault="009A602C" w:rsidP="009A602C">
      <w:pPr>
        <w:keepNext/>
        <w:spacing w:before="120" w:line="312" w:lineRule="auto"/>
        <w:rPr>
          <w:rFonts w:eastAsia="Calibri"/>
          <w:color w:val="000000"/>
          <w:sz w:val="20"/>
          <w:szCs w:val="22"/>
          <w:lang w:val="en-AU" w:eastAsia="en-US"/>
        </w:rPr>
      </w:pPr>
    </w:p>
    <w:p w14:paraId="68CF5199"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14: Rural and remote incentives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41"/>
        <w:gridCol w:w="1311"/>
        <w:gridCol w:w="1858"/>
        <w:gridCol w:w="2056"/>
        <w:gridCol w:w="2146"/>
      </w:tblGrid>
      <w:tr w:rsidR="009A602C" w:rsidRPr="0079766A" w14:paraId="5C5CAB15" w14:textId="77777777" w:rsidTr="004102C8">
        <w:trPr>
          <w:cantSplit/>
          <w:tblHeader/>
        </w:trPr>
        <w:tc>
          <w:tcPr>
            <w:tcW w:w="1557" w:type="dxa"/>
            <w:tcBorders>
              <w:top w:val="single" w:sz="4" w:space="0" w:color="B66113"/>
              <w:bottom w:val="single" w:sz="4" w:space="0" w:color="B66113"/>
            </w:tcBorders>
            <w:shd w:val="clear" w:color="auto" w:fill="B66113"/>
          </w:tcPr>
          <w:p w14:paraId="747A46ED"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11FFE4F7"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20FF9CB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092CE3AB"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1A26C4E8"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7C7CACCC" w14:textId="77777777" w:rsidTr="004102C8">
        <w:trPr>
          <w:cantSplit/>
        </w:trPr>
        <w:tc>
          <w:tcPr>
            <w:tcW w:w="1557" w:type="dxa"/>
            <w:tcBorders>
              <w:top w:val="single" w:sz="4" w:space="0" w:color="B66113"/>
              <w:bottom w:val="single" w:sz="4" w:space="0" w:color="B66113"/>
            </w:tcBorders>
          </w:tcPr>
          <w:p w14:paraId="6A1C244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N/A</w:t>
            </w:r>
          </w:p>
        </w:tc>
        <w:tc>
          <w:tcPr>
            <w:tcW w:w="2412" w:type="dxa"/>
            <w:tcBorders>
              <w:top w:val="single" w:sz="4" w:space="0" w:color="B66113"/>
              <w:bottom w:val="single" w:sz="4" w:space="0" w:color="B66113"/>
            </w:tcBorders>
          </w:tcPr>
          <w:p w14:paraId="54A9E92D"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N/A </w:t>
            </w:r>
          </w:p>
        </w:tc>
        <w:tc>
          <w:tcPr>
            <w:tcW w:w="2453" w:type="dxa"/>
            <w:tcBorders>
              <w:top w:val="single" w:sz="4" w:space="0" w:color="B66113"/>
              <w:bottom w:val="single" w:sz="4" w:space="0" w:color="B66113"/>
            </w:tcBorders>
          </w:tcPr>
          <w:p w14:paraId="1563549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Committee recommends that the Government implement a mechanism to cover additional costs of rural and remote service provision.</w:t>
            </w:r>
          </w:p>
        </w:tc>
        <w:tc>
          <w:tcPr>
            <w:tcW w:w="3395" w:type="dxa"/>
            <w:tcBorders>
              <w:top w:val="single" w:sz="4" w:space="0" w:color="B66113"/>
              <w:bottom w:val="single" w:sz="4" w:space="0" w:color="B66113"/>
            </w:tcBorders>
          </w:tcPr>
          <w:p w14:paraId="1EB003C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Targeted improvement of rural and remote eye services to assist in closing the gap in eye health and vision care by 2020.</w:t>
            </w:r>
          </w:p>
        </w:tc>
        <w:tc>
          <w:tcPr>
            <w:tcW w:w="3427" w:type="dxa"/>
            <w:tcBorders>
              <w:top w:val="single" w:sz="4" w:space="0" w:color="B66113"/>
              <w:bottom w:val="single" w:sz="4" w:space="0" w:color="B66113"/>
            </w:tcBorders>
          </w:tcPr>
          <w:p w14:paraId="618D157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To improve equity of access to eye services across Australia, given the maldistribution of the ophthalmology workforce, and higher prevalence of eye disease and insufficient funding in rural and remote areas.</w:t>
            </w:r>
          </w:p>
        </w:tc>
      </w:tr>
    </w:tbl>
    <w:p w14:paraId="55FE0E03" w14:textId="77777777" w:rsidR="009A602C" w:rsidRPr="0079766A" w:rsidRDefault="009A602C" w:rsidP="009A602C">
      <w:pPr>
        <w:keepNext/>
        <w:spacing w:before="120" w:line="312" w:lineRule="auto"/>
        <w:rPr>
          <w:rFonts w:eastAsia="Calibri"/>
          <w:color w:val="000000"/>
          <w:sz w:val="20"/>
          <w:szCs w:val="22"/>
          <w:lang w:val="en-AU" w:eastAsia="en-US"/>
        </w:rPr>
      </w:pPr>
    </w:p>
    <w:p w14:paraId="0E6C6554"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Recommendation 15: Create new items for the treatment of glaucoma</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32"/>
        <w:gridCol w:w="1710"/>
        <w:gridCol w:w="1848"/>
        <w:gridCol w:w="1924"/>
        <w:gridCol w:w="1898"/>
      </w:tblGrid>
      <w:tr w:rsidR="009A602C" w:rsidRPr="0079766A" w14:paraId="069AD087" w14:textId="77777777" w:rsidTr="004102C8">
        <w:trPr>
          <w:cantSplit/>
          <w:tblHeader/>
        </w:trPr>
        <w:tc>
          <w:tcPr>
            <w:tcW w:w="1557" w:type="dxa"/>
            <w:tcBorders>
              <w:top w:val="single" w:sz="4" w:space="0" w:color="B66113"/>
              <w:bottom w:val="single" w:sz="4" w:space="0" w:color="B66113"/>
            </w:tcBorders>
            <w:shd w:val="clear" w:color="auto" w:fill="B66113"/>
          </w:tcPr>
          <w:p w14:paraId="6F7811F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6C572C3D"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674920CF"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7B7CA0C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772FFA1B"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6AEA24D2" w14:textId="77777777" w:rsidTr="004102C8">
        <w:trPr>
          <w:cantSplit/>
        </w:trPr>
        <w:tc>
          <w:tcPr>
            <w:tcW w:w="1557" w:type="dxa"/>
            <w:tcBorders>
              <w:top w:val="single" w:sz="4" w:space="0" w:color="B66113"/>
              <w:bottom w:val="single" w:sz="4" w:space="0" w:color="B66113"/>
            </w:tcBorders>
          </w:tcPr>
          <w:p w14:paraId="7C3E821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05127FC9"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Repair of </w:t>
            </w:r>
            <w:proofErr w:type="spellStart"/>
            <w:r w:rsidRPr="0079766A">
              <w:rPr>
                <w:rFonts w:asciiTheme="minorHAnsi" w:eastAsia="Calibri" w:hAnsiTheme="minorHAnsi"/>
                <w:color w:val="000000"/>
                <w:sz w:val="18"/>
                <w:szCs w:val="18"/>
              </w:rPr>
              <w:t>cyclodialysis</w:t>
            </w:r>
            <w:proofErr w:type="spellEnd"/>
            <w:r w:rsidRPr="0079766A">
              <w:rPr>
                <w:rFonts w:asciiTheme="minorHAnsi" w:eastAsia="Calibri" w:hAnsiTheme="minorHAnsi"/>
                <w:color w:val="000000"/>
                <w:sz w:val="18"/>
                <w:szCs w:val="18"/>
              </w:rPr>
              <w:t xml:space="preserve"> cleft.</w:t>
            </w:r>
          </w:p>
          <w:p w14:paraId="31BCEF34"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A cleft occurs where there is a separation of the muscles behind the eye. </w:t>
            </w:r>
          </w:p>
        </w:tc>
        <w:tc>
          <w:tcPr>
            <w:tcW w:w="2453" w:type="dxa"/>
            <w:tcBorders>
              <w:top w:val="single" w:sz="4" w:space="0" w:color="B66113"/>
              <w:bottom w:val="single" w:sz="4" w:space="0" w:color="B66113"/>
            </w:tcBorders>
          </w:tcPr>
          <w:p w14:paraId="383165A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5A1651C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these items be introduced to provide treatment for glaucoma. </w:t>
            </w:r>
          </w:p>
        </w:tc>
        <w:tc>
          <w:tcPr>
            <w:tcW w:w="3395" w:type="dxa"/>
            <w:tcBorders>
              <w:top w:val="single" w:sz="4" w:space="0" w:color="B66113"/>
              <w:bottom w:val="single" w:sz="4" w:space="0" w:color="B66113"/>
            </w:tcBorders>
          </w:tcPr>
          <w:p w14:paraId="254BEE0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6CF82962"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07588B7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4B4C5A5C" w14:textId="77777777" w:rsidTr="004102C8">
        <w:trPr>
          <w:cantSplit/>
        </w:trPr>
        <w:tc>
          <w:tcPr>
            <w:tcW w:w="1557" w:type="dxa"/>
            <w:tcBorders>
              <w:top w:val="single" w:sz="4" w:space="0" w:color="B66113"/>
              <w:bottom w:val="single" w:sz="4" w:space="0" w:color="B66113"/>
            </w:tcBorders>
          </w:tcPr>
          <w:p w14:paraId="3393840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3D3CBE36"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Glaucoma (a group of eye diseases where vision is lost due to damage to the optic nerve), drainage device, removal or insertion of intraluminal stent (a tiny tube inserted into a blocked passageway to keep it open) or tying off of lumen (tube such as a blood vessel or cavity).</w:t>
            </w:r>
          </w:p>
          <w:p w14:paraId="5E59E3E6" w14:textId="77777777" w:rsidR="009A602C" w:rsidRPr="0079766A" w:rsidRDefault="009A602C" w:rsidP="004102C8">
            <w:pPr>
              <w:spacing w:before="140" w:after="40" w:line="312" w:lineRule="auto"/>
              <w:rPr>
                <w:rFonts w:asciiTheme="minorHAnsi" w:eastAsia="Calibri" w:hAnsiTheme="minorHAnsi"/>
                <w:color w:val="000000"/>
                <w:sz w:val="18"/>
                <w:szCs w:val="18"/>
              </w:rPr>
            </w:pPr>
          </w:p>
        </w:tc>
        <w:tc>
          <w:tcPr>
            <w:tcW w:w="2453" w:type="dxa"/>
            <w:tcBorders>
              <w:top w:val="single" w:sz="4" w:space="0" w:color="B66113"/>
              <w:bottom w:val="single" w:sz="4" w:space="0" w:color="B66113"/>
            </w:tcBorders>
          </w:tcPr>
          <w:p w14:paraId="3988D6E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51AA434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these items be introduced to provide treatment for glaucoma. </w:t>
            </w:r>
          </w:p>
        </w:tc>
        <w:tc>
          <w:tcPr>
            <w:tcW w:w="3395" w:type="dxa"/>
            <w:tcBorders>
              <w:top w:val="single" w:sz="4" w:space="0" w:color="B66113"/>
              <w:bottom w:val="single" w:sz="4" w:space="0" w:color="B66113"/>
            </w:tcBorders>
          </w:tcPr>
          <w:p w14:paraId="0BE3B3F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397BD4E9"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5EA3C1B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0AB0EF26" w14:textId="77777777" w:rsidTr="004102C8">
        <w:trPr>
          <w:cantSplit/>
        </w:trPr>
        <w:tc>
          <w:tcPr>
            <w:tcW w:w="1557" w:type="dxa"/>
            <w:tcBorders>
              <w:top w:val="single" w:sz="4" w:space="0" w:color="B66113"/>
              <w:bottom w:val="single" w:sz="4" w:space="0" w:color="B66113"/>
            </w:tcBorders>
          </w:tcPr>
          <w:p w14:paraId="4B33481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0960D3C7"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Sutured </w:t>
            </w:r>
            <w:proofErr w:type="spellStart"/>
            <w:r w:rsidRPr="0079766A">
              <w:rPr>
                <w:rFonts w:asciiTheme="minorHAnsi" w:eastAsia="Calibri" w:hAnsiTheme="minorHAnsi"/>
                <w:color w:val="000000"/>
                <w:sz w:val="18"/>
                <w:szCs w:val="18"/>
              </w:rPr>
              <w:t>pupiloplasty</w:t>
            </w:r>
            <w:proofErr w:type="spellEnd"/>
            <w:r w:rsidRPr="0079766A">
              <w:rPr>
                <w:rFonts w:asciiTheme="minorHAnsi" w:eastAsia="Calibri" w:hAnsiTheme="minorHAnsi"/>
                <w:color w:val="000000"/>
                <w:sz w:val="18"/>
                <w:szCs w:val="18"/>
              </w:rPr>
              <w:t xml:space="preserve"> for traumatic mydriasis.</w:t>
            </w:r>
          </w:p>
          <w:p w14:paraId="62A928B9"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This is a procedure to the repair the iris which has become dilated and is not reacting properly to light. </w:t>
            </w:r>
          </w:p>
        </w:tc>
        <w:tc>
          <w:tcPr>
            <w:tcW w:w="2453" w:type="dxa"/>
            <w:tcBorders>
              <w:top w:val="single" w:sz="4" w:space="0" w:color="B66113"/>
              <w:bottom w:val="single" w:sz="4" w:space="0" w:color="B66113"/>
            </w:tcBorders>
          </w:tcPr>
          <w:p w14:paraId="0E8C1A3A"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2FD6CE7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5EBB187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4AA7B09B"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1E2EF67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4C425BC7" w14:textId="77777777" w:rsidTr="004102C8">
        <w:trPr>
          <w:cantSplit/>
        </w:trPr>
        <w:tc>
          <w:tcPr>
            <w:tcW w:w="1557" w:type="dxa"/>
            <w:tcBorders>
              <w:top w:val="single" w:sz="4" w:space="0" w:color="B66113"/>
              <w:bottom w:val="single" w:sz="4" w:space="0" w:color="B66113"/>
            </w:tcBorders>
          </w:tcPr>
          <w:p w14:paraId="40D32AB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New Item</w:t>
            </w:r>
          </w:p>
        </w:tc>
        <w:tc>
          <w:tcPr>
            <w:tcW w:w="2412" w:type="dxa"/>
            <w:tcBorders>
              <w:top w:val="single" w:sz="4" w:space="0" w:color="B66113"/>
              <w:bottom w:val="single" w:sz="4" w:space="0" w:color="B66113"/>
            </w:tcBorders>
          </w:tcPr>
          <w:p w14:paraId="001AAB3E"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Conjunctival flap repair of leaking blebs (a blister like fluid collection). </w:t>
            </w:r>
          </w:p>
          <w:p w14:paraId="1A280733" w14:textId="77777777" w:rsidR="009A602C" w:rsidRPr="0079766A" w:rsidRDefault="009A602C" w:rsidP="004102C8">
            <w:pPr>
              <w:spacing w:before="140" w:after="40" w:line="312" w:lineRule="auto"/>
              <w:rPr>
                <w:rFonts w:asciiTheme="minorHAnsi" w:eastAsia="Calibri" w:hAnsiTheme="minorHAnsi"/>
                <w:color w:val="000000"/>
                <w:sz w:val="18"/>
                <w:szCs w:val="18"/>
              </w:rPr>
            </w:pPr>
          </w:p>
        </w:tc>
        <w:tc>
          <w:tcPr>
            <w:tcW w:w="2453" w:type="dxa"/>
            <w:tcBorders>
              <w:top w:val="single" w:sz="4" w:space="0" w:color="B66113"/>
              <w:bottom w:val="single" w:sz="4" w:space="0" w:color="B66113"/>
            </w:tcBorders>
          </w:tcPr>
          <w:p w14:paraId="0CA8E050"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Pr>
                <w:rFonts w:asciiTheme="minorHAnsi" w:eastAsia="Calibri" w:hAnsiTheme="minorHAnsi"/>
                <w:color w:val="000000"/>
                <w:sz w:val="18"/>
                <w:szCs w:val="18"/>
                <w:lang w:val="en-AU"/>
              </w:rPr>
              <w:t>Create a new item.</w:t>
            </w:r>
          </w:p>
          <w:p w14:paraId="45B2020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5905D0C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4F27FBDF"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4BF68B1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0F9AD55C" w14:textId="77777777" w:rsidTr="004102C8">
        <w:trPr>
          <w:cantSplit/>
        </w:trPr>
        <w:tc>
          <w:tcPr>
            <w:tcW w:w="1557" w:type="dxa"/>
            <w:tcBorders>
              <w:top w:val="single" w:sz="4" w:space="0" w:color="B66113"/>
              <w:bottom w:val="single" w:sz="4" w:space="0" w:color="B66113"/>
            </w:tcBorders>
          </w:tcPr>
          <w:p w14:paraId="28C7AF2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0F96EDB8"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5-FU is a chemotherapy drug injection given post filtration surgery where a small channel is created to direct fluid away from the eye, not associated with needling.</w:t>
            </w:r>
          </w:p>
          <w:p w14:paraId="2C2A6611" w14:textId="77777777" w:rsidR="009A602C" w:rsidRPr="0079766A" w:rsidRDefault="009A602C" w:rsidP="004102C8">
            <w:pPr>
              <w:spacing w:before="140" w:after="40" w:line="312" w:lineRule="auto"/>
              <w:rPr>
                <w:rFonts w:asciiTheme="minorHAnsi" w:eastAsia="Calibri" w:hAnsiTheme="minorHAnsi"/>
                <w:color w:val="000000"/>
                <w:sz w:val="18"/>
                <w:szCs w:val="18"/>
              </w:rPr>
            </w:pPr>
          </w:p>
        </w:tc>
        <w:tc>
          <w:tcPr>
            <w:tcW w:w="2453" w:type="dxa"/>
            <w:tcBorders>
              <w:top w:val="single" w:sz="4" w:space="0" w:color="B66113"/>
              <w:bottom w:val="single" w:sz="4" w:space="0" w:color="B66113"/>
            </w:tcBorders>
          </w:tcPr>
          <w:p w14:paraId="719A52D2"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4868286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5EE35A86"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5314B5B9"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5C8C5B6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2A792F2B" w14:textId="77777777" w:rsidTr="004102C8">
        <w:trPr>
          <w:cantSplit/>
        </w:trPr>
        <w:tc>
          <w:tcPr>
            <w:tcW w:w="1557" w:type="dxa"/>
            <w:tcBorders>
              <w:top w:val="single" w:sz="4" w:space="0" w:color="B66113"/>
              <w:bottom w:val="single" w:sz="4" w:space="0" w:color="B66113"/>
            </w:tcBorders>
          </w:tcPr>
          <w:p w14:paraId="41F7EF9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5FAEF3B4"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Optical Coherence Tomography (OCT - is a non-invasive imaging test using light waves to take cross-section pictures of your retina) diagnosis and monitoring of glaucoma (a group of eye diseases where vision is lost due to damage to the optic nerve), optic disc photographs.  </w:t>
            </w:r>
          </w:p>
        </w:tc>
        <w:tc>
          <w:tcPr>
            <w:tcW w:w="2453" w:type="dxa"/>
            <w:tcBorders>
              <w:top w:val="single" w:sz="4" w:space="0" w:color="B66113"/>
              <w:bottom w:val="single" w:sz="4" w:space="0" w:color="B66113"/>
            </w:tcBorders>
          </w:tcPr>
          <w:p w14:paraId="55C832A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7C4C30F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11FE8C8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6D62F8ED"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08F49808"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2005E4ED" w14:textId="77777777" w:rsidTr="004102C8">
        <w:trPr>
          <w:cantSplit/>
        </w:trPr>
        <w:tc>
          <w:tcPr>
            <w:tcW w:w="1557" w:type="dxa"/>
            <w:tcBorders>
              <w:top w:val="single" w:sz="4" w:space="0" w:color="B66113"/>
              <w:bottom w:val="single" w:sz="4" w:space="0" w:color="B66113"/>
            </w:tcBorders>
          </w:tcPr>
          <w:p w14:paraId="06134A4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lastRenderedPageBreak/>
              <w:t>New Item</w:t>
            </w:r>
          </w:p>
        </w:tc>
        <w:tc>
          <w:tcPr>
            <w:tcW w:w="2412" w:type="dxa"/>
            <w:tcBorders>
              <w:top w:val="single" w:sz="4" w:space="0" w:color="B66113"/>
              <w:bottom w:val="single" w:sz="4" w:space="0" w:color="B66113"/>
            </w:tcBorders>
          </w:tcPr>
          <w:p w14:paraId="2D166954"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Determining the limits of a bleb (a blister like fluid collection) for </w:t>
            </w:r>
            <w:proofErr w:type="spellStart"/>
            <w:r w:rsidRPr="0079766A">
              <w:rPr>
                <w:rFonts w:asciiTheme="minorHAnsi" w:eastAsia="Calibri" w:hAnsiTheme="minorHAnsi"/>
                <w:color w:val="000000"/>
                <w:sz w:val="18"/>
                <w:szCs w:val="18"/>
              </w:rPr>
              <w:t>dysaesthesia</w:t>
            </w:r>
            <w:proofErr w:type="spellEnd"/>
            <w:r w:rsidRPr="0079766A">
              <w:rPr>
                <w:rFonts w:asciiTheme="minorHAnsi" w:eastAsia="Calibri" w:hAnsiTheme="minorHAnsi"/>
                <w:color w:val="000000"/>
                <w:sz w:val="18"/>
                <w:szCs w:val="18"/>
              </w:rPr>
              <w:t xml:space="preserve"> (painful or burning) through cutting through the conjunctiva (membrane that covers the front of the eye).</w:t>
            </w:r>
          </w:p>
          <w:p w14:paraId="4FD390EF" w14:textId="77777777" w:rsidR="009A602C" w:rsidRPr="0079766A" w:rsidRDefault="009A602C" w:rsidP="004102C8">
            <w:pPr>
              <w:spacing w:before="140" w:after="40" w:line="312" w:lineRule="auto"/>
              <w:rPr>
                <w:rFonts w:asciiTheme="minorHAnsi" w:eastAsia="Calibri" w:hAnsiTheme="minorHAnsi"/>
                <w:color w:val="000000"/>
                <w:sz w:val="18"/>
                <w:szCs w:val="18"/>
              </w:rPr>
            </w:pPr>
          </w:p>
        </w:tc>
        <w:tc>
          <w:tcPr>
            <w:tcW w:w="2453" w:type="dxa"/>
            <w:tcBorders>
              <w:top w:val="single" w:sz="4" w:space="0" w:color="B66113"/>
              <w:bottom w:val="single" w:sz="4" w:space="0" w:color="B66113"/>
            </w:tcBorders>
          </w:tcPr>
          <w:p w14:paraId="026BFD5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03E398C7"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4D68C26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46F74F37"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18A6BF0F" w14:textId="77777777" w:rsidR="009A602C" w:rsidRPr="0079766A" w:rsidRDefault="009A602C" w:rsidP="004102C8">
            <w:pPr>
              <w:spacing w:before="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 </w:t>
            </w:r>
          </w:p>
          <w:p w14:paraId="4FFC604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42187AE4" w14:textId="77777777" w:rsidTr="004102C8">
        <w:trPr>
          <w:cantSplit/>
        </w:trPr>
        <w:tc>
          <w:tcPr>
            <w:tcW w:w="1557" w:type="dxa"/>
            <w:tcBorders>
              <w:top w:val="single" w:sz="4" w:space="0" w:color="B66113"/>
              <w:bottom w:val="single" w:sz="4" w:space="0" w:color="B66113"/>
            </w:tcBorders>
          </w:tcPr>
          <w:p w14:paraId="1D2C11D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3EB64D36"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Drainage of choroidal effusions.</w:t>
            </w:r>
          </w:p>
          <w:p w14:paraId="72BCE91B"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Choroidal effusions</w:t>
            </w:r>
            <w:r>
              <w:rPr>
                <w:rFonts w:asciiTheme="minorHAnsi" w:eastAsia="Calibri" w:hAnsiTheme="minorHAnsi"/>
                <w:color w:val="000000"/>
                <w:sz w:val="18"/>
                <w:szCs w:val="18"/>
              </w:rPr>
              <w:t xml:space="preserve"> are a </w:t>
            </w:r>
            <w:r w:rsidRPr="0079766A">
              <w:rPr>
                <w:rFonts w:asciiTheme="minorHAnsi" w:eastAsia="Calibri" w:hAnsiTheme="minorHAnsi"/>
                <w:color w:val="000000"/>
                <w:sz w:val="18"/>
                <w:szCs w:val="18"/>
              </w:rPr>
              <w:t xml:space="preserve">build-up of fluid between the blood vessel layer in the eye and the white outer covering of the eye and can occur after glaucoma surgery. </w:t>
            </w:r>
          </w:p>
        </w:tc>
        <w:tc>
          <w:tcPr>
            <w:tcW w:w="2453" w:type="dxa"/>
            <w:tcBorders>
              <w:top w:val="single" w:sz="4" w:space="0" w:color="B66113"/>
              <w:bottom w:val="single" w:sz="4" w:space="0" w:color="B66113"/>
            </w:tcBorders>
          </w:tcPr>
          <w:p w14:paraId="54479E8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5A9891B4"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2A1A943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58B5A693"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4BC43B01"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r w:rsidR="009A602C" w:rsidRPr="0079766A" w14:paraId="40646012" w14:textId="77777777" w:rsidTr="004102C8">
        <w:trPr>
          <w:cantSplit/>
        </w:trPr>
        <w:tc>
          <w:tcPr>
            <w:tcW w:w="1557" w:type="dxa"/>
            <w:tcBorders>
              <w:top w:val="single" w:sz="4" w:space="0" w:color="B66113"/>
              <w:bottom w:val="single" w:sz="4" w:space="0" w:color="B66113"/>
            </w:tcBorders>
          </w:tcPr>
          <w:p w14:paraId="402F5B6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New Item</w:t>
            </w:r>
          </w:p>
        </w:tc>
        <w:tc>
          <w:tcPr>
            <w:tcW w:w="2412" w:type="dxa"/>
            <w:tcBorders>
              <w:top w:val="single" w:sz="4" w:space="0" w:color="B66113"/>
              <w:bottom w:val="single" w:sz="4" w:space="0" w:color="B66113"/>
            </w:tcBorders>
          </w:tcPr>
          <w:p w14:paraId="73D1C7A4"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A trans-conjunctival bleb is a blister like fluid collection across the membrane that covers the front of the eye.  </w:t>
            </w:r>
          </w:p>
          <w:p w14:paraId="51E4E73F" w14:textId="77777777" w:rsidR="009A602C" w:rsidRPr="0079766A" w:rsidRDefault="009A602C" w:rsidP="004102C8">
            <w:pPr>
              <w:spacing w:before="180" w:after="6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This item covers the compression suturing of this condition. </w:t>
            </w:r>
          </w:p>
          <w:p w14:paraId="558841B7" w14:textId="77777777" w:rsidR="009A602C" w:rsidRPr="0079766A" w:rsidRDefault="009A602C" w:rsidP="004102C8">
            <w:pPr>
              <w:spacing w:before="180" w:after="60" w:line="312" w:lineRule="auto"/>
              <w:rPr>
                <w:rFonts w:asciiTheme="minorHAnsi" w:hAnsiTheme="minorHAnsi"/>
                <w:color w:val="000000"/>
                <w:sz w:val="22"/>
              </w:rPr>
            </w:pPr>
          </w:p>
        </w:tc>
        <w:tc>
          <w:tcPr>
            <w:tcW w:w="2453" w:type="dxa"/>
            <w:tcBorders>
              <w:top w:val="single" w:sz="4" w:space="0" w:color="B66113"/>
              <w:bottom w:val="single" w:sz="4" w:space="0" w:color="B66113"/>
            </w:tcBorders>
          </w:tcPr>
          <w:p w14:paraId="674DDD8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Create a new item </w:t>
            </w:r>
          </w:p>
          <w:p w14:paraId="31393C6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committee recommends this item be introduced to provide treatment for glaucoma. </w:t>
            </w:r>
          </w:p>
        </w:tc>
        <w:tc>
          <w:tcPr>
            <w:tcW w:w="3395" w:type="dxa"/>
            <w:tcBorders>
              <w:top w:val="single" w:sz="4" w:space="0" w:color="B66113"/>
              <w:bottom w:val="single" w:sz="4" w:space="0" w:color="B66113"/>
            </w:tcBorders>
          </w:tcPr>
          <w:p w14:paraId="7BCFB8A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Consumers will have access to best practice treatments for glaucoma. </w:t>
            </w:r>
          </w:p>
        </w:tc>
        <w:tc>
          <w:tcPr>
            <w:tcW w:w="3427" w:type="dxa"/>
            <w:tcBorders>
              <w:top w:val="single" w:sz="4" w:space="0" w:color="B66113"/>
              <w:bottom w:val="single" w:sz="4" w:space="0" w:color="B66113"/>
            </w:tcBorders>
          </w:tcPr>
          <w:p w14:paraId="6AEC9C96" w14:textId="77777777" w:rsidR="009A602C" w:rsidRPr="0079766A" w:rsidRDefault="009A602C" w:rsidP="004102C8">
            <w:pPr>
              <w:spacing w:before="120" w:line="312" w:lineRule="auto"/>
              <w:ind w:left="-36"/>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This item reflects current best practice and creates MBS access to patients for glaucoma treatment.  </w:t>
            </w:r>
          </w:p>
          <w:p w14:paraId="12401B4F"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p>
        </w:tc>
      </w:tr>
    </w:tbl>
    <w:p w14:paraId="65C6591F" w14:textId="77777777" w:rsidR="009A602C" w:rsidRPr="0079766A" w:rsidRDefault="009A602C" w:rsidP="009A602C">
      <w:pPr>
        <w:pStyle w:val="Body"/>
        <w:rPr>
          <w:rFonts w:asciiTheme="minorHAnsi" w:hAnsiTheme="minorHAnsi" w:cstheme="minorHAnsi"/>
        </w:rPr>
      </w:pPr>
    </w:p>
    <w:p w14:paraId="0555D827"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lastRenderedPageBreak/>
        <w:t>Recommendation 16: Increase funding for ophthalmology in the public system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21"/>
        <w:gridCol w:w="1275"/>
        <w:gridCol w:w="1838"/>
        <w:gridCol w:w="2184"/>
        <w:gridCol w:w="2094"/>
      </w:tblGrid>
      <w:tr w:rsidR="009A602C" w:rsidRPr="0079766A" w14:paraId="4D6C6720" w14:textId="77777777" w:rsidTr="004102C8">
        <w:trPr>
          <w:cantSplit/>
          <w:tblHeader/>
        </w:trPr>
        <w:tc>
          <w:tcPr>
            <w:tcW w:w="1557" w:type="dxa"/>
            <w:tcBorders>
              <w:top w:val="single" w:sz="4" w:space="0" w:color="B66113"/>
              <w:bottom w:val="single" w:sz="4" w:space="0" w:color="B66113"/>
            </w:tcBorders>
            <w:shd w:val="clear" w:color="auto" w:fill="B66113"/>
          </w:tcPr>
          <w:p w14:paraId="4951F422"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680F9D62"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3A159B0F"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69EA5BD9"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5ED28605"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3DF1C886" w14:textId="77777777" w:rsidTr="004102C8">
        <w:trPr>
          <w:cantSplit/>
        </w:trPr>
        <w:tc>
          <w:tcPr>
            <w:tcW w:w="1557" w:type="dxa"/>
            <w:tcBorders>
              <w:top w:val="single" w:sz="4" w:space="0" w:color="B66113"/>
              <w:bottom w:val="single" w:sz="4" w:space="0" w:color="B66113"/>
            </w:tcBorders>
          </w:tcPr>
          <w:p w14:paraId="52BD136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N/A</w:t>
            </w:r>
          </w:p>
        </w:tc>
        <w:tc>
          <w:tcPr>
            <w:tcW w:w="2412" w:type="dxa"/>
            <w:tcBorders>
              <w:top w:val="single" w:sz="4" w:space="0" w:color="B66113"/>
              <w:bottom w:val="single" w:sz="4" w:space="0" w:color="B66113"/>
            </w:tcBorders>
          </w:tcPr>
          <w:p w14:paraId="3A9D91DC"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N/A </w:t>
            </w:r>
          </w:p>
        </w:tc>
        <w:tc>
          <w:tcPr>
            <w:tcW w:w="2453" w:type="dxa"/>
            <w:tcBorders>
              <w:top w:val="single" w:sz="4" w:space="0" w:color="B66113"/>
              <w:bottom w:val="single" w:sz="4" w:space="0" w:color="B66113"/>
            </w:tcBorders>
          </w:tcPr>
          <w:p w14:paraId="49F1770B"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 recommendation is to allocate more funding to ophthalmology staff specialists in the public system. </w:t>
            </w:r>
          </w:p>
        </w:tc>
        <w:tc>
          <w:tcPr>
            <w:tcW w:w="3395" w:type="dxa"/>
            <w:tcBorders>
              <w:top w:val="single" w:sz="4" w:space="0" w:color="B66113"/>
              <w:bottom w:val="single" w:sz="4" w:space="0" w:color="B66113"/>
            </w:tcBorders>
          </w:tcPr>
          <w:p w14:paraId="4F70BDD5"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These positions would only be made available to ophthalmologists who will participate in the training and supervision of registrars, and health services research would be embedder into care delivery.</w:t>
            </w:r>
          </w:p>
        </w:tc>
        <w:tc>
          <w:tcPr>
            <w:tcW w:w="3427" w:type="dxa"/>
            <w:tcBorders>
              <w:top w:val="single" w:sz="4" w:space="0" w:color="B66113"/>
              <w:bottom w:val="single" w:sz="4" w:space="0" w:color="B66113"/>
            </w:tcBorders>
          </w:tcPr>
          <w:p w14:paraId="332F703E"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 xml:space="preserve">There are long waiting lists in some public hospitals, low levels of bulk billing for some privately provided services and considerable out of pocket costs that </w:t>
            </w:r>
            <w:proofErr w:type="gramStart"/>
            <w:r w:rsidRPr="0079766A">
              <w:rPr>
                <w:rFonts w:asciiTheme="minorHAnsi" w:eastAsia="Calibri" w:hAnsiTheme="minorHAnsi"/>
                <w:color w:val="000000"/>
                <w:sz w:val="18"/>
                <w:szCs w:val="18"/>
                <w:lang w:val="en-AU"/>
              </w:rPr>
              <w:t>have to</w:t>
            </w:r>
            <w:proofErr w:type="gramEnd"/>
            <w:r w:rsidRPr="0079766A">
              <w:rPr>
                <w:rFonts w:asciiTheme="minorHAnsi" w:eastAsia="Calibri" w:hAnsiTheme="minorHAnsi"/>
                <w:color w:val="000000"/>
                <w:sz w:val="18"/>
                <w:szCs w:val="18"/>
                <w:lang w:val="en-AU"/>
              </w:rPr>
              <w:t xml:space="preserve"> be borne by patients.  Training additional clinicians may reduce the financial burden on patients and improve timely access to ophthalmology services. </w:t>
            </w:r>
          </w:p>
        </w:tc>
      </w:tr>
    </w:tbl>
    <w:p w14:paraId="7FA699E3" w14:textId="77777777" w:rsidR="009A602C" w:rsidRPr="0079766A" w:rsidRDefault="009A602C" w:rsidP="009A602C">
      <w:pPr>
        <w:keepNext/>
        <w:spacing w:before="120" w:line="312" w:lineRule="auto"/>
        <w:rPr>
          <w:rFonts w:eastAsia="Calibri"/>
          <w:color w:val="000000"/>
          <w:sz w:val="20"/>
          <w:szCs w:val="22"/>
          <w:lang w:val="en-AU" w:eastAsia="en-US"/>
        </w:rPr>
      </w:pPr>
    </w:p>
    <w:p w14:paraId="356A982B" w14:textId="77777777" w:rsidR="009A602C" w:rsidRPr="0079766A" w:rsidRDefault="009A602C" w:rsidP="009A602C">
      <w:pPr>
        <w:keepNext/>
        <w:spacing w:before="120" w:line="312" w:lineRule="auto"/>
        <w:rPr>
          <w:rFonts w:eastAsia="Calibri"/>
          <w:color w:val="000000"/>
          <w:sz w:val="20"/>
          <w:szCs w:val="22"/>
          <w:lang w:val="en-AU" w:eastAsia="en-US"/>
        </w:rPr>
      </w:pPr>
      <w:r w:rsidRPr="0079766A">
        <w:rPr>
          <w:rFonts w:eastAsia="Calibri"/>
          <w:color w:val="000000"/>
          <w:sz w:val="20"/>
          <w:szCs w:val="22"/>
          <w:lang w:val="en-AU" w:eastAsia="en-US"/>
        </w:rPr>
        <w:t xml:space="preserve">Recommendation 17: Improve consumer education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5"/>
        <w:gridCol w:w="1332"/>
        <w:gridCol w:w="1869"/>
        <w:gridCol w:w="2108"/>
        <w:gridCol w:w="2048"/>
      </w:tblGrid>
      <w:tr w:rsidR="009A602C" w:rsidRPr="0079766A" w14:paraId="44B54543" w14:textId="77777777" w:rsidTr="004102C8">
        <w:trPr>
          <w:cantSplit/>
          <w:tblHeader/>
        </w:trPr>
        <w:tc>
          <w:tcPr>
            <w:tcW w:w="1557" w:type="dxa"/>
            <w:tcBorders>
              <w:top w:val="single" w:sz="4" w:space="0" w:color="B66113"/>
              <w:bottom w:val="single" w:sz="4" w:space="0" w:color="B66113"/>
            </w:tcBorders>
            <w:shd w:val="clear" w:color="auto" w:fill="B66113"/>
          </w:tcPr>
          <w:p w14:paraId="555C8974"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Item</w:t>
            </w:r>
          </w:p>
        </w:tc>
        <w:tc>
          <w:tcPr>
            <w:tcW w:w="2412" w:type="dxa"/>
            <w:tcBorders>
              <w:top w:val="single" w:sz="4" w:space="0" w:color="B66113"/>
              <w:bottom w:val="single" w:sz="4" w:space="0" w:color="B66113"/>
            </w:tcBorders>
            <w:shd w:val="clear" w:color="auto" w:fill="B66113"/>
          </w:tcPr>
          <w:p w14:paraId="5A120D3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it does</w:t>
            </w:r>
          </w:p>
        </w:tc>
        <w:tc>
          <w:tcPr>
            <w:tcW w:w="2453" w:type="dxa"/>
            <w:tcBorders>
              <w:top w:val="single" w:sz="4" w:space="0" w:color="B66113"/>
              <w:bottom w:val="single" w:sz="4" w:space="0" w:color="B66113"/>
            </w:tcBorders>
            <w:shd w:val="clear" w:color="auto" w:fill="B66113"/>
          </w:tcPr>
          <w:p w14:paraId="0190F9C8"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Committee recommendation</w:t>
            </w:r>
          </w:p>
        </w:tc>
        <w:tc>
          <w:tcPr>
            <w:tcW w:w="3395" w:type="dxa"/>
            <w:tcBorders>
              <w:top w:val="single" w:sz="4" w:space="0" w:color="B66113"/>
              <w:bottom w:val="single" w:sz="4" w:space="0" w:color="B66113"/>
            </w:tcBorders>
            <w:shd w:val="clear" w:color="auto" w:fill="B66113"/>
          </w:tcPr>
          <w:p w14:paraId="31CB0D21"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What would be different</w:t>
            </w:r>
          </w:p>
        </w:tc>
        <w:tc>
          <w:tcPr>
            <w:tcW w:w="3427" w:type="dxa"/>
            <w:tcBorders>
              <w:top w:val="single" w:sz="4" w:space="0" w:color="B66113"/>
              <w:bottom w:val="single" w:sz="4" w:space="0" w:color="B66113"/>
            </w:tcBorders>
            <w:shd w:val="clear" w:color="auto" w:fill="B66113"/>
          </w:tcPr>
          <w:p w14:paraId="55C3698E" w14:textId="77777777" w:rsidR="009A602C" w:rsidRPr="0079766A" w:rsidRDefault="009A602C" w:rsidP="004102C8">
            <w:pPr>
              <w:keepNext/>
              <w:spacing w:before="60" w:after="60" w:line="312" w:lineRule="auto"/>
              <w:rPr>
                <w:rFonts w:asciiTheme="minorHAnsi" w:eastAsia="Calibri" w:hAnsiTheme="minorHAnsi"/>
                <w:color w:val="000000"/>
                <w:sz w:val="18"/>
                <w:szCs w:val="22"/>
                <w:lang w:val="en-AU" w:eastAsia="en-US"/>
              </w:rPr>
            </w:pPr>
            <w:r w:rsidRPr="0079766A">
              <w:rPr>
                <w:rFonts w:asciiTheme="minorHAnsi" w:eastAsia="Calibri" w:hAnsiTheme="minorHAnsi"/>
                <w:color w:val="000000"/>
                <w:sz w:val="18"/>
                <w:szCs w:val="22"/>
                <w:lang w:val="en-AU" w:eastAsia="en-US"/>
              </w:rPr>
              <w:t>Why</w:t>
            </w:r>
          </w:p>
        </w:tc>
      </w:tr>
      <w:tr w:rsidR="009A602C" w:rsidRPr="0079766A" w14:paraId="08B80540" w14:textId="77777777" w:rsidTr="004102C8">
        <w:trPr>
          <w:cantSplit/>
        </w:trPr>
        <w:tc>
          <w:tcPr>
            <w:tcW w:w="1557" w:type="dxa"/>
            <w:tcBorders>
              <w:top w:val="single" w:sz="4" w:space="0" w:color="B66113"/>
              <w:bottom w:val="single" w:sz="4" w:space="0" w:color="B66113"/>
            </w:tcBorders>
          </w:tcPr>
          <w:p w14:paraId="792F073C"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N/A</w:t>
            </w:r>
          </w:p>
        </w:tc>
        <w:tc>
          <w:tcPr>
            <w:tcW w:w="2412" w:type="dxa"/>
            <w:tcBorders>
              <w:top w:val="single" w:sz="4" w:space="0" w:color="B66113"/>
              <w:bottom w:val="single" w:sz="4" w:space="0" w:color="B66113"/>
            </w:tcBorders>
          </w:tcPr>
          <w:p w14:paraId="1C357838" w14:textId="77777777" w:rsidR="009A602C" w:rsidRPr="0079766A" w:rsidRDefault="009A602C" w:rsidP="004102C8">
            <w:pPr>
              <w:spacing w:before="140" w:after="40" w:line="312" w:lineRule="auto"/>
              <w:rPr>
                <w:rFonts w:asciiTheme="minorHAnsi" w:eastAsia="Calibri" w:hAnsiTheme="minorHAnsi"/>
                <w:color w:val="000000"/>
                <w:sz w:val="18"/>
                <w:szCs w:val="18"/>
              </w:rPr>
            </w:pPr>
            <w:r w:rsidRPr="0079766A">
              <w:rPr>
                <w:rFonts w:asciiTheme="minorHAnsi" w:eastAsia="Calibri" w:hAnsiTheme="minorHAnsi"/>
                <w:color w:val="000000"/>
                <w:sz w:val="18"/>
                <w:szCs w:val="18"/>
              </w:rPr>
              <w:t xml:space="preserve">N/A </w:t>
            </w:r>
          </w:p>
        </w:tc>
        <w:tc>
          <w:tcPr>
            <w:tcW w:w="2453" w:type="dxa"/>
            <w:tcBorders>
              <w:top w:val="single" w:sz="4" w:space="0" w:color="B66113"/>
              <w:bottom w:val="single" w:sz="4" w:space="0" w:color="B66113"/>
            </w:tcBorders>
          </w:tcPr>
          <w:p w14:paraId="5913E805" w14:textId="77777777" w:rsidR="009A602C"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The recommendation is to provide more consumer education on the costs of eye health services</w:t>
            </w:r>
            <w:r>
              <w:rPr>
                <w:rFonts w:asciiTheme="minorHAnsi" w:eastAsia="Calibri" w:hAnsiTheme="minorHAnsi"/>
                <w:color w:val="000000"/>
                <w:sz w:val="18"/>
                <w:szCs w:val="18"/>
                <w:lang w:val="en-AU"/>
              </w:rPr>
              <w:t>, patient’s rights to information and comparison of costs</w:t>
            </w:r>
            <w:r w:rsidRPr="0079766A">
              <w:rPr>
                <w:rFonts w:asciiTheme="minorHAnsi" w:eastAsia="Calibri" w:hAnsiTheme="minorHAnsi"/>
                <w:color w:val="000000"/>
                <w:sz w:val="18"/>
                <w:szCs w:val="18"/>
                <w:lang w:val="en-AU"/>
              </w:rPr>
              <w:t>.</w:t>
            </w:r>
          </w:p>
          <w:p w14:paraId="4A51B3B7" w14:textId="5BA8A976" w:rsidR="00A54DC5" w:rsidRPr="0079766A" w:rsidRDefault="00A54DC5" w:rsidP="004102C8">
            <w:pPr>
              <w:spacing w:before="140" w:after="40" w:line="312" w:lineRule="auto"/>
              <w:rPr>
                <w:rFonts w:asciiTheme="minorHAnsi" w:eastAsia="Calibri" w:hAnsiTheme="minorHAnsi"/>
                <w:color w:val="000000"/>
                <w:sz w:val="18"/>
                <w:szCs w:val="18"/>
                <w:lang w:val="en-AU"/>
              </w:rPr>
            </w:pPr>
            <w:r w:rsidRPr="00A54DC5">
              <w:rPr>
                <w:rFonts w:asciiTheme="minorHAnsi" w:eastAsia="Calibri" w:hAnsiTheme="minorHAnsi"/>
                <w:color w:val="000000"/>
                <w:sz w:val="18"/>
                <w:szCs w:val="18"/>
                <w:lang w:val="en-AU"/>
              </w:rPr>
              <w:t xml:space="preserve">In addition, health product literacy programmes should be increased to raise awareness amongst consumers about which private health fund/schedule offers cover for their health and medical need, in the setting they seek.  </w:t>
            </w:r>
          </w:p>
        </w:tc>
        <w:tc>
          <w:tcPr>
            <w:tcW w:w="3395" w:type="dxa"/>
            <w:tcBorders>
              <w:top w:val="single" w:sz="4" w:space="0" w:color="B66113"/>
              <w:bottom w:val="single" w:sz="4" w:space="0" w:color="B66113"/>
            </w:tcBorders>
          </w:tcPr>
          <w:p w14:paraId="3B68563D"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Information would be delivered to</w:t>
            </w:r>
            <w:r>
              <w:rPr>
                <w:rFonts w:asciiTheme="minorHAnsi" w:eastAsia="Calibri" w:hAnsiTheme="minorHAnsi"/>
                <w:color w:val="000000"/>
                <w:sz w:val="18"/>
                <w:szCs w:val="18"/>
                <w:lang w:val="en-AU"/>
              </w:rPr>
              <w:t xml:space="preserve"> </w:t>
            </w:r>
            <w:r w:rsidRPr="0079766A">
              <w:rPr>
                <w:rFonts w:asciiTheme="minorHAnsi" w:eastAsia="Calibri" w:hAnsiTheme="minorHAnsi"/>
                <w:color w:val="000000"/>
                <w:sz w:val="18"/>
                <w:szCs w:val="18"/>
                <w:lang w:val="en-AU"/>
              </w:rPr>
              <w:t>consumers on patients’ rights and options for eye health care</w:t>
            </w:r>
            <w:r>
              <w:rPr>
                <w:rFonts w:asciiTheme="minorHAnsi" w:eastAsia="Calibri" w:hAnsiTheme="minorHAnsi"/>
                <w:color w:val="000000"/>
                <w:sz w:val="18"/>
                <w:szCs w:val="18"/>
                <w:lang w:val="en-AU"/>
              </w:rPr>
              <w:t>, in addition to costing ranges on the Government’s Out of Pocket costs web site</w:t>
            </w:r>
            <w:r w:rsidRPr="0079766A">
              <w:rPr>
                <w:rFonts w:asciiTheme="minorHAnsi" w:eastAsia="Calibri" w:hAnsiTheme="minorHAnsi"/>
                <w:color w:val="000000"/>
                <w:sz w:val="18"/>
                <w:szCs w:val="18"/>
                <w:lang w:val="en-AU"/>
              </w:rPr>
              <w:t>.</w:t>
            </w:r>
            <w:r>
              <w:rPr>
                <w:rFonts w:asciiTheme="minorHAnsi" w:eastAsia="Calibri" w:hAnsiTheme="minorHAnsi"/>
                <w:color w:val="000000"/>
                <w:sz w:val="18"/>
                <w:szCs w:val="18"/>
                <w:lang w:val="en-AU"/>
              </w:rPr>
              <w:t xml:space="preserve"> </w:t>
            </w:r>
          </w:p>
        </w:tc>
        <w:tc>
          <w:tcPr>
            <w:tcW w:w="3427" w:type="dxa"/>
            <w:tcBorders>
              <w:top w:val="single" w:sz="4" w:space="0" w:color="B66113"/>
              <w:bottom w:val="single" w:sz="4" w:space="0" w:color="B66113"/>
            </w:tcBorders>
          </w:tcPr>
          <w:p w14:paraId="2CC12513" w14:textId="77777777" w:rsidR="009A602C" w:rsidRPr="0079766A" w:rsidRDefault="009A602C" w:rsidP="004102C8">
            <w:pPr>
              <w:spacing w:before="140" w:after="40" w:line="312" w:lineRule="auto"/>
              <w:rPr>
                <w:rFonts w:asciiTheme="minorHAnsi" w:eastAsia="Calibri" w:hAnsiTheme="minorHAnsi"/>
                <w:color w:val="000000"/>
                <w:sz w:val="18"/>
                <w:szCs w:val="18"/>
                <w:lang w:val="en-AU"/>
              </w:rPr>
            </w:pPr>
            <w:r w:rsidRPr="0079766A">
              <w:rPr>
                <w:rFonts w:asciiTheme="minorHAnsi" w:eastAsia="Calibri" w:hAnsiTheme="minorHAnsi"/>
                <w:color w:val="000000"/>
                <w:sz w:val="18"/>
                <w:szCs w:val="18"/>
                <w:lang w:val="en-AU"/>
              </w:rPr>
              <w:t>Current lack of consumer awareness about costs and treatment options may be a market driver of high costs for consumers. Consumers need advice and support in considering their treatment options, risks and potential costs of treatment, and to make decisions according to their needs and preferences.</w:t>
            </w:r>
          </w:p>
        </w:tc>
      </w:tr>
    </w:tbl>
    <w:p w14:paraId="16AE1655" w14:textId="77777777" w:rsidR="009A602C" w:rsidRPr="0079766A" w:rsidRDefault="009A602C" w:rsidP="009A602C">
      <w:pPr>
        <w:keepNext/>
        <w:spacing w:before="120" w:line="312" w:lineRule="auto"/>
        <w:rPr>
          <w:rFonts w:eastAsia="Calibri"/>
          <w:color w:val="000000"/>
          <w:sz w:val="20"/>
          <w:szCs w:val="22"/>
          <w:lang w:val="en-AU" w:eastAsia="en-US"/>
        </w:rPr>
      </w:pPr>
    </w:p>
    <w:p w14:paraId="030553E4" w14:textId="77777777" w:rsidR="009A602C" w:rsidRPr="0079766A" w:rsidRDefault="009A602C" w:rsidP="009A602C">
      <w:pPr>
        <w:rPr>
          <w:lang w:val="en-AU"/>
        </w:rPr>
      </w:pPr>
    </w:p>
    <w:p w14:paraId="7E7001C7" w14:textId="77777777" w:rsidR="009A602C" w:rsidRPr="0079766A" w:rsidRDefault="009A602C" w:rsidP="009A602C">
      <w:pPr>
        <w:rPr>
          <w:lang w:val="en-AU"/>
        </w:rPr>
      </w:pPr>
    </w:p>
    <w:p w14:paraId="5809EF15" w14:textId="77777777" w:rsidR="009A602C" w:rsidRDefault="009A602C" w:rsidP="009A602C">
      <w:pPr>
        <w:pStyle w:val="Heading1"/>
      </w:pPr>
      <w:bookmarkStart w:id="370" w:name="_Toc35347304"/>
      <w:r>
        <w:lastRenderedPageBreak/>
        <w:t>Glossary</w:t>
      </w:r>
      <w:bookmarkEnd w:id="370"/>
      <w:r>
        <w:t xml:space="preserve"> </w:t>
      </w:r>
    </w:p>
    <w:p w14:paraId="1025EA26" w14:textId="77777777" w:rsidR="009A602C" w:rsidRPr="00854F7D" w:rsidRDefault="009A602C" w:rsidP="009A602C"/>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9A602C" w:rsidRPr="00F162FA" w14:paraId="5E731804" w14:textId="77777777" w:rsidTr="004102C8">
        <w:trPr>
          <w:tblHeader/>
        </w:trPr>
        <w:tc>
          <w:tcPr>
            <w:tcW w:w="2122" w:type="dxa"/>
            <w:shd w:val="clear" w:color="auto" w:fill="01653F"/>
            <w:vAlign w:val="bottom"/>
          </w:tcPr>
          <w:p w14:paraId="19946E67" w14:textId="77777777" w:rsidR="009A602C" w:rsidRPr="00F162FA" w:rsidRDefault="009A602C" w:rsidP="004102C8">
            <w:pPr>
              <w:pStyle w:val="Tableheading-white"/>
              <w:rPr>
                <w:rFonts w:asciiTheme="minorHAnsi" w:hAnsiTheme="minorHAnsi"/>
              </w:rPr>
            </w:pPr>
            <w:r w:rsidRPr="00F162FA">
              <w:rPr>
                <w:rFonts w:asciiTheme="minorHAnsi" w:hAnsiTheme="minorHAnsi"/>
              </w:rPr>
              <w:t>Term</w:t>
            </w:r>
          </w:p>
        </w:tc>
        <w:tc>
          <w:tcPr>
            <w:tcW w:w="6180" w:type="dxa"/>
            <w:shd w:val="clear" w:color="auto" w:fill="01653F"/>
            <w:vAlign w:val="bottom"/>
          </w:tcPr>
          <w:p w14:paraId="6E5C1A8A" w14:textId="77777777" w:rsidR="009A602C" w:rsidRPr="00F162FA" w:rsidRDefault="009A602C" w:rsidP="004102C8">
            <w:pPr>
              <w:pStyle w:val="Tableheading-white"/>
              <w:rPr>
                <w:rFonts w:asciiTheme="minorHAnsi" w:hAnsiTheme="minorHAnsi"/>
              </w:rPr>
            </w:pPr>
            <w:r w:rsidRPr="00F162FA">
              <w:rPr>
                <w:rFonts w:asciiTheme="minorHAnsi" w:hAnsiTheme="minorHAnsi"/>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9A602C" w:rsidRPr="00F162FA" w14:paraId="607B46C6"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06D4346" w14:textId="77777777" w:rsidR="009A602C" w:rsidRPr="00F162FA" w:rsidRDefault="009A602C" w:rsidP="004102C8">
            <w:pPr>
              <w:pStyle w:val="Tabletext"/>
            </w:pPr>
            <w:r w:rsidRPr="00F162FA">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ABA8488" w14:textId="77777777" w:rsidR="009A602C" w:rsidRPr="00F162FA" w:rsidRDefault="009A602C" w:rsidP="004102C8">
            <w:pPr>
              <w:pStyle w:val="Tabletext"/>
            </w:pPr>
            <w:r w:rsidRPr="00F162FA">
              <w:t>Australian Capital Territory</w:t>
            </w:r>
          </w:p>
        </w:tc>
      </w:tr>
      <w:tr w:rsidR="009A602C" w:rsidRPr="00F162FA" w14:paraId="2AA7DCB4"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456F890" w14:textId="77777777" w:rsidR="009A602C" w:rsidRPr="00F162FA" w:rsidRDefault="009A602C" w:rsidP="004102C8">
            <w:pPr>
              <w:pStyle w:val="Tabletext"/>
            </w:pPr>
            <w:r>
              <w:t>Anti-VEGF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78A95F6" w14:textId="77777777" w:rsidR="009A602C" w:rsidRPr="00F162FA" w:rsidRDefault="009A602C" w:rsidP="004102C8">
            <w:pPr>
              <w:pStyle w:val="Tabletext"/>
            </w:pPr>
            <w:r>
              <w:t>Anti-vascular endothelial growth factor</w:t>
            </w:r>
          </w:p>
        </w:tc>
      </w:tr>
      <w:tr w:rsidR="009A602C" w:rsidRPr="00F162FA" w14:paraId="41EFA8CD"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4CAB32C" w14:textId="77777777" w:rsidR="009A602C" w:rsidRDefault="009A602C" w:rsidP="004102C8">
            <w:pPr>
              <w:pStyle w:val="Tabletext"/>
            </w:pPr>
            <w:r>
              <w:t>ANZOPS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F4840ED" w14:textId="77777777" w:rsidR="009A602C" w:rsidRDefault="009A602C" w:rsidP="004102C8">
            <w:pPr>
              <w:pStyle w:val="Tabletext"/>
            </w:pPr>
            <w:r>
              <w:t>Australian and New Zealand Society of Ophthalmic Plastic Surgeons</w:t>
            </w:r>
          </w:p>
        </w:tc>
      </w:tr>
      <w:tr w:rsidR="009A602C" w:rsidRPr="00F162FA" w14:paraId="1E483EB1"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2B9F1C" w14:textId="77777777" w:rsidR="009A602C" w:rsidRPr="00F162FA" w:rsidRDefault="009A602C" w:rsidP="004102C8">
            <w:pPr>
              <w:pStyle w:val="Tabletext"/>
            </w:pPr>
            <w:r>
              <w:t>ASO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E83B874" w14:textId="77777777" w:rsidR="009A602C" w:rsidRPr="00F162FA" w:rsidRDefault="009A602C" w:rsidP="004102C8">
            <w:pPr>
              <w:pStyle w:val="Tabletext"/>
            </w:pPr>
            <w:r>
              <w:t>Australian Society of Ophthalmology</w:t>
            </w:r>
          </w:p>
        </w:tc>
      </w:tr>
      <w:tr w:rsidR="009A602C" w:rsidRPr="00F162FA" w14:paraId="3F43B4F8"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99CC37" w14:textId="77777777" w:rsidR="009A602C" w:rsidRPr="00F162FA" w:rsidRDefault="009A602C" w:rsidP="004102C8">
            <w:pPr>
              <w:pStyle w:val="Tabletext"/>
            </w:pPr>
            <w:r w:rsidRPr="00F162FA">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B3C3180" w14:textId="77777777" w:rsidR="009A602C" w:rsidRPr="00F162FA" w:rsidRDefault="009A602C" w:rsidP="004102C8">
            <w:pPr>
              <w:pStyle w:val="Tabletext"/>
            </w:pPr>
            <w:r w:rsidRPr="00F162FA">
              <w:t xml:space="preserve">Compound annual growth rate or the average annual growth rate over a specified time period. </w:t>
            </w:r>
          </w:p>
        </w:tc>
      </w:tr>
      <w:tr w:rsidR="009A602C" w:rsidRPr="00F162FA" w14:paraId="6B1A06B4"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3827426" w14:textId="77777777" w:rsidR="009A602C" w:rsidRPr="00F162FA" w:rsidRDefault="009A602C" w:rsidP="004102C8">
            <w:pPr>
              <w:pStyle w:val="Tabletext"/>
            </w:pPr>
            <w:r w:rsidRPr="00F162FA">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EAE986A" w14:textId="77777777" w:rsidR="009A602C" w:rsidRPr="00F162FA" w:rsidRDefault="009A602C" w:rsidP="004102C8">
            <w:pPr>
              <w:pStyle w:val="Tabletext"/>
            </w:pPr>
            <w:r w:rsidRPr="00F162FA">
              <w:t>When referring to an item, "change" describes when the item and/or its services will be affected by the recommendations. This could result from a range of recommendations, such as: (</w:t>
            </w:r>
            <w:proofErr w:type="spellStart"/>
            <w:r w:rsidRPr="00F162FA">
              <w:t>i</w:t>
            </w:r>
            <w:proofErr w:type="spellEnd"/>
            <w:r w:rsidRPr="00F162FA">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9A602C" w:rsidRPr="00F162FA" w14:paraId="6DFB2AE2"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800C51" w14:textId="77777777" w:rsidR="009A602C" w:rsidRPr="00F162FA" w:rsidRDefault="009A602C" w:rsidP="004102C8">
            <w:pPr>
              <w:pStyle w:val="Tabletext"/>
            </w:pPr>
            <w:r w:rsidRPr="00F162FA">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B65730B" w14:textId="77777777" w:rsidR="009A602C" w:rsidRPr="00F162FA" w:rsidRDefault="009A602C" w:rsidP="004102C8">
            <w:pPr>
              <w:pStyle w:val="Tabletext"/>
            </w:pPr>
            <w:r w:rsidRPr="00F162FA">
              <w:t>Describes when an item is recommended for removal from the MBS and its services will no longer be provided under the MBS.</w:t>
            </w:r>
          </w:p>
        </w:tc>
      </w:tr>
      <w:tr w:rsidR="009A602C" w:rsidRPr="00F162FA" w14:paraId="67A0D204"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7A921A7" w14:textId="77777777" w:rsidR="009A602C" w:rsidRPr="00F162FA" w:rsidRDefault="009A602C" w:rsidP="004102C8">
            <w:pPr>
              <w:pStyle w:val="Tabletext"/>
            </w:pPr>
            <w:r>
              <w:t>DVA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E7CDFC2" w14:textId="77777777" w:rsidR="009A602C" w:rsidRPr="00F162FA" w:rsidRDefault="009A602C" w:rsidP="004102C8">
            <w:pPr>
              <w:pStyle w:val="Tabletext"/>
            </w:pPr>
            <w:r>
              <w:t>Department of Veterans’ Affairs</w:t>
            </w:r>
          </w:p>
        </w:tc>
      </w:tr>
      <w:tr w:rsidR="009A602C" w:rsidRPr="00F162FA" w14:paraId="197DB0E7"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FA5DAAB" w14:textId="77777777" w:rsidR="009A602C" w:rsidRPr="00F162FA" w:rsidRDefault="009A602C" w:rsidP="004102C8">
            <w:pPr>
              <w:pStyle w:val="Tabletext"/>
            </w:pPr>
            <w:r w:rsidRPr="00F162FA">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8C28539" w14:textId="77777777" w:rsidR="009A602C" w:rsidRPr="00F162FA" w:rsidRDefault="009A602C" w:rsidP="004102C8">
            <w:pPr>
              <w:pStyle w:val="Tabletext"/>
            </w:pPr>
            <w:r w:rsidRPr="00F162FA">
              <w:t>Financial year</w:t>
            </w:r>
          </w:p>
        </w:tc>
      </w:tr>
      <w:tr w:rsidR="009A602C" w:rsidRPr="00F162FA" w14:paraId="715FBAC3"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5F8558E" w14:textId="77777777" w:rsidR="009A602C" w:rsidRPr="00F162FA" w:rsidRDefault="009A602C" w:rsidP="004102C8">
            <w:pPr>
              <w:pStyle w:val="Tabletext"/>
            </w:pPr>
            <w:r w:rsidRPr="00F162FA">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2F6CE94" w14:textId="77777777" w:rsidR="009A602C" w:rsidRPr="00F162FA" w:rsidRDefault="009A602C" w:rsidP="004102C8">
            <w:pPr>
              <w:pStyle w:val="Tabletext"/>
            </w:pPr>
            <w:r w:rsidRPr="00F162FA">
              <w:t xml:space="preserve">General </w:t>
            </w:r>
            <w:r>
              <w:t>p</w:t>
            </w:r>
            <w:r w:rsidRPr="00F162FA">
              <w:t>ractitioner</w:t>
            </w:r>
          </w:p>
        </w:tc>
      </w:tr>
      <w:tr w:rsidR="009A602C" w:rsidRPr="00F162FA" w14:paraId="5F53D936"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8CB11F" w14:textId="77777777" w:rsidR="009A602C" w:rsidRPr="00F162FA" w:rsidRDefault="009A602C" w:rsidP="004102C8">
            <w:pPr>
              <w:pStyle w:val="Tabletext"/>
            </w:pPr>
            <w:r w:rsidRPr="00F162FA">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073A37E" w14:textId="77777777" w:rsidR="009A602C" w:rsidRPr="00F162FA" w:rsidRDefault="009A602C" w:rsidP="004102C8">
            <w:pPr>
              <w:pStyle w:val="Tabletext"/>
            </w:pPr>
            <w:r w:rsidRPr="00F162FA">
              <w:t>Services of proven efficacy reflecting current best medical practice, or for which the potential benefit to consumers exceeds the risk and costs.</w:t>
            </w:r>
          </w:p>
        </w:tc>
      </w:tr>
      <w:tr w:rsidR="009A602C" w:rsidRPr="00F162FA" w14:paraId="5CEE5A14"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EC0DA0D" w14:textId="77777777" w:rsidR="009A602C" w:rsidRPr="00F162FA" w:rsidRDefault="009A602C" w:rsidP="004102C8">
            <w:pPr>
              <w:pStyle w:val="Tabletext"/>
            </w:pPr>
            <w:r w:rsidRPr="00F162FA">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779F665" w14:textId="77777777" w:rsidR="009A602C" w:rsidRPr="00F162FA" w:rsidRDefault="009A602C" w:rsidP="004102C8">
            <w:pPr>
              <w:pStyle w:val="Tabletext"/>
            </w:pPr>
            <w:r w:rsidRPr="00F162FA">
              <w:t xml:space="preserve">The use of MBS services for purposes other than those intended. This includes a range of behaviours, from failing to adhere to </w:t>
            </w:r>
            <w:proofErr w:type="gramStart"/>
            <w:r w:rsidRPr="00F162FA">
              <w:t>particular item</w:t>
            </w:r>
            <w:proofErr w:type="gramEnd"/>
            <w:r w:rsidRPr="00F162FA">
              <w:t xml:space="preserve"> descriptors or rules through to deliberate fraud.</w:t>
            </w:r>
          </w:p>
        </w:tc>
      </w:tr>
      <w:tr w:rsidR="009A602C" w:rsidRPr="00F162FA" w14:paraId="47DD5F0A"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02A5DB" w14:textId="77777777" w:rsidR="009A602C" w:rsidRPr="00F162FA" w:rsidRDefault="009A602C" w:rsidP="004102C8">
            <w:pPr>
              <w:pStyle w:val="Tabletext"/>
            </w:pPr>
            <w:r>
              <w:t>ISCEV</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3A18E4F" w14:textId="77777777" w:rsidR="009A602C" w:rsidRPr="00F162FA" w:rsidRDefault="009A602C" w:rsidP="004102C8">
            <w:pPr>
              <w:pStyle w:val="Tabletext"/>
            </w:pPr>
            <w:r>
              <w:t>International Society for Clinical Electrophysiology of Vision</w:t>
            </w:r>
          </w:p>
        </w:tc>
      </w:tr>
      <w:tr w:rsidR="009A602C" w:rsidRPr="00F162FA" w14:paraId="6ED3DE99"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93E385" w14:textId="77777777" w:rsidR="009A602C" w:rsidRDefault="009A602C" w:rsidP="004102C8">
            <w:pPr>
              <w:pStyle w:val="Tabletext"/>
            </w:pPr>
            <w:r>
              <w:t>IVI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E8C1379" w14:textId="77777777" w:rsidR="009A602C" w:rsidRDefault="009A602C" w:rsidP="004102C8">
            <w:pPr>
              <w:pStyle w:val="Tabletext"/>
            </w:pPr>
            <w:r>
              <w:t>Intravitreal injection</w:t>
            </w:r>
          </w:p>
        </w:tc>
      </w:tr>
      <w:tr w:rsidR="009A602C" w:rsidRPr="00F162FA" w14:paraId="4EF83DF8"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0F8506" w14:textId="77777777" w:rsidR="009A602C" w:rsidRPr="00F162FA" w:rsidRDefault="009A602C" w:rsidP="004102C8">
            <w:pPr>
              <w:pStyle w:val="Tabletext"/>
            </w:pPr>
            <w:r w:rsidRPr="00F162FA">
              <w:lastRenderedPageBreak/>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B6F1151" w14:textId="77777777" w:rsidR="009A602C" w:rsidRPr="00F162FA" w:rsidRDefault="009A602C" w:rsidP="004102C8">
            <w:pPr>
              <w:pStyle w:val="Tabletext"/>
            </w:pPr>
            <w:r w:rsidRPr="00F162FA">
              <w:t xml:space="preserve">Services that evidence suggests </w:t>
            </w:r>
            <w:proofErr w:type="gramStart"/>
            <w:r w:rsidRPr="00F162FA">
              <w:t>confer</w:t>
            </w:r>
            <w:proofErr w:type="gramEnd"/>
            <w:r w:rsidRPr="00F162FA">
              <w:t xml:space="preserve"> no or very little benefit </w:t>
            </w:r>
            <w:r>
              <w:t>on</w:t>
            </w:r>
            <w:r w:rsidRPr="00F162FA">
              <w:t xml:space="preserve"> consumers; or for which the risk of harm exceeds the likely benefit; or, more broadly, where the added costs of services do not provide proportional added benefits.</w:t>
            </w:r>
          </w:p>
        </w:tc>
      </w:tr>
      <w:tr w:rsidR="009A602C" w:rsidRPr="00F162FA" w14:paraId="2B7D9442"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46E425D" w14:textId="77777777" w:rsidR="009A602C" w:rsidRPr="00F162FA" w:rsidRDefault="009A602C" w:rsidP="004102C8">
            <w:pPr>
              <w:pStyle w:val="Tabletext"/>
            </w:pPr>
            <w:r w:rsidRPr="00F162FA">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4F4B983" w14:textId="77777777" w:rsidR="009A602C" w:rsidRPr="00F162FA" w:rsidRDefault="009A602C" w:rsidP="004102C8">
            <w:pPr>
              <w:pStyle w:val="Tabletext"/>
            </w:pPr>
            <w:r w:rsidRPr="00F162FA">
              <w:t xml:space="preserve">Medicare Benefits Schedule </w:t>
            </w:r>
          </w:p>
        </w:tc>
      </w:tr>
      <w:tr w:rsidR="009A602C" w:rsidRPr="00F162FA" w14:paraId="1C0BD183"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AD6E43" w14:textId="77777777" w:rsidR="009A602C" w:rsidRPr="00F162FA" w:rsidRDefault="009A602C" w:rsidP="004102C8">
            <w:pPr>
              <w:pStyle w:val="Tabletext"/>
            </w:pPr>
            <w:r w:rsidRPr="00F162FA">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6BC25B" w14:textId="77777777" w:rsidR="009A602C" w:rsidRPr="00F162FA" w:rsidRDefault="009A602C" w:rsidP="004102C8">
            <w:pPr>
              <w:pStyle w:val="Tabletext"/>
            </w:pPr>
            <w:r w:rsidRPr="00F162FA">
              <w:t>An administrative object listed in the MBS and used for the purposes of claiming and paying Medicare benefits, consisting of an item number, service descriptor and supporting information, schedule fee and Medicare benefits.</w:t>
            </w:r>
          </w:p>
        </w:tc>
      </w:tr>
      <w:tr w:rsidR="009A602C" w:rsidRPr="00F162FA" w14:paraId="151E68EA"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C7147C3" w14:textId="77777777" w:rsidR="009A602C" w:rsidRPr="00F162FA" w:rsidRDefault="009A602C" w:rsidP="004102C8">
            <w:pPr>
              <w:pStyle w:val="Tabletext"/>
            </w:pPr>
            <w:r w:rsidRPr="00F162FA">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0DACE04" w14:textId="77777777" w:rsidR="009A602C" w:rsidRPr="00F162FA" w:rsidRDefault="009A602C" w:rsidP="004102C8">
            <w:pPr>
              <w:pStyle w:val="Tabletext"/>
            </w:pPr>
            <w:r w:rsidRPr="00F162FA">
              <w:t>The actual medical consultation, procedure or test to which the relevant MBS item refers.</w:t>
            </w:r>
          </w:p>
        </w:tc>
      </w:tr>
      <w:tr w:rsidR="009A602C" w:rsidRPr="00F162FA" w14:paraId="33EAE186"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AAB9D6B" w14:textId="77777777" w:rsidR="009A602C" w:rsidRPr="00F162FA" w:rsidRDefault="009A602C" w:rsidP="004102C8">
            <w:pPr>
              <w:pStyle w:val="Tabletext"/>
            </w:pPr>
            <w:r w:rsidRPr="00F162FA">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4C2E57E" w14:textId="77777777" w:rsidR="009A602C" w:rsidRPr="00F162FA" w:rsidRDefault="009A602C" w:rsidP="004102C8">
            <w:pPr>
              <w:pStyle w:val="Tabletext"/>
            </w:pPr>
            <w:r w:rsidRPr="00F162FA">
              <w:t xml:space="preserve">The use of MBS services for purposes other than those intended. This includes a range of behaviours, from failing to adhere to </w:t>
            </w:r>
            <w:proofErr w:type="gramStart"/>
            <w:r w:rsidRPr="00F162FA">
              <w:t>particular item</w:t>
            </w:r>
            <w:proofErr w:type="gramEnd"/>
            <w:r w:rsidRPr="00F162FA">
              <w:t xml:space="preserve"> descriptors or rules through to deliberate fraud.</w:t>
            </w:r>
          </w:p>
        </w:tc>
      </w:tr>
      <w:tr w:rsidR="009A602C" w:rsidRPr="00F162FA" w14:paraId="5BE724A8"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DAA7D9" w14:textId="77777777" w:rsidR="009A602C" w:rsidRPr="00F162FA" w:rsidRDefault="009A602C" w:rsidP="004102C8">
            <w:pPr>
              <w:pStyle w:val="Tabletext"/>
            </w:pPr>
            <w:r>
              <w:t>MMM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3660553" w14:textId="77777777" w:rsidR="009A602C" w:rsidRPr="00F162FA" w:rsidRDefault="009A602C" w:rsidP="004102C8">
            <w:pPr>
              <w:pStyle w:val="Tabletext"/>
            </w:pPr>
            <w:r>
              <w:t>Modified Monash Model</w:t>
            </w:r>
          </w:p>
        </w:tc>
      </w:tr>
      <w:tr w:rsidR="009A602C" w:rsidRPr="00F162FA" w14:paraId="7F959CB7"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D762343" w14:textId="77777777" w:rsidR="009A602C" w:rsidRPr="00F162FA" w:rsidRDefault="009A602C" w:rsidP="004102C8">
            <w:pPr>
              <w:pStyle w:val="Tabletext"/>
            </w:pPr>
            <w:r w:rsidRPr="00F162FA">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833A033" w14:textId="77777777" w:rsidR="009A602C" w:rsidRPr="00F162FA" w:rsidRDefault="009A602C" w:rsidP="004102C8">
            <w:pPr>
              <w:pStyle w:val="Tabletext"/>
            </w:pPr>
            <w:r w:rsidRPr="00F162FA">
              <w:t>Medical Services Advisory Committee</w:t>
            </w:r>
          </w:p>
        </w:tc>
      </w:tr>
      <w:tr w:rsidR="009A602C" w:rsidRPr="00F162FA" w14:paraId="5EBDDEF9"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9AA10AB" w14:textId="77777777" w:rsidR="009A602C" w:rsidRPr="00F162FA" w:rsidRDefault="009A602C" w:rsidP="004102C8">
            <w:pPr>
              <w:pStyle w:val="Tabletext"/>
            </w:pPr>
            <w:r w:rsidRPr="00F162FA">
              <w:t>MSR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C4E3115" w14:textId="77777777" w:rsidR="009A602C" w:rsidRPr="00F162FA" w:rsidRDefault="009A602C" w:rsidP="004102C8">
            <w:pPr>
              <w:pStyle w:val="Tabletext"/>
            </w:pPr>
            <w:r w:rsidRPr="00F162FA">
              <w:t>Multiple Services Rule</w:t>
            </w:r>
          </w:p>
        </w:tc>
      </w:tr>
      <w:tr w:rsidR="009A602C" w:rsidRPr="00F162FA" w14:paraId="29B62FCF"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51FE979" w14:textId="77777777" w:rsidR="009A602C" w:rsidRPr="00F162FA" w:rsidRDefault="009A602C" w:rsidP="004102C8">
            <w:pPr>
              <w:pStyle w:val="Tabletext"/>
            </w:pPr>
            <w:r w:rsidRPr="00F162FA">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44C99D4" w14:textId="77777777" w:rsidR="009A602C" w:rsidRPr="00F162FA" w:rsidRDefault="009A602C" w:rsidP="004102C8">
            <w:pPr>
              <w:pStyle w:val="Tabletext"/>
            </w:pPr>
            <w:r w:rsidRPr="00F162FA">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9A602C" w:rsidRPr="00F162FA" w14:paraId="4EA76BED"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54F137" w14:textId="77777777" w:rsidR="009A602C" w:rsidRPr="00F162FA" w:rsidRDefault="009A602C" w:rsidP="004102C8">
            <w:pPr>
              <w:pStyle w:val="Tabletext"/>
            </w:pPr>
            <w:r w:rsidRPr="00F162FA">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EB69CBA" w14:textId="77777777" w:rsidR="009A602C" w:rsidRPr="00F162FA" w:rsidRDefault="009A602C" w:rsidP="004102C8">
            <w:pPr>
              <w:pStyle w:val="Tabletext"/>
            </w:pPr>
            <w:r w:rsidRPr="00F162FA">
              <w:t>National Institute for Health and Care Excellence</w:t>
            </w:r>
          </w:p>
        </w:tc>
      </w:tr>
      <w:tr w:rsidR="009A602C" w:rsidRPr="00F162FA" w14:paraId="4726804B"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7E45392" w14:textId="77777777" w:rsidR="009A602C" w:rsidRPr="00F162FA" w:rsidRDefault="009A602C" w:rsidP="004102C8">
            <w:pPr>
              <w:pStyle w:val="Tabletext"/>
            </w:pPr>
            <w:r w:rsidRPr="00F162FA">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D66ADCD" w14:textId="77777777" w:rsidR="009A602C" w:rsidRPr="00F162FA" w:rsidRDefault="009A602C" w:rsidP="004102C8">
            <w:pPr>
              <w:pStyle w:val="Tabletext"/>
            </w:pPr>
            <w:r w:rsidRPr="00F162FA">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9A602C" w:rsidRPr="00F162FA" w14:paraId="0C2B8CF1"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148986" w14:textId="77777777" w:rsidR="009A602C" w:rsidRPr="00F162FA" w:rsidRDefault="009A602C" w:rsidP="004102C8">
            <w:pPr>
              <w:pStyle w:val="Tabletext"/>
            </w:pPr>
            <w:r>
              <w:t>OCT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DECB012" w14:textId="77777777" w:rsidR="009A602C" w:rsidRPr="00F845CD" w:rsidRDefault="009A602C" w:rsidP="004102C8">
            <w:pPr>
              <w:pStyle w:val="Tabletext"/>
            </w:pPr>
            <w:r w:rsidRPr="00F845CD">
              <w:t>Optical Coherence Tomography</w:t>
            </w:r>
          </w:p>
        </w:tc>
      </w:tr>
      <w:tr w:rsidR="009A602C" w:rsidRPr="00F162FA" w14:paraId="7506AE74"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CAAA53" w14:textId="77777777" w:rsidR="009A602C" w:rsidRPr="00F162FA" w:rsidRDefault="009A602C" w:rsidP="004102C8">
            <w:pPr>
              <w:pStyle w:val="Tabletext"/>
            </w:pPr>
            <w:r w:rsidRPr="00F162FA">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2F53BDE" w14:textId="77777777" w:rsidR="009A602C" w:rsidRPr="00F845CD" w:rsidRDefault="009A602C" w:rsidP="004102C8">
            <w:pPr>
              <w:pStyle w:val="Tabletext"/>
            </w:pPr>
            <w:r w:rsidRPr="00F845CD">
              <w:t>Services that should no longer be performed as they do not represent current clinical best practice and have been superseded by superior tests or procedures.</w:t>
            </w:r>
          </w:p>
        </w:tc>
      </w:tr>
      <w:tr w:rsidR="009A602C" w:rsidRPr="00F162FA" w14:paraId="630E4000"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5F8D2E" w14:textId="77777777" w:rsidR="009A602C" w:rsidRPr="00F162FA" w:rsidRDefault="009A602C" w:rsidP="004102C8">
            <w:pPr>
              <w:pStyle w:val="Tabletext"/>
            </w:pPr>
            <w:r w:rsidRPr="00F162FA">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8B7ED10" w14:textId="77777777" w:rsidR="009A602C" w:rsidRPr="00F845CD" w:rsidRDefault="009A602C" w:rsidP="004102C8">
            <w:pPr>
              <w:pStyle w:val="Tabletext"/>
            </w:pPr>
            <w:r w:rsidRPr="00F845CD">
              <w:t>Pharmaceutical Benefits Scheme</w:t>
            </w:r>
          </w:p>
        </w:tc>
      </w:tr>
      <w:tr w:rsidR="009A602C" w:rsidRPr="00F162FA" w14:paraId="23495C27"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4BA1AE4" w14:textId="77777777" w:rsidR="009A602C" w:rsidRPr="00F162FA" w:rsidRDefault="009A602C" w:rsidP="004102C8">
            <w:pPr>
              <w:pStyle w:val="Tabletext"/>
            </w:pPr>
            <w:r>
              <w:t>RANZCO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2A65CF7" w14:textId="77777777" w:rsidR="009A602C" w:rsidRPr="00842945" w:rsidRDefault="009A602C" w:rsidP="004102C8">
            <w:pPr>
              <w:pStyle w:val="Tabletext"/>
            </w:pPr>
            <w:r w:rsidRPr="00F845CD">
              <w:t xml:space="preserve">Royal Australian and New Zealand College of </w:t>
            </w:r>
            <w:r w:rsidRPr="00DF2B82">
              <w:t>Ophthalmologists</w:t>
            </w:r>
          </w:p>
        </w:tc>
      </w:tr>
      <w:tr w:rsidR="009A602C" w:rsidRPr="00F162FA" w14:paraId="75596DBC"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06117A3" w14:textId="77777777" w:rsidR="009A602C" w:rsidRPr="00F162FA" w:rsidRDefault="009A602C" w:rsidP="004102C8">
            <w:pPr>
              <w:pStyle w:val="Tabletext"/>
            </w:pPr>
            <w:r>
              <w:lastRenderedPageBreak/>
              <w:t>Store and Forward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7D4AF64" w14:textId="77777777" w:rsidR="009A602C" w:rsidRPr="00F845CD" w:rsidRDefault="009A602C" w:rsidP="004102C8">
            <w:pPr>
              <w:pStyle w:val="Tabletext"/>
            </w:pPr>
            <w:r w:rsidRPr="00DD1587">
              <w:rPr>
                <w:bCs/>
                <w:color w:val="222222"/>
                <w:shd w:val="clear" w:color="auto" w:fill="FFFFFF"/>
              </w:rPr>
              <w:t>Store-and-Forward Telehealth</w:t>
            </w:r>
            <w:r w:rsidRPr="00DD1587">
              <w:rPr>
                <w:color w:val="222222"/>
                <w:shd w:val="clear" w:color="auto" w:fill="FFFFFF"/>
              </w:rPr>
              <w:t> involves the acquisition and storing of clinical information (e.g. data, image, sound, video) that is then forwarded to (or retrieved by) another site for clinical evaluation</w:t>
            </w:r>
          </w:p>
        </w:tc>
      </w:tr>
      <w:tr w:rsidR="009A602C" w:rsidRPr="00F162FA" w14:paraId="76B8DDAE"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2D3C068" w14:textId="77777777" w:rsidR="009A602C" w:rsidRPr="00F162FA" w:rsidRDefault="009A602C" w:rsidP="004102C8">
            <w:pPr>
              <w:pStyle w:val="Tabletext"/>
            </w:pPr>
            <w:r w:rsidRPr="00F162FA">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0891A0B" w14:textId="77777777" w:rsidR="009A602C" w:rsidRPr="00842945" w:rsidRDefault="009A602C" w:rsidP="004102C8">
            <w:pPr>
              <w:pStyle w:val="Tabletext"/>
            </w:pPr>
            <w:r w:rsidRPr="00F845CD">
              <w:t>The Oph</w:t>
            </w:r>
            <w:r w:rsidRPr="00DF2B82">
              <w:t>thalmology</w:t>
            </w:r>
            <w:r w:rsidRPr="00842945">
              <w:t xml:space="preserve"> Clinical Committee of the MBS Review</w:t>
            </w:r>
          </w:p>
        </w:tc>
      </w:tr>
      <w:tr w:rsidR="009A602C" w:rsidRPr="00F162FA" w14:paraId="475BDAAB"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D1D4A35" w14:textId="77777777" w:rsidR="009A602C" w:rsidRPr="00F162FA" w:rsidRDefault="009A602C" w:rsidP="004102C8">
            <w:pPr>
              <w:pStyle w:val="Tabletext"/>
            </w:pPr>
            <w:r>
              <w:t>The Minister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7B49F9B" w14:textId="77777777" w:rsidR="009A602C" w:rsidRPr="00F162FA" w:rsidRDefault="009A602C" w:rsidP="004102C8">
            <w:pPr>
              <w:pStyle w:val="Tabletext"/>
            </w:pPr>
            <w:r>
              <w:t>Minister for Health</w:t>
            </w:r>
          </w:p>
        </w:tc>
      </w:tr>
      <w:tr w:rsidR="009A602C" w:rsidRPr="00F162FA" w14:paraId="3262D8E0"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9E0B866" w14:textId="77777777" w:rsidR="009A602C" w:rsidRPr="00F162FA" w:rsidRDefault="009A602C" w:rsidP="004102C8">
            <w:pPr>
              <w:pStyle w:val="Tabletext"/>
            </w:pPr>
            <w:r w:rsidRPr="00F162FA">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D0EF893" w14:textId="77777777" w:rsidR="009A602C" w:rsidRPr="00F162FA" w:rsidRDefault="009A602C" w:rsidP="004102C8">
            <w:pPr>
              <w:pStyle w:val="Tabletext"/>
            </w:pPr>
            <w:r w:rsidRPr="00F162FA">
              <w:t xml:space="preserve">The MBS Review Taskforce </w:t>
            </w:r>
          </w:p>
        </w:tc>
      </w:tr>
      <w:tr w:rsidR="009A602C" w:rsidRPr="00F162FA" w14:paraId="6A273237" w14:textId="77777777" w:rsidTr="004102C8">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526C911" w14:textId="77777777" w:rsidR="009A602C" w:rsidRPr="00F162FA" w:rsidRDefault="009A602C" w:rsidP="004102C8">
            <w:pPr>
              <w:pStyle w:val="Tabletext"/>
            </w:pPr>
            <w:r w:rsidRPr="00F162FA">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BFC53CA" w14:textId="77777777" w:rsidR="009A602C" w:rsidRPr="00F162FA" w:rsidRDefault="009A602C" w:rsidP="004102C8">
            <w:pPr>
              <w:pStyle w:val="Tabletext"/>
            </w:pPr>
            <w:r w:rsidRPr="00F162FA">
              <w:t>Total benefits paid in 2016/17 unless otherwise specified.</w:t>
            </w:r>
          </w:p>
        </w:tc>
      </w:tr>
    </w:tbl>
    <w:p w14:paraId="7CBE4CE8" w14:textId="77777777" w:rsidR="009A602C" w:rsidRDefault="009A602C" w:rsidP="009A602C"/>
    <w:p w14:paraId="2B9953D2" w14:textId="77777777" w:rsidR="009A602C" w:rsidRDefault="009A602C" w:rsidP="009A602C"/>
    <w:p w14:paraId="34317CBA" w14:textId="77777777" w:rsidR="009A602C" w:rsidRPr="0015266B" w:rsidRDefault="009A602C" w:rsidP="009A602C">
      <w:pPr>
        <w:sectPr w:rsidR="009A602C" w:rsidRPr="0015266B" w:rsidSect="008A7B10">
          <w:endnotePr>
            <w:numFmt w:val="decimal"/>
          </w:endnotePr>
          <w:pgSz w:w="11906" w:h="16838" w:code="9"/>
          <w:pgMar w:top="1440" w:right="1797" w:bottom="1440" w:left="1797" w:header="720" w:footer="720" w:gutter="0"/>
          <w:cols w:space="720"/>
          <w:docGrid w:linePitch="326"/>
        </w:sectPr>
      </w:pPr>
    </w:p>
    <w:p w14:paraId="698AB273" w14:textId="77777777" w:rsidR="009A602C" w:rsidRPr="00061847" w:rsidRDefault="009A602C" w:rsidP="009A602C">
      <w:pPr>
        <w:pStyle w:val="Heading1"/>
        <w:rPr>
          <w:color w:val="01653F"/>
        </w:rPr>
      </w:pPr>
      <w:bookmarkStart w:id="371" w:name="_Toc35347305"/>
      <w:r w:rsidRPr="00061847">
        <w:rPr>
          <w:rStyle w:val="Hyperlink0"/>
          <w:color w:val="01653F"/>
        </w:rPr>
        <w:lastRenderedPageBreak/>
        <w:t>References</w:t>
      </w:r>
      <w:bookmarkEnd w:id="371"/>
    </w:p>
    <w:p w14:paraId="08ECDF8A" w14:textId="77777777" w:rsidR="009A602C" w:rsidRPr="00892C84" w:rsidRDefault="009A602C" w:rsidP="009A602C">
      <w:pPr>
        <w:pStyle w:val="Body"/>
        <w:numPr>
          <w:ilvl w:val="0"/>
          <w:numId w:val="223"/>
        </w:numPr>
        <w:ind w:left="360"/>
        <w:rPr>
          <w:sz w:val="20"/>
          <w:szCs w:val="20"/>
        </w:rPr>
      </w:pPr>
      <w:r w:rsidRPr="00892C84">
        <w:rPr>
          <w:sz w:val="20"/>
          <w:szCs w:val="20"/>
        </w:rPr>
        <w:t>The Modified Monash Model (MMM) is a recently developed geographical classification system, using up-to-date population data, which the Government can use to better address the maldistribution of medical services across Australia.</w:t>
      </w:r>
    </w:p>
    <w:p w14:paraId="02486AFB" w14:textId="77777777" w:rsidR="009A602C" w:rsidRPr="00892C84" w:rsidRDefault="009A602C" w:rsidP="009A602C">
      <w:pPr>
        <w:pStyle w:val="Body"/>
        <w:numPr>
          <w:ilvl w:val="0"/>
          <w:numId w:val="223"/>
        </w:numPr>
        <w:ind w:left="360"/>
        <w:rPr>
          <w:sz w:val="20"/>
          <w:szCs w:val="20"/>
        </w:rPr>
      </w:pPr>
      <w:r w:rsidRPr="00892C84">
        <w:rPr>
          <w:sz w:val="20"/>
          <w:szCs w:val="20"/>
        </w:rPr>
        <w:t xml:space="preserve">Vision 2020 Australia, in collaboration with 14 organisations working in Aboriginal and Torres Strait Islander eye health, is calling on the Australian Government to build on its commitment to close the gap in eye health and vision care. </w:t>
      </w:r>
    </w:p>
    <w:p w14:paraId="2F3CDB5A" w14:textId="77777777" w:rsidR="009A602C" w:rsidRPr="00892C84" w:rsidRDefault="009A602C" w:rsidP="009A602C">
      <w:pPr>
        <w:pStyle w:val="Body"/>
        <w:numPr>
          <w:ilvl w:val="0"/>
          <w:numId w:val="223"/>
        </w:numPr>
        <w:ind w:left="360"/>
        <w:rPr>
          <w:sz w:val="20"/>
          <w:szCs w:val="20"/>
        </w:rPr>
      </w:pPr>
      <w:r w:rsidRPr="00892C84">
        <w:rPr>
          <w:sz w:val="20"/>
          <w:szCs w:val="20"/>
        </w:rPr>
        <w:t xml:space="preserve">The Taskforce notes that the first consumer concerns raised during the MBS Review process were about cataract surgery out-of-pocket costs. The Department has received numerous eye injection complaints throughout the MBS Review process.  </w:t>
      </w:r>
    </w:p>
    <w:p w14:paraId="4CB7E011" w14:textId="0D149E91" w:rsidR="009A602C" w:rsidRPr="00892C84" w:rsidRDefault="009A602C" w:rsidP="009A602C">
      <w:pPr>
        <w:pStyle w:val="Body"/>
        <w:numPr>
          <w:ilvl w:val="0"/>
          <w:numId w:val="223"/>
        </w:numPr>
        <w:ind w:left="360"/>
        <w:rPr>
          <w:sz w:val="20"/>
          <w:szCs w:val="20"/>
        </w:rPr>
      </w:pPr>
      <w:r w:rsidRPr="00892C84">
        <w:rPr>
          <w:sz w:val="20"/>
          <w:szCs w:val="20"/>
        </w:rPr>
        <w:t xml:space="preserve">OCT is a non-invasive imaging technique used for diagnosis and/or treatment guidance for conditions including retinal disease and </w:t>
      </w:r>
      <w:r w:rsidR="00D3323E">
        <w:rPr>
          <w:sz w:val="20"/>
          <w:szCs w:val="20"/>
        </w:rPr>
        <w:t xml:space="preserve">assessment and monitoring of </w:t>
      </w:r>
      <w:r w:rsidRPr="00892C84">
        <w:rPr>
          <w:sz w:val="20"/>
          <w:szCs w:val="20"/>
        </w:rPr>
        <w:t>glaucoma.</w:t>
      </w:r>
    </w:p>
    <w:p w14:paraId="451BCAE3" w14:textId="77777777" w:rsidR="009A602C" w:rsidRPr="00892C84" w:rsidRDefault="009A602C" w:rsidP="009A602C">
      <w:pPr>
        <w:pStyle w:val="Body"/>
        <w:numPr>
          <w:ilvl w:val="0"/>
          <w:numId w:val="223"/>
        </w:numPr>
        <w:ind w:left="360"/>
        <w:rPr>
          <w:sz w:val="20"/>
          <w:szCs w:val="20"/>
        </w:rPr>
      </w:pPr>
      <w:r w:rsidRPr="00892C84">
        <w:rPr>
          <w:sz w:val="20"/>
          <w:szCs w:val="20"/>
        </w:rPr>
        <w:t xml:space="preserve">Over 150 potentially low-value health care practices: an Australian study. </w:t>
      </w:r>
      <w:proofErr w:type="spellStart"/>
      <w:r w:rsidRPr="00892C84">
        <w:rPr>
          <w:sz w:val="20"/>
          <w:szCs w:val="20"/>
        </w:rPr>
        <w:t>Elshaug</w:t>
      </w:r>
      <w:proofErr w:type="spellEnd"/>
      <w:r w:rsidRPr="00892C84">
        <w:rPr>
          <w:sz w:val="20"/>
          <w:szCs w:val="20"/>
        </w:rPr>
        <w:t xml:space="preserve">, </w:t>
      </w:r>
      <w:proofErr w:type="gramStart"/>
      <w:r w:rsidRPr="00892C84">
        <w:rPr>
          <w:sz w:val="20"/>
          <w:szCs w:val="20"/>
        </w:rPr>
        <w:t>Adam ,</w:t>
      </w:r>
      <w:proofErr w:type="gramEnd"/>
      <w:r w:rsidRPr="00892C84">
        <w:rPr>
          <w:sz w:val="20"/>
          <w:szCs w:val="20"/>
        </w:rPr>
        <w:t xml:space="preserve"> et al. 2012, The Medical Journal of Australia, pp. 556-560.</w:t>
      </w:r>
    </w:p>
    <w:p w14:paraId="564330B8" w14:textId="77777777" w:rsidR="009A602C" w:rsidRPr="00892C84" w:rsidRDefault="009A602C" w:rsidP="009A602C">
      <w:pPr>
        <w:pStyle w:val="Body"/>
        <w:numPr>
          <w:ilvl w:val="0"/>
          <w:numId w:val="223"/>
        </w:numPr>
        <w:ind w:left="360"/>
        <w:rPr>
          <w:sz w:val="20"/>
          <w:szCs w:val="20"/>
        </w:rPr>
      </w:pPr>
      <w:r w:rsidRPr="00892C84">
        <w:rPr>
          <w:sz w:val="20"/>
          <w:szCs w:val="20"/>
        </w:rPr>
        <w:t>The use of an intervention that evidence suggests confers no or very little benefit on patients; or where the risk of harm exceeds the likely benefit; or, more broadly, where the added costs of the intervention do not provide proportional added benefits.</w:t>
      </w:r>
    </w:p>
    <w:p w14:paraId="6AB0DCE8" w14:textId="77777777" w:rsidR="009A602C" w:rsidRPr="00892C84" w:rsidRDefault="009A602C" w:rsidP="009A602C">
      <w:pPr>
        <w:pStyle w:val="Body"/>
        <w:numPr>
          <w:ilvl w:val="0"/>
          <w:numId w:val="223"/>
        </w:numPr>
        <w:ind w:left="360"/>
        <w:rPr>
          <w:sz w:val="20"/>
          <w:szCs w:val="20"/>
        </w:rPr>
      </w:pPr>
      <w:r w:rsidRPr="00892C84">
        <w:rPr>
          <w:sz w:val="20"/>
          <w:szCs w:val="20"/>
        </w:rPr>
        <w:t xml:space="preserve">The use of MBS services for purposes other than those intended. This includes a range of behaviours, from failing to adhere to </w:t>
      </w:r>
      <w:proofErr w:type="gramStart"/>
      <w:r w:rsidRPr="00892C84">
        <w:rPr>
          <w:sz w:val="20"/>
          <w:szCs w:val="20"/>
        </w:rPr>
        <w:t>particular item</w:t>
      </w:r>
      <w:proofErr w:type="gramEnd"/>
      <w:r w:rsidRPr="00892C84">
        <w:rPr>
          <w:sz w:val="20"/>
          <w:szCs w:val="20"/>
        </w:rPr>
        <w:t xml:space="preserve"> descriptors or rules through to deliberate fraud.</w:t>
      </w:r>
    </w:p>
    <w:p w14:paraId="1E1796DC"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t>Whatham</w:t>
      </w:r>
      <w:proofErr w:type="spellEnd"/>
      <w:r w:rsidRPr="00892C84">
        <w:rPr>
          <w:sz w:val="20"/>
          <w:szCs w:val="20"/>
        </w:rPr>
        <w:t xml:space="preserve"> </w:t>
      </w:r>
      <w:proofErr w:type="spellStart"/>
      <w:r w:rsidRPr="00892C84">
        <w:rPr>
          <w:sz w:val="20"/>
          <w:szCs w:val="20"/>
        </w:rPr>
        <w:t>Ar</w:t>
      </w:r>
      <w:proofErr w:type="spellEnd"/>
      <w:r w:rsidRPr="00892C84">
        <w:rPr>
          <w:sz w:val="20"/>
          <w:szCs w:val="20"/>
        </w:rPr>
        <w:t xml:space="preserve">, Nguyen V, Zhu Y, Hennessy M, </w:t>
      </w:r>
      <w:proofErr w:type="spellStart"/>
      <w:r w:rsidRPr="00892C84">
        <w:rPr>
          <w:sz w:val="20"/>
          <w:szCs w:val="20"/>
        </w:rPr>
        <w:t>Kalloniatis</w:t>
      </w:r>
      <w:proofErr w:type="spellEnd"/>
      <w:r w:rsidRPr="00892C84">
        <w:rPr>
          <w:sz w:val="20"/>
          <w:szCs w:val="20"/>
        </w:rPr>
        <w:t xml:space="preserve"> M (2014), ‘The value of clinical electrophysiology in the assessment of the eye and visual system in the era of advanced imaging’, Clinical and Experimental Optometry, 97(2):99-115.</w:t>
      </w:r>
    </w:p>
    <w:p w14:paraId="0A0342F4" w14:textId="77777777" w:rsidR="009A602C" w:rsidRPr="00892C84" w:rsidRDefault="009A602C" w:rsidP="009A602C">
      <w:pPr>
        <w:pStyle w:val="Body"/>
        <w:numPr>
          <w:ilvl w:val="0"/>
          <w:numId w:val="223"/>
        </w:numPr>
        <w:ind w:left="360"/>
        <w:rPr>
          <w:sz w:val="20"/>
          <w:szCs w:val="20"/>
        </w:rPr>
      </w:pPr>
      <w:r w:rsidRPr="00892C84">
        <w:rPr>
          <w:sz w:val="20"/>
          <w:szCs w:val="20"/>
        </w:rPr>
        <w:t xml:space="preserve">Choosing Wisely Australia guidance note developed by RANZCO: “In the absence of relevant history, symptoms and signs, ‘routine’ automated visual fields and optical coherence tomography are not indicated; automated perimetry is only required when significant field defects are suspected.” </w:t>
      </w:r>
    </w:p>
    <w:p w14:paraId="3A2C33A1" w14:textId="77777777" w:rsidR="009A602C" w:rsidRPr="00892C84" w:rsidRDefault="009A602C" w:rsidP="009A602C">
      <w:pPr>
        <w:pStyle w:val="Body"/>
        <w:numPr>
          <w:ilvl w:val="0"/>
          <w:numId w:val="223"/>
        </w:numPr>
        <w:ind w:left="360"/>
        <w:rPr>
          <w:sz w:val="20"/>
          <w:szCs w:val="20"/>
        </w:rPr>
      </w:pPr>
      <w:r w:rsidRPr="00892C84">
        <w:rPr>
          <w:sz w:val="20"/>
          <w:szCs w:val="20"/>
        </w:rPr>
        <w:t xml:space="preserve">Mitchell P, Smith W, </w:t>
      </w:r>
      <w:proofErr w:type="spellStart"/>
      <w:r w:rsidRPr="00892C84">
        <w:rPr>
          <w:sz w:val="20"/>
          <w:szCs w:val="20"/>
        </w:rPr>
        <w:t>Attebo</w:t>
      </w:r>
      <w:proofErr w:type="spellEnd"/>
      <w:r w:rsidRPr="00892C84">
        <w:rPr>
          <w:sz w:val="20"/>
          <w:szCs w:val="20"/>
        </w:rPr>
        <w:t xml:space="preserve"> K, Healey PR. Prevalence of open-angle glaucoma in Australia: The Blue Mountains Eye Study. Ophthalmology. </w:t>
      </w:r>
      <w:proofErr w:type="gramStart"/>
      <w:r w:rsidRPr="00892C84">
        <w:rPr>
          <w:sz w:val="20"/>
          <w:szCs w:val="20"/>
        </w:rPr>
        <w:t>1996;103:1661</w:t>
      </w:r>
      <w:proofErr w:type="gramEnd"/>
      <w:r w:rsidRPr="00892C84">
        <w:rPr>
          <w:sz w:val="20"/>
          <w:szCs w:val="20"/>
        </w:rPr>
        <w:t>–1669</w:t>
      </w:r>
    </w:p>
    <w:p w14:paraId="4CC568AD"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lastRenderedPageBreak/>
        <w:t>Gemenetzi</w:t>
      </w:r>
      <w:proofErr w:type="spellEnd"/>
      <w:r w:rsidRPr="00892C84">
        <w:rPr>
          <w:sz w:val="20"/>
          <w:szCs w:val="20"/>
        </w:rPr>
        <w:t>, Maria &amp; J. Patel, Praveen. (2017). A Systematic Review of the Treat and Extend Treatment Regimen with Anti-VEGF Agents for Neovascular Age-Related Macular Degeneration. Ophthalmology and Therapy. 6. 10.1007/s40123-017-0087-5.</w:t>
      </w:r>
    </w:p>
    <w:p w14:paraId="4C4D8FBC" w14:textId="77777777" w:rsidR="009A602C" w:rsidRPr="00892C84" w:rsidRDefault="009A602C" w:rsidP="009A602C">
      <w:pPr>
        <w:pStyle w:val="Body"/>
        <w:numPr>
          <w:ilvl w:val="0"/>
          <w:numId w:val="223"/>
        </w:numPr>
        <w:ind w:left="360"/>
        <w:rPr>
          <w:sz w:val="20"/>
          <w:szCs w:val="20"/>
        </w:rPr>
      </w:pPr>
      <w:r w:rsidRPr="00892C84">
        <w:rPr>
          <w:sz w:val="20"/>
          <w:szCs w:val="20"/>
        </w:rPr>
        <w:t xml:space="preserve">Choosing Wisely and Royal Australian and New Zealand College of Ophthalmologists: tests, treatments and procedures clinicians and consumers should question. Recommendation 4. </w:t>
      </w:r>
    </w:p>
    <w:p w14:paraId="569005CC" w14:textId="77777777" w:rsidR="009A602C" w:rsidRPr="00892C84" w:rsidRDefault="009A602C" w:rsidP="009A602C">
      <w:pPr>
        <w:pStyle w:val="Body"/>
        <w:numPr>
          <w:ilvl w:val="0"/>
          <w:numId w:val="223"/>
        </w:numPr>
        <w:ind w:left="360"/>
        <w:rPr>
          <w:sz w:val="20"/>
          <w:szCs w:val="20"/>
        </w:rPr>
      </w:pPr>
      <w:r w:rsidRPr="00892C84">
        <w:rPr>
          <w:sz w:val="20"/>
          <w:szCs w:val="20"/>
        </w:rPr>
        <w:t xml:space="preserve">Shimada H, Hattori T, Mori R, </w:t>
      </w:r>
      <w:proofErr w:type="spellStart"/>
      <w:r w:rsidRPr="00892C84">
        <w:rPr>
          <w:sz w:val="20"/>
          <w:szCs w:val="20"/>
        </w:rPr>
        <w:t>Nakashizuka</w:t>
      </w:r>
      <w:proofErr w:type="spellEnd"/>
      <w:r w:rsidRPr="00892C84">
        <w:rPr>
          <w:sz w:val="20"/>
          <w:szCs w:val="20"/>
        </w:rPr>
        <w:t xml:space="preserve"> H, Fujita K, Yuzawa M. Minimizing the endophthalmitis rate following intravitreal injections using 0.25% povidone-iodine irrigation and surgical mask. </w:t>
      </w:r>
      <w:proofErr w:type="spellStart"/>
      <w:r w:rsidRPr="00892C84">
        <w:rPr>
          <w:sz w:val="20"/>
          <w:szCs w:val="20"/>
        </w:rPr>
        <w:t>Graefe’s</w:t>
      </w:r>
      <w:proofErr w:type="spellEnd"/>
      <w:r w:rsidRPr="00892C84">
        <w:rPr>
          <w:sz w:val="20"/>
          <w:szCs w:val="20"/>
        </w:rPr>
        <w:t xml:space="preserve"> Archive for Clinical and Experimental Ophthalmology 2013;251(8):1885-90. </w:t>
      </w:r>
    </w:p>
    <w:p w14:paraId="6E3B4F87"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t>Tabandeh</w:t>
      </w:r>
      <w:proofErr w:type="spellEnd"/>
      <w:r w:rsidRPr="00892C84">
        <w:rPr>
          <w:sz w:val="20"/>
          <w:szCs w:val="20"/>
        </w:rPr>
        <w:t xml:space="preserve"> H, </w:t>
      </w:r>
      <w:proofErr w:type="spellStart"/>
      <w:r w:rsidRPr="00892C84">
        <w:rPr>
          <w:sz w:val="20"/>
          <w:szCs w:val="20"/>
        </w:rPr>
        <w:t>Boscia</w:t>
      </w:r>
      <w:proofErr w:type="spellEnd"/>
      <w:r w:rsidRPr="00892C84">
        <w:rPr>
          <w:sz w:val="20"/>
          <w:szCs w:val="20"/>
        </w:rPr>
        <w:t xml:space="preserve"> F, </w:t>
      </w:r>
      <w:proofErr w:type="spellStart"/>
      <w:r w:rsidRPr="00892C84">
        <w:rPr>
          <w:sz w:val="20"/>
          <w:szCs w:val="20"/>
        </w:rPr>
        <w:t>Sborgia</w:t>
      </w:r>
      <w:proofErr w:type="spellEnd"/>
      <w:r w:rsidRPr="00892C84">
        <w:rPr>
          <w:sz w:val="20"/>
          <w:szCs w:val="20"/>
        </w:rPr>
        <w:t xml:space="preserve"> A, et al. Endophthalmitis associated with intravitreal injections: office-based setting and operating room setting. Retina </w:t>
      </w:r>
      <w:proofErr w:type="gramStart"/>
      <w:r w:rsidRPr="00892C84">
        <w:rPr>
          <w:sz w:val="20"/>
          <w:szCs w:val="20"/>
        </w:rPr>
        <w:t>2014;34:18</w:t>
      </w:r>
      <w:proofErr w:type="gramEnd"/>
      <w:r w:rsidRPr="00892C84">
        <w:rPr>
          <w:sz w:val="20"/>
          <w:szCs w:val="20"/>
        </w:rPr>
        <w:t>–23.</w:t>
      </w:r>
    </w:p>
    <w:p w14:paraId="7466E7E0" w14:textId="77777777" w:rsidR="009A602C" w:rsidRPr="00892C84" w:rsidRDefault="009A602C" w:rsidP="009A602C">
      <w:pPr>
        <w:pStyle w:val="Body"/>
        <w:numPr>
          <w:ilvl w:val="0"/>
          <w:numId w:val="223"/>
        </w:numPr>
        <w:ind w:left="360"/>
        <w:rPr>
          <w:sz w:val="20"/>
          <w:szCs w:val="20"/>
        </w:rPr>
      </w:pPr>
      <w:r w:rsidRPr="00892C84">
        <w:rPr>
          <w:sz w:val="20"/>
          <w:szCs w:val="20"/>
        </w:rPr>
        <w:t>The Royal Australian and New Zealand College of Ophthalmologists. Guidelines for performing intravitreal therapy 2006/2012. Available from: http://www.ranzco.edu/images/documents/policies/CPG004_Intravitreal_Injections.pdf.</w:t>
      </w:r>
    </w:p>
    <w:p w14:paraId="2ADA63B4"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t>Tabandeh</w:t>
      </w:r>
      <w:proofErr w:type="spellEnd"/>
      <w:r w:rsidRPr="00892C84">
        <w:rPr>
          <w:sz w:val="20"/>
          <w:szCs w:val="20"/>
        </w:rPr>
        <w:t xml:space="preserve"> H, </w:t>
      </w:r>
      <w:proofErr w:type="spellStart"/>
      <w:r w:rsidRPr="00892C84">
        <w:rPr>
          <w:sz w:val="20"/>
          <w:szCs w:val="20"/>
        </w:rPr>
        <w:t>Boscia</w:t>
      </w:r>
      <w:proofErr w:type="spellEnd"/>
      <w:r w:rsidRPr="00892C84">
        <w:rPr>
          <w:sz w:val="20"/>
          <w:szCs w:val="20"/>
        </w:rPr>
        <w:t xml:space="preserve"> F, </w:t>
      </w:r>
      <w:proofErr w:type="spellStart"/>
      <w:r w:rsidRPr="00892C84">
        <w:rPr>
          <w:sz w:val="20"/>
          <w:szCs w:val="20"/>
        </w:rPr>
        <w:t>Sborgia</w:t>
      </w:r>
      <w:proofErr w:type="spellEnd"/>
      <w:r w:rsidRPr="00892C84">
        <w:rPr>
          <w:sz w:val="20"/>
          <w:szCs w:val="20"/>
        </w:rPr>
        <w:t xml:space="preserve"> A, et al. Endophthalmitis associated with intravitreal injections: office-based setting and operating room setting. Retina </w:t>
      </w:r>
      <w:proofErr w:type="gramStart"/>
      <w:r w:rsidRPr="00892C84">
        <w:rPr>
          <w:sz w:val="20"/>
          <w:szCs w:val="20"/>
        </w:rPr>
        <w:t>2014;34:18</w:t>
      </w:r>
      <w:proofErr w:type="gramEnd"/>
      <w:r w:rsidRPr="00892C84">
        <w:rPr>
          <w:sz w:val="20"/>
          <w:szCs w:val="20"/>
        </w:rPr>
        <w:t>–23.</w:t>
      </w:r>
    </w:p>
    <w:p w14:paraId="172FB674"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t>Merani</w:t>
      </w:r>
      <w:proofErr w:type="spellEnd"/>
      <w:r w:rsidRPr="00892C84">
        <w:rPr>
          <w:sz w:val="20"/>
          <w:szCs w:val="20"/>
        </w:rPr>
        <w:t xml:space="preserve"> R, </w:t>
      </w:r>
      <w:proofErr w:type="spellStart"/>
      <w:r w:rsidRPr="00892C84">
        <w:rPr>
          <w:sz w:val="20"/>
          <w:szCs w:val="20"/>
        </w:rPr>
        <w:t>Hunyor</w:t>
      </w:r>
      <w:proofErr w:type="spellEnd"/>
      <w:r w:rsidRPr="00892C84">
        <w:rPr>
          <w:sz w:val="20"/>
          <w:szCs w:val="20"/>
        </w:rPr>
        <w:t xml:space="preserve"> AP. Endophthalmitis following intravitreal anti-vascular endothelial growth factor (VEGF) injection: a comprehensive review. Int J Retina Vitreous. 2015 Jul </w:t>
      </w:r>
      <w:proofErr w:type="gramStart"/>
      <w:r w:rsidRPr="00892C84">
        <w:rPr>
          <w:sz w:val="20"/>
          <w:szCs w:val="20"/>
        </w:rPr>
        <w:t>21;1:9</w:t>
      </w:r>
      <w:proofErr w:type="gramEnd"/>
      <w:r w:rsidRPr="00892C84">
        <w:rPr>
          <w:sz w:val="20"/>
          <w:szCs w:val="20"/>
        </w:rPr>
        <w:t>. Review.</w:t>
      </w:r>
    </w:p>
    <w:p w14:paraId="1C772D40" w14:textId="77777777" w:rsidR="009A602C" w:rsidRPr="00892C84" w:rsidRDefault="009A602C" w:rsidP="009A602C">
      <w:pPr>
        <w:pStyle w:val="Body"/>
        <w:numPr>
          <w:ilvl w:val="0"/>
          <w:numId w:val="223"/>
        </w:numPr>
        <w:ind w:left="360"/>
        <w:rPr>
          <w:sz w:val="20"/>
          <w:szCs w:val="20"/>
        </w:rPr>
      </w:pPr>
      <w:r w:rsidRPr="00892C84">
        <w:rPr>
          <w:sz w:val="20"/>
          <w:szCs w:val="20"/>
        </w:rPr>
        <w:t xml:space="preserve">Fagan XJ, Al-Qureshi S. Intravitreal injections: a review of the evidence for best practice. Clinical &amp; Experimental Ophthalmology 2013;41(5):500-7. </w:t>
      </w:r>
    </w:p>
    <w:p w14:paraId="230FB111" w14:textId="77777777" w:rsidR="009A602C" w:rsidRPr="00892C84" w:rsidRDefault="009A602C" w:rsidP="009A602C">
      <w:pPr>
        <w:pStyle w:val="Body"/>
        <w:numPr>
          <w:ilvl w:val="0"/>
          <w:numId w:val="223"/>
        </w:numPr>
        <w:ind w:left="360"/>
        <w:rPr>
          <w:sz w:val="20"/>
          <w:szCs w:val="20"/>
        </w:rPr>
      </w:pPr>
      <w:r w:rsidRPr="00892C84">
        <w:rPr>
          <w:sz w:val="20"/>
          <w:szCs w:val="20"/>
        </w:rPr>
        <w:t>The Royal Australian and New Zealand College of Ophthalmologists. Guidelines for performing intravitreal therapy 2006/2012. Available from: http://www.ranzco.edu/images/documents/policies/CPG004_Intravitreal_Injections.pdf.</w:t>
      </w:r>
    </w:p>
    <w:p w14:paraId="2C089139" w14:textId="77777777" w:rsidR="009A602C" w:rsidRPr="00892C84" w:rsidRDefault="009A602C" w:rsidP="009A602C">
      <w:pPr>
        <w:pStyle w:val="Body"/>
        <w:numPr>
          <w:ilvl w:val="0"/>
          <w:numId w:val="223"/>
        </w:numPr>
        <w:ind w:left="360"/>
        <w:rPr>
          <w:sz w:val="20"/>
          <w:szCs w:val="20"/>
        </w:rPr>
      </w:pPr>
      <w:r w:rsidRPr="00892C84">
        <w:rPr>
          <w:sz w:val="20"/>
          <w:szCs w:val="20"/>
        </w:rPr>
        <w:t>Choosing Wisely and Royal Australian and New Zealand College of Ophthalmologists: tests, treatments and procedures clinicians and consumers should question. Recommendation 4.</w:t>
      </w:r>
    </w:p>
    <w:p w14:paraId="5FB80C73" w14:textId="77777777" w:rsidR="009A602C" w:rsidRPr="00892C84" w:rsidRDefault="009A602C" w:rsidP="009A602C">
      <w:pPr>
        <w:pStyle w:val="Body"/>
        <w:numPr>
          <w:ilvl w:val="0"/>
          <w:numId w:val="223"/>
        </w:numPr>
        <w:ind w:left="360"/>
        <w:rPr>
          <w:sz w:val="20"/>
          <w:szCs w:val="20"/>
        </w:rPr>
      </w:pPr>
      <w:r w:rsidRPr="00892C84">
        <w:rPr>
          <w:sz w:val="20"/>
          <w:szCs w:val="20"/>
        </w:rPr>
        <w:t xml:space="preserve">This rate accounts for differences in age between Aboriginal and Torres Strait Islander and non-Indigenous populations. Randall DA, </w:t>
      </w:r>
      <w:proofErr w:type="spellStart"/>
      <w:r w:rsidRPr="00892C84">
        <w:rPr>
          <w:sz w:val="20"/>
          <w:szCs w:val="20"/>
        </w:rPr>
        <w:t>Reinten</w:t>
      </w:r>
      <w:proofErr w:type="spellEnd"/>
      <w:r w:rsidRPr="00892C84">
        <w:rPr>
          <w:sz w:val="20"/>
          <w:szCs w:val="20"/>
        </w:rPr>
        <w:t xml:space="preserve"> T, Maher L, et al. Disparities in cataract surgery between Aboriginal and non-Aboriginal people in New South Wales, Australia. Clinical &amp; Experimental Ophthalmology. 2014;42(7):629-636.</w:t>
      </w:r>
    </w:p>
    <w:p w14:paraId="32C28254" w14:textId="77777777" w:rsidR="009A602C" w:rsidRPr="00892C84" w:rsidRDefault="009A602C" w:rsidP="009A602C">
      <w:pPr>
        <w:pStyle w:val="Body"/>
        <w:numPr>
          <w:ilvl w:val="0"/>
          <w:numId w:val="223"/>
        </w:numPr>
        <w:ind w:left="360"/>
        <w:rPr>
          <w:sz w:val="20"/>
          <w:szCs w:val="20"/>
        </w:rPr>
      </w:pPr>
      <w:r w:rsidRPr="00892C84">
        <w:rPr>
          <w:sz w:val="20"/>
          <w:szCs w:val="20"/>
          <w:lang w:val="fr-CA"/>
        </w:rPr>
        <w:lastRenderedPageBreak/>
        <w:t xml:space="preserve">Randall DA, </w:t>
      </w:r>
      <w:proofErr w:type="spellStart"/>
      <w:r w:rsidRPr="00892C84">
        <w:rPr>
          <w:sz w:val="20"/>
          <w:szCs w:val="20"/>
          <w:lang w:val="fr-CA"/>
        </w:rPr>
        <w:t>Reinten</w:t>
      </w:r>
      <w:proofErr w:type="spellEnd"/>
      <w:r w:rsidRPr="00892C84">
        <w:rPr>
          <w:sz w:val="20"/>
          <w:szCs w:val="20"/>
          <w:lang w:val="fr-CA"/>
        </w:rPr>
        <w:t xml:space="preserve"> T, Maher L, et al. </w:t>
      </w:r>
      <w:r w:rsidRPr="00892C84">
        <w:rPr>
          <w:sz w:val="20"/>
          <w:szCs w:val="20"/>
        </w:rPr>
        <w:t>Disparities in cataract surgery between Aboriginal and non-Aboriginal people in New South Wales, Australia. Clinical &amp; Experimental Ophthalmology. 2014;42(7):629-636.</w:t>
      </w:r>
    </w:p>
    <w:p w14:paraId="6B0E8F3A" w14:textId="77777777" w:rsidR="009A602C" w:rsidRPr="00892C84" w:rsidRDefault="009A602C" w:rsidP="009A602C">
      <w:pPr>
        <w:pStyle w:val="Body"/>
        <w:numPr>
          <w:ilvl w:val="0"/>
          <w:numId w:val="223"/>
        </w:numPr>
        <w:ind w:left="360"/>
        <w:rPr>
          <w:sz w:val="20"/>
          <w:szCs w:val="20"/>
        </w:rPr>
      </w:pPr>
      <w:r w:rsidRPr="00892C84">
        <w:rPr>
          <w:sz w:val="20"/>
          <w:szCs w:val="20"/>
        </w:rPr>
        <w:t>Average time determined by co-claimed anaesthetic time items (MBS data FY2016/17) and clinical input</w:t>
      </w:r>
    </w:p>
    <w:p w14:paraId="2899A58C" w14:textId="77777777" w:rsidR="009A602C" w:rsidRPr="00892C84" w:rsidRDefault="009A602C" w:rsidP="009A602C">
      <w:pPr>
        <w:pStyle w:val="Body"/>
        <w:numPr>
          <w:ilvl w:val="0"/>
          <w:numId w:val="223"/>
        </w:numPr>
        <w:ind w:left="360"/>
        <w:rPr>
          <w:sz w:val="20"/>
          <w:szCs w:val="20"/>
        </w:rPr>
      </w:pPr>
      <w:r w:rsidRPr="00892C84">
        <w:rPr>
          <w:sz w:val="20"/>
          <w:szCs w:val="20"/>
        </w:rPr>
        <w:t>Criteria for selecting surgical items for comparison: 2,500+ procedures per year claimed independently with anaesthetic time codes; Range of specialities and fees; Require anaesthetic support; Require expert knowledge of procedure technique; Require an operating theatre; Have common risks to patient (e.g., haemorrhage, infection, perforation). All items that meet the listed criteria represent 33% of surgical items claimed independently in more than 2,500 episodes/year in FY2016/17.</w:t>
      </w:r>
    </w:p>
    <w:p w14:paraId="2970C0E8" w14:textId="77777777" w:rsidR="009A602C" w:rsidRPr="00892C84" w:rsidRDefault="009A602C" w:rsidP="009A602C">
      <w:pPr>
        <w:pStyle w:val="Body"/>
        <w:numPr>
          <w:ilvl w:val="0"/>
          <w:numId w:val="223"/>
        </w:numPr>
        <w:ind w:left="360"/>
        <w:rPr>
          <w:sz w:val="20"/>
          <w:szCs w:val="20"/>
        </w:rPr>
      </w:pPr>
      <w:r w:rsidRPr="00892C84">
        <w:rPr>
          <w:sz w:val="20"/>
          <w:szCs w:val="20"/>
        </w:rPr>
        <w:t xml:space="preserve">Calculation method: Rebate per hour calculated on the following basis: time - weighted average time (excluding bottom quartile services) based on anaesthetic time code, rebate - based on average rebate per service for FY2016/17, including the impact from multiple services rule and excluding safety net benefits.  </w:t>
      </w:r>
    </w:p>
    <w:p w14:paraId="65A53DF9" w14:textId="77777777" w:rsidR="009A602C" w:rsidRPr="00892C84" w:rsidRDefault="009A602C" w:rsidP="009A602C">
      <w:pPr>
        <w:pStyle w:val="Body"/>
        <w:numPr>
          <w:ilvl w:val="0"/>
          <w:numId w:val="223"/>
        </w:numPr>
        <w:ind w:left="360"/>
        <w:rPr>
          <w:sz w:val="20"/>
          <w:szCs w:val="20"/>
        </w:rPr>
      </w:pPr>
      <w:r w:rsidRPr="00892C84">
        <w:rPr>
          <w:sz w:val="20"/>
          <w:szCs w:val="20"/>
        </w:rPr>
        <w:t>Department of Health, Australia’s Future Health Workforce – Ophthalmology, 2018.</w:t>
      </w:r>
    </w:p>
    <w:p w14:paraId="0F47746B" w14:textId="77777777" w:rsidR="009A602C" w:rsidRPr="00892C84" w:rsidRDefault="009A602C" w:rsidP="009A602C">
      <w:pPr>
        <w:pStyle w:val="Body"/>
        <w:numPr>
          <w:ilvl w:val="0"/>
          <w:numId w:val="223"/>
        </w:numPr>
        <w:ind w:left="360"/>
        <w:rPr>
          <w:sz w:val="20"/>
          <w:szCs w:val="20"/>
        </w:rPr>
      </w:pPr>
      <w:r w:rsidRPr="00892C84">
        <w:rPr>
          <w:sz w:val="20"/>
          <w:szCs w:val="20"/>
        </w:rPr>
        <w:t xml:space="preserve">Vision 2020 Australia, in collaboration with 14 organisations working in Aboriginal and Torres Strait Islander eye health, is calling on the Australian Government to build on its commitment to close the gap in eye health and vision care. </w:t>
      </w:r>
    </w:p>
    <w:p w14:paraId="4349E31F" w14:textId="77777777" w:rsidR="009A602C" w:rsidRPr="00892C84" w:rsidRDefault="009A602C" w:rsidP="009A602C">
      <w:pPr>
        <w:pStyle w:val="Body"/>
        <w:numPr>
          <w:ilvl w:val="0"/>
          <w:numId w:val="223"/>
        </w:numPr>
        <w:ind w:left="360"/>
        <w:rPr>
          <w:sz w:val="20"/>
          <w:szCs w:val="20"/>
        </w:rPr>
      </w:pPr>
      <w:r w:rsidRPr="00892C84">
        <w:rPr>
          <w:sz w:val="20"/>
          <w:szCs w:val="20"/>
        </w:rPr>
        <w:t>Notes: Criteria for selecting comparable injection items: Nature of procedure (penetrative injection of iatrogenic substance, or direct biopsy into tissue (not into formed tract); Preparation (Requires preparation and drape, injection/biopsy and examination/post-procedural observations); Risk to patient (Risk of infection, haemorrhage, injury to organ or tissue); Equipment required (Sterile field and local anaesthetic); Specialist required (Requires expert understanding of anatomy).</w:t>
      </w:r>
    </w:p>
    <w:p w14:paraId="049AE339" w14:textId="77777777" w:rsidR="009A602C" w:rsidRPr="00892C84" w:rsidRDefault="009A602C" w:rsidP="009A602C">
      <w:pPr>
        <w:pStyle w:val="Body"/>
        <w:numPr>
          <w:ilvl w:val="0"/>
          <w:numId w:val="223"/>
        </w:numPr>
        <w:ind w:left="360"/>
        <w:rPr>
          <w:sz w:val="20"/>
          <w:szCs w:val="20"/>
        </w:rPr>
      </w:pPr>
      <w:r w:rsidRPr="00892C84">
        <w:rPr>
          <w:sz w:val="20"/>
          <w:szCs w:val="20"/>
        </w:rPr>
        <w:t>Royal College of Anaesthetists and Royal College of Ophthalmologists, Local anaesthesia for ophthalmic surgery joint guidelines, Feb 2012.</w:t>
      </w:r>
    </w:p>
    <w:p w14:paraId="450BB5B5" w14:textId="77777777" w:rsidR="009A602C" w:rsidRPr="00892C84" w:rsidRDefault="009A602C" w:rsidP="009A602C">
      <w:pPr>
        <w:pStyle w:val="Body"/>
        <w:numPr>
          <w:ilvl w:val="0"/>
          <w:numId w:val="223"/>
        </w:numPr>
        <w:ind w:left="360"/>
        <w:rPr>
          <w:sz w:val="20"/>
          <w:szCs w:val="20"/>
        </w:rPr>
      </w:pPr>
      <w:r w:rsidRPr="00892C84">
        <w:rPr>
          <w:sz w:val="20"/>
          <w:szCs w:val="20"/>
        </w:rPr>
        <w:t>Department of Health, Australia’s Future Health Workforce – Ophthalmology, 2018.</w:t>
      </w:r>
    </w:p>
    <w:p w14:paraId="6D46BCD7" w14:textId="77777777" w:rsidR="009A602C" w:rsidRPr="00892C84" w:rsidRDefault="009A602C" w:rsidP="009A602C">
      <w:pPr>
        <w:pStyle w:val="Body"/>
        <w:numPr>
          <w:ilvl w:val="0"/>
          <w:numId w:val="223"/>
        </w:numPr>
        <w:ind w:left="360"/>
        <w:rPr>
          <w:sz w:val="20"/>
          <w:szCs w:val="20"/>
        </w:rPr>
      </w:pPr>
      <w:r w:rsidRPr="00892C84">
        <w:rPr>
          <w:sz w:val="20"/>
          <w:szCs w:val="20"/>
        </w:rPr>
        <w:t>The MMM is a classification system that better categorises metropolitan, regional, rural and remote areas according to both geographical remoteness and town size.</w:t>
      </w:r>
    </w:p>
    <w:p w14:paraId="4DC76703" w14:textId="77777777" w:rsidR="009A602C" w:rsidRPr="00892C84" w:rsidRDefault="009A602C" w:rsidP="009A602C">
      <w:pPr>
        <w:pStyle w:val="Body"/>
        <w:numPr>
          <w:ilvl w:val="0"/>
          <w:numId w:val="223"/>
        </w:numPr>
        <w:ind w:left="360"/>
        <w:rPr>
          <w:sz w:val="20"/>
          <w:szCs w:val="20"/>
        </w:rPr>
      </w:pPr>
      <w:r w:rsidRPr="00892C84">
        <w:rPr>
          <w:sz w:val="20"/>
          <w:szCs w:val="20"/>
        </w:rPr>
        <w:t xml:space="preserve">Department of Health, Australia’s Future Health Workforce – </w:t>
      </w:r>
      <w:proofErr w:type="gramStart"/>
      <w:r w:rsidRPr="00892C84">
        <w:rPr>
          <w:sz w:val="20"/>
          <w:szCs w:val="20"/>
        </w:rPr>
        <w:t>Ophthalmology,  2018</w:t>
      </w:r>
      <w:proofErr w:type="gramEnd"/>
      <w:r w:rsidRPr="00892C84">
        <w:rPr>
          <w:sz w:val="20"/>
          <w:szCs w:val="20"/>
        </w:rPr>
        <w:t>.</w:t>
      </w:r>
    </w:p>
    <w:p w14:paraId="75C7AEEF" w14:textId="77777777" w:rsidR="009A602C" w:rsidRPr="00892C84" w:rsidRDefault="009A602C" w:rsidP="009A602C">
      <w:pPr>
        <w:pStyle w:val="Body"/>
        <w:numPr>
          <w:ilvl w:val="0"/>
          <w:numId w:val="223"/>
        </w:numPr>
        <w:ind w:left="360"/>
        <w:rPr>
          <w:sz w:val="20"/>
          <w:szCs w:val="20"/>
        </w:rPr>
      </w:pPr>
      <w:r w:rsidRPr="00892C84">
        <w:rPr>
          <w:sz w:val="20"/>
          <w:szCs w:val="20"/>
        </w:rPr>
        <w:lastRenderedPageBreak/>
        <w:t xml:space="preserve">Australian Institute of Health and Welfare: Median waiting time for admissions from public hospital elective surgery waiting lists, by surgical specialty, 2016/17. </w:t>
      </w:r>
    </w:p>
    <w:p w14:paraId="088F06A8" w14:textId="77777777" w:rsidR="009A602C" w:rsidRPr="00892C84" w:rsidRDefault="009A602C" w:rsidP="009A602C">
      <w:pPr>
        <w:pStyle w:val="Body"/>
        <w:numPr>
          <w:ilvl w:val="0"/>
          <w:numId w:val="223"/>
        </w:numPr>
        <w:ind w:left="360"/>
        <w:rPr>
          <w:sz w:val="20"/>
          <w:szCs w:val="20"/>
        </w:rPr>
      </w:pPr>
      <w:r w:rsidRPr="00892C84">
        <w:rPr>
          <w:sz w:val="20"/>
          <w:szCs w:val="20"/>
        </w:rPr>
        <w:t>International Council of Ophthalmology, countries last updated between 2012 – 2014, Ministry of Health, Labour and Welfare Japan, 2014; Australian Institute of Health and Welfare, 2017; European Council of Optometry and Optics, 2017; US Department of Labour, 2017; Review of Optometry, ‘A snapshot of optometry around the world’, 2009; Vision Atlas Global Action Plan, 2014.</w:t>
      </w:r>
    </w:p>
    <w:p w14:paraId="71FF0A02" w14:textId="77777777" w:rsidR="009A602C" w:rsidRPr="00892C84" w:rsidRDefault="009A602C" w:rsidP="009A602C">
      <w:pPr>
        <w:pStyle w:val="Body"/>
        <w:numPr>
          <w:ilvl w:val="0"/>
          <w:numId w:val="223"/>
        </w:numPr>
        <w:ind w:left="360"/>
        <w:rPr>
          <w:sz w:val="20"/>
          <w:szCs w:val="20"/>
        </w:rPr>
      </w:pPr>
      <w:r w:rsidRPr="00892C84">
        <w:rPr>
          <w:sz w:val="20"/>
          <w:szCs w:val="20"/>
        </w:rPr>
        <w:t xml:space="preserve">Royal College of Ophthalmologists, Ophthalmic Service Guide: Intravitreal injection therapy, May 2018 (revised August 2018). Accessed 15/01/2019: https://www.rcophth.ac.uk/wp-content/uploads/2018/02/Intravitreal-Injection-Therapy-August-2018-2.pdf </w:t>
      </w:r>
    </w:p>
    <w:p w14:paraId="602FEAA8" w14:textId="77777777" w:rsidR="009A602C" w:rsidRPr="00892C84" w:rsidRDefault="009A602C" w:rsidP="009A602C">
      <w:pPr>
        <w:pStyle w:val="Body"/>
        <w:numPr>
          <w:ilvl w:val="0"/>
          <w:numId w:val="223"/>
        </w:numPr>
        <w:ind w:left="360"/>
        <w:rPr>
          <w:sz w:val="20"/>
          <w:szCs w:val="20"/>
        </w:rPr>
      </w:pPr>
      <w:r w:rsidRPr="00892C84">
        <w:rPr>
          <w:sz w:val="20"/>
          <w:szCs w:val="20"/>
        </w:rPr>
        <w:t xml:space="preserve">DaCosta et al, Implementation of a nurse-delivered intravitreal injection service, Eye, 2014, 28, 73-740; </w:t>
      </w:r>
      <w:proofErr w:type="spellStart"/>
      <w:r w:rsidRPr="00892C84">
        <w:rPr>
          <w:sz w:val="20"/>
          <w:szCs w:val="20"/>
        </w:rPr>
        <w:t>Michelotti</w:t>
      </w:r>
      <w:proofErr w:type="spellEnd"/>
      <w:r w:rsidRPr="00892C84">
        <w:rPr>
          <w:sz w:val="20"/>
          <w:szCs w:val="20"/>
        </w:rPr>
        <w:t xml:space="preserve"> et al, Transformational change: nurses substituting for ophthalmologists for intravitreal injections – a quality-improvement report, Clin </w:t>
      </w:r>
      <w:proofErr w:type="spellStart"/>
      <w:r w:rsidRPr="00892C84">
        <w:rPr>
          <w:sz w:val="20"/>
          <w:szCs w:val="20"/>
        </w:rPr>
        <w:t>Ophthalmol</w:t>
      </w:r>
      <w:proofErr w:type="spellEnd"/>
      <w:r w:rsidRPr="00892C84">
        <w:rPr>
          <w:sz w:val="20"/>
          <w:szCs w:val="20"/>
        </w:rPr>
        <w:t xml:space="preserve">, 2014, 8, 755-761; Simcock et al, A safety audit of the first 10,000 intravitreal ranibizumab injections performed by nurse practitioners, Eye, 2014, 28, 1161-1164; Varma et al, A novel approach to expanding the role of nurses to deliver </w:t>
      </w:r>
      <w:proofErr w:type="spellStart"/>
      <w:r w:rsidRPr="00892C84">
        <w:rPr>
          <w:sz w:val="20"/>
          <w:szCs w:val="20"/>
        </w:rPr>
        <w:t>intravireal</w:t>
      </w:r>
      <w:proofErr w:type="spellEnd"/>
      <w:r w:rsidRPr="00892C84">
        <w:rPr>
          <w:sz w:val="20"/>
          <w:szCs w:val="20"/>
        </w:rPr>
        <w:t xml:space="preserve"> injections for patients with age-related macular degeneration, Int J Ophthalmic </w:t>
      </w:r>
      <w:proofErr w:type="spellStart"/>
      <w:r w:rsidRPr="00892C84">
        <w:rPr>
          <w:sz w:val="20"/>
          <w:szCs w:val="20"/>
        </w:rPr>
        <w:t>Pract</w:t>
      </w:r>
      <w:proofErr w:type="spellEnd"/>
      <w:r w:rsidRPr="00892C84">
        <w:rPr>
          <w:sz w:val="20"/>
          <w:szCs w:val="20"/>
        </w:rPr>
        <w:t xml:space="preserve"> 2013, 4, 68-74.</w:t>
      </w:r>
    </w:p>
    <w:p w14:paraId="294A19A8" w14:textId="77777777" w:rsidR="009A602C" w:rsidRPr="00892C84" w:rsidRDefault="009A602C" w:rsidP="009A602C">
      <w:pPr>
        <w:pStyle w:val="Body"/>
        <w:numPr>
          <w:ilvl w:val="0"/>
          <w:numId w:val="223"/>
        </w:numPr>
        <w:ind w:left="360"/>
        <w:rPr>
          <w:sz w:val="20"/>
          <w:szCs w:val="20"/>
        </w:rPr>
      </w:pPr>
      <w:r w:rsidRPr="00892C84">
        <w:rPr>
          <w:sz w:val="20"/>
          <w:szCs w:val="20"/>
        </w:rPr>
        <w:t>Gregg E, Nurse-led ranibizumab intravitreal injection in wet age-related macular degeneration: a literature review, Nursing Standard, 2017.</w:t>
      </w:r>
    </w:p>
    <w:p w14:paraId="1AC707B8" w14:textId="77777777" w:rsidR="009A602C" w:rsidRPr="00892C84" w:rsidRDefault="009A602C" w:rsidP="009A602C">
      <w:pPr>
        <w:pStyle w:val="Body"/>
        <w:numPr>
          <w:ilvl w:val="0"/>
          <w:numId w:val="223"/>
        </w:numPr>
        <w:ind w:left="360"/>
        <w:rPr>
          <w:sz w:val="20"/>
          <w:szCs w:val="20"/>
        </w:rPr>
      </w:pPr>
      <w:r w:rsidRPr="00892C84">
        <w:rPr>
          <w:sz w:val="20"/>
          <w:szCs w:val="20"/>
        </w:rPr>
        <w:t xml:space="preserve">Hasler et al, Safety study of 38,503 intravitreal ranibizumab injections performed mainly by physicians in training and nurses in a hospital setting, Acta </w:t>
      </w:r>
      <w:proofErr w:type="spellStart"/>
      <w:r w:rsidRPr="00892C84">
        <w:rPr>
          <w:sz w:val="20"/>
          <w:szCs w:val="20"/>
        </w:rPr>
        <w:t>Ophthalmologica</w:t>
      </w:r>
      <w:proofErr w:type="spellEnd"/>
      <w:r w:rsidRPr="00892C84">
        <w:rPr>
          <w:sz w:val="20"/>
          <w:szCs w:val="20"/>
        </w:rPr>
        <w:t>, 2015, 93, 122-125.</w:t>
      </w:r>
    </w:p>
    <w:p w14:paraId="607FCE78" w14:textId="77777777" w:rsidR="009A602C" w:rsidRPr="00892C84" w:rsidRDefault="009A602C" w:rsidP="009A602C">
      <w:pPr>
        <w:pStyle w:val="Body"/>
        <w:numPr>
          <w:ilvl w:val="0"/>
          <w:numId w:val="223"/>
        </w:numPr>
        <w:ind w:left="360"/>
        <w:rPr>
          <w:sz w:val="20"/>
          <w:szCs w:val="20"/>
        </w:rPr>
      </w:pPr>
      <w:proofErr w:type="spellStart"/>
      <w:r w:rsidRPr="00892C84">
        <w:rPr>
          <w:sz w:val="20"/>
          <w:szCs w:val="20"/>
        </w:rPr>
        <w:t>Samalia</w:t>
      </w:r>
      <w:proofErr w:type="spellEnd"/>
      <w:r w:rsidRPr="00892C84">
        <w:rPr>
          <w:sz w:val="20"/>
          <w:szCs w:val="20"/>
        </w:rPr>
        <w:t xml:space="preserve"> et al, Nurse specialists for the administration of anti-vascular endothelial growth factor intravitreal injections, New Zealand Medical Journal, 2016, 129, 1438.</w:t>
      </w:r>
    </w:p>
    <w:p w14:paraId="2220CD61" w14:textId="77777777" w:rsidR="009A602C" w:rsidRPr="00892C84" w:rsidRDefault="009A602C" w:rsidP="009A602C">
      <w:pPr>
        <w:pStyle w:val="Body"/>
        <w:numPr>
          <w:ilvl w:val="0"/>
          <w:numId w:val="223"/>
        </w:numPr>
        <w:ind w:left="360"/>
        <w:rPr>
          <w:sz w:val="20"/>
          <w:szCs w:val="20"/>
        </w:rPr>
      </w:pPr>
      <w:r w:rsidRPr="00892C84">
        <w:rPr>
          <w:sz w:val="20"/>
          <w:szCs w:val="20"/>
        </w:rPr>
        <w:t xml:space="preserve">RNIB, Nurses are the new injection service, 2015. Accessed 15/01/2019: </w:t>
      </w:r>
      <w:proofErr w:type="gramStart"/>
      <w:r w:rsidRPr="00892C84">
        <w:rPr>
          <w:sz w:val="20"/>
          <w:szCs w:val="20"/>
        </w:rPr>
        <w:t>https://www.rnib.org.uk/nb-online/nurses-take-charge-needles ;</w:t>
      </w:r>
      <w:proofErr w:type="gramEnd"/>
      <w:r w:rsidRPr="00892C84">
        <w:rPr>
          <w:sz w:val="20"/>
          <w:szCs w:val="20"/>
        </w:rPr>
        <w:t xml:space="preserve"> </w:t>
      </w:r>
      <w:proofErr w:type="spellStart"/>
      <w:r w:rsidRPr="00892C84">
        <w:rPr>
          <w:sz w:val="20"/>
          <w:szCs w:val="20"/>
        </w:rPr>
        <w:t>Michelotti</w:t>
      </w:r>
      <w:proofErr w:type="spellEnd"/>
      <w:r w:rsidRPr="00892C84">
        <w:rPr>
          <w:sz w:val="20"/>
          <w:szCs w:val="20"/>
        </w:rPr>
        <w:t xml:space="preserve"> et al, Transformational change: nurses substituting for ophthalmologists for intravitreal injections – a quality-improvement report, Clin </w:t>
      </w:r>
      <w:proofErr w:type="spellStart"/>
      <w:r w:rsidRPr="00892C84">
        <w:rPr>
          <w:sz w:val="20"/>
          <w:szCs w:val="20"/>
        </w:rPr>
        <w:t>Ophthalmol</w:t>
      </w:r>
      <w:proofErr w:type="spellEnd"/>
      <w:r w:rsidRPr="00892C84">
        <w:rPr>
          <w:sz w:val="20"/>
          <w:szCs w:val="20"/>
        </w:rPr>
        <w:t>, 2014, 8, 755-761.</w:t>
      </w:r>
    </w:p>
    <w:p w14:paraId="5F73B869" w14:textId="77777777" w:rsidR="009A602C" w:rsidRPr="00892C84" w:rsidRDefault="009A602C" w:rsidP="009A602C">
      <w:pPr>
        <w:pStyle w:val="Body"/>
        <w:numPr>
          <w:ilvl w:val="0"/>
          <w:numId w:val="223"/>
        </w:numPr>
        <w:ind w:left="360"/>
        <w:rPr>
          <w:sz w:val="20"/>
          <w:szCs w:val="20"/>
        </w:rPr>
      </w:pPr>
      <w:r w:rsidRPr="00892C84">
        <w:rPr>
          <w:sz w:val="20"/>
          <w:szCs w:val="20"/>
        </w:rPr>
        <w:t xml:space="preserve">Li et al, Nurse-administered intravitreal injections: a systematic review, </w:t>
      </w:r>
      <w:proofErr w:type="spellStart"/>
      <w:r w:rsidRPr="00892C84">
        <w:rPr>
          <w:sz w:val="20"/>
          <w:szCs w:val="20"/>
        </w:rPr>
        <w:t>Graefes</w:t>
      </w:r>
      <w:proofErr w:type="spellEnd"/>
      <w:r w:rsidRPr="00892C84">
        <w:rPr>
          <w:sz w:val="20"/>
          <w:szCs w:val="20"/>
        </w:rPr>
        <w:t xml:space="preserve"> Arch Clin Exp </w:t>
      </w:r>
      <w:proofErr w:type="spellStart"/>
      <w:r w:rsidRPr="00892C84">
        <w:rPr>
          <w:sz w:val="20"/>
          <w:szCs w:val="20"/>
        </w:rPr>
        <w:t>Ophthalmol</w:t>
      </w:r>
      <w:proofErr w:type="spellEnd"/>
      <w:r w:rsidRPr="00892C84">
        <w:rPr>
          <w:sz w:val="20"/>
          <w:szCs w:val="20"/>
        </w:rPr>
        <w:t>, 2015, 253, 1619-1621.</w:t>
      </w:r>
    </w:p>
    <w:p w14:paraId="75767A7E" w14:textId="77777777" w:rsidR="009A602C" w:rsidRPr="00892C84" w:rsidRDefault="009A602C" w:rsidP="009A602C">
      <w:pPr>
        <w:pStyle w:val="Body"/>
        <w:numPr>
          <w:ilvl w:val="0"/>
          <w:numId w:val="223"/>
        </w:numPr>
        <w:ind w:left="360"/>
        <w:rPr>
          <w:sz w:val="20"/>
          <w:szCs w:val="20"/>
        </w:rPr>
      </w:pPr>
      <w:r w:rsidRPr="00892C84">
        <w:rPr>
          <w:sz w:val="20"/>
          <w:szCs w:val="20"/>
        </w:rPr>
        <w:t>Royal College of Ophthalmologists, Ophthalmic Service Guide: Intravitreal injection therapy, May 2018 (revised August 2018). Accessed 15/01/2019: https://www.rcophth.ac.uk/wp-content/uploads/2018/02/Intravitreal-Injection-Therapy-August-2018-2.pdf</w:t>
      </w:r>
    </w:p>
    <w:p w14:paraId="5D46389F" w14:textId="296239BE" w:rsidR="009A602C" w:rsidRPr="00FB5F7F" w:rsidRDefault="009A602C" w:rsidP="009A602C">
      <w:pPr>
        <w:pStyle w:val="Body"/>
        <w:numPr>
          <w:ilvl w:val="0"/>
          <w:numId w:val="223"/>
        </w:numPr>
        <w:ind w:left="360"/>
        <w:rPr>
          <w:rStyle w:val="Hyperlink"/>
          <w:rFonts w:ascii="Calibri" w:hAnsi="Calibri"/>
          <w:sz w:val="20"/>
          <w:szCs w:val="20"/>
        </w:rPr>
      </w:pPr>
      <w:r w:rsidRPr="00892C84">
        <w:rPr>
          <w:sz w:val="20"/>
          <w:szCs w:val="20"/>
        </w:rPr>
        <w:lastRenderedPageBreak/>
        <w:t>American Optometric Association</w:t>
      </w:r>
      <w:r w:rsidR="00FB5F7F">
        <w:rPr>
          <w:sz w:val="20"/>
          <w:szCs w:val="20"/>
        </w:rPr>
        <w:fldChar w:fldCharType="begin"/>
      </w:r>
      <w:r w:rsidR="00FB5F7F">
        <w:rPr>
          <w:sz w:val="20"/>
          <w:szCs w:val="20"/>
        </w:rPr>
        <w:instrText xml:space="preserve"> HYPERLINK "https://www.aoa.org/news/clinical-eye-care/optometrists-amd-assessments-comparable-to-ophthalmologistsoutcomes" </w:instrText>
      </w:r>
      <w:r w:rsidR="00FB5F7F">
        <w:rPr>
          <w:sz w:val="20"/>
          <w:szCs w:val="20"/>
        </w:rPr>
        <w:fldChar w:fldCharType="separate"/>
      </w:r>
      <w:r w:rsidRPr="00FB5F7F">
        <w:rPr>
          <w:rStyle w:val="Hyperlink"/>
          <w:rFonts w:ascii="Calibri" w:hAnsi="Calibri"/>
          <w:sz w:val="20"/>
          <w:szCs w:val="20"/>
        </w:rPr>
        <w:t xml:space="preserve">: </w:t>
      </w:r>
      <w:r w:rsidR="00FB5F7F" w:rsidRPr="00FB5F7F">
        <w:rPr>
          <w:rStyle w:val="Hyperlink"/>
          <w:rFonts w:ascii="Calibri" w:hAnsi="Calibri"/>
          <w:sz w:val="20"/>
          <w:szCs w:val="20"/>
        </w:rPr>
        <w:t>Clinical Eye Care - Doctors’ of optometry AMD assessments comparable to ophthalmologists</w:t>
      </w:r>
      <w:r w:rsidRPr="00FB5F7F">
        <w:rPr>
          <w:rStyle w:val="Hyperlink"/>
          <w:rFonts w:ascii="Calibri" w:hAnsi="Calibri"/>
          <w:sz w:val="20"/>
          <w:szCs w:val="20"/>
        </w:rPr>
        <w:t xml:space="preserve">. </w:t>
      </w:r>
    </w:p>
    <w:p w14:paraId="69F7078C" w14:textId="452DB7B2" w:rsidR="009A602C" w:rsidRPr="009F6797" w:rsidRDefault="00FB5F7F" w:rsidP="009F6797">
      <w:pPr>
        <w:pStyle w:val="Body"/>
        <w:numPr>
          <w:ilvl w:val="0"/>
          <w:numId w:val="223"/>
        </w:numPr>
        <w:ind w:left="360"/>
        <w:rPr>
          <w:sz w:val="20"/>
          <w:szCs w:val="20"/>
        </w:rPr>
      </w:pPr>
      <w:r>
        <w:rPr>
          <w:sz w:val="20"/>
          <w:szCs w:val="20"/>
        </w:rPr>
        <w:fldChar w:fldCharType="end"/>
      </w:r>
      <w:r w:rsidR="009A602C" w:rsidRPr="00892C84">
        <w:rPr>
          <w:sz w:val="20"/>
          <w:szCs w:val="20"/>
        </w:rPr>
        <w:t>American Optometric Association:</w:t>
      </w:r>
      <w:r w:rsidR="009A602C" w:rsidRPr="009F6797">
        <w:rPr>
          <w:sz w:val="20"/>
          <w:szCs w:val="20"/>
        </w:rPr>
        <w:t xml:space="preserve"> </w:t>
      </w:r>
      <w:hyperlink r:id="rId20" w:history="1">
        <w:r w:rsidRPr="009F6797">
          <w:rPr>
            <w:rStyle w:val="Hyperlink"/>
            <w:rFonts w:ascii="Calibri" w:hAnsi="Calibri"/>
            <w:sz w:val="20"/>
            <w:szCs w:val="20"/>
          </w:rPr>
          <w:t xml:space="preserve">Clinical eye care - Optometrists AMD assessments comparable to </w:t>
        </w:r>
        <w:r w:rsidR="009F6797" w:rsidRPr="009F6797">
          <w:rPr>
            <w:rStyle w:val="Hyperlink"/>
            <w:rFonts w:ascii="Calibri" w:hAnsi="Calibri"/>
            <w:sz w:val="20"/>
            <w:szCs w:val="20"/>
          </w:rPr>
          <w:t>ophthalmologist’s</w:t>
        </w:r>
        <w:r w:rsidRPr="009F6797">
          <w:rPr>
            <w:rStyle w:val="Hyperlink"/>
            <w:rFonts w:ascii="Calibri" w:hAnsi="Calibri"/>
            <w:sz w:val="20"/>
            <w:szCs w:val="20"/>
          </w:rPr>
          <w:t xml:space="preserve"> outcome</w:t>
        </w:r>
      </w:hyperlink>
      <w:r w:rsidR="009A602C" w:rsidRPr="009F6797">
        <w:rPr>
          <w:sz w:val="20"/>
          <w:szCs w:val="20"/>
        </w:rPr>
        <w:t>.</w:t>
      </w:r>
    </w:p>
    <w:p w14:paraId="579B00D5" w14:textId="5236888B" w:rsidR="00FE534C" w:rsidRPr="009A602C" w:rsidRDefault="00FE534C" w:rsidP="00203192">
      <w:pPr>
        <w:ind w:left="360"/>
      </w:pPr>
    </w:p>
    <w:sectPr w:rsidR="00FE534C" w:rsidRPr="009A602C" w:rsidSect="00210AEB">
      <w:headerReference w:type="default" r:id="rId21"/>
      <w:endnotePr>
        <w:numFmt w:val="decimal"/>
      </w:endnotePr>
      <w:pgSz w:w="11906" w:h="16838"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390B7" w14:textId="77777777" w:rsidR="00DC5609" w:rsidRDefault="00DC5609" w:rsidP="00934C96">
      <w:r>
        <w:separator/>
      </w:r>
    </w:p>
    <w:p w14:paraId="2FD3B3EB" w14:textId="77777777" w:rsidR="00DC5609" w:rsidRDefault="00DC5609" w:rsidP="00934C96"/>
  </w:endnote>
  <w:endnote w:type="continuationSeparator" w:id="0">
    <w:p w14:paraId="00C93FD0" w14:textId="77777777" w:rsidR="00DC5609" w:rsidRDefault="00DC5609" w:rsidP="00934C96">
      <w:r>
        <w:continuationSeparator/>
      </w:r>
    </w:p>
    <w:p w14:paraId="43A1CF13" w14:textId="77777777" w:rsidR="00DC5609" w:rsidRDefault="00DC5609" w:rsidP="00934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30532CD-E84D-4C5C-B641-379C0E1BD11E}"/>
    <w:embedBold r:id="rId2" w:fontKey="{6DD19C81-DDC2-42AC-9B81-631C92E59D3F}"/>
    <w:embedItalic r:id="rId3" w:fontKey="{5DBBB0B3-8C8D-4A1D-9F88-6BDF51A35F10}"/>
    <w:embedBoldItalic r:id="rId4" w:fontKey="{70AB7B5D-0ECA-4285-87E7-BCBC7B2010A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5" w:fontKey="{A75607EE-73C6-4536-88E0-7922CC13F223}"/>
    <w:embedBold r:id="rId6" w:fontKey="{2883D45D-4F92-48CF-A2D5-63D86AD727EA}"/>
    <w:embedItalic r:id="rId7" w:fontKey="{33716EFF-BD7A-41A9-B0D9-B88CD228095A}"/>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A4517" w14:textId="6BBAFB9B" w:rsidR="00DC5609" w:rsidRPr="00B97717" w:rsidRDefault="00DC5609" w:rsidP="00B97717">
    <w:pPr>
      <w:pStyle w:val="Footer"/>
      <w:pBdr>
        <w:top w:val="single" w:sz="4" w:space="0" w:color="B66113"/>
      </w:pBdr>
      <w:tabs>
        <w:tab w:val="clear" w:pos="4513"/>
      </w:tabs>
      <w:rPr>
        <w:sz w:val="22"/>
        <w:szCs w:val="22"/>
      </w:rPr>
    </w:pPr>
    <w:r w:rsidRPr="00B97717">
      <w:rPr>
        <w:color w:val="01653F"/>
        <w:sz w:val="22"/>
        <w:szCs w:val="22"/>
        <w:u w:color="01653F"/>
      </w:rPr>
      <w:t>Report from the Ophthalmology Clinical Committee – 201</w:t>
    </w:r>
    <w:r>
      <w:rPr>
        <w:color w:val="01653F"/>
        <w:sz w:val="22"/>
        <w:szCs w:val="22"/>
        <w:u w:color="01653F"/>
      </w:rPr>
      <w:t>9</w:t>
    </w:r>
    <w:r w:rsidRPr="00B97717">
      <w:rPr>
        <w:sz w:val="22"/>
        <w:szCs w:val="22"/>
      </w:rPr>
      <w:tab/>
      <w:t xml:space="preserve">Page </w:t>
    </w:r>
    <w:r w:rsidRPr="00B97717">
      <w:rPr>
        <w:sz w:val="22"/>
        <w:szCs w:val="22"/>
      </w:rPr>
      <w:fldChar w:fldCharType="begin"/>
    </w:r>
    <w:r w:rsidRPr="00B97717">
      <w:rPr>
        <w:sz w:val="22"/>
        <w:szCs w:val="22"/>
      </w:rPr>
      <w:instrText xml:space="preserve"> PAGE   \* MERGEFORMAT </w:instrText>
    </w:r>
    <w:r w:rsidRPr="00B97717">
      <w:rPr>
        <w:sz w:val="22"/>
        <w:szCs w:val="22"/>
      </w:rPr>
      <w:fldChar w:fldCharType="separate"/>
    </w:r>
    <w:r w:rsidR="00EB00B3">
      <w:rPr>
        <w:noProof/>
        <w:sz w:val="22"/>
        <w:szCs w:val="22"/>
      </w:rPr>
      <w:t>ii</w:t>
    </w:r>
    <w:r w:rsidRPr="00B97717">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7800C" w14:textId="7E9BF7AB" w:rsidR="00DC5609" w:rsidRPr="005565B8" w:rsidRDefault="00DC5609" w:rsidP="004958B0">
    <w:pPr>
      <w:pStyle w:val="Footer"/>
      <w:rPr>
        <w:sz w:val="17"/>
        <w:szCs w:val="17"/>
      </w:rPr>
    </w:pPr>
    <w:r w:rsidRPr="005565B8">
      <w:rPr>
        <w:sz w:val="17"/>
        <w:szCs w:val="17"/>
      </w:rPr>
      <w:t xml:space="preserve">Report from the </w:t>
    </w:r>
    <w:r>
      <w:rPr>
        <w:sz w:val="17"/>
        <w:szCs w:val="17"/>
      </w:rPr>
      <w:t xml:space="preserve">Ophthalmology </w:t>
    </w:r>
    <w:r w:rsidRPr="005565B8">
      <w:rPr>
        <w:sz w:val="17"/>
        <w:szCs w:val="17"/>
      </w:rPr>
      <w:t>Clinical Committee, 201</w:t>
    </w:r>
    <w:r>
      <w:rPr>
        <w:sz w:val="17"/>
        <w:szCs w:val="17"/>
      </w:rPr>
      <w:t>9</w:t>
    </w:r>
    <w:r w:rsidRPr="005565B8">
      <w:rPr>
        <w:sz w:val="17"/>
        <w:szCs w:val="17"/>
      </w:rPr>
      <w:ptab w:relativeTo="margin" w:alignment="right" w:leader="none"/>
    </w:r>
    <w:r w:rsidRPr="005565B8">
      <w:rPr>
        <w:sz w:val="17"/>
        <w:szCs w:val="17"/>
      </w:rPr>
      <w:t xml:space="preserve">Page </w:t>
    </w:r>
    <w:r w:rsidRPr="005565B8">
      <w:rPr>
        <w:sz w:val="17"/>
        <w:szCs w:val="17"/>
      </w:rPr>
      <w:fldChar w:fldCharType="begin"/>
    </w:r>
    <w:r w:rsidRPr="005565B8">
      <w:rPr>
        <w:sz w:val="17"/>
        <w:szCs w:val="17"/>
      </w:rPr>
      <w:instrText xml:space="preserve"> PAGE   \* MERGEFORMAT </w:instrText>
    </w:r>
    <w:r w:rsidRPr="005565B8">
      <w:rPr>
        <w:sz w:val="17"/>
        <w:szCs w:val="17"/>
      </w:rPr>
      <w:fldChar w:fldCharType="separate"/>
    </w:r>
    <w:r w:rsidR="00EB00B3" w:rsidRPr="00EB00B3">
      <w:rPr>
        <w:rFonts w:eastAsiaTheme="majorEastAsia"/>
        <w:noProof/>
        <w:sz w:val="17"/>
        <w:szCs w:val="17"/>
      </w:rPr>
      <w:t>21</w:t>
    </w:r>
    <w:r w:rsidRPr="005565B8">
      <w:rPr>
        <w:rFonts w:eastAsiaTheme="majorEastAsia"/>
        <w:noProof/>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BDDE6" w14:textId="77777777" w:rsidR="00DC5609" w:rsidRDefault="00DC5609" w:rsidP="00934C96">
      <w:r>
        <w:separator/>
      </w:r>
    </w:p>
    <w:p w14:paraId="196CB55F" w14:textId="77777777" w:rsidR="00DC5609" w:rsidRDefault="00DC5609" w:rsidP="00934C96"/>
  </w:footnote>
  <w:footnote w:type="continuationSeparator" w:id="0">
    <w:p w14:paraId="37763FD0" w14:textId="77777777" w:rsidR="00DC5609" w:rsidRDefault="00DC5609" w:rsidP="00934C96">
      <w:r>
        <w:continuationSeparator/>
      </w:r>
    </w:p>
    <w:p w14:paraId="4E7AF0A5" w14:textId="77777777" w:rsidR="00DC5609" w:rsidRDefault="00DC5609" w:rsidP="00934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F62A0" w14:textId="2A5F1E1A" w:rsidR="00DC5609" w:rsidRDefault="00DC5609" w:rsidP="00934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B0432" w14:textId="77777777" w:rsidR="00DC5609" w:rsidRDefault="00DC5609" w:rsidP="00934C96">
    <w:r>
      <w:rPr>
        <w:noProof/>
        <w:lang w:val="en-AU"/>
      </w:rPr>
      <w:drawing>
        <wp:anchor distT="0" distB="0" distL="114300" distR="114300" simplePos="0" relativeHeight="251658240" behindDoc="1" locked="0" layoutInCell="1" allowOverlap="1" wp14:anchorId="344B0D4F" wp14:editId="0DFAF708">
          <wp:simplePos x="0" y="0"/>
          <wp:positionH relativeFrom="page">
            <wp:align>left</wp:align>
          </wp:positionH>
          <wp:positionV relativeFrom="paragraph">
            <wp:posOffset>-457200</wp:posOffset>
          </wp:positionV>
          <wp:extent cx="7562850" cy="10697357"/>
          <wp:effectExtent l="0" t="0" r="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7CB4" w14:textId="77777777" w:rsidR="00DC5609" w:rsidRDefault="00DC5609" w:rsidP="00F869D0">
    <w:pPr>
      <w:spacing w:before="0" w:after="0"/>
    </w:pPr>
    <w:r>
      <w:rPr>
        <w:noProof/>
        <w:lang w:val="en-AU"/>
      </w:rPr>
      <w:drawing>
        <wp:anchor distT="0" distB="0" distL="114300" distR="114300" simplePos="0" relativeHeight="251656192" behindDoc="0" locked="0" layoutInCell="1" allowOverlap="1" wp14:anchorId="14F2AF69" wp14:editId="0ED8DB96">
          <wp:simplePos x="0" y="0"/>
          <wp:positionH relativeFrom="margin">
            <wp:align>center</wp:align>
          </wp:positionH>
          <wp:positionV relativeFrom="paragraph">
            <wp:posOffset>-300990</wp:posOffset>
          </wp:positionV>
          <wp:extent cx="7614920" cy="422275"/>
          <wp:effectExtent l="0" t="0" r="508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4920" cy="422275"/>
                  </a:xfrm>
                  <a:prstGeom prst="rect">
                    <a:avLst/>
                  </a:prstGeom>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7216" behindDoc="0" locked="0" layoutInCell="1" allowOverlap="1" wp14:anchorId="5C947537" wp14:editId="093B5F7E">
          <wp:simplePos x="0" y="0"/>
          <wp:positionH relativeFrom="margin">
            <wp:align>center</wp:align>
          </wp:positionH>
          <wp:positionV relativeFrom="paragraph">
            <wp:posOffset>-459740</wp:posOffset>
          </wp:positionV>
          <wp:extent cx="7619117" cy="736979"/>
          <wp:effectExtent l="0" t="0" r="127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DAD5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26A9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0D0B7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4AD0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C0F7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54C1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8EC2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61B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967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CEDD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C320D"/>
    <w:multiLevelType w:val="hybridMultilevel"/>
    <w:tmpl w:val="B53A02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004514D7"/>
    <w:multiLevelType w:val="hybridMultilevel"/>
    <w:tmpl w:val="54280AA8"/>
    <w:lvl w:ilvl="0" w:tplc="74B6F98C">
      <w:numFmt w:val="bullet"/>
      <w:lvlText w:val="-"/>
      <w:lvlJc w:val="left"/>
      <w:pPr>
        <w:ind w:left="1080" w:hanging="360"/>
      </w:pPr>
      <w:rPr>
        <w:rFonts w:ascii="Calibri" w:eastAsia="Times New Roman" w:hAnsi="Calibri" w:cs="Times New Roman" w:hint="default"/>
        <w:color w:val="385623" w:themeColor="accent6" w:themeShade="80"/>
      </w:rPr>
    </w:lvl>
    <w:lvl w:ilvl="1" w:tplc="0C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08407CA"/>
    <w:multiLevelType w:val="hybridMultilevel"/>
    <w:tmpl w:val="D0ACCF1E"/>
    <w:numStyleLink w:val="ImportedStyle9"/>
  </w:abstractNum>
  <w:abstractNum w:abstractNumId="13" w15:restartNumberingAfterBreak="0">
    <w:nsid w:val="00E8748D"/>
    <w:multiLevelType w:val="hybridMultilevel"/>
    <w:tmpl w:val="57303ACE"/>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74B6F98C">
      <w:numFmt w:val="bullet"/>
      <w:lvlText w:val="-"/>
      <w:lvlJc w:val="left"/>
      <w:pPr>
        <w:ind w:left="2160" w:hanging="360"/>
      </w:pPr>
      <w:rPr>
        <w:rFonts w:ascii="Calibri" w:eastAsia="Times New Roman" w:hAnsi="Calibri" w:cs="Times New Roman" w:hint="default"/>
        <w:color w:val="385623" w:themeColor="accent6" w:themeShade="80"/>
      </w:rPr>
    </w:lvl>
    <w:lvl w:ilvl="3" w:tplc="2FB80202">
      <w:start w:val="1"/>
      <w:numFmt w:val="bullet"/>
      <w:lvlText w:val=""/>
      <w:lvlJc w:val="left"/>
      <w:pPr>
        <w:ind w:left="2880" w:hanging="360"/>
      </w:pPr>
      <w:rPr>
        <w:rFonts w:ascii="Symbol" w:hAnsi="Symbol" w:hint="default"/>
        <w:color w:val="385623" w:themeColor="accent6" w:themeShade="8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041666"/>
    <w:multiLevelType w:val="hybridMultilevel"/>
    <w:tmpl w:val="DECE2ACA"/>
    <w:lvl w:ilvl="0" w:tplc="2FB80202">
      <w:start w:val="1"/>
      <w:numFmt w:val="bullet"/>
      <w:lvlText w:val=""/>
      <w:lvlJc w:val="left"/>
      <w:pPr>
        <w:ind w:left="720" w:hanging="360"/>
      </w:pPr>
      <w:rPr>
        <w:rFonts w:ascii="Symbol" w:hAnsi="Symbol" w:hint="default"/>
        <w:color w:val="385623" w:themeColor="accent6" w:themeShade="80"/>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1D87233"/>
    <w:multiLevelType w:val="hybridMultilevel"/>
    <w:tmpl w:val="D42676A0"/>
    <w:styleLink w:val="ImportedStyle27"/>
    <w:lvl w:ilvl="0" w:tplc="4B80008C">
      <w:start w:val="1"/>
      <w:numFmt w:val="bullet"/>
      <w:lvlText w:val="·"/>
      <w:lvlJc w:val="left"/>
      <w:pPr>
        <w:ind w:left="720"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34A4D0">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4660">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46A84E">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262B70">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AE8394">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561AAA">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1A4D34">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F09A9C">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43939A1"/>
    <w:multiLevelType w:val="hybridMultilevel"/>
    <w:tmpl w:val="7F8A4232"/>
    <w:lvl w:ilvl="0" w:tplc="04090003">
      <w:start w:val="1"/>
      <w:numFmt w:val="bullet"/>
      <w:lvlText w:val="o"/>
      <w:lvlJc w:val="left"/>
      <w:pPr>
        <w:ind w:left="1803" w:hanging="360"/>
      </w:pPr>
      <w:rPr>
        <w:rFonts w:ascii="Courier New" w:hAnsi="Courier New" w:cs="Courier New"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17" w15:restartNumberingAfterBreak="0">
    <w:nsid w:val="047A77AA"/>
    <w:multiLevelType w:val="hybridMultilevel"/>
    <w:tmpl w:val="A1023626"/>
    <w:numStyleLink w:val="ImportedStyle17"/>
  </w:abstractNum>
  <w:abstractNum w:abstractNumId="18" w15:restartNumberingAfterBreak="0">
    <w:nsid w:val="056E7625"/>
    <w:multiLevelType w:val="hybridMultilevel"/>
    <w:tmpl w:val="6EE020CC"/>
    <w:styleLink w:val="ImportedStyle30"/>
    <w:lvl w:ilvl="0" w:tplc="9DC057B4">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7E8B6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962D7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A6FE3E">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04E65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986E8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F239CA">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A20BC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9EE09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62B3E99"/>
    <w:multiLevelType w:val="hybridMultilevel"/>
    <w:tmpl w:val="889C477C"/>
    <w:lvl w:ilvl="0" w:tplc="04090005">
      <w:start w:val="1"/>
      <w:numFmt w:val="bullet"/>
      <w:lvlText w:val=""/>
      <w:lvlJc w:val="left"/>
      <w:pPr>
        <w:ind w:left="1800" w:hanging="360"/>
      </w:pPr>
      <w:rPr>
        <w:rFonts w:ascii="Wingdings" w:hAnsi="Wingdings" w:hint="default"/>
        <w:color w:val="385623" w:themeColor="accent6" w:themeShade="8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06F47AEA"/>
    <w:multiLevelType w:val="hybridMultilevel"/>
    <w:tmpl w:val="824E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76D00AD"/>
    <w:multiLevelType w:val="multilevel"/>
    <w:tmpl w:val="04090025"/>
    <w:lvl w:ilvl="0">
      <w:start w:val="1"/>
      <w:numFmt w:val="decimal"/>
      <w:pStyle w:val="Heading1"/>
      <w:lvlText w:val="%1"/>
      <w:lvlJc w:val="left"/>
      <w:pPr>
        <w:ind w:left="1567"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077379DA"/>
    <w:multiLevelType w:val="hybridMultilevel"/>
    <w:tmpl w:val="0810CE16"/>
    <w:lvl w:ilvl="0" w:tplc="74B6F98C">
      <w:numFmt w:val="bullet"/>
      <w:lvlText w:val="-"/>
      <w:lvlJc w:val="left"/>
      <w:pPr>
        <w:ind w:left="1800" w:hanging="360"/>
      </w:pPr>
      <w:rPr>
        <w:rFonts w:ascii="Calibri" w:eastAsia="Times New Roman" w:hAnsi="Calibri"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0905361E"/>
    <w:multiLevelType w:val="hybridMultilevel"/>
    <w:tmpl w:val="9788B96C"/>
    <w:lvl w:ilvl="0" w:tplc="74B6F98C">
      <w:numFmt w:val="bullet"/>
      <w:lvlText w:val="-"/>
      <w:lvlJc w:val="left"/>
      <w:pPr>
        <w:ind w:left="720" w:hanging="360"/>
      </w:pPr>
      <w:rPr>
        <w:rFonts w:ascii="Calibri" w:eastAsia="Times New Roman" w:hAnsi="Calibri" w:cs="Times New Roman" w:hint="default"/>
      </w:rPr>
    </w:lvl>
    <w:lvl w:ilvl="1" w:tplc="2FB80202">
      <w:start w:val="1"/>
      <w:numFmt w:val="bullet"/>
      <w:lvlText w:val=""/>
      <w:lvlJc w:val="left"/>
      <w:pPr>
        <w:ind w:left="1440" w:hanging="360"/>
      </w:pPr>
      <w:rPr>
        <w:rFonts w:ascii="Symbol" w:hAnsi="Symbol" w:hint="default"/>
        <w:color w:val="385623" w:themeColor="accent6" w:themeShade="80"/>
      </w:rPr>
    </w:lvl>
    <w:lvl w:ilvl="2" w:tplc="74B6F98C">
      <w:numFmt w:val="bullet"/>
      <w:lvlText w:val="-"/>
      <w:lvlJc w:val="left"/>
      <w:pPr>
        <w:ind w:left="2160" w:hanging="360"/>
      </w:pPr>
      <w:rPr>
        <w:rFonts w:ascii="Calibri" w:eastAsia="Times New Roma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99970A7"/>
    <w:multiLevelType w:val="hybridMultilevel"/>
    <w:tmpl w:val="83387A56"/>
    <w:lvl w:ilvl="0" w:tplc="74B6F98C">
      <w:numFmt w:val="bullet"/>
      <w:lvlText w:val="-"/>
      <w:lvlJc w:val="left"/>
      <w:pPr>
        <w:ind w:left="720" w:hanging="360"/>
      </w:pPr>
      <w:rPr>
        <w:rFonts w:ascii="Calibri" w:eastAsia="Times New Roman" w:hAnsi="Calibri"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9D13F0B"/>
    <w:multiLevelType w:val="hybridMultilevel"/>
    <w:tmpl w:val="F468EA2A"/>
    <w:lvl w:ilvl="0" w:tplc="2FB80202">
      <w:start w:val="1"/>
      <w:numFmt w:val="bullet"/>
      <w:lvlText w:val=""/>
      <w:lvlJc w:val="left"/>
      <w:pPr>
        <w:ind w:left="1080" w:hanging="360"/>
      </w:pPr>
      <w:rPr>
        <w:rFonts w:ascii="Symbol" w:hAnsi="Symbol" w:hint="default"/>
        <w:color w:val="385623" w:themeColor="accent6" w:themeShade="8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0B266918"/>
    <w:multiLevelType w:val="hybridMultilevel"/>
    <w:tmpl w:val="1FF45A9A"/>
    <w:styleLink w:val="ImportedStyle13"/>
    <w:lvl w:ilvl="0" w:tplc="432A0E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E4842C">
      <w:start w:val="1"/>
      <w:numFmt w:val="decimal"/>
      <w:lvlText w:val="%2."/>
      <w:lvlJc w:val="left"/>
      <w:pPr>
        <w:ind w:left="7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7476BC">
      <w:start w:val="1"/>
      <w:numFmt w:val="decimal"/>
      <w:lvlText w:val="%3."/>
      <w:lvlJc w:val="left"/>
      <w:pPr>
        <w:ind w:left="11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CC851C">
      <w:start w:val="1"/>
      <w:numFmt w:val="decimal"/>
      <w:lvlText w:val="%4."/>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005E1C">
      <w:start w:val="1"/>
      <w:numFmt w:val="lowerLetter"/>
      <w:lvlText w:val="(%5)"/>
      <w:lvlJc w:val="left"/>
      <w:pPr>
        <w:ind w:left="18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F076CE">
      <w:start w:val="1"/>
      <w:numFmt w:val="lowerRoman"/>
      <w:lvlText w:val="(%6)"/>
      <w:lvlJc w:val="left"/>
      <w:pPr>
        <w:ind w:left="2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60EF8">
      <w:start w:val="1"/>
      <w:numFmt w:val="decimal"/>
      <w:lvlText w:val="%7."/>
      <w:lvlJc w:val="left"/>
      <w:pPr>
        <w:ind w:left="25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BA359E">
      <w:start w:val="1"/>
      <w:numFmt w:val="lowerLetter"/>
      <w:lvlText w:val="%8."/>
      <w:lvlJc w:val="left"/>
      <w:pPr>
        <w:ind w:left="295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1EDD44">
      <w:start w:val="1"/>
      <w:numFmt w:val="lowerRoman"/>
      <w:lvlText w:val="%9."/>
      <w:lvlJc w:val="left"/>
      <w:pPr>
        <w:ind w:left="33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BDD5036"/>
    <w:multiLevelType w:val="hybridMultilevel"/>
    <w:tmpl w:val="BEA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1501F4"/>
    <w:multiLevelType w:val="hybridMultilevel"/>
    <w:tmpl w:val="4D004D06"/>
    <w:lvl w:ilvl="0" w:tplc="74B6F98C">
      <w:numFmt w:val="bullet"/>
      <w:lvlText w:val="-"/>
      <w:lvlJc w:val="left"/>
      <w:pPr>
        <w:ind w:left="2160" w:hanging="360"/>
      </w:pPr>
      <w:rPr>
        <w:rFonts w:ascii="Calibri" w:eastAsia="Times New Roman" w:hAnsi="Calibri" w:cs="Times New Roman" w:hint="default"/>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9" w15:restartNumberingAfterBreak="0">
    <w:nsid w:val="0D3E39BB"/>
    <w:multiLevelType w:val="hybridMultilevel"/>
    <w:tmpl w:val="38464CFE"/>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D40004E"/>
    <w:multiLevelType w:val="hybridMultilevel"/>
    <w:tmpl w:val="51DE10B2"/>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D80235F"/>
    <w:multiLevelType w:val="hybridMultilevel"/>
    <w:tmpl w:val="03D2D09E"/>
    <w:numStyleLink w:val="ImportedStyle16"/>
  </w:abstractNum>
  <w:abstractNum w:abstractNumId="32" w15:restartNumberingAfterBreak="0">
    <w:nsid w:val="0DA932C1"/>
    <w:multiLevelType w:val="hybridMultilevel"/>
    <w:tmpl w:val="FFD4F432"/>
    <w:lvl w:ilvl="0" w:tplc="2FB80202">
      <w:start w:val="1"/>
      <w:numFmt w:val="bullet"/>
      <w:lvlText w:val=""/>
      <w:lvlJc w:val="left"/>
      <w:pPr>
        <w:ind w:left="1440" w:hanging="360"/>
      </w:pPr>
      <w:rPr>
        <w:rFonts w:ascii="Symbol" w:hAnsi="Symbol" w:hint="default"/>
        <w:color w:val="385623" w:themeColor="accent6" w:themeShade="80"/>
      </w:rPr>
    </w:lvl>
    <w:lvl w:ilvl="1" w:tplc="74B6F98C">
      <w:numFmt w:val="bullet"/>
      <w:lvlText w:val="-"/>
      <w:lvlJc w:val="left"/>
      <w:pPr>
        <w:ind w:left="2160" w:hanging="360"/>
      </w:pPr>
      <w:rPr>
        <w:rFonts w:ascii="Calibri" w:eastAsia="Times New Roman" w:hAnsi="Calibri" w:cs="Times New Roman" w:hint="default"/>
        <w:color w:val="385623" w:themeColor="accent6" w:themeShade="8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0E812582"/>
    <w:multiLevelType w:val="hybridMultilevel"/>
    <w:tmpl w:val="51165038"/>
    <w:lvl w:ilvl="0" w:tplc="74B6F98C">
      <w:numFmt w:val="bullet"/>
      <w:lvlText w:val="-"/>
      <w:lvlJc w:val="left"/>
      <w:pPr>
        <w:ind w:left="1080" w:hanging="360"/>
      </w:pPr>
      <w:rPr>
        <w:rFonts w:ascii="Calibri" w:eastAsia="Times New Roman" w:hAnsi="Calibri" w:cs="Times New Roman" w:hint="default"/>
        <w:color w:val="385623" w:themeColor="accent6" w:themeShade="8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0F363037"/>
    <w:multiLevelType w:val="hybridMultilevel"/>
    <w:tmpl w:val="B1EADAE4"/>
    <w:lvl w:ilvl="0" w:tplc="2FB80202">
      <w:start w:val="1"/>
      <w:numFmt w:val="bullet"/>
      <w:lvlText w:val=""/>
      <w:lvlJc w:val="left"/>
      <w:pPr>
        <w:ind w:left="720" w:hanging="360"/>
      </w:pPr>
      <w:rPr>
        <w:rFonts w:ascii="Symbol" w:hAnsi="Symbol" w:hint="default"/>
        <w:color w:val="385623" w:themeColor="accent6" w:themeShade="80"/>
      </w:rPr>
    </w:lvl>
    <w:lvl w:ilvl="1" w:tplc="74B6F98C">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F514255"/>
    <w:multiLevelType w:val="hybridMultilevel"/>
    <w:tmpl w:val="ABCE6C84"/>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74B6F98C">
      <w:numFmt w:val="bullet"/>
      <w:lvlText w:val="-"/>
      <w:lvlJc w:val="left"/>
      <w:pPr>
        <w:ind w:left="2160" w:hanging="360"/>
      </w:pPr>
      <w:rPr>
        <w:rFonts w:ascii="Calibri" w:eastAsia="Times New Roman" w:hAnsi="Calibri" w:cs="Times New Roman" w:hint="default"/>
        <w:color w:val="385623" w:themeColor="accent6" w:themeShade="80"/>
      </w:rPr>
    </w:lvl>
    <w:lvl w:ilvl="3" w:tplc="2FB80202">
      <w:start w:val="1"/>
      <w:numFmt w:val="bullet"/>
      <w:lvlText w:val=""/>
      <w:lvlJc w:val="left"/>
      <w:pPr>
        <w:ind w:left="2880" w:hanging="360"/>
      </w:pPr>
      <w:rPr>
        <w:rFonts w:ascii="Symbol" w:hAnsi="Symbol" w:hint="default"/>
        <w:color w:val="385623" w:themeColor="accent6" w:themeShade="8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C10189"/>
    <w:multiLevelType w:val="hybridMultilevel"/>
    <w:tmpl w:val="450C37C6"/>
    <w:styleLink w:val="ImportedStyle24"/>
    <w:lvl w:ilvl="0" w:tplc="07800E60">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94332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22512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5C161A">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4ACEC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90F40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A27300">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2B914">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54EF7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05D6373"/>
    <w:multiLevelType w:val="hybridMultilevel"/>
    <w:tmpl w:val="16503D5C"/>
    <w:styleLink w:val="ImportedStyle28"/>
    <w:lvl w:ilvl="0" w:tplc="4BF8BE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3072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269D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E1C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4E24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6CE7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A61E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8A1B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48C2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0BB186A"/>
    <w:multiLevelType w:val="hybridMultilevel"/>
    <w:tmpl w:val="7AD84B3E"/>
    <w:lvl w:ilvl="0" w:tplc="74B6F98C">
      <w:numFmt w:val="bullet"/>
      <w:lvlText w:val="-"/>
      <w:lvlJc w:val="left"/>
      <w:pPr>
        <w:ind w:left="1440" w:hanging="360"/>
      </w:pPr>
      <w:rPr>
        <w:rFonts w:ascii="Calibri" w:eastAsia="Times New Roman" w:hAnsi="Calibri" w:cs="Times New Roman"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12A20A80"/>
    <w:multiLevelType w:val="hybridMultilevel"/>
    <w:tmpl w:val="F2507F4E"/>
    <w:lvl w:ilvl="0" w:tplc="CD2ED2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44C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5C96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6054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9C9B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ECC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88A3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2408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AB2CF1"/>
    <w:multiLevelType w:val="hybridMultilevel"/>
    <w:tmpl w:val="C7D608FA"/>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2FB80202">
      <w:start w:val="1"/>
      <w:numFmt w:val="bullet"/>
      <w:lvlText w:val=""/>
      <w:lvlJc w:val="left"/>
      <w:pPr>
        <w:ind w:left="2160" w:hanging="360"/>
      </w:pPr>
      <w:rPr>
        <w:rFonts w:ascii="Symbol" w:hAnsi="Symbol" w:hint="default"/>
        <w:color w:val="385623" w:themeColor="accent6" w:themeShade="80"/>
      </w:rPr>
    </w:lvl>
    <w:lvl w:ilvl="3" w:tplc="74B6F98C">
      <w:numFmt w:val="bullet"/>
      <w:lvlText w:val="-"/>
      <w:lvlJc w:val="left"/>
      <w:pPr>
        <w:ind w:left="2880" w:hanging="360"/>
      </w:pPr>
      <w:rPr>
        <w:rFonts w:ascii="Calibri" w:eastAsia="Times New Roman" w:hAnsi="Calibri" w:cs="Times New Roman" w:hint="default"/>
        <w:color w:val="385623" w:themeColor="accent6" w:themeShade="80"/>
      </w:rPr>
    </w:lvl>
    <w:lvl w:ilvl="4" w:tplc="74B6F98C">
      <w:numFmt w:val="bullet"/>
      <w:lvlText w:val="-"/>
      <w:lvlJc w:val="left"/>
      <w:pPr>
        <w:ind w:left="3600" w:hanging="360"/>
      </w:pPr>
      <w:rPr>
        <w:rFonts w:ascii="Calibri" w:eastAsia="Times New Roman" w:hAnsi="Calibri"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4" w15:restartNumberingAfterBreak="0">
    <w:nsid w:val="147510FC"/>
    <w:multiLevelType w:val="hybridMultilevel"/>
    <w:tmpl w:val="3616375E"/>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520143F"/>
    <w:multiLevelType w:val="hybridMultilevel"/>
    <w:tmpl w:val="646AAB74"/>
    <w:numStyleLink w:val="ImportedStyle2"/>
  </w:abstractNum>
  <w:abstractNum w:abstractNumId="46" w15:restartNumberingAfterBreak="0">
    <w:nsid w:val="163A584B"/>
    <w:multiLevelType w:val="hybridMultilevel"/>
    <w:tmpl w:val="15CC97B0"/>
    <w:lvl w:ilvl="0" w:tplc="74B6F98C">
      <w:numFmt w:val="bullet"/>
      <w:lvlText w:val="-"/>
      <w:lvlJc w:val="left"/>
      <w:pPr>
        <w:ind w:left="1511" w:hanging="360"/>
      </w:pPr>
      <w:rPr>
        <w:rFonts w:ascii="Calibri" w:eastAsia="Times New Roman" w:hAnsi="Calibri" w:cs="Times New Roman" w:hint="default"/>
      </w:rPr>
    </w:lvl>
    <w:lvl w:ilvl="1" w:tplc="0C090019" w:tentative="1">
      <w:start w:val="1"/>
      <w:numFmt w:val="lowerLetter"/>
      <w:lvlText w:val="%2."/>
      <w:lvlJc w:val="left"/>
      <w:pPr>
        <w:ind w:left="2231" w:hanging="360"/>
      </w:pPr>
    </w:lvl>
    <w:lvl w:ilvl="2" w:tplc="0C09001B" w:tentative="1">
      <w:start w:val="1"/>
      <w:numFmt w:val="lowerRoman"/>
      <w:lvlText w:val="%3."/>
      <w:lvlJc w:val="right"/>
      <w:pPr>
        <w:ind w:left="2951" w:hanging="180"/>
      </w:pPr>
    </w:lvl>
    <w:lvl w:ilvl="3" w:tplc="0C09000F" w:tentative="1">
      <w:start w:val="1"/>
      <w:numFmt w:val="decimal"/>
      <w:lvlText w:val="%4."/>
      <w:lvlJc w:val="left"/>
      <w:pPr>
        <w:ind w:left="3671" w:hanging="360"/>
      </w:pPr>
    </w:lvl>
    <w:lvl w:ilvl="4" w:tplc="0C090019" w:tentative="1">
      <w:start w:val="1"/>
      <w:numFmt w:val="lowerLetter"/>
      <w:lvlText w:val="%5."/>
      <w:lvlJc w:val="left"/>
      <w:pPr>
        <w:ind w:left="4391" w:hanging="360"/>
      </w:pPr>
    </w:lvl>
    <w:lvl w:ilvl="5" w:tplc="0C09001B" w:tentative="1">
      <w:start w:val="1"/>
      <w:numFmt w:val="lowerRoman"/>
      <w:lvlText w:val="%6."/>
      <w:lvlJc w:val="right"/>
      <w:pPr>
        <w:ind w:left="5111" w:hanging="180"/>
      </w:pPr>
    </w:lvl>
    <w:lvl w:ilvl="6" w:tplc="0C09000F" w:tentative="1">
      <w:start w:val="1"/>
      <w:numFmt w:val="decimal"/>
      <w:lvlText w:val="%7."/>
      <w:lvlJc w:val="left"/>
      <w:pPr>
        <w:ind w:left="5831" w:hanging="360"/>
      </w:pPr>
    </w:lvl>
    <w:lvl w:ilvl="7" w:tplc="0C090019" w:tentative="1">
      <w:start w:val="1"/>
      <w:numFmt w:val="lowerLetter"/>
      <w:lvlText w:val="%8."/>
      <w:lvlJc w:val="left"/>
      <w:pPr>
        <w:ind w:left="6551" w:hanging="360"/>
      </w:pPr>
    </w:lvl>
    <w:lvl w:ilvl="8" w:tplc="0C09001B" w:tentative="1">
      <w:start w:val="1"/>
      <w:numFmt w:val="lowerRoman"/>
      <w:lvlText w:val="%9."/>
      <w:lvlJc w:val="right"/>
      <w:pPr>
        <w:ind w:left="7271" w:hanging="180"/>
      </w:pPr>
    </w:lvl>
  </w:abstractNum>
  <w:abstractNum w:abstractNumId="47"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49" w15:restartNumberingAfterBreak="0">
    <w:nsid w:val="1828781C"/>
    <w:multiLevelType w:val="hybridMultilevel"/>
    <w:tmpl w:val="450C37C6"/>
    <w:numStyleLink w:val="ImportedStyle24"/>
  </w:abstractNum>
  <w:abstractNum w:abstractNumId="50" w15:restartNumberingAfterBreak="0">
    <w:nsid w:val="18790A83"/>
    <w:multiLevelType w:val="hybridMultilevel"/>
    <w:tmpl w:val="D0ACCF1E"/>
    <w:styleLink w:val="ImportedStyle9"/>
    <w:lvl w:ilvl="0" w:tplc="521EB5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9CCE1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66FDB4">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CBE4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2643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CB2E6">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C4DB3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02D1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B86D38">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19922E41"/>
    <w:multiLevelType w:val="hybridMultilevel"/>
    <w:tmpl w:val="7D7427AC"/>
    <w:numStyleLink w:val="ImportedStyle6"/>
  </w:abstractNum>
  <w:abstractNum w:abstractNumId="52" w15:restartNumberingAfterBreak="0">
    <w:nsid w:val="1C383E0A"/>
    <w:multiLevelType w:val="hybridMultilevel"/>
    <w:tmpl w:val="DD10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225298"/>
    <w:multiLevelType w:val="hybridMultilevel"/>
    <w:tmpl w:val="60A2A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FA25A2"/>
    <w:multiLevelType w:val="hybridMultilevel"/>
    <w:tmpl w:val="9294BDE0"/>
    <w:lvl w:ilvl="0" w:tplc="74B6F98C">
      <w:numFmt w:val="bullet"/>
      <w:lvlText w:val="-"/>
      <w:lvlJc w:val="left"/>
      <w:pPr>
        <w:ind w:left="1080" w:hanging="360"/>
      </w:pPr>
      <w:rPr>
        <w:rFonts w:ascii="Calibri" w:eastAsia="Times New Roman" w:hAnsi="Calibri" w:cs="Times New Roman"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1E8804A0"/>
    <w:multiLevelType w:val="hybridMultilevel"/>
    <w:tmpl w:val="46D6FAF8"/>
    <w:styleLink w:val="ImportedStyle22"/>
    <w:lvl w:ilvl="0" w:tplc="8DF6BB14">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7CC484">
      <w:start w:val="1"/>
      <w:numFmt w:val="bullet"/>
      <w:lvlText w:val="o"/>
      <w:lvlJc w:val="left"/>
      <w:pPr>
        <w:ind w:left="18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18CA8C">
      <w:start w:val="1"/>
      <w:numFmt w:val="bullet"/>
      <w:lvlText w:val="▪"/>
      <w:lvlJc w:val="left"/>
      <w:pPr>
        <w:ind w:left="25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F8137C">
      <w:start w:val="1"/>
      <w:numFmt w:val="bullet"/>
      <w:lvlText w:val="•"/>
      <w:lvlJc w:val="left"/>
      <w:pPr>
        <w:ind w:left="32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A84AC6">
      <w:start w:val="1"/>
      <w:numFmt w:val="bullet"/>
      <w:lvlText w:val="o"/>
      <w:lvlJc w:val="left"/>
      <w:pPr>
        <w:ind w:left="396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8B680">
      <w:start w:val="1"/>
      <w:numFmt w:val="bullet"/>
      <w:lvlText w:val="▪"/>
      <w:lvlJc w:val="left"/>
      <w:pPr>
        <w:ind w:left="468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7293CC">
      <w:start w:val="1"/>
      <w:numFmt w:val="bullet"/>
      <w:lvlText w:val="•"/>
      <w:lvlJc w:val="left"/>
      <w:pPr>
        <w:ind w:left="540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DA6386">
      <w:start w:val="1"/>
      <w:numFmt w:val="bullet"/>
      <w:lvlText w:val="o"/>
      <w:lvlJc w:val="left"/>
      <w:pPr>
        <w:ind w:left="612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36AF70">
      <w:start w:val="1"/>
      <w:numFmt w:val="bullet"/>
      <w:lvlText w:val="▪"/>
      <w:lvlJc w:val="left"/>
      <w:pPr>
        <w:ind w:left="6840"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15734B2"/>
    <w:multiLevelType w:val="hybridMultilevel"/>
    <w:tmpl w:val="E5AEFDE8"/>
    <w:lvl w:ilvl="0" w:tplc="74B6F98C">
      <w:numFmt w:val="bullet"/>
      <w:lvlText w:val="-"/>
      <w:lvlJc w:val="left"/>
      <w:pPr>
        <w:ind w:left="1151" w:hanging="360"/>
      </w:pPr>
      <w:rPr>
        <w:rFonts w:ascii="Calibri" w:eastAsia="Times New Roman" w:hAnsi="Calibri" w:cs="Times New Roman" w:hint="default"/>
      </w:r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57" w15:restartNumberingAfterBreak="0">
    <w:nsid w:val="21DC3237"/>
    <w:multiLevelType w:val="hybridMultilevel"/>
    <w:tmpl w:val="3A26261C"/>
    <w:numStyleLink w:val="ImportedStyle4"/>
  </w:abstractNum>
  <w:abstractNum w:abstractNumId="58" w15:restartNumberingAfterBreak="0">
    <w:nsid w:val="2285010C"/>
    <w:multiLevelType w:val="hybridMultilevel"/>
    <w:tmpl w:val="99806318"/>
    <w:styleLink w:val="ImportedStyle14"/>
    <w:lvl w:ilvl="0" w:tplc="1B5617D8">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8EB8AA">
      <w:start w:val="1"/>
      <w:numFmt w:val="bullet"/>
      <w:lvlText w:val="o"/>
      <w:lvlJc w:val="left"/>
      <w:pPr>
        <w:ind w:left="107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B6F608">
      <w:start w:val="1"/>
      <w:numFmt w:val="bullet"/>
      <w:lvlText w:val="▪"/>
      <w:lvlJc w:val="left"/>
      <w:pPr>
        <w:ind w:left="179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FCEB9C">
      <w:start w:val="1"/>
      <w:numFmt w:val="bullet"/>
      <w:lvlText w:val="•"/>
      <w:lvlJc w:val="left"/>
      <w:pPr>
        <w:ind w:left="251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CE100E">
      <w:start w:val="1"/>
      <w:numFmt w:val="bullet"/>
      <w:lvlText w:val="o"/>
      <w:lvlJc w:val="left"/>
      <w:pPr>
        <w:ind w:left="323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6C2EC2">
      <w:start w:val="1"/>
      <w:numFmt w:val="bullet"/>
      <w:lvlText w:val="▪"/>
      <w:lvlJc w:val="left"/>
      <w:pPr>
        <w:ind w:left="395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70894C">
      <w:start w:val="1"/>
      <w:numFmt w:val="bullet"/>
      <w:lvlText w:val="•"/>
      <w:lvlJc w:val="left"/>
      <w:pPr>
        <w:ind w:left="467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30FEAE">
      <w:start w:val="1"/>
      <w:numFmt w:val="bullet"/>
      <w:lvlText w:val="o"/>
      <w:lvlJc w:val="left"/>
      <w:pPr>
        <w:ind w:left="539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AE9686">
      <w:start w:val="1"/>
      <w:numFmt w:val="bullet"/>
      <w:lvlText w:val="▪"/>
      <w:lvlJc w:val="left"/>
      <w:pPr>
        <w:ind w:left="611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2E8634A"/>
    <w:multiLevelType w:val="hybridMultilevel"/>
    <w:tmpl w:val="8E5845D8"/>
    <w:lvl w:ilvl="0" w:tplc="CD2ED2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44C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5C96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6054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9C9B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ECC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88A3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2408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61" w15:restartNumberingAfterBreak="0">
    <w:nsid w:val="24116994"/>
    <w:multiLevelType w:val="hybridMultilevel"/>
    <w:tmpl w:val="3A26261C"/>
    <w:styleLink w:val="ImportedStyle4"/>
    <w:lvl w:ilvl="0" w:tplc="7B7A7082">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D21E0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4E888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6872EE">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22241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F0DD0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6E9EA6">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42091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2EE4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4C01B34"/>
    <w:multiLevelType w:val="hybridMultilevel"/>
    <w:tmpl w:val="93C0A8BC"/>
    <w:lvl w:ilvl="0" w:tplc="04090005">
      <w:start w:val="1"/>
      <w:numFmt w:val="bullet"/>
      <w:lvlText w:val=""/>
      <w:lvlJc w:val="left"/>
      <w:pPr>
        <w:ind w:left="1151" w:hanging="360"/>
      </w:pPr>
      <w:rPr>
        <w:rFonts w:ascii="Wingdings" w:hAnsi="Wingdings" w:hint="default"/>
      </w:r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63" w15:restartNumberingAfterBreak="0">
    <w:nsid w:val="25475333"/>
    <w:multiLevelType w:val="hybridMultilevel"/>
    <w:tmpl w:val="704C7FA6"/>
    <w:lvl w:ilvl="0" w:tplc="2FB80202">
      <w:start w:val="1"/>
      <w:numFmt w:val="bullet"/>
      <w:lvlText w:val=""/>
      <w:lvlJc w:val="left"/>
      <w:pPr>
        <w:ind w:left="720" w:hanging="360"/>
      </w:pPr>
      <w:rPr>
        <w:rFonts w:ascii="Symbol" w:hAnsi="Symbol" w:hint="default"/>
        <w:b w:val="0"/>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5CF2487"/>
    <w:multiLevelType w:val="hybridMultilevel"/>
    <w:tmpl w:val="E794DC24"/>
    <w:lvl w:ilvl="0" w:tplc="2FB80202">
      <w:start w:val="1"/>
      <w:numFmt w:val="bullet"/>
      <w:lvlText w:val=""/>
      <w:lvlJc w:val="left"/>
      <w:pPr>
        <w:ind w:left="720" w:hanging="360"/>
      </w:pPr>
      <w:rPr>
        <w:rFonts w:ascii="Symbol" w:hAnsi="Symbol" w:hint="default"/>
        <w:color w:val="385623" w:themeColor="accent6" w:themeShade="80"/>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6245A89"/>
    <w:multiLevelType w:val="hybridMultilevel"/>
    <w:tmpl w:val="F550BA9A"/>
    <w:lvl w:ilvl="0" w:tplc="74B6F98C">
      <w:numFmt w:val="bullet"/>
      <w:lvlText w:val="-"/>
      <w:lvlJc w:val="left"/>
      <w:pPr>
        <w:ind w:left="1512" w:hanging="360"/>
      </w:pPr>
      <w:rPr>
        <w:rFonts w:ascii="Calibri" w:eastAsia="Times New Roman" w:hAnsi="Calibri" w:cs="Times New Roman" w:hint="default"/>
      </w:rPr>
    </w:lvl>
    <w:lvl w:ilvl="1" w:tplc="0C090003" w:tentative="1">
      <w:start w:val="1"/>
      <w:numFmt w:val="bullet"/>
      <w:lvlText w:val="o"/>
      <w:lvlJc w:val="left"/>
      <w:pPr>
        <w:ind w:left="2232" w:hanging="360"/>
      </w:pPr>
      <w:rPr>
        <w:rFonts w:ascii="Courier New" w:hAnsi="Courier New" w:cs="Courier New" w:hint="default"/>
      </w:rPr>
    </w:lvl>
    <w:lvl w:ilvl="2" w:tplc="0C090005">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66" w15:restartNumberingAfterBreak="0">
    <w:nsid w:val="26C7595A"/>
    <w:multiLevelType w:val="hybridMultilevel"/>
    <w:tmpl w:val="6EE020CC"/>
    <w:numStyleLink w:val="ImportedStyle30"/>
  </w:abstractNum>
  <w:abstractNum w:abstractNumId="67" w15:restartNumberingAfterBreak="0">
    <w:nsid w:val="29184784"/>
    <w:multiLevelType w:val="hybridMultilevel"/>
    <w:tmpl w:val="C2524C62"/>
    <w:styleLink w:val="ImportedStyle10"/>
    <w:lvl w:ilvl="0" w:tplc="A7DC49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3CE1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5A09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8E723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80CD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E8A4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D64E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E0F1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760C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2AAA0484"/>
    <w:multiLevelType w:val="hybridMultilevel"/>
    <w:tmpl w:val="DF28985E"/>
    <w:lvl w:ilvl="0" w:tplc="74B6F98C">
      <w:numFmt w:val="bullet"/>
      <w:lvlText w:val="-"/>
      <w:lvlJc w:val="left"/>
      <w:pPr>
        <w:ind w:left="1140" w:hanging="431"/>
      </w:pPr>
      <w:rPr>
        <w:rFonts w:ascii="Calibri" w:eastAsia="Times New Roman" w:hAnsi="Calibri" w:cs="Times New Roman"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509" w:hanging="720"/>
      </w:pPr>
      <w:rPr>
        <w:rFonts w:ascii="Calibri" w:eastAsia="Times New Roman" w:hAnsi="Calibri" w:cs="Times New Roman" w:hint="default"/>
      </w:rPr>
    </w:lvl>
    <w:lvl w:ilvl="2" w:tplc="0C090019">
      <w:start w:val="1"/>
      <w:numFmt w:val="lowerLetter"/>
      <w:lvlText w:val="%3."/>
      <w:lvlJc w:val="left"/>
      <w:pPr>
        <w:ind w:left="2869" w:hanging="360"/>
      </w:pPr>
      <w:rPr>
        <w:rFonts w:hint="default"/>
        <w:color w:val="385623" w:themeColor="accent6" w:themeShade="80"/>
      </w:rPr>
    </w:lvl>
    <w:lvl w:ilvl="3" w:tplc="2FB80202">
      <w:start w:val="1"/>
      <w:numFmt w:val="bullet"/>
      <w:lvlText w:val=""/>
      <w:lvlJc w:val="left"/>
      <w:pPr>
        <w:ind w:left="3589" w:hanging="360"/>
      </w:pPr>
      <w:rPr>
        <w:rFonts w:ascii="Symbol" w:hAnsi="Symbol" w:hint="default"/>
        <w:color w:val="385623" w:themeColor="accent6" w:themeShade="80"/>
      </w:rPr>
    </w:lvl>
    <w:lvl w:ilvl="4" w:tplc="04090003">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2C090D25"/>
    <w:multiLevelType w:val="hybridMultilevel"/>
    <w:tmpl w:val="C2524C62"/>
    <w:numStyleLink w:val="ImportedStyle10"/>
  </w:abstractNum>
  <w:abstractNum w:abstractNumId="70" w15:restartNumberingAfterBreak="0">
    <w:nsid w:val="2C656403"/>
    <w:multiLevelType w:val="hybridMultilevel"/>
    <w:tmpl w:val="4E32676C"/>
    <w:lvl w:ilvl="0" w:tplc="2FB80202">
      <w:start w:val="1"/>
      <w:numFmt w:val="bullet"/>
      <w:lvlText w:val=""/>
      <w:lvlJc w:val="left"/>
      <w:pPr>
        <w:ind w:left="1080" w:hanging="360"/>
      </w:pPr>
      <w:rPr>
        <w:rFonts w:ascii="Symbol" w:hAnsi="Symbol" w:hint="default"/>
        <w:color w:val="385623" w:themeColor="accent6"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2D8D31F2"/>
    <w:multiLevelType w:val="hybridMultilevel"/>
    <w:tmpl w:val="616CE186"/>
    <w:numStyleLink w:val="ImportedStyle25"/>
  </w:abstractNum>
  <w:abstractNum w:abstractNumId="72" w15:restartNumberingAfterBreak="0">
    <w:nsid w:val="2E912FAF"/>
    <w:multiLevelType w:val="hybridMultilevel"/>
    <w:tmpl w:val="0430061E"/>
    <w:lvl w:ilvl="0" w:tplc="2FB80202">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EB34AA3"/>
    <w:multiLevelType w:val="hybridMultilevel"/>
    <w:tmpl w:val="E28E0954"/>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F464352"/>
    <w:multiLevelType w:val="hybridMultilevel"/>
    <w:tmpl w:val="BE289CAC"/>
    <w:styleLink w:val="ImportedStyle15"/>
    <w:lvl w:ilvl="0" w:tplc="E8269C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8E7C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D2892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98F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EACA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0ADD4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0696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B4368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C475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F5C15AB"/>
    <w:multiLevelType w:val="hybridMultilevel"/>
    <w:tmpl w:val="D386528E"/>
    <w:lvl w:ilvl="0" w:tplc="74B6F9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AA5C1B"/>
    <w:multiLevelType w:val="hybridMultilevel"/>
    <w:tmpl w:val="730E7F80"/>
    <w:styleLink w:val="ImportedStyle18"/>
    <w:lvl w:ilvl="0" w:tplc="CA0A90A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BE411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E8F9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1AC04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05C3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16C2C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4CDCB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78AA2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D6768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15E233A"/>
    <w:multiLevelType w:val="hybridMultilevel"/>
    <w:tmpl w:val="62DAC330"/>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C76E08"/>
    <w:multiLevelType w:val="hybridMultilevel"/>
    <w:tmpl w:val="03EA8F86"/>
    <w:lvl w:ilvl="0" w:tplc="74B6F98C">
      <w:numFmt w:val="bullet"/>
      <w:lvlText w:val="-"/>
      <w:lvlJc w:val="left"/>
      <w:pPr>
        <w:ind w:left="1800" w:hanging="360"/>
      </w:pPr>
      <w:rPr>
        <w:rFonts w:ascii="Calibri" w:eastAsia="Times New Roman" w:hAnsi="Calibri" w:cs="Times New Roman" w:hint="default"/>
        <w:color w:val="385623" w:themeColor="accent6" w:themeShade="80"/>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9" w15:restartNumberingAfterBreak="0">
    <w:nsid w:val="32226CE6"/>
    <w:multiLevelType w:val="hybridMultilevel"/>
    <w:tmpl w:val="FF18C914"/>
    <w:styleLink w:val="ImportedStyle20"/>
    <w:lvl w:ilvl="0" w:tplc="895AAD14">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3A072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2713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B0B8A4">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A4E24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E8ED0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D6A3C0">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26583C">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E0375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2762084"/>
    <w:multiLevelType w:val="hybridMultilevel"/>
    <w:tmpl w:val="4288ECA0"/>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32D11B9"/>
    <w:multiLevelType w:val="hybridMultilevel"/>
    <w:tmpl w:val="EE84C93C"/>
    <w:lvl w:ilvl="0" w:tplc="74B6F98C">
      <w:numFmt w:val="bullet"/>
      <w:lvlText w:val="-"/>
      <w:lvlJc w:val="left"/>
      <w:pPr>
        <w:ind w:left="1800" w:hanging="360"/>
      </w:pPr>
      <w:rPr>
        <w:rFonts w:ascii="Calibri" w:eastAsia="Times New Roman" w:hAnsi="Calibri" w:cs="Times New Roman" w:hint="default"/>
        <w:b w:val="0"/>
        <w:bCs w:val="0"/>
        <w:i w:val="0"/>
        <w:iCs w:val="0"/>
        <w:caps w:val="0"/>
        <w:smallCaps w:val="0"/>
        <w:strike w:val="0"/>
        <w:dstrike w:val="0"/>
        <w:noProof w:val="0"/>
        <w:vanish w:val="0"/>
        <w:color w:val="38562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3"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58C6EC8"/>
    <w:multiLevelType w:val="multilevel"/>
    <w:tmpl w:val="EDC41356"/>
    <w:lvl w:ilvl="0">
      <w:start w:val="7"/>
      <w:numFmt w:val="decimal"/>
      <w:lvlText w:val="%1."/>
      <w:lvlJc w:val="left"/>
      <w:pPr>
        <w:ind w:left="3125" w:hanging="432"/>
      </w:pPr>
      <w:rPr>
        <w:rFonts w:hint="default"/>
      </w:rPr>
    </w:lvl>
    <w:lvl w:ilvl="1">
      <w:start w:val="1"/>
      <w:numFmt w:val="decimal"/>
      <w:lvlText w:val="%1.%2"/>
      <w:lvlJc w:val="left"/>
      <w:pPr>
        <w:ind w:left="-417" w:hanging="576"/>
      </w:pPr>
      <w:rPr>
        <w:rFonts w:hint="default"/>
        <w:b/>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color w:val="385623" w:themeColor="accent6" w:themeShade="80"/>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85" w15:restartNumberingAfterBreak="0">
    <w:nsid w:val="36034F2C"/>
    <w:multiLevelType w:val="hybridMultilevel"/>
    <w:tmpl w:val="18C6C32C"/>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ED74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7A546C">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34DD9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24B4B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76C9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A2055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2EE96">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BA7994">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6227179"/>
    <w:multiLevelType w:val="hybridMultilevel"/>
    <w:tmpl w:val="A348A0CA"/>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69E0819"/>
    <w:multiLevelType w:val="hybridMultilevel"/>
    <w:tmpl w:val="C7E2C0EE"/>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74B6F98C">
      <w:numFmt w:val="bullet"/>
      <w:lvlText w:val="-"/>
      <w:lvlJc w:val="left"/>
      <w:pPr>
        <w:ind w:left="2160" w:hanging="360"/>
      </w:pPr>
      <w:rPr>
        <w:rFonts w:ascii="Calibri" w:eastAsia="Times New Roman" w:hAnsi="Calibri" w:cs="Times New Roman" w:hint="default"/>
        <w:color w:val="385623" w:themeColor="accent6" w:themeShade="80"/>
      </w:rPr>
    </w:lvl>
    <w:lvl w:ilvl="3" w:tplc="2FB80202">
      <w:start w:val="1"/>
      <w:numFmt w:val="bullet"/>
      <w:lvlText w:val=""/>
      <w:lvlJc w:val="left"/>
      <w:pPr>
        <w:ind w:left="2880" w:hanging="360"/>
      </w:pPr>
      <w:rPr>
        <w:rFonts w:ascii="Symbol" w:hAnsi="Symbol" w:hint="default"/>
        <w:color w:val="385623" w:themeColor="accent6" w:themeShade="8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6F16F2F"/>
    <w:multiLevelType w:val="hybridMultilevel"/>
    <w:tmpl w:val="FDD0A7A8"/>
    <w:numStyleLink w:val="ImportedStyle19"/>
  </w:abstractNum>
  <w:abstractNum w:abstractNumId="89" w15:restartNumberingAfterBreak="0">
    <w:nsid w:val="3778396A"/>
    <w:multiLevelType w:val="hybridMultilevel"/>
    <w:tmpl w:val="CEECA830"/>
    <w:lvl w:ilvl="0" w:tplc="74B6F98C">
      <w:numFmt w:val="bullet"/>
      <w:lvlText w:val="-"/>
      <w:lvlJc w:val="left"/>
      <w:pPr>
        <w:ind w:left="1440" w:hanging="360"/>
      </w:pPr>
      <w:rPr>
        <w:rFonts w:ascii="Calibri" w:eastAsia="Times New Roman" w:hAnsi="Calibri" w:cs="Times New Roman" w:hint="default"/>
      </w:rPr>
    </w:lvl>
    <w:lvl w:ilvl="1" w:tplc="0C090005">
      <w:start w:val="1"/>
      <w:numFmt w:val="bullet"/>
      <w:lvlText w:val=""/>
      <w:lvlJc w:val="left"/>
      <w:pPr>
        <w:ind w:left="2160" w:hanging="360"/>
      </w:pPr>
      <w:rPr>
        <w:rFonts w:ascii="Wingdings" w:hAnsi="Wingding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37BA2911"/>
    <w:multiLevelType w:val="hybridMultilevel"/>
    <w:tmpl w:val="5EBEF5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1" w15:restartNumberingAfterBreak="0">
    <w:nsid w:val="38111D69"/>
    <w:multiLevelType w:val="hybridMultilevel"/>
    <w:tmpl w:val="0C324180"/>
    <w:lvl w:ilvl="0" w:tplc="2FB80202">
      <w:start w:val="1"/>
      <w:numFmt w:val="bullet"/>
      <w:lvlText w:val=""/>
      <w:lvlJc w:val="left"/>
      <w:pPr>
        <w:ind w:left="1440" w:hanging="360"/>
      </w:pPr>
      <w:rPr>
        <w:rFonts w:ascii="Symbol" w:hAnsi="Symbol" w:hint="default"/>
        <w:color w:val="385623" w:themeColor="accent6"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38346A89"/>
    <w:multiLevelType w:val="hybridMultilevel"/>
    <w:tmpl w:val="8B0825B6"/>
    <w:styleLink w:val="ImportedStyle23"/>
    <w:lvl w:ilvl="0" w:tplc="0B7268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D2ABF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B286B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CC3FC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A61DF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743B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4FB8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1EABB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70DB6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8EF6295"/>
    <w:multiLevelType w:val="hybridMultilevel"/>
    <w:tmpl w:val="56125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397E6519"/>
    <w:multiLevelType w:val="hybridMultilevel"/>
    <w:tmpl w:val="B8C296D2"/>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FB80202">
      <w:start w:val="1"/>
      <w:numFmt w:val="bullet"/>
      <w:lvlText w:val=""/>
      <w:lvlJc w:val="left"/>
      <w:pPr>
        <w:ind w:left="1800" w:hanging="720"/>
      </w:pPr>
      <w:rPr>
        <w:rFonts w:ascii="Symbol" w:hAnsi="Symbol" w:hint="default"/>
        <w:color w:val="385623" w:themeColor="accent6" w:themeShade="80"/>
      </w:rPr>
    </w:lvl>
    <w:lvl w:ilvl="2" w:tplc="2FB80202">
      <w:start w:val="1"/>
      <w:numFmt w:val="bullet"/>
      <w:lvlText w:val=""/>
      <w:lvlJc w:val="left"/>
      <w:pPr>
        <w:ind w:left="2160" w:hanging="360"/>
      </w:pPr>
      <w:rPr>
        <w:rFonts w:ascii="Symbol" w:hAnsi="Symbol" w:hint="default"/>
        <w:color w:val="385623" w:themeColor="accent6" w:themeShade="80"/>
      </w:rPr>
    </w:lvl>
    <w:lvl w:ilvl="3" w:tplc="2FB80202">
      <w:start w:val="1"/>
      <w:numFmt w:val="bullet"/>
      <w:lvlText w:val=""/>
      <w:lvlJc w:val="left"/>
      <w:pPr>
        <w:ind w:left="288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22704A"/>
    <w:multiLevelType w:val="hybridMultilevel"/>
    <w:tmpl w:val="7548C9F4"/>
    <w:lvl w:ilvl="0" w:tplc="2FB80202">
      <w:start w:val="1"/>
      <w:numFmt w:val="bullet"/>
      <w:lvlText w:val=""/>
      <w:lvlJc w:val="left"/>
      <w:pPr>
        <w:ind w:left="1151" w:hanging="431"/>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520" w:hanging="720"/>
      </w:pPr>
      <w:rPr>
        <w:rFonts w:ascii="Calibri" w:eastAsia="Times New Roman" w:hAnsi="Calibri"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3A44782D"/>
    <w:multiLevelType w:val="hybridMultilevel"/>
    <w:tmpl w:val="6818CEF6"/>
    <w:lvl w:ilvl="0" w:tplc="04090005">
      <w:start w:val="1"/>
      <w:numFmt w:val="bullet"/>
      <w:lvlText w:val=""/>
      <w:lvlJc w:val="left"/>
      <w:pPr>
        <w:ind w:left="1222" w:hanging="360"/>
      </w:pPr>
      <w:rPr>
        <w:rFonts w:ascii="Wingdings" w:hAnsi="Wingdings" w:hint="default"/>
      </w:r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97" w15:restartNumberingAfterBreak="0">
    <w:nsid w:val="3ACE2108"/>
    <w:multiLevelType w:val="hybridMultilevel"/>
    <w:tmpl w:val="BA24931A"/>
    <w:numStyleLink w:val="ImportedStyle21"/>
  </w:abstractNum>
  <w:abstractNum w:abstractNumId="98" w15:restartNumberingAfterBreak="0">
    <w:nsid w:val="3B805B0F"/>
    <w:multiLevelType w:val="hybridMultilevel"/>
    <w:tmpl w:val="3698E2A4"/>
    <w:lvl w:ilvl="0" w:tplc="2FB80202">
      <w:start w:val="1"/>
      <w:numFmt w:val="bullet"/>
      <w:lvlText w:val=""/>
      <w:lvlJc w:val="left"/>
      <w:pPr>
        <w:ind w:left="1440" w:hanging="360"/>
      </w:pPr>
      <w:rPr>
        <w:rFonts w:ascii="Symbol" w:hAnsi="Symbol" w:hint="default"/>
        <w:color w:val="385623" w:themeColor="accent6"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9" w15:restartNumberingAfterBreak="0">
    <w:nsid w:val="3C1C4052"/>
    <w:multiLevelType w:val="hybridMultilevel"/>
    <w:tmpl w:val="730E7F80"/>
    <w:numStyleLink w:val="ImportedStyle18"/>
  </w:abstractNum>
  <w:abstractNum w:abstractNumId="100" w15:restartNumberingAfterBreak="0">
    <w:nsid w:val="3CEB43A5"/>
    <w:multiLevelType w:val="hybridMultilevel"/>
    <w:tmpl w:val="A2EA711C"/>
    <w:lvl w:ilvl="0" w:tplc="2FB80202">
      <w:start w:val="1"/>
      <w:numFmt w:val="bullet"/>
      <w:lvlText w:val=""/>
      <w:lvlJc w:val="left"/>
      <w:pPr>
        <w:ind w:left="1440" w:hanging="360"/>
      </w:pPr>
      <w:rPr>
        <w:rFonts w:ascii="Symbol" w:hAnsi="Symbol" w:hint="default"/>
        <w:color w:val="385623" w:themeColor="accent6"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15:restartNumberingAfterBreak="0">
    <w:nsid w:val="3DBC0941"/>
    <w:multiLevelType w:val="hybridMultilevel"/>
    <w:tmpl w:val="7A22C71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ED665FE"/>
    <w:multiLevelType w:val="hybridMultilevel"/>
    <w:tmpl w:val="483A40C6"/>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3FF8603C"/>
    <w:multiLevelType w:val="hybridMultilevel"/>
    <w:tmpl w:val="3D5A1C86"/>
    <w:numStyleLink w:val="ImportedStyle7"/>
  </w:abstractNum>
  <w:abstractNum w:abstractNumId="104" w15:restartNumberingAfterBreak="0">
    <w:nsid w:val="419A72AA"/>
    <w:multiLevelType w:val="hybridMultilevel"/>
    <w:tmpl w:val="5F408CD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5" w15:restartNumberingAfterBreak="0">
    <w:nsid w:val="41B454F5"/>
    <w:multiLevelType w:val="multilevel"/>
    <w:tmpl w:val="102015B4"/>
    <w:styleLink w:val="ImportedStyle1"/>
    <w:lvl w:ilvl="0">
      <w:start w:val="1"/>
      <w:numFmt w:val="decimal"/>
      <w:lvlText w:val="%1."/>
      <w:lvlJc w:val="left"/>
      <w:pPr>
        <w:ind w:left="432" w:hanging="432"/>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24D353F"/>
    <w:multiLevelType w:val="hybridMultilevel"/>
    <w:tmpl w:val="C0065484"/>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ED74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7A546C">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34DD9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24B4BC">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76C9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A20552">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42EE96">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BA7994">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441F21EC"/>
    <w:multiLevelType w:val="hybridMultilevel"/>
    <w:tmpl w:val="482E6304"/>
    <w:numStyleLink w:val="ImportedStyle29"/>
  </w:abstractNum>
  <w:abstractNum w:abstractNumId="109" w15:restartNumberingAfterBreak="0">
    <w:nsid w:val="44EE155C"/>
    <w:multiLevelType w:val="hybridMultilevel"/>
    <w:tmpl w:val="23AE51B0"/>
    <w:styleLink w:val="ImportedStyle11"/>
    <w:lvl w:ilvl="0" w:tplc="522277A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92E98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6E29E">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92FD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EF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5288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9026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32E8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42D65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469221ED"/>
    <w:multiLevelType w:val="hybridMultilevel"/>
    <w:tmpl w:val="0904539E"/>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C090019">
      <w:start w:val="1"/>
      <w:numFmt w:val="lowerLetter"/>
      <w:lvlText w:val="%3."/>
      <w:lvlJc w:val="left"/>
      <w:pPr>
        <w:ind w:left="2160" w:hanging="360"/>
      </w:pPr>
      <w:rPr>
        <w:rFonts w:hint="default"/>
        <w:color w:val="385623" w:themeColor="accent6" w:themeShade="80"/>
      </w:rPr>
    </w:lvl>
    <w:lvl w:ilvl="3" w:tplc="2FB80202">
      <w:start w:val="1"/>
      <w:numFmt w:val="bullet"/>
      <w:lvlText w:val=""/>
      <w:lvlJc w:val="left"/>
      <w:pPr>
        <w:ind w:left="288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77C3434"/>
    <w:multiLevelType w:val="hybridMultilevel"/>
    <w:tmpl w:val="1D8C04C2"/>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2FB80202">
      <w:start w:val="1"/>
      <w:numFmt w:val="bullet"/>
      <w:lvlText w:val=""/>
      <w:lvlJc w:val="left"/>
      <w:pPr>
        <w:ind w:left="2160" w:hanging="360"/>
      </w:pPr>
      <w:rPr>
        <w:rFonts w:ascii="Symbol" w:hAnsi="Symbol" w:hint="default"/>
        <w:color w:val="385623" w:themeColor="accent6" w:themeShade="80"/>
      </w:rPr>
    </w:lvl>
    <w:lvl w:ilvl="3" w:tplc="2FB80202">
      <w:start w:val="1"/>
      <w:numFmt w:val="bullet"/>
      <w:lvlText w:val=""/>
      <w:lvlJc w:val="left"/>
      <w:pPr>
        <w:ind w:left="288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7AD07CB"/>
    <w:multiLevelType w:val="hybridMultilevel"/>
    <w:tmpl w:val="2CF06894"/>
    <w:lvl w:ilvl="0" w:tplc="74B6F98C">
      <w:numFmt w:val="bullet"/>
      <w:lvlText w:val="-"/>
      <w:lvlJc w:val="left"/>
      <w:pPr>
        <w:ind w:left="1069" w:hanging="360"/>
      </w:pPr>
      <w:rPr>
        <w:rFonts w:ascii="Calibri" w:eastAsia="Times New Roman" w:hAnsi="Calibri"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3" w15:restartNumberingAfterBreak="0">
    <w:nsid w:val="47D918E3"/>
    <w:multiLevelType w:val="hybridMultilevel"/>
    <w:tmpl w:val="7EA6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83720C5"/>
    <w:multiLevelType w:val="hybridMultilevel"/>
    <w:tmpl w:val="23AE51B0"/>
    <w:numStyleLink w:val="ImportedStyle11"/>
  </w:abstractNum>
  <w:abstractNum w:abstractNumId="115" w15:restartNumberingAfterBreak="0">
    <w:nsid w:val="485811F0"/>
    <w:multiLevelType w:val="hybridMultilevel"/>
    <w:tmpl w:val="A1023626"/>
    <w:styleLink w:val="ImportedStyle17"/>
    <w:lvl w:ilvl="0" w:tplc="BECAEA06">
      <w:start w:val="1"/>
      <w:numFmt w:val="bullet"/>
      <w:lvlText w:val="-"/>
      <w:lvlJc w:val="left"/>
      <w:pPr>
        <w:ind w:left="149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2E6890">
      <w:start w:val="1"/>
      <w:numFmt w:val="bullet"/>
      <w:lvlText w:val="o"/>
      <w:lvlJc w:val="left"/>
      <w:pPr>
        <w:ind w:left="221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16B794">
      <w:start w:val="1"/>
      <w:numFmt w:val="bullet"/>
      <w:lvlText w:val="▪"/>
      <w:lvlJc w:val="left"/>
      <w:pPr>
        <w:ind w:left="293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EEBB8A">
      <w:start w:val="1"/>
      <w:numFmt w:val="bullet"/>
      <w:lvlText w:val="•"/>
      <w:lvlJc w:val="left"/>
      <w:pPr>
        <w:ind w:left="365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46DDBA">
      <w:start w:val="1"/>
      <w:numFmt w:val="bullet"/>
      <w:lvlText w:val="o"/>
      <w:lvlJc w:val="left"/>
      <w:pPr>
        <w:ind w:left="437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16BE26">
      <w:start w:val="1"/>
      <w:numFmt w:val="bullet"/>
      <w:lvlText w:val="▪"/>
      <w:lvlJc w:val="left"/>
      <w:pPr>
        <w:ind w:left="509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ABB72">
      <w:start w:val="1"/>
      <w:numFmt w:val="bullet"/>
      <w:lvlText w:val="•"/>
      <w:lvlJc w:val="left"/>
      <w:pPr>
        <w:ind w:left="581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98305E">
      <w:start w:val="1"/>
      <w:numFmt w:val="bullet"/>
      <w:lvlText w:val="o"/>
      <w:lvlJc w:val="left"/>
      <w:pPr>
        <w:ind w:left="653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706580">
      <w:start w:val="1"/>
      <w:numFmt w:val="bullet"/>
      <w:lvlText w:val="▪"/>
      <w:lvlJc w:val="left"/>
      <w:pPr>
        <w:ind w:left="7251"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5D4DDF"/>
    <w:multiLevelType w:val="hybridMultilevel"/>
    <w:tmpl w:val="99E8090A"/>
    <w:numStyleLink w:val="ImportedStyle12"/>
  </w:abstractNum>
  <w:abstractNum w:abstractNumId="117" w15:restartNumberingAfterBreak="0">
    <w:nsid w:val="48CC1156"/>
    <w:multiLevelType w:val="hybridMultilevel"/>
    <w:tmpl w:val="FE72FAAE"/>
    <w:lvl w:ilvl="0" w:tplc="0C090003">
      <w:start w:val="1"/>
      <w:numFmt w:val="bullet"/>
      <w:lvlText w:val="o"/>
      <w:lvlJc w:val="left"/>
      <w:pPr>
        <w:ind w:left="1151" w:hanging="360"/>
      </w:pPr>
      <w:rPr>
        <w:rFonts w:ascii="Courier New" w:hAnsi="Courier New" w:cs="Courier New"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18" w15:restartNumberingAfterBreak="0">
    <w:nsid w:val="4A7A70C7"/>
    <w:multiLevelType w:val="hybridMultilevel"/>
    <w:tmpl w:val="99E8090A"/>
    <w:styleLink w:val="ImportedStyle12"/>
    <w:lvl w:ilvl="0" w:tplc="4344F9CC">
      <w:start w:val="1"/>
      <w:numFmt w:val="lowerLetter"/>
      <w:lvlText w:val="%1."/>
      <w:lvlJc w:val="left"/>
      <w:pPr>
        <w:ind w:left="107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4844DE">
      <w:start w:val="1"/>
      <w:numFmt w:val="lowerLetter"/>
      <w:lvlText w:val="%2."/>
      <w:lvlJc w:val="left"/>
      <w:pPr>
        <w:ind w:left="179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B6865E">
      <w:start w:val="1"/>
      <w:numFmt w:val="lowerRoman"/>
      <w:lvlText w:val="%3."/>
      <w:lvlJc w:val="left"/>
      <w:pPr>
        <w:ind w:left="2517"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388FD8">
      <w:start w:val="1"/>
      <w:numFmt w:val="decimal"/>
      <w:lvlText w:val="%4."/>
      <w:lvlJc w:val="left"/>
      <w:pPr>
        <w:ind w:left="323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8A22F0">
      <w:start w:val="1"/>
      <w:numFmt w:val="lowerLetter"/>
      <w:lvlText w:val="%5."/>
      <w:lvlJc w:val="left"/>
      <w:pPr>
        <w:ind w:left="395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145480">
      <w:start w:val="1"/>
      <w:numFmt w:val="lowerRoman"/>
      <w:lvlText w:val="%6."/>
      <w:lvlJc w:val="left"/>
      <w:pPr>
        <w:ind w:left="4677"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161E7C">
      <w:start w:val="1"/>
      <w:numFmt w:val="decimal"/>
      <w:lvlText w:val="%7."/>
      <w:lvlJc w:val="left"/>
      <w:pPr>
        <w:ind w:left="539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768770">
      <w:start w:val="1"/>
      <w:numFmt w:val="lowerLetter"/>
      <w:lvlText w:val="%8."/>
      <w:lvlJc w:val="left"/>
      <w:pPr>
        <w:ind w:left="6117"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463CDA">
      <w:start w:val="1"/>
      <w:numFmt w:val="lowerRoman"/>
      <w:lvlText w:val="%9."/>
      <w:lvlJc w:val="left"/>
      <w:pPr>
        <w:ind w:left="6837"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A9D25B7"/>
    <w:multiLevelType w:val="hybridMultilevel"/>
    <w:tmpl w:val="D42676A0"/>
    <w:numStyleLink w:val="ImportedStyle27"/>
  </w:abstractNum>
  <w:abstractNum w:abstractNumId="120" w15:restartNumberingAfterBreak="0">
    <w:nsid w:val="4ACD6D7C"/>
    <w:multiLevelType w:val="hybridMultilevel"/>
    <w:tmpl w:val="CAAA6346"/>
    <w:lvl w:ilvl="0" w:tplc="74B6F98C">
      <w:numFmt w:val="bullet"/>
      <w:lvlText w:val="-"/>
      <w:lvlJc w:val="left"/>
      <w:pPr>
        <w:ind w:left="1440" w:hanging="360"/>
      </w:pPr>
      <w:rPr>
        <w:rFonts w:ascii="Calibri" w:eastAsia="Times New Roman" w:hAnsi="Calibri" w:cs="Times New Roman" w:hint="default"/>
        <w:color w:val="385623" w:themeColor="accent6" w:themeShade="80"/>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1" w15:restartNumberingAfterBreak="0">
    <w:nsid w:val="4B764525"/>
    <w:multiLevelType w:val="hybridMultilevel"/>
    <w:tmpl w:val="953CB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CAB07AC"/>
    <w:multiLevelType w:val="hybridMultilevel"/>
    <w:tmpl w:val="B18003BA"/>
    <w:lvl w:ilvl="0" w:tplc="2FB8020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D141D6"/>
    <w:multiLevelType w:val="hybridMultilevel"/>
    <w:tmpl w:val="EDF6BBB0"/>
    <w:lvl w:ilvl="0" w:tplc="74B6F98C">
      <w:numFmt w:val="bullet"/>
      <w:lvlText w:val="-"/>
      <w:lvlJc w:val="left"/>
      <w:pPr>
        <w:ind w:left="1800" w:hanging="360"/>
      </w:pPr>
      <w:rPr>
        <w:rFonts w:ascii="Calibri" w:eastAsia="Times New Roman" w:hAnsi="Calibri"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4" w15:restartNumberingAfterBreak="0">
    <w:nsid w:val="4E781778"/>
    <w:multiLevelType w:val="hybridMultilevel"/>
    <w:tmpl w:val="F1EEF124"/>
    <w:lvl w:ilvl="0" w:tplc="2FB80202">
      <w:start w:val="1"/>
      <w:numFmt w:val="bullet"/>
      <w:lvlText w:val=""/>
      <w:lvlJc w:val="left"/>
      <w:pPr>
        <w:ind w:left="720" w:hanging="360"/>
      </w:pPr>
      <w:rPr>
        <w:rFonts w:ascii="Symbol" w:hAnsi="Symbol" w:hint="default"/>
        <w:color w:val="385623" w:themeColor="accent6" w:themeShade="80"/>
      </w:rPr>
    </w:lvl>
    <w:lvl w:ilvl="1" w:tplc="0C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9D2A79"/>
    <w:multiLevelType w:val="hybridMultilevel"/>
    <w:tmpl w:val="D8887142"/>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50225FE7"/>
    <w:multiLevelType w:val="hybridMultilevel"/>
    <w:tmpl w:val="A894C4DE"/>
    <w:lvl w:ilvl="0" w:tplc="60E498AA">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2FB80202">
      <w:start w:val="1"/>
      <w:numFmt w:val="bullet"/>
      <w:lvlText w:val=""/>
      <w:lvlJc w:val="left"/>
      <w:pPr>
        <w:ind w:left="2160" w:hanging="360"/>
      </w:pPr>
      <w:rPr>
        <w:rFonts w:ascii="Symbol" w:hAnsi="Symbol" w:hint="default"/>
        <w:color w:val="385623" w:themeColor="accent6" w:themeShade="80"/>
      </w:rPr>
    </w:lvl>
    <w:lvl w:ilvl="3" w:tplc="2FB80202">
      <w:start w:val="1"/>
      <w:numFmt w:val="bullet"/>
      <w:lvlText w:val=""/>
      <w:lvlJc w:val="left"/>
      <w:pPr>
        <w:ind w:left="288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84286D"/>
    <w:multiLevelType w:val="hybridMultilevel"/>
    <w:tmpl w:val="17BE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088276F"/>
    <w:multiLevelType w:val="hybridMultilevel"/>
    <w:tmpl w:val="29109FCA"/>
    <w:styleLink w:val="ImportedStyle8"/>
    <w:lvl w:ilvl="0" w:tplc="A948CB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1062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144D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9E6B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12C6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740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FC708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64D9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629A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50C266BC"/>
    <w:multiLevelType w:val="hybridMultilevel"/>
    <w:tmpl w:val="B3E25E58"/>
    <w:lvl w:ilvl="0" w:tplc="ED208258">
      <w:start w:val="1"/>
      <w:numFmt w:val="bullet"/>
      <w:lvlText w:val=""/>
      <w:lvlJc w:val="left"/>
      <w:pPr>
        <w:tabs>
          <w:tab w:val="num" w:pos="720"/>
        </w:tabs>
        <w:ind w:left="720" w:hanging="360"/>
      </w:pPr>
      <w:rPr>
        <w:rFonts w:ascii="Wingdings" w:hAnsi="Wingdings" w:hint="default"/>
      </w:rPr>
    </w:lvl>
    <w:lvl w:ilvl="1" w:tplc="12887110">
      <w:numFmt w:val="none"/>
      <w:lvlText w:val=""/>
      <w:lvlJc w:val="left"/>
      <w:pPr>
        <w:tabs>
          <w:tab w:val="num" w:pos="360"/>
        </w:tabs>
      </w:pPr>
    </w:lvl>
    <w:lvl w:ilvl="2" w:tplc="0A06D0EC" w:tentative="1">
      <w:start w:val="1"/>
      <w:numFmt w:val="bullet"/>
      <w:lvlText w:val=""/>
      <w:lvlJc w:val="left"/>
      <w:pPr>
        <w:tabs>
          <w:tab w:val="num" w:pos="2160"/>
        </w:tabs>
        <w:ind w:left="2160" w:hanging="360"/>
      </w:pPr>
      <w:rPr>
        <w:rFonts w:ascii="Wingdings" w:hAnsi="Wingdings" w:hint="default"/>
      </w:rPr>
    </w:lvl>
    <w:lvl w:ilvl="3" w:tplc="62DE7BEE" w:tentative="1">
      <w:start w:val="1"/>
      <w:numFmt w:val="bullet"/>
      <w:lvlText w:val=""/>
      <w:lvlJc w:val="left"/>
      <w:pPr>
        <w:tabs>
          <w:tab w:val="num" w:pos="2880"/>
        </w:tabs>
        <w:ind w:left="2880" w:hanging="360"/>
      </w:pPr>
      <w:rPr>
        <w:rFonts w:ascii="Wingdings" w:hAnsi="Wingdings" w:hint="default"/>
      </w:rPr>
    </w:lvl>
    <w:lvl w:ilvl="4" w:tplc="FFAC38B0" w:tentative="1">
      <w:start w:val="1"/>
      <w:numFmt w:val="bullet"/>
      <w:lvlText w:val=""/>
      <w:lvlJc w:val="left"/>
      <w:pPr>
        <w:tabs>
          <w:tab w:val="num" w:pos="3600"/>
        </w:tabs>
        <w:ind w:left="3600" w:hanging="360"/>
      </w:pPr>
      <w:rPr>
        <w:rFonts w:ascii="Wingdings" w:hAnsi="Wingdings" w:hint="default"/>
      </w:rPr>
    </w:lvl>
    <w:lvl w:ilvl="5" w:tplc="0BA63B1E" w:tentative="1">
      <w:start w:val="1"/>
      <w:numFmt w:val="bullet"/>
      <w:lvlText w:val=""/>
      <w:lvlJc w:val="left"/>
      <w:pPr>
        <w:tabs>
          <w:tab w:val="num" w:pos="4320"/>
        </w:tabs>
        <w:ind w:left="4320" w:hanging="360"/>
      </w:pPr>
      <w:rPr>
        <w:rFonts w:ascii="Wingdings" w:hAnsi="Wingdings" w:hint="default"/>
      </w:rPr>
    </w:lvl>
    <w:lvl w:ilvl="6" w:tplc="36967060" w:tentative="1">
      <w:start w:val="1"/>
      <w:numFmt w:val="bullet"/>
      <w:lvlText w:val=""/>
      <w:lvlJc w:val="left"/>
      <w:pPr>
        <w:tabs>
          <w:tab w:val="num" w:pos="5040"/>
        </w:tabs>
        <w:ind w:left="5040" w:hanging="360"/>
      </w:pPr>
      <w:rPr>
        <w:rFonts w:ascii="Wingdings" w:hAnsi="Wingdings" w:hint="default"/>
      </w:rPr>
    </w:lvl>
    <w:lvl w:ilvl="7" w:tplc="6C44EEC4" w:tentative="1">
      <w:start w:val="1"/>
      <w:numFmt w:val="bullet"/>
      <w:lvlText w:val=""/>
      <w:lvlJc w:val="left"/>
      <w:pPr>
        <w:tabs>
          <w:tab w:val="num" w:pos="5760"/>
        </w:tabs>
        <w:ind w:left="5760" w:hanging="360"/>
      </w:pPr>
      <w:rPr>
        <w:rFonts w:ascii="Wingdings" w:hAnsi="Wingdings" w:hint="default"/>
      </w:rPr>
    </w:lvl>
    <w:lvl w:ilvl="8" w:tplc="5E66F31A"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0E70687"/>
    <w:multiLevelType w:val="hybridMultilevel"/>
    <w:tmpl w:val="E058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E05334"/>
    <w:multiLevelType w:val="hybridMultilevel"/>
    <w:tmpl w:val="7CBA86BE"/>
    <w:styleLink w:val="ImportedStyle26"/>
    <w:lvl w:ilvl="0" w:tplc="C094745A">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74318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1668A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1436AC">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B8448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A95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863CE8">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0AA32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0EEA3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52E44B94"/>
    <w:multiLevelType w:val="hybridMultilevel"/>
    <w:tmpl w:val="646AAB74"/>
    <w:styleLink w:val="ImportedStyle2"/>
    <w:lvl w:ilvl="0" w:tplc="F65E201E">
      <w:start w:val="1"/>
      <w:numFmt w:val="upperLetter"/>
      <w:lvlText w:val="%1."/>
      <w:lvlJc w:val="left"/>
      <w:pPr>
        <w:ind w:left="1701" w:hanging="170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EC9928">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1EE644">
      <w:start w:val="1"/>
      <w:numFmt w:val="lowerRoman"/>
      <w:lvlText w:val="%3."/>
      <w:lvlJc w:val="left"/>
      <w:pPr>
        <w:ind w:left="1800"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882BBA">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0EFED0">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A28B5C">
      <w:start w:val="1"/>
      <w:numFmt w:val="lowerRoman"/>
      <w:lvlText w:val="%6."/>
      <w:lvlJc w:val="left"/>
      <w:pPr>
        <w:ind w:left="3960"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09DC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FAE5EC">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BA207C">
      <w:start w:val="1"/>
      <w:numFmt w:val="lowerRoman"/>
      <w:lvlText w:val="%9."/>
      <w:lvlJc w:val="left"/>
      <w:pPr>
        <w:ind w:left="6120"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530D6115"/>
    <w:multiLevelType w:val="hybridMultilevel"/>
    <w:tmpl w:val="482E6304"/>
    <w:styleLink w:val="ImportedStyle29"/>
    <w:lvl w:ilvl="0" w:tplc="2A64C61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828E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D07A1A">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42F13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C8946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1801A2">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3E1F4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8A703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F415D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31630A3"/>
    <w:multiLevelType w:val="hybridMultilevel"/>
    <w:tmpl w:val="17A689D4"/>
    <w:lvl w:ilvl="0" w:tplc="0C090003">
      <w:start w:val="1"/>
      <w:numFmt w:val="bullet"/>
      <w:lvlText w:val="o"/>
      <w:lvlJc w:val="left"/>
      <w:pPr>
        <w:ind w:left="1511" w:hanging="360"/>
      </w:pPr>
      <w:rPr>
        <w:rFonts w:ascii="Courier New" w:hAnsi="Courier New" w:cs="Courier New" w:hint="default"/>
      </w:rPr>
    </w:lvl>
    <w:lvl w:ilvl="1" w:tplc="0C090003" w:tentative="1">
      <w:start w:val="1"/>
      <w:numFmt w:val="bullet"/>
      <w:lvlText w:val="o"/>
      <w:lvlJc w:val="left"/>
      <w:pPr>
        <w:ind w:left="2231" w:hanging="360"/>
      </w:pPr>
      <w:rPr>
        <w:rFonts w:ascii="Courier New" w:hAnsi="Courier New" w:cs="Courier New" w:hint="default"/>
      </w:rPr>
    </w:lvl>
    <w:lvl w:ilvl="2" w:tplc="0C090005" w:tentative="1">
      <w:start w:val="1"/>
      <w:numFmt w:val="bullet"/>
      <w:lvlText w:val=""/>
      <w:lvlJc w:val="left"/>
      <w:pPr>
        <w:ind w:left="2951" w:hanging="360"/>
      </w:pPr>
      <w:rPr>
        <w:rFonts w:ascii="Wingdings" w:hAnsi="Wingdings" w:hint="default"/>
      </w:rPr>
    </w:lvl>
    <w:lvl w:ilvl="3" w:tplc="0C090001" w:tentative="1">
      <w:start w:val="1"/>
      <w:numFmt w:val="bullet"/>
      <w:lvlText w:val=""/>
      <w:lvlJc w:val="left"/>
      <w:pPr>
        <w:ind w:left="3671" w:hanging="360"/>
      </w:pPr>
      <w:rPr>
        <w:rFonts w:ascii="Symbol" w:hAnsi="Symbol" w:hint="default"/>
      </w:rPr>
    </w:lvl>
    <w:lvl w:ilvl="4" w:tplc="0C090003" w:tentative="1">
      <w:start w:val="1"/>
      <w:numFmt w:val="bullet"/>
      <w:lvlText w:val="o"/>
      <w:lvlJc w:val="left"/>
      <w:pPr>
        <w:ind w:left="4391" w:hanging="360"/>
      </w:pPr>
      <w:rPr>
        <w:rFonts w:ascii="Courier New" w:hAnsi="Courier New" w:cs="Courier New" w:hint="default"/>
      </w:rPr>
    </w:lvl>
    <w:lvl w:ilvl="5" w:tplc="0C090005" w:tentative="1">
      <w:start w:val="1"/>
      <w:numFmt w:val="bullet"/>
      <w:lvlText w:val=""/>
      <w:lvlJc w:val="left"/>
      <w:pPr>
        <w:ind w:left="5111" w:hanging="360"/>
      </w:pPr>
      <w:rPr>
        <w:rFonts w:ascii="Wingdings" w:hAnsi="Wingdings" w:hint="default"/>
      </w:rPr>
    </w:lvl>
    <w:lvl w:ilvl="6" w:tplc="0C090001" w:tentative="1">
      <w:start w:val="1"/>
      <w:numFmt w:val="bullet"/>
      <w:lvlText w:val=""/>
      <w:lvlJc w:val="left"/>
      <w:pPr>
        <w:ind w:left="5831" w:hanging="360"/>
      </w:pPr>
      <w:rPr>
        <w:rFonts w:ascii="Symbol" w:hAnsi="Symbol" w:hint="default"/>
      </w:rPr>
    </w:lvl>
    <w:lvl w:ilvl="7" w:tplc="0C090003" w:tentative="1">
      <w:start w:val="1"/>
      <w:numFmt w:val="bullet"/>
      <w:lvlText w:val="o"/>
      <w:lvlJc w:val="left"/>
      <w:pPr>
        <w:ind w:left="6551" w:hanging="360"/>
      </w:pPr>
      <w:rPr>
        <w:rFonts w:ascii="Courier New" w:hAnsi="Courier New" w:cs="Courier New" w:hint="default"/>
      </w:rPr>
    </w:lvl>
    <w:lvl w:ilvl="8" w:tplc="0C090005" w:tentative="1">
      <w:start w:val="1"/>
      <w:numFmt w:val="bullet"/>
      <w:lvlText w:val=""/>
      <w:lvlJc w:val="left"/>
      <w:pPr>
        <w:ind w:left="7271" w:hanging="360"/>
      </w:pPr>
      <w:rPr>
        <w:rFonts w:ascii="Wingdings" w:hAnsi="Wingdings" w:hint="default"/>
      </w:rPr>
    </w:lvl>
  </w:abstractNum>
  <w:abstractNum w:abstractNumId="135" w15:restartNumberingAfterBreak="0">
    <w:nsid w:val="540F0C44"/>
    <w:multiLevelType w:val="hybridMultilevel"/>
    <w:tmpl w:val="616CE186"/>
    <w:styleLink w:val="ImportedStyle25"/>
    <w:lvl w:ilvl="0" w:tplc="534635C8">
      <w:start w:val="1"/>
      <w:numFmt w:val="bullet"/>
      <w:lvlText w:val="Δ"/>
      <w:lvlJc w:val="left"/>
      <w:pPr>
        <w:ind w:left="360" w:hanging="360"/>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784D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BA0E08">
      <w:start w:val="1"/>
      <w:numFmt w:val="bullet"/>
      <w:lvlText w:val="□"/>
      <w:lvlJc w:val="left"/>
      <w:pPr>
        <w:ind w:left="924" w:hanging="2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EE3AEA">
      <w:start w:val="1"/>
      <w:numFmt w:val="bullet"/>
      <w:lvlText w:val="-"/>
      <w:lvlJc w:val="left"/>
      <w:pPr>
        <w:ind w:left="121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D6573C">
      <w:start w:val="1"/>
      <w:numFmt w:val="bullet"/>
      <w:lvlText w:val="-"/>
      <w:lvlJc w:val="left"/>
      <w:pPr>
        <w:ind w:left="152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4B8B8">
      <w:start w:val="1"/>
      <w:numFmt w:val="bullet"/>
      <w:lvlText w:val="-"/>
      <w:lvlJc w:val="left"/>
      <w:pPr>
        <w:ind w:left="182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940B54">
      <w:start w:val="1"/>
      <w:numFmt w:val="bullet"/>
      <w:lvlText w:val="-"/>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5E2EA6">
      <w:start w:val="1"/>
      <w:numFmt w:val="bullet"/>
      <w:lvlText w:val="-"/>
      <w:lvlJc w:val="left"/>
      <w:pPr>
        <w:ind w:left="2447"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8F9E8">
      <w:start w:val="1"/>
      <w:numFmt w:val="bullet"/>
      <w:lvlText w:val="-"/>
      <w:lvlJc w:val="left"/>
      <w:pPr>
        <w:ind w:left="275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54A329BA"/>
    <w:multiLevelType w:val="hybridMultilevel"/>
    <w:tmpl w:val="F23EC756"/>
    <w:lvl w:ilvl="0" w:tplc="74B6F98C">
      <w:numFmt w:val="bullet"/>
      <w:lvlText w:val="-"/>
      <w:lvlJc w:val="left"/>
      <w:pPr>
        <w:ind w:left="1800" w:hanging="360"/>
      </w:pPr>
      <w:rPr>
        <w:rFonts w:ascii="Calibri" w:eastAsia="Times New Roman" w:hAnsi="Calibri"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7" w15:restartNumberingAfterBreak="0">
    <w:nsid w:val="54E05BA9"/>
    <w:multiLevelType w:val="hybridMultilevel"/>
    <w:tmpl w:val="45589F1A"/>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4F504DC"/>
    <w:multiLevelType w:val="hybridMultilevel"/>
    <w:tmpl w:val="FE1C3050"/>
    <w:lvl w:ilvl="0" w:tplc="0C090003">
      <w:start w:val="1"/>
      <w:numFmt w:val="bullet"/>
      <w:lvlText w:val="o"/>
      <w:lvlJc w:val="left"/>
      <w:pPr>
        <w:ind w:left="1080" w:hanging="360"/>
      </w:pPr>
      <w:rPr>
        <w:rFonts w:ascii="Courier New" w:hAnsi="Courier New" w:cs="Courier New" w:hint="default"/>
      </w:rPr>
    </w:lvl>
    <w:lvl w:ilvl="1" w:tplc="74B6F98C">
      <w:numFmt w:val="bullet"/>
      <w:lvlText w:val="-"/>
      <w:lvlJc w:val="left"/>
      <w:pPr>
        <w:ind w:left="1800" w:hanging="360"/>
      </w:pPr>
      <w:rPr>
        <w:rFonts w:ascii="Calibri" w:eastAsia="Times New Roman" w:hAnsi="Calibri" w:cs="Times New Roman" w:hint="default"/>
      </w:rPr>
    </w:lvl>
    <w:lvl w:ilvl="2" w:tplc="74B6F98C">
      <w:numFmt w:val="bullet"/>
      <w:lvlText w:val="-"/>
      <w:lvlJc w:val="left"/>
      <w:pPr>
        <w:ind w:left="2520" w:hanging="360"/>
      </w:pPr>
      <w:rPr>
        <w:rFonts w:ascii="Calibri" w:eastAsia="Times New Roman" w:hAnsi="Calibri" w:cs="Times New Roman"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56682D86"/>
    <w:multiLevelType w:val="hybridMultilevel"/>
    <w:tmpl w:val="46D6FAF8"/>
    <w:numStyleLink w:val="ImportedStyle22"/>
  </w:abstractNum>
  <w:abstractNum w:abstractNumId="140" w15:restartNumberingAfterBreak="0">
    <w:nsid w:val="57646645"/>
    <w:multiLevelType w:val="hybridMultilevel"/>
    <w:tmpl w:val="4DCA9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7D726AD"/>
    <w:multiLevelType w:val="hybridMultilevel"/>
    <w:tmpl w:val="F432A96C"/>
    <w:lvl w:ilvl="0" w:tplc="0C090003">
      <w:start w:val="1"/>
      <w:numFmt w:val="bullet"/>
      <w:lvlText w:val="o"/>
      <w:lvlJc w:val="left"/>
      <w:pPr>
        <w:ind w:left="1080" w:hanging="360"/>
      </w:pPr>
      <w:rPr>
        <w:rFonts w:ascii="Courier New" w:hAnsi="Courier New" w:cs="Courier New" w:hint="default"/>
      </w:rPr>
    </w:lvl>
    <w:lvl w:ilvl="1" w:tplc="74B6F98C">
      <w:numFmt w:val="bullet"/>
      <w:lvlText w:val="-"/>
      <w:lvlJc w:val="left"/>
      <w:pPr>
        <w:ind w:left="1800" w:hanging="360"/>
      </w:pPr>
      <w:rPr>
        <w:rFonts w:ascii="Calibri" w:eastAsia="Times New Roman" w:hAnsi="Calibri" w:cs="Times New Roman"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589D584E"/>
    <w:multiLevelType w:val="hybridMultilevel"/>
    <w:tmpl w:val="03D2D09E"/>
    <w:styleLink w:val="ImportedStyle16"/>
    <w:lvl w:ilvl="0" w:tplc="F63CEB64">
      <w:start w:val="1"/>
      <w:numFmt w:val="bullet"/>
      <w:lvlText w:val="o"/>
      <w:lvlJc w:val="left"/>
      <w:pPr>
        <w:ind w:left="107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008308">
      <w:start w:val="1"/>
      <w:numFmt w:val="bullet"/>
      <w:lvlText w:val="o"/>
      <w:lvlJc w:val="left"/>
      <w:pPr>
        <w:ind w:left="179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4ED3E2">
      <w:start w:val="1"/>
      <w:numFmt w:val="bullet"/>
      <w:lvlText w:val="▪"/>
      <w:lvlJc w:val="left"/>
      <w:pPr>
        <w:ind w:left="251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265238">
      <w:start w:val="1"/>
      <w:numFmt w:val="bullet"/>
      <w:lvlText w:val="•"/>
      <w:lvlJc w:val="left"/>
      <w:pPr>
        <w:ind w:left="323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906446">
      <w:start w:val="1"/>
      <w:numFmt w:val="bullet"/>
      <w:lvlText w:val="o"/>
      <w:lvlJc w:val="left"/>
      <w:pPr>
        <w:ind w:left="395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CE8C">
      <w:start w:val="1"/>
      <w:numFmt w:val="bullet"/>
      <w:lvlText w:val="▪"/>
      <w:lvlJc w:val="left"/>
      <w:pPr>
        <w:ind w:left="467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FC9E56">
      <w:start w:val="1"/>
      <w:numFmt w:val="bullet"/>
      <w:lvlText w:val="•"/>
      <w:lvlJc w:val="left"/>
      <w:pPr>
        <w:ind w:left="539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A26AF0">
      <w:start w:val="1"/>
      <w:numFmt w:val="bullet"/>
      <w:lvlText w:val="o"/>
      <w:lvlJc w:val="left"/>
      <w:pPr>
        <w:ind w:left="611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607110">
      <w:start w:val="1"/>
      <w:numFmt w:val="bullet"/>
      <w:lvlText w:val="▪"/>
      <w:lvlJc w:val="left"/>
      <w:pPr>
        <w:ind w:left="6837"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97D4FAE"/>
    <w:multiLevelType w:val="hybridMultilevel"/>
    <w:tmpl w:val="29109FCA"/>
    <w:numStyleLink w:val="ImportedStyle8"/>
  </w:abstractNum>
  <w:abstractNum w:abstractNumId="145" w15:restartNumberingAfterBreak="0">
    <w:nsid w:val="5A6063B0"/>
    <w:multiLevelType w:val="hybridMultilevel"/>
    <w:tmpl w:val="699A9A9C"/>
    <w:styleLink w:val="ImportedStyle5"/>
    <w:lvl w:ilvl="0" w:tplc="F8B039B0">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2E03E0">
      <w:start w:val="1"/>
      <w:numFmt w:val="bullet"/>
      <w:lvlText w:val="o"/>
      <w:lvlJc w:val="left"/>
      <w:pPr>
        <w:ind w:left="17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F08E86">
      <w:start w:val="1"/>
      <w:numFmt w:val="bullet"/>
      <w:lvlText w:val="▪"/>
      <w:lvlJc w:val="left"/>
      <w:pPr>
        <w:ind w:left="25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FA3902">
      <w:start w:val="1"/>
      <w:numFmt w:val="bullet"/>
      <w:lvlText w:val="·"/>
      <w:lvlJc w:val="left"/>
      <w:pPr>
        <w:ind w:left="32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0264AC">
      <w:start w:val="1"/>
      <w:numFmt w:val="bullet"/>
      <w:lvlText w:val="o"/>
      <w:lvlJc w:val="left"/>
      <w:pPr>
        <w:ind w:left="39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306A36">
      <w:start w:val="1"/>
      <w:numFmt w:val="bullet"/>
      <w:lvlText w:val="▪"/>
      <w:lvlJc w:val="left"/>
      <w:pPr>
        <w:ind w:left="46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DABC58">
      <w:start w:val="1"/>
      <w:numFmt w:val="bullet"/>
      <w:lvlText w:val="·"/>
      <w:lvlJc w:val="left"/>
      <w:pPr>
        <w:ind w:left="539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202F74">
      <w:start w:val="1"/>
      <w:numFmt w:val="bullet"/>
      <w:lvlText w:val="o"/>
      <w:lvlJc w:val="left"/>
      <w:pPr>
        <w:ind w:left="61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A06FA2">
      <w:start w:val="1"/>
      <w:numFmt w:val="bullet"/>
      <w:lvlText w:val="▪"/>
      <w:lvlJc w:val="left"/>
      <w:pPr>
        <w:ind w:left="68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BE112B4"/>
    <w:multiLevelType w:val="hybridMultilevel"/>
    <w:tmpl w:val="696E3C82"/>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BE8302A"/>
    <w:multiLevelType w:val="hybridMultilevel"/>
    <w:tmpl w:val="FDD0A7A8"/>
    <w:styleLink w:val="ImportedStyle19"/>
    <w:lvl w:ilvl="0" w:tplc="5AF84ABE">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CD20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58F73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9CC5E4">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C715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868A9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7869FC">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C86B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AEEC9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5CAF5DED"/>
    <w:multiLevelType w:val="hybridMultilevel"/>
    <w:tmpl w:val="3D5A1C86"/>
    <w:styleLink w:val="ImportedStyle7"/>
    <w:lvl w:ilvl="0" w:tplc="9C3AE1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8004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F8E16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D06E7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20F37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C09D8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418E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F0C0B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780E0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5CDF1194"/>
    <w:multiLevelType w:val="hybridMultilevel"/>
    <w:tmpl w:val="080E5132"/>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D7B7567"/>
    <w:multiLevelType w:val="hybridMultilevel"/>
    <w:tmpl w:val="3AA0784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1" w15:restartNumberingAfterBreak="0">
    <w:nsid w:val="61205D22"/>
    <w:multiLevelType w:val="hybridMultilevel"/>
    <w:tmpl w:val="1FF45A9A"/>
    <w:numStyleLink w:val="ImportedStyle13"/>
  </w:abstractNum>
  <w:abstractNum w:abstractNumId="152" w15:restartNumberingAfterBreak="0">
    <w:nsid w:val="61CB75BC"/>
    <w:multiLevelType w:val="hybridMultilevel"/>
    <w:tmpl w:val="B53A02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3" w15:restartNumberingAfterBreak="0">
    <w:nsid w:val="63823B09"/>
    <w:multiLevelType w:val="hybridMultilevel"/>
    <w:tmpl w:val="C86A262C"/>
    <w:lvl w:ilvl="0" w:tplc="74B6F98C">
      <w:numFmt w:val="bullet"/>
      <w:lvlText w:val="-"/>
      <w:lvlJc w:val="left"/>
      <w:pPr>
        <w:ind w:left="1800" w:hanging="360"/>
      </w:pPr>
      <w:rPr>
        <w:rFonts w:ascii="Calibri" w:eastAsia="Times New Roman"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4" w15:restartNumberingAfterBreak="0">
    <w:nsid w:val="63C66F1C"/>
    <w:multiLevelType w:val="hybridMultilevel"/>
    <w:tmpl w:val="2C6479F4"/>
    <w:lvl w:ilvl="0" w:tplc="2FB80202">
      <w:start w:val="1"/>
      <w:numFmt w:val="bullet"/>
      <w:lvlText w:val=""/>
      <w:lvlJc w:val="left"/>
      <w:pPr>
        <w:ind w:left="1151" w:hanging="360"/>
      </w:pPr>
      <w:rPr>
        <w:rFonts w:ascii="Symbol" w:hAnsi="Symbol" w:hint="default"/>
        <w:color w:val="385623" w:themeColor="accent6" w:themeShade="80"/>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55" w15:restartNumberingAfterBreak="0">
    <w:nsid w:val="63EA6556"/>
    <w:multiLevelType w:val="hybridMultilevel"/>
    <w:tmpl w:val="CFCC4648"/>
    <w:lvl w:ilvl="0" w:tplc="74B6F98C">
      <w:numFmt w:val="bullet"/>
      <w:lvlText w:val="-"/>
      <w:lvlJc w:val="left"/>
      <w:pPr>
        <w:ind w:left="862" w:hanging="431"/>
      </w:pPr>
      <w:rPr>
        <w:rFonts w:ascii="Calibri" w:eastAsia="Times New Roman" w:hAnsi="Calibri" w:cs="Times New Roman"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56" w15:restartNumberingAfterBreak="0">
    <w:nsid w:val="64820A77"/>
    <w:multiLevelType w:val="hybridMultilevel"/>
    <w:tmpl w:val="61B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A715B3"/>
    <w:multiLevelType w:val="hybridMultilevel"/>
    <w:tmpl w:val="B76A1542"/>
    <w:lvl w:ilvl="0" w:tplc="2FB80202">
      <w:start w:val="1"/>
      <w:numFmt w:val="bullet"/>
      <w:lvlText w:val=""/>
      <w:lvlJc w:val="left"/>
      <w:pPr>
        <w:ind w:left="862" w:hanging="431"/>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58" w15:restartNumberingAfterBreak="0">
    <w:nsid w:val="699D7AA6"/>
    <w:multiLevelType w:val="hybridMultilevel"/>
    <w:tmpl w:val="4EC2CCE6"/>
    <w:lvl w:ilvl="0" w:tplc="74B6F98C">
      <w:numFmt w:val="bullet"/>
      <w:lvlText w:val="-"/>
      <w:lvlJc w:val="left"/>
      <w:pPr>
        <w:ind w:left="1151" w:hanging="360"/>
      </w:pPr>
      <w:rPr>
        <w:rFonts w:ascii="Calibri" w:eastAsia="Times New Roman" w:hAnsi="Calibri" w:cs="Times New Roman" w:hint="default"/>
        <w:color w:val="385623" w:themeColor="accent6" w:themeShade="80"/>
      </w:rPr>
    </w:lvl>
    <w:lvl w:ilvl="1" w:tplc="0C090003">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59" w15:restartNumberingAfterBreak="0">
    <w:nsid w:val="6A6158DC"/>
    <w:multiLevelType w:val="hybridMultilevel"/>
    <w:tmpl w:val="139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775103"/>
    <w:multiLevelType w:val="hybridMultilevel"/>
    <w:tmpl w:val="6ED689FC"/>
    <w:styleLink w:val="ImportedStyle31"/>
    <w:lvl w:ilvl="0" w:tplc="EA16E0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6EEA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F481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C633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4CCE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5A5F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7839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03C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CE47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C833E13"/>
    <w:multiLevelType w:val="hybridMultilevel"/>
    <w:tmpl w:val="2216F96A"/>
    <w:lvl w:ilvl="0" w:tplc="2FB80202">
      <w:start w:val="1"/>
      <w:numFmt w:val="bullet"/>
      <w:lvlText w:val=""/>
      <w:lvlJc w:val="left"/>
      <w:pPr>
        <w:ind w:left="1440" w:hanging="360"/>
      </w:pPr>
      <w:rPr>
        <w:rFonts w:ascii="Symbol" w:hAnsi="Symbol" w:hint="default"/>
        <w:color w:val="385623" w:themeColor="accent6"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2" w15:restartNumberingAfterBreak="0">
    <w:nsid w:val="6CFA7FBB"/>
    <w:multiLevelType w:val="hybridMultilevel"/>
    <w:tmpl w:val="96E4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785D19"/>
    <w:multiLevelType w:val="hybridMultilevel"/>
    <w:tmpl w:val="C3BA2E98"/>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D8B2CBE"/>
    <w:multiLevelType w:val="hybridMultilevel"/>
    <w:tmpl w:val="1688D854"/>
    <w:lvl w:ilvl="0" w:tplc="2FB80202">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5" w15:restartNumberingAfterBreak="0">
    <w:nsid w:val="6E063399"/>
    <w:multiLevelType w:val="hybridMultilevel"/>
    <w:tmpl w:val="5BAA130E"/>
    <w:lvl w:ilvl="0" w:tplc="CD2ED2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44C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5C96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6054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9C9B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ECC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88A3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2408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0FB0E9C"/>
    <w:multiLevelType w:val="hybridMultilevel"/>
    <w:tmpl w:val="32CC2912"/>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8" w15:restartNumberingAfterBreak="0">
    <w:nsid w:val="71011437"/>
    <w:multiLevelType w:val="hybridMultilevel"/>
    <w:tmpl w:val="F5C659D2"/>
    <w:lvl w:ilvl="0" w:tplc="3858174C">
      <w:start w:val="1"/>
      <w:numFmt w:val="bullet"/>
      <w:pStyle w:val="Bullet2"/>
      <w:lvlText w:val="o"/>
      <w:lvlJc w:val="left"/>
      <w:pPr>
        <w:ind w:left="1077" w:hanging="360"/>
      </w:pPr>
      <w:rPr>
        <w:rFonts w:ascii="Courier New" w:hAnsi="Courier New" w:cs="Courier New"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9" w15:restartNumberingAfterBreak="0">
    <w:nsid w:val="72877091"/>
    <w:multiLevelType w:val="hybridMultilevel"/>
    <w:tmpl w:val="77EE64B8"/>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2AD21BF"/>
    <w:multiLevelType w:val="hybridMultilevel"/>
    <w:tmpl w:val="BA24931A"/>
    <w:styleLink w:val="ImportedStyle21"/>
    <w:lvl w:ilvl="0" w:tplc="D57C7B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227800">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0E01F2">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B0B69E">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783CBA">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AC2420">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4A504">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E4455C">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560E9A">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73611757"/>
    <w:multiLevelType w:val="hybridMultilevel"/>
    <w:tmpl w:val="8B0825B6"/>
    <w:numStyleLink w:val="ImportedStyle23"/>
  </w:abstractNum>
  <w:abstractNum w:abstractNumId="172" w15:restartNumberingAfterBreak="0">
    <w:nsid w:val="73F25871"/>
    <w:multiLevelType w:val="hybridMultilevel"/>
    <w:tmpl w:val="CA2444A0"/>
    <w:lvl w:ilvl="0" w:tplc="2FB80202">
      <w:start w:val="1"/>
      <w:numFmt w:val="bullet"/>
      <w:lvlText w:val=""/>
      <w:lvlJc w:val="left"/>
      <w:pPr>
        <w:ind w:left="720" w:hanging="360"/>
      </w:pPr>
      <w:rPr>
        <w:rFonts w:ascii="Symbol" w:hAnsi="Symbol" w:hint="default"/>
        <w:color w:val="385623" w:themeColor="accent6" w:themeShade="80"/>
      </w:rPr>
    </w:lvl>
    <w:lvl w:ilvl="1" w:tplc="74B6F98C">
      <w:numFmt w:val="bullet"/>
      <w:lvlText w:val="-"/>
      <w:lvlJc w:val="left"/>
      <w:pPr>
        <w:ind w:left="1440" w:hanging="36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F54829"/>
    <w:multiLevelType w:val="hybridMultilevel"/>
    <w:tmpl w:val="16503D5C"/>
    <w:numStyleLink w:val="ImportedStyle28"/>
  </w:abstractNum>
  <w:abstractNum w:abstractNumId="174" w15:restartNumberingAfterBreak="0">
    <w:nsid w:val="75005826"/>
    <w:multiLevelType w:val="hybridMultilevel"/>
    <w:tmpl w:val="FBC4362A"/>
    <w:lvl w:ilvl="0" w:tplc="2FB80202">
      <w:start w:val="1"/>
      <w:numFmt w:val="bullet"/>
      <w:lvlText w:val=""/>
      <w:lvlJc w:val="left"/>
      <w:pPr>
        <w:ind w:left="720" w:hanging="360"/>
      </w:pPr>
      <w:rPr>
        <w:rFonts w:ascii="Symbol" w:hAnsi="Symbol" w:hint="default"/>
        <w:color w:val="385623" w:themeColor="accent6" w:themeShade="80"/>
      </w:rPr>
    </w:lvl>
    <w:lvl w:ilvl="1" w:tplc="2FB80202">
      <w:start w:val="1"/>
      <w:numFmt w:val="bullet"/>
      <w:lvlText w:val=""/>
      <w:lvlJc w:val="left"/>
      <w:pPr>
        <w:ind w:left="1440" w:hanging="360"/>
      </w:pPr>
      <w:rPr>
        <w:rFonts w:ascii="Symbol" w:hAnsi="Symbol" w:hint="default"/>
        <w:color w:val="385623" w:themeColor="accent6" w:themeShade="8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5E777C6"/>
    <w:multiLevelType w:val="hybridMultilevel"/>
    <w:tmpl w:val="725A6BAC"/>
    <w:lvl w:ilvl="0" w:tplc="74B6F98C">
      <w:numFmt w:val="bullet"/>
      <w:lvlText w:val="-"/>
      <w:lvlJc w:val="left"/>
      <w:pPr>
        <w:ind w:left="720" w:hanging="360"/>
      </w:pPr>
      <w:rPr>
        <w:rFonts w:ascii="Calibri" w:eastAsia="Times New Roman" w:hAnsi="Calibri" w:cs="Times New Roman" w:hint="default"/>
        <w:color w:val="385623" w:themeColor="accent6"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6D04E5"/>
    <w:multiLevelType w:val="multilevel"/>
    <w:tmpl w:val="102015B4"/>
    <w:numStyleLink w:val="ImportedStyle1"/>
  </w:abstractNum>
  <w:abstractNum w:abstractNumId="177" w15:restartNumberingAfterBreak="0">
    <w:nsid w:val="76BE2D6A"/>
    <w:multiLevelType w:val="hybridMultilevel"/>
    <w:tmpl w:val="5FE2DBC4"/>
    <w:lvl w:ilvl="0" w:tplc="74B6F98C">
      <w:numFmt w:val="bullet"/>
      <w:lvlText w:val="-"/>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AE1CC2"/>
    <w:multiLevelType w:val="hybridMultilevel"/>
    <w:tmpl w:val="CCF8C7AC"/>
    <w:lvl w:ilvl="0" w:tplc="CD2ED2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44C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5C96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60548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9C9B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5ECC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688A3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2408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77D029A8"/>
    <w:multiLevelType w:val="hybridMultilevel"/>
    <w:tmpl w:val="60E6E114"/>
    <w:lvl w:ilvl="0" w:tplc="74B6F98C">
      <w:numFmt w:val="bullet"/>
      <w:lvlText w:val="-"/>
      <w:lvlJc w:val="left"/>
      <w:pPr>
        <w:ind w:left="2160" w:hanging="360"/>
      </w:pPr>
      <w:rPr>
        <w:rFonts w:ascii="Calibri" w:eastAsia="Times New Roman" w:hAnsi="Calibri" w:cs="Times New Roman" w:hint="default"/>
      </w:r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0" w15:restartNumberingAfterBreak="0">
    <w:nsid w:val="77D1684A"/>
    <w:multiLevelType w:val="hybridMultilevel"/>
    <w:tmpl w:val="521A2EEA"/>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1" w15:restartNumberingAfterBreak="0">
    <w:nsid w:val="77DE53B7"/>
    <w:multiLevelType w:val="hybridMultilevel"/>
    <w:tmpl w:val="C2B882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77EE3521"/>
    <w:multiLevelType w:val="hybridMultilevel"/>
    <w:tmpl w:val="FF18C914"/>
    <w:numStyleLink w:val="ImportedStyle20"/>
  </w:abstractNum>
  <w:abstractNum w:abstractNumId="183" w15:restartNumberingAfterBreak="0">
    <w:nsid w:val="784539CA"/>
    <w:multiLevelType w:val="hybridMultilevel"/>
    <w:tmpl w:val="699A9A9C"/>
    <w:numStyleLink w:val="ImportedStyle5"/>
  </w:abstractNum>
  <w:abstractNum w:abstractNumId="184" w15:restartNumberingAfterBreak="0">
    <w:nsid w:val="796E47DE"/>
    <w:multiLevelType w:val="hybridMultilevel"/>
    <w:tmpl w:val="09CC52F8"/>
    <w:lvl w:ilvl="0" w:tplc="2FB80202">
      <w:start w:val="1"/>
      <w:numFmt w:val="bullet"/>
      <w:lvlText w:val=""/>
      <w:lvlJc w:val="left"/>
      <w:pPr>
        <w:ind w:left="2160" w:hanging="360"/>
      </w:pPr>
      <w:rPr>
        <w:rFonts w:ascii="Symbol" w:hAnsi="Symbol" w:hint="default"/>
        <w:color w:val="385623" w:themeColor="accent6" w:themeShade="8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5" w15:restartNumberingAfterBreak="0">
    <w:nsid w:val="7A777EE6"/>
    <w:multiLevelType w:val="hybridMultilevel"/>
    <w:tmpl w:val="6AC80776"/>
    <w:lvl w:ilvl="0" w:tplc="2FB80202">
      <w:start w:val="1"/>
      <w:numFmt w:val="bullet"/>
      <w:lvlText w:val=""/>
      <w:lvlJc w:val="left"/>
      <w:pPr>
        <w:ind w:left="1440" w:hanging="360"/>
      </w:pPr>
      <w:rPr>
        <w:rFonts w:ascii="Symbol" w:hAnsi="Symbol" w:hint="default"/>
        <w:color w:val="385623" w:themeColor="accent6"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6" w15:restartNumberingAfterBreak="0">
    <w:nsid w:val="7B5009DA"/>
    <w:multiLevelType w:val="hybridMultilevel"/>
    <w:tmpl w:val="BE289CAC"/>
    <w:numStyleLink w:val="ImportedStyle15"/>
  </w:abstractNum>
  <w:abstractNum w:abstractNumId="187" w15:restartNumberingAfterBreak="0">
    <w:nsid w:val="7B5C47F8"/>
    <w:multiLevelType w:val="hybridMultilevel"/>
    <w:tmpl w:val="FFBA1D8A"/>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BC7487C"/>
    <w:multiLevelType w:val="hybridMultilevel"/>
    <w:tmpl w:val="6ED689FC"/>
    <w:numStyleLink w:val="ImportedStyle31"/>
  </w:abstractNum>
  <w:abstractNum w:abstractNumId="189" w15:restartNumberingAfterBreak="0">
    <w:nsid w:val="7C256AB1"/>
    <w:multiLevelType w:val="hybridMultilevel"/>
    <w:tmpl w:val="80E2EA66"/>
    <w:lvl w:ilvl="0" w:tplc="74B6F98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5B0598"/>
    <w:multiLevelType w:val="hybridMultilevel"/>
    <w:tmpl w:val="7CBA86BE"/>
    <w:numStyleLink w:val="ImportedStyle26"/>
  </w:abstractNum>
  <w:abstractNum w:abstractNumId="191" w15:restartNumberingAfterBreak="0">
    <w:nsid w:val="7D0575B2"/>
    <w:multiLevelType w:val="multilevel"/>
    <w:tmpl w:val="E4F089F0"/>
    <w:lvl w:ilvl="0">
      <w:start w:val="1"/>
      <w:numFmt w:val="decimal"/>
      <w:lvlText w:val="%1."/>
      <w:lvlJc w:val="left"/>
      <w:pPr>
        <w:ind w:left="3125" w:hanging="432"/>
      </w:pPr>
      <w:rPr>
        <w:rFonts w:hint="default"/>
      </w:rPr>
    </w:lvl>
    <w:lvl w:ilvl="1">
      <w:start w:val="1"/>
      <w:numFmt w:val="decimal"/>
      <w:lvlText w:val="%1.%2"/>
      <w:lvlJc w:val="left"/>
      <w:pPr>
        <w:ind w:left="-417" w:hanging="576"/>
      </w:pPr>
      <w:rPr>
        <w:b/>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385623" w:themeColor="accent6" w:themeShade="80"/>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92" w15:restartNumberingAfterBreak="0">
    <w:nsid w:val="7D796892"/>
    <w:multiLevelType w:val="hybridMultilevel"/>
    <w:tmpl w:val="2CA63462"/>
    <w:lvl w:ilvl="0" w:tplc="74B6F98C">
      <w:numFmt w:val="bullet"/>
      <w:lvlText w:val="-"/>
      <w:lvlJc w:val="left"/>
      <w:pPr>
        <w:ind w:left="1429" w:hanging="360"/>
      </w:pPr>
      <w:rPr>
        <w:rFonts w:ascii="Calibri" w:eastAsia="Times New Roman" w:hAnsi="Calibri" w:cs="Times New Roman" w:hint="default"/>
        <w:b w:val="0"/>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3" w15:restartNumberingAfterBreak="0">
    <w:nsid w:val="7D7E2547"/>
    <w:multiLevelType w:val="hybridMultilevel"/>
    <w:tmpl w:val="7D7427AC"/>
    <w:styleLink w:val="ImportedStyle6"/>
    <w:lvl w:ilvl="0" w:tplc="3766D7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1E26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618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C678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7092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D836A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DEE83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F45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7440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7EA42B52"/>
    <w:multiLevelType w:val="hybridMultilevel"/>
    <w:tmpl w:val="99806318"/>
    <w:numStyleLink w:val="ImportedStyle14"/>
  </w:abstractNum>
  <w:abstractNum w:abstractNumId="195" w15:restartNumberingAfterBreak="0">
    <w:nsid w:val="7EF26701"/>
    <w:multiLevelType w:val="hybridMultilevel"/>
    <w:tmpl w:val="D9A8AE22"/>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8"/>
  </w:num>
  <w:num w:numId="12">
    <w:abstractNumId w:val="107"/>
  </w:num>
  <w:num w:numId="13">
    <w:abstractNumId w:val="191"/>
  </w:num>
  <w:num w:numId="14">
    <w:abstractNumId w:val="166"/>
  </w:num>
  <w:num w:numId="15">
    <w:abstractNumId w:val="43"/>
  </w:num>
  <w:num w:numId="16">
    <w:abstractNumId w:val="60"/>
  </w:num>
  <w:num w:numId="17">
    <w:abstractNumId w:val="122"/>
  </w:num>
  <w:num w:numId="18">
    <w:abstractNumId w:val="40"/>
  </w:num>
  <w:num w:numId="19">
    <w:abstractNumId w:val="82"/>
  </w:num>
  <w:num w:numId="20">
    <w:abstractNumId w:val="83"/>
  </w:num>
  <w:num w:numId="21">
    <w:abstractNumId w:val="143"/>
  </w:num>
  <w:num w:numId="22">
    <w:abstractNumId w:val="42"/>
  </w:num>
  <w:num w:numId="23">
    <w:abstractNumId w:val="172"/>
  </w:num>
  <w:num w:numId="24">
    <w:abstractNumId w:val="47"/>
  </w:num>
  <w:num w:numId="25">
    <w:abstractNumId w:val="125"/>
  </w:num>
  <w:num w:numId="26">
    <w:abstractNumId w:val="158"/>
  </w:num>
  <w:num w:numId="27">
    <w:abstractNumId w:val="138"/>
  </w:num>
  <w:num w:numId="28">
    <w:abstractNumId w:val="187"/>
  </w:num>
  <w:num w:numId="29">
    <w:abstractNumId w:val="24"/>
  </w:num>
  <w:num w:numId="30">
    <w:abstractNumId w:val="177"/>
  </w:num>
  <w:num w:numId="31">
    <w:abstractNumId w:val="86"/>
  </w:num>
  <w:num w:numId="32">
    <w:abstractNumId w:val="35"/>
  </w:num>
  <w:num w:numId="33">
    <w:abstractNumId w:val="154"/>
  </w:num>
  <w:num w:numId="34">
    <w:abstractNumId w:val="163"/>
  </w:num>
  <w:num w:numId="35">
    <w:abstractNumId w:val="54"/>
  </w:num>
  <w:num w:numId="36">
    <w:abstractNumId w:val="23"/>
  </w:num>
  <w:num w:numId="37">
    <w:abstractNumId w:val="174"/>
  </w:num>
  <w:num w:numId="38">
    <w:abstractNumId w:val="32"/>
  </w:num>
  <w:num w:numId="39">
    <w:abstractNumId w:val="185"/>
  </w:num>
  <w:num w:numId="40">
    <w:abstractNumId w:val="13"/>
  </w:num>
  <w:num w:numId="41">
    <w:abstractNumId w:val="179"/>
  </w:num>
  <w:num w:numId="42">
    <w:abstractNumId w:val="136"/>
  </w:num>
  <w:num w:numId="43">
    <w:abstractNumId w:val="14"/>
  </w:num>
  <w:num w:numId="44">
    <w:abstractNumId w:val="64"/>
  </w:num>
  <w:num w:numId="45">
    <w:abstractNumId w:val="63"/>
  </w:num>
  <w:num w:numId="46">
    <w:abstractNumId w:val="73"/>
  </w:num>
  <w:num w:numId="47">
    <w:abstractNumId w:val="34"/>
  </w:num>
  <w:num w:numId="48">
    <w:abstractNumId w:val="149"/>
  </w:num>
  <w:num w:numId="49">
    <w:abstractNumId w:val="44"/>
  </w:num>
  <w:num w:numId="50">
    <w:abstractNumId w:val="29"/>
  </w:num>
  <w:num w:numId="51">
    <w:abstractNumId w:val="137"/>
  </w:num>
  <w:num w:numId="52">
    <w:abstractNumId w:val="124"/>
  </w:num>
  <w:num w:numId="53">
    <w:abstractNumId w:val="167"/>
  </w:num>
  <w:num w:numId="54">
    <w:abstractNumId w:val="123"/>
  </w:num>
  <w:num w:numId="55">
    <w:abstractNumId w:val="120"/>
  </w:num>
  <w:num w:numId="56">
    <w:abstractNumId w:val="46"/>
  </w:num>
  <w:num w:numId="57">
    <w:abstractNumId w:val="22"/>
  </w:num>
  <w:num w:numId="58">
    <w:abstractNumId w:val="87"/>
  </w:num>
  <w:num w:numId="59">
    <w:abstractNumId w:val="28"/>
  </w:num>
  <w:num w:numId="60">
    <w:abstractNumId w:val="192"/>
  </w:num>
  <w:num w:numId="61">
    <w:abstractNumId w:val="94"/>
  </w:num>
  <w:num w:numId="62">
    <w:abstractNumId w:val="65"/>
  </w:num>
  <w:num w:numId="63">
    <w:abstractNumId w:val="111"/>
  </w:num>
  <w:num w:numId="64">
    <w:abstractNumId w:val="126"/>
  </w:num>
  <w:num w:numId="65">
    <w:abstractNumId w:val="41"/>
  </w:num>
  <w:num w:numId="66">
    <w:abstractNumId w:val="184"/>
  </w:num>
  <w:num w:numId="67">
    <w:abstractNumId w:val="110"/>
  </w:num>
  <w:num w:numId="68">
    <w:abstractNumId w:val="95"/>
  </w:num>
  <w:num w:numId="69">
    <w:abstractNumId w:val="157"/>
  </w:num>
  <w:num w:numId="70">
    <w:abstractNumId w:val="153"/>
  </w:num>
  <w:num w:numId="71">
    <w:abstractNumId w:val="164"/>
  </w:num>
  <w:num w:numId="72">
    <w:abstractNumId w:val="11"/>
  </w:num>
  <w:num w:numId="73">
    <w:abstractNumId w:val="89"/>
  </w:num>
  <w:num w:numId="74">
    <w:abstractNumId w:val="56"/>
  </w:num>
  <w:num w:numId="75">
    <w:abstractNumId w:val="102"/>
  </w:num>
  <w:num w:numId="76">
    <w:abstractNumId w:val="30"/>
  </w:num>
  <w:num w:numId="77">
    <w:abstractNumId w:val="84"/>
  </w:num>
  <w:num w:numId="78">
    <w:abstractNumId w:val="104"/>
  </w:num>
  <w:num w:numId="79">
    <w:abstractNumId w:val="134"/>
  </w:num>
  <w:num w:numId="80">
    <w:abstractNumId w:val="141"/>
  </w:num>
  <w:num w:numId="81">
    <w:abstractNumId w:val="195"/>
  </w:num>
  <w:num w:numId="82">
    <w:abstractNumId w:val="175"/>
  </w:num>
  <w:num w:numId="83">
    <w:abstractNumId w:val="146"/>
  </w:num>
  <w:num w:numId="84">
    <w:abstractNumId w:val="180"/>
  </w:num>
  <w:num w:numId="85">
    <w:abstractNumId w:val="68"/>
  </w:num>
  <w:num w:numId="86">
    <w:abstractNumId w:val="112"/>
  </w:num>
  <w:num w:numId="87">
    <w:abstractNumId w:val="72"/>
  </w:num>
  <w:num w:numId="88">
    <w:abstractNumId w:val="19"/>
  </w:num>
  <w:num w:numId="89">
    <w:abstractNumId w:val="78"/>
  </w:num>
  <w:num w:numId="90">
    <w:abstractNumId w:val="38"/>
  </w:num>
  <w:num w:numId="91">
    <w:abstractNumId w:val="161"/>
  </w:num>
  <w:num w:numId="92">
    <w:abstractNumId w:val="81"/>
  </w:num>
  <w:num w:numId="93">
    <w:abstractNumId w:val="98"/>
  </w:num>
  <w:num w:numId="94">
    <w:abstractNumId w:val="70"/>
  </w:num>
  <w:num w:numId="95">
    <w:abstractNumId w:val="33"/>
  </w:num>
  <w:num w:numId="96">
    <w:abstractNumId w:val="155"/>
  </w:num>
  <w:num w:numId="97">
    <w:abstractNumId w:val="96"/>
  </w:num>
  <w:num w:numId="98">
    <w:abstractNumId w:val="62"/>
  </w:num>
  <w:num w:numId="99">
    <w:abstractNumId w:val="91"/>
  </w:num>
  <w:num w:numId="100">
    <w:abstractNumId w:val="25"/>
  </w:num>
  <w:num w:numId="101">
    <w:abstractNumId w:val="100"/>
  </w:num>
  <w:num w:numId="102">
    <w:abstractNumId w:val="168"/>
  </w:num>
  <w:num w:numId="103">
    <w:abstractNumId w:val="117"/>
  </w:num>
  <w:num w:numId="104">
    <w:abstractNumId w:val="80"/>
  </w:num>
  <w:num w:numId="105">
    <w:abstractNumId w:val="105"/>
  </w:num>
  <w:num w:numId="106">
    <w:abstractNumId w:val="176"/>
    <w:lvlOverride w:ilvl="0">
      <w:lvl w:ilvl="0">
        <w:start w:val="1"/>
        <w:numFmt w:val="decimal"/>
        <w:lvlText w:val="%1."/>
        <w:lvlJc w:val="left"/>
        <w:pPr>
          <w:ind w:left="432" w:hanging="432"/>
        </w:pPr>
        <w:rPr>
          <w:rFonts w:hAnsi="Arial Unicode MS"/>
          <w:caps w:val="0"/>
          <w:smallCaps w:val="0"/>
          <w:strike w:val="0"/>
          <w:dstrike w:val="0"/>
          <w:outline w:val="0"/>
          <w:emboss w:val="0"/>
          <w:imprint w:val="0"/>
          <w:color w:val="2F5496" w:themeColor="accent1" w:themeShade="BF"/>
          <w:spacing w:val="0"/>
          <w:w w:val="100"/>
          <w:kern w:val="0"/>
          <w:position w:val="0"/>
          <w:highlight w:val="none"/>
          <w:vertAlign w:val="baseline"/>
        </w:rPr>
      </w:lvl>
    </w:lvlOverride>
  </w:num>
  <w:num w:numId="107">
    <w:abstractNumId w:val="61"/>
  </w:num>
  <w:num w:numId="108">
    <w:abstractNumId w:val="57"/>
  </w:num>
  <w:num w:numId="109">
    <w:abstractNumId w:val="145"/>
  </w:num>
  <w:num w:numId="110">
    <w:abstractNumId w:val="52"/>
  </w:num>
  <w:num w:numId="111">
    <w:abstractNumId w:val="183"/>
  </w:num>
  <w:num w:numId="112">
    <w:abstractNumId w:val="193"/>
  </w:num>
  <w:num w:numId="113">
    <w:abstractNumId w:val="51"/>
  </w:num>
  <w:num w:numId="114">
    <w:abstractNumId w:val="148"/>
  </w:num>
  <w:num w:numId="115">
    <w:abstractNumId w:val="103"/>
  </w:num>
  <w:num w:numId="116">
    <w:abstractNumId w:val="128"/>
  </w:num>
  <w:num w:numId="117">
    <w:abstractNumId w:val="144"/>
    <w:lvlOverride w:ilvl="1">
      <w:lvl w:ilvl="1" w:tplc="154C4FC6">
        <w:start w:val="1"/>
        <w:numFmt w:val="bullet"/>
        <w:lvlText w:val="o"/>
        <w:lvlJc w:val="left"/>
        <w:pPr>
          <w:ind w:left="1440" w:hanging="360"/>
        </w:pPr>
        <w:rPr>
          <w:rFonts w:ascii="Courier New" w:eastAsia="Arial Unicode MS"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8">
    <w:abstractNumId w:val="50"/>
  </w:num>
  <w:num w:numId="119">
    <w:abstractNumId w:val="12"/>
  </w:num>
  <w:num w:numId="120">
    <w:abstractNumId w:val="67"/>
  </w:num>
  <w:num w:numId="121">
    <w:abstractNumId w:val="69"/>
  </w:num>
  <w:num w:numId="122">
    <w:abstractNumId w:val="176"/>
    <w:lvlOverride w:ilvl="1">
      <w:startOverride w:val="2"/>
    </w:lvlOverride>
  </w:num>
  <w:num w:numId="123">
    <w:abstractNumId w:val="109"/>
  </w:num>
  <w:num w:numId="124">
    <w:abstractNumId w:val="114"/>
  </w:num>
  <w:num w:numId="125">
    <w:abstractNumId w:val="118"/>
  </w:num>
  <w:num w:numId="126">
    <w:abstractNumId w:val="116"/>
    <w:lvlOverride w:ilvl="0">
      <w:lvl w:ilvl="0" w:tplc="C8389B4E">
        <w:start w:val="1"/>
        <w:numFmt w:val="lowerLetter"/>
        <w:lvlText w:val="%1."/>
        <w:lvlJc w:val="left"/>
        <w:pPr>
          <w:ind w:left="1077" w:hanging="360"/>
        </w:pPr>
        <w:rPr>
          <w:rFonts w:ascii="Calibri" w:eastAsia="Trebuchet MS" w:hAnsi="Calibri" w:cs="Calibri"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176"/>
    <w:lvlOverride w:ilvl="0">
      <w:startOverride w:val="2"/>
    </w:lvlOverride>
  </w:num>
  <w:num w:numId="128">
    <w:abstractNumId w:val="51"/>
    <w:lvlOverride w:ilvl="0">
      <w:lvl w:ilvl="0" w:tplc="5DFA957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tplc="35707F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tplc="2048E5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tplc="1C6E1C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tplc="49E654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tplc="7F544F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tplc="239EEB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tplc="ECC02C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tplc="8A16DD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129">
    <w:abstractNumId w:val="176"/>
    <w:lvlOverride w:ilvl="1">
      <w:startOverride w:val="2"/>
    </w:lvlOverride>
  </w:num>
  <w:num w:numId="130">
    <w:abstractNumId w:val="176"/>
    <w:lvlOverride w:ilvl="1">
      <w:startOverride w:val="4"/>
    </w:lvlOverride>
  </w:num>
  <w:num w:numId="131">
    <w:abstractNumId w:val="26"/>
  </w:num>
  <w:num w:numId="132">
    <w:abstractNumId w:val="151"/>
  </w:num>
  <w:num w:numId="133">
    <w:abstractNumId w:val="176"/>
    <w:lvlOverride w:ilvl="0">
      <w:startOverride w:val="3"/>
    </w:lvlOverride>
  </w:num>
  <w:num w:numId="134">
    <w:abstractNumId w:val="176"/>
    <w:lvlOverride w:ilvl="0">
      <w:lvl w:ilvl="0">
        <w:start w:val="1"/>
        <w:numFmt w:val="decimal"/>
        <w:lvlText w:val="%1."/>
        <w:lvlJc w:val="left"/>
        <w:pPr>
          <w:ind w:left="432" w:hanging="432"/>
        </w:pPr>
        <w:rPr>
          <w:rFonts w:hAnsi="Arial Unicode MS"/>
          <w:caps w:val="0"/>
          <w:smallCaps w:val="0"/>
          <w:strike w:val="0"/>
          <w:dstrike w:val="0"/>
          <w:outline w:val="0"/>
          <w:emboss w:val="0"/>
          <w:imprint w:val="0"/>
          <w:color w:val="01653F"/>
          <w:spacing w:val="0"/>
          <w:w w:val="100"/>
          <w:kern w:val="0"/>
          <w:position w:val="0"/>
          <w:highlight w:val="none"/>
          <w:vertAlign w:val="baseline"/>
        </w:rPr>
      </w:lvl>
    </w:lvlOverride>
    <w:lvlOverride w:ilvl="1">
      <w:lvl w:ilvl="1">
        <w:start w:val="1"/>
        <w:numFmt w:val="decimal"/>
        <w:lvlText w:val="%1.%2."/>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5" w:hanging="9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139" w:hanging="11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83" w:hanging="1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427" w:hanging="14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571" w:hanging="15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715" w:hanging="17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859" w:hanging="185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5">
    <w:abstractNumId w:val="176"/>
    <w:lvlOverride w:ilvl="0">
      <w:startOverride w:val="1"/>
      <w:lvl w:ilvl="0">
        <w:start w:val="1"/>
        <w:numFmt w:val="decimal"/>
        <w:lvlText w:val="%1."/>
        <w:lvlJc w:val="left"/>
        <w:pPr>
          <w:ind w:left="432" w:hanging="432"/>
        </w:pPr>
        <w:rPr>
          <w:rFonts w:hAnsi="Arial Unicode MS"/>
          <w:caps w:val="0"/>
          <w:smallCaps w:val="0"/>
          <w:strike w:val="0"/>
          <w:dstrike w:val="0"/>
          <w:outline w:val="0"/>
          <w:emboss w:val="0"/>
          <w:imprint w:val="0"/>
          <w:color w:val="01653F"/>
          <w:spacing w:val="0"/>
          <w:w w:val="100"/>
          <w:kern w:val="0"/>
          <w:position w:val="0"/>
          <w:highlight w:val="none"/>
          <w:vertAlign w:val="baseline"/>
        </w:rPr>
      </w:lvl>
    </w:lvlOverride>
    <w:lvlOverride w:ilvl="1">
      <w:startOverride w:val="2"/>
      <w:lvl w:ilvl="1">
        <w:start w:val="2"/>
        <w:numFmt w:val="decimal"/>
        <w:lvlText w:val="%1.%2."/>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995" w:hanging="9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139" w:hanging="11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283" w:hanging="1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427" w:hanging="14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71" w:hanging="15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15" w:hanging="17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859" w:hanging="185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6">
    <w:abstractNumId w:val="176"/>
    <w:lvlOverride w:ilvl="0">
      <w:startOverride w:val="4"/>
    </w:lvlOverride>
  </w:num>
  <w:num w:numId="137">
    <w:abstractNumId w:val="176"/>
    <w:lvlOverride w:ilvl="1">
      <w:startOverride w:val="2"/>
    </w:lvlOverride>
  </w:num>
  <w:num w:numId="138">
    <w:abstractNumId w:val="58"/>
  </w:num>
  <w:num w:numId="139">
    <w:abstractNumId w:val="194"/>
  </w:num>
  <w:num w:numId="140">
    <w:abstractNumId w:val="74"/>
  </w:num>
  <w:num w:numId="141">
    <w:abstractNumId w:val="186"/>
  </w:num>
  <w:num w:numId="142">
    <w:abstractNumId w:val="142"/>
  </w:num>
  <w:num w:numId="143">
    <w:abstractNumId w:val="31"/>
  </w:num>
  <w:num w:numId="144">
    <w:abstractNumId w:val="115"/>
  </w:num>
  <w:num w:numId="145">
    <w:abstractNumId w:val="17"/>
  </w:num>
  <w:num w:numId="146">
    <w:abstractNumId w:val="76"/>
  </w:num>
  <w:num w:numId="147">
    <w:abstractNumId w:val="99"/>
  </w:num>
  <w:num w:numId="148">
    <w:abstractNumId w:val="176"/>
    <w:lvlOverride w:ilvl="1">
      <w:startOverride w:val="3"/>
    </w:lvlOverride>
  </w:num>
  <w:num w:numId="149">
    <w:abstractNumId w:val="147"/>
  </w:num>
  <w:num w:numId="150">
    <w:abstractNumId w:val="88"/>
  </w:num>
  <w:num w:numId="151">
    <w:abstractNumId w:val="176"/>
    <w:lvlOverride w:ilvl="0">
      <w:startOverride w:val="5"/>
    </w:lvlOverride>
  </w:num>
  <w:num w:numId="152">
    <w:abstractNumId w:val="79"/>
  </w:num>
  <w:num w:numId="153">
    <w:abstractNumId w:val="182"/>
  </w:num>
  <w:num w:numId="154">
    <w:abstractNumId w:val="182"/>
    <w:lvlOverride w:ilvl="0">
      <w:lvl w:ilvl="0" w:tplc="1E4A41C8">
        <w:start w:val="1"/>
        <w:numFmt w:val="bullet"/>
        <w:lvlText w:val="·"/>
        <w:lvlJc w:val="left"/>
        <w:pPr>
          <w:ind w:left="7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B30279A">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6E42A4">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D84C006">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4D64CB0">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F768ED6">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B4ADE60">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EC87920">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103C4E">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176"/>
    <w:lvlOverride w:ilvl="0">
      <w:startOverride w:val="6"/>
    </w:lvlOverride>
  </w:num>
  <w:num w:numId="156">
    <w:abstractNumId w:val="170"/>
  </w:num>
  <w:num w:numId="157">
    <w:abstractNumId w:val="97"/>
  </w:num>
  <w:num w:numId="158">
    <w:abstractNumId w:val="186"/>
    <w:lvlOverride w:ilvl="0">
      <w:lvl w:ilvl="0" w:tplc="589E1526">
        <w:start w:val="1"/>
        <w:numFmt w:val="bullet"/>
        <w:lvlText w:val="·"/>
        <w:lvlJc w:val="left"/>
        <w:pPr>
          <w:ind w:left="7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EFB20">
        <w:start w:val="1"/>
        <w:numFmt w:val="bullet"/>
        <w:lvlText w:val="o"/>
        <w:lvlJc w:val="left"/>
        <w:pPr>
          <w:ind w:left="14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F4CA360">
        <w:start w:val="1"/>
        <w:numFmt w:val="bullet"/>
        <w:lvlText w:val="▪"/>
        <w:lvlJc w:val="left"/>
        <w:pPr>
          <w:ind w:left="216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3FC0394">
        <w:start w:val="1"/>
        <w:numFmt w:val="bullet"/>
        <w:lvlText w:val="•"/>
        <w:lvlJc w:val="left"/>
        <w:pPr>
          <w:ind w:left="288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B6B87C">
        <w:start w:val="1"/>
        <w:numFmt w:val="bullet"/>
        <w:lvlText w:val="o"/>
        <w:lvlJc w:val="left"/>
        <w:pPr>
          <w:ind w:left="360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1E793A">
        <w:start w:val="1"/>
        <w:numFmt w:val="bullet"/>
        <w:lvlText w:val="▪"/>
        <w:lvlJc w:val="left"/>
        <w:pPr>
          <w:ind w:left="432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534BB2A">
        <w:start w:val="1"/>
        <w:numFmt w:val="bullet"/>
        <w:lvlText w:val="•"/>
        <w:lvlJc w:val="left"/>
        <w:pPr>
          <w:ind w:left="504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2866DC8">
        <w:start w:val="1"/>
        <w:numFmt w:val="bullet"/>
        <w:lvlText w:val="o"/>
        <w:lvlJc w:val="left"/>
        <w:pPr>
          <w:ind w:left="576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C6C44C6">
        <w:start w:val="1"/>
        <w:numFmt w:val="bullet"/>
        <w:lvlText w:val="▪"/>
        <w:lvlJc w:val="left"/>
        <w:pPr>
          <w:ind w:left="6480"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9">
    <w:abstractNumId w:val="97"/>
    <w:lvlOverride w:ilvl="0">
      <w:lvl w:ilvl="0" w:tplc="949CB9EE">
        <w:start w:val="1"/>
        <w:numFmt w:val="bullet"/>
        <w:lvlText w:val="·"/>
        <w:lvlJc w:val="left"/>
        <w:pPr>
          <w:ind w:left="7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C4045F0">
        <w:start w:val="1"/>
        <w:numFmt w:val="bullet"/>
        <w:lvlText w:val="o"/>
        <w:lvlJc w:val="left"/>
        <w:pPr>
          <w:ind w:left="144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988C244">
        <w:start w:val="1"/>
        <w:numFmt w:val="bullet"/>
        <w:lvlText w:val="▪"/>
        <w:lvlJc w:val="left"/>
        <w:pPr>
          <w:ind w:left="216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460F96">
        <w:start w:val="1"/>
        <w:numFmt w:val="bullet"/>
        <w:lvlText w:val="·"/>
        <w:lvlJc w:val="left"/>
        <w:pPr>
          <w:ind w:left="288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E02C2A4">
        <w:start w:val="1"/>
        <w:numFmt w:val="bullet"/>
        <w:lvlText w:val="o"/>
        <w:lvlJc w:val="left"/>
        <w:pPr>
          <w:ind w:left="360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98DD84">
        <w:start w:val="1"/>
        <w:numFmt w:val="bullet"/>
        <w:lvlText w:val="▪"/>
        <w:lvlJc w:val="left"/>
        <w:pPr>
          <w:ind w:left="432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327A4A">
        <w:start w:val="1"/>
        <w:numFmt w:val="bullet"/>
        <w:lvlText w:val="·"/>
        <w:lvlJc w:val="left"/>
        <w:pPr>
          <w:ind w:left="504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05A97DC">
        <w:start w:val="1"/>
        <w:numFmt w:val="bullet"/>
        <w:lvlText w:val="o"/>
        <w:lvlJc w:val="left"/>
        <w:pPr>
          <w:ind w:left="576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352F6AC">
        <w:start w:val="1"/>
        <w:numFmt w:val="bullet"/>
        <w:lvlText w:val="▪"/>
        <w:lvlJc w:val="left"/>
        <w:pPr>
          <w:ind w:left="6480"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0">
    <w:abstractNumId w:val="55"/>
  </w:num>
  <w:num w:numId="161">
    <w:abstractNumId w:val="139"/>
  </w:num>
  <w:num w:numId="162">
    <w:abstractNumId w:val="92"/>
  </w:num>
  <w:num w:numId="163">
    <w:abstractNumId w:val="171"/>
  </w:num>
  <w:num w:numId="164">
    <w:abstractNumId w:val="171"/>
    <w:lvlOverride w:ilvl="0">
      <w:lvl w:ilvl="0" w:tplc="BE5C716E">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EA810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0AD4B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D78A49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FE0E88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CE0BE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98E43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6C0F6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FEBEA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36"/>
  </w:num>
  <w:num w:numId="166">
    <w:abstractNumId w:val="49"/>
  </w:num>
  <w:num w:numId="167">
    <w:abstractNumId w:val="176"/>
    <w:lvlOverride w:ilvl="0">
      <w:startOverride w:val="7"/>
    </w:lvlOverride>
  </w:num>
  <w:num w:numId="168">
    <w:abstractNumId w:val="135"/>
  </w:num>
  <w:num w:numId="169">
    <w:abstractNumId w:val="71"/>
  </w:num>
  <w:num w:numId="170">
    <w:abstractNumId w:val="176"/>
    <w:lvlOverride w:ilvl="1">
      <w:startOverride w:val="2"/>
    </w:lvlOverride>
  </w:num>
  <w:num w:numId="171">
    <w:abstractNumId w:val="131"/>
  </w:num>
  <w:num w:numId="172">
    <w:abstractNumId w:val="190"/>
  </w:num>
  <w:num w:numId="173">
    <w:abstractNumId w:val="176"/>
    <w:lvlOverride w:ilvl="0">
      <w:startOverride w:val="8"/>
    </w:lvlOverride>
  </w:num>
  <w:num w:numId="174">
    <w:abstractNumId w:val="171"/>
    <w:lvlOverride w:ilvl="0">
      <w:lvl w:ilvl="0" w:tplc="BE5C71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EA8104">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0AD4B4">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D78A492">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FE0E886">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CE0BE8">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98E436">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6C0F68">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FEBEA0">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5">
    <w:abstractNumId w:val="176"/>
    <w:lvlOverride w:ilvl="0">
      <w:startOverride w:val="9"/>
    </w:lvlOverride>
  </w:num>
  <w:num w:numId="176">
    <w:abstractNumId w:val="15"/>
  </w:num>
  <w:num w:numId="177">
    <w:abstractNumId w:val="119"/>
  </w:num>
  <w:num w:numId="178">
    <w:abstractNumId w:val="119"/>
    <w:lvlOverride w:ilvl="0">
      <w:lvl w:ilvl="0" w:tplc="FE0CBD1C">
        <w:start w:val="1"/>
        <w:numFmt w:val="bullet"/>
        <w:lvlText w:val="·"/>
        <w:lvlJc w:val="left"/>
        <w:pPr>
          <w:ind w:left="7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7809F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26A0A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05E49F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B0A1CB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F479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D69E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48D8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3CF28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9">
    <w:abstractNumId w:val="119"/>
    <w:lvlOverride w:ilvl="0">
      <w:lvl w:ilvl="0" w:tplc="FE0CBD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7809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26A0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05E49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B0A1C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F479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D69E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848D8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3CF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0">
    <w:abstractNumId w:val="176"/>
    <w:lvlOverride w:ilvl="0">
      <w:startOverride w:val="10"/>
    </w:lvlOverride>
  </w:num>
  <w:num w:numId="181">
    <w:abstractNumId w:val="176"/>
    <w:lvlOverride w:ilvl="0">
      <w:startOverride w:val="11"/>
    </w:lvlOverride>
  </w:num>
  <w:num w:numId="182">
    <w:abstractNumId w:val="37"/>
  </w:num>
  <w:num w:numId="183">
    <w:abstractNumId w:val="173"/>
  </w:num>
  <w:num w:numId="184">
    <w:abstractNumId w:val="176"/>
    <w:lvlOverride w:ilvl="0">
      <w:startOverride w:val="12"/>
    </w:lvlOverride>
  </w:num>
  <w:num w:numId="185">
    <w:abstractNumId w:val="133"/>
  </w:num>
  <w:num w:numId="186">
    <w:abstractNumId w:val="108"/>
  </w:num>
  <w:num w:numId="187">
    <w:abstractNumId w:val="18"/>
  </w:num>
  <w:num w:numId="188">
    <w:abstractNumId w:val="66"/>
    <w:lvlOverride w:ilvl="1">
      <w:lvl w:ilvl="1" w:tplc="DBD2C342">
        <w:start w:val="1"/>
        <w:numFmt w:val="bullet"/>
        <w:lvlText w:val="o"/>
        <w:lvlJc w:val="left"/>
        <w:pPr>
          <w:ind w:left="1434" w:hanging="357"/>
        </w:pPr>
        <w:rPr>
          <w:rFonts w:ascii="Courier New" w:eastAsia="Arial Unicode MS"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9">
    <w:abstractNumId w:val="176"/>
    <w:lvlOverride w:ilvl="0">
      <w:startOverride w:val="13"/>
    </w:lvlOverride>
  </w:num>
  <w:num w:numId="190">
    <w:abstractNumId w:val="160"/>
  </w:num>
  <w:num w:numId="191">
    <w:abstractNumId w:val="188"/>
    <w:lvlOverride w:ilvl="1">
      <w:lvl w:ilvl="1" w:tplc="5AD076CA">
        <w:start w:val="1"/>
        <w:numFmt w:val="bullet"/>
        <w:lvlText w:val="o"/>
        <w:lvlJc w:val="left"/>
        <w:pPr>
          <w:ind w:left="1440" w:hanging="360"/>
        </w:pPr>
        <w:rPr>
          <w:rFonts w:ascii="Courier New" w:eastAsia="Arial Unicode MS"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abstractNumId w:val="176"/>
    <w:lvlOverride w:ilvl="0">
      <w:startOverride w:val="14"/>
    </w:lvlOverride>
  </w:num>
  <w:num w:numId="193">
    <w:abstractNumId w:val="132"/>
  </w:num>
  <w:num w:numId="194">
    <w:abstractNumId w:val="45"/>
  </w:num>
  <w:num w:numId="195">
    <w:abstractNumId w:val="16"/>
  </w:num>
  <w:num w:numId="196">
    <w:abstractNumId w:val="77"/>
  </w:num>
  <w:num w:numId="197">
    <w:abstractNumId w:val="188"/>
  </w:num>
  <w:num w:numId="198">
    <w:abstractNumId w:val="169"/>
  </w:num>
  <w:num w:numId="199">
    <w:abstractNumId w:val="27"/>
  </w:num>
  <w:num w:numId="200">
    <w:abstractNumId w:val="156"/>
  </w:num>
  <w:num w:numId="201">
    <w:abstractNumId w:val="113"/>
  </w:num>
  <w:num w:numId="202">
    <w:abstractNumId w:val="159"/>
  </w:num>
  <w:num w:numId="203">
    <w:abstractNumId w:val="189"/>
  </w:num>
  <w:num w:numId="204">
    <w:abstractNumId w:val="75"/>
  </w:num>
  <w:num w:numId="205">
    <w:abstractNumId w:val="53"/>
  </w:num>
  <w:num w:numId="206">
    <w:abstractNumId w:val="130"/>
  </w:num>
  <w:num w:numId="207">
    <w:abstractNumId w:val="178"/>
  </w:num>
  <w:num w:numId="208">
    <w:abstractNumId w:val="106"/>
  </w:num>
  <w:num w:numId="209">
    <w:abstractNumId w:val="165"/>
  </w:num>
  <w:num w:numId="210">
    <w:abstractNumId w:val="162"/>
  </w:num>
  <w:num w:numId="211">
    <w:abstractNumId w:val="39"/>
  </w:num>
  <w:num w:numId="212">
    <w:abstractNumId w:val="59"/>
  </w:num>
  <w:num w:numId="213">
    <w:abstractNumId w:val="85"/>
  </w:num>
  <w:num w:numId="214">
    <w:abstractNumId w:val="21"/>
  </w:num>
  <w:num w:numId="215">
    <w:abstractNumId w:val="20"/>
  </w:num>
  <w:num w:numId="216">
    <w:abstractNumId w:val="121"/>
  </w:num>
  <w:num w:numId="217">
    <w:abstractNumId w:val="93"/>
  </w:num>
  <w:num w:numId="218">
    <w:abstractNumId w:val="129"/>
  </w:num>
  <w:num w:numId="219">
    <w:abstractNumId w:val="21"/>
  </w:num>
  <w:num w:numId="220">
    <w:abstractNumId w:val="181"/>
  </w:num>
  <w:num w:numId="221">
    <w:abstractNumId w:val="90"/>
  </w:num>
  <w:num w:numId="222">
    <w:abstractNumId w:val="140"/>
  </w:num>
  <w:num w:numId="223">
    <w:abstractNumId w:val="101"/>
  </w:num>
  <w:num w:numId="224">
    <w:abstractNumId w:val="127"/>
  </w:num>
  <w:num w:numId="225">
    <w:abstractNumId w:val="122"/>
  </w:num>
  <w:num w:numId="226">
    <w:abstractNumId w:val="122"/>
  </w:num>
  <w:num w:numId="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
  </w:num>
  <w:num w:numId="229">
    <w:abstractNumId w:val="150"/>
  </w:num>
  <w:num w:numId="230">
    <w:abstractNumId w:val="152"/>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fr-CA" w:vendorID="64" w:dllVersion="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AC9B040-A2F1-4F85-A30E-6F28441847A4}"/>
    <w:docVar w:name="dgnword-eventsink" w:val="269965008"/>
    <w:docVar w:name="IsNewDoc" w:val="No"/>
  </w:docVars>
  <w:rsids>
    <w:rsidRoot w:val="00D86EBD"/>
    <w:rsid w:val="0000032C"/>
    <w:rsid w:val="000004D7"/>
    <w:rsid w:val="000007E8"/>
    <w:rsid w:val="000013DC"/>
    <w:rsid w:val="0000177F"/>
    <w:rsid w:val="00001976"/>
    <w:rsid w:val="00001D31"/>
    <w:rsid w:val="00001D6C"/>
    <w:rsid w:val="00003224"/>
    <w:rsid w:val="00003430"/>
    <w:rsid w:val="00003D7E"/>
    <w:rsid w:val="00003FFC"/>
    <w:rsid w:val="000049BC"/>
    <w:rsid w:val="000050D4"/>
    <w:rsid w:val="00005A67"/>
    <w:rsid w:val="00005B07"/>
    <w:rsid w:val="00005D87"/>
    <w:rsid w:val="00006170"/>
    <w:rsid w:val="00006FEA"/>
    <w:rsid w:val="00007363"/>
    <w:rsid w:val="00007DEA"/>
    <w:rsid w:val="00010C67"/>
    <w:rsid w:val="0001138E"/>
    <w:rsid w:val="000117B8"/>
    <w:rsid w:val="00012903"/>
    <w:rsid w:val="00014054"/>
    <w:rsid w:val="000141A8"/>
    <w:rsid w:val="000144F8"/>
    <w:rsid w:val="000147CD"/>
    <w:rsid w:val="000147F1"/>
    <w:rsid w:val="00014F5A"/>
    <w:rsid w:val="000154B8"/>
    <w:rsid w:val="00015667"/>
    <w:rsid w:val="000160BE"/>
    <w:rsid w:val="00016525"/>
    <w:rsid w:val="00016EC0"/>
    <w:rsid w:val="000179AD"/>
    <w:rsid w:val="0002097F"/>
    <w:rsid w:val="00022272"/>
    <w:rsid w:val="00022E8B"/>
    <w:rsid w:val="00023476"/>
    <w:rsid w:val="000236DB"/>
    <w:rsid w:val="00023778"/>
    <w:rsid w:val="00023870"/>
    <w:rsid w:val="00023E56"/>
    <w:rsid w:val="00025356"/>
    <w:rsid w:val="00025670"/>
    <w:rsid w:val="000257A3"/>
    <w:rsid w:val="00025AB3"/>
    <w:rsid w:val="00025D5C"/>
    <w:rsid w:val="00025F11"/>
    <w:rsid w:val="000266CA"/>
    <w:rsid w:val="00027B2D"/>
    <w:rsid w:val="00030AFC"/>
    <w:rsid w:val="00030CE0"/>
    <w:rsid w:val="00030F9B"/>
    <w:rsid w:val="00031ABD"/>
    <w:rsid w:val="000321D0"/>
    <w:rsid w:val="00032546"/>
    <w:rsid w:val="00032575"/>
    <w:rsid w:val="000325EB"/>
    <w:rsid w:val="0003261A"/>
    <w:rsid w:val="0003274C"/>
    <w:rsid w:val="00032B05"/>
    <w:rsid w:val="00032E90"/>
    <w:rsid w:val="00033BD8"/>
    <w:rsid w:val="000342AD"/>
    <w:rsid w:val="0003448D"/>
    <w:rsid w:val="0003503F"/>
    <w:rsid w:val="00035EC5"/>
    <w:rsid w:val="000366BB"/>
    <w:rsid w:val="000366CE"/>
    <w:rsid w:val="000366FC"/>
    <w:rsid w:val="000368E6"/>
    <w:rsid w:val="00037001"/>
    <w:rsid w:val="000374F8"/>
    <w:rsid w:val="00037548"/>
    <w:rsid w:val="0003787B"/>
    <w:rsid w:val="000400FA"/>
    <w:rsid w:val="00040394"/>
    <w:rsid w:val="000403C6"/>
    <w:rsid w:val="00040430"/>
    <w:rsid w:val="000404E3"/>
    <w:rsid w:val="00040B70"/>
    <w:rsid w:val="00041134"/>
    <w:rsid w:val="00041469"/>
    <w:rsid w:val="000418DF"/>
    <w:rsid w:val="00041C0F"/>
    <w:rsid w:val="00042337"/>
    <w:rsid w:val="00042F8D"/>
    <w:rsid w:val="000442F2"/>
    <w:rsid w:val="0004454D"/>
    <w:rsid w:val="000445EC"/>
    <w:rsid w:val="0004479E"/>
    <w:rsid w:val="00044F14"/>
    <w:rsid w:val="00045599"/>
    <w:rsid w:val="00045F9A"/>
    <w:rsid w:val="00046502"/>
    <w:rsid w:val="000471FE"/>
    <w:rsid w:val="0004723E"/>
    <w:rsid w:val="000473D0"/>
    <w:rsid w:val="0004741F"/>
    <w:rsid w:val="00047E7F"/>
    <w:rsid w:val="00047EAD"/>
    <w:rsid w:val="00051053"/>
    <w:rsid w:val="000515FF"/>
    <w:rsid w:val="000522A3"/>
    <w:rsid w:val="000522A5"/>
    <w:rsid w:val="0005244D"/>
    <w:rsid w:val="00052D65"/>
    <w:rsid w:val="000530C6"/>
    <w:rsid w:val="00053567"/>
    <w:rsid w:val="00053AC3"/>
    <w:rsid w:val="00053D71"/>
    <w:rsid w:val="00054C7A"/>
    <w:rsid w:val="00055DC2"/>
    <w:rsid w:val="0005648C"/>
    <w:rsid w:val="000564C8"/>
    <w:rsid w:val="00056D61"/>
    <w:rsid w:val="000579EA"/>
    <w:rsid w:val="00060A63"/>
    <w:rsid w:val="00061847"/>
    <w:rsid w:val="00062B4B"/>
    <w:rsid w:val="00062BFB"/>
    <w:rsid w:val="0006308D"/>
    <w:rsid w:val="00063900"/>
    <w:rsid w:val="000640A0"/>
    <w:rsid w:val="000644A8"/>
    <w:rsid w:val="00064C62"/>
    <w:rsid w:val="00064E52"/>
    <w:rsid w:val="0006524A"/>
    <w:rsid w:val="00065F1B"/>
    <w:rsid w:val="00065F4B"/>
    <w:rsid w:val="00066B5C"/>
    <w:rsid w:val="00066EA4"/>
    <w:rsid w:val="00067487"/>
    <w:rsid w:val="000676D7"/>
    <w:rsid w:val="00067A8C"/>
    <w:rsid w:val="0007073C"/>
    <w:rsid w:val="00070B28"/>
    <w:rsid w:val="00070C9A"/>
    <w:rsid w:val="00071113"/>
    <w:rsid w:val="000711A9"/>
    <w:rsid w:val="00071A10"/>
    <w:rsid w:val="00072939"/>
    <w:rsid w:val="000729CF"/>
    <w:rsid w:val="00072C39"/>
    <w:rsid w:val="00072C6C"/>
    <w:rsid w:val="00072F11"/>
    <w:rsid w:val="00073253"/>
    <w:rsid w:val="00073593"/>
    <w:rsid w:val="000742F7"/>
    <w:rsid w:val="0007461A"/>
    <w:rsid w:val="000748AB"/>
    <w:rsid w:val="00075133"/>
    <w:rsid w:val="00076921"/>
    <w:rsid w:val="00076CB0"/>
    <w:rsid w:val="00076DBF"/>
    <w:rsid w:val="000774C9"/>
    <w:rsid w:val="00077614"/>
    <w:rsid w:val="00077B86"/>
    <w:rsid w:val="00081CFC"/>
    <w:rsid w:val="00082CF9"/>
    <w:rsid w:val="00082E35"/>
    <w:rsid w:val="00083B4C"/>
    <w:rsid w:val="00083F36"/>
    <w:rsid w:val="000850BF"/>
    <w:rsid w:val="00085C09"/>
    <w:rsid w:val="00087364"/>
    <w:rsid w:val="0008788B"/>
    <w:rsid w:val="00091F70"/>
    <w:rsid w:val="000921C7"/>
    <w:rsid w:val="00092F6C"/>
    <w:rsid w:val="0009329A"/>
    <w:rsid w:val="0009347B"/>
    <w:rsid w:val="00093B53"/>
    <w:rsid w:val="00094FC3"/>
    <w:rsid w:val="00097148"/>
    <w:rsid w:val="00097B5C"/>
    <w:rsid w:val="00097C2B"/>
    <w:rsid w:val="000A060B"/>
    <w:rsid w:val="000A0987"/>
    <w:rsid w:val="000A1168"/>
    <w:rsid w:val="000A1281"/>
    <w:rsid w:val="000A16A3"/>
    <w:rsid w:val="000A39F9"/>
    <w:rsid w:val="000A3B46"/>
    <w:rsid w:val="000A4285"/>
    <w:rsid w:val="000A5665"/>
    <w:rsid w:val="000A56ED"/>
    <w:rsid w:val="000A5CBD"/>
    <w:rsid w:val="000A6CA9"/>
    <w:rsid w:val="000A6E0E"/>
    <w:rsid w:val="000A7783"/>
    <w:rsid w:val="000B001D"/>
    <w:rsid w:val="000B0E37"/>
    <w:rsid w:val="000B158A"/>
    <w:rsid w:val="000B2E3C"/>
    <w:rsid w:val="000B2F4E"/>
    <w:rsid w:val="000B3D19"/>
    <w:rsid w:val="000B4596"/>
    <w:rsid w:val="000B4778"/>
    <w:rsid w:val="000B4D63"/>
    <w:rsid w:val="000B5193"/>
    <w:rsid w:val="000B5716"/>
    <w:rsid w:val="000B708B"/>
    <w:rsid w:val="000B7721"/>
    <w:rsid w:val="000B7C5A"/>
    <w:rsid w:val="000C156B"/>
    <w:rsid w:val="000C16EE"/>
    <w:rsid w:val="000C19A8"/>
    <w:rsid w:val="000C28BD"/>
    <w:rsid w:val="000C35E9"/>
    <w:rsid w:val="000C3D28"/>
    <w:rsid w:val="000C41A3"/>
    <w:rsid w:val="000C4E45"/>
    <w:rsid w:val="000C59CD"/>
    <w:rsid w:val="000C5BAC"/>
    <w:rsid w:val="000C5DC8"/>
    <w:rsid w:val="000C5E5C"/>
    <w:rsid w:val="000C68D9"/>
    <w:rsid w:val="000C6A06"/>
    <w:rsid w:val="000C70E2"/>
    <w:rsid w:val="000C73C9"/>
    <w:rsid w:val="000C7BD6"/>
    <w:rsid w:val="000C7F84"/>
    <w:rsid w:val="000D0EB7"/>
    <w:rsid w:val="000D172B"/>
    <w:rsid w:val="000D1AF4"/>
    <w:rsid w:val="000D212D"/>
    <w:rsid w:val="000D2898"/>
    <w:rsid w:val="000D2940"/>
    <w:rsid w:val="000D30A4"/>
    <w:rsid w:val="000D3568"/>
    <w:rsid w:val="000D3A72"/>
    <w:rsid w:val="000D4C88"/>
    <w:rsid w:val="000D4ED0"/>
    <w:rsid w:val="000D5419"/>
    <w:rsid w:val="000D56F0"/>
    <w:rsid w:val="000D5B09"/>
    <w:rsid w:val="000D5D22"/>
    <w:rsid w:val="000D6641"/>
    <w:rsid w:val="000D72A6"/>
    <w:rsid w:val="000E0D81"/>
    <w:rsid w:val="000E0DA1"/>
    <w:rsid w:val="000E139F"/>
    <w:rsid w:val="000E2118"/>
    <w:rsid w:val="000E212E"/>
    <w:rsid w:val="000E264A"/>
    <w:rsid w:val="000E336B"/>
    <w:rsid w:val="000E397D"/>
    <w:rsid w:val="000E3A8B"/>
    <w:rsid w:val="000E43DE"/>
    <w:rsid w:val="000E5646"/>
    <w:rsid w:val="000E5DF6"/>
    <w:rsid w:val="000E6570"/>
    <w:rsid w:val="000E71CA"/>
    <w:rsid w:val="000F05C9"/>
    <w:rsid w:val="000F0E50"/>
    <w:rsid w:val="000F0E67"/>
    <w:rsid w:val="000F199E"/>
    <w:rsid w:val="000F1CC0"/>
    <w:rsid w:val="000F1F5C"/>
    <w:rsid w:val="000F2BFD"/>
    <w:rsid w:val="000F3AAA"/>
    <w:rsid w:val="000F3B24"/>
    <w:rsid w:val="000F3F82"/>
    <w:rsid w:val="000F40DE"/>
    <w:rsid w:val="000F426D"/>
    <w:rsid w:val="000F4438"/>
    <w:rsid w:val="000F45E7"/>
    <w:rsid w:val="000F4A50"/>
    <w:rsid w:val="000F4C3C"/>
    <w:rsid w:val="000F50F9"/>
    <w:rsid w:val="000F552D"/>
    <w:rsid w:val="000F6652"/>
    <w:rsid w:val="000F6BEB"/>
    <w:rsid w:val="000F6C88"/>
    <w:rsid w:val="000F6EEB"/>
    <w:rsid w:val="000F709C"/>
    <w:rsid w:val="000F735D"/>
    <w:rsid w:val="00100182"/>
    <w:rsid w:val="00100203"/>
    <w:rsid w:val="00100275"/>
    <w:rsid w:val="0010053D"/>
    <w:rsid w:val="00100628"/>
    <w:rsid w:val="00100E25"/>
    <w:rsid w:val="001018CD"/>
    <w:rsid w:val="0010195C"/>
    <w:rsid w:val="00101C9C"/>
    <w:rsid w:val="001023A7"/>
    <w:rsid w:val="0010274C"/>
    <w:rsid w:val="00102DE9"/>
    <w:rsid w:val="001032EB"/>
    <w:rsid w:val="00103CE1"/>
    <w:rsid w:val="00104C39"/>
    <w:rsid w:val="00104CB8"/>
    <w:rsid w:val="00104FC1"/>
    <w:rsid w:val="00105023"/>
    <w:rsid w:val="0010503F"/>
    <w:rsid w:val="0010585C"/>
    <w:rsid w:val="00105E41"/>
    <w:rsid w:val="00105F0E"/>
    <w:rsid w:val="001060CD"/>
    <w:rsid w:val="0010614B"/>
    <w:rsid w:val="00106718"/>
    <w:rsid w:val="00106DF7"/>
    <w:rsid w:val="00106F8B"/>
    <w:rsid w:val="00110502"/>
    <w:rsid w:val="001118BA"/>
    <w:rsid w:val="001123E8"/>
    <w:rsid w:val="00113862"/>
    <w:rsid w:val="00113967"/>
    <w:rsid w:val="00114D0A"/>
    <w:rsid w:val="00115992"/>
    <w:rsid w:val="001160A3"/>
    <w:rsid w:val="00116774"/>
    <w:rsid w:val="00116A50"/>
    <w:rsid w:val="00116CFC"/>
    <w:rsid w:val="001170AA"/>
    <w:rsid w:val="0011763B"/>
    <w:rsid w:val="0011787D"/>
    <w:rsid w:val="00117902"/>
    <w:rsid w:val="0012224C"/>
    <w:rsid w:val="001233BB"/>
    <w:rsid w:val="00123991"/>
    <w:rsid w:val="00124651"/>
    <w:rsid w:val="001247BE"/>
    <w:rsid w:val="0012617D"/>
    <w:rsid w:val="001263AD"/>
    <w:rsid w:val="001268A0"/>
    <w:rsid w:val="0013006F"/>
    <w:rsid w:val="0013046D"/>
    <w:rsid w:val="001305AD"/>
    <w:rsid w:val="00130B9B"/>
    <w:rsid w:val="00130C88"/>
    <w:rsid w:val="00130DF6"/>
    <w:rsid w:val="0013115A"/>
    <w:rsid w:val="001314D8"/>
    <w:rsid w:val="001314F4"/>
    <w:rsid w:val="0013158E"/>
    <w:rsid w:val="00131960"/>
    <w:rsid w:val="00132A97"/>
    <w:rsid w:val="00132B1B"/>
    <w:rsid w:val="00133271"/>
    <w:rsid w:val="0013346F"/>
    <w:rsid w:val="001335BF"/>
    <w:rsid w:val="001338BA"/>
    <w:rsid w:val="00133B5D"/>
    <w:rsid w:val="00133D80"/>
    <w:rsid w:val="00133F1B"/>
    <w:rsid w:val="0013439B"/>
    <w:rsid w:val="00135123"/>
    <w:rsid w:val="001353A9"/>
    <w:rsid w:val="0013728A"/>
    <w:rsid w:val="001376FD"/>
    <w:rsid w:val="00137712"/>
    <w:rsid w:val="00137EFD"/>
    <w:rsid w:val="001401EB"/>
    <w:rsid w:val="00140298"/>
    <w:rsid w:val="00140315"/>
    <w:rsid w:val="00140385"/>
    <w:rsid w:val="00140BA0"/>
    <w:rsid w:val="00140BBE"/>
    <w:rsid w:val="00140F13"/>
    <w:rsid w:val="0014167A"/>
    <w:rsid w:val="001426E7"/>
    <w:rsid w:val="0014284D"/>
    <w:rsid w:val="001434DE"/>
    <w:rsid w:val="0014408B"/>
    <w:rsid w:val="00144937"/>
    <w:rsid w:val="00144C61"/>
    <w:rsid w:val="00144F37"/>
    <w:rsid w:val="001456BB"/>
    <w:rsid w:val="00145773"/>
    <w:rsid w:val="00146933"/>
    <w:rsid w:val="00146D0B"/>
    <w:rsid w:val="00146F96"/>
    <w:rsid w:val="0014705E"/>
    <w:rsid w:val="001475EB"/>
    <w:rsid w:val="0015099D"/>
    <w:rsid w:val="00150AB7"/>
    <w:rsid w:val="00150F00"/>
    <w:rsid w:val="0015126D"/>
    <w:rsid w:val="00151D77"/>
    <w:rsid w:val="0015266B"/>
    <w:rsid w:val="00152854"/>
    <w:rsid w:val="00153208"/>
    <w:rsid w:val="00153232"/>
    <w:rsid w:val="00153B88"/>
    <w:rsid w:val="00154063"/>
    <w:rsid w:val="001548B2"/>
    <w:rsid w:val="00155F6B"/>
    <w:rsid w:val="001562AA"/>
    <w:rsid w:val="001563E6"/>
    <w:rsid w:val="00156B47"/>
    <w:rsid w:val="00156F8D"/>
    <w:rsid w:val="001574B5"/>
    <w:rsid w:val="00157D38"/>
    <w:rsid w:val="00157F5D"/>
    <w:rsid w:val="001606E9"/>
    <w:rsid w:val="00160845"/>
    <w:rsid w:val="00161230"/>
    <w:rsid w:val="0016134B"/>
    <w:rsid w:val="00161B1B"/>
    <w:rsid w:val="00161DBA"/>
    <w:rsid w:val="00161FF0"/>
    <w:rsid w:val="0016341D"/>
    <w:rsid w:val="00163998"/>
    <w:rsid w:val="001639DD"/>
    <w:rsid w:val="00163F4C"/>
    <w:rsid w:val="0016483E"/>
    <w:rsid w:val="00165B7C"/>
    <w:rsid w:val="001663F9"/>
    <w:rsid w:val="00166B36"/>
    <w:rsid w:val="00167562"/>
    <w:rsid w:val="00167CFF"/>
    <w:rsid w:val="00167DFE"/>
    <w:rsid w:val="00167FB2"/>
    <w:rsid w:val="00170617"/>
    <w:rsid w:val="001710D4"/>
    <w:rsid w:val="00171476"/>
    <w:rsid w:val="0017150B"/>
    <w:rsid w:val="00171732"/>
    <w:rsid w:val="00171B03"/>
    <w:rsid w:val="00172FC7"/>
    <w:rsid w:val="0017323B"/>
    <w:rsid w:val="001733DE"/>
    <w:rsid w:val="001736B3"/>
    <w:rsid w:val="00174AB4"/>
    <w:rsid w:val="001753FA"/>
    <w:rsid w:val="00175A9F"/>
    <w:rsid w:val="00175E58"/>
    <w:rsid w:val="00176909"/>
    <w:rsid w:val="00176FD0"/>
    <w:rsid w:val="00177334"/>
    <w:rsid w:val="00177335"/>
    <w:rsid w:val="001774C6"/>
    <w:rsid w:val="00177890"/>
    <w:rsid w:val="00177963"/>
    <w:rsid w:val="00177B33"/>
    <w:rsid w:val="00177F65"/>
    <w:rsid w:val="00181395"/>
    <w:rsid w:val="001817B2"/>
    <w:rsid w:val="00181FAE"/>
    <w:rsid w:val="00182109"/>
    <w:rsid w:val="00182376"/>
    <w:rsid w:val="00182398"/>
    <w:rsid w:val="001829D4"/>
    <w:rsid w:val="00182B71"/>
    <w:rsid w:val="00183B97"/>
    <w:rsid w:val="00184343"/>
    <w:rsid w:val="001849C5"/>
    <w:rsid w:val="00184B21"/>
    <w:rsid w:val="00185155"/>
    <w:rsid w:val="001858F4"/>
    <w:rsid w:val="00185E23"/>
    <w:rsid w:val="00186211"/>
    <w:rsid w:val="0018644A"/>
    <w:rsid w:val="0018651C"/>
    <w:rsid w:val="001867D4"/>
    <w:rsid w:val="00186E95"/>
    <w:rsid w:val="00186EF2"/>
    <w:rsid w:val="001870D8"/>
    <w:rsid w:val="00187CE1"/>
    <w:rsid w:val="00187DD3"/>
    <w:rsid w:val="00190909"/>
    <w:rsid w:val="00191FB2"/>
    <w:rsid w:val="00192262"/>
    <w:rsid w:val="00192464"/>
    <w:rsid w:val="0019306B"/>
    <w:rsid w:val="001931E3"/>
    <w:rsid w:val="00193BA3"/>
    <w:rsid w:val="00193F91"/>
    <w:rsid w:val="001941D4"/>
    <w:rsid w:val="0019523D"/>
    <w:rsid w:val="00195798"/>
    <w:rsid w:val="00196EBD"/>
    <w:rsid w:val="0019743C"/>
    <w:rsid w:val="00197508"/>
    <w:rsid w:val="0019777E"/>
    <w:rsid w:val="00197E9D"/>
    <w:rsid w:val="001A01CF"/>
    <w:rsid w:val="001A04E7"/>
    <w:rsid w:val="001A1262"/>
    <w:rsid w:val="001A1797"/>
    <w:rsid w:val="001A2B6F"/>
    <w:rsid w:val="001A2DC3"/>
    <w:rsid w:val="001A2E43"/>
    <w:rsid w:val="001A329E"/>
    <w:rsid w:val="001A37CE"/>
    <w:rsid w:val="001A39D9"/>
    <w:rsid w:val="001A4005"/>
    <w:rsid w:val="001A433E"/>
    <w:rsid w:val="001A4F57"/>
    <w:rsid w:val="001A5077"/>
    <w:rsid w:val="001A527C"/>
    <w:rsid w:val="001A7950"/>
    <w:rsid w:val="001A7BA0"/>
    <w:rsid w:val="001B01AF"/>
    <w:rsid w:val="001B135F"/>
    <w:rsid w:val="001B1624"/>
    <w:rsid w:val="001B244F"/>
    <w:rsid w:val="001B3861"/>
    <w:rsid w:val="001B4949"/>
    <w:rsid w:val="001B524F"/>
    <w:rsid w:val="001B58F7"/>
    <w:rsid w:val="001B6248"/>
    <w:rsid w:val="001B789E"/>
    <w:rsid w:val="001B791C"/>
    <w:rsid w:val="001B7EA6"/>
    <w:rsid w:val="001B7EB4"/>
    <w:rsid w:val="001C128A"/>
    <w:rsid w:val="001C14B4"/>
    <w:rsid w:val="001C1ACD"/>
    <w:rsid w:val="001C2884"/>
    <w:rsid w:val="001C29C5"/>
    <w:rsid w:val="001C2ACE"/>
    <w:rsid w:val="001C2C9B"/>
    <w:rsid w:val="001C2DB4"/>
    <w:rsid w:val="001C2DCD"/>
    <w:rsid w:val="001C2E63"/>
    <w:rsid w:val="001C30E6"/>
    <w:rsid w:val="001C32AD"/>
    <w:rsid w:val="001C3AE8"/>
    <w:rsid w:val="001C3E02"/>
    <w:rsid w:val="001C5230"/>
    <w:rsid w:val="001C6218"/>
    <w:rsid w:val="001C63D0"/>
    <w:rsid w:val="001C6959"/>
    <w:rsid w:val="001C7340"/>
    <w:rsid w:val="001C77A6"/>
    <w:rsid w:val="001D003A"/>
    <w:rsid w:val="001D0831"/>
    <w:rsid w:val="001D0990"/>
    <w:rsid w:val="001D2511"/>
    <w:rsid w:val="001D2A25"/>
    <w:rsid w:val="001D32F9"/>
    <w:rsid w:val="001D42BA"/>
    <w:rsid w:val="001D4E65"/>
    <w:rsid w:val="001D518C"/>
    <w:rsid w:val="001D5560"/>
    <w:rsid w:val="001D5881"/>
    <w:rsid w:val="001D5F99"/>
    <w:rsid w:val="001D6A12"/>
    <w:rsid w:val="001D765C"/>
    <w:rsid w:val="001D7661"/>
    <w:rsid w:val="001D76F3"/>
    <w:rsid w:val="001E0AF6"/>
    <w:rsid w:val="001E2201"/>
    <w:rsid w:val="001E239A"/>
    <w:rsid w:val="001E2756"/>
    <w:rsid w:val="001E2AA9"/>
    <w:rsid w:val="001E2AD6"/>
    <w:rsid w:val="001E2DC4"/>
    <w:rsid w:val="001E2FA1"/>
    <w:rsid w:val="001E30A5"/>
    <w:rsid w:val="001E3B97"/>
    <w:rsid w:val="001E406A"/>
    <w:rsid w:val="001E49F8"/>
    <w:rsid w:val="001E4E2B"/>
    <w:rsid w:val="001E4FA2"/>
    <w:rsid w:val="001E53AC"/>
    <w:rsid w:val="001E628A"/>
    <w:rsid w:val="001E6754"/>
    <w:rsid w:val="001E6D18"/>
    <w:rsid w:val="001E7027"/>
    <w:rsid w:val="001E7453"/>
    <w:rsid w:val="001F05E1"/>
    <w:rsid w:val="001F1395"/>
    <w:rsid w:val="001F1A87"/>
    <w:rsid w:val="001F1AF9"/>
    <w:rsid w:val="001F1C61"/>
    <w:rsid w:val="001F21F7"/>
    <w:rsid w:val="001F2D97"/>
    <w:rsid w:val="001F2F56"/>
    <w:rsid w:val="001F3208"/>
    <w:rsid w:val="001F3408"/>
    <w:rsid w:val="001F3492"/>
    <w:rsid w:val="001F374D"/>
    <w:rsid w:val="001F37B7"/>
    <w:rsid w:val="001F3D40"/>
    <w:rsid w:val="001F3EF3"/>
    <w:rsid w:val="001F421C"/>
    <w:rsid w:val="001F42A1"/>
    <w:rsid w:val="001F4EB3"/>
    <w:rsid w:val="001F5BC8"/>
    <w:rsid w:val="00200973"/>
    <w:rsid w:val="0020099C"/>
    <w:rsid w:val="00201571"/>
    <w:rsid w:val="00201F97"/>
    <w:rsid w:val="00202CB0"/>
    <w:rsid w:val="00203192"/>
    <w:rsid w:val="00203233"/>
    <w:rsid w:val="002034AC"/>
    <w:rsid w:val="00203D86"/>
    <w:rsid w:val="00203DC8"/>
    <w:rsid w:val="00204168"/>
    <w:rsid w:val="002046CF"/>
    <w:rsid w:val="00204C31"/>
    <w:rsid w:val="00205371"/>
    <w:rsid w:val="0020544C"/>
    <w:rsid w:val="002056CF"/>
    <w:rsid w:val="00205FCB"/>
    <w:rsid w:val="00206032"/>
    <w:rsid w:val="002063AE"/>
    <w:rsid w:val="002066F5"/>
    <w:rsid w:val="00206AB9"/>
    <w:rsid w:val="0020727F"/>
    <w:rsid w:val="002077F5"/>
    <w:rsid w:val="00207C99"/>
    <w:rsid w:val="00207D64"/>
    <w:rsid w:val="00210968"/>
    <w:rsid w:val="00210AEB"/>
    <w:rsid w:val="002114FA"/>
    <w:rsid w:val="0021228A"/>
    <w:rsid w:val="00212432"/>
    <w:rsid w:val="002128C1"/>
    <w:rsid w:val="00213C4A"/>
    <w:rsid w:val="0021458A"/>
    <w:rsid w:val="00214C78"/>
    <w:rsid w:val="00214EDB"/>
    <w:rsid w:val="002153E9"/>
    <w:rsid w:val="00215936"/>
    <w:rsid w:val="00215D9B"/>
    <w:rsid w:val="002165AF"/>
    <w:rsid w:val="00216676"/>
    <w:rsid w:val="00216B37"/>
    <w:rsid w:val="00216EAF"/>
    <w:rsid w:val="0021705D"/>
    <w:rsid w:val="002172C7"/>
    <w:rsid w:val="00217EB2"/>
    <w:rsid w:val="00220325"/>
    <w:rsid w:val="002211A4"/>
    <w:rsid w:val="00221228"/>
    <w:rsid w:val="0022216D"/>
    <w:rsid w:val="002223B4"/>
    <w:rsid w:val="0022293A"/>
    <w:rsid w:val="002235A2"/>
    <w:rsid w:val="00223DDE"/>
    <w:rsid w:val="002264B5"/>
    <w:rsid w:val="00226878"/>
    <w:rsid w:val="00227A6C"/>
    <w:rsid w:val="002309D2"/>
    <w:rsid w:val="00230F7B"/>
    <w:rsid w:val="002311C1"/>
    <w:rsid w:val="002319FF"/>
    <w:rsid w:val="00231F96"/>
    <w:rsid w:val="00232B7F"/>
    <w:rsid w:val="00232FB8"/>
    <w:rsid w:val="00233126"/>
    <w:rsid w:val="00233B03"/>
    <w:rsid w:val="00233DBD"/>
    <w:rsid w:val="00234996"/>
    <w:rsid w:val="00234CF2"/>
    <w:rsid w:val="0023577B"/>
    <w:rsid w:val="00235A0D"/>
    <w:rsid w:val="0023608A"/>
    <w:rsid w:val="00236770"/>
    <w:rsid w:val="00236AC6"/>
    <w:rsid w:val="00236F27"/>
    <w:rsid w:val="0023711B"/>
    <w:rsid w:val="00237BC9"/>
    <w:rsid w:val="002401BD"/>
    <w:rsid w:val="00240B81"/>
    <w:rsid w:val="00240D7B"/>
    <w:rsid w:val="00241A02"/>
    <w:rsid w:val="00241E63"/>
    <w:rsid w:val="00242C36"/>
    <w:rsid w:val="00242CFB"/>
    <w:rsid w:val="00242EF6"/>
    <w:rsid w:val="00243BED"/>
    <w:rsid w:val="00243FA3"/>
    <w:rsid w:val="00244459"/>
    <w:rsid w:val="002449DA"/>
    <w:rsid w:val="002449FC"/>
    <w:rsid w:val="00244A5D"/>
    <w:rsid w:val="00244C01"/>
    <w:rsid w:val="00244FE1"/>
    <w:rsid w:val="00245781"/>
    <w:rsid w:val="00245984"/>
    <w:rsid w:val="00245CF3"/>
    <w:rsid w:val="00246D42"/>
    <w:rsid w:val="00246F2B"/>
    <w:rsid w:val="00247D62"/>
    <w:rsid w:val="0025091D"/>
    <w:rsid w:val="00250D50"/>
    <w:rsid w:val="00250DEE"/>
    <w:rsid w:val="00251B5E"/>
    <w:rsid w:val="00251C5C"/>
    <w:rsid w:val="00252460"/>
    <w:rsid w:val="0025246F"/>
    <w:rsid w:val="002524CA"/>
    <w:rsid w:val="002525FA"/>
    <w:rsid w:val="00252AD8"/>
    <w:rsid w:val="00253495"/>
    <w:rsid w:val="0025354D"/>
    <w:rsid w:val="00253615"/>
    <w:rsid w:val="0025478A"/>
    <w:rsid w:val="002558B7"/>
    <w:rsid w:val="00255BEB"/>
    <w:rsid w:val="00256E9B"/>
    <w:rsid w:val="0025774F"/>
    <w:rsid w:val="00257897"/>
    <w:rsid w:val="00257BD3"/>
    <w:rsid w:val="00257EE0"/>
    <w:rsid w:val="002602B6"/>
    <w:rsid w:val="002608CF"/>
    <w:rsid w:val="00260DC3"/>
    <w:rsid w:val="00261700"/>
    <w:rsid w:val="00261744"/>
    <w:rsid w:val="00261869"/>
    <w:rsid w:val="00261DD8"/>
    <w:rsid w:val="0026236B"/>
    <w:rsid w:val="002628B0"/>
    <w:rsid w:val="00262CEE"/>
    <w:rsid w:val="00262DA5"/>
    <w:rsid w:val="00262F4B"/>
    <w:rsid w:val="002636D3"/>
    <w:rsid w:val="00264900"/>
    <w:rsid w:val="00264E59"/>
    <w:rsid w:val="00265021"/>
    <w:rsid w:val="00265500"/>
    <w:rsid w:val="00265B0A"/>
    <w:rsid w:val="00266B98"/>
    <w:rsid w:val="0026758B"/>
    <w:rsid w:val="0026764E"/>
    <w:rsid w:val="00267748"/>
    <w:rsid w:val="00267EC9"/>
    <w:rsid w:val="00267EE1"/>
    <w:rsid w:val="00270239"/>
    <w:rsid w:val="0027037C"/>
    <w:rsid w:val="00270C6D"/>
    <w:rsid w:val="00271992"/>
    <w:rsid w:val="00271ED5"/>
    <w:rsid w:val="00271EEA"/>
    <w:rsid w:val="002722DD"/>
    <w:rsid w:val="00272769"/>
    <w:rsid w:val="00272CAA"/>
    <w:rsid w:val="0027311D"/>
    <w:rsid w:val="00273745"/>
    <w:rsid w:val="00273A0E"/>
    <w:rsid w:val="00273A51"/>
    <w:rsid w:val="00273A66"/>
    <w:rsid w:val="00274802"/>
    <w:rsid w:val="00274A99"/>
    <w:rsid w:val="00274B4C"/>
    <w:rsid w:val="00275059"/>
    <w:rsid w:val="00275346"/>
    <w:rsid w:val="0027666A"/>
    <w:rsid w:val="00277175"/>
    <w:rsid w:val="0027737F"/>
    <w:rsid w:val="00277466"/>
    <w:rsid w:val="002774C1"/>
    <w:rsid w:val="00277D21"/>
    <w:rsid w:val="002800E3"/>
    <w:rsid w:val="00281612"/>
    <w:rsid w:val="00281891"/>
    <w:rsid w:val="00281FF1"/>
    <w:rsid w:val="002832CA"/>
    <w:rsid w:val="002832F1"/>
    <w:rsid w:val="00283758"/>
    <w:rsid w:val="0028389F"/>
    <w:rsid w:val="00283A95"/>
    <w:rsid w:val="00283D13"/>
    <w:rsid w:val="002841E5"/>
    <w:rsid w:val="002849B2"/>
    <w:rsid w:val="00284FF1"/>
    <w:rsid w:val="00285660"/>
    <w:rsid w:val="00285FBE"/>
    <w:rsid w:val="00286079"/>
    <w:rsid w:val="00286BE8"/>
    <w:rsid w:val="002872E5"/>
    <w:rsid w:val="00287BE5"/>
    <w:rsid w:val="00290A49"/>
    <w:rsid w:val="00291A87"/>
    <w:rsid w:val="00291E98"/>
    <w:rsid w:val="00292C78"/>
    <w:rsid w:val="00292D7A"/>
    <w:rsid w:val="002934E5"/>
    <w:rsid w:val="002936A7"/>
    <w:rsid w:val="00293943"/>
    <w:rsid w:val="00293A59"/>
    <w:rsid w:val="00294128"/>
    <w:rsid w:val="00294158"/>
    <w:rsid w:val="002944C6"/>
    <w:rsid w:val="002954EE"/>
    <w:rsid w:val="00296740"/>
    <w:rsid w:val="00296A62"/>
    <w:rsid w:val="0029797A"/>
    <w:rsid w:val="002979E1"/>
    <w:rsid w:val="00297C1C"/>
    <w:rsid w:val="002A015A"/>
    <w:rsid w:val="002A0A76"/>
    <w:rsid w:val="002A0B37"/>
    <w:rsid w:val="002A0BD1"/>
    <w:rsid w:val="002A13FB"/>
    <w:rsid w:val="002A16D4"/>
    <w:rsid w:val="002A2149"/>
    <w:rsid w:val="002A23B3"/>
    <w:rsid w:val="002A2702"/>
    <w:rsid w:val="002A272F"/>
    <w:rsid w:val="002A2C73"/>
    <w:rsid w:val="002A3352"/>
    <w:rsid w:val="002A3D53"/>
    <w:rsid w:val="002A46EE"/>
    <w:rsid w:val="002A4D23"/>
    <w:rsid w:val="002A4E07"/>
    <w:rsid w:val="002A512E"/>
    <w:rsid w:val="002A5171"/>
    <w:rsid w:val="002A61EF"/>
    <w:rsid w:val="002A6F0F"/>
    <w:rsid w:val="002A7029"/>
    <w:rsid w:val="002A7808"/>
    <w:rsid w:val="002A7BD2"/>
    <w:rsid w:val="002B1098"/>
    <w:rsid w:val="002B1112"/>
    <w:rsid w:val="002B1386"/>
    <w:rsid w:val="002B1452"/>
    <w:rsid w:val="002B155E"/>
    <w:rsid w:val="002B2BE2"/>
    <w:rsid w:val="002B32B8"/>
    <w:rsid w:val="002B3346"/>
    <w:rsid w:val="002B406A"/>
    <w:rsid w:val="002B4687"/>
    <w:rsid w:val="002B4E00"/>
    <w:rsid w:val="002B5D55"/>
    <w:rsid w:val="002B60FA"/>
    <w:rsid w:val="002B6150"/>
    <w:rsid w:val="002B654C"/>
    <w:rsid w:val="002B6665"/>
    <w:rsid w:val="002B6D62"/>
    <w:rsid w:val="002C03DA"/>
    <w:rsid w:val="002C05EE"/>
    <w:rsid w:val="002C0E28"/>
    <w:rsid w:val="002C1723"/>
    <w:rsid w:val="002C25CF"/>
    <w:rsid w:val="002C3310"/>
    <w:rsid w:val="002C3E9C"/>
    <w:rsid w:val="002C4582"/>
    <w:rsid w:val="002C63EC"/>
    <w:rsid w:val="002C641A"/>
    <w:rsid w:val="002C657F"/>
    <w:rsid w:val="002C6C44"/>
    <w:rsid w:val="002C6C99"/>
    <w:rsid w:val="002C7006"/>
    <w:rsid w:val="002C711F"/>
    <w:rsid w:val="002C7265"/>
    <w:rsid w:val="002C7278"/>
    <w:rsid w:val="002C72AF"/>
    <w:rsid w:val="002D0337"/>
    <w:rsid w:val="002D0B23"/>
    <w:rsid w:val="002D0E06"/>
    <w:rsid w:val="002D1AE1"/>
    <w:rsid w:val="002D2F53"/>
    <w:rsid w:val="002D34FC"/>
    <w:rsid w:val="002D4F81"/>
    <w:rsid w:val="002D583D"/>
    <w:rsid w:val="002D5CC7"/>
    <w:rsid w:val="002D5DE7"/>
    <w:rsid w:val="002D5E3D"/>
    <w:rsid w:val="002D62E6"/>
    <w:rsid w:val="002D66CC"/>
    <w:rsid w:val="002D68FD"/>
    <w:rsid w:val="002D77DA"/>
    <w:rsid w:val="002E0A5F"/>
    <w:rsid w:val="002E0AA8"/>
    <w:rsid w:val="002E0BD8"/>
    <w:rsid w:val="002E13BC"/>
    <w:rsid w:val="002E219A"/>
    <w:rsid w:val="002E2787"/>
    <w:rsid w:val="002E2BF8"/>
    <w:rsid w:val="002E3792"/>
    <w:rsid w:val="002E3917"/>
    <w:rsid w:val="002E40BD"/>
    <w:rsid w:val="002E47A6"/>
    <w:rsid w:val="002E4F4E"/>
    <w:rsid w:val="002E5462"/>
    <w:rsid w:val="002E5986"/>
    <w:rsid w:val="002E5BD3"/>
    <w:rsid w:val="002E5CF6"/>
    <w:rsid w:val="002E6F93"/>
    <w:rsid w:val="002E715F"/>
    <w:rsid w:val="002F0D00"/>
    <w:rsid w:val="002F1733"/>
    <w:rsid w:val="002F1BA3"/>
    <w:rsid w:val="002F1E41"/>
    <w:rsid w:val="002F20B7"/>
    <w:rsid w:val="002F20FA"/>
    <w:rsid w:val="002F2C88"/>
    <w:rsid w:val="002F4588"/>
    <w:rsid w:val="002F5065"/>
    <w:rsid w:val="002F55D2"/>
    <w:rsid w:val="002F5967"/>
    <w:rsid w:val="002F5EF1"/>
    <w:rsid w:val="002F6AC5"/>
    <w:rsid w:val="002F6B75"/>
    <w:rsid w:val="002F782D"/>
    <w:rsid w:val="002F7B49"/>
    <w:rsid w:val="003000A6"/>
    <w:rsid w:val="00300770"/>
    <w:rsid w:val="003007E6"/>
    <w:rsid w:val="003008A9"/>
    <w:rsid w:val="00300B0D"/>
    <w:rsid w:val="00300D8F"/>
    <w:rsid w:val="0030113F"/>
    <w:rsid w:val="003013A8"/>
    <w:rsid w:val="0030273E"/>
    <w:rsid w:val="00302907"/>
    <w:rsid w:val="00302B94"/>
    <w:rsid w:val="00302F2C"/>
    <w:rsid w:val="0030358C"/>
    <w:rsid w:val="00303654"/>
    <w:rsid w:val="00303E0A"/>
    <w:rsid w:val="0030438F"/>
    <w:rsid w:val="00304B4F"/>
    <w:rsid w:val="00304C02"/>
    <w:rsid w:val="00305EC2"/>
    <w:rsid w:val="00306435"/>
    <w:rsid w:val="00306795"/>
    <w:rsid w:val="00306C08"/>
    <w:rsid w:val="0030700E"/>
    <w:rsid w:val="00307B92"/>
    <w:rsid w:val="003104C5"/>
    <w:rsid w:val="0031142F"/>
    <w:rsid w:val="00311584"/>
    <w:rsid w:val="003117A0"/>
    <w:rsid w:val="003119B8"/>
    <w:rsid w:val="00311ABD"/>
    <w:rsid w:val="00312B0A"/>
    <w:rsid w:val="003133DC"/>
    <w:rsid w:val="003144C7"/>
    <w:rsid w:val="003145A0"/>
    <w:rsid w:val="00315286"/>
    <w:rsid w:val="003162AD"/>
    <w:rsid w:val="0031630C"/>
    <w:rsid w:val="00316737"/>
    <w:rsid w:val="00316788"/>
    <w:rsid w:val="00316AAB"/>
    <w:rsid w:val="00316F5C"/>
    <w:rsid w:val="00317E1C"/>
    <w:rsid w:val="003202C4"/>
    <w:rsid w:val="0032093C"/>
    <w:rsid w:val="00320A88"/>
    <w:rsid w:val="00320E63"/>
    <w:rsid w:val="00320F06"/>
    <w:rsid w:val="00321EB0"/>
    <w:rsid w:val="003224CC"/>
    <w:rsid w:val="003226C8"/>
    <w:rsid w:val="00322AAC"/>
    <w:rsid w:val="00324999"/>
    <w:rsid w:val="00324F7E"/>
    <w:rsid w:val="0032684D"/>
    <w:rsid w:val="00326BB3"/>
    <w:rsid w:val="00327866"/>
    <w:rsid w:val="003279C6"/>
    <w:rsid w:val="00327EAC"/>
    <w:rsid w:val="003303DC"/>
    <w:rsid w:val="003317F2"/>
    <w:rsid w:val="003318A2"/>
    <w:rsid w:val="00332BC5"/>
    <w:rsid w:val="00332C84"/>
    <w:rsid w:val="00332CDC"/>
    <w:rsid w:val="00332E7F"/>
    <w:rsid w:val="00333575"/>
    <w:rsid w:val="00333A30"/>
    <w:rsid w:val="00333A5C"/>
    <w:rsid w:val="00334450"/>
    <w:rsid w:val="0033498D"/>
    <w:rsid w:val="003349F9"/>
    <w:rsid w:val="003356F0"/>
    <w:rsid w:val="00335BC9"/>
    <w:rsid w:val="00335F17"/>
    <w:rsid w:val="00336CC7"/>
    <w:rsid w:val="003378D5"/>
    <w:rsid w:val="00337A2A"/>
    <w:rsid w:val="00340C1A"/>
    <w:rsid w:val="00340F1E"/>
    <w:rsid w:val="003413D2"/>
    <w:rsid w:val="0034152B"/>
    <w:rsid w:val="0034193C"/>
    <w:rsid w:val="003420CE"/>
    <w:rsid w:val="0034275A"/>
    <w:rsid w:val="00342EEF"/>
    <w:rsid w:val="00343459"/>
    <w:rsid w:val="003438F6"/>
    <w:rsid w:val="00343ADB"/>
    <w:rsid w:val="00344320"/>
    <w:rsid w:val="00344432"/>
    <w:rsid w:val="003450C6"/>
    <w:rsid w:val="003467E0"/>
    <w:rsid w:val="00350BC6"/>
    <w:rsid w:val="00350F73"/>
    <w:rsid w:val="003510E3"/>
    <w:rsid w:val="00351E94"/>
    <w:rsid w:val="00351EE8"/>
    <w:rsid w:val="00352390"/>
    <w:rsid w:val="00353A7B"/>
    <w:rsid w:val="00354641"/>
    <w:rsid w:val="003559A5"/>
    <w:rsid w:val="00355D5D"/>
    <w:rsid w:val="00355E2C"/>
    <w:rsid w:val="00355F16"/>
    <w:rsid w:val="00357057"/>
    <w:rsid w:val="003573BE"/>
    <w:rsid w:val="00357636"/>
    <w:rsid w:val="00357F9E"/>
    <w:rsid w:val="00360129"/>
    <w:rsid w:val="00360A36"/>
    <w:rsid w:val="00362011"/>
    <w:rsid w:val="0036246C"/>
    <w:rsid w:val="003631A2"/>
    <w:rsid w:val="00363EB5"/>
    <w:rsid w:val="0036407A"/>
    <w:rsid w:val="00364C16"/>
    <w:rsid w:val="00364D1A"/>
    <w:rsid w:val="00365049"/>
    <w:rsid w:val="00365126"/>
    <w:rsid w:val="00365290"/>
    <w:rsid w:val="003659F6"/>
    <w:rsid w:val="00365A5D"/>
    <w:rsid w:val="00365B9B"/>
    <w:rsid w:val="003666CF"/>
    <w:rsid w:val="00366AB3"/>
    <w:rsid w:val="00367168"/>
    <w:rsid w:val="003703DD"/>
    <w:rsid w:val="00370415"/>
    <w:rsid w:val="003715F7"/>
    <w:rsid w:val="003718D0"/>
    <w:rsid w:val="00371961"/>
    <w:rsid w:val="003728A3"/>
    <w:rsid w:val="003738E4"/>
    <w:rsid w:val="00373E87"/>
    <w:rsid w:val="00374826"/>
    <w:rsid w:val="00374D91"/>
    <w:rsid w:val="0037525E"/>
    <w:rsid w:val="00375E97"/>
    <w:rsid w:val="00376A45"/>
    <w:rsid w:val="00377861"/>
    <w:rsid w:val="003800A8"/>
    <w:rsid w:val="003800B2"/>
    <w:rsid w:val="003802EF"/>
    <w:rsid w:val="00380685"/>
    <w:rsid w:val="003815B0"/>
    <w:rsid w:val="00381AE2"/>
    <w:rsid w:val="00381D18"/>
    <w:rsid w:val="0038291E"/>
    <w:rsid w:val="00382B57"/>
    <w:rsid w:val="00382DFF"/>
    <w:rsid w:val="003832CF"/>
    <w:rsid w:val="00383719"/>
    <w:rsid w:val="003838B7"/>
    <w:rsid w:val="00383BF0"/>
    <w:rsid w:val="0038450C"/>
    <w:rsid w:val="00384C6D"/>
    <w:rsid w:val="00384E3A"/>
    <w:rsid w:val="003857C6"/>
    <w:rsid w:val="00386926"/>
    <w:rsid w:val="00386BB0"/>
    <w:rsid w:val="00387D88"/>
    <w:rsid w:val="00390042"/>
    <w:rsid w:val="003903C8"/>
    <w:rsid w:val="003904E3"/>
    <w:rsid w:val="00390BC6"/>
    <w:rsid w:val="00390C72"/>
    <w:rsid w:val="00390EDA"/>
    <w:rsid w:val="00390F87"/>
    <w:rsid w:val="003918D2"/>
    <w:rsid w:val="003922CB"/>
    <w:rsid w:val="00392BE6"/>
    <w:rsid w:val="003930F9"/>
    <w:rsid w:val="00393279"/>
    <w:rsid w:val="00393341"/>
    <w:rsid w:val="00393351"/>
    <w:rsid w:val="00393566"/>
    <w:rsid w:val="003936B1"/>
    <w:rsid w:val="003939D9"/>
    <w:rsid w:val="003940F8"/>
    <w:rsid w:val="00395ECD"/>
    <w:rsid w:val="003962DF"/>
    <w:rsid w:val="00397241"/>
    <w:rsid w:val="00397581"/>
    <w:rsid w:val="00397E59"/>
    <w:rsid w:val="003A07D7"/>
    <w:rsid w:val="003A0BA3"/>
    <w:rsid w:val="003A0CD4"/>
    <w:rsid w:val="003A0E18"/>
    <w:rsid w:val="003A118F"/>
    <w:rsid w:val="003A1C96"/>
    <w:rsid w:val="003A2D02"/>
    <w:rsid w:val="003A39DA"/>
    <w:rsid w:val="003A4126"/>
    <w:rsid w:val="003A4722"/>
    <w:rsid w:val="003A47BA"/>
    <w:rsid w:val="003A485E"/>
    <w:rsid w:val="003A4B93"/>
    <w:rsid w:val="003A5EE2"/>
    <w:rsid w:val="003A6102"/>
    <w:rsid w:val="003A7956"/>
    <w:rsid w:val="003A7C96"/>
    <w:rsid w:val="003A7F66"/>
    <w:rsid w:val="003B05B0"/>
    <w:rsid w:val="003B123A"/>
    <w:rsid w:val="003B1355"/>
    <w:rsid w:val="003B175A"/>
    <w:rsid w:val="003B1E03"/>
    <w:rsid w:val="003B2C7C"/>
    <w:rsid w:val="003B2D53"/>
    <w:rsid w:val="003B2F05"/>
    <w:rsid w:val="003B2F83"/>
    <w:rsid w:val="003B3B19"/>
    <w:rsid w:val="003B3B20"/>
    <w:rsid w:val="003B3DF5"/>
    <w:rsid w:val="003B3E71"/>
    <w:rsid w:val="003B4610"/>
    <w:rsid w:val="003B4CE7"/>
    <w:rsid w:val="003B4E80"/>
    <w:rsid w:val="003B6A6F"/>
    <w:rsid w:val="003B7B39"/>
    <w:rsid w:val="003B7B5D"/>
    <w:rsid w:val="003B7BE7"/>
    <w:rsid w:val="003B7F52"/>
    <w:rsid w:val="003C0100"/>
    <w:rsid w:val="003C0195"/>
    <w:rsid w:val="003C0D13"/>
    <w:rsid w:val="003C1E12"/>
    <w:rsid w:val="003C265E"/>
    <w:rsid w:val="003C34BC"/>
    <w:rsid w:val="003C36CC"/>
    <w:rsid w:val="003C5C2A"/>
    <w:rsid w:val="003C5C6A"/>
    <w:rsid w:val="003C604E"/>
    <w:rsid w:val="003C6893"/>
    <w:rsid w:val="003C71DB"/>
    <w:rsid w:val="003C75D0"/>
    <w:rsid w:val="003C7E27"/>
    <w:rsid w:val="003D1C1A"/>
    <w:rsid w:val="003D1DE5"/>
    <w:rsid w:val="003D2E65"/>
    <w:rsid w:val="003D2F53"/>
    <w:rsid w:val="003D386B"/>
    <w:rsid w:val="003D38CA"/>
    <w:rsid w:val="003D3F99"/>
    <w:rsid w:val="003D44D4"/>
    <w:rsid w:val="003D5479"/>
    <w:rsid w:val="003D57EC"/>
    <w:rsid w:val="003D58D1"/>
    <w:rsid w:val="003D5B2B"/>
    <w:rsid w:val="003D5B83"/>
    <w:rsid w:val="003D60EB"/>
    <w:rsid w:val="003D713D"/>
    <w:rsid w:val="003D74BF"/>
    <w:rsid w:val="003D7A9E"/>
    <w:rsid w:val="003E0211"/>
    <w:rsid w:val="003E07BE"/>
    <w:rsid w:val="003E09FC"/>
    <w:rsid w:val="003E0D3B"/>
    <w:rsid w:val="003E157F"/>
    <w:rsid w:val="003E1D80"/>
    <w:rsid w:val="003E229E"/>
    <w:rsid w:val="003E22ED"/>
    <w:rsid w:val="003E29D3"/>
    <w:rsid w:val="003E2ABC"/>
    <w:rsid w:val="003E2B87"/>
    <w:rsid w:val="003E2DF4"/>
    <w:rsid w:val="003E2FB6"/>
    <w:rsid w:val="003E4175"/>
    <w:rsid w:val="003E4839"/>
    <w:rsid w:val="003E49BA"/>
    <w:rsid w:val="003E4E20"/>
    <w:rsid w:val="003E5178"/>
    <w:rsid w:val="003E54DC"/>
    <w:rsid w:val="003E58A6"/>
    <w:rsid w:val="003E5A03"/>
    <w:rsid w:val="003E5BDD"/>
    <w:rsid w:val="003E5BEE"/>
    <w:rsid w:val="003E70A4"/>
    <w:rsid w:val="003E7592"/>
    <w:rsid w:val="003F041D"/>
    <w:rsid w:val="003F04F8"/>
    <w:rsid w:val="003F084A"/>
    <w:rsid w:val="003F0B3C"/>
    <w:rsid w:val="003F10D3"/>
    <w:rsid w:val="003F1257"/>
    <w:rsid w:val="003F1EE8"/>
    <w:rsid w:val="003F2958"/>
    <w:rsid w:val="003F2EA2"/>
    <w:rsid w:val="003F304B"/>
    <w:rsid w:val="003F31E5"/>
    <w:rsid w:val="003F3A91"/>
    <w:rsid w:val="003F3CC3"/>
    <w:rsid w:val="003F4434"/>
    <w:rsid w:val="003F5022"/>
    <w:rsid w:val="003F5691"/>
    <w:rsid w:val="003F58CA"/>
    <w:rsid w:val="003F5D00"/>
    <w:rsid w:val="003F5EF3"/>
    <w:rsid w:val="003F7A4A"/>
    <w:rsid w:val="003F7D4E"/>
    <w:rsid w:val="003F7FBD"/>
    <w:rsid w:val="00400327"/>
    <w:rsid w:val="0040074A"/>
    <w:rsid w:val="00400842"/>
    <w:rsid w:val="00400B19"/>
    <w:rsid w:val="00400C19"/>
    <w:rsid w:val="00401439"/>
    <w:rsid w:val="00401A1F"/>
    <w:rsid w:val="00401E89"/>
    <w:rsid w:val="00403192"/>
    <w:rsid w:val="00403B9E"/>
    <w:rsid w:val="00404D01"/>
    <w:rsid w:val="00405EB7"/>
    <w:rsid w:val="004063C1"/>
    <w:rsid w:val="00406B84"/>
    <w:rsid w:val="00407078"/>
    <w:rsid w:val="00407D79"/>
    <w:rsid w:val="004102C8"/>
    <w:rsid w:val="0041052D"/>
    <w:rsid w:val="00410563"/>
    <w:rsid w:val="004107E0"/>
    <w:rsid w:val="00411261"/>
    <w:rsid w:val="004120EF"/>
    <w:rsid w:val="0041212C"/>
    <w:rsid w:val="0041234F"/>
    <w:rsid w:val="004127D0"/>
    <w:rsid w:val="00412A13"/>
    <w:rsid w:val="00412B38"/>
    <w:rsid w:val="00412FB0"/>
    <w:rsid w:val="0041326D"/>
    <w:rsid w:val="004134B7"/>
    <w:rsid w:val="0041350E"/>
    <w:rsid w:val="0041373F"/>
    <w:rsid w:val="00413A8A"/>
    <w:rsid w:val="00414A57"/>
    <w:rsid w:val="0041523D"/>
    <w:rsid w:val="004159F2"/>
    <w:rsid w:val="00416B65"/>
    <w:rsid w:val="004172F4"/>
    <w:rsid w:val="004175C6"/>
    <w:rsid w:val="00417D99"/>
    <w:rsid w:val="00420411"/>
    <w:rsid w:val="0042159B"/>
    <w:rsid w:val="00421B24"/>
    <w:rsid w:val="0042248E"/>
    <w:rsid w:val="00422829"/>
    <w:rsid w:val="00422EF3"/>
    <w:rsid w:val="00423668"/>
    <w:rsid w:val="004247BA"/>
    <w:rsid w:val="00424EDF"/>
    <w:rsid w:val="00425707"/>
    <w:rsid w:val="0042593E"/>
    <w:rsid w:val="00425C20"/>
    <w:rsid w:val="00425D02"/>
    <w:rsid w:val="00425DA0"/>
    <w:rsid w:val="00426026"/>
    <w:rsid w:val="004262E9"/>
    <w:rsid w:val="00426538"/>
    <w:rsid w:val="00426F04"/>
    <w:rsid w:val="00427909"/>
    <w:rsid w:val="004306E3"/>
    <w:rsid w:val="00430B2B"/>
    <w:rsid w:val="00430C99"/>
    <w:rsid w:val="0043118E"/>
    <w:rsid w:val="004311D0"/>
    <w:rsid w:val="004326B9"/>
    <w:rsid w:val="00432AC9"/>
    <w:rsid w:val="00432C27"/>
    <w:rsid w:val="00432E5B"/>
    <w:rsid w:val="0043314A"/>
    <w:rsid w:val="0043359A"/>
    <w:rsid w:val="004335F5"/>
    <w:rsid w:val="004336B3"/>
    <w:rsid w:val="0043409D"/>
    <w:rsid w:val="00434BFF"/>
    <w:rsid w:val="00434F0B"/>
    <w:rsid w:val="00435D6D"/>
    <w:rsid w:val="00435E2D"/>
    <w:rsid w:val="004365E9"/>
    <w:rsid w:val="00436CD7"/>
    <w:rsid w:val="00437221"/>
    <w:rsid w:val="004376E1"/>
    <w:rsid w:val="00437C84"/>
    <w:rsid w:val="00437CFF"/>
    <w:rsid w:val="00437E9A"/>
    <w:rsid w:val="004404CC"/>
    <w:rsid w:val="00440540"/>
    <w:rsid w:val="0044068B"/>
    <w:rsid w:val="00440A87"/>
    <w:rsid w:val="0044211A"/>
    <w:rsid w:val="004424D7"/>
    <w:rsid w:val="004430F0"/>
    <w:rsid w:val="00443585"/>
    <w:rsid w:val="00443771"/>
    <w:rsid w:val="004456DC"/>
    <w:rsid w:val="004459CF"/>
    <w:rsid w:val="00445A61"/>
    <w:rsid w:val="00445F14"/>
    <w:rsid w:val="004460E4"/>
    <w:rsid w:val="004461EF"/>
    <w:rsid w:val="004464DF"/>
    <w:rsid w:val="00446A24"/>
    <w:rsid w:val="0044723A"/>
    <w:rsid w:val="00447A2D"/>
    <w:rsid w:val="00450129"/>
    <w:rsid w:val="00450BDB"/>
    <w:rsid w:val="00451A2A"/>
    <w:rsid w:val="00451AED"/>
    <w:rsid w:val="00451B6F"/>
    <w:rsid w:val="004524CE"/>
    <w:rsid w:val="004528A3"/>
    <w:rsid w:val="00453048"/>
    <w:rsid w:val="0045332D"/>
    <w:rsid w:val="00453523"/>
    <w:rsid w:val="00453C1F"/>
    <w:rsid w:val="00453DFB"/>
    <w:rsid w:val="004541AC"/>
    <w:rsid w:val="004541CB"/>
    <w:rsid w:val="0045426B"/>
    <w:rsid w:val="004545F8"/>
    <w:rsid w:val="00454AAE"/>
    <w:rsid w:val="00454D69"/>
    <w:rsid w:val="00455486"/>
    <w:rsid w:val="0045572F"/>
    <w:rsid w:val="00455C10"/>
    <w:rsid w:val="00455EBE"/>
    <w:rsid w:val="00456600"/>
    <w:rsid w:val="00456DD1"/>
    <w:rsid w:val="004571BA"/>
    <w:rsid w:val="00457383"/>
    <w:rsid w:val="004576F2"/>
    <w:rsid w:val="004578A4"/>
    <w:rsid w:val="004606BA"/>
    <w:rsid w:val="00461492"/>
    <w:rsid w:val="004629A1"/>
    <w:rsid w:val="00463038"/>
    <w:rsid w:val="0046350B"/>
    <w:rsid w:val="00463D60"/>
    <w:rsid w:val="00464486"/>
    <w:rsid w:val="00464549"/>
    <w:rsid w:val="004649D3"/>
    <w:rsid w:val="0046500D"/>
    <w:rsid w:val="004656C1"/>
    <w:rsid w:val="00465E3C"/>
    <w:rsid w:val="00466EBD"/>
    <w:rsid w:val="0046781A"/>
    <w:rsid w:val="00467820"/>
    <w:rsid w:val="00467CD6"/>
    <w:rsid w:val="004704CC"/>
    <w:rsid w:val="004705BB"/>
    <w:rsid w:val="0047077B"/>
    <w:rsid w:val="00470D28"/>
    <w:rsid w:val="0047103A"/>
    <w:rsid w:val="004712D3"/>
    <w:rsid w:val="00471416"/>
    <w:rsid w:val="0047174D"/>
    <w:rsid w:val="00471785"/>
    <w:rsid w:val="00471F0A"/>
    <w:rsid w:val="00473527"/>
    <w:rsid w:val="00473B7E"/>
    <w:rsid w:val="0047436F"/>
    <w:rsid w:val="004749A7"/>
    <w:rsid w:val="004752E3"/>
    <w:rsid w:val="004754DD"/>
    <w:rsid w:val="004758E5"/>
    <w:rsid w:val="00475A1E"/>
    <w:rsid w:val="0048033C"/>
    <w:rsid w:val="00480634"/>
    <w:rsid w:val="0048068F"/>
    <w:rsid w:val="004849D2"/>
    <w:rsid w:val="00485070"/>
    <w:rsid w:val="004854DC"/>
    <w:rsid w:val="004855A1"/>
    <w:rsid w:val="00485D7A"/>
    <w:rsid w:val="00485F87"/>
    <w:rsid w:val="00486969"/>
    <w:rsid w:val="00486D23"/>
    <w:rsid w:val="00486F4A"/>
    <w:rsid w:val="00487A00"/>
    <w:rsid w:val="00491AED"/>
    <w:rsid w:val="00491C25"/>
    <w:rsid w:val="00492EBE"/>
    <w:rsid w:val="004930F5"/>
    <w:rsid w:val="0049355A"/>
    <w:rsid w:val="004936EE"/>
    <w:rsid w:val="0049394F"/>
    <w:rsid w:val="0049409E"/>
    <w:rsid w:val="00494B77"/>
    <w:rsid w:val="004958B0"/>
    <w:rsid w:val="00496626"/>
    <w:rsid w:val="004967EA"/>
    <w:rsid w:val="004978CB"/>
    <w:rsid w:val="00497996"/>
    <w:rsid w:val="004A036B"/>
    <w:rsid w:val="004A2044"/>
    <w:rsid w:val="004A2120"/>
    <w:rsid w:val="004A2DDF"/>
    <w:rsid w:val="004A2DE4"/>
    <w:rsid w:val="004A3468"/>
    <w:rsid w:val="004A3A27"/>
    <w:rsid w:val="004A3B7A"/>
    <w:rsid w:val="004A3F1E"/>
    <w:rsid w:val="004A4734"/>
    <w:rsid w:val="004A4EF0"/>
    <w:rsid w:val="004A531E"/>
    <w:rsid w:val="004A5CEA"/>
    <w:rsid w:val="004A5EAD"/>
    <w:rsid w:val="004A64A8"/>
    <w:rsid w:val="004A6E5D"/>
    <w:rsid w:val="004B0AEB"/>
    <w:rsid w:val="004B15DC"/>
    <w:rsid w:val="004B1719"/>
    <w:rsid w:val="004B192B"/>
    <w:rsid w:val="004B2036"/>
    <w:rsid w:val="004B242B"/>
    <w:rsid w:val="004B3D63"/>
    <w:rsid w:val="004B421C"/>
    <w:rsid w:val="004B4453"/>
    <w:rsid w:val="004B47EB"/>
    <w:rsid w:val="004B4989"/>
    <w:rsid w:val="004B498D"/>
    <w:rsid w:val="004B530C"/>
    <w:rsid w:val="004B61BA"/>
    <w:rsid w:val="004B6307"/>
    <w:rsid w:val="004B6887"/>
    <w:rsid w:val="004B6D1B"/>
    <w:rsid w:val="004B73B9"/>
    <w:rsid w:val="004B76BC"/>
    <w:rsid w:val="004B7A85"/>
    <w:rsid w:val="004C0BE2"/>
    <w:rsid w:val="004C0C46"/>
    <w:rsid w:val="004C0ED4"/>
    <w:rsid w:val="004C1E2E"/>
    <w:rsid w:val="004C237F"/>
    <w:rsid w:val="004C2E27"/>
    <w:rsid w:val="004C3371"/>
    <w:rsid w:val="004C3C41"/>
    <w:rsid w:val="004C4320"/>
    <w:rsid w:val="004C465C"/>
    <w:rsid w:val="004C48C4"/>
    <w:rsid w:val="004C5575"/>
    <w:rsid w:val="004C5701"/>
    <w:rsid w:val="004D02A4"/>
    <w:rsid w:val="004D0A7A"/>
    <w:rsid w:val="004D0C33"/>
    <w:rsid w:val="004D0D00"/>
    <w:rsid w:val="004D1F2F"/>
    <w:rsid w:val="004D251A"/>
    <w:rsid w:val="004D2526"/>
    <w:rsid w:val="004D267F"/>
    <w:rsid w:val="004D3581"/>
    <w:rsid w:val="004D3AF1"/>
    <w:rsid w:val="004D433A"/>
    <w:rsid w:val="004D470E"/>
    <w:rsid w:val="004D4785"/>
    <w:rsid w:val="004D565B"/>
    <w:rsid w:val="004D6342"/>
    <w:rsid w:val="004D671E"/>
    <w:rsid w:val="004D6C00"/>
    <w:rsid w:val="004D72B5"/>
    <w:rsid w:val="004D7A67"/>
    <w:rsid w:val="004D7AC4"/>
    <w:rsid w:val="004D7B5F"/>
    <w:rsid w:val="004E084E"/>
    <w:rsid w:val="004E0E60"/>
    <w:rsid w:val="004E0FBF"/>
    <w:rsid w:val="004E1090"/>
    <w:rsid w:val="004E16D2"/>
    <w:rsid w:val="004E2D9F"/>
    <w:rsid w:val="004E3364"/>
    <w:rsid w:val="004E35A5"/>
    <w:rsid w:val="004E404C"/>
    <w:rsid w:val="004E46B8"/>
    <w:rsid w:val="004E4E7C"/>
    <w:rsid w:val="004E50F8"/>
    <w:rsid w:val="004E5C7C"/>
    <w:rsid w:val="004E65E4"/>
    <w:rsid w:val="004E67A9"/>
    <w:rsid w:val="004E67D6"/>
    <w:rsid w:val="004E6F43"/>
    <w:rsid w:val="004E75B5"/>
    <w:rsid w:val="004F0323"/>
    <w:rsid w:val="004F140D"/>
    <w:rsid w:val="004F183C"/>
    <w:rsid w:val="004F2562"/>
    <w:rsid w:val="004F2BC7"/>
    <w:rsid w:val="004F342B"/>
    <w:rsid w:val="004F3529"/>
    <w:rsid w:val="004F381C"/>
    <w:rsid w:val="004F39B3"/>
    <w:rsid w:val="004F4725"/>
    <w:rsid w:val="004F675F"/>
    <w:rsid w:val="004F75BD"/>
    <w:rsid w:val="00500268"/>
    <w:rsid w:val="005009A3"/>
    <w:rsid w:val="0050148B"/>
    <w:rsid w:val="00501FA7"/>
    <w:rsid w:val="0050213A"/>
    <w:rsid w:val="005026A4"/>
    <w:rsid w:val="005030FC"/>
    <w:rsid w:val="0050340D"/>
    <w:rsid w:val="005035DE"/>
    <w:rsid w:val="005039E9"/>
    <w:rsid w:val="00503C5C"/>
    <w:rsid w:val="005041B5"/>
    <w:rsid w:val="005044A6"/>
    <w:rsid w:val="005044D9"/>
    <w:rsid w:val="00504E18"/>
    <w:rsid w:val="00505316"/>
    <w:rsid w:val="00505392"/>
    <w:rsid w:val="005069FC"/>
    <w:rsid w:val="00506A04"/>
    <w:rsid w:val="00506C43"/>
    <w:rsid w:val="00506D98"/>
    <w:rsid w:val="00506E0B"/>
    <w:rsid w:val="00506EB7"/>
    <w:rsid w:val="0050748B"/>
    <w:rsid w:val="00507A81"/>
    <w:rsid w:val="00507EA6"/>
    <w:rsid w:val="00510CA3"/>
    <w:rsid w:val="005111A7"/>
    <w:rsid w:val="0051128F"/>
    <w:rsid w:val="00511960"/>
    <w:rsid w:val="005119B4"/>
    <w:rsid w:val="00512BE2"/>
    <w:rsid w:val="00512D15"/>
    <w:rsid w:val="00513035"/>
    <w:rsid w:val="00513DFD"/>
    <w:rsid w:val="0051403E"/>
    <w:rsid w:val="0051540B"/>
    <w:rsid w:val="005158FA"/>
    <w:rsid w:val="00515F90"/>
    <w:rsid w:val="0051620E"/>
    <w:rsid w:val="005165DA"/>
    <w:rsid w:val="00516DA4"/>
    <w:rsid w:val="005171E2"/>
    <w:rsid w:val="005174CF"/>
    <w:rsid w:val="005178A9"/>
    <w:rsid w:val="005201FB"/>
    <w:rsid w:val="00520EC7"/>
    <w:rsid w:val="00522EBB"/>
    <w:rsid w:val="00523461"/>
    <w:rsid w:val="00523E39"/>
    <w:rsid w:val="0052541D"/>
    <w:rsid w:val="00525A47"/>
    <w:rsid w:val="00526C83"/>
    <w:rsid w:val="0053055C"/>
    <w:rsid w:val="0053231F"/>
    <w:rsid w:val="00534E26"/>
    <w:rsid w:val="00534EC2"/>
    <w:rsid w:val="0053717D"/>
    <w:rsid w:val="0054007D"/>
    <w:rsid w:val="0054020B"/>
    <w:rsid w:val="00540920"/>
    <w:rsid w:val="00541002"/>
    <w:rsid w:val="0054219C"/>
    <w:rsid w:val="00542B02"/>
    <w:rsid w:val="00542B2A"/>
    <w:rsid w:val="005433F2"/>
    <w:rsid w:val="005434B1"/>
    <w:rsid w:val="00543D87"/>
    <w:rsid w:val="005444ED"/>
    <w:rsid w:val="005448AE"/>
    <w:rsid w:val="005452C2"/>
    <w:rsid w:val="0054549A"/>
    <w:rsid w:val="0054582C"/>
    <w:rsid w:val="00545946"/>
    <w:rsid w:val="00545B7D"/>
    <w:rsid w:val="00546445"/>
    <w:rsid w:val="00547266"/>
    <w:rsid w:val="00547FE4"/>
    <w:rsid w:val="00550FC7"/>
    <w:rsid w:val="00551464"/>
    <w:rsid w:val="005523A6"/>
    <w:rsid w:val="00552753"/>
    <w:rsid w:val="00552BD2"/>
    <w:rsid w:val="00552C22"/>
    <w:rsid w:val="00552F1E"/>
    <w:rsid w:val="00553669"/>
    <w:rsid w:val="005545D4"/>
    <w:rsid w:val="00555E84"/>
    <w:rsid w:val="005565B8"/>
    <w:rsid w:val="0055791B"/>
    <w:rsid w:val="00557C11"/>
    <w:rsid w:val="005604EE"/>
    <w:rsid w:val="00560A99"/>
    <w:rsid w:val="00561863"/>
    <w:rsid w:val="00561921"/>
    <w:rsid w:val="00561D80"/>
    <w:rsid w:val="00562AD6"/>
    <w:rsid w:val="005630DE"/>
    <w:rsid w:val="005634C6"/>
    <w:rsid w:val="0056373C"/>
    <w:rsid w:val="00563D40"/>
    <w:rsid w:val="00564004"/>
    <w:rsid w:val="005656B3"/>
    <w:rsid w:val="00565906"/>
    <w:rsid w:val="005677F1"/>
    <w:rsid w:val="00567F96"/>
    <w:rsid w:val="00570E3D"/>
    <w:rsid w:val="00571C6C"/>
    <w:rsid w:val="00571D84"/>
    <w:rsid w:val="0057231E"/>
    <w:rsid w:val="00572D2B"/>
    <w:rsid w:val="00572FCB"/>
    <w:rsid w:val="0057318C"/>
    <w:rsid w:val="00573B4A"/>
    <w:rsid w:val="00573CF4"/>
    <w:rsid w:val="00573D7C"/>
    <w:rsid w:val="00573F2B"/>
    <w:rsid w:val="00574079"/>
    <w:rsid w:val="00574CC0"/>
    <w:rsid w:val="00574D41"/>
    <w:rsid w:val="005756BC"/>
    <w:rsid w:val="0057613C"/>
    <w:rsid w:val="00577E95"/>
    <w:rsid w:val="00577FF9"/>
    <w:rsid w:val="00580096"/>
    <w:rsid w:val="005810C7"/>
    <w:rsid w:val="005815C9"/>
    <w:rsid w:val="00581863"/>
    <w:rsid w:val="00581E10"/>
    <w:rsid w:val="00582344"/>
    <w:rsid w:val="005823EA"/>
    <w:rsid w:val="005836B4"/>
    <w:rsid w:val="00583E22"/>
    <w:rsid w:val="00584329"/>
    <w:rsid w:val="00584359"/>
    <w:rsid w:val="00584423"/>
    <w:rsid w:val="00584724"/>
    <w:rsid w:val="00584729"/>
    <w:rsid w:val="00585564"/>
    <w:rsid w:val="00585645"/>
    <w:rsid w:val="005859DB"/>
    <w:rsid w:val="00586070"/>
    <w:rsid w:val="005863A2"/>
    <w:rsid w:val="00586A74"/>
    <w:rsid w:val="0058709A"/>
    <w:rsid w:val="0058753C"/>
    <w:rsid w:val="00587A77"/>
    <w:rsid w:val="005908EF"/>
    <w:rsid w:val="00590B4D"/>
    <w:rsid w:val="005911DD"/>
    <w:rsid w:val="005918A2"/>
    <w:rsid w:val="00591E7A"/>
    <w:rsid w:val="00592289"/>
    <w:rsid w:val="00593EBE"/>
    <w:rsid w:val="005940D3"/>
    <w:rsid w:val="0059484F"/>
    <w:rsid w:val="00594887"/>
    <w:rsid w:val="00594CCA"/>
    <w:rsid w:val="00596190"/>
    <w:rsid w:val="005962EA"/>
    <w:rsid w:val="00596486"/>
    <w:rsid w:val="00596713"/>
    <w:rsid w:val="005967F0"/>
    <w:rsid w:val="00597D67"/>
    <w:rsid w:val="005A0734"/>
    <w:rsid w:val="005A0869"/>
    <w:rsid w:val="005A0F79"/>
    <w:rsid w:val="005A1449"/>
    <w:rsid w:val="005A1585"/>
    <w:rsid w:val="005A1FAA"/>
    <w:rsid w:val="005A2DB3"/>
    <w:rsid w:val="005A2ED5"/>
    <w:rsid w:val="005A3EC1"/>
    <w:rsid w:val="005A45D4"/>
    <w:rsid w:val="005A4C07"/>
    <w:rsid w:val="005A4DFB"/>
    <w:rsid w:val="005A4F9B"/>
    <w:rsid w:val="005A5320"/>
    <w:rsid w:val="005A55ED"/>
    <w:rsid w:val="005A5744"/>
    <w:rsid w:val="005A5A77"/>
    <w:rsid w:val="005A6330"/>
    <w:rsid w:val="005A699C"/>
    <w:rsid w:val="005A74DE"/>
    <w:rsid w:val="005B0779"/>
    <w:rsid w:val="005B19FB"/>
    <w:rsid w:val="005B2C64"/>
    <w:rsid w:val="005B31AD"/>
    <w:rsid w:val="005B3DA9"/>
    <w:rsid w:val="005B402D"/>
    <w:rsid w:val="005B40BB"/>
    <w:rsid w:val="005B4421"/>
    <w:rsid w:val="005B4DE7"/>
    <w:rsid w:val="005B51CC"/>
    <w:rsid w:val="005B535D"/>
    <w:rsid w:val="005B58BD"/>
    <w:rsid w:val="005B5915"/>
    <w:rsid w:val="005B5A1E"/>
    <w:rsid w:val="005B5A57"/>
    <w:rsid w:val="005B5A91"/>
    <w:rsid w:val="005B76D5"/>
    <w:rsid w:val="005C0200"/>
    <w:rsid w:val="005C03C1"/>
    <w:rsid w:val="005C0585"/>
    <w:rsid w:val="005C059C"/>
    <w:rsid w:val="005C0D3B"/>
    <w:rsid w:val="005C295E"/>
    <w:rsid w:val="005C4094"/>
    <w:rsid w:val="005C4452"/>
    <w:rsid w:val="005C4D55"/>
    <w:rsid w:val="005C5452"/>
    <w:rsid w:val="005C57BE"/>
    <w:rsid w:val="005C595F"/>
    <w:rsid w:val="005C62ED"/>
    <w:rsid w:val="005C64DE"/>
    <w:rsid w:val="005C6E93"/>
    <w:rsid w:val="005C7530"/>
    <w:rsid w:val="005D06C7"/>
    <w:rsid w:val="005D09AC"/>
    <w:rsid w:val="005D1BAD"/>
    <w:rsid w:val="005D1CD2"/>
    <w:rsid w:val="005D213D"/>
    <w:rsid w:val="005D2AB8"/>
    <w:rsid w:val="005D344A"/>
    <w:rsid w:val="005D38FF"/>
    <w:rsid w:val="005D3A90"/>
    <w:rsid w:val="005D4072"/>
    <w:rsid w:val="005D4549"/>
    <w:rsid w:val="005D4A06"/>
    <w:rsid w:val="005D4CE2"/>
    <w:rsid w:val="005D5698"/>
    <w:rsid w:val="005D60D7"/>
    <w:rsid w:val="005D6289"/>
    <w:rsid w:val="005D647A"/>
    <w:rsid w:val="005E1948"/>
    <w:rsid w:val="005E1D27"/>
    <w:rsid w:val="005E2753"/>
    <w:rsid w:val="005E3DB9"/>
    <w:rsid w:val="005E3F24"/>
    <w:rsid w:val="005E4B15"/>
    <w:rsid w:val="005E50B4"/>
    <w:rsid w:val="005E5AEB"/>
    <w:rsid w:val="005E6374"/>
    <w:rsid w:val="005F0035"/>
    <w:rsid w:val="005F0387"/>
    <w:rsid w:val="005F085F"/>
    <w:rsid w:val="005F0942"/>
    <w:rsid w:val="005F0B12"/>
    <w:rsid w:val="005F1BA4"/>
    <w:rsid w:val="005F286B"/>
    <w:rsid w:val="005F2E91"/>
    <w:rsid w:val="005F34A4"/>
    <w:rsid w:val="005F3804"/>
    <w:rsid w:val="005F424D"/>
    <w:rsid w:val="005F46AD"/>
    <w:rsid w:val="005F54C8"/>
    <w:rsid w:val="005F5BAB"/>
    <w:rsid w:val="005F5D82"/>
    <w:rsid w:val="005F63F7"/>
    <w:rsid w:val="005F6F70"/>
    <w:rsid w:val="005F70E1"/>
    <w:rsid w:val="005F713B"/>
    <w:rsid w:val="005F78AF"/>
    <w:rsid w:val="005F7D81"/>
    <w:rsid w:val="0060002A"/>
    <w:rsid w:val="00601273"/>
    <w:rsid w:val="00601418"/>
    <w:rsid w:val="0060171C"/>
    <w:rsid w:val="00601886"/>
    <w:rsid w:val="00601AC5"/>
    <w:rsid w:val="00601C68"/>
    <w:rsid w:val="00601DB5"/>
    <w:rsid w:val="00601E7A"/>
    <w:rsid w:val="0060350E"/>
    <w:rsid w:val="00603A96"/>
    <w:rsid w:val="0060502D"/>
    <w:rsid w:val="0060526D"/>
    <w:rsid w:val="006055EC"/>
    <w:rsid w:val="00605FDB"/>
    <w:rsid w:val="0060685E"/>
    <w:rsid w:val="0060733A"/>
    <w:rsid w:val="00607779"/>
    <w:rsid w:val="006101D1"/>
    <w:rsid w:val="006114D0"/>
    <w:rsid w:val="00611B43"/>
    <w:rsid w:val="00611CC2"/>
    <w:rsid w:val="00611E61"/>
    <w:rsid w:val="0061288F"/>
    <w:rsid w:val="00613CFD"/>
    <w:rsid w:val="006149B2"/>
    <w:rsid w:val="00614E30"/>
    <w:rsid w:val="00615682"/>
    <w:rsid w:val="00615920"/>
    <w:rsid w:val="0061619D"/>
    <w:rsid w:val="0061664C"/>
    <w:rsid w:val="00616D94"/>
    <w:rsid w:val="00616F9E"/>
    <w:rsid w:val="006172CA"/>
    <w:rsid w:val="006172DC"/>
    <w:rsid w:val="00617380"/>
    <w:rsid w:val="0062032E"/>
    <w:rsid w:val="00620F03"/>
    <w:rsid w:val="00621D40"/>
    <w:rsid w:val="006220C8"/>
    <w:rsid w:val="00622A30"/>
    <w:rsid w:val="00622AD0"/>
    <w:rsid w:val="00623019"/>
    <w:rsid w:val="0062318A"/>
    <w:rsid w:val="00623747"/>
    <w:rsid w:val="00623956"/>
    <w:rsid w:val="00623A9C"/>
    <w:rsid w:val="00624423"/>
    <w:rsid w:val="0062449F"/>
    <w:rsid w:val="00625246"/>
    <w:rsid w:val="00625839"/>
    <w:rsid w:val="00625A9F"/>
    <w:rsid w:val="00625BF2"/>
    <w:rsid w:val="00627ADF"/>
    <w:rsid w:val="00627AF3"/>
    <w:rsid w:val="00630B8A"/>
    <w:rsid w:val="00631358"/>
    <w:rsid w:val="006317A1"/>
    <w:rsid w:val="00632C5F"/>
    <w:rsid w:val="006330A0"/>
    <w:rsid w:val="006339D6"/>
    <w:rsid w:val="0063452B"/>
    <w:rsid w:val="00634C94"/>
    <w:rsid w:val="00634DA3"/>
    <w:rsid w:val="0063664E"/>
    <w:rsid w:val="00637274"/>
    <w:rsid w:val="00637521"/>
    <w:rsid w:val="00637DBC"/>
    <w:rsid w:val="006403F9"/>
    <w:rsid w:val="00640873"/>
    <w:rsid w:val="00640CFD"/>
    <w:rsid w:val="0064124E"/>
    <w:rsid w:val="00641929"/>
    <w:rsid w:val="00642384"/>
    <w:rsid w:val="006433AF"/>
    <w:rsid w:val="006436E0"/>
    <w:rsid w:val="00643A6E"/>
    <w:rsid w:val="006462D3"/>
    <w:rsid w:val="006463AE"/>
    <w:rsid w:val="006468C1"/>
    <w:rsid w:val="00646F28"/>
    <w:rsid w:val="00647641"/>
    <w:rsid w:val="00651AD2"/>
    <w:rsid w:val="00651BD9"/>
    <w:rsid w:val="00652805"/>
    <w:rsid w:val="006529E5"/>
    <w:rsid w:val="00652F6B"/>
    <w:rsid w:val="006530B0"/>
    <w:rsid w:val="00653E6F"/>
    <w:rsid w:val="00656BD6"/>
    <w:rsid w:val="00657F83"/>
    <w:rsid w:val="006600F2"/>
    <w:rsid w:val="00660286"/>
    <w:rsid w:val="006607F8"/>
    <w:rsid w:val="00660B10"/>
    <w:rsid w:val="00660C8E"/>
    <w:rsid w:val="00660DF8"/>
    <w:rsid w:val="00661105"/>
    <w:rsid w:val="00661692"/>
    <w:rsid w:val="00662E2E"/>
    <w:rsid w:val="0066480D"/>
    <w:rsid w:val="00664C38"/>
    <w:rsid w:val="006653AA"/>
    <w:rsid w:val="006654AD"/>
    <w:rsid w:val="00665864"/>
    <w:rsid w:val="006658FE"/>
    <w:rsid w:val="006664CE"/>
    <w:rsid w:val="00666583"/>
    <w:rsid w:val="0066669C"/>
    <w:rsid w:val="00666905"/>
    <w:rsid w:val="00666E2C"/>
    <w:rsid w:val="00667512"/>
    <w:rsid w:val="006677FC"/>
    <w:rsid w:val="00667DBF"/>
    <w:rsid w:val="00671068"/>
    <w:rsid w:val="0067292C"/>
    <w:rsid w:val="006729E7"/>
    <w:rsid w:val="006729F1"/>
    <w:rsid w:val="006748F5"/>
    <w:rsid w:val="0067543C"/>
    <w:rsid w:val="006760A1"/>
    <w:rsid w:val="0067645E"/>
    <w:rsid w:val="0067786A"/>
    <w:rsid w:val="00677CC9"/>
    <w:rsid w:val="00677F75"/>
    <w:rsid w:val="00681098"/>
    <w:rsid w:val="006810F5"/>
    <w:rsid w:val="006815B8"/>
    <w:rsid w:val="00681C15"/>
    <w:rsid w:val="00681D11"/>
    <w:rsid w:val="00681DFE"/>
    <w:rsid w:val="00682717"/>
    <w:rsid w:val="00682843"/>
    <w:rsid w:val="00684115"/>
    <w:rsid w:val="00684C2F"/>
    <w:rsid w:val="00684DF9"/>
    <w:rsid w:val="00685198"/>
    <w:rsid w:val="00685525"/>
    <w:rsid w:val="0068563A"/>
    <w:rsid w:val="00685B4E"/>
    <w:rsid w:val="00685D4C"/>
    <w:rsid w:val="006868D5"/>
    <w:rsid w:val="00686AC7"/>
    <w:rsid w:val="00686B12"/>
    <w:rsid w:val="006875BC"/>
    <w:rsid w:val="00687893"/>
    <w:rsid w:val="00687F99"/>
    <w:rsid w:val="0069028E"/>
    <w:rsid w:val="00690C02"/>
    <w:rsid w:val="00690F6A"/>
    <w:rsid w:val="00691D4D"/>
    <w:rsid w:val="006929BE"/>
    <w:rsid w:val="0069399B"/>
    <w:rsid w:val="00694129"/>
    <w:rsid w:val="0069423E"/>
    <w:rsid w:val="00694C4C"/>
    <w:rsid w:val="00694CFC"/>
    <w:rsid w:val="006976EE"/>
    <w:rsid w:val="006A064F"/>
    <w:rsid w:val="006A0DB0"/>
    <w:rsid w:val="006A11E4"/>
    <w:rsid w:val="006A178D"/>
    <w:rsid w:val="006A1DAE"/>
    <w:rsid w:val="006A1FE1"/>
    <w:rsid w:val="006A25CB"/>
    <w:rsid w:val="006A2AA1"/>
    <w:rsid w:val="006A2DC1"/>
    <w:rsid w:val="006A32D6"/>
    <w:rsid w:val="006A3333"/>
    <w:rsid w:val="006A4818"/>
    <w:rsid w:val="006A5851"/>
    <w:rsid w:val="006A5931"/>
    <w:rsid w:val="006A6E34"/>
    <w:rsid w:val="006A7579"/>
    <w:rsid w:val="006A76FB"/>
    <w:rsid w:val="006A7A51"/>
    <w:rsid w:val="006A7FB5"/>
    <w:rsid w:val="006B0A59"/>
    <w:rsid w:val="006B0BC4"/>
    <w:rsid w:val="006B1038"/>
    <w:rsid w:val="006B2F66"/>
    <w:rsid w:val="006B3F21"/>
    <w:rsid w:val="006B4D98"/>
    <w:rsid w:val="006B6066"/>
    <w:rsid w:val="006B608A"/>
    <w:rsid w:val="006B7819"/>
    <w:rsid w:val="006C0792"/>
    <w:rsid w:val="006C0F0C"/>
    <w:rsid w:val="006C1C75"/>
    <w:rsid w:val="006C1F55"/>
    <w:rsid w:val="006C2936"/>
    <w:rsid w:val="006C2F6F"/>
    <w:rsid w:val="006C31E7"/>
    <w:rsid w:val="006C3347"/>
    <w:rsid w:val="006C349F"/>
    <w:rsid w:val="006C363F"/>
    <w:rsid w:val="006C3B3B"/>
    <w:rsid w:val="006C3E15"/>
    <w:rsid w:val="006C4339"/>
    <w:rsid w:val="006C43A3"/>
    <w:rsid w:val="006C46DB"/>
    <w:rsid w:val="006C489A"/>
    <w:rsid w:val="006C5EE2"/>
    <w:rsid w:val="006C6162"/>
    <w:rsid w:val="006C62F9"/>
    <w:rsid w:val="006C67F8"/>
    <w:rsid w:val="006D0173"/>
    <w:rsid w:val="006D01C1"/>
    <w:rsid w:val="006D0D1F"/>
    <w:rsid w:val="006D15BA"/>
    <w:rsid w:val="006D18A5"/>
    <w:rsid w:val="006D5163"/>
    <w:rsid w:val="006D561F"/>
    <w:rsid w:val="006D5804"/>
    <w:rsid w:val="006D62BE"/>
    <w:rsid w:val="006D6BE5"/>
    <w:rsid w:val="006D6E0D"/>
    <w:rsid w:val="006D761C"/>
    <w:rsid w:val="006E06D4"/>
    <w:rsid w:val="006E0890"/>
    <w:rsid w:val="006E18B9"/>
    <w:rsid w:val="006E1E9A"/>
    <w:rsid w:val="006E1ECF"/>
    <w:rsid w:val="006E4E0D"/>
    <w:rsid w:val="006E6B18"/>
    <w:rsid w:val="006E6E95"/>
    <w:rsid w:val="006E7015"/>
    <w:rsid w:val="006F0D36"/>
    <w:rsid w:val="006F12BE"/>
    <w:rsid w:val="006F153E"/>
    <w:rsid w:val="006F22B5"/>
    <w:rsid w:val="006F2DDA"/>
    <w:rsid w:val="006F3E89"/>
    <w:rsid w:val="006F4018"/>
    <w:rsid w:val="006F41F6"/>
    <w:rsid w:val="006F42C9"/>
    <w:rsid w:val="006F4942"/>
    <w:rsid w:val="006F57AB"/>
    <w:rsid w:val="006F5E29"/>
    <w:rsid w:val="006F6553"/>
    <w:rsid w:val="006F6672"/>
    <w:rsid w:val="006F696C"/>
    <w:rsid w:val="006F7DCF"/>
    <w:rsid w:val="00701495"/>
    <w:rsid w:val="00701BFE"/>
    <w:rsid w:val="00701E1C"/>
    <w:rsid w:val="00702019"/>
    <w:rsid w:val="00702715"/>
    <w:rsid w:val="00702D5B"/>
    <w:rsid w:val="00702E56"/>
    <w:rsid w:val="0070302C"/>
    <w:rsid w:val="0070321C"/>
    <w:rsid w:val="00703388"/>
    <w:rsid w:val="0070377D"/>
    <w:rsid w:val="00703F54"/>
    <w:rsid w:val="00703FB3"/>
    <w:rsid w:val="00704FF8"/>
    <w:rsid w:val="00705702"/>
    <w:rsid w:val="00705F17"/>
    <w:rsid w:val="00705F6F"/>
    <w:rsid w:val="00706166"/>
    <w:rsid w:val="00706E75"/>
    <w:rsid w:val="00707D70"/>
    <w:rsid w:val="0071097B"/>
    <w:rsid w:val="00710E84"/>
    <w:rsid w:val="0071135B"/>
    <w:rsid w:val="007114D4"/>
    <w:rsid w:val="00712017"/>
    <w:rsid w:val="00712B87"/>
    <w:rsid w:val="00713B86"/>
    <w:rsid w:val="00714BD7"/>
    <w:rsid w:val="007157CE"/>
    <w:rsid w:val="00715972"/>
    <w:rsid w:val="00715D82"/>
    <w:rsid w:val="0071640F"/>
    <w:rsid w:val="007168EB"/>
    <w:rsid w:val="00716A9A"/>
    <w:rsid w:val="00716FD5"/>
    <w:rsid w:val="00717786"/>
    <w:rsid w:val="00717AB0"/>
    <w:rsid w:val="00717D13"/>
    <w:rsid w:val="00717D3F"/>
    <w:rsid w:val="00717E26"/>
    <w:rsid w:val="00717E5D"/>
    <w:rsid w:val="00717F63"/>
    <w:rsid w:val="00720259"/>
    <w:rsid w:val="00720A5A"/>
    <w:rsid w:val="00720B08"/>
    <w:rsid w:val="00720E54"/>
    <w:rsid w:val="00721760"/>
    <w:rsid w:val="00721C4C"/>
    <w:rsid w:val="00721FA1"/>
    <w:rsid w:val="00722165"/>
    <w:rsid w:val="00722326"/>
    <w:rsid w:val="00722F4F"/>
    <w:rsid w:val="0072384C"/>
    <w:rsid w:val="00723B43"/>
    <w:rsid w:val="0072457B"/>
    <w:rsid w:val="0072466D"/>
    <w:rsid w:val="00724B33"/>
    <w:rsid w:val="007253DA"/>
    <w:rsid w:val="00725AA2"/>
    <w:rsid w:val="007266B9"/>
    <w:rsid w:val="00726737"/>
    <w:rsid w:val="00726810"/>
    <w:rsid w:val="00726A97"/>
    <w:rsid w:val="007271D7"/>
    <w:rsid w:val="0072771D"/>
    <w:rsid w:val="007279DB"/>
    <w:rsid w:val="00730088"/>
    <w:rsid w:val="00730C74"/>
    <w:rsid w:val="007315AD"/>
    <w:rsid w:val="00731CE7"/>
    <w:rsid w:val="00732167"/>
    <w:rsid w:val="00733248"/>
    <w:rsid w:val="007336E3"/>
    <w:rsid w:val="00734163"/>
    <w:rsid w:val="007349AE"/>
    <w:rsid w:val="0073511D"/>
    <w:rsid w:val="007352E8"/>
    <w:rsid w:val="00735887"/>
    <w:rsid w:val="00735D73"/>
    <w:rsid w:val="00736010"/>
    <w:rsid w:val="0073686B"/>
    <w:rsid w:val="00736BE3"/>
    <w:rsid w:val="00736FB4"/>
    <w:rsid w:val="00737155"/>
    <w:rsid w:val="0073760A"/>
    <w:rsid w:val="00737FF2"/>
    <w:rsid w:val="007408CC"/>
    <w:rsid w:val="00741251"/>
    <w:rsid w:val="0074161B"/>
    <w:rsid w:val="0074181D"/>
    <w:rsid w:val="0074507B"/>
    <w:rsid w:val="007457CA"/>
    <w:rsid w:val="00745FA0"/>
    <w:rsid w:val="00746015"/>
    <w:rsid w:val="00746729"/>
    <w:rsid w:val="00746E3D"/>
    <w:rsid w:val="00747263"/>
    <w:rsid w:val="00747805"/>
    <w:rsid w:val="00747D6F"/>
    <w:rsid w:val="0075037F"/>
    <w:rsid w:val="00750589"/>
    <w:rsid w:val="00750D76"/>
    <w:rsid w:val="00750E67"/>
    <w:rsid w:val="00750EE4"/>
    <w:rsid w:val="00751070"/>
    <w:rsid w:val="007514BB"/>
    <w:rsid w:val="007518F3"/>
    <w:rsid w:val="007520AE"/>
    <w:rsid w:val="00752BBB"/>
    <w:rsid w:val="00752CFF"/>
    <w:rsid w:val="007533D8"/>
    <w:rsid w:val="00753461"/>
    <w:rsid w:val="0075382C"/>
    <w:rsid w:val="0075387B"/>
    <w:rsid w:val="00753E27"/>
    <w:rsid w:val="00754814"/>
    <w:rsid w:val="007556EC"/>
    <w:rsid w:val="00755C24"/>
    <w:rsid w:val="00756220"/>
    <w:rsid w:val="007565C1"/>
    <w:rsid w:val="00757563"/>
    <w:rsid w:val="00757FC5"/>
    <w:rsid w:val="0076038A"/>
    <w:rsid w:val="00761FD4"/>
    <w:rsid w:val="0076239B"/>
    <w:rsid w:val="00763199"/>
    <w:rsid w:val="00764E6A"/>
    <w:rsid w:val="00765024"/>
    <w:rsid w:val="0076586F"/>
    <w:rsid w:val="0076591A"/>
    <w:rsid w:val="00766197"/>
    <w:rsid w:val="007665D0"/>
    <w:rsid w:val="00766A58"/>
    <w:rsid w:val="00766B7C"/>
    <w:rsid w:val="00767ECE"/>
    <w:rsid w:val="00767F7B"/>
    <w:rsid w:val="0077052E"/>
    <w:rsid w:val="00770733"/>
    <w:rsid w:val="0077111E"/>
    <w:rsid w:val="00772151"/>
    <w:rsid w:val="007721D7"/>
    <w:rsid w:val="007723CA"/>
    <w:rsid w:val="007725DC"/>
    <w:rsid w:val="007726E1"/>
    <w:rsid w:val="00772A39"/>
    <w:rsid w:val="00772E7A"/>
    <w:rsid w:val="007754AB"/>
    <w:rsid w:val="00775EF2"/>
    <w:rsid w:val="00775FA8"/>
    <w:rsid w:val="00776C66"/>
    <w:rsid w:val="007770A3"/>
    <w:rsid w:val="00777288"/>
    <w:rsid w:val="00777EB8"/>
    <w:rsid w:val="00777EE7"/>
    <w:rsid w:val="007805DC"/>
    <w:rsid w:val="00780623"/>
    <w:rsid w:val="00780BF3"/>
    <w:rsid w:val="0078104F"/>
    <w:rsid w:val="007815E4"/>
    <w:rsid w:val="00781AC0"/>
    <w:rsid w:val="00781C70"/>
    <w:rsid w:val="00781CA8"/>
    <w:rsid w:val="00782679"/>
    <w:rsid w:val="007830C5"/>
    <w:rsid w:val="00783194"/>
    <w:rsid w:val="007831C3"/>
    <w:rsid w:val="00783259"/>
    <w:rsid w:val="00783A25"/>
    <w:rsid w:val="0078400F"/>
    <w:rsid w:val="00785810"/>
    <w:rsid w:val="00785D58"/>
    <w:rsid w:val="007860E2"/>
    <w:rsid w:val="00786A2F"/>
    <w:rsid w:val="00786D1F"/>
    <w:rsid w:val="00787641"/>
    <w:rsid w:val="00787783"/>
    <w:rsid w:val="0078783E"/>
    <w:rsid w:val="00790C3D"/>
    <w:rsid w:val="0079125A"/>
    <w:rsid w:val="00791D5A"/>
    <w:rsid w:val="00792C99"/>
    <w:rsid w:val="00792ED0"/>
    <w:rsid w:val="00793636"/>
    <w:rsid w:val="007940D8"/>
    <w:rsid w:val="00794C8C"/>
    <w:rsid w:val="00795BAC"/>
    <w:rsid w:val="00795DBA"/>
    <w:rsid w:val="00795F00"/>
    <w:rsid w:val="0079692F"/>
    <w:rsid w:val="00796C27"/>
    <w:rsid w:val="00796C97"/>
    <w:rsid w:val="00797067"/>
    <w:rsid w:val="007971A0"/>
    <w:rsid w:val="0079766A"/>
    <w:rsid w:val="00797D74"/>
    <w:rsid w:val="00797E54"/>
    <w:rsid w:val="007A0E98"/>
    <w:rsid w:val="007A13B9"/>
    <w:rsid w:val="007A16CF"/>
    <w:rsid w:val="007A1872"/>
    <w:rsid w:val="007A1880"/>
    <w:rsid w:val="007A246A"/>
    <w:rsid w:val="007A2CCA"/>
    <w:rsid w:val="007A352A"/>
    <w:rsid w:val="007A3827"/>
    <w:rsid w:val="007A3EB8"/>
    <w:rsid w:val="007A4490"/>
    <w:rsid w:val="007A47DE"/>
    <w:rsid w:val="007A4DA3"/>
    <w:rsid w:val="007A6023"/>
    <w:rsid w:val="007A6258"/>
    <w:rsid w:val="007A68AD"/>
    <w:rsid w:val="007A6B6D"/>
    <w:rsid w:val="007A7C7E"/>
    <w:rsid w:val="007B0342"/>
    <w:rsid w:val="007B05F8"/>
    <w:rsid w:val="007B064D"/>
    <w:rsid w:val="007B10B5"/>
    <w:rsid w:val="007B1552"/>
    <w:rsid w:val="007B1C13"/>
    <w:rsid w:val="007B236F"/>
    <w:rsid w:val="007B2656"/>
    <w:rsid w:val="007B356B"/>
    <w:rsid w:val="007B454A"/>
    <w:rsid w:val="007B513D"/>
    <w:rsid w:val="007B5313"/>
    <w:rsid w:val="007B5662"/>
    <w:rsid w:val="007B5A9E"/>
    <w:rsid w:val="007B5B42"/>
    <w:rsid w:val="007B5C60"/>
    <w:rsid w:val="007B6D42"/>
    <w:rsid w:val="007B6FED"/>
    <w:rsid w:val="007C08E5"/>
    <w:rsid w:val="007C1C70"/>
    <w:rsid w:val="007C1EB9"/>
    <w:rsid w:val="007C225B"/>
    <w:rsid w:val="007C28E7"/>
    <w:rsid w:val="007C2EC8"/>
    <w:rsid w:val="007C346C"/>
    <w:rsid w:val="007C419E"/>
    <w:rsid w:val="007C455D"/>
    <w:rsid w:val="007C4791"/>
    <w:rsid w:val="007C52B8"/>
    <w:rsid w:val="007C54E4"/>
    <w:rsid w:val="007C5B6C"/>
    <w:rsid w:val="007C5E5E"/>
    <w:rsid w:val="007C5ED9"/>
    <w:rsid w:val="007C60E2"/>
    <w:rsid w:val="007C682E"/>
    <w:rsid w:val="007C6A63"/>
    <w:rsid w:val="007C6F67"/>
    <w:rsid w:val="007C72D5"/>
    <w:rsid w:val="007C7BD1"/>
    <w:rsid w:val="007D0718"/>
    <w:rsid w:val="007D08A0"/>
    <w:rsid w:val="007D1468"/>
    <w:rsid w:val="007D1B46"/>
    <w:rsid w:val="007D1B47"/>
    <w:rsid w:val="007D1F99"/>
    <w:rsid w:val="007D2CAF"/>
    <w:rsid w:val="007D37C8"/>
    <w:rsid w:val="007D3B99"/>
    <w:rsid w:val="007D41D7"/>
    <w:rsid w:val="007D4379"/>
    <w:rsid w:val="007D523B"/>
    <w:rsid w:val="007D524C"/>
    <w:rsid w:val="007D62BB"/>
    <w:rsid w:val="007D796E"/>
    <w:rsid w:val="007E0356"/>
    <w:rsid w:val="007E0E61"/>
    <w:rsid w:val="007E17E1"/>
    <w:rsid w:val="007E1DFC"/>
    <w:rsid w:val="007E1FF8"/>
    <w:rsid w:val="007E3B41"/>
    <w:rsid w:val="007E3FBC"/>
    <w:rsid w:val="007E4DE7"/>
    <w:rsid w:val="007E5397"/>
    <w:rsid w:val="007E57F8"/>
    <w:rsid w:val="007E5BE6"/>
    <w:rsid w:val="007E653A"/>
    <w:rsid w:val="007E78A6"/>
    <w:rsid w:val="007E7F9D"/>
    <w:rsid w:val="007F0021"/>
    <w:rsid w:val="007F095A"/>
    <w:rsid w:val="007F0F1C"/>
    <w:rsid w:val="007F124B"/>
    <w:rsid w:val="007F2F78"/>
    <w:rsid w:val="007F4CFA"/>
    <w:rsid w:val="007F5678"/>
    <w:rsid w:val="007F7025"/>
    <w:rsid w:val="007F7E36"/>
    <w:rsid w:val="00800205"/>
    <w:rsid w:val="00801170"/>
    <w:rsid w:val="008012E5"/>
    <w:rsid w:val="00801C48"/>
    <w:rsid w:val="008023F8"/>
    <w:rsid w:val="00803ACB"/>
    <w:rsid w:val="0080414F"/>
    <w:rsid w:val="008043B6"/>
    <w:rsid w:val="008048E0"/>
    <w:rsid w:val="0080524E"/>
    <w:rsid w:val="00805848"/>
    <w:rsid w:val="008064BA"/>
    <w:rsid w:val="00807A77"/>
    <w:rsid w:val="00807C78"/>
    <w:rsid w:val="00807DAB"/>
    <w:rsid w:val="00810033"/>
    <w:rsid w:val="008100DE"/>
    <w:rsid w:val="008105D2"/>
    <w:rsid w:val="00810EF8"/>
    <w:rsid w:val="0081148C"/>
    <w:rsid w:val="008118FF"/>
    <w:rsid w:val="00811B60"/>
    <w:rsid w:val="00812943"/>
    <w:rsid w:val="00812975"/>
    <w:rsid w:val="00812ADF"/>
    <w:rsid w:val="00812AF1"/>
    <w:rsid w:val="00813402"/>
    <w:rsid w:val="008134EF"/>
    <w:rsid w:val="00813938"/>
    <w:rsid w:val="00813B06"/>
    <w:rsid w:val="00813B49"/>
    <w:rsid w:val="00813B66"/>
    <w:rsid w:val="0081439A"/>
    <w:rsid w:val="00814871"/>
    <w:rsid w:val="00814946"/>
    <w:rsid w:val="00814CA3"/>
    <w:rsid w:val="00814CB3"/>
    <w:rsid w:val="008156C6"/>
    <w:rsid w:val="008157F8"/>
    <w:rsid w:val="00816C88"/>
    <w:rsid w:val="00816CC4"/>
    <w:rsid w:val="00816E08"/>
    <w:rsid w:val="00816E90"/>
    <w:rsid w:val="00817C3E"/>
    <w:rsid w:val="00817EEB"/>
    <w:rsid w:val="00820616"/>
    <w:rsid w:val="00821BEB"/>
    <w:rsid w:val="00821E3A"/>
    <w:rsid w:val="00822477"/>
    <w:rsid w:val="00822700"/>
    <w:rsid w:val="00822711"/>
    <w:rsid w:val="00822B75"/>
    <w:rsid w:val="00825077"/>
    <w:rsid w:val="0082562B"/>
    <w:rsid w:val="00825A80"/>
    <w:rsid w:val="00826134"/>
    <w:rsid w:val="0082731F"/>
    <w:rsid w:val="00827852"/>
    <w:rsid w:val="00827897"/>
    <w:rsid w:val="008304F4"/>
    <w:rsid w:val="0083098F"/>
    <w:rsid w:val="00830A02"/>
    <w:rsid w:val="00830EF8"/>
    <w:rsid w:val="008311CB"/>
    <w:rsid w:val="0083215A"/>
    <w:rsid w:val="008329A0"/>
    <w:rsid w:val="0083345E"/>
    <w:rsid w:val="00833A8A"/>
    <w:rsid w:val="00834591"/>
    <w:rsid w:val="0083461C"/>
    <w:rsid w:val="00834DB2"/>
    <w:rsid w:val="00835BA9"/>
    <w:rsid w:val="00836426"/>
    <w:rsid w:val="008365AA"/>
    <w:rsid w:val="00836BFF"/>
    <w:rsid w:val="00836E04"/>
    <w:rsid w:val="00837513"/>
    <w:rsid w:val="0083765C"/>
    <w:rsid w:val="00837ED3"/>
    <w:rsid w:val="008409B8"/>
    <w:rsid w:val="00841030"/>
    <w:rsid w:val="00841D68"/>
    <w:rsid w:val="00842644"/>
    <w:rsid w:val="00842945"/>
    <w:rsid w:val="00842B40"/>
    <w:rsid w:val="00842E07"/>
    <w:rsid w:val="00843EAE"/>
    <w:rsid w:val="00844237"/>
    <w:rsid w:val="00844512"/>
    <w:rsid w:val="008451D3"/>
    <w:rsid w:val="00845955"/>
    <w:rsid w:val="00846344"/>
    <w:rsid w:val="00846D13"/>
    <w:rsid w:val="00846FF7"/>
    <w:rsid w:val="0084774B"/>
    <w:rsid w:val="00847B8E"/>
    <w:rsid w:val="0085009E"/>
    <w:rsid w:val="008508BC"/>
    <w:rsid w:val="00850D58"/>
    <w:rsid w:val="00850F73"/>
    <w:rsid w:val="008512F4"/>
    <w:rsid w:val="00851895"/>
    <w:rsid w:val="008525D3"/>
    <w:rsid w:val="00853CE3"/>
    <w:rsid w:val="00853FC0"/>
    <w:rsid w:val="00854096"/>
    <w:rsid w:val="00854728"/>
    <w:rsid w:val="00854AEC"/>
    <w:rsid w:val="00854F60"/>
    <w:rsid w:val="00854F7D"/>
    <w:rsid w:val="00854FE8"/>
    <w:rsid w:val="00855437"/>
    <w:rsid w:val="008557B5"/>
    <w:rsid w:val="00856799"/>
    <w:rsid w:val="0085689F"/>
    <w:rsid w:val="008608BD"/>
    <w:rsid w:val="0086141F"/>
    <w:rsid w:val="0086183D"/>
    <w:rsid w:val="00861A24"/>
    <w:rsid w:val="00861A5B"/>
    <w:rsid w:val="0086248A"/>
    <w:rsid w:val="0086256C"/>
    <w:rsid w:val="00862905"/>
    <w:rsid w:val="0086338A"/>
    <w:rsid w:val="0086429D"/>
    <w:rsid w:val="008645C1"/>
    <w:rsid w:val="00864CEE"/>
    <w:rsid w:val="00865596"/>
    <w:rsid w:val="00865829"/>
    <w:rsid w:val="00865955"/>
    <w:rsid w:val="00866335"/>
    <w:rsid w:val="0086642E"/>
    <w:rsid w:val="0086708C"/>
    <w:rsid w:val="0086745E"/>
    <w:rsid w:val="00867E47"/>
    <w:rsid w:val="008705D2"/>
    <w:rsid w:val="00870B14"/>
    <w:rsid w:val="00870D71"/>
    <w:rsid w:val="00870D79"/>
    <w:rsid w:val="00870F9F"/>
    <w:rsid w:val="00871E40"/>
    <w:rsid w:val="008727BD"/>
    <w:rsid w:val="008732B6"/>
    <w:rsid w:val="008744AA"/>
    <w:rsid w:val="00874A3E"/>
    <w:rsid w:val="00874BD9"/>
    <w:rsid w:val="00874E41"/>
    <w:rsid w:val="00876635"/>
    <w:rsid w:val="00877C86"/>
    <w:rsid w:val="00880671"/>
    <w:rsid w:val="00880D21"/>
    <w:rsid w:val="00880E2A"/>
    <w:rsid w:val="00880F43"/>
    <w:rsid w:val="008816EB"/>
    <w:rsid w:val="00881BBE"/>
    <w:rsid w:val="008829D6"/>
    <w:rsid w:val="008836BE"/>
    <w:rsid w:val="00883D57"/>
    <w:rsid w:val="00883D8B"/>
    <w:rsid w:val="00883F8C"/>
    <w:rsid w:val="008846BC"/>
    <w:rsid w:val="008847D6"/>
    <w:rsid w:val="00885674"/>
    <w:rsid w:val="00885AEE"/>
    <w:rsid w:val="008863C7"/>
    <w:rsid w:val="008909AD"/>
    <w:rsid w:val="008909E2"/>
    <w:rsid w:val="008910D7"/>
    <w:rsid w:val="008916C9"/>
    <w:rsid w:val="00891A28"/>
    <w:rsid w:val="0089276C"/>
    <w:rsid w:val="008927C2"/>
    <w:rsid w:val="00892C84"/>
    <w:rsid w:val="0089317D"/>
    <w:rsid w:val="0089377E"/>
    <w:rsid w:val="00893915"/>
    <w:rsid w:val="00893C6B"/>
    <w:rsid w:val="00893D24"/>
    <w:rsid w:val="00893E76"/>
    <w:rsid w:val="008943AC"/>
    <w:rsid w:val="008958B5"/>
    <w:rsid w:val="00895F50"/>
    <w:rsid w:val="008961F5"/>
    <w:rsid w:val="00896219"/>
    <w:rsid w:val="008963EC"/>
    <w:rsid w:val="00896870"/>
    <w:rsid w:val="00896C6C"/>
    <w:rsid w:val="00896DC3"/>
    <w:rsid w:val="0089712B"/>
    <w:rsid w:val="008A03A1"/>
    <w:rsid w:val="008A05AB"/>
    <w:rsid w:val="008A2534"/>
    <w:rsid w:val="008A2B51"/>
    <w:rsid w:val="008A2EA8"/>
    <w:rsid w:val="008A2EB5"/>
    <w:rsid w:val="008A2EE5"/>
    <w:rsid w:val="008A35C7"/>
    <w:rsid w:val="008A3BAB"/>
    <w:rsid w:val="008A3C55"/>
    <w:rsid w:val="008A44D6"/>
    <w:rsid w:val="008A4A87"/>
    <w:rsid w:val="008A56D7"/>
    <w:rsid w:val="008A570B"/>
    <w:rsid w:val="008A5F39"/>
    <w:rsid w:val="008A62F0"/>
    <w:rsid w:val="008A70A5"/>
    <w:rsid w:val="008A7164"/>
    <w:rsid w:val="008A7A1A"/>
    <w:rsid w:val="008A7B10"/>
    <w:rsid w:val="008B024B"/>
    <w:rsid w:val="008B03B8"/>
    <w:rsid w:val="008B08BD"/>
    <w:rsid w:val="008B142D"/>
    <w:rsid w:val="008B1C7A"/>
    <w:rsid w:val="008B2A8A"/>
    <w:rsid w:val="008B2BE8"/>
    <w:rsid w:val="008B420E"/>
    <w:rsid w:val="008B421F"/>
    <w:rsid w:val="008B42AD"/>
    <w:rsid w:val="008B452F"/>
    <w:rsid w:val="008B4B43"/>
    <w:rsid w:val="008B4EAE"/>
    <w:rsid w:val="008B5164"/>
    <w:rsid w:val="008B52A7"/>
    <w:rsid w:val="008B57A9"/>
    <w:rsid w:val="008B59F4"/>
    <w:rsid w:val="008B6C93"/>
    <w:rsid w:val="008B7A30"/>
    <w:rsid w:val="008B7E3C"/>
    <w:rsid w:val="008C00D6"/>
    <w:rsid w:val="008C0D1D"/>
    <w:rsid w:val="008C0E61"/>
    <w:rsid w:val="008C0F01"/>
    <w:rsid w:val="008C0FB2"/>
    <w:rsid w:val="008C12AE"/>
    <w:rsid w:val="008C1392"/>
    <w:rsid w:val="008C17AB"/>
    <w:rsid w:val="008C1C2A"/>
    <w:rsid w:val="008C2B8E"/>
    <w:rsid w:val="008C2C65"/>
    <w:rsid w:val="008C3594"/>
    <w:rsid w:val="008C4AEE"/>
    <w:rsid w:val="008C4B8F"/>
    <w:rsid w:val="008C5B4E"/>
    <w:rsid w:val="008C69E2"/>
    <w:rsid w:val="008C6C0F"/>
    <w:rsid w:val="008C7DC9"/>
    <w:rsid w:val="008D03F0"/>
    <w:rsid w:val="008D0C21"/>
    <w:rsid w:val="008D26C7"/>
    <w:rsid w:val="008D2951"/>
    <w:rsid w:val="008D302D"/>
    <w:rsid w:val="008D396B"/>
    <w:rsid w:val="008D3C7B"/>
    <w:rsid w:val="008D4553"/>
    <w:rsid w:val="008D4601"/>
    <w:rsid w:val="008D4FF2"/>
    <w:rsid w:val="008D52DD"/>
    <w:rsid w:val="008D5DF5"/>
    <w:rsid w:val="008E1301"/>
    <w:rsid w:val="008E2C86"/>
    <w:rsid w:val="008E2D05"/>
    <w:rsid w:val="008E3256"/>
    <w:rsid w:val="008E365E"/>
    <w:rsid w:val="008E3AC2"/>
    <w:rsid w:val="008E42AC"/>
    <w:rsid w:val="008E4A0C"/>
    <w:rsid w:val="008E4A1F"/>
    <w:rsid w:val="008E51A4"/>
    <w:rsid w:val="008F01FD"/>
    <w:rsid w:val="008F0534"/>
    <w:rsid w:val="008F0CC9"/>
    <w:rsid w:val="008F101B"/>
    <w:rsid w:val="008F16B8"/>
    <w:rsid w:val="008F17F4"/>
    <w:rsid w:val="008F1A78"/>
    <w:rsid w:val="008F20C5"/>
    <w:rsid w:val="008F276D"/>
    <w:rsid w:val="008F2E38"/>
    <w:rsid w:val="008F303A"/>
    <w:rsid w:val="008F4116"/>
    <w:rsid w:val="008F485A"/>
    <w:rsid w:val="008F523E"/>
    <w:rsid w:val="008F5405"/>
    <w:rsid w:val="008F57D2"/>
    <w:rsid w:val="008F5959"/>
    <w:rsid w:val="008F63E1"/>
    <w:rsid w:val="008F768A"/>
    <w:rsid w:val="008F7B83"/>
    <w:rsid w:val="008F7F21"/>
    <w:rsid w:val="00900450"/>
    <w:rsid w:val="00900C9A"/>
    <w:rsid w:val="00901415"/>
    <w:rsid w:val="00901669"/>
    <w:rsid w:val="009020A1"/>
    <w:rsid w:val="00902153"/>
    <w:rsid w:val="00902707"/>
    <w:rsid w:val="00902C89"/>
    <w:rsid w:val="009030C2"/>
    <w:rsid w:val="00903163"/>
    <w:rsid w:val="009042E7"/>
    <w:rsid w:val="00904B25"/>
    <w:rsid w:val="009055AF"/>
    <w:rsid w:val="0090594D"/>
    <w:rsid w:val="00905993"/>
    <w:rsid w:val="00905C14"/>
    <w:rsid w:val="009067B5"/>
    <w:rsid w:val="00906CF9"/>
    <w:rsid w:val="009076CA"/>
    <w:rsid w:val="0090775F"/>
    <w:rsid w:val="009078CF"/>
    <w:rsid w:val="009105EE"/>
    <w:rsid w:val="009113EC"/>
    <w:rsid w:val="00911A21"/>
    <w:rsid w:val="0091290C"/>
    <w:rsid w:val="00912A3F"/>
    <w:rsid w:val="009138E0"/>
    <w:rsid w:val="00913A4A"/>
    <w:rsid w:val="0091442D"/>
    <w:rsid w:val="0091500A"/>
    <w:rsid w:val="00915C87"/>
    <w:rsid w:val="00916E72"/>
    <w:rsid w:val="0091797F"/>
    <w:rsid w:val="00917B4C"/>
    <w:rsid w:val="00917F5F"/>
    <w:rsid w:val="00922012"/>
    <w:rsid w:val="0092428C"/>
    <w:rsid w:val="009245B2"/>
    <w:rsid w:val="00924715"/>
    <w:rsid w:val="00926D2E"/>
    <w:rsid w:val="00926DC6"/>
    <w:rsid w:val="009301ED"/>
    <w:rsid w:val="0093063C"/>
    <w:rsid w:val="0093095A"/>
    <w:rsid w:val="009314D2"/>
    <w:rsid w:val="00931E1B"/>
    <w:rsid w:val="00931F01"/>
    <w:rsid w:val="009323C9"/>
    <w:rsid w:val="00932AA8"/>
    <w:rsid w:val="00932F57"/>
    <w:rsid w:val="00933084"/>
    <w:rsid w:val="00933286"/>
    <w:rsid w:val="00933483"/>
    <w:rsid w:val="00933A41"/>
    <w:rsid w:val="00933C1B"/>
    <w:rsid w:val="00934C6D"/>
    <w:rsid w:val="00934C96"/>
    <w:rsid w:val="00935B44"/>
    <w:rsid w:val="009360E8"/>
    <w:rsid w:val="00936760"/>
    <w:rsid w:val="00936859"/>
    <w:rsid w:val="00936E9D"/>
    <w:rsid w:val="00936F28"/>
    <w:rsid w:val="0093708A"/>
    <w:rsid w:val="00937B4B"/>
    <w:rsid w:val="00940DFF"/>
    <w:rsid w:val="00941980"/>
    <w:rsid w:val="00941B8A"/>
    <w:rsid w:val="00942828"/>
    <w:rsid w:val="00942894"/>
    <w:rsid w:val="00943C5B"/>
    <w:rsid w:val="00944551"/>
    <w:rsid w:val="009446C4"/>
    <w:rsid w:val="00945270"/>
    <w:rsid w:val="0094597F"/>
    <w:rsid w:val="00945AF6"/>
    <w:rsid w:val="00945CA3"/>
    <w:rsid w:val="00945DF7"/>
    <w:rsid w:val="009460B0"/>
    <w:rsid w:val="0094671D"/>
    <w:rsid w:val="00947CE3"/>
    <w:rsid w:val="00947DB3"/>
    <w:rsid w:val="009519FA"/>
    <w:rsid w:val="00951F69"/>
    <w:rsid w:val="00952BBE"/>
    <w:rsid w:val="00952DC7"/>
    <w:rsid w:val="00954438"/>
    <w:rsid w:val="009544C5"/>
    <w:rsid w:val="00954C25"/>
    <w:rsid w:val="00955014"/>
    <w:rsid w:val="00955E1F"/>
    <w:rsid w:val="00957790"/>
    <w:rsid w:val="0096003B"/>
    <w:rsid w:val="0096116C"/>
    <w:rsid w:val="0096224D"/>
    <w:rsid w:val="009622DC"/>
    <w:rsid w:val="00962431"/>
    <w:rsid w:val="0096314F"/>
    <w:rsid w:val="009641EA"/>
    <w:rsid w:val="009653B8"/>
    <w:rsid w:val="00965B33"/>
    <w:rsid w:val="00965B4A"/>
    <w:rsid w:val="00965FB0"/>
    <w:rsid w:val="009702DA"/>
    <w:rsid w:val="009705F7"/>
    <w:rsid w:val="00970B4F"/>
    <w:rsid w:val="0097134C"/>
    <w:rsid w:val="00971E96"/>
    <w:rsid w:val="00972CEA"/>
    <w:rsid w:val="00972E14"/>
    <w:rsid w:val="00972F3E"/>
    <w:rsid w:val="009731A7"/>
    <w:rsid w:val="00973B21"/>
    <w:rsid w:val="00974D94"/>
    <w:rsid w:val="00975737"/>
    <w:rsid w:val="009768AE"/>
    <w:rsid w:val="00976C30"/>
    <w:rsid w:val="009802E5"/>
    <w:rsid w:val="00980658"/>
    <w:rsid w:val="00980708"/>
    <w:rsid w:val="00980A8F"/>
    <w:rsid w:val="00980D7F"/>
    <w:rsid w:val="00981194"/>
    <w:rsid w:val="009814AD"/>
    <w:rsid w:val="00981896"/>
    <w:rsid w:val="00981F7F"/>
    <w:rsid w:val="00983980"/>
    <w:rsid w:val="00983FBD"/>
    <w:rsid w:val="00984563"/>
    <w:rsid w:val="00985550"/>
    <w:rsid w:val="00985611"/>
    <w:rsid w:val="009858B5"/>
    <w:rsid w:val="009866F0"/>
    <w:rsid w:val="00986872"/>
    <w:rsid w:val="0098711A"/>
    <w:rsid w:val="00987CA1"/>
    <w:rsid w:val="0099073F"/>
    <w:rsid w:val="009912FC"/>
    <w:rsid w:val="009920C6"/>
    <w:rsid w:val="00992F10"/>
    <w:rsid w:val="009936C2"/>
    <w:rsid w:val="009939C7"/>
    <w:rsid w:val="00993ABB"/>
    <w:rsid w:val="00993B36"/>
    <w:rsid w:val="00993C2D"/>
    <w:rsid w:val="00993DC0"/>
    <w:rsid w:val="0099436A"/>
    <w:rsid w:val="00994649"/>
    <w:rsid w:val="0099464E"/>
    <w:rsid w:val="00994A42"/>
    <w:rsid w:val="00994A7E"/>
    <w:rsid w:val="00995A86"/>
    <w:rsid w:val="00995E4C"/>
    <w:rsid w:val="009968AC"/>
    <w:rsid w:val="0099773A"/>
    <w:rsid w:val="00997EEC"/>
    <w:rsid w:val="009A000B"/>
    <w:rsid w:val="009A0406"/>
    <w:rsid w:val="009A073C"/>
    <w:rsid w:val="009A0A8C"/>
    <w:rsid w:val="009A0CAB"/>
    <w:rsid w:val="009A10D1"/>
    <w:rsid w:val="009A3A44"/>
    <w:rsid w:val="009A4172"/>
    <w:rsid w:val="009A48F0"/>
    <w:rsid w:val="009A4C1F"/>
    <w:rsid w:val="009A4D1F"/>
    <w:rsid w:val="009A573F"/>
    <w:rsid w:val="009A5966"/>
    <w:rsid w:val="009A5B06"/>
    <w:rsid w:val="009A601D"/>
    <w:rsid w:val="009A602C"/>
    <w:rsid w:val="009A6714"/>
    <w:rsid w:val="009A67E4"/>
    <w:rsid w:val="009A6FA5"/>
    <w:rsid w:val="009A703F"/>
    <w:rsid w:val="009B06C6"/>
    <w:rsid w:val="009B0885"/>
    <w:rsid w:val="009B1258"/>
    <w:rsid w:val="009B1367"/>
    <w:rsid w:val="009B1898"/>
    <w:rsid w:val="009B1E20"/>
    <w:rsid w:val="009B2001"/>
    <w:rsid w:val="009B23AC"/>
    <w:rsid w:val="009B32BC"/>
    <w:rsid w:val="009B3574"/>
    <w:rsid w:val="009B3C2A"/>
    <w:rsid w:val="009B41AB"/>
    <w:rsid w:val="009B46C4"/>
    <w:rsid w:val="009B486B"/>
    <w:rsid w:val="009B4AA1"/>
    <w:rsid w:val="009B4D44"/>
    <w:rsid w:val="009B5BDB"/>
    <w:rsid w:val="009B5F39"/>
    <w:rsid w:val="009B5FE5"/>
    <w:rsid w:val="009B63A6"/>
    <w:rsid w:val="009B6A47"/>
    <w:rsid w:val="009B6E56"/>
    <w:rsid w:val="009B753F"/>
    <w:rsid w:val="009B78AC"/>
    <w:rsid w:val="009B7CAF"/>
    <w:rsid w:val="009B7D3F"/>
    <w:rsid w:val="009C009F"/>
    <w:rsid w:val="009C00ED"/>
    <w:rsid w:val="009C037A"/>
    <w:rsid w:val="009C081E"/>
    <w:rsid w:val="009C097B"/>
    <w:rsid w:val="009C0D6C"/>
    <w:rsid w:val="009C0E4F"/>
    <w:rsid w:val="009C1AEB"/>
    <w:rsid w:val="009C1E00"/>
    <w:rsid w:val="009C1E11"/>
    <w:rsid w:val="009C1F92"/>
    <w:rsid w:val="009C1FE4"/>
    <w:rsid w:val="009C2955"/>
    <w:rsid w:val="009C2A35"/>
    <w:rsid w:val="009C33E2"/>
    <w:rsid w:val="009C3855"/>
    <w:rsid w:val="009C3B12"/>
    <w:rsid w:val="009C3DC3"/>
    <w:rsid w:val="009C3DFC"/>
    <w:rsid w:val="009C4280"/>
    <w:rsid w:val="009C43D4"/>
    <w:rsid w:val="009C455E"/>
    <w:rsid w:val="009C4B39"/>
    <w:rsid w:val="009C50B5"/>
    <w:rsid w:val="009C5C6D"/>
    <w:rsid w:val="009C71AF"/>
    <w:rsid w:val="009C7A99"/>
    <w:rsid w:val="009C7BA2"/>
    <w:rsid w:val="009D054A"/>
    <w:rsid w:val="009D1825"/>
    <w:rsid w:val="009D1F0A"/>
    <w:rsid w:val="009D1F41"/>
    <w:rsid w:val="009D1F94"/>
    <w:rsid w:val="009D3057"/>
    <w:rsid w:val="009D3283"/>
    <w:rsid w:val="009D578A"/>
    <w:rsid w:val="009D5C51"/>
    <w:rsid w:val="009D5CF1"/>
    <w:rsid w:val="009D5DDD"/>
    <w:rsid w:val="009D777D"/>
    <w:rsid w:val="009D7B16"/>
    <w:rsid w:val="009D7CC0"/>
    <w:rsid w:val="009E0DA3"/>
    <w:rsid w:val="009E2103"/>
    <w:rsid w:val="009E237E"/>
    <w:rsid w:val="009E23DE"/>
    <w:rsid w:val="009E24C1"/>
    <w:rsid w:val="009E2543"/>
    <w:rsid w:val="009E2B48"/>
    <w:rsid w:val="009E2C7F"/>
    <w:rsid w:val="009E4DC7"/>
    <w:rsid w:val="009E5054"/>
    <w:rsid w:val="009E661F"/>
    <w:rsid w:val="009E69A6"/>
    <w:rsid w:val="009E6B6F"/>
    <w:rsid w:val="009E6F34"/>
    <w:rsid w:val="009F0084"/>
    <w:rsid w:val="009F06E8"/>
    <w:rsid w:val="009F077A"/>
    <w:rsid w:val="009F0850"/>
    <w:rsid w:val="009F0E24"/>
    <w:rsid w:val="009F11CE"/>
    <w:rsid w:val="009F143B"/>
    <w:rsid w:val="009F221F"/>
    <w:rsid w:val="009F29A7"/>
    <w:rsid w:val="009F347A"/>
    <w:rsid w:val="009F361D"/>
    <w:rsid w:val="009F488C"/>
    <w:rsid w:val="009F4D49"/>
    <w:rsid w:val="009F4F16"/>
    <w:rsid w:val="009F6797"/>
    <w:rsid w:val="009F6DB8"/>
    <w:rsid w:val="009F6E7D"/>
    <w:rsid w:val="009F7229"/>
    <w:rsid w:val="009F769A"/>
    <w:rsid w:val="009F7719"/>
    <w:rsid w:val="009F7977"/>
    <w:rsid w:val="009F7BD2"/>
    <w:rsid w:val="00A006FE"/>
    <w:rsid w:val="00A00AED"/>
    <w:rsid w:val="00A00BAA"/>
    <w:rsid w:val="00A00E62"/>
    <w:rsid w:val="00A010B6"/>
    <w:rsid w:val="00A013E6"/>
    <w:rsid w:val="00A018A6"/>
    <w:rsid w:val="00A019A8"/>
    <w:rsid w:val="00A01A04"/>
    <w:rsid w:val="00A01A42"/>
    <w:rsid w:val="00A02E7A"/>
    <w:rsid w:val="00A02EFC"/>
    <w:rsid w:val="00A0397E"/>
    <w:rsid w:val="00A042A8"/>
    <w:rsid w:val="00A0513B"/>
    <w:rsid w:val="00A0560B"/>
    <w:rsid w:val="00A057E1"/>
    <w:rsid w:val="00A05CC4"/>
    <w:rsid w:val="00A067E0"/>
    <w:rsid w:val="00A06803"/>
    <w:rsid w:val="00A06B2A"/>
    <w:rsid w:val="00A070C0"/>
    <w:rsid w:val="00A0715E"/>
    <w:rsid w:val="00A0717B"/>
    <w:rsid w:val="00A07295"/>
    <w:rsid w:val="00A0739D"/>
    <w:rsid w:val="00A07901"/>
    <w:rsid w:val="00A079ED"/>
    <w:rsid w:val="00A07B84"/>
    <w:rsid w:val="00A100E0"/>
    <w:rsid w:val="00A1059C"/>
    <w:rsid w:val="00A10741"/>
    <w:rsid w:val="00A10B0F"/>
    <w:rsid w:val="00A10C04"/>
    <w:rsid w:val="00A11C2B"/>
    <w:rsid w:val="00A11C6E"/>
    <w:rsid w:val="00A125C3"/>
    <w:rsid w:val="00A1283C"/>
    <w:rsid w:val="00A12FD9"/>
    <w:rsid w:val="00A131CA"/>
    <w:rsid w:val="00A1381E"/>
    <w:rsid w:val="00A13889"/>
    <w:rsid w:val="00A1477C"/>
    <w:rsid w:val="00A148EA"/>
    <w:rsid w:val="00A14E5B"/>
    <w:rsid w:val="00A153B2"/>
    <w:rsid w:val="00A15B2F"/>
    <w:rsid w:val="00A161A6"/>
    <w:rsid w:val="00A163B2"/>
    <w:rsid w:val="00A16BE4"/>
    <w:rsid w:val="00A17004"/>
    <w:rsid w:val="00A175B1"/>
    <w:rsid w:val="00A17790"/>
    <w:rsid w:val="00A17993"/>
    <w:rsid w:val="00A203F3"/>
    <w:rsid w:val="00A2072B"/>
    <w:rsid w:val="00A212D8"/>
    <w:rsid w:val="00A21A98"/>
    <w:rsid w:val="00A233D1"/>
    <w:rsid w:val="00A2458E"/>
    <w:rsid w:val="00A245C7"/>
    <w:rsid w:val="00A2462A"/>
    <w:rsid w:val="00A2493D"/>
    <w:rsid w:val="00A250F9"/>
    <w:rsid w:val="00A25EAB"/>
    <w:rsid w:val="00A26B2A"/>
    <w:rsid w:val="00A27B3B"/>
    <w:rsid w:val="00A30927"/>
    <w:rsid w:val="00A30995"/>
    <w:rsid w:val="00A30F05"/>
    <w:rsid w:val="00A30F8D"/>
    <w:rsid w:val="00A31054"/>
    <w:rsid w:val="00A310C3"/>
    <w:rsid w:val="00A317F9"/>
    <w:rsid w:val="00A32148"/>
    <w:rsid w:val="00A32D94"/>
    <w:rsid w:val="00A331B6"/>
    <w:rsid w:val="00A349E9"/>
    <w:rsid w:val="00A35033"/>
    <w:rsid w:val="00A3511B"/>
    <w:rsid w:val="00A3554A"/>
    <w:rsid w:val="00A35828"/>
    <w:rsid w:val="00A3608F"/>
    <w:rsid w:val="00A376E4"/>
    <w:rsid w:val="00A378AA"/>
    <w:rsid w:val="00A37D01"/>
    <w:rsid w:val="00A40007"/>
    <w:rsid w:val="00A401BE"/>
    <w:rsid w:val="00A404B3"/>
    <w:rsid w:val="00A4078C"/>
    <w:rsid w:val="00A4092B"/>
    <w:rsid w:val="00A413EA"/>
    <w:rsid w:val="00A41434"/>
    <w:rsid w:val="00A41B3B"/>
    <w:rsid w:val="00A42AE6"/>
    <w:rsid w:val="00A42D7A"/>
    <w:rsid w:val="00A4320C"/>
    <w:rsid w:val="00A438E6"/>
    <w:rsid w:val="00A43EA8"/>
    <w:rsid w:val="00A44D90"/>
    <w:rsid w:val="00A44FCA"/>
    <w:rsid w:val="00A451DB"/>
    <w:rsid w:val="00A45686"/>
    <w:rsid w:val="00A46E72"/>
    <w:rsid w:val="00A50091"/>
    <w:rsid w:val="00A50D4D"/>
    <w:rsid w:val="00A52F02"/>
    <w:rsid w:val="00A530A5"/>
    <w:rsid w:val="00A53D0E"/>
    <w:rsid w:val="00A54DC5"/>
    <w:rsid w:val="00A54FEF"/>
    <w:rsid w:val="00A55057"/>
    <w:rsid w:val="00A5528D"/>
    <w:rsid w:val="00A55A4E"/>
    <w:rsid w:val="00A5619B"/>
    <w:rsid w:val="00A569E4"/>
    <w:rsid w:val="00A572D8"/>
    <w:rsid w:val="00A57CDC"/>
    <w:rsid w:val="00A57FC8"/>
    <w:rsid w:val="00A60CDD"/>
    <w:rsid w:val="00A617D7"/>
    <w:rsid w:val="00A6184C"/>
    <w:rsid w:val="00A61919"/>
    <w:rsid w:val="00A61949"/>
    <w:rsid w:val="00A61ABF"/>
    <w:rsid w:val="00A61BD0"/>
    <w:rsid w:val="00A62094"/>
    <w:rsid w:val="00A628AF"/>
    <w:rsid w:val="00A62E46"/>
    <w:rsid w:val="00A63561"/>
    <w:rsid w:val="00A639F6"/>
    <w:rsid w:val="00A64F92"/>
    <w:rsid w:val="00A656EB"/>
    <w:rsid w:val="00A65B68"/>
    <w:rsid w:val="00A66C5E"/>
    <w:rsid w:val="00A6726C"/>
    <w:rsid w:val="00A676E1"/>
    <w:rsid w:val="00A67FB7"/>
    <w:rsid w:val="00A7002B"/>
    <w:rsid w:val="00A705CA"/>
    <w:rsid w:val="00A7062A"/>
    <w:rsid w:val="00A70701"/>
    <w:rsid w:val="00A71053"/>
    <w:rsid w:val="00A71903"/>
    <w:rsid w:val="00A71ABC"/>
    <w:rsid w:val="00A71BEA"/>
    <w:rsid w:val="00A71CA3"/>
    <w:rsid w:val="00A71EC8"/>
    <w:rsid w:val="00A722AC"/>
    <w:rsid w:val="00A73039"/>
    <w:rsid w:val="00A732CC"/>
    <w:rsid w:val="00A73786"/>
    <w:rsid w:val="00A74302"/>
    <w:rsid w:val="00A745E4"/>
    <w:rsid w:val="00A745E7"/>
    <w:rsid w:val="00A7562F"/>
    <w:rsid w:val="00A76FD1"/>
    <w:rsid w:val="00A8058B"/>
    <w:rsid w:val="00A807C2"/>
    <w:rsid w:val="00A80895"/>
    <w:rsid w:val="00A829C1"/>
    <w:rsid w:val="00A82BCD"/>
    <w:rsid w:val="00A83552"/>
    <w:rsid w:val="00A838AE"/>
    <w:rsid w:val="00A84D26"/>
    <w:rsid w:val="00A861AE"/>
    <w:rsid w:val="00A86CDA"/>
    <w:rsid w:val="00A86FCD"/>
    <w:rsid w:val="00A872E2"/>
    <w:rsid w:val="00A879C0"/>
    <w:rsid w:val="00A91024"/>
    <w:rsid w:val="00A91893"/>
    <w:rsid w:val="00A91BAB"/>
    <w:rsid w:val="00A91CEA"/>
    <w:rsid w:val="00A92CF3"/>
    <w:rsid w:val="00A931E3"/>
    <w:rsid w:val="00A94348"/>
    <w:rsid w:val="00A95887"/>
    <w:rsid w:val="00A97DB2"/>
    <w:rsid w:val="00A97E1D"/>
    <w:rsid w:val="00A97F3D"/>
    <w:rsid w:val="00AA0A41"/>
    <w:rsid w:val="00AA0B0F"/>
    <w:rsid w:val="00AA0C73"/>
    <w:rsid w:val="00AA17D1"/>
    <w:rsid w:val="00AA1C04"/>
    <w:rsid w:val="00AA21A1"/>
    <w:rsid w:val="00AA243E"/>
    <w:rsid w:val="00AA2AA3"/>
    <w:rsid w:val="00AA2F35"/>
    <w:rsid w:val="00AA3922"/>
    <w:rsid w:val="00AA4B34"/>
    <w:rsid w:val="00AA5218"/>
    <w:rsid w:val="00AA5A43"/>
    <w:rsid w:val="00AA7CF6"/>
    <w:rsid w:val="00AA7D9F"/>
    <w:rsid w:val="00AA7F07"/>
    <w:rsid w:val="00AB0356"/>
    <w:rsid w:val="00AB1C40"/>
    <w:rsid w:val="00AB28D9"/>
    <w:rsid w:val="00AB2B73"/>
    <w:rsid w:val="00AB304F"/>
    <w:rsid w:val="00AB3327"/>
    <w:rsid w:val="00AB3920"/>
    <w:rsid w:val="00AB393C"/>
    <w:rsid w:val="00AB3992"/>
    <w:rsid w:val="00AB3E3F"/>
    <w:rsid w:val="00AB3F5A"/>
    <w:rsid w:val="00AB47D8"/>
    <w:rsid w:val="00AB4A80"/>
    <w:rsid w:val="00AB5AEA"/>
    <w:rsid w:val="00AB60D0"/>
    <w:rsid w:val="00AB7263"/>
    <w:rsid w:val="00AB72E8"/>
    <w:rsid w:val="00AB7734"/>
    <w:rsid w:val="00AB7806"/>
    <w:rsid w:val="00AB7BCC"/>
    <w:rsid w:val="00AC05CE"/>
    <w:rsid w:val="00AC0875"/>
    <w:rsid w:val="00AC121F"/>
    <w:rsid w:val="00AC191D"/>
    <w:rsid w:val="00AC1942"/>
    <w:rsid w:val="00AC2CAE"/>
    <w:rsid w:val="00AC3A4A"/>
    <w:rsid w:val="00AC4764"/>
    <w:rsid w:val="00AC4FBF"/>
    <w:rsid w:val="00AC57D8"/>
    <w:rsid w:val="00AC5FE9"/>
    <w:rsid w:val="00AC604E"/>
    <w:rsid w:val="00AC642E"/>
    <w:rsid w:val="00AC6518"/>
    <w:rsid w:val="00AD00C0"/>
    <w:rsid w:val="00AD015E"/>
    <w:rsid w:val="00AD0356"/>
    <w:rsid w:val="00AD0653"/>
    <w:rsid w:val="00AD0685"/>
    <w:rsid w:val="00AD0900"/>
    <w:rsid w:val="00AD16A6"/>
    <w:rsid w:val="00AD196F"/>
    <w:rsid w:val="00AD2694"/>
    <w:rsid w:val="00AD38A4"/>
    <w:rsid w:val="00AD3991"/>
    <w:rsid w:val="00AD3A1C"/>
    <w:rsid w:val="00AD431F"/>
    <w:rsid w:val="00AD5318"/>
    <w:rsid w:val="00AD5830"/>
    <w:rsid w:val="00AD5F82"/>
    <w:rsid w:val="00AD6052"/>
    <w:rsid w:val="00AD66E3"/>
    <w:rsid w:val="00AD6787"/>
    <w:rsid w:val="00AD6E47"/>
    <w:rsid w:val="00AD7096"/>
    <w:rsid w:val="00AD737C"/>
    <w:rsid w:val="00AD75C9"/>
    <w:rsid w:val="00AE0A89"/>
    <w:rsid w:val="00AE0B21"/>
    <w:rsid w:val="00AE1AAE"/>
    <w:rsid w:val="00AE1EA8"/>
    <w:rsid w:val="00AE27F1"/>
    <w:rsid w:val="00AE29ED"/>
    <w:rsid w:val="00AE433B"/>
    <w:rsid w:val="00AE4480"/>
    <w:rsid w:val="00AE459A"/>
    <w:rsid w:val="00AE47E3"/>
    <w:rsid w:val="00AE4F03"/>
    <w:rsid w:val="00AE50D6"/>
    <w:rsid w:val="00AE541E"/>
    <w:rsid w:val="00AE58A3"/>
    <w:rsid w:val="00AE5BD7"/>
    <w:rsid w:val="00AE6098"/>
    <w:rsid w:val="00AE6FB9"/>
    <w:rsid w:val="00AE71BC"/>
    <w:rsid w:val="00AE7836"/>
    <w:rsid w:val="00AE795F"/>
    <w:rsid w:val="00AF0B51"/>
    <w:rsid w:val="00AF1002"/>
    <w:rsid w:val="00AF10E4"/>
    <w:rsid w:val="00AF11F2"/>
    <w:rsid w:val="00AF1994"/>
    <w:rsid w:val="00AF1F9A"/>
    <w:rsid w:val="00AF238F"/>
    <w:rsid w:val="00AF32BB"/>
    <w:rsid w:val="00AF3398"/>
    <w:rsid w:val="00AF4166"/>
    <w:rsid w:val="00AF4A11"/>
    <w:rsid w:val="00AF5219"/>
    <w:rsid w:val="00AF5D37"/>
    <w:rsid w:val="00AF6290"/>
    <w:rsid w:val="00AF74EF"/>
    <w:rsid w:val="00AF77E7"/>
    <w:rsid w:val="00AF7E3F"/>
    <w:rsid w:val="00B00C6E"/>
    <w:rsid w:val="00B01C2B"/>
    <w:rsid w:val="00B03851"/>
    <w:rsid w:val="00B03CEE"/>
    <w:rsid w:val="00B06688"/>
    <w:rsid w:val="00B06781"/>
    <w:rsid w:val="00B06E26"/>
    <w:rsid w:val="00B074A7"/>
    <w:rsid w:val="00B0759B"/>
    <w:rsid w:val="00B07762"/>
    <w:rsid w:val="00B07E32"/>
    <w:rsid w:val="00B1125E"/>
    <w:rsid w:val="00B11F78"/>
    <w:rsid w:val="00B121D2"/>
    <w:rsid w:val="00B12F2C"/>
    <w:rsid w:val="00B14365"/>
    <w:rsid w:val="00B14686"/>
    <w:rsid w:val="00B1490D"/>
    <w:rsid w:val="00B14C2D"/>
    <w:rsid w:val="00B15BE7"/>
    <w:rsid w:val="00B1690D"/>
    <w:rsid w:val="00B16CF6"/>
    <w:rsid w:val="00B17517"/>
    <w:rsid w:val="00B177C8"/>
    <w:rsid w:val="00B17A55"/>
    <w:rsid w:val="00B17E2A"/>
    <w:rsid w:val="00B210A7"/>
    <w:rsid w:val="00B215EB"/>
    <w:rsid w:val="00B21869"/>
    <w:rsid w:val="00B2255D"/>
    <w:rsid w:val="00B2275D"/>
    <w:rsid w:val="00B22A39"/>
    <w:rsid w:val="00B23B23"/>
    <w:rsid w:val="00B23C31"/>
    <w:rsid w:val="00B23C67"/>
    <w:rsid w:val="00B23EF8"/>
    <w:rsid w:val="00B24377"/>
    <w:rsid w:val="00B2476C"/>
    <w:rsid w:val="00B24901"/>
    <w:rsid w:val="00B24B0F"/>
    <w:rsid w:val="00B24B71"/>
    <w:rsid w:val="00B24DA0"/>
    <w:rsid w:val="00B24F5C"/>
    <w:rsid w:val="00B250F7"/>
    <w:rsid w:val="00B2750B"/>
    <w:rsid w:val="00B31229"/>
    <w:rsid w:val="00B313C6"/>
    <w:rsid w:val="00B31550"/>
    <w:rsid w:val="00B3167E"/>
    <w:rsid w:val="00B316B7"/>
    <w:rsid w:val="00B31988"/>
    <w:rsid w:val="00B31991"/>
    <w:rsid w:val="00B32653"/>
    <w:rsid w:val="00B32BF2"/>
    <w:rsid w:val="00B32CA1"/>
    <w:rsid w:val="00B3463D"/>
    <w:rsid w:val="00B3478E"/>
    <w:rsid w:val="00B34C25"/>
    <w:rsid w:val="00B35359"/>
    <w:rsid w:val="00B35837"/>
    <w:rsid w:val="00B35979"/>
    <w:rsid w:val="00B35AC3"/>
    <w:rsid w:val="00B35D37"/>
    <w:rsid w:val="00B36120"/>
    <w:rsid w:val="00B36137"/>
    <w:rsid w:val="00B361A5"/>
    <w:rsid w:val="00B36213"/>
    <w:rsid w:val="00B36384"/>
    <w:rsid w:val="00B366BD"/>
    <w:rsid w:val="00B36908"/>
    <w:rsid w:val="00B36D11"/>
    <w:rsid w:val="00B36E0E"/>
    <w:rsid w:val="00B36ED2"/>
    <w:rsid w:val="00B37262"/>
    <w:rsid w:val="00B4007C"/>
    <w:rsid w:val="00B4092F"/>
    <w:rsid w:val="00B40A47"/>
    <w:rsid w:val="00B40CC9"/>
    <w:rsid w:val="00B40D60"/>
    <w:rsid w:val="00B40EE2"/>
    <w:rsid w:val="00B4104C"/>
    <w:rsid w:val="00B41AF4"/>
    <w:rsid w:val="00B41F47"/>
    <w:rsid w:val="00B42670"/>
    <w:rsid w:val="00B42C08"/>
    <w:rsid w:val="00B4332F"/>
    <w:rsid w:val="00B43387"/>
    <w:rsid w:val="00B433E5"/>
    <w:rsid w:val="00B437C1"/>
    <w:rsid w:val="00B448A9"/>
    <w:rsid w:val="00B455FA"/>
    <w:rsid w:val="00B45619"/>
    <w:rsid w:val="00B45837"/>
    <w:rsid w:val="00B47305"/>
    <w:rsid w:val="00B504FB"/>
    <w:rsid w:val="00B50E8B"/>
    <w:rsid w:val="00B511E3"/>
    <w:rsid w:val="00B52CD0"/>
    <w:rsid w:val="00B53113"/>
    <w:rsid w:val="00B544B8"/>
    <w:rsid w:val="00B54B6C"/>
    <w:rsid w:val="00B559F7"/>
    <w:rsid w:val="00B56B7B"/>
    <w:rsid w:val="00B56E23"/>
    <w:rsid w:val="00B574D8"/>
    <w:rsid w:val="00B57B25"/>
    <w:rsid w:val="00B60724"/>
    <w:rsid w:val="00B60757"/>
    <w:rsid w:val="00B60C28"/>
    <w:rsid w:val="00B61F2E"/>
    <w:rsid w:val="00B62852"/>
    <w:rsid w:val="00B62B90"/>
    <w:rsid w:val="00B6318F"/>
    <w:rsid w:val="00B63422"/>
    <w:rsid w:val="00B635C1"/>
    <w:rsid w:val="00B648BC"/>
    <w:rsid w:val="00B65C78"/>
    <w:rsid w:val="00B65D24"/>
    <w:rsid w:val="00B65D6E"/>
    <w:rsid w:val="00B662DA"/>
    <w:rsid w:val="00B66690"/>
    <w:rsid w:val="00B66735"/>
    <w:rsid w:val="00B66F3C"/>
    <w:rsid w:val="00B6743B"/>
    <w:rsid w:val="00B6781E"/>
    <w:rsid w:val="00B67E1D"/>
    <w:rsid w:val="00B67EA0"/>
    <w:rsid w:val="00B722C1"/>
    <w:rsid w:val="00B73669"/>
    <w:rsid w:val="00B736FD"/>
    <w:rsid w:val="00B7397B"/>
    <w:rsid w:val="00B73FCF"/>
    <w:rsid w:val="00B74EA7"/>
    <w:rsid w:val="00B7526F"/>
    <w:rsid w:val="00B76192"/>
    <w:rsid w:val="00B76D17"/>
    <w:rsid w:val="00B76E80"/>
    <w:rsid w:val="00B770A6"/>
    <w:rsid w:val="00B77593"/>
    <w:rsid w:val="00B77EC9"/>
    <w:rsid w:val="00B80500"/>
    <w:rsid w:val="00B80834"/>
    <w:rsid w:val="00B80E9C"/>
    <w:rsid w:val="00B82906"/>
    <w:rsid w:val="00B8336A"/>
    <w:rsid w:val="00B833B6"/>
    <w:rsid w:val="00B8440B"/>
    <w:rsid w:val="00B84564"/>
    <w:rsid w:val="00B84875"/>
    <w:rsid w:val="00B85B07"/>
    <w:rsid w:val="00B85F64"/>
    <w:rsid w:val="00B86453"/>
    <w:rsid w:val="00B8683F"/>
    <w:rsid w:val="00B8743A"/>
    <w:rsid w:val="00B87945"/>
    <w:rsid w:val="00B90254"/>
    <w:rsid w:val="00B9104E"/>
    <w:rsid w:val="00B919DD"/>
    <w:rsid w:val="00B924C1"/>
    <w:rsid w:val="00B926E9"/>
    <w:rsid w:val="00B929D5"/>
    <w:rsid w:val="00B92AB8"/>
    <w:rsid w:val="00B9342C"/>
    <w:rsid w:val="00B93A88"/>
    <w:rsid w:val="00B93E87"/>
    <w:rsid w:val="00B946D7"/>
    <w:rsid w:val="00B94A00"/>
    <w:rsid w:val="00B94A77"/>
    <w:rsid w:val="00B94B7B"/>
    <w:rsid w:val="00B952E3"/>
    <w:rsid w:val="00B95483"/>
    <w:rsid w:val="00B9569F"/>
    <w:rsid w:val="00B9598A"/>
    <w:rsid w:val="00B96559"/>
    <w:rsid w:val="00B96862"/>
    <w:rsid w:val="00B9724E"/>
    <w:rsid w:val="00B97293"/>
    <w:rsid w:val="00B97717"/>
    <w:rsid w:val="00B9773E"/>
    <w:rsid w:val="00B97E08"/>
    <w:rsid w:val="00BA030E"/>
    <w:rsid w:val="00BA0B04"/>
    <w:rsid w:val="00BA0CF4"/>
    <w:rsid w:val="00BA0D26"/>
    <w:rsid w:val="00BA14E9"/>
    <w:rsid w:val="00BA1987"/>
    <w:rsid w:val="00BA1FEB"/>
    <w:rsid w:val="00BA2B36"/>
    <w:rsid w:val="00BA4732"/>
    <w:rsid w:val="00BA485F"/>
    <w:rsid w:val="00BA4B6A"/>
    <w:rsid w:val="00BA4D02"/>
    <w:rsid w:val="00BA5304"/>
    <w:rsid w:val="00BA68F0"/>
    <w:rsid w:val="00BA6D3A"/>
    <w:rsid w:val="00BA714D"/>
    <w:rsid w:val="00BA770A"/>
    <w:rsid w:val="00BA79AC"/>
    <w:rsid w:val="00BA7A26"/>
    <w:rsid w:val="00BA7B60"/>
    <w:rsid w:val="00BB0014"/>
    <w:rsid w:val="00BB01E3"/>
    <w:rsid w:val="00BB073A"/>
    <w:rsid w:val="00BB096D"/>
    <w:rsid w:val="00BB0AB4"/>
    <w:rsid w:val="00BB0AD5"/>
    <w:rsid w:val="00BB0C8A"/>
    <w:rsid w:val="00BB19E7"/>
    <w:rsid w:val="00BB1D18"/>
    <w:rsid w:val="00BB1E4E"/>
    <w:rsid w:val="00BB27B9"/>
    <w:rsid w:val="00BB2E04"/>
    <w:rsid w:val="00BB4019"/>
    <w:rsid w:val="00BB481D"/>
    <w:rsid w:val="00BB50E2"/>
    <w:rsid w:val="00BB587B"/>
    <w:rsid w:val="00BB5F4E"/>
    <w:rsid w:val="00BB6706"/>
    <w:rsid w:val="00BB6AD2"/>
    <w:rsid w:val="00BC01E6"/>
    <w:rsid w:val="00BC03D6"/>
    <w:rsid w:val="00BC172C"/>
    <w:rsid w:val="00BC1877"/>
    <w:rsid w:val="00BC2036"/>
    <w:rsid w:val="00BC2207"/>
    <w:rsid w:val="00BC2964"/>
    <w:rsid w:val="00BC2D28"/>
    <w:rsid w:val="00BC30BF"/>
    <w:rsid w:val="00BC3E9F"/>
    <w:rsid w:val="00BC4643"/>
    <w:rsid w:val="00BC48B7"/>
    <w:rsid w:val="00BC4DD1"/>
    <w:rsid w:val="00BC516D"/>
    <w:rsid w:val="00BC51D8"/>
    <w:rsid w:val="00BC526E"/>
    <w:rsid w:val="00BC57C5"/>
    <w:rsid w:val="00BC57E1"/>
    <w:rsid w:val="00BC5E4C"/>
    <w:rsid w:val="00BC6088"/>
    <w:rsid w:val="00BC60A0"/>
    <w:rsid w:val="00BC64E2"/>
    <w:rsid w:val="00BC6F45"/>
    <w:rsid w:val="00BC7D3B"/>
    <w:rsid w:val="00BD0780"/>
    <w:rsid w:val="00BD1799"/>
    <w:rsid w:val="00BD22C5"/>
    <w:rsid w:val="00BD2475"/>
    <w:rsid w:val="00BD2E04"/>
    <w:rsid w:val="00BD3E3F"/>
    <w:rsid w:val="00BD4A9E"/>
    <w:rsid w:val="00BD4FF3"/>
    <w:rsid w:val="00BD5427"/>
    <w:rsid w:val="00BD5524"/>
    <w:rsid w:val="00BD69B7"/>
    <w:rsid w:val="00BD7287"/>
    <w:rsid w:val="00BE0636"/>
    <w:rsid w:val="00BE1B2E"/>
    <w:rsid w:val="00BE2383"/>
    <w:rsid w:val="00BE2BFA"/>
    <w:rsid w:val="00BE2FEB"/>
    <w:rsid w:val="00BE327D"/>
    <w:rsid w:val="00BE419B"/>
    <w:rsid w:val="00BE4D7D"/>
    <w:rsid w:val="00BE5377"/>
    <w:rsid w:val="00BE6AAF"/>
    <w:rsid w:val="00BE7B6D"/>
    <w:rsid w:val="00BF15E5"/>
    <w:rsid w:val="00BF1DD6"/>
    <w:rsid w:val="00BF1DFE"/>
    <w:rsid w:val="00BF25EE"/>
    <w:rsid w:val="00BF2B34"/>
    <w:rsid w:val="00BF3773"/>
    <w:rsid w:val="00BF37FC"/>
    <w:rsid w:val="00BF3EFF"/>
    <w:rsid w:val="00BF4DC9"/>
    <w:rsid w:val="00BF5FC7"/>
    <w:rsid w:val="00BF6088"/>
    <w:rsid w:val="00BF6691"/>
    <w:rsid w:val="00BF66DA"/>
    <w:rsid w:val="00BF7797"/>
    <w:rsid w:val="00C00C47"/>
    <w:rsid w:val="00C01785"/>
    <w:rsid w:val="00C020C9"/>
    <w:rsid w:val="00C0273E"/>
    <w:rsid w:val="00C02966"/>
    <w:rsid w:val="00C0299B"/>
    <w:rsid w:val="00C02EB7"/>
    <w:rsid w:val="00C03181"/>
    <w:rsid w:val="00C0323A"/>
    <w:rsid w:val="00C03A0D"/>
    <w:rsid w:val="00C040BD"/>
    <w:rsid w:val="00C0488D"/>
    <w:rsid w:val="00C07ED2"/>
    <w:rsid w:val="00C10AB5"/>
    <w:rsid w:val="00C11EA4"/>
    <w:rsid w:val="00C120C2"/>
    <w:rsid w:val="00C1223E"/>
    <w:rsid w:val="00C127AE"/>
    <w:rsid w:val="00C129A8"/>
    <w:rsid w:val="00C12E1F"/>
    <w:rsid w:val="00C13763"/>
    <w:rsid w:val="00C138C2"/>
    <w:rsid w:val="00C13FCB"/>
    <w:rsid w:val="00C1433B"/>
    <w:rsid w:val="00C149D0"/>
    <w:rsid w:val="00C14CB4"/>
    <w:rsid w:val="00C14EF1"/>
    <w:rsid w:val="00C1649D"/>
    <w:rsid w:val="00C164B7"/>
    <w:rsid w:val="00C16C5E"/>
    <w:rsid w:val="00C16CAF"/>
    <w:rsid w:val="00C17D9D"/>
    <w:rsid w:val="00C17FD1"/>
    <w:rsid w:val="00C2045A"/>
    <w:rsid w:val="00C21000"/>
    <w:rsid w:val="00C21A2A"/>
    <w:rsid w:val="00C21B71"/>
    <w:rsid w:val="00C21E1D"/>
    <w:rsid w:val="00C22A4D"/>
    <w:rsid w:val="00C22D77"/>
    <w:rsid w:val="00C22EE5"/>
    <w:rsid w:val="00C2344E"/>
    <w:rsid w:val="00C23829"/>
    <w:rsid w:val="00C23C86"/>
    <w:rsid w:val="00C2438C"/>
    <w:rsid w:val="00C244D8"/>
    <w:rsid w:val="00C245FB"/>
    <w:rsid w:val="00C24B55"/>
    <w:rsid w:val="00C24C30"/>
    <w:rsid w:val="00C24F80"/>
    <w:rsid w:val="00C250F4"/>
    <w:rsid w:val="00C25B59"/>
    <w:rsid w:val="00C27B3F"/>
    <w:rsid w:val="00C27D07"/>
    <w:rsid w:val="00C27DFA"/>
    <w:rsid w:val="00C302F6"/>
    <w:rsid w:val="00C30C7E"/>
    <w:rsid w:val="00C310B3"/>
    <w:rsid w:val="00C312F7"/>
    <w:rsid w:val="00C318BF"/>
    <w:rsid w:val="00C320D2"/>
    <w:rsid w:val="00C32970"/>
    <w:rsid w:val="00C32B8A"/>
    <w:rsid w:val="00C32FF7"/>
    <w:rsid w:val="00C334AD"/>
    <w:rsid w:val="00C33A18"/>
    <w:rsid w:val="00C33AA4"/>
    <w:rsid w:val="00C33DDD"/>
    <w:rsid w:val="00C34AFD"/>
    <w:rsid w:val="00C34E67"/>
    <w:rsid w:val="00C3518D"/>
    <w:rsid w:val="00C35ABD"/>
    <w:rsid w:val="00C36092"/>
    <w:rsid w:val="00C360C7"/>
    <w:rsid w:val="00C361C4"/>
    <w:rsid w:val="00C361EF"/>
    <w:rsid w:val="00C3641B"/>
    <w:rsid w:val="00C36671"/>
    <w:rsid w:val="00C36819"/>
    <w:rsid w:val="00C371AE"/>
    <w:rsid w:val="00C37247"/>
    <w:rsid w:val="00C37BB7"/>
    <w:rsid w:val="00C403AC"/>
    <w:rsid w:val="00C40D80"/>
    <w:rsid w:val="00C40DAC"/>
    <w:rsid w:val="00C40FDF"/>
    <w:rsid w:val="00C41327"/>
    <w:rsid w:val="00C41675"/>
    <w:rsid w:val="00C416B9"/>
    <w:rsid w:val="00C423CE"/>
    <w:rsid w:val="00C428E7"/>
    <w:rsid w:val="00C430ED"/>
    <w:rsid w:val="00C432F8"/>
    <w:rsid w:val="00C43A26"/>
    <w:rsid w:val="00C43C1B"/>
    <w:rsid w:val="00C44182"/>
    <w:rsid w:val="00C44BBF"/>
    <w:rsid w:val="00C45141"/>
    <w:rsid w:val="00C4527C"/>
    <w:rsid w:val="00C45589"/>
    <w:rsid w:val="00C45620"/>
    <w:rsid w:val="00C4580A"/>
    <w:rsid w:val="00C45FCF"/>
    <w:rsid w:val="00C46268"/>
    <w:rsid w:val="00C46535"/>
    <w:rsid w:val="00C46A1A"/>
    <w:rsid w:val="00C46C7F"/>
    <w:rsid w:val="00C472E4"/>
    <w:rsid w:val="00C47B8C"/>
    <w:rsid w:val="00C51D55"/>
    <w:rsid w:val="00C51E03"/>
    <w:rsid w:val="00C52A4E"/>
    <w:rsid w:val="00C52B26"/>
    <w:rsid w:val="00C53654"/>
    <w:rsid w:val="00C54229"/>
    <w:rsid w:val="00C543EC"/>
    <w:rsid w:val="00C54C17"/>
    <w:rsid w:val="00C55020"/>
    <w:rsid w:val="00C554E3"/>
    <w:rsid w:val="00C55534"/>
    <w:rsid w:val="00C555BD"/>
    <w:rsid w:val="00C55B5D"/>
    <w:rsid w:val="00C55C83"/>
    <w:rsid w:val="00C5615E"/>
    <w:rsid w:val="00C56502"/>
    <w:rsid w:val="00C56B6D"/>
    <w:rsid w:val="00C570D1"/>
    <w:rsid w:val="00C57573"/>
    <w:rsid w:val="00C576D8"/>
    <w:rsid w:val="00C6085B"/>
    <w:rsid w:val="00C609EC"/>
    <w:rsid w:val="00C60C9C"/>
    <w:rsid w:val="00C61543"/>
    <w:rsid w:val="00C61701"/>
    <w:rsid w:val="00C61933"/>
    <w:rsid w:val="00C61EE9"/>
    <w:rsid w:val="00C6253C"/>
    <w:rsid w:val="00C62C31"/>
    <w:rsid w:val="00C632B3"/>
    <w:rsid w:val="00C63906"/>
    <w:rsid w:val="00C63F54"/>
    <w:rsid w:val="00C64FBA"/>
    <w:rsid w:val="00C65163"/>
    <w:rsid w:val="00C656B4"/>
    <w:rsid w:val="00C65A2A"/>
    <w:rsid w:val="00C6612E"/>
    <w:rsid w:val="00C66A52"/>
    <w:rsid w:val="00C66B9C"/>
    <w:rsid w:val="00C67069"/>
    <w:rsid w:val="00C67274"/>
    <w:rsid w:val="00C67784"/>
    <w:rsid w:val="00C70606"/>
    <w:rsid w:val="00C708ED"/>
    <w:rsid w:val="00C71487"/>
    <w:rsid w:val="00C71593"/>
    <w:rsid w:val="00C71F42"/>
    <w:rsid w:val="00C725DB"/>
    <w:rsid w:val="00C72DBD"/>
    <w:rsid w:val="00C72F6F"/>
    <w:rsid w:val="00C73D41"/>
    <w:rsid w:val="00C7419D"/>
    <w:rsid w:val="00C74597"/>
    <w:rsid w:val="00C746E2"/>
    <w:rsid w:val="00C74930"/>
    <w:rsid w:val="00C74C34"/>
    <w:rsid w:val="00C74DF7"/>
    <w:rsid w:val="00C74EAC"/>
    <w:rsid w:val="00C74EDE"/>
    <w:rsid w:val="00C74FF4"/>
    <w:rsid w:val="00C75058"/>
    <w:rsid w:val="00C7552E"/>
    <w:rsid w:val="00C75BCD"/>
    <w:rsid w:val="00C75DD4"/>
    <w:rsid w:val="00C7610E"/>
    <w:rsid w:val="00C763A3"/>
    <w:rsid w:val="00C80848"/>
    <w:rsid w:val="00C81D26"/>
    <w:rsid w:val="00C82210"/>
    <w:rsid w:val="00C82CAE"/>
    <w:rsid w:val="00C82E38"/>
    <w:rsid w:val="00C832B7"/>
    <w:rsid w:val="00C83996"/>
    <w:rsid w:val="00C83DFC"/>
    <w:rsid w:val="00C84109"/>
    <w:rsid w:val="00C84B0F"/>
    <w:rsid w:val="00C84C95"/>
    <w:rsid w:val="00C85420"/>
    <w:rsid w:val="00C86061"/>
    <w:rsid w:val="00C860B5"/>
    <w:rsid w:val="00C860B7"/>
    <w:rsid w:val="00C86230"/>
    <w:rsid w:val="00C86304"/>
    <w:rsid w:val="00C86C8B"/>
    <w:rsid w:val="00C90072"/>
    <w:rsid w:val="00C901E3"/>
    <w:rsid w:val="00C902CA"/>
    <w:rsid w:val="00C903EB"/>
    <w:rsid w:val="00C903F2"/>
    <w:rsid w:val="00C90EED"/>
    <w:rsid w:val="00C91522"/>
    <w:rsid w:val="00C922D6"/>
    <w:rsid w:val="00C92458"/>
    <w:rsid w:val="00C927A1"/>
    <w:rsid w:val="00C93634"/>
    <w:rsid w:val="00C9399D"/>
    <w:rsid w:val="00C93EB8"/>
    <w:rsid w:val="00C9455E"/>
    <w:rsid w:val="00C946D1"/>
    <w:rsid w:val="00C95186"/>
    <w:rsid w:val="00C95D3B"/>
    <w:rsid w:val="00C965A9"/>
    <w:rsid w:val="00C96F20"/>
    <w:rsid w:val="00C974A4"/>
    <w:rsid w:val="00C97622"/>
    <w:rsid w:val="00C97EA6"/>
    <w:rsid w:val="00CA0D5D"/>
    <w:rsid w:val="00CA1013"/>
    <w:rsid w:val="00CA1830"/>
    <w:rsid w:val="00CA24D9"/>
    <w:rsid w:val="00CA2CE6"/>
    <w:rsid w:val="00CA314F"/>
    <w:rsid w:val="00CA39FC"/>
    <w:rsid w:val="00CA42AF"/>
    <w:rsid w:val="00CA486F"/>
    <w:rsid w:val="00CA49DF"/>
    <w:rsid w:val="00CA4D03"/>
    <w:rsid w:val="00CA55B4"/>
    <w:rsid w:val="00CA607F"/>
    <w:rsid w:val="00CA61D8"/>
    <w:rsid w:val="00CA6668"/>
    <w:rsid w:val="00CB0E61"/>
    <w:rsid w:val="00CB2288"/>
    <w:rsid w:val="00CB276B"/>
    <w:rsid w:val="00CB2F55"/>
    <w:rsid w:val="00CB30CD"/>
    <w:rsid w:val="00CB3C2F"/>
    <w:rsid w:val="00CB3CCE"/>
    <w:rsid w:val="00CB51B2"/>
    <w:rsid w:val="00CB5F9E"/>
    <w:rsid w:val="00CB61ED"/>
    <w:rsid w:val="00CB6810"/>
    <w:rsid w:val="00CB69A0"/>
    <w:rsid w:val="00CB729C"/>
    <w:rsid w:val="00CB79D3"/>
    <w:rsid w:val="00CC0E4C"/>
    <w:rsid w:val="00CC135A"/>
    <w:rsid w:val="00CC13C9"/>
    <w:rsid w:val="00CC1892"/>
    <w:rsid w:val="00CC1A47"/>
    <w:rsid w:val="00CC1B9B"/>
    <w:rsid w:val="00CC2AE7"/>
    <w:rsid w:val="00CC389A"/>
    <w:rsid w:val="00CC47EF"/>
    <w:rsid w:val="00CC4C58"/>
    <w:rsid w:val="00CC4D72"/>
    <w:rsid w:val="00CC5209"/>
    <w:rsid w:val="00CC6033"/>
    <w:rsid w:val="00CC7718"/>
    <w:rsid w:val="00CD0947"/>
    <w:rsid w:val="00CD0B50"/>
    <w:rsid w:val="00CD152C"/>
    <w:rsid w:val="00CD163E"/>
    <w:rsid w:val="00CD16C3"/>
    <w:rsid w:val="00CD175C"/>
    <w:rsid w:val="00CD21B2"/>
    <w:rsid w:val="00CD238B"/>
    <w:rsid w:val="00CD3F57"/>
    <w:rsid w:val="00CD40C9"/>
    <w:rsid w:val="00CD41B0"/>
    <w:rsid w:val="00CD41DB"/>
    <w:rsid w:val="00CD58D0"/>
    <w:rsid w:val="00CD5BA8"/>
    <w:rsid w:val="00CD6428"/>
    <w:rsid w:val="00CD6C65"/>
    <w:rsid w:val="00CD6E3F"/>
    <w:rsid w:val="00CD7861"/>
    <w:rsid w:val="00CD7DDA"/>
    <w:rsid w:val="00CE0D97"/>
    <w:rsid w:val="00CE1055"/>
    <w:rsid w:val="00CE1644"/>
    <w:rsid w:val="00CE184C"/>
    <w:rsid w:val="00CE1AD1"/>
    <w:rsid w:val="00CE1E06"/>
    <w:rsid w:val="00CE255E"/>
    <w:rsid w:val="00CE2BAD"/>
    <w:rsid w:val="00CE2DDE"/>
    <w:rsid w:val="00CE3404"/>
    <w:rsid w:val="00CE379D"/>
    <w:rsid w:val="00CE37E2"/>
    <w:rsid w:val="00CE3A76"/>
    <w:rsid w:val="00CE3DAA"/>
    <w:rsid w:val="00CE41A1"/>
    <w:rsid w:val="00CE5807"/>
    <w:rsid w:val="00CE5958"/>
    <w:rsid w:val="00CE5D4F"/>
    <w:rsid w:val="00CE627B"/>
    <w:rsid w:val="00CE6890"/>
    <w:rsid w:val="00CE6F56"/>
    <w:rsid w:val="00CE7DCD"/>
    <w:rsid w:val="00CF0199"/>
    <w:rsid w:val="00CF04DF"/>
    <w:rsid w:val="00CF08E9"/>
    <w:rsid w:val="00CF1E6C"/>
    <w:rsid w:val="00CF3FCB"/>
    <w:rsid w:val="00CF4879"/>
    <w:rsid w:val="00CF4A19"/>
    <w:rsid w:val="00CF62E5"/>
    <w:rsid w:val="00CF676D"/>
    <w:rsid w:val="00CF6BBB"/>
    <w:rsid w:val="00CF6F2E"/>
    <w:rsid w:val="00CF74DF"/>
    <w:rsid w:val="00CF7A4F"/>
    <w:rsid w:val="00D0031C"/>
    <w:rsid w:val="00D00955"/>
    <w:rsid w:val="00D00D5E"/>
    <w:rsid w:val="00D023A6"/>
    <w:rsid w:val="00D02ABC"/>
    <w:rsid w:val="00D03F5B"/>
    <w:rsid w:val="00D0408A"/>
    <w:rsid w:val="00D04D19"/>
    <w:rsid w:val="00D05DFB"/>
    <w:rsid w:val="00D05EC0"/>
    <w:rsid w:val="00D061DD"/>
    <w:rsid w:val="00D06494"/>
    <w:rsid w:val="00D07098"/>
    <w:rsid w:val="00D07708"/>
    <w:rsid w:val="00D07EE5"/>
    <w:rsid w:val="00D1037E"/>
    <w:rsid w:val="00D10C00"/>
    <w:rsid w:val="00D10ECD"/>
    <w:rsid w:val="00D12795"/>
    <w:rsid w:val="00D13285"/>
    <w:rsid w:val="00D138D6"/>
    <w:rsid w:val="00D13FD4"/>
    <w:rsid w:val="00D14A67"/>
    <w:rsid w:val="00D15AA9"/>
    <w:rsid w:val="00D1612D"/>
    <w:rsid w:val="00D165B8"/>
    <w:rsid w:val="00D166B5"/>
    <w:rsid w:val="00D1701D"/>
    <w:rsid w:val="00D17FE1"/>
    <w:rsid w:val="00D201DD"/>
    <w:rsid w:val="00D20AAC"/>
    <w:rsid w:val="00D2125A"/>
    <w:rsid w:val="00D2164C"/>
    <w:rsid w:val="00D21D72"/>
    <w:rsid w:val="00D21FE5"/>
    <w:rsid w:val="00D24ADE"/>
    <w:rsid w:val="00D24B49"/>
    <w:rsid w:val="00D25B0C"/>
    <w:rsid w:val="00D25D84"/>
    <w:rsid w:val="00D277B5"/>
    <w:rsid w:val="00D27F3B"/>
    <w:rsid w:val="00D303BE"/>
    <w:rsid w:val="00D309D6"/>
    <w:rsid w:val="00D30A13"/>
    <w:rsid w:val="00D30A9C"/>
    <w:rsid w:val="00D30CD0"/>
    <w:rsid w:val="00D3157C"/>
    <w:rsid w:val="00D317BA"/>
    <w:rsid w:val="00D319CE"/>
    <w:rsid w:val="00D31BF3"/>
    <w:rsid w:val="00D31CEF"/>
    <w:rsid w:val="00D32129"/>
    <w:rsid w:val="00D329AB"/>
    <w:rsid w:val="00D32CE9"/>
    <w:rsid w:val="00D3323E"/>
    <w:rsid w:val="00D334FF"/>
    <w:rsid w:val="00D34147"/>
    <w:rsid w:val="00D3541C"/>
    <w:rsid w:val="00D364D3"/>
    <w:rsid w:val="00D3668B"/>
    <w:rsid w:val="00D3690D"/>
    <w:rsid w:val="00D36A71"/>
    <w:rsid w:val="00D375DB"/>
    <w:rsid w:val="00D37A45"/>
    <w:rsid w:val="00D40132"/>
    <w:rsid w:val="00D404F3"/>
    <w:rsid w:val="00D4066E"/>
    <w:rsid w:val="00D406E0"/>
    <w:rsid w:val="00D410B5"/>
    <w:rsid w:val="00D415E4"/>
    <w:rsid w:val="00D416EB"/>
    <w:rsid w:val="00D41991"/>
    <w:rsid w:val="00D41D2A"/>
    <w:rsid w:val="00D42991"/>
    <w:rsid w:val="00D42B87"/>
    <w:rsid w:val="00D44467"/>
    <w:rsid w:val="00D44E2B"/>
    <w:rsid w:val="00D45060"/>
    <w:rsid w:val="00D45E8E"/>
    <w:rsid w:val="00D46399"/>
    <w:rsid w:val="00D46848"/>
    <w:rsid w:val="00D47893"/>
    <w:rsid w:val="00D51B68"/>
    <w:rsid w:val="00D5201E"/>
    <w:rsid w:val="00D52910"/>
    <w:rsid w:val="00D53A00"/>
    <w:rsid w:val="00D53C06"/>
    <w:rsid w:val="00D53C73"/>
    <w:rsid w:val="00D54266"/>
    <w:rsid w:val="00D5441A"/>
    <w:rsid w:val="00D54565"/>
    <w:rsid w:val="00D54628"/>
    <w:rsid w:val="00D5598B"/>
    <w:rsid w:val="00D55C42"/>
    <w:rsid w:val="00D57216"/>
    <w:rsid w:val="00D57867"/>
    <w:rsid w:val="00D60382"/>
    <w:rsid w:val="00D609DC"/>
    <w:rsid w:val="00D60B09"/>
    <w:rsid w:val="00D61626"/>
    <w:rsid w:val="00D61E34"/>
    <w:rsid w:val="00D62B47"/>
    <w:rsid w:val="00D62BFE"/>
    <w:rsid w:val="00D62FA6"/>
    <w:rsid w:val="00D62FB9"/>
    <w:rsid w:val="00D6364F"/>
    <w:rsid w:val="00D63EB1"/>
    <w:rsid w:val="00D63FD0"/>
    <w:rsid w:val="00D6433B"/>
    <w:rsid w:val="00D6434B"/>
    <w:rsid w:val="00D64866"/>
    <w:rsid w:val="00D65B6F"/>
    <w:rsid w:val="00D65EA1"/>
    <w:rsid w:val="00D664E0"/>
    <w:rsid w:val="00D664F4"/>
    <w:rsid w:val="00D67433"/>
    <w:rsid w:val="00D676C3"/>
    <w:rsid w:val="00D6773F"/>
    <w:rsid w:val="00D677C9"/>
    <w:rsid w:val="00D70ADF"/>
    <w:rsid w:val="00D72A8A"/>
    <w:rsid w:val="00D72CE8"/>
    <w:rsid w:val="00D72F01"/>
    <w:rsid w:val="00D73373"/>
    <w:rsid w:val="00D73AC3"/>
    <w:rsid w:val="00D74E64"/>
    <w:rsid w:val="00D75DB7"/>
    <w:rsid w:val="00D76235"/>
    <w:rsid w:val="00D76308"/>
    <w:rsid w:val="00D7640B"/>
    <w:rsid w:val="00D768E6"/>
    <w:rsid w:val="00D76C0B"/>
    <w:rsid w:val="00D77107"/>
    <w:rsid w:val="00D77B5B"/>
    <w:rsid w:val="00D80E2B"/>
    <w:rsid w:val="00D80F12"/>
    <w:rsid w:val="00D81158"/>
    <w:rsid w:val="00D81AE0"/>
    <w:rsid w:val="00D829EE"/>
    <w:rsid w:val="00D82D6F"/>
    <w:rsid w:val="00D83D00"/>
    <w:rsid w:val="00D83F8C"/>
    <w:rsid w:val="00D8419B"/>
    <w:rsid w:val="00D8420E"/>
    <w:rsid w:val="00D8439F"/>
    <w:rsid w:val="00D84540"/>
    <w:rsid w:val="00D848F6"/>
    <w:rsid w:val="00D84C01"/>
    <w:rsid w:val="00D8537C"/>
    <w:rsid w:val="00D8592D"/>
    <w:rsid w:val="00D85A2C"/>
    <w:rsid w:val="00D86871"/>
    <w:rsid w:val="00D86A87"/>
    <w:rsid w:val="00D86EBD"/>
    <w:rsid w:val="00D87B3E"/>
    <w:rsid w:val="00D87E18"/>
    <w:rsid w:val="00D90092"/>
    <w:rsid w:val="00D9030C"/>
    <w:rsid w:val="00D90504"/>
    <w:rsid w:val="00D90BE5"/>
    <w:rsid w:val="00D91447"/>
    <w:rsid w:val="00D91B87"/>
    <w:rsid w:val="00D91C76"/>
    <w:rsid w:val="00D91E3A"/>
    <w:rsid w:val="00D922F0"/>
    <w:rsid w:val="00D924D1"/>
    <w:rsid w:val="00D929CD"/>
    <w:rsid w:val="00D92C4C"/>
    <w:rsid w:val="00D92DB1"/>
    <w:rsid w:val="00D93079"/>
    <w:rsid w:val="00D93542"/>
    <w:rsid w:val="00D93B7C"/>
    <w:rsid w:val="00D93FCC"/>
    <w:rsid w:val="00D94BD6"/>
    <w:rsid w:val="00D94E7B"/>
    <w:rsid w:val="00D95598"/>
    <w:rsid w:val="00D962BE"/>
    <w:rsid w:val="00D966D5"/>
    <w:rsid w:val="00D96DD4"/>
    <w:rsid w:val="00D97F22"/>
    <w:rsid w:val="00D97FCB"/>
    <w:rsid w:val="00DA00F3"/>
    <w:rsid w:val="00DA03F0"/>
    <w:rsid w:val="00DA075E"/>
    <w:rsid w:val="00DA1700"/>
    <w:rsid w:val="00DA2767"/>
    <w:rsid w:val="00DA2853"/>
    <w:rsid w:val="00DA2F2F"/>
    <w:rsid w:val="00DA3389"/>
    <w:rsid w:val="00DA4241"/>
    <w:rsid w:val="00DA4B8D"/>
    <w:rsid w:val="00DA5C6D"/>
    <w:rsid w:val="00DA66A9"/>
    <w:rsid w:val="00DA671F"/>
    <w:rsid w:val="00DA6EC0"/>
    <w:rsid w:val="00DA6F30"/>
    <w:rsid w:val="00DA724A"/>
    <w:rsid w:val="00DB011F"/>
    <w:rsid w:val="00DB01BB"/>
    <w:rsid w:val="00DB09E1"/>
    <w:rsid w:val="00DB0A45"/>
    <w:rsid w:val="00DB0D42"/>
    <w:rsid w:val="00DB1361"/>
    <w:rsid w:val="00DB17D9"/>
    <w:rsid w:val="00DB22A9"/>
    <w:rsid w:val="00DB2DBE"/>
    <w:rsid w:val="00DB32C8"/>
    <w:rsid w:val="00DB3F6F"/>
    <w:rsid w:val="00DB42A3"/>
    <w:rsid w:val="00DB4340"/>
    <w:rsid w:val="00DB5025"/>
    <w:rsid w:val="00DB6270"/>
    <w:rsid w:val="00DB6CEF"/>
    <w:rsid w:val="00DB7260"/>
    <w:rsid w:val="00DB75D2"/>
    <w:rsid w:val="00DB7876"/>
    <w:rsid w:val="00DB7AF0"/>
    <w:rsid w:val="00DB7E2D"/>
    <w:rsid w:val="00DB7EE8"/>
    <w:rsid w:val="00DC0000"/>
    <w:rsid w:val="00DC01B8"/>
    <w:rsid w:val="00DC1432"/>
    <w:rsid w:val="00DC1D28"/>
    <w:rsid w:val="00DC1DE4"/>
    <w:rsid w:val="00DC24B1"/>
    <w:rsid w:val="00DC255E"/>
    <w:rsid w:val="00DC264A"/>
    <w:rsid w:val="00DC29DC"/>
    <w:rsid w:val="00DC40C2"/>
    <w:rsid w:val="00DC50C5"/>
    <w:rsid w:val="00DC5609"/>
    <w:rsid w:val="00DC5938"/>
    <w:rsid w:val="00DC6CB1"/>
    <w:rsid w:val="00DC6EB1"/>
    <w:rsid w:val="00DC73B3"/>
    <w:rsid w:val="00DD0687"/>
    <w:rsid w:val="00DD0C82"/>
    <w:rsid w:val="00DD1164"/>
    <w:rsid w:val="00DD12E9"/>
    <w:rsid w:val="00DD1587"/>
    <w:rsid w:val="00DD15BC"/>
    <w:rsid w:val="00DD1924"/>
    <w:rsid w:val="00DD1BEB"/>
    <w:rsid w:val="00DD2389"/>
    <w:rsid w:val="00DD2D34"/>
    <w:rsid w:val="00DD2EE2"/>
    <w:rsid w:val="00DD4429"/>
    <w:rsid w:val="00DD4BEE"/>
    <w:rsid w:val="00DD4C5F"/>
    <w:rsid w:val="00DD569F"/>
    <w:rsid w:val="00DD58FF"/>
    <w:rsid w:val="00DD61B3"/>
    <w:rsid w:val="00DD6EE6"/>
    <w:rsid w:val="00DD6F94"/>
    <w:rsid w:val="00DD715C"/>
    <w:rsid w:val="00DD7222"/>
    <w:rsid w:val="00DD7AB5"/>
    <w:rsid w:val="00DE0063"/>
    <w:rsid w:val="00DE1227"/>
    <w:rsid w:val="00DE1BE8"/>
    <w:rsid w:val="00DE34CA"/>
    <w:rsid w:val="00DE3789"/>
    <w:rsid w:val="00DE6757"/>
    <w:rsid w:val="00DF03FA"/>
    <w:rsid w:val="00DF07B8"/>
    <w:rsid w:val="00DF0BEC"/>
    <w:rsid w:val="00DF0DBC"/>
    <w:rsid w:val="00DF11FF"/>
    <w:rsid w:val="00DF1691"/>
    <w:rsid w:val="00DF1761"/>
    <w:rsid w:val="00DF21F3"/>
    <w:rsid w:val="00DF279F"/>
    <w:rsid w:val="00DF2B82"/>
    <w:rsid w:val="00DF2F52"/>
    <w:rsid w:val="00DF3065"/>
    <w:rsid w:val="00DF403E"/>
    <w:rsid w:val="00DF4095"/>
    <w:rsid w:val="00DF45E8"/>
    <w:rsid w:val="00DF485A"/>
    <w:rsid w:val="00DF491E"/>
    <w:rsid w:val="00DF4C83"/>
    <w:rsid w:val="00DF4D30"/>
    <w:rsid w:val="00DF557D"/>
    <w:rsid w:val="00DF5617"/>
    <w:rsid w:val="00DF5D2D"/>
    <w:rsid w:val="00DF5F95"/>
    <w:rsid w:val="00DF6BFF"/>
    <w:rsid w:val="00DF7192"/>
    <w:rsid w:val="00DF76AF"/>
    <w:rsid w:val="00E00447"/>
    <w:rsid w:val="00E00A6D"/>
    <w:rsid w:val="00E00F93"/>
    <w:rsid w:val="00E01696"/>
    <w:rsid w:val="00E01733"/>
    <w:rsid w:val="00E01C9E"/>
    <w:rsid w:val="00E020FC"/>
    <w:rsid w:val="00E037CE"/>
    <w:rsid w:val="00E03996"/>
    <w:rsid w:val="00E03C06"/>
    <w:rsid w:val="00E04A5C"/>
    <w:rsid w:val="00E04CE0"/>
    <w:rsid w:val="00E054DA"/>
    <w:rsid w:val="00E05751"/>
    <w:rsid w:val="00E0659D"/>
    <w:rsid w:val="00E06956"/>
    <w:rsid w:val="00E069C2"/>
    <w:rsid w:val="00E06D39"/>
    <w:rsid w:val="00E07482"/>
    <w:rsid w:val="00E078E3"/>
    <w:rsid w:val="00E07E8A"/>
    <w:rsid w:val="00E10327"/>
    <w:rsid w:val="00E104EE"/>
    <w:rsid w:val="00E10E2D"/>
    <w:rsid w:val="00E10E30"/>
    <w:rsid w:val="00E10E8D"/>
    <w:rsid w:val="00E11856"/>
    <w:rsid w:val="00E118AE"/>
    <w:rsid w:val="00E11C09"/>
    <w:rsid w:val="00E124F2"/>
    <w:rsid w:val="00E12D50"/>
    <w:rsid w:val="00E138A2"/>
    <w:rsid w:val="00E144B4"/>
    <w:rsid w:val="00E14D03"/>
    <w:rsid w:val="00E155A7"/>
    <w:rsid w:val="00E157D5"/>
    <w:rsid w:val="00E159DD"/>
    <w:rsid w:val="00E15B01"/>
    <w:rsid w:val="00E15B17"/>
    <w:rsid w:val="00E16A7A"/>
    <w:rsid w:val="00E174F6"/>
    <w:rsid w:val="00E1752F"/>
    <w:rsid w:val="00E1793B"/>
    <w:rsid w:val="00E17988"/>
    <w:rsid w:val="00E17AD3"/>
    <w:rsid w:val="00E20F44"/>
    <w:rsid w:val="00E21880"/>
    <w:rsid w:val="00E21F57"/>
    <w:rsid w:val="00E22011"/>
    <w:rsid w:val="00E221B7"/>
    <w:rsid w:val="00E22347"/>
    <w:rsid w:val="00E23D96"/>
    <w:rsid w:val="00E24EE3"/>
    <w:rsid w:val="00E2589A"/>
    <w:rsid w:val="00E279E2"/>
    <w:rsid w:val="00E3022F"/>
    <w:rsid w:val="00E3061E"/>
    <w:rsid w:val="00E307F1"/>
    <w:rsid w:val="00E30D47"/>
    <w:rsid w:val="00E31109"/>
    <w:rsid w:val="00E322C7"/>
    <w:rsid w:val="00E32850"/>
    <w:rsid w:val="00E329FC"/>
    <w:rsid w:val="00E32D99"/>
    <w:rsid w:val="00E349AC"/>
    <w:rsid w:val="00E34FCD"/>
    <w:rsid w:val="00E35A9E"/>
    <w:rsid w:val="00E363CA"/>
    <w:rsid w:val="00E4015E"/>
    <w:rsid w:val="00E41943"/>
    <w:rsid w:val="00E4195F"/>
    <w:rsid w:val="00E41FC3"/>
    <w:rsid w:val="00E42096"/>
    <w:rsid w:val="00E425C6"/>
    <w:rsid w:val="00E42F57"/>
    <w:rsid w:val="00E4332E"/>
    <w:rsid w:val="00E43A27"/>
    <w:rsid w:val="00E44886"/>
    <w:rsid w:val="00E45572"/>
    <w:rsid w:val="00E458CB"/>
    <w:rsid w:val="00E4591F"/>
    <w:rsid w:val="00E45FA4"/>
    <w:rsid w:val="00E47EC0"/>
    <w:rsid w:val="00E505F9"/>
    <w:rsid w:val="00E506A0"/>
    <w:rsid w:val="00E50A2A"/>
    <w:rsid w:val="00E50DC6"/>
    <w:rsid w:val="00E513EF"/>
    <w:rsid w:val="00E51625"/>
    <w:rsid w:val="00E517D2"/>
    <w:rsid w:val="00E51FD5"/>
    <w:rsid w:val="00E52893"/>
    <w:rsid w:val="00E52A97"/>
    <w:rsid w:val="00E53574"/>
    <w:rsid w:val="00E53598"/>
    <w:rsid w:val="00E5363A"/>
    <w:rsid w:val="00E538D6"/>
    <w:rsid w:val="00E54798"/>
    <w:rsid w:val="00E54D18"/>
    <w:rsid w:val="00E55181"/>
    <w:rsid w:val="00E55391"/>
    <w:rsid w:val="00E55621"/>
    <w:rsid w:val="00E55EC1"/>
    <w:rsid w:val="00E566D4"/>
    <w:rsid w:val="00E57AA6"/>
    <w:rsid w:val="00E57F5B"/>
    <w:rsid w:val="00E603F8"/>
    <w:rsid w:val="00E60F7C"/>
    <w:rsid w:val="00E60FAF"/>
    <w:rsid w:val="00E610F9"/>
    <w:rsid w:val="00E611F7"/>
    <w:rsid w:val="00E6160B"/>
    <w:rsid w:val="00E616E5"/>
    <w:rsid w:val="00E620B7"/>
    <w:rsid w:val="00E62387"/>
    <w:rsid w:val="00E62999"/>
    <w:rsid w:val="00E62BEB"/>
    <w:rsid w:val="00E633B3"/>
    <w:rsid w:val="00E6352D"/>
    <w:rsid w:val="00E63B7D"/>
    <w:rsid w:val="00E63F48"/>
    <w:rsid w:val="00E65130"/>
    <w:rsid w:val="00E65AF9"/>
    <w:rsid w:val="00E65B22"/>
    <w:rsid w:val="00E65E1C"/>
    <w:rsid w:val="00E664C5"/>
    <w:rsid w:val="00E667A2"/>
    <w:rsid w:val="00E66992"/>
    <w:rsid w:val="00E67B2B"/>
    <w:rsid w:val="00E67B45"/>
    <w:rsid w:val="00E700EC"/>
    <w:rsid w:val="00E71604"/>
    <w:rsid w:val="00E7312D"/>
    <w:rsid w:val="00E73B63"/>
    <w:rsid w:val="00E73DAB"/>
    <w:rsid w:val="00E73F27"/>
    <w:rsid w:val="00E745F5"/>
    <w:rsid w:val="00E74658"/>
    <w:rsid w:val="00E749D4"/>
    <w:rsid w:val="00E74A4E"/>
    <w:rsid w:val="00E7587A"/>
    <w:rsid w:val="00E760E5"/>
    <w:rsid w:val="00E76369"/>
    <w:rsid w:val="00E7682C"/>
    <w:rsid w:val="00E77051"/>
    <w:rsid w:val="00E777C3"/>
    <w:rsid w:val="00E779D5"/>
    <w:rsid w:val="00E77B74"/>
    <w:rsid w:val="00E8099B"/>
    <w:rsid w:val="00E817E7"/>
    <w:rsid w:val="00E81E6A"/>
    <w:rsid w:val="00E82868"/>
    <w:rsid w:val="00E82999"/>
    <w:rsid w:val="00E82AB0"/>
    <w:rsid w:val="00E82B54"/>
    <w:rsid w:val="00E82D59"/>
    <w:rsid w:val="00E830B5"/>
    <w:rsid w:val="00E83398"/>
    <w:rsid w:val="00E840C7"/>
    <w:rsid w:val="00E84F48"/>
    <w:rsid w:val="00E851BD"/>
    <w:rsid w:val="00E8547B"/>
    <w:rsid w:val="00E858D3"/>
    <w:rsid w:val="00E859ED"/>
    <w:rsid w:val="00E86519"/>
    <w:rsid w:val="00E87119"/>
    <w:rsid w:val="00E87AB1"/>
    <w:rsid w:val="00E87D98"/>
    <w:rsid w:val="00E87ED0"/>
    <w:rsid w:val="00E90176"/>
    <w:rsid w:val="00E90357"/>
    <w:rsid w:val="00E90B76"/>
    <w:rsid w:val="00E90ED5"/>
    <w:rsid w:val="00E91A3C"/>
    <w:rsid w:val="00E91CCB"/>
    <w:rsid w:val="00E9275F"/>
    <w:rsid w:val="00E9280D"/>
    <w:rsid w:val="00E92BCC"/>
    <w:rsid w:val="00E93C7D"/>
    <w:rsid w:val="00E9404A"/>
    <w:rsid w:val="00E94641"/>
    <w:rsid w:val="00E9479B"/>
    <w:rsid w:val="00E94D3A"/>
    <w:rsid w:val="00E94D90"/>
    <w:rsid w:val="00E95272"/>
    <w:rsid w:val="00E95646"/>
    <w:rsid w:val="00E95E5C"/>
    <w:rsid w:val="00E96623"/>
    <w:rsid w:val="00E9664C"/>
    <w:rsid w:val="00E96FED"/>
    <w:rsid w:val="00E97271"/>
    <w:rsid w:val="00EA02B7"/>
    <w:rsid w:val="00EA0B8A"/>
    <w:rsid w:val="00EA0E5D"/>
    <w:rsid w:val="00EA17EF"/>
    <w:rsid w:val="00EA1929"/>
    <w:rsid w:val="00EA196E"/>
    <w:rsid w:val="00EA2625"/>
    <w:rsid w:val="00EA2A8F"/>
    <w:rsid w:val="00EA2B25"/>
    <w:rsid w:val="00EA3078"/>
    <w:rsid w:val="00EA4FC0"/>
    <w:rsid w:val="00EA6525"/>
    <w:rsid w:val="00EA66A3"/>
    <w:rsid w:val="00EA6D52"/>
    <w:rsid w:val="00EA764B"/>
    <w:rsid w:val="00EB0074"/>
    <w:rsid w:val="00EB00B3"/>
    <w:rsid w:val="00EB0CFE"/>
    <w:rsid w:val="00EB1410"/>
    <w:rsid w:val="00EB20C6"/>
    <w:rsid w:val="00EB24D9"/>
    <w:rsid w:val="00EB27E0"/>
    <w:rsid w:val="00EB2BB0"/>
    <w:rsid w:val="00EB2C23"/>
    <w:rsid w:val="00EB41BF"/>
    <w:rsid w:val="00EB4D06"/>
    <w:rsid w:val="00EB6309"/>
    <w:rsid w:val="00EB6739"/>
    <w:rsid w:val="00EB721D"/>
    <w:rsid w:val="00EB7C48"/>
    <w:rsid w:val="00EB7E61"/>
    <w:rsid w:val="00EC0B9B"/>
    <w:rsid w:val="00EC0C6B"/>
    <w:rsid w:val="00EC0E22"/>
    <w:rsid w:val="00EC0EEA"/>
    <w:rsid w:val="00EC128B"/>
    <w:rsid w:val="00EC1B57"/>
    <w:rsid w:val="00EC3FF1"/>
    <w:rsid w:val="00EC462B"/>
    <w:rsid w:val="00EC5565"/>
    <w:rsid w:val="00EC70B9"/>
    <w:rsid w:val="00EC70C8"/>
    <w:rsid w:val="00EC7484"/>
    <w:rsid w:val="00EC7673"/>
    <w:rsid w:val="00ED009D"/>
    <w:rsid w:val="00ED0642"/>
    <w:rsid w:val="00ED07BA"/>
    <w:rsid w:val="00ED1109"/>
    <w:rsid w:val="00ED1278"/>
    <w:rsid w:val="00ED220B"/>
    <w:rsid w:val="00ED33C4"/>
    <w:rsid w:val="00ED3DC9"/>
    <w:rsid w:val="00ED44CC"/>
    <w:rsid w:val="00ED49EA"/>
    <w:rsid w:val="00ED4A47"/>
    <w:rsid w:val="00ED5141"/>
    <w:rsid w:val="00ED5F5A"/>
    <w:rsid w:val="00ED6009"/>
    <w:rsid w:val="00ED6256"/>
    <w:rsid w:val="00ED69A0"/>
    <w:rsid w:val="00ED6AD1"/>
    <w:rsid w:val="00ED734C"/>
    <w:rsid w:val="00EE0D70"/>
    <w:rsid w:val="00EE0F2A"/>
    <w:rsid w:val="00EE1DA0"/>
    <w:rsid w:val="00EE1E1F"/>
    <w:rsid w:val="00EE28FA"/>
    <w:rsid w:val="00EE2FA0"/>
    <w:rsid w:val="00EE325F"/>
    <w:rsid w:val="00EE3624"/>
    <w:rsid w:val="00EE3FB7"/>
    <w:rsid w:val="00EE5AA3"/>
    <w:rsid w:val="00EE5C4B"/>
    <w:rsid w:val="00EE6212"/>
    <w:rsid w:val="00EE64C0"/>
    <w:rsid w:val="00EE66EB"/>
    <w:rsid w:val="00EE69C4"/>
    <w:rsid w:val="00EE6D6C"/>
    <w:rsid w:val="00EE7529"/>
    <w:rsid w:val="00EE76AA"/>
    <w:rsid w:val="00EF0B48"/>
    <w:rsid w:val="00EF1163"/>
    <w:rsid w:val="00EF26FA"/>
    <w:rsid w:val="00EF2B52"/>
    <w:rsid w:val="00EF2D2A"/>
    <w:rsid w:val="00EF34F1"/>
    <w:rsid w:val="00EF363F"/>
    <w:rsid w:val="00EF38A8"/>
    <w:rsid w:val="00EF4C02"/>
    <w:rsid w:val="00EF4C55"/>
    <w:rsid w:val="00EF50CA"/>
    <w:rsid w:val="00EF53D5"/>
    <w:rsid w:val="00EF55ED"/>
    <w:rsid w:val="00EF5F7F"/>
    <w:rsid w:val="00EF6AEC"/>
    <w:rsid w:val="00EF76DF"/>
    <w:rsid w:val="00EF78E8"/>
    <w:rsid w:val="00EF7989"/>
    <w:rsid w:val="00F00032"/>
    <w:rsid w:val="00F00968"/>
    <w:rsid w:val="00F013BB"/>
    <w:rsid w:val="00F020C8"/>
    <w:rsid w:val="00F0235E"/>
    <w:rsid w:val="00F02540"/>
    <w:rsid w:val="00F026C5"/>
    <w:rsid w:val="00F042EC"/>
    <w:rsid w:val="00F0446C"/>
    <w:rsid w:val="00F04B03"/>
    <w:rsid w:val="00F04F2B"/>
    <w:rsid w:val="00F0514C"/>
    <w:rsid w:val="00F051DE"/>
    <w:rsid w:val="00F0546D"/>
    <w:rsid w:val="00F05CB1"/>
    <w:rsid w:val="00F069F0"/>
    <w:rsid w:val="00F06B5F"/>
    <w:rsid w:val="00F07802"/>
    <w:rsid w:val="00F0786F"/>
    <w:rsid w:val="00F07B76"/>
    <w:rsid w:val="00F07C46"/>
    <w:rsid w:val="00F1034D"/>
    <w:rsid w:val="00F1035F"/>
    <w:rsid w:val="00F10A5E"/>
    <w:rsid w:val="00F10D0F"/>
    <w:rsid w:val="00F10F4B"/>
    <w:rsid w:val="00F11062"/>
    <w:rsid w:val="00F1211A"/>
    <w:rsid w:val="00F1273D"/>
    <w:rsid w:val="00F136D2"/>
    <w:rsid w:val="00F1379D"/>
    <w:rsid w:val="00F13E02"/>
    <w:rsid w:val="00F13F20"/>
    <w:rsid w:val="00F14306"/>
    <w:rsid w:val="00F14C1B"/>
    <w:rsid w:val="00F15DC0"/>
    <w:rsid w:val="00F162FA"/>
    <w:rsid w:val="00F16518"/>
    <w:rsid w:val="00F16610"/>
    <w:rsid w:val="00F174EE"/>
    <w:rsid w:val="00F17DEB"/>
    <w:rsid w:val="00F2035B"/>
    <w:rsid w:val="00F2088D"/>
    <w:rsid w:val="00F208C1"/>
    <w:rsid w:val="00F20DAB"/>
    <w:rsid w:val="00F20E69"/>
    <w:rsid w:val="00F212CE"/>
    <w:rsid w:val="00F215A7"/>
    <w:rsid w:val="00F216A6"/>
    <w:rsid w:val="00F216EE"/>
    <w:rsid w:val="00F217E5"/>
    <w:rsid w:val="00F21B75"/>
    <w:rsid w:val="00F22537"/>
    <w:rsid w:val="00F23B6F"/>
    <w:rsid w:val="00F24A00"/>
    <w:rsid w:val="00F25117"/>
    <w:rsid w:val="00F2559A"/>
    <w:rsid w:val="00F25649"/>
    <w:rsid w:val="00F259C9"/>
    <w:rsid w:val="00F266BF"/>
    <w:rsid w:val="00F26CB9"/>
    <w:rsid w:val="00F30721"/>
    <w:rsid w:val="00F31102"/>
    <w:rsid w:val="00F31F97"/>
    <w:rsid w:val="00F32273"/>
    <w:rsid w:val="00F33B39"/>
    <w:rsid w:val="00F33E26"/>
    <w:rsid w:val="00F3452C"/>
    <w:rsid w:val="00F34DC3"/>
    <w:rsid w:val="00F35734"/>
    <w:rsid w:val="00F35DD0"/>
    <w:rsid w:val="00F373C6"/>
    <w:rsid w:val="00F37863"/>
    <w:rsid w:val="00F37CC2"/>
    <w:rsid w:val="00F37EF6"/>
    <w:rsid w:val="00F42804"/>
    <w:rsid w:val="00F437FB"/>
    <w:rsid w:val="00F4581B"/>
    <w:rsid w:val="00F46D53"/>
    <w:rsid w:val="00F47E6C"/>
    <w:rsid w:val="00F5016A"/>
    <w:rsid w:val="00F50888"/>
    <w:rsid w:val="00F50CAE"/>
    <w:rsid w:val="00F50FEE"/>
    <w:rsid w:val="00F52623"/>
    <w:rsid w:val="00F52980"/>
    <w:rsid w:val="00F52F98"/>
    <w:rsid w:val="00F533BF"/>
    <w:rsid w:val="00F536A9"/>
    <w:rsid w:val="00F53A62"/>
    <w:rsid w:val="00F55C1C"/>
    <w:rsid w:val="00F56021"/>
    <w:rsid w:val="00F5693F"/>
    <w:rsid w:val="00F56BCC"/>
    <w:rsid w:val="00F56D0A"/>
    <w:rsid w:val="00F60124"/>
    <w:rsid w:val="00F60904"/>
    <w:rsid w:val="00F61765"/>
    <w:rsid w:val="00F6179C"/>
    <w:rsid w:val="00F62FDE"/>
    <w:rsid w:val="00F63282"/>
    <w:rsid w:val="00F64329"/>
    <w:rsid w:val="00F64493"/>
    <w:rsid w:val="00F64974"/>
    <w:rsid w:val="00F65362"/>
    <w:rsid w:val="00F66207"/>
    <w:rsid w:val="00F66B04"/>
    <w:rsid w:val="00F66D3D"/>
    <w:rsid w:val="00F67194"/>
    <w:rsid w:val="00F672F6"/>
    <w:rsid w:val="00F67472"/>
    <w:rsid w:val="00F7004B"/>
    <w:rsid w:val="00F70214"/>
    <w:rsid w:val="00F70587"/>
    <w:rsid w:val="00F705A7"/>
    <w:rsid w:val="00F718E5"/>
    <w:rsid w:val="00F72709"/>
    <w:rsid w:val="00F73559"/>
    <w:rsid w:val="00F75118"/>
    <w:rsid w:val="00F753F0"/>
    <w:rsid w:val="00F7551B"/>
    <w:rsid w:val="00F7596F"/>
    <w:rsid w:val="00F75ADA"/>
    <w:rsid w:val="00F75DD7"/>
    <w:rsid w:val="00F770AE"/>
    <w:rsid w:val="00F77221"/>
    <w:rsid w:val="00F77A03"/>
    <w:rsid w:val="00F77A90"/>
    <w:rsid w:val="00F80071"/>
    <w:rsid w:val="00F80442"/>
    <w:rsid w:val="00F80710"/>
    <w:rsid w:val="00F80968"/>
    <w:rsid w:val="00F80980"/>
    <w:rsid w:val="00F810B9"/>
    <w:rsid w:val="00F8137E"/>
    <w:rsid w:val="00F81933"/>
    <w:rsid w:val="00F81A42"/>
    <w:rsid w:val="00F81CE0"/>
    <w:rsid w:val="00F83452"/>
    <w:rsid w:val="00F83D1C"/>
    <w:rsid w:val="00F845CD"/>
    <w:rsid w:val="00F852C3"/>
    <w:rsid w:val="00F85734"/>
    <w:rsid w:val="00F86095"/>
    <w:rsid w:val="00F863B3"/>
    <w:rsid w:val="00F869D0"/>
    <w:rsid w:val="00F86AEE"/>
    <w:rsid w:val="00F874A0"/>
    <w:rsid w:val="00F87694"/>
    <w:rsid w:val="00F87EFE"/>
    <w:rsid w:val="00F90059"/>
    <w:rsid w:val="00F904FA"/>
    <w:rsid w:val="00F90766"/>
    <w:rsid w:val="00F9147B"/>
    <w:rsid w:val="00F914E8"/>
    <w:rsid w:val="00F919D7"/>
    <w:rsid w:val="00F9217F"/>
    <w:rsid w:val="00F9218C"/>
    <w:rsid w:val="00F92912"/>
    <w:rsid w:val="00F92EA3"/>
    <w:rsid w:val="00F93040"/>
    <w:rsid w:val="00F933B3"/>
    <w:rsid w:val="00F93435"/>
    <w:rsid w:val="00F93943"/>
    <w:rsid w:val="00F93AEF"/>
    <w:rsid w:val="00F9402B"/>
    <w:rsid w:val="00F94A88"/>
    <w:rsid w:val="00F9620F"/>
    <w:rsid w:val="00F96312"/>
    <w:rsid w:val="00F9639B"/>
    <w:rsid w:val="00F9655B"/>
    <w:rsid w:val="00F9744D"/>
    <w:rsid w:val="00F97575"/>
    <w:rsid w:val="00FA0026"/>
    <w:rsid w:val="00FA0063"/>
    <w:rsid w:val="00FA01BB"/>
    <w:rsid w:val="00FA03B6"/>
    <w:rsid w:val="00FA04A6"/>
    <w:rsid w:val="00FA0B55"/>
    <w:rsid w:val="00FA261F"/>
    <w:rsid w:val="00FA2C31"/>
    <w:rsid w:val="00FA38A1"/>
    <w:rsid w:val="00FA3CE5"/>
    <w:rsid w:val="00FA3EDD"/>
    <w:rsid w:val="00FA45D5"/>
    <w:rsid w:val="00FA51EB"/>
    <w:rsid w:val="00FA544E"/>
    <w:rsid w:val="00FA5E92"/>
    <w:rsid w:val="00FA5FCC"/>
    <w:rsid w:val="00FA6F9E"/>
    <w:rsid w:val="00FA7D01"/>
    <w:rsid w:val="00FA7DD8"/>
    <w:rsid w:val="00FB1341"/>
    <w:rsid w:val="00FB22B9"/>
    <w:rsid w:val="00FB28D0"/>
    <w:rsid w:val="00FB2C65"/>
    <w:rsid w:val="00FB3524"/>
    <w:rsid w:val="00FB3F0E"/>
    <w:rsid w:val="00FB4375"/>
    <w:rsid w:val="00FB4B2F"/>
    <w:rsid w:val="00FB5091"/>
    <w:rsid w:val="00FB5116"/>
    <w:rsid w:val="00FB5561"/>
    <w:rsid w:val="00FB57FB"/>
    <w:rsid w:val="00FB5B26"/>
    <w:rsid w:val="00FB5F7F"/>
    <w:rsid w:val="00FB6221"/>
    <w:rsid w:val="00FB6C96"/>
    <w:rsid w:val="00FB6F46"/>
    <w:rsid w:val="00FB751A"/>
    <w:rsid w:val="00FB78C3"/>
    <w:rsid w:val="00FB7DE1"/>
    <w:rsid w:val="00FB7EBB"/>
    <w:rsid w:val="00FC02F3"/>
    <w:rsid w:val="00FC038C"/>
    <w:rsid w:val="00FC05DC"/>
    <w:rsid w:val="00FC062D"/>
    <w:rsid w:val="00FC0845"/>
    <w:rsid w:val="00FC14FE"/>
    <w:rsid w:val="00FC1B5E"/>
    <w:rsid w:val="00FC1C56"/>
    <w:rsid w:val="00FC23C2"/>
    <w:rsid w:val="00FC2961"/>
    <w:rsid w:val="00FC3404"/>
    <w:rsid w:val="00FC4553"/>
    <w:rsid w:val="00FC5072"/>
    <w:rsid w:val="00FC5736"/>
    <w:rsid w:val="00FC6A3C"/>
    <w:rsid w:val="00FC6DD6"/>
    <w:rsid w:val="00FC7769"/>
    <w:rsid w:val="00FC79D9"/>
    <w:rsid w:val="00FD0BCF"/>
    <w:rsid w:val="00FD0C46"/>
    <w:rsid w:val="00FD1729"/>
    <w:rsid w:val="00FD19DD"/>
    <w:rsid w:val="00FD25F5"/>
    <w:rsid w:val="00FD3D6A"/>
    <w:rsid w:val="00FD441E"/>
    <w:rsid w:val="00FD4729"/>
    <w:rsid w:val="00FD52D6"/>
    <w:rsid w:val="00FD54F1"/>
    <w:rsid w:val="00FD609E"/>
    <w:rsid w:val="00FD65E1"/>
    <w:rsid w:val="00FD6934"/>
    <w:rsid w:val="00FD7190"/>
    <w:rsid w:val="00FD77A5"/>
    <w:rsid w:val="00FD7BCF"/>
    <w:rsid w:val="00FD7F53"/>
    <w:rsid w:val="00FE0FAA"/>
    <w:rsid w:val="00FE2403"/>
    <w:rsid w:val="00FE249A"/>
    <w:rsid w:val="00FE25F8"/>
    <w:rsid w:val="00FE28C1"/>
    <w:rsid w:val="00FE2928"/>
    <w:rsid w:val="00FE2E2D"/>
    <w:rsid w:val="00FE390E"/>
    <w:rsid w:val="00FE432A"/>
    <w:rsid w:val="00FE43B2"/>
    <w:rsid w:val="00FE49E0"/>
    <w:rsid w:val="00FE4C1A"/>
    <w:rsid w:val="00FE4DE5"/>
    <w:rsid w:val="00FE4FFE"/>
    <w:rsid w:val="00FE534C"/>
    <w:rsid w:val="00FE5C76"/>
    <w:rsid w:val="00FE5F3E"/>
    <w:rsid w:val="00FE6AAC"/>
    <w:rsid w:val="00FE7A73"/>
    <w:rsid w:val="00FF0313"/>
    <w:rsid w:val="00FF152E"/>
    <w:rsid w:val="00FF1780"/>
    <w:rsid w:val="00FF18DF"/>
    <w:rsid w:val="00FF1AE1"/>
    <w:rsid w:val="00FF2034"/>
    <w:rsid w:val="00FF38D7"/>
    <w:rsid w:val="00FF43D3"/>
    <w:rsid w:val="00FF4AAA"/>
    <w:rsid w:val="00FF4EA0"/>
    <w:rsid w:val="00FF58A3"/>
    <w:rsid w:val="00FF5F21"/>
    <w:rsid w:val="00FF74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A94DF11"/>
  <w15:docId w15:val="{A7992E3F-188B-4165-A6B4-F485D82F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6" w:unhideWhenUsed="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1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4"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61C"/>
    <w:pPr>
      <w:spacing w:before="240" w:after="120" w:line="360" w:lineRule="auto"/>
    </w:pPr>
    <w:rPr>
      <w:rFonts w:eastAsia="Times New Roman" w:cstheme="minorHAnsi"/>
      <w:sz w:val="24"/>
      <w:szCs w:val="24"/>
      <w:lang w:val="en-GB" w:eastAsia="en-AU"/>
    </w:rPr>
  </w:style>
  <w:style w:type="paragraph" w:styleId="Heading1">
    <w:name w:val="heading 1"/>
    <w:basedOn w:val="Normal"/>
    <w:next w:val="Normal"/>
    <w:link w:val="Heading1Char"/>
    <w:uiPriority w:val="9"/>
    <w:qFormat/>
    <w:rsid w:val="005656B3"/>
    <w:pPr>
      <w:keepNext/>
      <w:keepLines/>
      <w:pageBreakBefore/>
      <w:numPr>
        <w:numId w:val="214"/>
      </w:numPr>
      <w:pBdr>
        <w:bottom w:val="single" w:sz="18" w:space="1" w:color="D9D9D9" w:themeColor="background1" w:themeShade="D9"/>
      </w:pBdr>
      <w:spacing w:line="240" w:lineRule="auto"/>
      <w:ind w:left="431" w:hanging="43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34C96"/>
    <w:pPr>
      <w:keepNext/>
      <w:numPr>
        <w:ilvl w:val="1"/>
        <w:numId w:val="214"/>
      </w:numPr>
      <w:spacing w:before="400" w:line="240" w:lineRule="auto"/>
      <w:outlineLvl w:val="1"/>
    </w:pPr>
    <w:rPr>
      <w:rFonts w:asciiTheme="majorHAnsi" w:eastAsiaTheme="majorEastAsia" w:hAnsiTheme="majorHAnsi" w:cstheme="majorBidi"/>
      <w:b/>
      <w:color w:val="01653F"/>
      <w:sz w:val="26"/>
      <w:szCs w:val="26"/>
    </w:rPr>
  </w:style>
  <w:style w:type="paragraph" w:styleId="Heading3">
    <w:name w:val="heading 3"/>
    <w:aliases w:val="Header 3"/>
    <w:basedOn w:val="Normal"/>
    <w:next w:val="Normal"/>
    <w:link w:val="Heading3Char"/>
    <w:uiPriority w:val="9"/>
    <w:unhideWhenUsed/>
    <w:qFormat/>
    <w:rsid w:val="00934C96"/>
    <w:pPr>
      <w:keepNext/>
      <w:numPr>
        <w:ilvl w:val="2"/>
        <w:numId w:val="214"/>
      </w:numPr>
      <w:spacing w:before="360" w:after="60"/>
      <w:outlineLvl w:val="2"/>
    </w:pPr>
    <w:rPr>
      <w:rFonts w:asciiTheme="majorHAnsi" w:eastAsiaTheme="majorEastAsia" w:hAnsiTheme="majorHAnsi" w:cstheme="majorBidi"/>
      <w:b/>
      <w:color w:val="01653F"/>
    </w:rPr>
  </w:style>
  <w:style w:type="paragraph" w:styleId="Heading4">
    <w:name w:val="heading 4"/>
    <w:basedOn w:val="Normal"/>
    <w:next w:val="Normal"/>
    <w:link w:val="Heading4Char"/>
    <w:uiPriority w:val="6"/>
    <w:unhideWhenUsed/>
    <w:rsid w:val="00D86EBD"/>
    <w:pPr>
      <w:keepNext/>
      <w:keepLines/>
      <w:numPr>
        <w:ilvl w:val="3"/>
        <w:numId w:val="2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unhideWhenUsed/>
    <w:qFormat/>
    <w:rsid w:val="00D86EBD"/>
    <w:pPr>
      <w:keepNext/>
      <w:keepLines/>
      <w:numPr>
        <w:ilvl w:val="4"/>
        <w:numId w:val="2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unhideWhenUsed/>
    <w:qFormat/>
    <w:rsid w:val="00D86EBD"/>
    <w:pPr>
      <w:keepNext/>
      <w:keepLines/>
      <w:numPr>
        <w:ilvl w:val="5"/>
        <w:numId w:val="2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rsid w:val="00D86EBD"/>
    <w:pPr>
      <w:keepNext/>
      <w:keepLines/>
      <w:numPr>
        <w:ilvl w:val="6"/>
        <w:numId w:val="2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rsid w:val="00D86EBD"/>
    <w:pPr>
      <w:keepNext/>
      <w:keepLines/>
      <w:numPr>
        <w:ilvl w:val="7"/>
        <w:numId w:val="2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rsid w:val="00D86EBD"/>
    <w:pPr>
      <w:keepNext/>
      <w:keepLines/>
      <w:numPr>
        <w:ilvl w:val="8"/>
        <w:numId w:val="2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86EBD"/>
    <w:rPr>
      <w:rFonts w:ascii="Segoe UI" w:hAnsi="Segoe UI" w:cs="Segoe UI"/>
      <w:sz w:val="18"/>
      <w:szCs w:val="18"/>
    </w:rPr>
  </w:style>
  <w:style w:type="character" w:customStyle="1" w:styleId="BalloonTextChar">
    <w:name w:val="Balloon Text Char"/>
    <w:basedOn w:val="DefaultParagraphFont"/>
    <w:link w:val="BalloonText"/>
    <w:uiPriority w:val="99"/>
    <w:rsid w:val="00D86EBD"/>
    <w:rPr>
      <w:rFonts w:ascii="Segoe UI" w:hAnsi="Segoe UI" w:cs="Segoe UI"/>
      <w:sz w:val="18"/>
      <w:szCs w:val="18"/>
    </w:rPr>
  </w:style>
  <w:style w:type="paragraph" w:styleId="Bibliography">
    <w:name w:val="Bibliography"/>
    <w:basedOn w:val="Normal"/>
    <w:next w:val="Normal"/>
    <w:uiPriority w:val="37"/>
    <w:unhideWhenUsed/>
    <w:rsid w:val="00D86EBD"/>
  </w:style>
  <w:style w:type="paragraph" w:styleId="BlockText">
    <w:name w:val="Block Text"/>
    <w:basedOn w:val="Normal"/>
    <w:uiPriority w:val="99"/>
    <w:semiHidden/>
    <w:unhideWhenUsed/>
    <w:rsid w:val="00D86EB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D86EBD"/>
  </w:style>
  <w:style w:type="character" w:customStyle="1" w:styleId="BodyTextChar">
    <w:name w:val="Body Text Char"/>
    <w:basedOn w:val="DefaultParagraphFont"/>
    <w:link w:val="BodyText"/>
    <w:uiPriority w:val="99"/>
    <w:semiHidden/>
    <w:rsid w:val="00D86EBD"/>
  </w:style>
  <w:style w:type="paragraph" w:styleId="BodyText2">
    <w:name w:val="Body Text 2"/>
    <w:basedOn w:val="Normal"/>
    <w:link w:val="BodyText2Char"/>
    <w:uiPriority w:val="99"/>
    <w:semiHidden/>
    <w:unhideWhenUsed/>
    <w:rsid w:val="00D86EBD"/>
    <w:pPr>
      <w:spacing w:line="480" w:lineRule="auto"/>
    </w:pPr>
  </w:style>
  <w:style w:type="character" w:customStyle="1" w:styleId="BodyText2Char">
    <w:name w:val="Body Text 2 Char"/>
    <w:basedOn w:val="DefaultParagraphFont"/>
    <w:link w:val="BodyText2"/>
    <w:uiPriority w:val="99"/>
    <w:semiHidden/>
    <w:rsid w:val="00D86EBD"/>
  </w:style>
  <w:style w:type="paragraph" w:styleId="BodyText3">
    <w:name w:val="Body Text 3"/>
    <w:basedOn w:val="Normal"/>
    <w:link w:val="BodyText3Char"/>
    <w:uiPriority w:val="99"/>
    <w:semiHidden/>
    <w:unhideWhenUsed/>
    <w:rsid w:val="00D86EBD"/>
    <w:rPr>
      <w:sz w:val="16"/>
      <w:szCs w:val="16"/>
    </w:rPr>
  </w:style>
  <w:style w:type="character" w:customStyle="1" w:styleId="BodyText3Char">
    <w:name w:val="Body Text 3 Char"/>
    <w:basedOn w:val="DefaultParagraphFont"/>
    <w:link w:val="BodyText3"/>
    <w:uiPriority w:val="99"/>
    <w:semiHidden/>
    <w:rsid w:val="00D86EBD"/>
    <w:rPr>
      <w:sz w:val="16"/>
      <w:szCs w:val="16"/>
    </w:rPr>
  </w:style>
  <w:style w:type="paragraph" w:styleId="BodyTextFirstIndent">
    <w:name w:val="Body Text First Indent"/>
    <w:basedOn w:val="BodyText"/>
    <w:link w:val="BodyTextFirstIndentChar"/>
    <w:uiPriority w:val="99"/>
    <w:semiHidden/>
    <w:unhideWhenUsed/>
    <w:rsid w:val="00D86EBD"/>
    <w:pPr>
      <w:spacing w:after="160"/>
      <w:ind w:firstLine="360"/>
    </w:pPr>
  </w:style>
  <w:style w:type="character" w:customStyle="1" w:styleId="BodyTextFirstIndentChar">
    <w:name w:val="Body Text First Indent Char"/>
    <w:basedOn w:val="BodyTextChar"/>
    <w:link w:val="BodyTextFirstIndent"/>
    <w:uiPriority w:val="99"/>
    <w:semiHidden/>
    <w:rsid w:val="00D86EBD"/>
  </w:style>
  <w:style w:type="paragraph" w:styleId="BodyTextIndent">
    <w:name w:val="Body Text Indent"/>
    <w:basedOn w:val="Normal"/>
    <w:link w:val="BodyTextIndentChar"/>
    <w:uiPriority w:val="99"/>
    <w:semiHidden/>
    <w:unhideWhenUsed/>
    <w:rsid w:val="00D86EBD"/>
    <w:pPr>
      <w:ind w:left="283"/>
    </w:pPr>
  </w:style>
  <w:style w:type="character" w:customStyle="1" w:styleId="BodyTextIndentChar">
    <w:name w:val="Body Text Indent Char"/>
    <w:basedOn w:val="DefaultParagraphFont"/>
    <w:link w:val="BodyTextIndent"/>
    <w:uiPriority w:val="99"/>
    <w:semiHidden/>
    <w:rsid w:val="00D86EBD"/>
  </w:style>
  <w:style w:type="paragraph" w:styleId="BodyTextFirstIndent2">
    <w:name w:val="Body Text First Indent 2"/>
    <w:basedOn w:val="BodyTextIndent"/>
    <w:link w:val="BodyTextFirstIndent2Char"/>
    <w:uiPriority w:val="99"/>
    <w:semiHidden/>
    <w:unhideWhenUsed/>
    <w:rsid w:val="00D86EB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86EBD"/>
  </w:style>
  <w:style w:type="paragraph" w:styleId="BodyTextIndent2">
    <w:name w:val="Body Text Indent 2"/>
    <w:basedOn w:val="Normal"/>
    <w:link w:val="BodyTextIndent2Char"/>
    <w:uiPriority w:val="99"/>
    <w:semiHidden/>
    <w:unhideWhenUsed/>
    <w:rsid w:val="00D86EBD"/>
    <w:pPr>
      <w:spacing w:line="480" w:lineRule="auto"/>
      <w:ind w:left="283"/>
    </w:pPr>
  </w:style>
  <w:style w:type="character" w:customStyle="1" w:styleId="BodyTextIndent2Char">
    <w:name w:val="Body Text Indent 2 Char"/>
    <w:basedOn w:val="DefaultParagraphFont"/>
    <w:link w:val="BodyTextIndent2"/>
    <w:uiPriority w:val="99"/>
    <w:semiHidden/>
    <w:rsid w:val="00D86EBD"/>
  </w:style>
  <w:style w:type="paragraph" w:styleId="BodyTextIndent3">
    <w:name w:val="Body Text Indent 3"/>
    <w:basedOn w:val="Normal"/>
    <w:link w:val="BodyTextIndent3Char"/>
    <w:uiPriority w:val="99"/>
    <w:semiHidden/>
    <w:unhideWhenUsed/>
    <w:rsid w:val="00D86EBD"/>
    <w:pPr>
      <w:ind w:left="283"/>
    </w:pPr>
    <w:rPr>
      <w:sz w:val="16"/>
      <w:szCs w:val="16"/>
    </w:rPr>
  </w:style>
  <w:style w:type="character" w:customStyle="1" w:styleId="BodyTextIndent3Char">
    <w:name w:val="Body Text Indent 3 Char"/>
    <w:basedOn w:val="DefaultParagraphFont"/>
    <w:link w:val="BodyTextIndent3"/>
    <w:uiPriority w:val="99"/>
    <w:semiHidden/>
    <w:rsid w:val="00D86EBD"/>
    <w:rPr>
      <w:sz w:val="16"/>
      <w:szCs w:val="16"/>
    </w:rPr>
  </w:style>
  <w:style w:type="character" w:styleId="BookTitle">
    <w:name w:val="Book Title"/>
    <w:basedOn w:val="DefaultParagraphFont"/>
    <w:uiPriority w:val="33"/>
    <w:rsid w:val="00D86EBD"/>
    <w:rPr>
      <w:b/>
      <w:bCs/>
      <w:i/>
      <w:iCs/>
      <w:spacing w:val="5"/>
    </w:rPr>
  </w:style>
  <w:style w:type="paragraph" w:styleId="Caption">
    <w:name w:val="caption"/>
    <w:basedOn w:val="Normal"/>
    <w:next w:val="Normal"/>
    <w:unhideWhenUsed/>
    <w:qFormat/>
    <w:rsid w:val="00C656B4"/>
    <w:pPr>
      <w:keepNext/>
      <w:spacing w:after="40" w:line="240" w:lineRule="auto"/>
    </w:pPr>
    <w:rPr>
      <w:b/>
      <w:iCs/>
      <w:color w:val="000000" w:themeColor="text1"/>
      <w:sz w:val="22"/>
      <w:szCs w:val="18"/>
      <w:lang w:val="fr-FR"/>
    </w:rPr>
  </w:style>
  <w:style w:type="paragraph" w:styleId="Closing">
    <w:name w:val="Closing"/>
    <w:basedOn w:val="Normal"/>
    <w:link w:val="ClosingChar"/>
    <w:uiPriority w:val="99"/>
    <w:semiHidden/>
    <w:unhideWhenUsed/>
    <w:rsid w:val="00D86EBD"/>
    <w:pPr>
      <w:ind w:left="4252"/>
    </w:pPr>
  </w:style>
  <w:style w:type="character" w:customStyle="1" w:styleId="ClosingChar">
    <w:name w:val="Closing Char"/>
    <w:basedOn w:val="DefaultParagraphFont"/>
    <w:link w:val="Closing"/>
    <w:uiPriority w:val="99"/>
    <w:semiHidden/>
    <w:rsid w:val="00D86EBD"/>
  </w:style>
  <w:style w:type="character" w:styleId="CommentReference">
    <w:name w:val="annotation reference"/>
    <w:basedOn w:val="DefaultParagraphFont"/>
    <w:unhideWhenUsed/>
    <w:rsid w:val="00D86EBD"/>
    <w:rPr>
      <w:sz w:val="16"/>
      <w:szCs w:val="16"/>
    </w:rPr>
  </w:style>
  <w:style w:type="paragraph" w:styleId="CommentText">
    <w:name w:val="annotation text"/>
    <w:basedOn w:val="Normal"/>
    <w:link w:val="CommentTextChar"/>
    <w:uiPriority w:val="99"/>
    <w:unhideWhenUsed/>
    <w:rsid w:val="00D86EBD"/>
    <w:rPr>
      <w:sz w:val="20"/>
      <w:szCs w:val="20"/>
    </w:rPr>
  </w:style>
  <w:style w:type="character" w:customStyle="1" w:styleId="CommentTextChar">
    <w:name w:val="Comment Text Char"/>
    <w:basedOn w:val="DefaultParagraphFont"/>
    <w:link w:val="CommentText"/>
    <w:uiPriority w:val="99"/>
    <w:rsid w:val="00D86EBD"/>
    <w:rPr>
      <w:sz w:val="20"/>
      <w:szCs w:val="20"/>
    </w:rPr>
  </w:style>
  <w:style w:type="paragraph" w:styleId="CommentSubject">
    <w:name w:val="annotation subject"/>
    <w:basedOn w:val="CommentText"/>
    <w:next w:val="CommentText"/>
    <w:link w:val="CommentSubjectChar"/>
    <w:uiPriority w:val="99"/>
    <w:semiHidden/>
    <w:unhideWhenUsed/>
    <w:rsid w:val="00D86EBD"/>
    <w:rPr>
      <w:b/>
      <w:bCs/>
    </w:rPr>
  </w:style>
  <w:style w:type="character" w:customStyle="1" w:styleId="CommentSubjectChar">
    <w:name w:val="Comment Subject Char"/>
    <w:basedOn w:val="CommentTextChar"/>
    <w:link w:val="CommentSubject"/>
    <w:uiPriority w:val="99"/>
    <w:semiHidden/>
    <w:rsid w:val="00D86EBD"/>
    <w:rPr>
      <w:b/>
      <w:bCs/>
      <w:sz w:val="20"/>
      <w:szCs w:val="20"/>
    </w:rPr>
  </w:style>
  <w:style w:type="paragraph" w:styleId="Date">
    <w:name w:val="Date"/>
    <w:basedOn w:val="Normal"/>
    <w:next w:val="Normal"/>
    <w:link w:val="DateChar"/>
    <w:uiPriority w:val="99"/>
    <w:semiHidden/>
    <w:unhideWhenUsed/>
    <w:rsid w:val="00D86EBD"/>
  </w:style>
  <w:style w:type="character" w:customStyle="1" w:styleId="DateChar">
    <w:name w:val="Date Char"/>
    <w:basedOn w:val="DefaultParagraphFont"/>
    <w:link w:val="Date"/>
    <w:uiPriority w:val="99"/>
    <w:semiHidden/>
    <w:rsid w:val="00D86EBD"/>
  </w:style>
  <w:style w:type="paragraph" w:styleId="DocumentMap">
    <w:name w:val="Document Map"/>
    <w:basedOn w:val="Normal"/>
    <w:link w:val="DocumentMapChar"/>
    <w:semiHidden/>
    <w:unhideWhenUsed/>
    <w:rsid w:val="00D86EBD"/>
    <w:rPr>
      <w:rFonts w:ascii="Segoe UI" w:hAnsi="Segoe UI" w:cs="Segoe UI"/>
      <w:sz w:val="16"/>
      <w:szCs w:val="16"/>
    </w:rPr>
  </w:style>
  <w:style w:type="character" w:customStyle="1" w:styleId="DocumentMapChar">
    <w:name w:val="Document Map Char"/>
    <w:basedOn w:val="DefaultParagraphFont"/>
    <w:link w:val="DocumentMap"/>
    <w:semiHidden/>
    <w:rsid w:val="00D86EBD"/>
    <w:rPr>
      <w:rFonts w:ascii="Segoe UI" w:hAnsi="Segoe UI" w:cs="Segoe UI"/>
      <w:sz w:val="16"/>
      <w:szCs w:val="16"/>
    </w:rPr>
  </w:style>
  <w:style w:type="paragraph" w:styleId="E-mailSignature">
    <w:name w:val="E-mail Signature"/>
    <w:basedOn w:val="Normal"/>
    <w:link w:val="E-mailSignatureChar"/>
    <w:uiPriority w:val="99"/>
    <w:semiHidden/>
    <w:unhideWhenUsed/>
    <w:rsid w:val="00D86EBD"/>
  </w:style>
  <w:style w:type="character" w:customStyle="1" w:styleId="E-mailSignatureChar">
    <w:name w:val="E-mail Signature Char"/>
    <w:basedOn w:val="DefaultParagraphFont"/>
    <w:link w:val="E-mailSignature"/>
    <w:uiPriority w:val="99"/>
    <w:semiHidden/>
    <w:rsid w:val="00D86EBD"/>
  </w:style>
  <w:style w:type="character" w:styleId="Emphasis">
    <w:name w:val="Emphasis"/>
    <w:basedOn w:val="DefaultParagraphFont"/>
    <w:uiPriority w:val="21"/>
    <w:qFormat/>
    <w:rsid w:val="00D86EBD"/>
    <w:rPr>
      <w:i/>
      <w:iCs/>
    </w:rPr>
  </w:style>
  <w:style w:type="character" w:styleId="EndnoteReference">
    <w:name w:val="endnote reference"/>
    <w:basedOn w:val="DefaultParagraphFont"/>
    <w:uiPriority w:val="99"/>
    <w:semiHidden/>
    <w:unhideWhenUsed/>
    <w:rsid w:val="00D86EBD"/>
    <w:rPr>
      <w:vertAlign w:val="superscript"/>
    </w:rPr>
  </w:style>
  <w:style w:type="paragraph" w:styleId="EndnoteText">
    <w:name w:val="endnote text"/>
    <w:basedOn w:val="Normal"/>
    <w:link w:val="EndnoteTextChar"/>
    <w:uiPriority w:val="99"/>
    <w:unhideWhenUsed/>
    <w:rsid w:val="003C265E"/>
    <w:pPr>
      <w:spacing w:before="120" w:after="60" w:line="240" w:lineRule="auto"/>
    </w:pPr>
    <w:rPr>
      <w:sz w:val="20"/>
      <w:szCs w:val="20"/>
    </w:rPr>
  </w:style>
  <w:style w:type="character" w:customStyle="1" w:styleId="EndnoteTextChar">
    <w:name w:val="Endnote Text Char"/>
    <w:basedOn w:val="DefaultParagraphFont"/>
    <w:link w:val="EndnoteText"/>
    <w:uiPriority w:val="99"/>
    <w:rsid w:val="003C265E"/>
    <w:rPr>
      <w:rFonts w:eastAsia="Times New Roman" w:cstheme="minorHAnsi"/>
      <w:sz w:val="20"/>
      <w:szCs w:val="20"/>
      <w:lang w:val="en-GB" w:eastAsia="en-AU"/>
    </w:rPr>
  </w:style>
  <w:style w:type="paragraph" w:styleId="EnvelopeAddress">
    <w:name w:val="envelope address"/>
    <w:basedOn w:val="Normal"/>
    <w:uiPriority w:val="99"/>
    <w:semiHidden/>
    <w:unhideWhenUsed/>
    <w:rsid w:val="00D86EB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86EBD"/>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86EBD"/>
    <w:rPr>
      <w:color w:val="954F72" w:themeColor="followedHyperlink"/>
      <w:u w:val="single"/>
    </w:rPr>
  </w:style>
  <w:style w:type="paragraph" w:styleId="Footer">
    <w:name w:val="footer"/>
    <w:basedOn w:val="Normal"/>
    <w:link w:val="FooterChar"/>
    <w:uiPriority w:val="14"/>
    <w:unhideWhenUsed/>
    <w:rsid w:val="00D86EBD"/>
    <w:pPr>
      <w:tabs>
        <w:tab w:val="center" w:pos="4513"/>
        <w:tab w:val="right" w:pos="9026"/>
      </w:tabs>
    </w:pPr>
  </w:style>
  <w:style w:type="character" w:customStyle="1" w:styleId="FooterChar">
    <w:name w:val="Footer Char"/>
    <w:basedOn w:val="DefaultParagraphFont"/>
    <w:link w:val="Footer"/>
    <w:uiPriority w:val="14"/>
    <w:rsid w:val="00D86EBD"/>
  </w:style>
  <w:style w:type="character" w:styleId="FootnoteReference">
    <w:name w:val="footnote reference"/>
    <w:basedOn w:val="DefaultParagraphFont"/>
    <w:unhideWhenUsed/>
    <w:qFormat/>
    <w:rsid w:val="00D86EBD"/>
    <w:rPr>
      <w:vertAlign w:val="superscript"/>
    </w:rPr>
  </w:style>
  <w:style w:type="paragraph" w:styleId="FootnoteText">
    <w:name w:val="footnote text"/>
    <w:basedOn w:val="Normal"/>
    <w:link w:val="FootnoteTextChar"/>
    <w:unhideWhenUsed/>
    <w:rsid w:val="00D86EBD"/>
    <w:rPr>
      <w:sz w:val="20"/>
      <w:szCs w:val="20"/>
    </w:rPr>
  </w:style>
  <w:style w:type="character" w:customStyle="1" w:styleId="FootnoteTextChar">
    <w:name w:val="Footnote Text Char"/>
    <w:basedOn w:val="DefaultParagraphFont"/>
    <w:link w:val="FootnoteText"/>
    <w:rsid w:val="00D86EBD"/>
    <w:rPr>
      <w:sz w:val="20"/>
      <w:szCs w:val="20"/>
    </w:rPr>
  </w:style>
  <w:style w:type="character" w:customStyle="1" w:styleId="Hashtag1">
    <w:name w:val="Hashtag1"/>
    <w:basedOn w:val="DefaultParagraphFont"/>
    <w:uiPriority w:val="99"/>
    <w:semiHidden/>
    <w:unhideWhenUsed/>
    <w:rsid w:val="00D86EBD"/>
    <w:rPr>
      <w:color w:val="2B579A"/>
      <w:shd w:val="clear" w:color="auto" w:fill="E6E6E6"/>
    </w:rPr>
  </w:style>
  <w:style w:type="paragraph" w:styleId="Header">
    <w:name w:val="header"/>
    <w:basedOn w:val="Normal"/>
    <w:link w:val="HeaderChar"/>
    <w:unhideWhenUsed/>
    <w:rsid w:val="00D86EBD"/>
    <w:pPr>
      <w:tabs>
        <w:tab w:val="center" w:pos="4513"/>
        <w:tab w:val="right" w:pos="9026"/>
      </w:tabs>
    </w:pPr>
  </w:style>
  <w:style w:type="character" w:customStyle="1" w:styleId="HeaderChar">
    <w:name w:val="Header Char"/>
    <w:basedOn w:val="DefaultParagraphFont"/>
    <w:link w:val="Header"/>
    <w:uiPriority w:val="99"/>
    <w:rsid w:val="00D86EBD"/>
  </w:style>
  <w:style w:type="character" w:customStyle="1" w:styleId="Heading1Char">
    <w:name w:val="Heading 1 Char"/>
    <w:basedOn w:val="DefaultParagraphFont"/>
    <w:link w:val="Heading1"/>
    <w:uiPriority w:val="9"/>
    <w:rsid w:val="005656B3"/>
    <w:rPr>
      <w:rFonts w:asciiTheme="majorHAnsi" w:eastAsiaTheme="majorEastAsia" w:hAnsiTheme="majorHAnsi" w:cstheme="majorBidi"/>
      <w:color w:val="2F5496" w:themeColor="accent1" w:themeShade="BF"/>
      <w:sz w:val="32"/>
      <w:szCs w:val="32"/>
      <w:lang w:val="en-GB" w:eastAsia="en-AU"/>
    </w:rPr>
  </w:style>
  <w:style w:type="character" w:customStyle="1" w:styleId="Heading2Char">
    <w:name w:val="Heading 2 Char"/>
    <w:basedOn w:val="DefaultParagraphFont"/>
    <w:link w:val="Heading2"/>
    <w:uiPriority w:val="5"/>
    <w:rsid w:val="00934C96"/>
    <w:rPr>
      <w:rFonts w:asciiTheme="majorHAnsi" w:eastAsiaTheme="majorEastAsia" w:hAnsiTheme="majorHAnsi" w:cstheme="majorBidi"/>
      <w:b/>
      <w:color w:val="01653F"/>
      <w:sz w:val="26"/>
      <w:szCs w:val="26"/>
      <w:lang w:val="en-GB" w:eastAsia="en-AU"/>
    </w:rPr>
  </w:style>
  <w:style w:type="character" w:customStyle="1" w:styleId="Heading3Char">
    <w:name w:val="Heading 3 Char"/>
    <w:aliases w:val="Header 3 Char"/>
    <w:basedOn w:val="DefaultParagraphFont"/>
    <w:link w:val="Heading3"/>
    <w:uiPriority w:val="9"/>
    <w:rsid w:val="00934C96"/>
    <w:rPr>
      <w:rFonts w:asciiTheme="majorHAnsi" w:eastAsiaTheme="majorEastAsia" w:hAnsiTheme="majorHAnsi" w:cstheme="majorBidi"/>
      <w:b/>
      <w:color w:val="01653F"/>
      <w:sz w:val="24"/>
      <w:szCs w:val="24"/>
      <w:lang w:val="en-GB" w:eastAsia="en-AU"/>
    </w:rPr>
  </w:style>
  <w:style w:type="character" w:customStyle="1" w:styleId="Heading4Char">
    <w:name w:val="Heading 4 Char"/>
    <w:basedOn w:val="DefaultParagraphFont"/>
    <w:link w:val="Heading4"/>
    <w:uiPriority w:val="9"/>
    <w:semiHidden/>
    <w:rsid w:val="00D86E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86EB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86EB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9"/>
    <w:rsid w:val="00D86EB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rsid w:val="00D86E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D86EBD"/>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D86EBD"/>
  </w:style>
  <w:style w:type="paragraph" w:styleId="HTMLAddress">
    <w:name w:val="HTML Address"/>
    <w:basedOn w:val="Normal"/>
    <w:link w:val="HTMLAddressChar"/>
    <w:uiPriority w:val="99"/>
    <w:semiHidden/>
    <w:unhideWhenUsed/>
    <w:rsid w:val="00D86EBD"/>
    <w:rPr>
      <w:i/>
      <w:iCs/>
    </w:rPr>
  </w:style>
  <w:style w:type="character" w:customStyle="1" w:styleId="HTMLAddressChar">
    <w:name w:val="HTML Address Char"/>
    <w:basedOn w:val="DefaultParagraphFont"/>
    <w:link w:val="HTMLAddress"/>
    <w:uiPriority w:val="99"/>
    <w:semiHidden/>
    <w:rsid w:val="00D86EBD"/>
    <w:rPr>
      <w:i/>
      <w:iCs/>
    </w:rPr>
  </w:style>
  <w:style w:type="character" w:styleId="HTMLCite">
    <w:name w:val="HTML Cite"/>
    <w:basedOn w:val="DefaultParagraphFont"/>
    <w:uiPriority w:val="99"/>
    <w:semiHidden/>
    <w:unhideWhenUsed/>
    <w:rsid w:val="00D86EBD"/>
    <w:rPr>
      <w:i/>
      <w:iCs/>
    </w:rPr>
  </w:style>
  <w:style w:type="character" w:styleId="HTMLCode">
    <w:name w:val="HTML Code"/>
    <w:basedOn w:val="DefaultParagraphFont"/>
    <w:uiPriority w:val="99"/>
    <w:semiHidden/>
    <w:unhideWhenUsed/>
    <w:rsid w:val="00D86EBD"/>
    <w:rPr>
      <w:rFonts w:ascii="Consolas" w:hAnsi="Consolas"/>
      <w:sz w:val="20"/>
      <w:szCs w:val="20"/>
    </w:rPr>
  </w:style>
  <w:style w:type="character" w:styleId="HTMLDefinition">
    <w:name w:val="HTML Definition"/>
    <w:basedOn w:val="DefaultParagraphFont"/>
    <w:uiPriority w:val="99"/>
    <w:semiHidden/>
    <w:unhideWhenUsed/>
    <w:rsid w:val="00D86EBD"/>
    <w:rPr>
      <w:i/>
      <w:iCs/>
    </w:rPr>
  </w:style>
  <w:style w:type="character" w:styleId="HTMLKeyboard">
    <w:name w:val="HTML Keyboard"/>
    <w:basedOn w:val="DefaultParagraphFont"/>
    <w:uiPriority w:val="99"/>
    <w:semiHidden/>
    <w:unhideWhenUsed/>
    <w:rsid w:val="00D86EBD"/>
    <w:rPr>
      <w:rFonts w:ascii="Consolas" w:hAnsi="Consolas"/>
      <w:sz w:val="20"/>
      <w:szCs w:val="20"/>
    </w:rPr>
  </w:style>
  <w:style w:type="paragraph" w:styleId="HTMLPreformatted">
    <w:name w:val="HTML Preformatted"/>
    <w:basedOn w:val="Normal"/>
    <w:link w:val="HTMLPreformattedChar"/>
    <w:uiPriority w:val="99"/>
    <w:semiHidden/>
    <w:unhideWhenUsed/>
    <w:rsid w:val="00D86EB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6EBD"/>
    <w:rPr>
      <w:rFonts w:ascii="Consolas" w:hAnsi="Consolas"/>
      <w:sz w:val="20"/>
      <w:szCs w:val="20"/>
    </w:rPr>
  </w:style>
  <w:style w:type="character" w:styleId="HTMLSample">
    <w:name w:val="HTML Sample"/>
    <w:basedOn w:val="DefaultParagraphFont"/>
    <w:uiPriority w:val="99"/>
    <w:semiHidden/>
    <w:unhideWhenUsed/>
    <w:rsid w:val="00D86EBD"/>
    <w:rPr>
      <w:rFonts w:ascii="Consolas" w:hAnsi="Consolas"/>
      <w:sz w:val="24"/>
      <w:szCs w:val="24"/>
    </w:rPr>
  </w:style>
  <w:style w:type="character" w:styleId="HTMLTypewriter">
    <w:name w:val="HTML Typewriter"/>
    <w:basedOn w:val="DefaultParagraphFont"/>
    <w:uiPriority w:val="99"/>
    <w:semiHidden/>
    <w:unhideWhenUsed/>
    <w:rsid w:val="00D86EBD"/>
    <w:rPr>
      <w:rFonts w:ascii="Consolas" w:hAnsi="Consolas"/>
      <w:sz w:val="20"/>
      <w:szCs w:val="20"/>
    </w:rPr>
  </w:style>
  <w:style w:type="character" w:styleId="HTMLVariable">
    <w:name w:val="HTML Variable"/>
    <w:basedOn w:val="DefaultParagraphFont"/>
    <w:uiPriority w:val="99"/>
    <w:semiHidden/>
    <w:unhideWhenUsed/>
    <w:rsid w:val="00D86EBD"/>
    <w:rPr>
      <w:i/>
      <w:iCs/>
    </w:rPr>
  </w:style>
  <w:style w:type="character" w:styleId="Hyperlink">
    <w:name w:val="Hyperlink"/>
    <w:basedOn w:val="DefaultParagraphFont"/>
    <w:uiPriority w:val="99"/>
    <w:unhideWhenUsed/>
    <w:rsid w:val="007D1B46"/>
    <w:rPr>
      <w:rFonts w:asciiTheme="minorHAnsi" w:hAnsiTheme="minorHAnsi"/>
      <w:color w:val="auto"/>
      <w:sz w:val="24"/>
      <w:u w:val="none"/>
    </w:rPr>
  </w:style>
  <w:style w:type="paragraph" w:styleId="Index1">
    <w:name w:val="index 1"/>
    <w:basedOn w:val="Normal"/>
    <w:next w:val="Normal"/>
    <w:autoRedefine/>
    <w:uiPriority w:val="99"/>
    <w:semiHidden/>
    <w:unhideWhenUsed/>
    <w:rsid w:val="00D86EBD"/>
    <w:pPr>
      <w:ind w:left="220" w:hanging="220"/>
    </w:pPr>
  </w:style>
  <w:style w:type="paragraph" w:styleId="Index2">
    <w:name w:val="index 2"/>
    <w:basedOn w:val="Normal"/>
    <w:next w:val="Normal"/>
    <w:autoRedefine/>
    <w:uiPriority w:val="99"/>
    <w:semiHidden/>
    <w:unhideWhenUsed/>
    <w:rsid w:val="00D86EBD"/>
    <w:pPr>
      <w:ind w:left="440" w:hanging="220"/>
    </w:pPr>
  </w:style>
  <w:style w:type="paragraph" w:styleId="Index3">
    <w:name w:val="index 3"/>
    <w:basedOn w:val="Normal"/>
    <w:next w:val="Normal"/>
    <w:autoRedefine/>
    <w:uiPriority w:val="99"/>
    <w:semiHidden/>
    <w:unhideWhenUsed/>
    <w:rsid w:val="00D86EBD"/>
    <w:pPr>
      <w:ind w:left="660" w:hanging="220"/>
    </w:pPr>
  </w:style>
  <w:style w:type="paragraph" w:styleId="Index4">
    <w:name w:val="index 4"/>
    <w:basedOn w:val="Normal"/>
    <w:next w:val="Normal"/>
    <w:autoRedefine/>
    <w:uiPriority w:val="99"/>
    <w:semiHidden/>
    <w:unhideWhenUsed/>
    <w:rsid w:val="00D86EBD"/>
    <w:pPr>
      <w:ind w:left="880" w:hanging="220"/>
    </w:pPr>
  </w:style>
  <w:style w:type="paragraph" w:styleId="Index5">
    <w:name w:val="index 5"/>
    <w:basedOn w:val="Normal"/>
    <w:next w:val="Normal"/>
    <w:autoRedefine/>
    <w:uiPriority w:val="99"/>
    <w:semiHidden/>
    <w:unhideWhenUsed/>
    <w:rsid w:val="00D86EBD"/>
    <w:pPr>
      <w:ind w:left="1100" w:hanging="220"/>
    </w:pPr>
  </w:style>
  <w:style w:type="paragraph" w:styleId="Index6">
    <w:name w:val="index 6"/>
    <w:basedOn w:val="Normal"/>
    <w:next w:val="Normal"/>
    <w:autoRedefine/>
    <w:uiPriority w:val="99"/>
    <w:semiHidden/>
    <w:unhideWhenUsed/>
    <w:rsid w:val="00D86EBD"/>
    <w:pPr>
      <w:ind w:left="1320" w:hanging="220"/>
    </w:pPr>
  </w:style>
  <w:style w:type="paragraph" w:styleId="Index7">
    <w:name w:val="index 7"/>
    <w:basedOn w:val="Normal"/>
    <w:next w:val="Normal"/>
    <w:autoRedefine/>
    <w:uiPriority w:val="99"/>
    <w:semiHidden/>
    <w:unhideWhenUsed/>
    <w:rsid w:val="00D86EBD"/>
    <w:pPr>
      <w:ind w:left="1540" w:hanging="220"/>
    </w:pPr>
  </w:style>
  <w:style w:type="paragraph" w:styleId="Index8">
    <w:name w:val="index 8"/>
    <w:basedOn w:val="Normal"/>
    <w:next w:val="Normal"/>
    <w:autoRedefine/>
    <w:uiPriority w:val="99"/>
    <w:semiHidden/>
    <w:unhideWhenUsed/>
    <w:rsid w:val="00D86EBD"/>
    <w:pPr>
      <w:ind w:left="1760" w:hanging="220"/>
    </w:pPr>
  </w:style>
  <w:style w:type="paragraph" w:styleId="Index9">
    <w:name w:val="index 9"/>
    <w:basedOn w:val="Normal"/>
    <w:next w:val="Normal"/>
    <w:autoRedefine/>
    <w:uiPriority w:val="99"/>
    <w:semiHidden/>
    <w:unhideWhenUsed/>
    <w:rsid w:val="00D86EBD"/>
    <w:pPr>
      <w:ind w:left="1980" w:hanging="220"/>
    </w:pPr>
  </w:style>
  <w:style w:type="paragraph" w:styleId="IndexHeading">
    <w:name w:val="index heading"/>
    <w:basedOn w:val="Normal"/>
    <w:next w:val="Index1"/>
    <w:uiPriority w:val="99"/>
    <w:semiHidden/>
    <w:unhideWhenUsed/>
    <w:rsid w:val="00D86EBD"/>
    <w:rPr>
      <w:rFonts w:asciiTheme="majorHAnsi" w:eastAsiaTheme="majorEastAsia" w:hAnsiTheme="majorHAnsi" w:cstheme="majorBidi"/>
      <w:b/>
      <w:bCs/>
    </w:rPr>
  </w:style>
  <w:style w:type="character" w:styleId="IntenseEmphasis">
    <w:name w:val="Intense Emphasis"/>
    <w:basedOn w:val="DefaultParagraphFont"/>
    <w:uiPriority w:val="14"/>
    <w:qFormat/>
    <w:rsid w:val="00D86EBD"/>
    <w:rPr>
      <w:i/>
      <w:iCs/>
      <w:color w:val="4472C4" w:themeColor="accent1"/>
    </w:rPr>
  </w:style>
  <w:style w:type="paragraph" w:styleId="IntenseQuote">
    <w:name w:val="Intense Quote"/>
    <w:basedOn w:val="Normal"/>
    <w:next w:val="Normal"/>
    <w:link w:val="IntenseQuoteChar"/>
    <w:uiPriority w:val="30"/>
    <w:rsid w:val="00D86E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6EBD"/>
    <w:rPr>
      <w:i/>
      <w:iCs/>
      <w:color w:val="4472C4" w:themeColor="accent1"/>
    </w:rPr>
  </w:style>
  <w:style w:type="character" w:styleId="IntenseReference">
    <w:name w:val="Intense Reference"/>
    <w:basedOn w:val="DefaultParagraphFont"/>
    <w:uiPriority w:val="32"/>
    <w:rsid w:val="00D86EBD"/>
    <w:rPr>
      <w:b/>
      <w:bCs/>
      <w:smallCaps/>
      <w:color w:val="4472C4" w:themeColor="accent1"/>
      <w:spacing w:val="5"/>
    </w:rPr>
  </w:style>
  <w:style w:type="character" w:styleId="LineNumber">
    <w:name w:val="line number"/>
    <w:basedOn w:val="DefaultParagraphFont"/>
    <w:uiPriority w:val="99"/>
    <w:semiHidden/>
    <w:unhideWhenUsed/>
    <w:rsid w:val="00D86EBD"/>
  </w:style>
  <w:style w:type="paragraph" w:styleId="List">
    <w:name w:val="List"/>
    <w:basedOn w:val="Normal"/>
    <w:uiPriority w:val="99"/>
    <w:semiHidden/>
    <w:unhideWhenUsed/>
    <w:rsid w:val="00D86EBD"/>
    <w:pPr>
      <w:ind w:left="283" w:hanging="283"/>
      <w:contextualSpacing/>
    </w:pPr>
  </w:style>
  <w:style w:type="paragraph" w:styleId="List2">
    <w:name w:val="List 2"/>
    <w:basedOn w:val="Normal"/>
    <w:uiPriority w:val="99"/>
    <w:semiHidden/>
    <w:unhideWhenUsed/>
    <w:rsid w:val="00D86EBD"/>
    <w:pPr>
      <w:ind w:left="566" w:hanging="283"/>
      <w:contextualSpacing/>
    </w:pPr>
  </w:style>
  <w:style w:type="paragraph" w:styleId="List3">
    <w:name w:val="List 3"/>
    <w:basedOn w:val="Normal"/>
    <w:uiPriority w:val="99"/>
    <w:semiHidden/>
    <w:unhideWhenUsed/>
    <w:rsid w:val="00D86EBD"/>
    <w:pPr>
      <w:ind w:left="849" w:hanging="283"/>
      <w:contextualSpacing/>
    </w:pPr>
  </w:style>
  <w:style w:type="paragraph" w:styleId="List4">
    <w:name w:val="List 4"/>
    <w:basedOn w:val="Normal"/>
    <w:uiPriority w:val="99"/>
    <w:semiHidden/>
    <w:unhideWhenUsed/>
    <w:rsid w:val="00D86EBD"/>
    <w:pPr>
      <w:ind w:left="1132" w:hanging="283"/>
      <w:contextualSpacing/>
    </w:pPr>
  </w:style>
  <w:style w:type="paragraph" w:styleId="List5">
    <w:name w:val="List 5"/>
    <w:basedOn w:val="Normal"/>
    <w:uiPriority w:val="99"/>
    <w:semiHidden/>
    <w:unhideWhenUsed/>
    <w:rsid w:val="00D86EBD"/>
    <w:pPr>
      <w:ind w:left="1415" w:hanging="283"/>
      <w:contextualSpacing/>
    </w:pPr>
  </w:style>
  <w:style w:type="paragraph" w:styleId="ListBullet">
    <w:name w:val="List Bullet"/>
    <w:basedOn w:val="Normal"/>
    <w:uiPriority w:val="99"/>
    <w:semiHidden/>
    <w:unhideWhenUsed/>
    <w:rsid w:val="00D86EBD"/>
    <w:pPr>
      <w:numPr>
        <w:numId w:val="1"/>
      </w:numPr>
      <w:contextualSpacing/>
    </w:pPr>
  </w:style>
  <w:style w:type="paragraph" w:styleId="ListBullet2">
    <w:name w:val="List Bullet 2"/>
    <w:basedOn w:val="Normal"/>
    <w:uiPriority w:val="99"/>
    <w:semiHidden/>
    <w:unhideWhenUsed/>
    <w:rsid w:val="00D86EBD"/>
    <w:pPr>
      <w:numPr>
        <w:numId w:val="2"/>
      </w:numPr>
      <w:contextualSpacing/>
    </w:pPr>
  </w:style>
  <w:style w:type="paragraph" w:styleId="ListBullet3">
    <w:name w:val="List Bullet 3"/>
    <w:basedOn w:val="Normal"/>
    <w:uiPriority w:val="99"/>
    <w:semiHidden/>
    <w:unhideWhenUsed/>
    <w:rsid w:val="00D86EBD"/>
    <w:pPr>
      <w:numPr>
        <w:numId w:val="3"/>
      </w:numPr>
      <w:contextualSpacing/>
    </w:pPr>
  </w:style>
  <w:style w:type="paragraph" w:styleId="ListBullet4">
    <w:name w:val="List Bullet 4"/>
    <w:basedOn w:val="Normal"/>
    <w:uiPriority w:val="99"/>
    <w:semiHidden/>
    <w:unhideWhenUsed/>
    <w:rsid w:val="00D86EBD"/>
    <w:pPr>
      <w:numPr>
        <w:numId w:val="4"/>
      </w:numPr>
      <w:contextualSpacing/>
    </w:pPr>
  </w:style>
  <w:style w:type="paragraph" w:styleId="ListBullet5">
    <w:name w:val="List Bullet 5"/>
    <w:basedOn w:val="Normal"/>
    <w:uiPriority w:val="99"/>
    <w:semiHidden/>
    <w:unhideWhenUsed/>
    <w:rsid w:val="00D86EBD"/>
    <w:pPr>
      <w:numPr>
        <w:numId w:val="5"/>
      </w:numPr>
      <w:contextualSpacing/>
    </w:pPr>
  </w:style>
  <w:style w:type="paragraph" w:styleId="ListContinue">
    <w:name w:val="List Continue"/>
    <w:basedOn w:val="Normal"/>
    <w:semiHidden/>
    <w:unhideWhenUsed/>
    <w:rsid w:val="00D86EBD"/>
    <w:pPr>
      <w:ind w:left="283"/>
      <w:contextualSpacing/>
    </w:pPr>
  </w:style>
  <w:style w:type="paragraph" w:styleId="ListContinue2">
    <w:name w:val="List Continue 2"/>
    <w:basedOn w:val="Normal"/>
    <w:uiPriority w:val="99"/>
    <w:semiHidden/>
    <w:unhideWhenUsed/>
    <w:rsid w:val="00D86EBD"/>
    <w:pPr>
      <w:ind w:left="566"/>
      <w:contextualSpacing/>
    </w:pPr>
  </w:style>
  <w:style w:type="paragraph" w:styleId="ListContinue3">
    <w:name w:val="List Continue 3"/>
    <w:basedOn w:val="Normal"/>
    <w:uiPriority w:val="99"/>
    <w:semiHidden/>
    <w:unhideWhenUsed/>
    <w:rsid w:val="00D86EBD"/>
    <w:pPr>
      <w:ind w:left="849"/>
      <w:contextualSpacing/>
    </w:pPr>
  </w:style>
  <w:style w:type="paragraph" w:styleId="ListContinue4">
    <w:name w:val="List Continue 4"/>
    <w:basedOn w:val="Normal"/>
    <w:uiPriority w:val="99"/>
    <w:semiHidden/>
    <w:unhideWhenUsed/>
    <w:rsid w:val="00D86EBD"/>
    <w:pPr>
      <w:ind w:left="1132"/>
      <w:contextualSpacing/>
    </w:pPr>
  </w:style>
  <w:style w:type="paragraph" w:styleId="ListContinue5">
    <w:name w:val="List Continue 5"/>
    <w:basedOn w:val="Normal"/>
    <w:uiPriority w:val="99"/>
    <w:semiHidden/>
    <w:unhideWhenUsed/>
    <w:rsid w:val="00D86EBD"/>
    <w:pPr>
      <w:ind w:left="1415"/>
      <w:contextualSpacing/>
    </w:pPr>
  </w:style>
  <w:style w:type="paragraph" w:styleId="ListNumber">
    <w:name w:val="List Number"/>
    <w:basedOn w:val="Normal"/>
    <w:uiPriority w:val="99"/>
    <w:semiHidden/>
    <w:unhideWhenUsed/>
    <w:rsid w:val="00D86EBD"/>
    <w:pPr>
      <w:numPr>
        <w:numId w:val="6"/>
      </w:numPr>
      <w:contextualSpacing/>
    </w:pPr>
  </w:style>
  <w:style w:type="paragraph" w:styleId="ListNumber2">
    <w:name w:val="List Number 2"/>
    <w:basedOn w:val="Normal"/>
    <w:uiPriority w:val="99"/>
    <w:semiHidden/>
    <w:unhideWhenUsed/>
    <w:rsid w:val="00D86EBD"/>
    <w:pPr>
      <w:numPr>
        <w:numId w:val="7"/>
      </w:numPr>
      <w:tabs>
        <w:tab w:val="clear" w:pos="643"/>
        <w:tab w:val="num" w:pos="360"/>
      </w:tabs>
      <w:ind w:left="0" w:firstLine="0"/>
      <w:contextualSpacing/>
    </w:pPr>
  </w:style>
  <w:style w:type="paragraph" w:styleId="ListNumber3">
    <w:name w:val="List Number 3"/>
    <w:basedOn w:val="Normal"/>
    <w:uiPriority w:val="99"/>
    <w:semiHidden/>
    <w:unhideWhenUsed/>
    <w:rsid w:val="00D86EBD"/>
    <w:pPr>
      <w:numPr>
        <w:numId w:val="8"/>
      </w:numPr>
      <w:contextualSpacing/>
    </w:pPr>
  </w:style>
  <w:style w:type="paragraph" w:styleId="ListNumber4">
    <w:name w:val="List Number 4"/>
    <w:basedOn w:val="Normal"/>
    <w:uiPriority w:val="99"/>
    <w:semiHidden/>
    <w:unhideWhenUsed/>
    <w:rsid w:val="00D86EBD"/>
    <w:pPr>
      <w:numPr>
        <w:numId w:val="9"/>
      </w:numPr>
      <w:contextualSpacing/>
    </w:pPr>
  </w:style>
  <w:style w:type="paragraph" w:styleId="ListNumber5">
    <w:name w:val="List Number 5"/>
    <w:basedOn w:val="Normal"/>
    <w:uiPriority w:val="99"/>
    <w:semiHidden/>
    <w:unhideWhenUsed/>
    <w:rsid w:val="00D86EBD"/>
    <w:pPr>
      <w:numPr>
        <w:numId w:val="10"/>
      </w:numPr>
      <w:contextualSpacing/>
    </w:p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86EBD"/>
    <w:pPr>
      <w:ind w:left="720"/>
      <w:contextualSpacing/>
    </w:pPr>
  </w:style>
  <w:style w:type="paragraph" w:styleId="MacroText">
    <w:name w:val="macro"/>
    <w:link w:val="MacroTextChar"/>
    <w:uiPriority w:val="99"/>
    <w:semiHidden/>
    <w:unhideWhenUsed/>
    <w:rsid w:val="00D86EB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86EBD"/>
    <w:rPr>
      <w:rFonts w:ascii="Consolas" w:hAnsi="Consolas"/>
      <w:sz w:val="20"/>
      <w:szCs w:val="20"/>
    </w:rPr>
  </w:style>
  <w:style w:type="character" w:customStyle="1" w:styleId="Mention1">
    <w:name w:val="Mention1"/>
    <w:basedOn w:val="DefaultParagraphFont"/>
    <w:uiPriority w:val="99"/>
    <w:semiHidden/>
    <w:unhideWhenUsed/>
    <w:rsid w:val="00D86EBD"/>
    <w:rPr>
      <w:color w:val="2B579A"/>
      <w:shd w:val="clear" w:color="auto" w:fill="E6E6E6"/>
    </w:rPr>
  </w:style>
  <w:style w:type="paragraph" w:styleId="MessageHeader">
    <w:name w:val="Message Header"/>
    <w:basedOn w:val="Normal"/>
    <w:link w:val="MessageHeaderChar"/>
    <w:uiPriority w:val="99"/>
    <w:semiHidden/>
    <w:unhideWhenUsed/>
    <w:rsid w:val="00D86EB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86EBD"/>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D86EBD"/>
    <w:pPr>
      <w:spacing w:after="0" w:line="240" w:lineRule="auto"/>
    </w:pPr>
  </w:style>
  <w:style w:type="paragraph" w:styleId="NormalWeb">
    <w:name w:val="Normal (Web)"/>
    <w:basedOn w:val="Normal"/>
    <w:uiPriority w:val="99"/>
    <w:semiHidden/>
    <w:unhideWhenUsed/>
    <w:rsid w:val="00D86EBD"/>
  </w:style>
  <w:style w:type="paragraph" w:styleId="NormalIndent">
    <w:name w:val="Normal Indent"/>
    <w:basedOn w:val="Normal"/>
    <w:uiPriority w:val="99"/>
    <w:semiHidden/>
    <w:unhideWhenUsed/>
    <w:rsid w:val="00D86EBD"/>
    <w:pPr>
      <w:ind w:left="720"/>
    </w:pPr>
  </w:style>
  <w:style w:type="paragraph" w:styleId="NoteHeading">
    <w:name w:val="Note Heading"/>
    <w:basedOn w:val="Normal"/>
    <w:next w:val="Normal"/>
    <w:link w:val="NoteHeadingChar"/>
    <w:uiPriority w:val="99"/>
    <w:semiHidden/>
    <w:unhideWhenUsed/>
    <w:rsid w:val="00D86EBD"/>
  </w:style>
  <w:style w:type="character" w:customStyle="1" w:styleId="NoteHeadingChar">
    <w:name w:val="Note Heading Char"/>
    <w:basedOn w:val="DefaultParagraphFont"/>
    <w:link w:val="NoteHeading"/>
    <w:uiPriority w:val="99"/>
    <w:semiHidden/>
    <w:rsid w:val="00D86EBD"/>
  </w:style>
  <w:style w:type="character" w:styleId="PageNumber">
    <w:name w:val="page number"/>
    <w:basedOn w:val="DefaultParagraphFont"/>
    <w:uiPriority w:val="99"/>
    <w:semiHidden/>
    <w:unhideWhenUsed/>
    <w:rsid w:val="00D86EBD"/>
  </w:style>
  <w:style w:type="character" w:styleId="PlaceholderText">
    <w:name w:val="Placeholder Text"/>
    <w:basedOn w:val="DefaultParagraphFont"/>
    <w:uiPriority w:val="99"/>
    <w:semiHidden/>
    <w:rsid w:val="00D86EBD"/>
    <w:rPr>
      <w:color w:val="808080"/>
    </w:rPr>
  </w:style>
  <w:style w:type="paragraph" w:styleId="PlainText">
    <w:name w:val="Plain Text"/>
    <w:basedOn w:val="Normal"/>
    <w:link w:val="PlainTextChar"/>
    <w:uiPriority w:val="99"/>
    <w:semiHidden/>
    <w:unhideWhenUsed/>
    <w:rsid w:val="00D86EBD"/>
    <w:rPr>
      <w:rFonts w:ascii="Consolas" w:hAnsi="Consolas"/>
      <w:sz w:val="21"/>
      <w:szCs w:val="21"/>
    </w:rPr>
  </w:style>
  <w:style w:type="character" w:customStyle="1" w:styleId="PlainTextChar">
    <w:name w:val="Plain Text Char"/>
    <w:basedOn w:val="DefaultParagraphFont"/>
    <w:link w:val="PlainText"/>
    <w:uiPriority w:val="99"/>
    <w:semiHidden/>
    <w:rsid w:val="00D86EBD"/>
    <w:rPr>
      <w:rFonts w:ascii="Consolas" w:hAnsi="Consolas"/>
      <w:sz w:val="21"/>
      <w:szCs w:val="21"/>
    </w:rPr>
  </w:style>
  <w:style w:type="paragraph" w:styleId="Quote">
    <w:name w:val="Quote"/>
    <w:basedOn w:val="Normal"/>
    <w:next w:val="Normal"/>
    <w:link w:val="QuoteChar"/>
    <w:uiPriority w:val="29"/>
    <w:rsid w:val="00D86EB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86EBD"/>
    <w:rPr>
      <w:i/>
      <w:iCs/>
      <w:color w:val="404040" w:themeColor="text1" w:themeTint="BF"/>
    </w:rPr>
  </w:style>
  <w:style w:type="paragraph" w:styleId="Salutation">
    <w:name w:val="Salutation"/>
    <w:basedOn w:val="Normal"/>
    <w:next w:val="Normal"/>
    <w:link w:val="SalutationChar"/>
    <w:uiPriority w:val="99"/>
    <w:semiHidden/>
    <w:unhideWhenUsed/>
    <w:rsid w:val="00D86EBD"/>
  </w:style>
  <w:style w:type="character" w:customStyle="1" w:styleId="SalutationChar">
    <w:name w:val="Salutation Char"/>
    <w:basedOn w:val="DefaultParagraphFont"/>
    <w:link w:val="Salutation"/>
    <w:uiPriority w:val="99"/>
    <w:semiHidden/>
    <w:rsid w:val="00D86EBD"/>
  </w:style>
  <w:style w:type="paragraph" w:styleId="Signature">
    <w:name w:val="Signature"/>
    <w:basedOn w:val="Normal"/>
    <w:link w:val="SignatureChar"/>
    <w:uiPriority w:val="99"/>
    <w:semiHidden/>
    <w:unhideWhenUsed/>
    <w:rsid w:val="00D86EBD"/>
    <w:pPr>
      <w:ind w:left="4252"/>
    </w:pPr>
  </w:style>
  <w:style w:type="character" w:customStyle="1" w:styleId="SignatureChar">
    <w:name w:val="Signature Char"/>
    <w:basedOn w:val="DefaultParagraphFont"/>
    <w:link w:val="Signature"/>
    <w:uiPriority w:val="99"/>
    <w:semiHidden/>
    <w:rsid w:val="00D86EBD"/>
  </w:style>
  <w:style w:type="character" w:customStyle="1" w:styleId="SmartHyperlink1">
    <w:name w:val="Smart Hyperlink1"/>
    <w:basedOn w:val="DefaultParagraphFont"/>
    <w:uiPriority w:val="99"/>
    <w:semiHidden/>
    <w:unhideWhenUsed/>
    <w:rsid w:val="00D86EBD"/>
    <w:rPr>
      <w:u w:val="dotted"/>
    </w:rPr>
  </w:style>
  <w:style w:type="character" w:styleId="Strong">
    <w:name w:val="Strong"/>
    <w:basedOn w:val="DefaultParagraphFont"/>
    <w:uiPriority w:val="22"/>
    <w:rsid w:val="00D86EBD"/>
    <w:rPr>
      <w:b/>
      <w:bCs/>
    </w:rPr>
  </w:style>
  <w:style w:type="paragraph" w:styleId="Subtitle">
    <w:name w:val="Subtitle"/>
    <w:basedOn w:val="Normal"/>
    <w:next w:val="Normal"/>
    <w:link w:val="SubtitleChar"/>
    <w:uiPriority w:val="11"/>
    <w:rsid w:val="00D86EB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86EBD"/>
    <w:rPr>
      <w:rFonts w:eastAsiaTheme="minorEastAsia"/>
      <w:color w:val="5A5A5A" w:themeColor="text1" w:themeTint="A5"/>
      <w:spacing w:val="15"/>
    </w:rPr>
  </w:style>
  <w:style w:type="character" w:styleId="SubtleEmphasis">
    <w:name w:val="Subtle Emphasis"/>
    <w:basedOn w:val="DefaultParagraphFont"/>
    <w:uiPriority w:val="19"/>
    <w:rsid w:val="00D86EBD"/>
    <w:rPr>
      <w:i/>
      <w:iCs/>
      <w:color w:val="404040" w:themeColor="text1" w:themeTint="BF"/>
    </w:rPr>
  </w:style>
  <w:style w:type="character" w:styleId="SubtleReference">
    <w:name w:val="Subtle Reference"/>
    <w:basedOn w:val="DefaultParagraphFont"/>
    <w:uiPriority w:val="31"/>
    <w:rsid w:val="00D86EBD"/>
    <w:rPr>
      <w:smallCaps/>
      <w:color w:val="5A5A5A" w:themeColor="text1" w:themeTint="A5"/>
    </w:rPr>
  </w:style>
  <w:style w:type="paragraph" w:styleId="TableofAuthorities">
    <w:name w:val="table of authorities"/>
    <w:basedOn w:val="Normal"/>
    <w:next w:val="Normal"/>
    <w:uiPriority w:val="99"/>
    <w:semiHidden/>
    <w:unhideWhenUsed/>
    <w:rsid w:val="00D86EBD"/>
    <w:pPr>
      <w:ind w:left="220" w:hanging="220"/>
    </w:pPr>
  </w:style>
  <w:style w:type="paragraph" w:styleId="TableofFigures">
    <w:name w:val="table of figures"/>
    <w:basedOn w:val="Normal"/>
    <w:next w:val="Normal"/>
    <w:uiPriority w:val="99"/>
    <w:unhideWhenUsed/>
    <w:rsid w:val="002C63EC"/>
    <w:pPr>
      <w:tabs>
        <w:tab w:val="right" w:leader="dot" w:pos="8302"/>
      </w:tabs>
      <w:spacing w:before="180" w:after="60" w:line="240" w:lineRule="auto"/>
      <w:ind w:right="284"/>
    </w:pPr>
    <w:rPr>
      <w:noProof/>
      <w:sz w:val="20"/>
    </w:rPr>
  </w:style>
  <w:style w:type="paragraph" w:styleId="Title">
    <w:name w:val="Title"/>
    <w:basedOn w:val="Normal"/>
    <w:next w:val="Normal"/>
    <w:link w:val="TitleChar"/>
    <w:uiPriority w:val="10"/>
    <w:rsid w:val="00D86EB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EB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86EB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202CB0"/>
    <w:pPr>
      <w:tabs>
        <w:tab w:val="right" w:leader="dot" w:pos="8302"/>
      </w:tabs>
      <w:spacing w:before="120" w:line="240" w:lineRule="auto"/>
      <w:ind w:left="284" w:right="284" w:hanging="284"/>
    </w:pPr>
    <w:rPr>
      <w:b/>
      <w:noProof/>
      <w:sz w:val="20"/>
    </w:rPr>
  </w:style>
  <w:style w:type="paragraph" w:styleId="TOC2">
    <w:name w:val="toc 2"/>
    <w:basedOn w:val="Normal"/>
    <w:next w:val="Normal"/>
    <w:autoRedefine/>
    <w:uiPriority w:val="39"/>
    <w:unhideWhenUsed/>
    <w:qFormat/>
    <w:rsid w:val="008B57A9"/>
    <w:pPr>
      <w:tabs>
        <w:tab w:val="left" w:pos="1474"/>
        <w:tab w:val="right" w:leader="dot" w:pos="8302"/>
      </w:tabs>
      <w:spacing w:before="180" w:after="60" w:line="240" w:lineRule="auto"/>
      <w:ind w:left="766" w:right="284" w:hanging="482"/>
    </w:pPr>
    <w:rPr>
      <w:noProof/>
      <w:sz w:val="20"/>
    </w:rPr>
  </w:style>
  <w:style w:type="paragraph" w:styleId="TOC3">
    <w:name w:val="toc 3"/>
    <w:basedOn w:val="Normal"/>
    <w:next w:val="Normal"/>
    <w:autoRedefine/>
    <w:uiPriority w:val="39"/>
    <w:unhideWhenUsed/>
    <w:qFormat/>
    <w:rsid w:val="008B57A9"/>
    <w:pPr>
      <w:tabs>
        <w:tab w:val="left" w:pos="1474"/>
        <w:tab w:val="right" w:leader="dot" w:pos="8302"/>
      </w:tabs>
      <w:spacing w:before="120" w:after="60" w:line="240" w:lineRule="auto"/>
      <w:ind w:left="1474" w:right="284" w:hanging="709"/>
    </w:pPr>
    <w:rPr>
      <w:i/>
      <w:noProof/>
      <w:sz w:val="20"/>
      <w:u w:color="B66113"/>
    </w:rPr>
  </w:style>
  <w:style w:type="paragraph" w:styleId="TOC4">
    <w:name w:val="toc 4"/>
    <w:basedOn w:val="Normal"/>
    <w:next w:val="Normal"/>
    <w:autoRedefine/>
    <w:uiPriority w:val="39"/>
    <w:unhideWhenUsed/>
    <w:rsid w:val="00D86EBD"/>
    <w:pPr>
      <w:spacing w:after="100"/>
      <w:ind w:left="660"/>
    </w:pPr>
  </w:style>
  <w:style w:type="paragraph" w:styleId="TOC5">
    <w:name w:val="toc 5"/>
    <w:basedOn w:val="Normal"/>
    <w:next w:val="Normal"/>
    <w:autoRedefine/>
    <w:uiPriority w:val="39"/>
    <w:unhideWhenUsed/>
    <w:rsid w:val="00D86EBD"/>
    <w:pPr>
      <w:spacing w:after="100"/>
      <w:ind w:left="880"/>
    </w:pPr>
  </w:style>
  <w:style w:type="paragraph" w:styleId="TOC6">
    <w:name w:val="toc 6"/>
    <w:basedOn w:val="Normal"/>
    <w:next w:val="Normal"/>
    <w:autoRedefine/>
    <w:uiPriority w:val="39"/>
    <w:unhideWhenUsed/>
    <w:rsid w:val="00D86EBD"/>
    <w:pPr>
      <w:spacing w:after="100"/>
      <w:ind w:left="1100"/>
    </w:pPr>
  </w:style>
  <w:style w:type="paragraph" w:styleId="TOC7">
    <w:name w:val="toc 7"/>
    <w:basedOn w:val="Normal"/>
    <w:next w:val="Normal"/>
    <w:autoRedefine/>
    <w:uiPriority w:val="39"/>
    <w:unhideWhenUsed/>
    <w:rsid w:val="00D86EBD"/>
    <w:pPr>
      <w:spacing w:after="100"/>
      <w:ind w:left="1320"/>
    </w:pPr>
  </w:style>
  <w:style w:type="paragraph" w:styleId="TOC8">
    <w:name w:val="toc 8"/>
    <w:basedOn w:val="Normal"/>
    <w:next w:val="Normal"/>
    <w:autoRedefine/>
    <w:uiPriority w:val="39"/>
    <w:unhideWhenUsed/>
    <w:rsid w:val="00D86EBD"/>
    <w:pPr>
      <w:spacing w:after="100"/>
      <w:ind w:left="1540"/>
    </w:pPr>
  </w:style>
  <w:style w:type="paragraph" w:styleId="TOC9">
    <w:name w:val="toc 9"/>
    <w:basedOn w:val="Normal"/>
    <w:next w:val="Normal"/>
    <w:autoRedefine/>
    <w:uiPriority w:val="39"/>
    <w:unhideWhenUsed/>
    <w:rsid w:val="00D86EBD"/>
    <w:pPr>
      <w:spacing w:after="100"/>
      <w:ind w:left="1760"/>
    </w:pPr>
  </w:style>
  <w:style w:type="paragraph" w:styleId="TOCHeading">
    <w:name w:val="TOC Heading"/>
    <w:basedOn w:val="Heading1"/>
    <w:next w:val="Normal"/>
    <w:uiPriority w:val="39"/>
    <w:unhideWhenUsed/>
    <w:qFormat/>
    <w:rsid w:val="00934C96"/>
    <w:pPr>
      <w:pBdr>
        <w:bottom w:val="none" w:sz="0" w:space="0" w:color="auto"/>
      </w:pBdr>
      <w:outlineLvl w:val="9"/>
    </w:pPr>
  </w:style>
  <w:style w:type="character" w:customStyle="1" w:styleId="UnresolvedMention1">
    <w:name w:val="Unresolved Mention1"/>
    <w:basedOn w:val="DefaultParagraphFont"/>
    <w:uiPriority w:val="99"/>
    <w:semiHidden/>
    <w:unhideWhenUsed/>
    <w:rsid w:val="00D86EBD"/>
    <w:rPr>
      <w:color w:val="808080"/>
      <w:shd w:val="clear" w:color="auto" w:fill="E6E6E6"/>
    </w:rPr>
  </w:style>
  <w:style w:type="paragraph" w:customStyle="1" w:styleId="Tablebullet-orange">
    <w:name w:val="Table bullet - orange"/>
    <w:basedOn w:val="01Trianglebullets"/>
    <w:qFormat/>
    <w:locked/>
    <w:rsid w:val="00D86EBD"/>
    <w:pPr>
      <w:numPr>
        <w:numId w:val="20"/>
      </w:numPr>
      <w:spacing w:before="40" w:after="40"/>
    </w:pPr>
    <w:rPr>
      <w:sz w:val="18"/>
      <w:szCs w:val="18"/>
    </w:rPr>
  </w:style>
  <w:style w:type="paragraph" w:customStyle="1" w:styleId="Bullet-orange">
    <w:name w:val="Bullet - orange"/>
    <w:basedOn w:val="Bullet-green"/>
    <w:link w:val="Bullet-orangeChar"/>
    <w:uiPriority w:val="14"/>
    <w:qFormat/>
    <w:rsid w:val="00D86EBD"/>
    <w:pPr>
      <w:numPr>
        <w:numId w:val="18"/>
      </w:numPr>
      <w:tabs>
        <w:tab w:val="num" w:pos="357"/>
      </w:tabs>
      <w:ind w:left="431" w:hanging="431"/>
    </w:pPr>
  </w:style>
  <w:style w:type="paragraph" w:customStyle="1" w:styleId="Boldbullet-green">
    <w:name w:val="Bold bullet - green"/>
    <w:basedOn w:val="Bullet-green"/>
    <w:link w:val="Boldbullet-greenChar"/>
    <w:uiPriority w:val="14"/>
    <w:qFormat/>
    <w:rsid w:val="00D86EBD"/>
    <w:pPr>
      <w:numPr>
        <w:numId w:val="0"/>
      </w:numPr>
    </w:pPr>
    <w:rPr>
      <w:b/>
    </w:rPr>
  </w:style>
  <w:style w:type="character" w:customStyle="1" w:styleId="Bullet-orangeChar">
    <w:name w:val="Bullet - orange Char"/>
    <w:basedOn w:val="Bullet-greenChar"/>
    <w:link w:val="Bullet-orange"/>
    <w:uiPriority w:val="14"/>
    <w:rsid w:val="00D86EBD"/>
    <w:rPr>
      <w:rFonts w:ascii="Times New Roman" w:eastAsia="Times New Roman" w:hAnsi="Times New Roman" w:cs="Times New Roman"/>
      <w:sz w:val="24"/>
      <w:szCs w:val="24"/>
      <w:lang w:eastAsia="en-AU"/>
    </w:rPr>
  </w:style>
  <w:style w:type="paragraph" w:customStyle="1" w:styleId="Header1">
    <w:name w:val="Header 1"/>
    <w:basedOn w:val="Normal"/>
    <w:link w:val="Header1Char"/>
    <w:uiPriority w:val="7"/>
    <w:qFormat/>
    <w:rsid w:val="00D86EBD"/>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86EBD"/>
    <w:rPr>
      <w:rFonts w:ascii="Times New Roman" w:eastAsia="Times New Roman" w:hAnsi="Times New Roman" w:cs="Times New Roman"/>
      <w:b/>
      <w:sz w:val="24"/>
      <w:szCs w:val="24"/>
      <w:lang w:eastAsia="en-AU"/>
    </w:rPr>
  </w:style>
  <w:style w:type="paragraph" w:customStyle="1" w:styleId="Header2">
    <w:name w:val="Header 2"/>
    <w:basedOn w:val="Heading2"/>
    <w:next w:val="Normal"/>
    <w:uiPriority w:val="8"/>
    <w:qFormat/>
    <w:rsid w:val="00D86EBD"/>
    <w:pPr>
      <w:spacing w:before="120" w:line="312" w:lineRule="auto"/>
    </w:pPr>
    <w:rPr>
      <w:rFonts w:ascii="Calibri" w:eastAsiaTheme="minorHAnsi" w:hAnsi="Calibri" w:cs="Calibri"/>
      <w:b w:val="0"/>
      <w:bCs/>
      <w:iCs/>
      <w:szCs w:val="22"/>
      <w:lang w:val="en-US"/>
    </w:rPr>
  </w:style>
  <w:style w:type="character" w:customStyle="1" w:styleId="Header1Char">
    <w:name w:val="Header 1 Char"/>
    <w:basedOn w:val="DefaultParagraphFont"/>
    <w:link w:val="Header1"/>
    <w:uiPriority w:val="7"/>
    <w:rsid w:val="00D86EBD"/>
    <w:rPr>
      <w:rFonts w:ascii="Calibri" w:eastAsia="Times New Roman" w:hAnsi="Calibri" w:cs="Calibri"/>
      <w:b/>
      <w:color w:val="01653F"/>
      <w:sz w:val="40"/>
      <w:szCs w:val="40"/>
    </w:rPr>
  </w:style>
  <w:style w:type="paragraph" w:customStyle="1" w:styleId="Header4">
    <w:name w:val="Header 4"/>
    <w:basedOn w:val="Normal"/>
    <w:next w:val="Normal"/>
    <w:uiPriority w:val="10"/>
    <w:qFormat/>
    <w:rsid w:val="00D86EBD"/>
    <w:pPr>
      <w:spacing w:before="120"/>
    </w:pPr>
    <w:rPr>
      <w:rFonts w:ascii="Calibri" w:hAnsi="Calibri" w:cs="Calibri"/>
      <w:szCs w:val="22"/>
      <w:lang w:val="en-US" w:eastAsia="en-US"/>
    </w:rPr>
  </w:style>
  <w:style w:type="paragraph" w:customStyle="1" w:styleId="Boldbullet-orange">
    <w:name w:val="Bold bullet - orange"/>
    <w:basedOn w:val="Bullet-orange"/>
    <w:link w:val="Boldbullet-orangeChar"/>
    <w:uiPriority w:val="14"/>
    <w:qFormat/>
    <w:rsid w:val="00D86EBD"/>
    <w:rPr>
      <w:b/>
    </w:rPr>
  </w:style>
  <w:style w:type="paragraph" w:customStyle="1" w:styleId="Bullettext">
    <w:name w:val="Bullet text"/>
    <w:basedOn w:val="Bullet-green"/>
    <w:link w:val="BullettextChar"/>
    <w:uiPriority w:val="14"/>
    <w:qFormat/>
    <w:rsid w:val="00D86EBD"/>
    <w:pPr>
      <w:numPr>
        <w:numId w:val="0"/>
      </w:numPr>
      <w:ind w:left="431"/>
    </w:pPr>
    <w:rPr>
      <w:lang w:val="en-US"/>
    </w:rPr>
  </w:style>
  <w:style w:type="character" w:customStyle="1" w:styleId="Boldbullet-orangeChar">
    <w:name w:val="Bold bullet - orange Char"/>
    <w:basedOn w:val="Bullet-orangeChar"/>
    <w:link w:val="Boldbullet-orange"/>
    <w:uiPriority w:val="14"/>
    <w:rsid w:val="00D86EBD"/>
    <w:rPr>
      <w:rFonts w:ascii="Times New Roman" w:eastAsia="Times New Roman" w:hAnsi="Times New Roman" w:cs="Times New Roman"/>
      <w:b/>
      <w:sz w:val="24"/>
      <w:szCs w:val="24"/>
      <w:lang w:eastAsia="en-AU"/>
    </w:rPr>
  </w:style>
  <w:style w:type="character" w:customStyle="1" w:styleId="BullettextChar">
    <w:name w:val="Bullet text Char"/>
    <w:basedOn w:val="Bullet-greenChar"/>
    <w:link w:val="Bullettext"/>
    <w:uiPriority w:val="14"/>
    <w:rsid w:val="00D86EBD"/>
    <w:rPr>
      <w:rFonts w:ascii="Times New Roman" w:eastAsia="Times New Roman" w:hAnsi="Times New Roman" w:cs="Times New Roman"/>
      <w:sz w:val="24"/>
      <w:szCs w:val="24"/>
      <w:lang w:val="en-US" w:eastAsia="en-AU"/>
    </w:rPr>
  </w:style>
  <w:style w:type="table" w:styleId="TableGrid">
    <w:name w:val="Table Grid"/>
    <w:basedOn w:val="TableNormal"/>
    <w:uiPriority w:val="39"/>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5">
    <w:name w:val="DNU5"/>
    <w:basedOn w:val="ListContinue"/>
    <w:link w:val="DNU5Char"/>
    <w:uiPriority w:val="99"/>
    <w:locked/>
    <w:rsid w:val="00D86EBD"/>
    <w:pPr>
      <w:spacing w:before="180" w:line="312" w:lineRule="auto"/>
      <w:ind w:left="0"/>
    </w:pPr>
  </w:style>
  <w:style w:type="character" w:customStyle="1" w:styleId="DNU5Char">
    <w:name w:val="DNU5 Char"/>
    <w:basedOn w:val="DefaultParagraphFont"/>
    <w:link w:val="DNU5"/>
    <w:uiPriority w:val="99"/>
    <w:rsid w:val="00D86EBD"/>
    <w:rPr>
      <w:rFonts w:eastAsia="Times New Roman" w:cs="Times New Roman"/>
      <w:szCs w:val="24"/>
      <w:lang w:eastAsia="en-AU"/>
    </w:rPr>
  </w:style>
  <w:style w:type="paragraph" w:styleId="z-BottomofForm">
    <w:name w:val="HTML Bottom of Form"/>
    <w:basedOn w:val="Normal"/>
    <w:next w:val="Normal"/>
    <w:link w:val="z-BottomofFormChar"/>
    <w:hidden/>
    <w:uiPriority w:val="99"/>
    <w:unhideWhenUsed/>
    <w:rsid w:val="00D86EBD"/>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D86EBD"/>
    <w:rPr>
      <w:rFonts w:cs="Arial"/>
      <w:vanish/>
      <w:sz w:val="16"/>
      <w:szCs w:val="16"/>
      <w:lang w:eastAsia="en-AU"/>
    </w:rPr>
  </w:style>
  <w:style w:type="table" w:customStyle="1" w:styleId="TableGrid1">
    <w:name w:val="Table Grid1"/>
    <w:basedOn w:val="TableNormal"/>
    <w:next w:val="TableGrid"/>
    <w:uiPriority w:val="59"/>
    <w:locked/>
    <w:rsid w:val="00D86EBD"/>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D86EBD"/>
    <w:pPr>
      <w:spacing w:before="0" w:after="0"/>
    </w:pPr>
  </w:style>
  <w:style w:type="table" w:customStyle="1" w:styleId="TableGrid2">
    <w:name w:val="Table Grid2"/>
    <w:basedOn w:val="TableNormal"/>
    <w:next w:val="TableGrid"/>
    <w:locked/>
    <w:rsid w:val="00D86EBD"/>
    <w:pPr>
      <w:spacing w:after="18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D86EBD"/>
    <w:pPr>
      <w:numPr>
        <w:ilvl w:val="1"/>
      </w:numPr>
      <w:spacing w:before="120"/>
      <w:ind w:right="142"/>
    </w:pPr>
    <w:rPr>
      <w:szCs w:val="20"/>
      <w:lang w:val="en-US" w:eastAsia="en-US"/>
    </w:rPr>
  </w:style>
  <w:style w:type="paragraph" w:customStyle="1" w:styleId="DNU8">
    <w:name w:val="DNU8"/>
    <w:basedOn w:val="02dash"/>
    <w:uiPriority w:val="99"/>
    <w:locked/>
    <w:rsid w:val="00D86EBD"/>
    <w:pPr>
      <w:numPr>
        <w:ilvl w:val="2"/>
      </w:numPr>
    </w:pPr>
  </w:style>
  <w:style w:type="paragraph" w:customStyle="1" w:styleId="DNU10">
    <w:name w:val="DNU10"/>
    <w:basedOn w:val="DNU8"/>
    <w:uiPriority w:val="99"/>
    <w:locked/>
    <w:rsid w:val="00D86EBD"/>
    <w:pPr>
      <w:numPr>
        <w:ilvl w:val="3"/>
      </w:numPr>
    </w:pPr>
  </w:style>
  <w:style w:type="table" w:customStyle="1" w:styleId="PlainTable21">
    <w:name w:val="Plain Table 21"/>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D86EBD"/>
    <w:pPr>
      <w:spacing w:after="0" w:line="240" w:lineRule="auto"/>
    </w:pPr>
    <w:rPr>
      <w:rFonts w:ascii="Arial" w:eastAsia="Times New Roman" w:hAnsi="Arial" w:cs="Times New Roman"/>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D86EBD"/>
    <w:pPr>
      <w:spacing w:before="120" w:after="60" w:line="312" w:lineRule="auto"/>
      <w:ind w:left="-417"/>
    </w:pPr>
    <w:rPr>
      <w:rFonts w:asciiTheme="minorHAnsi" w:eastAsiaTheme="minorHAnsi" w:hAnsiTheme="minorHAnsi" w:cs="Arial"/>
      <w:b w:val="0"/>
      <w:bCs/>
      <w:iCs/>
      <w:lang w:val="en-US"/>
    </w:rPr>
  </w:style>
  <w:style w:type="character" w:customStyle="1" w:styleId="DNU6Char">
    <w:name w:val="DNU6 Char"/>
    <w:basedOn w:val="DefaultParagraphFont"/>
    <w:link w:val="DNU6"/>
    <w:uiPriority w:val="99"/>
    <w:rsid w:val="00D86EBD"/>
    <w:rPr>
      <w:rFonts w:cs="Arial"/>
      <w:b/>
      <w:bCs/>
      <w:iCs/>
      <w:color w:val="01653F"/>
      <w:sz w:val="26"/>
      <w:szCs w:val="26"/>
      <w:lang w:val="en-US"/>
    </w:rPr>
  </w:style>
  <w:style w:type="paragraph" w:customStyle="1" w:styleId="AppendixStyle1">
    <w:name w:val="Appendix Style 1"/>
    <w:basedOn w:val="Normal"/>
    <w:next w:val="Normal"/>
    <w:qFormat/>
    <w:rsid w:val="00D86EBD"/>
    <w:pPr>
      <w:numPr>
        <w:numId w:val="11"/>
      </w:numPr>
      <w:outlineLvl w:val="0"/>
    </w:pPr>
    <w:rPr>
      <w:rFonts w:cs="Arial"/>
      <w:b/>
      <w:color w:val="01653F"/>
      <w:sz w:val="32"/>
      <w:lang w:val="en-US" w:eastAsia="en-US"/>
    </w:rPr>
  </w:style>
  <w:style w:type="table" w:customStyle="1" w:styleId="TableGrid3">
    <w:name w:val="Table Grid3"/>
    <w:basedOn w:val="TableNormal"/>
    <w:next w:val="TableGrid"/>
    <w:locked/>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D86EBD"/>
    <w:pPr>
      <w:numPr>
        <w:numId w:val="12"/>
      </w:numPr>
      <w:spacing w:before="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86EBD"/>
    <w:rPr>
      <w:rFonts w:ascii="Times New Roman" w:hAnsi="Times New Roman" w:cs="Arial"/>
      <w:sz w:val="24"/>
      <w:lang w:val="en-US"/>
    </w:rPr>
  </w:style>
  <w:style w:type="paragraph" w:customStyle="1" w:styleId="DNU3">
    <w:name w:val="DNU3"/>
    <w:basedOn w:val="Normal"/>
    <w:uiPriority w:val="99"/>
    <w:locked/>
    <w:rsid w:val="00934C96"/>
    <w:pPr>
      <w:outlineLvl w:val="3"/>
    </w:pPr>
    <w:rPr>
      <w:color w:val="016500"/>
    </w:rPr>
  </w:style>
  <w:style w:type="paragraph" w:customStyle="1" w:styleId="Bullet2">
    <w:name w:val="Bullet 2"/>
    <w:basedOn w:val="Normal"/>
    <w:link w:val="Bullet2Char"/>
    <w:qFormat/>
    <w:rsid w:val="00140315"/>
    <w:pPr>
      <w:numPr>
        <w:numId w:val="102"/>
      </w:numPr>
      <w:spacing w:before="120" w:after="60" w:line="312" w:lineRule="auto"/>
      <w:ind w:left="714" w:right="142" w:hanging="357"/>
    </w:pPr>
    <w:rPr>
      <w:szCs w:val="20"/>
      <w:lang w:eastAsia="en-US"/>
    </w:rPr>
  </w:style>
  <w:style w:type="table" w:styleId="TableClassic1">
    <w:name w:val="Table Classic 1"/>
    <w:basedOn w:val="TableNormal"/>
    <w:rsid w:val="00D86EBD"/>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D86EBD"/>
    <w:pPr>
      <w:keepLines w:val="0"/>
      <w:widowControl w:val="0"/>
      <w:pBdr>
        <w:bottom w:val="single" w:sz="16" w:space="11" w:color="BFBFBF"/>
      </w:pBdr>
      <w:autoSpaceDE w:val="0"/>
      <w:autoSpaceDN w:val="0"/>
      <w:adjustRightInd w:val="0"/>
      <w:spacing w:before="720" w:after="60"/>
      <w:textAlignment w:val="center"/>
    </w:pPr>
    <w:rPr>
      <w:rFonts w:ascii="Arial Bold" w:eastAsia="Times New Roman" w:hAnsi="Arial Bold" w:cstheme="minorHAnsi"/>
      <w:b/>
      <w:bCs/>
      <w:smallCaps/>
      <w:color w:val="auto"/>
      <w:sz w:val="20"/>
      <w:szCs w:val="20"/>
    </w:rPr>
  </w:style>
  <w:style w:type="character" w:customStyle="1" w:styleId="DNU7Char">
    <w:name w:val="DNU7 Char"/>
    <w:link w:val="DNU7"/>
    <w:uiPriority w:val="99"/>
    <w:locked/>
    <w:rsid w:val="00D86EBD"/>
    <w:rPr>
      <w:rFonts w:ascii="Arial Bold" w:eastAsia="Times New Roman" w:hAnsi="Arial Bold" w:cstheme="minorHAnsi"/>
      <w:b/>
      <w:bCs/>
      <w:smallCaps/>
      <w:sz w:val="20"/>
      <w:szCs w:val="20"/>
      <w:lang w:eastAsia="en-AU"/>
    </w:rPr>
  </w:style>
  <w:style w:type="paragraph" w:customStyle="1" w:styleId="DNU2">
    <w:name w:val="DNU2"/>
    <w:basedOn w:val="Heading2"/>
    <w:autoRedefine/>
    <w:uiPriority w:val="99"/>
    <w:locked/>
    <w:rsid w:val="00D86EBD"/>
    <w:pPr>
      <w:spacing w:before="120" w:after="60"/>
      <w:jc w:val="center"/>
    </w:pPr>
    <w:rPr>
      <w:rFonts w:ascii="Arial" w:eastAsia="Times New Roman" w:hAnsi="Arial" w:cs="Arial"/>
      <w:bCs/>
      <w:i/>
      <w:iCs/>
      <w:sz w:val="20"/>
      <w:szCs w:val="28"/>
    </w:rPr>
  </w:style>
  <w:style w:type="paragraph" w:customStyle="1" w:styleId="Body">
    <w:name w:val="Body"/>
    <w:rsid w:val="006D761C"/>
    <w:pPr>
      <w:pBdr>
        <w:top w:val="nil"/>
        <w:left w:val="nil"/>
        <w:bottom w:val="nil"/>
        <w:right w:val="nil"/>
        <w:between w:val="nil"/>
        <w:bar w:val="nil"/>
      </w:pBdr>
      <w:spacing w:before="240" w:after="120" w:line="360" w:lineRule="auto"/>
    </w:pPr>
    <w:rPr>
      <w:rFonts w:ascii="Calibri" w:eastAsia="Calibri" w:hAnsi="Calibri" w:cs="Calibri"/>
      <w:color w:val="000000"/>
      <w:sz w:val="24"/>
      <w:u w:color="000000"/>
      <w:bdr w:val="nil"/>
      <w:lang w:eastAsia="en-AU"/>
    </w:rPr>
  </w:style>
  <w:style w:type="paragraph" w:customStyle="1" w:styleId="FigureCaption">
    <w:name w:val="Figure Caption"/>
    <w:basedOn w:val="Caption"/>
    <w:uiPriority w:val="14"/>
    <w:rsid w:val="00D86EBD"/>
    <w:pPr>
      <w:spacing w:before="120" w:after="120" w:line="312" w:lineRule="auto"/>
    </w:pPr>
    <w:rPr>
      <w:rFonts w:cs="Arial"/>
      <w:b w:val="0"/>
      <w:i/>
      <w:iCs w:val="0"/>
      <w:noProof/>
      <w:sz w:val="20"/>
      <w:szCs w:val="22"/>
      <w:lang w:val="en-US"/>
    </w:rPr>
  </w:style>
  <w:style w:type="paragraph" w:customStyle="1" w:styleId="DNU4">
    <w:name w:val="DNU4"/>
    <w:basedOn w:val="Normal"/>
    <w:uiPriority w:val="99"/>
    <w:locked/>
    <w:rsid w:val="00D86EBD"/>
    <w:pPr>
      <w:numPr>
        <w:numId w:val="14"/>
      </w:numPr>
      <w:contextualSpacing/>
    </w:pPr>
    <w:rPr>
      <w:rFonts w:eastAsiaTheme="minorHAnsi" w:cs="Arial"/>
      <w:szCs w:val="22"/>
      <w:lang w:val="en-US"/>
    </w:rPr>
  </w:style>
  <w:style w:type="paragraph" w:styleId="Revision">
    <w:name w:val="Revision"/>
    <w:hidden/>
    <w:uiPriority w:val="99"/>
    <w:semiHidden/>
    <w:rsid w:val="00D86EBD"/>
    <w:pPr>
      <w:spacing w:after="0" w:line="240" w:lineRule="auto"/>
    </w:pPr>
    <w:rPr>
      <w:rFonts w:eastAsia="Times New Roman" w:cs="Times New Roman"/>
      <w:szCs w:val="24"/>
      <w:lang w:eastAsia="en-AU"/>
    </w:rPr>
  </w:style>
  <w:style w:type="paragraph" w:customStyle="1" w:styleId="BoxText">
    <w:name w:val="Box Text"/>
    <w:basedOn w:val="Normal"/>
    <w:uiPriority w:val="14"/>
    <w:qFormat/>
    <w:rsid w:val="00D86EBD"/>
    <w:pPr>
      <w:pBdr>
        <w:top w:val="single" w:sz="12" w:space="4" w:color="C75F09"/>
        <w:left w:val="single" w:sz="12" w:space="4" w:color="C75F09"/>
        <w:bottom w:val="single" w:sz="12" w:space="4" w:color="C75F09"/>
        <w:right w:val="single" w:sz="12" w:space="4" w:color="C75F09"/>
      </w:pBdr>
    </w:pPr>
    <w:rPr>
      <w:rFonts w:ascii="Calibri" w:hAnsi="Calibri"/>
      <w:color w:val="000000"/>
      <w:szCs w:val="20"/>
    </w:rPr>
  </w:style>
  <w:style w:type="paragraph" w:customStyle="1" w:styleId="Boxbullet">
    <w:name w:val="Box bullet"/>
    <w:basedOn w:val="BoxText"/>
    <w:uiPriority w:val="14"/>
    <w:rsid w:val="00D86EBD"/>
    <w:pPr>
      <w:pBdr>
        <w:top w:val="single" w:sz="12" w:space="4" w:color="984806"/>
        <w:left w:val="single" w:sz="12" w:space="4" w:color="984806"/>
        <w:bottom w:val="single" w:sz="12" w:space="4" w:color="984806"/>
        <w:right w:val="single" w:sz="12" w:space="4" w:color="984806"/>
      </w:pBdr>
    </w:pPr>
    <w:rPr>
      <w:rFonts w:asciiTheme="minorHAnsi" w:hAnsiTheme="minorHAnsi"/>
      <w:color w:val="000000" w:themeColor="text1"/>
    </w:rPr>
  </w:style>
  <w:style w:type="paragraph" w:customStyle="1" w:styleId="DNU9">
    <w:name w:val="DNU9"/>
    <w:basedOn w:val="DNU6"/>
    <w:uiPriority w:val="99"/>
    <w:locked/>
    <w:rsid w:val="00D86EBD"/>
    <w:pPr>
      <w:numPr>
        <w:ilvl w:val="0"/>
        <w:numId w:val="0"/>
      </w:numPr>
      <w:ind w:left="-417" w:hanging="576"/>
    </w:pPr>
    <w:rPr>
      <w:color w:val="auto"/>
    </w:rPr>
  </w:style>
  <w:style w:type="paragraph" w:customStyle="1" w:styleId="TableBullet">
    <w:name w:val="TableBullet"/>
    <w:basedOn w:val="DNU5"/>
    <w:uiPriority w:val="11"/>
    <w:locked/>
    <w:rsid w:val="00D86EBD"/>
    <w:pPr>
      <w:spacing w:before="40" w:after="40" w:line="240" w:lineRule="auto"/>
    </w:pPr>
    <w:rPr>
      <w:rFonts w:cs="Arial"/>
      <w:color w:val="000000" w:themeColor="text1"/>
      <w:sz w:val="18"/>
      <w:szCs w:val="18"/>
    </w:rPr>
  </w:style>
  <w:style w:type="paragraph" w:customStyle="1" w:styleId="DNU">
    <w:name w:val="DNU"/>
    <w:basedOn w:val="DNU5"/>
    <w:uiPriority w:val="99"/>
    <w:locked/>
    <w:rsid w:val="00D86EBD"/>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D86EBD"/>
    <w:pPr>
      <w:numPr>
        <w:numId w:val="1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360"/>
    </w:pPr>
    <w:rPr>
      <w:rFonts w:cs="Arial"/>
      <w:sz w:val="17"/>
      <w:szCs w:val="17"/>
    </w:rPr>
  </w:style>
  <w:style w:type="paragraph" w:customStyle="1" w:styleId="EndNoteBibliography">
    <w:name w:val="EndNote Bibliography"/>
    <w:basedOn w:val="Normal"/>
    <w:link w:val="EndNoteBibliographyChar"/>
    <w:uiPriority w:val="14"/>
    <w:rsid w:val="00D86EBD"/>
    <w:rPr>
      <w:rFonts w:ascii="Calibri" w:hAnsi="Calibri"/>
      <w:noProof/>
    </w:rPr>
  </w:style>
  <w:style w:type="character" w:customStyle="1" w:styleId="EndNoteBibliographyChar">
    <w:name w:val="EndNote Bibliography Char"/>
    <w:basedOn w:val="DefaultParagraphFont"/>
    <w:link w:val="EndNoteBibliography"/>
    <w:uiPriority w:val="14"/>
    <w:rsid w:val="00D86EBD"/>
    <w:rPr>
      <w:rFonts w:ascii="Calibri" w:eastAsia="Times New Roman" w:hAnsi="Calibri" w:cs="Times New Roman"/>
      <w:noProof/>
      <w:szCs w:val="24"/>
      <w:lang w:eastAsia="en-AU"/>
    </w:rPr>
  </w:style>
  <w:style w:type="character" w:customStyle="1" w:styleId="02dashChar">
    <w:name w:val="02 dash Char"/>
    <w:basedOn w:val="DefaultParagraphFont"/>
    <w:link w:val="02dash"/>
    <w:uiPriority w:val="4"/>
    <w:locked/>
    <w:rsid w:val="00D86EBD"/>
    <w:rPr>
      <w:rFonts w:eastAsia="Times New Roman" w:cs="Times New Roman"/>
      <w:szCs w:val="20"/>
      <w:lang w:val="en-US"/>
    </w:rPr>
  </w:style>
  <w:style w:type="numbering" w:customStyle="1" w:styleId="Style2">
    <w:name w:val="Style2"/>
    <w:uiPriority w:val="99"/>
    <w:locked/>
    <w:rsid w:val="00D86EBD"/>
    <w:pPr>
      <w:numPr>
        <w:numId w:val="16"/>
      </w:numPr>
    </w:pPr>
  </w:style>
  <w:style w:type="paragraph" w:customStyle="1" w:styleId="Bullet-green">
    <w:name w:val="Bullet - green"/>
    <w:basedOn w:val="DNU19"/>
    <w:link w:val="Bullet-greenChar"/>
    <w:uiPriority w:val="14"/>
    <w:qFormat/>
    <w:rsid w:val="000B4778"/>
    <w:pPr>
      <w:numPr>
        <w:numId w:val="17"/>
      </w:numPr>
      <w:spacing w:after="120"/>
      <w:contextualSpacing w:val="0"/>
    </w:pPr>
  </w:style>
  <w:style w:type="character" w:customStyle="1" w:styleId="Bullet-greenChar">
    <w:name w:val="Bullet - green Char"/>
    <w:basedOn w:val="DefaultParagraphFont"/>
    <w:link w:val="Bullet-green"/>
    <w:uiPriority w:val="14"/>
    <w:rsid w:val="000B4778"/>
    <w:rPr>
      <w:rFonts w:eastAsia="Times New Roman" w:cs="Times New Roman"/>
      <w:sz w:val="24"/>
      <w:szCs w:val="24"/>
      <w:lang w:eastAsia="en-AU"/>
    </w:rPr>
  </w:style>
  <w:style w:type="paragraph" w:customStyle="1" w:styleId="Tableheading-black">
    <w:name w:val="Table heading - black"/>
    <w:link w:val="Tableheading-blackChar"/>
    <w:uiPriority w:val="14"/>
    <w:qFormat/>
    <w:rsid w:val="00D86EBD"/>
    <w:pPr>
      <w:keepNext/>
      <w:spacing w:before="60" w:after="60" w:line="312" w:lineRule="auto"/>
    </w:pPr>
    <w:rPr>
      <w:rFonts w:cstheme="minorHAnsi"/>
      <w:b/>
      <w:sz w:val="18"/>
      <w:lang w:val="en-GB"/>
    </w:rPr>
  </w:style>
  <w:style w:type="character" w:customStyle="1" w:styleId="Tableheading-blackChar">
    <w:name w:val="Table heading - black Char"/>
    <w:basedOn w:val="DefaultParagraphFont"/>
    <w:link w:val="Tableheading-black"/>
    <w:uiPriority w:val="14"/>
    <w:rsid w:val="00D86EBD"/>
    <w:rPr>
      <w:rFonts w:cstheme="minorHAnsi"/>
      <w:b/>
      <w:sz w:val="18"/>
      <w:lang w:val="en-GB"/>
    </w:rPr>
  </w:style>
  <w:style w:type="paragraph" w:customStyle="1" w:styleId="Tabletext">
    <w:name w:val="Table text"/>
    <w:basedOn w:val="Normal"/>
    <w:next w:val="Normal"/>
    <w:link w:val="TabletextChar"/>
    <w:uiPriority w:val="11"/>
    <w:qFormat/>
    <w:rsid w:val="00D86EBD"/>
    <w:pPr>
      <w:spacing w:before="140" w:after="40"/>
    </w:pPr>
    <w:rPr>
      <w:rFonts w:eastAsia="Calibri"/>
      <w:sz w:val="18"/>
      <w:szCs w:val="18"/>
    </w:rPr>
  </w:style>
  <w:style w:type="character" w:customStyle="1" w:styleId="TabletextChar">
    <w:name w:val="Table text Char"/>
    <w:basedOn w:val="DefaultParagraphFont"/>
    <w:link w:val="Tabletext"/>
    <w:uiPriority w:val="11"/>
    <w:rsid w:val="00D86EBD"/>
    <w:rPr>
      <w:rFonts w:eastAsia="Calibri" w:cs="Times New Roman"/>
      <w:sz w:val="18"/>
      <w:szCs w:val="18"/>
      <w:lang w:eastAsia="en-AU"/>
    </w:rPr>
  </w:style>
  <w:style w:type="character" w:customStyle="1" w:styleId="Bullet2Char">
    <w:name w:val="Bullet 2 Char"/>
    <w:basedOn w:val="DefaultParagraphFont"/>
    <w:link w:val="Bullet2"/>
    <w:locked/>
    <w:rsid w:val="00140315"/>
    <w:rPr>
      <w:rFonts w:eastAsia="Times New Roman" w:cstheme="minorHAnsi"/>
      <w:sz w:val="24"/>
      <w:szCs w:val="20"/>
      <w:lang w:val="en-GB"/>
    </w:rPr>
  </w:style>
  <w:style w:type="paragraph" w:customStyle="1" w:styleId="CoverH1White">
    <w:name w:val="Cover H1 White"/>
    <w:basedOn w:val="Normal"/>
    <w:qFormat/>
    <w:rsid w:val="00D86EBD"/>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qFormat/>
    <w:rsid w:val="00D86EBD"/>
    <w:pPr>
      <w:keepNext/>
      <w:widowControl w:val="0"/>
      <w:suppressAutoHyphens/>
      <w:autoSpaceDE w:val="0"/>
      <w:autoSpaceDN w:val="0"/>
      <w:adjustRightInd w:val="0"/>
      <w:spacing w:before="960" w:after="240" w:line="840" w:lineRule="atLeast"/>
      <w:textAlignment w:val="center"/>
    </w:pPr>
    <w:rPr>
      <w:b/>
      <w:bCs/>
      <w:color w:val="01653F"/>
      <w:sz w:val="80"/>
      <w:szCs w:val="80"/>
      <w:lang w:val="en-US" w:eastAsia="en-US"/>
    </w:rPr>
  </w:style>
  <w:style w:type="paragraph" w:customStyle="1" w:styleId="Coverdate">
    <w:name w:val="Cover date"/>
    <w:basedOn w:val="Normal"/>
    <w:qFormat/>
    <w:rsid w:val="00D86EBD"/>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customStyle="1" w:styleId="Squarebullet">
    <w:name w:val="Square bullet"/>
    <w:basedOn w:val="Bullet2"/>
    <w:qFormat/>
    <w:rsid w:val="00D86EBD"/>
    <w:pPr>
      <w:numPr>
        <w:numId w:val="19"/>
      </w:numPr>
      <w:ind w:left="0" w:firstLine="0"/>
    </w:pPr>
  </w:style>
  <w:style w:type="paragraph" w:customStyle="1" w:styleId="TOC3Header">
    <w:name w:val="TOC 3 Header"/>
    <w:basedOn w:val="TOC3"/>
    <w:qFormat/>
    <w:rsid w:val="00D86EBD"/>
    <w:pPr>
      <w:spacing w:after="0" w:line="312" w:lineRule="auto"/>
      <w:ind w:hanging="680"/>
    </w:pPr>
    <w:rPr>
      <w14:scene3d>
        <w14:camera w14:prst="orthographicFront"/>
        <w14:lightRig w14:rig="threePt" w14:dir="t">
          <w14:rot w14:lat="0" w14:lon="0" w14:rev="0"/>
        </w14:lightRig>
      </w14:scene3d>
    </w:rPr>
  </w:style>
  <w:style w:type="paragraph" w:customStyle="1" w:styleId="TOC3Heading">
    <w:name w:val="TOC 3 Heading"/>
    <w:basedOn w:val="TOC3"/>
    <w:qFormat/>
    <w:rsid w:val="00D86EBD"/>
    <w:pPr>
      <w:spacing w:after="0" w:line="312" w:lineRule="auto"/>
      <w:ind w:hanging="680"/>
    </w:pPr>
    <w:rPr>
      <w14:scene3d>
        <w14:camera w14:prst="orthographicFront"/>
        <w14:lightRig w14:rig="threePt" w14:dir="t">
          <w14:rot w14:lat="0" w14:lon="0" w14:rev="0"/>
        </w14:lightRig>
      </w14:scene3d>
    </w:rPr>
  </w:style>
  <w:style w:type="paragraph" w:customStyle="1" w:styleId="Tableheading-white">
    <w:name w:val="Table heading - white"/>
    <w:basedOn w:val="Tableheading-black"/>
    <w:qFormat/>
    <w:rsid w:val="00D86EBD"/>
    <w:rPr>
      <w:color w:val="FFFFFF" w:themeColor="background1"/>
    </w:rPr>
  </w:style>
  <w:style w:type="paragraph" w:customStyle="1" w:styleId="Tablebullet-green">
    <w:name w:val="Table bullet - green"/>
    <w:basedOn w:val="Tablebullet-orange"/>
    <w:qFormat/>
    <w:rsid w:val="00D86EBD"/>
    <w:pPr>
      <w:numPr>
        <w:numId w:val="21"/>
      </w:numPr>
      <w:ind w:left="357" w:hanging="357"/>
    </w:pPr>
    <w:rPr>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D86EBD"/>
    <w:pPr>
      <w:spacing w:before="180" w:line="312" w:lineRule="auto"/>
    </w:pPr>
  </w:style>
  <w:style w:type="character" w:customStyle="1" w:styleId="01TrianglebulletsChar">
    <w:name w:val="01 Triangle bullets Char"/>
    <w:basedOn w:val="DefaultParagraphFont"/>
    <w:link w:val="01Trianglebullets"/>
    <w:rsid w:val="00D86EBD"/>
    <w:rPr>
      <w:rFonts w:eastAsia="Times New Roman" w:cs="Times New Roman"/>
      <w:szCs w:val="24"/>
      <w:lang w:eastAsia="en-AU"/>
    </w:rPr>
  </w:style>
  <w:style w:type="paragraph" w:customStyle="1" w:styleId="Dash3">
    <w:name w:val="Dash 3"/>
    <w:basedOn w:val="Bullet2"/>
    <w:qFormat/>
    <w:rsid w:val="00140315"/>
    <w:pPr>
      <w:numPr>
        <w:numId w:val="22"/>
      </w:numPr>
      <w:tabs>
        <w:tab w:val="num" w:pos="360"/>
      </w:tabs>
      <w:ind w:left="1071" w:hanging="357"/>
    </w:pPr>
    <w:rPr>
      <w:rFonts w:ascii="Calibri" w:hAnsi="Calibri"/>
    </w:rPr>
  </w:style>
  <w:style w:type="paragraph" w:customStyle="1" w:styleId="TableCaption">
    <w:name w:val="Table Caption"/>
    <w:basedOn w:val="Caption"/>
    <w:qFormat/>
    <w:rsid w:val="00D86EBD"/>
    <w:pPr>
      <w:spacing w:before="120" w:after="120" w:line="312" w:lineRule="auto"/>
    </w:pPr>
    <w:rPr>
      <w:rFonts w:cs="Arial"/>
      <w:b w:val="0"/>
      <w:i/>
      <w:iCs w:val="0"/>
      <w:sz w:val="20"/>
      <w:szCs w:val="22"/>
    </w:rPr>
  </w:style>
  <w:style w:type="paragraph" w:customStyle="1" w:styleId="Boxbulletgreen">
    <w:name w:val="Box bullet green"/>
    <w:basedOn w:val="Normal"/>
    <w:qFormat/>
    <w:rsid w:val="00D86EBD"/>
    <w:pPr>
      <w:numPr>
        <w:numId w:val="24"/>
      </w:numPr>
      <w:pBdr>
        <w:top w:val="single" w:sz="12" w:space="4" w:color="984806"/>
        <w:left w:val="single" w:sz="12" w:space="4" w:color="984806"/>
        <w:bottom w:val="single" w:sz="12" w:space="4" w:color="984806"/>
        <w:right w:val="single" w:sz="12" w:space="4" w:color="984806"/>
      </w:pBdr>
    </w:pPr>
    <w:rPr>
      <w:rFonts w:ascii="Calibri" w:eastAsia="MS Mincho" w:hAnsi="Calibri"/>
      <w:color w:val="000000"/>
      <w:szCs w:val="20"/>
    </w:rPr>
  </w:style>
  <w:style w:type="paragraph" w:customStyle="1" w:styleId="BoxText0">
    <w:name w:val="BoxText"/>
    <w:basedOn w:val="Normal"/>
    <w:qFormat/>
    <w:rsid w:val="00D86EBD"/>
    <w:pPr>
      <w:pBdr>
        <w:top w:val="single" w:sz="12" w:space="4" w:color="C75F09"/>
        <w:left w:val="single" w:sz="12" w:space="4" w:color="C75F09"/>
        <w:bottom w:val="single" w:sz="12" w:space="4" w:color="C75F09"/>
        <w:right w:val="single" w:sz="12" w:space="4" w:color="C75F09"/>
      </w:pBdr>
    </w:pPr>
    <w:rPr>
      <w:rFonts w:ascii="Calibri" w:hAnsi="Calibri"/>
      <w:color w:val="000000"/>
      <w:szCs w:val="20"/>
    </w:rPr>
  </w:style>
  <w:style w:type="paragraph" w:customStyle="1" w:styleId="Tableheading">
    <w:name w:val="Table heading"/>
    <w:link w:val="TableheadingChar"/>
    <w:uiPriority w:val="9"/>
    <w:qFormat/>
    <w:rsid w:val="00D86EBD"/>
    <w:pPr>
      <w:keepNext/>
      <w:spacing w:before="60" w:after="60" w:line="312" w:lineRule="auto"/>
    </w:pPr>
    <w:rPr>
      <w:rFonts w:eastAsia="Calibri" w:cstheme="minorHAnsi"/>
      <w:b/>
      <w:sz w:val="18"/>
      <w:szCs w:val="18"/>
      <w:lang w:val="en-GB" w:eastAsia="en-AU"/>
    </w:rPr>
  </w:style>
  <w:style w:type="character" w:customStyle="1" w:styleId="TableheadingChar">
    <w:name w:val="Table heading Char"/>
    <w:basedOn w:val="TabletextChar"/>
    <w:link w:val="Tableheading"/>
    <w:uiPriority w:val="9"/>
    <w:rsid w:val="00D86EBD"/>
    <w:rPr>
      <w:rFonts w:eastAsia="Calibri" w:cstheme="minorHAnsi"/>
      <w:b/>
      <w:sz w:val="18"/>
      <w:szCs w:val="18"/>
      <w:lang w:val="en-GB" w:eastAsia="en-AU"/>
    </w:rPr>
  </w:style>
  <w:style w:type="table" w:customStyle="1" w:styleId="GridTable5Dark1">
    <w:name w:val="Grid Table 5 Dark1"/>
    <w:basedOn w:val="TableNormal"/>
    <w:uiPriority w:val="50"/>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86EBD"/>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locked/>
    <w:rsid w:val="00D86EBD"/>
    <w:rPr>
      <w:color w:val="808080"/>
      <w:shd w:val="clear" w:color="auto" w:fill="E6E6E6"/>
    </w:rPr>
  </w:style>
  <w:style w:type="character" w:customStyle="1" w:styleId="UnresolvedMention2">
    <w:name w:val="Unresolved Mention2"/>
    <w:basedOn w:val="DefaultParagraphFont"/>
    <w:locked/>
    <w:rsid w:val="00D86EBD"/>
    <w:rPr>
      <w:color w:val="808080"/>
      <w:shd w:val="clear" w:color="auto" w:fill="E6E6E6"/>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B90254"/>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57FC5"/>
  </w:style>
  <w:style w:type="character" w:customStyle="1" w:styleId="UnresolvedMention3">
    <w:name w:val="Unresolved Mention3"/>
    <w:basedOn w:val="DefaultParagraphFont"/>
    <w:uiPriority w:val="99"/>
    <w:semiHidden/>
    <w:unhideWhenUsed/>
    <w:rsid w:val="00FA38A1"/>
    <w:rPr>
      <w:color w:val="808080"/>
      <w:shd w:val="clear" w:color="auto" w:fill="E6E6E6"/>
    </w:rPr>
  </w:style>
  <w:style w:type="character" w:customStyle="1" w:styleId="hvr">
    <w:name w:val="hvr"/>
    <w:basedOn w:val="DefaultParagraphFont"/>
    <w:rsid w:val="00A01A04"/>
  </w:style>
  <w:style w:type="character" w:customStyle="1" w:styleId="UnresolvedMention4">
    <w:name w:val="Unresolved Mention4"/>
    <w:basedOn w:val="DefaultParagraphFont"/>
    <w:uiPriority w:val="99"/>
    <w:semiHidden/>
    <w:unhideWhenUsed/>
    <w:rsid w:val="00854F60"/>
    <w:rPr>
      <w:color w:val="808080"/>
      <w:shd w:val="clear" w:color="auto" w:fill="E6E6E6"/>
    </w:rPr>
  </w:style>
  <w:style w:type="paragraph" w:customStyle="1" w:styleId="Heading">
    <w:name w:val="Heading"/>
    <w:next w:val="Body"/>
    <w:rsid w:val="0083215A"/>
    <w:pPr>
      <w:keepNext/>
      <w:pageBreakBefore/>
      <w:pBdr>
        <w:top w:val="nil"/>
        <w:left w:val="nil"/>
        <w:bottom w:val="nil"/>
        <w:right w:val="nil"/>
        <w:between w:val="nil"/>
        <w:bar w:val="nil"/>
      </w:pBdr>
      <w:spacing w:before="320" w:line="240" w:lineRule="auto"/>
      <w:outlineLvl w:val="3"/>
    </w:pPr>
    <w:rPr>
      <w:rFonts w:ascii="Calibri" w:eastAsia="Calibri" w:hAnsi="Calibri" w:cs="Calibri"/>
      <w:b/>
      <w:bCs/>
      <w:color w:val="01653F"/>
      <w:kern w:val="32"/>
      <w:sz w:val="32"/>
      <w:szCs w:val="32"/>
      <w:u w:color="01653F"/>
      <w:bdr w:val="nil"/>
      <w:lang w:eastAsia="en-AU"/>
    </w:rPr>
  </w:style>
  <w:style w:type="numbering" w:customStyle="1" w:styleId="ImportedStyle1">
    <w:name w:val="Imported Style 1"/>
    <w:rsid w:val="0083215A"/>
    <w:pPr>
      <w:numPr>
        <w:numId w:val="105"/>
      </w:numPr>
    </w:pPr>
  </w:style>
  <w:style w:type="numbering" w:customStyle="1" w:styleId="ImportedStyle4">
    <w:name w:val="Imported Style 4"/>
    <w:rsid w:val="0083215A"/>
    <w:pPr>
      <w:numPr>
        <w:numId w:val="107"/>
      </w:numPr>
    </w:pPr>
  </w:style>
  <w:style w:type="numbering" w:customStyle="1" w:styleId="ImportedStyle5">
    <w:name w:val="Imported Style 5"/>
    <w:rsid w:val="0083215A"/>
    <w:pPr>
      <w:numPr>
        <w:numId w:val="109"/>
      </w:numPr>
    </w:pPr>
  </w:style>
  <w:style w:type="paragraph" w:customStyle="1" w:styleId="HeaderFooter">
    <w:name w:val="Header &amp; Footer"/>
    <w:rsid w:val="006D761C"/>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n-AU"/>
    </w:rPr>
  </w:style>
  <w:style w:type="numbering" w:customStyle="1" w:styleId="ImportedStyle6">
    <w:name w:val="Imported Style 6"/>
    <w:rsid w:val="006D761C"/>
    <w:pPr>
      <w:numPr>
        <w:numId w:val="112"/>
      </w:numPr>
    </w:pPr>
  </w:style>
  <w:style w:type="numbering" w:customStyle="1" w:styleId="ImportedStyle7">
    <w:name w:val="Imported Style 7"/>
    <w:rsid w:val="006D761C"/>
    <w:pPr>
      <w:numPr>
        <w:numId w:val="114"/>
      </w:numPr>
    </w:pPr>
  </w:style>
  <w:style w:type="numbering" w:customStyle="1" w:styleId="ImportedStyle8">
    <w:name w:val="Imported Style 8"/>
    <w:rsid w:val="006D761C"/>
    <w:pPr>
      <w:numPr>
        <w:numId w:val="116"/>
      </w:numPr>
    </w:pPr>
  </w:style>
  <w:style w:type="numbering" w:customStyle="1" w:styleId="ImportedStyle9">
    <w:name w:val="Imported Style 9"/>
    <w:rsid w:val="006D761C"/>
    <w:pPr>
      <w:numPr>
        <w:numId w:val="118"/>
      </w:numPr>
    </w:pPr>
  </w:style>
  <w:style w:type="numbering" w:customStyle="1" w:styleId="ImportedStyle10">
    <w:name w:val="Imported Style 10"/>
    <w:rsid w:val="006D761C"/>
    <w:pPr>
      <w:numPr>
        <w:numId w:val="120"/>
      </w:numPr>
    </w:pPr>
  </w:style>
  <w:style w:type="character" w:customStyle="1" w:styleId="None">
    <w:name w:val="None"/>
    <w:rsid w:val="006D761C"/>
  </w:style>
  <w:style w:type="character" w:customStyle="1" w:styleId="Hyperlink0">
    <w:name w:val="Hyperlink.0"/>
    <w:basedOn w:val="None"/>
    <w:rsid w:val="006D761C"/>
    <w:rPr>
      <w:lang w:val="en-US"/>
    </w:rPr>
  </w:style>
  <w:style w:type="numbering" w:customStyle="1" w:styleId="ImportedStyle11">
    <w:name w:val="Imported Style 11"/>
    <w:rsid w:val="006D761C"/>
    <w:pPr>
      <w:numPr>
        <w:numId w:val="123"/>
      </w:numPr>
    </w:pPr>
  </w:style>
  <w:style w:type="numbering" w:customStyle="1" w:styleId="ImportedStyle12">
    <w:name w:val="Imported Style 12"/>
    <w:rsid w:val="006D761C"/>
    <w:pPr>
      <w:numPr>
        <w:numId w:val="125"/>
      </w:numPr>
    </w:pPr>
  </w:style>
  <w:style w:type="paragraph" w:customStyle="1" w:styleId="Boldhdg">
    <w:name w:val="Bold hdg"/>
    <w:rsid w:val="006D761C"/>
    <w:pPr>
      <w:keepNext/>
      <w:pBdr>
        <w:top w:val="nil"/>
        <w:left w:val="nil"/>
        <w:bottom w:val="nil"/>
        <w:right w:val="nil"/>
        <w:between w:val="nil"/>
        <w:bar w:val="nil"/>
      </w:pBdr>
      <w:spacing w:before="320" w:after="60" w:line="240" w:lineRule="auto"/>
    </w:pPr>
    <w:rPr>
      <w:rFonts w:ascii="Calibri" w:eastAsia="Calibri" w:hAnsi="Calibri" w:cs="Calibri"/>
      <w:b/>
      <w:bCs/>
      <w:color w:val="000000"/>
      <w:u w:color="000000"/>
      <w:bdr w:val="nil"/>
      <w:lang w:val="en-US" w:eastAsia="en-AU"/>
    </w:rPr>
  </w:style>
  <w:style w:type="paragraph" w:customStyle="1" w:styleId="01squarebullet">
    <w:name w:val="01 square bullet"/>
    <w:rsid w:val="006D761C"/>
    <w:pPr>
      <w:pBdr>
        <w:top w:val="nil"/>
        <w:left w:val="nil"/>
        <w:bottom w:val="nil"/>
        <w:right w:val="nil"/>
        <w:between w:val="nil"/>
        <w:bar w:val="nil"/>
      </w:pBdr>
      <w:spacing w:before="120" w:after="60" w:line="240" w:lineRule="auto"/>
      <w:ind w:right="142"/>
    </w:pPr>
    <w:rPr>
      <w:rFonts w:ascii="Calibri" w:eastAsia="Calibri" w:hAnsi="Calibri" w:cs="Calibri"/>
      <w:color w:val="000000"/>
      <w:u w:color="000000"/>
      <w:bdr w:val="nil"/>
      <w:lang w:val="en-US" w:eastAsia="en-AU"/>
    </w:rPr>
  </w:style>
  <w:style w:type="numbering" w:customStyle="1" w:styleId="ImportedStyle13">
    <w:name w:val="Imported Style 13"/>
    <w:rsid w:val="006D761C"/>
    <w:pPr>
      <w:numPr>
        <w:numId w:val="131"/>
      </w:numPr>
    </w:pPr>
  </w:style>
  <w:style w:type="numbering" w:customStyle="1" w:styleId="ImportedStyle14">
    <w:name w:val="Imported Style 14"/>
    <w:rsid w:val="006D761C"/>
    <w:pPr>
      <w:numPr>
        <w:numId w:val="138"/>
      </w:numPr>
    </w:pPr>
  </w:style>
  <w:style w:type="numbering" w:customStyle="1" w:styleId="ImportedStyle15">
    <w:name w:val="Imported Style 15"/>
    <w:rsid w:val="006D761C"/>
    <w:pPr>
      <w:numPr>
        <w:numId w:val="140"/>
      </w:numPr>
    </w:pPr>
  </w:style>
  <w:style w:type="numbering" w:customStyle="1" w:styleId="ImportedStyle16">
    <w:name w:val="Imported Style 16"/>
    <w:rsid w:val="006D761C"/>
    <w:pPr>
      <w:numPr>
        <w:numId w:val="142"/>
      </w:numPr>
    </w:pPr>
  </w:style>
  <w:style w:type="numbering" w:customStyle="1" w:styleId="ImportedStyle17">
    <w:name w:val="Imported Style 17"/>
    <w:rsid w:val="006D761C"/>
    <w:pPr>
      <w:numPr>
        <w:numId w:val="144"/>
      </w:numPr>
    </w:pPr>
  </w:style>
  <w:style w:type="numbering" w:customStyle="1" w:styleId="ImportedStyle18">
    <w:name w:val="Imported Style 18"/>
    <w:rsid w:val="006D761C"/>
    <w:pPr>
      <w:numPr>
        <w:numId w:val="146"/>
      </w:numPr>
    </w:pPr>
  </w:style>
  <w:style w:type="paragraph" w:customStyle="1" w:styleId="Default">
    <w:name w:val="Default"/>
    <w:rsid w:val="006D761C"/>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AU"/>
    </w:rPr>
  </w:style>
  <w:style w:type="numbering" w:customStyle="1" w:styleId="ImportedStyle19">
    <w:name w:val="Imported Style 19"/>
    <w:rsid w:val="006D761C"/>
    <w:pPr>
      <w:numPr>
        <w:numId w:val="149"/>
      </w:numPr>
    </w:pPr>
  </w:style>
  <w:style w:type="numbering" w:customStyle="1" w:styleId="ImportedStyle20">
    <w:name w:val="Imported Style 20"/>
    <w:rsid w:val="006D761C"/>
    <w:pPr>
      <w:numPr>
        <w:numId w:val="152"/>
      </w:numPr>
    </w:pPr>
  </w:style>
  <w:style w:type="numbering" w:customStyle="1" w:styleId="ImportedStyle21">
    <w:name w:val="Imported Style 21"/>
    <w:rsid w:val="006D761C"/>
    <w:pPr>
      <w:numPr>
        <w:numId w:val="156"/>
      </w:numPr>
    </w:pPr>
  </w:style>
  <w:style w:type="numbering" w:customStyle="1" w:styleId="ImportedStyle22">
    <w:name w:val="Imported Style 22"/>
    <w:rsid w:val="006D761C"/>
    <w:pPr>
      <w:numPr>
        <w:numId w:val="160"/>
      </w:numPr>
    </w:pPr>
  </w:style>
  <w:style w:type="numbering" w:customStyle="1" w:styleId="ImportedStyle23">
    <w:name w:val="Imported Style 23"/>
    <w:rsid w:val="006D761C"/>
    <w:pPr>
      <w:numPr>
        <w:numId w:val="162"/>
      </w:numPr>
    </w:pPr>
  </w:style>
  <w:style w:type="numbering" w:customStyle="1" w:styleId="ImportedStyle24">
    <w:name w:val="Imported Style 24"/>
    <w:rsid w:val="006D761C"/>
    <w:pPr>
      <w:numPr>
        <w:numId w:val="165"/>
      </w:numPr>
    </w:pPr>
  </w:style>
  <w:style w:type="numbering" w:customStyle="1" w:styleId="ImportedStyle25">
    <w:name w:val="Imported Style 25"/>
    <w:rsid w:val="006D761C"/>
    <w:pPr>
      <w:numPr>
        <w:numId w:val="168"/>
      </w:numPr>
    </w:pPr>
  </w:style>
  <w:style w:type="numbering" w:customStyle="1" w:styleId="ImportedStyle26">
    <w:name w:val="Imported Style 26"/>
    <w:rsid w:val="006D761C"/>
    <w:pPr>
      <w:numPr>
        <w:numId w:val="171"/>
      </w:numPr>
    </w:pPr>
  </w:style>
  <w:style w:type="numbering" w:customStyle="1" w:styleId="ImportedStyle27">
    <w:name w:val="Imported Style 27"/>
    <w:rsid w:val="006D761C"/>
    <w:pPr>
      <w:numPr>
        <w:numId w:val="176"/>
      </w:numPr>
    </w:pPr>
  </w:style>
  <w:style w:type="numbering" w:customStyle="1" w:styleId="ImportedStyle28">
    <w:name w:val="Imported Style 28"/>
    <w:rsid w:val="006D761C"/>
    <w:pPr>
      <w:numPr>
        <w:numId w:val="182"/>
      </w:numPr>
    </w:pPr>
  </w:style>
  <w:style w:type="numbering" w:customStyle="1" w:styleId="ImportedStyle29">
    <w:name w:val="Imported Style 29"/>
    <w:rsid w:val="006D761C"/>
    <w:pPr>
      <w:numPr>
        <w:numId w:val="185"/>
      </w:numPr>
    </w:pPr>
  </w:style>
  <w:style w:type="numbering" w:customStyle="1" w:styleId="ImportedStyle30">
    <w:name w:val="Imported Style 30"/>
    <w:rsid w:val="006D761C"/>
    <w:pPr>
      <w:numPr>
        <w:numId w:val="187"/>
      </w:numPr>
    </w:pPr>
  </w:style>
  <w:style w:type="numbering" w:customStyle="1" w:styleId="ImportedStyle31">
    <w:name w:val="Imported Style 31"/>
    <w:rsid w:val="006D761C"/>
    <w:pPr>
      <w:numPr>
        <w:numId w:val="190"/>
      </w:numPr>
    </w:pPr>
  </w:style>
  <w:style w:type="numbering" w:customStyle="1" w:styleId="ImportedStyle2">
    <w:name w:val="Imported Style 2"/>
    <w:rsid w:val="006D761C"/>
    <w:pPr>
      <w:numPr>
        <w:numId w:val="193"/>
      </w:numPr>
    </w:pPr>
  </w:style>
  <w:style w:type="paragraph" w:customStyle="1" w:styleId="Heading3Numbered">
    <w:name w:val="Heading 3 Numbered"/>
    <w:basedOn w:val="Heading2"/>
    <w:uiPriority w:val="5"/>
    <w:qFormat/>
    <w:rsid w:val="00980D7F"/>
    <w:pPr>
      <w:numPr>
        <w:ilvl w:val="0"/>
        <w:numId w:val="0"/>
      </w:numPr>
      <w:spacing w:before="120" w:line="312" w:lineRule="auto"/>
      <w:ind w:left="720" w:hanging="720"/>
      <w:outlineLvl w:val="2"/>
    </w:pPr>
    <w:rPr>
      <w:rFonts w:asciiTheme="minorHAnsi" w:eastAsiaTheme="minorHAnsi" w:hAnsiTheme="minorHAnsi" w:cs="Arial"/>
      <w:bCs/>
      <w:iCs/>
      <w:color w:val="auto"/>
      <w:sz w:val="24"/>
      <w:lang w:val="en-US"/>
    </w:rPr>
  </w:style>
  <w:style w:type="character" w:customStyle="1" w:styleId="NoSpacingChar">
    <w:name w:val="No Spacing Char"/>
    <w:basedOn w:val="DefaultParagraphFont"/>
    <w:link w:val="NoSpacing"/>
    <w:uiPriority w:val="1"/>
    <w:rsid w:val="00277175"/>
  </w:style>
  <w:style w:type="paragraph" w:customStyle="1" w:styleId="21minor">
    <w:name w:val="21 minor"/>
    <w:basedOn w:val="Normal"/>
    <w:next w:val="Normal"/>
    <w:uiPriority w:val="2"/>
    <w:qFormat/>
    <w:rsid w:val="00C57573"/>
    <w:pPr>
      <w:keepNext/>
      <w:spacing w:before="420" w:line="240" w:lineRule="auto"/>
      <w:ind w:right="360"/>
      <w:outlineLvl w:val="2"/>
    </w:pPr>
    <w:rPr>
      <w:rFonts w:ascii="Arial" w:hAnsi="Arial" w:cs="Times New Roman"/>
      <w:b/>
      <w:szCs w:val="20"/>
      <w:lang w:eastAsia="en-US"/>
    </w:rPr>
  </w:style>
  <w:style w:type="paragraph" w:customStyle="1" w:styleId="60exhnormal">
    <w:name w:val="60 exh normal"/>
    <w:basedOn w:val="Normal"/>
    <w:rsid w:val="002A2702"/>
    <w:pPr>
      <w:spacing w:before="200" w:after="0" w:line="240" w:lineRule="auto"/>
    </w:pPr>
    <w:rPr>
      <w:rFonts w:ascii="Arial" w:hAnsi="Arial" w:cs="Times New Roman"/>
      <w:caps/>
      <w:sz w:val="22"/>
      <w:szCs w:val="20"/>
      <w:lang w:val="en-US" w:eastAsia="en-US"/>
    </w:rPr>
  </w:style>
  <w:style w:type="paragraph" w:customStyle="1" w:styleId="70exhtblnormal">
    <w:name w:val="70 exh tbl normal"/>
    <w:basedOn w:val="Normal"/>
    <w:rsid w:val="002A2702"/>
    <w:pPr>
      <w:spacing w:before="60" w:after="60" w:line="240" w:lineRule="auto"/>
      <w:ind w:left="144" w:right="289"/>
    </w:pPr>
    <w:rPr>
      <w:rFonts w:ascii="Arial" w:hAnsi="Arial" w:cs="Times New Roman"/>
      <w:szCs w:val="20"/>
      <w:lang w:val="en-US" w:eastAsia="en-US"/>
    </w:rPr>
  </w:style>
  <w:style w:type="character" w:customStyle="1" w:styleId="UnresolvedMention5">
    <w:name w:val="Unresolved Mention5"/>
    <w:basedOn w:val="DefaultParagraphFont"/>
    <w:uiPriority w:val="99"/>
    <w:semiHidden/>
    <w:unhideWhenUsed/>
    <w:rsid w:val="00316AAB"/>
    <w:rPr>
      <w:color w:val="808080"/>
      <w:shd w:val="clear" w:color="auto" w:fill="E6E6E6"/>
    </w:rPr>
  </w:style>
  <w:style w:type="character" w:customStyle="1" w:styleId="UnresolvedMention6">
    <w:name w:val="Unresolved Mention6"/>
    <w:basedOn w:val="DefaultParagraphFont"/>
    <w:uiPriority w:val="99"/>
    <w:semiHidden/>
    <w:unhideWhenUsed/>
    <w:rsid w:val="00A067E0"/>
    <w:rPr>
      <w:color w:val="808080"/>
      <w:shd w:val="clear" w:color="auto" w:fill="E6E6E6"/>
    </w:rPr>
  </w:style>
  <w:style w:type="character" w:customStyle="1" w:styleId="UnresolvedMention60">
    <w:name w:val="Unresolved Mention6"/>
    <w:basedOn w:val="DefaultParagraphFont"/>
    <w:uiPriority w:val="99"/>
    <w:semiHidden/>
    <w:unhideWhenUsed/>
    <w:rsid w:val="009A60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4590">
      <w:bodyDiv w:val="1"/>
      <w:marLeft w:val="0"/>
      <w:marRight w:val="0"/>
      <w:marTop w:val="0"/>
      <w:marBottom w:val="0"/>
      <w:divBdr>
        <w:top w:val="none" w:sz="0" w:space="0" w:color="auto"/>
        <w:left w:val="none" w:sz="0" w:space="0" w:color="auto"/>
        <w:bottom w:val="none" w:sz="0" w:space="0" w:color="auto"/>
        <w:right w:val="none" w:sz="0" w:space="0" w:color="auto"/>
      </w:divBdr>
    </w:div>
    <w:div w:id="29425950">
      <w:bodyDiv w:val="1"/>
      <w:marLeft w:val="0"/>
      <w:marRight w:val="0"/>
      <w:marTop w:val="0"/>
      <w:marBottom w:val="0"/>
      <w:divBdr>
        <w:top w:val="none" w:sz="0" w:space="0" w:color="auto"/>
        <w:left w:val="none" w:sz="0" w:space="0" w:color="auto"/>
        <w:bottom w:val="none" w:sz="0" w:space="0" w:color="auto"/>
        <w:right w:val="none" w:sz="0" w:space="0" w:color="auto"/>
      </w:divBdr>
    </w:div>
    <w:div w:id="32003759">
      <w:bodyDiv w:val="1"/>
      <w:marLeft w:val="0"/>
      <w:marRight w:val="0"/>
      <w:marTop w:val="0"/>
      <w:marBottom w:val="0"/>
      <w:divBdr>
        <w:top w:val="none" w:sz="0" w:space="0" w:color="auto"/>
        <w:left w:val="none" w:sz="0" w:space="0" w:color="auto"/>
        <w:bottom w:val="none" w:sz="0" w:space="0" w:color="auto"/>
        <w:right w:val="none" w:sz="0" w:space="0" w:color="auto"/>
      </w:divBdr>
    </w:div>
    <w:div w:id="47800394">
      <w:bodyDiv w:val="1"/>
      <w:marLeft w:val="0"/>
      <w:marRight w:val="0"/>
      <w:marTop w:val="0"/>
      <w:marBottom w:val="0"/>
      <w:divBdr>
        <w:top w:val="none" w:sz="0" w:space="0" w:color="auto"/>
        <w:left w:val="none" w:sz="0" w:space="0" w:color="auto"/>
        <w:bottom w:val="none" w:sz="0" w:space="0" w:color="auto"/>
        <w:right w:val="none" w:sz="0" w:space="0" w:color="auto"/>
      </w:divBdr>
    </w:div>
    <w:div w:id="58135997">
      <w:bodyDiv w:val="1"/>
      <w:marLeft w:val="0"/>
      <w:marRight w:val="0"/>
      <w:marTop w:val="0"/>
      <w:marBottom w:val="0"/>
      <w:divBdr>
        <w:top w:val="none" w:sz="0" w:space="0" w:color="auto"/>
        <w:left w:val="none" w:sz="0" w:space="0" w:color="auto"/>
        <w:bottom w:val="none" w:sz="0" w:space="0" w:color="auto"/>
        <w:right w:val="none" w:sz="0" w:space="0" w:color="auto"/>
      </w:divBdr>
    </w:div>
    <w:div w:id="74589839">
      <w:bodyDiv w:val="1"/>
      <w:marLeft w:val="0"/>
      <w:marRight w:val="0"/>
      <w:marTop w:val="0"/>
      <w:marBottom w:val="0"/>
      <w:divBdr>
        <w:top w:val="none" w:sz="0" w:space="0" w:color="auto"/>
        <w:left w:val="none" w:sz="0" w:space="0" w:color="auto"/>
        <w:bottom w:val="none" w:sz="0" w:space="0" w:color="auto"/>
        <w:right w:val="none" w:sz="0" w:space="0" w:color="auto"/>
      </w:divBdr>
    </w:div>
    <w:div w:id="76827508">
      <w:bodyDiv w:val="1"/>
      <w:marLeft w:val="0"/>
      <w:marRight w:val="0"/>
      <w:marTop w:val="0"/>
      <w:marBottom w:val="0"/>
      <w:divBdr>
        <w:top w:val="none" w:sz="0" w:space="0" w:color="auto"/>
        <w:left w:val="none" w:sz="0" w:space="0" w:color="auto"/>
        <w:bottom w:val="none" w:sz="0" w:space="0" w:color="auto"/>
        <w:right w:val="none" w:sz="0" w:space="0" w:color="auto"/>
      </w:divBdr>
    </w:div>
    <w:div w:id="84303434">
      <w:bodyDiv w:val="1"/>
      <w:marLeft w:val="0"/>
      <w:marRight w:val="0"/>
      <w:marTop w:val="0"/>
      <w:marBottom w:val="0"/>
      <w:divBdr>
        <w:top w:val="none" w:sz="0" w:space="0" w:color="auto"/>
        <w:left w:val="none" w:sz="0" w:space="0" w:color="auto"/>
        <w:bottom w:val="none" w:sz="0" w:space="0" w:color="auto"/>
        <w:right w:val="none" w:sz="0" w:space="0" w:color="auto"/>
      </w:divBdr>
    </w:div>
    <w:div w:id="87967737">
      <w:bodyDiv w:val="1"/>
      <w:marLeft w:val="0"/>
      <w:marRight w:val="0"/>
      <w:marTop w:val="0"/>
      <w:marBottom w:val="0"/>
      <w:divBdr>
        <w:top w:val="none" w:sz="0" w:space="0" w:color="auto"/>
        <w:left w:val="none" w:sz="0" w:space="0" w:color="auto"/>
        <w:bottom w:val="none" w:sz="0" w:space="0" w:color="auto"/>
        <w:right w:val="none" w:sz="0" w:space="0" w:color="auto"/>
      </w:divBdr>
    </w:div>
    <w:div w:id="97677807">
      <w:bodyDiv w:val="1"/>
      <w:marLeft w:val="0"/>
      <w:marRight w:val="0"/>
      <w:marTop w:val="0"/>
      <w:marBottom w:val="0"/>
      <w:divBdr>
        <w:top w:val="none" w:sz="0" w:space="0" w:color="auto"/>
        <w:left w:val="none" w:sz="0" w:space="0" w:color="auto"/>
        <w:bottom w:val="none" w:sz="0" w:space="0" w:color="auto"/>
        <w:right w:val="none" w:sz="0" w:space="0" w:color="auto"/>
      </w:divBdr>
    </w:div>
    <w:div w:id="101657677">
      <w:bodyDiv w:val="1"/>
      <w:marLeft w:val="0"/>
      <w:marRight w:val="0"/>
      <w:marTop w:val="0"/>
      <w:marBottom w:val="0"/>
      <w:divBdr>
        <w:top w:val="none" w:sz="0" w:space="0" w:color="auto"/>
        <w:left w:val="none" w:sz="0" w:space="0" w:color="auto"/>
        <w:bottom w:val="none" w:sz="0" w:space="0" w:color="auto"/>
        <w:right w:val="none" w:sz="0" w:space="0" w:color="auto"/>
      </w:divBdr>
    </w:div>
    <w:div w:id="103770306">
      <w:bodyDiv w:val="1"/>
      <w:marLeft w:val="0"/>
      <w:marRight w:val="0"/>
      <w:marTop w:val="0"/>
      <w:marBottom w:val="0"/>
      <w:divBdr>
        <w:top w:val="none" w:sz="0" w:space="0" w:color="auto"/>
        <w:left w:val="none" w:sz="0" w:space="0" w:color="auto"/>
        <w:bottom w:val="none" w:sz="0" w:space="0" w:color="auto"/>
        <w:right w:val="none" w:sz="0" w:space="0" w:color="auto"/>
      </w:divBdr>
    </w:div>
    <w:div w:id="105396687">
      <w:bodyDiv w:val="1"/>
      <w:marLeft w:val="0"/>
      <w:marRight w:val="0"/>
      <w:marTop w:val="0"/>
      <w:marBottom w:val="0"/>
      <w:divBdr>
        <w:top w:val="none" w:sz="0" w:space="0" w:color="auto"/>
        <w:left w:val="none" w:sz="0" w:space="0" w:color="auto"/>
        <w:bottom w:val="none" w:sz="0" w:space="0" w:color="auto"/>
        <w:right w:val="none" w:sz="0" w:space="0" w:color="auto"/>
      </w:divBdr>
    </w:div>
    <w:div w:id="105731671">
      <w:bodyDiv w:val="1"/>
      <w:marLeft w:val="0"/>
      <w:marRight w:val="0"/>
      <w:marTop w:val="0"/>
      <w:marBottom w:val="0"/>
      <w:divBdr>
        <w:top w:val="none" w:sz="0" w:space="0" w:color="auto"/>
        <w:left w:val="none" w:sz="0" w:space="0" w:color="auto"/>
        <w:bottom w:val="none" w:sz="0" w:space="0" w:color="auto"/>
        <w:right w:val="none" w:sz="0" w:space="0" w:color="auto"/>
      </w:divBdr>
    </w:div>
    <w:div w:id="106240211">
      <w:bodyDiv w:val="1"/>
      <w:marLeft w:val="0"/>
      <w:marRight w:val="0"/>
      <w:marTop w:val="0"/>
      <w:marBottom w:val="0"/>
      <w:divBdr>
        <w:top w:val="none" w:sz="0" w:space="0" w:color="auto"/>
        <w:left w:val="none" w:sz="0" w:space="0" w:color="auto"/>
        <w:bottom w:val="none" w:sz="0" w:space="0" w:color="auto"/>
        <w:right w:val="none" w:sz="0" w:space="0" w:color="auto"/>
      </w:divBdr>
    </w:div>
    <w:div w:id="111484048">
      <w:bodyDiv w:val="1"/>
      <w:marLeft w:val="0"/>
      <w:marRight w:val="0"/>
      <w:marTop w:val="0"/>
      <w:marBottom w:val="0"/>
      <w:divBdr>
        <w:top w:val="none" w:sz="0" w:space="0" w:color="auto"/>
        <w:left w:val="none" w:sz="0" w:space="0" w:color="auto"/>
        <w:bottom w:val="none" w:sz="0" w:space="0" w:color="auto"/>
        <w:right w:val="none" w:sz="0" w:space="0" w:color="auto"/>
      </w:divBdr>
    </w:div>
    <w:div w:id="113060422">
      <w:bodyDiv w:val="1"/>
      <w:marLeft w:val="0"/>
      <w:marRight w:val="0"/>
      <w:marTop w:val="0"/>
      <w:marBottom w:val="0"/>
      <w:divBdr>
        <w:top w:val="none" w:sz="0" w:space="0" w:color="auto"/>
        <w:left w:val="none" w:sz="0" w:space="0" w:color="auto"/>
        <w:bottom w:val="none" w:sz="0" w:space="0" w:color="auto"/>
        <w:right w:val="none" w:sz="0" w:space="0" w:color="auto"/>
      </w:divBdr>
    </w:div>
    <w:div w:id="124203877">
      <w:bodyDiv w:val="1"/>
      <w:marLeft w:val="0"/>
      <w:marRight w:val="0"/>
      <w:marTop w:val="0"/>
      <w:marBottom w:val="0"/>
      <w:divBdr>
        <w:top w:val="none" w:sz="0" w:space="0" w:color="auto"/>
        <w:left w:val="none" w:sz="0" w:space="0" w:color="auto"/>
        <w:bottom w:val="none" w:sz="0" w:space="0" w:color="auto"/>
        <w:right w:val="none" w:sz="0" w:space="0" w:color="auto"/>
      </w:divBdr>
    </w:div>
    <w:div w:id="149292958">
      <w:bodyDiv w:val="1"/>
      <w:marLeft w:val="0"/>
      <w:marRight w:val="0"/>
      <w:marTop w:val="0"/>
      <w:marBottom w:val="0"/>
      <w:divBdr>
        <w:top w:val="none" w:sz="0" w:space="0" w:color="auto"/>
        <w:left w:val="none" w:sz="0" w:space="0" w:color="auto"/>
        <w:bottom w:val="none" w:sz="0" w:space="0" w:color="auto"/>
        <w:right w:val="none" w:sz="0" w:space="0" w:color="auto"/>
      </w:divBdr>
    </w:div>
    <w:div w:id="153034739">
      <w:bodyDiv w:val="1"/>
      <w:marLeft w:val="0"/>
      <w:marRight w:val="0"/>
      <w:marTop w:val="0"/>
      <w:marBottom w:val="0"/>
      <w:divBdr>
        <w:top w:val="none" w:sz="0" w:space="0" w:color="auto"/>
        <w:left w:val="none" w:sz="0" w:space="0" w:color="auto"/>
        <w:bottom w:val="none" w:sz="0" w:space="0" w:color="auto"/>
        <w:right w:val="none" w:sz="0" w:space="0" w:color="auto"/>
      </w:divBdr>
    </w:div>
    <w:div w:id="155849615">
      <w:bodyDiv w:val="1"/>
      <w:marLeft w:val="0"/>
      <w:marRight w:val="0"/>
      <w:marTop w:val="0"/>
      <w:marBottom w:val="0"/>
      <w:divBdr>
        <w:top w:val="none" w:sz="0" w:space="0" w:color="auto"/>
        <w:left w:val="none" w:sz="0" w:space="0" w:color="auto"/>
        <w:bottom w:val="none" w:sz="0" w:space="0" w:color="auto"/>
        <w:right w:val="none" w:sz="0" w:space="0" w:color="auto"/>
      </w:divBdr>
    </w:div>
    <w:div w:id="157891590">
      <w:bodyDiv w:val="1"/>
      <w:marLeft w:val="0"/>
      <w:marRight w:val="0"/>
      <w:marTop w:val="0"/>
      <w:marBottom w:val="0"/>
      <w:divBdr>
        <w:top w:val="none" w:sz="0" w:space="0" w:color="auto"/>
        <w:left w:val="none" w:sz="0" w:space="0" w:color="auto"/>
        <w:bottom w:val="none" w:sz="0" w:space="0" w:color="auto"/>
        <w:right w:val="none" w:sz="0" w:space="0" w:color="auto"/>
      </w:divBdr>
    </w:div>
    <w:div w:id="158933995">
      <w:bodyDiv w:val="1"/>
      <w:marLeft w:val="0"/>
      <w:marRight w:val="0"/>
      <w:marTop w:val="0"/>
      <w:marBottom w:val="0"/>
      <w:divBdr>
        <w:top w:val="none" w:sz="0" w:space="0" w:color="auto"/>
        <w:left w:val="none" w:sz="0" w:space="0" w:color="auto"/>
        <w:bottom w:val="none" w:sz="0" w:space="0" w:color="auto"/>
        <w:right w:val="none" w:sz="0" w:space="0" w:color="auto"/>
      </w:divBdr>
    </w:div>
    <w:div w:id="160896870">
      <w:bodyDiv w:val="1"/>
      <w:marLeft w:val="0"/>
      <w:marRight w:val="0"/>
      <w:marTop w:val="0"/>
      <w:marBottom w:val="0"/>
      <w:divBdr>
        <w:top w:val="none" w:sz="0" w:space="0" w:color="auto"/>
        <w:left w:val="none" w:sz="0" w:space="0" w:color="auto"/>
        <w:bottom w:val="none" w:sz="0" w:space="0" w:color="auto"/>
        <w:right w:val="none" w:sz="0" w:space="0" w:color="auto"/>
      </w:divBdr>
    </w:div>
    <w:div w:id="161744238">
      <w:bodyDiv w:val="1"/>
      <w:marLeft w:val="0"/>
      <w:marRight w:val="0"/>
      <w:marTop w:val="0"/>
      <w:marBottom w:val="0"/>
      <w:divBdr>
        <w:top w:val="none" w:sz="0" w:space="0" w:color="auto"/>
        <w:left w:val="none" w:sz="0" w:space="0" w:color="auto"/>
        <w:bottom w:val="none" w:sz="0" w:space="0" w:color="auto"/>
        <w:right w:val="none" w:sz="0" w:space="0" w:color="auto"/>
      </w:divBdr>
    </w:div>
    <w:div w:id="170920974">
      <w:bodyDiv w:val="1"/>
      <w:marLeft w:val="0"/>
      <w:marRight w:val="0"/>
      <w:marTop w:val="0"/>
      <w:marBottom w:val="0"/>
      <w:divBdr>
        <w:top w:val="none" w:sz="0" w:space="0" w:color="auto"/>
        <w:left w:val="none" w:sz="0" w:space="0" w:color="auto"/>
        <w:bottom w:val="none" w:sz="0" w:space="0" w:color="auto"/>
        <w:right w:val="none" w:sz="0" w:space="0" w:color="auto"/>
      </w:divBdr>
    </w:div>
    <w:div w:id="176501290">
      <w:bodyDiv w:val="1"/>
      <w:marLeft w:val="0"/>
      <w:marRight w:val="0"/>
      <w:marTop w:val="0"/>
      <w:marBottom w:val="0"/>
      <w:divBdr>
        <w:top w:val="none" w:sz="0" w:space="0" w:color="auto"/>
        <w:left w:val="none" w:sz="0" w:space="0" w:color="auto"/>
        <w:bottom w:val="none" w:sz="0" w:space="0" w:color="auto"/>
        <w:right w:val="none" w:sz="0" w:space="0" w:color="auto"/>
      </w:divBdr>
    </w:div>
    <w:div w:id="188879069">
      <w:bodyDiv w:val="1"/>
      <w:marLeft w:val="0"/>
      <w:marRight w:val="0"/>
      <w:marTop w:val="0"/>
      <w:marBottom w:val="0"/>
      <w:divBdr>
        <w:top w:val="none" w:sz="0" w:space="0" w:color="auto"/>
        <w:left w:val="none" w:sz="0" w:space="0" w:color="auto"/>
        <w:bottom w:val="none" w:sz="0" w:space="0" w:color="auto"/>
        <w:right w:val="none" w:sz="0" w:space="0" w:color="auto"/>
      </w:divBdr>
    </w:div>
    <w:div w:id="195385687">
      <w:bodyDiv w:val="1"/>
      <w:marLeft w:val="0"/>
      <w:marRight w:val="0"/>
      <w:marTop w:val="0"/>
      <w:marBottom w:val="0"/>
      <w:divBdr>
        <w:top w:val="none" w:sz="0" w:space="0" w:color="auto"/>
        <w:left w:val="none" w:sz="0" w:space="0" w:color="auto"/>
        <w:bottom w:val="none" w:sz="0" w:space="0" w:color="auto"/>
        <w:right w:val="none" w:sz="0" w:space="0" w:color="auto"/>
      </w:divBdr>
    </w:div>
    <w:div w:id="200943020">
      <w:bodyDiv w:val="1"/>
      <w:marLeft w:val="0"/>
      <w:marRight w:val="0"/>
      <w:marTop w:val="0"/>
      <w:marBottom w:val="0"/>
      <w:divBdr>
        <w:top w:val="none" w:sz="0" w:space="0" w:color="auto"/>
        <w:left w:val="none" w:sz="0" w:space="0" w:color="auto"/>
        <w:bottom w:val="none" w:sz="0" w:space="0" w:color="auto"/>
        <w:right w:val="none" w:sz="0" w:space="0" w:color="auto"/>
      </w:divBdr>
    </w:div>
    <w:div w:id="220293599">
      <w:bodyDiv w:val="1"/>
      <w:marLeft w:val="0"/>
      <w:marRight w:val="0"/>
      <w:marTop w:val="0"/>
      <w:marBottom w:val="0"/>
      <w:divBdr>
        <w:top w:val="none" w:sz="0" w:space="0" w:color="auto"/>
        <w:left w:val="none" w:sz="0" w:space="0" w:color="auto"/>
        <w:bottom w:val="none" w:sz="0" w:space="0" w:color="auto"/>
        <w:right w:val="none" w:sz="0" w:space="0" w:color="auto"/>
      </w:divBdr>
    </w:div>
    <w:div w:id="222178666">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5654429">
      <w:bodyDiv w:val="1"/>
      <w:marLeft w:val="0"/>
      <w:marRight w:val="0"/>
      <w:marTop w:val="0"/>
      <w:marBottom w:val="0"/>
      <w:divBdr>
        <w:top w:val="none" w:sz="0" w:space="0" w:color="auto"/>
        <w:left w:val="none" w:sz="0" w:space="0" w:color="auto"/>
        <w:bottom w:val="none" w:sz="0" w:space="0" w:color="auto"/>
        <w:right w:val="none" w:sz="0" w:space="0" w:color="auto"/>
      </w:divBdr>
    </w:div>
    <w:div w:id="227420796">
      <w:bodyDiv w:val="1"/>
      <w:marLeft w:val="0"/>
      <w:marRight w:val="0"/>
      <w:marTop w:val="0"/>
      <w:marBottom w:val="0"/>
      <w:divBdr>
        <w:top w:val="none" w:sz="0" w:space="0" w:color="auto"/>
        <w:left w:val="none" w:sz="0" w:space="0" w:color="auto"/>
        <w:bottom w:val="none" w:sz="0" w:space="0" w:color="auto"/>
        <w:right w:val="none" w:sz="0" w:space="0" w:color="auto"/>
      </w:divBdr>
    </w:div>
    <w:div w:id="269778240">
      <w:bodyDiv w:val="1"/>
      <w:marLeft w:val="0"/>
      <w:marRight w:val="0"/>
      <w:marTop w:val="0"/>
      <w:marBottom w:val="0"/>
      <w:divBdr>
        <w:top w:val="none" w:sz="0" w:space="0" w:color="auto"/>
        <w:left w:val="none" w:sz="0" w:space="0" w:color="auto"/>
        <w:bottom w:val="none" w:sz="0" w:space="0" w:color="auto"/>
        <w:right w:val="none" w:sz="0" w:space="0" w:color="auto"/>
      </w:divBdr>
    </w:div>
    <w:div w:id="272368434">
      <w:bodyDiv w:val="1"/>
      <w:marLeft w:val="0"/>
      <w:marRight w:val="0"/>
      <w:marTop w:val="0"/>
      <w:marBottom w:val="0"/>
      <w:divBdr>
        <w:top w:val="none" w:sz="0" w:space="0" w:color="auto"/>
        <w:left w:val="none" w:sz="0" w:space="0" w:color="auto"/>
        <w:bottom w:val="none" w:sz="0" w:space="0" w:color="auto"/>
        <w:right w:val="none" w:sz="0" w:space="0" w:color="auto"/>
      </w:divBdr>
    </w:div>
    <w:div w:id="299696254">
      <w:bodyDiv w:val="1"/>
      <w:marLeft w:val="0"/>
      <w:marRight w:val="0"/>
      <w:marTop w:val="0"/>
      <w:marBottom w:val="0"/>
      <w:divBdr>
        <w:top w:val="none" w:sz="0" w:space="0" w:color="auto"/>
        <w:left w:val="none" w:sz="0" w:space="0" w:color="auto"/>
        <w:bottom w:val="none" w:sz="0" w:space="0" w:color="auto"/>
        <w:right w:val="none" w:sz="0" w:space="0" w:color="auto"/>
      </w:divBdr>
    </w:div>
    <w:div w:id="309336362">
      <w:bodyDiv w:val="1"/>
      <w:marLeft w:val="0"/>
      <w:marRight w:val="0"/>
      <w:marTop w:val="0"/>
      <w:marBottom w:val="0"/>
      <w:divBdr>
        <w:top w:val="none" w:sz="0" w:space="0" w:color="auto"/>
        <w:left w:val="none" w:sz="0" w:space="0" w:color="auto"/>
        <w:bottom w:val="none" w:sz="0" w:space="0" w:color="auto"/>
        <w:right w:val="none" w:sz="0" w:space="0" w:color="auto"/>
      </w:divBdr>
    </w:div>
    <w:div w:id="322971211">
      <w:bodyDiv w:val="1"/>
      <w:marLeft w:val="0"/>
      <w:marRight w:val="0"/>
      <w:marTop w:val="0"/>
      <w:marBottom w:val="0"/>
      <w:divBdr>
        <w:top w:val="none" w:sz="0" w:space="0" w:color="auto"/>
        <w:left w:val="none" w:sz="0" w:space="0" w:color="auto"/>
        <w:bottom w:val="none" w:sz="0" w:space="0" w:color="auto"/>
        <w:right w:val="none" w:sz="0" w:space="0" w:color="auto"/>
      </w:divBdr>
    </w:div>
    <w:div w:id="328406186">
      <w:bodyDiv w:val="1"/>
      <w:marLeft w:val="0"/>
      <w:marRight w:val="0"/>
      <w:marTop w:val="0"/>
      <w:marBottom w:val="0"/>
      <w:divBdr>
        <w:top w:val="none" w:sz="0" w:space="0" w:color="auto"/>
        <w:left w:val="none" w:sz="0" w:space="0" w:color="auto"/>
        <w:bottom w:val="none" w:sz="0" w:space="0" w:color="auto"/>
        <w:right w:val="none" w:sz="0" w:space="0" w:color="auto"/>
      </w:divBdr>
    </w:div>
    <w:div w:id="331370080">
      <w:bodyDiv w:val="1"/>
      <w:marLeft w:val="0"/>
      <w:marRight w:val="0"/>
      <w:marTop w:val="0"/>
      <w:marBottom w:val="0"/>
      <w:divBdr>
        <w:top w:val="none" w:sz="0" w:space="0" w:color="auto"/>
        <w:left w:val="none" w:sz="0" w:space="0" w:color="auto"/>
        <w:bottom w:val="none" w:sz="0" w:space="0" w:color="auto"/>
        <w:right w:val="none" w:sz="0" w:space="0" w:color="auto"/>
      </w:divBdr>
    </w:div>
    <w:div w:id="339429805">
      <w:bodyDiv w:val="1"/>
      <w:marLeft w:val="0"/>
      <w:marRight w:val="0"/>
      <w:marTop w:val="0"/>
      <w:marBottom w:val="0"/>
      <w:divBdr>
        <w:top w:val="none" w:sz="0" w:space="0" w:color="auto"/>
        <w:left w:val="none" w:sz="0" w:space="0" w:color="auto"/>
        <w:bottom w:val="none" w:sz="0" w:space="0" w:color="auto"/>
        <w:right w:val="none" w:sz="0" w:space="0" w:color="auto"/>
      </w:divBdr>
    </w:div>
    <w:div w:id="341014135">
      <w:bodyDiv w:val="1"/>
      <w:marLeft w:val="0"/>
      <w:marRight w:val="0"/>
      <w:marTop w:val="0"/>
      <w:marBottom w:val="0"/>
      <w:divBdr>
        <w:top w:val="none" w:sz="0" w:space="0" w:color="auto"/>
        <w:left w:val="none" w:sz="0" w:space="0" w:color="auto"/>
        <w:bottom w:val="none" w:sz="0" w:space="0" w:color="auto"/>
        <w:right w:val="none" w:sz="0" w:space="0" w:color="auto"/>
      </w:divBdr>
    </w:div>
    <w:div w:id="341788320">
      <w:bodyDiv w:val="1"/>
      <w:marLeft w:val="0"/>
      <w:marRight w:val="0"/>
      <w:marTop w:val="0"/>
      <w:marBottom w:val="0"/>
      <w:divBdr>
        <w:top w:val="none" w:sz="0" w:space="0" w:color="auto"/>
        <w:left w:val="none" w:sz="0" w:space="0" w:color="auto"/>
        <w:bottom w:val="none" w:sz="0" w:space="0" w:color="auto"/>
        <w:right w:val="none" w:sz="0" w:space="0" w:color="auto"/>
      </w:divBdr>
    </w:div>
    <w:div w:id="342363085">
      <w:bodyDiv w:val="1"/>
      <w:marLeft w:val="0"/>
      <w:marRight w:val="0"/>
      <w:marTop w:val="0"/>
      <w:marBottom w:val="0"/>
      <w:divBdr>
        <w:top w:val="none" w:sz="0" w:space="0" w:color="auto"/>
        <w:left w:val="none" w:sz="0" w:space="0" w:color="auto"/>
        <w:bottom w:val="none" w:sz="0" w:space="0" w:color="auto"/>
        <w:right w:val="none" w:sz="0" w:space="0" w:color="auto"/>
      </w:divBdr>
    </w:div>
    <w:div w:id="343554184">
      <w:bodyDiv w:val="1"/>
      <w:marLeft w:val="0"/>
      <w:marRight w:val="0"/>
      <w:marTop w:val="0"/>
      <w:marBottom w:val="0"/>
      <w:divBdr>
        <w:top w:val="none" w:sz="0" w:space="0" w:color="auto"/>
        <w:left w:val="none" w:sz="0" w:space="0" w:color="auto"/>
        <w:bottom w:val="none" w:sz="0" w:space="0" w:color="auto"/>
        <w:right w:val="none" w:sz="0" w:space="0" w:color="auto"/>
      </w:divBdr>
    </w:div>
    <w:div w:id="349142971">
      <w:bodyDiv w:val="1"/>
      <w:marLeft w:val="0"/>
      <w:marRight w:val="0"/>
      <w:marTop w:val="0"/>
      <w:marBottom w:val="0"/>
      <w:divBdr>
        <w:top w:val="none" w:sz="0" w:space="0" w:color="auto"/>
        <w:left w:val="none" w:sz="0" w:space="0" w:color="auto"/>
        <w:bottom w:val="none" w:sz="0" w:space="0" w:color="auto"/>
        <w:right w:val="none" w:sz="0" w:space="0" w:color="auto"/>
      </w:divBdr>
    </w:div>
    <w:div w:id="374627287">
      <w:bodyDiv w:val="1"/>
      <w:marLeft w:val="0"/>
      <w:marRight w:val="0"/>
      <w:marTop w:val="0"/>
      <w:marBottom w:val="0"/>
      <w:divBdr>
        <w:top w:val="none" w:sz="0" w:space="0" w:color="auto"/>
        <w:left w:val="none" w:sz="0" w:space="0" w:color="auto"/>
        <w:bottom w:val="none" w:sz="0" w:space="0" w:color="auto"/>
        <w:right w:val="none" w:sz="0" w:space="0" w:color="auto"/>
      </w:divBdr>
    </w:div>
    <w:div w:id="375202579">
      <w:bodyDiv w:val="1"/>
      <w:marLeft w:val="0"/>
      <w:marRight w:val="0"/>
      <w:marTop w:val="0"/>
      <w:marBottom w:val="0"/>
      <w:divBdr>
        <w:top w:val="none" w:sz="0" w:space="0" w:color="auto"/>
        <w:left w:val="none" w:sz="0" w:space="0" w:color="auto"/>
        <w:bottom w:val="none" w:sz="0" w:space="0" w:color="auto"/>
        <w:right w:val="none" w:sz="0" w:space="0" w:color="auto"/>
      </w:divBdr>
    </w:div>
    <w:div w:id="379596542">
      <w:bodyDiv w:val="1"/>
      <w:marLeft w:val="0"/>
      <w:marRight w:val="0"/>
      <w:marTop w:val="0"/>
      <w:marBottom w:val="0"/>
      <w:divBdr>
        <w:top w:val="none" w:sz="0" w:space="0" w:color="auto"/>
        <w:left w:val="none" w:sz="0" w:space="0" w:color="auto"/>
        <w:bottom w:val="none" w:sz="0" w:space="0" w:color="auto"/>
        <w:right w:val="none" w:sz="0" w:space="0" w:color="auto"/>
      </w:divBdr>
    </w:div>
    <w:div w:id="391193348">
      <w:bodyDiv w:val="1"/>
      <w:marLeft w:val="0"/>
      <w:marRight w:val="0"/>
      <w:marTop w:val="0"/>
      <w:marBottom w:val="0"/>
      <w:divBdr>
        <w:top w:val="none" w:sz="0" w:space="0" w:color="auto"/>
        <w:left w:val="none" w:sz="0" w:space="0" w:color="auto"/>
        <w:bottom w:val="none" w:sz="0" w:space="0" w:color="auto"/>
        <w:right w:val="none" w:sz="0" w:space="0" w:color="auto"/>
      </w:divBdr>
    </w:div>
    <w:div w:id="394545751">
      <w:bodyDiv w:val="1"/>
      <w:marLeft w:val="0"/>
      <w:marRight w:val="0"/>
      <w:marTop w:val="0"/>
      <w:marBottom w:val="0"/>
      <w:divBdr>
        <w:top w:val="none" w:sz="0" w:space="0" w:color="auto"/>
        <w:left w:val="none" w:sz="0" w:space="0" w:color="auto"/>
        <w:bottom w:val="none" w:sz="0" w:space="0" w:color="auto"/>
        <w:right w:val="none" w:sz="0" w:space="0" w:color="auto"/>
      </w:divBdr>
    </w:div>
    <w:div w:id="399257305">
      <w:bodyDiv w:val="1"/>
      <w:marLeft w:val="0"/>
      <w:marRight w:val="0"/>
      <w:marTop w:val="0"/>
      <w:marBottom w:val="0"/>
      <w:divBdr>
        <w:top w:val="none" w:sz="0" w:space="0" w:color="auto"/>
        <w:left w:val="none" w:sz="0" w:space="0" w:color="auto"/>
        <w:bottom w:val="none" w:sz="0" w:space="0" w:color="auto"/>
        <w:right w:val="none" w:sz="0" w:space="0" w:color="auto"/>
      </w:divBdr>
    </w:div>
    <w:div w:id="407117970">
      <w:bodyDiv w:val="1"/>
      <w:marLeft w:val="0"/>
      <w:marRight w:val="0"/>
      <w:marTop w:val="0"/>
      <w:marBottom w:val="0"/>
      <w:divBdr>
        <w:top w:val="none" w:sz="0" w:space="0" w:color="auto"/>
        <w:left w:val="none" w:sz="0" w:space="0" w:color="auto"/>
        <w:bottom w:val="none" w:sz="0" w:space="0" w:color="auto"/>
        <w:right w:val="none" w:sz="0" w:space="0" w:color="auto"/>
      </w:divBdr>
    </w:div>
    <w:div w:id="408161781">
      <w:bodyDiv w:val="1"/>
      <w:marLeft w:val="0"/>
      <w:marRight w:val="0"/>
      <w:marTop w:val="0"/>
      <w:marBottom w:val="0"/>
      <w:divBdr>
        <w:top w:val="none" w:sz="0" w:space="0" w:color="auto"/>
        <w:left w:val="none" w:sz="0" w:space="0" w:color="auto"/>
        <w:bottom w:val="none" w:sz="0" w:space="0" w:color="auto"/>
        <w:right w:val="none" w:sz="0" w:space="0" w:color="auto"/>
      </w:divBdr>
    </w:div>
    <w:div w:id="411778298">
      <w:bodyDiv w:val="1"/>
      <w:marLeft w:val="0"/>
      <w:marRight w:val="0"/>
      <w:marTop w:val="0"/>
      <w:marBottom w:val="0"/>
      <w:divBdr>
        <w:top w:val="none" w:sz="0" w:space="0" w:color="auto"/>
        <w:left w:val="none" w:sz="0" w:space="0" w:color="auto"/>
        <w:bottom w:val="none" w:sz="0" w:space="0" w:color="auto"/>
        <w:right w:val="none" w:sz="0" w:space="0" w:color="auto"/>
      </w:divBdr>
    </w:div>
    <w:div w:id="416287153">
      <w:bodyDiv w:val="1"/>
      <w:marLeft w:val="0"/>
      <w:marRight w:val="0"/>
      <w:marTop w:val="0"/>
      <w:marBottom w:val="0"/>
      <w:divBdr>
        <w:top w:val="none" w:sz="0" w:space="0" w:color="auto"/>
        <w:left w:val="none" w:sz="0" w:space="0" w:color="auto"/>
        <w:bottom w:val="none" w:sz="0" w:space="0" w:color="auto"/>
        <w:right w:val="none" w:sz="0" w:space="0" w:color="auto"/>
      </w:divBdr>
    </w:div>
    <w:div w:id="418333593">
      <w:bodyDiv w:val="1"/>
      <w:marLeft w:val="0"/>
      <w:marRight w:val="0"/>
      <w:marTop w:val="0"/>
      <w:marBottom w:val="0"/>
      <w:divBdr>
        <w:top w:val="none" w:sz="0" w:space="0" w:color="auto"/>
        <w:left w:val="none" w:sz="0" w:space="0" w:color="auto"/>
        <w:bottom w:val="none" w:sz="0" w:space="0" w:color="auto"/>
        <w:right w:val="none" w:sz="0" w:space="0" w:color="auto"/>
      </w:divBdr>
    </w:div>
    <w:div w:id="421413096">
      <w:bodyDiv w:val="1"/>
      <w:marLeft w:val="0"/>
      <w:marRight w:val="0"/>
      <w:marTop w:val="0"/>
      <w:marBottom w:val="0"/>
      <w:divBdr>
        <w:top w:val="none" w:sz="0" w:space="0" w:color="auto"/>
        <w:left w:val="none" w:sz="0" w:space="0" w:color="auto"/>
        <w:bottom w:val="none" w:sz="0" w:space="0" w:color="auto"/>
        <w:right w:val="none" w:sz="0" w:space="0" w:color="auto"/>
      </w:divBdr>
    </w:div>
    <w:div w:id="430131586">
      <w:bodyDiv w:val="1"/>
      <w:marLeft w:val="0"/>
      <w:marRight w:val="0"/>
      <w:marTop w:val="0"/>
      <w:marBottom w:val="0"/>
      <w:divBdr>
        <w:top w:val="none" w:sz="0" w:space="0" w:color="auto"/>
        <w:left w:val="none" w:sz="0" w:space="0" w:color="auto"/>
        <w:bottom w:val="none" w:sz="0" w:space="0" w:color="auto"/>
        <w:right w:val="none" w:sz="0" w:space="0" w:color="auto"/>
      </w:divBdr>
    </w:div>
    <w:div w:id="442727366">
      <w:bodyDiv w:val="1"/>
      <w:marLeft w:val="0"/>
      <w:marRight w:val="0"/>
      <w:marTop w:val="0"/>
      <w:marBottom w:val="0"/>
      <w:divBdr>
        <w:top w:val="none" w:sz="0" w:space="0" w:color="auto"/>
        <w:left w:val="none" w:sz="0" w:space="0" w:color="auto"/>
        <w:bottom w:val="none" w:sz="0" w:space="0" w:color="auto"/>
        <w:right w:val="none" w:sz="0" w:space="0" w:color="auto"/>
      </w:divBdr>
    </w:div>
    <w:div w:id="455831121">
      <w:bodyDiv w:val="1"/>
      <w:marLeft w:val="0"/>
      <w:marRight w:val="0"/>
      <w:marTop w:val="0"/>
      <w:marBottom w:val="0"/>
      <w:divBdr>
        <w:top w:val="none" w:sz="0" w:space="0" w:color="auto"/>
        <w:left w:val="none" w:sz="0" w:space="0" w:color="auto"/>
        <w:bottom w:val="none" w:sz="0" w:space="0" w:color="auto"/>
        <w:right w:val="none" w:sz="0" w:space="0" w:color="auto"/>
      </w:divBdr>
    </w:div>
    <w:div w:id="456140432">
      <w:bodyDiv w:val="1"/>
      <w:marLeft w:val="0"/>
      <w:marRight w:val="0"/>
      <w:marTop w:val="0"/>
      <w:marBottom w:val="0"/>
      <w:divBdr>
        <w:top w:val="none" w:sz="0" w:space="0" w:color="auto"/>
        <w:left w:val="none" w:sz="0" w:space="0" w:color="auto"/>
        <w:bottom w:val="none" w:sz="0" w:space="0" w:color="auto"/>
        <w:right w:val="none" w:sz="0" w:space="0" w:color="auto"/>
      </w:divBdr>
    </w:div>
    <w:div w:id="464202093">
      <w:bodyDiv w:val="1"/>
      <w:marLeft w:val="0"/>
      <w:marRight w:val="0"/>
      <w:marTop w:val="0"/>
      <w:marBottom w:val="0"/>
      <w:divBdr>
        <w:top w:val="none" w:sz="0" w:space="0" w:color="auto"/>
        <w:left w:val="none" w:sz="0" w:space="0" w:color="auto"/>
        <w:bottom w:val="none" w:sz="0" w:space="0" w:color="auto"/>
        <w:right w:val="none" w:sz="0" w:space="0" w:color="auto"/>
      </w:divBdr>
    </w:div>
    <w:div w:id="464930485">
      <w:bodyDiv w:val="1"/>
      <w:marLeft w:val="0"/>
      <w:marRight w:val="0"/>
      <w:marTop w:val="0"/>
      <w:marBottom w:val="0"/>
      <w:divBdr>
        <w:top w:val="none" w:sz="0" w:space="0" w:color="auto"/>
        <w:left w:val="none" w:sz="0" w:space="0" w:color="auto"/>
        <w:bottom w:val="none" w:sz="0" w:space="0" w:color="auto"/>
        <w:right w:val="none" w:sz="0" w:space="0" w:color="auto"/>
      </w:divBdr>
    </w:div>
    <w:div w:id="468980111">
      <w:bodyDiv w:val="1"/>
      <w:marLeft w:val="0"/>
      <w:marRight w:val="0"/>
      <w:marTop w:val="0"/>
      <w:marBottom w:val="0"/>
      <w:divBdr>
        <w:top w:val="none" w:sz="0" w:space="0" w:color="auto"/>
        <w:left w:val="none" w:sz="0" w:space="0" w:color="auto"/>
        <w:bottom w:val="none" w:sz="0" w:space="0" w:color="auto"/>
        <w:right w:val="none" w:sz="0" w:space="0" w:color="auto"/>
      </w:divBdr>
      <w:divsChild>
        <w:div w:id="2047438678">
          <w:marLeft w:val="302"/>
          <w:marRight w:val="0"/>
          <w:marTop w:val="0"/>
          <w:marBottom w:val="0"/>
          <w:divBdr>
            <w:top w:val="none" w:sz="0" w:space="0" w:color="auto"/>
            <w:left w:val="none" w:sz="0" w:space="0" w:color="auto"/>
            <w:bottom w:val="none" w:sz="0" w:space="0" w:color="auto"/>
            <w:right w:val="none" w:sz="0" w:space="0" w:color="auto"/>
          </w:divBdr>
        </w:div>
        <w:div w:id="1153638840">
          <w:marLeft w:val="302"/>
          <w:marRight w:val="0"/>
          <w:marTop w:val="0"/>
          <w:marBottom w:val="0"/>
          <w:divBdr>
            <w:top w:val="none" w:sz="0" w:space="0" w:color="auto"/>
            <w:left w:val="none" w:sz="0" w:space="0" w:color="auto"/>
            <w:bottom w:val="none" w:sz="0" w:space="0" w:color="auto"/>
            <w:right w:val="none" w:sz="0" w:space="0" w:color="auto"/>
          </w:divBdr>
        </w:div>
        <w:div w:id="518395221">
          <w:marLeft w:val="302"/>
          <w:marRight w:val="0"/>
          <w:marTop w:val="0"/>
          <w:marBottom w:val="0"/>
          <w:divBdr>
            <w:top w:val="none" w:sz="0" w:space="0" w:color="auto"/>
            <w:left w:val="none" w:sz="0" w:space="0" w:color="auto"/>
            <w:bottom w:val="none" w:sz="0" w:space="0" w:color="auto"/>
            <w:right w:val="none" w:sz="0" w:space="0" w:color="auto"/>
          </w:divBdr>
        </w:div>
        <w:div w:id="968172558">
          <w:marLeft w:val="302"/>
          <w:marRight w:val="0"/>
          <w:marTop w:val="0"/>
          <w:marBottom w:val="0"/>
          <w:divBdr>
            <w:top w:val="none" w:sz="0" w:space="0" w:color="auto"/>
            <w:left w:val="none" w:sz="0" w:space="0" w:color="auto"/>
            <w:bottom w:val="none" w:sz="0" w:space="0" w:color="auto"/>
            <w:right w:val="none" w:sz="0" w:space="0" w:color="auto"/>
          </w:divBdr>
        </w:div>
        <w:div w:id="1647660979">
          <w:marLeft w:val="302"/>
          <w:marRight w:val="0"/>
          <w:marTop w:val="0"/>
          <w:marBottom w:val="0"/>
          <w:divBdr>
            <w:top w:val="none" w:sz="0" w:space="0" w:color="auto"/>
            <w:left w:val="none" w:sz="0" w:space="0" w:color="auto"/>
            <w:bottom w:val="none" w:sz="0" w:space="0" w:color="auto"/>
            <w:right w:val="none" w:sz="0" w:space="0" w:color="auto"/>
          </w:divBdr>
        </w:div>
      </w:divsChild>
    </w:div>
    <w:div w:id="483275986">
      <w:bodyDiv w:val="1"/>
      <w:marLeft w:val="0"/>
      <w:marRight w:val="0"/>
      <w:marTop w:val="0"/>
      <w:marBottom w:val="0"/>
      <w:divBdr>
        <w:top w:val="none" w:sz="0" w:space="0" w:color="auto"/>
        <w:left w:val="none" w:sz="0" w:space="0" w:color="auto"/>
        <w:bottom w:val="none" w:sz="0" w:space="0" w:color="auto"/>
        <w:right w:val="none" w:sz="0" w:space="0" w:color="auto"/>
      </w:divBdr>
    </w:div>
    <w:div w:id="485125028">
      <w:bodyDiv w:val="1"/>
      <w:marLeft w:val="0"/>
      <w:marRight w:val="0"/>
      <w:marTop w:val="0"/>
      <w:marBottom w:val="0"/>
      <w:divBdr>
        <w:top w:val="none" w:sz="0" w:space="0" w:color="auto"/>
        <w:left w:val="none" w:sz="0" w:space="0" w:color="auto"/>
        <w:bottom w:val="none" w:sz="0" w:space="0" w:color="auto"/>
        <w:right w:val="none" w:sz="0" w:space="0" w:color="auto"/>
      </w:divBdr>
    </w:div>
    <w:div w:id="491289104">
      <w:bodyDiv w:val="1"/>
      <w:marLeft w:val="0"/>
      <w:marRight w:val="0"/>
      <w:marTop w:val="0"/>
      <w:marBottom w:val="0"/>
      <w:divBdr>
        <w:top w:val="none" w:sz="0" w:space="0" w:color="auto"/>
        <w:left w:val="none" w:sz="0" w:space="0" w:color="auto"/>
        <w:bottom w:val="none" w:sz="0" w:space="0" w:color="auto"/>
        <w:right w:val="none" w:sz="0" w:space="0" w:color="auto"/>
      </w:divBdr>
    </w:div>
    <w:div w:id="505707339">
      <w:bodyDiv w:val="1"/>
      <w:marLeft w:val="0"/>
      <w:marRight w:val="0"/>
      <w:marTop w:val="0"/>
      <w:marBottom w:val="0"/>
      <w:divBdr>
        <w:top w:val="none" w:sz="0" w:space="0" w:color="auto"/>
        <w:left w:val="none" w:sz="0" w:space="0" w:color="auto"/>
        <w:bottom w:val="none" w:sz="0" w:space="0" w:color="auto"/>
        <w:right w:val="none" w:sz="0" w:space="0" w:color="auto"/>
      </w:divBdr>
    </w:div>
    <w:div w:id="508061888">
      <w:bodyDiv w:val="1"/>
      <w:marLeft w:val="0"/>
      <w:marRight w:val="0"/>
      <w:marTop w:val="0"/>
      <w:marBottom w:val="0"/>
      <w:divBdr>
        <w:top w:val="none" w:sz="0" w:space="0" w:color="auto"/>
        <w:left w:val="none" w:sz="0" w:space="0" w:color="auto"/>
        <w:bottom w:val="none" w:sz="0" w:space="0" w:color="auto"/>
        <w:right w:val="none" w:sz="0" w:space="0" w:color="auto"/>
      </w:divBdr>
    </w:div>
    <w:div w:id="516045234">
      <w:bodyDiv w:val="1"/>
      <w:marLeft w:val="0"/>
      <w:marRight w:val="0"/>
      <w:marTop w:val="0"/>
      <w:marBottom w:val="0"/>
      <w:divBdr>
        <w:top w:val="none" w:sz="0" w:space="0" w:color="auto"/>
        <w:left w:val="none" w:sz="0" w:space="0" w:color="auto"/>
        <w:bottom w:val="none" w:sz="0" w:space="0" w:color="auto"/>
        <w:right w:val="none" w:sz="0" w:space="0" w:color="auto"/>
      </w:divBdr>
    </w:div>
    <w:div w:id="519853204">
      <w:bodyDiv w:val="1"/>
      <w:marLeft w:val="0"/>
      <w:marRight w:val="0"/>
      <w:marTop w:val="0"/>
      <w:marBottom w:val="0"/>
      <w:divBdr>
        <w:top w:val="none" w:sz="0" w:space="0" w:color="auto"/>
        <w:left w:val="none" w:sz="0" w:space="0" w:color="auto"/>
        <w:bottom w:val="none" w:sz="0" w:space="0" w:color="auto"/>
        <w:right w:val="none" w:sz="0" w:space="0" w:color="auto"/>
      </w:divBdr>
    </w:div>
    <w:div w:id="523129656">
      <w:bodyDiv w:val="1"/>
      <w:marLeft w:val="0"/>
      <w:marRight w:val="0"/>
      <w:marTop w:val="0"/>
      <w:marBottom w:val="0"/>
      <w:divBdr>
        <w:top w:val="none" w:sz="0" w:space="0" w:color="auto"/>
        <w:left w:val="none" w:sz="0" w:space="0" w:color="auto"/>
        <w:bottom w:val="none" w:sz="0" w:space="0" w:color="auto"/>
        <w:right w:val="none" w:sz="0" w:space="0" w:color="auto"/>
      </w:divBdr>
    </w:div>
    <w:div w:id="533736540">
      <w:bodyDiv w:val="1"/>
      <w:marLeft w:val="0"/>
      <w:marRight w:val="0"/>
      <w:marTop w:val="0"/>
      <w:marBottom w:val="0"/>
      <w:divBdr>
        <w:top w:val="none" w:sz="0" w:space="0" w:color="auto"/>
        <w:left w:val="none" w:sz="0" w:space="0" w:color="auto"/>
        <w:bottom w:val="none" w:sz="0" w:space="0" w:color="auto"/>
        <w:right w:val="none" w:sz="0" w:space="0" w:color="auto"/>
      </w:divBdr>
    </w:div>
    <w:div w:id="541752302">
      <w:bodyDiv w:val="1"/>
      <w:marLeft w:val="0"/>
      <w:marRight w:val="0"/>
      <w:marTop w:val="0"/>
      <w:marBottom w:val="0"/>
      <w:divBdr>
        <w:top w:val="none" w:sz="0" w:space="0" w:color="auto"/>
        <w:left w:val="none" w:sz="0" w:space="0" w:color="auto"/>
        <w:bottom w:val="none" w:sz="0" w:space="0" w:color="auto"/>
        <w:right w:val="none" w:sz="0" w:space="0" w:color="auto"/>
      </w:divBdr>
    </w:div>
    <w:div w:id="543717872">
      <w:bodyDiv w:val="1"/>
      <w:marLeft w:val="0"/>
      <w:marRight w:val="0"/>
      <w:marTop w:val="0"/>
      <w:marBottom w:val="0"/>
      <w:divBdr>
        <w:top w:val="none" w:sz="0" w:space="0" w:color="auto"/>
        <w:left w:val="none" w:sz="0" w:space="0" w:color="auto"/>
        <w:bottom w:val="none" w:sz="0" w:space="0" w:color="auto"/>
        <w:right w:val="none" w:sz="0" w:space="0" w:color="auto"/>
      </w:divBdr>
    </w:div>
    <w:div w:id="545945200">
      <w:bodyDiv w:val="1"/>
      <w:marLeft w:val="0"/>
      <w:marRight w:val="0"/>
      <w:marTop w:val="0"/>
      <w:marBottom w:val="0"/>
      <w:divBdr>
        <w:top w:val="none" w:sz="0" w:space="0" w:color="auto"/>
        <w:left w:val="none" w:sz="0" w:space="0" w:color="auto"/>
        <w:bottom w:val="none" w:sz="0" w:space="0" w:color="auto"/>
        <w:right w:val="none" w:sz="0" w:space="0" w:color="auto"/>
      </w:divBdr>
    </w:div>
    <w:div w:id="550390224">
      <w:bodyDiv w:val="1"/>
      <w:marLeft w:val="0"/>
      <w:marRight w:val="0"/>
      <w:marTop w:val="0"/>
      <w:marBottom w:val="0"/>
      <w:divBdr>
        <w:top w:val="none" w:sz="0" w:space="0" w:color="auto"/>
        <w:left w:val="none" w:sz="0" w:space="0" w:color="auto"/>
        <w:bottom w:val="none" w:sz="0" w:space="0" w:color="auto"/>
        <w:right w:val="none" w:sz="0" w:space="0" w:color="auto"/>
      </w:divBdr>
    </w:div>
    <w:div w:id="564800532">
      <w:bodyDiv w:val="1"/>
      <w:marLeft w:val="0"/>
      <w:marRight w:val="0"/>
      <w:marTop w:val="0"/>
      <w:marBottom w:val="0"/>
      <w:divBdr>
        <w:top w:val="none" w:sz="0" w:space="0" w:color="auto"/>
        <w:left w:val="none" w:sz="0" w:space="0" w:color="auto"/>
        <w:bottom w:val="none" w:sz="0" w:space="0" w:color="auto"/>
        <w:right w:val="none" w:sz="0" w:space="0" w:color="auto"/>
      </w:divBdr>
    </w:div>
    <w:div w:id="567114766">
      <w:bodyDiv w:val="1"/>
      <w:marLeft w:val="0"/>
      <w:marRight w:val="0"/>
      <w:marTop w:val="0"/>
      <w:marBottom w:val="0"/>
      <w:divBdr>
        <w:top w:val="none" w:sz="0" w:space="0" w:color="auto"/>
        <w:left w:val="none" w:sz="0" w:space="0" w:color="auto"/>
        <w:bottom w:val="none" w:sz="0" w:space="0" w:color="auto"/>
        <w:right w:val="none" w:sz="0" w:space="0" w:color="auto"/>
      </w:divBdr>
    </w:div>
    <w:div w:id="575480202">
      <w:bodyDiv w:val="1"/>
      <w:marLeft w:val="0"/>
      <w:marRight w:val="0"/>
      <w:marTop w:val="0"/>
      <w:marBottom w:val="0"/>
      <w:divBdr>
        <w:top w:val="none" w:sz="0" w:space="0" w:color="auto"/>
        <w:left w:val="none" w:sz="0" w:space="0" w:color="auto"/>
        <w:bottom w:val="none" w:sz="0" w:space="0" w:color="auto"/>
        <w:right w:val="none" w:sz="0" w:space="0" w:color="auto"/>
      </w:divBdr>
    </w:div>
    <w:div w:id="587882503">
      <w:bodyDiv w:val="1"/>
      <w:marLeft w:val="0"/>
      <w:marRight w:val="0"/>
      <w:marTop w:val="0"/>
      <w:marBottom w:val="0"/>
      <w:divBdr>
        <w:top w:val="none" w:sz="0" w:space="0" w:color="auto"/>
        <w:left w:val="none" w:sz="0" w:space="0" w:color="auto"/>
        <w:bottom w:val="none" w:sz="0" w:space="0" w:color="auto"/>
        <w:right w:val="none" w:sz="0" w:space="0" w:color="auto"/>
      </w:divBdr>
    </w:div>
    <w:div w:id="590743805">
      <w:bodyDiv w:val="1"/>
      <w:marLeft w:val="0"/>
      <w:marRight w:val="0"/>
      <w:marTop w:val="0"/>
      <w:marBottom w:val="0"/>
      <w:divBdr>
        <w:top w:val="none" w:sz="0" w:space="0" w:color="auto"/>
        <w:left w:val="none" w:sz="0" w:space="0" w:color="auto"/>
        <w:bottom w:val="none" w:sz="0" w:space="0" w:color="auto"/>
        <w:right w:val="none" w:sz="0" w:space="0" w:color="auto"/>
      </w:divBdr>
    </w:div>
    <w:div w:id="599602214">
      <w:bodyDiv w:val="1"/>
      <w:marLeft w:val="0"/>
      <w:marRight w:val="0"/>
      <w:marTop w:val="0"/>
      <w:marBottom w:val="0"/>
      <w:divBdr>
        <w:top w:val="none" w:sz="0" w:space="0" w:color="auto"/>
        <w:left w:val="none" w:sz="0" w:space="0" w:color="auto"/>
        <w:bottom w:val="none" w:sz="0" w:space="0" w:color="auto"/>
        <w:right w:val="none" w:sz="0" w:space="0" w:color="auto"/>
      </w:divBdr>
    </w:div>
    <w:div w:id="606624919">
      <w:bodyDiv w:val="1"/>
      <w:marLeft w:val="0"/>
      <w:marRight w:val="0"/>
      <w:marTop w:val="0"/>
      <w:marBottom w:val="0"/>
      <w:divBdr>
        <w:top w:val="none" w:sz="0" w:space="0" w:color="auto"/>
        <w:left w:val="none" w:sz="0" w:space="0" w:color="auto"/>
        <w:bottom w:val="none" w:sz="0" w:space="0" w:color="auto"/>
        <w:right w:val="none" w:sz="0" w:space="0" w:color="auto"/>
      </w:divBdr>
    </w:div>
    <w:div w:id="612439970">
      <w:bodyDiv w:val="1"/>
      <w:marLeft w:val="0"/>
      <w:marRight w:val="0"/>
      <w:marTop w:val="0"/>
      <w:marBottom w:val="0"/>
      <w:divBdr>
        <w:top w:val="none" w:sz="0" w:space="0" w:color="auto"/>
        <w:left w:val="none" w:sz="0" w:space="0" w:color="auto"/>
        <w:bottom w:val="none" w:sz="0" w:space="0" w:color="auto"/>
        <w:right w:val="none" w:sz="0" w:space="0" w:color="auto"/>
      </w:divBdr>
    </w:div>
    <w:div w:id="629940909">
      <w:bodyDiv w:val="1"/>
      <w:marLeft w:val="0"/>
      <w:marRight w:val="0"/>
      <w:marTop w:val="0"/>
      <w:marBottom w:val="0"/>
      <w:divBdr>
        <w:top w:val="none" w:sz="0" w:space="0" w:color="auto"/>
        <w:left w:val="none" w:sz="0" w:space="0" w:color="auto"/>
        <w:bottom w:val="none" w:sz="0" w:space="0" w:color="auto"/>
        <w:right w:val="none" w:sz="0" w:space="0" w:color="auto"/>
      </w:divBdr>
    </w:div>
    <w:div w:id="645209020">
      <w:bodyDiv w:val="1"/>
      <w:marLeft w:val="0"/>
      <w:marRight w:val="0"/>
      <w:marTop w:val="0"/>
      <w:marBottom w:val="0"/>
      <w:divBdr>
        <w:top w:val="none" w:sz="0" w:space="0" w:color="auto"/>
        <w:left w:val="none" w:sz="0" w:space="0" w:color="auto"/>
        <w:bottom w:val="none" w:sz="0" w:space="0" w:color="auto"/>
        <w:right w:val="none" w:sz="0" w:space="0" w:color="auto"/>
      </w:divBdr>
    </w:div>
    <w:div w:id="651909584">
      <w:bodyDiv w:val="1"/>
      <w:marLeft w:val="0"/>
      <w:marRight w:val="0"/>
      <w:marTop w:val="0"/>
      <w:marBottom w:val="0"/>
      <w:divBdr>
        <w:top w:val="none" w:sz="0" w:space="0" w:color="auto"/>
        <w:left w:val="none" w:sz="0" w:space="0" w:color="auto"/>
        <w:bottom w:val="none" w:sz="0" w:space="0" w:color="auto"/>
        <w:right w:val="none" w:sz="0" w:space="0" w:color="auto"/>
      </w:divBdr>
    </w:div>
    <w:div w:id="656034487">
      <w:bodyDiv w:val="1"/>
      <w:marLeft w:val="0"/>
      <w:marRight w:val="0"/>
      <w:marTop w:val="0"/>
      <w:marBottom w:val="0"/>
      <w:divBdr>
        <w:top w:val="none" w:sz="0" w:space="0" w:color="auto"/>
        <w:left w:val="none" w:sz="0" w:space="0" w:color="auto"/>
        <w:bottom w:val="none" w:sz="0" w:space="0" w:color="auto"/>
        <w:right w:val="none" w:sz="0" w:space="0" w:color="auto"/>
      </w:divBdr>
    </w:div>
    <w:div w:id="669023671">
      <w:bodyDiv w:val="1"/>
      <w:marLeft w:val="0"/>
      <w:marRight w:val="0"/>
      <w:marTop w:val="0"/>
      <w:marBottom w:val="0"/>
      <w:divBdr>
        <w:top w:val="none" w:sz="0" w:space="0" w:color="auto"/>
        <w:left w:val="none" w:sz="0" w:space="0" w:color="auto"/>
        <w:bottom w:val="none" w:sz="0" w:space="0" w:color="auto"/>
        <w:right w:val="none" w:sz="0" w:space="0" w:color="auto"/>
      </w:divBdr>
    </w:div>
    <w:div w:id="676621157">
      <w:bodyDiv w:val="1"/>
      <w:marLeft w:val="0"/>
      <w:marRight w:val="0"/>
      <w:marTop w:val="0"/>
      <w:marBottom w:val="0"/>
      <w:divBdr>
        <w:top w:val="none" w:sz="0" w:space="0" w:color="auto"/>
        <w:left w:val="none" w:sz="0" w:space="0" w:color="auto"/>
        <w:bottom w:val="none" w:sz="0" w:space="0" w:color="auto"/>
        <w:right w:val="none" w:sz="0" w:space="0" w:color="auto"/>
      </w:divBdr>
    </w:div>
    <w:div w:id="692997232">
      <w:bodyDiv w:val="1"/>
      <w:marLeft w:val="0"/>
      <w:marRight w:val="0"/>
      <w:marTop w:val="0"/>
      <w:marBottom w:val="0"/>
      <w:divBdr>
        <w:top w:val="none" w:sz="0" w:space="0" w:color="auto"/>
        <w:left w:val="none" w:sz="0" w:space="0" w:color="auto"/>
        <w:bottom w:val="none" w:sz="0" w:space="0" w:color="auto"/>
        <w:right w:val="none" w:sz="0" w:space="0" w:color="auto"/>
      </w:divBdr>
    </w:div>
    <w:div w:id="720372165">
      <w:bodyDiv w:val="1"/>
      <w:marLeft w:val="0"/>
      <w:marRight w:val="0"/>
      <w:marTop w:val="0"/>
      <w:marBottom w:val="0"/>
      <w:divBdr>
        <w:top w:val="none" w:sz="0" w:space="0" w:color="auto"/>
        <w:left w:val="none" w:sz="0" w:space="0" w:color="auto"/>
        <w:bottom w:val="none" w:sz="0" w:space="0" w:color="auto"/>
        <w:right w:val="none" w:sz="0" w:space="0" w:color="auto"/>
      </w:divBdr>
    </w:div>
    <w:div w:id="727846430">
      <w:bodyDiv w:val="1"/>
      <w:marLeft w:val="0"/>
      <w:marRight w:val="0"/>
      <w:marTop w:val="0"/>
      <w:marBottom w:val="0"/>
      <w:divBdr>
        <w:top w:val="none" w:sz="0" w:space="0" w:color="auto"/>
        <w:left w:val="none" w:sz="0" w:space="0" w:color="auto"/>
        <w:bottom w:val="none" w:sz="0" w:space="0" w:color="auto"/>
        <w:right w:val="none" w:sz="0" w:space="0" w:color="auto"/>
      </w:divBdr>
    </w:div>
    <w:div w:id="743138536">
      <w:bodyDiv w:val="1"/>
      <w:marLeft w:val="0"/>
      <w:marRight w:val="0"/>
      <w:marTop w:val="0"/>
      <w:marBottom w:val="0"/>
      <w:divBdr>
        <w:top w:val="none" w:sz="0" w:space="0" w:color="auto"/>
        <w:left w:val="none" w:sz="0" w:space="0" w:color="auto"/>
        <w:bottom w:val="none" w:sz="0" w:space="0" w:color="auto"/>
        <w:right w:val="none" w:sz="0" w:space="0" w:color="auto"/>
      </w:divBdr>
    </w:div>
    <w:div w:id="745687459">
      <w:bodyDiv w:val="1"/>
      <w:marLeft w:val="0"/>
      <w:marRight w:val="0"/>
      <w:marTop w:val="0"/>
      <w:marBottom w:val="0"/>
      <w:divBdr>
        <w:top w:val="none" w:sz="0" w:space="0" w:color="auto"/>
        <w:left w:val="none" w:sz="0" w:space="0" w:color="auto"/>
        <w:bottom w:val="none" w:sz="0" w:space="0" w:color="auto"/>
        <w:right w:val="none" w:sz="0" w:space="0" w:color="auto"/>
      </w:divBdr>
    </w:div>
    <w:div w:id="747262696">
      <w:bodyDiv w:val="1"/>
      <w:marLeft w:val="0"/>
      <w:marRight w:val="0"/>
      <w:marTop w:val="0"/>
      <w:marBottom w:val="0"/>
      <w:divBdr>
        <w:top w:val="none" w:sz="0" w:space="0" w:color="auto"/>
        <w:left w:val="none" w:sz="0" w:space="0" w:color="auto"/>
        <w:bottom w:val="none" w:sz="0" w:space="0" w:color="auto"/>
        <w:right w:val="none" w:sz="0" w:space="0" w:color="auto"/>
      </w:divBdr>
    </w:div>
    <w:div w:id="755981521">
      <w:bodyDiv w:val="1"/>
      <w:marLeft w:val="0"/>
      <w:marRight w:val="0"/>
      <w:marTop w:val="0"/>
      <w:marBottom w:val="0"/>
      <w:divBdr>
        <w:top w:val="none" w:sz="0" w:space="0" w:color="auto"/>
        <w:left w:val="none" w:sz="0" w:space="0" w:color="auto"/>
        <w:bottom w:val="none" w:sz="0" w:space="0" w:color="auto"/>
        <w:right w:val="none" w:sz="0" w:space="0" w:color="auto"/>
      </w:divBdr>
    </w:div>
    <w:div w:id="767505363">
      <w:bodyDiv w:val="1"/>
      <w:marLeft w:val="0"/>
      <w:marRight w:val="0"/>
      <w:marTop w:val="0"/>
      <w:marBottom w:val="0"/>
      <w:divBdr>
        <w:top w:val="none" w:sz="0" w:space="0" w:color="auto"/>
        <w:left w:val="none" w:sz="0" w:space="0" w:color="auto"/>
        <w:bottom w:val="none" w:sz="0" w:space="0" w:color="auto"/>
        <w:right w:val="none" w:sz="0" w:space="0" w:color="auto"/>
      </w:divBdr>
    </w:div>
    <w:div w:id="770473227">
      <w:bodyDiv w:val="1"/>
      <w:marLeft w:val="0"/>
      <w:marRight w:val="0"/>
      <w:marTop w:val="0"/>
      <w:marBottom w:val="0"/>
      <w:divBdr>
        <w:top w:val="none" w:sz="0" w:space="0" w:color="auto"/>
        <w:left w:val="none" w:sz="0" w:space="0" w:color="auto"/>
        <w:bottom w:val="none" w:sz="0" w:space="0" w:color="auto"/>
        <w:right w:val="none" w:sz="0" w:space="0" w:color="auto"/>
      </w:divBdr>
    </w:div>
    <w:div w:id="772210851">
      <w:bodyDiv w:val="1"/>
      <w:marLeft w:val="0"/>
      <w:marRight w:val="0"/>
      <w:marTop w:val="0"/>
      <w:marBottom w:val="0"/>
      <w:divBdr>
        <w:top w:val="none" w:sz="0" w:space="0" w:color="auto"/>
        <w:left w:val="none" w:sz="0" w:space="0" w:color="auto"/>
        <w:bottom w:val="none" w:sz="0" w:space="0" w:color="auto"/>
        <w:right w:val="none" w:sz="0" w:space="0" w:color="auto"/>
      </w:divBdr>
    </w:div>
    <w:div w:id="786579234">
      <w:bodyDiv w:val="1"/>
      <w:marLeft w:val="0"/>
      <w:marRight w:val="0"/>
      <w:marTop w:val="0"/>
      <w:marBottom w:val="0"/>
      <w:divBdr>
        <w:top w:val="none" w:sz="0" w:space="0" w:color="auto"/>
        <w:left w:val="none" w:sz="0" w:space="0" w:color="auto"/>
        <w:bottom w:val="none" w:sz="0" w:space="0" w:color="auto"/>
        <w:right w:val="none" w:sz="0" w:space="0" w:color="auto"/>
      </w:divBdr>
    </w:div>
    <w:div w:id="792213176">
      <w:bodyDiv w:val="1"/>
      <w:marLeft w:val="0"/>
      <w:marRight w:val="0"/>
      <w:marTop w:val="0"/>
      <w:marBottom w:val="0"/>
      <w:divBdr>
        <w:top w:val="none" w:sz="0" w:space="0" w:color="auto"/>
        <w:left w:val="none" w:sz="0" w:space="0" w:color="auto"/>
        <w:bottom w:val="none" w:sz="0" w:space="0" w:color="auto"/>
        <w:right w:val="none" w:sz="0" w:space="0" w:color="auto"/>
      </w:divBdr>
    </w:div>
    <w:div w:id="793519789">
      <w:bodyDiv w:val="1"/>
      <w:marLeft w:val="0"/>
      <w:marRight w:val="0"/>
      <w:marTop w:val="0"/>
      <w:marBottom w:val="0"/>
      <w:divBdr>
        <w:top w:val="none" w:sz="0" w:space="0" w:color="auto"/>
        <w:left w:val="none" w:sz="0" w:space="0" w:color="auto"/>
        <w:bottom w:val="none" w:sz="0" w:space="0" w:color="auto"/>
        <w:right w:val="none" w:sz="0" w:space="0" w:color="auto"/>
      </w:divBdr>
    </w:div>
    <w:div w:id="799689221">
      <w:bodyDiv w:val="1"/>
      <w:marLeft w:val="0"/>
      <w:marRight w:val="0"/>
      <w:marTop w:val="0"/>
      <w:marBottom w:val="0"/>
      <w:divBdr>
        <w:top w:val="none" w:sz="0" w:space="0" w:color="auto"/>
        <w:left w:val="none" w:sz="0" w:space="0" w:color="auto"/>
        <w:bottom w:val="none" w:sz="0" w:space="0" w:color="auto"/>
        <w:right w:val="none" w:sz="0" w:space="0" w:color="auto"/>
      </w:divBdr>
    </w:div>
    <w:div w:id="799954306">
      <w:bodyDiv w:val="1"/>
      <w:marLeft w:val="0"/>
      <w:marRight w:val="0"/>
      <w:marTop w:val="0"/>
      <w:marBottom w:val="0"/>
      <w:divBdr>
        <w:top w:val="none" w:sz="0" w:space="0" w:color="auto"/>
        <w:left w:val="none" w:sz="0" w:space="0" w:color="auto"/>
        <w:bottom w:val="none" w:sz="0" w:space="0" w:color="auto"/>
        <w:right w:val="none" w:sz="0" w:space="0" w:color="auto"/>
      </w:divBdr>
    </w:div>
    <w:div w:id="811487751">
      <w:bodyDiv w:val="1"/>
      <w:marLeft w:val="0"/>
      <w:marRight w:val="0"/>
      <w:marTop w:val="0"/>
      <w:marBottom w:val="0"/>
      <w:divBdr>
        <w:top w:val="none" w:sz="0" w:space="0" w:color="auto"/>
        <w:left w:val="none" w:sz="0" w:space="0" w:color="auto"/>
        <w:bottom w:val="none" w:sz="0" w:space="0" w:color="auto"/>
        <w:right w:val="none" w:sz="0" w:space="0" w:color="auto"/>
      </w:divBdr>
    </w:div>
    <w:div w:id="819810859">
      <w:bodyDiv w:val="1"/>
      <w:marLeft w:val="0"/>
      <w:marRight w:val="0"/>
      <w:marTop w:val="0"/>
      <w:marBottom w:val="0"/>
      <w:divBdr>
        <w:top w:val="none" w:sz="0" w:space="0" w:color="auto"/>
        <w:left w:val="none" w:sz="0" w:space="0" w:color="auto"/>
        <w:bottom w:val="none" w:sz="0" w:space="0" w:color="auto"/>
        <w:right w:val="none" w:sz="0" w:space="0" w:color="auto"/>
      </w:divBdr>
    </w:div>
    <w:div w:id="826748274">
      <w:bodyDiv w:val="1"/>
      <w:marLeft w:val="0"/>
      <w:marRight w:val="0"/>
      <w:marTop w:val="0"/>
      <w:marBottom w:val="0"/>
      <w:divBdr>
        <w:top w:val="none" w:sz="0" w:space="0" w:color="auto"/>
        <w:left w:val="none" w:sz="0" w:space="0" w:color="auto"/>
        <w:bottom w:val="none" w:sz="0" w:space="0" w:color="auto"/>
        <w:right w:val="none" w:sz="0" w:space="0" w:color="auto"/>
      </w:divBdr>
    </w:div>
    <w:div w:id="847209447">
      <w:bodyDiv w:val="1"/>
      <w:marLeft w:val="0"/>
      <w:marRight w:val="0"/>
      <w:marTop w:val="0"/>
      <w:marBottom w:val="0"/>
      <w:divBdr>
        <w:top w:val="none" w:sz="0" w:space="0" w:color="auto"/>
        <w:left w:val="none" w:sz="0" w:space="0" w:color="auto"/>
        <w:bottom w:val="none" w:sz="0" w:space="0" w:color="auto"/>
        <w:right w:val="none" w:sz="0" w:space="0" w:color="auto"/>
      </w:divBdr>
    </w:div>
    <w:div w:id="849805476">
      <w:bodyDiv w:val="1"/>
      <w:marLeft w:val="0"/>
      <w:marRight w:val="0"/>
      <w:marTop w:val="0"/>
      <w:marBottom w:val="0"/>
      <w:divBdr>
        <w:top w:val="none" w:sz="0" w:space="0" w:color="auto"/>
        <w:left w:val="none" w:sz="0" w:space="0" w:color="auto"/>
        <w:bottom w:val="none" w:sz="0" w:space="0" w:color="auto"/>
        <w:right w:val="none" w:sz="0" w:space="0" w:color="auto"/>
      </w:divBdr>
    </w:div>
    <w:div w:id="859009096">
      <w:bodyDiv w:val="1"/>
      <w:marLeft w:val="0"/>
      <w:marRight w:val="0"/>
      <w:marTop w:val="0"/>
      <w:marBottom w:val="0"/>
      <w:divBdr>
        <w:top w:val="none" w:sz="0" w:space="0" w:color="auto"/>
        <w:left w:val="none" w:sz="0" w:space="0" w:color="auto"/>
        <w:bottom w:val="none" w:sz="0" w:space="0" w:color="auto"/>
        <w:right w:val="none" w:sz="0" w:space="0" w:color="auto"/>
      </w:divBdr>
    </w:div>
    <w:div w:id="891231524">
      <w:bodyDiv w:val="1"/>
      <w:marLeft w:val="0"/>
      <w:marRight w:val="0"/>
      <w:marTop w:val="0"/>
      <w:marBottom w:val="0"/>
      <w:divBdr>
        <w:top w:val="none" w:sz="0" w:space="0" w:color="auto"/>
        <w:left w:val="none" w:sz="0" w:space="0" w:color="auto"/>
        <w:bottom w:val="none" w:sz="0" w:space="0" w:color="auto"/>
        <w:right w:val="none" w:sz="0" w:space="0" w:color="auto"/>
      </w:divBdr>
    </w:div>
    <w:div w:id="916326445">
      <w:bodyDiv w:val="1"/>
      <w:marLeft w:val="0"/>
      <w:marRight w:val="0"/>
      <w:marTop w:val="0"/>
      <w:marBottom w:val="0"/>
      <w:divBdr>
        <w:top w:val="none" w:sz="0" w:space="0" w:color="auto"/>
        <w:left w:val="none" w:sz="0" w:space="0" w:color="auto"/>
        <w:bottom w:val="none" w:sz="0" w:space="0" w:color="auto"/>
        <w:right w:val="none" w:sz="0" w:space="0" w:color="auto"/>
      </w:divBdr>
    </w:div>
    <w:div w:id="921567511">
      <w:bodyDiv w:val="1"/>
      <w:marLeft w:val="0"/>
      <w:marRight w:val="0"/>
      <w:marTop w:val="0"/>
      <w:marBottom w:val="0"/>
      <w:divBdr>
        <w:top w:val="none" w:sz="0" w:space="0" w:color="auto"/>
        <w:left w:val="none" w:sz="0" w:space="0" w:color="auto"/>
        <w:bottom w:val="none" w:sz="0" w:space="0" w:color="auto"/>
        <w:right w:val="none" w:sz="0" w:space="0" w:color="auto"/>
      </w:divBdr>
    </w:div>
    <w:div w:id="925728674">
      <w:bodyDiv w:val="1"/>
      <w:marLeft w:val="0"/>
      <w:marRight w:val="0"/>
      <w:marTop w:val="0"/>
      <w:marBottom w:val="0"/>
      <w:divBdr>
        <w:top w:val="none" w:sz="0" w:space="0" w:color="auto"/>
        <w:left w:val="none" w:sz="0" w:space="0" w:color="auto"/>
        <w:bottom w:val="none" w:sz="0" w:space="0" w:color="auto"/>
        <w:right w:val="none" w:sz="0" w:space="0" w:color="auto"/>
      </w:divBdr>
    </w:div>
    <w:div w:id="932668437">
      <w:bodyDiv w:val="1"/>
      <w:marLeft w:val="0"/>
      <w:marRight w:val="0"/>
      <w:marTop w:val="0"/>
      <w:marBottom w:val="0"/>
      <w:divBdr>
        <w:top w:val="none" w:sz="0" w:space="0" w:color="auto"/>
        <w:left w:val="none" w:sz="0" w:space="0" w:color="auto"/>
        <w:bottom w:val="none" w:sz="0" w:space="0" w:color="auto"/>
        <w:right w:val="none" w:sz="0" w:space="0" w:color="auto"/>
      </w:divBdr>
    </w:div>
    <w:div w:id="944072319">
      <w:bodyDiv w:val="1"/>
      <w:marLeft w:val="0"/>
      <w:marRight w:val="0"/>
      <w:marTop w:val="0"/>
      <w:marBottom w:val="0"/>
      <w:divBdr>
        <w:top w:val="none" w:sz="0" w:space="0" w:color="auto"/>
        <w:left w:val="none" w:sz="0" w:space="0" w:color="auto"/>
        <w:bottom w:val="none" w:sz="0" w:space="0" w:color="auto"/>
        <w:right w:val="none" w:sz="0" w:space="0" w:color="auto"/>
      </w:divBdr>
    </w:div>
    <w:div w:id="944532568">
      <w:bodyDiv w:val="1"/>
      <w:marLeft w:val="0"/>
      <w:marRight w:val="0"/>
      <w:marTop w:val="0"/>
      <w:marBottom w:val="0"/>
      <w:divBdr>
        <w:top w:val="none" w:sz="0" w:space="0" w:color="auto"/>
        <w:left w:val="none" w:sz="0" w:space="0" w:color="auto"/>
        <w:bottom w:val="none" w:sz="0" w:space="0" w:color="auto"/>
        <w:right w:val="none" w:sz="0" w:space="0" w:color="auto"/>
      </w:divBdr>
    </w:div>
    <w:div w:id="966204887">
      <w:bodyDiv w:val="1"/>
      <w:marLeft w:val="0"/>
      <w:marRight w:val="0"/>
      <w:marTop w:val="0"/>
      <w:marBottom w:val="0"/>
      <w:divBdr>
        <w:top w:val="none" w:sz="0" w:space="0" w:color="auto"/>
        <w:left w:val="none" w:sz="0" w:space="0" w:color="auto"/>
        <w:bottom w:val="none" w:sz="0" w:space="0" w:color="auto"/>
        <w:right w:val="none" w:sz="0" w:space="0" w:color="auto"/>
      </w:divBdr>
    </w:div>
    <w:div w:id="967128428">
      <w:bodyDiv w:val="1"/>
      <w:marLeft w:val="0"/>
      <w:marRight w:val="0"/>
      <w:marTop w:val="0"/>
      <w:marBottom w:val="0"/>
      <w:divBdr>
        <w:top w:val="none" w:sz="0" w:space="0" w:color="auto"/>
        <w:left w:val="none" w:sz="0" w:space="0" w:color="auto"/>
        <w:bottom w:val="none" w:sz="0" w:space="0" w:color="auto"/>
        <w:right w:val="none" w:sz="0" w:space="0" w:color="auto"/>
      </w:divBdr>
    </w:div>
    <w:div w:id="972177672">
      <w:bodyDiv w:val="1"/>
      <w:marLeft w:val="0"/>
      <w:marRight w:val="0"/>
      <w:marTop w:val="0"/>
      <w:marBottom w:val="0"/>
      <w:divBdr>
        <w:top w:val="none" w:sz="0" w:space="0" w:color="auto"/>
        <w:left w:val="none" w:sz="0" w:space="0" w:color="auto"/>
        <w:bottom w:val="none" w:sz="0" w:space="0" w:color="auto"/>
        <w:right w:val="none" w:sz="0" w:space="0" w:color="auto"/>
      </w:divBdr>
    </w:div>
    <w:div w:id="979723099">
      <w:bodyDiv w:val="1"/>
      <w:marLeft w:val="0"/>
      <w:marRight w:val="0"/>
      <w:marTop w:val="0"/>
      <w:marBottom w:val="0"/>
      <w:divBdr>
        <w:top w:val="none" w:sz="0" w:space="0" w:color="auto"/>
        <w:left w:val="none" w:sz="0" w:space="0" w:color="auto"/>
        <w:bottom w:val="none" w:sz="0" w:space="0" w:color="auto"/>
        <w:right w:val="none" w:sz="0" w:space="0" w:color="auto"/>
      </w:divBdr>
    </w:div>
    <w:div w:id="985090795">
      <w:bodyDiv w:val="1"/>
      <w:marLeft w:val="0"/>
      <w:marRight w:val="0"/>
      <w:marTop w:val="0"/>
      <w:marBottom w:val="0"/>
      <w:divBdr>
        <w:top w:val="none" w:sz="0" w:space="0" w:color="auto"/>
        <w:left w:val="none" w:sz="0" w:space="0" w:color="auto"/>
        <w:bottom w:val="none" w:sz="0" w:space="0" w:color="auto"/>
        <w:right w:val="none" w:sz="0" w:space="0" w:color="auto"/>
      </w:divBdr>
    </w:div>
    <w:div w:id="986125802">
      <w:bodyDiv w:val="1"/>
      <w:marLeft w:val="0"/>
      <w:marRight w:val="0"/>
      <w:marTop w:val="0"/>
      <w:marBottom w:val="0"/>
      <w:divBdr>
        <w:top w:val="none" w:sz="0" w:space="0" w:color="auto"/>
        <w:left w:val="none" w:sz="0" w:space="0" w:color="auto"/>
        <w:bottom w:val="none" w:sz="0" w:space="0" w:color="auto"/>
        <w:right w:val="none" w:sz="0" w:space="0" w:color="auto"/>
      </w:divBdr>
    </w:div>
    <w:div w:id="990254597">
      <w:bodyDiv w:val="1"/>
      <w:marLeft w:val="0"/>
      <w:marRight w:val="0"/>
      <w:marTop w:val="0"/>
      <w:marBottom w:val="0"/>
      <w:divBdr>
        <w:top w:val="none" w:sz="0" w:space="0" w:color="auto"/>
        <w:left w:val="none" w:sz="0" w:space="0" w:color="auto"/>
        <w:bottom w:val="none" w:sz="0" w:space="0" w:color="auto"/>
        <w:right w:val="none" w:sz="0" w:space="0" w:color="auto"/>
      </w:divBdr>
    </w:div>
    <w:div w:id="993023552">
      <w:bodyDiv w:val="1"/>
      <w:marLeft w:val="0"/>
      <w:marRight w:val="0"/>
      <w:marTop w:val="0"/>
      <w:marBottom w:val="0"/>
      <w:divBdr>
        <w:top w:val="none" w:sz="0" w:space="0" w:color="auto"/>
        <w:left w:val="none" w:sz="0" w:space="0" w:color="auto"/>
        <w:bottom w:val="none" w:sz="0" w:space="0" w:color="auto"/>
        <w:right w:val="none" w:sz="0" w:space="0" w:color="auto"/>
      </w:divBdr>
    </w:div>
    <w:div w:id="1007907024">
      <w:bodyDiv w:val="1"/>
      <w:marLeft w:val="0"/>
      <w:marRight w:val="0"/>
      <w:marTop w:val="0"/>
      <w:marBottom w:val="0"/>
      <w:divBdr>
        <w:top w:val="none" w:sz="0" w:space="0" w:color="auto"/>
        <w:left w:val="none" w:sz="0" w:space="0" w:color="auto"/>
        <w:bottom w:val="none" w:sz="0" w:space="0" w:color="auto"/>
        <w:right w:val="none" w:sz="0" w:space="0" w:color="auto"/>
      </w:divBdr>
    </w:div>
    <w:div w:id="1030644790">
      <w:bodyDiv w:val="1"/>
      <w:marLeft w:val="0"/>
      <w:marRight w:val="0"/>
      <w:marTop w:val="0"/>
      <w:marBottom w:val="0"/>
      <w:divBdr>
        <w:top w:val="none" w:sz="0" w:space="0" w:color="auto"/>
        <w:left w:val="none" w:sz="0" w:space="0" w:color="auto"/>
        <w:bottom w:val="none" w:sz="0" w:space="0" w:color="auto"/>
        <w:right w:val="none" w:sz="0" w:space="0" w:color="auto"/>
      </w:divBdr>
    </w:div>
    <w:div w:id="1052539332">
      <w:bodyDiv w:val="1"/>
      <w:marLeft w:val="0"/>
      <w:marRight w:val="0"/>
      <w:marTop w:val="0"/>
      <w:marBottom w:val="0"/>
      <w:divBdr>
        <w:top w:val="none" w:sz="0" w:space="0" w:color="auto"/>
        <w:left w:val="none" w:sz="0" w:space="0" w:color="auto"/>
        <w:bottom w:val="none" w:sz="0" w:space="0" w:color="auto"/>
        <w:right w:val="none" w:sz="0" w:space="0" w:color="auto"/>
      </w:divBdr>
    </w:div>
    <w:div w:id="1054696411">
      <w:bodyDiv w:val="1"/>
      <w:marLeft w:val="0"/>
      <w:marRight w:val="0"/>
      <w:marTop w:val="0"/>
      <w:marBottom w:val="0"/>
      <w:divBdr>
        <w:top w:val="none" w:sz="0" w:space="0" w:color="auto"/>
        <w:left w:val="none" w:sz="0" w:space="0" w:color="auto"/>
        <w:bottom w:val="none" w:sz="0" w:space="0" w:color="auto"/>
        <w:right w:val="none" w:sz="0" w:space="0" w:color="auto"/>
      </w:divBdr>
    </w:div>
    <w:div w:id="1059985267">
      <w:bodyDiv w:val="1"/>
      <w:marLeft w:val="0"/>
      <w:marRight w:val="0"/>
      <w:marTop w:val="0"/>
      <w:marBottom w:val="0"/>
      <w:divBdr>
        <w:top w:val="none" w:sz="0" w:space="0" w:color="auto"/>
        <w:left w:val="none" w:sz="0" w:space="0" w:color="auto"/>
        <w:bottom w:val="none" w:sz="0" w:space="0" w:color="auto"/>
        <w:right w:val="none" w:sz="0" w:space="0" w:color="auto"/>
      </w:divBdr>
    </w:div>
    <w:div w:id="1062096589">
      <w:bodyDiv w:val="1"/>
      <w:marLeft w:val="0"/>
      <w:marRight w:val="0"/>
      <w:marTop w:val="0"/>
      <w:marBottom w:val="0"/>
      <w:divBdr>
        <w:top w:val="none" w:sz="0" w:space="0" w:color="auto"/>
        <w:left w:val="none" w:sz="0" w:space="0" w:color="auto"/>
        <w:bottom w:val="none" w:sz="0" w:space="0" w:color="auto"/>
        <w:right w:val="none" w:sz="0" w:space="0" w:color="auto"/>
      </w:divBdr>
    </w:div>
    <w:div w:id="1065493099">
      <w:bodyDiv w:val="1"/>
      <w:marLeft w:val="0"/>
      <w:marRight w:val="0"/>
      <w:marTop w:val="0"/>
      <w:marBottom w:val="0"/>
      <w:divBdr>
        <w:top w:val="none" w:sz="0" w:space="0" w:color="auto"/>
        <w:left w:val="none" w:sz="0" w:space="0" w:color="auto"/>
        <w:bottom w:val="none" w:sz="0" w:space="0" w:color="auto"/>
        <w:right w:val="none" w:sz="0" w:space="0" w:color="auto"/>
      </w:divBdr>
    </w:div>
    <w:div w:id="1070541619">
      <w:bodyDiv w:val="1"/>
      <w:marLeft w:val="0"/>
      <w:marRight w:val="0"/>
      <w:marTop w:val="0"/>
      <w:marBottom w:val="0"/>
      <w:divBdr>
        <w:top w:val="none" w:sz="0" w:space="0" w:color="auto"/>
        <w:left w:val="none" w:sz="0" w:space="0" w:color="auto"/>
        <w:bottom w:val="none" w:sz="0" w:space="0" w:color="auto"/>
        <w:right w:val="none" w:sz="0" w:space="0" w:color="auto"/>
      </w:divBdr>
    </w:div>
    <w:div w:id="1084954473">
      <w:bodyDiv w:val="1"/>
      <w:marLeft w:val="0"/>
      <w:marRight w:val="0"/>
      <w:marTop w:val="0"/>
      <w:marBottom w:val="0"/>
      <w:divBdr>
        <w:top w:val="none" w:sz="0" w:space="0" w:color="auto"/>
        <w:left w:val="none" w:sz="0" w:space="0" w:color="auto"/>
        <w:bottom w:val="none" w:sz="0" w:space="0" w:color="auto"/>
        <w:right w:val="none" w:sz="0" w:space="0" w:color="auto"/>
      </w:divBdr>
    </w:div>
    <w:div w:id="1107046327">
      <w:bodyDiv w:val="1"/>
      <w:marLeft w:val="0"/>
      <w:marRight w:val="0"/>
      <w:marTop w:val="0"/>
      <w:marBottom w:val="0"/>
      <w:divBdr>
        <w:top w:val="none" w:sz="0" w:space="0" w:color="auto"/>
        <w:left w:val="none" w:sz="0" w:space="0" w:color="auto"/>
        <w:bottom w:val="none" w:sz="0" w:space="0" w:color="auto"/>
        <w:right w:val="none" w:sz="0" w:space="0" w:color="auto"/>
      </w:divBdr>
    </w:div>
    <w:div w:id="1108547997">
      <w:bodyDiv w:val="1"/>
      <w:marLeft w:val="0"/>
      <w:marRight w:val="0"/>
      <w:marTop w:val="0"/>
      <w:marBottom w:val="0"/>
      <w:divBdr>
        <w:top w:val="none" w:sz="0" w:space="0" w:color="auto"/>
        <w:left w:val="none" w:sz="0" w:space="0" w:color="auto"/>
        <w:bottom w:val="none" w:sz="0" w:space="0" w:color="auto"/>
        <w:right w:val="none" w:sz="0" w:space="0" w:color="auto"/>
      </w:divBdr>
    </w:div>
    <w:div w:id="1117141927">
      <w:bodyDiv w:val="1"/>
      <w:marLeft w:val="0"/>
      <w:marRight w:val="0"/>
      <w:marTop w:val="0"/>
      <w:marBottom w:val="0"/>
      <w:divBdr>
        <w:top w:val="none" w:sz="0" w:space="0" w:color="auto"/>
        <w:left w:val="none" w:sz="0" w:space="0" w:color="auto"/>
        <w:bottom w:val="none" w:sz="0" w:space="0" w:color="auto"/>
        <w:right w:val="none" w:sz="0" w:space="0" w:color="auto"/>
      </w:divBdr>
    </w:div>
    <w:div w:id="1118529438">
      <w:bodyDiv w:val="1"/>
      <w:marLeft w:val="0"/>
      <w:marRight w:val="0"/>
      <w:marTop w:val="0"/>
      <w:marBottom w:val="0"/>
      <w:divBdr>
        <w:top w:val="none" w:sz="0" w:space="0" w:color="auto"/>
        <w:left w:val="none" w:sz="0" w:space="0" w:color="auto"/>
        <w:bottom w:val="none" w:sz="0" w:space="0" w:color="auto"/>
        <w:right w:val="none" w:sz="0" w:space="0" w:color="auto"/>
      </w:divBdr>
    </w:div>
    <w:div w:id="1118985930">
      <w:bodyDiv w:val="1"/>
      <w:marLeft w:val="0"/>
      <w:marRight w:val="0"/>
      <w:marTop w:val="0"/>
      <w:marBottom w:val="0"/>
      <w:divBdr>
        <w:top w:val="none" w:sz="0" w:space="0" w:color="auto"/>
        <w:left w:val="none" w:sz="0" w:space="0" w:color="auto"/>
        <w:bottom w:val="none" w:sz="0" w:space="0" w:color="auto"/>
        <w:right w:val="none" w:sz="0" w:space="0" w:color="auto"/>
      </w:divBdr>
    </w:div>
    <w:div w:id="1120758520">
      <w:bodyDiv w:val="1"/>
      <w:marLeft w:val="0"/>
      <w:marRight w:val="0"/>
      <w:marTop w:val="0"/>
      <w:marBottom w:val="0"/>
      <w:divBdr>
        <w:top w:val="none" w:sz="0" w:space="0" w:color="auto"/>
        <w:left w:val="none" w:sz="0" w:space="0" w:color="auto"/>
        <w:bottom w:val="none" w:sz="0" w:space="0" w:color="auto"/>
        <w:right w:val="none" w:sz="0" w:space="0" w:color="auto"/>
      </w:divBdr>
    </w:div>
    <w:div w:id="1126698812">
      <w:bodyDiv w:val="1"/>
      <w:marLeft w:val="0"/>
      <w:marRight w:val="0"/>
      <w:marTop w:val="0"/>
      <w:marBottom w:val="0"/>
      <w:divBdr>
        <w:top w:val="none" w:sz="0" w:space="0" w:color="auto"/>
        <w:left w:val="none" w:sz="0" w:space="0" w:color="auto"/>
        <w:bottom w:val="none" w:sz="0" w:space="0" w:color="auto"/>
        <w:right w:val="none" w:sz="0" w:space="0" w:color="auto"/>
      </w:divBdr>
    </w:div>
    <w:div w:id="1136722814">
      <w:bodyDiv w:val="1"/>
      <w:marLeft w:val="0"/>
      <w:marRight w:val="0"/>
      <w:marTop w:val="0"/>
      <w:marBottom w:val="0"/>
      <w:divBdr>
        <w:top w:val="none" w:sz="0" w:space="0" w:color="auto"/>
        <w:left w:val="none" w:sz="0" w:space="0" w:color="auto"/>
        <w:bottom w:val="none" w:sz="0" w:space="0" w:color="auto"/>
        <w:right w:val="none" w:sz="0" w:space="0" w:color="auto"/>
      </w:divBdr>
    </w:div>
    <w:div w:id="1137337538">
      <w:bodyDiv w:val="1"/>
      <w:marLeft w:val="0"/>
      <w:marRight w:val="0"/>
      <w:marTop w:val="0"/>
      <w:marBottom w:val="0"/>
      <w:divBdr>
        <w:top w:val="none" w:sz="0" w:space="0" w:color="auto"/>
        <w:left w:val="none" w:sz="0" w:space="0" w:color="auto"/>
        <w:bottom w:val="none" w:sz="0" w:space="0" w:color="auto"/>
        <w:right w:val="none" w:sz="0" w:space="0" w:color="auto"/>
      </w:divBdr>
    </w:div>
    <w:div w:id="1141657801">
      <w:bodyDiv w:val="1"/>
      <w:marLeft w:val="0"/>
      <w:marRight w:val="0"/>
      <w:marTop w:val="0"/>
      <w:marBottom w:val="0"/>
      <w:divBdr>
        <w:top w:val="none" w:sz="0" w:space="0" w:color="auto"/>
        <w:left w:val="none" w:sz="0" w:space="0" w:color="auto"/>
        <w:bottom w:val="none" w:sz="0" w:space="0" w:color="auto"/>
        <w:right w:val="none" w:sz="0" w:space="0" w:color="auto"/>
      </w:divBdr>
    </w:div>
    <w:div w:id="1144857823">
      <w:bodyDiv w:val="1"/>
      <w:marLeft w:val="0"/>
      <w:marRight w:val="0"/>
      <w:marTop w:val="0"/>
      <w:marBottom w:val="0"/>
      <w:divBdr>
        <w:top w:val="none" w:sz="0" w:space="0" w:color="auto"/>
        <w:left w:val="none" w:sz="0" w:space="0" w:color="auto"/>
        <w:bottom w:val="none" w:sz="0" w:space="0" w:color="auto"/>
        <w:right w:val="none" w:sz="0" w:space="0" w:color="auto"/>
      </w:divBdr>
    </w:div>
    <w:div w:id="1145393004">
      <w:bodyDiv w:val="1"/>
      <w:marLeft w:val="0"/>
      <w:marRight w:val="0"/>
      <w:marTop w:val="0"/>
      <w:marBottom w:val="0"/>
      <w:divBdr>
        <w:top w:val="none" w:sz="0" w:space="0" w:color="auto"/>
        <w:left w:val="none" w:sz="0" w:space="0" w:color="auto"/>
        <w:bottom w:val="none" w:sz="0" w:space="0" w:color="auto"/>
        <w:right w:val="none" w:sz="0" w:space="0" w:color="auto"/>
      </w:divBdr>
    </w:div>
    <w:div w:id="1147670866">
      <w:bodyDiv w:val="1"/>
      <w:marLeft w:val="0"/>
      <w:marRight w:val="0"/>
      <w:marTop w:val="0"/>
      <w:marBottom w:val="0"/>
      <w:divBdr>
        <w:top w:val="none" w:sz="0" w:space="0" w:color="auto"/>
        <w:left w:val="none" w:sz="0" w:space="0" w:color="auto"/>
        <w:bottom w:val="none" w:sz="0" w:space="0" w:color="auto"/>
        <w:right w:val="none" w:sz="0" w:space="0" w:color="auto"/>
      </w:divBdr>
    </w:div>
    <w:div w:id="1157645012">
      <w:bodyDiv w:val="1"/>
      <w:marLeft w:val="0"/>
      <w:marRight w:val="0"/>
      <w:marTop w:val="0"/>
      <w:marBottom w:val="0"/>
      <w:divBdr>
        <w:top w:val="none" w:sz="0" w:space="0" w:color="auto"/>
        <w:left w:val="none" w:sz="0" w:space="0" w:color="auto"/>
        <w:bottom w:val="none" w:sz="0" w:space="0" w:color="auto"/>
        <w:right w:val="none" w:sz="0" w:space="0" w:color="auto"/>
      </w:divBdr>
    </w:div>
    <w:div w:id="1159469368">
      <w:bodyDiv w:val="1"/>
      <w:marLeft w:val="0"/>
      <w:marRight w:val="0"/>
      <w:marTop w:val="0"/>
      <w:marBottom w:val="0"/>
      <w:divBdr>
        <w:top w:val="none" w:sz="0" w:space="0" w:color="auto"/>
        <w:left w:val="none" w:sz="0" w:space="0" w:color="auto"/>
        <w:bottom w:val="none" w:sz="0" w:space="0" w:color="auto"/>
        <w:right w:val="none" w:sz="0" w:space="0" w:color="auto"/>
      </w:divBdr>
    </w:div>
    <w:div w:id="1161194390">
      <w:bodyDiv w:val="1"/>
      <w:marLeft w:val="0"/>
      <w:marRight w:val="0"/>
      <w:marTop w:val="0"/>
      <w:marBottom w:val="0"/>
      <w:divBdr>
        <w:top w:val="none" w:sz="0" w:space="0" w:color="auto"/>
        <w:left w:val="none" w:sz="0" w:space="0" w:color="auto"/>
        <w:bottom w:val="none" w:sz="0" w:space="0" w:color="auto"/>
        <w:right w:val="none" w:sz="0" w:space="0" w:color="auto"/>
      </w:divBdr>
    </w:div>
    <w:div w:id="1162308574">
      <w:bodyDiv w:val="1"/>
      <w:marLeft w:val="0"/>
      <w:marRight w:val="0"/>
      <w:marTop w:val="0"/>
      <w:marBottom w:val="0"/>
      <w:divBdr>
        <w:top w:val="none" w:sz="0" w:space="0" w:color="auto"/>
        <w:left w:val="none" w:sz="0" w:space="0" w:color="auto"/>
        <w:bottom w:val="none" w:sz="0" w:space="0" w:color="auto"/>
        <w:right w:val="none" w:sz="0" w:space="0" w:color="auto"/>
      </w:divBdr>
    </w:div>
    <w:div w:id="1169171287">
      <w:bodyDiv w:val="1"/>
      <w:marLeft w:val="0"/>
      <w:marRight w:val="0"/>
      <w:marTop w:val="0"/>
      <w:marBottom w:val="0"/>
      <w:divBdr>
        <w:top w:val="none" w:sz="0" w:space="0" w:color="auto"/>
        <w:left w:val="none" w:sz="0" w:space="0" w:color="auto"/>
        <w:bottom w:val="none" w:sz="0" w:space="0" w:color="auto"/>
        <w:right w:val="none" w:sz="0" w:space="0" w:color="auto"/>
      </w:divBdr>
    </w:div>
    <w:div w:id="1175536740">
      <w:bodyDiv w:val="1"/>
      <w:marLeft w:val="0"/>
      <w:marRight w:val="0"/>
      <w:marTop w:val="0"/>
      <w:marBottom w:val="0"/>
      <w:divBdr>
        <w:top w:val="none" w:sz="0" w:space="0" w:color="auto"/>
        <w:left w:val="none" w:sz="0" w:space="0" w:color="auto"/>
        <w:bottom w:val="none" w:sz="0" w:space="0" w:color="auto"/>
        <w:right w:val="none" w:sz="0" w:space="0" w:color="auto"/>
      </w:divBdr>
    </w:div>
    <w:div w:id="1180970243">
      <w:bodyDiv w:val="1"/>
      <w:marLeft w:val="0"/>
      <w:marRight w:val="0"/>
      <w:marTop w:val="0"/>
      <w:marBottom w:val="0"/>
      <w:divBdr>
        <w:top w:val="none" w:sz="0" w:space="0" w:color="auto"/>
        <w:left w:val="none" w:sz="0" w:space="0" w:color="auto"/>
        <w:bottom w:val="none" w:sz="0" w:space="0" w:color="auto"/>
        <w:right w:val="none" w:sz="0" w:space="0" w:color="auto"/>
      </w:divBdr>
    </w:div>
    <w:div w:id="1193612031">
      <w:bodyDiv w:val="1"/>
      <w:marLeft w:val="0"/>
      <w:marRight w:val="0"/>
      <w:marTop w:val="0"/>
      <w:marBottom w:val="0"/>
      <w:divBdr>
        <w:top w:val="none" w:sz="0" w:space="0" w:color="auto"/>
        <w:left w:val="none" w:sz="0" w:space="0" w:color="auto"/>
        <w:bottom w:val="none" w:sz="0" w:space="0" w:color="auto"/>
        <w:right w:val="none" w:sz="0" w:space="0" w:color="auto"/>
      </w:divBdr>
    </w:div>
    <w:div w:id="1198277289">
      <w:bodyDiv w:val="1"/>
      <w:marLeft w:val="0"/>
      <w:marRight w:val="0"/>
      <w:marTop w:val="0"/>
      <w:marBottom w:val="0"/>
      <w:divBdr>
        <w:top w:val="none" w:sz="0" w:space="0" w:color="auto"/>
        <w:left w:val="none" w:sz="0" w:space="0" w:color="auto"/>
        <w:bottom w:val="none" w:sz="0" w:space="0" w:color="auto"/>
        <w:right w:val="none" w:sz="0" w:space="0" w:color="auto"/>
      </w:divBdr>
    </w:div>
    <w:div w:id="1208299802">
      <w:bodyDiv w:val="1"/>
      <w:marLeft w:val="0"/>
      <w:marRight w:val="0"/>
      <w:marTop w:val="0"/>
      <w:marBottom w:val="0"/>
      <w:divBdr>
        <w:top w:val="none" w:sz="0" w:space="0" w:color="auto"/>
        <w:left w:val="none" w:sz="0" w:space="0" w:color="auto"/>
        <w:bottom w:val="none" w:sz="0" w:space="0" w:color="auto"/>
        <w:right w:val="none" w:sz="0" w:space="0" w:color="auto"/>
      </w:divBdr>
    </w:div>
    <w:div w:id="1219324871">
      <w:bodyDiv w:val="1"/>
      <w:marLeft w:val="0"/>
      <w:marRight w:val="0"/>
      <w:marTop w:val="0"/>
      <w:marBottom w:val="0"/>
      <w:divBdr>
        <w:top w:val="none" w:sz="0" w:space="0" w:color="auto"/>
        <w:left w:val="none" w:sz="0" w:space="0" w:color="auto"/>
        <w:bottom w:val="none" w:sz="0" w:space="0" w:color="auto"/>
        <w:right w:val="none" w:sz="0" w:space="0" w:color="auto"/>
      </w:divBdr>
    </w:div>
    <w:div w:id="1219511073">
      <w:bodyDiv w:val="1"/>
      <w:marLeft w:val="0"/>
      <w:marRight w:val="0"/>
      <w:marTop w:val="0"/>
      <w:marBottom w:val="0"/>
      <w:divBdr>
        <w:top w:val="none" w:sz="0" w:space="0" w:color="auto"/>
        <w:left w:val="none" w:sz="0" w:space="0" w:color="auto"/>
        <w:bottom w:val="none" w:sz="0" w:space="0" w:color="auto"/>
        <w:right w:val="none" w:sz="0" w:space="0" w:color="auto"/>
      </w:divBdr>
    </w:div>
    <w:div w:id="1239704609">
      <w:bodyDiv w:val="1"/>
      <w:marLeft w:val="0"/>
      <w:marRight w:val="0"/>
      <w:marTop w:val="0"/>
      <w:marBottom w:val="0"/>
      <w:divBdr>
        <w:top w:val="none" w:sz="0" w:space="0" w:color="auto"/>
        <w:left w:val="none" w:sz="0" w:space="0" w:color="auto"/>
        <w:bottom w:val="none" w:sz="0" w:space="0" w:color="auto"/>
        <w:right w:val="none" w:sz="0" w:space="0" w:color="auto"/>
      </w:divBdr>
    </w:div>
    <w:div w:id="1243641304">
      <w:bodyDiv w:val="1"/>
      <w:marLeft w:val="0"/>
      <w:marRight w:val="0"/>
      <w:marTop w:val="0"/>
      <w:marBottom w:val="0"/>
      <w:divBdr>
        <w:top w:val="none" w:sz="0" w:space="0" w:color="auto"/>
        <w:left w:val="none" w:sz="0" w:space="0" w:color="auto"/>
        <w:bottom w:val="none" w:sz="0" w:space="0" w:color="auto"/>
        <w:right w:val="none" w:sz="0" w:space="0" w:color="auto"/>
      </w:divBdr>
    </w:div>
    <w:div w:id="1254556504">
      <w:bodyDiv w:val="1"/>
      <w:marLeft w:val="0"/>
      <w:marRight w:val="0"/>
      <w:marTop w:val="0"/>
      <w:marBottom w:val="0"/>
      <w:divBdr>
        <w:top w:val="none" w:sz="0" w:space="0" w:color="auto"/>
        <w:left w:val="none" w:sz="0" w:space="0" w:color="auto"/>
        <w:bottom w:val="none" w:sz="0" w:space="0" w:color="auto"/>
        <w:right w:val="none" w:sz="0" w:space="0" w:color="auto"/>
      </w:divBdr>
      <w:divsChild>
        <w:div w:id="1634746465">
          <w:marLeft w:val="288"/>
          <w:marRight w:val="0"/>
          <w:marTop w:val="0"/>
          <w:marBottom w:val="0"/>
          <w:divBdr>
            <w:top w:val="none" w:sz="0" w:space="0" w:color="auto"/>
            <w:left w:val="none" w:sz="0" w:space="0" w:color="auto"/>
            <w:bottom w:val="none" w:sz="0" w:space="0" w:color="auto"/>
            <w:right w:val="none" w:sz="0" w:space="0" w:color="auto"/>
          </w:divBdr>
        </w:div>
        <w:div w:id="1074860035">
          <w:marLeft w:val="749"/>
          <w:marRight w:val="0"/>
          <w:marTop w:val="0"/>
          <w:marBottom w:val="0"/>
          <w:divBdr>
            <w:top w:val="none" w:sz="0" w:space="0" w:color="auto"/>
            <w:left w:val="none" w:sz="0" w:space="0" w:color="auto"/>
            <w:bottom w:val="none" w:sz="0" w:space="0" w:color="auto"/>
            <w:right w:val="none" w:sz="0" w:space="0" w:color="auto"/>
          </w:divBdr>
        </w:div>
        <w:div w:id="2064214072">
          <w:marLeft w:val="749"/>
          <w:marRight w:val="0"/>
          <w:marTop w:val="0"/>
          <w:marBottom w:val="0"/>
          <w:divBdr>
            <w:top w:val="none" w:sz="0" w:space="0" w:color="auto"/>
            <w:left w:val="none" w:sz="0" w:space="0" w:color="auto"/>
            <w:bottom w:val="none" w:sz="0" w:space="0" w:color="auto"/>
            <w:right w:val="none" w:sz="0" w:space="0" w:color="auto"/>
          </w:divBdr>
        </w:div>
      </w:divsChild>
    </w:div>
    <w:div w:id="1257667153">
      <w:bodyDiv w:val="1"/>
      <w:marLeft w:val="0"/>
      <w:marRight w:val="0"/>
      <w:marTop w:val="0"/>
      <w:marBottom w:val="0"/>
      <w:divBdr>
        <w:top w:val="none" w:sz="0" w:space="0" w:color="auto"/>
        <w:left w:val="none" w:sz="0" w:space="0" w:color="auto"/>
        <w:bottom w:val="none" w:sz="0" w:space="0" w:color="auto"/>
        <w:right w:val="none" w:sz="0" w:space="0" w:color="auto"/>
      </w:divBdr>
    </w:div>
    <w:div w:id="1259752610">
      <w:bodyDiv w:val="1"/>
      <w:marLeft w:val="0"/>
      <w:marRight w:val="0"/>
      <w:marTop w:val="0"/>
      <w:marBottom w:val="0"/>
      <w:divBdr>
        <w:top w:val="none" w:sz="0" w:space="0" w:color="auto"/>
        <w:left w:val="none" w:sz="0" w:space="0" w:color="auto"/>
        <w:bottom w:val="none" w:sz="0" w:space="0" w:color="auto"/>
        <w:right w:val="none" w:sz="0" w:space="0" w:color="auto"/>
      </w:divBdr>
    </w:div>
    <w:div w:id="1260941341">
      <w:bodyDiv w:val="1"/>
      <w:marLeft w:val="0"/>
      <w:marRight w:val="0"/>
      <w:marTop w:val="0"/>
      <w:marBottom w:val="0"/>
      <w:divBdr>
        <w:top w:val="none" w:sz="0" w:space="0" w:color="auto"/>
        <w:left w:val="none" w:sz="0" w:space="0" w:color="auto"/>
        <w:bottom w:val="none" w:sz="0" w:space="0" w:color="auto"/>
        <w:right w:val="none" w:sz="0" w:space="0" w:color="auto"/>
      </w:divBdr>
    </w:div>
    <w:div w:id="1263799821">
      <w:bodyDiv w:val="1"/>
      <w:marLeft w:val="0"/>
      <w:marRight w:val="0"/>
      <w:marTop w:val="0"/>
      <w:marBottom w:val="0"/>
      <w:divBdr>
        <w:top w:val="none" w:sz="0" w:space="0" w:color="auto"/>
        <w:left w:val="none" w:sz="0" w:space="0" w:color="auto"/>
        <w:bottom w:val="none" w:sz="0" w:space="0" w:color="auto"/>
        <w:right w:val="none" w:sz="0" w:space="0" w:color="auto"/>
      </w:divBdr>
    </w:div>
    <w:div w:id="1274635610">
      <w:bodyDiv w:val="1"/>
      <w:marLeft w:val="0"/>
      <w:marRight w:val="0"/>
      <w:marTop w:val="0"/>
      <w:marBottom w:val="0"/>
      <w:divBdr>
        <w:top w:val="none" w:sz="0" w:space="0" w:color="auto"/>
        <w:left w:val="none" w:sz="0" w:space="0" w:color="auto"/>
        <w:bottom w:val="none" w:sz="0" w:space="0" w:color="auto"/>
        <w:right w:val="none" w:sz="0" w:space="0" w:color="auto"/>
      </w:divBdr>
    </w:div>
    <w:div w:id="1284119816">
      <w:bodyDiv w:val="1"/>
      <w:marLeft w:val="0"/>
      <w:marRight w:val="0"/>
      <w:marTop w:val="0"/>
      <w:marBottom w:val="0"/>
      <w:divBdr>
        <w:top w:val="none" w:sz="0" w:space="0" w:color="auto"/>
        <w:left w:val="none" w:sz="0" w:space="0" w:color="auto"/>
        <w:bottom w:val="none" w:sz="0" w:space="0" w:color="auto"/>
        <w:right w:val="none" w:sz="0" w:space="0" w:color="auto"/>
      </w:divBdr>
    </w:div>
    <w:div w:id="1293904468">
      <w:bodyDiv w:val="1"/>
      <w:marLeft w:val="0"/>
      <w:marRight w:val="0"/>
      <w:marTop w:val="0"/>
      <w:marBottom w:val="0"/>
      <w:divBdr>
        <w:top w:val="none" w:sz="0" w:space="0" w:color="auto"/>
        <w:left w:val="none" w:sz="0" w:space="0" w:color="auto"/>
        <w:bottom w:val="none" w:sz="0" w:space="0" w:color="auto"/>
        <w:right w:val="none" w:sz="0" w:space="0" w:color="auto"/>
      </w:divBdr>
    </w:div>
    <w:div w:id="1294368510">
      <w:bodyDiv w:val="1"/>
      <w:marLeft w:val="0"/>
      <w:marRight w:val="0"/>
      <w:marTop w:val="0"/>
      <w:marBottom w:val="0"/>
      <w:divBdr>
        <w:top w:val="none" w:sz="0" w:space="0" w:color="auto"/>
        <w:left w:val="none" w:sz="0" w:space="0" w:color="auto"/>
        <w:bottom w:val="none" w:sz="0" w:space="0" w:color="auto"/>
        <w:right w:val="none" w:sz="0" w:space="0" w:color="auto"/>
      </w:divBdr>
    </w:div>
    <w:div w:id="1297761766">
      <w:bodyDiv w:val="1"/>
      <w:marLeft w:val="0"/>
      <w:marRight w:val="0"/>
      <w:marTop w:val="0"/>
      <w:marBottom w:val="0"/>
      <w:divBdr>
        <w:top w:val="none" w:sz="0" w:space="0" w:color="auto"/>
        <w:left w:val="none" w:sz="0" w:space="0" w:color="auto"/>
        <w:bottom w:val="none" w:sz="0" w:space="0" w:color="auto"/>
        <w:right w:val="none" w:sz="0" w:space="0" w:color="auto"/>
      </w:divBdr>
    </w:div>
    <w:div w:id="1302346134">
      <w:bodyDiv w:val="1"/>
      <w:marLeft w:val="0"/>
      <w:marRight w:val="0"/>
      <w:marTop w:val="0"/>
      <w:marBottom w:val="0"/>
      <w:divBdr>
        <w:top w:val="none" w:sz="0" w:space="0" w:color="auto"/>
        <w:left w:val="none" w:sz="0" w:space="0" w:color="auto"/>
        <w:bottom w:val="none" w:sz="0" w:space="0" w:color="auto"/>
        <w:right w:val="none" w:sz="0" w:space="0" w:color="auto"/>
      </w:divBdr>
    </w:div>
    <w:div w:id="1315599815">
      <w:bodyDiv w:val="1"/>
      <w:marLeft w:val="0"/>
      <w:marRight w:val="0"/>
      <w:marTop w:val="0"/>
      <w:marBottom w:val="0"/>
      <w:divBdr>
        <w:top w:val="none" w:sz="0" w:space="0" w:color="auto"/>
        <w:left w:val="none" w:sz="0" w:space="0" w:color="auto"/>
        <w:bottom w:val="none" w:sz="0" w:space="0" w:color="auto"/>
        <w:right w:val="none" w:sz="0" w:space="0" w:color="auto"/>
      </w:divBdr>
    </w:div>
    <w:div w:id="1317303160">
      <w:bodyDiv w:val="1"/>
      <w:marLeft w:val="0"/>
      <w:marRight w:val="0"/>
      <w:marTop w:val="0"/>
      <w:marBottom w:val="0"/>
      <w:divBdr>
        <w:top w:val="none" w:sz="0" w:space="0" w:color="auto"/>
        <w:left w:val="none" w:sz="0" w:space="0" w:color="auto"/>
        <w:bottom w:val="none" w:sz="0" w:space="0" w:color="auto"/>
        <w:right w:val="none" w:sz="0" w:space="0" w:color="auto"/>
      </w:divBdr>
    </w:div>
    <w:div w:id="1320235044">
      <w:bodyDiv w:val="1"/>
      <w:marLeft w:val="0"/>
      <w:marRight w:val="0"/>
      <w:marTop w:val="0"/>
      <w:marBottom w:val="0"/>
      <w:divBdr>
        <w:top w:val="none" w:sz="0" w:space="0" w:color="auto"/>
        <w:left w:val="none" w:sz="0" w:space="0" w:color="auto"/>
        <w:bottom w:val="none" w:sz="0" w:space="0" w:color="auto"/>
        <w:right w:val="none" w:sz="0" w:space="0" w:color="auto"/>
      </w:divBdr>
    </w:div>
    <w:div w:id="1327441212">
      <w:bodyDiv w:val="1"/>
      <w:marLeft w:val="0"/>
      <w:marRight w:val="0"/>
      <w:marTop w:val="0"/>
      <w:marBottom w:val="0"/>
      <w:divBdr>
        <w:top w:val="none" w:sz="0" w:space="0" w:color="auto"/>
        <w:left w:val="none" w:sz="0" w:space="0" w:color="auto"/>
        <w:bottom w:val="none" w:sz="0" w:space="0" w:color="auto"/>
        <w:right w:val="none" w:sz="0" w:space="0" w:color="auto"/>
      </w:divBdr>
    </w:div>
    <w:div w:id="1330330203">
      <w:bodyDiv w:val="1"/>
      <w:marLeft w:val="0"/>
      <w:marRight w:val="0"/>
      <w:marTop w:val="0"/>
      <w:marBottom w:val="0"/>
      <w:divBdr>
        <w:top w:val="none" w:sz="0" w:space="0" w:color="auto"/>
        <w:left w:val="none" w:sz="0" w:space="0" w:color="auto"/>
        <w:bottom w:val="none" w:sz="0" w:space="0" w:color="auto"/>
        <w:right w:val="none" w:sz="0" w:space="0" w:color="auto"/>
      </w:divBdr>
    </w:div>
    <w:div w:id="1342850759">
      <w:bodyDiv w:val="1"/>
      <w:marLeft w:val="0"/>
      <w:marRight w:val="0"/>
      <w:marTop w:val="0"/>
      <w:marBottom w:val="0"/>
      <w:divBdr>
        <w:top w:val="none" w:sz="0" w:space="0" w:color="auto"/>
        <w:left w:val="none" w:sz="0" w:space="0" w:color="auto"/>
        <w:bottom w:val="none" w:sz="0" w:space="0" w:color="auto"/>
        <w:right w:val="none" w:sz="0" w:space="0" w:color="auto"/>
      </w:divBdr>
    </w:div>
    <w:div w:id="1348943839">
      <w:bodyDiv w:val="1"/>
      <w:marLeft w:val="0"/>
      <w:marRight w:val="0"/>
      <w:marTop w:val="0"/>
      <w:marBottom w:val="0"/>
      <w:divBdr>
        <w:top w:val="none" w:sz="0" w:space="0" w:color="auto"/>
        <w:left w:val="none" w:sz="0" w:space="0" w:color="auto"/>
        <w:bottom w:val="none" w:sz="0" w:space="0" w:color="auto"/>
        <w:right w:val="none" w:sz="0" w:space="0" w:color="auto"/>
      </w:divBdr>
    </w:div>
    <w:div w:id="1355569512">
      <w:bodyDiv w:val="1"/>
      <w:marLeft w:val="0"/>
      <w:marRight w:val="0"/>
      <w:marTop w:val="0"/>
      <w:marBottom w:val="0"/>
      <w:divBdr>
        <w:top w:val="none" w:sz="0" w:space="0" w:color="auto"/>
        <w:left w:val="none" w:sz="0" w:space="0" w:color="auto"/>
        <w:bottom w:val="none" w:sz="0" w:space="0" w:color="auto"/>
        <w:right w:val="none" w:sz="0" w:space="0" w:color="auto"/>
      </w:divBdr>
    </w:div>
    <w:div w:id="1367173939">
      <w:bodyDiv w:val="1"/>
      <w:marLeft w:val="0"/>
      <w:marRight w:val="0"/>
      <w:marTop w:val="0"/>
      <w:marBottom w:val="0"/>
      <w:divBdr>
        <w:top w:val="none" w:sz="0" w:space="0" w:color="auto"/>
        <w:left w:val="none" w:sz="0" w:space="0" w:color="auto"/>
        <w:bottom w:val="none" w:sz="0" w:space="0" w:color="auto"/>
        <w:right w:val="none" w:sz="0" w:space="0" w:color="auto"/>
      </w:divBdr>
    </w:div>
    <w:div w:id="1369574495">
      <w:bodyDiv w:val="1"/>
      <w:marLeft w:val="0"/>
      <w:marRight w:val="0"/>
      <w:marTop w:val="0"/>
      <w:marBottom w:val="0"/>
      <w:divBdr>
        <w:top w:val="none" w:sz="0" w:space="0" w:color="auto"/>
        <w:left w:val="none" w:sz="0" w:space="0" w:color="auto"/>
        <w:bottom w:val="none" w:sz="0" w:space="0" w:color="auto"/>
        <w:right w:val="none" w:sz="0" w:space="0" w:color="auto"/>
      </w:divBdr>
    </w:div>
    <w:div w:id="1371610079">
      <w:bodyDiv w:val="1"/>
      <w:marLeft w:val="0"/>
      <w:marRight w:val="0"/>
      <w:marTop w:val="0"/>
      <w:marBottom w:val="0"/>
      <w:divBdr>
        <w:top w:val="none" w:sz="0" w:space="0" w:color="auto"/>
        <w:left w:val="none" w:sz="0" w:space="0" w:color="auto"/>
        <w:bottom w:val="none" w:sz="0" w:space="0" w:color="auto"/>
        <w:right w:val="none" w:sz="0" w:space="0" w:color="auto"/>
      </w:divBdr>
    </w:div>
    <w:div w:id="1374967086">
      <w:bodyDiv w:val="1"/>
      <w:marLeft w:val="0"/>
      <w:marRight w:val="0"/>
      <w:marTop w:val="0"/>
      <w:marBottom w:val="0"/>
      <w:divBdr>
        <w:top w:val="none" w:sz="0" w:space="0" w:color="auto"/>
        <w:left w:val="none" w:sz="0" w:space="0" w:color="auto"/>
        <w:bottom w:val="none" w:sz="0" w:space="0" w:color="auto"/>
        <w:right w:val="none" w:sz="0" w:space="0" w:color="auto"/>
      </w:divBdr>
    </w:div>
    <w:div w:id="1381780515">
      <w:bodyDiv w:val="1"/>
      <w:marLeft w:val="0"/>
      <w:marRight w:val="0"/>
      <w:marTop w:val="0"/>
      <w:marBottom w:val="0"/>
      <w:divBdr>
        <w:top w:val="none" w:sz="0" w:space="0" w:color="auto"/>
        <w:left w:val="none" w:sz="0" w:space="0" w:color="auto"/>
        <w:bottom w:val="none" w:sz="0" w:space="0" w:color="auto"/>
        <w:right w:val="none" w:sz="0" w:space="0" w:color="auto"/>
      </w:divBdr>
    </w:div>
    <w:div w:id="1385444664">
      <w:bodyDiv w:val="1"/>
      <w:marLeft w:val="0"/>
      <w:marRight w:val="0"/>
      <w:marTop w:val="0"/>
      <w:marBottom w:val="0"/>
      <w:divBdr>
        <w:top w:val="none" w:sz="0" w:space="0" w:color="auto"/>
        <w:left w:val="none" w:sz="0" w:space="0" w:color="auto"/>
        <w:bottom w:val="none" w:sz="0" w:space="0" w:color="auto"/>
        <w:right w:val="none" w:sz="0" w:space="0" w:color="auto"/>
      </w:divBdr>
    </w:div>
    <w:div w:id="1392147389">
      <w:bodyDiv w:val="1"/>
      <w:marLeft w:val="0"/>
      <w:marRight w:val="0"/>
      <w:marTop w:val="0"/>
      <w:marBottom w:val="0"/>
      <w:divBdr>
        <w:top w:val="none" w:sz="0" w:space="0" w:color="auto"/>
        <w:left w:val="none" w:sz="0" w:space="0" w:color="auto"/>
        <w:bottom w:val="none" w:sz="0" w:space="0" w:color="auto"/>
        <w:right w:val="none" w:sz="0" w:space="0" w:color="auto"/>
      </w:divBdr>
    </w:div>
    <w:div w:id="1402870943">
      <w:bodyDiv w:val="1"/>
      <w:marLeft w:val="0"/>
      <w:marRight w:val="0"/>
      <w:marTop w:val="0"/>
      <w:marBottom w:val="0"/>
      <w:divBdr>
        <w:top w:val="none" w:sz="0" w:space="0" w:color="auto"/>
        <w:left w:val="none" w:sz="0" w:space="0" w:color="auto"/>
        <w:bottom w:val="none" w:sz="0" w:space="0" w:color="auto"/>
        <w:right w:val="none" w:sz="0" w:space="0" w:color="auto"/>
      </w:divBdr>
    </w:div>
    <w:div w:id="1404839242">
      <w:bodyDiv w:val="1"/>
      <w:marLeft w:val="0"/>
      <w:marRight w:val="0"/>
      <w:marTop w:val="0"/>
      <w:marBottom w:val="0"/>
      <w:divBdr>
        <w:top w:val="none" w:sz="0" w:space="0" w:color="auto"/>
        <w:left w:val="none" w:sz="0" w:space="0" w:color="auto"/>
        <w:bottom w:val="none" w:sz="0" w:space="0" w:color="auto"/>
        <w:right w:val="none" w:sz="0" w:space="0" w:color="auto"/>
      </w:divBdr>
    </w:div>
    <w:div w:id="1405682146">
      <w:bodyDiv w:val="1"/>
      <w:marLeft w:val="0"/>
      <w:marRight w:val="0"/>
      <w:marTop w:val="0"/>
      <w:marBottom w:val="0"/>
      <w:divBdr>
        <w:top w:val="none" w:sz="0" w:space="0" w:color="auto"/>
        <w:left w:val="none" w:sz="0" w:space="0" w:color="auto"/>
        <w:bottom w:val="none" w:sz="0" w:space="0" w:color="auto"/>
        <w:right w:val="none" w:sz="0" w:space="0" w:color="auto"/>
      </w:divBdr>
    </w:div>
    <w:div w:id="1414738759">
      <w:bodyDiv w:val="1"/>
      <w:marLeft w:val="0"/>
      <w:marRight w:val="0"/>
      <w:marTop w:val="0"/>
      <w:marBottom w:val="0"/>
      <w:divBdr>
        <w:top w:val="none" w:sz="0" w:space="0" w:color="auto"/>
        <w:left w:val="none" w:sz="0" w:space="0" w:color="auto"/>
        <w:bottom w:val="none" w:sz="0" w:space="0" w:color="auto"/>
        <w:right w:val="none" w:sz="0" w:space="0" w:color="auto"/>
      </w:divBdr>
    </w:div>
    <w:div w:id="1423144656">
      <w:bodyDiv w:val="1"/>
      <w:marLeft w:val="0"/>
      <w:marRight w:val="0"/>
      <w:marTop w:val="0"/>
      <w:marBottom w:val="0"/>
      <w:divBdr>
        <w:top w:val="none" w:sz="0" w:space="0" w:color="auto"/>
        <w:left w:val="none" w:sz="0" w:space="0" w:color="auto"/>
        <w:bottom w:val="none" w:sz="0" w:space="0" w:color="auto"/>
        <w:right w:val="none" w:sz="0" w:space="0" w:color="auto"/>
      </w:divBdr>
    </w:div>
    <w:div w:id="1431662867">
      <w:bodyDiv w:val="1"/>
      <w:marLeft w:val="0"/>
      <w:marRight w:val="0"/>
      <w:marTop w:val="0"/>
      <w:marBottom w:val="0"/>
      <w:divBdr>
        <w:top w:val="none" w:sz="0" w:space="0" w:color="auto"/>
        <w:left w:val="none" w:sz="0" w:space="0" w:color="auto"/>
        <w:bottom w:val="none" w:sz="0" w:space="0" w:color="auto"/>
        <w:right w:val="none" w:sz="0" w:space="0" w:color="auto"/>
      </w:divBdr>
    </w:div>
    <w:div w:id="1442333255">
      <w:bodyDiv w:val="1"/>
      <w:marLeft w:val="0"/>
      <w:marRight w:val="0"/>
      <w:marTop w:val="0"/>
      <w:marBottom w:val="0"/>
      <w:divBdr>
        <w:top w:val="none" w:sz="0" w:space="0" w:color="auto"/>
        <w:left w:val="none" w:sz="0" w:space="0" w:color="auto"/>
        <w:bottom w:val="none" w:sz="0" w:space="0" w:color="auto"/>
        <w:right w:val="none" w:sz="0" w:space="0" w:color="auto"/>
      </w:divBdr>
    </w:div>
    <w:div w:id="1455442054">
      <w:bodyDiv w:val="1"/>
      <w:marLeft w:val="0"/>
      <w:marRight w:val="0"/>
      <w:marTop w:val="0"/>
      <w:marBottom w:val="0"/>
      <w:divBdr>
        <w:top w:val="none" w:sz="0" w:space="0" w:color="auto"/>
        <w:left w:val="none" w:sz="0" w:space="0" w:color="auto"/>
        <w:bottom w:val="none" w:sz="0" w:space="0" w:color="auto"/>
        <w:right w:val="none" w:sz="0" w:space="0" w:color="auto"/>
      </w:divBdr>
    </w:div>
    <w:div w:id="1457024019">
      <w:bodyDiv w:val="1"/>
      <w:marLeft w:val="0"/>
      <w:marRight w:val="0"/>
      <w:marTop w:val="0"/>
      <w:marBottom w:val="0"/>
      <w:divBdr>
        <w:top w:val="none" w:sz="0" w:space="0" w:color="auto"/>
        <w:left w:val="none" w:sz="0" w:space="0" w:color="auto"/>
        <w:bottom w:val="none" w:sz="0" w:space="0" w:color="auto"/>
        <w:right w:val="none" w:sz="0" w:space="0" w:color="auto"/>
      </w:divBdr>
    </w:div>
    <w:div w:id="1457142784">
      <w:bodyDiv w:val="1"/>
      <w:marLeft w:val="0"/>
      <w:marRight w:val="0"/>
      <w:marTop w:val="0"/>
      <w:marBottom w:val="0"/>
      <w:divBdr>
        <w:top w:val="none" w:sz="0" w:space="0" w:color="auto"/>
        <w:left w:val="none" w:sz="0" w:space="0" w:color="auto"/>
        <w:bottom w:val="none" w:sz="0" w:space="0" w:color="auto"/>
        <w:right w:val="none" w:sz="0" w:space="0" w:color="auto"/>
      </w:divBdr>
    </w:div>
    <w:div w:id="1464078544">
      <w:bodyDiv w:val="1"/>
      <w:marLeft w:val="0"/>
      <w:marRight w:val="0"/>
      <w:marTop w:val="0"/>
      <w:marBottom w:val="0"/>
      <w:divBdr>
        <w:top w:val="none" w:sz="0" w:space="0" w:color="auto"/>
        <w:left w:val="none" w:sz="0" w:space="0" w:color="auto"/>
        <w:bottom w:val="none" w:sz="0" w:space="0" w:color="auto"/>
        <w:right w:val="none" w:sz="0" w:space="0" w:color="auto"/>
      </w:divBdr>
    </w:div>
    <w:div w:id="1469469551">
      <w:bodyDiv w:val="1"/>
      <w:marLeft w:val="0"/>
      <w:marRight w:val="0"/>
      <w:marTop w:val="0"/>
      <w:marBottom w:val="0"/>
      <w:divBdr>
        <w:top w:val="none" w:sz="0" w:space="0" w:color="auto"/>
        <w:left w:val="none" w:sz="0" w:space="0" w:color="auto"/>
        <w:bottom w:val="none" w:sz="0" w:space="0" w:color="auto"/>
        <w:right w:val="none" w:sz="0" w:space="0" w:color="auto"/>
      </w:divBdr>
    </w:div>
    <w:div w:id="1505823103">
      <w:bodyDiv w:val="1"/>
      <w:marLeft w:val="0"/>
      <w:marRight w:val="0"/>
      <w:marTop w:val="0"/>
      <w:marBottom w:val="0"/>
      <w:divBdr>
        <w:top w:val="none" w:sz="0" w:space="0" w:color="auto"/>
        <w:left w:val="none" w:sz="0" w:space="0" w:color="auto"/>
        <w:bottom w:val="none" w:sz="0" w:space="0" w:color="auto"/>
        <w:right w:val="none" w:sz="0" w:space="0" w:color="auto"/>
      </w:divBdr>
    </w:div>
    <w:div w:id="1505971277">
      <w:bodyDiv w:val="1"/>
      <w:marLeft w:val="0"/>
      <w:marRight w:val="0"/>
      <w:marTop w:val="0"/>
      <w:marBottom w:val="0"/>
      <w:divBdr>
        <w:top w:val="none" w:sz="0" w:space="0" w:color="auto"/>
        <w:left w:val="none" w:sz="0" w:space="0" w:color="auto"/>
        <w:bottom w:val="none" w:sz="0" w:space="0" w:color="auto"/>
        <w:right w:val="none" w:sz="0" w:space="0" w:color="auto"/>
      </w:divBdr>
    </w:div>
    <w:div w:id="1505973070">
      <w:bodyDiv w:val="1"/>
      <w:marLeft w:val="0"/>
      <w:marRight w:val="0"/>
      <w:marTop w:val="0"/>
      <w:marBottom w:val="0"/>
      <w:divBdr>
        <w:top w:val="none" w:sz="0" w:space="0" w:color="auto"/>
        <w:left w:val="none" w:sz="0" w:space="0" w:color="auto"/>
        <w:bottom w:val="none" w:sz="0" w:space="0" w:color="auto"/>
        <w:right w:val="none" w:sz="0" w:space="0" w:color="auto"/>
      </w:divBdr>
    </w:div>
    <w:div w:id="1519923241">
      <w:bodyDiv w:val="1"/>
      <w:marLeft w:val="0"/>
      <w:marRight w:val="0"/>
      <w:marTop w:val="0"/>
      <w:marBottom w:val="0"/>
      <w:divBdr>
        <w:top w:val="none" w:sz="0" w:space="0" w:color="auto"/>
        <w:left w:val="none" w:sz="0" w:space="0" w:color="auto"/>
        <w:bottom w:val="none" w:sz="0" w:space="0" w:color="auto"/>
        <w:right w:val="none" w:sz="0" w:space="0" w:color="auto"/>
      </w:divBdr>
    </w:div>
    <w:div w:id="1521892180">
      <w:bodyDiv w:val="1"/>
      <w:marLeft w:val="0"/>
      <w:marRight w:val="0"/>
      <w:marTop w:val="0"/>
      <w:marBottom w:val="0"/>
      <w:divBdr>
        <w:top w:val="none" w:sz="0" w:space="0" w:color="auto"/>
        <w:left w:val="none" w:sz="0" w:space="0" w:color="auto"/>
        <w:bottom w:val="none" w:sz="0" w:space="0" w:color="auto"/>
        <w:right w:val="none" w:sz="0" w:space="0" w:color="auto"/>
      </w:divBdr>
    </w:div>
    <w:div w:id="1526559522">
      <w:bodyDiv w:val="1"/>
      <w:marLeft w:val="0"/>
      <w:marRight w:val="0"/>
      <w:marTop w:val="0"/>
      <w:marBottom w:val="0"/>
      <w:divBdr>
        <w:top w:val="none" w:sz="0" w:space="0" w:color="auto"/>
        <w:left w:val="none" w:sz="0" w:space="0" w:color="auto"/>
        <w:bottom w:val="none" w:sz="0" w:space="0" w:color="auto"/>
        <w:right w:val="none" w:sz="0" w:space="0" w:color="auto"/>
      </w:divBdr>
    </w:div>
    <w:div w:id="1533152374">
      <w:bodyDiv w:val="1"/>
      <w:marLeft w:val="0"/>
      <w:marRight w:val="0"/>
      <w:marTop w:val="0"/>
      <w:marBottom w:val="0"/>
      <w:divBdr>
        <w:top w:val="none" w:sz="0" w:space="0" w:color="auto"/>
        <w:left w:val="none" w:sz="0" w:space="0" w:color="auto"/>
        <w:bottom w:val="none" w:sz="0" w:space="0" w:color="auto"/>
        <w:right w:val="none" w:sz="0" w:space="0" w:color="auto"/>
      </w:divBdr>
    </w:div>
    <w:div w:id="1538161930">
      <w:bodyDiv w:val="1"/>
      <w:marLeft w:val="0"/>
      <w:marRight w:val="0"/>
      <w:marTop w:val="0"/>
      <w:marBottom w:val="0"/>
      <w:divBdr>
        <w:top w:val="none" w:sz="0" w:space="0" w:color="auto"/>
        <w:left w:val="none" w:sz="0" w:space="0" w:color="auto"/>
        <w:bottom w:val="none" w:sz="0" w:space="0" w:color="auto"/>
        <w:right w:val="none" w:sz="0" w:space="0" w:color="auto"/>
      </w:divBdr>
    </w:div>
    <w:div w:id="1542862854">
      <w:bodyDiv w:val="1"/>
      <w:marLeft w:val="0"/>
      <w:marRight w:val="0"/>
      <w:marTop w:val="0"/>
      <w:marBottom w:val="0"/>
      <w:divBdr>
        <w:top w:val="none" w:sz="0" w:space="0" w:color="auto"/>
        <w:left w:val="none" w:sz="0" w:space="0" w:color="auto"/>
        <w:bottom w:val="none" w:sz="0" w:space="0" w:color="auto"/>
        <w:right w:val="none" w:sz="0" w:space="0" w:color="auto"/>
      </w:divBdr>
    </w:div>
    <w:div w:id="1562405283">
      <w:bodyDiv w:val="1"/>
      <w:marLeft w:val="0"/>
      <w:marRight w:val="0"/>
      <w:marTop w:val="0"/>
      <w:marBottom w:val="0"/>
      <w:divBdr>
        <w:top w:val="none" w:sz="0" w:space="0" w:color="auto"/>
        <w:left w:val="none" w:sz="0" w:space="0" w:color="auto"/>
        <w:bottom w:val="none" w:sz="0" w:space="0" w:color="auto"/>
        <w:right w:val="none" w:sz="0" w:space="0" w:color="auto"/>
      </w:divBdr>
    </w:div>
    <w:div w:id="1564027738">
      <w:bodyDiv w:val="1"/>
      <w:marLeft w:val="0"/>
      <w:marRight w:val="0"/>
      <w:marTop w:val="0"/>
      <w:marBottom w:val="0"/>
      <w:divBdr>
        <w:top w:val="none" w:sz="0" w:space="0" w:color="auto"/>
        <w:left w:val="none" w:sz="0" w:space="0" w:color="auto"/>
        <w:bottom w:val="none" w:sz="0" w:space="0" w:color="auto"/>
        <w:right w:val="none" w:sz="0" w:space="0" w:color="auto"/>
      </w:divBdr>
    </w:div>
    <w:div w:id="1565917382">
      <w:bodyDiv w:val="1"/>
      <w:marLeft w:val="0"/>
      <w:marRight w:val="0"/>
      <w:marTop w:val="0"/>
      <w:marBottom w:val="0"/>
      <w:divBdr>
        <w:top w:val="none" w:sz="0" w:space="0" w:color="auto"/>
        <w:left w:val="none" w:sz="0" w:space="0" w:color="auto"/>
        <w:bottom w:val="none" w:sz="0" w:space="0" w:color="auto"/>
        <w:right w:val="none" w:sz="0" w:space="0" w:color="auto"/>
      </w:divBdr>
    </w:div>
    <w:div w:id="1578510802">
      <w:bodyDiv w:val="1"/>
      <w:marLeft w:val="0"/>
      <w:marRight w:val="0"/>
      <w:marTop w:val="0"/>
      <w:marBottom w:val="0"/>
      <w:divBdr>
        <w:top w:val="none" w:sz="0" w:space="0" w:color="auto"/>
        <w:left w:val="none" w:sz="0" w:space="0" w:color="auto"/>
        <w:bottom w:val="none" w:sz="0" w:space="0" w:color="auto"/>
        <w:right w:val="none" w:sz="0" w:space="0" w:color="auto"/>
      </w:divBdr>
    </w:div>
    <w:div w:id="1580601961">
      <w:bodyDiv w:val="1"/>
      <w:marLeft w:val="0"/>
      <w:marRight w:val="0"/>
      <w:marTop w:val="0"/>
      <w:marBottom w:val="0"/>
      <w:divBdr>
        <w:top w:val="none" w:sz="0" w:space="0" w:color="auto"/>
        <w:left w:val="none" w:sz="0" w:space="0" w:color="auto"/>
        <w:bottom w:val="none" w:sz="0" w:space="0" w:color="auto"/>
        <w:right w:val="none" w:sz="0" w:space="0" w:color="auto"/>
      </w:divBdr>
    </w:div>
    <w:div w:id="1595017357">
      <w:bodyDiv w:val="1"/>
      <w:marLeft w:val="0"/>
      <w:marRight w:val="0"/>
      <w:marTop w:val="0"/>
      <w:marBottom w:val="0"/>
      <w:divBdr>
        <w:top w:val="none" w:sz="0" w:space="0" w:color="auto"/>
        <w:left w:val="none" w:sz="0" w:space="0" w:color="auto"/>
        <w:bottom w:val="none" w:sz="0" w:space="0" w:color="auto"/>
        <w:right w:val="none" w:sz="0" w:space="0" w:color="auto"/>
      </w:divBdr>
    </w:div>
    <w:div w:id="1596669495">
      <w:bodyDiv w:val="1"/>
      <w:marLeft w:val="0"/>
      <w:marRight w:val="0"/>
      <w:marTop w:val="0"/>
      <w:marBottom w:val="0"/>
      <w:divBdr>
        <w:top w:val="none" w:sz="0" w:space="0" w:color="auto"/>
        <w:left w:val="none" w:sz="0" w:space="0" w:color="auto"/>
        <w:bottom w:val="none" w:sz="0" w:space="0" w:color="auto"/>
        <w:right w:val="none" w:sz="0" w:space="0" w:color="auto"/>
      </w:divBdr>
    </w:div>
    <w:div w:id="1604799804">
      <w:bodyDiv w:val="1"/>
      <w:marLeft w:val="0"/>
      <w:marRight w:val="0"/>
      <w:marTop w:val="0"/>
      <w:marBottom w:val="0"/>
      <w:divBdr>
        <w:top w:val="none" w:sz="0" w:space="0" w:color="auto"/>
        <w:left w:val="none" w:sz="0" w:space="0" w:color="auto"/>
        <w:bottom w:val="none" w:sz="0" w:space="0" w:color="auto"/>
        <w:right w:val="none" w:sz="0" w:space="0" w:color="auto"/>
      </w:divBdr>
    </w:div>
    <w:div w:id="1623417190">
      <w:bodyDiv w:val="1"/>
      <w:marLeft w:val="0"/>
      <w:marRight w:val="0"/>
      <w:marTop w:val="0"/>
      <w:marBottom w:val="0"/>
      <w:divBdr>
        <w:top w:val="none" w:sz="0" w:space="0" w:color="auto"/>
        <w:left w:val="none" w:sz="0" w:space="0" w:color="auto"/>
        <w:bottom w:val="none" w:sz="0" w:space="0" w:color="auto"/>
        <w:right w:val="none" w:sz="0" w:space="0" w:color="auto"/>
      </w:divBdr>
    </w:div>
    <w:div w:id="1628584805">
      <w:bodyDiv w:val="1"/>
      <w:marLeft w:val="0"/>
      <w:marRight w:val="0"/>
      <w:marTop w:val="0"/>
      <w:marBottom w:val="0"/>
      <w:divBdr>
        <w:top w:val="none" w:sz="0" w:space="0" w:color="auto"/>
        <w:left w:val="none" w:sz="0" w:space="0" w:color="auto"/>
        <w:bottom w:val="none" w:sz="0" w:space="0" w:color="auto"/>
        <w:right w:val="none" w:sz="0" w:space="0" w:color="auto"/>
      </w:divBdr>
    </w:div>
    <w:div w:id="1629821106">
      <w:bodyDiv w:val="1"/>
      <w:marLeft w:val="0"/>
      <w:marRight w:val="0"/>
      <w:marTop w:val="0"/>
      <w:marBottom w:val="0"/>
      <w:divBdr>
        <w:top w:val="none" w:sz="0" w:space="0" w:color="auto"/>
        <w:left w:val="none" w:sz="0" w:space="0" w:color="auto"/>
        <w:bottom w:val="none" w:sz="0" w:space="0" w:color="auto"/>
        <w:right w:val="none" w:sz="0" w:space="0" w:color="auto"/>
      </w:divBdr>
    </w:div>
    <w:div w:id="1635332975">
      <w:bodyDiv w:val="1"/>
      <w:marLeft w:val="0"/>
      <w:marRight w:val="0"/>
      <w:marTop w:val="0"/>
      <w:marBottom w:val="0"/>
      <w:divBdr>
        <w:top w:val="none" w:sz="0" w:space="0" w:color="auto"/>
        <w:left w:val="none" w:sz="0" w:space="0" w:color="auto"/>
        <w:bottom w:val="none" w:sz="0" w:space="0" w:color="auto"/>
        <w:right w:val="none" w:sz="0" w:space="0" w:color="auto"/>
      </w:divBdr>
    </w:div>
    <w:div w:id="1640188824">
      <w:bodyDiv w:val="1"/>
      <w:marLeft w:val="0"/>
      <w:marRight w:val="0"/>
      <w:marTop w:val="0"/>
      <w:marBottom w:val="0"/>
      <w:divBdr>
        <w:top w:val="none" w:sz="0" w:space="0" w:color="auto"/>
        <w:left w:val="none" w:sz="0" w:space="0" w:color="auto"/>
        <w:bottom w:val="none" w:sz="0" w:space="0" w:color="auto"/>
        <w:right w:val="none" w:sz="0" w:space="0" w:color="auto"/>
      </w:divBdr>
    </w:div>
    <w:div w:id="1647541048">
      <w:bodyDiv w:val="1"/>
      <w:marLeft w:val="0"/>
      <w:marRight w:val="0"/>
      <w:marTop w:val="0"/>
      <w:marBottom w:val="0"/>
      <w:divBdr>
        <w:top w:val="none" w:sz="0" w:space="0" w:color="auto"/>
        <w:left w:val="none" w:sz="0" w:space="0" w:color="auto"/>
        <w:bottom w:val="none" w:sz="0" w:space="0" w:color="auto"/>
        <w:right w:val="none" w:sz="0" w:space="0" w:color="auto"/>
      </w:divBdr>
    </w:div>
    <w:div w:id="1652444607">
      <w:bodyDiv w:val="1"/>
      <w:marLeft w:val="0"/>
      <w:marRight w:val="0"/>
      <w:marTop w:val="0"/>
      <w:marBottom w:val="0"/>
      <w:divBdr>
        <w:top w:val="none" w:sz="0" w:space="0" w:color="auto"/>
        <w:left w:val="none" w:sz="0" w:space="0" w:color="auto"/>
        <w:bottom w:val="none" w:sz="0" w:space="0" w:color="auto"/>
        <w:right w:val="none" w:sz="0" w:space="0" w:color="auto"/>
      </w:divBdr>
    </w:div>
    <w:div w:id="1652707662">
      <w:bodyDiv w:val="1"/>
      <w:marLeft w:val="0"/>
      <w:marRight w:val="0"/>
      <w:marTop w:val="0"/>
      <w:marBottom w:val="0"/>
      <w:divBdr>
        <w:top w:val="none" w:sz="0" w:space="0" w:color="auto"/>
        <w:left w:val="none" w:sz="0" w:space="0" w:color="auto"/>
        <w:bottom w:val="none" w:sz="0" w:space="0" w:color="auto"/>
        <w:right w:val="none" w:sz="0" w:space="0" w:color="auto"/>
      </w:divBdr>
    </w:div>
    <w:div w:id="1660885002">
      <w:bodyDiv w:val="1"/>
      <w:marLeft w:val="0"/>
      <w:marRight w:val="0"/>
      <w:marTop w:val="0"/>
      <w:marBottom w:val="0"/>
      <w:divBdr>
        <w:top w:val="none" w:sz="0" w:space="0" w:color="auto"/>
        <w:left w:val="none" w:sz="0" w:space="0" w:color="auto"/>
        <w:bottom w:val="none" w:sz="0" w:space="0" w:color="auto"/>
        <w:right w:val="none" w:sz="0" w:space="0" w:color="auto"/>
      </w:divBdr>
    </w:div>
    <w:div w:id="1662197298">
      <w:bodyDiv w:val="1"/>
      <w:marLeft w:val="0"/>
      <w:marRight w:val="0"/>
      <w:marTop w:val="0"/>
      <w:marBottom w:val="0"/>
      <w:divBdr>
        <w:top w:val="none" w:sz="0" w:space="0" w:color="auto"/>
        <w:left w:val="none" w:sz="0" w:space="0" w:color="auto"/>
        <w:bottom w:val="none" w:sz="0" w:space="0" w:color="auto"/>
        <w:right w:val="none" w:sz="0" w:space="0" w:color="auto"/>
      </w:divBdr>
    </w:div>
    <w:div w:id="1668557887">
      <w:bodyDiv w:val="1"/>
      <w:marLeft w:val="0"/>
      <w:marRight w:val="0"/>
      <w:marTop w:val="0"/>
      <w:marBottom w:val="0"/>
      <w:divBdr>
        <w:top w:val="none" w:sz="0" w:space="0" w:color="auto"/>
        <w:left w:val="none" w:sz="0" w:space="0" w:color="auto"/>
        <w:bottom w:val="none" w:sz="0" w:space="0" w:color="auto"/>
        <w:right w:val="none" w:sz="0" w:space="0" w:color="auto"/>
      </w:divBdr>
    </w:div>
    <w:div w:id="1675956408">
      <w:bodyDiv w:val="1"/>
      <w:marLeft w:val="0"/>
      <w:marRight w:val="0"/>
      <w:marTop w:val="0"/>
      <w:marBottom w:val="0"/>
      <w:divBdr>
        <w:top w:val="none" w:sz="0" w:space="0" w:color="auto"/>
        <w:left w:val="none" w:sz="0" w:space="0" w:color="auto"/>
        <w:bottom w:val="none" w:sz="0" w:space="0" w:color="auto"/>
        <w:right w:val="none" w:sz="0" w:space="0" w:color="auto"/>
      </w:divBdr>
    </w:div>
    <w:div w:id="1679502997">
      <w:bodyDiv w:val="1"/>
      <w:marLeft w:val="0"/>
      <w:marRight w:val="0"/>
      <w:marTop w:val="0"/>
      <w:marBottom w:val="0"/>
      <w:divBdr>
        <w:top w:val="none" w:sz="0" w:space="0" w:color="auto"/>
        <w:left w:val="none" w:sz="0" w:space="0" w:color="auto"/>
        <w:bottom w:val="none" w:sz="0" w:space="0" w:color="auto"/>
        <w:right w:val="none" w:sz="0" w:space="0" w:color="auto"/>
      </w:divBdr>
    </w:div>
    <w:div w:id="1688556009">
      <w:bodyDiv w:val="1"/>
      <w:marLeft w:val="0"/>
      <w:marRight w:val="0"/>
      <w:marTop w:val="0"/>
      <w:marBottom w:val="0"/>
      <w:divBdr>
        <w:top w:val="none" w:sz="0" w:space="0" w:color="auto"/>
        <w:left w:val="none" w:sz="0" w:space="0" w:color="auto"/>
        <w:bottom w:val="none" w:sz="0" w:space="0" w:color="auto"/>
        <w:right w:val="none" w:sz="0" w:space="0" w:color="auto"/>
      </w:divBdr>
    </w:div>
    <w:div w:id="1702632169">
      <w:bodyDiv w:val="1"/>
      <w:marLeft w:val="0"/>
      <w:marRight w:val="0"/>
      <w:marTop w:val="0"/>
      <w:marBottom w:val="0"/>
      <w:divBdr>
        <w:top w:val="none" w:sz="0" w:space="0" w:color="auto"/>
        <w:left w:val="none" w:sz="0" w:space="0" w:color="auto"/>
        <w:bottom w:val="none" w:sz="0" w:space="0" w:color="auto"/>
        <w:right w:val="none" w:sz="0" w:space="0" w:color="auto"/>
      </w:divBdr>
    </w:div>
    <w:div w:id="1718046136">
      <w:bodyDiv w:val="1"/>
      <w:marLeft w:val="0"/>
      <w:marRight w:val="0"/>
      <w:marTop w:val="0"/>
      <w:marBottom w:val="0"/>
      <w:divBdr>
        <w:top w:val="none" w:sz="0" w:space="0" w:color="auto"/>
        <w:left w:val="none" w:sz="0" w:space="0" w:color="auto"/>
        <w:bottom w:val="none" w:sz="0" w:space="0" w:color="auto"/>
        <w:right w:val="none" w:sz="0" w:space="0" w:color="auto"/>
      </w:divBdr>
    </w:div>
    <w:div w:id="1719936730">
      <w:bodyDiv w:val="1"/>
      <w:marLeft w:val="0"/>
      <w:marRight w:val="0"/>
      <w:marTop w:val="0"/>
      <w:marBottom w:val="0"/>
      <w:divBdr>
        <w:top w:val="none" w:sz="0" w:space="0" w:color="auto"/>
        <w:left w:val="none" w:sz="0" w:space="0" w:color="auto"/>
        <w:bottom w:val="none" w:sz="0" w:space="0" w:color="auto"/>
        <w:right w:val="none" w:sz="0" w:space="0" w:color="auto"/>
      </w:divBdr>
    </w:div>
    <w:div w:id="1740711078">
      <w:bodyDiv w:val="1"/>
      <w:marLeft w:val="0"/>
      <w:marRight w:val="0"/>
      <w:marTop w:val="0"/>
      <w:marBottom w:val="0"/>
      <w:divBdr>
        <w:top w:val="none" w:sz="0" w:space="0" w:color="auto"/>
        <w:left w:val="none" w:sz="0" w:space="0" w:color="auto"/>
        <w:bottom w:val="none" w:sz="0" w:space="0" w:color="auto"/>
        <w:right w:val="none" w:sz="0" w:space="0" w:color="auto"/>
      </w:divBdr>
    </w:div>
    <w:div w:id="1746608511">
      <w:bodyDiv w:val="1"/>
      <w:marLeft w:val="0"/>
      <w:marRight w:val="0"/>
      <w:marTop w:val="0"/>
      <w:marBottom w:val="0"/>
      <w:divBdr>
        <w:top w:val="none" w:sz="0" w:space="0" w:color="auto"/>
        <w:left w:val="none" w:sz="0" w:space="0" w:color="auto"/>
        <w:bottom w:val="none" w:sz="0" w:space="0" w:color="auto"/>
        <w:right w:val="none" w:sz="0" w:space="0" w:color="auto"/>
      </w:divBdr>
    </w:div>
    <w:div w:id="1757171672">
      <w:bodyDiv w:val="1"/>
      <w:marLeft w:val="0"/>
      <w:marRight w:val="0"/>
      <w:marTop w:val="0"/>
      <w:marBottom w:val="0"/>
      <w:divBdr>
        <w:top w:val="none" w:sz="0" w:space="0" w:color="auto"/>
        <w:left w:val="none" w:sz="0" w:space="0" w:color="auto"/>
        <w:bottom w:val="none" w:sz="0" w:space="0" w:color="auto"/>
        <w:right w:val="none" w:sz="0" w:space="0" w:color="auto"/>
      </w:divBdr>
    </w:div>
    <w:div w:id="1777172084">
      <w:bodyDiv w:val="1"/>
      <w:marLeft w:val="0"/>
      <w:marRight w:val="0"/>
      <w:marTop w:val="0"/>
      <w:marBottom w:val="0"/>
      <w:divBdr>
        <w:top w:val="none" w:sz="0" w:space="0" w:color="auto"/>
        <w:left w:val="none" w:sz="0" w:space="0" w:color="auto"/>
        <w:bottom w:val="none" w:sz="0" w:space="0" w:color="auto"/>
        <w:right w:val="none" w:sz="0" w:space="0" w:color="auto"/>
      </w:divBdr>
    </w:div>
    <w:div w:id="1779833158">
      <w:bodyDiv w:val="1"/>
      <w:marLeft w:val="0"/>
      <w:marRight w:val="0"/>
      <w:marTop w:val="0"/>
      <w:marBottom w:val="0"/>
      <w:divBdr>
        <w:top w:val="none" w:sz="0" w:space="0" w:color="auto"/>
        <w:left w:val="none" w:sz="0" w:space="0" w:color="auto"/>
        <w:bottom w:val="none" w:sz="0" w:space="0" w:color="auto"/>
        <w:right w:val="none" w:sz="0" w:space="0" w:color="auto"/>
      </w:divBdr>
    </w:div>
    <w:div w:id="1800562643">
      <w:bodyDiv w:val="1"/>
      <w:marLeft w:val="0"/>
      <w:marRight w:val="0"/>
      <w:marTop w:val="0"/>
      <w:marBottom w:val="0"/>
      <w:divBdr>
        <w:top w:val="none" w:sz="0" w:space="0" w:color="auto"/>
        <w:left w:val="none" w:sz="0" w:space="0" w:color="auto"/>
        <w:bottom w:val="none" w:sz="0" w:space="0" w:color="auto"/>
        <w:right w:val="none" w:sz="0" w:space="0" w:color="auto"/>
      </w:divBdr>
    </w:div>
    <w:div w:id="1807697259">
      <w:bodyDiv w:val="1"/>
      <w:marLeft w:val="0"/>
      <w:marRight w:val="0"/>
      <w:marTop w:val="0"/>
      <w:marBottom w:val="0"/>
      <w:divBdr>
        <w:top w:val="none" w:sz="0" w:space="0" w:color="auto"/>
        <w:left w:val="none" w:sz="0" w:space="0" w:color="auto"/>
        <w:bottom w:val="none" w:sz="0" w:space="0" w:color="auto"/>
        <w:right w:val="none" w:sz="0" w:space="0" w:color="auto"/>
      </w:divBdr>
    </w:div>
    <w:div w:id="1813327059">
      <w:bodyDiv w:val="1"/>
      <w:marLeft w:val="0"/>
      <w:marRight w:val="0"/>
      <w:marTop w:val="0"/>
      <w:marBottom w:val="0"/>
      <w:divBdr>
        <w:top w:val="none" w:sz="0" w:space="0" w:color="auto"/>
        <w:left w:val="none" w:sz="0" w:space="0" w:color="auto"/>
        <w:bottom w:val="none" w:sz="0" w:space="0" w:color="auto"/>
        <w:right w:val="none" w:sz="0" w:space="0" w:color="auto"/>
      </w:divBdr>
    </w:div>
    <w:div w:id="1814566389">
      <w:bodyDiv w:val="1"/>
      <w:marLeft w:val="0"/>
      <w:marRight w:val="0"/>
      <w:marTop w:val="0"/>
      <w:marBottom w:val="0"/>
      <w:divBdr>
        <w:top w:val="none" w:sz="0" w:space="0" w:color="auto"/>
        <w:left w:val="none" w:sz="0" w:space="0" w:color="auto"/>
        <w:bottom w:val="none" w:sz="0" w:space="0" w:color="auto"/>
        <w:right w:val="none" w:sz="0" w:space="0" w:color="auto"/>
      </w:divBdr>
    </w:div>
    <w:div w:id="1824932702">
      <w:bodyDiv w:val="1"/>
      <w:marLeft w:val="0"/>
      <w:marRight w:val="0"/>
      <w:marTop w:val="0"/>
      <w:marBottom w:val="0"/>
      <w:divBdr>
        <w:top w:val="none" w:sz="0" w:space="0" w:color="auto"/>
        <w:left w:val="none" w:sz="0" w:space="0" w:color="auto"/>
        <w:bottom w:val="none" w:sz="0" w:space="0" w:color="auto"/>
        <w:right w:val="none" w:sz="0" w:space="0" w:color="auto"/>
      </w:divBdr>
    </w:div>
    <w:div w:id="1825468709">
      <w:bodyDiv w:val="1"/>
      <w:marLeft w:val="0"/>
      <w:marRight w:val="0"/>
      <w:marTop w:val="0"/>
      <w:marBottom w:val="0"/>
      <w:divBdr>
        <w:top w:val="none" w:sz="0" w:space="0" w:color="auto"/>
        <w:left w:val="none" w:sz="0" w:space="0" w:color="auto"/>
        <w:bottom w:val="none" w:sz="0" w:space="0" w:color="auto"/>
        <w:right w:val="none" w:sz="0" w:space="0" w:color="auto"/>
      </w:divBdr>
    </w:div>
    <w:div w:id="1830435417">
      <w:bodyDiv w:val="1"/>
      <w:marLeft w:val="0"/>
      <w:marRight w:val="0"/>
      <w:marTop w:val="0"/>
      <w:marBottom w:val="0"/>
      <w:divBdr>
        <w:top w:val="none" w:sz="0" w:space="0" w:color="auto"/>
        <w:left w:val="none" w:sz="0" w:space="0" w:color="auto"/>
        <w:bottom w:val="none" w:sz="0" w:space="0" w:color="auto"/>
        <w:right w:val="none" w:sz="0" w:space="0" w:color="auto"/>
      </w:divBdr>
    </w:div>
    <w:div w:id="1840271422">
      <w:bodyDiv w:val="1"/>
      <w:marLeft w:val="0"/>
      <w:marRight w:val="0"/>
      <w:marTop w:val="0"/>
      <w:marBottom w:val="0"/>
      <w:divBdr>
        <w:top w:val="none" w:sz="0" w:space="0" w:color="auto"/>
        <w:left w:val="none" w:sz="0" w:space="0" w:color="auto"/>
        <w:bottom w:val="none" w:sz="0" w:space="0" w:color="auto"/>
        <w:right w:val="none" w:sz="0" w:space="0" w:color="auto"/>
      </w:divBdr>
    </w:div>
    <w:div w:id="1867667975">
      <w:bodyDiv w:val="1"/>
      <w:marLeft w:val="0"/>
      <w:marRight w:val="0"/>
      <w:marTop w:val="0"/>
      <w:marBottom w:val="0"/>
      <w:divBdr>
        <w:top w:val="none" w:sz="0" w:space="0" w:color="auto"/>
        <w:left w:val="none" w:sz="0" w:space="0" w:color="auto"/>
        <w:bottom w:val="none" w:sz="0" w:space="0" w:color="auto"/>
        <w:right w:val="none" w:sz="0" w:space="0" w:color="auto"/>
      </w:divBdr>
    </w:div>
    <w:div w:id="1874725240">
      <w:bodyDiv w:val="1"/>
      <w:marLeft w:val="0"/>
      <w:marRight w:val="0"/>
      <w:marTop w:val="0"/>
      <w:marBottom w:val="0"/>
      <w:divBdr>
        <w:top w:val="none" w:sz="0" w:space="0" w:color="auto"/>
        <w:left w:val="none" w:sz="0" w:space="0" w:color="auto"/>
        <w:bottom w:val="none" w:sz="0" w:space="0" w:color="auto"/>
        <w:right w:val="none" w:sz="0" w:space="0" w:color="auto"/>
      </w:divBdr>
    </w:div>
    <w:div w:id="1884948761">
      <w:bodyDiv w:val="1"/>
      <w:marLeft w:val="0"/>
      <w:marRight w:val="0"/>
      <w:marTop w:val="0"/>
      <w:marBottom w:val="0"/>
      <w:divBdr>
        <w:top w:val="none" w:sz="0" w:space="0" w:color="auto"/>
        <w:left w:val="none" w:sz="0" w:space="0" w:color="auto"/>
        <w:bottom w:val="none" w:sz="0" w:space="0" w:color="auto"/>
        <w:right w:val="none" w:sz="0" w:space="0" w:color="auto"/>
      </w:divBdr>
    </w:div>
    <w:div w:id="1886061231">
      <w:bodyDiv w:val="1"/>
      <w:marLeft w:val="0"/>
      <w:marRight w:val="0"/>
      <w:marTop w:val="0"/>
      <w:marBottom w:val="0"/>
      <w:divBdr>
        <w:top w:val="none" w:sz="0" w:space="0" w:color="auto"/>
        <w:left w:val="none" w:sz="0" w:space="0" w:color="auto"/>
        <w:bottom w:val="none" w:sz="0" w:space="0" w:color="auto"/>
        <w:right w:val="none" w:sz="0" w:space="0" w:color="auto"/>
      </w:divBdr>
    </w:div>
    <w:div w:id="1898517554">
      <w:bodyDiv w:val="1"/>
      <w:marLeft w:val="0"/>
      <w:marRight w:val="0"/>
      <w:marTop w:val="0"/>
      <w:marBottom w:val="0"/>
      <w:divBdr>
        <w:top w:val="none" w:sz="0" w:space="0" w:color="auto"/>
        <w:left w:val="none" w:sz="0" w:space="0" w:color="auto"/>
        <w:bottom w:val="none" w:sz="0" w:space="0" w:color="auto"/>
        <w:right w:val="none" w:sz="0" w:space="0" w:color="auto"/>
      </w:divBdr>
    </w:div>
    <w:div w:id="1905528821">
      <w:bodyDiv w:val="1"/>
      <w:marLeft w:val="0"/>
      <w:marRight w:val="0"/>
      <w:marTop w:val="0"/>
      <w:marBottom w:val="0"/>
      <w:divBdr>
        <w:top w:val="none" w:sz="0" w:space="0" w:color="auto"/>
        <w:left w:val="none" w:sz="0" w:space="0" w:color="auto"/>
        <w:bottom w:val="none" w:sz="0" w:space="0" w:color="auto"/>
        <w:right w:val="none" w:sz="0" w:space="0" w:color="auto"/>
      </w:divBdr>
    </w:div>
    <w:div w:id="1910996543">
      <w:bodyDiv w:val="1"/>
      <w:marLeft w:val="0"/>
      <w:marRight w:val="0"/>
      <w:marTop w:val="0"/>
      <w:marBottom w:val="0"/>
      <w:divBdr>
        <w:top w:val="none" w:sz="0" w:space="0" w:color="auto"/>
        <w:left w:val="none" w:sz="0" w:space="0" w:color="auto"/>
        <w:bottom w:val="none" w:sz="0" w:space="0" w:color="auto"/>
        <w:right w:val="none" w:sz="0" w:space="0" w:color="auto"/>
      </w:divBdr>
    </w:div>
    <w:div w:id="1912734218">
      <w:bodyDiv w:val="1"/>
      <w:marLeft w:val="0"/>
      <w:marRight w:val="0"/>
      <w:marTop w:val="0"/>
      <w:marBottom w:val="0"/>
      <w:divBdr>
        <w:top w:val="none" w:sz="0" w:space="0" w:color="auto"/>
        <w:left w:val="none" w:sz="0" w:space="0" w:color="auto"/>
        <w:bottom w:val="none" w:sz="0" w:space="0" w:color="auto"/>
        <w:right w:val="none" w:sz="0" w:space="0" w:color="auto"/>
      </w:divBdr>
    </w:div>
    <w:div w:id="1920825695">
      <w:bodyDiv w:val="1"/>
      <w:marLeft w:val="0"/>
      <w:marRight w:val="0"/>
      <w:marTop w:val="0"/>
      <w:marBottom w:val="0"/>
      <w:divBdr>
        <w:top w:val="none" w:sz="0" w:space="0" w:color="auto"/>
        <w:left w:val="none" w:sz="0" w:space="0" w:color="auto"/>
        <w:bottom w:val="none" w:sz="0" w:space="0" w:color="auto"/>
        <w:right w:val="none" w:sz="0" w:space="0" w:color="auto"/>
      </w:divBdr>
    </w:div>
    <w:div w:id="1931547610">
      <w:bodyDiv w:val="1"/>
      <w:marLeft w:val="0"/>
      <w:marRight w:val="0"/>
      <w:marTop w:val="0"/>
      <w:marBottom w:val="0"/>
      <w:divBdr>
        <w:top w:val="none" w:sz="0" w:space="0" w:color="auto"/>
        <w:left w:val="none" w:sz="0" w:space="0" w:color="auto"/>
        <w:bottom w:val="none" w:sz="0" w:space="0" w:color="auto"/>
        <w:right w:val="none" w:sz="0" w:space="0" w:color="auto"/>
      </w:divBdr>
    </w:div>
    <w:div w:id="1938515547">
      <w:bodyDiv w:val="1"/>
      <w:marLeft w:val="0"/>
      <w:marRight w:val="0"/>
      <w:marTop w:val="0"/>
      <w:marBottom w:val="0"/>
      <w:divBdr>
        <w:top w:val="none" w:sz="0" w:space="0" w:color="auto"/>
        <w:left w:val="none" w:sz="0" w:space="0" w:color="auto"/>
        <w:bottom w:val="none" w:sz="0" w:space="0" w:color="auto"/>
        <w:right w:val="none" w:sz="0" w:space="0" w:color="auto"/>
      </w:divBdr>
    </w:div>
    <w:div w:id="1941063285">
      <w:bodyDiv w:val="1"/>
      <w:marLeft w:val="0"/>
      <w:marRight w:val="0"/>
      <w:marTop w:val="0"/>
      <w:marBottom w:val="0"/>
      <w:divBdr>
        <w:top w:val="none" w:sz="0" w:space="0" w:color="auto"/>
        <w:left w:val="none" w:sz="0" w:space="0" w:color="auto"/>
        <w:bottom w:val="none" w:sz="0" w:space="0" w:color="auto"/>
        <w:right w:val="none" w:sz="0" w:space="0" w:color="auto"/>
      </w:divBdr>
    </w:div>
    <w:div w:id="1950503868">
      <w:bodyDiv w:val="1"/>
      <w:marLeft w:val="0"/>
      <w:marRight w:val="0"/>
      <w:marTop w:val="0"/>
      <w:marBottom w:val="0"/>
      <w:divBdr>
        <w:top w:val="none" w:sz="0" w:space="0" w:color="auto"/>
        <w:left w:val="none" w:sz="0" w:space="0" w:color="auto"/>
        <w:bottom w:val="none" w:sz="0" w:space="0" w:color="auto"/>
        <w:right w:val="none" w:sz="0" w:space="0" w:color="auto"/>
      </w:divBdr>
    </w:div>
    <w:div w:id="1963876224">
      <w:bodyDiv w:val="1"/>
      <w:marLeft w:val="0"/>
      <w:marRight w:val="0"/>
      <w:marTop w:val="0"/>
      <w:marBottom w:val="0"/>
      <w:divBdr>
        <w:top w:val="none" w:sz="0" w:space="0" w:color="auto"/>
        <w:left w:val="none" w:sz="0" w:space="0" w:color="auto"/>
        <w:bottom w:val="none" w:sz="0" w:space="0" w:color="auto"/>
        <w:right w:val="none" w:sz="0" w:space="0" w:color="auto"/>
      </w:divBdr>
    </w:div>
    <w:div w:id="1976250329">
      <w:bodyDiv w:val="1"/>
      <w:marLeft w:val="0"/>
      <w:marRight w:val="0"/>
      <w:marTop w:val="0"/>
      <w:marBottom w:val="0"/>
      <w:divBdr>
        <w:top w:val="none" w:sz="0" w:space="0" w:color="auto"/>
        <w:left w:val="none" w:sz="0" w:space="0" w:color="auto"/>
        <w:bottom w:val="none" w:sz="0" w:space="0" w:color="auto"/>
        <w:right w:val="none" w:sz="0" w:space="0" w:color="auto"/>
      </w:divBdr>
    </w:div>
    <w:div w:id="1986081601">
      <w:bodyDiv w:val="1"/>
      <w:marLeft w:val="0"/>
      <w:marRight w:val="0"/>
      <w:marTop w:val="0"/>
      <w:marBottom w:val="0"/>
      <w:divBdr>
        <w:top w:val="none" w:sz="0" w:space="0" w:color="auto"/>
        <w:left w:val="none" w:sz="0" w:space="0" w:color="auto"/>
        <w:bottom w:val="none" w:sz="0" w:space="0" w:color="auto"/>
        <w:right w:val="none" w:sz="0" w:space="0" w:color="auto"/>
      </w:divBdr>
    </w:div>
    <w:div w:id="1995715290">
      <w:bodyDiv w:val="1"/>
      <w:marLeft w:val="0"/>
      <w:marRight w:val="0"/>
      <w:marTop w:val="0"/>
      <w:marBottom w:val="0"/>
      <w:divBdr>
        <w:top w:val="none" w:sz="0" w:space="0" w:color="auto"/>
        <w:left w:val="none" w:sz="0" w:space="0" w:color="auto"/>
        <w:bottom w:val="none" w:sz="0" w:space="0" w:color="auto"/>
        <w:right w:val="none" w:sz="0" w:space="0" w:color="auto"/>
      </w:divBdr>
    </w:div>
    <w:div w:id="2001734503">
      <w:bodyDiv w:val="1"/>
      <w:marLeft w:val="0"/>
      <w:marRight w:val="0"/>
      <w:marTop w:val="0"/>
      <w:marBottom w:val="0"/>
      <w:divBdr>
        <w:top w:val="none" w:sz="0" w:space="0" w:color="auto"/>
        <w:left w:val="none" w:sz="0" w:space="0" w:color="auto"/>
        <w:bottom w:val="none" w:sz="0" w:space="0" w:color="auto"/>
        <w:right w:val="none" w:sz="0" w:space="0" w:color="auto"/>
      </w:divBdr>
    </w:div>
    <w:div w:id="2027436260">
      <w:bodyDiv w:val="1"/>
      <w:marLeft w:val="0"/>
      <w:marRight w:val="0"/>
      <w:marTop w:val="0"/>
      <w:marBottom w:val="0"/>
      <w:divBdr>
        <w:top w:val="none" w:sz="0" w:space="0" w:color="auto"/>
        <w:left w:val="none" w:sz="0" w:space="0" w:color="auto"/>
        <w:bottom w:val="none" w:sz="0" w:space="0" w:color="auto"/>
        <w:right w:val="none" w:sz="0" w:space="0" w:color="auto"/>
      </w:divBdr>
    </w:div>
    <w:div w:id="2039425875">
      <w:bodyDiv w:val="1"/>
      <w:marLeft w:val="0"/>
      <w:marRight w:val="0"/>
      <w:marTop w:val="0"/>
      <w:marBottom w:val="0"/>
      <w:divBdr>
        <w:top w:val="none" w:sz="0" w:space="0" w:color="auto"/>
        <w:left w:val="none" w:sz="0" w:space="0" w:color="auto"/>
        <w:bottom w:val="none" w:sz="0" w:space="0" w:color="auto"/>
        <w:right w:val="none" w:sz="0" w:space="0" w:color="auto"/>
      </w:divBdr>
    </w:div>
    <w:div w:id="2053068447">
      <w:bodyDiv w:val="1"/>
      <w:marLeft w:val="0"/>
      <w:marRight w:val="0"/>
      <w:marTop w:val="0"/>
      <w:marBottom w:val="0"/>
      <w:divBdr>
        <w:top w:val="none" w:sz="0" w:space="0" w:color="auto"/>
        <w:left w:val="none" w:sz="0" w:space="0" w:color="auto"/>
        <w:bottom w:val="none" w:sz="0" w:space="0" w:color="auto"/>
        <w:right w:val="none" w:sz="0" w:space="0" w:color="auto"/>
      </w:divBdr>
    </w:div>
    <w:div w:id="2055419993">
      <w:bodyDiv w:val="1"/>
      <w:marLeft w:val="0"/>
      <w:marRight w:val="0"/>
      <w:marTop w:val="0"/>
      <w:marBottom w:val="0"/>
      <w:divBdr>
        <w:top w:val="none" w:sz="0" w:space="0" w:color="auto"/>
        <w:left w:val="none" w:sz="0" w:space="0" w:color="auto"/>
        <w:bottom w:val="none" w:sz="0" w:space="0" w:color="auto"/>
        <w:right w:val="none" w:sz="0" w:space="0" w:color="auto"/>
      </w:divBdr>
    </w:div>
    <w:div w:id="2064788236">
      <w:bodyDiv w:val="1"/>
      <w:marLeft w:val="0"/>
      <w:marRight w:val="0"/>
      <w:marTop w:val="0"/>
      <w:marBottom w:val="0"/>
      <w:divBdr>
        <w:top w:val="none" w:sz="0" w:space="0" w:color="auto"/>
        <w:left w:val="none" w:sz="0" w:space="0" w:color="auto"/>
        <w:bottom w:val="none" w:sz="0" w:space="0" w:color="auto"/>
        <w:right w:val="none" w:sz="0" w:space="0" w:color="auto"/>
      </w:divBdr>
    </w:div>
    <w:div w:id="2075422897">
      <w:bodyDiv w:val="1"/>
      <w:marLeft w:val="0"/>
      <w:marRight w:val="0"/>
      <w:marTop w:val="0"/>
      <w:marBottom w:val="0"/>
      <w:divBdr>
        <w:top w:val="none" w:sz="0" w:space="0" w:color="auto"/>
        <w:left w:val="none" w:sz="0" w:space="0" w:color="auto"/>
        <w:bottom w:val="none" w:sz="0" w:space="0" w:color="auto"/>
        <w:right w:val="none" w:sz="0" w:space="0" w:color="auto"/>
      </w:divBdr>
    </w:div>
    <w:div w:id="2090926494">
      <w:bodyDiv w:val="1"/>
      <w:marLeft w:val="0"/>
      <w:marRight w:val="0"/>
      <w:marTop w:val="0"/>
      <w:marBottom w:val="0"/>
      <w:divBdr>
        <w:top w:val="none" w:sz="0" w:space="0" w:color="auto"/>
        <w:left w:val="none" w:sz="0" w:space="0" w:color="auto"/>
        <w:bottom w:val="none" w:sz="0" w:space="0" w:color="auto"/>
        <w:right w:val="none" w:sz="0" w:space="0" w:color="auto"/>
      </w:divBdr>
    </w:div>
    <w:div w:id="2104721049">
      <w:bodyDiv w:val="1"/>
      <w:marLeft w:val="0"/>
      <w:marRight w:val="0"/>
      <w:marTop w:val="0"/>
      <w:marBottom w:val="0"/>
      <w:divBdr>
        <w:top w:val="none" w:sz="0" w:space="0" w:color="auto"/>
        <w:left w:val="none" w:sz="0" w:space="0" w:color="auto"/>
        <w:bottom w:val="none" w:sz="0" w:space="0" w:color="auto"/>
        <w:right w:val="none" w:sz="0" w:space="0" w:color="auto"/>
      </w:divBdr>
    </w:div>
    <w:div w:id="2107923826">
      <w:bodyDiv w:val="1"/>
      <w:marLeft w:val="0"/>
      <w:marRight w:val="0"/>
      <w:marTop w:val="0"/>
      <w:marBottom w:val="0"/>
      <w:divBdr>
        <w:top w:val="none" w:sz="0" w:space="0" w:color="auto"/>
        <w:left w:val="none" w:sz="0" w:space="0" w:color="auto"/>
        <w:bottom w:val="none" w:sz="0" w:space="0" w:color="auto"/>
        <w:right w:val="none" w:sz="0" w:space="0" w:color="auto"/>
      </w:divBdr>
    </w:div>
    <w:div w:id="2112701663">
      <w:bodyDiv w:val="1"/>
      <w:marLeft w:val="0"/>
      <w:marRight w:val="0"/>
      <w:marTop w:val="0"/>
      <w:marBottom w:val="0"/>
      <w:divBdr>
        <w:top w:val="none" w:sz="0" w:space="0" w:color="auto"/>
        <w:left w:val="none" w:sz="0" w:space="0" w:color="auto"/>
        <w:bottom w:val="none" w:sz="0" w:space="0" w:color="auto"/>
        <w:right w:val="none" w:sz="0" w:space="0" w:color="auto"/>
      </w:divBdr>
    </w:div>
    <w:div w:id="2115898786">
      <w:bodyDiv w:val="1"/>
      <w:marLeft w:val="0"/>
      <w:marRight w:val="0"/>
      <w:marTop w:val="0"/>
      <w:marBottom w:val="0"/>
      <w:divBdr>
        <w:top w:val="none" w:sz="0" w:space="0" w:color="auto"/>
        <w:left w:val="none" w:sz="0" w:space="0" w:color="auto"/>
        <w:bottom w:val="none" w:sz="0" w:space="0" w:color="auto"/>
        <w:right w:val="none" w:sz="0" w:space="0" w:color="auto"/>
      </w:divBdr>
    </w:div>
    <w:div w:id="2124109669">
      <w:bodyDiv w:val="1"/>
      <w:marLeft w:val="0"/>
      <w:marRight w:val="0"/>
      <w:marTop w:val="0"/>
      <w:marBottom w:val="0"/>
      <w:divBdr>
        <w:top w:val="none" w:sz="0" w:space="0" w:color="auto"/>
        <w:left w:val="none" w:sz="0" w:space="0" w:color="auto"/>
        <w:bottom w:val="none" w:sz="0" w:space="0" w:color="auto"/>
        <w:right w:val="none" w:sz="0" w:space="0" w:color="auto"/>
      </w:divBdr>
    </w:div>
    <w:div w:id="2134900738">
      <w:bodyDiv w:val="1"/>
      <w:marLeft w:val="0"/>
      <w:marRight w:val="0"/>
      <w:marTop w:val="0"/>
      <w:marBottom w:val="0"/>
      <w:divBdr>
        <w:top w:val="none" w:sz="0" w:space="0" w:color="auto"/>
        <w:left w:val="none" w:sz="0" w:space="0" w:color="auto"/>
        <w:bottom w:val="none" w:sz="0" w:space="0" w:color="auto"/>
        <w:right w:val="none" w:sz="0" w:space="0" w:color="auto"/>
      </w:divBdr>
    </w:div>
    <w:div w:id="2134984095">
      <w:bodyDiv w:val="1"/>
      <w:marLeft w:val="0"/>
      <w:marRight w:val="0"/>
      <w:marTop w:val="0"/>
      <w:marBottom w:val="0"/>
      <w:divBdr>
        <w:top w:val="none" w:sz="0" w:space="0" w:color="auto"/>
        <w:left w:val="none" w:sz="0" w:space="0" w:color="auto"/>
        <w:bottom w:val="none" w:sz="0" w:space="0" w:color="auto"/>
        <w:right w:val="none" w:sz="0" w:space="0" w:color="auto"/>
      </w:divBdr>
    </w:div>
    <w:div w:id="2135245112">
      <w:bodyDiv w:val="1"/>
      <w:marLeft w:val="0"/>
      <w:marRight w:val="0"/>
      <w:marTop w:val="0"/>
      <w:marBottom w:val="0"/>
      <w:divBdr>
        <w:top w:val="none" w:sz="0" w:space="0" w:color="auto"/>
        <w:left w:val="none" w:sz="0" w:space="0" w:color="auto"/>
        <w:bottom w:val="none" w:sz="0" w:space="0" w:color="auto"/>
        <w:right w:val="none" w:sz="0" w:space="0" w:color="auto"/>
      </w:divBdr>
    </w:div>
    <w:div w:id="21471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oa.org/news/clinical-eye-care/optometrists-amd-assessments-comparable-to-ophthalmologistsoutc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NIC</b:Tag>
    <b:SourceType>Report</b:SourceType>
    <b:Guid>{7DB1E98E-05CD-4E85-9971-C5C89BA724CF}</b:Guid>
    <b:Author>
      <b:Author>
        <b:NameList>
          <b:Person>
            <b:Last>(NICE)</b:Last>
            <b:First>National</b:First>
            <b:Middle>Institute for Health and Care Excellence</b:Middle>
          </b:Person>
        </b:NameList>
      </b:Author>
    </b:Author>
    <b:Title>Epilepsies: diagnosis and management</b:Title>
    <b:Year>11 January 2012</b:Year>
    <b:Publisher>NICE</b:Publisher>
    <b:URL>nice.org.uk/guidance/cg137</b:URL>
    <b:RefOrder>2</b:RefOrder>
  </b:Source>
  <b:Source>
    <b:Tag>Car99</b:Tag>
    <b:SourceType>ArticleInAPeriodical</b:SourceType>
    <b:Guid>{534A72B2-BF74-4701-9009-FF1AD356922A}</b:Guid>
    <b:Author>
      <b:Author>
        <b:NameList>
          <b:Person>
            <b:Last>De Carlo L et al</b:Last>
          </b:Person>
        </b:NameList>
      </b:Author>
    </b:Author>
    <b:Year>1999</b:Year>
    <b:Title>EEG evaluation in children and adolescents with chronic headaches</b:Title>
    <b:Volume>158</b:Volume>
    <b:Issue>3, pp 247–248</b:Issue>
    <b:PeriodicalTitle>European Journal of Paediatrics</b:PeriodicalTitle>
    <b:RefOrder>3</b:RefOrder>
  </b:Source>
  <b:Source>
    <b:Tag>Abu05</b:Tag>
    <b:SourceType>ArticleInAPeriodical</b:SourceType>
    <b:Guid>{FEFE5CE4-A220-4F93-9785-AD8D5425031E}</b:Guid>
    <b:Author>
      <b:Author>
        <b:NameList>
          <b:Person>
            <b:Last>Abubakr A</b:Last>
            <b:First>Wambacq</b:First>
            <b:Middle>I</b:Middle>
          </b:Person>
        </b:NameList>
      </b:Author>
    </b:Author>
    <b:Year>2005</b:Year>
    <b:Title>Seizures in the elderly: video/EEG monitoring analysis</b:Title>
    <b:Issue>7.3: 447-450.</b:Issue>
    <b:PeriodicalTitle>Epilepsy &amp; Behavior</b:PeriodicalTitle>
    <b:RefOrder>4</b:RefOrder>
  </b:Source>
  <b:Source>
    <b:Tag>Cho</b:Tag>
    <b:SourceType>InternetSite</b:SourceType>
    <b:Guid>{79BDF18B-ED19-4BF8-B16D-8445CE2400EB}</b:Guid>
    <b:Author>
      <b:Author>
        <b:NameList>
          <b:Person>
            <b:Last>American Institute of Neurology</b:Last>
          </b:Person>
        </b:NameList>
      </b:Author>
    </b:Author>
    <b:Title>AAN – Electroencephalography for headaches</b:Title>
    <b:Year>2013</b:Year>
    <b:InternetSiteTitle>Choosing Wisely</b:InternetSiteTitle>
    <b:Month>February</b:Month>
    <b:Day>21</b:Day>
    <b:YearAccessed>2018</b:YearAccessed>
    <b:MonthAccessed>July</b:MonthAccessed>
    <b:DayAccessed>3</b:DayAccessed>
    <b:URL>http://www.choosingwisely.org/clinician-lists/american-academy-neurology-electroencephalography-for-headaches/</b:URL>
    <b:RefOrder>5</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6</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7</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8</b:RefOrder>
  </b:Source>
</b:Sources>
</file>

<file path=customXml/itemProps1.xml><?xml version="1.0" encoding="utf-8"?>
<ds:datastoreItem xmlns:ds="http://schemas.openxmlformats.org/officeDocument/2006/customXml" ds:itemID="{E72CA1AC-AFFA-4E83-95A4-FE0A6F910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22635</Words>
  <Characters>129026</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Medicare Benefits Schedule Review Taskforce Ophthalmology report </vt:lpstr>
    </vt:vector>
  </TitlesOfParts>
  <Company/>
  <LinksUpToDate>false</LinksUpToDate>
  <CharactersWithSpaces>151359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Ophthalmology report</dc:title>
  <dc:subject>Medicare Benefits Schedule</dc:subject>
  <dc:creator>Australian Government Department of Health</dc:creator>
  <dc:description>_x000d_
</dc:description>
  <cp:lastModifiedBy>SMEDLEY, Tyne</cp:lastModifiedBy>
  <cp:revision>2</cp:revision>
  <cp:lastPrinted>2020-03-17T03:20:00Z</cp:lastPrinted>
  <dcterms:created xsi:type="dcterms:W3CDTF">2021-06-29T00:50:00Z</dcterms:created>
  <dcterms:modified xsi:type="dcterms:W3CDTF">2021-06-29T00:50:00Z</dcterms:modified>
</cp:coreProperties>
</file>