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12C7" w14:textId="24BD6C67" w:rsidR="00A919FB" w:rsidRPr="002836EB" w:rsidRDefault="00A919FB" w:rsidP="008460E3">
      <w:pPr>
        <w:pStyle w:val="Subtitle"/>
        <w:pBdr>
          <w:top w:val="double" w:sz="4" w:space="6" w:color="B66113"/>
          <w:bottom w:val="double" w:sz="4" w:space="6" w:color="B66113"/>
        </w:pBdr>
        <w:ind w:right="-188"/>
        <w:jc w:val="center"/>
        <w:rPr>
          <w:rFonts w:asciiTheme="minorHAnsi" w:hAnsiTheme="minorHAnsi"/>
          <w:b/>
          <w:color w:val="01653F"/>
          <w:sz w:val="48"/>
        </w:rPr>
      </w:pPr>
      <w:bookmarkStart w:id="0" w:name="_Toc448369494"/>
      <w:bookmarkStart w:id="1" w:name="_Toc427153112"/>
      <w:r w:rsidRPr="002836EB">
        <w:rPr>
          <w:rFonts w:asciiTheme="minorHAnsi" w:hAnsiTheme="minorHAnsi"/>
          <w:b/>
          <w:color w:val="01653F"/>
          <w:sz w:val="48"/>
        </w:rPr>
        <w:t>Medicare Benefits Schedule Review Taskforce</w:t>
      </w:r>
      <w:r w:rsidR="007B0B8F" w:rsidRPr="002836EB">
        <w:rPr>
          <w:rFonts w:asciiTheme="minorHAnsi" w:hAnsiTheme="minorHAnsi"/>
          <w:b/>
          <w:color w:val="01653F"/>
          <w:sz w:val="48"/>
        </w:rPr>
        <w:br/>
      </w:r>
      <w:r w:rsidR="007B0B8F" w:rsidRPr="002836EB">
        <w:rPr>
          <w:rFonts w:asciiTheme="minorHAnsi" w:hAnsiTheme="minorHAnsi"/>
          <w:b/>
          <w:color w:val="01653F"/>
          <w:sz w:val="48"/>
        </w:rPr>
        <w:br/>
      </w:r>
      <w:r w:rsidR="007B0B8F" w:rsidRPr="002836EB">
        <w:rPr>
          <w:rFonts w:asciiTheme="minorHAnsi" w:hAnsiTheme="minorHAnsi"/>
          <w:b/>
          <w:color w:val="01653F"/>
          <w:sz w:val="48"/>
        </w:rPr>
        <w:br/>
      </w:r>
      <w:r w:rsidRPr="002836EB">
        <w:rPr>
          <w:rFonts w:asciiTheme="minorHAnsi" w:hAnsiTheme="minorHAnsi"/>
          <w:b/>
          <w:color w:val="000000" w:themeColor="text1"/>
          <w:sz w:val="60"/>
        </w:rPr>
        <w:t>Report from the</w:t>
      </w:r>
      <w:r w:rsidR="00CA0F23" w:rsidRPr="002836EB">
        <w:rPr>
          <w:rFonts w:asciiTheme="minorHAnsi" w:hAnsiTheme="minorHAnsi"/>
          <w:b/>
          <w:color w:val="000000" w:themeColor="text1"/>
          <w:sz w:val="60"/>
        </w:rPr>
        <w:br/>
        <w:t>Oncology</w:t>
      </w:r>
      <w:r w:rsidR="007B0B8F" w:rsidRPr="002836EB">
        <w:rPr>
          <w:rFonts w:asciiTheme="minorHAnsi" w:hAnsiTheme="minorHAnsi"/>
          <w:b/>
          <w:color w:val="000000" w:themeColor="text1"/>
          <w:sz w:val="60"/>
        </w:rPr>
        <w:t xml:space="preserve"> </w:t>
      </w:r>
      <w:r w:rsidRPr="002836EB">
        <w:rPr>
          <w:rFonts w:asciiTheme="minorHAnsi" w:hAnsiTheme="minorHAnsi"/>
          <w:b/>
          <w:color w:val="000000" w:themeColor="text1"/>
          <w:sz w:val="60"/>
        </w:rPr>
        <w:t>Clinical Committee</w:t>
      </w:r>
      <w:r w:rsidRPr="002836EB">
        <w:rPr>
          <w:color w:val="01653F"/>
          <w:sz w:val="60"/>
        </w:rPr>
        <w:br/>
      </w:r>
      <w:r w:rsidRPr="002836EB">
        <w:rPr>
          <w:color w:val="01653F"/>
          <w:sz w:val="60"/>
        </w:rPr>
        <w:br/>
      </w:r>
      <w:r w:rsidRPr="002836EB">
        <w:rPr>
          <w:rFonts w:asciiTheme="minorHAnsi" w:hAnsiTheme="minorHAnsi"/>
          <w:b/>
          <w:color w:val="01653F"/>
          <w:sz w:val="48"/>
        </w:rPr>
        <w:t>201</w:t>
      </w:r>
      <w:r w:rsidR="00B90313">
        <w:rPr>
          <w:rFonts w:asciiTheme="minorHAnsi" w:hAnsiTheme="minorHAnsi"/>
          <w:b/>
          <w:color w:val="01653F"/>
          <w:sz w:val="48"/>
        </w:rPr>
        <w:t>7</w:t>
      </w:r>
    </w:p>
    <w:p w14:paraId="707B6675" w14:textId="77777777" w:rsidR="00A919FB" w:rsidRPr="002836EB" w:rsidRDefault="00A919FB" w:rsidP="00A919FB"/>
    <w:p w14:paraId="4916949C" w14:textId="77777777" w:rsidR="00A919FB" w:rsidRPr="002836EB" w:rsidRDefault="00A919FB" w:rsidP="00A919FB"/>
    <w:p w14:paraId="024FF320" w14:textId="77777777" w:rsidR="00B1476E" w:rsidRPr="002836EB" w:rsidRDefault="00B1476E" w:rsidP="00A919FB">
      <w:pPr>
        <w:sectPr w:rsidR="00B1476E" w:rsidRPr="002836EB" w:rsidSect="00650794">
          <w:footerReference w:type="default" r:id="rId8"/>
          <w:pgSz w:w="11906" w:h="16838" w:code="9"/>
          <w:pgMar w:top="1440" w:right="1440" w:bottom="1276" w:left="1440" w:header="720" w:footer="720" w:gutter="0"/>
          <w:paperSrc w:first="2" w:other="2"/>
          <w:cols w:space="720"/>
          <w:titlePg/>
          <w:docGrid w:linePitch="326"/>
        </w:sectPr>
      </w:pPr>
    </w:p>
    <w:p w14:paraId="502ECCEB" w14:textId="77777777" w:rsidR="00262127" w:rsidRPr="002836EB" w:rsidRDefault="00262127" w:rsidP="00082595"/>
    <w:p w14:paraId="2E78395A" w14:textId="77777777" w:rsidR="00CA1431" w:rsidRPr="002836EB" w:rsidRDefault="00CA1431" w:rsidP="00CA1431">
      <w:pPr>
        <w:pBdr>
          <w:top w:val="single" w:sz="4" w:space="1" w:color="B66113"/>
          <w:left w:val="single" w:sz="4" w:space="4" w:color="B66113"/>
          <w:bottom w:val="single" w:sz="4" w:space="1" w:color="B66113"/>
          <w:right w:val="single" w:sz="4" w:space="4" w:color="B66113"/>
        </w:pBdr>
        <w:rPr>
          <w:b/>
          <w:color w:val="01653F"/>
          <w:sz w:val="32"/>
        </w:rPr>
      </w:pPr>
      <w:r w:rsidRPr="002836EB">
        <w:rPr>
          <w:b/>
          <w:color w:val="01653F"/>
          <w:sz w:val="32"/>
        </w:rPr>
        <w:t>Important note</w:t>
      </w:r>
    </w:p>
    <w:p w14:paraId="553D0457" w14:textId="77777777" w:rsidR="00CA1431" w:rsidRPr="002836EB" w:rsidRDefault="00CA1431" w:rsidP="00CA1431">
      <w:pPr>
        <w:pBdr>
          <w:top w:val="single" w:sz="4" w:space="1" w:color="B66113"/>
          <w:left w:val="single" w:sz="4" w:space="4" w:color="B66113"/>
          <w:bottom w:val="single" w:sz="4" w:space="1" w:color="B66113"/>
          <w:right w:val="single" w:sz="4" w:space="4" w:color="B66113"/>
        </w:pBdr>
      </w:pPr>
      <w:r w:rsidRPr="002836EB">
        <w:t xml:space="preserve">The views and recommendations in this report have been released for the purpose of seeking the views of stakeholders. </w:t>
      </w:r>
    </w:p>
    <w:p w14:paraId="20DC64DC" w14:textId="77777777" w:rsidR="00CA1431" w:rsidRPr="002836EB" w:rsidRDefault="00CA1431" w:rsidP="00CA1431">
      <w:pPr>
        <w:pBdr>
          <w:top w:val="single" w:sz="4" w:space="1" w:color="B66113"/>
          <w:left w:val="single" w:sz="4" w:space="4" w:color="B66113"/>
          <w:bottom w:val="single" w:sz="4" w:space="1" w:color="B66113"/>
          <w:right w:val="single" w:sz="4" w:space="4" w:color="B66113"/>
        </w:pBdr>
      </w:pPr>
      <w:r w:rsidRPr="002836EB">
        <w:t xml:space="preserve">This report does not constitute the final position on these items, which is subject to: </w:t>
      </w:r>
    </w:p>
    <w:p w14:paraId="1A328435" w14:textId="688FD5DA" w:rsidR="00B90313" w:rsidRDefault="00CA1431" w:rsidP="00CA1431">
      <w:pPr>
        <w:pStyle w:val="NormalBulleted"/>
        <w:pBdr>
          <w:top w:val="single" w:sz="4" w:space="1" w:color="B66113"/>
          <w:left w:val="single" w:sz="4" w:space="4" w:color="B66113"/>
          <w:bottom w:val="single" w:sz="4" w:space="1" w:color="B66113"/>
          <w:right w:val="single" w:sz="4" w:space="4" w:color="B66113"/>
        </w:pBdr>
      </w:pPr>
      <w:r w:rsidRPr="002836EB">
        <w:t>Stakeholder feedback</w:t>
      </w:r>
      <w:r w:rsidR="00B90313">
        <w:t>;</w:t>
      </w:r>
    </w:p>
    <w:p w14:paraId="42160AF0" w14:textId="5F795D6D" w:rsidR="00CA1431" w:rsidRPr="002836EB" w:rsidRDefault="00B90313" w:rsidP="003F248B">
      <w:pPr>
        <w:pStyle w:val="NormalBulleted"/>
        <w:numPr>
          <w:ilvl w:val="0"/>
          <w:numId w:val="0"/>
        </w:numPr>
        <w:pBdr>
          <w:top w:val="single" w:sz="4" w:space="1" w:color="B66113"/>
          <w:left w:val="single" w:sz="4" w:space="4" w:color="B66113"/>
          <w:bottom w:val="single" w:sz="4" w:space="1" w:color="B66113"/>
          <w:right w:val="single" w:sz="4" w:space="4" w:color="B66113"/>
        </w:pBdr>
      </w:pPr>
      <w:r>
        <w:t>Then</w:t>
      </w:r>
      <w:r w:rsidR="00CA1431" w:rsidRPr="002836EB">
        <w:t xml:space="preserve"> </w:t>
      </w:r>
    </w:p>
    <w:p w14:paraId="4E020446" w14:textId="710BED99" w:rsidR="00B90313" w:rsidRDefault="00CA1431" w:rsidP="00CA1431">
      <w:pPr>
        <w:pStyle w:val="NormalBulleted"/>
        <w:pBdr>
          <w:top w:val="single" w:sz="4" w:space="1" w:color="B66113"/>
          <w:left w:val="single" w:sz="4" w:space="4" w:color="B66113"/>
          <w:bottom w:val="single" w:sz="4" w:space="1" w:color="B66113"/>
          <w:right w:val="single" w:sz="4" w:space="4" w:color="B66113"/>
        </w:pBdr>
      </w:pPr>
      <w:r w:rsidRPr="002836EB">
        <w:t>Consideration by the MBS Review Taskforce</w:t>
      </w:r>
      <w:r w:rsidR="00B90313">
        <w:t>;</w:t>
      </w:r>
    </w:p>
    <w:p w14:paraId="62AE69CF" w14:textId="71A70BE0" w:rsidR="00CA1431" w:rsidRPr="002836EB" w:rsidRDefault="00B90313" w:rsidP="003F248B">
      <w:pPr>
        <w:pStyle w:val="NormalBulleted"/>
        <w:numPr>
          <w:ilvl w:val="0"/>
          <w:numId w:val="0"/>
        </w:numPr>
        <w:pBdr>
          <w:top w:val="single" w:sz="4" w:space="1" w:color="B66113"/>
          <w:left w:val="single" w:sz="4" w:space="4" w:color="B66113"/>
          <w:bottom w:val="single" w:sz="4" w:space="1" w:color="B66113"/>
          <w:right w:val="single" w:sz="4" w:space="4" w:color="B66113"/>
        </w:pBdr>
      </w:pPr>
      <w:r>
        <w:t xml:space="preserve">Then </w:t>
      </w:r>
      <w:r>
        <w:rPr>
          <w:i/>
        </w:rPr>
        <w:t>if endorsed</w:t>
      </w:r>
    </w:p>
    <w:p w14:paraId="581E151F" w14:textId="335A0E78" w:rsidR="00CA1431" w:rsidRPr="002836EB" w:rsidRDefault="00CA1431" w:rsidP="00CA1431">
      <w:pPr>
        <w:pStyle w:val="NormalBulleted"/>
        <w:pBdr>
          <w:top w:val="single" w:sz="4" w:space="1" w:color="B66113"/>
          <w:left w:val="single" w:sz="4" w:space="4" w:color="B66113"/>
          <w:bottom w:val="single" w:sz="4" w:space="1" w:color="B66113"/>
          <w:right w:val="single" w:sz="4" w:space="4" w:color="B66113"/>
        </w:pBdr>
      </w:pPr>
      <w:r w:rsidRPr="002836EB">
        <w:t>Go</w:t>
      </w:r>
      <w:r w:rsidR="000B5506">
        <w:t>v</w:t>
      </w:r>
      <w:r w:rsidRPr="002836EB">
        <w:t xml:space="preserve">ernment. </w:t>
      </w:r>
    </w:p>
    <w:p w14:paraId="151D27D2" w14:textId="29A94634" w:rsidR="00CA1431" w:rsidRPr="002836EB" w:rsidRDefault="00CA1431" w:rsidP="00CA1431">
      <w:pPr>
        <w:pBdr>
          <w:top w:val="single" w:sz="4" w:space="1" w:color="B66113"/>
          <w:left w:val="single" w:sz="4" w:space="4" w:color="B66113"/>
          <w:bottom w:val="single" w:sz="4" w:space="1" w:color="B66113"/>
          <w:right w:val="single" w:sz="4" w:space="4" w:color="B66113"/>
        </w:pBdr>
        <w:rPr>
          <w:u w:val="single"/>
        </w:rPr>
      </w:pPr>
      <w:r w:rsidRPr="002836EB">
        <w:rPr>
          <w:bCs/>
        </w:rPr>
        <w:t xml:space="preserve">Stakeholders should provide comment on the recommendations via the </w:t>
      </w:r>
      <w:r w:rsidR="00B90313" w:rsidRPr="003F248B">
        <w:rPr>
          <w:rFonts w:eastAsiaTheme="majorEastAsia"/>
        </w:rPr>
        <w:t>online consultation tool</w:t>
      </w:r>
      <w:r w:rsidRPr="003F248B">
        <w:t>.</w:t>
      </w:r>
    </w:p>
    <w:p w14:paraId="1A8D69CD" w14:textId="77777777" w:rsidR="00CA1431" w:rsidRPr="002836EB" w:rsidRDefault="00CA1431" w:rsidP="00CA1431">
      <w:pPr>
        <w:pBdr>
          <w:top w:val="single" w:sz="4" w:space="1" w:color="B66113"/>
          <w:left w:val="single" w:sz="4" w:space="4" w:color="B66113"/>
          <w:bottom w:val="single" w:sz="4" w:space="1" w:color="B66113"/>
          <w:right w:val="single" w:sz="4" w:space="4" w:color="B66113"/>
        </w:pBdr>
        <w:rPr>
          <w:b/>
          <w:color w:val="01653F"/>
          <w:sz w:val="24"/>
        </w:rPr>
      </w:pPr>
      <w:r w:rsidRPr="002836EB">
        <w:rPr>
          <w:b/>
          <w:color w:val="01653F"/>
          <w:sz w:val="24"/>
        </w:rPr>
        <w:t xml:space="preserve">Confidentiality of comments </w:t>
      </w:r>
    </w:p>
    <w:p w14:paraId="3E208E07" w14:textId="2A49BFA3" w:rsidR="00CA1431" w:rsidRPr="002836EB" w:rsidRDefault="00CA1431" w:rsidP="00CA1431">
      <w:pPr>
        <w:pBdr>
          <w:top w:val="single" w:sz="4" w:space="1" w:color="B66113"/>
          <w:left w:val="single" w:sz="4" w:space="4" w:color="B66113"/>
          <w:bottom w:val="single" w:sz="4" w:space="1" w:color="B66113"/>
          <w:right w:val="single" w:sz="4" w:space="4" w:color="B66113"/>
        </w:pBdr>
      </w:pPr>
      <w:r w:rsidRPr="002836EB">
        <w:t xml:space="preserve">If you want your </w:t>
      </w:r>
      <w:r w:rsidR="00F15579">
        <w:t>feedback</w:t>
      </w:r>
      <w:r w:rsidRPr="002836EB">
        <w:t xml:space="preserve"> to remain confidential, please mark it as such. It is important to be aware that confidential </w:t>
      </w:r>
      <w:r w:rsidR="00171462">
        <w:t>feedback</w:t>
      </w:r>
      <w:r w:rsidRPr="002836EB">
        <w:t xml:space="preserve"> may still be subject to access under freedom of information law.</w:t>
      </w:r>
    </w:p>
    <w:p w14:paraId="01F570FF" w14:textId="77777777" w:rsidR="00CA1431" w:rsidRPr="002836EB" w:rsidRDefault="00CA1431" w:rsidP="00CA1431"/>
    <w:p w14:paraId="3FFCA0EE" w14:textId="77777777" w:rsidR="00262127" w:rsidRPr="002836EB" w:rsidRDefault="00262127" w:rsidP="00082595">
      <w:r w:rsidRPr="002836EB">
        <w:br w:type="page"/>
      </w:r>
    </w:p>
    <w:p w14:paraId="59B6B070" w14:textId="592E8774" w:rsidR="00C56DF9" w:rsidRPr="002836EB" w:rsidRDefault="00C56DF9" w:rsidP="00082595">
      <w:pPr>
        <w:rPr>
          <w:b/>
          <w:color w:val="01653F"/>
          <w:sz w:val="32"/>
        </w:rPr>
      </w:pPr>
      <w:r w:rsidRPr="002836EB">
        <w:rPr>
          <w:b/>
          <w:color w:val="01653F"/>
          <w:sz w:val="32"/>
        </w:rPr>
        <w:lastRenderedPageBreak/>
        <w:t xml:space="preserve">Table of </w:t>
      </w:r>
      <w:r w:rsidR="003E7B72" w:rsidRPr="002836EB">
        <w:rPr>
          <w:b/>
          <w:color w:val="01653F"/>
          <w:sz w:val="32"/>
        </w:rPr>
        <w:t>c</w:t>
      </w:r>
      <w:r w:rsidRPr="002836EB">
        <w:rPr>
          <w:b/>
          <w:color w:val="01653F"/>
          <w:sz w:val="32"/>
        </w:rPr>
        <w:t>ontents</w:t>
      </w:r>
      <w:bookmarkEnd w:id="0"/>
    </w:p>
    <w:p w14:paraId="3C1C0027" w14:textId="77777777" w:rsidR="00CF5505" w:rsidRDefault="00A5097F">
      <w:pPr>
        <w:pStyle w:val="TOC1"/>
        <w:tabs>
          <w:tab w:val="right" w:leader="dot" w:pos="9016"/>
        </w:tabs>
        <w:rPr>
          <w:rFonts w:eastAsiaTheme="minorEastAsia" w:cstheme="minorBidi"/>
          <w:b w:val="0"/>
          <w:bCs w:val="0"/>
          <w:noProof/>
          <w:sz w:val="22"/>
          <w:szCs w:val="22"/>
          <w:lang w:val="en-AU"/>
        </w:rPr>
      </w:pPr>
      <w:r w:rsidRPr="002836EB">
        <w:fldChar w:fldCharType="begin"/>
      </w:r>
      <w:r w:rsidRPr="002836EB">
        <w:instrText xml:space="preserve"> TOC \h \z \u \t "Heading 1,1,Heading 2,2,Heading 3,3</w:instrText>
      </w:r>
      <w:r w:rsidR="001D17CD" w:rsidRPr="002836EB">
        <w:instrText>, Appendix Style 1, 1</w:instrText>
      </w:r>
      <w:r w:rsidRPr="002836EB">
        <w:instrText xml:space="preserve">" </w:instrText>
      </w:r>
      <w:r w:rsidRPr="002836EB">
        <w:fldChar w:fldCharType="separate"/>
      </w:r>
      <w:hyperlink w:anchor="_Toc479082761" w:history="1">
        <w:r w:rsidR="00CF5505" w:rsidRPr="00730AC3">
          <w:rPr>
            <w:rStyle w:val="Hyperlink"/>
            <w:noProof/>
            <w:lang w:bidi="x-none"/>
            <w14:scene3d>
              <w14:camera w14:prst="orthographicFront"/>
              <w14:lightRig w14:rig="threePt" w14:dir="t">
                <w14:rot w14:lat="0" w14:lon="0" w14:rev="0"/>
              </w14:lightRig>
            </w14:scene3d>
          </w:rPr>
          <w:t>1.</w:t>
        </w:r>
        <w:r w:rsidR="00CF5505">
          <w:rPr>
            <w:rFonts w:eastAsiaTheme="minorEastAsia" w:cstheme="minorBidi"/>
            <w:b w:val="0"/>
            <w:bCs w:val="0"/>
            <w:noProof/>
            <w:sz w:val="22"/>
            <w:szCs w:val="22"/>
            <w:lang w:val="en-AU"/>
          </w:rPr>
          <w:tab/>
        </w:r>
        <w:r w:rsidR="00CF5505" w:rsidRPr="00730AC3">
          <w:rPr>
            <w:rStyle w:val="Hyperlink"/>
            <w:noProof/>
          </w:rPr>
          <w:t>Executive summary</w:t>
        </w:r>
        <w:r w:rsidR="00CF5505">
          <w:rPr>
            <w:noProof/>
            <w:webHidden/>
          </w:rPr>
          <w:tab/>
        </w:r>
        <w:r w:rsidR="00CF5505">
          <w:rPr>
            <w:noProof/>
            <w:webHidden/>
          </w:rPr>
          <w:fldChar w:fldCharType="begin"/>
        </w:r>
        <w:r w:rsidR="00CF5505">
          <w:rPr>
            <w:noProof/>
            <w:webHidden/>
          </w:rPr>
          <w:instrText xml:space="preserve"> PAGEREF _Toc479082761 \h </w:instrText>
        </w:r>
        <w:r w:rsidR="00CF5505">
          <w:rPr>
            <w:noProof/>
            <w:webHidden/>
          </w:rPr>
        </w:r>
        <w:r w:rsidR="00CF5505">
          <w:rPr>
            <w:noProof/>
            <w:webHidden/>
          </w:rPr>
          <w:fldChar w:fldCharType="separate"/>
        </w:r>
        <w:r w:rsidR="003274EF">
          <w:rPr>
            <w:noProof/>
            <w:webHidden/>
          </w:rPr>
          <w:t>7</w:t>
        </w:r>
        <w:r w:rsidR="00CF5505">
          <w:rPr>
            <w:noProof/>
            <w:webHidden/>
          </w:rPr>
          <w:fldChar w:fldCharType="end"/>
        </w:r>
      </w:hyperlink>
    </w:p>
    <w:p w14:paraId="193EA80B" w14:textId="77777777" w:rsidR="00CF5505" w:rsidRDefault="00A52F18">
      <w:pPr>
        <w:pStyle w:val="TOC2"/>
        <w:rPr>
          <w:rFonts w:eastAsiaTheme="minorEastAsia" w:cstheme="minorBidi"/>
          <w:i w:val="0"/>
          <w:iCs w:val="0"/>
          <w:noProof/>
          <w:sz w:val="22"/>
          <w:szCs w:val="22"/>
          <w:lang w:val="en-AU"/>
        </w:rPr>
      </w:pPr>
      <w:hyperlink w:anchor="_Toc479082762" w:history="1">
        <w:r w:rsidR="00CF5505" w:rsidRPr="00730AC3">
          <w:rPr>
            <w:rStyle w:val="Hyperlink"/>
            <w:noProof/>
          </w:rPr>
          <w:t>1.1</w:t>
        </w:r>
        <w:r w:rsidR="00CF5505">
          <w:rPr>
            <w:rFonts w:eastAsiaTheme="minorEastAsia" w:cstheme="minorBidi"/>
            <w:i w:val="0"/>
            <w:iCs w:val="0"/>
            <w:noProof/>
            <w:sz w:val="22"/>
            <w:szCs w:val="22"/>
            <w:lang w:val="en-AU"/>
          </w:rPr>
          <w:tab/>
        </w:r>
        <w:r w:rsidR="00CF5505" w:rsidRPr="00730AC3">
          <w:rPr>
            <w:rStyle w:val="Hyperlink"/>
            <w:noProof/>
          </w:rPr>
          <w:t>MBS Review process</w:t>
        </w:r>
        <w:r w:rsidR="00CF5505">
          <w:rPr>
            <w:noProof/>
            <w:webHidden/>
          </w:rPr>
          <w:tab/>
        </w:r>
        <w:r w:rsidR="00CF5505">
          <w:rPr>
            <w:noProof/>
            <w:webHidden/>
          </w:rPr>
          <w:fldChar w:fldCharType="begin"/>
        </w:r>
        <w:r w:rsidR="00CF5505">
          <w:rPr>
            <w:noProof/>
            <w:webHidden/>
          </w:rPr>
          <w:instrText xml:space="preserve"> PAGEREF _Toc479082762 \h </w:instrText>
        </w:r>
        <w:r w:rsidR="00CF5505">
          <w:rPr>
            <w:noProof/>
            <w:webHidden/>
          </w:rPr>
        </w:r>
        <w:r w:rsidR="00CF5505">
          <w:rPr>
            <w:noProof/>
            <w:webHidden/>
          </w:rPr>
          <w:fldChar w:fldCharType="separate"/>
        </w:r>
        <w:r w:rsidR="003274EF">
          <w:rPr>
            <w:noProof/>
            <w:webHidden/>
          </w:rPr>
          <w:t>7</w:t>
        </w:r>
        <w:r w:rsidR="00CF5505">
          <w:rPr>
            <w:noProof/>
            <w:webHidden/>
          </w:rPr>
          <w:fldChar w:fldCharType="end"/>
        </w:r>
      </w:hyperlink>
    </w:p>
    <w:p w14:paraId="13C1799A" w14:textId="77777777" w:rsidR="00CF5505" w:rsidRDefault="00A52F18">
      <w:pPr>
        <w:pStyle w:val="TOC2"/>
        <w:rPr>
          <w:rFonts w:eastAsiaTheme="minorEastAsia" w:cstheme="minorBidi"/>
          <w:i w:val="0"/>
          <w:iCs w:val="0"/>
          <w:noProof/>
          <w:sz w:val="22"/>
          <w:szCs w:val="22"/>
          <w:lang w:val="en-AU"/>
        </w:rPr>
      </w:pPr>
      <w:hyperlink w:anchor="_Toc479082763" w:history="1">
        <w:r w:rsidR="00CF5505" w:rsidRPr="00730AC3">
          <w:rPr>
            <w:rStyle w:val="Hyperlink"/>
            <w:noProof/>
          </w:rPr>
          <w:t>1.2</w:t>
        </w:r>
        <w:r w:rsidR="00CF5505">
          <w:rPr>
            <w:rFonts w:eastAsiaTheme="minorEastAsia" w:cstheme="minorBidi"/>
            <w:i w:val="0"/>
            <w:iCs w:val="0"/>
            <w:noProof/>
            <w:sz w:val="22"/>
            <w:szCs w:val="22"/>
            <w:lang w:val="en-AU"/>
          </w:rPr>
          <w:tab/>
        </w:r>
        <w:r w:rsidR="00CF5505" w:rsidRPr="00730AC3">
          <w:rPr>
            <w:rStyle w:val="Hyperlink"/>
            <w:noProof/>
          </w:rPr>
          <w:t>The Oncology Clinical Committee</w:t>
        </w:r>
        <w:r w:rsidR="00CF5505">
          <w:rPr>
            <w:noProof/>
            <w:webHidden/>
          </w:rPr>
          <w:tab/>
        </w:r>
        <w:r w:rsidR="00CF5505">
          <w:rPr>
            <w:noProof/>
            <w:webHidden/>
          </w:rPr>
          <w:fldChar w:fldCharType="begin"/>
        </w:r>
        <w:r w:rsidR="00CF5505">
          <w:rPr>
            <w:noProof/>
            <w:webHidden/>
          </w:rPr>
          <w:instrText xml:space="preserve"> PAGEREF _Toc479082763 \h </w:instrText>
        </w:r>
        <w:r w:rsidR="00CF5505">
          <w:rPr>
            <w:noProof/>
            <w:webHidden/>
          </w:rPr>
        </w:r>
        <w:r w:rsidR="00CF5505">
          <w:rPr>
            <w:noProof/>
            <w:webHidden/>
          </w:rPr>
          <w:fldChar w:fldCharType="separate"/>
        </w:r>
        <w:r w:rsidR="003274EF">
          <w:rPr>
            <w:noProof/>
            <w:webHidden/>
          </w:rPr>
          <w:t>8</w:t>
        </w:r>
        <w:r w:rsidR="00CF5505">
          <w:rPr>
            <w:noProof/>
            <w:webHidden/>
          </w:rPr>
          <w:fldChar w:fldCharType="end"/>
        </w:r>
      </w:hyperlink>
    </w:p>
    <w:p w14:paraId="0062C6FD" w14:textId="77777777" w:rsidR="00CF5505" w:rsidRDefault="00A52F18">
      <w:pPr>
        <w:pStyle w:val="TOC2"/>
        <w:rPr>
          <w:rFonts w:eastAsiaTheme="minorEastAsia" w:cstheme="minorBidi"/>
          <w:i w:val="0"/>
          <w:iCs w:val="0"/>
          <w:noProof/>
          <w:sz w:val="22"/>
          <w:szCs w:val="22"/>
          <w:lang w:val="en-AU"/>
        </w:rPr>
      </w:pPr>
      <w:hyperlink w:anchor="_Toc479082764" w:history="1">
        <w:r w:rsidR="00CF5505" w:rsidRPr="00730AC3">
          <w:rPr>
            <w:rStyle w:val="Hyperlink"/>
            <w:noProof/>
          </w:rPr>
          <w:t>1.3</w:t>
        </w:r>
        <w:r w:rsidR="00CF5505">
          <w:rPr>
            <w:rFonts w:eastAsiaTheme="minorEastAsia" w:cstheme="minorBidi"/>
            <w:i w:val="0"/>
            <w:iCs w:val="0"/>
            <w:noProof/>
            <w:sz w:val="22"/>
            <w:szCs w:val="22"/>
            <w:lang w:val="en-AU"/>
          </w:rPr>
          <w:tab/>
        </w:r>
        <w:r w:rsidR="00CF5505" w:rsidRPr="00730AC3">
          <w:rPr>
            <w:rStyle w:val="Hyperlink"/>
            <w:noProof/>
          </w:rPr>
          <w:t>Key recommendations</w:t>
        </w:r>
        <w:r w:rsidR="00CF5505">
          <w:rPr>
            <w:noProof/>
            <w:webHidden/>
          </w:rPr>
          <w:tab/>
        </w:r>
        <w:r w:rsidR="00CF5505">
          <w:rPr>
            <w:noProof/>
            <w:webHidden/>
          </w:rPr>
          <w:fldChar w:fldCharType="begin"/>
        </w:r>
        <w:r w:rsidR="00CF5505">
          <w:rPr>
            <w:noProof/>
            <w:webHidden/>
          </w:rPr>
          <w:instrText xml:space="preserve"> PAGEREF _Toc479082764 \h </w:instrText>
        </w:r>
        <w:r w:rsidR="00CF5505">
          <w:rPr>
            <w:noProof/>
            <w:webHidden/>
          </w:rPr>
        </w:r>
        <w:r w:rsidR="00CF5505">
          <w:rPr>
            <w:noProof/>
            <w:webHidden/>
          </w:rPr>
          <w:fldChar w:fldCharType="separate"/>
        </w:r>
        <w:r w:rsidR="003274EF">
          <w:rPr>
            <w:noProof/>
            <w:webHidden/>
          </w:rPr>
          <w:t>8</w:t>
        </w:r>
        <w:r w:rsidR="00CF5505">
          <w:rPr>
            <w:noProof/>
            <w:webHidden/>
          </w:rPr>
          <w:fldChar w:fldCharType="end"/>
        </w:r>
      </w:hyperlink>
    </w:p>
    <w:p w14:paraId="68789AAB" w14:textId="77777777" w:rsidR="00CF5505" w:rsidRDefault="00A52F18">
      <w:pPr>
        <w:pStyle w:val="TOC2"/>
        <w:rPr>
          <w:rFonts w:eastAsiaTheme="minorEastAsia" w:cstheme="minorBidi"/>
          <w:i w:val="0"/>
          <w:iCs w:val="0"/>
          <w:noProof/>
          <w:sz w:val="22"/>
          <w:szCs w:val="22"/>
          <w:lang w:val="en-AU"/>
        </w:rPr>
      </w:pPr>
      <w:hyperlink w:anchor="_Toc479082765" w:history="1">
        <w:r w:rsidR="00CF5505" w:rsidRPr="00730AC3">
          <w:rPr>
            <w:rStyle w:val="Hyperlink"/>
            <w:noProof/>
          </w:rPr>
          <w:t>1.4</w:t>
        </w:r>
        <w:r w:rsidR="00CF5505">
          <w:rPr>
            <w:rFonts w:eastAsiaTheme="minorEastAsia" w:cstheme="minorBidi"/>
            <w:i w:val="0"/>
            <w:iCs w:val="0"/>
            <w:noProof/>
            <w:sz w:val="22"/>
            <w:szCs w:val="22"/>
            <w:lang w:val="en-AU"/>
          </w:rPr>
          <w:tab/>
        </w:r>
        <w:r w:rsidR="00CF5505" w:rsidRPr="00730AC3">
          <w:rPr>
            <w:rStyle w:val="Hyperlink"/>
            <w:noProof/>
          </w:rPr>
          <w:t>Consumer Engagement and Key Impacts</w:t>
        </w:r>
        <w:r w:rsidR="00CF5505">
          <w:rPr>
            <w:noProof/>
            <w:webHidden/>
          </w:rPr>
          <w:tab/>
        </w:r>
        <w:r w:rsidR="00CF5505">
          <w:rPr>
            <w:noProof/>
            <w:webHidden/>
          </w:rPr>
          <w:fldChar w:fldCharType="begin"/>
        </w:r>
        <w:r w:rsidR="00CF5505">
          <w:rPr>
            <w:noProof/>
            <w:webHidden/>
          </w:rPr>
          <w:instrText xml:space="preserve"> PAGEREF _Toc479082765 \h </w:instrText>
        </w:r>
        <w:r w:rsidR="00CF5505">
          <w:rPr>
            <w:noProof/>
            <w:webHidden/>
          </w:rPr>
        </w:r>
        <w:r w:rsidR="00CF5505">
          <w:rPr>
            <w:noProof/>
            <w:webHidden/>
          </w:rPr>
          <w:fldChar w:fldCharType="separate"/>
        </w:r>
        <w:r w:rsidR="003274EF">
          <w:rPr>
            <w:noProof/>
            <w:webHidden/>
          </w:rPr>
          <w:t>10</w:t>
        </w:r>
        <w:r w:rsidR="00CF5505">
          <w:rPr>
            <w:noProof/>
            <w:webHidden/>
          </w:rPr>
          <w:fldChar w:fldCharType="end"/>
        </w:r>
      </w:hyperlink>
    </w:p>
    <w:p w14:paraId="75D28C41" w14:textId="77777777" w:rsidR="00CF5505" w:rsidRDefault="00A52F18">
      <w:pPr>
        <w:pStyle w:val="TOC2"/>
        <w:rPr>
          <w:rFonts w:eastAsiaTheme="minorEastAsia" w:cstheme="minorBidi"/>
          <w:i w:val="0"/>
          <w:iCs w:val="0"/>
          <w:noProof/>
          <w:sz w:val="22"/>
          <w:szCs w:val="22"/>
          <w:lang w:val="en-AU"/>
        </w:rPr>
      </w:pPr>
      <w:hyperlink w:anchor="_Toc479082766" w:history="1">
        <w:r w:rsidR="00CF5505" w:rsidRPr="00730AC3">
          <w:rPr>
            <w:rStyle w:val="Hyperlink"/>
            <w:noProof/>
          </w:rPr>
          <w:t>1.5</w:t>
        </w:r>
        <w:r w:rsidR="00CF5505">
          <w:rPr>
            <w:rFonts w:eastAsiaTheme="minorEastAsia" w:cstheme="minorBidi"/>
            <w:i w:val="0"/>
            <w:iCs w:val="0"/>
            <w:noProof/>
            <w:sz w:val="22"/>
            <w:szCs w:val="22"/>
            <w:lang w:val="en-AU"/>
          </w:rPr>
          <w:tab/>
        </w:r>
        <w:r w:rsidR="00CF5505" w:rsidRPr="00730AC3">
          <w:rPr>
            <w:rStyle w:val="Hyperlink"/>
            <w:noProof/>
          </w:rPr>
          <w:t>Next steps for these recommendations</w:t>
        </w:r>
        <w:r w:rsidR="00CF5505">
          <w:rPr>
            <w:noProof/>
            <w:webHidden/>
          </w:rPr>
          <w:tab/>
        </w:r>
        <w:r w:rsidR="00CF5505">
          <w:rPr>
            <w:noProof/>
            <w:webHidden/>
          </w:rPr>
          <w:fldChar w:fldCharType="begin"/>
        </w:r>
        <w:r w:rsidR="00CF5505">
          <w:rPr>
            <w:noProof/>
            <w:webHidden/>
          </w:rPr>
          <w:instrText xml:space="preserve"> PAGEREF _Toc479082766 \h </w:instrText>
        </w:r>
        <w:r w:rsidR="00CF5505">
          <w:rPr>
            <w:noProof/>
            <w:webHidden/>
          </w:rPr>
        </w:r>
        <w:r w:rsidR="00CF5505">
          <w:rPr>
            <w:noProof/>
            <w:webHidden/>
          </w:rPr>
          <w:fldChar w:fldCharType="separate"/>
        </w:r>
        <w:r w:rsidR="003274EF">
          <w:rPr>
            <w:noProof/>
            <w:webHidden/>
          </w:rPr>
          <w:t>11</w:t>
        </w:r>
        <w:r w:rsidR="00CF5505">
          <w:rPr>
            <w:noProof/>
            <w:webHidden/>
          </w:rPr>
          <w:fldChar w:fldCharType="end"/>
        </w:r>
      </w:hyperlink>
    </w:p>
    <w:p w14:paraId="295B84B0"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67" w:history="1">
        <w:r w:rsidR="00CF5505" w:rsidRPr="00730AC3">
          <w:rPr>
            <w:rStyle w:val="Hyperlink"/>
            <w:noProof/>
            <w:lang w:bidi="x-none"/>
            <w14:scene3d>
              <w14:camera w14:prst="orthographicFront"/>
              <w14:lightRig w14:rig="threePt" w14:dir="t">
                <w14:rot w14:lat="0" w14:lon="0" w14:rev="0"/>
              </w14:lightRig>
            </w14:scene3d>
          </w:rPr>
          <w:t>2.</w:t>
        </w:r>
        <w:r w:rsidR="00CF5505">
          <w:rPr>
            <w:rFonts w:eastAsiaTheme="minorEastAsia" w:cstheme="minorBidi"/>
            <w:b w:val="0"/>
            <w:bCs w:val="0"/>
            <w:noProof/>
            <w:sz w:val="22"/>
            <w:szCs w:val="22"/>
            <w:lang w:val="en-AU"/>
          </w:rPr>
          <w:tab/>
        </w:r>
        <w:r w:rsidR="00CF5505" w:rsidRPr="00730AC3">
          <w:rPr>
            <w:rStyle w:val="Hyperlink"/>
            <w:noProof/>
          </w:rPr>
          <w:t>About the Medicare Benefits Schedule (MBS) Review</w:t>
        </w:r>
        <w:r w:rsidR="00CF5505">
          <w:rPr>
            <w:noProof/>
            <w:webHidden/>
          </w:rPr>
          <w:tab/>
        </w:r>
        <w:r w:rsidR="00CF5505">
          <w:rPr>
            <w:noProof/>
            <w:webHidden/>
          </w:rPr>
          <w:fldChar w:fldCharType="begin"/>
        </w:r>
        <w:r w:rsidR="00CF5505">
          <w:rPr>
            <w:noProof/>
            <w:webHidden/>
          </w:rPr>
          <w:instrText xml:space="preserve"> PAGEREF _Toc479082767 \h </w:instrText>
        </w:r>
        <w:r w:rsidR="00CF5505">
          <w:rPr>
            <w:noProof/>
            <w:webHidden/>
          </w:rPr>
        </w:r>
        <w:r w:rsidR="00CF5505">
          <w:rPr>
            <w:noProof/>
            <w:webHidden/>
          </w:rPr>
          <w:fldChar w:fldCharType="separate"/>
        </w:r>
        <w:r w:rsidR="003274EF">
          <w:rPr>
            <w:noProof/>
            <w:webHidden/>
          </w:rPr>
          <w:t>12</w:t>
        </w:r>
        <w:r w:rsidR="00CF5505">
          <w:rPr>
            <w:noProof/>
            <w:webHidden/>
          </w:rPr>
          <w:fldChar w:fldCharType="end"/>
        </w:r>
      </w:hyperlink>
    </w:p>
    <w:p w14:paraId="36FE1D25" w14:textId="77777777" w:rsidR="00CF5505" w:rsidRDefault="00A52F18">
      <w:pPr>
        <w:pStyle w:val="TOC2"/>
        <w:rPr>
          <w:rFonts w:eastAsiaTheme="minorEastAsia" w:cstheme="minorBidi"/>
          <w:i w:val="0"/>
          <w:iCs w:val="0"/>
          <w:noProof/>
          <w:sz w:val="22"/>
          <w:szCs w:val="22"/>
          <w:lang w:val="en-AU"/>
        </w:rPr>
      </w:pPr>
      <w:hyperlink w:anchor="_Toc479082768" w:history="1">
        <w:r w:rsidR="00CF5505" w:rsidRPr="00730AC3">
          <w:rPr>
            <w:rStyle w:val="Hyperlink"/>
            <w:noProof/>
          </w:rPr>
          <w:t>2.1</w:t>
        </w:r>
        <w:r w:rsidR="00CF5505">
          <w:rPr>
            <w:rFonts w:eastAsiaTheme="minorEastAsia" w:cstheme="minorBidi"/>
            <w:i w:val="0"/>
            <w:iCs w:val="0"/>
            <w:noProof/>
            <w:sz w:val="22"/>
            <w:szCs w:val="22"/>
            <w:lang w:val="en-AU"/>
          </w:rPr>
          <w:tab/>
        </w:r>
        <w:r w:rsidR="00CF5505" w:rsidRPr="00730AC3">
          <w:rPr>
            <w:rStyle w:val="Hyperlink"/>
            <w:noProof/>
          </w:rPr>
          <w:t>Medicare and the MBS</w:t>
        </w:r>
        <w:r w:rsidR="00CF5505">
          <w:rPr>
            <w:noProof/>
            <w:webHidden/>
          </w:rPr>
          <w:tab/>
        </w:r>
        <w:r w:rsidR="00CF5505">
          <w:rPr>
            <w:noProof/>
            <w:webHidden/>
          </w:rPr>
          <w:fldChar w:fldCharType="begin"/>
        </w:r>
        <w:r w:rsidR="00CF5505">
          <w:rPr>
            <w:noProof/>
            <w:webHidden/>
          </w:rPr>
          <w:instrText xml:space="preserve"> PAGEREF _Toc479082768 \h </w:instrText>
        </w:r>
        <w:r w:rsidR="00CF5505">
          <w:rPr>
            <w:noProof/>
            <w:webHidden/>
          </w:rPr>
        </w:r>
        <w:r w:rsidR="00CF5505">
          <w:rPr>
            <w:noProof/>
            <w:webHidden/>
          </w:rPr>
          <w:fldChar w:fldCharType="separate"/>
        </w:r>
        <w:r w:rsidR="003274EF">
          <w:rPr>
            <w:noProof/>
            <w:webHidden/>
          </w:rPr>
          <w:t>12</w:t>
        </w:r>
        <w:r w:rsidR="00CF5505">
          <w:rPr>
            <w:noProof/>
            <w:webHidden/>
          </w:rPr>
          <w:fldChar w:fldCharType="end"/>
        </w:r>
      </w:hyperlink>
    </w:p>
    <w:p w14:paraId="4DB0D9AD" w14:textId="77777777" w:rsidR="00CF5505" w:rsidRDefault="00A52F18">
      <w:pPr>
        <w:pStyle w:val="TOC2"/>
        <w:rPr>
          <w:rFonts w:eastAsiaTheme="minorEastAsia" w:cstheme="minorBidi"/>
          <w:i w:val="0"/>
          <w:iCs w:val="0"/>
          <w:noProof/>
          <w:sz w:val="22"/>
          <w:szCs w:val="22"/>
          <w:lang w:val="en-AU"/>
        </w:rPr>
      </w:pPr>
      <w:hyperlink w:anchor="_Toc479082769" w:history="1">
        <w:r w:rsidR="00CF5505" w:rsidRPr="00730AC3">
          <w:rPr>
            <w:rStyle w:val="Hyperlink"/>
            <w:noProof/>
          </w:rPr>
          <w:t>2.2</w:t>
        </w:r>
        <w:r w:rsidR="00CF5505">
          <w:rPr>
            <w:rFonts w:eastAsiaTheme="minorEastAsia" w:cstheme="minorBidi"/>
            <w:i w:val="0"/>
            <w:iCs w:val="0"/>
            <w:noProof/>
            <w:sz w:val="22"/>
            <w:szCs w:val="22"/>
            <w:lang w:val="en-AU"/>
          </w:rPr>
          <w:tab/>
        </w:r>
        <w:r w:rsidR="00CF5505" w:rsidRPr="00730AC3">
          <w:rPr>
            <w:rStyle w:val="Hyperlink"/>
            <w:noProof/>
          </w:rPr>
          <w:t>The MBS Review Taskforce</w:t>
        </w:r>
        <w:r w:rsidR="00CF5505">
          <w:rPr>
            <w:noProof/>
            <w:webHidden/>
          </w:rPr>
          <w:tab/>
        </w:r>
        <w:r w:rsidR="00CF5505">
          <w:rPr>
            <w:noProof/>
            <w:webHidden/>
          </w:rPr>
          <w:fldChar w:fldCharType="begin"/>
        </w:r>
        <w:r w:rsidR="00CF5505">
          <w:rPr>
            <w:noProof/>
            <w:webHidden/>
          </w:rPr>
          <w:instrText xml:space="preserve"> PAGEREF _Toc479082769 \h </w:instrText>
        </w:r>
        <w:r w:rsidR="00CF5505">
          <w:rPr>
            <w:noProof/>
            <w:webHidden/>
          </w:rPr>
        </w:r>
        <w:r w:rsidR="00CF5505">
          <w:rPr>
            <w:noProof/>
            <w:webHidden/>
          </w:rPr>
          <w:fldChar w:fldCharType="separate"/>
        </w:r>
        <w:r w:rsidR="003274EF">
          <w:rPr>
            <w:noProof/>
            <w:webHidden/>
          </w:rPr>
          <w:t>12</w:t>
        </w:r>
        <w:r w:rsidR="00CF5505">
          <w:rPr>
            <w:noProof/>
            <w:webHidden/>
          </w:rPr>
          <w:fldChar w:fldCharType="end"/>
        </w:r>
      </w:hyperlink>
    </w:p>
    <w:p w14:paraId="149B9565" w14:textId="77777777" w:rsidR="00CF5505" w:rsidRDefault="00A52F18">
      <w:pPr>
        <w:pStyle w:val="TOC2"/>
        <w:rPr>
          <w:rFonts w:eastAsiaTheme="minorEastAsia" w:cstheme="minorBidi"/>
          <w:i w:val="0"/>
          <w:iCs w:val="0"/>
          <w:noProof/>
          <w:sz w:val="22"/>
          <w:szCs w:val="22"/>
          <w:lang w:val="en-AU"/>
        </w:rPr>
      </w:pPr>
      <w:hyperlink w:anchor="_Toc479082770" w:history="1">
        <w:r w:rsidR="00CF5505" w:rsidRPr="00730AC3">
          <w:rPr>
            <w:rStyle w:val="Hyperlink"/>
            <w:noProof/>
          </w:rPr>
          <w:t>2.3</w:t>
        </w:r>
        <w:r w:rsidR="00CF5505">
          <w:rPr>
            <w:rFonts w:eastAsiaTheme="minorEastAsia" w:cstheme="minorBidi"/>
            <w:i w:val="0"/>
            <w:iCs w:val="0"/>
            <w:noProof/>
            <w:sz w:val="22"/>
            <w:szCs w:val="22"/>
            <w:lang w:val="en-AU"/>
          </w:rPr>
          <w:tab/>
        </w:r>
        <w:r w:rsidR="00CF5505" w:rsidRPr="00730AC3">
          <w:rPr>
            <w:rStyle w:val="Hyperlink"/>
            <w:noProof/>
          </w:rPr>
          <w:t>The Taskforce’s approach</w:t>
        </w:r>
        <w:r w:rsidR="00CF5505">
          <w:rPr>
            <w:noProof/>
            <w:webHidden/>
          </w:rPr>
          <w:tab/>
        </w:r>
        <w:r w:rsidR="00CF5505">
          <w:rPr>
            <w:noProof/>
            <w:webHidden/>
          </w:rPr>
          <w:fldChar w:fldCharType="begin"/>
        </w:r>
        <w:r w:rsidR="00CF5505">
          <w:rPr>
            <w:noProof/>
            <w:webHidden/>
          </w:rPr>
          <w:instrText xml:space="preserve"> PAGEREF _Toc479082770 \h </w:instrText>
        </w:r>
        <w:r w:rsidR="00CF5505">
          <w:rPr>
            <w:noProof/>
            <w:webHidden/>
          </w:rPr>
        </w:r>
        <w:r w:rsidR="00CF5505">
          <w:rPr>
            <w:noProof/>
            <w:webHidden/>
          </w:rPr>
          <w:fldChar w:fldCharType="separate"/>
        </w:r>
        <w:r w:rsidR="003274EF">
          <w:rPr>
            <w:noProof/>
            <w:webHidden/>
          </w:rPr>
          <w:t>13</w:t>
        </w:r>
        <w:r w:rsidR="00CF5505">
          <w:rPr>
            <w:noProof/>
            <w:webHidden/>
          </w:rPr>
          <w:fldChar w:fldCharType="end"/>
        </w:r>
      </w:hyperlink>
    </w:p>
    <w:p w14:paraId="2FBF0B79"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71" w:history="1">
        <w:r w:rsidR="00CF5505" w:rsidRPr="00730AC3">
          <w:rPr>
            <w:rStyle w:val="Hyperlink"/>
            <w:noProof/>
            <w:lang w:bidi="x-none"/>
            <w14:scene3d>
              <w14:camera w14:prst="orthographicFront"/>
              <w14:lightRig w14:rig="threePt" w14:dir="t">
                <w14:rot w14:lat="0" w14:lon="0" w14:rev="0"/>
              </w14:lightRig>
            </w14:scene3d>
          </w:rPr>
          <w:t>3.</w:t>
        </w:r>
        <w:r w:rsidR="00CF5505">
          <w:rPr>
            <w:rFonts w:eastAsiaTheme="minorEastAsia" w:cstheme="minorBidi"/>
            <w:b w:val="0"/>
            <w:bCs w:val="0"/>
            <w:noProof/>
            <w:sz w:val="22"/>
            <w:szCs w:val="22"/>
            <w:lang w:val="en-AU"/>
          </w:rPr>
          <w:tab/>
        </w:r>
        <w:r w:rsidR="00CF5505" w:rsidRPr="00730AC3">
          <w:rPr>
            <w:rStyle w:val="Hyperlink"/>
            <w:noProof/>
          </w:rPr>
          <w:t>About the Oncology Clinical Committee</w:t>
        </w:r>
        <w:r w:rsidR="00CF5505">
          <w:rPr>
            <w:noProof/>
            <w:webHidden/>
          </w:rPr>
          <w:tab/>
        </w:r>
        <w:r w:rsidR="00CF5505">
          <w:rPr>
            <w:noProof/>
            <w:webHidden/>
          </w:rPr>
          <w:fldChar w:fldCharType="begin"/>
        </w:r>
        <w:r w:rsidR="00CF5505">
          <w:rPr>
            <w:noProof/>
            <w:webHidden/>
          </w:rPr>
          <w:instrText xml:space="preserve"> PAGEREF _Toc479082771 \h </w:instrText>
        </w:r>
        <w:r w:rsidR="00CF5505">
          <w:rPr>
            <w:noProof/>
            <w:webHidden/>
          </w:rPr>
        </w:r>
        <w:r w:rsidR="00CF5505">
          <w:rPr>
            <w:noProof/>
            <w:webHidden/>
          </w:rPr>
          <w:fldChar w:fldCharType="separate"/>
        </w:r>
        <w:r w:rsidR="003274EF">
          <w:rPr>
            <w:noProof/>
            <w:webHidden/>
          </w:rPr>
          <w:t>15</w:t>
        </w:r>
        <w:r w:rsidR="00CF5505">
          <w:rPr>
            <w:noProof/>
            <w:webHidden/>
          </w:rPr>
          <w:fldChar w:fldCharType="end"/>
        </w:r>
      </w:hyperlink>
    </w:p>
    <w:p w14:paraId="4F27FB3F" w14:textId="77777777" w:rsidR="00CF5505" w:rsidRDefault="00A52F18">
      <w:pPr>
        <w:pStyle w:val="TOC2"/>
        <w:rPr>
          <w:rFonts w:eastAsiaTheme="minorEastAsia" w:cstheme="minorBidi"/>
          <w:i w:val="0"/>
          <w:iCs w:val="0"/>
          <w:noProof/>
          <w:sz w:val="22"/>
          <w:szCs w:val="22"/>
          <w:lang w:val="en-AU"/>
        </w:rPr>
      </w:pPr>
      <w:hyperlink w:anchor="_Toc479082772" w:history="1">
        <w:r w:rsidR="00CF5505" w:rsidRPr="00730AC3">
          <w:rPr>
            <w:rStyle w:val="Hyperlink"/>
            <w:noProof/>
          </w:rPr>
          <w:t>3.1</w:t>
        </w:r>
        <w:r w:rsidR="00CF5505">
          <w:rPr>
            <w:rFonts w:eastAsiaTheme="minorEastAsia" w:cstheme="minorBidi"/>
            <w:i w:val="0"/>
            <w:iCs w:val="0"/>
            <w:noProof/>
            <w:sz w:val="22"/>
            <w:szCs w:val="22"/>
            <w:lang w:val="en-AU"/>
          </w:rPr>
          <w:tab/>
        </w:r>
        <w:r w:rsidR="00CF5505" w:rsidRPr="00730AC3">
          <w:rPr>
            <w:rStyle w:val="Hyperlink"/>
            <w:noProof/>
          </w:rPr>
          <w:t>Oncology Clinical Committee members</w:t>
        </w:r>
        <w:r w:rsidR="00CF5505">
          <w:rPr>
            <w:noProof/>
            <w:webHidden/>
          </w:rPr>
          <w:tab/>
        </w:r>
        <w:r w:rsidR="00CF5505">
          <w:rPr>
            <w:noProof/>
            <w:webHidden/>
          </w:rPr>
          <w:fldChar w:fldCharType="begin"/>
        </w:r>
        <w:r w:rsidR="00CF5505">
          <w:rPr>
            <w:noProof/>
            <w:webHidden/>
          </w:rPr>
          <w:instrText xml:space="preserve"> PAGEREF _Toc479082772 \h </w:instrText>
        </w:r>
        <w:r w:rsidR="00CF5505">
          <w:rPr>
            <w:noProof/>
            <w:webHidden/>
          </w:rPr>
        </w:r>
        <w:r w:rsidR="00CF5505">
          <w:rPr>
            <w:noProof/>
            <w:webHidden/>
          </w:rPr>
          <w:fldChar w:fldCharType="separate"/>
        </w:r>
        <w:r w:rsidR="003274EF">
          <w:rPr>
            <w:noProof/>
            <w:webHidden/>
          </w:rPr>
          <w:t>15</w:t>
        </w:r>
        <w:r w:rsidR="00CF5505">
          <w:rPr>
            <w:noProof/>
            <w:webHidden/>
          </w:rPr>
          <w:fldChar w:fldCharType="end"/>
        </w:r>
      </w:hyperlink>
    </w:p>
    <w:p w14:paraId="4BDE7501" w14:textId="77777777" w:rsidR="00CF5505" w:rsidRDefault="00A52F18">
      <w:pPr>
        <w:pStyle w:val="TOC2"/>
        <w:rPr>
          <w:rFonts w:eastAsiaTheme="minorEastAsia" w:cstheme="minorBidi"/>
          <w:i w:val="0"/>
          <w:iCs w:val="0"/>
          <w:noProof/>
          <w:sz w:val="22"/>
          <w:szCs w:val="22"/>
          <w:lang w:val="en-AU"/>
        </w:rPr>
      </w:pPr>
      <w:hyperlink w:anchor="_Toc479082773" w:history="1">
        <w:r w:rsidR="00CF5505" w:rsidRPr="00730AC3">
          <w:rPr>
            <w:rStyle w:val="Hyperlink"/>
            <w:noProof/>
          </w:rPr>
          <w:t>3.2</w:t>
        </w:r>
        <w:r w:rsidR="00CF5505">
          <w:rPr>
            <w:rFonts w:eastAsiaTheme="minorEastAsia" w:cstheme="minorBidi"/>
            <w:i w:val="0"/>
            <w:iCs w:val="0"/>
            <w:noProof/>
            <w:sz w:val="22"/>
            <w:szCs w:val="22"/>
            <w:lang w:val="en-AU"/>
          </w:rPr>
          <w:tab/>
        </w:r>
        <w:r w:rsidR="00CF5505" w:rsidRPr="00730AC3">
          <w:rPr>
            <w:rStyle w:val="Hyperlink"/>
            <w:noProof/>
          </w:rPr>
          <w:t>Areas of responsibility of the Committee</w:t>
        </w:r>
        <w:r w:rsidR="00CF5505">
          <w:rPr>
            <w:noProof/>
            <w:webHidden/>
          </w:rPr>
          <w:tab/>
        </w:r>
        <w:r w:rsidR="00CF5505">
          <w:rPr>
            <w:noProof/>
            <w:webHidden/>
          </w:rPr>
          <w:fldChar w:fldCharType="begin"/>
        </w:r>
        <w:r w:rsidR="00CF5505">
          <w:rPr>
            <w:noProof/>
            <w:webHidden/>
          </w:rPr>
          <w:instrText xml:space="preserve"> PAGEREF _Toc479082773 \h </w:instrText>
        </w:r>
        <w:r w:rsidR="00CF5505">
          <w:rPr>
            <w:noProof/>
            <w:webHidden/>
          </w:rPr>
        </w:r>
        <w:r w:rsidR="00CF5505">
          <w:rPr>
            <w:noProof/>
            <w:webHidden/>
          </w:rPr>
          <w:fldChar w:fldCharType="separate"/>
        </w:r>
        <w:r w:rsidR="003274EF">
          <w:rPr>
            <w:noProof/>
            <w:webHidden/>
          </w:rPr>
          <w:t>17</w:t>
        </w:r>
        <w:r w:rsidR="00CF5505">
          <w:rPr>
            <w:noProof/>
            <w:webHidden/>
          </w:rPr>
          <w:fldChar w:fldCharType="end"/>
        </w:r>
      </w:hyperlink>
    </w:p>
    <w:p w14:paraId="303B8E64" w14:textId="77777777" w:rsidR="00CF5505" w:rsidRDefault="00A52F18">
      <w:pPr>
        <w:pStyle w:val="TOC2"/>
        <w:rPr>
          <w:rFonts w:eastAsiaTheme="minorEastAsia" w:cstheme="minorBidi"/>
          <w:i w:val="0"/>
          <w:iCs w:val="0"/>
          <w:noProof/>
          <w:sz w:val="22"/>
          <w:szCs w:val="22"/>
          <w:lang w:val="en-AU"/>
        </w:rPr>
      </w:pPr>
      <w:hyperlink w:anchor="_Toc479082774" w:history="1">
        <w:r w:rsidR="00CF5505" w:rsidRPr="00730AC3">
          <w:rPr>
            <w:rStyle w:val="Hyperlink"/>
            <w:noProof/>
          </w:rPr>
          <w:t>3.3</w:t>
        </w:r>
        <w:r w:rsidR="00CF5505">
          <w:rPr>
            <w:rFonts w:eastAsiaTheme="minorEastAsia" w:cstheme="minorBidi"/>
            <w:i w:val="0"/>
            <w:iCs w:val="0"/>
            <w:noProof/>
            <w:sz w:val="22"/>
            <w:szCs w:val="22"/>
            <w:lang w:val="en-AU"/>
          </w:rPr>
          <w:tab/>
        </w:r>
        <w:r w:rsidR="00CF5505" w:rsidRPr="00730AC3">
          <w:rPr>
            <w:rStyle w:val="Hyperlink"/>
            <w:noProof/>
          </w:rPr>
          <w:t>Summary of the Committee’s review approach</w:t>
        </w:r>
        <w:r w:rsidR="00CF5505">
          <w:rPr>
            <w:noProof/>
            <w:webHidden/>
          </w:rPr>
          <w:tab/>
        </w:r>
        <w:r w:rsidR="00CF5505">
          <w:rPr>
            <w:noProof/>
            <w:webHidden/>
          </w:rPr>
          <w:fldChar w:fldCharType="begin"/>
        </w:r>
        <w:r w:rsidR="00CF5505">
          <w:rPr>
            <w:noProof/>
            <w:webHidden/>
          </w:rPr>
          <w:instrText xml:space="preserve"> PAGEREF _Toc479082774 \h </w:instrText>
        </w:r>
        <w:r w:rsidR="00CF5505">
          <w:rPr>
            <w:noProof/>
            <w:webHidden/>
          </w:rPr>
        </w:r>
        <w:r w:rsidR="00CF5505">
          <w:rPr>
            <w:noProof/>
            <w:webHidden/>
          </w:rPr>
          <w:fldChar w:fldCharType="separate"/>
        </w:r>
        <w:r w:rsidR="003274EF">
          <w:rPr>
            <w:noProof/>
            <w:webHidden/>
          </w:rPr>
          <w:t>18</w:t>
        </w:r>
        <w:r w:rsidR="00CF5505">
          <w:rPr>
            <w:noProof/>
            <w:webHidden/>
          </w:rPr>
          <w:fldChar w:fldCharType="end"/>
        </w:r>
      </w:hyperlink>
    </w:p>
    <w:p w14:paraId="77D262CC" w14:textId="77777777" w:rsidR="00CF5505" w:rsidRDefault="00A52F18">
      <w:pPr>
        <w:pStyle w:val="TOC3"/>
        <w:tabs>
          <w:tab w:val="left" w:pos="1474"/>
        </w:tabs>
        <w:rPr>
          <w:rFonts w:eastAsiaTheme="minorEastAsia" w:cstheme="minorBidi"/>
          <w:noProof/>
          <w:sz w:val="22"/>
          <w:szCs w:val="22"/>
          <w:lang w:val="en-AU"/>
        </w:rPr>
      </w:pPr>
      <w:hyperlink w:anchor="_Toc479082775" w:history="1">
        <w:r w:rsidR="00CF5505" w:rsidRPr="00730AC3">
          <w:rPr>
            <w:rStyle w:val="Hyperlink"/>
            <w:noProof/>
          </w:rPr>
          <w:t>3.3.1</w:t>
        </w:r>
        <w:r w:rsidR="00CF5505">
          <w:rPr>
            <w:rFonts w:eastAsiaTheme="minorEastAsia" w:cstheme="minorBidi"/>
            <w:noProof/>
            <w:sz w:val="22"/>
            <w:szCs w:val="22"/>
            <w:lang w:val="en-AU"/>
          </w:rPr>
          <w:tab/>
        </w:r>
        <w:r w:rsidR="00CF5505" w:rsidRPr="00730AC3">
          <w:rPr>
            <w:rStyle w:val="Hyperlink"/>
            <w:noProof/>
          </w:rPr>
          <w:t>Working Group structure</w:t>
        </w:r>
        <w:r w:rsidR="00CF5505">
          <w:rPr>
            <w:noProof/>
            <w:webHidden/>
          </w:rPr>
          <w:tab/>
        </w:r>
        <w:r w:rsidR="00CF5505">
          <w:rPr>
            <w:noProof/>
            <w:webHidden/>
          </w:rPr>
          <w:fldChar w:fldCharType="begin"/>
        </w:r>
        <w:r w:rsidR="00CF5505">
          <w:rPr>
            <w:noProof/>
            <w:webHidden/>
          </w:rPr>
          <w:instrText xml:space="preserve"> PAGEREF _Toc479082775 \h </w:instrText>
        </w:r>
        <w:r w:rsidR="00CF5505">
          <w:rPr>
            <w:noProof/>
            <w:webHidden/>
          </w:rPr>
        </w:r>
        <w:r w:rsidR="00CF5505">
          <w:rPr>
            <w:noProof/>
            <w:webHidden/>
          </w:rPr>
          <w:fldChar w:fldCharType="separate"/>
        </w:r>
        <w:r w:rsidR="003274EF">
          <w:rPr>
            <w:noProof/>
            <w:webHidden/>
          </w:rPr>
          <w:t>18</w:t>
        </w:r>
        <w:r w:rsidR="00CF5505">
          <w:rPr>
            <w:noProof/>
            <w:webHidden/>
          </w:rPr>
          <w:fldChar w:fldCharType="end"/>
        </w:r>
      </w:hyperlink>
    </w:p>
    <w:p w14:paraId="5D252F75" w14:textId="77777777" w:rsidR="00CF5505" w:rsidRDefault="00A52F18">
      <w:pPr>
        <w:pStyle w:val="TOC3"/>
        <w:tabs>
          <w:tab w:val="left" w:pos="1474"/>
        </w:tabs>
        <w:rPr>
          <w:rFonts w:eastAsiaTheme="minorEastAsia" w:cstheme="minorBidi"/>
          <w:noProof/>
          <w:sz w:val="22"/>
          <w:szCs w:val="22"/>
          <w:lang w:val="en-AU"/>
        </w:rPr>
      </w:pPr>
      <w:hyperlink w:anchor="_Toc479082776" w:history="1">
        <w:r w:rsidR="00CF5505" w:rsidRPr="00730AC3">
          <w:rPr>
            <w:rStyle w:val="Hyperlink"/>
            <w:noProof/>
          </w:rPr>
          <w:t>3.3.2</w:t>
        </w:r>
        <w:r w:rsidR="00CF5505">
          <w:rPr>
            <w:rFonts w:eastAsiaTheme="minorEastAsia" w:cstheme="minorBidi"/>
            <w:noProof/>
            <w:sz w:val="22"/>
            <w:szCs w:val="22"/>
            <w:lang w:val="en-AU"/>
          </w:rPr>
          <w:tab/>
        </w:r>
        <w:r w:rsidR="00CF5505" w:rsidRPr="00730AC3">
          <w:rPr>
            <w:rStyle w:val="Hyperlink"/>
            <w:noProof/>
          </w:rPr>
          <w:t>Structure of the report</w:t>
        </w:r>
        <w:r w:rsidR="00CF5505">
          <w:rPr>
            <w:noProof/>
            <w:webHidden/>
          </w:rPr>
          <w:tab/>
        </w:r>
        <w:r w:rsidR="00CF5505">
          <w:rPr>
            <w:noProof/>
            <w:webHidden/>
          </w:rPr>
          <w:fldChar w:fldCharType="begin"/>
        </w:r>
        <w:r w:rsidR="00CF5505">
          <w:rPr>
            <w:noProof/>
            <w:webHidden/>
          </w:rPr>
          <w:instrText xml:space="preserve"> PAGEREF _Toc479082776 \h </w:instrText>
        </w:r>
        <w:r w:rsidR="00CF5505">
          <w:rPr>
            <w:noProof/>
            <w:webHidden/>
          </w:rPr>
        </w:r>
        <w:r w:rsidR="00CF5505">
          <w:rPr>
            <w:noProof/>
            <w:webHidden/>
          </w:rPr>
          <w:fldChar w:fldCharType="separate"/>
        </w:r>
        <w:r w:rsidR="003274EF">
          <w:rPr>
            <w:noProof/>
            <w:webHidden/>
          </w:rPr>
          <w:t>18</w:t>
        </w:r>
        <w:r w:rsidR="00CF5505">
          <w:rPr>
            <w:noProof/>
            <w:webHidden/>
          </w:rPr>
          <w:fldChar w:fldCharType="end"/>
        </w:r>
      </w:hyperlink>
    </w:p>
    <w:p w14:paraId="769A8560" w14:textId="77777777" w:rsidR="00CF5505" w:rsidRDefault="00A52F18">
      <w:pPr>
        <w:pStyle w:val="TOC3"/>
        <w:tabs>
          <w:tab w:val="left" w:pos="1474"/>
        </w:tabs>
        <w:rPr>
          <w:rFonts w:eastAsiaTheme="minorEastAsia" w:cstheme="minorBidi"/>
          <w:noProof/>
          <w:sz w:val="22"/>
          <w:szCs w:val="22"/>
          <w:lang w:val="en-AU"/>
        </w:rPr>
      </w:pPr>
      <w:hyperlink w:anchor="_Toc479082777" w:history="1">
        <w:r w:rsidR="00CF5505" w:rsidRPr="00730AC3">
          <w:rPr>
            <w:rStyle w:val="Hyperlink"/>
            <w:noProof/>
          </w:rPr>
          <w:t>3.3.3</w:t>
        </w:r>
        <w:r w:rsidR="00CF5505">
          <w:rPr>
            <w:rFonts w:eastAsiaTheme="minorEastAsia" w:cstheme="minorBidi"/>
            <w:noProof/>
            <w:sz w:val="22"/>
            <w:szCs w:val="22"/>
            <w:lang w:val="en-AU"/>
          </w:rPr>
          <w:tab/>
        </w:r>
        <w:r w:rsidR="00CF5505" w:rsidRPr="00730AC3">
          <w:rPr>
            <w:rStyle w:val="Hyperlink"/>
            <w:noProof/>
          </w:rPr>
          <w:t>Numbering of proposed items</w:t>
        </w:r>
        <w:r w:rsidR="00CF5505">
          <w:rPr>
            <w:noProof/>
            <w:webHidden/>
          </w:rPr>
          <w:tab/>
        </w:r>
        <w:r w:rsidR="00CF5505">
          <w:rPr>
            <w:noProof/>
            <w:webHidden/>
          </w:rPr>
          <w:fldChar w:fldCharType="begin"/>
        </w:r>
        <w:r w:rsidR="00CF5505">
          <w:rPr>
            <w:noProof/>
            <w:webHidden/>
          </w:rPr>
          <w:instrText xml:space="preserve"> PAGEREF _Toc479082777 \h </w:instrText>
        </w:r>
        <w:r w:rsidR="00CF5505">
          <w:rPr>
            <w:noProof/>
            <w:webHidden/>
          </w:rPr>
        </w:r>
        <w:r w:rsidR="00CF5505">
          <w:rPr>
            <w:noProof/>
            <w:webHidden/>
          </w:rPr>
          <w:fldChar w:fldCharType="separate"/>
        </w:r>
        <w:r w:rsidR="003274EF">
          <w:rPr>
            <w:noProof/>
            <w:webHidden/>
          </w:rPr>
          <w:t>19</w:t>
        </w:r>
        <w:r w:rsidR="00CF5505">
          <w:rPr>
            <w:noProof/>
            <w:webHidden/>
          </w:rPr>
          <w:fldChar w:fldCharType="end"/>
        </w:r>
      </w:hyperlink>
    </w:p>
    <w:p w14:paraId="20FBA6F8"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78" w:history="1">
        <w:r w:rsidR="00CF5505" w:rsidRPr="00730AC3">
          <w:rPr>
            <w:rStyle w:val="Hyperlink"/>
            <w:noProof/>
            <w:lang w:bidi="x-none"/>
            <w14:scene3d>
              <w14:camera w14:prst="orthographicFront"/>
              <w14:lightRig w14:rig="threePt" w14:dir="t">
                <w14:rot w14:lat="0" w14:lon="0" w14:rev="0"/>
              </w14:lightRig>
            </w14:scene3d>
          </w:rPr>
          <w:t>4.</w:t>
        </w:r>
        <w:r w:rsidR="00CF5505">
          <w:rPr>
            <w:rFonts w:eastAsiaTheme="minorEastAsia" w:cstheme="minorBidi"/>
            <w:b w:val="0"/>
            <w:bCs w:val="0"/>
            <w:noProof/>
            <w:sz w:val="22"/>
            <w:szCs w:val="22"/>
            <w:lang w:val="en-AU"/>
          </w:rPr>
          <w:tab/>
        </w:r>
        <w:r w:rsidR="00CF5505" w:rsidRPr="00730AC3">
          <w:rPr>
            <w:rStyle w:val="Hyperlink"/>
            <w:noProof/>
          </w:rPr>
          <w:t>Medical oncology recommendations</w:t>
        </w:r>
        <w:r w:rsidR="00CF5505">
          <w:rPr>
            <w:noProof/>
            <w:webHidden/>
          </w:rPr>
          <w:tab/>
        </w:r>
        <w:r w:rsidR="00CF5505">
          <w:rPr>
            <w:noProof/>
            <w:webHidden/>
          </w:rPr>
          <w:fldChar w:fldCharType="begin"/>
        </w:r>
        <w:r w:rsidR="00CF5505">
          <w:rPr>
            <w:noProof/>
            <w:webHidden/>
          </w:rPr>
          <w:instrText xml:space="preserve"> PAGEREF _Toc479082778 \h </w:instrText>
        </w:r>
        <w:r w:rsidR="00CF5505">
          <w:rPr>
            <w:noProof/>
            <w:webHidden/>
          </w:rPr>
        </w:r>
        <w:r w:rsidR="00CF5505">
          <w:rPr>
            <w:noProof/>
            <w:webHidden/>
          </w:rPr>
          <w:fldChar w:fldCharType="separate"/>
        </w:r>
        <w:r w:rsidR="003274EF">
          <w:rPr>
            <w:noProof/>
            <w:webHidden/>
          </w:rPr>
          <w:t>20</w:t>
        </w:r>
        <w:r w:rsidR="00CF5505">
          <w:rPr>
            <w:noProof/>
            <w:webHidden/>
          </w:rPr>
          <w:fldChar w:fldCharType="end"/>
        </w:r>
      </w:hyperlink>
    </w:p>
    <w:p w14:paraId="71412B91" w14:textId="77777777" w:rsidR="00CF5505" w:rsidRDefault="00A52F18">
      <w:pPr>
        <w:pStyle w:val="TOC2"/>
        <w:rPr>
          <w:rFonts w:eastAsiaTheme="minorEastAsia" w:cstheme="minorBidi"/>
          <w:i w:val="0"/>
          <w:iCs w:val="0"/>
          <w:noProof/>
          <w:sz w:val="22"/>
          <w:szCs w:val="22"/>
          <w:lang w:val="en-AU"/>
        </w:rPr>
      </w:pPr>
      <w:hyperlink w:anchor="_Toc479082779" w:history="1">
        <w:r w:rsidR="00CF5505" w:rsidRPr="00730AC3">
          <w:rPr>
            <w:rStyle w:val="Hyperlink"/>
            <w:noProof/>
          </w:rPr>
          <w:t>4.1</w:t>
        </w:r>
        <w:r w:rsidR="00CF5505">
          <w:rPr>
            <w:rFonts w:eastAsiaTheme="minorEastAsia" w:cstheme="minorBidi"/>
            <w:i w:val="0"/>
            <w:iCs w:val="0"/>
            <w:noProof/>
            <w:sz w:val="22"/>
            <w:szCs w:val="22"/>
            <w:lang w:val="en-AU"/>
          </w:rPr>
          <w:tab/>
        </w:r>
        <w:r w:rsidR="00CF5505" w:rsidRPr="00730AC3">
          <w:rPr>
            <w:rStyle w:val="Hyperlink"/>
            <w:noProof/>
          </w:rPr>
          <w:t>Medical Oncology Working Group membership</w:t>
        </w:r>
        <w:r w:rsidR="00CF5505">
          <w:rPr>
            <w:noProof/>
            <w:webHidden/>
          </w:rPr>
          <w:tab/>
        </w:r>
        <w:r w:rsidR="00CF5505">
          <w:rPr>
            <w:noProof/>
            <w:webHidden/>
          </w:rPr>
          <w:fldChar w:fldCharType="begin"/>
        </w:r>
        <w:r w:rsidR="00CF5505">
          <w:rPr>
            <w:noProof/>
            <w:webHidden/>
          </w:rPr>
          <w:instrText xml:space="preserve"> PAGEREF _Toc479082779 \h </w:instrText>
        </w:r>
        <w:r w:rsidR="00CF5505">
          <w:rPr>
            <w:noProof/>
            <w:webHidden/>
          </w:rPr>
        </w:r>
        <w:r w:rsidR="00CF5505">
          <w:rPr>
            <w:noProof/>
            <w:webHidden/>
          </w:rPr>
          <w:fldChar w:fldCharType="separate"/>
        </w:r>
        <w:r w:rsidR="003274EF">
          <w:rPr>
            <w:noProof/>
            <w:webHidden/>
          </w:rPr>
          <w:t>20</w:t>
        </w:r>
        <w:r w:rsidR="00CF5505">
          <w:rPr>
            <w:noProof/>
            <w:webHidden/>
          </w:rPr>
          <w:fldChar w:fldCharType="end"/>
        </w:r>
      </w:hyperlink>
    </w:p>
    <w:p w14:paraId="6C3151B5" w14:textId="77777777" w:rsidR="00CF5505" w:rsidRDefault="00A52F18">
      <w:pPr>
        <w:pStyle w:val="TOC2"/>
        <w:rPr>
          <w:rFonts w:eastAsiaTheme="minorEastAsia" w:cstheme="minorBidi"/>
          <w:i w:val="0"/>
          <w:iCs w:val="0"/>
          <w:noProof/>
          <w:sz w:val="22"/>
          <w:szCs w:val="22"/>
          <w:lang w:val="en-AU"/>
        </w:rPr>
      </w:pPr>
      <w:hyperlink w:anchor="_Toc479082780" w:history="1">
        <w:r w:rsidR="00CF5505" w:rsidRPr="00730AC3">
          <w:rPr>
            <w:rStyle w:val="Hyperlink"/>
            <w:noProof/>
          </w:rPr>
          <w:t>4.2</w:t>
        </w:r>
        <w:r w:rsidR="00CF5505">
          <w:rPr>
            <w:rFonts w:eastAsiaTheme="minorEastAsia" w:cstheme="minorBidi"/>
            <w:i w:val="0"/>
            <w:iCs w:val="0"/>
            <w:noProof/>
            <w:sz w:val="22"/>
            <w:szCs w:val="22"/>
            <w:lang w:val="en-AU"/>
          </w:rPr>
          <w:tab/>
        </w:r>
        <w:r w:rsidR="00CF5505" w:rsidRPr="00730AC3">
          <w:rPr>
            <w:rStyle w:val="Hyperlink"/>
            <w:noProof/>
          </w:rPr>
          <w:t>Management of anticancer therapy</w:t>
        </w:r>
        <w:r w:rsidR="00CF5505">
          <w:rPr>
            <w:noProof/>
            <w:webHidden/>
          </w:rPr>
          <w:tab/>
        </w:r>
        <w:r w:rsidR="00CF5505">
          <w:rPr>
            <w:noProof/>
            <w:webHidden/>
          </w:rPr>
          <w:fldChar w:fldCharType="begin"/>
        </w:r>
        <w:r w:rsidR="00CF5505">
          <w:rPr>
            <w:noProof/>
            <w:webHidden/>
          </w:rPr>
          <w:instrText xml:space="preserve"> PAGEREF _Toc479082780 \h </w:instrText>
        </w:r>
        <w:r w:rsidR="00CF5505">
          <w:rPr>
            <w:noProof/>
            <w:webHidden/>
          </w:rPr>
        </w:r>
        <w:r w:rsidR="00CF5505">
          <w:rPr>
            <w:noProof/>
            <w:webHidden/>
          </w:rPr>
          <w:fldChar w:fldCharType="separate"/>
        </w:r>
        <w:r w:rsidR="003274EF">
          <w:rPr>
            <w:noProof/>
            <w:webHidden/>
          </w:rPr>
          <w:t>21</w:t>
        </w:r>
        <w:r w:rsidR="00CF5505">
          <w:rPr>
            <w:noProof/>
            <w:webHidden/>
          </w:rPr>
          <w:fldChar w:fldCharType="end"/>
        </w:r>
      </w:hyperlink>
    </w:p>
    <w:p w14:paraId="3B188CA8" w14:textId="77777777" w:rsidR="00CF5505" w:rsidRDefault="00A52F18">
      <w:pPr>
        <w:pStyle w:val="TOC2"/>
        <w:rPr>
          <w:rFonts w:eastAsiaTheme="minorEastAsia" w:cstheme="minorBidi"/>
          <w:i w:val="0"/>
          <w:iCs w:val="0"/>
          <w:noProof/>
          <w:sz w:val="22"/>
          <w:szCs w:val="22"/>
          <w:lang w:val="en-AU"/>
        </w:rPr>
      </w:pPr>
      <w:hyperlink w:anchor="_Toc479082781" w:history="1">
        <w:r w:rsidR="00CF5505" w:rsidRPr="00730AC3">
          <w:rPr>
            <w:rStyle w:val="Hyperlink"/>
            <w:noProof/>
          </w:rPr>
          <w:t>4.3</w:t>
        </w:r>
        <w:r w:rsidR="00CF5505">
          <w:rPr>
            <w:rFonts w:eastAsiaTheme="minorEastAsia" w:cstheme="minorBidi"/>
            <w:i w:val="0"/>
            <w:iCs w:val="0"/>
            <w:noProof/>
            <w:sz w:val="22"/>
            <w:szCs w:val="22"/>
            <w:lang w:val="en-AU"/>
          </w:rPr>
          <w:tab/>
        </w:r>
        <w:r w:rsidR="00CF5505" w:rsidRPr="00730AC3">
          <w:rPr>
            <w:rStyle w:val="Hyperlink"/>
            <w:noProof/>
          </w:rPr>
          <w:t>Accessing long-term implanted drug delivery devices</w:t>
        </w:r>
        <w:r w:rsidR="00CF5505">
          <w:rPr>
            <w:noProof/>
            <w:webHidden/>
          </w:rPr>
          <w:tab/>
        </w:r>
        <w:r w:rsidR="00CF5505">
          <w:rPr>
            <w:noProof/>
            <w:webHidden/>
          </w:rPr>
          <w:fldChar w:fldCharType="begin"/>
        </w:r>
        <w:r w:rsidR="00CF5505">
          <w:rPr>
            <w:noProof/>
            <w:webHidden/>
          </w:rPr>
          <w:instrText xml:space="preserve"> PAGEREF _Toc479082781 \h </w:instrText>
        </w:r>
        <w:r w:rsidR="00CF5505">
          <w:rPr>
            <w:noProof/>
            <w:webHidden/>
          </w:rPr>
        </w:r>
        <w:r w:rsidR="00CF5505">
          <w:rPr>
            <w:noProof/>
            <w:webHidden/>
          </w:rPr>
          <w:fldChar w:fldCharType="separate"/>
        </w:r>
        <w:r w:rsidR="003274EF">
          <w:rPr>
            <w:noProof/>
            <w:webHidden/>
          </w:rPr>
          <w:t>27</w:t>
        </w:r>
        <w:r w:rsidR="00CF5505">
          <w:rPr>
            <w:noProof/>
            <w:webHidden/>
          </w:rPr>
          <w:fldChar w:fldCharType="end"/>
        </w:r>
      </w:hyperlink>
    </w:p>
    <w:p w14:paraId="37D8E545"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82" w:history="1">
        <w:r w:rsidR="00CF5505" w:rsidRPr="00730AC3">
          <w:rPr>
            <w:rStyle w:val="Hyperlink"/>
            <w:noProof/>
            <w:lang w:bidi="x-none"/>
            <w14:scene3d>
              <w14:camera w14:prst="orthographicFront"/>
              <w14:lightRig w14:rig="threePt" w14:dir="t">
                <w14:rot w14:lat="0" w14:lon="0" w14:rev="0"/>
              </w14:lightRig>
            </w14:scene3d>
          </w:rPr>
          <w:t>5.</w:t>
        </w:r>
        <w:r w:rsidR="00CF5505">
          <w:rPr>
            <w:rFonts w:eastAsiaTheme="minorEastAsia" w:cstheme="minorBidi"/>
            <w:b w:val="0"/>
            <w:bCs w:val="0"/>
            <w:noProof/>
            <w:sz w:val="22"/>
            <w:szCs w:val="22"/>
            <w:lang w:val="en-AU"/>
          </w:rPr>
          <w:tab/>
        </w:r>
        <w:r w:rsidR="00CF5505" w:rsidRPr="00730AC3">
          <w:rPr>
            <w:rStyle w:val="Hyperlink"/>
            <w:noProof/>
          </w:rPr>
          <w:t>Radiation oncology recommendations</w:t>
        </w:r>
        <w:r w:rsidR="00CF5505">
          <w:rPr>
            <w:noProof/>
            <w:webHidden/>
          </w:rPr>
          <w:tab/>
        </w:r>
        <w:r w:rsidR="00CF5505">
          <w:rPr>
            <w:noProof/>
            <w:webHidden/>
          </w:rPr>
          <w:fldChar w:fldCharType="begin"/>
        </w:r>
        <w:r w:rsidR="00CF5505">
          <w:rPr>
            <w:noProof/>
            <w:webHidden/>
          </w:rPr>
          <w:instrText xml:space="preserve"> PAGEREF _Toc479082782 \h </w:instrText>
        </w:r>
        <w:r w:rsidR="00CF5505">
          <w:rPr>
            <w:noProof/>
            <w:webHidden/>
          </w:rPr>
        </w:r>
        <w:r w:rsidR="00CF5505">
          <w:rPr>
            <w:noProof/>
            <w:webHidden/>
          </w:rPr>
          <w:fldChar w:fldCharType="separate"/>
        </w:r>
        <w:r w:rsidR="003274EF">
          <w:rPr>
            <w:noProof/>
            <w:webHidden/>
          </w:rPr>
          <w:t>30</w:t>
        </w:r>
        <w:r w:rsidR="00CF5505">
          <w:rPr>
            <w:noProof/>
            <w:webHidden/>
          </w:rPr>
          <w:fldChar w:fldCharType="end"/>
        </w:r>
      </w:hyperlink>
    </w:p>
    <w:p w14:paraId="16E0528C" w14:textId="77777777" w:rsidR="00CF5505" w:rsidRDefault="00A52F18">
      <w:pPr>
        <w:pStyle w:val="TOC2"/>
        <w:rPr>
          <w:rFonts w:eastAsiaTheme="minorEastAsia" w:cstheme="minorBidi"/>
          <w:i w:val="0"/>
          <w:iCs w:val="0"/>
          <w:noProof/>
          <w:sz w:val="22"/>
          <w:szCs w:val="22"/>
          <w:lang w:val="en-AU"/>
        </w:rPr>
      </w:pPr>
      <w:hyperlink w:anchor="_Toc479082783" w:history="1">
        <w:r w:rsidR="00CF5505" w:rsidRPr="00730AC3">
          <w:rPr>
            <w:rStyle w:val="Hyperlink"/>
            <w:noProof/>
          </w:rPr>
          <w:t>5.1</w:t>
        </w:r>
        <w:r w:rsidR="00CF5505">
          <w:rPr>
            <w:rFonts w:eastAsiaTheme="minorEastAsia" w:cstheme="minorBidi"/>
            <w:i w:val="0"/>
            <w:iCs w:val="0"/>
            <w:noProof/>
            <w:sz w:val="22"/>
            <w:szCs w:val="22"/>
            <w:lang w:val="en-AU"/>
          </w:rPr>
          <w:tab/>
        </w:r>
        <w:r w:rsidR="00CF5505" w:rsidRPr="00730AC3">
          <w:rPr>
            <w:rStyle w:val="Hyperlink"/>
            <w:noProof/>
          </w:rPr>
          <w:t>Radiation Oncology Working Group membership</w:t>
        </w:r>
        <w:r w:rsidR="00CF5505">
          <w:rPr>
            <w:noProof/>
            <w:webHidden/>
          </w:rPr>
          <w:tab/>
        </w:r>
        <w:r w:rsidR="00CF5505">
          <w:rPr>
            <w:noProof/>
            <w:webHidden/>
          </w:rPr>
          <w:fldChar w:fldCharType="begin"/>
        </w:r>
        <w:r w:rsidR="00CF5505">
          <w:rPr>
            <w:noProof/>
            <w:webHidden/>
          </w:rPr>
          <w:instrText xml:space="preserve"> PAGEREF _Toc479082783 \h </w:instrText>
        </w:r>
        <w:r w:rsidR="00CF5505">
          <w:rPr>
            <w:noProof/>
            <w:webHidden/>
          </w:rPr>
        </w:r>
        <w:r w:rsidR="00CF5505">
          <w:rPr>
            <w:noProof/>
            <w:webHidden/>
          </w:rPr>
          <w:fldChar w:fldCharType="separate"/>
        </w:r>
        <w:r w:rsidR="003274EF">
          <w:rPr>
            <w:noProof/>
            <w:webHidden/>
          </w:rPr>
          <w:t>30</w:t>
        </w:r>
        <w:r w:rsidR="00CF5505">
          <w:rPr>
            <w:noProof/>
            <w:webHidden/>
          </w:rPr>
          <w:fldChar w:fldCharType="end"/>
        </w:r>
      </w:hyperlink>
    </w:p>
    <w:p w14:paraId="36CB8D77" w14:textId="77777777" w:rsidR="00CF5505" w:rsidRDefault="00A52F18">
      <w:pPr>
        <w:pStyle w:val="TOC2"/>
        <w:rPr>
          <w:rFonts w:eastAsiaTheme="minorEastAsia" w:cstheme="minorBidi"/>
          <w:i w:val="0"/>
          <w:iCs w:val="0"/>
          <w:noProof/>
          <w:sz w:val="22"/>
          <w:szCs w:val="22"/>
          <w:lang w:val="en-AU"/>
        </w:rPr>
      </w:pPr>
      <w:hyperlink w:anchor="_Toc479082784" w:history="1">
        <w:r w:rsidR="00CF5505" w:rsidRPr="00730AC3">
          <w:rPr>
            <w:rStyle w:val="Hyperlink"/>
            <w:noProof/>
          </w:rPr>
          <w:t>5.2</w:t>
        </w:r>
        <w:r w:rsidR="00CF5505">
          <w:rPr>
            <w:rFonts w:eastAsiaTheme="minorEastAsia" w:cstheme="minorBidi"/>
            <w:i w:val="0"/>
            <w:iCs w:val="0"/>
            <w:noProof/>
            <w:sz w:val="22"/>
            <w:szCs w:val="22"/>
            <w:lang w:val="en-AU"/>
          </w:rPr>
          <w:tab/>
        </w:r>
        <w:r w:rsidR="00CF5505" w:rsidRPr="00730AC3">
          <w:rPr>
            <w:rStyle w:val="Hyperlink"/>
            <w:noProof/>
          </w:rPr>
          <w:t>Item overview</w:t>
        </w:r>
        <w:r w:rsidR="00CF5505">
          <w:rPr>
            <w:noProof/>
            <w:webHidden/>
          </w:rPr>
          <w:tab/>
        </w:r>
        <w:r w:rsidR="00CF5505">
          <w:rPr>
            <w:noProof/>
            <w:webHidden/>
          </w:rPr>
          <w:fldChar w:fldCharType="begin"/>
        </w:r>
        <w:r w:rsidR="00CF5505">
          <w:rPr>
            <w:noProof/>
            <w:webHidden/>
          </w:rPr>
          <w:instrText xml:space="preserve"> PAGEREF _Toc479082784 \h </w:instrText>
        </w:r>
        <w:r w:rsidR="00CF5505">
          <w:rPr>
            <w:noProof/>
            <w:webHidden/>
          </w:rPr>
        </w:r>
        <w:r w:rsidR="00CF5505">
          <w:rPr>
            <w:noProof/>
            <w:webHidden/>
          </w:rPr>
          <w:fldChar w:fldCharType="separate"/>
        </w:r>
        <w:r w:rsidR="003274EF">
          <w:rPr>
            <w:noProof/>
            <w:webHidden/>
          </w:rPr>
          <w:t>31</w:t>
        </w:r>
        <w:r w:rsidR="00CF5505">
          <w:rPr>
            <w:noProof/>
            <w:webHidden/>
          </w:rPr>
          <w:fldChar w:fldCharType="end"/>
        </w:r>
      </w:hyperlink>
    </w:p>
    <w:p w14:paraId="39FEE872" w14:textId="77777777" w:rsidR="00CF5505" w:rsidRDefault="00A52F18">
      <w:pPr>
        <w:pStyle w:val="TOC2"/>
        <w:rPr>
          <w:rFonts w:eastAsiaTheme="minorEastAsia" w:cstheme="minorBidi"/>
          <w:i w:val="0"/>
          <w:iCs w:val="0"/>
          <w:noProof/>
          <w:sz w:val="22"/>
          <w:szCs w:val="22"/>
          <w:lang w:val="en-AU"/>
        </w:rPr>
      </w:pPr>
      <w:hyperlink w:anchor="_Toc479082785" w:history="1">
        <w:r w:rsidR="00CF5505" w:rsidRPr="00730AC3">
          <w:rPr>
            <w:rStyle w:val="Hyperlink"/>
            <w:noProof/>
          </w:rPr>
          <w:t>5.3</w:t>
        </w:r>
        <w:r w:rsidR="00CF5505">
          <w:rPr>
            <w:rFonts w:eastAsiaTheme="minorEastAsia" w:cstheme="minorBidi"/>
            <w:i w:val="0"/>
            <w:iCs w:val="0"/>
            <w:noProof/>
            <w:sz w:val="22"/>
            <w:szCs w:val="22"/>
            <w:lang w:val="en-AU"/>
          </w:rPr>
          <w:tab/>
        </w:r>
        <w:r w:rsidR="00CF5505" w:rsidRPr="00730AC3">
          <w:rPr>
            <w:rStyle w:val="Hyperlink"/>
            <w:rFonts w:ascii="Calibri" w:hAnsi="Calibri"/>
            <w:noProof/>
          </w:rPr>
          <w:t>M</w:t>
        </w:r>
        <w:r w:rsidR="00CF5505" w:rsidRPr="00730AC3">
          <w:rPr>
            <w:rStyle w:val="Hyperlink"/>
            <w:noProof/>
          </w:rPr>
          <w:t>egavoltage radiation therapy</w:t>
        </w:r>
        <w:r w:rsidR="00CF5505">
          <w:rPr>
            <w:noProof/>
            <w:webHidden/>
          </w:rPr>
          <w:tab/>
        </w:r>
        <w:r w:rsidR="00CF5505">
          <w:rPr>
            <w:noProof/>
            <w:webHidden/>
          </w:rPr>
          <w:fldChar w:fldCharType="begin"/>
        </w:r>
        <w:r w:rsidR="00CF5505">
          <w:rPr>
            <w:noProof/>
            <w:webHidden/>
          </w:rPr>
          <w:instrText xml:space="preserve"> PAGEREF _Toc479082785 \h </w:instrText>
        </w:r>
        <w:r w:rsidR="00CF5505">
          <w:rPr>
            <w:noProof/>
            <w:webHidden/>
          </w:rPr>
        </w:r>
        <w:r w:rsidR="00CF5505">
          <w:rPr>
            <w:noProof/>
            <w:webHidden/>
          </w:rPr>
          <w:fldChar w:fldCharType="separate"/>
        </w:r>
        <w:r w:rsidR="003274EF">
          <w:rPr>
            <w:noProof/>
            <w:webHidden/>
          </w:rPr>
          <w:t>32</w:t>
        </w:r>
        <w:r w:rsidR="00CF5505">
          <w:rPr>
            <w:noProof/>
            <w:webHidden/>
          </w:rPr>
          <w:fldChar w:fldCharType="end"/>
        </w:r>
      </w:hyperlink>
    </w:p>
    <w:p w14:paraId="03282B91" w14:textId="77777777" w:rsidR="00CF5505" w:rsidRDefault="00A52F18">
      <w:pPr>
        <w:pStyle w:val="TOC3"/>
        <w:tabs>
          <w:tab w:val="left" w:pos="1474"/>
        </w:tabs>
        <w:rPr>
          <w:rFonts w:eastAsiaTheme="minorEastAsia" w:cstheme="minorBidi"/>
          <w:noProof/>
          <w:sz w:val="22"/>
          <w:szCs w:val="22"/>
          <w:lang w:val="en-AU"/>
        </w:rPr>
      </w:pPr>
      <w:hyperlink w:anchor="_Toc479082786" w:history="1">
        <w:r w:rsidR="00CF5505" w:rsidRPr="00730AC3">
          <w:rPr>
            <w:rStyle w:val="Hyperlink"/>
            <w:noProof/>
          </w:rPr>
          <w:t>5.3.1</w:t>
        </w:r>
        <w:r w:rsidR="00CF5505">
          <w:rPr>
            <w:rFonts w:eastAsiaTheme="minorEastAsia" w:cstheme="minorBidi"/>
            <w:noProof/>
            <w:sz w:val="22"/>
            <w:szCs w:val="22"/>
            <w:lang w:val="en-AU"/>
          </w:rPr>
          <w:tab/>
        </w:r>
        <w:r w:rsidR="00CF5505" w:rsidRPr="00730AC3">
          <w:rPr>
            <w:rStyle w:val="Hyperlink"/>
            <w:noProof/>
          </w:rPr>
          <w:t>Recommendation on restructuring into a two-part payment model, tiered by complexity</w:t>
        </w:r>
        <w:r w:rsidR="00CF5505">
          <w:rPr>
            <w:noProof/>
            <w:webHidden/>
          </w:rPr>
          <w:tab/>
        </w:r>
        <w:r w:rsidR="00CF5505">
          <w:rPr>
            <w:noProof/>
            <w:webHidden/>
          </w:rPr>
          <w:fldChar w:fldCharType="begin"/>
        </w:r>
        <w:r w:rsidR="00CF5505">
          <w:rPr>
            <w:noProof/>
            <w:webHidden/>
          </w:rPr>
          <w:instrText xml:space="preserve"> PAGEREF _Toc479082786 \h </w:instrText>
        </w:r>
        <w:r w:rsidR="00CF5505">
          <w:rPr>
            <w:noProof/>
            <w:webHidden/>
          </w:rPr>
        </w:r>
        <w:r w:rsidR="00CF5505">
          <w:rPr>
            <w:noProof/>
            <w:webHidden/>
          </w:rPr>
          <w:fldChar w:fldCharType="separate"/>
        </w:r>
        <w:r w:rsidR="003274EF">
          <w:rPr>
            <w:noProof/>
            <w:webHidden/>
          </w:rPr>
          <w:t>41</w:t>
        </w:r>
        <w:r w:rsidR="00CF5505">
          <w:rPr>
            <w:noProof/>
            <w:webHidden/>
          </w:rPr>
          <w:fldChar w:fldCharType="end"/>
        </w:r>
      </w:hyperlink>
    </w:p>
    <w:p w14:paraId="371C1E76" w14:textId="77777777" w:rsidR="00CF5505" w:rsidRDefault="00A52F18">
      <w:pPr>
        <w:pStyle w:val="TOC3"/>
        <w:tabs>
          <w:tab w:val="left" w:pos="1474"/>
        </w:tabs>
        <w:rPr>
          <w:rFonts w:eastAsiaTheme="minorEastAsia" w:cstheme="minorBidi"/>
          <w:noProof/>
          <w:sz w:val="22"/>
          <w:szCs w:val="22"/>
          <w:lang w:val="en-AU"/>
        </w:rPr>
      </w:pPr>
      <w:hyperlink w:anchor="_Toc479082787" w:history="1">
        <w:r w:rsidR="00CF5505" w:rsidRPr="00730AC3">
          <w:rPr>
            <w:rStyle w:val="Hyperlink"/>
            <w:noProof/>
          </w:rPr>
          <w:t>5.3.2</w:t>
        </w:r>
        <w:r w:rsidR="00CF5505">
          <w:rPr>
            <w:rFonts w:eastAsiaTheme="minorEastAsia" w:cstheme="minorBidi"/>
            <w:noProof/>
            <w:sz w:val="22"/>
            <w:szCs w:val="22"/>
            <w:lang w:val="en-AU"/>
          </w:rPr>
          <w:tab/>
        </w:r>
        <w:r w:rsidR="00CF5505" w:rsidRPr="00730AC3">
          <w:rPr>
            <w:rStyle w:val="Hyperlink"/>
            <w:noProof/>
          </w:rPr>
          <w:t>Recommendation on conducting a ‘dummy-billing’ modelling exercise prior to implementation</w:t>
        </w:r>
        <w:r w:rsidR="00CF5505">
          <w:rPr>
            <w:noProof/>
            <w:webHidden/>
          </w:rPr>
          <w:tab/>
        </w:r>
        <w:r w:rsidR="00CF5505">
          <w:rPr>
            <w:noProof/>
            <w:webHidden/>
          </w:rPr>
          <w:fldChar w:fldCharType="begin"/>
        </w:r>
        <w:r w:rsidR="00CF5505">
          <w:rPr>
            <w:noProof/>
            <w:webHidden/>
          </w:rPr>
          <w:instrText xml:space="preserve"> PAGEREF _Toc479082787 \h </w:instrText>
        </w:r>
        <w:r w:rsidR="00CF5505">
          <w:rPr>
            <w:noProof/>
            <w:webHidden/>
          </w:rPr>
        </w:r>
        <w:r w:rsidR="00CF5505">
          <w:rPr>
            <w:noProof/>
            <w:webHidden/>
          </w:rPr>
          <w:fldChar w:fldCharType="separate"/>
        </w:r>
        <w:r w:rsidR="003274EF">
          <w:rPr>
            <w:noProof/>
            <w:webHidden/>
          </w:rPr>
          <w:t>56</w:t>
        </w:r>
        <w:r w:rsidR="00CF5505">
          <w:rPr>
            <w:noProof/>
            <w:webHidden/>
          </w:rPr>
          <w:fldChar w:fldCharType="end"/>
        </w:r>
      </w:hyperlink>
    </w:p>
    <w:p w14:paraId="4CC964F8" w14:textId="77777777" w:rsidR="00CF5505" w:rsidRDefault="00A52F18">
      <w:pPr>
        <w:pStyle w:val="TOC2"/>
        <w:rPr>
          <w:rFonts w:eastAsiaTheme="minorEastAsia" w:cstheme="minorBidi"/>
          <w:i w:val="0"/>
          <w:iCs w:val="0"/>
          <w:noProof/>
          <w:sz w:val="22"/>
          <w:szCs w:val="22"/>
          <w:lang w:val="en-AU"/>
        </w:rPr>
      </w:pPr>
      <w:hyperlink w:anchor="_Toc479082788" w:history="1">
        <w:r w:rsidR="00CF5505" w:rsidRPr="00730AC3">
          <w:rPr>
            <w:rStyle w:val="Hyperlink"/>
            <w:noProof/>
          </w:rPr>
          <w:t>5.4</w:t>
        </w:r>
        <w:r w:rsidR="00CF5505">
          <w:rPr>
            <w:rFonts w:eastAsiaTheme="minorEastAsia" w:cstheme="minorBidi"/>
            <w:i w:val="0"/>
            <w:iCs w:val="0"/>
            <w:noProof/>
            <w:sz w:val="22"/>
            <w:szCs w:val="22"/>
            <w:lang w:val="en-AU"/>
          </w:rPr>
          <w:tab/>
        </w:r>
        <w:r w:rsidR="00CF5505" w:rsidRPr="00730AC3">
          <w:rPr>
            <w:rStyle w:val="Hyperlink"/>
            <w:noProof/>
          </w:rPr>
          <w:t>Kilovoltage radiation therapy</w:t>
        </w:r>
        <w:r w:rsidR="00CF5505">
          <w:rPr>
            <w:noProof/>
            <w:webHidden/>
          </w:rPr>
          <w:tab/>
        </w:r>
        <w:r w:rsidR="00CF5505">
          <w:rPr>
            <w:noProof/>
            <w:webHidden/>
          </w:rPr>
          <w:fldChar w:fldCharType="begin"/>
        </w:r>
        <w:r w:rsidR="00CF5505">
          <w:rPr>
            <w:noProof/>
            <w:webHidden/>
          </w:rPr>
          <w:instrText xml:space="preserve"> PAGEREF _Toc479082788 \h </w:instrText>
        </w:r>
        <w:r w:rsidR="00CF5505">
          <w:rPr>
            <w:noProof/>
            <w:webHidden/>
          </w:rPr>
        </w:r>
        <w:r w:rsidR="00CF5505">
          <w:rPr>
            <w:noProof/>
            <w:webHidden/>
          </w:rPr>
          <w:fldChar w:fldCharType="separate"/>
        </w:r>
        <w:r w:rsidR="003274EF">
          <w:rPr>
            <w:noProof/>
            <w:webHidden/>
          </w:rPr>
          <w:t>57</w:t>
        </w:r>
        <w:r w:rsidR="00CF5505">
          <w:rPr>
            <w:noProof/>
            <w:webHidden/>
          </w:rPr>
          <w:fldChar w:fldCharType="end"/>
        </w:r>
      </w:hyperlink>
    </w:p>
    <w:p w14:paraId="65334F3D" w14:textId="77777777" w:rsidR="00CF5505" w:rsidRDefault="00A52F18">
      <w:pPr>
        <w:pStyle w:val="TOC2"/>
        <w:rPr>
          <w:rFonts w:eastAsiaTheme="minorEastAsia" w:cstheme="minorBidi"/>
          <w:i w:val="0"/>
          <w:iCs w:val="0"/>
          <w:noProof/>
          <w:sz w:val="22"/>
          <w:szCs w:val="22"/>
          <w:lang w:val="en-AU"/>
        </w:rPr>
      </w:pPr>
      <w:hyperlink w:anchor="_Toc479082789" w:history="1">
        <w:r w:rsidR="00CF5505" w:rsidRPr="00730AC3">
          <w:rPr>
            <w:rStyle w:val="Hyperlink"/>
            <w:noProof/>
          </w:rPr>
          <w:t>5.5</w:t>
        </w:r>
        <w:r w:rsidR="00CF5505">
          <w:rPr>
            <w:rFonts w:eastAsiaTheme="minorEastAsia" w:cstheme="minorBidi"/>
            <w:i w:val="0"/>
            <w:iCs w:val="0"/>
            <w:noProof/>
            <w:sz w:val="22"/>
            <w:szCs w:val="22"/>
            <w:lang w:val="en-AU"/>
          </w:rPr>
          <w:tab/>
        </w:r>
        <w:r w:rsidR="00CF5505" w:rsidRPr="00730AC3">
          <w:rPr>
            <w:rStyle w:val="Hyperlink"/>
            <w:noProof/>
          </w:rPr>
          <w:t>Brachytherapy</w:t>
        </w:r>
        <w:r w:rsidR="00CF5505">
          <w:rPr>
            <w:noProof/>
            <w:webHidden/>
          </w:rPr>
          <w:tab/>
        </w:r>
        <w:r w:rsidR="00CF5505">
          <w:rPr>
            <w:noProof/>
            <w:webHidden/>
          </w:rPr>
          <w:fldChar w:fldCharType="begin"/>
        </w:r>
        <w:r w:rsidR="00CF5505">
          <w:rPr>
            <w:noProof/>
            <w:webHidden/>
          </w:rPr>
          <w:instrText xml:space="preserve"> PAGEREF _Toc479082789 \h </w:instrText>
        </w:r>
        <w:r w:rsidR="00CF5505">
          <w:rPr>
            <w:noProof/>
            <w:webHidden/>
          </w:rPr>
        </w:r>
        <w:r w:rsidR="00CF5505">
          <w:rPr>
            <w:noProof/>
            <w:webHidden/>
          </w:rPr>
          <w:fldChar w:fldCharType="separate"/>
        </w:r>
        <w:r w:rsidR="003274EF">
          <w:rPr>
            <w:noProof/>
            <w:webHidden/>
          </w:rPr>
          <w:t>60</w:t>
        </w:r>
        <w:r w:rsidR="00CF5505">
          <w:rPr>
            <w:noProof/>
            <w:webHidden/>
          </w:rPr>
          <w:fldChar w:fldCharType="end"/>
        </w:r>
      </w:hyperlink>
    </w:p>
    <w:p w14:paraId="7C73CC7F" w14:textId="77777777" w:rsidR="00CF5505" w:rsidRDefault="00A52F18">
      <w:pPr>
        <w:pStyle w:val="TOC3"/>
        <w:tabs>
          <w:tab w:val="left" w:pos="1474"/>
        </w:tabs>
        <w:rPr>
          <w:rFonts w:eastAsiaTheme="minorEastAsia" w:cstheme="minorBidi"/>
          <w:noProof/>
          <w:sz w:val="22"/>
          <w:szCs w:val="22"/>
          <w:lang w:val="en-AU"/>
        </w:rPr>
      </w:pPr>
      <w:hyperlink w:anchor="_Toc479082790" w:history="1">
        <w:r w:rsidR="00CF5505" w:rsidRPr="00730AC3">
          <w:rPr>
            <w:rStyle w:val="Hyperlink"/>
            <w:noProof/>
          </w:rPr>
          <w:t>5.5.1</w:t>
        </w:r>
        <w:r w:rsidR="00CF5505">
          <w:rPr>
            <w:rFonts w:eastAsiaTheme="minorEastAsia" w:cstheme="minorBidi"/>
            <w:noProof/>
            <w:sz w:val="22"/>
            <w:szCs w:val="22"/>
            <w:lang w:val="en-AU"/>
          </w:rPr>
          <w:tab/>
        </w:r>
        <w:r w:rsidR="00CF5505" w:rsidRPr="00730AC3">
          <w:rPr>
            <w:rStyle w:val="Hyperlink"/>
            <w:noProof/>
          </w:rPr>
          <w:t>Interim-state recommendation: Delete obsolete items and consolidate unnecessary distinctions between items</w:t>
        </w:r>
        <w:r w:rsidR="00CF5505">
          <w:rPr>
            <w:noProof/>
            <w:webHidden/>
          </w:rPr>
          <w:tab/>
        </w:r>
        <w:r w:rsidR="00CF5505">
          <w:rPr>
            <w:noProof/>
            <w:webHidden/>
          </w:rPr>
          <w:fldChar w:fldCharType="begin"/>
        </w:r>
        <w:r w:rsidR="00CF5505">
          <w:rPr>
            <w:noProof/>
            <w:webHidden/>
          </w:rPr>
          <w:instrText xml:space="preserve"> PAGEREF _Toc479082790 \h </w:instrText>
        </w:r>
        <w:r w:rsidR="00CF5505">
          <w:rPr>
            <w:noProof/>
            <w:webHidden/>
          </w:rPr>
        </w:r>
        <w:r w:rsidR="00CF5505">
          <w:rPr>
            <w:noProof/>
            <w:webHidden/>
          </w:rPr>
          <w:fldChar w:fldCharType="separate"/>
        </w:r>
        <w:r w:rsidR="003274EF">
          <w:rPr>
            <w:noProof/>
            <w:webHidden/>
          </w:rPr>
          <w:t>63</w:t>
        </w:r>
        <w:r w:rsidR="00CF5505">
          <w:rPr>
            <w:noProof/>
            <w:webHidden/>
          </w:rPr>
          <w:fldChar w:fldCharType="end"/>
        </w:r>
      </w:hyperlink>
    </w:p>
    <w:p w14:paraId="01790F37" w14:textId="77777777" w:rsidR="00CF5505" w:rsidRDefault="00A52F18">
      <w:pPr>
        <w:pStyle w:val="TOC3"/>
        <w:tabs>
          <w:tab w:val="left" w:pos="1474"/>
        </w:tabs>
        <w:rPr>
          <w:rFonts w:eastAsiaTheme="minorEastAsia" w:cstheme="minorBidi"/>
          <w:noProof/>
          <w:sz w:val="22"/>
          <w:szCs w:val="22"/>
          <w:lang w:val="en-AU"/>
        </w:rPr>
      </w:pPr>
      <w:hyperlink w:anchor="_Toc479082791" w:history="1">
        <w:r w:rsidR="00CF5505" w:rsidRPr="00730AC3">
          <w:rPr>
            <w:rStyle w:val="Hyperlink"/>
            <w:noProof/>
          </w:rPr>
          <w:t>5.5.2</w:t>
        </w:r>
        <w:r w:rsidR="00CF5505">
          <w:rPr>
            <w:rFonts w:eastAsiaTheme="minorEastAsia" w:cstheme="minorBidi"/>
            <w:noProof/>
            <w:sz w:val="22"/>
            <w:szCs w:val="22"/>
            <w:lang w:val="en-AU"/>
          </w:rPr>
          <w:tab/>
        </w:r>
        <w:r w:rsidR="00CF5505" w:rsidRPr="00730AC3">
          <w:rPr>
            <w:rStyle w:val="Hyperlink"/>
            <w:noProof/>
          </w:rPr>
          <w:t>End-state recommendation: Restructure remaining brachytherapy items into four items tiered by complexity level</w:t>
        </w:r>
        <w:r w:rsidR="00CF5505">
          <w:rPr>
            <w:noProof/>
            <w:webHidden/>
          </w:rPr>
          <w:tab/>
        </w:r>
        <w:r w:rsidR="00CF5505">
          <w:rPr>
            <w:noProof/>
            <w:webHidden/>
          </w:rPr>
          <w:fldChar w:fldCharType="begin"/>
        </w:r>
        <w:r w:rsidR="00CF5505">
          <w:rPr>
            <w:noProof/>
            <w:webHidden/>
          </w:rPr>
          <w:instrText xml:space="preserve"> PAGEREF _Toc479082791 \h </w:instrText>
        </w:r>
        <w:r w:rsidR="00CF5505">
          <w:rPr>
            <w:noProof/>
            <w:webHidden/>
          </w:rPr>
        </w:r>
        <w:r w:rsidR="00CF5505">
          <w:rPr>
            <w:noProof/>
            <w:webHidden/>
          </w:rPr>
          <w:fldChar w:fldCharType="separate"/>
        </w:r>
        <w:r w:rsidR="003274EF">
          <w:rPr>
            <w:noProof/>
            <w:webHidden/>
          </w:rPr>
          <w:t>65</w:t>
        </w:r>
        <w:r w:rsidR="00CF5505">
          <w:rPr>
            <w:noProof/>
            <w:webHidden/>
          </w:rPr>
          <w:fldChar w:fldCharType="end"/>
        </w:r>
      </w:hyperlink>
    </w:p>
    <w:p w14:paraId="1C4953D3" w14:textId="77777777" w:rsidR="00CF5505" w:rsidRDefault="00A52F18">
      <w:pPr>
        <w:pStyle w:val="TOC2"/>
        <w:rPr>
          <w:rFonts w:eastAsiaTheme="minorEastAsia" w:cstheme="minorBidi"/>
          <w:i w:val="0"/>
          <w:iCs w:val="0"/>
          <w:noProof/>
          <w:sz w:val="22"/>
          <w:szCs w:val="22"/>
          <w:lang w:val="en-AU"/>
        </w:rPr>
      </w:pPr>
      <w:hyperlink w:anchor="_Toc479082792" w:history="1">
        <w:r w:rsidR="00CF5505" w:rsidRPr="00730AC3">
          <w:rPr>
            <w:rStyle w:val="Hyperlink"/>
            <w:noProof/>
          </w:rPr>
          <w:t>5.6</w:t>
        </w:r>
        <w:r w:rsidR="00CF5505">
          <w:rPr>
            <w:rFonts w:eastAsiaTheme="minorEastAsia" w:cstheme="minorBidi"/>
            <w:i w:val="0"/>
            <w:iCs w:val="0"/>
            <w:noProof/>
            <w:sz w:val="22"/>
            <w:szCs w:val="22"/>
            <w:lang w:val="en-AU"/>
          </w:rPr>
          <w:tab/>
        </w:r>
        <w:r w:rsidR="00CF5505" w:rsidRPr="00730AC3">
          <w:rPr>
            <w:rStyle w:val="Hyperlink"/>
            <w:noProof/>
          </w:rPr>
          <w:t>Cobalt and caesium radiation therapy</w:t>
        </w:r>
        <w:r w:rsidR="00CF5505">
          <w:rPr>
            <w:noProof/>
            <w:webHidden/>
          </w:rPr>
          <w:tab/>
        </w:r>
        <w:r w:rsidR="00CF5505">
          <w:rPr>
            <w:noProof/>
            <w:webHidden/>
          </w:rPr>
          <w:fldChar w:fldCharType="begin"/>
        </w:r>
        <w:r w:rsidR="00CF5505">
          <w:rPr>
            <w:noProof/>
            <w:webHidden/>
          </w:rPr>
          <w:instrText xml:space="preserve"> PAGEREF _Toc479082792 \h </w:instrText>
        </w:r>
        <w:r w:rsidR="00CF5505">
          <w:rPr>
            <w:noProof/>
            <w:webHidden/>
          </w:rPr>
        </w:r>
        <w:r w:rsidR="00CF5505">
          <w:rPr>
            <w:noProof/>
            <w:webHidden/>
          </w:rPr>
          <w:fldChar w:fldCharType="separate"/>
        </w:r>
        <w:r w:rsidR="003274EF">
          <w:rPr>
            <w:noProof/>
            <w:webHidden/>
          </w:rPr>
          <w:t>72</w:t>
        </w:r>
        <w:r w:rsidR="00CF5505">
          <w:rPr>
            <w:noProof/>
            <w:webHidden/>
          </w:rPr>
          <w:fldChar w:fldCharType="end"/>
        </w:r>
      </w:hyperlink>
    </w:p>
    <w:p w14:paraId="44218AE3"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93" w:history="1">
        <w:r w:rsidR="00CF5505" w:rsidRPr="00730AC3">
          <w:rPr>
            <w:rStyle w:val="Hyperlink"/>
            <w:noProof/>
            <w:lang w:bidi="x-none"/>
            <w14:scene3d>
              <w14:camera w14:prst="orthographicFront"/>
              <w14:lightRig w14:rig="threePt" w14:dir="t">
                <w14:rot w14:lat="0" w14:lon="0" w14:rev="0"/>
              </w14:lightRig>
            </w14:scene3d>
          </w:rPr>
          <w:t>6.</w:t>
        </w:r>
        <w:r w:rsidR="00CF5505">
          <w:rPr>
            <w:rFonts w:eastAsiaTheme="minorEastAsia" w:cstheme="minorBidi"/>
            <w:b w:val="0"/>
            <w:bCs w:val="0"/>
            <w:noProof/>
            <w:sz w:val="22"/>
            <w:szCs w:val="22"/>
            <w:lang w:val="en-AU"/>
          </w:rPr>
          <w:tab/>
        </w:r>
        <w:r w:rsidR="00CF5505" w:rsidRPr="00730AC3">
          <w:rPr>
            <w:rStyle w:val="Hyperlink"/>
            <w:noProof/>
          </w:rPr>
          <w:t>Surgical and paediatric oncology recommendations</w:t>
        </w:r>
        <w:r w:rsidR="00CF5505">
          <w:rPr>
            <w:noProof/>
            <w:webHidden/>
          </w:rPr>
          <w:tab/>
        </w:r>
        <w:r w:rsidR="00CF5505">
          <w:rPr>
            <w:noProof/>
            <w:webHidden/>
          </w:rPr>
          <w:fldChar w:fldCharType="begin"/>
        </w:r>
        <w:r w:rsidR="00CF5505">
          <w:rPr>
            <w:noProof/>
            <w:webHidden/>
          </w:rPr>
          <w:instrText xml:space="preserve"> PAGEREF _Toc479082793 \h </w:instrText>
        </w:r>
        <w:r w:rsidR="00CF5505">
          <w:rPr>
            <w:noProof/>
            <w:webHidden/>
          </w:rPr>
        </w:r>
        <w:r w:rsidR="00CF5505">
          <w:rPr>
            <w:noProof/>
            <w:webHidden/>
          </w:rPr>
          <w:fldChar w:fldCharType="separate"/>
        </w:r>
        <w:r w:rsidR="003274EF">
          <w:rPr>
            <w:noProof/>
            <w:webHidden/>
          </w:rPr>
          <w:t>73</w:t>
        </w:r>
        <w:r w:rsidR="00CF5505">
          <w:rPr>
            <w:noProof/>
            <w:webHidden/>
          </w:rPr>
          <w:fldChar w:fldCharType="end"/>
        </w:r>
      </w:hyperlink>
    </w:p>
    <w:p w14:paraId="55DA0583" w14:textId="77777777" w:rsidR="00CF5505" w:rsidRDefault="00A52F18">
      <w:pPr>
        <w:pStyle w:val="TOC2"/>
        <w:rPr>
          <w:rFonts w:eastAsiaTheme="minorEastAsia" w:cstheme="minorBidi"/>
          <w:i w:val="0"/>
          <w:iCs w:val="0"/>
          <w:noProof/>
          <w:sz w:val="22"/>
          <w:szCs w:val="22"/>
          <w:lang w:val="en-AU"/>
        </w:rPr>
      </w:pPr>
      <w:hyperlink w:anchor="_Toc479082794" w:history="1">
        <w:r w:rsidR="00CF5505" w:rsidRPr="00730AC3">
          <w:rPr>
            <w:rStyle w:val="Hyperlink"/>
            <w:noProof/>
          </w:rPr>
          <w:t>6.1</w:t>
        </w:r>
        <w:r w:rsidR="00CF5505">
          <w:rPr>
            <w:rFonts w:eastAsiaTheme="minorEastAsia" w:cstheme="minorBidi"/>
            <w:i w:val="0"/>
            <w:iCs w:val="0"/>
            <w:noProof/>
            <w:sz w:val="22"/>
            <w:szCs w:val="22"/>
            <w:lang w:val="en-AU"/>
          </w:rPr>
          <w:tab/>
        </w:r>
        <w:r w:rsidR="00CF5505" w:rsidRPr="00730AC3">
          <w:rPr>
            <w:rStyle w:val="Hyperlink"/>
            <w:noProof/>
          </w:rPr>
          <w:t>Sentinel lymph node biopsy for breast cancer</w:t>
        </w:r>
        <w:r w:rsidR="00CF5505">
          <w:rPr>
            <w:noProof/>
            <w:webHidden/>
          </w:rPr>
          <w:tab/>
        </w:r>
        <w:r w:rsidR="00CF5505">
          <w:rPr>
            <w:noProof/>
            <w:webHidden/>
          </w:rPr>
          <w:fldChar w:fldCharType="begin"/>
        </w:r>
        <w:r w:rsidR="00CF5505">
          <w:rPr>
            <w:noProof/>
            <w:webHidden/>
          </w:rPr>
          <w:instrText xml:space="preserve"> PAGEREF _Toc479082794 \h </w:instrText>
        </w:r>
        <w:r w:rsidR="00CF5505">
          <w:rPr>
            <w:noProof/>
            <w:webHidden/>
          </w:rPr>
        </w:r>
        <w:r w:rsidR="00CF5505">
          <w:rPr>
            <w:noProof/>
            <w:webHidden/>
          </w:rPr>
          <w:fldChar w:fldCharType="separate"/>
        </w:r>
        <w:r w:rsidR="003274EF">
          <w:rPr>
            <w:noProof/>
            <w:webHidden/>
          </w:rPr>
          <w:t>73</w:t>
        </w:r>
        <w:r w:rsidR="00CF5505">
          <w:rPr>
            <w:noProof/>
            <w:webHidden/>
          </w:rPr>
          <w:fldChar w:fldCharType="end"/>
        </w:r>
      </w:hyperlink>
    </w:p>
    <w:p w14:paraId="2812490F" w14:textId="77777777" w:rsidR="00CF5505" w:rsidRDefault="00A52F18">
      <w:pPr>
        <w:pStyle w:val="TOC2"/>
        <w:rPr>
          <w:rFonts w:eastAsiaTheme="minorEastAsia" w:cstheme="minorBidi"/>
          <w:i w:val="0"/>
          <w:iCs w:val="0"/>
          <w:noProof/>
          <w:sz w:val="22"/>
          <w:szCs w:val="22"/>
          <w:lang w:val="en-AU"/>
        </w:rPr>
      </w:pPr>
      <w:hyperlink w:anchor="_Toc479082795" w:history="1">
        <w:r w:rsidR="00CF5505" w:rsidRPr="00730AC3">
          <w:rPr>
            <w:rStyle w:val="Hyperlink"/>
            <w:noProof/>
          </w:rPr>
          <w:t>6.2</w:t>
        </w:r>
        <w:r w:rsidR="00CF5505">
          <w:rPr>
            <w:rFonts w:eastAsiaTheme="minorEastAsia" w:cstheme="minorBidi"/>
            <w:i w:val="0"/>
            <w:iCs w:val="0"/>
            <w:noProof/>
            <w:sz w:val="22"/>
            <w:szCs w:val="22"/>
            <w:lang w:val="en-AU"/>
          </w:rPr>
          <w:tab/>
        </w:r>
        <w:r w:rsidR="00CF5505" w:rsidRPr="00730AC3">
          <w:rPr>
            <w:rStyle w:val="Hyperlink"/>
            <w:noProof/>
          </w:rPr>
          <w:t>Sentinel lymph node biopsy for melanoma</w:t>
        </w:r>
        <w:r w:rsidR="00CF5505">
          <w:rPr>
            <w:noProof/>
            <w:webHidden/>
          </w:rPr>
          <w:tab/>
        </w:r>
        <w:r w:rsidR="00CF5505">
          <w:rPr>
            <w:noProof/>
            <w:webHidden/>
          </w:rPr>
          <w:fldChar w:fldCharType="begin"/>
        </w:r>
        <w:r w:rsidR="00CF5505">
          <w:rPr>
            <w:noProof/>
            <w:webHidden/>
          </w:rPr>
          <w:instrText xml:space="preserve"> PAGEREF _Toc479082795 \h </w:instrText>
        </w:r>
        <w:r w:rsidR="00CF5505">
          <w:rPr>
            <w:noProof/>
            <w:webHidden/>
          </w:rPr>
        </w:r>
        <w:r w:rsidR="00CF5505">
          <w:rPr>
            <w:noProof/>
            <w:webHidden/>
          </w:rPr>
          <w:fldChar w:fldCharType="separate"/>
        </w:r>
        <w:r w:rsidR="003274EF">
          <w:rPr>
            <w:noProof/>
            <w:webHidden/>
          </w:rPr>
          <w:t>76</w:t>
        </w:r>
        <w:r w:rsidR="00CF5505">
          <w:rPr>
            <w:noProof/>
            <w:webHidden/>
          </w:rPr>
          <w:fldChar w:fldCharType="end"/>
        </w:r>
      </w:hyperlink>
    </w:p>
    <w:p w14:paraId="60898F73" w14:textId="77777777" w:rsidR="00CF5505" w:rsidRDefault="00A52F18">
      <w:pPr>
        <w:pStyle w:val="TOC2"/>
        <w:rPr>
          <w:rFonts w:eastAsiaTheme="minorEastAsia" w:cstheme="minorBidi"/>
          <w:i w:val="0"/>
          <w:iCs w:val="0"/>
          <w:noProof/>
          <w:sz w:val="22"/>
          <w:szCs w:val="22"/>
          <w:lang w:val="en-AU"/>
        </w:rPr>
      </w:pPr>
      <w:hyperlink w:anchor="_Toc479082796" w:history="1">
        <w:r w:rsidR="00CF5505" w:rsidRPr="00730AC3">
          <w:rPr>
            <w:rStyle w:val="Hyperlink"/>
            <w:noProof/>
          </w:rPr>
          <w:t>6.3</w:t>
        </w:r>
        <w:r w:rsidR="00CF5505">
          <w:rPr>
            <w:rFonts w:eastAsiaTheme="minorEastAsia" w:cstheme="minorBidi"/>
            <w:i w:val="0"/>
            <w:iCs w:val="0"/>
            <w:noProof/>
            <w:sz w:val="22"/>
            <w:szCs w:val="22"/>
            <w:lang w:val="en-AU"/>
          </w:rPr>
          <w:tab/>
        </w:r>
        <w:r w:rsidR="00CF5505" w:rsidRPr="00730AC3">
          <w:rPr>
            <w:rStyle w:val="Hyperlink"/>
            <w:noProof/>
          </w:rPr>
          <w:t>Paediatric cancer</w:t>
        </w:r>
        <w:r w:rsidR="00CF5505">
          <w:rPr>
            <w:noProof/>
            <w:webHidden/>
          </w:rPr>
          <w:tab/>
        </w:r>
        <w:r w:rsidR="00CF5505">
          <w:rPr>
            <w:noProof/>
            <w:webHidden/>
          </w:rPr>
          <w:fldChar w:fldCharType="begin"/>
        </w:r>
        <w:r w:rsidR="00CF5505">
          <w:rPr>
            <w:noProof/>
            <w:webHidden/>
          </w:rPr>
          <w:instrText xml:space="preserve"> PAGEREF _Toc479082796 \h </w:instrText>
        </w:r>
        <w:r w:rsidR="00CF5505">
          <w:rPr>
            <w:noProof/>
            <w:webHidden/>
          </w:rPr>
        </w:r>
        <w:r w:rsidR="00CF5505">
          <w:rPr>
            <w:noProof/>
            <w:webHidden/>
          </w:rPr>
          <w:fldChar w:fldCharType="separate"/>
        </w:r>
        <w:r w:rsidR="003274EF">
          <w:rPr>
            <w:noProof/>
            <w:webHidden/>
          </w:rPr>
          <w:t>77</w:t>
        </w:r>
        <w:r w:rsidR="00CF5505">
          <w:rPr>
            <w:noProof/>
            <w:webHidden/>
          </w:rPr>
          <w:fldChar w:fldCharType="end"/>
        </w:r>
      </w:hyperlink>
    </w:p>
    <w:p w14:paraId="1851282A"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97" w:history="1">
        <w:r w:rsidR="00CF5505" w:rsidRPr="00730AC3">
          <w:rPr>
            <w:rStyle w:val="Hyperlink"/>
            <w:noProof/>
            <w:lang w:bidi="x-none"/>
            <w14:scene3d>
              <w14:camera w14:prst="orthographicFront"/>
              <w14:lightRig w14:rig="threePt" w14:dir="t">
                <w14:rot w14:lat="0" w14:lon="0" w14:rev="0"/>
              </w14:lightRig>
            </w14:scene3d>
          </w:rPr>
          <w:t>7.</w:t>
        </w:r>
        <w:r w:rsidR="00CF5505">
          <w:rPr>
            <w:rFonts w:eastAsiaTheme="minorEastAsia" w:cstheme="minorBidi"/>
            <w:b w:val="0"/>
            <w:bCs w:val="0"/>
            <w:noProof/>
            <w:sz w:val="22"/>
            <w:szCs w:val="22"/>
            <w:lang w:val="en-AU"/>
          </w:rPr>
          <w:tab/>
        </w:r>
        <w:r w:rsidR="00CF5505" w:rsidRPr="00730AC3">
          <w:rPr>
            <w:rStyle w:val="Hyperlink"/>
            <w:noProof/>
          </w:rPr>
          <w:t>Stakeholder impact statement</w:t>
        </w:r>
        <w:r w:rsidR="00CF5505">
          <w:rPr>
            <w:noProof/>
            <w:webHidden/>
          </w:rPr>
          <w:tab/>
        </w:r>
        <w:r w:rsidR="00CF5505">
          <w:rPr>
            <w:noProof/>
            <w:webHidden/>
          </w:rPr>
          <w:fldChar w:fldCharType="begin"/>
        </w:r>
        <w:r w:rsidR="00CF5505">
          <w:rPr>
            <w:noProof/>
            <w:webHidden/>
          </w:rPr>
          <w:instrText xml:space="preserve"> PAGEREF _Toc479082797 \h </w:instrText>
        </w:r>
        <w:r w:rsidR="00CF5505">
          <w:rPr>
            <w:noProof/>
            <w:webHidden/>
          </w:rPr>
        </w:r>
        <w:r w:rsidR="00CF5505">
          <w:rPr>
            <w:noProof/>
            <w:webHidden/>
          </w:rPr>
          <w:fldChar w:fldCharType="separate"/>
        </w:r>
        <w:r w:rsidR="003274EF">
          <w:rPr>
            <w:noProof/>
            <w:webHidden/>
          </w:rPr>
          <w:t>78</w:t>
        </w:r>
        <w:r w:rsidR="00CF5505">
          <w:rPr>
            <w:noProof/>
            <w:webHidden/>
          </w:rPr>
          <w:fldChar w:fldCharType="end"/>
        </w:r>
      </w:hyperlink>
    </w:p>
    <w:p w14:paraId="7C7E909F"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798" w:history="1">
        <w:r w:rsidR="00CF5505" w:rsidRPr="00730AC3">
          <w:rPr>
            <w:rStyle w:val="Hyperlink"/>
            <w:noProof/>
            <w:lang w:bidi="x-none"/>
            <w14:scene3d>
              <w14:camera w14:prst="orthographicFront"/>
              <w14:lightRig w14:rig="threePt" w14:dir="t">
                <w14:rot w14:lat="0" w14:lon="0" w14:rev="0"/>
              </w14:lightRig>
            </w14:scene3d>
          </w:rPr>
          <w:t>8.</w:t>
        </w:r>
        <w:r w:rsidR="00CF5505">
          <w:rPr>
            <w:rFonts w:eastAsiaTheme="minorEastAsia" w:cstheme="minorBidi"/>
            <w:b w:val="0"/>
            <w:bCs w:val="0"/>
            <w:noProof/>
            <w:sz w:val="22"/>
            <w:szCs w:val="22"/>
            <w:lang w:val="en-AU"/>
          </w:rPr>
          <w:tab/>
        </w:r>
        <w:r w:rsidR="00CF5505" w:rsidRPr="00730AC3">
          <w:rPr>
            <w:rStyle w:val="Hyperlink"/>
            <w:noProof/>
          </w:rPr>
          <w:t>References</w:t>
        </w:r>
        <w:r w:rsidR="00CF5505">
          <w:rPr>
            <w:noProof/>
            <w:webHidden/>
          </w:rPr>
          <w:tab/>
        </w:r>
        <w:r w:rsidR="00CF5505">
          <w:rPr>
            <w:noProof/>
            <w:webHidden/>
          </w:rPr>
          <w:fldChar w:fldCharType="begin"/>
        </w:r>
        <w:r w:rsidR="00CF5505">
          <w:rPr>
            <w:noProof/>
            <w:webHidden/>
          </w:rPr>
          <w:instrText xml:space="preserve"> PAGEREF _Toc479082798 \h </w:instrText>
        </w:r>
        <w:r w:rsidR="00CF5505">
          <w:rPr>
            <w:noProof/>
            <w:webHidden/>
          </w:rPr>
        </w:r>
        <w:r w:rsidR="00CF5505">
          <w:rPr>
            <w:noProof/>
            <w:webHidden/>
          </w:rPr>
          <w:fldChar w:fldCharType="separate"/>
        </w:r>
        <w:r w:rsidR="003274EF">
          <w:rPr>
            <w:noProof/>
            <w:webHidden/>
          </w:rPr>
          <w:t>79</w:t>
        </w:r>
        <w:r w:rsidR="00CF5505">
          <w:rPr>
            <w:noProof/>
            <w:webHidden/>
          </w:rPr>
          <w:fldChar w:fldCharType="end"/>
        </w:r>
      </w:hyperlink>
    </w:p>
    <w:p w14:paraId="1E7F1AE6" w14:textId="77777777" w:rsidR="00CF5505" w:rsidRDefault="00A52F18">
      <w:pPr>
        <w:pStyle w:val="TOC1"/>
        <w:tabs>
          <w:tab w:val="left" w:pos="1474"/>
          <w:tab w:val="right" w:leader="dot" w:pos="9016"/>
        </w:tabs>
        <w:rPr>
          <w:rFonts w:eastAsiaTheme="minorEastAsia" w:cstheme="minorBidi"/>
          <w:b w:val="0"/>
          <w:bCs w:val="0"/>
          <w:noProof/>
          <w:sz w:val="22"/>
          <w:szCs w:val="22"/>
          <w:lang w:val="en-AU"/>
        </w:rPr>
      </w:pPr>
      <w:hyperlink w:anchor="_Toc479082799" w:history="1">
        <w:r w:rsidR="00CF5505" w:rsidRPr="00730AC3">
          <w:rPr>
            <w:rStyle w:val="Hyperlink"/>
            <w:noProof/>
            <w14:scene3d>
              <w14:camera w14:prst="orthographicFront"/>
              <w14:lightRig w14:rig="threePt" w14:dir="t">
                <w14:rot w14:lat="0" w14:lon="0" w14:rev="0"/>
              </w14:lightRig>
            </w14:scene3d>
          </w:rPr>
          <w:t>Appendix A</w:t>
        </w:r>
        <w:r w:rsidR="00CF5505">
          <w:rPr>
            <w:rFonts w:eastAsiaTheme="minorEastAsia" w:cstheme="minorBidi"/>
            <w:b w:val="0"/>
            <w:bCs w:val="0"/>
            <w:noProof/>
            <w:sz w:val="22"/>
            <w:szCs w:val="22"/>
            <w:lang w:val="en-AU"/>
          </w:rPr>
          <w:tab/>
        </w:r>
        <w:r w:rsidR="00CF5505" w:rsidRPr="00730AC3">
          <w:rPr>
            <w:rStyle w:val="Hyperlink"/>
            <w:noProof/>
          </w:rPr>
          <w:t>Index of items</w:t>
        </w:r>
        <w:r w:rsidR="00CF5505">
          <w:rPr>
            <w:noProof/>
            <w:webHidden/>
          </w:rPr>
          <w:tab/>
        </w:r>
        <w:r w:rsidR="00CF5505">
          <w:rPr>
            <w:noProof/>
            <w:webHidden/>
          </w:rPr>
          <w:fldChar w:fldCharType="begin"/>
        </w:r>
        <w:r w:rsidR="00CF5505">
          <w:rPr>
            <w:noProof/>
            <w:webHidden/>
          </w:rPr>
          <w:instrText xml:space="preserve"> PAGEREF _Toc479082799 \h </w:instrText>
        </w:r>
        <w:r w:rsidR="00CF5505">
          <w:rPr>
            <w:noProof/>
            <w:webHidden/>
          </w:rPr>
        </w:r>
        <w:r w:rsidR="00CF5505">
          <w:rPr>
            <w:noProof/>
            <w:webHidden/>
          </w:rPr>
          <w:fldChar w:fldCharType="separate"/>
        </w:r>
        <w:r w:rsidR="003274EF">
          <w:rPr>
            <w:noProof/>
            <w:webHidden/>
          </w:rPr>
          <w:t>80</w:t>
        </w:r>
        <w:r w:rsidR="00CF5505">
          <w:rPr>
            <w:noProof/>
            <w:webHidden/>
          </w:rPr>
          <w:fldChar w:fldCharType="end"/>
        </w:r>
      </w:hyperlink>
    </w:p>
    <w:p w14:paraId="0D37BC34" w14:textId="77777777" w:rsidR="00CF5505" w:rsidRDefault="00A52F18">
      <w:pPr>
        <w:pStyle w:val="TOC1"/>
        <w:tabs>
          <w:tab w:val="left" w:pos="1474"/>
          <w:tab w:val="right" w:leader="dot" w:pos="9016"/>
        </w:tabs>
        <w:rPr>
          <w:rFonts w:eastAsiaTheme="minorEastAsia" w:cstheme="minorBidi"/>
          <w:b w:val="0"/>
          <w:bCs w:val="0"/>
          <w:noProof/>
          <w:sz w:val="22"/>
          <w:szCs w:val="22"/>
          <w:lang w:val="en-AU"/>
        </w:rPr>
      </w:pPr>
      <w:hyperlink w:anchor="_Toc479082800" w:history="1">
        <w:r w:rsidR="00CF5505" w:rsidRPr="00730AC3">
          <w:rPr>
            <w:rStyle w:val="Hyperlink"/>
            <w:noProof/>
            <w14:scene3d>
              <w14:camera w14:prst="orthographicFront"/>
              <w14:lightRig w14:rig="threePt" w14:dir="t">
                <w14:rot w14:lat="0" w14:lon="0" w14:rev="0"/>
              </w14:lightRig>
            </w14:scene3d>
          </w:rPr>
          <w:t>Appendix B</w:t>
        </w:r>
        <w:r w:rsidR="00CF5505">
          <w:rPr>
            <w:rFonts w:eastAsiaTheme="minorEastAsia" w:cstheme="minorBidi"/>
            <w:b w:val="0"/>
            <w:bCs w:val="0"/>
            <w:noProof/>
            <w:sz w:val="22"/>
            <w:szCs w:val="22"/>
            <w:lang w:val="en-AU"/>
          </w:rPr>
          <w:tab/>
        </w:r>
        <w:r w:rsidR="00CF5505" w:rsidRPr="00730AC3">
          <w:rPr>
            <w:rStyle w:val="Hyperlink"/>
            <w:noProof/>
          </w:rPr>
          <w:t>Summary for consumers</w:t>
        </w:r>
        <w:r w:rsidR="00CF5505">
          <w:rPr>
            <w:noProof/>
            <w:webHidden/>
          </w:rPr>
          <w:tab/>
        </w:r>
        <w:r w:rsidR="00CF5505">
          <w:rPr>
            <w:noProof/>
            <w:webHidden/>
          </w:rPr>
          <w:fldChar w:fldCharType="begin"/>
        </w:r>
        <w:r w:rsidR="00CF5505">
          <w:rPr>
            <w:noProof/>
            <w:webHidden/>
          </w:rPr>
          <w:instrText xml:space="preserve"> PAGEREF _Toc479082800 \h </w:instrText>
        </w:r>
        <w:r w:rsidR="00CF5505">
          <w:rPr>
            <w:noProof/>
            <w:webHidden/>
          </w:rPr>
        </w:r>
        <w:r w:rsidR="00CF5505">
          <w:rPr>
            <w:noProof/>
            <w:webHidden/>
          </w:rPr>
          <w:fldChar w:fldCharType="separate"/>
        </w:r>
        <w:r w:rsidR="003274EF">
          <w:rPr>
            <w:noProof/>
            <w:webHidden/>
          </w:rPr>
          <w:t>83</w:t>
        </w:r>
        <w:r w:rsidR="00CF5505">
          <w:rPr>
            <w:noProof/>
            <w:webHidden/>
          </w:rPr>
          <w:fldChar w:fldCharType="end"/>
        </w:r>
      </w:hyperlink>
    </w:p>
    <w:p w14:paraId="2E3BD7C8" w14:textId="77777777" w:rsidR="00CF5505" w:rsidRDefault="00A52F18">
      <w:pPr>
        <w:pStyle w:val="TOC1"/>
        <w:tabs>
          <w:tab w:val="left" w:pos="1474"/>
          <w:tab w:val="right" w:leader="dot" w:pos="9016"/>
        </w:tabs>
        <w:rPr>
          <w:rFonts w:eastAsiaTheme="minorEastAsia" w:cstheme="minorBidi"/>
          <w:b w:val="0"/>
          <w:bCs w:val="0"/>
          <w:noProof/>
          <w:sz w:val="22"/>
          <w:szCs w:val="22"/>
          <w:lang w:val="en-AU"/>
        </w:rPr>
      </w:pPr>
      <w:hyperlink w:anchor="_Toc479082801" w:history="1">
        <w:r w:rsidR="00CF5505" w:rsidRPr="00730AC3">
          <w:rPr>
            <w:rStyle w:val="Hyperlink"/>
            <w:noProof/>
            <w14:scene3d>
              <w14:camera w14:prst="orthographicFront"/>
              <w14:lightRig w14:rig="threePt" w14:dir="t">
                <w14:rot w14:lat="0" w14:lon="0" w14:rev="0"/>
              </w14:lightRig>
            </w14:scene3d>
          </w:rPr>
          <w:t>Appendix C</w:t>
        </w:r>
        <w:r w:rsidR="00CF5505">
          <w:rPr>
            <w:rFonts w:eastAsiaTheme="minorEastAsia" w:cstheme="minorBidi"/>
            <w:b w:val="0"/>
            <w:bCs w:val="0"/>
            <w:noProof/>
            <w:sz w:val="22"/>
            <w:szCs w:val="22"/>
            <w:lang w:val="en-AU"/>
          </w:rPr>
          <w:tab/>
        </w:r>
        <w:r w:rsidR="00CF5505" w:rsidRPr="00730AC3">
          <w:rPr>
            <w:rStyle w:val="Hyperlink"/>
            <w:noProof/>
          </w:rPr>
          <w:t>Glossary</w:t>
        </w:r>
        <w:r w:rsidR="00CF5505">
          <w:rPr>
            <w:noProof/>
            <w:webHidden/>
          </w:rPr>
          <w:tab/>
        </w:r>
        <w:r w:rsidR="00CF5505">
          <w:rPr>
            <w:noProof/>
            <w:webHidden/>
          </w:rPr>
          <w:fldChar w:fldCharType="begin"/>
        </w:r>
        <w:r w:rsidR="00CF5505">
          <w:rPr>
            <w:noProof/>
            <w:webHidden/>
          </w:rPr>
          <w:instrText xml:space="preserve"> PAGEREF _Toc479082801 \h </w:instrText>
        </w:r>
        <w:r w:rsidR="00CF5505">
          <w:rPr>
            <w:noProof/>
            <w:webHidden/>
          </w:rPr>
        </w:r>
        <w:r w:rsidR="00CF5505">
          <w:rPr>
            <w:noProof/>
            <w:webHidden/>
          </w:rPr>
          <w:fldChar w:fldCharType="separate"/>
        </w:r>
        <w:r w:rsidR="003274EF">
          <w:rPr>
            <w:noProof/>
            <w:webHidden/>
          </w:rPr>
          <w:t>97</w:t>
        </w:r>
        <w:r w:rsidR="00CF5505">
          <w:rPr>
            <w:noProof/>
            <w:webHidden/>
          </w:rPr>
          <w:fldChar w:fldCharType="end"/>
        </w:r>
      </w:hyperlink>
    </w:p>
    <w:p w14:paraId="48D1D2AC" w14:textId="77777777" w:rsidR="00CF5505" w:rsidRDefault="00A52F18">
      <w:pPr>
        <w:pStyle w:val="TOC1"/>
        <w:tabs>
          <w:tab w:val="left" w:pos="1474"/>
          <w:tab w:val="right" w:leader="dot" w:pos="9016"/>
        </w:tabs>
        <w:rPr>
          <w:rFonts w:eastAsiaTheme="minorEastAsia" w:cstheme="minorBidi"/>
          <w:b w:val="0"/>
          <w:bCs w:val="0"/>
          <w:noProof/>
          <w:sz w:val="22"/>
          <w:szCs w:val="22"/>
          <w:lang w:val="en-AU"/>
        </w:rPr>
      </w:pPr>
      <w:hyperlink w:anchor="_Toc479082802" w:history="1">
        <w:r w:rsidR="00CF5505" w:rsidRPr="00730AC3">
          <w:rPr>
            <w:rStyle w:val="Hyperlink"/>
            <w:noProof/>
            <w14:scene3d>
              <w14:camera w14:prst="orthographicFront"/>
              <w14:lightRig w14:rig="threePt" w14:dir="t">
                <w14:rot w14:lat="0" w14:lon="0" w14:rev="0"/>
              </w14:lightRig>
            </w14:scene3d>
          </w:rPr>
          <w:t>Appendix D</w:t>
        </w:r>
        <w:r w:rsidR="00CF5505">
          <w:rPr>
            <w:rFonts w:eastAsiaTheme="minorEastAsia" w:cstheme="minorBidi"/>
            <w:b w:val="0"/>
            <w:bCs w:val="0"/>
            <w:noProof/>
            <w:sz w:val="22"/>
            <w:szCs w:val="22"/>
            <w:lang w:val="en-AU"/>
          </w:rPr>
          <w:tab/>
        </w:r>
        <w:r w:rsidR="00CF5505" w:rsidRPr="00730AC3">
          <w:rPr>
            <w:rStyle w:val="Hyperlink"/>
            <w:noProof/>
          </w:rPr>
          <w:t>Item statistics for financial year 2015/16</w:t>
        </w:r>
        <w:r w:rsidR="00CF5505">
          <w:rPr>
            <w:noProof/>
            <w:webHidden/>
          </w:rPr>
          <w:tab/>
        </w:r>
        <w:r w:rsidR="00CF5505">
          <w:rPr>
            <w:noProof/>
            <w:webHidden/>
          </w:rPr>
          <w:fldChar w:fldCharType="begin"/>
        </w:r>
        <w:r w:rsidR="00CF5505">
          <w:rPr>
            <w:noProof/>
            <w:webHidden/>
          </w:rPr>
          <w:instrText xml:space="preserve"> PAGEREF _Toc479082802 \h </w:instrText>
        </w:r>
        <w:r w:rsidR="00CF5505">
          <w:rPr>
            <w:noProof/>
            <w:webHidden/>
          </w:rPr>
        </w:r>
        <w:r w:rsidR="00CF5505">
          <w:rPr>
            <w:noProof/>
            <w:webHidden/>
          </w:rPr>
          <w:fldChar w:fldCharType="separate"/>
        </w:r>
        <w:r w:rsidR="003274EF">
          <w:rPr>
            <w:noProof/>
            <w:webHidden/>
          </w:rPr>
          <w:t>99</w:t>
        </w:r>
        <w:r w:rsidR="00CF5505">
          <w:rPr>
            <w:noProof/>
            <w:webHidden/>
          </w:rPr>
          <w:fldChar w:fldCharType="end"/>
        </w:r>
      </w:hyperlink>
    </w:p>
    <w:p w14:paraId="348BE11C" w14:textId="77777777" w:rsidR="00CF5505" w:rsidRDefault="00A52F18">
      <w:pPr>
        <w:pStyle w:val="TOC1"/>
        <w:tabs>
          <w:tab w:val="left" w:pos="1474"/>
          <w:tab w:val="right" w:leader="dot" w:pos="9016"/>
        </w:tabs>
        <w:rPr>
          <w:rFonts w:eastAsiaTheme="minorEastAsia" w:cstheme="minorBidi"/>
          <w:b w:val="0"/>
          <w:bCs w:val="0"/>
          <w:noProof/>
          <w:sz w:val="22"/>
          <w:szCs w:val="22"/>
          <w:lang w:val="en-AU"/>
        </w:rPr>
      </w:pPr>
      <w:hyperlink w:anchor="_Toc479082803" w:history="1">
        <w:r w:rsidR="00CF5505" w:rsidRPr="00730AC3">
          <w:rPr>
            <w:rStyle w:val="Hyperlink"/>
            <w:noProof/>
            <w14:scene3d>
              <w14:camera w14:prst="orthographicFront"/>
              <w14:lightRig w14:rig="threePt" w14:dir="t">
                <w14:rot w14:lat="0" w14:lon="0" w14:rev="0"/>
              </w14:lightRig>
            </w14:scene3d>
          </w:rPr>
          <w:t>Appendix E</w:t>
        </w:r>
        <w:r w:rsidR="00CF5505">
          <w:rPr>
            <w:rFonts w:eastAsiaTheme="minorEastAsia" w:cstheme="minorBidi"/>
            <w:b w:val="0"/>
            <w:bCs w:val="0"/>
            <w:noProof/>
            <w:sz w:val="22"/>
            <w:szCs w:val="22"/>
            <w:lang w:val="en-AU"/>
          </w:rPr>
          <w:tab/>
        </w:r>
        <w:r w:rsidR="00CF5505" w:rsidRPr="00730AC3">
          <w:rPr>
            <w:rStyle w:val="Hyperlink"/>
            <w:noProof/>
          </w:rPr>
          <w:t>Relationship between the proposed changes to medical oncology items and private health insurance arrangements</w:t>
        </w:r>
        <w:r w:rsidR="00CF5505">
          <w:rPr>
            <w:noProof/>
            <w:webHidden/>
          </w:rPr>
          <w:tab/>
        </w:r>
        <w:r w:rsidR="00CF5505">
          <w:rPr>
            <w:noProof/>
            <w:webHidden/>
          </w:rPr>
          <w:fldChar w:fldCharType="begin"/>
        </w:r>
        <w:r w:rsidR="00CF5505">
          <w:rPr>
            <w:noProof/>
            <w:webHidden/>
          </w:rPr>
          <w:instrText xml:space="preserve"> PAGEREF _Toc479082803 \h </w:instrText>
        </w:r>
        <w:r w:rsidR="00CF5505">
          <w:rPr>
            <w:noProof/>
            <w:webHidden/>
          </w:rPr>
        </w:r>
        <w:r w:rsidR="00CF5505">
          <w:rPr>
            <w:noProof/>
            <w:webHidden/>
          </w:rPr>
          <w:fldChar w:fldCharType="separate"/>
        </w:r>
        <w:r w:rsidR="003274EF">
          <w:rPr>
            <w:noProof/>
            <w:webHidden/>
          </w:rPr>
          <w:t>103</w:t>
        </w:r>
        <w:r w:rsidR="00CF5505">
          <w:rPr>
            <w:noProof/>
            <w:webHidden/>
          </w:rPr>
          <w:fldChar w:fldCharType="end"/>
        </w:r>
      </w:hyperlink>
    </w:p>
    <w:p w14:paraId="7547B3BA" w14:textId="77777777" w:rsidR="00CF5505" w:rsidRDefault="00A52F18">
      <w:pPr>
        <w:pStyle w:val="TOC1"/>
        <w:tabs>
          <w:tab w:val="right" w:leader="dot" w:pos="9016"/>
        </w:tabs>
        <w:rPr>
          <w:rFonts w:eastAsiaTheme="minorEastAsia" w:cstheme="minorBidi"/>
          <w:b w:val="0"/>
          <w:bCs w:val="0"/>
          <w:noProof/>
          <w:sz w:val="22"/>
          <w:szCs w:val="22"/>
          <w:lang w:val="en-AU"/>
        </w:rPr>
      </w:pPr>
      <w:hyperlink w:anchor="_Toc479082804" w:history="1">
        <w:r w:rsidR="00CF5505" w:rsidRPr="00730AC3">
          <w:rPr>
            <w:rStyle w:val="Hyperlink"/>
            <w:noProof/>
          </w:rPr>
          <w:t>ATTACHMENT A - Requests to other Clinical Committees  [NOT FOR PUBLIC CONSULTATION]</w:t>
        </w:r>
        <w:r w:rsidR="00CF5505">
          <w:rPr>
            <w:noProof/>
            <w:webHidden/>
          </w:rPr>
          <w:tab/>
        </w:r>
        <w:r w:rsidR="00CF5505">
          <w:rPr>
            <w:noProof/>
            <w:webHidden/>
          </w:rPr>
          <w:fldChar w:fldCharType="begin"/>
        </w:r>
        <w:r w:rsidR="00CF5505">
          <w:rPr>
            <w:noProof/>
            <w:webHidden/>
          </w:rPr>
          <w:instrText xml:space="preserve"> PAGEREF _Toc479082804 \h </w:instrText>
        </w:r>
        <w:r w:rsidR="00CF5505">
          <w:rPr>
            <w:noProof/>
            <w:webHidden/>
          </w:rPr>
        </w:r>
        <w:r w:rsidR="00CF5505">
          <w:rPr>
            <w:noProof/>
            <w:webHidden/>
          </w:rPr>
          <w:fldChar w:fldCharType="separate"/>
        </w:r>
        <w:r w:rsidR="003274EF">
          <w:rPr>
            <w:noProof/>
            <w:webHidden/>
          </w:rPr>
          <w:t>106</w:t>
        </w:r>
        <w:r w:rsidR="00CF5505">
          <w:rPr>
            <w:noProof/>
            <w:webHidden/>
          </w:rPr>
          <w:fldChar w:fldCharType="end"/>
        </w:r>
      </w:hyperlink>
    </w:p>
    <w:p w14:paraId="5AC6EE7D" w14:textId="77777777" w:rsidR="00CF5505" w:rsidRDefault="00A52F18">
      <w:pPr>
        <w:pStyle w:val="TOC2"/>
        <w:rPr>
          <w:rFonts w:eastAsiaTheme="minorEastAsia" w:cstheme="minorBidi"/>
          <w:i w:val="0"/>
          <w:iCs w:val="0"/>
          <w:noProof/>
          <w:sz w:val="22"/>
          <w:szCs w:val="22"/>
          <w:lang w:val="en-AU"/>
        </w:rPr>
      </w:pPr>
      <w:hyperlink w:anchor="_Toc479082805" w:history="1">
        <w:r w:rsidR="00CF5505" w:rsidRPr="00730AC3">
          <w:rPr>
            <w:rStyle w:val="Hyperlink"/>
            <w:noProof/>
          </w:rPr>
          <w:t>A. Cancer care case conferences</w:t>
        </w:r>
        <w:r w:rsidR="00CF5505">
          <w:rPr>
            <w:noProof/>
            <w:webHidden/>
          </w:rPr>
          <w:tab/>
        </w:r>
        <w:r w:rsidR="00CF5505">
          <w:rPr>
            <w:noProof/>
            <w:webHidden/>
          </w:rPr>
          <w:fldChar w:fldCharType="begin"/>
        </w:r>
        <w:r w:rsidR="00CF5505">
          <w:rPr>
            <w:noProof/>
            <w:webHidden/>
          </w:rPr>
          <w:instrText xml:space="preserve"> PAGEREF _Toc479082805 \h </w:instrText>
        </w:r>
        <w:r w:rsidR="00CF5505">
          <w:rPr>
            <w:noProof/>
            <w:webHidden/>
          </w:rPr>
        </w:r>
        <w:r w:rsidR="00CF5505">
          <w:rPr>
            <w:noProof/>
            <w:webHidden/>
          </w:rPr>
          <w:fldChar w:fldCharType="separate"/>
        </w:r>
        <w:r w:rsidR="003274EF">
          <w:rPr>
            <w:noProof/>
            <w:webHidden/>
          </w:rPr>
          <w:t>106</w:t>
        </w:r>
        <w:r w:rsidR="00CF5505">
          <w:rPr>
            <w:noProof/>
            <w:webHidden/>
          </w:rPr>
          <w:fldChar w:fldCharType="end"/>
        </w:r>
      </w:hyperlink>
    </w:p>
    <w:p w14:paraId="1CB81E6F" w14:textId="77777777" w:rsidR="00CF5505" w:rsidRDefault="00A52F18">
      <w:pPr>
        <w:pStyle w:val="TOC2"/>
        <w:rPr>
          <w:rFonts w:eastAsiaTheme="minorEastAsia" w:cstheme="minorBidi"/>
          <w:i w:val="0"/>
          <w:iCs w:val="0"/>
          <w:noProof/>
          <w:sz w:val="22"/>
          <w:szCs w:val="22"/>
          <w:lang w:val="en-AU"/>
        </w:rPr>
      </w:pPr>
      <w:hyperlink w:anchor="_Toc479082806" w:history="1">
        <w:r w:rsidR="00CF5505" w:rsidRPr="00730AC3">
          <w:rPr>
            <w:rStyle w:val="Hyperlink"/>
            <w:noProof/>
          </w:rPr>
          <w:t>B. Pathology for rare cancer</w:t>
        </w:r>
        <w:r w:rsidR="00CF5505">
          <w:rPr>
            <w:noProof/>
            <w:webHidden/>
          </w:rPr>
          <w:tab/>
        </w:r>
        <w:r w:rsidR="00CF5505">
          <w:rPr>
            <w:noProof/>
            <w:webHidden/>
          </w:rPr>
          <w:fldChar w:fldCharType="begin"/>
        </w:r>
        <w:r w:rsidR="00CF5505">
          <w:rPr>
            <w:noProof/>
            <w:webHidden/>
          </w:rPr>
          <w:instrText xml:space="preserve"> PAGEREF _Toc479082806 \h </w:instrText>
        </w:r>
        <w:r w:rsidR="00CF5505">
          <w:rPr>
            <w:noProof/>
            <w:webHidden/>
          </w:rPr>
        </w:r>
        <w:r w:rsidR="00CF5505">
          <w:rPr>
            <w:noProof/>
            <w:webHidden/>
          </w:rPr>
          <w:fldChar w:fldCharType="separate"/>
        </w:r>
        <w:r w:rsidR="003274EF">
          <w:rPr>
            <w:noProof/>
            <w:webHidden/>
          </w:rPr>
          <w:t>109</w:t>
        </w:r>
        <w:r w:rsidR="00CF5505">
          <w:rPr>
            <w:noProof/>
            <w:webHidden/>
          </w:rPr>
          <w:fldChar w:fldCharType="end"/>
        </w:r>
      </w:hyperlink>
    </w:p>
    <w:p w14:paraId="5E7446D0" w14:textId="77777777" w:rsidR="00CF5505" w:rsidRDefault="00A52F18">
      <w:pPr>
        <w:pStyle w:val="TOC2"/>
        <w:rPr>
          <w:rFonts w:eastAsiaTheme="minorEastAsia" w:cstheme="minorBidi"/>
          <w:i w:val="0"/>
          <w:iCs w:val="0"/>
          <w:noProof/>
          <w:sz w:val="22"/>
          <w:szCs w:val="22"/>
          <w:lang w:val="en-AU"/>
        </w:rPr>
      </w:pPr>
      <w:hyperlink w:anchor="_Toc479082807" w:history="1">
        <w:r w:rsidR="00CF5505" w:rsidRPr="00730AC3">
          <w:rPr>
            <w:rStyle w:val="Hyperlink"/>
            <w:noProof/>
          </w:rPr>
          <w:t>C. Diagnostic imaging for cancer</w:t>
        </w:r>
        <w:r w:rsidR="00CF5505">
          <w:rPr>
            <w:noProof/>
            <w:webHidden/>
          </w:rPr>
          <w:tab/>
        </w:r>
        <w:r w:rsidR="00CF5505">
          <w:rPr>
            <w:noProof/>
            <w:webHidden/>
          </w:rPr>
          <w:fldChar w:fldCharType="begin"/>
        </w:r>
        <w:r w:rsidR="00CF5505">
          <w:rPr>
            <w:noProof/>
            <w:webHidden/>
          </w:rPr>
          <w:instrText xml:space="preserve"> PAGEREF _Toc479082807 \h </w:instrText>
        </w:r>
        <w:r w:rsidR="00CF5505">
          <w:rPr>
            <w:noProof/>
            <w:webHidden/>
          </w:rPr>
        </w:r>
        <w:r w:rsidR="00CF5505">
          <w:rPr>
            <w:noProof/>
            <w:webHidden/>
          </w:rPr>
          <w:fldChar w:fldCharType="separate"/>
        </w:r>
        <w:r w:rsidR="003274EF">
          <w:rPr>
            <w:noProof/>
            <w:webHidden/>
          </w:rPr>
          <w:t>110</w:t>
        </w:r>
        <w:r w:rsidR="00CF5505">
          <w:rPr>
            <w:noProof/>
            <w:webHidden/>
          </w:rPr>
          <w:fldChar w:fldCharType="end"/>
        </w:r>
      </w:hyperlink>
    </w:p>
    <w:p w14:paraId="0AA90D21" w14:textId="77777777" w:rsidR="00DF2D9E" w:rsidRPr="002836EB" w:rsidRDefault="00A5097F" w:rsidP="00082595">
      <w:r w:rsidRPr="002836EB">
        <w:fldChar w:fldCharType="end"/>
      </w:r>
    </w:p>
    <w:p w14:paraId="126962AA" w14:textId="77777777" w:rsidR="00CA1431" w:rsidRPr="002836EB" w:rsidRDefault="00CA1431">
      <w:pPr>
        <w:spacing w:before="0" w:after="0"/>
        <w:rPr>
          <w:b/>
          <w:color w:val="01653F"/>
          <w:sz w:val="32"/>
        </w:rPr>
      </w:pPr>
      <w:r w:rsidRPr="002836EB">
        <w:rPr>
          <w:b/>
          <w:color w:val="01653F"/>
          <w:sz w:val="32"/>
        </w:rPr>
        <w:br w:type="page"/>
      </w:r>
    </w:p>
    <w:p w14:paraId="6FFAC5A8" w14:textId="77777777" w:rsidR="00836B2A" w:rsidRPr="002836EB" w:rsidRDefault="00836B2A" w:rsidP="00082595">
      <w:pPr>
        <w:rPr>
          <w:b/>
          <w:color w:val="01653F"/>
          <w:sz w:val="32"/>
        </w:rPr>
      </w:pPr>
      <w:r w:rsidRPr="002836EB">
        <w:rPr>
          <w:b/>
          <w:color w:val="01653F"/>
          <w:sz w:val="32"/>
        </w:rPr>
        <w:lastRenderedPageBreak/>
        <w:t>Tables</w:t>
      </w:r>
    </w:p>
    <w:p w14:paraId="1F88F1FE" w14:textId="77777777" w:rsidR="00CF5505" w:rsidRDefault="004177E1">
      <w:pPr>
        <w:pStyle w:val="TableofFigures"/>
        <w:tabs>
          <w:tab w:val="right" w:leader="dot" w:pos="9016"/>
        </w:tabs>
        <w:rPr>
          <w:rFonts w:eastAsiaTheme="minorEastAsia" w:cstheme="minorBidi"/>
          <w:bCs w:val="0"/>
          <w:noProof/>
          <w:sz w:val="22"/>
          <w:szCs w:val="22"/>
          <w:lang w:val="en-AU"/>
        </w:rPr>
      </w:pPr>
      <w:r w:rsidRPr="002836EB">
        <w:fldChar w:fldCharType="begin"/>
      </w:r>
      <w:r w:rsidRPr="002836EB">
        <w:instrText xml:space="preserve"> TOC \h \z \c "Table" </w:instrText>
      </w:r>
      <w:r w:rsidRPr="002836EB">
        <w:fldChar w:fldCharType="separate"/>
      </w:r>
      <w:hyperlink w:anchor="_Toc479082808" w:history="1">
        <w:r w:rsidR="00CF5505" w:rsidRPr="00F367C3">
          <w:rPr>
            <w:rStyle w:val="Hyperlink"/>
            <w:noProof/>
          </w:rPr>
          <w:t>Table 1: Oncology Clinical Committee members</w:t>
        </w:r>
        <w:r w:rsidR="00CF5505">
          <w:rPr>
            <w:noProof/>
            <w:webHidden/>
          </w:rPr>
          <w:tab/>
        </w:r>
        <w:r w:rsidR="00CF5505">
          <w:rPr>
            <w:noProof/>
            <w:webHidden/>
          </w:rPr>
          <w:fldChar w:fldCharType="begin"/>
        </w:r>
        <w:r w:rsidR="00CF5505">
          <w:rPr>
            <w:noProof/>
            <w:webHidden/>
          </w:rPr>
          <w:instrText xml:space="preserve"> PAGEREF _Toc479082808 \h </w:instrText>
        </w:r>
        <w:r w:rsidR="00CF5505">
          <w:rPr>
            <w:noProof/>
            <w:webHidden/>
          </w:rPr>
        </w:r>
        <w:r w:rsidR="00CF5505">
          <w:rPr>
            <w:noProof/>
            <w:webHidden/>
          </w:rPr>
          <w:fldChar w:fldCharType="separate"/>
        </w:r>
        <w:r w:rsidR="003274EF">
          <w:rPr>
            <w:noProof/>
            <w:webHidden/>
          </w:rPr>
          <w:t>15</w:t>
        </w:r>
        <w:r w:rsidR="00CF5505">
          <w:rPr>
            <w:noProof/>
            <w:webHidden/>
          </w:rPr>
          <w:fldChar w:fldCharType="end"/>
        </w:r>
      </w:hyperlink>
    </w:p>
    <w:p w14:paraId="63B84EA6"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09" w:history="1">
        <w:r w:rsidR="00CF5505" w:rsidRPr="00F367C3">
          <w:rPr>
            <w:rStyle w:val="Hyperlink"/>
            <w:noProof/>
          </w:rPr>
          <w:t>Table 2: Medical Oncology Working Group (MOWG) members</w:t>
        </w:r>
        <w:r w:rsidR="00CF5505">
          <w:rPr>
            <w:noProof/>
            <w:webHidden/>
          </w:rPr>
          <w:tab/>
        </w:r>
        <w:r w:rsidR="00CF5505">
          <w:rPr>
            <w:noProof/>
            <w:webHidden/>
          </w:rPr>
          <w:fldChar w:fldCharType="begin"/>
        </w:r>
        <w:r w:rsidR="00CF5505">
          <w:rPr>
            <w:noProof/>
            <w:webHidden/>
          </w:rPr>
          <w:instrText xml:space="preserve"> PAGEREF _Toc479082809 \h </w:instrText>
        </w:r>
        <w:r w:rsidR="00CF5505">
          <w:rPr>
            <w:noProof/>
            <w:webHidden/>
          </w:rPr>
        </w:r>
        <w:r w:rsidR="00CF5505">
          <w:rPr>
            <w:noProof/>
            <w:webHidden/>
          </w:rPr>
          <w:fldChar w:fldCharType="separate"/>
        </w:r>
        <w:r w:rsidR="003274EF">
          <w:rPr>
            <w:noProof/>
            <w:webHidden/>
          </w:rPr>
          <w:t>20</w:t>
        </w:r>
        <w:r w:rsidR="00CF5505">
          <w:rPr>
            <w:noProof/>
            <w:webHidden/>
          </w:rPr>
          <w:fldChar w:fldCharType="end"/>
        </w:r>
      </w:hyperlink>
    </w:p>
    <w:p w14:paraId="30AE2B0B"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0" w:history="1">
        <w:r w:rsidR="00CF5505" w:rsidRPr="00F367C3">
          <w:rPr>
            <w:rStyle w:val="Hyperlink"/>
            <w:noProof/>
          </w:rPr>
          <w:t>Table 3: Item introduction table for items 13915–13942 and item 13948</w:t>
        </w:r>
        <w:r w:rsidR="00CF5505">
          <w:rPr>
            <w:noProof/>
            <w:webHidden/>
          </w:rPr>
          <w:tab/>
        </w:r>
        <w:r w:rsidR="00CF5505">
          <w:rPr>
            <w:noProof/>
            <w:webHidden/>
          </w:rPr>
          <w:fldChar w:fldCharType="begin"/>
        </w:r>
        <w:r w:rsidR="00CF5505">
          <w:rPr>
            <w:noProof/>
            <w:webHidden/>
          </w:rPr>
          <w:instrText xml:space="preserve"> PAGEREF _Toc479082810 \h </w:instrText>
        </w:r>
        <w:r w:rsidR="00CF5505">
          <w:rPr>
            <w:noProof/>
            <w:webHidden/>
          </w:rPr>
        </w:r>
        <w:r w:rsidR="00CF5505">
          <w:rPr>
            <w:noProof/>
            <w:webHidden/>
          </w:rPr>
          <w:fldChar w:fldCharType="separate"/>
        </w:r>
        <w:r w:rsidR="003274EF">
          <w:rPr>
            <w:noProof/>
            <w:webHidden/>
          </w:rPr>
          <w:t>21</w:t>
        </w:r>
        <w:r w:rsidR="00CF5505">
          <w:rPr>
            <w:noProof/>
            <w:webHidden/>
          </w:rPr>
          <w:fldChar w:fldCharType="end"/>
        </w:r>
      </w:hyperlink>
    </w:p>
    <w:p w14:paraId="24B61EB0"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1" w:history="1">
        <w:r w:rsidR="00CF5505" w:rsidRPr="00F367C3">
          <w:rPr>
            <w:rStyle w:val="Hyperlink"/>
            <w:noProof/>
          </w:rPr>
          <w:t>Table 4: Item introduction table for items 13945 and 14221</w:t>
        </w:r>
        <w:r w:rsidR="00CF5505">
          <w:rPr>
            <w:noProof/>
            <w:webHidden/>
          </w:rPr>
          <w:tab/>
        </w:r>
        <w:r w:rsidR="00CF5505">
          <w:rPr>
            <w:noProof/>
            <w:webHidden/>
          </w:rPr>
          <w:fldChar w:fldCharType="begin"/>
        </w:r>
        <w:r w:rsidR="00CF5505">
          <w:rPr>
            <w:noProof/>
            <w:webHidden/>
          </w:rPr>
          <w:instrText xml:space="preserve"> PAGEREF _Toc479082811 \h </w:instrText>
        </w:r>
        <w:r w:rsidR="00CF5505">
          <w:rPr>
            <w:noProof/>
            <w:webHidden/>
          </w:rPr>
        </w:r>
        <w:r w:rsidR="00CF5505">
          <w:rPr>
            <w:noProof/>
            <w:webHidden/>
          </w:rPr>
          <w:fldChar w:fldCharType="separate"/>
        </w:r>
        <w:r w:rsidR="003274EF">
          <w:rPr>
            <w:noProof/>
            <w:webHidden/>
          </w:rPr>
          <w:t>27</w:t>
        </w:r>
        <w:r w:rsidR="00CF5505">
          <w:rPr>
            <w:noProof/>
            <w:webHidden/>
          </w:rPr>
          <w:fldChar w:fldCharType="end"/>
        </w:r>
      </w:hyperlink>
    </w:p>
    <w:p w14:paraId="79C409AB"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2" w:history="1">
        <w:r w:rsidR="00CF5505" w:rsidRPr="00F367C3">
          <w:rPr>
            <w:rStyle w:val="Hyperlink"/>
            <w:noProof/>
          </w:rPr>
          <w:t>Table 5. Radiation Oncology Working Group (ROWG) members</w:t>
        </w:r>
        <w:r w:rsidR="00CF5505">
          <w:rPr>
            <w:noProof/>
            <w:webHidden/>
          </w:rPr>
          <w:tab/>
        </w:r>
        <w:r w:rsidR="00CF5505">
          <w:rPr>
            <w:noProof/>
            <w:webHidden/>
          </w:rPr>
          <w:fldChar w:fldCharType="begin"/>
        </w:r>
        <w:r w:rsidR="00CF5505">
          <w:rPr>
            <w:noProof/>
            <w:webHidden/>
          </w:rPr>
          <w:instrText xml:space="preserve"> PAGEREF _Toc479082812 \h </w:instrText>
        </w:r>
        <w:r w:rsidR="00CF5505">
          <w:rPr>
            <w:noProof/>
            <w:webHidden/>
          </w:rPr>
        </w:r>
        <w:r w:rsidR="00CF5505">
          <w:rPr>
            <w:noProof/>
            <w:webHidden/>
          </w:rPr>
          <w:fldChar w:fldCharType="separate"/>
        </w:r>
        <w:r w:rsidR="003274EF">
          <w:rPr>
            <w:noProof/>
            <w:webHidden/>
          </w:rPr>
          <w:t>30</w:t>
        </w:r>
        <w:r w:rsidR="00CF5505">
          <w:rPr>
            <w:noProof/>
            <w:webHidden/>
          </w:rPr>
          <w:fldChar w:fldCharType="end"/>
        </w:r>
      </w:hyperlink>
    </w:p>
    <w:p w14:paraId="70B3ED1D"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3" w:history="1">
        <w:r w:rsidR="00CF5505" w:rsidRPr="00F367C3">
          <w:rPr>
            <w:rStyle w:val="Hyperlink"/>
            <w:noProof/>
          </w:rPr>
          <w:t>Table 6: Item introduction table for items 15215–15275, 15500–15512, 15515–15533, 15550–15710</w:t>
        </w:r>
        <w:r w:rsidR="00CF5505">
          <w:rPr>
            <w:noProof/>
            <w:webHidden/>
          </w:rPr>
          <w:tab/>
        </w:r>
        <w:r w:rsidR="00CF5505">
          <w:rPr>
            <w:noProof/>
            <w:webHidden/>
          </w:rPr>
          <w:fldChar w:fldCharType="begin"/>
        </w:r>
        <w:r w:rsidR="00CF5505">
          <w:rPr>
            <w:noProof/>
            <w:webHidden/>
          </w:rPr>
          <w:instrText xml:space="preserve"> PAGEREF _Toc479082813 \h </w:instrText>
        </w:r>
        <w:r w:rsidR="00CF5505">
          <w:rPr>
            <w:noProof/>
            <w:webHidden/>
          </w:rPr>
        </w:r>
        <w:r w:rsidR="00CF5505">
          <w:rPr>
            <w:noProof/>
            <w:webHidden/>
          </w:rPr>
          <w:fldChar w:fldCharType="separate"/>
        </w:r>
        <w:r w:rsidR="003274EF">
          <w:rPr>
            <w:noProof/>
            <w:webHidden/>
          </w:rPr>
          <w:t>32</w:t>
        </w:r>
        <w:r w:rsidR="00CF5505">
          <w:rPr>
            <w:noProof/>
            <w:webHidden/>
          </w:rPr>
          <w:fldChar w:fldCharType="end"/>
        </w:r>
      </w:hyperlink>
    </w:p>
    <w:p w14:paraId="419C6573"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4" w:history="1">
        <w:r w:rsidR="00CF5505" w:rsidRPr="00F367C3">
          <w:rPr>
            <w:rStyle w:val="Hyperlink"/>
            <w:noProof/>
          </w:rPr>
          <w:t>Table 7: Item introduction table for items 15000–15115</w:t>
        </w:r>
        <w:r w:rsidR="00CF5505">
          <w:rPr>
            <w:noProof/>
            <w:webHidden/>
          </w:rPr>
          <w:tab/>
        </w:r>
        <w:r w:rsidR="00CF5505">
          <w:rPr>
            <w:noProof/>
            <w:webHidden/>
          </w:rPr>
          <w:fldChar w:fldCharType="begin"/>
        </w:r>
        <w:r w:rsidR="00CF5505">
          <w:rPr>
            <w:noProof/>
            <w:webHidden/>
          </w:rPr>
          <w:instrText xml:space="preserve"> PAGEREF _Toc479082814 \h </w:instrText>
        </w:r>
        <w:r w:rsidR="00CF5505">
          <w:rPr>
            <w:noProof/>
            <w:webHidden/>
          </w:rPr>
        </w:r>
        <w:r w:rsidR="00CF5505">
          <w:rPr>
            <w:noProof/>
            <w:webHidden/>
          </w:rPr>
          <w:fldChar w:fldCharType="separate"/>
        </w:r>
        <w:r w:rsidR="003274EF">
          <w:rPr>
            <w:noProof/>
            <w:webHidden/>
          </w:rPr>
          <w:t>57</w:t>
        </w:r>
        <w:r w:rsidR="00CF5505">
          <w:rPr>
            <w:noProof/>
            <w:webHidden/>
          </w:rPr>
          <w:fldChar w:fldCharType="end"/>
        </w:r>
      </w:hyperlink>
    </w:p>
    <w:p w14:paraId="27ECC69E"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5" w:history="1">
        <w:r w:rsidR="00CF5505" w:rsidRPr="00F367C3">
          <w:rPr>
            <w:rStyle w:val="Hyperlink"/>
            <w:noProof/>
          </w:rPr>
          <w:t>Table 8: Item introduction table for items 15303–15357, 15513, 15536–15539, 15800–15850</w:t>
        </w:r>
        <w:r w:rsidR="00CF5505">
          <w:rPr>
            <w:noProof/>
            <w:webHidden/>
          </w:rPr>
          <w:tab/>
        </w:r>
        <w:r w:rsidR="00CF5505">
          <w:rPr>
            <w:noProof/>
            <w:webHidden/>
          </w:rPr>
          <w:fldChar w:fldCharType="begin"/>
        </w:r>
        <w:r w:rsidR="00CF5505">
          <w:rPr>
            <w:noProof/>
            <w:webHidden/>
          </w:rPr>
          <w:instrText xml:space="preserve"> PAGEREF _Toc479082815 \h </w:instrText>
        </w:r>
        <w:r w:rsidR="00CF5505">
          <w:rPr>
            <w:noProof/>
            <w:webHidden/>
          </w:rPr>
        </w:r>
        <w:r w:rsidR="00CF5505">
          <w:rPr>
            <w:noProof/>
            <w:webHidden/>
          </w:rPr>
          <w:fldChar w:fldCharType="separate"/>
        </w:r>
        <w:r w:rsidR="003274EF">
          <w:rPr>
            <w:noProof/>
            <w:webHidden/>
          </w:rPr>
          <w:t>60</w:t>
        </w:r>
        <w:r w:rsidR="00CF5505">
          <w:rPr>
            <w:noProof/>
            <w:webHidden/>
          </w:rPr>
          <w:fldChar w:fldCharType="end"/>
        </w:r>
      </w:hyperlink>
    </w:p>
    <w:p w14:paraId="418C6D12"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6" w:history="1">
        <w:r w:rsidR="00CF5505" w:rsidRPr="00F367C3">
          <w:rPr>
            <w:rStyle w:val="Hyperlink"/>
            <w:noProof/>
          </w:rPr>
          <w:t>Table 9: Item introduction table for items 15211–15214</w:t>
        </w:r>
        <w:r w:rsidR="00CF5505">
          <w:rPr>
            <w:noProof/>
            <w:webHidden/>
          </w:rPr>
          <w:tab/>
        </w:r>
        <w:r w:rsidR="00CF5505">
          <w:rPr>
            <w:noProof/>
            <w:webHidden/>
          </w:rPr>
          <w:fldChar w:fldCharType="begin"/>
        </w:r>
        <w:r w:rsidR="00CF5505">
          <w:rPr>
            <w:noProof/>
            <w:webHidden/>
          </w:rPr>
          <w:instrText xml:space="preserve"> PAGEREF _Toc479082816 \h </w:instrText>
        </w:r>
        <w:r w:rsidR="00CF5505">
          <w:rPr>
            <w:noProof/>
            <w:webHidden/>
          </w:rPr>
        </w:r>
        <w:r w:rsidR="00CF5505">
          <w:rPr>
            <w:noProof/>
            <w:webHidden/>
          </w:rPr>
          <w:fldChar w:fldCharType="separate"/>
        </w:r>
        <w:r w:rsidR="003274EF">
          <w:rPr>
            <w:noProof/>
            <w:webHidden/>
          </w:rPr>
          <w:t>72</w:t>
        </w:r>
        <w:r w:rsidR="00CF5505">
          <w:rPr>
            <w:noProof/>
            <w:webHidden/>
          </w:rPr>
          <w:fldChar w:fldCharType="end"/>
        </w:r>
      </w:hyperlink>
    </w:p>
    <w:p w14:paraId="434124EE"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7" w:history="1">
        <w:r w:rsidR="00CF5505" w:rsidRPr="00F367C3">
          <w:rPr>
            <w:rStyle w:val="Hyperlink"/>
            <w:noProof/>
          </w:rPr>
          <w:t>Table 10: Item introduction table for items 30299–30303</w:t>
        </w:r>
        <w:r w:rsidR="00CF5505">
          <w:rPr>
            <w:noProof/>
            <w:webHidden/>
          </w:rPr>
          <w:tab/>
        </w:r>
        <w:r w:rsidR="00CF5505">
          <w:rPr>
            <w:noProof/>
            <w:webHidden/>
          </w:rPr>
          <w:fldChar w:fldCharType="begin"/>
        </w:r>
        <w:r w:rsidR="00CF5505">
          <w:rPr>
            <w:noProof/>
            <w:webHidden/>
          </w:rPr>
          <w:instrText xml:space="preserve"> PAGEREF _Toc479082817 \h </w:instrText>
        </w:r>
        <w:r w:rsidR="00CF5505">
          <w:rPr>
            <w:noProof/>
            <w:webHidden/>
          </w:rPr>
        </w:r>
        <w:r w:rsidR="00CF5505">
          <w:rPr>
            <w:noProof/>
            <w:webHidden/>
          </w:rPr>
          <w:fldChar w:fldCharType="separate"/>
        </w:r>
        <w:r w:rsidR="003274EF">
          <w:rPr>
            <w:noProof/>
            <w:webHidden/>
          </w:rPr>
          <w:t>73</w:t>
        </w:r>
        <w:r w:rsidR="00CF5505">
          <w:rPr>
            <w:noProof/>
            <w:webHidden/>
          </w:rPr>
          <w:fldChar w:fldCharType="end"/>
        </w:r>
      </w:hyperlink>
    </w:p>
    <w:p w14:paraId="35328CB0"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8" w:history="1">
        <w:r w:rsidR="00CF5505" w:rsidRPr="00F367C3">
          <w:rPr>
            <w:rStyle w:val="Hyperlink"/>
            <w:noProof/>
          </w:rPr>
          <w:t>Table 11: Chemotherapy items statistics for financial year 2015/16 by date of processing</w:t>
        </w:r>
        <w:r w:rsidR="00CF5505">
          <w:rPr>
            <w:noProof/>
            <w:webHidden/>
          </w:rPr>
          <w:tab/>
        </w:r>
        <w:r w:rsidR="00CF5505">
          <w:rPr>
            <w:noProof/>
            <w:webHidden/>
          </w:rPr>
          <w:fldChar w:fldCharType="begin"/>
        </w:r>
        <w:r w:rsidR="00CF5505">
          <w:rPr>
            <w:noProof/>
            <w:webHidden/>
          </w:rPr>
          <w:instrText xml:space="preserve"> PAGEREF _Toc479082818 \h </w:instrText>
        </w:r>
        <w:r w:rsidR="00CF5505">
          <w:rPr>
            <w:noProof/>
            <w:webHidden/>
          </w:rPr>
        </w:r>
        <w:r w:rsidR="00CF5505">
          <w:rPr>
            <w:noProof/>
            <w:webHidden/>
          </w:rPr>
          <w:fldChar w:fldCharType="separate"/>
        </w:r>
        <w:r w:rsidR="003274EF">
          <w:rPr>
            <w:noProof/>
            <w:webHidden/>
          </w:rPr>
          <w:t>99</w:t>
        </w:r>
        <w:r w:rsidR="00CF5505">
          <w:rPr>
            <w:noProof/>
            <w:webHidden/>
          </w:rPr>
          <w:fldChar w:fldCharType="end"/>
        </w:r>
      </w:hyperlink>
    </w:p>
    <w:p w14:paraId="6F4C07B0"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19" w:history="1">
        <w:r w:rsidR="00CF5505" w:rsidRPr="00F367C3">
          <w:rPr>
            <w:rStyle w:val="Hyperlink"/>
            <w:noProof/>
          </w:rPr>
          <w:t>Table 12: Megavoltage and kilovoltage radiation therapy items statistics for financial year 2015/16 by date of processing</w:t>
        </w:r>
        <w:r w:rsidR="00CF5505">
          <w:rPr>
            <w:noProof/>
            <w:webHidden/>
          </w:rPr>
          <w:tab/>
        </w:r>
        <w:r w:rsidR="00CF5505">
          <w:rPr>
            <w:noProof/>
            <w:webHidden/>
          </w:rPr>
          <w:fldChar w:fldCharType="begin"/>
        </w:r>
        <w:r w:rsidR="00CF5505">
          <w:rPr>
            <w:noProof/>
            <w:webHidden/>
          </w:rPr>
          <w:instrText xml:space="preserve"> PAGEREF _Toc479082819 \h </w:instrText>
        </w:r>
        <w:r w:rsidR="00CF5505">
          <w:rPr>
            <w:noProof/>
            <w:webHidden/>
          </w:rPr>
        </w:r>
        <w:r w:rsidR="00CF5505">
          <w:rPr>
            <w:noProof/>
            <w:webHidden/>
          </w:rPr>
          <w:fldChar w:fldCharType="separate"/>
        </w:r>
        <w:r w:rsidR="003274EF">
          <w:rPr>
            <w:noProof/>
            <w:webHidden/>
          </w:rPr>
          <w:t>99</w:t>
        </w:r>
        <w:r w:rsidR="00CF5505">
          <w:rPr>
            <w:noProof/>
            <w:webHidden/>
          </w:rPr>
          <w:fldChar w:fldCharType="end"/>
        </w:r>
      </w:hyperlink>
    </w:p>
    <w:p w14:paraId="52CFDD47"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0" w:history="1">
        <w:r w:rsidR="00CF5505" w:rsidRPr="00F367C3">
          <w:rPr>
            <w:rStyle w:val="Hyperlink"/>
            <w:noProof/>
          </w:rPr>
          <w:t>Table 13: Brachytherapy items statistics for financial year 2015/16 by date of processing</w:t>
        </w:r>
        <w:r w:rsidR="00CF5505">
          <w:rPr>
            <w:noProof/>
            <w:webHidden/>
          </w:rPr>
          <w:tab/>
        </w:r>
        <w:r w:rsidR="00CF5505">
          <w:rPr>
            <w:noProof/>
            <w:webHidden/>
          </w:rPr>
          <w:fldChar w:fldCharType="begin"/>
        </w:r>
        <w:r w:rsidR="00CF5505">
          <w:rPr>
            <w:noProof/>
            <w:webHidden/>
          </w:rPr>
          <w:instrText xml:space="preserve"> PAGEREF _Toc479082820 \h </w:instrText>
        </w:r>
        <w:r w:rsidR="00CF5505">
          <w:rPr>
            <w:noProof/>
            <w:webHidden/>
          </w:rPr>
        </w:r>
        <w:r w:rsidR="00CF5505">
          <w:rPr>
            <w:noProof/>
            <w:webHidden/>
          </w:rPr>
          <w:fldChar w:fldCharType="separate"/>
        </w:r>
        <w:r w:rsidR="003274EF">
          <w:rPr>
            <w:noProof/>
            <w:webHidden/>
          </w:rPr>
          <w:t>101</w:t>
        </w:r>
        <w:r w:rsidR="00CF5505">
          <w:rPr>
            <w:noProof/>
            <w:webHidden/>
          </w:rPr>
          <w:fldChar w:fldCharType="end"/>
        </w:r>
      </w:hyperlink>
    </w:p>
    <w:p w14:paraId="0B68CDD4"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1" w:history="1">
        <w:r w:rsidR="00CF5505" w:rsidRPr="00F367C3">
          <w:rPr>
            <w:rStyle w:val="Hyperlink"/>
            <w:noProof/>
          </w:rPr>
          <w:t>Table 14: Sentinel lymph node biopsy items statistics for the 2015 to 2016 financial year by date of processing</w:t>
        </w:r>
        <w:r w:rsidR="00CF5505">
          <w:rPr>
            <w:noProof/>
            <w:webHidden/>
          </w:rPr>
          <w:tab/>
        </w:r>
        <w:r w:rsidR="00CF5505">
          <w:rPr>
            <w:noProof/>
            <w:webHidden/>
          </w:rPr>
          <w:fldChar w:fldCharType="begin"/>
        </w:r>
        <w:r w:rsidR="00CF5505">
          <w:rPr>
            <w:noProof/>
            <w:webHidden/>
          </w:rPr>
          <w:instrText xml:space="preserve"> PAGEREF _Toc479082821 \h </w:instrText>
        </w:r>
        <w:r w:rsidR="00CF5505">
          <w:rPr>
            <w:noProof/>
            <w:webHidden/>
          </w:rPr>
        </w:r>
        <w:r w:rsidR="00CF5505">
          <w:rPr>
            <w:noProof/>
            <w:webHidden/>
          </w:rPr>
          <w:fldChar w:fldCharType="separate"/>
        </w:r>
        <w:r w:rsidR="003274EF">
          <w:rPr>
            <w:noProof/>
            <w:webHidden/>
          </w:rPr>
          <w:t>102</w:t>
        </w:r>
        <w:r w:rsidR="00CF5505">
          <w:rPr>
            <w:noProof/>
            <w:webHidden/>
          </w:rPr>
          <w:fldChar w:fldCharType="end"/>
        </w:r>
      </w:hyperlink>
    </w:p>
    <w:p w14:paraId="4EACFA1C"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2" w:history="1">
        <w:r w:rsidR="00CF5505" w:rsidRPr="00F367C3">
          <w:rPr>
            <w:rStyle w:val="Hyperlink"/>
            <w:noProof/>
          </w:rPr>
          <w:t>Table 15: Item introduction table for items 871 and 872</w:t>
        </w:r>
        <w:r w:rsidR="00CF5505">
          <w:rPr>
            <w:noProof/>
            <w:webHidden/>
          </w:rPr>
          <w:tab/>
        </w:r>
        <w:r w:rsidR="00CF5505">
          <w:rPr>
            <w:noProof/>
            <w:webHidden/>
          </w:rPr>
          <w:fldChar w:fldCharType="begin"/>
        </w:r>
        <w:r w:rsidR="00CF5505">
          <w:rPr>
            <w:noProof/>
            <w:webHidden/>
          </w:rPr>
          <w:instrText xml:space="preserve"> PAGEREF _Toc479082822 \h </w:instrText>
        </w:r>
        <w:r w:rsidR="00CF5505">
          <w:rPr>
            <w:noProof/>
            <w:webHidden/>
          </w:rPr>
        </w:r>
        <w:r w:rsidR="00CF5505">
          <w:rPr>
            <w:noProof/>
            <w:webHidden/>
          </w:rPr>
          <w:fldChar w:fldCharType="separate"/>
        </w:r>
        <w:r w:rsidR="003274EF">
          <w:rPr>
            <w:noProof/>
            <w:webHidden/>
          </w:rPr>
          <w:t>106</w:t>
        </w:r>
        <w:r w:rsidR="00CF5505">
          <w:rPr>
            <w:noProof/>
            <w:webHidden/>
          </w:rPr>
          <w:fldChar w:fldCharType="end"/>
        </w:r>
      </w:hyperlink>
    </w:p>
    <w:p w14:paraId="6FF9C303" w14:textId="77777777" w:rsidR="00836B2A" w:rsidRPr="002836EB" w:rsidRDefault="004177E1" w:rsidP="00082595">
      <w:r w:rsidRPr="002836EB">
        <w:fldChar w:fldCharType="end"/>
      </w:r>
      <w:r w:rsidR="00836B2A" w:rsidRPr="002836EB">
        <w:br w:type="page"/>
      </w:r>
    </w:p>
    <w:p w14:paraId="5BBB4DBD" w14:textId="77777777" w:rsidR="00836B2A" w:rsidRPr="002836EB" w:rsidRDefault="00836B2A" w:rsidP="00082595">
      <w:pPr>
        <w:rPr>
          <w:b/>
          <w:color w:val="01653F"/>
          <w:sz w:val="32"/>
        </w:rPr>
      </w:pPr>
      <w:r w:rsidRPr="002836EB">
        <w:rPr>
          <w:b/>
          <w:color w:val="01653F"/>
          <w:sz w:val="32"/>
        </w:rPr>
        <w:lastRenderedPageBreak/>
        <w:t xml:space="preserve">Figures </w:t>
      </w:r>
    </w:p>
    <w:p w14:paraId="5C20246F" w14:textId="77777777" w:rsidR="00CF5505" w:rsidRDefault="004D68DE">
      <w:pPr>
        <w:pStyle w:val="TableofFigures"/>
        <w:tabs>
          <w:tab w:val="right" w:leader="dot" w:pos="9016"/>
        </w:tabs>
        <w:rPr>
          <w:rFonts w:eastAsiaTheme="minorEastAsia" w:cstheme="minorBidi"/>
          <w:bCs w:val="0"/>
          <w:noProof/>
          <w:sz w:val="22"/>
          <w:szCs w:val="22"/>
          <w:lang w:val="en-AU"/>
        </w:rPr>
      </w:pPr>
      <w:r w:rsidRPr="002836EB">
        <w:rPr>
          <w:bCs w:val="0"/>
        </w:rPr>
        <w:fldChar w:fldCharType="begin"/>
      </w:r>
      <w:r w:rsidRPr="002836EB">
        <w:rPr>
          <w:bCs w:val="0"/>
        </w:rPr>
        <w:instrText xml:space="preserve"> TOC \h \z \c "Figure" </w:instrText>
      </w:r>
      <w:r w:rsidRPr="002836EB">
        <w:rPr>
          <w:bCs w:val="0"/>
        </w:rPr>
        <w:fldChar w:fldCharType="separate"/>
      </w:r>
      <w:hyperlink w:anchor="_Toc479082823" w:history="1">
        <w:r w:rsidR="00CF5505" w:rsidRPr="005929AF">
          <w:rPr>
            <w:rStyle w:val="Hyperlink"/>
            <w:noProof/>
          </w:rPr>
          <w:t>Figure 1: Prioritisation matrix</w:t>
        </w:r>
        <w:r w:rsidR="00CF5505">
          <w:rPr>
            <w:noProof/>
            <w:webHidden/>
          </w:rPr>
          <w:tab/>
        </w:r>
        <w:r w:rsidR="00CF5505">
          <w:rPr>
            <w:noProof/>
            <w:webHidden/>
          </w:rPr>
          <w:fldChar w:fldCharType="begin"/>
        </w:r>
        <w:r w:rsidR="00CF5505">
          <w:rPr>
            <w:noProof/>
            <w:webHidden/>
          </w:rPr>
          <w:instrText xml:space="preserve"> PAGEREF _Toc479082823 \h </w:instrText>
        </w:r>
        <w:r w:rsidR="00CF5505">
          <w:rPr>
            <w:noProof/>
            <w:webHidden/>
          </w:rPr>
        </w:r>
        <w:r w:rsidR="00CF5505">
          <w:rPr>
            <w:noProof/>
            <w:webHidden/>
          </w:rPr>
          <w:fldChar w:fldCharType="separate"/>
        </w:r>
        <w:r w:rsidR="003274EF">
          <w:rPr>
            <w:noProof/>
            <w:webHidden/>
          </w:rPr>
          <w:t>14</w:t>
        </w:r>
        <w:r w:rsidR="00CF5505">
          <w:rPr>
            <w:noProof/>
            <w:webHidden/>
          </w:rPr>
          <w:fldChar w:fldCharType="end"/>
        </w:r>
      </w:hyperlink>
    </w:p>
    <w:p w14:paraId="58229FAC"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4" w:history="1">
        <w:r w:rsidR="00CF5505" w:rsidRPr="005929AF">
          <w:rPr>
            <w:rStyle w:val="Hyperlink"/>
            <w:noProof/>
          </w:rPr>
          <w:t>Figure 2: Drivers of growth</w:t>
        </w:r>
        <w:r w:rsidR="00CF5505">
          <w:rPr>
            <w:noProof/>
            <w:webHidden/>
          </w:rPr>
          <w:tab/>
        </w:r>
        <w:r w:rsidR="00CF5505">
          <w:rPr>
            <w:noProof/>
            <w:webHidden/>
          </w:rPr>
          <w:fldChar w:fldCharType="begin"/>
        </w:r>
        <w:r w:rsidR="00CF5505">
          <w:rPr>
            <w:noProof/>
            <w:webHidden/>
          </w:rPr>
          <w:instrText xml:space="preserve"> PAGEREF _Toc479082824 \h </w:instrText>
        </w:r>
        <w:r w:rsidR="00CF5505">
          <w:rPr>
            <w:noProof/>
            <w:webHidden/>
          </w:rPr>
        </w:r>
        <w:r w:rsidR="00CF5505">
          <w:rPr>
            <w:noProof/>
            <w:webHidden/>
          </w:rPr>
          <w:fldChar w:fldCharType="separate"/>
        </w:r>
        <w:r w:rsidR="003274EF">
          <w:rPr>
            <w:noProof/>
            <w:webHidden/>
          </w:rPr>
          <w:t>17</w:t>
        </w:r>
        <w:r w:rsidR="00CF5505">
          <w:rPr>
            <w:noProof/>
            <w:webHidden/>
          </w:rPr>
          <w:fldChar w:fldCharType="end"/>
        </w:r>
      </w:hyperlink>
    </w:p>
    <w:p w14:paraId="43547229"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5" w:history="1">
        <w:r w:rsidR="00CF5505" w:rsidRPr="005929AF">
          <w:rPr>
            <w:rStyle w:val="Hyperlink"/>
            <w:noProof/>
          </w:rPr>
          <w:t>Figure 3: Breakdown of all chemotherapy services (public and privately funded) for New South Wales and Victoria by duration of administration</w:t>
        </w:r>
        <w:r w:rsidR="00CF5505">
          <w:rPr>
            <w:noProof/>
            <w:webHidden/>
          </w:rPr>
          <w:tab/>
        </w:r>
        <w:r w:rsidR="00CF5505">
          <w:rPr>
            <w:noProof/>
            <w:webHidden/>
          </w:rPr>
          <w:fldChar w:fldCharType="begin"/>
        </w:r>
        <w:r w:rsidR="00CF5505">
          <w:rPr>
            <w:noProof/>
            <w:webHidden/>
          </w:rPr>
          <w:instrText xml:space="preserve"> PAGEREF _Toc479082825 \h </w:instrText>
        </w:r>
        <w:r w:rsidR="00CF5505">
          <w:rPr>
            <w:noProof/>
            <w:webHidden/>
          </w:rPr>
        </w:r>
        <w:r w:rsidR="00CF5505">
          <w:rPr>
            <w:noProof/>
            <w:webHidden/>
          </w:rPr>
          <w:fldChar w:fldCharType="separate"/>
        </w:r>
        <w:r w:rsidR="003274EF">
          <w:rPr>
            <w:noProof/>
            <w:webHidden/>
          </w:rPr>
          <w:t>25</w:t>
        </w:r>
        <w:r w:rsidR="00CF5505">
          <w:rPr>
            <w:noProof/>
            <w:webHidden/>
          </w:rPr>
          <w:fldChar w:fldCharType="end"/>
        </w:r>
      </w:hyperlink>
    </w:p>
    <w:p w14:paraId="19AC5F38"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6" w:history="1">
        <w:r w:rsidR="00CF5505" w:rsidRPr="005929AF">
          <w:rPr>
            <w:rStyle w:val="Hyperlink"/>
            <w:noProof/>
          </w:rPr>
          <w:t>Figure 4: Use of items 13945 and 14221 across chemotherapy providers</w:t>
        </w:r>
        <w:r w:rsidR="00CF5505">
          <w:rPr>
            <w:noProof/>
            <w:webHidden/>
          </w:rPr>
          <w:tab/>
        </w:r>
        <w:r w:rsidR="00CF5505">
          <w:rPr>
            <w:noProof/>
            <w:webHidden/>
          </w:rPr>
          <w:fldChar w:fldCharType="begin"/>
        </w:r>
        <w:r w:rsidR="00CF5505">
          <w:rPr>
            <w:noProof/>
            <w:webHidden/>
          </w:rPr>
          <w:instrText xml:space="preserve"> PAGEREF _Toc479082826 \h </w:instrText>
        </w:r>
        <w:r w:rsidR="00CF5505">
          <w:rPr>
            <w:noProof/>
            <w:webHidden/>
          </w:rPr>
        </w:r>
        <w:r w:rsidR="00CF5505">
          <w:rPr>
            <w:noProof/>
            <w:webHidden/>
          </w:rPr>
          <w:fldChar w:fldCharType="separate"/>
        </w:r>
        <w:r w:rsidR="003274EF">
          <w:rPr>
            <w:noProof/>
            <w:webHidden/>
          </w:rPr>
          <w:t>28</w:t>
        </w:r>
        <w:r w:rsidR="00CF5505">
          <w:rPr>
            <w:noProof/>
            <w:webHidden/>
          </w:rPr>
          <w:fldChar w:fldCharType="end"/>
        </w:r>
      </w:hyperlink>
    </w:p>
    <w:p w14:paraId="04CDB666"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7" w:history="1">
        <w:r w:rsidR="00CF5505" w:rsidRPr="005929AF">
          <w:rPr>
            <w:rStyle w:val="Hyperlink"/>
            <w:noProof/>
          </w:rPr>
          <w:t>Figure 5: Number of providers by MBS benefits for item 13945 when claimed in conjunction with chemotherapy administration items</w:t>
        </w:r>
        <w:r w:rsidR="00CF5505">
          <w:rPr>
            <w:noProof/>
            <w:webHidden/>
          </w:rPr>
          <w:tab/>
        </w:r>
        <w:r w:rsidR="00CF5505">
          <w:rPr>
            <w:noProof/>
            <w:webHidden/>
          </w:rPr>
          <w:fldChar w:fldCharType="begin"/>
        </w:r>
        <w:r w:rsidR="00CF5505">
          <w:rPr>
            <w:noProof/>
            <w:webHidden/>
          </w:rPr>
          <w:instrText xml:space="preserve"> PAGEREF _Toc479082827 \h </w:instrText>
        </w:r>
        <w:r w:rsidR="00CF5505">
          <w:rPr>
            <w:noProof/>
            <w:webHidden/>
          </w:rPr>
        </w:r>
        <w:r w:rsidR="00CF5505">
          <w:rPr>
            <w:noProof/>
            <w:webHidden/>
          </w:rPr>
          <w:fldChar w:fldCharType="separate"/>
        </w:r>
        <w:r w:rsidR="003274EF">
          <w:rPr>
            <w:noProof/>
            <w:webHidden/>
          </w:rPr>
          <w:t>29</w:t>
        </w:r>
        <w:r w:rsidR="00CF5505">
          <w:rPr>
            <w:noProof/>
            <w:webHidden/>
          </w:rPr>
          <w:fldChar w:fldCharType="end"/>
        </w:r>
      </w:hyperlink>
    </w:p>
    <w:p w14:paraId="62DB0C5E"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8" w:history="1">
        <w:r w:rsidR="00CF5505" w:rsidRPr="005929AF">
          <w:rPr>
            <w:rStyle w:val="Hyperlink"/>
            <w:noProof/>
          </w:rPr>
          <w:t>Figure 6: Overview of current MBS radiation oncology items (excluding item 15900)</w:t>
        </w:r>
        <w:r w:rsidR="00CF5505">
          <w:rPr>
            <w:noProof/>
            <w:webHidden/>
          </w:rPr>
          <w:tab/>
        </w:r>
        <w:r w:rsidR="00CF5505">
          <w:rPr>
            <w:noProof/>
            <w:webHidden/>
          </w:rPr>
          <w:fldChar w:fldCharType="begin"/>
        </w:r>
        <w:r w:rsidR="00CF5505">
          <w:rPr>
            <w:noProof/>
            <w:webHidden/>
          </w:rPr>
          <w:instrText xml:space="preserve"> PAGEREF _Toc479082828 \h </w:instrText>
        </w:r>
        <w:r w:rsidR="00CF5505">
          <w:rPr>
            <w:noProof/>
            <w:webHidden/>
          </w:rPr>
        </w:r>
        <w:r w:rsidR="00CF5505">
          <w:rPr>
            <w:noProof/>
            <w:webHidden/>
          </w:rPr>
          <w:fldChar w:fldCharType="separate"/>
        </w:r>
        <w:r w:rsidR="003274EF">
          <w:rPr>
            <w:noProof/>
            <w:webHidden/>
          </w:rPr>
          <w:t>31</w:t>
        </w:r>
        <w:r w:rsidR="00CF5505">
          <w:rPr>
            <w:noProof/>
            <w:webHidden/>
          </w:rPr>
          <w:fldChar w:fldCharType="end"/>
        </w:r>
      </w:hyperlink>
    </w:p>
    <w:p w14:paraId="08765D86"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29" w:history="1">
        <w:r w:rsidR="00CF5505" w:rsidRPr="005929AF">
          <w:rPr>
            <w:rStyle w:val="Hyperlink"/>
            <w:noProof/>
          </w:rPr>
          <w:t>Figure 7: Distribution of dual-agent versus single-agent sentinel lymph node biopsy services by remoteness</w:t>
        </w:r>
        <w:r w:rsidR="00CF5505">
          <w:rPr>
            <w:noProof/>
            <w:webHidden/>
          </w:rPr>
          <w:tab/>
        </w:r>
        <w:r w:rsidR="00CF5505">
          <w:rPr>
            <w:noProof/>
            <w:webHidden/>
          </w:rPr>
          <w:fldChar w:fldCharType="begin"/>
        </w:r>
        <w:r w:rsidR="00CF5505">
          <w:rPr>
            <w:noProof/>
            <w:webHidden/>
          </w:rPr>
          <w:instrText xml:space="preserve"> PAGEREF _Toc479082829 \h </w:instrText>
        </w:r>
        <w:r w:rsidR="00CF5505">
          <w:rPr>
            <w:noProof/>
            <w:webHidden/>
          </w:rPr>
        </w:r>
        <w:r w:rsidR="00CF5505">
          <w:rPr>
            <w:noProof/>
            <w:webHidden/>
          </w:rPr>
          <w:fldChar w:fldCharType="separate"/>
        </w:r>
        <w:r w:rsidR="003274EF">
          <w:rPr>
            <w:noProof/>
            <w:webHidden/>
          </w:rPr>
          <w:t>75</w:t>
        </w:r>
        <w:r w:rsidR="00CF5505">
          <w:rPr>
            <w:noProof/>
            <w:webHidden/>
          </w:rPr>
          <w:fldChar w:fldCharType="end"/>
        </w:r>
      </w:hyperlink>
    </w:p>
    <w:p w14:paraId="3FEE9C52"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30" w:history="1">
        <w:r w:rsidR="00CF5505" w:rsidRPr="005929AF">
          <w:rPr>
            <w:rStyle w:val="Hyperlink"/>
            <w:noProof/>
          </w:rPr>
          <w:t>Figure 8: MBS services per capita for cancer care case conference items 871 and 872 by state/territory</w:t>
        </w:r>
        <w:r w:rsidR="00CF5505">
          <w:rPr>
            <w:noProof/>
            <w:webHidden/>
          </w:rPr>
          <w:tab/>
        </w:r>
        <w:r w:rsidR="00CF5505">
          <w:rPr>
            <w:noProof/>
            <w:webHidden/>
          </w:rPr>
          <w:fldChar w:fldCharType="begin"/>
        </w:r>
        <w:r w:rsidR="00CF5505">
          <w:rPr>
            <w:noProof/>
            <w:webHidden/>
          </w:rPr>
          <w:instrText xml:space="preserve"> PAGEREF _Toc479082830 \h </w:instrText>
        </w:r>
        <w:r w:rsidR="00CF5505">
          <w:rPr>
            <w:noProof/>
            <w:webHidden/>
          </w:rPr>
        </w:r>
        <w:r w:rsidR="00CF5505">
          <w:rPr>
            <w:noProof/>
            <w:webHidden/>
          </w:rPr>
          <w:fldChar w:fldCharType="separate"/>
        </w:r>
        <w:r w:rsidR="003274EF">
          <w:rPr>
            <w:noProof/>
            <w:webHidden/>
          </w:rPr>
          <w:t>108</w:t>
        </w:r>
        <w:r w:rsidR="00CF5505">
          <w:rPr>
            <w:noProof/>
            <w:webHidden/>
          </w:rPr>
          <w:fldChar w:fldCharType="end"/>
        </w:r>
      </w:hyperlink>
    </w:p>
    <w:p w14:paraId="3FEFC9EF" w14:textId="77777777" w:rsidR="00CF5505" w:rsidRDefault="00A52F18">
      <w:pPr>
        <w:pStyle w:val="TableofFigures"/>
        <w:tabs>
          <w:tab w:val="right" w:leader="dot" w:pos="9016"/>
        </w:tabs>
        <w:rPr>
          <w:rFonts w:eastAsiaTheme="minorEastAsia" w:cstheme="minorBidi"/>
          <w:bCs w:val="0"/>
          <w:noProof/>
          <w:sz w:val="22"/>
          <w:szCs w:val="22"/>
          <w:lang w:val="en-AU"/>
        </w:rPr>
      </w:pPr>
      <w:hyperlink w:anchor="_Toc479082831" w:history="1">
        <w:r w:rsidR="00CF5505" w:rsidRPr="005929AF">
          <w:rPr>
            <w:rStyle w:val="Hyperlink"/>
            <w:noProof/>
          </w:rPr>
          <w:t>Figure 9: MBS services for cancer care case conference items 871 and 872 by provider specialty</w:t>
        </w:r>
        <w:r w:rsidR="00CF5505">
          <w:rPr>
            <w:noProof/>
            <w:webHidden/>
          </w:rPr>
          <w:tab/>
        </w:r>
        <w:r w:rsidR="00CF5505">
          <w:rPr>
            <w:noProof/>
            <w:webHidden/>
          </w:rPr>
          <w:fldChar w:fldCharType="begin"/>
        </w:r>
        <w:r w:rsidR="00CF5505">
          <w:rPr>
            <w:noProof/>
            <w:webHidden/>
          </w:rPr>
          <w:instrText xml:space="preserve"> PAGEREF _Toc479082831 \h </w:instrText>
        </w:r>
        <w:r w:rsidR="00CF5505">
          <w:rPr>
            <w:noProof/>
            <w:webHidden/>
          </w:rPr>
        </w:r>
        <w:r w:rsidR="00CF5505">
          <w:rPr>
            <w:noProof/>
            <w:webHidden/>
          </w:rPr>
          <w:fldChar w:fldCharType="separate"/>
        </w:r>
        <w:r w:rsidR="003274EF">
          <w:rPr>
            <w:noProof/>
            <w:webHidden/>
          </w:rPr>
          <w:t>109</w:t>
        </w:r>
        <w:r w:rsidR="00CF5505">
          <w:rPr>
            <w:noProof/>
            <w:webHidden/>
          </w:rPr>
          <w:fldChar w:fldCharType="end"/>
        </w:r>
      </w:hyperlink>
    </w:p>
    <w:p w14:paraId="09FD7E8A" w14:textId="77777777" w:rsidR="009D36D2" w:rsidRPr="002836EB" w:rsidRDefault="004D68DE" w:rsidP="00082595">
      <w:pPr>
        <w:sectPr w:rsidR="009D36D2" w:rsidRPr="002836EB" w:rsidSect="00396184">
          <w:footerReference w:type="default" r:id="rId9"/>
          <w:pgSz w:w="11906" w:h="16838" w:code="9"/>
          <w:pgMar w:top="1440" w:right="1440" w:bottom="1276" w:left="1440" w:header="720" w:footer="720" w:gutter="0"/>
          <w:paperSrc w:first="2" w:other="2"/>
          <w:cols w:space="720"/>
          <w:docGrid w:linePitch="326"/>
        </w:sectPr>
      </w:pPr>
      <w:r w:rsidRPr="002836EB">
        <w:rPr>
          <w:bCs/>
          <w:sz w:val="20"/>
          <w:szCs w:val="20"/>
        </w:rPr>
        <w:fldChar w:fldCharType="end"/>
      </w:r>
      <w:r w:rsidR="004B4971" w:rsidRPr="002836EB">
        <w:br w:type="page"/>
      </w:r>
    </w:p>
    <w:p w14:paraId="3E9B0510" w14:textId="5261BFBB" w:rsidR="00512F2C" w:rsidRPr="002836EB" w:rsidRDefault="00262127" w:rsidP="007D7AE8">
      <w:pPr>
        <w:pStyle w:val="Heading1"/>
        <w:rPr>
          <w:rStyle w:val="IntenseEmphasis"/>
          <w:b/>
          <w:bCs/>
          <w:i w:val="0"/>
          <w:iCs w:val="0"/>
          <w:color w:val="01653F"/>
          <w:sz w:val="36"/>
          <w:szCs w:val="36"/>
          <w:lang w:val="en-GB"/>
        </w:rPr>
      </w:pPr>
      <w:bookmarkStart w:id="2" w:name="_Toc456045422"/>
      <w:bookmarkStart w:id="3" w:name="_Toc468647457"/>
      <w:bookmarkStart w:id="4" w:name="_Toc479082761"/>
      <w:bookmarkEnd w:id="1"/>
      <w:r w:rsidRPr="002836EB">
        <w:rPr>
          <w:lang w:val="en-GB"/>
        </w:rPr>
        <w:lastRenderedPageBreak/>
        <w:t xml:space="preserve">Executive </w:t>
      </w:r>
      <w:r w:rsidR="00AF345C" w:rsidRPr="002836EB">
        <w:rPr>
          <w:lang w:val="en-GB"/>
        </w:rPr>
        <w:t>s</w:t>
      </w:r>
      <w:r w:rsidRPr="002836EB">
        <w:rPr>
          <w:lang w:val="en-GB"/>
        </w:rPr>
        <w:t>ummary</w:t>
      </w:r>
      <w:bookmarkEnd w:id="2"/>
      <w:bookmarkEnd w:id="3"/>
      <w:bookmarkEnd w:id="4"/>
    </w:p>
    <w:p w14:paraId="069D1D6C" w14:textId="3C927B20" w:rsidR="000C674E" w:rsidRPr="002836EB" w:rsidRDefault="000C674E" w:rsidP="00082595">
      <w:r w:rsidRPr="002836EB">
        <w:t>The Medicare Benefits Schedule (MBS) Review Taskforce (</w:t>
      </w:r>
      <w:r w:rsidR="00C075B8">
        <w:t xml:space="preserve">the </w:t>
      </w:r>
      <w:r w:rsidRPr="002836EB">
        <w:t xml:space="preserve">Taskforce) is undertaking a program of work that considers how more than 5,700 items on the MBS can be aligned with contemporary clinical evidence and practice in order to improve health outcomes for patients. The Taskforce also seeks to identify any services that may be unnecessary, outdated or potentially unsafe. </w:t>
      </w:r>
    </w:p>
    <w:p w14:paraId="547E7ED1" w14:textId="652D704B" w:rsidR="00082595" w:rsidRPr="002836EB" w:rsidRDefault="000C674E" w:rsidP="00082595">
      <w:r w:rsidRPr="002836EB">
        <w:t>The Taskforce is committed to providing recommendations to the Minister for Health</w:t>
      </w:r>
      <w:r w:rsidR="00F96C14" w:rsidRPr="002836EB">
        <w:t xml:space="preserve"> </w:t>
      </w:r>
      <w:r w:rsidRPr="002836EB">
        <w:t>that will allow the MBS to deliver on the following key goals:</w:t>
      </w:r>
    </w:p>
    <w:p w14:paraId="13D3F5D0" w14:textId="77777777" w:rsidR="000C674E" w:rsidRPr="002836EB" w:rsidRDefault="000C674E" w:rsidP="00082595">
      <w:pPr>
        <w:pStyle w:val="NormalBulleted"/>
      </w:pPr>
      <w:r w:rsidRPr="002836EB">
        <w:t>Affordable and universal access</w:t>
      </w:r>
      <w:r w:rsidR="007350C0" w:rsidRPr="002836EB">
        <w:t>.</w:t>
      </w:r>
    </w:p>
    <w:p w14:paraId="4589F6E4" w14:textId="77777777" w:rsidR="000C674E" w:rsidRPr="002836EB" w:rsidRDefault="000C674E" w:rsidP="00082595">
      <w:pPr>
        <w:pStyle w:val="NormalBulleted"/>
      </w:pPr>
      <w:r w:rsidRPr="002836EB">
        <w:t>Best-practice health services</w:t>
      </w:r>
      <w:r w:rsidR="00CE058D" w:rsidRPr="002836EB">
        <w:t>.</w:t>
      </w:r>
    </w:p>
    <w:p w14:paraId="58D169DC" w14:textId="77777777" w:rsidR="000C674E" w:rsidRPr="002836EB" w:rsidRDefault="000C674E" w:rsidP="00082595">
      <w:pPr>
        <w:pStyle w:val="NormalBulleted"/>
      </w:pPr>
      <w:r w:rsidRPr="002836EB">
        <w:t>Value for the individual patient</w:t>
      </w:r>
      <w:r w:rsidR="000F70C4" w:rsidRPr="002836EB">
        <w:t>.</w:t>
      </w:r>
    </w:p>
    <w:p w14:paraId="74D6FF60" w14:textId="77777777" w:rsidR="000C674E" w:rsidRPr="002836EB" w:rsidRDefault="000C674E" w:rsidP="00082595">
      <w:pPr>
        <w:pStyle w:val="NormalBulleted"/>
      </w:pPr>
      <w:r w:rsidRPr="002836EB">
        <w:t>Value for the health system</w:t>
      </w:r>
      <w:r w:rsidR="00C3470A" w:rsidRPr="002836EB">
        <w:t>.</w:t>
      </w:r>
    </w:p>
    <w:p w14:paraId="04DF0EDE" w14:textId="32F267F5" w:rsidR="00B90313" w:rsidRPr="00A56FA9" w:rsidRDefault="00B90313" w:rsidP="00B90313">
      <w:pPr>
        <w:rPr>
          <w:lang w:val="en-AU"/>
        </w:rPr>
      </w:pPr>
      <w:r w:rsidRPr="00396184">
        <w:rPr>
          <w:lang w:val="en-AU"/>
        </w:rPr>
        <w:t xml:space="preserve">The Taskforce has endorsed a </w:t>
      </w:r>
      <w:r w:rsidRPr="00A56FA9">
        <w:rPr>
          <w:lang w:val="en-AU"/>
        </w:rPr>
        <w:t>methodology</w:t>
      </w:r>
      <w:r w:rsidRPr="00396184">
        <w:rPr>
          <w:lang w:val="en-AU"/>
        </w:rPr>
        <w:t xml:space="preserve"> whereby the necessary clinical review of MBS items is undertaken by Clinical Committees and Working Groups. </w:t>
      </w:r>
      <w:r w:rsidRPr="00A56FA9">
        <w:rPr>
          <w:lang w:val="en-AU"/>
        </w:rPr>
        <w:t>The Taskforce has asked the Clinical</w:t>
      </w:r>
      <w:r>
        <w:rPr>
          <w:lang w:val="en-AU"/>
        </w:rPr>
        <w:t xml:space="preserve"> </w:t>
      </w:r>
      <w:r w:rsidRPr="00A56FA9">
        <w:rPr>
          <w:lang w:val="en-AU"/>
        </w:rPr>
        <w:t>Committees to undertake the following tasks:</w:t>
      </w:r>
    </w:p>
    <w:p w14:paraId="7C4A1637" w14:textId="77777777" w:rsidR="00B90313" w:rsidRPr="00B46A6E" w:rsidRDefault="00B90313" w:rsidP="00F95A14">
      <w:pPr>
        <w:pStyle w:val="ListParagraph"/>
        <w:numPr>
          <w:ilvl w:val="0"/>
          <w:numId w:val="40"/>
        </w:numPr>
        <w:spacing w:before="180"/>
        <w:rPr>
          <w:lang w:val="en-AU"/>
        </w:rPr>
      </w:pPr>
      <w:r w:rsidRPr="00B46A6E">
        <w:rPr>
          <w:lang w:val="en-AU"/>
        </w:rPr>
        <w:t>Consider whether there are MBS items that are obsolete and should be removed from the MBS.</w:t>
      </w:r>
    </w:p>
    <w:p w14:paraId="41432554" w14:textId="77777777" w:rsidR="00B90313" w:rsidRPr="00B46A6E" w:rsidRDefault="00B90313" w:rsidP="00F95A14">
      <w:pPr>
        <w:pStyle w:val="ListParagraph"/>
        <w:numPr>
          <w:ilvl w:val="0"/>
          <w:numId w:val="40"/>
        </w:numPr>
        <w:spacing w:before="180"/>
        <w:rPr>
          <w:lang w:val="en-AU"/>
        </w:rPr>
      </w:pPr>
      <w:r w:rsidRPr="00B46A6E">
        <w:rPr>
          <w:lang w:val="en-AU"/>
        </w:rPr>
        <w:t>Consider identified priority reviews of selected MBS services.</w:t>
      </w:r>
    </w:p>
    <w:p w14:paraId="47FBF031" w14:textId="77777777" w:rsidR="00B90313" w:rsidRPr="00B46A6E" w:rsidRDefault="00B90313" w:rsidP="00F95A14">
      <w:pPr>
        <w:pStyle w:val="ListParagraph"/>
        <w:numPr>
          <w:ilvl w:val="0"/>
          <w:numId w:val="40"/>
        </w:numPr>
        <w:spacing w:before="180"/>
        <w:rPr>
          <w:lang w:val="en-AU"/>
        </w:rPr>
      </w:pPr>
      <w:r w:rsidRPr="00B46A6E">
        <w:rPr>
          <w:lang w:val="en-AU"/>
        </w:rPr>
        <w:t>Develop a program of work to consider the balance of MBS services within its remit and items</w:t>
      </w:r>
      <w:r>
        <w:rPr>
          <w:lang w:val="en-AU"/>
        </w:rPr>
        <w:t xml:space="preserve"> </w:t>
      </w:r>
      <w:r w:rsidRPr="00B46A6E">
        <w:rPr>
          <w:lang w:val="en-AU"/>
        </w:rPr>
        <w:t>assigned to the Committee.</w:t>
      </w:r>
    </w:p>
    <w:p w14:paraId="273A5820" w14:textId="77777777" w:rsidR="00B90313" w:rsidRPr="00B46A6E" w:rsidRDefault="00B90313" w:rsidP="00F95A14">
      <w:pPr>
        <w:pStyle w:val="ListParagraph"/>
        <w:numPr>
          <w:ilvl w:val="0"/>
          <w:numId w:val="40"/>
        </w:numPr>
        <w:spacing w:before="180"/>
        <w:rPr>
          <w:lang w:val="en-AU"/>
        </w:rPr>
      </w:pPr>
      <w:r w:rsidRPr="00B46A6E">
        <w:rPr>
          <w:lang w:val="en-AU"/>
        </w:rPr>
        <w:t>Advise the Taskforce on relevant general MBS issues identified by the Committee in the course</w:t>
      </w:r>
      <w:r>
        <w:rPr>
          <w:lang w:val="en-AU"/>
        </w:rPr>
        <w:t xml:space="preserve"> </w:t>
      </w:r>
      <w:r w:rsidRPr="00B46A6E">
        <w:rPr>
          <w:lang w:val="en-AU"/>
        </w:rPr>
        <w:t>of its deliberations.</w:t>
      </w:r>
    </w:p>
    <w:p w14:paraId="045392AE" w14:textId="77777777" w:rsidR="00B90313" w:rsidRPr="00A56FA9" w:rsidRDefault="00B90313" w:rsidP="00B90313">
      <w:pPr>
        <w:rPr>
          <w:lang w:val="en-AU"/>
        </w:rPr>
      </w:pPr>
      <w:r w:rsidRPr="00A56FA9">
        <w:rPr>
          <w:lang w:val="en-AU"/>
        </w:rPr>
        <w:t>The recommendations from the Clinical Committees are released for stakeholder consultation. The</w:t>
      </w:r>
      <w:r>
        <w:rPr>
          <w:lang w:val="en-AU"/>
        </w:rPr>
        <w:t xml:space="preserve"> </w:t>
      </w:r>
      <w:r w:rsidRPr="00A56FA9">
        <w:rPr>
          <w:lang w:val="en-AU"/>
        </w:rPr>
        <w:t>Clinical Committees will consider feedback from stakeholders and then provide recommendations to</w:t>
      </w:r>
      <w:r>
        <w:rPr>
          <w:lang w:val="en-AU"/>
        </w:rPr>
        <w:t xml:space="preserve"> </w:t>
      </w:r>
      <w:r w:rsidRPr="00A56FA9">
        <w:rPr>
          <w:lang w:val="en-AU"/>
        </w:rPr>
        <w:t>the Taskforce in a Review Report. The Taskforce will consider the Review Report from Clinical</w:t>
      </w:r>
      <w:r>
        <w:rPr>
          <w:lang w:val="en-AU"/>
        </w:rPr>
        <w:t xml:space="preserve"> </w:t>
      </w:r>
      <w:r w:rsidRPr="00A56FA9">
        <w:rPr>
          <w:lang w:val="en-AU"/>
        </w:rPr>
        <w:t xml:space="preserve">Committees and stakeholder feedback before making recommendations to the Minister </w:t>
      </w:r>
      <w:r>
        <w:rPr>
          <w:lang w:val="en-AU"/>
        </w:rPr>
        <w:t xml:space="preserve">for Health, </w:t>
      </w:r>
      <w:r w:rsidRPr="00A56FA9">
        <w:rPr>
          <w:lang w:val="en-AU"/>
        </w:rPr>
        <w:t>for</w:t>
      </w:r>
      <w:r>
        <w:rPr>
          <w:lang w:val="en-AU"/>
        </w:rPr>
        <w:t xml:space="preserve"> </w:t>
      </w:r>
      <w:r w:rsidRPr="00A56FA9">
        <w:rPr>
          <w:lang w:val="en-AU"/>
        </w:rPr>
        <w:t>consideration by Government.</w:t>
      </w:r>
    </w:p>
    <w:p w14:paraId="770FF9A3" w14:textId="58963588" w:rsidR="000C674E" w:rsidRPr="001B759C" w:rsidRDefault="009822BD" w:rsidP="001B759C">
      <w:pPr>
        <w:pStyle w:val="Heading2"/>
      </w:pPr>
      <w:bookmarkStart w:id="5" w:name="_Toc479082762"/>
      <w:r w:rsidRPr="001B759C">
        <w:t>MBS Review process</w:t>
      </w:r>
      <w:bookmarkEnd w:id="5"/>
    </w:p>
    <w:p w14:paraId="3AE8D47B" w14:textId="56DBDDE5" w:rsidR="000C674E" w:rsidRPr="002836EB" w:rsidRDefault="000C674E" w:rsidP="005541B4">
      <w:pPr>
        <w:widowControl w:val="0"/>
        <w:autoSpaceDE w:val="0"/>
        <w:autoSpaceDN w:val="0"/>
        <w:adjustRightInd w:val="0"/>
        <w:spacing w:after="0"/>
      </w:pPr>
      <w:r w:rsidRPr="002836EB">
        <w:t>The Taskforce asked all committees in the second tranche of the review process to review MBS items using a framework based on Professor Adam Elshaug’s appropriate use criteria</w:t>
      </w:r>
      <w:r w:rsidR="00FE0C38">
        <w:t>.</w:t>
      </w:r>
      <w:r w:rsidR="00AE7E32" w:rsidRPr="00FE0C38">
        <w:rPr>
          <w:noProof/>
          <w:vertAlign w:val="superscript"/>
        </w:rPr>
        <w:t>(</w:t>
      </w:r>
      <w:r w:rsidR="008445E6" w:rsidRPr="00FE0C38">
        <w:rPr>
          <w:noProof/>
          <w:vertAlign w:val="superscript"/>
        </w:rPr>
        <w:fldChar w:fldCharType="begin"/>
      </w:r>
      <w:r w:rsidR="008445E6" w:rsidRPr="00FE0C38">
        <w:rPr>
          <w:noProof/>
          <w:vertAlign w:val="superscript"/>
        </w:rPr>
        <w:instrText xml:space="preserve"> REF _Ref472003361 \r \h </w:instrText>
      </w:r>
      <w:r w:rsidR="00FE0C38">
        <w:rPr>
          <w:noProof/>
          <w:vertAlign w:val="superscript"/>
        </w:rPr>
        <w:instrText xml:space="preserve"> \* MERGEFORMAT </w:instrText>
      </w:r>
      <w:r w:rsidR="008445E6" w:rsidRPr="00FE0C38">
        <w:rPr>
          <w:noProof/>
          <w:vertAlign w:val="superscript"/>
        </w:rPr>
      </w:r>
      <w:r w:rsidR="008445E6" w:rsidRPr="00FE0C38">
        <w:rPr>
          <w:noProof/>
          <w:vertAlign w:val="superscript"/>
        </w:rPr>
        <w:fldChar w:fldCharType="separate"/>
      </w:r>
      <w:r w:rsidR="003274EF">
        <w:rPr>
          <w:noProof/>
          <w:vertAlign w:val="superscript"/>
        </w:rPr>
        <w:t>1</w:t>
      </w:r>
      <w:r w:rsidR="008445E6" w:rsidRPr="00FE0C38">
        <w:rPr>
          <w:noProof/>
          <w:vertAlign w:val="superscript"/>
        </w:rPr>
        <w:fldChar w:fldCharType="end"/>
      </w:r>
      <w:r w:rsidR="00AE7E32" w:rsidRPr="00FE0C38">
        <w:rPr>
          <w:noProof/>
          <w:vertAlign w:val="superscript"/>
        </w:rPr>
        <w:t>)</w:t>
      </w:r>
      <w:r w:rsidRPr="002836EB">
        <w:t xml:space="preserve"> This framework includes the following steps: (i) review data and literature relevant to the items under consideration; (ii) identify MBS items that are potentially obsolete, are of questionable clinical value, are misused and/or pose a risk to patient safety; and (iii) develop and refine recommendations for these items, based on the literature and relevant data, in consultation with relevant stakeholders. In complex cases, full appropriate use criteria were developed for an item’s descriptor and explanatory notes. All second-tranche committees involved in this review adopted this framework, which is outlined in more detail in</w:t>
      </w:r>
      <w:r w:rsidR="00BC7F2B" w:rsidRPr="002836EB">
        <w:t xml:space="preserve"> Section</w:t>
      </w:r>
      <w:r w:rsidRPr="002836EB">
        <w:t xml:space="preserve"> </w:t>
      </w:r>
      <w:r w:rsidR="00BC7F2B" w:rsidRPr="002836EB">
        <w:fldChar w:fldCharType="begin"/>
      </w:r>
      <w:r w:rsidR="00BC7F2B" w:rsidRPr="002836EB">
        <w:instrText xml:space="preserve"> REF _Ref462870354 \r \h </w:instrText>
      </w:r>
      <w:r w:rsidR="00BC7F2B" w:rsidRPr="002836EB">
        <w:fldChar w:fldCharType="separate"/>
      </w:r>
      <w:r w:rsidR="003274EF">
        <w:t>2.3</w:t>
      </w:r>
      <w:r w:rsidR="00BC7F2B" w:rsidRPr="002836EB">
        <w:fldChar w:fldCharType="end"/>
      </w:r>
      <w:r w:rsidR="003854A9" w:rsidRPr="002836EB">
        <w:t>.</w:t>
      </w:r>
    </w:p>
    <w:p w14:paraId="112C4CAD" w14:textId="41F4230B" w:rsidR="000C674E" w:rsidRDefault="000C674E" w:rsidP="00082595">
      <w:r w:rsidRPr="002836EB">
        <w:t xml:space="preserve">The recommendations from the </w:t>
      </w:r>
      <w:r w:rsidR="00433680" w:rsidRPr="002836EB">
        <w:t>C</w:t>
      </w:r>
      <w:r w:rsidRPr="002836EB">
        <w:t xml:space="preserve">linical </w:t>
      </w:r>
      <w:r w:rsidR="00433680" w:rsidRPr="002836EB">
        <w:t>C</w:t>
      </w:r>
      <w:r w:rsidRPr="002836EB">
        <w:t xml:space="preserve">ommittees </w:t>
      </w:r>
      <w:r w:rsidR="00E301F7">
        <w:t>ar</w:t>
      </w:r>
      <w:r w:rsidRPr="002836EB">
        <w:t xml:space="preserve">e released for stakeholder consultation. The </w:t>
      </w:r>
      <w:r w:rsidR="00181E64" w:rsidRPr="002836EB">
        <w:t>C</w:t>
      </w:r>
      <w:r w:rsidRPr="002836EB">
        <w:t xml:space="preserve">linical </w:t>
      </w:r>
      <w:r w:rsidR="00181E64" w:rsidRPr="002836EB">
        <w:t>C</w:t>
      </w:r>
      <w:r w:rsidRPr="002836EB">
        <w:t xml:space="preserve">ommittees will consider feedback from stakeholders and then provide recommendations to the Taskforce in review reports. The Taskforce consider the review reports from </w:t>
      </w:r>
      <w:r w:rsidR="009937FB" w:rsidRPr="002836EB">
        <w:t>C</w:t>
      </w:r>
      <w:r w:rsidRPr="002836EB">
        <w:t xml:space="preserve">linical </w:t>
      </w:r>
      <w:r w:rsidR="009937FB" w:rsidRPr="002836EB">
        <w:t>C</w:t>
      </w:r>
      <w:r w:rsidRPr="002836EB">
        <w:t>ommittees</w:t>
      </w:r>
      <w:r w:rsidR="00D54B53" w:rsidRPr="002836EB">
        <w:t>, along with</w:t>
      </w:r>
      <w:r w:rsidRPr="002836EB">
        <w:t xml:space="preserve"> stakeholder feedback</w:t>
      </w:r>
      <w:r w:rsidR="00087FDA" w:rsidRPr="002836EB">
        <w:t>,</w:t>
      </w:r>
      <w:r w:rsidRPr="002836EB">
        <w:t xml:space="preserve"> before making recommendations to the Minister for Health</w:t>
      </w:r>
      <w:r w:rsidR="00156461" w:rsidRPr="002836EB">
        <w:t xml:space="preserve"> </w:t>
      </w:r>
      <w:r w:rsidRPr="002836EB">
        <w:t>for c</w:t>
      </w:r>
      <w:r w:rsidR="007A06D9" w:rsidRPr="002836EB">
        <w:t>onsideration by the Government.</w:t>
      </w:r>
    </w:p>
    <w:p w14:paraId="78190CF9" w14:textId="30EDF495" w:rsidR="00E301F7" w:rsidRDefault="00E301F7" w:rsidP="00082595">
      <w:r>
        <w:t xml:space="preserve">Through the process of the review and consideration </w:t>
      </w:r>
      <w:r w:rsidR="00396184">
        <w:t xml:space="preserve">by Government, implications of </w:t>
      </w:r>
      <w:r>
        <w:t>any changes on the health system are considered.</w:t>
      </w:r>
    </w:p>
    <w:p w14:paraId="6B864217" w14:textId="3DBFB218" w:rsidR="00512F2C" w:rsidRPr="00396184" w:rsidRDefault="00390750" w:rsidP="00650794">
      <w:pPr>
        <w:pStyle w:val="Heading2"/>
      </w:pPr>
      <w:bookmarkStart w:id="6" w:name="_Toc479082763"/>
      <w:r w:rsidRPr="00396184">
        <w:lastRenderedPageBreak/>
        <w:t xml:space="preserve">The </w:t>
      </w:r>
      <w:r w:rsidR="002B24BF" w:rsidRPr="00396184">
        <w:t>Oncology Clinical Committee</w:t>
      </w:r>
      <w:bookmarkEnd w:id="6"/>
    </w:p>
    <w:p w14:paraId="2AA4B199" w14:textId="096FECE5" w:rsidR="00E3071F" w:rsidRPr="002836EB" w:rsidRDefault="000C674E" w:rsidP="00082595">
      <w:r w:rsidRPr="002836EB" w:rsidDel="00453302">
        <w:t xml:space="preserve">The </w:t>
      </w:r>
      <w:r w:rsidR="00110541" w:rsidRPr="002836EB" w:rsidDel="00453302">
        <w:t>Oncology Clinical Committee</w:t>
      </w:r>
      <w:r w:rsidRPr="002836EB" w:rsidDel="00453302">
        <w:t xml:space="preserve"> (</w:t>
      </w:r>
      <w:r w:rsidR="00C075B8" w:rsidDel="00453302">
        <w:t xml:space="preserve">the </w:t>
      </w:r>
      <w:r w:rsidRPr="002836EB" w:rsidDel="00453302">
        <w:t xml:space="preserve">Committee) was established in April 2016 to make recommendations to the Taskforce regarding MBS items in its area of responsibility, </w:t>
      </w:r>
      <w:r w:rsidR="006F43FC" w:rsidRPr="002836EB" w:rsidDel="00453302">
        <w:t>based on clinical expertise and (where appropriate) rapid evidence review.</w:t>
      </w:r>
      <w:r w:rsidRPr="002836EB" w:rsidDel="00453302">
        <w:t xml:space="preserve"> The Taskforce asked the Committee to review </w:t>
      </w:r>
      <w:r w:rsidR="006F43FC" w:rsidRPr="002836EB" w:rsidDel="00453302">
        <w:t>oncology</w:t>
      </w:r>
      <w:r w:rsidRPr="002836EB" w:rsidDel="00453302">
        <w:t>-related items.</w:t>
      </w:r>
    </w:p>
    <w:p w14:paraId="28DE0AB3" w14:textId="267A8406" w:rsidR="00371DD4" w:rsidRPr="002836EB" w:rsidRDefault="003A69A7" w:rsidP="00082595">
      <w:r w:rsidRPr="002836EB">
        <w:t xml:space="preserve">The Committee was assigned </w:t>
      </w:r>
      <w:r w:rsidR="000B4C94">
        <w:t>101</w:t>
      </w:r>
      <w:r w:rsidR="00AE7EEC" w:rsidRPr="002836EB">
        <w:t xml:space="preserve"> </w:t>
      </w:r>
      <w:r w:rsidRPr="002836EB">
        <w:t>MBS items to review</w:t>
      </w:r>
      <w:bookmarkStart w:id="7" w:name="_Ref474878834"/>
      <w:r w:rsidR="000B4C94">
        <w:rPr>
          <w:rStyle w:val="FootnoteReference"/>
        </w:rPr>
        <w:footnoteReference w:id="2"/>
      </w:r>
      <w:bookmarkEnd w:id="7"/>
      <w:r w:rsidR="00BD5CDC" w:rsidRPr="002836EB">
        <w:t>,</w:t>
      </w:r>
      <w:r w:rsidRPr="002836EB">
        <w:t xml:space="preserve"> </w:t>
      </w:r>
      <w:r w:rsidR="00790CA7" w:rsidRPr="002836EB">
        <w:t xml:space="preserve">covering investigatory and therapeutic procedures related to medical oncology, radiation oncology </w:t>
      </w:r>
      <w:r w:rsidR="00E64C6E" w:rsidRPr="002836EB">
        <w:t xml:space="preserve">and </w:t>
      </w:r>
      <w:r w:rsidR="00790CA7" w:rsidRPr="002836EB">
        <w:t>sentinel lymph node biopsy.</w:t>
      </w:r>
      <w:r w:rsidR="00371DD4" w:rsidRPr="002836EB">
        <w:t xml:space="preserve"> All recommendations relating to these items are included in this report for consultation. </w:t>
      </w:r>
    </w:p>
    <w:p w14:paraId="694D40B4" w14:textId="0D2E3AFB" w:rsidR="003B30E4" w:rsidRPr="002836EB" w:rsidRDefault="003B30E4" w:rsidP="00082595">
      <w:r w:rsidRPr="002836EB">
        <w:t>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Minister for Health</w:t>
      </w:r>
      <w:r w:rsidR="00FB6983" w:rsidRPr="002836EB">
        <w:t xml:space="preserve"> </w:t>
      </w:r>
      <w:r w:rsidRPr="002836EB">
        <w:t>for c</w:t>
      </w:r>
      <w:r w:rsidR="00790CA7" w:rsidRPr="002836EB">
        <w:t>onsideration by the Government.</w:t>
      </w:r>
    </w:p>
    <w:p w14:paraId="53B824C3" w14:textId="77777777" w:rsidR="00C72869" w:rsidRPr="002836EB" w:rsidRDefault="005442A5" w:rsidP="005442A5">
      <w:pPr>
        <w:pStyle w:val="Heading2"/>
        <w:rPr>
          <w:lang w:val="en-GB"/>
        </w:rPr>
      </w:pPr>
      <w:bookmarkStart w:id="8" w:name="_Toc468647458"/>
      <w:bookmarkStart w:id="9" w:name="_Toc479082764"/>
      <w:r w:rsidRPr="002836EB">
        <w:rPr>
          <w:lang w:val="en-GB"/>
        </w:rPr>
        <w:t>Key recommendations</w:t>
      </w:r>
      <w:bookmarkEnd w:id="8"/>
      <w:bookmarkEnd w:id="9"/>
    </w:p>
    <w:p w14:paraId="0FE142FE" w14:textId="5CE8DD08" w:rsidR="00FF555C" w:rsidRPr="002836EB" w:rsidRDefault="005E7DDE" w:rsidP="00082595">
      <w:r w:rsidRPr="002836EB">
        <w:t xml:space="preserve">The Committee has highlighted its most important recommendations below. </w:t>
      </w:r>
      <w:r w:rsidR="00526803" w:rsidRPr="002836EB">
        <w:t xml:space="preserve">All </w:t>
      </w:r>
      <w:r w:rsidR="005A5551">
        <w:t>10</w:t>
      </w:r>
      <w:r w:rsidR="00E94CFB">
        <w:t>1</w:t>
      </w:r>
      <w:r w:rsidR="00526803" w:rsidRPr="002836EB">
        <w:t xml:space="preserve"> </w:t>
      </w:r>
      <w:r w:rsidR="00E94CFB">
        <w:t>assigned</w:t>
      </w:r>
      <w:r w:rsidR="00326206" w:rsidRPr="002836EB">
        <w:t xml:space="preserve"> </w:t>
      </w:r>
      <w:r w:rsidR="00526803" w:rsidRPr="002836EB">
        <w:t>items</w:t>
      </w:r>
      <w:r w:rsidR="00C257CF" w:rsidRPr="00E94CFB">
        <w:rPr>
          <w:vertAlign w:val="superscript"/>
        </w:rPr>
        <w:fldChar w:fldCharType="begin"/>
      </w:r>
      <w:r w:rsidR="00C257CF" w:rsidRPr="00E94CFB">
        <w:rPr>
          <w:vertAlign w:val="superscript"/>
        </w:rPr>
        <w:instrText xml:space="preserve"> NOTEREF _Ref474878834 \h </w:instrText>
      </w:r>
      <w:r w:rsidR="00C257CF" w:rsidRPr="00E94CFB">
        <w:rPr>
          <w:vertAlign w:val="superscript"/>
        </w:rPr>
      </w:r>
      <w:r w:rsidR="00C257CF" w:rsidRPr="00E94CFB">
        <w:rPr>
          <w:vertAlign w:val="superscript"/>
        </w:rPr>
        <w:fldChar w:fldCharType="separate"/>
      </w:r>
      <w:r w:rsidR="003274EF">
        <w:rPr>
          <w:vertAlign w:val="superscript"/>
        </w:rPr>
        <w:t>1</w:t>
      </w:r>
      <w:r w:rsidR="00C257CF" w:rsidRPr="00E94CFB">
        <w:rPr>
          <w:vertAlign w:val="superscript"/>
        </w:rPr>
        <w:fldChar w:fldCharType="end"/>
      </w:r>
      <w:r w:rsidR="00526803" w:rsidRPr="002836EB">
        <w:t xml:space="preserve"> </w:t>
      </w:r>
      <w:r w:rsidR="0061138C" w:rsidRPr="002836EB">
        <w:t>were found to require change</w:t>
      </w:r>
      <w:r w:rsidR="00FE5A3D" w:rsidRPr="002836EB">
        <w:t>.</w:t>
      </w:r>
      <w:r w:rsidR="0061138C" w:rsidRPr="002836EB">
        <w:t xml:space="preserve"> </w:t>
      </w:r>
      <w:r w:rsidR="00FE5A3D" w:rsidRPr="002836EB">
        <w:t>T</w:t>
      </w:r>
      <w:r w:rsidR="0061138C" w:rsidRPr="002836EB">
        <w:t xml:space="preserve">he majority have </w:t>
      </w:r>
      <w:r w:rsidR="00B92A5E" w:rsidRPr="002836EB">
        <w:t>been recommended for</w:t>
      </w:r>
      <w:r w:rsidR="0061138C" w:rsidRPr="002836EB">
        <w:t xml:space="preserve"> some level of revision</w:t>
      </w:r>
      <w:r w:rsidR="00DF5B5F" w:rsidRPr="002836EB">
        <w:t xml:space="preserve"> or restructuring</w:t>
      </w:r>
      <w:r w:rsidR="00B51CF0" w:rsidRPr="002836EB">
        <w:t>,</w:t>
      </w:r>
      <w:r w:rsidR="0061138C" w:rsidRPr="002836EB">
        <w:t xml:space="preserve"> </w:t>
      </w:r>
      <w:r w:rsidR="00857B23" w:rsidRPr="002836EB">
        <w:t>but some</w:t>
      </w:r>
      <w:r w:rsidR="003D093E" w:rsidRPr="002836EB">
        <w:t xml:space="preserve"> were considered obsolete and have been recommended </w:t>
      </w:r>
      <w:r w:rsidR="002310E9" w:rsidRPr="002836EB">
        <w:t>for removal</w:t>
      </w:r>
      <w:r w:rsidR="003D093E" w:rsidRPr="002836EB">
        <w:t xml:space="preserve"> from the schedule</w:t>
      </w:r>
      <w:r w:rsidR="00E301F7">
        <w:t xml:space="preserve"> as they no longer support contemporary clinical practice</w:t>
      </w:r>
      <w:r w:rsidR="0061138C" w:rsidRPr="002836EB">
        <w:t>.</w:t>
      </w:r>
    </w:p>
    <w:p w14:paraId="43EFFF9D" w14:textId="17FAD980" w:rsidR="005E7DDE" w:rsidRPr="002836EB" w:rsidRDefault="003D093E" w:rsidP="00082595">
      <w:r w:rsidRPr="002836EB">
        <w:t xml:space="preserve">The complete recommendations </w:t>
      </w:r>
      <w:r w:rsidR="005E7DDE" w:rsidRPr="002836EB">
        <w:t>and accompanying rationales for all items can be found in</w:t>
      </w:r>
      <w:r w:rsidR="00FF555C" w:rsidRPr="002836EB">
        <w:t xml:space="preserve"> Sections </w:t>
      </w:r>
      <w:r w:rsidR="003D79B8">
        <w:fldChar w:fldCharType="begin"/>
      </w:r>
      <w:r w:rsidR="003D79B8">
        <w:instrText xml:space="preserve"> REF _Ref463916493 \r \h </w:instrText>
      </w:r>
      <w:r w:rsidR="003D79B8">
        <w:fldChar w:fldCharType="separate"/>
      </w:r>
      <w:r w:rsidR="003274EF">
        <w:t>4</w:t>
      </w:r>
      <w:r w:rsidR="003D79B8">
        <w:fldChar w:fldCharType="end"/>
      </w:r>
      <w:r w:rsidR="003D79B8">
        <w:t xml:space="preserve"> to</w:t>
      </w:r>
      <w:r w:rsidR="00D9511C">
        <w:t xml:space="preserve"> </w:t>
      </w:r>
      <w:r w:rsidR="00D9511C">
        <w:fldChar w:fldCharType="begin"/>
      </w:r>
      <w:r w:rsidR="00D9511C">
        <w:instrText xml:space="preserve"> REF _Ref474805514 \r \h </w:instrText>
      </w:r>
      <w:r w:rsidR="00D9511C">
        <w:fldChar w:fldCharType="separate"/>
      </w:r>
      <w:r w:rsidR="003274EF">
        <w:t>6</w:t>
      </w:r>
      <w:r w:rsidR="00D9511C">
        <w:fldChar w:fldCharType="end"/>
      </w:r>
      <w:r w:rsidR="00416C03" w:rsidRPr="002836EB">
        <w:t>.</w:t>
      </w:r>
      <w:r w:rsidR="003B30E4" w:rsidRPr="002836EB">
        <w:t xml:space="preserve"> A complete list of items, </w:t>
      </w:r>
      <w:r w:rsidR="000012D6" w:rsidRPr="002836EB">
        <w:t xml:space="preserve">including </w:t>
      </w:r>
      <w:r w:rsidR="003B30E4" w:rsidRPr="002836EB">
        <w:t xml:space="preserve">the nature of the recommendations and the page number </w:t>
      </w:r>
      <w:r w:rsidR="0076302F" w:rsidRPr="002836EB">
        <w:t>for each</w:t>
      </w:r>
      <w:r w:rsidR="003B30E4" w:rsidRPr="002836EB">
        <w:t xml:space="preserve"> recommendation</w:t>
      </w:r>
      <w:r w:rsidR="00FF742B" w:rsidRPr="002836EB">
        <w:t>,</w:t>
      </w:r>
      <w:r w:rsidR="003B30E4" w:rsidRPr="002836EB">
        <w:t xml:space="preserve"> can be found i</w:t>
      </w:r>
      <w:r w:rsidR="005A6CAC" w:rsidRPr="002836EB">
        <w:t>n</w:t>
      </w:r>
      <w:r w:rsidR="00F20B88">
        <w:t xml:space="preserve"> the</w:t>
      </w:r>
      <w:r w:rsidR="005A6CAC" w:rsidRPr="002836EB">
        <w:t xml:space="preserve"> </w:t>
      </w:r>
      <w:r w:rsidR="005A6CAC" w:rsidRPr="002836EB">
        <w:fldChar w:fldCharType="begin"/>
      </w:r>
      <w:r w:rsidR="005A6CAC" w:rsidRPr="002836EB">
        <w:instrText xml:space="preserve"> REF _Ref464682264 \h </w:instrText>
      </w:r>
      <w:r w:rsidR="005A6CAC" w:rsidRPr="002836EB">
        <w:fldChar w:fldCharType="separate"/>
      </w:r>
      <w:r w:rsidR="003274EF" w:rsidRPr="002836EB">
        <w:t>Index of items</w:t>
      </w:r>
      <w:r w:rsidR="005A6CAC" w:rsidRPr="002836EB">
        <w:fldChar w:fldCharType="end"/>
      </w:r>
      <w:r w:rsidR="00171462">
        <w:t xml:space="preserve"> (</w:t>
      </w:r>
      <w:r w:rsidR="005A6CAC" w:rsidRPr="002836EB">
        <w:fldChar w:fldCharType="begin"/>
      </w:r>
      <w:r w:rsidR="005A6CAC" w:rsidRPr="002836EB">
        <w:instrText xml:space="preserve"> REF _Ref464682270 \r \h </w:instrText>
      </w:r>
      <w:r w:rsidR="005A6CAC" w:rsidRPr="002836EB">
        <w:fldChar w:fldCharType="separate"/>
      </w:r>
      <w:r w:rsidR="003274EF">
        <w:t xml:space="preserve">Appendix A </w:t>
      </w:r>
      <w:r w:rsidR="005A6CAC" w:rsidRPr="002836EB">
        <w:fldChar w:fldCharType="end"/>
      </w:r>
      <w:r w:rsidR="00887F5A">
        <w:t>)</w:t>
      </w:r>
      <w:r w:rsidR="005A6CAC" w:rsidRPr="002836EB">
        <w:t xml:space="preserve">. </w:t>
      </w:r>
      <w:r w:rsidR="008D2BCC" w:rsidRPr="002836EB">
        <w:t>These recommendations are provisional and may be revised base</w:t>
      </w:r>
      <w:r w:rsidR="003C5289" w:rsidRPr="002836EB">
        <w:t>d</w:t>
      </w:r>
      <w:r w:rsidR="008D2BCC" w:rsidRPr="002836EB">
        <w:t xml:space="preserve"> on feedback received during consultation.</w:t>
      </w:r>
    </w:p>
    <w:p w14:paraId="01EA7955" w14:textId="38BC1C1B" w:rsidR="00EE6DE2" w:rsidRPr="002836EB" w:rsidRDefault="00EE6DE2" w:rsidP="00082595">
      <w:r w:rsidRPr="002836EB">
        <w:t xml:space="preserve">The recommendations focus on the objectives of the MBS Review: improve access to medical services, encourage best practice, increase value </w:t>
      </w:r>
      <w:r w:rsidR="00601C7E">
        <w:t>for</w:t>
      </w:r>
      <w:r w:rsidRPr="002836EB">
        <w:t xml:space="preserve"> consumers and the health system, </w:t>
      </w:r>
      <w:r w:rsidR="005B73C9" w:rsidRPr="002836EB">
        <w:t>and</w:t>
      </w:r>
      <w:r w:rsidRPr="002836EB">
        <w:t xml:space="preserve"> simplify the MBS to improve both patient and provider experience (</w:t>
      </w:r>
      <w:r w:rsidR="00E12170">
        <w:t>for example</w:t>
      </w:r>
      <w:r w:rsidRPr="002836EB">
        <w:t xml:space="preserve">, through improved transparency </w:t>
      </w:r>
      <w:r w:rsidR="00D9616C" w:rsidRPr="002836EB">
        <w:t xml:space="preserve">around </w:t>
      </w:r>
      <w:r w:rsidR="0047319E">
        <w:t xml:space="preserve">billed </w:t>
      </w:r>
      <w:r w:rsidRPr="002836EB">
        <w:t>services)</w:t>
      </w:r>
      <w:r w:rsidR="001D67F7">
        <w:t>, as well as</w:t>
      </w:r>
      <w:r w:rsidRPr="002836EB">
        <w:t xml:space="preserve"> </w:t>
      </w:r>
      <w:r w:rsidR="00062488" w:rsidRPr="002836EB">
        <w:t xml:space="preserve">the </w:t>
      </w:r>
      <w:r w:rsidRPr="002836EB">
        <w:t xml:space="preserve">efficiency </w:t>
      </w:r>
      <w:r w:rsidR="007D46AA" w:rsidRPr="002836EB">
        <w:t xml:space="preserve">with which the MBS is </w:t>
      </w:r>
      <w:r w:rsidR="006140DC" w:rsidRPr="002836EB">
        <w:t>administered</w:t>
      </w:r>
      <w:r w:rsidRPr="002836EB">
        <w:t>.</w:t>
      </w:r>
    </w:p>
    <w:p w14:paraId="1114CBD5" w14:textId="68B8DB92" w:rsidR="00C52682" w:rsidRPr="00B91C70" w:rsidRDefault="00C52682" w:rsidP="000B375B">
      <w:pPr>
        <w:pStyle w:val="Boldhdg"/>
      </w:pPr>
      <w:r w:rsidRPr="00B91C70">
        <w:t xml:space="preserve">Section </w:t>
      </w:r>
      <w:r w:rsidR="00981628" w:rsidRPr="00B91C70">
        <w:fldChar w:fldCharType="begin"/>
      </w:r>
      <w:r w:rsidR="00981628" w:rsidRPr="00B91C70">
        <w:instrText xml:space="preserve"> REF _Ref464682371 \r \h </w:instrText>
      </w:r>
      <w:r w:rsidR="000B375B">
        <w:instrText xml:space="preserve"> \* MERGEFORMAT </w:instrText>
      </w:r>
      <w:r w:rsidR="00981628" w:rsidRPr="00B91C70">
        <w:fldChar w:fldCharType="separate"/>
      </w:r>
      <w:r w:rsidR="003274EF">
        <w:t>5</w:t>
      </w:r>
      <w:r w:rsidR="00981628" w:rsidRPr="00B91C70">
        <w:fldChar w:fldCharType="end"/>
      </w:r>
      <w:r w:rsidR="00981628" w:rsidRPr="00B91C70">
        <w:t xml:space="preserve"> </w:t>
      </w:r>
      <w:r w:rsidR="00BF6ABE" w:rsidRPr="00B91C70">
        <w:t xml:space="preserve">– </w:t>
      </w:r>
      <w:r w:rsidR="002C195E" w:rsidRPr="00B91C70">
        <w:fldChar w:fldCharType="begin"/>
      </w:r>
      <w:r w:rsidR="002C195E" w:rsidRPr="00B91C70">
        <w:instrText xml:space="preserve"> REF _Ref463916493 \h </w:instrText>
      </w:r>
      <w:r w:rsidR="000B375B">
        <w:instrText xml:space="preserve"> \* MERGEFORMAT </w:instrText>
      </w:r>
      <w:r w:rsidR="002C195E" w:rsidRPr="00B91C70">
        <w:fldChar w:fldCharType="separate"/>
      </w:r>
      <w:r w:rsidR="003274EF" w:rsidRPr="003274EF">
        <w:t>Medical oncology recommendations</w:t>
      </w:r>
      <w:r w:rsidR="002C195E" w:rsidRPr="00B91C70">
        <w:fldChar w:fldCharType="end"/>
      </w:r>
    </w:p>
    <w:p w14:paraId="66E2AC2E" w14:textId="092C4313" w:rsidR="00BF4A59" w:rsidRPr="002836EB" w:rsidRDefault="00BF4A59" w:rsidP="00BF4A59">
      <w:pPr>
        <w:pStyle w:val="01squarebullet"/>
        <w:rPr>
          <w:lang w:val="en-GB"/>
        </w:rPr>
      </w:pPr>
      <w:r w:rsidRPr="002836EB">
        <w:rPr>
          <w:lang w:val="en-GB"/>
        </w:rPr>
        <w:t>Replace chemotherapy administration items (13915–13942 and 13</w:t>
      </w:r>
      <w:r w:rsidR="002D4147">
        <w:rPr>
          <w:lang w:val="en-GB"/>
        </w:rPr>
        <w:t>9</w:t>
      </w:r>
      <w:r w:rsidRPr="002836EB">
        <w:rPr>
          <w:lang w:val="en-GB"/>
        </w:rPr>
        <w:t>48) with a set of three items for the medical management of anticancer therapy that:</w:t>
      </w:r>
    </w:p>
    <w:p w14:paraId="20F43E00" w14:textId="08B0F2B3" w:rsidR="00BF4A59" w:rsidRPr="002836EB" w:rsidRDefault="00BF4A59" w:rsidP="00BF4A59">
      <w:pPr>
        <w:pStyle w:val="02dash"/>
        <w:rPr>
          <w:lang w:val="en-GB"/>
        </w:rPr>
      </w:pPr>
      <w:r w:rsidRPr="002836EB">
        <w:rPr>
          <w:lang w:val="en-GB"/>
        </w:rPr>
        <w:t>Cover elements of care beyond that which occurs in physical attendances.</w:t>
      </w:r>
    </w:p>
    <w:p w14:paraId="54FB3EF2" w14:textId="77777777" w:rsidR="00BF4A59" w:rsidRPr="002836EB" w:rsidRDefault="00BF4A59" w:rsidP="00A7186C">
      <w:pPr>
        <w:pStyle w:val="01squarebullet"/>
        <w:numPr>
          <w:ilvl w:val="1"/>
          <w:numId w:val="16"/>
        </w:numPr>
        <w:rPr>
          <w:lang w:val="en-GB"/>
        </w:rPr>
      </w:pPr>
      <w:r w:rsidRPr="002836EB">
        <w:rPr>
          <w:lang w:val="en-GB"/>
        </w:rPr>
        <w:t>Is applicable regardless of the chosen route of administration (i.e., including both parenteral and oral therapies).</w:t>
      </w:r>
    </w:p>
    <w:p w14:paraId="45AAA58D" w14:textId="77777777" w:rsidR="00BF4A59" w:rsidRPr="002836EB" w:rsidRDefault="00BF4A59" w:rsidP="00A7186C">
      <w:pPr>
        <w:pStyle w:val="01squarebullet"/>
        <w:numPr>
          <w:ilvl w:val="1"/>
          <w:numId w:val="16"/>
        </w:numPr>
        <w:rPr>
          <w:lang w:val="en-GB"/>
        </w:rPr>
      </w:pPr>
      <w:r w:rsidRPr="002836EB">
        <w:rPr>
          <w:lang w:val="en-GB"/>
        </w:rPr>
        <w:t>Excludes hormonal therapy and bisphosphonate therapy.</w:t>
      </w:r>
    </w:p>
    <w:p w14:paraId="3E9DF1AF" w14:textId="77777777" w:rsidR="00BF4A59" w:rsidRDefault="00BF4A59" w:rsidP="00A7186C">
      <w:pPr>
        <w:pStyle w:val="01squarebullet"/>
        <w:numPr>
          <w:ilvl w:val="1"/>
          <w:numId w:val="16"/>
        </w:numPr>
        <w:rPr>
          <w:lang w:val="en-GB"/>
        </w:rPr>
      </w:pPr>
      <w:r w:rsidRPr="002836EB">
        <w:rPr>
          <w:lang w:val="en-GB"/>
        </w:rPr>
        <w:t>Differs by the duration of medical management covered: two, three or four weeks.</w:t>
      </w:r>
    </w:p>
    <w:p w14:paraId="00DFDADC" w14:textId="54F9996C" w:rsidR="002C4BB5" w:rsidRPr="002836EB" w:rsidRDefault="00D2161A" w:rsidP="001E19F4">
      <w:pPr>
        <w:pStyle w:val="01squarebullet"/>
        <w:numPr>
          <w:ilvl w:val="0"/>
          <w:numId w:val="0"/>
        </w:numPr>
        <w:ind w:left="360"/>
        <w:rPr>
          <w:lang w:val="en-GB"/>
        </w:rPr>
      </w:pPr>
      <w:r>
        <w:rPr>
          <w:lang w:val="en-GB"/>
        </w:rPr>
        <w:t xml:space="preserve">This recommendation </w:t>
      </w:r>
      <w:r w:rsidR="00FA3696">
        <w:rPr>
          <w:lang w:val="en-GB"/>
        </w:rPr>
        <w:t xml:space="preserve">addresses the unintended </w:t>
      </w:r>
      <w:r w:rsidR="00986402">
        <w:rPr>
          <w:lang w:val="en-GB"/>
        </w:rPr>
        <w:t>consequences</w:t>
      </w:r>
      <w:r w:rsidR="00FA3696">
        <w:rPr>
          <w:lang w:val="en-GB"/>
        </w:rPr>
        <w:t xml:space="preserve"> of the current MBS items which do not provide funding to support patients accessing the care they</w:t>
      </w:r>
      <w:r w:rsidR="0053659D">
        <w:rPr>
          <w:lang w:val="en-GB"/>
        </w:rPr>
        <w:t xml:space="preserve"> need. It </w:t>
      </w:r>
      <w:r>
        <w:rPr>
          <w:lang w:val="en-GB"/>
        </w:rPr>
        <w:t xml:space="preserve">aligns MBS items to reflect the modern clinical practice of medical oncology. In particular, it more accurately reflects medical professional involvement in the </w:t>
      </w:r>
      <w:r w:rsidR="005134C4">
        <w:rPr>
          <w:lang w:val="en-GB"/>
        </w:rPr>
        <w:t>supervision and management of anticancer therapy and its associated (side) effects</w:t>
      </w:r>
      <w:r w:rsidR="003867B2">
        <w:rPr>
          <w:lang w:val="en-GB"/>
        </w:rPr>
        <w:t>—</w:t>
      </w:r>
      <w:r>
        <w:rPr>
          <w:lang w:val="en-GB"/>
        </w:rPr>
        <w:t xml:space="preserve">as opposed to the physical administration </w:t>
      </w:r>
      <w:r>
        <w:rPr>
          <w:lang w:val="en-GB"/>
        </w:rPr>
        <w:lastRenderedPageBreak/>
        <w:t>of chemotherapy</w:t>
      </w:r>
      <w:r w:rsidR="003867B2">
        <w:rPr>
          <w:lang w:val="en-GB"/>
        </w:rPr>
        <w:t>—</w:t>
      </w:r>
      <w:r w:rsidR="007275FA">
        <w:rPr>
          <w:lang w:val="en-GB"/>
        </w:rPr>
        <w:t xml:space="preserve">and it </w:t>
      </w:r>
      <w:r>
        <w:rPr>
          <w:lang w:val="en-GB"/>
        </w:rPr>
        <w:t xml:space="preserve">improves access to </w:t>
      </w:r>
      <w:r w:rsidR="005134C4">
        <w:rPr>
          <w:lang w:val="en-GB"/>
        </w:rPr>
        <w:t>modern therapies</w:t>
      </w:r>
      <w:r w:rsidR="002C4BB5">
        <w:rPr>
          <w:lang w:val="en-GB"/>
        </w:rPr>
        <w:t xml:space="preserve"> such as monoclonal antibodies. The separate items for two, three and four weeks allow administrative flexibility to bill in periods that relate as closely as possible</w:t>
      </w:r>
      <w:r w:rsidR="008727DA">
        <w:rPr>
          <w:lang w:val="en-GB"/>
        </w:rPr>
        <w:t xml:space="preserve"> to</w:t>
      </w:r>
      <w:r w:rsidR="002C4BB5">
        <w:rPr>
          <w:lang w:val="en-GB"/>
        </w:rPr>
        <w:t xml:space="preserve"> </w:t>
      </w:r>
      <w:r w:rsidR="00F324B1">
        <w:rPr>
          <w:lang w:val="en-GB"/>
        </w:rPr>
        <w:t>(or sum</w:t>
      </w:r>
      <w:r w:rsidR="008727DA">
        <w:rPr>
          <w:lang w:val="en-GB"/>
        </w:rPr>
        <w:t xml:space="preserve"> </w:t>
      </w:r>
      <w:r w:rsidR="002C4BB5">
        <w:rPr>
          <w:lang w:val="en-GB"/>
        </w:rPr>
        <w:t>to</w:t>
      </w:r>
      <w:r w:rsidR="008727DA">
        <w:rPr>
          <w:lang w:val="en-GB"/>
        </w:rPr>
        <w:t>)</w:t>
      </w:r>
      <w:r w:rsidR="002C4BB5">
        <w:rPr>
          <w:lang w:val="en-GB"/>
        </w:rPr>
        <w:t xml:space="preserve"> </w:t>
      </w:r>
      <w:r w:rsidR="00F324B1">
        <w:rPr>
          <w:lang w:val="en-GB"/>
        </w:rPr>
        <w:t>common</w:t>
      </w:r>
      <w:r w:rsidR="002C4BB5">
        <w:rPr>
          <w:lang w:val="en-GB"/>
        </w:rPr>
        <w:t xml:space="preserve"> cycle length</w:t>
      </w:r>
      <w:r w:rsidR="001144DA">
        <w:rPr>
          <w:lang w:val="en-GB"/>
        </w:rPr>
        <w:t>s</w:t>
      </w:r>
      <w:r w:rsidR="002C4BB5">
        <w:rPr>
          <w:lang w:val="en-GB"/>
        </w:rPr>
        <w:t xml:space="preserve"> of a regimen</w:t>
      </w:r>
      <w:r w:rsidR="00E90DAF">
        <w:rPr>
          <w:lang w:val="en-GB"/>
        </w:rPr>
        <w:t xml:space="preserve">, </w:t>
      </w:r>
      <w:r w:rsidR="002C4BB5">
        <w:rPr>
          <w:lang w:val="en-GB"/>
        </w:rPr>
        <w:t>recognis</w:t>
      </w:r>
      <w:r w:rsidR="00A46EB4">
        <w:rPr>
          <w:lang w:val="en-GB"/>
        </w:rPr>
        <w:t>ing</w:t>
      </w:r>
      <w:r w:rsidR="002C4BB5">
        <w:rPr>
          <w:lang w:val="en-GB"/>
        </w:rPr>
        <w:t xml:space="preserve"> that </w:t>
      </w:r>
      <w:r w:rsidR="00C9723C">
        <w:rPr>
          <w:lang w:val="en-GB"/>
        </w:rPr>
        <w:t xml:space="preserve">the </w:t>
      </w:r>
      <w:r w:rsidR="002C4BB5">
        <w:rPr>
          <w:lang w:val="en-GB"/>
        </w:rPr>
        <w:t>irreversible consequences of a decision to begin therapy</w:t>
      </w:r>
      <w:r w:rsidR="00A82C1A">
        <w:rPr>
          <w:lang w:val="en-GB"/>
        </w:rPr>
        <w:t xml:space="preserve"> (</w:t>
      </w:r>
      <w:r w:rsidR="002C4BB5">
        <w:rPr>
          <w:lang w:val="en-GB"/>
        </w:rPr>
        <w:t>such as bone marrow suppression</w:t>
      </w:r>
      <w:r w:rsidR="00A82C1A">
        <w:rPr>
          <w:lang w:val="en-GB"/>
        </w:rPr>
        <w:t>)</w:t>
      </w:r>
      <w:r w:rsidR="002C4BB5">
        <w:rPr>
          <w:lang w:val="en-GB"/>
        </w:rPr>
        <w:t xml:space="preserve"> last a minimum of two weeks</w:t>
      </w:r>
      <w:r w:rsidR="00E90DAF">
        <w:rPr>
          <w:lang w:val="en-GB"/>
        </w:rPr>
        <w:t>. The items are also</w:t>
      </w:r>
      <w:r w:rsidR="002C4BB5">
        <w:rPr>
          <w:lang w:val="en-GB"/>
        </w:rPr>
        <w:t xml:space="preserve"> </w:t>
      </w:r>
      <w:r w:rsidR="001E19F4">
        <w:rPr>
          <w:lang w:val="en-GB"/>
        </w:rPr>
        <w:t>simple, clear and audi</w:t>
      </w:r>
      <w:r w:rsidR="00FC1A0E">
        <w:rPr>
          <w:lang w:val="en-GB"/>
        </w:rPr>
        <w:t>table.</w:t>
      </w:r>
    </w:p>
    <w:p w14:paraId="5672AEC3" w14:textId="03129C90" w:rsidR="00B973BA" w:rsidRPr="002836EB" w:rsidRDefault="004D2927" w:rsidP="007A06D9">
      <w:pPr>
        <w:pStyle w:val="01squarebullet"/>
        <w:rPr>
          <w:lang w:val="en-GB"/>
        </w:rPr>
      </w:pPr>
      <w:r w:rsidRPr="002836EB">
        <w:rPr>
          <w:lang w:val="en-GB"/>
        </w:rPr>
        <w:t xml:space="preserve">Revise items for accessing long-term </w:t>
      </w:r>
      <w:r w:rsidR="005A4603" w:rsidRPr="002836EB">
        <w:rPr>
          <w:lang w:val="en-GB"/>
        </w:rPr>
        <w:t>implanted</w:t>
      </w:r>
      <w:r w:rsidRPr="002836EB">
        <w:rPr>
          <w:lang w:val="en-GB"/>
        </w:rPr>
        <w:t xml:space="preserve"> drug delivery devices: r</w:t>
      </w:r>
      <w:r w:rsidR="00B973BA" w:rsidRPr="002836EB">
        <w:rPr>
          <w:lang w:val="en-GB"/>
        </w:rPr>
        <w:t>emove item 13945 from the MBS, remove the reference to item 13945 from item 14221</w:t>
      </w:r>
      <w:r w:rsidR="00BB4FF8" w:rsidRPr="002836EB">
        <w:rPr>
          <w:lang w:val="en-GB"/>
        </w:rPr>
        <w:t>, and p</w:t>
      </w:r>
      <w:r w:rsidR="00B973BA" w:rsidRPr="002836EB">
        <w:rPr>
          <w:lang w:val="en-GB"/>
        </w:rPr>
        <w:t>revent use of item 14221 where the service is provided in conjunction with the administration of anticancer therapy.</w:t>
      </w:r>
      <w:r w:rsidR="00884E77">
        <w:rPr>
          <w:lang w:val="en-GB"/>
        </w:rPr>
        <w:t xml:space="preserve"> This recommendation recognises that use of long-term vascular access devices with anticancer therapy is </w:t>
      </w:r>
      <w:r w:rsidR="0017776D">
        <w:rPr>
          <w:lang w:val="en-GB"/>
        </w:rPr>
        <w:t xml:space="preserve">part of the </w:t>
      </w:r>
      <w:r w:rsidR="00884E77">
        <w:rPr>
          <w:lang w:val="en-GB"/>
        </w:rPr>
        <w:t>standard of care and does not represent a separate, distinct service. The recommendation also</w:t>
      </w:r>
      <w:r w:rsidR="00BF5808">
        <w:rPr>
          <w:lang w:val="en-GB"/>
        </w:rPr>
        <w:t xml:space="preserve"> addresses highly irregular and variable patterns of use for item 13945 across providers</w:t>
      </w:r>
      <w:r w:rsidR="00D57B56">
        <w:rPr>
          <w:lang w:val="en-GB"/>
        </w:rPr>
        <w:t>, thereby</w:t>
      </w:r>
      <w:r w:rsidR="00884E77">
        <w:rPr>
          <w:lang w:val="en-GB"/>
        </w:rPr>
        <w:t xml:space="preserve"> improv</w:t>
      </w:r>
      <w:r w:rsidR="00D57B56">
        <w:rPr>
          <w:lang w:val="en-GB"/>
        </w:rPr>
        <w:t>ing</w:t>
      </w:r>
      <w:r w:rsidR="00884E77">
        <w:rPr>
          <w:lang w:val="en-GB"/>
        </w:rPr>
        <w:t xml:space="preserve"> value for the patient and </w:t>
      </w:r>
      <w:r w:rsidR="005E1BDA">
        <w:rPr>
          <w:lang w:val="en-GB"/>
        </w:rPr>
        <w:t xml:space="preserve">the </w:t>
      </w:r>
      <w:r w:rsidR="00884E77">
        <w:rPr>
          <w:lang w:val="en-GB"/>
        </w:rPr>
        <w:t>health system</w:t>
      </w:r>
      <w:r w:rsidR="00C02BBA">
        <w:rPr>
          <w:lang w:val="en-GB"/>
        </w:rPr>
        <w:t>.</w:t>
      </w:r>
      <w:r w:rsidR="00884E77">
        <w:rPr>
          <w:lang w:val="en-GB"/>
        </w:rPr>
        <w:t xml:space="preserve"> </w:t>
      </w:r>
    </w:p>
    <w:p w14:paraId="65DC601A" w14:textId="024477F1" w:rsidR="00C52682" w:rsidRPr="00E454BB" w:rsidRDefault="00C52682" w:rsidP="000B375B">
      <w:pPr>
        <w:pStyle w:val="Boldhdg"/>
      </w:pPr>
      <w:r w:rsidRPr="00E454BB">
        <w:t>Section</w:t>
      </w:r>
      <w:r w:rsidR="00981628" w:rsidRPr="00E454BB">
        <w:t xml:space="preserve"> </w:t>
      </w:r>
      <w:r w:rsidR="00981628" w:rsidRPr="00E454BB">
        <w:fldChar w:fldCharType="begin"/>
      </w:r>
      <w:r w:rsidR="00981628" w:rsidRPr="00E454BB">
        <w:instrText xml:space="preserve"> REF _Ref463916501 \r \h </w:instrText>
      </w:r>
      <w:r w:rsidR="000B375B">
        <w:instrText xml:space="preserve"> \* MERGEFORMAT </w:instrText>
      </w:r>
      <w:r w:rsidR="00981628" w:rsidRPr="00E454BB">
        <w:fldChar w:fldCharType="separate"/>
      </w:r>
      <w:r w:rsidR="003274EF">
        <w:t>5</w:t>
      </w:r>
      <w:r w:rsidR="00981628" w:rsidRPr="00E454BB">
        <w:fldChar w:fldCharType="end"/>
      </w:r>
      <w:r w:rsidR="00981628" w:rsidRPr="00E454BB">
        <w:t xml:space="preserve"> </w:t>
      </w:r>
      <w:r w:rsidRPr="00E454BB">
        <w:t xml:space="preserve">– </w:t>
      </w:r>
      <w:r w:rsidR="002C195E" w:rsidRPr="00E454BB">
        <w:fldChar w:fldCharType="begin"/>
      </w:r>
      <w:r w:rsidR="002C195E" w:rsidRPr="00E454BB">
        <w:instrText xml:space="preserve"> REF _Ref463916501 \h </w:instrText>
      </w:r>
      <w:r w:rsidR="000B375B">
        <w:instrText xml:space="preserve"> \* MERGEFORMAT </w:instrText>
      </w:r>
      <w:r w:rsidR="002C195E" w:rsidRPr="00E454BB">
        <w:fldChar w:fldCharType="separate"/>
      </w:r>
      <w:r w:rsidR="003274EF" w:rsidRPr="003274EF">
        <w:t>Radiation oncology recommendations</w:t>
      </w:r>
      <w:r w:rsidR="002C195E" w:rsidRPr="00E454BB">
        <w:fldChar w:fldCharType="end"/>
      </w:r>
    </w:p>
    <w:p w14:paraId="532C70E9" w14:textId="7C0D0000" w:rsidR="00E2747B" w:rsidRPr="002836EB" w:rsidRDefault="00E2747B" w:rsidP="00E2747B">
      <w:pPr>
        <w:pStyle w:val="01squarebullet"/>
        <w:rPr>
          <w:lang w:val="en-GB"/>
        </w:rPr>
      </w:pPr>
      <w:r w:rsidRPr="002836EB">
        <w:rPr>
          <w:lang w:val="en-GB"/>
        </w:rPr>
        <w:t>Restructure megavoltage items</w:t>
      </w:r>
      <w:r w:rsidR="0053659D">
        <w:rPr>
          <w:lang w:val="en-GB"/>
        </w:rPr>
        <w:t xml:space="preserve"> for radiation therapy treatment</w:t>
      </w:r>
      <w:r w:rsidRPr="002836EB">
        <w:rPr>
          <w:lang w:val="en-GB"/>
        </w:rPr>
        <w:t xml:space="preserve"> into a two-part payment model tiered by complexity level: a planning part, covering simulation, dosimetry, voluming and quality assurance activities; and a treatment part, covering treatment and verification activities</w:t>
      </w:r>
      <w:r w:rsidR="008A017B">
        <w:rPr>
          <w:lang w:val="en-GB"/>
        </w:rPr>
        <w:t xml:space="preserve"> (and </w:t>
      </w:r>
      <w:r w:rsidRPr="002836EB">
        <w:rPr>
          <w:lang w:val="en-GB"/>
        </w:rPr>
        <w:t>p</w:t>
      </w:r>
      <w:r w:rsidR="008A017B">
        <w:rPr>
          <w:lang w:val="en-GB"/>
        </w:rPr>
        <w:t xml:space="preserve">ayable on a per-fraction basis). This recommendation aligns MBS items with </w:t>
      </w:r>
      <w:r w:rsidR="00FF05E4">
        <w:rPr>
          <w:lang w:val="en-GB"/>
        </w:rPr>
        <w:t xml:space="preserve">the modern delivery of radiation therapy, </w:t>
      </w:r>
      <w:r w:rsidR="00353D97">
        <w:rPr>
          <w:lang w:val="en-GB"/>
        </w:rPr>
        <w:t>recognising</w:t>
      </w:r>
      <w:r w:rsidR="004955C8">
        <w:rPr>
          <w:lang w:val="en-GB"/>
        </w:rPr>
        <w:t xml:space="preserve"> the major determinants of the level of professional involvement required, and </w:t>
      </w:r>
      <w:r w:rsidR="0068473F">
        <w:rPr>
          <w:lang w:val="en-GB"/>
        </w:rPr>
        <w:t xml:space="preserve">that </w:t>
      </w:r>
      <w:r w:rsidR="00FF05E4">
        <w:rPr>
          <w:lang w:val="en-GB"/>
        </w:rPr>
        <w:t>simulation and dosimetry are performed in an integrated f</w:t>
      </w:r>
      <w:r w:rsidR="00DE4BDE">
        <w:rPr>
          <w:lang w:val="en-GB"/>
        </w:rPr>
        <w:t>ashion</w:t>
      </w:r>
      <w:r w:rsidR="00755D55">
        <w:rPr>
          <w:lang w:val="en-GB"/>
        </w:rPr>
        <w:t xml:space="preserve"> </w:t>
      </w:r>
      <w:r w:rsidR="00984B9F">
        <w:rPr>
          <w:lang w:val="en-GB"/>
        </w:rPr>
        <w:t xml:space="preserve">and </w:t>
      </w:r>
      <w:r w:rsidR="00755D55">
        <w:rPr>
          <w:lang w:val="en-GB"/>
        </w:rPr>
        <w:t>do not represent distinct</w:t>
      </w:r>
      <w:r w:rsidR="00B61799">
        <w:rPr>
          <w:lang w:val="en-GB"/>
        </w:rPr>
        <w:t xml:space="preserve"> services</w:t>
      </w:r>
      <w:r w:rsidR="004955C8">
        <w:rPr>
          <w:lang w:val="en-GB"/>
        </w:rPr>
        <w:t xml:space="preserve">. </w:t>
      </w:r>
    </w:p>
    <w:p w14:paraId="49564AB5" w14:textId="5FB998D4" w:rsidR="00E2747B" w:rsidRPr="002836EB" w:rsidRDefault="00E2747B" w:rsidP="00E2747B">
      <w:pPr>
        <w:pStyle w:val="01squarebullet"/>
        <w:rPr>
          <w:lang w:val="en-GB"/>
        </w:rPr>
      </w:pPr>
      <w:r w:rsidRPr="002836EB">
        <w:rPr>
          <w:lang w:val="en-GB"/>
        </w:rPr>
        <w:t>Consolidate superficial and orthovoltage radiotherapy items (150</w:t>
      </w:r>
      <w:r w:rsidR="0053146B" w:rsidRPr="002836EB">
        <w:rPr>
          <w:lang w:val="en-GB"/>
        </w:rPr>
        <w:t>0</w:t>
      </w:r>
      <w:r w:rsidRPr="002836EB">
        <w:rPr>
          <w:lang w:val="en-GB"/>
        </w:rPr>
        <w:t>0</w:t>
      </w:r>
      <w:r w:rsidR="006D2FC6">
        <w:rPr>
          <w:lang w:val="en-GB"/>
        </w:rPr>
        <w:t>–</w:t>
      </w:r>
      <w:r w:rsidRPr="002836EB">
        <w:rPr>
          <w:lang w:val="en-GB"/>
        </w:rPr>
        <w:t>15115) into three items for kilovoltage therapy to the first anatomical site, subsequent anatomical site(s)</w:t>
      </w:r>
      <w:r w:rsidR="005C0A67">
        <w:rPr>
          <w:lang w:val="en-GB"/>
        </w:rPr>
        <w:t>,</w:t>
      </w:r>
      <w:r w:rsidRPr="002836EB">
        <w:rPr>
          <w:lang w:val="en-GB"/>
        </w:rPr>
        <w:t xml:space="preserve"> or the orbit or orbital structures. </w:t>
      </w:r>
      <w:r w:rsidR="009734FD">
        <w:rPr>
          <w:lang w:val="en-GB"/>
        </w:rPr>
        <w:t>This recommendation removes a clinical</w:t>
      </w:r>
      <w:r w:rsidR="005C0A67">
        <w:rPr>
          <w:lang w:val="en-GB"/>
        </w:rPr>
        <w:t>ly</w:t>
      </w:r>
      <w:r w:rsidR="009734FD">
        <w:rPr>
          <w:lang w:val="en-GB"/>
        </w:rPr>
        <w:t xml:space="preserve"> obsolete distinc</w:t>
      </w:r>
      <w:r w:rsidR="004E51A4">
        <w:rPr>
          <w:lang w:val="en-GB"/>
        </w:rPr>
        <w:t xml:space="preserve">tion and simplifies the </w:t>
      </w:r>
      <w:r w:rsidR="00A26752">
        <w:rPr>
          <w:lang w:val="en-GB"/>
        </w:rPr>
        <w:t>MBS items.</w:t>
      </w:r>
    </w:p>
    <w:p w14:paraId="5ACF4BA4" w14:textId="5A0635E3" w:rsidR="003A6CF7" w:rsidRDefault="003A6CF7" w:rsidP="00E2747B">
      <w:pPr>
        <w:pStyle w:val="01squarebullet"/>
        <w:rPr>
          <w:lang w:val="en-GB"/>
        </w:rPr>
      </w:pPr>
      <w:r>
        <w:rPr>
          <w:lang w:val="en-GB"/>
        </w:rPr>
        <w:t>Restructure brachytherapy items into four items tiered by complexity level, covering the previously separate items for radiation source locali</w:t>
      </w:r>
      <w:r w:rsidR="0091316C">
        <w:rPr>
          <w:lang w:val="en-GB"/>
        </w:rPr>
        <w:t>s</w:t>
      </w:r>
      <w:r>
        <w:rPr>
          <w:lang w:val="en-GB"/>
        </w:rPr>
        <w:t>ation, planning, insertion/treatment, treatment verification and rem</w:t>
      </w:r>
      <w:r w:rsidR="00A71AA7">
        <w:rPr>
          <w:lang w:val="en-GB"/>
        </w:rPr>
        <w:t>oval.</w:t>
      </w:r>
      <w:r w:rsidR="009B1298">
        <w:rPr>
          <w:lang w:val="en-GB"/>
        </w:rPr>
        <w:t xml:space="preserve"> This recommendation aligns MBS items with the modern delivery of radiation therapy, </w:t>
      </w:r>
      <w:r w:rsidR="002F5C71">
        <w:rPr>
          <w:lang w:val="en-GB"/>
        </w:rPr>
        <w:t>recognising</w:t>
      </w:r>
      <w:r w:rsidR="009B1298">
        <w:rPr>
          <w:lang w:val="en-GB"/>
        </w:rPr>
        <w:t xml:space="preserve"> the major determinants of the level of professional involvement required.</w:t>
      </w:r>
    </w:p>
    <w:p w14:paraId="40BDB85B" w14:textId="58879BA8" w:rsidR="00E2747B" w:rsidRPr="005D50D5" w:rsidRDefault="006F47C1" w:rsidP="00A7186C">
      <w:pPr>
        <w:pStyle w:val="01squarebullet"/>
        <w:numPr>
          <w:ilvl w:val="1"/>
          <w:numId w:val="16"/>
        </w:numPr>
        <w:rPr>
          <w:lang w:val="en-GB"/>
        </w:rPr>
      </w:pPr>
      <w:r>
        <w:rPr>
          <w:lang w:val="en-GB"/>
        </w:rPr>
        <w:t>T</w:t>
      </w:r>
      <w:r w:rsidR="005D50D5" w:rsidRPr="005D50D5">
        <w:rPr>
          <w:lang w:val="en-GB"/>
        </w:rPr>
        <w:t xml:space="preserve">he Committee </w:t>
      </w:r>
      <w:r w:rsidR="00813B4F">
        <w:rPr>
          <w:lang w:val="en-GB"/>
        </w:rPr>
        <w:t xml:space="preserve">also </w:t>
      </w:r>
      <w:r w:rsidR="005D50D5" w:rsidRPr="005D50D5">
        <w:rPr>
          <w:lang w:val="en-GB"/>
        </w:rPr>
        <w:t>made an interim-state recommendation</w:t>
      </w:r>
      <w:r w:rsidR="00166418">
        <w:rPr>
          <w:lang w:val="en-GB"/>
        </w:rPr>
        <w:t xml:space="preserve"> (in case any</w:t>
      </w:r>
      <w:r w:rsidR="00166418" w:rsidRPr="005D50D5">
        <w:rPr>
          <w:lang w:val="en-GB"/>
        </w:rPr>
        <w:t xml:space="preserve"> delays </w:t>
      </w:r>
      <w:r w:rsidR="00DF136F">
        <w:rPr>
          <w:lang w:val="en-GB"/>
        </w:rPr>
        <w:t>are</w:t>
      </w:r>
      <w:r w:rsidR="00166418">
        <w:rPr>
          <w:lang w:val="en-GB"/>
        </w:rPr>
        <w:t xml:space="preserve"> anticipated with regards </w:t>
      </w:r>
      <w:r w:rsidR="00166418" w:rsidRPr="005D50D5">
        <w:rPr>
          <w:lang w:val="en-GB"/>
        </w:rPr>
        <w:t>to implementing this</w:t>
      </w:r>
      <w:r w:rsidR="005B43ED">
        <w:rPr>
          <w:lang w:val="en-GB"/>
        </w:rPr>
        <w:t xml:space="preserve"> recommended restructuring</w:t>
      </w:r>
      <w:r w:rsidR="00AC630D">
        <w:rPr>
          <w:lang w:val="en-GB"/>
        </w:rPr>
        <w:t>)</w:t>
      </w:r>
      <w:r w:rsidR="005D50D5" w:rsidRPr="005D50D5">
        <w:rPr>
          <w:lang w:val="en-GB"/>
        </w:rPr>
        <w:t xml:space="preserve">: </w:t>
      </w:r>
      <w:r w:rsidR="0053659D">
        <w:rPr>
          <w:lang w:val="en-GB"/>
        </w:rPr>
        <w:t xml:space="preserve">to </w:t>
      </w:r>
      <w:r w:rsidR="005D50D5">
        <w:rPr>
          <w:lang w:val="en-GB"/>
        </w:rPr>
        <w:t>r</w:t>
      </w:r>
      <w:r w:rsidR="00E2747B" w:rsidRPr="005D50D5">
        <w:rPr>
          <w:lang w:val="en-GB"/>
        </w:rPr>
        <w:t xml:space="preserve">evise brachytherapy items by deleting obsolete items referring to radioactive sealed sources with </w:t>
      </w:r>
      <w:r w:rsidR="0038354D" w:rsidRPr="005D50D5">
        <w:rPr>
          <w:lang w:val="en-GB"/>
        </w:rPr>
        <w:t xml:space="preserve">a </w:t>
      </w:r>
      <w:r w:rsidR="00E2747B" w:rsidRPr="005D50D5">
        <w:rPr>
          <w:lang w:val="en-GB"/>
        </w:rPr>
        <w:t>half-life greater than 115 days, and consolidat</w:t>
      </w:r>
      <w:r w:rsidR="007220EA">
        <w:rPr>
          <w:lang w:val="en-GB"/>
        </w:rPr>
        <w:t>e</w:t>
      </w:r>
      <w:r w:rsidR="00E2747B" w:rsidRPr="005D50D5">
        <w:rPr>
          <w:lang w:val="en-GB"/>
        </w:rPr>
        <w:t xml:space="preserve"> items that unnecessarily distinguish between manual and automatic after</w:t>
      </w:r>
      <w:r w:rsidR="008A0511" w:rsidRPr="005D50D5">
        <w:rPr>
          <w:lang w:val="en-GB"/>
        </w:rPr>
        <w:t>-</w:t>
      </w:r>
      <w:r w:rsidR="00E2747B" w:rsidRPr="005D50D5">
        <w:rPr>
          <w:lang w:val="en-GB"/>
        </w:rPr>
        <w:t>loading techniques.</w:t>
      </w:r>
    </w:p>
    <w:p w14:paraId="260529A9" w14:textId="03351E5E" w:rsidR="00B372B4" w:rsidRDefault="00B372B4" w:rsidP="00E2747B">
      <w:pPr>
        <w:pStyle w:val="01squarebullet"/>
        <w:rPr>
          <w:lang w:val="en-GB"/>
        </w:rPr>
      </w:pPr>
      <w:r w:rsidRPr="002836EB">
        <w:rPr>
          <w:lang w:val="en-GB"/>
        </w:rPr>
        <w:t>Delete obsolete cobalt and caesium radiat</w:t>
      </w:r>
      <w:r w:rsidR="000A6ADC">
        <w:rPr>
          <w:lang w:val="en-GB"/>
        </w:rPr>
        <w:t xml:space="preserve">ion therapy items 15211 and 15214. </w:t>
      </w:r>
    </w:p>
    <w:p w14:paraId="5AD041FD" w14:textId="270A57E3" w:rsidR="00F80480" w:rsidRPr="000338EC" w:rsidRDefault="00F80480" w:rsidP="00F80480">
      <w:pPr>
        <w:pStyle w:val="Boldhdg"/>
      </w:pPr>
      <w:bookmarkStart w:id="10" w:name="_Ref464165407"/>
      <w:r w:rsidRPr="000338EC">
        <w:t>Section</w:t>
      </w:r>
      <w:r>
        <w:t xml:space="preserve"> </w:t>
      </w:r>
      <w:bookmarkEnd w:id="10"/>
      <w:r w:rsidR="00280DA1">
        <w:fldChar w:fldCharType="begin"/>
      </w:r>
      <w:r w:rsidR="00280DA1">
        <w:instrText xml:space="preserve"> REF _Ref474805539 \r \h </w:instrText>
      </w:r>
      <w:r w:rsidR="00280DA1">
        <w:fldChar w:fldCharType="separate"/>
      </w:r>
      <w:r w:rsidR="003274EF">
        <w:t>6</w:t>
      </w:r>
      <w:r w:rsidR="00280DA1">
        <w:fldChar w:fldCharType="end"/>
      </w:r>
      <w:r w:rsidR="00280DA1">
        <w:t xml:space="preserve"> – </w:t>
      </w:r>
      <w:r w:rsidR="00280DA1">
        <w:fldChar w:fldCharType="begin"/>
      </w:r>
      <w:r w:rsidR="00280DA1">
        <w:instrText xml:space="preserve"> REF _Ref474805542 \h </w:instrText>
      </w:r>
      <w:r w:rsidR="00280DA1">
        <w:fldChar w:fldCharType="separate"/>
      </w:r>
      <w:r w:rsidR="003274EF">
        <w:rPr>
          <w:lang w:val="en-GB"/>
        </w:rPr>
        <w:t>Surgical and paediatric oncology recommendations</w:t>
      </w:r>
      <w:r w:rsidR="00280DA1">
        <w:fldChar w:fldCharType="end"/>
      </w:r>
    </w:p>
    <w:p w14:paraId="02807655" w14:textId="641E8DF2" w:rsidR="00F80480" w:rsidRDefault="00F80480" w:rsidP="00F80480">
      <w:pPr>
        <w:pStyle w:val="01squarebullet"/>
        <w:rPr>
          <w:lang w:val="en-GB"/>
        </w:rPr>
      </w:pPr>
      <w:r w:rsidRPr="002836EB">
        <w:rPr>
          <w:lang w:val="en-GB"/>
        </w:rPr>
        <w:t>Consolidate</w:t>
      </w:r>
      <w:r>
        <w:rPr>
          <w:lang w:val="en-GB"/>
        </w:rPr>
        <w:t xml:space="preserve"> items for</w:t>
      </w:r>
      <w:r w:rsidRPr="002836EB">
        <w:rPr>
          <w:lang w:val="en-GB"/>
        </w:rPr>
        <w:t xml:space="preserve"> sentinel lymph node biopsy</w:t>
      </w:r>
      <w:r>
        <w:rPr>
          <w:lang w:val="en-GB"/>
        </w:rPr>
        <w:t xml:space="preserve"> for breast cancer</w:t>
      </w:r>
      <w:r w:rsidRPr="002836EB">
        <w:rPr>
          <w:lang w:val="en-GB"/>
        </w:rPr>
        <w:t xml:space="preserve"> (30299–30303) into a single item covering use of preoperative lymphoscintigraphy and/or lymphotropic dye injection, in any axilla level. </w:t>
      </w:r>
      <w:r>
        <w:rPr>
          <w:lang w:val="en-GB"/>
        </w:rPr>
        <w:t xml:space="preserve">This recommendation retains </w:t>
      </w:r>
      <w:r w:rsidR="00097372">
        <w:rPr>
          <w:lang w:val="en-GB"/>
        </w:rPr>
        <w:t xml:space="preserve">the </w:t>
      </w:r>
      <w:r>
        <w:rPr>
          <w:lang w:val="en-GB"/>
        </w:rPr>
        <w:t>MBS listing of sentinel lymph node biopsy for breast cancer</w:t>
      </w:r>
      <w:r w:rsidR="004B7B01">
        <w:rPr>
          <w:lang w:val="en-GB"/>
        </w:rPr>
        <w:t>—</w:t>
      </w:r>
      <w:r>
        <w:rPr>
          <w:lang w:val="en-GB"/>
        </w:rPr>
        <w:t>maintaining access to best-practice health services</w:t>
      </w:r>
      <w:r w:rsidR="004B7B01">
        <w:rPr>
          <w:lang w:val="en-GB"/>
        </w:rPr>
        <w:t>—</w:t>
      </w:r>
      <w:r w:rsidR="00141E71">
        <w:rPr>
          <w:lang w:val="en-GB"/>
        </w:rPr>
        <w:t>while</w:t>
      </w:r>
      <w:r w:rsidR="009A1F3B">
        <w:rPr>
          <w:lang w:val="en-GB"/>
        </w:rPr>
        <w:t xml:space="preserve"> </w:t>
      </w:r>
      <w:r>
        <w:rPr>
          <w:lang w:val="en-GB"/>
        </w:rPr>
        <w:t>consolidation of the items removes an unnecessary distinction.</w:t>
      </w:r>
    </w:p>
    <w:p w14:paraId="1548522E" w14:textId="77777777" w:rsidR="00F80480" w:rsidRDefault="00F80480" w:rsidP="00F80480">
      <w:pPr>
        <w:pStyle w:val="01squarebullet"/>
        <w:rPr>
          <w:lang w:val="en-GB"/>
        </w:rPr>
      </w:pPr>
      <w:r w:rsidRPr="002836EB">
        <w:rPr>
          <w:lang w:val="en-GB"/>
        </w:rPr>
        <w:t xml:space="preserve">Consider an expedited </w:t>
      </w:r>
      <w:r>
        <w:rPr>
          <w:lang w:val="en-GB"/>
        </w:rPr>
        <w:t>Medical Services Advisory Committee (</w:t>
      </w:r>
      <w:r w:rsidRPr="002836EB">
        <w:rPr>
          <w:lang w:val="en-GB"/>
        </w:rPr>
        <w:t>MSAC</w:t>
      </w:r>
      <w:r>
        <w:rPr>
          <w:lang w:val="en-GB"/>
        </w:rPr>
        <w:t>)</w:t>
      </w:r>
      <w:r w:rsidRPr="002836EB">
        <w:rPr>
          <w:lang w:val="en-GB"/>
        </w:rPr>
        <w:t xml:space="preserve"> assessment of the MBS listing of items for sentinel lymph node biopsy for patients with intermediate to high-risk melanoma. </w:t>
      </w:r>
      <w:r>
        <w:rPr>
          <w:lang w:val="en-GB"/>
        </w:rPr>
        <w:t>This recommendation focuses on providing affordable and universal access to a best-practice health service that provides a clear clinical benefit.</w:t>
      </w:r>
    </w:p>
    <w:p w14:paraId="420C841B" w14:textId="1B5EEB8F" w:rsidR="00FF555C" w:rsidRPr="000529EA" w:rsidRDefault="0042131D" w:rsidP="00FF555C">
      <w:pPr>
        <w:pStyle w:val="Heading2"/>
        <w:rPr>
          <w:lang w:val="en-GB"/>
        </w:rPr>
      </w:pPr>
      <w:bookmarkStart w:id="11" w:name="_Toc468647459"/>
      <w:bookmarkStart w:id="12" w:name="_Toc479082765"/>
      <w:r>
        <w:rPr>
          <w:lang w:val="en-GB"/>
        </w:rPr>
        <w:lastRenderedPageBreak/>
        <w:t>C</w:t>
      </w:r>
      <w:r w:rsidR="00FF555C" w:rsidRPr="000529EA">
        <w:rPr>
          <w:lang w:val="en-GB"/>
        </w:rPr>
        <w:t xml:space="preserve">onsumer </w:t>
      </w:r>
      <w:r>
        <w:rPr>
          <w:lang w:val="en-GB"/>
        </w:rPr>
        <w:t>Engagement and Key I</w:t>
      </w:r>
      <w:r w:rsidR="00FF555C" w:rsidRPr="000529EA">
        <w:rPr>
          <w:lang w:val="en-GB"/>
        </w:rPr>
        <w:t>mpacts</w:t>
      </w:r>
      <w:bookmarkEnd w:id="11"/>
      <w:bookmarkEnd w:id="12"/>
    </w:p>
    <w:p w14:paraId="237F7B68" w14:textId="332C1396" w:rsidR="0042131D" w:rsidRDefault="00125F0E" w:rsidP="00BA2BA5">
      <w:r>
        <w:t>It is important that the Committee</w:t>
      </w:r>
      <w:r w:rsidR="0042131D" w:rsidRPr="004803B4">
        <w:t xml:space="preserve"> find out from consumers if they will be helped or disadvantaged by the recommendations – and how, and why.</w:t>
      </w:r>
      <w:r w:rsidR="0042131D">
        <w:t xml:space="preserve"> </w:t>
      </w:r>
      <w:r w:rsidR="0042131D" w:rsidRPr="004803B4">
        <w:t xml:space="preserve">Following </w:t>
      </w:r>
      <w:r w:rsidR="0042131D">
        <w:t>the public consultation the Committee</w:t>
      </w:r>
      <w:r w:rsidR="0042131D" w:rsidRPr="004803B4">
        <w:t xml:space="preserve"> will assess the advice from consumers and decide whether any changes are needed to the recommendations</w:t>
      </w:r>
      <w:r w:rsidR="0042131D">
        <w:t>. The Committee</w:t>
      </w:r>
      <w:r w:rsidR="0042131D" w:rsidRPr="004803B4">
        <w:t xml:space="preserve"> will then send the recommendations to the Taskforce.</w:t>
      </w:r>
      <w:r w:rsidR="0042131D">
        <w:t xml:space="preserve"> </w:t>
      </w:r>
      <w:r w:rsidR="0042131D" w:rsidRPr="004803B4">
        <w:t>The Taskforce will consider the recommendations as well as the information provided by consumers in order to make sure that all the important concerns are addressed.</w:t>
      </w:r>
      <w:r w:rsidR="0042131D">
        <w:t xml:space="preserve"> </w:t>
      </w:r>
      <w:r w:rsidR="0042131D" w:rsidRPr="004803B4">
        <w:t>The T</w:t>
      </w:r>
      <w:r w:rsidR="002F492D">
        <w:t>askforce will then provide its</w:t>
      </w:r>
      <w:r w:rsidR="0042131D" w:rsidRPr="004803B4">
        <w:t xml:space="preserve"> recommendation to government.</w:t>
      </w:r>
    </w:p>
    <w:p w14:paraId="66841BAF" w14:textId="0765B563" w:rsidR="00BA2BA5" w:rsidRPr="002836EB" w:rsidRDefault="00BA2BA5" w:rsidP="00BA2BA5">
      <w:r w:rsidRPr="002836EB">
        <w:t>This section summarises the report’s key recommendations from a consumer perspective. It aims to make it easier for health consumers and members of the general public to understand and comment on the report’s recommendations. Additional information</w:t>
      </w:r>
      <w:r w:rsidR="009824C6">
        <w:t xml:space="preserve"> </w:t>
      </w:r>
      <w:r w:rsidR="009929B0">
        <w:t>—</w:t>
      </w:r>
      <w:r w:rsidRPr="002836EB">
        <w:t>including a full list of all the items and their accompanying recommendations</w:t>
      </w:r>
      <w:r w:rsidR="00D72346">
        <w:t>—</w:t>
      </w:r>
      <w:r w:rsidRPr="002836EB">
        <w:t xml:space="preserve">can be found in </w:t>
      </w:r>
      <w:r w:rsidRPr="002836EB">
        <w:fldChar w:fldCharType="begin"/>
      </w:r>
      <w:r w:rsidRPr="002836EB">
        <w:instrText xml:space="preserve"> REF _Ref462783365 \r \h  \* MERGEFORMAT </w:instrText>
      </w:r>
      <w:r w:rsidRPr="002836EB">
        <w:fldChar w:fldCharType="separate"/>
      </w:r>
      <w:r w:rsidR="003274EF">
        <w:t xml:space="preserve">Appendix B </w:t>
      </w:r>
      <w:r w:rsidRPr="002836EB">
        <w:fldChar w:fldCharType="end"/>
      </w:r>
      <w:r w:rsidRPr="002836EB">
        <w:t xml:space="preserve">– Consumer Summary Table (page </w:t>
      </w:r>
      <w:r w:rsidRPr="002836EB">
        <w:fldChar w:fldCharType="begin"/>
      </w:r>
      <w:r w:rsidRPr="002836EB">
        <w:instrText xml:space="preserve"> PAGEREF _Ref462783356 \h </w:instrText>
      </w:r>
      <w:r w:rsidRPr="002836EB">
        <w:fldChar w:fldCharType="separate"/>
      </w:r>
      <w:r w:rsidR="003274EF">
        <w:rPr>
          <w:noProof/>
        </w:rPr>
        <w:t>83</w:t>
      </w:r>
      <w:r w:rsidRPr="002836EB">
        <w:fldChar w:fldCharType="end"/>
      </w:r>
      <w:r w:rsidRPr="002836EB">
        <w:t>).</w:t>
      </w:r>
    </w:p>
    <w:p w14:paraId="1B3492C8" w14:textId="51985673" w:rsidR="000F0005" w:rsidRPr="002836EB" w:rsidRDefault="00A659DE" w:rsidP="000F0005">
      <w:r w:rsidRPr="002836EB">
        <w:t xml:space="preserve">The Committee examined </w:t>
      </w:r>
      <w:r w:rsidR="00CB3643">
        <w:t xml:space="preserve">how well the descriptions of </w:t>
      </w:r>
      <w:r w:rsidR="00005114">
        <w:t xml:space="preserve">the </w:t>
      </w:r>
      <w:r w:rsidR="00CB3643">
        <w:t>10</w:t>
      </w:r>
      <w:r w:rsidR="00005114">
        <w:t>1</w:t>
      </w:r>
      <w:r w:rsidRPr="002836EB">
        <w:t xml:space="preserve"> MBS items </w:t>
      </w:r>
      <w:r w:rsidR="00005114">
        <w:t>assigned to the Committee for review</w:t>
      </w:r>
      <w:r w:rsidR="00190976">
        <w:rPr>
          <w:rStyle w:val="FootnoteReference"/>
        </w:rPr>
        <w:footnoteReference w:id="3"/>
      </w:r>
      <w:r w:rsidR="00005114">
        <w:t xml:space="preserve"> </w:t>
      </w:r>
      <w:r w:rsidRPr="002836EB">
        <w:t>match</w:t>
      </w:r>
      <w:r w:rsidR="000B0DD7">
        <w:t>ed</w:t>
      </w:r>
      <w:r w:rsidRPr="002836EB">
        <w:t xml:space="preserve"> current clinical practice and </w:t>
      </w:r>
      <w:r w:rsidR="006D02FF">
        <w:t>met</w:t>
      </w:r>
      <w:r w:rsidR="006D02FF" w:rsidRPr="002836EB">
        <w:t xml:space="preserve"> </w:t>
      </w:r>
      <w:r w:rsidRPr="002836EB">
        <w:t xml:space="preserve">the needs of Australians. </w:t>
      </w:r>
      <w:r w:rsidR="00FF555C" w:rsidRPr="002836EB">
        <w:t xml:space="preserve">The Committee brought together </w:t>
      </w:r>
      <w:r w:rsidR="007B75B5">
        <w:t>health professionals</w:t>
      </w:r>
      <w:r w:rsidR="00FF555C" w:rsidRPr="002836EB">
        <w:t xml:space="preserve"> with experience in and commitment to the care of people with </w:t>
      </w:r>
      <w:r w:rsidR="00D112D3" w:rsidRPr="002836EB">
        <w:t>cancer</w:t>
      </w:r>
      <w:r w:rsidR="000F0005" w:rsidRPr="002836EB">
        <w:t xml:space="preserve">, including specialists in </w:t>
      </w:r>
      <w:r w:rsidR="00D62563" w:rsidRPr="002836EB">
        <w:t xml:space="preserve">pathology and radiology testing </w:t>
      </w:r>
      <w:r w:rsidR="007B75B5">
        <w:t xml:space="preserve">(imaging) </w:t>
      </w:r>
      <w:r w:rsidR="00D62563" w:rsidRPr="002836EB">
        <w:t xml:space="preserve">for cancer, specialists in </w:t>
      </w:r>
      <w:r w:rsidR="000F0005" w:rsidRPr="002836EB">
        <w:t>medical</w:t>
      </w:r>
      <w:r w:rsidR="007B75B5">
        <w:t xml:space="preserve"> oncology</w:t>
      </w:r>
      <w:r w:rsidR="000F0005" w:rsidRPr="002836EB">
        <w:t xml:space="preserve">, </w:t>
      </w:r>
      <w:r w:rsidR="007B75B5">
        <w:t>radiation oncology and cancer surgery</w:t>
      </w:r>
      <w:r w:rsidR="000F0005" w:rsidRPr="002836EB">
        <w:t xml:space="preserve">, as well as a </w:t>
      </w:r>
      <w:r w:rsidR="00681503">
        <w:t>General P</w:t>
      </w:r>
      <w:r w:rsidR="007B4C1D">
        <w:t>ractitioner (</w:t>
      </w:r>
      <w:r w:rsidR="000F0005" w:rsidRPr="002836EB">
        <w:t>GP</w:t>
      </w:r>
      <w:r w:rsidR="007B4C1D">
        <w:t>)</w:t>
      </w:r>
      <w:r w:rsidR="000F0005" w:rsidRPr="002836EB">
        <w:t xml:space="preserve"> and consumer represent</w:t>
      </w:r>
      <w:r w:rsidR="00D62563" w:rsidRPr="002836EB">
        <w:t>atives.</w:t>
      </w:r>
      <w:r w:rsidRPr="002836EB">
        <w:t xml:space="preserve"> </w:t>
      </w:r>
      <w:r w:rsidR="007B75B5">
        <w:t>The</w:t>
      </w:r>
      <w:r w:rsidRPr="002836EB">
        <w:t xml:space="preserve"> recommendations</w:t>
      </w:r>
      <w:r w:rsidR="007B75B5">
        <w:t xml:space="preserve"> in this report</w:t>
      </w:r>
      <w:r w:rsidRPr="002836EB">
        <w:t xml:space="preserve"> are </w:t>
      </w:r>
      <w:r w:rsidR="007B75B5">
        <w:t xml:space="preserve">not final, </w:t>
      </w:r>
      <w:r w:rsidRPr="002836EB">
        <w:t xml:space="preserve">and may be revised based on feedback received during </w:t>
      </w:r>
      <w:r w:rsidR="007B75B5">
        <w:t>the consultation period.</w:t>
      </w:r>
    </w:p>
    <w:p w14:paraId="67200286" w14:textId="768588AA" w:rsidR="001B6674" w:rsidRPr="002836EB" w:rsidRDefault="001B6674" w:rsidP="001B6674">
      <w:r w:rsidRPr="002836EB">
        <w:t>The Committee made</w:t>
      </w:r>
      <w:r w:rsidR="005C1FDF">
        <w:t xml:space="preserve"> the following</w:t>
      </w:r>
      <w:r w:rsidR="005A4603" w:rsidRPr="002836EB">
        <w:t xml:space="preserve"> recommendations </w:t>
      </w:r>
      <w:r w:rsidR="00EF6094">
        <w:t>with the</w:t>
      </w:r>
      <w:r w:rsidR="00EF6094" w:rsidRPr="002836EB">
        <w:t xml:space="preserve"> </w:t>
      </w:r>
      <w:r w:rsidR="005A4603" w:rsidRPr="002836EB">
        <w:t xml:space="preserve">aim </w:t>
      </w:r>
      <w:r w:rsidR="00EF6094">
        <w:t xml:space="preserve">of </w:t>
      </w:r>
      <w:r w:rsidR="005A4603" w:rsidRPr="002836EB">
        <w:t>improv</w:t>
      </w:r>
      <w:r w:rsidR="00EF6094">
        <w:t>ing</w:t>
      </w:r>
      <w:r w:rsidR="005A4603" w:rsidRPr="002836EB">
        <w:t xml:space="preserve"> consumer access to best</w:t>
      </w:r>
      <w:r w:rsidR="0085661D">
        <w:t>-</w:t>
      </w:r>
      <w:r w:rsidR="005A4603" w:rsidRPr="002836EB">
        <w:t>practice health services</w:t>
      </w:r>
      <w:r w:rsidRPr="002836EB">
        <w:t>:</w:t>
      </w:r>
    </w:p>
    <w:p w14:paraId="7EA86DF6" w14:textId="14CED94C" w:rsidR="000E446D" w:rsidRDefault="00AF1338" w:rsidP="001B6674">
      <w:pPr>
        <w:pStyle w:val="01squarebullet"/>
        <w:rPr>
          <w:lang w:val="en-GB"/>
        </w:rPr>
      </w:pPr>
      <w:r>
        <w:rPr>
          <w:lang w:val="en-GB"/>
        </w:rPr>
        <w:t>R</w:t>
      </w:r>
      <w:r w:rsidR="001B6674" w:rsidRPr="002836EB">
        <w:rPr>
          <w:lang w:val="en-GB"/>
        </w:rPr>
        <w:t xml:space="preserve">etain MBS items for sentinel lymph node biopsy </w:t>
      </w:r>
      <w:r w:rsidR="009538BA">
        <w:rPr>
          <w:lang w:val="en-GB"/>
        </w:rPr>
        <w:t>for</w:t>
      </w:r>
      <w:r w:rsidR="009538BA" w:rsidRPr="002836EB">
        <w:rPr>
          <w:lang w:val="en-GB"/>
        </w:rPr>
        <w:t xml:space="preserve"> </w:t>
      </w:r>
      <w:r w:rsidR="001B6674" w:rsidRPr="002836EB">
        <w:rPr>
          <w:lang w:val="en-GB"/>
        </w:rPr>
        <w:t xml:space="preserve">patients with breast cancer, and </w:t>
      </w:r>
      <w:r w:rsidR="005A4603" w:rsidRPr="002836EB">
        <w:rPr>
          <w:lang w:val="en-GB"/>
        </w:rPr>
        <w:t xml:space="preserve">consider </w:t>
      </w:r>
      <w:r w:rsidR="007206DE" w:rsidRPr="002836EB">
        <w:rPr>
          <w:lang w:val="en-GB"/>
        </w:rPr>
        <w:t>a</w:t>
      </w:r>
      <w:r w:rsidR="005A4603" w:rsidRPr="002836EB">
        <w:rPr>
          <w:lang w:val="en-GB"/>
        </w:rPr>
        <w:t xml:space="preserve"> </w:t>
      </w:r>
      <w:r w:rsidR="00CC42E7">
        <w:rPr>
          <w:lang w:val="en-GB"/>
        </w:rPr>
        <w:t xml:space="preserve">rapid </w:t>
      </w:r>
      <w:r w:rsidR="001B6674" w:rsidRPr="002836EB">
        <w:rPr>
          <w:lang w:val="en-GB"/>
        </w:rPr>
        <w:t>MSAC</w:t>
      </w:r>
      <w:r w:rsidR="005A4603" w:rsidRPr="002836EB">
        <w:rPr>
          <w:lang w:val="en-GB"/>
        </w:rPr>
        <w:t xml:space="preserve"> a</w:t>
      </w:r>
      <w:r w:rsidR="00F20784">
        <w:rPr>
          <w:lang w:val="en-GB"/>
        </w:rPr>
        <w:t>ssessment to introduce MBS item numbers</w:t>
      </w:r>
      <w:r w:rsidR="005A4603" w:rsidRPr="002836EB">
        <w:rPr>
          <w:lang w:val="en-GB"/>
        </w:rPr>
        <w:t xml:space="preserve"> for sentinel lymph node biopsy for patients with intermediate </w:t>
      </w:r>
      <w:r w:rsidR="001B6674" w:rsidRPr="002836EB">
        <w:rPr>
          <w:lang w:val="en-GB"/>
        </w:rPr>
        <w:t>to high-risk melanoma</w:t>
      </w:r>
      <w:r w:rsidR="005A4603" w:rsidRPr="002836EB">
        <w:rPr>
          <w:lang w:val="en-GB"/>
        </w:rPr>
        <w:t xml:space="preserve">. </w:t>
      </w:r>
    </w:p>
    <w:p w14:paraId="6A5425C6" w14:textId="57BC4BEF" w:rsidR="0055759B" w:rsidRDefault="005A4603" w:rsidP="00396184">
      <w:pPr>
        <w:pStyle w:val="01squarebullet"/>
        <w:numPr>
          <w:ilvl w:val="0"/>
          <w:numId w:val="0"/>
        </w:numPr>
        <w:ind w:left="360"/>
        <w:rPr>
          <w:lang w:val="en-GB"/>
        </w:rPr>
      </w:pPr>
      <w:r w:rsidRPr="002836EB">
        <w:rPr>
          <w:lang w:val="en-GB"/>
        </w:rPr>
        <w:t xml:space="preserve">Sentinel lymph node biopsy is a surgical procedure where a targeted sample of lymph nodes </w:t>
      </w:r>
      <w:r w:rsidR="0069008C">
        <w:rPr>
          <w:lang w:val="en-GB"/>
        </w:rPr>
        <w:t>is</w:t>
      </w:r>
      <w:r w:rsidR="0069008C" w:rsidRPr="002836EB">
        <w:rPr>
          <w:lang w:val="en-GB"/>
        </w:rPr>
        <w:t xml:space="preserve"> </w:t>
      </w:r>
      <w:r w:rsidRPr="002836EB">
        <w:rPr>
          <w:lang w:val="en-GB"/>
        </w:rPr>
        <w:t xml:space="preserve">tested to </w:t>
      </w:r>
      <w:r w:rsidR="00A75C86">
        <w:rPr>
          <w:lang w:val="en-GB"/>
        </w:rPr>
        <w:t>determine whether cancer the cancer has spread to the lymph nodes. This method allows earlier detection of cancer recurrence (coming back)</w:t>
      </w:r>
      <w:r w:rsidR="00D14462">
        <w:rPr>
          <w:lang w:val="en-GB"/>
        </w:rPr>
        <w:t>,</w:t>
      </w:r>
      <w:r w:rsidRPr="002836EB">
        <w:rPr>
          <w:lang w:val="en-GB"/>
        </w:rPr>
        <w:t xml:space="preserve"> </w:t>
      </w:r>
      <w:r w:rsidR="006A7468">
        <w:rPr>
          <w:lang w:val="en-GB"/>
        </w:rPr>
        <w:t xml:space="preserve">rather </w:t>
      </w:r>
      <w:r w:rsidRPr="002836EB">
        <w:rPr>
          <w:lang w:val="en-GB"/>
        </w:rPr>
        <w:t xml:space="preserve">than relying on </w:t>
      </w:r>
      <w:r w:rsidR="006E3F0E">
        <w:rPr>
          <w:lang w:val="en-GB"/>
        </w:rPr>
        <w:t xml:space="preserve">the </w:t>
      </w:r>
      <w:r w:rsidR="00F55BBC">
        <w:rPr>
          <w:lang w:val="en-GB"/>
        </w:rPr>
        <w:t xml:space="preserve">noticeable </w:t>
      </w:r>
      <w:r w:rsidRPr="002836EB">
        <w:rPr>
          <w:lang w:val="en-GB"/>
        </w:rPr>
        <w:t>symptoms</w:t>
      </w:r>
      <w:r w:rsidR="0069008C">
        <w:rPr>
          <w:lang w:val="en-GB"/>
        </w:rPr>
        <w:t>. It has</w:t>
      </w:r>
      <w:r w:rsidRPr="002836EB">
        <w:rPr>
          <w:lang w:val="en-GB"/>
        </w:rPr>
        <w:t xml:space="preserve"> </w:t>
      </w:r>
      <w:r w:rsidR="0069008C">
        <w:rPr>
          <w:lang w:val="en-GB"/>
        </w:rPr>
        <w:t>fewer</w:t>
      </w:r>
      <w:r w:rsidRPr="002836EB">
        <w:rPr>
          <w:lang w:val="en-GB"/>
        </w:rPr>
        <w:t xml:space="preserve"> side effects than the older method</w:t>
      </w:r>
      <w:r w:rsidR="0059381B">
        <w:rPr>
          <w:lang w:val="en-GB"/>
        </w:rPr>
        <w:t>, which was to remove</w:t>
      </w:r>
      <w:r w:rsidR="004D4A42">
        <w:rPr>
          <w:lang w:val="en-GB"/>
        </w:rPr>
        <w:t xml:space="preserve"> many or</w:t>
      </w:r>
      <w:r w:rsidR="0059381B">
        <w:rPr>
          <w:lang w:val="en-GB"/>
        </w:rPr>
        <w:t xml:space="preserve"> a</w:t>
      </w:r>
      <w:r w:rsidRPr="002836EB">
        <w:rPr>
          <w:lang w:val="en-GB"/>
        </w:rPr>
        <w:t xml:space="preserve">ll lymph nodes. There is good clinical evidence for the use of this procedure in breast cancer and in intermediate to high-risk melanoma. </w:t>
      </w:r>
      <w:r w:rsidR="003A1900">
        <w:rPr>
          <w:lang w:val="en-GB"/>
        </w:rPr>
        <w:t>MBS items for</w:t>
      </w:r>
      <w:r w:rsidR="003A1900" w:rsidRPr="002836EB">
        <w:rPr>
          <w:lang w:val="en-GB"/>
        </w:rPr>
        <w:t xml:space="preserve"> </w:t>
      </w:r>
      <w:r w:rsidRPr="002836EB">
        <w:rPr>
          <w:lang w:val="en-GB"/>
        </w:rPr>
        <w:t>breast cancer are currently listed on a temporary basis</w:t>
      </w:r>
      <w:r w:rsidR="00190976">
        <w:rPr>
          <w:lang w:val="en-GB"/>
        </w:rPr>
        <w:t xml:space="preserve"> following </w:t>
      </w:r>
      <w:r w:rsidR="00B62862">
        <w:rPr>
          <w:lang w:val="en-GB"/>
        </w:rPr>
        <w:t>the MSAC recommendation from application reference 1065 in May 2005</w:t>
      </w:r>
      <w:r w:rsidR="0055759B">
        <w:rPr>
          <w:lang w:val="en-GB"/>
        </w:rPr>
        <w:t xml:space="preserve">. The Committee’s recommendation is that it now be listed on a permanent basis. </w:t>
      </w:r>
    </w:p>
    <w:p w14:paraId="26961C1C" w14:textId="0175BC36" w:rsidR="005A4603" w:rsidRPr="002836EB" w:rsidRDefault="0055759B" w:rsidP="00396184">
      <w:pPr>
        <w:pStyle w:val="01squarebullet"/>
        <w:numPr>
          <w:ilvl w:val="0"/>
          <w:numId w:val="0"/>
        </w:numPr>
        <w:ind w:left="360"/>
        <w:rPr>
          <w:lang w:val="en-GB"/>
        </w:rPr>
      </w:pPr>
      <w:r>
        <w:rPr>
          <w:lang w:val="en-GB"/>
        </w:rPr>
        <w:t>There are</w:t>
      </w:r>
      <w:r w:rsidR="005A4603" w:rsidRPr="002836EB">
        <w:rPr>
          <w:lang w:val="en-GB"/>
        </w:rPr>
        <w:t xml:space="preserve"> </w:t>
      </w:r>
      <w:r>
        <w:rPr>
          <w:lang w:val="en-GB"/>
        </w:rPr>
        <w:t xml:space="preserve">currently </w:t>
      </w:r>
      <w:r w:rsidR="005A4603" w:rsidRPr="002836EB">
        <w:rPr>
          <w:lang w:val="en-GB"/>
        </w:rPr>
        <w:t>no sp</w:t>
      </w:r>
      <w:r w:rsidR="00F57493" w:rsidRPr="002836EB">
        <w:rPr>
          <w:lang w:val="en-GB"/>
        </w:rPr>
        <w:t xml:space="preserve">ecific MBS items for </w:t>
      </w:r>
      <w:r>
        <w:rPr>
          <w:lang w:val="en-GB"/>
        </w:rPr>
        <w:t xml:space="preserve">use of sentinel lymph node biopsy for </w:t>
      </w:r>
      <w:r w:rsidR="00F57493" w:rsidRPr="002836EB">
        <w:rPr>
          <w:lang w:val="en-GB"/>
        </w:rPr>
        <w:t xml:space="preserve">melanoma. </w:t>
      </w:r>
      <w:r w:rsidR="005A4603" w:rsidRPr="002836EB">
        <w:rPr>
          <w:lang w:val="en-GB"/>
        </w:rPr>
        <w:t xml:space="preserve">A substantial proportion of patients with melanoma who could benefit from this service do not receive it. </w:t>
      </w:r>
    </w:p>
    <w:p w14:paraId="4F2C53BE" w14:textId="31AA6B87" w:rsidR="00EF3335" w:rsidRPr="002836EB" w:rsidRDefault="00AD378B" w:rsidP="000F0005">
      <w:r w:rsidRPr="002836EB">
        <w:t xml:space="preserve">The Committee also </w:t>
      </w:r>
      <w:r w:rsidR="00070EC3">
        <w:t xml:space="preserve">recommended </w:t>
      </w:r>
      <w:r w:rsidRPr="002836EB">
        <w:t>restructur</w:t>
      </w:r>
      <w:r w:rsidR="00070EC3">
        <w:t>ing</w:t>
      </w:r>
      <w:r w:rsidR="00ED7C06" w:rsidRPr="002836EB">
        <w:t xml:space="preserve"> sets of MBS items</w:t>
      </w:r>
      <w:r w:rsidR="005B235D">
        <w:t xml:space="preserve"> and </w:t>
      </w:r>
      <w:r w:rsidR="00800D73">
        <w:t>revising</w:t>
      </w:r>
      <w:r w:rsidR="00160523">
        <w:t xml:space="preserve"> the</w:t>
      </w:r>
      <w:r w:rsidR="00800D73" w:rsidRPr="002836EB">
        <w:t xml:space="preserve"> </w:t>
      </w:r>
      <w:r w:rsidR="00ED7C06" w:rsidRPr="002836EB">
        <w:t xml:space="preserve">descriptors of </w:t>
      </w:r>
      <w:r w:rsidR="00443E87">
        <w:t xml:space="preserve">some </w:t>
      </w:r>
      <w:r w:rsidR="00ED7C06" w:rsidRPr="002836EB">
        <w:t xml:space="preserve">MBS </w:t>
      </w:r>
      <w:r w:rsidR="00FF555C" w:rsidRPr="002836EB">
        <w:t>items</w:t>
      </w:r>
      <w:r w:rsidR="00ED7C06" w:rsidRPr="002836EB">
        <w:t xml:space="preserve"> </w:t>
      </w:r>
      <w:r w:rsidR="004C7681">
        <w:t>(</w:t>
      </w:r>
      <w:r w:rsidR="00F5344E">
        <w:t xml:space="preserve">i.e., </w:t>
      </w:r>
      <w:r w:rsidR="004C7681">
        <w:t>replacing</w:t>
      </w:r>
      <w:r w:rsidR="00EF3335" w:rsidRPr="002836EB">
        <w:t xml:space="preserve"> </w:t>
      </w:r>
      <w:r w:rsidR="00FC5708">
        <w:t xml:space="preserve">outdated </w:t>
      </w:r>
      <w:r w:rsidR="00EF3335" w:rsidRPr="002836EB">
        <w:t xml:space="preserve">descriptions of </w:t>
      </w:r>
      <w:r w:rsidR="000D4DA5">
        <w:t>treatment delivery</w:t>
      </w:r>
      <w:r w:rsidR="00803F6F">
        <w:t>)</w:t>
      </w:r>
      <w:r w:rsidR="00274AA1">
        <w:t xml:space="preserve"> </w:t>
      </w:r>
      <w:r w:rsidR="00274AA1" w:rsidRPr="002836EB">
        <w:t>to better reflect the care that people with cancer actually receive</w:t>
      </w:r>
      <w:r w:rsidRPr="002836EB">
        <w:t>:</w:t>
      </w:r>
    </w:p>
    <w:p w14:paraId="2E3A949F" w14:textId="16E01CE2" w:rsidR="00926F03" w:rsidRPr="002836EB" w:rsidRDefault="00FC3F7C" w:rsidP="000F0005">
      <w:pPr>
        <w:pStyle w:val="01squarebullet"/>
        <w:rPr>
          <w:lang w:val="en-GB"/>
        </w:rPr>
      </w:pPr>
      <w:r>
        <w:rPr>
          <w:lang w:val="en-GB"/>
        </w:rPr>
        <w:t>R</w:t>
      </w:r>
      <w:r w:rsidR="00AD378B" w:rsidRPr="002836EB">
        <w:rPr>
          <w:lang w:val="en-GB"/>
        </w:rPr>
        <w:t xml:space="preserve">eplace </w:t>
      </w:r>
      <w:r w:rsidR="002A3B13">
        <w:rPr>
          <w:lang w:val="en-GB"/>
        </w:rPr>
        <w:t xml:space="preserve">the current </w:t>
      </w:r>
      <w:r w:rsidR="00926F03" w:rsidRPr="004079BD">
        <w:rPr>
          <w:lang w:val="en-GB"/>
        </w:rPr>
        <w:t>chemotherapy</w:t>
      </w:r>
      <w:r w:rsidR="00926F03" w:rsidRPr="002836EB">
        <w:rPr>
          <w:lang w:val="en-GB"/>
        </w:rPr>
        <w:t xml:space="preserve"> administration items with a set of three items for the medical management of anticancer therapy</w:t>
      </w:r>
      <w:r w:rsidR="005A4603" w:rsidRPr="002836EB">
        <w:rPr>
          <w:lang w:val="en-GB"/>
        </w:rPr>
        <w:t xml:space="preserve"> </w:t>
      </w:r>
      <w:r w:rsidR="005F34FE">
        <w:rPr>
          <w:lang w:val="en-GB"/>
        </w:rPr>
        <w:t>for a period of two, three or four weeks</w:t>
      </w:r>
      <w:r w:rsidR="00926F03" w:rsidRPr="002836EB">
        <w:rPr>
          <w:lang w:val="en-GB"/>
        </w:rPr>
        <w:t xml:space="preserve">. This </w:t>
      </w:r>
      <w:r w:rsidR="003967D3">
        <w:rPr>
          <w:lang w:val="en-GB"/>
        </w:rPr>
        <w:t>acknowledges</w:t>
      </w:r>
      <w:r w:rsidR="003967D3" w:rsidRPr="002836EB">
        <w:rPr>
          <w:lang w:val="en-GB"/>
        </w:rPr>
        <w:t xml:space="preserve"> </w:t>
      </w:r>
      <w:r w:rsidR="00926F03" w:rsidRPr="002836EB">
        <w:rPr>
          <w:lang w:val="en-GB"/>
        </w:rPr>
        <w:t xml:space="preserve">that modern treatment of cancer may involve drugs that are not </w:t>
      </w:r>
      <w:r w:rsidR="00D65C07">
        <w:rPr>
          <w:lang w:val="en-GB"/>
        </w:rPr>
        <w:t xml:space="preserve">traditional chemotherapies, but </w:t>
      </w:r>
      <w:r w:rsidR="00926F03" w:rsidRPr="002836EB">
        <w:rPr>
          <w:lang w:val="en-GB"/>
        </w:rPr>
        <w:t xml:space="preserve">may </w:t>
      </w:r>
      <w:r w:rsidR="00AA0ACC">
        <w:rPr>
          <w:lang w:val="en-GB"/>
        </w:rPr>
        <w:t>belong to</w:t>
      </w:r>
      <w:r w:rsidR="00AA0ACC" w:rsidRPr="002836EB">
        <w:rPr>
          <w:lang w:val="en-GB"/>
        </w:rPr>
        <w:t xml:space="preserve"> </w:t>
      </w:r>
      <w:r w:rsidR="00926F03" w:rsidRPr="002836EB">
        <w:rPr>
          <w:lang w:val="en-GB"/>
        </w:rPr>
        <w:t>new class</w:t>
      </w:r>
      <w:r w:rsidR="00D65C07">
        <w:rPr>
          <w:lang w:val="en-GB"/>
        </w:rPr>
        <w:t>es</w:t>
      </w:r>
      <w:r w:rsidR="00926F03" w:rsidRPr="002836EB">
        <w:rPr>
          <w:lang w:val="en-GB"/>
        </w:rPr>
        <w:t xml:space="preserve"> of drugs</w:t>
      </w:r>
      <w:r w:rsidR="0059135F">
        <w:rPr>
          <w:lang w:val="en-GB"/>
        </w:rPr>
        <w:t>,</w:t>
      </w:r>
      <w:r w:rsidR="00926F03" w:rsidRPr="002836EB">
        <w:rPr>
          <w:lang w:val="en-GB"/>
        </w:rPr>
        <w:t xml:space="preserve"> such as monoclonal </w:t>
      </w:r>
      <w:r w:rsidR="005F46F2" w:rsidRPr="002836EB">
        <w:rPr>
          <w:lang w:val="en-GB"/>
        </w:rPr>
        <w:t>antibodies</w:t>
      </w:r>
      <w:r w:rsidR="005F46F2">
        <w:rPr>
          <w:lang w:val="en-GB"/>
        </w:rPr>
        <w:t>.</w:t>
      </w:r>
      <w:r w:rsidR="00926F03" w:rsidRPr="002836EB">
        <w:rPr>
          <w:lang w:val="en-GB"/>
        </w:rPr>
        <w:t xml:space="preserve"> It </w:t>
      </w:r>
      <w:r w:rsidR="00926F03" w:rsidRPr="002836EB">
        <w:rPr>
          <w:lang w:val="en-GB"/>
        </w:rPr>
        <w:lastRenderedPageBreak/>
        <w:t xml:space="preserve">also </w:t>
      </w:r>
      <w:r w:rsidR="00431E45">
        <w:rPr>
          <w:lang w:val="en-GB"/>
        </w:rPr>
        <w:t>acknowledges</w:t>
      </w:r>
      <w:r w:rsidR="00431E45" w:rsidRPr="002836EB">
        <w:rPr>
          <w:lang w:val="en-GB"/>
        </w:rPr>
        <w:t xml:space="preserve"> </w:t>
      </w:r>
      <w:r w:rsidR="00926F03" w:rsidRPr="002836EB">
        <w:rPr>
          <w:lang w:val="en-GB"/>
        </w:rPr>
        <w:t xml:space="preserve">that good clinical practice </w:t>
      </w:r>
      <w:r w:rsidR="00F0108F">
        <w:rPr>
          <w:lang w:val="en-GB"/>
        </w:rPr>
        <w:t>requires</w:t>
      </w:r>
      <w:r w:rsidR="00EB2602">
        <w:rPr>
          <w:lang w:val="en-GB"/>
        </w:rPr>
        <w:t xml:space="preserve"> the</w:t>
      </w:r>
      <w:r w:rsidR="00F0108F" w:rsidRPr="002836EB">
        <w:rPr>
          <w:lang w:val="en-GB"/>
        </w:rPr>
        <w:t xml:space="preserve"> </w:t>
      </w:r>
      <w:r w:rsidR="00B248C2">
        <w:rPr>
          <w:lang w:val="en-GB"/>
        </w:rPr>
        <w:t>Medical Oncologist</w:t>
      </w:r>
      <w:r w:rsidR="00926F03" w:rsidRPr="002836EB">
        <w:rPr>
          <w:lang w:val="en-GB"/>
        </w:rPr>
        <w:t xml:space="preserve"> </w:t>
      </w:r>
      <w:r w:rsidR="00EB2602">
        <w:rPr>
          <w:lang w:val="en-GB"/>
        </w:rPr>
        <w:t>to be involved</w:t>
      </w:r>
      <w:r w:rsidR="00926F03" w:rsidRPr="002836EB">
        <w:rPr>
          <w:lang w:val="en-GB"/>
        </w:rPr>
        <w:t xml:space="preserve"> beyond the direct administration of a drug, such as monitoring</w:t>
      </w:r>
      <w:r w:rsidR="000A3F84">
        <w:rPr>
          <w:lang w:val="en-GB"/>
        </w:rPr>
        <w:t xml:space="preserve"> side effects of treatment and checking</w:t>
      </w:r>
      <w:r w:rsidR="00926F03" w:rsidRPr="002836EB">
        <w:rPr>
          <w:lang w:val="en-GB"/>
        </w:rPr>
        <w:t xml:space="preserve"> blood tests for signs of unsafe levels of t</w:t>
      </w:r>
      <w:r w:rsidR="00B2268B" w:rsidRPr="002836EB">
        <w:rPr>
          <w:lang w:val="en-GB"/>
        </w:rPr>
        <w:t>oxicity.</w:t>
      </w:r>
    </w:p>
    <w:p w14:paraId="47CC2D8E" w14:textId="7C5F4FE8" w:rsidR="002C6CB0" w:rsidRDefault="003A191F" w:rsidP="00047BB8">
      <w:pPr>
        <w:pStyle w:val="01squarebullet"/>
        <w:rPr>
          <w:lang w:val="en-GB"/>
        </w:rPr>
      </w:pPr>
      <w:r>
        <w:rPr>
          <w:lang w:val="en-GB"/>
        </w:rPr>
        <w:t>R</w:t>
      </w:r>
      <w:r w:rsidR="00AD378B" w:rsidRPr="002836EB">
        <w:rPr>
          <w:lang w:val="en-GB"/>
        </w:rPr>
        <w:t xml:space="preserve">estructure items for </w:t>
      </w:r>
      <w:r w:rsidR="009B6CC0" w:rsidRPr="002836EB">
        <w:rPr>
          <w:lang w:val="en-GB"/>
        </w:rPr>
        <w:t>megavoltage</w:t>
      </w:r>
      <w:r w:rsidR="007459AF" w:rsidRPr="002836EB">
        <w:rPr>
          <w:lang w:val="en-GB"/>
        </w:rPr>
        <w:t xml:space="preserve"> </w:t>
      </w:r>
      <w:r w:rsidR="002C6CB0" w:rsidRPr="002836EB">
        <w:rPr>
          <w:lang w:val="en-GB"/>
        </w:rPr>
        <w:t xml:space="preserve">radiation therapy into planning and treatment items, </w:t>
      </w:r>
      <w:r w:rsidR="00AF7D82">
        <w:rPr>
          <w:lang w:val="en-GB"/>
        </w:rPr>
        <w:t>with different items depending on the level of complexity involved</w:t>
      </w:r>
      <w:r w:rsidR="002C6CB0" w:rsidRPr="002836EB">
        <w:rPr>
          <w:lang w:val="en-GB"/>
        </w:rPr>
        <w:t>.</w:t>
      </w:r>
      <w:r w:rsidR="009E1BE0" w:rsidRPr="002836EB">
        <w:rPr>
          <w:lang w:val="en-GB"/>
        </w:rPr>
        <w:t xml:space="preserve"> </w:t>
      </w:r>
      <w:r w:rsidR="009E1BE0" w:rsidRPr="004079BD">
        <w:rPr>
          <w:lang w:val="en-GB"/>
        </w:rPr>
        <w:t>Megavoltage</w:t>
      </w:r>
      <w:r w:rsidR="009E1BE0" w:rsidRPr="002836EB">
        <w:rPr>
          <w:lang w:val="en-GB"/>
        </w:rPr>
        <w:t xml:space="preserve"> radiation therapy is the most common type of radiation therapy, involving higher</w:t>
      </w:r>
      <w:r w:rsidR="00792BE6">
        <w:rPr>
          <w:lang w:val="en-GB"/>
        </w:rPr>
        <w:t xml:space="preserve"> </w:t>
      </w:r>
      <w:r w:rsidR="009E1BE0" w:rsidRPr="002836EB">
        <w:rPr>
          <w:lang w:val="en-GB"/>
        </w:rPr>
        <w:t>powered radiation (</w:t>
      </w:r>
      <w:r w:rsidR="001F10F2">
        <w:rPr>
          <w:lang w:val="en-GB"/>
        </w:rPr>
        <w:t>rather than</w:t>
      </w:r>
      <w:r w:rsidR="009E1BE0" w:rsidRPr="002836EB">
        <w:rPr>
          <w:lang w:val="en-GB"/>
        </w:rPr>
        <w:t xml:space="preserve"> kilovoltage radiation therapy)</w:t>
      </w:r>
      <w:r w:rsidR="00960153">
        <w:rPr>
          <w:lang w:val="en-GB"/>
        </w:rPr>
        <w:t xml:space="preserve"> that is</w:t>
      </w:r>
      <w:r w:rsidR="009E1BE0" w:rsidRPr="002836EB">
        <w:rPr>
          <w:lang w:val="en-GB"/>
        </w:rPr>
        <w:t xml:space="preserve"> delivered externally to the body (</w:t>
      </w:r>
      <w:r w:rsidR="003947A3">
        <w:rPr>
          <w:lang w:val="en-GB"/>
        </w:rPr>
        <w:t>unlike</w:t>
      </w:r>
      <w:r w:rsidR="009E1BE0" w:rsidRPr="002836EB">
        <w:rPr>
          <w:lang w:val="en-GB"/>
        </w:rPr>
        <w:t xml:space="preserve"> brachytherapy, where radiation is delivered from within or very close to the body). </w:t>
      </w:r>
      <w:r w:rsidR="004B702F" w:rsidRPr="002836EB">
        <w:rPr>
          <w:lang w:val="en-GB"/>
        </w:rPr>
        <w:t>Ther</w:t>
      </w:r>
      <w:r w:rsidR="00B2268B" w:rsidRPr="002836EB">
        <w:rPr>
          <w:lang w:val="en-GB"/>
        </w:rPr>
        <w:t>e are currently 45</w:t>
      </w:r>
      <w:r w:rsidR="004B702F" w:rsidRPr="002836EB">
        <w:rPr>
          <w:lang w:val="en-GB"/>
        </w:rPr>
        <w:t xml:space="preserve"> </w:t>
      </w:r>
      <w:r w:rsidR="00047BB8" w:rsidRPr="002836EB">
        <w:rPr>
          <w:lang w:val="en-GB"/>
        </w:rPr>
        <w:t>megavoltage radiation therapy items that</w:t>
      </w:r>
      <w:r w:rsidR="002C6CB0" w:rsidRPr="002836EB">
        <w:rPr>
          <w:lang w:val="en-GB"/>
        </w:rPr>
        <w:t xml:space="preserve"> are divided </w:t>
      </w:r>
      <w:r w:rsidR="00C766E7">
        <w:rPr>
          <w:lang w:val="en-GB"/>
        </w:rPr>
        <w:t>based on</w:t>
      </w:r>
      <w:r w:rsidR="00C766E7" w:rsidRPr="002836EB">
        <w:rPr>
          <w:lang w:val="en-GB"/>
        </w:rPr>
        <w:t xml:space="preserve"> </w:t>
      </w:r>
      <w:r w:rsidR="002C6CB0" w:rsidRPr="002836EB">
        <w:rPr>
          <w:lang w:val="en-GB"/>
        </w:rPr>
        <w:t>many factors, some of which no longer reflect the way services are deli</w:t>
      </w:r>
      <w:r w:rsidR="00EE0D37">
        <w:rPr>
          <w:lang w:val="en-GB"/>
        </w:rPr>
        <w:t>vered along the patient journey. For</w:t>
      </w:r>
      <w:r w:rsidR="0013614F">
        <w:rPr>
          <w:lang w:val="en-GB"/>
        </w:rPr>
        <w:t xml:space="preserve"> example</w:t>
      </w:r>
      <w:r w:rsidR="00015D51">
        <w:rPr>
          <w:lang w:val="en-GB"/>
        </w:rPr>
        <w:t>,</w:t>
      </w:r>
      <w:r w:rsidR="002C6CB0" w:rsidRPr="002836EB">
        <w:rPr>
          <w:lang w:val="en-GB"/>
        </w:rPr>
        <w:t xml:space="preserve"> simulation, field</w:t>
      </w:r>
      <w:r w:rsidR="001F6858">
        <w:rPr>
          <w:lang w:val="en-GB"/>
        </w:rPr>
        <w:t>-</w:t>
      </w:r>
      <w:r w:rsidR="002C6CB0" w:rsidRPr="002836EB">
        <w:rPr>
          <w:lang w:val="en-GB"/>
        </w:rPr>
        <w:t>setting and dosimetry are now completed in an integrated fashion</w:t>
      </w:r>
      <w:r w:rsidR="00FF1307">
        <w:rPr>
          <w:lang w:val="en-GB"/>
        </w:rPr>
        <w:t>.</w:t>
      </w:r>
      <w:r w:rsidR="002C6CB0" w:rsidRPr="002836EB">
        <w:rPr>
          <w:lang w:val="en-GB"/>
        </w:rPr>
        <w:t xml:space="preserve"> </w:t>
      </w:r>
      <w:r w:rsidR="00FF1307">
        <w:rPr>
          <w:lang w:val="en-GB"/>
        </w:rPr>
        <w:t>O</w:t>
      </w:r>
      <w:r w:rsidR="002C6CB0" w:rsidRPr="002836EB">
        <w:rPr>
          <w:lang w:val="en-GB"/>
        </w:rPr>
        <w:t>thers</w:t>
      </w:r>
      <w:r w:rsidR="00EE0D37">
        <w:rPr>
          <w:lang w:val="en-GB"/>
        </w:rPr>
        <w:t xml:space="preserve"> refer to </w:t>
      </w:r>
      <w:r w:rsidR="00A7471A">
        <w:rPr>
          <w:lang w:val="en-GB"/>
        </w:rPr>
        <w:t xml:space="preserve">differences which are no longer relevant to modern treatment methods, </w:t>
      </w:r>
      <w:r w:rsidR="002C6CB0" w:rsidRPr="002836EB">
        <w:rPr>
          <w:lang w:val="en-GB"/>
        </w:rPr>
        <w:t xml:space="preserve">such as the </w:t>
      </w:r>
      <w:r w:rsidR="00A7471A">
        <w:rPr>
          <w:lang w:val="en-GB"/>
        </w:rPr>
        <w:t>use</w:t>
      </w:r>
      <w:r w:rsidR="002C6CB0" w:rsidRPr="002836EB">
        <w:rPr>
          <w:lang w:val="en-GB"/>
        </w:rPr>
        <w:t xml:space="preserve"> of single </w:t>
      </w:r>
      <w:r w:rsidR="00C93CEE">
        <w:rPr>
          <w:lang w:val="en-GB"/>
        </w:rPr>
        <w:t>versus</w:t>
      </w:r>
      <w:r w:rsidR="002C6CB0" w:rsidRPr="002836EB">
        <w:rPr>
          <w:lang w:val="en-GB"/>
        </w:rPr>
        <w:t xml:space="preserve"> dual</w:t>
      </w:r>
      <w:r w:rsidR="007F57E5">
        <w:rPr>
          <w:lang w:val="en-GB"/>
        </w:rPr>
        <w:t>-</w:t>
      </w:r>
      <w:r w:rsidR="00EE0D37">
        <w:rPr>
          <w:lang w:val="en-GB"/>
        </w:rPr>
        <w:t>photon energy.</w:t>
      </w:r>
    </w:p>
    <w:p w14:paraId="6B6EAC2A" w14:textId="6AB28C29" w:rsidR="008D3F08" w:rsidRPr="00521E36" w:rsidRDefault="008D3F08" w:rsidP="00CD2AD0">
      <w:pPr>
        <w:pStyle w:val="01squarebullet"/>
        <w:rPr>
          <w:lang w:val="en-GB"/>
        </w:rPr>
      </w:pPr>
      <w:r w:rsidRPr="00521E36">
        <w:rPr>
          <w:lang w:val="en-GB"/>
        </w:rPr>
        <w:t>Restructure</w:t>
      </w:r>
      <w:r w:rsidR="00634472">
        <w:rPr>
          <w:lang w:val="en-GB"/>
        </w:rPr>
        <w:t xml:space="preserve"> items for</w:t>
      </w:r>
      <w:r w:rsidRPr="00521E36">
        <w:rPr>
          <w:lang w:val="en-GB"/>
        </w:rPr>
        <w:t xml:space="preserve"> brachytherapy into four items </w:t>
      </w:r>
      <w:r w:rsidR="00FA7CE4">
        <w:rPr>
          <w:lang w:val="en-GB"/>
        </w:rPr>
        <w:t>differing by the</w:t>
      </w:r>
      <w:r w:rsidRPr="00521E36">
        <w:rPr>
          <w:lang w:val="en-GB"/>
        </w:rPr>
        <w:t xml:space="preserve"> level</w:t>
      </w:r>
      <w:r w:rsidR="00FA7CE4">
        <w:rPr>
          <w:lang w:val="en-GB"/>
        </w:rPr>
        <w:t xml:space="preserve"> of complexity involved</w:t>
      </w:r>
      <w:r w:rsidRPr="00521E36">
        <w:rPr>
          <w:lang w:val="en-GB"/>
        </w:rPr>
        <w:t xml:space="preserve">, covering the previously separate items for radiation source </w:t>
      </w:r>
      <w:r w:rsidR="000D2CA3" w:rsidRPr="00521E36">
        <w:rPr>
          <w:lang w:val="en-GB"/>
        </w:rPr>
        <w:t>locali</w:t>
      </w:r>
      <w:r w:rsidR="000D2CA3">
        <w:rPr>
          <w:lang w:val="en-GB"/>
        </w:rPr>
        <w:t>s</w:t>
      </w:r>
      <w:r w:rsidR="000D2CA3" w:rsidRPr="00521E36">
        <w:rPr>
          <w:lang w:val="en-GB"/>
        </w:rPr>
        <w:t>ation</w:t>
      </w:r>
      <w:r w:rsidRPr="00521E36">
        <w:rPr>
          <w:lang w:val="en-GB"/>
        </w:rPr>
        <w:t xml:space="preserve">, planning, insertion/treatment, treatment verification and removal. </w:t>
      </w:r>
      <w:r w:rsidR="005668AF" w:rsidRPr="00521E36">
        <w:rPr>
          <w:lang w:val="en-GB"/>
        </w:rPr>
        <w:t>Brachytherapy is a type of radiation therapy where radiation is delivered from within, or very close to, the body</w:t>
      </w:r>
      <w:r w:rsidR="007000CA">
        <w:rPr>
          <w:lang w:val="en-GB"/>
        </w:rPr>
        <w:t xml:space="preserve"> (i.e.</w:t>
      </w:r>
      <w:r w:rsidR="00302CB6">
        <w:rPr>
          <w:lang w:val="en-GB"/>
        </w:rPr>
        <w:t>,</w:t>
      </w:r>
      <w:r w:rsidR="007000CA">
        <w:rPr>
          <w:lang w:val="en-GB"/>
        </w:rPr>
        <w:t xml:space="preserve"> a radiation source is placed inside or next to the area requiring treatment)</w:t>
      </w:r>
      <w:r w:rsidR="005668AF" w:rsidRPr="00521E36">
        <w:rPr>
          <w:lang w:val="en-GB"/>
        </w:rPr>
        <w:t>.</w:t>
      </w:r>
      <w:r w:rsidR="00A168D2" w:rsidRPr="00521E36">
        <w:rPr>
          <w:lang w:val="en-GB"/>
        </w:rPr>
        <w:t xml:space="preserve"> </w:t>
      </w:r>
      <w:r w:rsidRPr="00521E36">
        <w:rPr>
          <w:lang w:val="en-GB"/>
        </w:rPr>
        <w:t xml:space="preserve">This recommendation aligns MBS items with the modern delivery of radiation therapy, </w:t>
      </w:r>
      <w:r w:rsidR="00302CB6">
        <w:rPr>
          <w:lang w:val="en-GB"/>
        </w:rPr>
        <w:t>recognising</w:t>
      </w:r>
      <w:r w:rsidRPr="00521E36">
        <w:rPr>
          <w:lang w:val="en-GB"/>
        </w:rPr>
        <w:t xml:space="preserve"> the </w:t>
      </w:r>
      <w:r w:rsidR="00FA7CE4">
        <w:rPr>
          <w:lang w:val="en-GB"/>
        </w:rPr>
        <w:t>main factors that determine</w:t>
      </w:r>
      <w:r w:rsidRPr="00521E36">
        <w:rPr>
          <w:lang w:val="en-GB"/>
        </w:rPr>
        <w:t xml:space="preserve"> the level of professional involvement required.</w:t>
      </w:r>
    </w:p>
    <w:p w14:paraId="518D8FB3" w14:textId="5E72F394" w:rsidR="00B1261F" w:rsidRPr="002836EB" w:rsidRDefault="005A4603" w:rsidP="00A40953">
      <w:pPr>
        <w:pStyle w:val="01squarebullet"/>
        <w:numPr>
          <w:ilvl w:val="0"/>
          <w:numId w:val="0"/>
        </w:numPr>
        <w:rPr>
          <w:lang w:val="en-GB"/>
        </w:rPr>
      </w:pPr>
      <w:r w:rsidRPr="002836EB">
        <w:rPr>
          <w:lang w:val="en-GB"/>
        </w:rPr>
        <w:t>Other recommendations</w:t>
      </w:r>
      <w:r w:rsidR="003E7C78">
        <w:rPr>
          <w:lang w:val="en-GB"/>
        </w:rPr>
        <w:t xml:space="preserve"> aim to</w:t>
      </w:r>
      <w:r w:rsidRPr="002836EB">
        <w:rPr>
          <w:lang w:val="en-GB"/>
        </w:rPr>
        <w:t xml:space="preserve"> improve the value of services funded by MBS benefits</w:t>
      </w:r>
      <w:r w:rsidR="0054606A">
        <w:rPr>
          <w:lang w:val="en-GB"/>
        </w:rPr>
        <w:t>—f</w:t>
      </w:r>
      <w:r w:rsidR="00A40953" w:rsidRPr="002836EB">
        <w:rPr>
          <w:lang w:val="en-GB"/>
        </w:rPr>
        <w:t xml:space="preserve">or example, </w:t>
      </w:r>
      <w:r w:rsidR="00AD378B" w:rsidRPr="002836EB">
        <w:rPr>
          <w:lang w:val="en-GB"/>
        </w:rPr>
        <w:t>ensur</w:t>
      </w:r>
      <w:r w:rsidR="0054606A">
        <w:rPr>
          <w:lang w:val="en-GB"/>
        </w:rPr>
        <w:t>ing that</w:t>
      </w:r>
      <w:r w:rsidR="00B1261F" w:rsidRPr="002836EB">
        <w:rPr>
          <w:lang w:val="en-GB"/>
        </w:rPr>
        <w:t xml:space="preserve"> </w:t>
      </w:r>
      <w:r w:rsidR="000F5AFB" w:rsidRPr="002836EB">
        <w:rPr>
          <w:lang w:val="en-GB"/>
        </w:rPr>
        <w:t xml:space="preserve">MBS items for </w:t>
      </w:r>
      <w:r w:rsidR="00B1261F" w:rsidRPr="002836EB">
        <w:rPr>
          <w:lang w:val="en-GB"/>
        </w:rPr>
        <w:t>accessing a long-term implanted drug deliver</w:t>
      </w:r>
      <w:r w:rsidR="000F5AFB" w:rsidRPr="002836EB">
        <w:rPr>
          <w:lang w:val="en-GB"/>
        </w:rPr>
        <w:t>y</w:t>
      </w:r>
      <w:r w:rsidR="00B1261F" w:rsidRPr="002836EB">
        <w:rPr>
          <w:lang w:val="en-GB"/>
        </w:rPr>
        <w:t xml:space="preserve"> device</w:t>
      </w:r>
      <w:r w:rsidR="000F5AFB" w:rsidRPr="002836EB">
        <w:rPr>
          <w:lang w:val="en-GB"/>
        </w:rPr>
        <w:t xml:space="preserve"> </w:t>
      </w:r>
      <w:r w:rsidR="00EA0060">
        <w:rPr>
          <w:lang w:val="en-GB"/>
        </w:rPr>
        <w:t>(for example</w:t>
      </w:r>
      <w:r w:rsidR="002B2AAD">
        <w:rPr>
          <w:lang w:val="en-GB"/>
        </w:rPr>
        <w:t xml:space="preserve">, a portacath) </w:t>
      </w:r>
      <w:r w:rsidR="00AD378B" w:rsidRPr="002836EB">
        <w:rPr>
          <w:lang w:val="en-GB"/>
        </w:rPr>
        <w:t>are</w:t>
      </w:r>
      <w:r w:rsidR="000F5AFB" w:rsidRPr="002836EB">
        <w:rPr>
          <w:lang w:val="en-GB"/>
        </w:rPr>
        <w:t xml:space="preserve"> only </w:t>
      </w:r>
      <w:r w:rsidR="00CB6AD5">
        <w:rPr>
          <w:lang w:val="en-GB"/>
        </w:rPr>
        <w:t>eligible to be charged to Medicare</w:t>
      </w:r>
      <w:r w:rsidR="000F5AFB" w:rsidRPr="002836EB">
        <w:rPr>
          <w:lang w:val="en-GB"/>
        </w:rPr>
        <w:t xml:space="preserve"> </w:t>
      </w:r>
      <w:r w:rsidR="000C5A2C">
        <w:rPr>
          <w:lang w:val="en-GB"/>
        </w:rPr>
        <w:t>when</w:t>
      </w:r>
      <w:r w:rsidR="000C5A2C" w:rsidRPr="002836EB">
        <w:rPr>
          <w:lang w:val="en-GB"/>
        </w:rPr>
        <w:t xml:space="preserve"> </w:t>
      </w:r>
      <w:r w:rsidR="00CB6AD5">
        <w:rPr>
          <w:lang w:val="en-GB"/>
        </w:rPr>
        <w:t>this is performed as an independent service</w:t>
      </w:r>
      <w:r w:rsidR="00B1261F" w:rsidRPr="002836EB">
        <w:rPr>
          <w:lang w:val="en-GB"/>
        </w:rPr>
        <w:t xml:space="preserve">. </w:t>
      </w:r>
      <w:r w:rsidR="000F5AFB" w:rsidRPr="002836EB">
        <w:rPr>
          <w:lang w:val="en-GB"/>
        </w:rPr>
        <w:t xml:space="preserve">In modern clinical practice, the use of such devices is an integral part of the delivery of anticancer therapies such as chemotherapy, and </w:t>
      </w:r>
      <w:r w:rsidR="00440B29">
        <w:rPr>
          <w:lang w:val="en-GB"/>
        </w:rPr>
        <w:t xml:space="preserve">it </w:t>
      </w:r>
      <w:r w:rsidR="000F5AFB" w:rsidRPr="002836EB">
        <w:rPr>
          <w:lang w:val="en-GB"/>
        </w:rPr>
        <w:t>should not attr</w:t>
      </w:r>
      <w:r w:rsidR="000A2FDF">
        <w:rPr>
          <w:lang w:val="en-GB"/>
        </w:rPr>
        <w:t>act a separate bill when used</w:t>
      </w:r>
      <w:r w:rsidR="000F5AFB" w:rsidRPr="002836EB">
        <w:rPr>
          <w:lang w:val="en-GB"/>
        </w:rPr>
        <w:t xml:space="preserve"> </w:t>
      </w:r>
      <w:r w:rsidR="000A2FDF">
        <w:rPr>
          <w:lang w:val="en-GB"/>
        </w:rPr>
        <w:t xml:space="preserve">for </w:t>
      </w:r>
      <w:r w:rsidR="00874607">
        <w:rPr>
          <w:lang w:val="en-GB"/>
        </w:rPr>
        <w:t>the delivery of chemotherapy</w:t>
      </w:r>
      <w:r w:rsidR="000F5AFB" w:rsidRPr="002836EB">
        <w:rPr>
          <w:lang w:val="en-GB"/>
        </w:rPr>
        <w:t xml:space="preserve">. Current use of </w:t>
      </w:r>
      <w:r w:rsidR="0087094A">
        <w:rPr>
          <w:lang w:val="en-GB"/>
        </w:rPr>
        <w:t xml:space="preserve">the item for accessing a long-term </w:t>
      </w:r>
      <w:r w:rsidR="007206DE">
        <w:rPr>
          <w:lang w:val="en-GB"/>
        </w:rPr>
        <w:t>implanted</w:t>
      </w:r>
      <w:r w:rsidR="0087094A">
        <w:rPr>
          <w:lang w:val="en-GB"/>
        </w:rPr>
        <w:t xml:space="preserve"> drug delivery device (item</w:t>
      </w:r>
      <w:r w:rsidR="000F5AFB" w:rsidRPr="002836EB">
        <w:rPr>
          <w:lang w:val="en-GB"/>
        </w:rPr>
        <w:t xml:space="preserve"> 13945</w:t>
      </w:r>
      <w:r w:rsidR="0087094A">
        <w:rPr>
          <w:lang w:val="en-GB"/>
        </w:rPr>
        <w:t>)</w:t>
      </w:r>
      <w:r w:rsidR="000F5AFB" w:rsidRPr="002836EB">
        <w:rPr>
          <w:lang w:val="en-GB"/>
        </w:rPr>
        <w:t xml:space="preserve"> is highly irregular</w:t>
      </w:r>
      <w:r w:rsidR="009F3C58">
        <w:rPr>
          <w:lang w:val="en-GB"/>
        </w:rPr>
        <w:t>:</w:t>
      </w:r>
      <w:r w:rsidR="000F5AFB" w:rsidRPr="002836EB">
        <w:rPr>
          <w:lang w:val="en-GB"/>
        </w:rPr>
        <w:t xml:space="preserve"> many providers never bill the item with chemotherapy, </w:t>
      </w:r>
      <w:r w:rsidR="00294C86">
        <w:rPr>
          <w:lang w:val="en-GB"/>
        </w:rPr>
        <w:t>but some</w:t>
      </w:r>
      <w:r w:rsidR="000F5AFB" w:rsidRPr="002836EB">
        <w:rPr>
          <w:lang w:val="en-GB"/>
        </w:rPr>
        <w:t xml:space="preserve"> bill over $100,000 </w:t>
      </w:r>
      <w:r w:rsidR="00FD74F8" w:rsidRPr="002836EB">
        <w:rPr>
          <w:lang w:val="en-GB"/>
        </w:rPr>
        <w:t xml:space="preserve">per year </w:t>
      </w:r>
      <w:r w:rsidR="000F5AFB" w:rsidRPr="002836EB">
        <w:rPr>
          <w:lang w:val="en-GB"/>
        </w:rPr>
        <w:t>in MBS benefits in association with chemotherapy.</w:t>
      </w:r>
      <w:r w:rsidR="00EA57A9">
        <w:rPr>
          <w:lang w:val="en-GB"/>
        </w:rPr>
        <w:t xml:space="preserve"> This means patients are being billed differently and receiving different rebates depending on which </w:t>
      </w:r>
      <w:r w:rsidR="00B248C2">
        <w:rPr>
          <w:lang w:val="en-GB"/>
        </w:rPr>
        <w:t>Medical Oncologist</w:t>
      </w:r>
      <w:r w:rsidR="00EA57A9">
        <w:rPr>
          <w:lang w:val="en-GB"/>
        </w:rPr>
        <w:t xml:space="preserve"> they see.</w:t>
      </w:r>
    </w:p>
    <w:p w14:paraId="62852263" w14:textId="60302E8A" w:rsidR="00A46D26" w:rsidRPr="002836EB" w:rsidRDefault="0002722A" w:rsidP="001C3F15">
      <w:r>
        <w:t>The Committee</w:t>
      </w:r>
      <w:r w:rsidR="0062268B">
        <w:t xml:space="preserve"> recommended </w:t>
      </w:r>
      <w:r>
        <w:t xml:space="preserve">that some MBS items be removed from the MBS </w:t>
      </w:r>
      <w:r w:rsidR="00786860">
        <w:t>the</w:t>
      </w:r>
      <w:r w:rsidR="003F288C">
        <w:t xml:space="preserve"> associated services</w:t>
      </w:r>
      <w:r w:rsidR="00786860">
        <w:t xml:space="preserve"> have been </w:t>
      </w:r>
      <w:r w:rsidR="00EF09BF" w:rsidRPr="002836EB">
        <w:t xml:space="preserve">replaced </w:t>
      </w:r>
      <w:r w:rsidR="00491F7C">
        <w:t>by</w:t>
      </w:r>
      <w:r w:rsidR="00EF09BF" w:rsidRPr="002836EB">
        <w:t xml:space="preserve"> safer or more effective service</w:t>
      </w:r>
      <w:r w:rsidR="00A73789">
        <w:t>s</w:t>
      </w:r>
      <w:r w:rsidR="00FF555C" w:rsidRPr="002836EB">
        <w:t>,</w:t>
      </w:r>
      <w:r w:rsidR="00A73789">
        <w:t xml:space="preserve"> in line with clinical best practice</w:t>
      </w:r>
      <w:r w:rsidR="00BC69A9">
        <w:t>—</w:t>
      </w:r>
      <w:r w:rsidR="00F70259">
        <w:t>f</w:t>
      </w:r>
      <w:r w:rsidR="00A46D26" w:rsidRPr="002836EB">
        <w:t xml:space="preserve">or example, brachytherapy items referring to sources of radiation with a half-life greater </w:t>
      </w:r>
      <w:r w:rsidR="00412DF5" w:rsidRPr="002836EB">
        <w:t xml:space="preserve">than 115 days, </w:t>
      </w:r>
      <w:r w:rsidR="00A765FF">
        <w:t>as well as</w:t>
      </w:r>
      <w:r w:rsidR="00A765FF" w:rsidRPr="002836EB">
        <w:t xml:space="preserve"> </w:t>
      </w:r>
      <w:r w:rsidR="00412DF5" w:rsidRPr="002836EB">
        <w:t>cobalt/caesium radiation therapy items</w:t>
      </w:r>
      <w:r w:rsidR="00395AD3" w:rsidRPr="002836EB">
        <w:t>.</w:t>
      </w:r>
    </w:p>
    <w:p w14:paraId="385E53AE" w14:textId="71E427A9" w:rsidR="00DD3988" w:rsidRPr="002836EB" w:rsidRDefault="00DD3988" w:rsidP="001C3F15">
      <w:r w:rsidRPr="002836EB">
        <w:t xml:space="preserve">Many of </w:t>
      </w:r>
      <w:r w:rsidR="003B6416">
        <w:t>the Committee’s</w:t>
      </w:r>
      <w:r w:rsidR="003B6416" w:rsidRPr="002836EB">
        <w:t xml:space="preserve"> </w:t>
      </w:r>
      <w:r w:rsidRPr="002836EB">
        <w:t xml:space="preserve">recommendations also </w:t>
      </w:r>
      <w:r w:rsidR="00B9579A">
        <w:t xml:space="preserve">seek to </w:t>
      </w:r>
      <w:r w:rsidRPr="002836EB">
        <w:t xml:space="preserve">reduce unnecessary complexity in bills, </w:t>
      </w:r>
      <w:r w:rsidR="00AD4A36">
        <w:t xml:space="preserve">which </w:t>
      </w:r>
      <w:r w:rsidRPr="002836EB">
        <w:t>improv</w:t>
      </w:r>
      <w:r w:rsidR="00AD4A36">
        <w:t>es</w:t>
      </w:r>
      <w:r w:rsidRPr="002836EB">
        <w:t xml:space="preserve"> transparency for consumers, reduc</w:t>
      </w:r>
      <w:r w:rsidR="003E5DBB">
        <w:t>es</w:t>
      </w:r>
      <w:r w:rsidRPr="002836EB">
        <w:t xml:space="preserve"> the administrative burden for </w:t>
      </w:r>
      <w:r w:rsidR="002042E8">
        <w:t xml:space="preserve">doctors and clinics, </w:t>
      </w:r>
      <w:r w:rsidRPr="002836EB">
        <w:t>and reduc</w:t>
      </w:r>
      <w:r w:rsidR="008A5608">
        <w:t>es</w:t>
      </w:r>
      <w:r w:rsidRPr="002836EB">
        <w:t xml:space="preserve"> the chances of billing errors or </w:t>
      </w:r>
      <w:r w:rsidR="00885D28">
        <w:t>misuse of</w:t>
      </w:r>
      <w:r w:rsidR="002042E8">
        <w:t xml:space="preserve"> item</w:t>
      </w:r>
      <w:r w:rsidR="00885D28">
        <w:t>s</w:t>
      </w:r>
      <w:r w:rsidRPr="002836EB">
        <w:t xml:space="preserve">. </w:t>
      </w:r>
      <w:r w:rsidR="00A40953" w:rsidRPr="002836EB">
        <w:t>For example,</w:t>
      </w:r>
      <w:r w:rsidR="00F57493" w:rsidRPr="002836EB">
        <w:t xml:space="preserve"> superficial and</w:t>
      </w:r>
      <w:r w:rsidR="00C91A31" w:rsidRPr="002836EB">
        <w:t xml:space="preserve"> </w:t>
      </w:r>
      <w:r w:rsidRPr="002836EB">
        <w:t>orthovoltage radiotherapy items (15</w:t>
      </w:r>
      <w:r w:rsidR="0053146B" w:rsidRPr="002836EB">
        <w:t>0</w:t>
      </w:r>
      <w:r w:rsidRPr="002836EB">
        <w:t>00</w:t>
      </w:r>
      <w:r w:rsidR="00F735FB">
        <w:t>–</w:t>
      </w:r>
      <w:r w:rsidRPr="002836EB">
        <w:t>15115)</w:t>
      </w:r>
      <w:r w:rsidR="00F735FB">
        <w:t xml:space="preserve"> have been consolidated</w:t>
      </w:r>
      <w:r w:rsidRPr="002836EB">
        <w:t xml:space="preserve"> into </w:t>
      </w:r>
      <w:r w:rsidR="00A40953" w:rsidRPr="002836EB">
        <w:t>items for kil</w:t>
      </w:r>
      <w:r w:rsidR="007B7FF5" w:rsidRPr="002836EB">
        <w:t>ovoltage therapy</w:t>
      </w:r>
      <w:r w:rsidR="00153E61">
        <w:t>, which</w:t>
      </w:r>
      <w:r w:rsidR="007B7FF5" w:rsidRPr="002836EB">
        <w:t xml:space="preserve"> </w:t>
      </w:r>
      <w:r w:rsidR="000541DA">
        <w:t xml:space="preserve">removes the </w:t>
      </w:r>
      <w:r w:rsidR="0067479B">
        <w:t>unnecessary</w:t>
      </w:r>
      <w:r w:rsidR="000541DA">
        <w:t xml:space="preserve"> distinction between</w:t>
      </w:r>
      <w:r w:rsidR="007B7FF5" w:rsidRPr="002836EB">
        <w:t xml:space="preserve"> superficial and orthovoltage radiotherapy.</w:t>
      </w:r>
    </w:p>
    <w:p w14:paraId="0406BD29" w14:textId="622F2E84" w:rsidR="00FF555C" w:rsidRPr="002836EB" w:rsidRDefault="00FF555C" w:rsidP="00FF555C">
      <w:pPr>
        <w:pStyle w:val="Heading2"/>
        <w:rPr>
          <w:lang w:val="en-GB"/>
        </w:rPr>
      </w:pPr>
      <w:bookmarkStart w:id="13" w:name="_Toc468647460"/>
      <w:bookmarkStart w:id="14" w:name="_Toc479082766"/>
      <w:r w:rsidRPr="002836EB">
        <w:rPr>
          <w:lang w:val="en-GB"/>
        </w:rPr>
        <w:t>Next steps for these recommendations</w:t>
      </w:r>
      <w:bookmarkEnd w:id="13"/>
      <w:bookmarkEnd w:id="14"/>
    </w:p>
    <w:p w14:paraId="6421934E" w14:textId="75B36C8E" w:rsidR="00FF555C" w:rsidRPr="002836EB" w:rsidRDefault="009D59F5" w:rsidP="009D59F5">
      <w:r w:rsidRPr="009D59F5">
        <w:t>The Committee’s recommendations will be</w:t>
      </w:r>
      <w:r w:rsidR="00FF555C" w:rsidRPr="002836EB">
        <w:t xml:space="preserve"> considered by the Taskforce</w:t>
      </w:r>
      <w:r w:rsidR="00312166" w:rsidRPr="002836EB">
        <w:t>,</w:t>
      </w:r>
      <w:r w:rsidR="00FF555C" w:rsidRPr="002836EB">
        <w:t xml:space="preserve"> along with </w:t>
      </w:r>
      <w:r w:rsidR="00D50258">
        <w:t>feedback</w:t>
      </w:r>
      <w:r w:rsidR="00FF555C" w:rsidRPr="002836EB">
        <w:t xml:space="preserve"> </w:t>
      </w:r>
      <w:r w:rsidR="000B4115" w:rsidRPr="002836EB">
        <w:t xml:space="preserve">received during </w:t>
      </w:r>
      <w:r w:rsidR="00FF555C" w:rsidRPr="002836EB">
        <w:t>public consultation. The Taskforce will decide if these should be endorsed and recommended to the Government. The Government will then decide which recommendations to implement</w:t>
      </w:r>
      <w:r w:rsidR="00DD2636" w:rsidRPr="002836EB">
        <w:t>,</w:t>
      </w:r>
      <w:r w:rsidR="00FF555C" w:rsidRPr="002836EB">
        <w:t xml:space="preserve"> and the Department of Health and other relevant agencies will work to implement them. This process may take some time.</w:t>
      </w:r>
    </w:p>
    <w:p w14:paraId="781A125F" w14:textId="77777777" w:rsidR="009F0E90" w:rsidRPr="002836EB" w:rsidRDefault="009F0E90" w:rsidP="009F0E90">
      <w:pPr>
        <w:pStyle w:val="Heading1"/>
        <w:rPr>
          <w:lang w:val="en-GB"/>
        </w:rPr>
      </w:pPr>
      <w:bookmarkStart w:id="15" w:name="_Toc457411123"/>
      <w:bookmarkStart w:id="16" w:name="_Toc458774409"/>
      <w:bookmarkStart w:id="17" w:name="_Toc459973078"/>
      <w:bookmarkStart w:id="18" w:name="_Toc460228386"/>
      <w:bookmarkStart w:id="19" w:name="_Toc468647461"/>
      <w:bookmarkStart w:id="20" w:name="_Toc479082767"/>
      <w:bookmarkStart w:id="21" w:name="_Toc456045424"/>
      <w:bookmarkStart w:id="22" w:name="_Toc459996804"/>
      <w:bookmarkStart w:id="23" w:name="_Toc458166992"/>
      <w:r w:rsidRPr="002836EB">
        <w:rPr>
          <w:lang w:val="en-GB"/>
        </w:rPr>
        <w:lastRenderedPageBreak/>
        <w:t>About the Medicare Benefits Schedule (MBS) Review</w:t>
      </w:r>
      <w:bookmarkEnd w:id="15"/>
      <w:bookmarkEnd w:id="16"/>
      <w:bookmarkEnd w:id="17"/>
      <w:bookmarkEnd w:id="18"/>
      <w:bookmarkEnd w:id="19"/>
      <w:bookmarkEnd w:id="20"/>
    </w:p>
    <w:p w14:paraId="1B3FB9AE" w14:textId="77777777" w:rsidR="003B30E4" w:rsidRPr="002836EB" w:rsidRDefault="003B30E4" w:rsidP="005076E4">
      <w:pPr>
        <w:pStyle w:val="Heading2"/>
        <w:rPr>
          <w:lang w:val="en-GB"/>
        </w:rPr>
      </w:pPr>
      <w:bookmarkStart w:id="24" w:name="_Toc456045425"/>
      <w:bookmarkStart w:id="25" w:name="_Toc457463614"/>
      <w:bookmarkStart w:id="26" w:name="_Toc459996805"/>
      <w:bookmarkStart w:id="27" w:name="_Toc458166993"/>
      <w:bookmarkStart w:id="28" w:name="_Toc468647462"/>
      <w:bookmarkStart w:id="29" w:name="_Toc479082768"/>
      <w:bookmarkStart w:id="30" w:name="_Toc456045427"/>
      <w:bookmarkEnd w:id="21"/>
      <w:bookmarkEnd w:id="22"/>
      <w:bookmarkEnd w:id="23"/>
      <w:r w:rsidRPr="002836EB">
        <w:rPr>
          <w:lang w:val="en-GB"/>
        </w:rPr>
        <w:t>Medicare and the MBS</w:t>
      </w:r>
      <w:bookmarkEnd w:id="24"/>
      <w:bookmarkEnd w:id="25"/>
      <w:bookmarkEnd w:id="26"/>
      <w:bookmarkEnd w:id="27"/>
      <w:bookmarkEnd w:id="28"/>
      <w:bookmarkEnd w:id="29"/>
    </w:p>
    <w:p w14:paraId="76C302BA" w14:textId="77777777" w:rsidR="003B30E4" w:rsidRPr="002836EB" w:rsidRDefault="003B30E4" w:rsidP="00082595">
      <w:pPr>
        <w:pStyle w:val="Boldhdg"/>
        <w:rPr>
          <w:lang w:val="en-GB"/>
        </w:rPr>
      </w:pPr>
      <w:r w:rsidRPr="002836EB">
        <w:rPr>
          <w:lang w:val="en-GB"/>
        </w:rPr>
        <w:t>What is Medicare?</w:t>
      </w:r>
    </w:p>
    <w:p w14:paraId="324C9474" w14:textId="7BC94B34" w:rsidR="003B30E4" w:rsidRPr="002836EB" w:rsidRDefault="003B30E4" w:rsidP="00082595">
      <w:pPr>
        <w:rPr>
          <w:rFonts w:eastAsiaTheme="minorHAnsi"/>
          <w:b/>
          <w:lang w:eastAsia="en-US"/>
        </w:rPr>
      </w:pPr>
      <w:r w:rsidRPr="002836EB">
        <w:rPr>
          <w:lang w:eastAsia="en-US"/>
        </w:rPr>
        <w:t xml:space="preserve">Medicare is Australia’s universal health scheme, which enables all Australian residents (and some overseas visitors) to have access to a wide range of health services and medicines at little or no cost. </w:t>
      </w:r>
      <w:r w:rsidRPr="002836EB">
        <w:t xml:space="preserve">Introduced in 1984, Medicare has three components: free public hospital services for public patients; subsidised drugs covered by the Pharmaceutical Benefits Scheme (PBS); and subsidised health professional services listed on the </w:t>
      </w:r>
      <w:r w:rsidR="00A35E76" w:rsidRPr="002836EB">
        <w:t>Medicare Benefits Schedule (</w:t>
      </w:r>
      <w:r w:rsidRPr="002836EB">
        <w:t>MBS</w:t>
      </w:r>
      <w:r w:rsidR="00A35E76" w:rsidRPr="002836EB">
        <w:t>)</w:t>
      </w:r>
      <w:r w:rsidRPr="002836EB">
        <w:t>.</w:t>
      </w:r>
    </w:p>
    <w:p w14:paraId="3EE7FBC9" w14:textId="77777777" w:rsidR="003B30E4" w:rsidRPr="002836EB" w:rsidRDefault="003B30E4" w:rsidP="00082595">
      <w:pPr>
        <w:pStyle w:val="Boldhdg"/>
        <w:rPr>
          <w:lang w:val="en-GB"/>
        </w:rPr>
      </w:pPr>
      <w:r w:rsidRPr="002836EB">
        <w:rPr>
          <w:lang w:val="en-GB"/>
        </w:rPr>
        <w:t>What is the MBS?</w:t>
      </w:r>
    </w:p>
    <w:p w14:paraId="64B31919" w14:textId="77777777" w:rsidR="003B30E4" w:rsidRPr="002836EB" w:rsidRDefault="003B30E4" w:rsidP="00082595">
      <w:pPr>
        <w:rPr>
          <w:lang w:eastAsia="en-US"/>
        </w:rPr>
      </w:pPr>
      <w:r w:rsidRPr="002836EB">
        <w:rPr>
          <w:lang w:eastAsia="en-US"/>
        </w:rPr>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14:paraId="45D6AE12" w14:textId="77777777" w:rsidR="003B30E4" w:rsidRPr="002836EB" w:rsidRDefault="003B30E4" w:rsidP="005076E4">
      <w:pPr>
        <w:pStyle w:val="Heading2"/>
        <w:rPr>
          <w:lang w:val="en-GB"/>
        </w:rPr>
      </w:pPr>
      <w:bookmarkStart w:id="31" w:name="_Toc456045426"/>
      <w:bookmarkStart w:id="32" w:name="_Toc457463615"/>
      <w:bookmarkStart w:id="33" w:name="_Toc459996806"/>
      <w:bookmarkStart w:id="34" w:name="_Toc458166994"/>
      <w:bookmarkStart w:id="35" w:name="_Toc468647463"/>
      <w:bookmarkStart w:id="36" w:name="_Toc479082769"/>
      <w:r w:rsidRPr="002836EB">
        <w:rPr>
          <w:lang w:val="en-GB"/>
        </w:rPr>
        <w:t>The MBS Review Taskforce</w:t>
      </w:r>
      <w:bookmarkEnd w:id="31"/>
      <w:bookmarkEnd w:id="32"/>
      <w:bookmarkEnd w:id="33"/>
      <w:bookmarkEnd w:id="34"/>
      <w:bookmarkEnd w:id="35"/>
      <w:bookmarkEnd w:id="36"/>
    </w:p>
    <w:p w14:paraId="57E0C825" w14:textId="77777777" w:rsidR="003B30E4" w:rsidRPr="002836EB" w:rsidRDefault="003B30E4" w:rsidP="00082595">
      <w:pPr>
        <w:pStyle w:val="Boldhdg"/>
        <w:rPr>
          <w:lang w:val="en-GB"/>
        </w:rPr>
      </w:pPr>
      <w:r w:rsidRPr="002836EB">
        <w:rPr>
          <w:lang w:val="en-GB"/>
        </w:rPr>
        <w:t>What is the MBS Review Taskforce?</w:t>
      </w:r>
    </w:p>
    <w:p w14:paraId="656B2AF3" w14:textId="233D435E" w:rsidR="003B30E4" w:rsidRPr="002836EB" w:rsidRDefault="003B30E4" w:rsidP="00082595">
      <w:r w:rsidRPr="002836EB">
        <w:rPr>
          <w:lang w:eastAsia="en-US"/>
        </w:rPr>
        <w:t>The Government established a</w:t>
      </w:r>
      <w:r w:rsidR="004333AA" w:rsidRPr="002836EB">
        <w:rPr>
          <w:lang w:eastAsia="en-US"/>
        </w:rPr>
        <w:t xml:space="preserve">n </w:t>
      </w:r>
      <w:r w:rsidRPr="002836EB">
        <w:rPr>
          <w:lang w:eastAsia="en-US"/>
        </w:rPr>
        <w:t>MBS Review Taskforce (</w:t>
      </w:r>
      <w:r w:rsidR="00C075B8">
        <w:rPr>
          <w:lang w:eastAsia="en-US"/>
        </w:rPr>
        <w:t xml:space="preserve">the </w:t>
      </w:r>
      <w:r w:rsidRPr="002836EB">
        <w:rPr>
          <w:lang w:eastAsia="en-US"/>
        </w:rPr>
        <w:t xml:space="preserve">Taskforce) to review all of the 5,700 MBS items to ensure </w:t>
      </w:r>
      <w:r w:rsidR="007716D6" w:rsidRPr="002836EB">
        <w:rPr>
          <w:lang w:eastAsia="en-US"/>
        </w:rPr>
        <w:t xml:space="preserve">that </w:t>
      </w:r>
      <w:r w:rsidRPr="002836EB">
        <w:rPr>
          <w:lang w:eastAsia="en-US"/>
        </w:rPr>
        <w:t>they align with contemporary clinical evidence and practice, and to improve health outcomes for patients.</w:t>
      </w:r>
      <w:r w:rsidRPr="002836EB">
        <w:t xml:space="preserve"> The review is clinician-led, and there are no targets for savings attached to the review. Following stakeholder review, the Taskforce will present its recommendations to the Minister for Health</w:t>
      </w:r>
      <w:r w:rsidR="00135D45" w:rsidRPr="002836EB">
        <w:t xml:space="preserve"> </w:t>
      </w:r>
      <w:r w:rsidRPr="002836EB">
        <w:t xml:space="preserve">for consideration by the Government. </w:t>
      </w:r>
    </w:p>
    <w:p w14:paraId="5B5BA19D" w14:textId="77777777" w:rsidR="003B30E4" w:rsidRPr="002836EB" w:rsidRDefault="003B30E4" w:rsidP="00082595">
      <w:pPr>
        <w:pStyle w:val="Boldhdg"/>
        <w:rPr>
          <w:lang w:val="en-GB"/>
        </w:rPr>
      </w:pPr>
      <w:r w:rsidRPr="002836EB">
        <w:rPr>
          <w:lang w:val="en-GB"/>
        </w:rPr>
        <w:t>What are the goals of the Taskforce?</w:t>
      </w:r>
    </w:p>
    <w:p w14:paraId="6553EF1B" w14:textId="004E32C3" w:rsidR="003B30E4" w:rsidRPr="002836EB" w:rsidRDefault="003B30E4" w:rsidP="00082595">
      <w:r w:rsidRPr="002836EB">
        <w:t>The Taskforce is committed to providing recommendations to the Minister for Health that will allow the MBS to deliver on each of these four goals:</w:t>
      </w:r>
    </w:p>
    <w:p w14:paraId="6008CE4D" w14:textId="77777777" w:rsidR="003B30E4" w:rsidRPr="002836EB" w:rsidRDefault="003B30E4" w:rsidP="00E15A50">
      <w:pPr>
        <w:pStyle w:val="01squarebullet"/>
        <w:rPr>
          <w:lang w:val="en-GB"/>
        </w:rPr>
      </w:pPr>
      <w:r w:rsidRPr="002836EB">
        <w:rPr>
          <w:b/>
          <w:lang w:val="en-GB"/>
        </w:rPr>
        <w:t>Affordable and universal access.</w:t>
      </w:r>
      <w:r w:rsidRPr="002836EB">
        <w:rPr>
          <w:lang w:val="en-GB"/>
        </w:rPr>
        <w:t xml:space="preserve">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4CDF449A" w14:textId="77777777" w:rsidR="003B30E4" w:rsidRPr="002836EB" w:rsidRDefault="003B30E4" w:rsidP="00E15A50">
      <w:pPr>
        <w:pStyle w:val="01squarebullet"/>
        <w:rPr>
          <w:lang w:val="en-GB"/>
        </w:rPr>
      </w:pPr>
      <w:r w:rsidRPr="002836EB">
        <w:rPr>
          <w:b/>
          <w:lang w:val="en-GB"/>
        </w:rPr>
        <w:t>Best-practice health services.</w:t>
      </w:r>
      <w:r w:rsidRPr="002836EB">
        <w:rPr>
          <w:lang w:val="en-GB"/>
        </w:rPr>
        <w:t xml:space="preserve"> One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2C579F9D" w14:textId="77777777" w:rsidR="003B30E4" w:rsidRPr="002836EB" w:rsidRDefault="003B30E4" w:rsidP="00E15A50">
      <w:pPr>
        <w:pStyle w:val="01squarebullet"/>
        <w:rPr>
          <w:lang w:val="en-GB"/>
        </w:rPr>
      </w:pPr>
      <w:r w:rsidRPr="002836EB">
        <w:rPr>
          <w:b/>
          <w:lang w:val="en-GB"/>
        </w:rPr>
        <w:t xml:space="preserve">Value for the individual patient. </w:t>
      </w:r>
      <w:r w:rsidRPr="002836EB">
        <w:rPr>
          <w:lang w:val="en-GB"/>
        </w:rPr>
        <w:t>Another core objective of the review is to maintain an MBS that supports the delivery of services that are appropriate to the patient’s needs, provide real clinical value and do not expose the patient to unnecessary risk or expense.</w:t>
      </w:r>
    </w:p>
    <w:p w14:paraId="38931171" w14:textId="77777777" w:rsidR="003B30E4" w:rsidRPr="002836EB" w:rsidRDefault="003B30E4" w:rsidP="00E15A50">
      <w:pPr>
        <w:pStyle w:val="01squarebullet"/>
        <w:rPr>
          <w:lang w:val="en-GB"/>
        </w:rPr>
      </w:pPr>
      <w:r w:rsidRPr="002836EB">
        <w:rPr>
          <w:b/>
          <w:lang w:val="en-GB"/>
        </w:rPr>
        <w:t xml:space="preserve">Value for the health system. </w:t>
      </w:r>
      <w:r w:rsidRPr="002836EB">
        <w:rPr>
          <w:lang w:val="en-GB"/>
        </w:rPr>
        <w:t xml:space="preserve">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w:t>
      </w:r>
      <w:r w:rsidR="007D7083" w:rsidRPr="002836EB">
        <w:rPr>
          <w:lang w:val="en-GB"/>
        </w:rPr>
        <w:t xml:space="preserve">these </w:t>
      </w:r>
      <w:r w:rsidRPr="002836EB">
        <w:rPr>
          <w:lang w:val="en-GB"/>
        </w:rPr>
        <w:t>services.</w:t>
      </w:r>
    </w:p>
    <w:p w14:paraId="7D10F9DC" w14:textId="77777777" w:rsidR="003B30E4" w:rsidRPr="002836EB" w:rsidRDefault="003B30E4" w:rsidP="005076E4">
      <w:pPr>
        <w:pStyle w:val="Heading2"/>
        <w:rPr>
          <w:lang w:val="en-GB"/>
        </w:rPr>
      </w:pPr>
      <w:bookmarkStart w:id="37" w:name="_Toc457463616"/>
      <w:bookmarkStart w:id="38" w:name="_Toc459996807"/>
      <w:bookmarkStart w:id="39" w:name="_Toc458166995"/>
      <w:bookmarkStart w:id="40" w:name="_Ref462870354"/>
      <w:bookmarkStart w:id="41" w:name="_Toc468647464"/>
      <w:bookmarkStart w:id="42" w:name="_Toc479082770"/>
      <w:bookmarkStart w:id="43" w:name="_Toc456045428"/>
      <w:bookmarkEnd w:id="30"/>
      <w:r w:rsidRPr="002836EB">
        <w:rPr>
          <w:lang w:val="en-GB"/>
        </w:rPr>
        <w:lastRenderedPageBreak/>
        <w:t>The Taskforce’s approach</w:t>
      </w:r>
      <w:bookmarkEnd w:id="37"/>
      <w:bookmarkEnd w:id="38"/>
      <w:bookmarkEnd w:id="39"/>
      <w:bookmarkEnd w:id="40"/>
      <w:bookmarkEnd w:id="41"/>
      <w:bookmarkEnd w:id="42"/>
    </w:p>
    <w:p w14:paraId="0F4E56A6" w14:textId="77777777" w:rsidR="003B30E4" w:rsidRPr="002836EB" w:rsidRDefault="003B30E4" w:rsidP="00082595">
      <w:r w:rsidRPr="002836EB">
        <w:t xml:space="preserve">The Taskforce is reviewing existing MBS items, with a primary focus on ensuring that individual items and usage meet the definition of best practice. Within the Taskforce’s brief, there is considerable scope to review and </w:t>
      </w:r>
      <w:r w:rsidR="00D03EBD" w:rsidRPr="002836EB">
        <w:t xml:space="preserve">provide </w:t>
      </w:r>
      <w:r w:rsidRPr="002836EB">
        <w:t>advi</w:t>
      </w:r>
      <w:r w:rsidR="00D03EBD" w:rsidRPr="002836EB">
        <w:t>c</w:t>
      </w:r>
      <w:r w:rsidRPr="002836EB">
        <w:t>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4B5EDD2B" w14:textId="40237552" w:rsidR="003B30E4" w:rsidRPr="002836EB" w:rsidRDefault="003B30E4" w:rsidP="00082595">
      <w:r w:rsidRPr="002836EB">
        <w:t xml:space="preserve">As the MBS Review is to be clinician-led, the Taskforce decided that </w:t>
      </w:r>
      <w:r w:rsidR="00E56AF8" w:rsidRPr="002836EB">
        <w:t>C</w:t>
      </w:r>
      <w:r w:rsidR="00680028" w:rsidRPr="002836EB">
        <w:t xml:space="preserve">linical </w:t>
      </w:r>
      <w:r w:rsidR="00E56AF8" w:rsidRPr="002836EB">
        <w:t>C</w:t>
      </w:r>
      <w:r w:rsidR="00680028" w:rsidRPr="002836EB">
        <w:t xml:space="preserve">ommittees should conduct </w:t>
      </w:r>
      <w:r w:rsidRPr="002836EB">
        <w:t xml:space="preserve">the detailed review of MBS items. The committees are broad-based in their membership, and members have been appointed in </w:t>
      </w:r>
      <w:r w:rsidR="00122F79" w:rsidRPr="002836EB">
        <w:t xml:space="preserve">an </w:t>
      </w:r>
      <w:r w:rsidRPr="002836EB">
        <w:t xml:space="preserve">individual capacity, rather than as representatives of any organisation. </w:t>
      </w:r>
    </w:p>
    <w:p w14:paraId="1157A3AC" w14:textId="35E7D278" w:rsidR="003B30E4" w:rsidRPr="002836EB" w:rsidRDefault="003B30E4" w:rsidP="00082595">
      <w:r w:rsidRPr="002836EB">
        <w:t>The Taskforce asked all committees in the second tranche of the review process to review MBS items using a framework based on Professor Adam Elshaug’s appropriate use criteria</w:t>
      </w:r>
      <w:r w:rsidR="001D7CC7">
        <w:t>.</w:t>
      </w:r>
      <w:hyperlink w:anchor="_References" w:history="1">
        <w:r w:rsidRPr="00ED43BA">
          <w:rPr>
            <w:rStyle w:val="Hyperlink"/>
            <w:color w:val="000000" w:themeColor="text1"/>
            <w:u w:val="none"/>
          </w:rPr>
          <w:fldChar w:fldCharType="begin" w:fldLock="1"/>
        </w:r>
        <w:r w:rsidR="00C054E9">
          <w:rPr>
            <w:rStyle w:val="Hyperlink"/>
            <w:color w:val="000000" w:themeColor="text1"/>
            <w:u w:val="none"/>
          </w:rPr>
          <w:instrText>ADDIN CSL_CITATION { "citationItems" : [ { "id" : "ITEM-1", "itemData" : { "author" : [ { "dropping-particle" : "", "family" : "Elshaug", "given" : "Adam (Menzies Centre for Health Policy)", "non-dropping-particle" : "", "parse-names" : false, "suffix" : "" } ], "id" : "ITEM-1", "issued" : { "date-parts" : [ [ "2016" ] ] }, "title" : "Appropriate Use Criteria", "type" : "report" }, "uris" : [ "http://www.mendeley.com/documents/?uuid=95b94f47-afa1-4c47-a892-1f391ec2b7d4", "http://www.mendeley.com/documents/?uuid=02c9b92e-0c6c-4ffc-94a1-60122668e3e1", "http://www.mendeley.com/documents/?uuid=12ca607f-bf9a-45ed-8ed0-32908d81c917" ] } ], "mendeley" : { "formattedCitation" : "(1)", "plainTextFormattedCitation" : "(1)", "previouslyFormattedCitation" : "(1)" }, "properties" : { "noteIndex" : 0 }, "schema" : "https://github.com/citation-style-language/schema/raw/master/csl-citation.json" }</w:instrText>
        </w:r>
        <w:r w:rsidRPr="00ED43BA">
          <w:rPr>
            <w:rStyle w:val="Hyperlink"/>
            <w:color w:val="000000" w:themeColor="text1"/>
            <w:u w:val="none"/>
          </w:rPr>
          <w:fldChar w:fldCharType="separate"/>
        </w:r>
        <w:r w:rsidR="004F3508" w:rsidRPr="00FE0C38">
          <w:rPr>
            <w:rStyle w:val="Hyperlink"/>
            <w:noProof/>
            <w:color w:val="000000" w:themeColor="text1"/>
            <w:u w:val="none"/>
            <w:vertAlign w:val="superscript"/>
          </w:rPr>
          <w:t>(1)</w:t>
        </w:r>
        <w:r w:rsidRPr="00ED43BA">
          <w:rPr>
            <w:rStyle w:val="Hyperlink"/>
            <w:color w:val="000000" w:themeColor="text1"/>
            <w:u w:val="none"/>
          </w:rPr>
          <w:fldChar w:fldCharType="end"/>
        </w:r>
      </w:hyperlink>
      <w:r w:rsidRPr="00396184">
        <w:rPr>
          <w:color w:val="000000" w:themeColor="text1"/>
        </w:rPr>
        <w:t xml:space="preserve"> </w:t>
      </w:r>
      <w:r w:rsidRPr="002836EB">
        <w:t>The framework consists of seven steps:</w:t>
      </w:r>
    </w:p>
    <w:p w14:paraId="6A2ECA49" w14:textId="77777777" w:rsidR="003B30E4" w:rsidRPr="002836EB" w:rsidRDefault="003B30E4" w:rsidP="00A7186C">
      <w:pPr>
        <w:pStyle w:val="01squarebullet"/>
        <w:numPr>
          <w:ilvl w:val="0"/>
          <w:numId w:val="12"/>
        </w:numPr>
        <w:rPr>
          <w:lang w:val="en-GB"/>
        </w:rPr>
      </w:pPr>
      <w:r w:rsidRPr="002836EB">
        <w:rPr>
          <w:lang w:val="en-GB"/>
        </w:rPr>
        <w:t xml:space="preserve">Develop an initial fact base for all items under consideration, drawing on the relevant data and literature. </w:t>
      </w:r>
    </w:p>
    <w:p w14:paraId="20133354" w14:textId="77777777" w:rsidR="003B30E4" w:rsidRPr="002836EB" w:rsidRDefault="003B30E4" w:rsidP="00A7186C">
      <w:pPr>
        <w:pStyle w:val="01squarebullet"/>
        <w:numPr>
          <w:ilvl w:val="0"/>
          <w:numId w:val="12"/>
        </w:numPr>
        <w:rPr>
          <w:lang w:val="en-GB"/>
        </w:rPr>
      </w:pPr>
      <w:r w:rsidRPr="002836EB">
        <w:rPr>
          <w:lang w:val="en-GB"/>
        </w:rPr>
        <w:t>Identify items that are obsolete, are of questionable clinical value,</w:t>
      </w:r>
      <w:r w:rsidRPr="002836EB">
        <w:rPr>
          <w:rStyle w:val="FootnoteReference"/>
          <w:lang w:val="en-GB"/>
        </w:rPr>
        <w:footnoteReference w:id="4"/>
      </w:r>
      <w:r w:rsidRPr="002836EB">
        <w:rPr>
          <w:lang w:val="en-GB"/>
        </w:rPr>
        <w:t xml:space="preserve"> are misused</w:t>
      </w:r>
      <w:r w:rsidRPr="002836EB">
        <w:rPr>
          <w:rStyle w:val="FootnoteReference"/>
          <w:lang w:val="en-GB"/>
        </w:rPr>
        <w:footnoteReference w:id="5"/>
      </w:r>
      <w:r w:rsidRPr="002836EB">
        <w:rPr>
          <w:lang w:val="en-GB"/>
        </w:rPr>
        <w:t xml:space="preserve"> and/or pose a risk to patient safety. This step includes prioritising items as “priority 1</w:t>
      </w:r>
      <w:r w:rsidR="00784E75" w:rsidRPr="002836EB">
        <w:rPr>
          <w:lang w:val="en-GB"/>
        </w:rPr>
        <w:t>,</w:t>
      </w:r>
      <w:r w:rsidRPr="002836EB">
        <w:rPr>
          <w:lang w:val="en-GB"/>
        </w:rPr>
        <w:t>” “priority 2” or “priority 3,” using a prioritisation methodology (described in more detail below).</w:t>
      </w:r>
    </w:p>
    <w:p w14:paraId="1BA4EB12" w14:textId="77E6133C" w:rsidR="003B30E4" w:rsidRPr="002836EB" w:rsidRDefault="003B30E4" w:rsidP="00A7186C">
      <w:pPr>
        <w:pStyle w:val="01squarebullet"/>
        <w:numPr>
          <w:ilvl w:val="0"/>
          <w:numId w:val="12"/>
        </w:numPr>
        <w:rPr>
          <w:lang w:val="en-GB"/>
        </w:rPr>
      </w:pPr>
      <w:r w:rsidRPr="002836EB">
        <w:rPr>
          <w:lang w:val="en-GB"/>
        </w:rPr>
        <w:t xml:space="preserve">Identify any issues, develop hypotheses for recommendations and create a work plan (including establishing </w:t>
      </w:r>
      <w:r w:rsidR="007C1256">
        <w:rPr>
          <w:lang w:val="en-GB"/>
        </w:rPr>
        <w:t>W</w:t>
      </w:r>
      <w:r w:rsidRPr="002836EB">
        <w:rPr>
          <w:lang w:val="en-GB"/>
        </w:rPr>
        <w:t xml:space="preserve">orking </w:t>
      </w:r>
      <w:r w:rsidR="007C1256">
        <w:rPr>
          <w:lang w:val="en-GB"/>
        </w:rPr>
        <w:t>G</w:t>
      </w:r>
      <w:r w:rsidRPr="002836EB">
        <w:rPr>
          <w:lang w:val="en-GB"/>
        </w:rPr>
        <w:t>roups, when required) to arrive at recommendations for each item.</w:t>
      </w:r>
    </w:p>
    <w:p w14:paraId="20DAC4F1" w14:textId="607B98FD" w:rsidR="003B30E4" w:rsidRPr="002836EB" w:rsidRDefault="003B30E4" w:rsidP="00A7186C">
      <w:pPr>
        <w:pStyle w:val="01squarebullet"/>
        <w:numPr>
          <w:ilvl w:val="0"/>
          <w:numId w:val="12"/>
        </w:numPr>
        <w:rPr>
          <w:lang w:val="en-GB"/>
        </w:rPr>
      </w:pPr>
      <w:r w:rsidRPr="002836EB">
        <w:rPr>
          <w:lang w:val="en-GB"/>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sidR="00CE30FD">
        <w:rPr>
          <w:lang w:val="en-GB"/>
        </w:rPr>
        <w:t>W</w:t>
      </w:r>
      <w:r w:rsidRPr="002836EB">
        <w:rPr>
          <w:lang w:val="en-GB"/>
        </w:rPr>
        <w:t xml:space="preserve">orking </w:t>
      </w:r>
      <w:r w:rsidR="00CE30FD">
        <w:rPr>
          <w:lang w:val="en-GB"/>
        </w:rPr>
        <w:t>G</w:t>
      </w:r>
      <w:r w:rsidRPr="002836EB">
        <w:rPr>
          <w:lang w:val="en-GB"/>
        </w:rPr>
        <w:t>roups, and relevant colleagues or colleges. For complex cases, full appropriate use criteria were developed for the item’s explanatory notes.</w:t>
      </w:r>
    </w:p>
    <w:p w14:paraId="03C21C42" w14:textId="3CFA85DB" w:rsidR="003B30E4" w:rsidRPr="002836EB" w:rsidRDefault="003B30E4" w:rsidP="00A7186C">
      <w:pPr>
        <w:pStyle w:val="01squarebullet"/>
        <w:numPr>
          <w:ilvl w:val="0"/>
          <w:numId w:val="12"/>
        </w:numPr>
        <w:rPr>
          <w:lang w:val="en-GB"/>
        </w:rPr>
      </w:pPr>
      <w:bookmarkStart w:id="44" w:name="_Ref464682371"/>
      <w:r w:rsidRPr="002836EB">
        <w:rPr>
          <w:lang w:val="en-GB"/>
        </w:rPr>
        <w:t xml:space="preserve">Review </w:t>
      </w:r>
      <w:r w:rsidR="000205C1" w:rsidRPr="002836EB">
        <w:rPr>
          <w:lang w:val="en-GB"/>
        </w:rPr>
        <w:t xml:space="preserve">the </w:t>
      </w:r>
      <w:r w:rsidRPr="002836EB">
        <w:rPr>
          <w:lang w:val="en-GB"/>
        </w:rPr>
        <w:t>provisional recommendations and the accompanying rationales, and gather further evidence as required.</w:t>
      </w:r>
      <w:bookmarkEnd w:id="44"/>
    </w:p>
    <w:p w14:paraId="48C2C720" w14:textId="77777777" w:rsidR="003B30E4" w:rsidRPr="002836EB" w:rsidRDefault="003B30E4" w:rsidP="00A7186C">
      <w:pPr>
        <w:pStyle w:val="01squarebullet"/>
        <w:numPr>
          <w:ilvl w:val="0"/>
          <w:numId w:val="12"/>
        </w:numPr>
        <w:rPr>
          <w:lang w:val="en-GB"/>
        </w:rPr>
      </w:pPr>
      <w:r w:rsidRPr="002836EB">
        <w:rPr>
          <w:lang w:val="en-GB"/>
        </w:rPr>
        <w:t xml:space="preserve">Finalise </w:t>
      </w:r>
      <w:r w:rsidR="0060245F" w:rsidRPr="002836EB">
        <w:rPr>
          <w:lang w:val="en-GB"/>
        </w:rPr>
        <w:t xml:space="preserve">the </w:t>
      </w:r>
      <w:r w:rsidRPr="002836EB">
        <w:rPr>
          <w:lang w:val="en-GB"/>
        </w:rPr>
        <w:t>recommendations in preparation for broader stakeholder consultation.</w:t>
      </w:r>
    </w:p>
    <w:p w14:paraId="735DE479" w14:textId="77777777" w:rsidR="003B30E4" w:rsidRPr="002836EB" w:rsidRDefault="003B30E4" w:rsidP="00A7186C">
      <w:pPr>
        <w:pStyle w:val="01squarebullet"/>
        <w:numPr>
          <w:ilvl w:val="0"/>
          <w:numId w:val="12"/>
        </w:numPr>
        <w:rPr>
          <w:lang w:val="en-GB"/>
        </w:rPr>
      </w:pPr>
      <w:r w:rsidRPr="002836EB">
        <w:rPr>
          <w:lang w:val="en-GB"/>
        </w:rPr>
        <w:t xml:space="preserve">Incorporate feedback gathered during stakeholder consultation and finalise the review report, which provides recommendations for the Taskforce. </w:t>
      </w:r>
    </w:p>
    <w:p w14:paraId="7412EB97" w14:textId="4BDC8EDB" w:rsidR="003B30E4" w:rsidRPr="002836EB" w:rsidRDefault="003B30E4" w:rsidP="00082595">
      <w:r w:rsidRPr="002836EB">
        <w:t xml:space="preserve">All MBS items </w:t>
      </w:r>
      <w:r w:rsidR="005E7CE3" w:rsidRPr="002836EB">
        <w:rPr>
          <w:rFonts w:cs="Arial"/>
        </w:rPr>
        <w:t>will be</w:t>
      </w:r>
      <w:r w:rsidRPr="002836EB">
        <w:t xml:space="preserve"> reviewed during the course of the MBS Review. However, given the breadth of and timeframe for the review, each </w:t>
      </w:r>
      <w:r w:rsidR="008C5BEF" w:rsidRPr="002836EB">
        <w:t>C</w:t>
      </w:r>
      <w:r w:rsidRPr="002836EB">
        <w:t xml:space="preserve">linical </w:t>
      </w:r>
      <w:r w:rsidR="008C5BEF" w:rsidRPr="002836EB">
        <w:t>C</w:t>
      </w:r>
      <w:r w:rsidRPr="002836EB">
        <w:t xml:space="preserve">ommittee had to develop a work plan and assign priorities, keeping in mind the objectives of the review. Committees used a robust prioritisation methodology to focus their attention and resources on the most important items requiring review. </w:t>
      </w:r>
      <w:r w:rsidRPr="002836EB">
        <w:lastRenderedPageBreak/>
        <w:t>This was determined based on a combination of two standard metrics, derived from the appropriate use criteri</w:t>
      </w:r>
      <w:r w:rsidR="00AE7E32">
        <w:t>a</w:t>
      </w:r>
      <w:r w:rsidRPr="002836EB">
        <w:t>:</w:t>
      </w:r>
      <w:hyperlink w:anchor="_References" w:history="1">
        <w:r w:rsidR="00AE7E32" w:rsidRPr="00FE0C38">
          <w:rPr>
            <w:rStyle w:val="Hyperlink"/>
            <w:noProof/>
            <w:color w:val="000000" w:themeColor="text1"/>
            <w:u w:val="none"/>
            <w:vertAlign w:val="superscript"/>
          </w:rPr>
          <w:t>(1)</w:t>
        </w:r>
      </w:hyperlink>
    </w:p>
    <w:p w14:paraId="14E506F4" w14:textId="6F01F335" w:rsidR="003B30E4" w:rsidRPr="002836EB" w:rsidRDefault="003B30E4" w:rsidP="005076E4">
      <w:pPr>
        <w:pStyle w:val="NormalBulleted"/>
      </w:pPr>
      <w:r w:rsidRPr="002836EB">
        <w:t>Service volume</w:t>
      </w:r>
      <w:r w:rsidR="007B5034" w:rsidRPr="002836EB">
        <w:t>.</w:t>
      </w:r>
    </w:p>
    <w:p w14:paraId="3148854D" w14:textId="632CD4CA" w:rsidR="003B30E4" w:rsidRPr="002836EB" w:rsidRDefault="003B30E4" w:rsidP="007D245F">
      <w:pPr>
        <w:pStyle w:val="NormalBulleted"/>
        <w:spacing w:line="240" w:lineRule="auto"/>
      </w:pPr>
      <w:r w:rsidRPr="002836EB">
        <w:t>The likelihood that the item need</w:t>
      </w:r>
      <w:r w:rsidR="007D245F" w:rsidRPr="002836EB">
        <w:t>ed</w:t>
      </w:r>
      <w:r w:rsidRPr="002836EB">
        <w:t xml:space="preserve"> to be revised, determined by indicators such as identified safety concerns, geographic or temporal variation, delivery irregularity, the potential misuse of indications or other concerns raised by the </w:t>
      </w:r>
      <w:r w:rsidR="00D731B5" w:rsidRPr="002836EB">
        <w:t>C</w:t>
      </w:r>
      <w:r w:rsidR="00A26517" w:rsidRPr="002836EB">
        <w:t xml:space="preserve">linical </w:t>
      </w:r>
      <w:r w:rsidR="00D731B5" w:rsidRPr="002836EB">
        <w:t>C</w:t>
      </w:r>
      <w:r w:rsidRPr="002836EB">
        <w:t>ommittee (such as inappropriate co-claiming).</w:t>
      </w:r>
    </w:p>
    <w:p w14:paraId="462E9976" w14:textId="74476ED2" w:rsidR="003B30E4" w:rsidRPr="002836EB" w:rsidRDefault="003B30E4" w:rsidP="00082595">
      <w:r w:rsidRPr="002836EB">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E2370C" w:rsidRPr="002836EB">
        <w:fldChar w:fldCharType="begin"/>
      </w:r>
      <w:r w:rsidR="00E2370C" w:rsidRPr="002836EB">
        <w:instrText xml:space="preserve"> REF _Ref463637404 \h </w:instrText>
      </w:r>
      <w:r w:rsidR="00E2370C" w:rsidRPr="002836EB">
        <w:fldChar w:fldCharType="separate"/>
      </w:r>
      <w:r w:rsidR="003274EF" w:rsidRPr="002836EB">
        <w:t xml:space="preserve">Figure </w:t>
      </w:r>
      <w:r w:rsidR="003274EF">
        <w:rPr>
          <w:noProof/>
        </w:rPr>
        <w:t>1</w:t>
      </w:r>
      <w:r w:rsidR="00E2370C" w:rsidRPr="002836EB">
        <w:fldChar w:fldCharType="end"/>
      </w:r>
      <w:r w:rsidRPr="002836EB">
        <w:rPr>
          <w:rFonts w:cs="Arial"/>
        </w:rPr>
        <w:t>).</w:t>
      </w:r>
      <w:r w:rsidRPr="002836EB">
        <w:t xml:space="preserve"> C</w:t>
      </w:r>
      <w:r w:rsidR="002D580C" w:rsidRPr="002836EB">
        <w:t xml:space="preserve">linical </w:t>
      </w:r>
      <w:r w:rsidR="00D731B5" w:rsidRPr="002836EB">
        <w:t>C</w:t>
      </w:r>
      <w:r w:rsidRPr="002836EB">
        <w:t>ommittee</w:t>
      </w:r>
      <w:r w:rsidR="002D580C" w:rsidRPr="002836EB">
        <w:t>s</w:t>
      </w:r>
      <w:r w:rsidRPr="002836EB">
        <w:t xml:space="preserve"> used this priority ranking to organise </w:t>
      </w:r>
      <w:r w:rsidR="000A66A4" w:rsidRPr="002836EB">
        <w:t xml:space="preserve">their </w:t>
      </w:r>
      <w:r w:rsidRPr="002836EB">
        <w:t xml:space="preserve">review of item numbers and apportion the amount of time spent on each item. </w:t>
      </w:r>
    </w:p>
    <w:p w14:paraId="7BC6DCF0" w14:textId="77777777" w:rsidR="00B63679" w:rsidRPr="002836EB" w:rsidRDefault="00B63679" w:rsidP="00082595"/>
    <w:p w14:paraId="4B156FA2" w14:textId="769C4E6A" w:rsidR="00E2370C" w:rsidRPr="002836EB" w:rsidRDefault="00E2370C" w:rsidP="00E2370C">
      <w:pPr>
        <w:pStyle w:val="Caption"/>
        <w:pBdr>
          <w:bottom w:val="single" w:sz="4" w:space="1" w:color="auto"/>
        </w:pBdr>
      </w:pPr>
      <w:bookmarkStart w:id="45" w:name="_Ref463637404"/>
      <w:bookmarkStart w:id="46" w:name="_Ref463637403"/>
      <w:bookmarkStart w:id="47" w:name="_Toc468647513"/>
      <w:bookmarkStart w:id="48" w:name="_Toc479082823"/>
      <w:r w:rsidRPr="002836EB">
        <w:t xml:space="preserve">Figure </w:t>
      </w:r>
      <w:r w:rsidRPr="002836EB">
        <w:fldChar w:fldCharType="begin"/>
      </w:r>
      <w:r w:rsidRPr="002836EB">
        <w:instrText xml:space="preserve"> SEQ Figure \* ARABIC </w:instrText>
      </w:r>
      <w:r w:rsidRPr="002836EB">
        <w:fldChar w:fldCharType="separate"/>
      </w:r>
      <w:r w:rsidR="003274EF">
        <w:rPr>
          <w:noProof/>
        </w:rPr>
        <w:t>1</w:t>
      </w:r>
      <w:r w:rsidRPr="002836EB">
        <w:fldChar w:fldCharType="end"/>
      </w:r>
      <w:bookmarkEnd w:id="45"/>
      <w:r w:rsidRPr="002836EB">
        <w:t>: Prioritisation matrix</w:t>
      </w:r>
      <w:bookmarkEnd w:id="46"/>
      <w:bookmarkEnd w:id="47"/>
      <w:bookmarkEnd w:id="48"/>
    </w:p>
    <w:p w14:paraId="6224828D" w14:textId="1E08BF30" w:rsidR="00A17154" w:rsidRDefault="00A17154" w:rsidP="009F699E">
      <w:pPr>
        <w:spacing w:before="0" w:after="0"/>
        <w:jc w:val="center"/>
        <w:rPr>
          <w:noProof/>
          <w:lang w:val="en-AU"/>
        </w:rPr>
      </w:pPr>
      <w:bookmarkStart w:id="49" w:name="_Toc457463617"/>
      <w:bookmarkStart w:id="50" w:name="_Toc459996808"/>
      <w:bookmarkStart w:id="51" w:name="_Toc458166996"/>
      <w:bookmarkStart w:id="52" w:name="_Toc456045429"/>
      <w:bookmarkEnd w:id="43"/>
      <w:r w:rsidRPr="00A05F04">
        <w:rPr>
          <w:noProof/>
          <w:lang w:val="en-AU"/>
        </w:rPr>
        <w:drawing>
          <wp:inline distT="0" distB="0" distL="0" distR="0" wp14:anchorId="509B607D" wp14:editId="73D18342">
            <wp:extent cx="4471670" cy="3211830"/>
            <wp:effectExtent l="0" t="0" r="5080" b="7620"/>
            <wp:docPr id="1" name="Picture 1"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1670" cy="3211830"/>
                    </a:xfrm>
                    <a:prstGeom prst="rect">
                      <a:avLst/>
                    </a:prstGeom>
                    <a:noFill/>
                    <a:ln>
                      <a:noFill/>
                    </a:ln>
                  </pic:spPr>
                </pic:pic>
              </a:graphicData>
            </a:graphic>
          </wp:inline>
        </w:drawing>
      </w:r>
    </w:p>
    <w:p w14:paraId="70FFBD29" w14:textId="77777777" w:rsidR="00A17154" w:rsidRDefault="00A17154" w:rsidP="00A17154">
      <w:pPr>
        <w:pBdr>
          <w:top w:val="single" w:sz="4" w:space="1" w:color="auto"/>
        </w:pBdr>
        <w:spacing w:before="0" w:after="0"/>
        <w:jc w:val="center"/>
      </w:pPr>
    </w:p>
    <w:p w14:paraId="45E28AD4" w14:textId="2DB13849" w:rsidR="00F40964" w:rsidRPr="002836EB" w:rsidRDefault="00F40964" w:rsidP="00A17154">
      <w:pPr>
        <w:spacing w:before="0" w:after="0"/>
        <w:jc w:val="center"/>
        <w:rPr>
          <w:rFonts w:eastAsiaTheme="minorHAnsi" w:cs="Arial"/>
          <w:b/>
          <w:bCs/>
          <w:color w:val="01653F"/>
          <w:kern w:val="32"/>
          <w:sz w:val="32"/>
          <w:szCs w:val="28"/>
          <w:lang w:eastAsia="en-US"/>
        </w:rPr>
      </w:pPr>
      <w:r w:rsidRPr="002836EB">
        <w:br w:type="page"/>
      </w:r>
    </w:p>
    <w:p w14:paraId="1EF4B4B8" w14:textId="275B0E42" w:rsidR="003B30E4" w:rsidRPr="002836EB" w:rsidRDefault="003B30E4" w:rsidP="008855E4">
      <w:pPr>
        <w:pStyle w:val="Heading1"/>
        <w:rPr>
          <w:lang w:val="en-GB"/>
        </w:rPr>
      </w:pPr>
      <w:bookmarkStart w:id="53" w:name="_Toc468647465"/>
      <w:bookmarkStart w:id="54" w:name="_Toc479082771"/>
      <w:r w:rsidRPr="002836EB">
        <w:rPr>
          <w:lang w:val="en-GB"/>
        </w:rPr>
        <w:lastRenderedPageBreak/>
        <w:t xml:space="preserve">About the </w:t>
      </w:r>
      <w:r w:rsidR="00DB4086" w:rsidRPr="002836EB">
        <w:rPr>
          <w:lang w:val="en-GB"/>
        </w:rPr>
        <w:t>Oncology</w:t>
      </w:r>
      <w:r w:rsidR="002301EA" w:rsidRPr="002836EB">
        <w:rPr>
          <w:lang w:val="en-GB"/>
        </w:rPr>
        <w:t xml:space="preserve"> Clinical </w:t>
      </w:r>
      <w:r w:rsidRPr="002836EB">
        <w:rPr>
          <w:lang w:val="en-GB"/>
        </w:rPr>
        <w:t>Committee</w:t>
      </w:r>
      <w:bookmarkEnd w:id="49"/>
      <w:bookmarkEnd w:id="50"/>
      <w:bookmarkEnd w:id="51"/>
      <w:bookmarkEnd w:id="53"/>
      <w:bookmarkEnd w:id="54"/>
    </w:p>
    <w:p w14:paraId="2CC5B82F" w14:textId="541080DF" w:rsidR="003B30E4" w:rsidRPr="002836EB" w:rsidRDefault="003B30E4" w:rsidP="00082595">
      <w:r w:rsidRPr="002836EB">
        <w:t xml:space="preserve">The </w:t>
      </w:r>
      <w:r w:rsidR="00B71A40" w:rsidRPr="002836EB">
        <w:t>Oncology</w:t>
      </w:r>
      <w:r w:rsidRPr="002836EB">
        <w:t xml:space="preserve"> Clinical Committee (</w:t>
      </w:r>
      <w:r w:rsidR="00C075B8">
        <w:t xml:space="preserve">the </w:t>
      </w:r>
      <w:r w:rsidRPr="002836EB">
        <w:t>Committee) was established in April 2016 to make recommendations to the Taskforce on MBS items within its remit, based on clinical expertise</w:t>
      </w:r>
      <w:r w:rsidR="00F11A00" w:rsidRPr="002836EB">
        <w:t xml:space="preserve"> and (where appropriate) rapid evidence review</w:t>
      </w:r>
      <w:r w:rsidRPr="002836EB">
        <w:t xml:space="preserve">. The Taskforce asked the Committee to review </w:t>
      </w:r>
      <w:r w:rsidR="00884CC7" w:rsidRPr="002836EB">
        <w:t>oncology</w:t>
      </w:r>
      <w:r w:rsidRPr="002836EB">
        <w:t xml:space="preserve">-related MBS items. </w:t>
      </w:r>
    </w:p>
    <w:p w14:paraId="3837A589" w14:textId="71863B9D" w:rsidR="003B30E4" w:rsidRPr="002836EB" w:rsidRDefault="003B30E4" w:rsidP="00082595">
      <w:r w:rsidRPr="002836EB">
        <w:t xml:space="preserve">The Committee consists of </w:t>
      </w:r>
      <w:r w:rsidR="00924CB9" w:rsidRPr="002836EB">
        <w:t>23</w:t>
      </w:r>
      <w:r w:rsidRPr="002836EB">
        <w:t xml:space="preserve"> members</w:t>
      </w:r>
      <w:r w:rsidR="00924CB9" w:rsidRPr="002836EB">
        <w:t xml:space="preserve"> and an ex-officio representative from the Taskforce. </w:t>
      </w:r>
      <w:r w:rsidR="005F32D8" w:rsidRPr="002836EB">
        <w:t xml:space="preserve">Members’ </w:t>
      </w:r>
      <w:r w:rsidRPr="002836EB">
        <w:t xml:space="preserve">names, positions/organisations </w:t>
      </w:r>
      <w:r w:rsidR="0075794E" w:rsidRPr="002836EB">
        <w:t xml:space="preserve">and </w:t>
      </w:r>
      <w:r w:rsidRPr="002836EB">
        <w:t>declared conflicts of interest are listed in Section</w:t>
      </w:r>
      <w:r w:rsidR="00F40964" w:rsidRPr="002836EB">
        <w:t xml:space="preserve"> </w:t>
      </w:r>
      <w:r w:rsidR="00F40964" w:rsidRPr="002836EB">
        <w:fldChar w:fldCharType="begin"/>
      </w:r>
      <w:r w:rsidR="00F40964" w:rsidRPr="002836EB">
        <w:instrText xml:space="preserve"> REF _Ref462871865 \r \h </w:instrText>
      </w:r>
      <w:r w:rsidR="00F40964" w:rsidRPr="002836EB">
        <w:fldChar w:fldCharType="separate"/>
      </w:r>
      <w:r w:rsidR="003274EF">
        <w:t>3.1</w:t>
      </w:r>
      <w:r w:rsidR="00F40964" w:rsidRPr="002836EB">
        <w:fldChar w:fldCharType="end"/>
      </w:r>
      <w:r w:rsidRPr="002836EB">
        <w:t xml:space="preserve">. All members of the Taskforce, </w:t>
      </w:r>
      <w:r w:rsidR="005407A0" w:rsidRPr="002836EB">
        <w:t>C</w:t>
      </w:r>
      <w:r w:rsidRPr="002836EB">
        <w:t xml:space="preserve">linical </w:t>
      </w:r>
      <w:r w:rsidR="005407A0" w:rsidRPr="002836EB">
        <w:t>C</w:t>
      </w:r>
      <w:r w:rsidRPr="002836EB">
        <w:t xml:space="preserve">ommittees and </w:t>
      </w:r>
      <w:r w:rsidR="004F4614">
        <w:t>W</w:t>
      </w:r>
      <w:r w:rsidRPr="002836EB">
        <w:t xml:space="preserve">orking </w:t>
      </w:r>
      <w:r w:rsidR="004F4614">
        <w:t>G</w:t>
      </w:r>
      <w:r w:rsidRPr="002836EB">
        <w:t xml:space="preserve">roups </w:t>
      </w:r>
      <w:r w:rsidR="003954DF" w:rsidRPr="002836EB">
        <w:t xml:space="preserve">were </w:t>
      </w:r>
      <w:r w:rsidRPr="002836EB">
        <w:t>asked to declare any conflicts of interest at the start of their involvement and</w:t>
      </w:r>
      <w:r w:rsidR="005E7F27" w:rsidRPr="002836EB">
        <w:t xml:space="preserve"> are</w:t>
      </w:r>
      <w:r w:rsidRPr="002836EB">
        <w:t xml:space="preserve"> reminded to update their declarations periodically.</w:t>
      </w:r>
    </w:p>
    <w:p w14:paraId="49D65707" w14:textId="5DF00C9D" w:rsidR="00026792" w:rsidRPr="002836EB" w:rsidRDefault="00546F55" w:rsidP="005076E4">
      <w:pPr>
        <w:pStyle w:val="Heading2"/>
        <w:rPr>
          <w:lang w:val="en-GB"/>
        </w:rPr>
      </w:pPr>
      <w:bookmarkStart w:id="55" w:name="_Toc459996809"/>
      <w:bookmarkStart w:id="56" w:name="_Toc458166997"/>
      <w:bookmarkStart w:id="57" w:name="_Ref462871865"/>
      <w:bookmarkStart w:id="58" w:name="_Toc468647466"/>
      <w:bookmarkStart w:id="59" w:name="_Toc479082772"/>
      <w:r>
        <w:rPr>
          <w:lang w:val="en-GB"/>
        </w:rPr>
        <w:t xml:space="preserve">Oncology Clinical </w:t>
      </w:r>
      <w:r w:rsidR="00026792" w:rsidRPr="002836EB">
        <w:rPr>
          <w:lang w:val="en-GB"/>
        </w:rPr>
        <w:t xml:space="preserve">Committee </w:t>
      </w:r>
      <w:r w:rsidR="00DC1A87" w:rsidRPr="002836EB">
        <w:rPr>
          <w:lang w:val="en-GB"/>
        </w:rPr>
        <w:t>m</w:t>
      </w:r>
      <w:r w:rsidR="00026792" w:rsidRPr="002836EB">
        <w:rPr>
          <w:lang w:val="en-GB"/>
        </w:rPr>
        <w:t>embers</w:t>
      </w:r>
      <w:bookmarkEnd w:id="52"/>
      <w:bookmarkEnd w:id="55"/>
      <w:bookmarkEnd w:id="56"/>
      <w:bookmarkEnd w:id="57"/>
      <w:bookmarkEnd w:id="58"/>
      <w:bookmarkEnd w:id="59"/>
    </w:p>
    <w:p w14:paraId="3ED594B7" w14:textId="323AE4A4" w:rsidR="006F6F5B" w:rsidRPr="002836EB" w:rsidRDefault="006F6F5B" w:rsidP="00082595">
      <w:pPr>
        <w:pStyle w:val="Caption"/>
      </w:pPr>
      <w:bookmarkStart w:id="60" w:name="_Ref463912441"/>
      <w:bookmarkStart w:id="61" w:name="_Toc458167025"/>
      <w:bookmarkStart w:id="62" w:name="_Toc459971207"/>
      <w:bookmarkStart w:id="63" w:name="_Toc459996834"/>
      <w:bookmarkStart w:id="64" w:name="_Toc459891295"/>
      <w:bookmarkStart w:id="65" w:name="_Ref463912430"/>
      <w:bookmarkStart w:id="66" w:name="_Toc468647502"/>
      <w:bookmarkStart w:id="67" w:name="_Toc479082808"/>
      <w:r w:rsidRPr="002836EB">
        <w:t xml:space="preserve">Table </w:t>
      </w:r>
      <w:r w:rsidR="002A3C45" w:rsidRPr="002836EB">
        <w:fldChar w:fldCharType="begin"/>
      </w:r>
      <w:r w:rsidR="002A3C45" w:rsidRPr="002836EB">
        <w:instrText xml:space="preserve"> SEQ Table \* ARABIC </w:instrText>
      </w:r>
      <w:r w:rsidR="002A3C45" w:rsidRPr="002836EB">
        <w:fldChar w:fldCharType="separate"/>
      </w:r>
      <w:r w:rsidR="003274EF">
        <w:rPr>
          <w:noProof/>
        </w:rPr>
        <w:t>1</w:t>
      </w:r>
      <w:r w:rsidR="002A3C45" w:rsidRPr="002836EB">
        <w:fldChar w:fldCharType="end"/>
      </w:r>
      <w:bookmarkEnd w:id="60"/>
      <w:r w:rsidR="00ED0DCC">
        <w:t>:</w:t>
      </w:r>
      <w:r w:rsidR="0088028F" w:rsidRPr="002836EB">
        <w:t xml:space="preserve"> </w:t>
      </w:r>
      <w:r w:rsidR="00431518" w:rsidRPr="002836EB">
        <w:t xml:space="preserve">Oncology Clinical </w:t>
      </w:r>
      <w:r w:rsidR="0088028F" w:rsidRPr="002836EB">
        <w:t>Committee members</w:t>
      </w:r>
      <w:bookmarkEnd w:id="61"/>
      <w:bookmarkEnd w:id="62"/>
      <w:bookmarkEnd w:id="63"/>
      <w:bookmarkEnd w:id="64"/>
      <w:bookmarkEnd w:id="65"/>
      <w:bookmarkEnd w:id="66"/>
      <w:bookmarkEnd w:id="6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 lists the Committee members for the Oncolgy Clinical Committee, their positions and any declared conflicts of interest."/>
      </w:tblPr>
      <w:tblGrid>
        <w:gridCol w:w="2122"/>
        <w:gridCol w:w="4252"/>
        <w:gridCol w:w="2642"/>
      </w:tblGrid>
      <w:tr w:rsidR="00C15476" w:rsidRPr="002836EB" w14:paraId="0F0A6AE9" w14:textId="77777777" w:rsidTr="00650794">
        <w:trPr>
          <w:tblHeader/>
        </w:trPr>
        <w:tc>
          <w:tcPr>
            <w:tcW w:w="1177" w:type="pct"/>
            <w:shd w:val="clear" w:color="auto" w:fill="F2F2F2" w:themeFill="background1" w:themeFillShade="F2"/>
            <w:vAlign w:val="bottom"/>
          </w:tcPr>
          <w:p w14:paraId="22B6FCE9" w14:textId="090B03A0" w:rsidR="00C15476" w:rsidRPr="002836EB" w:rsidRDefault="00C15476" w:rsidP="005E1809">
            <w:pPr>
              <w:pStyle w:val="01Tableheaderrow"/>
            </w:pPr>
            <w:r w:rsidRPr="002836EB">
              <w:t>Name</w:t>
            </w:r>
          </w:p>
        </w:tc>
        <w:tc>
          <w:tcPr>
            <w:tcW w:w="2358" w:type="pct"/>
            <w:shd w:val="clear" w:color="auto" w:fill="F2F2F2" w:themeFill="background1" w:themeFillShade="F2"/>
            <w:vAlign w:val="bottom"/>
          </w:tcPr>
          <w:p w14:paraId="6111349C" w14:textId="18A143D0" w:rsidR="00C15476" w:rsidRPr="002836EB" w:rsidRDefault="00C15476" w:rsidP="005E1809">
            <w:pPr>
              <w:pStyle w:val="01Tableheaderrow"/>
            </w:pPr>
            <w:r w:rsidRPr="002836EB">
              <w:t>Position/Organisation</w:t>
            </w:r>
          </w:p>
        </w:tc>
        <w:tc>
          <w:tcPr>
            <w:tcW w:w="1465" w:type="pct"/>
            <w:shd w:val="clear" w:color="auto" w:fill="F2F2F2" w:themeFill="background1" w:themeFillShade="F2"/>
            <w:vAlign w:val="bottom"/>
          </w:tcPr>
          <w:p w14:paraId="6C1C26D3" w14:textId="2FF376F8" w:rsidR="00C15476" w:rsidRPr="002836EB" w:rsidRDefault="007A4F39" w:rsidP="005E1809">
            <w:pPr>
              <w:pStyle w:val="01Tableheaderrow"/>
            </w:pPr>
            <w:r>
              <w:t>Interests declared</w:t>
            </w:r>
          </w:p>
        </w:tc>
      </w:tr>
      <w:tr w:rsidR="00820CBE" w:rsidRPr="002836EB" w14:paraId="360B9B8E" w14:textId="77777777" w:rsidTr="00650794">
        <w:tc>
          <w:tcPr>
            <w:tcW w:w="1177" w:type="pct"/>
          </w:tcPr>
          <w:p w14:paraId="1DB422AC" w14:textId="36F2D4C1" w:rsidR="00820CBE" w:rsidRPr="002836EB" w:rsidRDefault="00820CBE" w:rsidP="00820CBE">
            <w:pPr>
              <w:pStyle w:val="02Tabletext"/>
            </w:pPr>
            <w:r w:rsidRPr="002836EB">
              <w:t>Prof Bruce Barraclough (Chair)</w:t>
            </w:r>
          </w:p>
        </w:tc>
        <w:tc>
          <w:tcPr>
            <w:tcW w:w="2358" w:type="pct"/>
          </w:tcPr>
          <w:p w14:paraId="1879C266" w14:textId="08646D27" w:rsidR="00F01694" w:rsidRPr="002836EB" w:rsidRDefault="00F01694" w:rsidP="00F01694">
            <w:pPr>
              <w:pStyle w:val="02Tabletext"/>
            </w:pPr>
            <w:r w:rsidRPr="002836EB">
              <w:t>Board Chair, Australian E-Health Research Centre</w:t>
            </w:r>
          </w:p>
          <w:p w14:paraId="12238B70" w14:textId="77777777" w:rsidR="00F01694" w:rsidRPr="002836EB" w:rsidRDefault="00F01694" w:rsidP="00F01694">
            <w:pPr>
              <w:pStyle w:val="02Tabletext"/>
            </w:pPr>
            <w:r w:rsidRPr="002836EB">
              <w:t>Board, Macquarie University Hospital</w:t>
            </w:r>
          </w:p>
          <w:p w14:paraId="5B73B87F" w14:textId="5A947876" w:rsidR="00820CBE" w:rsidRPr="002836EB" w:rsidRDefault="00F01694" w:rsidP="00F01694">
            <w:pPr>
              <w:pStyle w:val="02Tabletext"/>
            </w:pPr>
            <w:r w:rsidRPr="002836EB">
              <w:t>Emeritus Professor, University of Western Sydney</w:t>
            </w:r>
          </w:p>
        </w:tc>
        <w:tc>
          <w:tcPr>
            <w:tcW w:w="1465" w:type="pct"/>
          </w:tcPr>
          <w:p w14:paraId="0179BB1B" w14:textId="7C37069F" w:rsidR="00820CBE" w:rsidRPr="002836EB" w:rsidRDefault="009475D7" w:rsidP="00820CBE">
            <w:pPr>
              <w:pStyle w:val="02Tabletext"/>
            </w:pPr>
            <w:r w:rsidRPr="002836EB">
              <w:t>Prof Barraclough declared that he is a member of a hospital with a Gamma Knife</w:t>
            </w:r>
            <w:r w:rsidR="00377539">
              <w:t>.</w:t>
            </w:r>
          </w:p>
        </w:tc>
      </w:tr>
      <w:tr w:rsidR="00820CBE" w:rsidRPr="002836EB" w14:paraId="5E571DCD" w14:textId="77777777" w:rsidTr="00650794">
        <w:tc>
          <w:tcPr>
            <w:tcW w:w="1177" w:type="pct"/>
          </w:tcPr>
          <w:p w14:paraId="174FE95C" w14:textId="2BC60830" w:rsidR="00820CBE" w:rsidRPr="002836EB" w:rsidRDefault="00820CBE" w:rsidP="00820CBE">
            <w:pPr>
              <w:pStyle w:val="02Tabletext"/>
            </w:pPr>
            <w:r w:rsidRPr="002836EB">
              <w:t>Associate Professor Bruce Latham</w:t>
            </w:r>
          </w:p>
        </w:tc>
        <w:tc>
          <w:tcPr>
            <w:tcW w:w="2358" w:type="pct"/>
          </w:tcPr>
          <w:p w14:paraId="54CE4C2F" w14:textId="06F3711A" w:rsidR="00F01694" w:rsidRPr="002836EB" w:rsidRDefault="00F01694" w:rsidP="00F01694">
            <w:pPr>
              <w:pStyle w:val="02Tabletext"/>
            </w:pPr>
            <w:r w:rsidRPr="002836EB">
              <w:t xml:space="preserve">Anatomical Pathologist, PathWest </w:t>
            </w:r>
            <w:r w:rsidR="00FC7A9F" w:rsidRPr="002836EB">
              <w:t>–</w:t>
            </w:r>
            <w:r w:rsidRPr="002836EB">
              <w:t xml:space="preserve"> Fiona Stanley Hospital</w:t>
            </w:r>
          </w:p>
          <w:p w14:paraId="3F10E053" w14:textId="19BE9493" w:rsidR="00C96DA5" w:rsidRPr="002836EB" w:rsidRDefault="00F01694" w:rsidP="00F01694">
            <w:pPr>
              <w:pStyle w:val="02Tabletext"/>
            </w:pPr>
            <w:r w:rsidRPr="002836EB">
              <w:t>Vice President</w:t>
            </w:r>
            <w:r w:rsidR="00FC7A9F" w:rsidRPr="002836EB">
              <w:t>,</w:t>
            </w:r>
            <w:r w:rsidRPr="002836EB">
              <w:t xml:space="preserve"> R</w:t>
            </w:r>
            <w:r w:rsidR="00E86D38" w:rsidRPr="002836EB">
              <w:t xml:space="preserve">oyal </w:t>
            </w:r>
            <w:r w:rsidRPr="002836EB">
              <w:t>C</w:t>
            </w:r>
            <w:r w:rsidR="00E86D38" w:rsidRPr="002836EB">
              <w:t xml:space="preserve">ollege of </w:t>
            </w:r>
            <w:r w:rsidRPr="002836EB">
              <w:t>P</w:t>
            </w:r>
            <w:r w:rsidR="00E86D38" w:rsidRPr="002836EB">
              <w:t xml:space="preserve">athologists of </w:t>
            </w:r>
            <w:r w:rsidRPr="002836EB">
              <w:t>A</w:t>
            </w:r>
            <w:r w:rsidR="00E86D38" w:rsidRPr="002836EB">
              <w:t>ustralia (RCPA)</w:t>
            </w:r>
          </w:p>
          <w:p w14:paraId="6FB82EC8" w14:textId="4A828D5B" w:rsidR="00820CBE" w:rsidRPr="002836EB" w:rsidRDefault="00F01694" w:rsidP="00F01694">
            <w:pPr>
              <w:pStyle w:val="02Tabletext"/>
            </w:pPr>
            <w:r w:rsidRPr="002836EB">
              <w:t>Adjunct Associate Professor, Notre Dame University</w:t>
            </w:r>
          </w:p>
        </w:tc>
        <w:tc>
          <w:tcPr>
            <w:tcW w:w="1465" w:type="pct"/>
          </w:tcPr>
          <w:p w14:paraId="07E7AFFC" w14:textId="6606087B" w:rsidR="00820CBE" w:rsidRPr="002836EB" w:rsidRDefault="002E68DB" w:rsidP="00820CBE">
            <w:pPr>
              <w:pStyle w:val="02Tabletext"/>
            </w:pPr>
            <w:r w:rsidRPr="002836EB">
              <w:t xml:space="preserve">Dr Latham declared that his wife is a practising </w:t>
            </w:r>
            <w:r w:rsidR="007C2007" w:rsidRPr="002836EB">
              <w:t>Radiation Oncologist</w:t>
            </w:r>
            <w:r w:rsidR="00377539">
              <w:t>.</w:t>
            </w:r>
          </w:p>
        </w:tc>
      </w:tr>
      <w:tr w:rsidR="00820CBE" w:rsidRPr="002836EB" w14:paraId="3D868300" w14:textId="77777777" w:rsidTr="00650794">
        <w:tc>
          <w:tcPr>
            <w:tcW w:w="1177" w:type="pct"/>
          </w:tcPr>
          <w:p w14:paraId="765B5885" w14:textId="6734D7DA" w:rsidR="00820CBE" w:rsidRPr="002836EB" w:rsidRDefault="00820CBE" w:rsidP="00820CBE">
            <w:pPr>
              <w:pStyle w:val="02Tabletext"/>
            </w:pPr>
            <w:r w:rsidRPr="002836EB">
              <w:t>Professor Bruce Mann</w:t>
            </w:r>
          </w:p>
        </w:tc>
        <w:tc>
          <w:tcPr>
            <w:tcW w:w="2358" w:type="pct"/>
          </w:tcPr>
          <w:p w14:paraId="26CCAC8F" w14:textId="6BB305AE" w:rsidR="00F01694" w:rsidRPr="002836EB" w:rsidRDefault="00F01694" w:rsidP="00F01694">
            <w:pPr>
              <w:pStyle w:val="02Tabletext"/>
            </w:pPr>
            <w:r w:rsidRPr="002836EB">
              <w:t>Director, Breast Cancer Services, The Royal Melbourne &amp; Royal Women</w:t>
            </w:r>
            <w:r w:rsidR="0081002D" w:rsidRPr="002836EB">
              <w:t>’</w:t>
            </w:r>
            <w:r w:rsidRPr="002836EB">
              <w:t>s Hospitals</w:t>
            </w:r>
          </w:p>
          <w:p w14:paraId="5FED248C" w14:textId="43E98B46" w:rsidR="00820CBE" w:rsidRPr="002836EB" w:rsidRDefault="00F01694" w:rsidP="00F01694">
            <w:pPr>
              <w:pStyle w:val="02Tabletext"/>
            </w:pPr>
            <w:r w:rsidRPr="002836EB">
              <w:t>Professor of Surgery, The University of Melbourne</w:t>
            </w:r>
          </w:p>
        </w:tc>
        <w:tc>
          <w:tcPr>
            <w:tcW w:w="1465" w:type="pct"/>
          </w:tcPr>
          <w:p w14:paraId="279FEE52" w14:textId="77777777" w:rsidR="00820CBE" w:rsidRPr="002836EB" w:rsidRDefault="00820CBE" w:rsidP="00820CBE">
            <w:pPr>
              <w:pStyle w:val="02Tabletext"/>
            </w:pPr>
            <w:r w:rsidRPr="002836EB">
              <w:t>None</w:t>
            </w:r>
          </w:p>
        </w:tc>
      </w:tr>
      <w:tr w:rsidR="00820CBE" w:rsidRPr="002836EB" w14:paraId="4DEC5093" w14:textId="77777777" w:rsidTr="00650794">
        <w:tc>
          <w:tcPr>
            <w:tcW w:w="1177" w:type="pct"/>
          </w:tcPr>
          <w:p w14:paraId="6C5C6E37" w14:textId="7149ABCC" w:rsidR="00820CBE" w:rsidRPr="002836EB" w:rsidRDefault="00820CBE" w:rsidP="00820CBE">
            <w:pPr>
              <w:pStyle w:val="02Tabletext"/>
            </w:pPr>
            <w:r w:rsidRPr="002836EB">
              <w:t>Dr Catherine Mandel</w:t>
            </w:r>
          </w:p>
        </w:tc>
        <w:tc>
          <w:tcPr>
            <w:tcW w:w="2358" w:type="pct"/>
          </w:tcPr>
          <w:p w14:paraId="2253B4A4" w14:textId="5D503F11" w:rsidR="00F01694" w:rsidRPr="002836EB" w:rsidRDefault="00F01694" w:rsidP="00F01694">
            <w:pPr>
              <w:pStyle w:val="02Tabletext"/>
            </w:pPr>
            <w:r w:rsidRPr="002836EB">
              <w:t>Consultant Clinical Radiologist</w:t>
            </w:r>
          </w:p>
          <w:p w14:paraId="0045BC97" w14:textId="77777777" w:rsidR="00F01694" w:rsidRPr="002836EB" w:rsidRDefault="00F01694" w:rsidP="00F01694">
            <w:pPr>
              <w:pStyle w:val="02Tabletext"/>
            </w:pPr>
            <w:r w:rsidRPr="002836EB">
              <w:t>MRI Radiologist, Swinburne University of Technology</w:t>
            </w:r>
          </w:p>
          <w:p w14:paraId="0E60AB80" w14:textId="4DEDC372" w:rsidR="00F01694" w:rsidRPr="002836EB" w:rsidRDefault="00F01694" w:rsidP="00F01694">
            <w:pPr>
              <w:pStyle w:val="02Tabletext"/>
            </w:pPr>
            <w:r w:rsidRPr="002836EB">
              <w:t>Councillor, Council of the Faculty of Clinical Radiology, Royal Australian and New Zealand College of Radiologists</w:t>
            </w:r>
            <w:r w:rsidR="00FB5DF0" w:rsidRPr="002836EB">
              <w:t xml:space="preserve"> (RANZCR)</w:t>
            </w:r>
          </w:p>
          <w:p w14:paraId="30FD1E4E" w14:textId="01AD5403" w:rsidR="009054A1" w:rsidRPr="009054A1" w:rsidRDefault="00F01694" w:rsidP="009054A1">
            <w:pPr>
              <w:pStyle w:val="02Tabletext"/>
            </w:pPr>
            <w:r w:rsidRPr="002836EB">
              <w:t>Member, Medical Expert Committee, Avant</w:t>
            </w:r>
            <w:r w:rsidR="009054A1">
              <w:br/>
              <w:t>Director, Australian Medical Association Victoria</w:t>
            </w:r>
          </w:p>
        </w:tc>
        <w:tc>
          <w:tcPr>
            <w:tcW w:w="1465" w:type="pct"/>
          </w:tcPr>
          <w:p w14:paraId="79806695" w14:textId="77777777" w:rsidR="00820CBE" w:rsidRPr="002836EB" w:rsidRDefault="00820CBE" w:rsidP="00820CBE">
            <w:pPr>
              <w:pStyle w:val="02Tabletext"/>
            </w:pPr>
            <w:r w:rsidRPr="002836EB">
              <w:t>None</w:t>
            </w:r>
          </w:p>
        </w:tc>
      </w:tr>
      <w:tr w:rsidR="00820CBE" w:rsidRPr="002836EB" w14:paraId="6754DB42" w14:textId="77777777" w:rsidTr="00650794">
        <w:tc>
          <w:tcPr>
            <w:tcW w:w="1177" w:type="pct"/>
          </w:tcPr>
          <w:p w14:paraId="7DDBE759" w14:textId="325096A3" w:rsidR="00820CBE" w:rsidRPr="002836EB" w:rsidRDefault="00820CBE" w:rsidP="00820CBE">
            <w:pPr>
              <w:pStyle w:val="02Tabletext"/>
            </w:pPr>
            <w:r w:rsidRPr="002836EB">
              <w:t>Associate Professor Chris Milross</w:t>
            </w:r>
          </w:p>
        </w:tc>
        <w:tc>
          <w:tcPr>
            <w:tcW w:w="2358" w:type="pct"/>
          </w:tcPr>
          <w:p w14:paraId="24632E9F" w14:textId="6A906363" w:rsidR="00F01694" w:rsidRPr="002836EB" w:rsidRDefault="00F01694" w:rsidP="00F01694">
            <w:pPr>
              <w:pStyle w:val="02Tabletext"/>
            </w:pPr>
            <w:r w:rsidRPr="002836EB">
              <w:t>Associate Professor of Medicine, University of Sydney</w:t>
            </w:r>
          </w:p>
          <w:p w14:paraId="0C006241" w14:textId="77777777" w:rsidR="00F01694" w:rsidRPr="002836EB" w:rsidRDefault="00F01694" w:rsidP="00F01694">
            <w:pPr>
              <w:pStyle w:val="02Tabletext"/>
            </w:pPr>
            <w:r w:rsidRPr="002836EB">
              <w:t>Director of Radiation Oncology &amp; Medical Services, Chris O'Brien Lifehouse</w:t>
            </w:r>
          </w:p>
          <w:p w14:paraId="5F932322" w14:textId="1F013EF5" w:rsidR="00820CBE" w:rsidRPr="002836EB" w:rsidRDefault="00F01694" w:rsidP="00F01694">
            <w:pPr>
              <w:pStyle w:val="02Tabletext"/>
            </w:pPr>
            <w:r w:rsidRPr="002836EB">
              <w:t>Member, Board of Directors, RANZCR</w:t>
            </w:r>
          </w:p>
        </w:tc>
        <w:tc>
          <w:tcPr>
            <w:tcW w:w="1465" w:type="pct"/>
          </w:tcPr>
          <w:p w14:paraId="2AB7C6DD" w14:textId="1080474E" w:rsidR="009475D7" w:rsidRPr="002836EB" w:rsidRDefault="009475D7" w:rsidP="001C0DE4">
            <w:pPr>
              <w:pStyle w:val="02Tabletext"/>
            </w:pPr>
            <w:r w:rsidRPr="002836EB">
              <w:t>A/Prof Milross declared that he</w:t>
            </w:r>
            <w:r w:rsidR="00414EF3" w:rsidRPr="002836EB">
              <w:t xml:space="preserve"> is</w:t>
            </w:r>
            <w:r w:rsidRPr="002836EB">
              <w:t xml:space="preserve"> a member of the MBS Review Working Group of the RANZCR Faculty of Radiation Oncology (FRO)</w:t>
            </w:r>
            <w:r w:rsidR="00377539">
              <w:t>.</w:t>
            </w:r>
          </w:p>
        </w:tc>
      </w:tr>
      <w:tr w:rsidR="00820CBE" w:rsidRPr="002836EB" w14:paraId="38211252" w14:textId="77777777" w:rsidTr="00650794">
        <w:tc>
          <w:tcPr>
            <w:tcW w:w="1177" w:type="pct"/>
          </w:tcPr>
          <w:p w14:paraId="3D6C5E0D" w14:textId="0F634DD6" w:rsidR="00820CBE" w:rsidRPr="002836EB" w:rsidRDefault="00820CBE" w:rsidP="00820CBE">
            <w:pPr>
              <w:pStyle w:val="02Tabletext"/>
            </w:pPr>
            <w:r w:rsidRPr="002836EB">
              <w:t>Professor Christobel Saunders</w:t>
            </w:r>
          </w:p>
        </w:tc>
        <w:tc>
          <w:tcPr>
            <w:tcW w:w="2358" w:type="pct"/>
          </w:tcPr>
          <w:p w14:paraId="75B0614D" w14:textId="4FBE5C15" w:rsidR="00F01694" w:rsidRPr="002836EB" w:rsidRDefault="00F01694" w:rsidP="00F01694">
            <w:pPr>
              <w:pStyle w:val="02Tabletext"/>
            </w:pPr>
            <w:r w:rsidRPr="002836EB">
              <w:t xml:space="preserve">Consultant </w:t>
            </w:r>
            <w:r w:rsidR="00146203">
              <w:t>Surgeon</w:t>
            </w:r>
            <w:r w:rsidRPr="002836EB">
              <w:t>, Royal Perth Hospital &amp; Fiona Stanley Hospital</w:t>
            </w:r>
          </w:p>
          <w:p w14:paraId="0160E1DB" w14:textId="0DD8FBF2" w:rsidR="00820CBE" w:rsidRPr="002836EB" w:rsidRDefault="00F01694" w:rsidP="00F01694">
            <w:pPr>
              <w:pStyle w:val="02Tabletext"/>
            </w:pPr>
            <w:r w:rsidRPr="002836EB">
              <w:t>Head, General Surgery and Deputy Head, School of Surgery, University of Western Australia</w:t>
            </w:r>
          </w:p>
        </w:tc>
        <w:tc>
          <w:tcPr>
            <w:tcW w:w="1465" w:type="pct"/>
          </w:tcPr>
          <w:p w14:paraId="7CC54CD2" w14:textId="77777777" w:rsidR="00820CBE" w:rsidRPr="002836EB" w:rsidRDefault="00820CBE" w:rsidP="00820CBE">
            <w:pPr>
              <w:pStyle w:val="02Tabletext"/>
            </w:pPr>
            <w:r w:rsidRPr="002836EB">
              <w:t>None</w:t>
            </w:r>
          </w:p>
        </w:tc>
      </w:tr>
      <w:tr w:rsidR="00820CBE" w:rsidRPr="002836EB" w14:paraId="53D87031" w14:textId="77777777" w:rsidTr="00650794">
        <w:tc>
          <w:tcPr>
            <w:tcW w:w="1177" w:type="pct"/>
          </w:tcPr>
          <w:p w14:paraId="67C8A6BC" w14:textId="6ADF737B" w:rsidR="00820CBE" w:rsidRPr="002836EB" w:rsidRDefault="00820CBE" w:rsidP="00820CBE">
            <w:pPr>
              <w:pStyle w:val="02Tabletext"/>
            </w:pPr>
            <w:r w:rsidRPr="002836EB">
              <w:t>Professor David Thomas</w:t>
            </w:r>
          </w:p>
        </w:tc>
        <w:tc>
          <w:tcPr>
            <w:tcW w:w="2358" w:type="pct"/>
          </w:tcPr>
          <w:p w14:paraId="0965AF59" w14:textId="21B88DCD" w:rsidR="00820CBE" w:rsidRPr="002836EB" w:rsidRDefault="00F01694" w:rsidP="00820CBE">
            <w:pPr>
              <w:pStyle w:val="02Tabletext"/>
            </w:pPr>
            <w:r w:rsidRPr="002836EB">
              <w:t>Director &amp; Division Head, Genomic Cancer Medicine, Cancer Division, Garvan Institute of Medical Research &amp; The Kinghorn Cancer Centre</w:t>
            </w:r>
          </w:p>
        </w:tc>
        <w:tc>
          <w:tcPr>
            <w:tcW w:w="1465" w:type="pct"/>
          </w:tcPr>
          <w:p w14:paraId="1D049518" w14:textId="77777777" w:rsidR="00820CBE" w:rsidRPr="002836EB" w:rsidRDefault="00820CBE" w:rsidP="00820CBE">
            <w:pPr>
              <w:pStyle w:val="02Tabletext"/>
            </w:pPr>
            <w:r w:rsidRPr="002836EB">
              <w:t>None</w:t>
            </w:r>
          </w:p>
        </w:tc>
      </w:tr>
      <w:tr w:rsidR="00820CBE" w:rsidRPr="002836EB" w14:paraId="20563948" w14:textId="77777777" w:rsidTr="00650794">
        <w:tc>
          <w:tcPr>
            <w:tcW w:w="1177" w:type="pct"/>
          </w:tcPr>
          <w:p w14:paraId="3154E3AA" w14:textId="195E13DF" w:rsidR="00820CBE" w:rsidRPr="002836EB" w:rsidRDefault="00820CBE" w:rsidP="00820CBE">
            <w:pPr>
              <w:pStyle w:val="02Tabletext"/>
            </w:pPr>
            <w:r w:rsidRPr="002836EB">
              <w:t>Dr Elizabeth Marles</w:t>
            </w:r>
          </w:p>
        </w:tc>
        <w:tc>
          <w:tcPr>
            <w:tcW w:w="2358" w:type="pct"/>
          </w:tcPr>
          <w:p w14:paraId="20AEBEC3" w14:textId="41D5B9A1" w:rsidR="00797A60" w:rsidRPr="002836EB" w:rsidRDefault="003E703E" w:rsidP="003E703E">
            <w:pPr>
              <w:pStyle w:val="02Tabletext"/>
            </w:pPr>
            <w:r>
              <w:t>Director, H</w:t>
            </w:r>
            <w:r w:rsidR="002507EE" w:rsidRPr="002836EB">
              <w:t>ornsby</w:t>
            </w:r>
            <w:r>
              <w:t>-Brooklyn</w:t>
            </w:r>
            <w:r w:rsidR="002507EE" w:rsidRPr="002836EB">
              <w:t xml:space="preserve"> GP Unit</w:t>
            </w:r>
            <w:r>
              <w:br/>
              <w:t xml:space="preserve">Past </w:t>
            </w:r>
            <w:r w:rsidRPr="002836EB">
              <w:t>President, Royal Australian College of General Practitioners (RACGP)</w:t>
            </w:r>
          </w:p>
        </w:tc>
        <w:tc>
          <w:tcPr>
            <w:tcW w:w="1465" w:type="pct"/>
          </w:tcPr>
          <w:p w14:paraId="6AD8F5AF" w14:textId="77777777" w:rsidR="00820CBE" w:rsidRPr="002836EB" w:rsidRDefault="00820CBE" w:rsidP="00820CBE">
            <w:pPr>
              <w:pStyle w:val="02Tabletext"/>
            </w:pPr>
            <w:r w:rsidRPr="002836EB">
              <w:t>None</w:t>
            </w:r>
          </w:p>
        </w:tc>
      </w:tr>
      <w:tr w:rsidR="00820CBE" w:rsidRPr="002836EB" w14:paraId="1B7BD8FE" w14:textId="77777777" w:rsidTr="00650794">
        <w:tc>
          <w:tcPr>
            <w:tcW w:w="1177" w:type="pct"/>
          </w:tcPr>
          <w:p w14:paraId="26E038A1" w14:textId="492D11ED" w:rsidR="00820CBE" w:rsidRPr="002836EB" w:rsidRDefault="00820CBE" w:rsidP="00820CBE">
            <w:pPr>
              <w:pStyle w:val="02Tabletext"/>
            </w:pPr>
            <w:r w:rsidRPr="002836EB">
              <w:t>Professor Guy Maddern</w:t>
            </w:r>
          </w:p>
        </w:tc>
        <w:tc>
          <w:tcPr>
            <w:tcW w:w="2358" w:type="pct"/>
          </w:tcPr>
          <w:p w14:paraId="1E66EE30" w14:textId="35D36E87" w:rsidR="00F01694" w:rsidRPr="002836EB" w:rsidRDefault="00F01694" w:rsidP="00F01694">
            <w:pPr>
              <w:pStyle w:val="02Tabletext"/>
            </w:pPr>
            <w:r w:rsidRPr="002836EB">
              <w:t>Professor of Surgery &amp; Head of Discipline, The University of Adelaide</w:t>
            </w:r>
          </w:p>
          <w:p w14:paraId="02E9382E" w14:textId="06986256" w:rsidR="00820CBE" w:rsidRPr="002836EB" w:rsidRDefault="00F01694" w:rsidP="00F01694">
            <w:pPr>
              <w:pStyle w:val="02Tabletext"/>
            </w:pPr>
            <w:r w:rsidRPr="002836EB">
              <w:t>Director, Division of Surgery, The Queen Elizabeth Hospital</w:t>
            </w:r>
          </w:p>
        </w:tc>
        <w:tc>
          <w:tcPr>
            <w:tcW w:w="1465" w:type="pct"/>
          </w:tcPr>
          <w:p w14:paraId="481CFF52" w14:textId="77777777" w:rsidR="00820CBE" w:rsidRPr="002836EB" w:rsidRDefault="00820CBE" w:rsidP="00820CBE">
            <w:pPr>
              <w:pStyle w:val="02Tabletext"/>
            </w:pPr>
            <w:r w:rsidRPr="002836EB">
              <w:t>None</w:t>
            </w:r>
          </w:p>
        </w:tc>
      </w:tr>
      <w:tr w:rsidR="00820CBE" w:rsidRPr="002836EB" w14:paraId="4245CC4E" w14:textId="77777777" w:rsidTr="00650794">
        <w:tc>
          <w:tcPr>
            <w:tcW w:w="1177" w:type="pct"/>
          </w:tcPr>
          <w:p w14:paraId="7940377A" w14:textId="6115889D" w:rsidR="00820CBE" w:rsidRPr="002836EB" w:rsidRDefault="00820CBE" w:rsidP="00820CBE">
            <w:pPr>
              <w:pStyle w:val="02Tabletext"/>
            </w:pPr>
            <w:r w:rsidRPr="002836EB">
              <w:lastRenderedPageBreak/>
              <w:t>Mr John Stubbs</w:t>
            </w:r>
          </w:p>
        </w:tc>
        <w:tc>
          <w:tcPr>
            <w:tcW w:w="2358" w:type="pct"/>
          </w:tcPr>
          <w:p w14:paraId="7B5A41F8" w14:textId="0B44100E" w:rsidR="00F01694" w:rsidRPr="002836EB" w:rsidRDefault="00F01694" w:rsidP="00F01694">
            <w:pPr>
              <w:pStyle w:val="02Tabletext"/>
            </w:pPr>
            <w:r w:rsidRPr="002836EB">
              <w:t>Chief Executive Officer, CanSpeak</w:t>
            </w:r>
          </w:p>
          <w:p w14:paraId="3BF2A2EE" w14:textId="4007CEE1" w:rsidR="00820CBE" w:rsidRPr="002836EB" w:rsidRDefault="00F01694" w:rsidP="00F01694">
            <w:pPr>
              <w:pStyle w:val="02Tabletext"/>
            </w:pPr>
            <w:r w:rsidRPr="002836EB">
              <w:t>Member, Medical Services Advisory Committee</w:t>
            </w:r>
          </w:p>
        </w:tc>
        <w:tc>
          <w:tcPr>
            <w:tcW w:w="1465" w:type="pct"/>
          </w:tcPr>
          <w:p w14:paraId="66616AA9" w14:textId="4E2C37C6" w:rsidR="00820CBE" w:rsidRPr="002836EB" w:rsidRDefault="00382B12" w:rsidP="006F5813">
            <w:pPr>
              <w:pStyle w:val="02Tabletext"/>
            </w:pPr>
            <w:r w:rsidRPr="002836EB">
              <w:t>Mr Stubbs declared that he was previously on the Board of RANZCR and</w:t>
            </w:r>
            <w:r w:rsidR="000B0E8F" w:rsidRPr="002836EB">
              <w:t xml:space="preserve"> the Radiation Oncology Jurisdictional Implementation Group</w:t>
            </w:r>
            <w:r w:rsidRPr="002836EB">
              <w:t xml:space="preserve"> </w:t>
            </w:r>
            <w:r w:rsidR="000B0E8F" w:rsidRPr="002836EB">
              <w:t>(</w:t>
            </w:r>
            <w:r w:rsidRPr="002836EB">
              <w:t>ROJIG</w:t>
            </w:r>
            <w:r w:rsidR="000B0E8F" w:rsidRPr="002836EB">
              <w:t>)</w:t>
            </w:r>
            <w:r w:rsidRPr="002836EB">
              <w:t xml:space="preserve"> Committee of Review (contributing to the establishment of Radiation Oncology Standards</w:t>
            </w:r>
            <w:r w:rsidR="00D85D40" w:rsidRPr="002836EB">
              <w:t xml:space="preserve">). He </w:t>
            </w:r>
            <w:r w:rsidRPr="002836EB">
              <w:t>is</w:t>
            </w:r>
            <w:r w:rsidR="00D85D40" w:rsidRPr="002836EB">
              <w:t xml:space="preserve"> also</w:t>
            </w:r>
            <w:r w:rsidRPr="002836EB">
              <w:t xml:space="preserve"> a </w:t>
            </w:r>
            <w:r w:rsidR="005755D2" w:rsidRPr="002836EB">
              <w:t>b</w:t>
            </w:r>
            <w:r w:rsidRPr="002836EB">
              <w:t xml:space="preserve">oard member of Cancer Institute NSW and has advised Genesis care on establishing a </w:t>
            </w:r>
            <w:r w:rsidR="00A21544" w:rsidRPr="002836EB">
              <w:t>c</w:t>
            </w:r>
            <w:r w:rsidRPr="002836EB">
              <w:t xml:space="preserve">onsumer </w:t>
            </w:r>
            <w:r w:rsidR="00A21544" w:rsidRPr="002836EB">
              <w:t>a</w:t>
            </w:r>
            <w:r w:rsidRPr="002836EB">
              <w:t xml:space="preserve">dvisory </w:t>
            </w:r>
            <w:r w:rsidR="00A21544" w:rsidRPr="002836EB">
              <w:t>p</w:t>
            </w:r>
            <w:r w:rsidRPr="002836EB">
              <w:t xml:space="preserve">anel (but was not involved in </w:t>
            </w:r>
            <w:r w:rsidR="006F5813" w:rsidRPr="002836EB">
              <w:t xml:space="preserve">its </w:t>
            </w:r>
            <w:r w:rsidRPr="002836EB">
              <w:t>MBS Review submission).</w:t>
            </w:r>
          </w:p>
        </w:tc>
      </w:tr>
      <w:tr w:rsidR="00820CBE" w:rsidRPr="002836EB" w14:paraId="75FFEDD9" w14:textId="77777777" w:rsidTr="00650794">
        <w:tc>
          <w:tcPr>
            <w:tcW w:w="1177" w:type="pct"/>
          </w:tcPr>
          <w:p w14:paraId="0ABBB04B" w14:textId="1226CEDF" w:rsidR="00820CBE" w:rsidRPr="002836EB" w:rsidRDefault="00820CBE" w:rsidP="00820CBE">
            <w:pPr>
              <w:pStyle w:val="02Tabletext"/>
            </w:pPr>
            <w:r w:rsidRPr="002836EB">
              <w:t>Professor John Zalcberg</w:t>
            </w:r>
          </w:p>
        </w:tc>
        <w:tc>
          <w:tcPr>
            <w:tcW w:w="2358" w:type="pct"/>
          </w:tcPr>
          <w:p w14:paraId="76BB6E22" w14:textId="4D28A8D9" w:rsidR="00F01694" w:rsidRPr="002836EB" w:rsidRDefault="00F01694" w:rsidP="00F01694">
            <w:pPr>
              <w:pStyle w:val="02Tabletext"/>
            </w:pPr>
            <w:r w:rsidRPr="002836EB">
              <w:t>Head, Cancer Research Program</w:t>
            </w:r>
          </w:p>
          <w:p w14:paraId="0F7D1274" w14:textId="0865BF4D" w:rsidR="00F01694" w:rsidRPr="002836EB" w:rsidRDefault="00F01694" w:rsidP="00F01694">
            <w:pPr>
              <w:pStyle w:val="02Tabletext"/>
            </w:pPr>
            <w:r w:rsidRPr="002836EB">
              <w:t>School of Public Health and Preventative Medicine</w:t>
            </w:r>
            <w:r w:rsidR="00051569" w:rsidRPr="002836EB">
              <w:t>,</w:t>
            </w:r>
            <w:r w:rsidRPr="002836EB">
              <w:t xml:space="preserve"> </w:t>
            </w:r>
          </w:p>
          <w:p w14:paraId="5D66EC8F" w14:textId="00E3D8FB" w:rsidR="00820CBE" w:rsidRPr="002836EB" w:rsidRDefault="00F01694" w:rsidP="00F01694">
            <w:pPr>
              <w:pStyle w:val="02Tabletext"/>
            </w:pPr>
            <w:r w:rsidRPr="002836EB">
              <w:t>Monash University</w:t>
            </w:r>
          </w:p>
        </w:tc>
        <w:tc>
          <w:tcPr>
            <w:tcW w:w="1465" w:type="pct"/>
          </w:tcPr>
          <w:p w14:paraId="508E1672" w14:textId="243C2F0A" w:rsidR="00820CBE" w:rsidRPr="002836EB" w:rsidRDefault="00D24E26" w:rsidP="00820CBE">
            <w:pPr>
              <w:pStyle w:val="02Tabletext"/>
            </w:pPr>
            <w:r w:rsidRPr="002836EB">
              <w:t>Prof Zalcberg declared he is Chair of the Cancer Drugs Alliance, and Chair of the Australian Clinical Trials Alliance (which made a submission to the MBS Review)</w:t>
            </w:r>
            <w:r w:rsidR="00377539">
              <w:t>.</w:t>
            </w:r>
          </w:p>
        </w:tc>
      </w:tr>
      <w:tr w:rsidR="00820CBE" w:rsidRPr="002836EB" w14:paraId="72617829" w14:textId="77777777" w:rsidTr="00650794">
        <w:tc>
          <w:tcPr>
            <w:tcW w:w="1177" w:type="pct"/>
          </w:tcPr>
          <w:p w14:paraId="68A067F5" w14:textId="75DB00B3" w:rsidR="00820CBE" w:rsidRPr="002836EB" w:rsidRDefault="00820CBE" w:rsidP="00820CBE">
            <w:pPr>
              <w:pStyle w:val="02Tabletext"/>
            </w:pPr>
            <w:r w:rsidRPr="002836EB">
              <w:t>Associate Professor Justin Tse</w:t>
            </w:r>
          </w:p>
        </w:tc>
        <w:tc>
          <w:tcPr>
            <w:tcW w:w="2358" w:type="pct"/>
          </w:tcPr>
          <w:p w14:paraId="7DEAD4FB" w14:textId="43E35E1D" w:rsidR="00F01694" w:rsidRPr="002836EB" w:rsidRDefault="00F01694" w:rsidP="00F01694">
            <w:pPr>
              <w:pStyle w:val="02Tabletext"/>
            </w:pPr>
            <w:r w:rsidRPr="002836EB">
              <w:t>Clinical Dean, St Vincent’s Clinical School, University of Melbourne</w:t>
            </w:r>
          </w:p>
          <w:p w14:paraId="34F9AF19" w14:textId="77777777" w:rsidR="00F01694" w:rsidRPr="002836EB" w:rsidRDefault="00F01694" w:rsidP="00F01694">
            <w:pPr>
              <w:pStyle w:val="02Tabletext"/>
            </w:pPr>
            <w:r w:rsidRPr="002836EB">
              <w:t>Research Fellow, Cancer Council of Victoria</w:t>
            </w:r>
          </w:p>
          <w:p w14:paraId="6CC11158" w14:textId="0DF77447" w:rsidR="00820CBE" w:rsidRPr="002836EB" w:rsidRDefault="00F01694" w:rsidP="00213B59">
            <w:pPr>
              <w:pStyle w:val="02Tabletext"/>
              <w:rPr>
                <w:i/>
                <w:iCs/>
                <w:color w:val="404040" w:themeColor="text1" w:themeTint="BF"/>
              </w:rPr>
            </w:pPr>
            <w:r w:rsidRPr="002836EB">
              <w:t xml:space="preserve">Chair, Specific Interest – Cancer, </w:t>
            </w:r>
            <w:r w:rsidR="00051569" w:rsidRPr="002836EB">
              <w:t>RACGP</w:t>
            </w:r>
          </w:p>
        </w:tc>
        <w:tc>
          <w:tcPr>
            <w:tcW w:w="1465" w:type="pct"/>
          </w:tcPr>
          <w:p w14:paraId="45C35A06" w14:textId="38446EF9" w:rsidR="00820CBE" w:rsidRPr="002836EB" w:rsidRDefault="00820CBE" w:rsidP="00820CBE">
            <w:pPr>
              <w:pStyle w:val="02Tabletext"/>
            </w:pPr>
            <w:r w:rsidRPr="002836EB">
              <w:t>None</w:t>
            </w:r>
          </w:p>
        </w:tc>
      </w:tr>
      <w:tr w:rsidR="00820CBE" w:rsidRPr="002836EB" w14:paraId="0543C67C" w14:textId="77777777" w:rsidTr="00650794">
        <w:tc>
          <w:tcPr>
            <w:tcW w:w="1177" w:type="pct"/>
          </w:tcPr>
          <w:p w14:paraId="3CD9EDDE" w14:textId="0FE3E1C2" w:rsidR="00820CBE" w:rsidRPr="002836EB" w:rsidRDefault="00657C97" w:rsidP="00657C97">
            <w:pPr>
              <w:pStyle w:val="02Tabletext"/>
            </w:pPr>
            <w:r w:rsidRPr="002836EB">
              <w:t xml:space="preserve">Ms </w:t>
            </w:r>
            <w:r w:rsidR="00820CBE" w:rsidRPr="002836EB">
              <w:t>Kathy Wells</w:t>
            </w:r>
          </w:p>
        </w:tc>
        <w:tc>
          <w:tcPr>
            <w:tcW w:w="2358" w:type="pct"/>
          </w:tcPr>
          <w:p w14:paraId="0F872A27" w14:textId="477CF08E" w:rsidR="00820CBE" w:rsidRPr="002836EB" w:rsidRDefault="00F01694" w:rsidP="00820CBE">
            <w:pPr>
              <w:pStyle w:val="02Tabletext"/>
            </w:pPr>
            <w:r w:rsidRPr="002836EB">
              <w:t>Head of Policy, Research and Advocacy, Breast Cancer Network Australia</w:t>
            </w:r>
          </w:p>
        </w:tc>
        <w:tc>
          <w:tcPr>
            <w:tcW w:w="1465" w:type="pct"/>
          </w:tcPr>
          <w:p w14:paraId="4F68DF1A" w14:textId="3462288A" w:rsidR="00820CBE" w:rsidRPr="002836EB" w:rsidRDefault="00820CBE" w:rsidP="00820CBE">
            <w:pPr>
              <w:pStyle w:val="02Tabletext"/>
            </w:pPr>
            <w:r w:rsidRPr="002836EB">
              <w:t>None</w:t>
            </w:r>
          </w:p>
        </w:tc>
      </w:tr>
      <w:tr w:rsidR="00820CBE" w:rsidRPr="002836EB" w14:paraId="3CF49DD7" w14:textId="77777777" w:rsidTr="00650794">
        <w:tc>
          <w:tcPr>
            <w:tcW w:w="1177" w:type="pct"/>
          </w:tcPr>
          <w:p w14:paraId="7AC6B1A6" w14:textId="16573846" w:rsidR="00820CBE" w:rsidRPr="002836EB" w:rsidRDefault="00820CBE" w:rsidP="00820CBE">
            <w:pPr>
              <w:pStyle w:val="02Tabletext"/>
            </w:pPr>
            <w:r w:rsidRPr="002836EB">
              <w:t>Dr Liz Kenny</w:t>
            </w:r>
          </w:p>
        </w:tc>
        <w:tc>
          <w:tcPr>
            <w:tcW w:w="2358" w:type="pct"/>
          </w:tcPr>
          <w:p w14:paraId="339A372C" w14:textId="10CDD165" w:rsidR="00820CBE" w:rsidRPr="002836EB" w:rsidRDefault="00F01694" w:rsidP="00820CBE">
            <w:pPr>
              <w:pStyle w:val="02Tabletext"/>
            </w:pPr>
            <w:r w:rsidRPr="002836EB">
              <w:t>Royal Brisbane and Women</w:t>
            </w:r>
            <w:r w:rsidR="00F91A64" w:rsidRPr="002836EB">
              <w:t>’</w:t>
            </w:r>
            <w:r w:rsidRPr="002836EB">
              <w:t>s Hospital</w:t>
            </w:r>
          </w:p>
        </w:tc>
        <w:tc>
          <w:tcPr>
            <w:tcW w:w="1465" w:type="pct"/>
          </w:tcPr>
          <w:p w14:paraId="3E437537" w14:textId="33E552D9" w:rsidR="00820CBE" w:rsidRPr="002836EB" w:rsidRDefault="008335B3" w:rsidP="009475D7">
            <w:pPr>
              <w:pStyle w:val="02Tabletext"/>
            </w:pPr>
            <w:r w:rsidRPr="002836EB">
              <w:t xml:space="preserve">Dr Kenny declared that she is the Chair of the MBS Review Working </w:t>
            </w:r>
            <w:r w:rsidR="009475D7" w:rsidRPr="002836EB">
              <w:t>Group of the</w:t>
            </w:r>
            <w:r w:rsidRPr="002836EB">
              <w:t xml:space="preserve"> RAN</w:t>
            </w:r>
            <w:r w:rsidR="009475D7" w:rsidRPr="002836EB">
              <w:t>ZCR FRO</w:t>
            </w:r>
            <w:r w:rsidR="00382B12" w:rsidRPr="002836EB">
              <w:t xml:space="preserve"> and a member of Cancer Australia’s Staging Treatment and Recurrence (STaR) Committee</w:t>
            </w:r>
            <w:r w:rsidR="00377539">
              <w:t>.</w:t>
            </w:r>
          </w:p>
        </w:tc>
      </w:tr>
      <w:tr w:rsidR="00820CBE" w:rsidRPr="002836EB" w14:paraId="33AF2D7F" w14:textId="77777777" w:rsidTr="00650794">
        <w:tc>
          <w:tcPr>
            <w:tcW w:w="1177" w:type="pct"/>
          </w:tcPr>
          <w:p w14:paraId="3C12853D" w14:textId="0A621D80" w:rsidR="00820CBE" w:rsidRPr="002836EB" w:rsidRDefault="00820CBE" w:rsidP="008621B9">
            <w:pPr>
              <w:pStyle w:val="02Tabletext"/>
            </w:pPr>
            <w:r w:rsidRPr="002836EB">
              <w:t>M</w:t>
            </w:r>
            <w:r w:rsidR="008621B9" w:rsidRPr="002836EB">
              <w:t>s</w:t>
            </w:r>
            <w:r w:rsidRPr="002836EB">
              <w:t xml:space="preserve"> Maree Bransdon</w:t>
            </w:r>
          </w:p>
        </w:tc>
        <w:tc>
          <w:tcPr>
            <w:tcW w:w="2358" w:type="pct"/>
          </w:tcPr>
          <w:p w14:paraId="2D8E4868" w14:textId="0DC4D386" w:rsidR="00820CBE" w:rsidRPr="002836EB" w:rsidRDefault="00F01694" w:rsidP="00820CBE">
            <w:pPr>
              <w:pStyle w:val="02Tabletext"/>
            </w:pPr>
            <w:r w:rsidRPr="002836EB">
              <w:t>Nursing Director, Central Integrated Regional Cancer Service, Queensland Department of Health</w:t>
            </w:r>
          </w:p>
        </w:tc>
        <w:tc>
          <w:tcPr>
            <w:tcW w:w="1465" w:type="pct"/>
          </w:tcPr>
          <w:p w14:paraId="467C900D" w14:textId="5FAD8484" w:rsidR="00820CBE" w:rsidRPr="002836EB" w:rsidRDefault="00820CBE" w:rsidP="00820CBE">
            <w:pPr>
              <w:pStyle w:val="02Tabletext"/>
            </w:pPr>
            <w:r w:rsidRPr="002836EB">
              <w:t>None</w:t>
            </w:r>
          </w:p>
        </w:tc>
      </w:tr>
      <w:tr w:rsidR="00820CBE" w:rsidRPr="002836EB" w14:paraId="35DC56D8" w14:textId="77777777" w:rsidTr="00650794">
        <w:tc>
          <w:tcPr>
            <w:tcW w:w="1177" w:type="pct"/>
          </w:tcPr>
          <w:p w14:paraId="3433587F" w14:textId="39416C92" w:rsidR="00820CBE" w:rsidRPr="002836EB" w:rsidRDefault="00820CBE" w:rsidP="00820CBE">
            <w:pPr>
              <w:pStyle w:val="02Tabletext"/>
            </w:pPr>
            <w:r w:rsidRPr="002836EB">
              <w:t>Professor Michael Barton</w:t>
            </w:r>
          </w:p>
        </w:tc>
        <w:tc>
          <w:tcPr>
            <w:tcW w:w="2358" w:type="pct"/>
          </w:tcPr>
          <w:p w14:paraId="30D6C7B2" w14:textId="57FDC8C2" w:rsidR="00820CBE" w:rsidRPr="002836EB" w:rsidRDefault="00F01694" w:rsidP="00820CBE">
            <w:pPr>
              <w:pStyle w:val="02Tabletext"/>
            </w:pPr>
            <w:r w:rsidRPr="002836EB">
              <w:t>Research Director, Ingham Institute for Applied Medical Research</w:t>
            </w:r>
          </w:p>
        </w:tc>
        <w:tc>
          <w:tcPr>
            <w:tcW w:w="1465" w:type="pct"/>
          </w:tcPr>
          <w:p w14:paraId="3AB7BD0C" w14:textId="080BCB57" w:rsidR="00820CBE" w:rsidRPr="002836EB" w:rsidRDefault="00820CBE" w:rsidP="00820CBE">
            <w:pPr>
              <w:pStyle w:val="02Tabletext"/>
            </w:pPr>
            <w:r w:rsidRPr="002836EB">
              <w:t>None</w:t>
            </w:r>
          </w:p>
        </w:tc>
      </w:tr>
      <w:tr w:rsidR="00820CBE" w:rsidRPr="002836EB" w14:paraId="53F4933F" w14:textId="77777777" w:rsidTr="00650794">
        <w:tc>
          <w:tcPr>
            <w:tcW w:w="1177" w:type="pct"/>
          </w:tcPr>
          <w:p w14:paraId="11EF4E9C" w14:textId="613BA787" w:rsidR="00820CBE" w:rsidRPr="002836EB" w:rsidRDefault="00820CBE" w:rsidP="00820CBE">
            <w:pPr>
              <w:pStyle w:val="02Tabletext"/>
            </w:pPr>
            <w:r w:rsidRPr="002836EB">
              <w:t>Associate Professor Michael Hofman</w:t>
            </w:r>
          </w:p>
        </w:tc>
        <w:tc>
          <w:tcPr>
            <w:tcW w:w="2358" w:type="pct"/>
          </w:tcPr>
          <w:p w14:paraId="24A7777D" w14:textId="463172FA" w:rsidR="00820CBE" w:rsidRPr="002836EB" w:rsidRDefault="00F01694" w:rsidP="00820CBE">
            <w:pPr>
              <w:pStyle w:val="02Tabletext"/>
            </w:pPr>
            <w:r w:rsidRPr="002836EB">
              <w:t>Peter MacCallum Cancer Centre</w:t>
            </w:r>
          </w:p>
        </w:tc>
        <w:tc>
          <w:tcPr>
            <w:tcW w:w="1465" w:type="pct"/>
          </w:tcPr>
          <w:p w14:paraId="479FAE75" w14:textId="3EEAD82E" w:rsidR="00820CBE" w:rsidRPr="002836EB" w:rsidRDefault="004F079A" w:rsidP="00820CBE">
            <w:pPr>
              <w:pStyle w:val="02Tabletext"/>
            </w:pPr>
            <w:r w:rsidRPr="002836EB">
              <w:t>None</w:t>
            </w:r>
          </w:p>
        </w:tc>
      </w:tr>
      <w:tr w:rsidR="00820CBE" w:rsidRPr="002836EB" w14:paraId="672F4BBE" w14:textId="77777777" w:rsidTr="00650794">
        <w:tc>
          <w:tcPr>
            <w:tcW w:w="1177" w:type="pct"/>
          </w:tcPr>
          <w:p w14:paraId="21ABD999" w14:textId="1DEEF934" w:rsidR="00820CBE" w:rsidRPr="002836EB" w:rsidRDefault="00820CBE" w:rsidP="00820CBE">
            <w:pPr>
              <w:pStyle w:val="02Tabletext"/>
            </w:pPr>
            <w:r w:rsidRPr="002836EB">
              <w:t>Dr Mustafa Khasraw</w:t>
            </w:r>
          </w:p>
        </w:tc>
        <w:tc>
          <w:tcPr>
            <w:tcW w:w="2358" w:type="pct"/>
          </w:tcPr>
          <w:p w14:paraId="52B3AF0D" w14:textId="69BCF9A3" w:rsidR="00F01694" w:rsidRPr="002836EB" w:rsidRDefault="00B248C2" w:rsidP="00F01694">
            <w:pPr>
              <w:pStyle w:val="02Tabletext"/>
            </w:pPr>
            <w:r>
              <w:t>Medical Oncologist</w:t>
            </w:r>
            <w:r w:rsidR="00F01694" w:rsidRPr="002836EB">
              <w:t>, Royal North Shore Hospital</w:t>
            </w:r>
          </w:p>
          <w:p w14:paraId="58C79168" w14:textId="3DC80441" w:rsidR="00820CBE" w:rsidRPr="002836EB" w:rsidRDefault="00F01694" w:rsidP="00F01694">
            <w:pPr>
              <w:pStyle w:val="02Tabletext"/>
            </w:pPr>
            <w:r w:rsidRPr="002836EB">
              <w:t>Clinical Lead, N</w:t>
            </w:r>
            <w:r w:rsidR="00673FCB" w:rsidRPr="002836EB">
              <w:t xml:space="preserve">ational </w:t>
            </w:r>
            <w:r w:rsidRPr="002836EB">
              <w:t>H</w:t>
            </w:r>
            <w:r w:rsidR="00673FCB" w:rsidRPr="002836EB">
              <w:t>ealth and Medical Research Council (NH</w:t>
            </w:r>
            <w:r w:rsidRPr="002836EB">
              <w:t>MRC</w:t>
            </w:r>
            <w:r w:rsidR="00673FCB" w:rsidRPr="002836EB">
              <w:t>)</w:t>
            </w:r>
            <w:r w:rsidRPr="002836EB">
              <w:t xml:space="preserve"> Clinical Trials Centre</w:t>
            </w:r>
          </w:p>
        </w:tc>
        <w:tc>
          <w:tcPr>
            <w:tcW w:w="1465" w:type="pct"/>
          </w:tcPr>
          <w:p w14:paraId="7B221FEA" w14:textId="47846B13" w:rsidR="00820CBE" w:rsidRPr="002836EB" w:rsidRDefault="00820CBE" w:rsidP="00820CBE">
            <w:pPr>
              <w:pStyle w:val="02Tabletext"/>
            </w:pPr>
            <w:r w:rsidRPr="002836EB">
              <w:t>None</w:t>
            </w:r>
          </w:p>
        </w:tc>
      </w:tr>
      <w:tr w:rsidR="00820CBE" w:rsidRPr="002836EB" w14:paraId="16799B0D" w14:textId="77777777" w:rsidTr="00650794">
        <w:tc>
          <w:tcPr>
            <w:tcW w:w="1177" w:type="pct"/>
          </w:tcPr>
          <w:p w14:paraId="5252C3FE" w14:textId="73DB0366" w:rsidR="00820CBE" w:rsidRPr="002836EB" w:rsidRDefault="00820CBE" w:rsidP="00820CBE">
            <w:pPr>
              <w:pStyle w:val="02Tabletext"/>
            </w:pPr>
            <w:r w:rsidRPr="002836EB">
              <w:t>Dr Phillip Carson</w:t>
            </w:r>
          </w:p>
        </w:tc>
        <w:tc>
          <w:tcPr>
            <w:tcW w:w="2358" w:type="pct"/>
          </w:tcPr>
          <w:p w14:paraId="4AD7E3A7" w14:textId="1DEAC113" w:rsidR="00F01694" w:rsidRPr="002836EB" w:rsidRDefault="00F01694" w:rsidP="00F01694">
            <w:pPr>
              <w:pStyle w:val="02Tabletext"/>
            </w:pPr>
            <w:r w:rsidRPr="002836EB">
              <w:t xml:space="preserve">General </w:t>
            </w:r>
            <w:r w:rsidR="00146203">
              <w:t>Surgeon</w:t>
            </w:r>
            <w:r w:rsidRPr="002836EB">
              <w:t>, The Royal Darwin Hospital &amp; Darwin Private Hospital</w:t>
            </w:r>
          </w:p>
          <w:p w14:paraId="4C35D29C" w14:textId="492E558A" w:rsidR="00820CBE" w:rsidRPr="002836EB" w:rsidRDefault="00F01694" w:rsidP="00F01694">
            <w:pPr>
              <w:pStyle w:val="02Tabletext"/>
            </w:pPr>
            <w:r w:rsidRPr="002836EB">
              <w:t>Associate Professor, Flinders Northern Territory Medical Program</w:t>
            </w:r>
          </w:p>
        </w:tc>
        <w:tc>
          <w:tcPr>
            <w:tcW w:w="1465" w:type="pct"/>
          </w:tcPr>
          <w:p w14:paraId="47DD790C" w14:textId="3E0C80A8" w:rsidR="00820CBE" w:rsidRPr="002836EB" w:rsidRDefault="00820CBE" w:rsidP="00820CBE">
            <w:pPr>
              <w:pStyle w:val="02Tabletext"/>
            </w:pPr>
            <w:r w:rsidRPr="002836EB">
              <w:t>None</w:t>
            </w:r>
          </w:p>
        </w:tc>
      </w:tr>
      <w:tr w:rsidR="00820CBE" w:rsidRPr="002836EB" w14:paraId="10B865E1" w14:textId="77777777" w:rsidTr="00650794">
        <w:tc>
          <w:tcPr>
            <w:tcW w:w="1177" w:type="pct"/>
          </w:tcPr>
          <w:p w14:paraId="1D473DEF" w14:textId="341E5325" w:rsidR="00820CBE" w:rsidRPr="002836EB" w:rsidRDefault="00820CBE" w:rsidP="00820CBE">
            <w:pPr>
              <w:pStyle w:val="02Tabletext"/>
            </w:pPr>
            <w:r w:rsidRPr="002836EB">
              <w:t>Associate Professor Roslyn Francis</w:t>
            </w:r>
          </w:p>
        </w:tc>
        <w:tc>
          <w:tcPr>
            <w:tcW w:w="2358" w:type="pct"/>
          </w:tcPr>
          <w:p w14:paraId="00856204" w14:textId="0E8408C7" w:rsidR="00F01694" w:rsidRPr="002836EB" w:rsidRDefault="00F01694" w:rsidP="00F01694">
            <w:pPr>
              <w:pStyle w:val="02Tabletext"/>
            </w:pPr>
            <w:r w:rsidRPr="002836EB">
              <w:t>Associate Professor of Molecular Imaging, School of Medicine &amp; Pharmacology, University of Western Australia</w:t>
            </w:r>
          </w:p>
          <w:p w14:paraId="511FACED" w14:textId="6296AB16" w:rsidR="00820CBE" w:rsidRPr="002836EB" w:rsidRDefault="00F01694" w:rsidP="00F01694">
            <w:pPr>
              <w:pStyle w:val="02Tabletext"/>
            </w:pPr>
            <w:r w:rsidRPr="002836EB">
              <w:t>Harry Perkins Institute of Medical Research, QEII Medical Centre</w:t>
            </w:r>
          </w:p>
        </w:tc>
        <w:tc>
          <w:tcPr>
            <w:tcW w:w="1465" w:type="pct"/>
          </w:tcPr>
          <w:p w14:paraId="4739D54A" w14:textId="00B09530" w:rsidR="00820CBE" w:rsidRPr="002836EB" w:rsidRDefault="00820CBE" w:rsidP="00820CBE">
            <w:pPr>
              <w:pStyle w:val="02Tabletext"/>
            </w:pPr>
            <w:r w:rsidRPr="002836EB">
              <w:t>None</w:t>
            </w:r>
          </w:p>
        </w:tc>
      </w:tr>
      <w:tr w:rsidR="00820CBE" w:rsidRPr="002836EB" w14:paraId="1B3D9FD7" w14:textId="77777777" w:rsidTr="00650794">
        <w:tc>
          <w:tcPr>
            <w:tcW w:w="1177" w:type="pct"/>
          </w:tcPr>
          <w:p w14:paraId="7D6ABC10" w14:textId="0A688C49" w:rsidR="00820CBE" w:rsidRPr="002836EB" w:rsidRDefault="00820CBE" w:rsidP="00820CBE">
            <w:pPr>
              <w:pStyle w:val="02Tabletext"/>
            </w:pPr>
            <w:r w:rsidRPr="002836EB">
              <w:t>Dr Salvatore Berlangieri</w:t>
            </w:r>
          </w:p>
        </w:tc>
        <w:tc>
          <w:tcPr>
            <w:tcW w:w="2358" w:type="pct"/>
          </w:tcPr>
          <w:p w14:paraId="02BD9E4F" w14:textId="024EBDD9" w:rsidR="00820CBE" w:rsidRPr="002836EB" w:rsidRDefault="0013309E" w:rsidP="0013309E">
            <w:pPr>
              <w:pStyle w:val="02Tabletext"/>
            </w:pPr>
            <w:r w:rsidRPr="002836EB">
              <w:t>President, Australasian Association of Nuclear Medicine Specialists</w:t>
            </w:r>
          </w:p>
        </w:tc>
        <w:tc>
          <w:tcPr>
            <w:tcW w:w="1465" w:type="pct"/>
          </w:tcPr>
          <w:p w14:paraId="3F6EDDBE" w14:textId="1157F1FC" w:rsidR="00820CBE" w:rsidRPr="002836EB" w:rsidRDefault="00820CBE" w:rsidP="00820CBE">
            <w:pPr>
              <w:pStyle w:val="02Tabletext"/>
            </w:pPr>
            <w:r w:rsidRPr="002836EB">
              <w:t>None</w:t>
            </w:r>
          </w:p>
        </w:tc>
      </w:tr>
      <w:tr w:rsidR="00820CBE" w:rsidRPr="002836EB" w14:paraId="08C577BB" w14:textId="77777777" w:rsidTr="00650794">
        <w:tc>
          <w:tcPr>
            <w:tcW w:w="1177" w:type="pct"/>
          </w:tcPr>
          <w:p w14:paraId="7654A73F" w14:textId="67DA77D3" w:rsidR="00820CBE" w:rsidRPr="002836EB" w:rsidRDefault="00820CBE" w:rsidP="00820CBE">
            <w:pPr>
              <w:pStyle w:val="02Tabletext"/>
            </w:pPr>
            <w:r w:rsidRPr="002836EB">
              <w:t>Professor Sanchia Aranda</w:t>
            </w:r>
          </w:p>
        </w:tc>
        <w:tc>
          <w:tcPr>
            <w:tcW w:w="2358" w:type="pct"/>
          </w:tcPr>
          <w:p w14:paraId="4AA373D7" w14:textId="7A51830C" w:rsidR="00F01694" w:rsidRPr="002836EB" w:rsidRDefault="00F01694" w:rsidP="00F01694">
            <w:pPr>
              <w:pStyle w:val="02Tabletext"/>
            </w:pPr>
            <w:r w:rsidRPr="002836EB">
              <w:t>Chief Executive Officer, Cancer Council Australia</w:t>
            </w:r>
          </w:p>
          <w:p w14:paraId="7B9FE741" w14:textId="77777777" w:rsidR="00F01694" w:rsidRPr="002836EB" w:rsidRDefault="00F01694" w:rsidP="00F01694">
            <w:pPr>
              <w:pStyle w:val="02Tabletext"/>
            </w:pPr>
            <w:r w:rsidRPr="002836EB">
              <w:t>Research Fellow, Peter MacCallum Cancer Centre</w:t>
            </w:r>
          </w:p>
          <w:p w14:paraId="4882E74F" w14:textId="23B84F7D" w:rsidR="00820CBE" w:rsidRPr="002836EB" w:rsidRDefault="00F01694" w:rsidP="00F01694">
            <w:pPr>
              <w:pStyle w:val="02Tabletext"/>
            </w:pPr>
            <w:r w:rsidRPr="002836EB">
              <w:t>Director of Cancer Services and Information, NSW Cancer Institute</w:t>
            </w:r>
          </w:p>
        </w:tc>
        <w:tc>
          <w:tcPr>
            <w:tcW w:w="1465" w:type="pct"/>
          </w:tcPr>
          <w:p w14:paraId="60F0965E" w14:textId="77777777" w:rsidR="00820CBE" w:rsidRPr="002836EB" w:rsidRDefault="00820CBE" w:rsidP="00820CBE">
            <w:pPr>
              <w:pStyle w:val="02Tabletext"/>
            </w:pPr>
            <w:r w:rsidRPr="002836EB">
              <w:t>None</w:t>
            </w:r>
          </w:p>
        </w:tc>
      </w:tr>
      <w:tr w:rsidR="00820CBE" w:rsidRPr="002836EB" w14:paraId="0C91435F" w14:textId="77777777" w:rsidTr="00650794">
        <w:tc>
          <w:tcPr>
            <w:tcW w:w="1177" w:type="pct"/>
          </w:tcPr>
          <w:p w14:paraId="1A8F03C6" w14:textId="6BFCAE79" w:rsidR="00820CBE" w:rsidRPr="002836EB" w:rsidRDefault="00820CBE" w:rsidP="00820CBE">
            <w:pPr>
              <w:pStyle w:val="02Tabletext"/>
            </w:pPr>
            <w:r w:rsidRPr="002836EB">
              <w:lastRenderedPageBreak/>
              <w:t>Professor Sandra O</w:t>
            </w:r>
            <w:r w:rsidR="00910D61" w:rsidRPr="002836EB">
              <w:t>’</w:t>
            </w:r>
            <w:r w:rsidRPr="002836EB">
              <w:t>Toole</w:t>
            </w:r>
          </w:p>
        </w:tc>
        <w:tc>
          <w:tcPr>
            <w:tcW w:w="2358" w:type="pct"/>
          </w:tcPr>
          <w:p w14:paraId="7B90774D" w14:textId="51D0A03E" w:rsidR="00820CBE" w:rsidRPr="002836EB" w:rsidRDefault="00F01694" w:rsidP="00820CBE">
            <w:pPr>
              <w:pStyle w:val="02Tabletext"/>
            </w:pPr>
            <w:r w:rsidRPr="002836EB">
              <w:t>Head of Molecular Diagnostic Oncology &amp; Senior Staff Specialist, Dep</w:t>
            </w:r>
            <w:r w:rsidR="00910D61" w:rsidRPr="002836EB">
              <w:t>artment</w:t>
            </w:r>
            <w:r w:rsidRPr="002836EB">
              <w:t xml:space="preserve"> of Tissue Pathology and Diagnostic Oncology, Royal Prince Alfred Hospital</w:t>
            </w:r>
          </w:p>
        </w:tc>
        <w:tc>
          <w:tcPr>
            <w:tcW w:w="1465" w:type="pct"/>
          </w:tcPr>
          <w:p w14:paraId="703DC3E6" w14:textId="7FA81BDB" w:rsidR="00820CBE" w:rsidRPr="002836EB" w:rsidRDefault="008335B3" w:rsidP="00820CBE">
            <w:pPr>
              <w:pStyle w:val="02Tabletext"/>
            </w:pPr>
            <w:r w:rsidRPr="002836EB">
              <w:t>Prof O’Toole declared that she is an advisor for pharmaceutical industry with respect to molecular diagnostics</w:t>
            </w:r>
            <w:r w:rsidR="00377539">
              <w:t>.</w:t>
            </w:r>
          </w:p>
        </w:tc>
      </w:tr>
      <w:tr w:rsidR="00431518" w:rsidRPr="002836EB" w14:paraId="38BFDC89" w14:textId="77777777" w:rsidTr="00650794">
        <w:tc>
          <w:tcPr>
            <w:tcW w:w="1177" w:type="pct"/>
          </w:tcPr>
          <w:p w14:paraId="0449E556" w14:textId="50CE27C7" w:rsidR="00431518" w:rsidRPr="002836EB" w:rsidRDefault="00431518" w:rsidP="00431518">
            <w:pPr>
              <w:pStyle w:val="02Tabletext"/>
            </w:pPr>
            <w:r w:rsidRPr="002836EB">
              <w:t>Dr Matthew McConnell</w:t>
            </w:r>
            <w:r w:rsidRPr="002836EB">
              <w:br/>
              <w:t>(Ex-Officio)</w:t>
            </w:r>
          </w:p>
        </w:tc>
        <w:tc>
          <w:tcPr>
            <w:tcW w:w="2358" w:type="pct"/>
          </w:tcPr>
          <w:p w14:paraId="21EFCB8B" w14:textId="38E001E0" w:rsidR="00431518" w:rsidRPr="002836EB" w:rsidRDefault="00431518" w:rsidP="00431518">
            <w:pPr>
              <w:pStyle w:val="02Tabletext"/>
            </w:pPr>
            <w:r w:rsidRPr="002836EB">
              <w:t>MBS Review Taskforce</w:t>
            </w:r>
          </w:p>
          <w:p w14:paraId="076048EC" w14:textId="7892E991" w:rsidR="00431518" w:rsidRPr="002836EB" w:rsidRDefault="00431518" w:rsidP="00431518">
            <w:pPr>
              <w:pStyle w:val="02Tabletext"/>
            </w:pPr>
            <w:r w:rsidRPr="002836EB">
              <w:t>Public Health Physician, Country Health SA Local Health Network</w:t>
            </w:r>
          </w:p>
        </w:tc>
        <w:tc>
          <w:tcPr>
            <w:tcW w:w="1465" w:type="pct"/>
          </w:tcPr>
          <w:p w14:paraId="13DA4CC5" w14:textId="77777777" w:rsidR="00431518" w:rsidRPr="002836EB" w:rsidRDefault="00431518" w:rsidP="00431518">
            <w:pPr>
              <w:pStyle w:val="02Tabletext"/>
            </w:pPr>
            <w:r w:rsidRPr="002836EB">
              <w:t>None</w:t>
            </w:r>
          </w:p>
        </w:tc>
      </w:tr>
    </w:tbl>
    <w:p w14:paraId="1F255BCD" w14:textId="1452CDBF" w:rsidR="00EE16AD" w:rsidRPr="002836EB" w:rsidRDefault="00EE16AD" w:rsidP="000C1841">
      <w:bookmarkStart w:id="68" w:name="_Toc457463620"/>
      <w:bookmarkStart w:id="69" w:name="_Toc458166998"/>
      <w:r w:rsidRPr="002836EB">
        <w:t xml:space="preserve">It is noted that the majority of Committee members share a common conflict </w:t>
      </w:r>
      <w:r w:rsidR="007128EB" w:rsidRPr="002836EB">
        <w:t xml:space="preserve">of interest </w:t>
      </w:r>
      <w:r w:rsidRPr="002836EB">
        <w:t xml:space="preserve">in reviewing items </w:t>
      </w:r>
      <w:r w:rsidR="00E85092" w:rsidRPr="002836EB">
        <w:t xml:space="preserve">that </w:t>
      </w:r>
      <w:r w:rsidRPr="002836EB">
        <w:t>are a source of revenue</w:t>
      </w:r>
      <w:r w:rsidR="00FD6586" w:rsidRPr="002836EB">
        <w:t xml:space="preserve"> for them</w:t>
      </w:r>
      <w:r w:rsidRPr="002836EB">
        <w:t xml:space="preserve"> (i.e.</w:t>
      </w:r>
      <w:r w:rsidR="0081679A" w:rsidRPr="002836EB">
        <w:t>,</w:t>
      </w:r>
      <w:r w:rsidRPr="002836EB">
        <w:t xml:space="preserve"> </w:t>
      </w:r>
      <w:r w:rsidR="0081679A" w:rsidRPr="002836EB">
        <w:t>C</w:t>
      </w:r>
      <w:r w:rsidRPr="002836EB">
        <w:t>ommittee members claim the items</w:t>
      </w:r>
      <w:r w:rsidR="004457B5" w:rsidRPr="002836EB">
        <w:t xml:space="preserve"> under review</w:t>
      </w:r>
      <w:r w:rsidRPr="002836EB">
        <w:t xml:space="preserve">). This conflict </w:t>
      </w:r>
      <w:r w:rsidR="00B078C6" w:rsidRPr="002836EB">
        <w:t>is inherent in a clinician</w:t>
      </w:r>
      <w:r w:rsidR="00287649" w:rsidRPr="002836EB">
        <w:t>-</w:t>
      </w:r>
      <w:r w:rsidR="00B078C6" w:rsidRPr="002836EB">
        <w:t>led process</w:t>
      </w:r>
      <w:r w:rsidR="00205F91" w:rsidRPr="002836EB">
        <w:t>,</w:t>
      </w:r>
      <w:r w:rsidR="00B078C6" w:rsidRPr="002836EB">
        <w:t xml:space="preserve"> and having been acknowledged by the Committee and the Taskforce, </w:t>
      </w:r>
      <w:r w:rsidR="003F1F10" w:rsidRPr="002836EB">
        <w:t xml:space="preserve">it </w:t>
      </w:r>
      <w:r w:rsidR="00B078C6" w:rsidRPr="002836EB">
        <w:t xml:space="preserve">was </w:t>
      </w:r>
      <w:r w:rsidR="003F1F10" w:rsidRPr="002836EB">
        <w:t xml:space="preserve">agreed that this should </w:t>
      </w:r>
      <w:r w:rsidRPr="002836EB">
        <w:t xml:space="preserve">not prevent a clinician from participating </w:t>
      </w:r>
      <w:r w:rsidR="00E2785E" w:rsidRPr="002836EB">
        <w:t xml:space="preserve">in </w:t>
      </w:r>
      <w:r w:rsidR="003F1F10" w:rsidRPr="002836EB">
        <w:t>the review</w:t>
      </w:r>
      <w:r w:rsidRPr="002836EB">
        <w:t>.</w:t>
      </w:r>
      <w:r w:rsidR="003F1F10" w:rsidRPr="002836EB">
        <w:t xml:space="preserve"> </w:t>
      </w:r>
    </w:p>
    <w:p w14:paraId="773F7A7F" w14:textId="77777777" w:rsidR="00347C4F" w:rsidRPr="00D04AF3" w:rsidRDefault="00347C4F" w:rsidP="005076E4">
      <w:pPr>
        <w:pStyle w:val="Heading2"/>
        <w:rPr>
          <w:lang w:val="en-GB"/>
        </w:rPr>
      </w:pPr>
      <w:bookmarkStart w:id="70" w:name="_Toc459996810"/>
      <w:bookmarkStart w:id="71" w:name="_Toc468647467"/>
      <w:bookmarkStart w:id="72" w:name="_Toc479082773"/>
      <w:r w:rsidRPr="00D04AF3">
        <w:rPr>
          <w:lang w:val="en-GB"/>
        </w:rPr>
        <w:t>Areas of responsibility of the Committee</w:t>
      </w:r>
      <w:bookmarkEnd w:id="68"/>
      <w:bookmarkEnd w:id="69"/>
      <w:bookmarkEnd w:id="70"/>
      <w:bookmarkEnd w:id="71"/>
      <w:bookmarkEnd w:id="72"/>
    </w:p>
    <w:p w14:paraId="594B4EB9" w14:textId="4CBA8DD6" w:rsidR="008429F5" w:rsidRPr="002836EB" w:rsidRDefault="0077348D" w:rsidP="00082595">
      <w:r w:rsidRPr="002836EB">
        <w:t xml:space="preserve">The Committee was assigned </w:t>
      </w:r>
      <w:r w:rsidR="00F91DFD">
        <w:t>101</w:t>
      </w:r>
      <w:r w:rsidRPr="002836EB">
        <w:t xml:space="preserve"> MBS items to review</w:t>
      </w:r>
      <w:r w:rsidR="000A1910" w:rsidRPr="002836EB">
        <w:t>,</w:t>
      </w:r>
      <w:r w:rsidR="00F86FE5">
        <w:rPr>
          <w:rStyle w:val="FootnoteReference"/>
        </w:rPr>
        <w:footnoteReference w:id="6"/>
      </w:r>
      <w:r w:rsidR="003A69A7" w:rsidRPr="002836EB">
        <w:t xml:space="preserve"> covering </w:t>
      </w:r>
      <w:r w:rsidR="001B5A64" w:rsidRPr="002836EB">
        <w:t xml:space="preserve">investigatory and therapeutic </w:t>
      </w:r>
      <w:r w:rsidR="00A66A86" w:rsidRPr="002836EB">
        <w:t>procedures</w:t>
      </w:r>
      <w:r w:rsidR="001B5A64" w:rsidRPr="002836EB">
        <w:t xml:space="preserve"> related to </w:t>
      </w:r>
      <w:r w:rsidR="001D5C9F" w:rsidRPr="002836EB">
        <w:t xml:space="preserve">medical </w:t>
      </w:r>
      <w:r w:rsidR="001B5A64" w:rsidRPr="002836EB">
        <w:t>oncology</w:t>
      </w:r>
      <w:r w:rsidR="001D5C9F" w:rsidRPr="002836EB">
        <w:t>, radiation oncology</w:t>
      </w:r>
      <w:r w:rsidR="007068FC" w:rsidRPr="002836EB">
        <w:t xml:space="preserve"> and </w:t>
      </w:r>
      <w:r w:rsidR="001D5C9F" w:rsidRPr="002836EB">
        <w:t>sentinel lymph node biopsy</w:t>
      </w:r>
      <w:r w:rsidR="00A66A86" w:rsidRPr="002836EB">
        <w:t xml:space="preserve">. </w:t>
      </w:r>
      <w:r w:rsidR="003A69A7" w:rsidRPr="002836EB">
        <w:t xml:space="preserve">A complete list of these items can be found in </w:t>
      </w:r>
      <w:r w:rsidR="00A8583E" w:rsidRPr="002836EB">
        <w:fldChar w:fldCharType="begin"/>
      </w:r>
      <w:r w:rsidR="00A8583E" w:rsidRPr="002836EB">
        <w:instrText xml:space="preserve"> REF _Ref464682172 \r \h </w:instrText>
      </w:r>
      <w:r w:rsidR="00A8583E" w:rsidRPr="002836EB">
        <w:fldChar w:fldCharType="separate"/>
      </w:r>
      <w:r w:rsidR="003274EF">
        <w:t xml:space="preserve">Appendix A </w:t>
      </w:r>
      <w:r w:rsidR="00A8583E" w:rsidRPr="002836EB">
        <w:fldChar w:fldCharType="end"/>
      </w:r>
      <w:r w:rsidR="003A69A7" w:rsidRPr="002836EB">
        <w:t xml:space="preserve">. </w:t>
      </w:r>
      <w:r w:rsidR="00DD78D6" w:rsidRPr="002836EB">
        <w:t xml:space="preserve">In </w:t>
      </w:r>
      <w:r w:rsidR="00BD2F57" w:rsidRPr="002836EB">
        <w:t xml:space="preserve">the </w:t>
      </w:r>
      <w:r w:rsidR="00DD78D6" w:rsidRPr="002836EB">
        <w:t>2014/</w:t>
      </w:r>
      <w:r w:rsidR="00AE17E9" w:rsidRPr="002836EB">
        <w:t>15</w:t>
      </w:r>
      <w:r w:rsidR="00BD2F57" w:rsidRPr="002836EB">
        <w:t xml:space="preserve"> financial year</w:t>
      </w:r>
      <w:r w:rsidR="00AE17E9" w:rsidRPr="002836EB">
        <w:t>, these</w:t>
      </w:r>
      <w:r w:rsidR="008943F3" w:rsidRPr="002836EB">
        <w:t xml:space="preserve"> items</w:t>
      </w:r>
      <w:r w:rsidR="00186065" w:rsidRPr="002836EB">
        <w:t xml:space="preserve"> </w:t>
      </w:r>
      <w:r w:rsidR="008943F3" w:rsidRPr="002836EB">
        <w:t xml:space="preserve">accounted for approximately </w:t>
      </w:r>
      <w:r w:rsidR="002C34D9" w:rsidRPr="002836EB">
        <w:t>2.</w:t>
      </w:r>
      <w:r w:rsidR="00834C0F">
        <w:t>6</w:t>
      </w:r>
      <w:r w:rsidR="00C223B6" w:rsidRPr="002836EB">
        <w:t xml:space="preserve"> million</w:t>
      </w:r>
      <w:r w:rsidR="008943F3" w:rsidRPr="002836EB">
        <w:t xml:space="preserve"> services</w:t>
      </w:r>
      <w:r w:rsidR="00DE7F07" w:rsidRPr="002836EB">
        <w:t xml:space="preserve"> </w:t>
      </w:r>
      <w:r w:rsidR="008943F3" w:rsidRPr="002836EB">
        <w:t xml:space="preserve">and </w:t>
      </w:r>
      <w:r w:rsidR="002C34D9" w:rsidRPr="002836EB">
        <w:t>$3</w:t>
      </w:r>
      <w:r w:rsidR="00746BA0" w:rsidRPr="002836EB">
        <w:t>8</w:t>
      </w:r>
      <w:r w:rsidR="00834C0F">
        <w:t>5</w:t>
      </w:r>
      <w:r w:rsidR="008943F3" w:rsidRPr="002836EB">
        <w:t xml:space="preserve"> million in benefits.</w:t>
      </w:r>
      <w:r w:rsidR="00DE7F07" w:rsidRPr="002836EB">
        <w:t xml:space="preserve"> Over the past </w:t>
      </w:r>
      <w:r w:rsidR="00FA3411" w:rsidRPr="002836EB">
        <w:t>five</w:t>
      </w:r>
      <w:r w:rsidR="00DE7F07" w:rsidRPr="002836EB">
        <w:t xml:space="preserve"> years</w:t>
      </w:r>
      <w:r w:rsidR="00A66A86" w:rsidRPr="002836EB">
        <w:t>, service volumes</w:t>
      </w:r>
      <w:r w:rsidR="008305F8" w:rsidRPr="002836EB">
        <w:t xml:space="preserve"> for these items have grown at </w:t>
      </w:r>
      <w:r w:rsidR="00834C0F">
        <w:t>5.9</w:t>
      </w:r>
      <w:r w:rsidR="00D10479" w:rsidRPr="002836EB">
        <w:t xml:space="preserve"> per cent</w:t>
      </w:r>
      <w:r w:rsidR="00A66A86" w:rsidRPr="002836EB">
        <w:t xml:space="preserve"> per year, and the </w:t>
      </w:r>
      <w:r w:rsidR="00834C0F">
        <w:t>MBS</w:t>
      </w:r>
      <w:r w:rsidR="008305F8" w:rsidRPr="002836EB">
        <w:t xml:space="preserve"> benefits</w:t>
      </w:r>
      <w:r w:rsidR="00834C0F">
        <w:t xml:space="preserve"> paid</w:t>
      </w:r>
      <w:r w:rsidR="008305F8" w:rsidRPr="002836EB">
        <w:t xml:space="preserve"> has increased by </w:t>
      </w:r>
      <w:r w:rsidR="00834C0F">
        <w:t>8.5</w:t>
      </w:r>
      <w:r w:rsidR="00541D72" w:rsidRPr="002836EB">
        <w:t xml:space="preserve"> per cent per year.</w:t>
      </w:r>
      <w:r w:rsidR="008429F5" w:rsidRPr="002836EB">
        <w:t xml:space="preserve"> This growth is largely</w:t>
      </w:r>
      <w:r w:rsidR="009F699E">
        <w:t xml:space="preserve"> </w:t>
      </w:r>
      <w:r w:rsidR="008429F5" w:rsidRPr="002836EB">
        <w:t>explained by a</w:t>
      </w:r>
      <w:r w:rsidR="000F12E5" w:rsidRPr="002836EB">
        <w:t xml:space="preserve"> </w:t>
      </w:r>
      <w:r w:rsidR="00834C0F">
        <w:t>4.6</w:t>
      </w:r>
      <w:r w:rsidR="00BC28E6" w:rsidRPr="002836EB">
        <w:t xml:space="preserve"> </w:t>
      </w:r>
      <w:r w:rsidR="000F12E5" w:rsidRPr="002836EB">
        <w:t>per cent</w:t>
      </w:r>
      <w:r w:rsidR="008429F5" w:rsidRPr="002836EB">
        <w:t xml:space="preserve"> increase </w:t>
      </w:r>
      <w:r w:rsidR="00BD0468" w:rsidRPr="002836EB">
        <w:t xml:space="preserve">per year </w:t>
      </w:r>
      <w:r w:rsidR="008429F5" w:rsidRPr="002836EB">
        <w:t xml:space="preserve">in </w:t>
      </w:r>
      <w:r w:rsidR="00A430E2" w:rsidRPr="002836EB">
        <w:t xml:space="preserve">services per </w:t>
      </w:r>
      <w:r w:rsidR="00E07597" w:rsidRPr="002836EB">
        <w:t xml:space="preserve">head of </w:t>
      </w:r>
      <w:r w:rsidR="00571E63" w:rsidRPr="002836EB">
        <w:t>population</w:t>
      </w:r>
      <w:r w:rsidR="00A430E2" w:rsidRPr="002836EB">
        <w:t xml:space="preserve"> </w:t>
      </w:r>
      <w:r w:rsidR="00A64861" w:rsidRPr="002836EB">
        <w:t>(</w:t>
      </w:r>
      <w:r w:rsidR="005E4286" w:rsidRPr="002836EB">
        <w:rPr>
          <w:highlight w:val="green"/>
        </w:rPr>
        <w:fldChar w:fldCharType="begin"/>
      </w:r>
      <w:r w:rsidR="005E4286" w:rsidRPr="002836EB">
        <w:instrText xml:space="preserve"> REF _Ref463637413 \h </w:instrText>
      </w:r>
      <w:r w:rsidR="005E4286" w:rsidRPr="002836EB">
        <w:rPr>
          <w:highlight w:val="green"/>
        </w:rPr>
      </w:r>
      <w:r w:rsidR="005E4286" w:rsidRPr="002836EB">
        <w:rPr>
          <w:highlight w:val="green"/>
        </w:rPr>
        <w:fldChar w:fldCharType="separate"/>
      </w:r>
      <w:r w:rsidR="003274EF" w:rsidRPr="002836EB">
        <w:t xml:space="preserve">Figure </w:t>
      </w:r>
      <w:r w:rsidR="003274EF">
        <w:rPr>
          <w:noProof/>
        </w:rPr>
        <w:t>2</w:t>
      </w:r>
      <w:r w:rsidR="005E4286" w:rsidRPr="002836EB">
        <w:rPr>
          <w:highlight w:val="green"/>
        </w:rPr>
        <w:fldChar w:fldCharType="end"/>
      </w:r>
      <w:r w:rsidR="00A64861" w:rsidRPr="002836EB">
        <w:t>)</w:t>
      </w:r>
      <w:r w:rsidR="00571E63" w:rsidRPr="002836EB">
        <w:t>.</w:t>
      </w:r>
    </w:p>
    <w:p w14:paraId="2BFAC16C" w14:textId="0363793E" w:rsidR="00BF6ABE" w:rsidRPr="002836EB" w:rsidRDefault="005E4286" w:rsidP="005E4286">
      <w:pPr>
        <w:pStyle w:val="Caption"/>
        <w:pBdr>
          <w:bottom w:val="single" w:sz="4" w:space="1" w:color="auto"/>
        </w:pBdr>
      </w:pPr>
      <w:bookmarkStart w:id="73" w:name="_Ref463637413"/>
      <w:bookmarkStart w:id="74" w:name="_Toc468647514"/>
      <w:bookmarkStart w:id="75" w:name="_Toc479082824"/>
      <w:r w:rsidRPr="002836EB">
        <w:t xml:space="preserve">Figure </w:t>
      </w:r>
      <w:r w:rsidRPr="002836EB">
        <w:fldChar w:fldCharType="begin"/>
      </w:r>
      <w:r w:rsidRPr="002836EB">
        <w:instrText xml:space="preserve"> SEQ Figure \* ARABIC </w:instrText>
      </w:r>
      <w:r w:rsidRPr="002836EB">
        <w:fldChar w:fldCharType="separate"/>
      </w:r>
      <w:r w:rsidR="003274EF">
        <w:rPr>
          <w:noProof/>
        </w:rPr>
        <w:t>2</w:t>
      </w:r>
      <w:r w:rsidRPr="002836EB">
        <w:fldChar w:fldCharType="end"/>
      </w:r>
      <w:bookmarkEnd w:id="73"/>
      <w:r w:rsidRPr="002836EB">
        <w:t>: Drivers of growth</w:t>
      </w:r>
      <w:bookmarkEnd w:id="74"/>
      <w:bookmarkEnd w:id="75"/>
    </w:p>
    <w:p w14:paraId="41CFDB3E" w14:textId="35BB2766" w:rsidR="009872D5" w:rsidRDefault="009F699E" w:rsidP="009F699E">
      <w:pPr>
        <w:pStyle w:val="TableUnderLast"/>
        <w:jc w:val="center"/>
      </w:pPr>
      <w:r w:rsidRPr="00117C44">
        <w:rPr>
          <w:noProof/>
        </w:rPr>
        <w:drawing>
          <wp:inline distT="0" distB="0" distL="0" distR="0" wp14:anchorId="346F8186" wp14:editId="4D0E21B2">
            <wp:extent cx="4546012" cy="3409950"/>
            <wp:effectExtent l="0" t="0" r="6985" b="0"/>
            <wp:docPr id="145" name="Picture 145" descr="Figure 2 is a graph that shows the increase in percentage for each of the drivers of growth from 2009-10 to 2014-15. The total benefits increased at 8.5%, due to a 5.9% increase on the number of services and 2.5% increase on the average benefits per service. The increase on the number of services was due to a 1.3% increase on the population and the 4.6% increase on servic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723" cy="3413484"/>
                    </a:xfrm>
                    <a:prstGeom prst="rect">
                      <a:avLst/>
                    </a:prstGeom>
                    <a:solidFill>
                      <a:srgbClr val="FFFFFF"/>
                    </a:solidFill>
                    <a:ln w="9525" cap="flat" cmpd="sng" algn="ctr">
                      <a:noFill/>
                      <a:prstDash val="solid"/>
                      <a:round/>
                      <a:headEnd type="none" w="med" len="med"/>
                      <a:tailEnd type="none" w="med" len="med"/>
                    </a:ln>
                  </pic:spPr>
                </pic:pic>
              </a:graphicData>
            </a:graphic>
          </wp:inline>
        </w:drawing>
      </w:r>
    </w:p>
    <w:p w14:paraId="3D92B26E" w14:textId="54C3993C" w:rsidR="009872D5" w:rsidRPr="00D818DC" w:rsidRDefault="009872D5" w:rsidP="00A17154">
      <w:pPr>
        <w:pStyle w:val="TableUnderLast"/>
        <w:pBdr>
          <w:bottom w:val="single" w:sz="4" w:space="1" w:color="auto"/>
        </w:pBdr>
      </w:pPr>
      <w:r w:rsidRPr="009872D5">
        <w:t xml:space="preserve"> </w:t>
      </w:r>
      <w:r w:rsidRPr="00D818DC">
        <w:t>Unpublished data</w:t>
      </w:r>
      <w:r w:rsidR="009F699E">
        <w:t>, extract based on date of service</w:t>
      </w:r>
      <w:r w:rsidRPr="00D818DC">
        <w:t xml:space="preserve"> (Department of Health)</w:t>
      </w:r>
    </w:p>
    <w:p w14:paraId="7DBA67DE" w14:textId="77777777" w:rsidR="00752830" w:rsidRPr="002836EB" w:rsidRDefault="00752830" w:rsidP="005076E4">
      <w:pPr>
        <w:pStyle w:val="Heading2"/>
        <w:rPr>
          <w:lang w:val="en-GB"/>
        </w:rPr>
      </w:pPr>
      <w:bookmarkStart w:id="76" w:name="_Toc457463621"/>
      <w:bookmarkStart w:id="77" w:name="_Toc459996811"/>
      <w:bookmarkStart w:id="78" w:name="_Toc458166999"/>
      <w:bookmarkStart w:id="79" w:name="_Toc468647468"/>
      <w:bookmarkStart w:id="80" w:name="_Toc479082774"/>
      <w:bookmarkStart w:id="81" w:name="_Toc456045432"/>
      <w:r w:rsidRPr="002836EB">
        <w:rPr>
          <w:lang w:val="en-GB"/>
        </w:rPr>
        <w:lastRenderedPageBreak/>
        <w:t>Summary of the Committee’s review approach</w:t>
      </w:r>
      <w:bookmarkEnd w:id="76"/>
      <w:bookmarkEnd w:id="77"/>
      <w:bookmarkEnd w:id="78"/>
      <w:bookmarkEnd w:id="79"/>
      <w:bookmarkEnd w:id="80"/>
    </w:p>
    <w:p w14:paraId="06ADF90E" w14:textId="71A92225" w:rsidR="00752830" w:rsidRPr="002836EB" w:rsidRDefault="00752830" w:rsidP="00082595">
      <w:r w:rsidRPr="002836EB">
        <w:t xml:space="preserve">The Committee completed a review of its items across </w:t>
      </w:r>
      <w:r w:rsidR="009C4D63" w:rsidRPr="002836EB">
        <w:t xml:space="preserve">four full </w:t>
      </w:r>
      <w:r w:rsidR="00EA59D0" w:rsidRPr="002836EB">
        <w:t xml:space="preserve">Committee </w:t>
      </w:r>
      <w:r w:rsidR="009E6426" w:rsidRPr="002836EB">
        <w:t>meetings</w:t>
      </w:r>
      <w:r w:rsidR="00CA25BB" w:rsidRPr="002836EB">
        <w:t xml:space="preserve"> and seven </w:t>
      </w:r>
      <w:r w:rsidR="00381C6E">
        <w:t>W</w:t>
      </w:r>
      <w:r w:rsidR="00CA25BB" w:rsidRPr="002836EB">
        <w:t xml:space="preserve">orking </w:t>
      </w:r>
      <w:r w:rsidR="00381C6E">
        <w:t>G</w:t>
      </w:r>
      <w:r w:rsidR="00CA25BB" w:rsidRPr="002836EB">
        <w:t>roup meetings</w:t>
      </w:r>
      <w:r w:rsidR="009E6426" w:rsidRPr="002836EB">
        <w:t xml:space="preserve">, </w:t>
      </w:r>
      <w:r w:rsidRPr="002836EB">
        <w:t xml:space="preserve">during which it developed the recommendations and rationales outlined in </w:t>
      </w:r>
      <w:r w:rsidR="00F96D56" w:rsidRPr="002836EB">
        <w:t>Section</w:t>
      </w:r>
      <w:r w:rsidR="00C538A6" w:rsidRPr="002836EB">
        <w:t>s</w:t>
      </w:r>
      <w:r w:rsidR="004A62F6">
        <w:t xml:space="preserve"> </w:t>
      </w:r>
      <w:r w:rsidR="004A62F6">
        <w:fldChar w:fldCharType="begin"/>
      </w:r>
      <w:r w:rsidR="004A62F6">
        <w:instrText xml:space="preserve"> REF _Ref463916493 \r \h </w:instrText>
      </w:r>
      <w:r w:rsidR="004A62F6">
        <w:fldChar w:fldCharType="separate"/>
      </w:r>
      <w:r w:rsidR="003274EF">
        <w:t>4</w:t>
      </w:r>
      <w:r w:rsidR="004A62F6">
        <w:fldChar w:fldCharType="end"/>
      </w:r>
      <w:r w:rsidR="004A62F6">
        <w:t xml:space="preserve"> to</w:t>
      </w:r>
      <w:r w:rsidR="000358E8">
        <w:t xml:space="preserve"> </w:t>
      </w:r>
      <w:r w:rsidR="000358E8">
        <w:fldChar w:fldCharType="begin"/>
      </w:r>
      <w:r w:rsidR="000358E8">
        <w:instrText xml:space="preserve"> REF _Ref474805363 \r \h </w:instrText>
      </w:r>
      <w:r w:rsidR="000358E8">
        <w:fldChar w:fldCharType="separate"/>
      </w:r>
      <w:r w:rsidR="003274EF">
        <w:t>6</w:t>
      </w:r>
      <w:r w:rsidR="000358E8">
        <w:fldChar w:fldCharType="end"/>
      </w:r>
      <w:r w:rsidRPr="002836EB">
        <w:t xml:space="preserve">. The review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 time); and additional provider and patient-level data, when required. The review also drew on data presented in the relevant </w:t>
      </w:r>
      <w:r w:rsidR="007934A4" w:rsidRPr="002836EB">
        <w:t xml:space="preserve">published </w:t>
      </w:r>
      <w:r w:rsidRPr="002836EB">
        <w:t>literature, all of whic</w:t>
      </w:r>
      <w:r w:rsidR="002420CB" w:rsidRPr="002836EB">
        <w:t xml:space="preserve">h </w:t>
      </w:r>
      <w:r w:rsidR="003F2981">
        <w:t>is</w:t>
      </w:r>
      <w:r w:rsidR="003F2981" w:rsidRPr="002836EB">
        <w:t xml:space="preserve"> </w:t>
      </w:r>
      <w:r w:rsidR="002420CB" w:rsidRPr="002836EB">
        <w:t>referenced in the report.</w:t>
      </w:r>
    </w:p>
    <w:p w14:paraId="1F3104BD" w14:textId="231D84E4" w:rsidR="00184CBF" w:rsidRPr="002836EB" w:rsidRDefault="00184CBF" w:rsidP="00184CBF">
      <w:pPr>
        <w:pStyle w:val="Heading3"/>
        <w:rPr>
          <w:lang w:val="en-GB"/>
        </w:rPr>
      </w:pPr>
      <w:bookmarkStart w:id="82" w:name="_Toc468647469"/>
      <w:bookmarkStart w:id="83" w:name="_Toc479082775"/>
      <w:bookmarkEnd w:id="81"/>
      <w:r w:rsidRPr="002836EB">
        <w:rPr>
          <w:lang w:val="en-GB"/>
        </w:rPr>
        <w:t xml:space="preserve">Working </w:t>
      </w:r>
      <w:r w:rsidR="00BC1D88">
        <w:rPr>
          <w:lang w:val="en-GB"/>
        </w:rPr>
        <w:t>G</w:t>
      </w:r>
      <w:r w:rsidRPr="002836EB">
        <w:rPr>
          <w:lang w:val="en-GB"/>
        </w:rPr>
        <w:t>roup structure</w:t>
      </w:r>
      <w:bookmarkEnd w:id="82"/>
      <w:bookmarkEnd w:id="83"/>
    </w:p>
    <w:p w14:paraId="58FD5CC2" w14:textId="3B38BB94" w:rsidR="00B66055" w:rsidRPr="002836EB" w:rsidRDefault="00184CBF" w:rsidP="00184CBF">
      <w:pPr>
        <w:rPr>
          <w:lang w:eastAsia="en-US"/>
        </w:rPr>
      </w:pPr>
      <w:r w:rsidRPr="002836EB">
        <w:rPr>
          <w:lang w:eastAsia="en-US"/>
        </w:rPr>
        <w:t xml:space="preserve">The Committee reviewed </w:t>
      </w:r>
      <w:r w:rsidR="00D65927">
        <w:rPr>
          <w:lang w:eastAsia="en-US"/>
        </w:rPr>
        <w:t xml:space="preserve">the </w:t>
      </w:r>
      <w:r w:rsidR="005A5551">
        <w:rPr>
          <w:lang w:eastAsia="en-US"/>
        </w:rPr>
        <w:t>10</w:t>
      </w:r>
      <w:r w:rsidR="00D65927">
        <w:rPr>
          <w:lang w:eastAsia="en-US"/>
        </w:rPr>
        <w:t>1</w:t>
      </w:r>
      <w:r w:rsidRPr="002836EB">
        <w:rPr>
          <w:lang w:eastAsia="en-US"/>
        </w:rPr>
        <w:t xml:space="preserve"> items</w:t>
      </w:r>
      <w:r w:rsidR="008C6A7D">
        <w:rPr>
          <w:rStyle w:val="FootnoteReference"/>
        </w:rPr>
        <w:footnoteReference w:id="7"/>
      </w:r>
      <w:r w:rsidRPr="002836EB">
        <w:rPr>
          <w:lang w:eastAsia="en-US"/>
        </w:rPr>
        <w:t xml:space="preserve"> </w:t>
      </w:r>
      <w:r w:rsidR="00D65927">
        <w:rPr>
          <w:lang w:eastAsia="en-US"/>
        </w:rPr>
        <w:t xml:space="preserve">assigned to the Committee </w:t>
      </w:r>
      <w:r w:rsidRPr="002836EB">
        <w:rPr>
          <w:lang w:eastAsia="en-US"/>
        </w:rPr>
        <w:t xml:space="preserve">and made recommendations based on the best available evidence and clinical expertise, in consultation with relevant stakeholders. Due to the volume and complexity of the items in scope, the Committee formed two </w:t>
      </w:r>
      <w:r w:rsidR="00484BF2">
        <w:rPr>
          <w:lang w:eastAsia="en-US"/>
        </w:rPr>
        <w:t>W</w:t>
      </w:r>
      <w:r w:rsidRPr="002836EB">
        <w:rPr>
          <w:lang w:eastAsia="en-US"/>
        </w:rPr>
        <w:t xml:space="preserve">orking </w:t>
      </w:r>
      <w:r w:rsidR="00484BF2">
        <w:rPr>
          <w:lang w:eastAsia="en-US"/>
        </w:rPr>
        <w:t>G</w:t>
      </w:r>
      <w:r w:rsidRPr="002836EB">
        <w:rPr>
          <w:lang w:eastAsia="en-US"/>
        </w:rPr>
        <w:t xml:space="preserve">roups with broader membership to provide greater content expertise: </w:t>
      </w:r>
    </w:p>
    <w:p w14:paraId="7BD571AF" w14:textId="46AB821D" w:rsidR="00867FB9" w:rsidRPr="002836EB" w:rsidRDefault="00890B30" w:rsidP="00867FB9">
      <w:pPr>
        <w:pStyle w:val="01squarebullet"/>
        <w:rPr>
          <w:lang w:val="en-GB"/>
        </w:rPr>
      </w:pPr>
      <w:r w:rsidRPr="002836EB">
        <w:rPr>
          <w:lang w:val="en-GB"/>
        </w:rPr>
        <w:t>The</w:t>
      </w:r>
      <w:r w:rsidR="00363653" w:rsidRPr="002836EB">
        <w:rPr>
          <w:lang w:val="en-GB"/>
        </w:rPr>
        <w:t xml:space="preserve"> </w:t>
      </w:r>
      <w:r w:rsidR="00B66055" w:rsidRPr="002836EB">
        <w:rPr>
          <w:lang w:val="en-GB"/>
        </w:rPr>
        <w:t>Medical Oncology Working Group (MOWG)</w:t>
      </w:r>
      <w:r w:rsidR="00DF2E88">
        <w:rPr>
          <w:lang w:val="en-GB"/>
        </w:rPr>
        <w:t>.</w:t>
      </w:r>
    </w:p>
    <w:p w14:paraId="3958E1DF" w14:textId="3CAB6F99" w:rsidR="00184CBF" w:rsidRPr="002836EB" w:rsidRDefault="00890B30" w:rsidP="00867FB9">
      <w:pPr>
        <w:pStyle w:val="01squarebullet"/>
        <w:spacing w:after="120"/>
        <w:ind w:left="357" w:hanging="357"/>
        <w:rPr>
          <w:lang w:val="en-GB"/>
        </w:rPr>
      </w:pPr>
      <w:r w:rsidRPr="002836EB">
        <w:rPr>
          <w:lang w:val="en-GB"/>
        </w:rPr>
        <w:t>The</w:t>
      </w:r>
      <w:r w:rsidR="00363653" w:rsidRPr="002836EB">
        <w:rPr>
          <w:lang w:val="en-GB"/>
        </w:rPr>
        <w:t xml:space="preserve"> </w:t>
      </w:r>
      <w:r w:rsidR="00184CBF" w:rsidRPr="002836EB">
        <w:rPr>
          <w:lang w:val="en-GB"/>
        </w:rPr>
        <w:t>Ra</w:t>
      </w:r>
      <w:r w:rsidR="00B66055" w:rsidRPr="002836EB">
        <w:rPr>
          <w:lang w:val="en-GB"/>
        </w:rPr>
        <w:t>diation Oncology Working Group (ROWG)</w:t>
      </w:r>
      <w:r w:rsidR="00DF2E88">
        <w:rPr>
          <w:lang w:val="en-GB"/>
        </w:rPr>
        <w:t>.</w:t>
      </w:r>
    </w:p>
    <w:p w14:paraId="7B2DE59C" w14:textId="5F0C8508" w:rsidR="00E84C58" w:rsidRPr="002836EB" w:rsidRDefault="00E84C58" w:rsidP="00A860ED">
      <w:r w:rsidRPr="002836EB">
        <w:rPr>
          <w:lang w:eastAsia="en-US"/>
        </w:rPr>
        <w:t>The Committee’s two major recommendatio</w:t>
      </w:r>
      <w:r w:rsidR="00D6399C" w:rsidRPr="002836EB">
        <w:rPr>
          <w:lang w:eastAsia="en-US"/>
        </w:rPr>
        <w:t xml:space="preserve">ns </w:t>
      </w:r>
      <w:r w:rsidR="006A12BD" w:rsidRPr="002836EB">
        <w:rPr>
          <w:lang w:eastAsia="en-US"/>
        </w:rPr>
        <w:t>involve</w:t>
      </w:r>
      <w:r w:rsidRPr="002836EB">
        <w:rPr>
          <w:lang w:eastAsia="en-US"/>
        </w:rPr>
        <w:t xml:space="preserve"> </w:t>
      </w:r>
      <w:r w:rsidR="006A12BD" w:rsidRPr="002836EB">
        <w:rPr>
          <w:lang w:eastAsia="en-US"/>
        </w:rPr>
        <w:t>revising</w:t>
      </w:r>
      <w:r w:rsidRPr="002836EB">
        <w:rPr>
          <w:lang w:eastAsia="en-US"/>
        </w:rPr>
        <w:t xml:space="preserve"> chemotherapy administration items into items for the medical management of anticancer therapy</w:t>
      </w:r>
      <w:r w:rsidR="00D6399C" w:rsidRPr="002836EB">
        <w:rPr>
          <w:lang w:eastAsia="en-US"/>
        </w:rPr>
        <w:t>, and restructuring megavoltage radiation therapy items into a two-part payment model</w:t>
      </w:r>
      <w:r w:rsidR="00867FB9" w:rsidRPr="002836EB">
        <w:rPr>
          <w:lang w:eastAsia="en-US"/>
        </w:rPr>
        <w:t>,</w:t>
      </w:r>
      <w:r w:rsidR="00D6399C" w:rsidRPr="002836EB">
        <w:rPr>
          <w:lang w:eastAsia="en-US"/>
        </w:rPr>
        <w:t xml:space="preserve"> tiered by complexity level</w:t>
      </w:r>
      <w:r w:rsidRPr="002836EB">
        <w:rPr>
          <w:lang w:eastAsia="en-US"/>
        </w:rPr>
        <w:t xml:space="preserve">. </w:t>
      </w:r>
      <w:r w:rsidR="00D6399C" w:rsidRPr="002836EB">
        <w:rPr>
          <w:lang w:eastAsia="en-US"/>
        </w:rPr>
        <w:t xml:space="preserve">Minor </w:t>
      </w:r>
      <w:r w:rsidR="008C63EC" w:rsidRPr="002836EB">
        <w:rPr>
          <w:lang w:eastAsia="en-US"/>
        </w:rPr>
        <w:t xml:space="preserve">recommendations </w:t>
      </w:r>
      <w:r w:rsidR="00D6399C" w:rsidRPr="002836EB">
        <w:rPr>
          <w:lang w:eastAsia="en-US"/>
        </w:rPr>
        <w:t xml:space="preserve">include </w:t>
      </w:r>
      <w:r w:rsidRPr="002836EB">
        <w:t xml:space="preserve">the removal of obsolete items to </w:t>
      </w:r>
      <w:r w:rsidR="00EE6DE2" w:rsidRPr="002836EB">
        <w:t xml:space="preserve">simplify and modernise the MBS, </w:t>
      </w:r>
      <w:r w:rsidR="00EE6DE2" w:rsidRPr="002836EB">
        <w:rPr>
          <w:lang w:eastAsia="en-US"/>
        </w:rPr>
        <w:t>and the consolidation of items relating to sentinel lymph node biopsy for breast cancer.</w:t>
      </w:r>
      <w:r w:rsidR="006B3B65" w:rsidRPr="002836EB">
        <w:t xml:space="preserve"> </w:t>
      </w:r>
      <w:r w:rsidR="00DA07A8" w:rsidRPr="002836EB">
        <w:t xml:space="preserve">The Committee </w:t>
      </w:r>
      <w:r w:rsidR="002279E5">
        <w:t xml:space="preserve">has </w:t>
      </w:r>
      <w:r w:rsidR="00DA07A8" w:rsidRPr="002836EB">
        <w:t>also recommend</w:t>
      </w:r>
      <w:r w:rsidR="0040422E">
        <w:t>ed</w:t>
      </w:r>
      <w:r w:rsidR="00DA07A8" w:rsidRPr="002836EB">
        <w:t xml:space="preserve"> </w:t>
      </w:r>
      <w:r w:rsidR="00CE67BA" w:rsidRPr="002836EB">
        <w:t>referring</w:t>
      </w:r>
      <w:r w:rsidR="00BE4384" w:rsidRPr="002836EB">
        <w:t xml:space="preserve"> </w:t>
      </w:r>
      <w:r w:rsidR="0030170F" w:rsidRPr="002836EB">
        <w:t>s</w:t>
      </w:r>
      <w:r w:rsidR="00BE4384" w:rsidRPr="002836EB">
        <w:t xml:space="preserve">entinel </w:t>
      </w:r>
      <w:r w:rsidR="0030170F" w:rsidRPr="002836EB">
        <w:t>l</w:t>
      </w:r>
      <w:r w:rsidR="00BE4384" w:rsidRPr="002836EB">
        <w:t xml:space="preserve">ymph </w:t>
      </w:r>
      <w:r w:rsidR="0030170F" w:rsidRPr="002836EB">
        <w:t>n</w:t>
      </w:r>
      <w:r w:rsidR="00BE4384" w:rsidRPr="002836EB">
        <w:t xml:space="preserve">ode </w:t>
      </w:r>
      <w:r w:rsidR="0030170F" w:rsidRPr="002836EB">
        <w:t>b</w:t>
      </w:r>
      <w:r w:rsidR="00BE4384" w:rsidRPr="002836EB">
        <w:t xml:space="preserve">iopsy for </w:t>
      </w:r>
      <w:r w:rsidR="00C27C80" w:rsidRPr="002836EB">
        <w:t>m</w:t>
      </w:r>
      <w:r w:rsidR="00BE4384" w:rsidRPr="002836EB">
        <w:t xml:space="preserve">elanoma to </w:t>
      </w:r>
      <w:r w:rsidR="00067C17" w:rsidRPr="002836EB">
        <w:t xml:space="preserve">the </w:t>
      </w:r>
      <w:r w:rsidR="00BE4384" w:rsidRPr="002836EB">
        <w:t xml:space="preserve">MSAC for consideration </w:t>
      </w:r>
      <w:r w:rsidR="002F2AC4" w:rsidRPr="002836EB">
        <w:t xml:space="preserve">for </w:t>
      </w:r>
      <w:r w:rsidR="00BE4384" w:rsidRPr="002836EB">
        <w:t>expedited review.</w:t>
      </w:r>
      <w:r w:rsidR="00F71C85" w:rsidRPr="002836EB">
        <w:t xml:space="preserve"> </w:t>
      </w:r>
      <w:r w:rsidR="004B0285" w:rsidRPr="002836EB">
        <w:t>All</w:t>
      </w:r>
      <w:r w:rsidRPr="002836EB">
        <w:t xml:space="preserve"> </w:t>
      </w:r>
      <w:r w:rsidR="00CE730E" w:rsidRPr="002836EB">
        <w:t>recommendations</w:t>
      </w:r>
      <w:r w:rsidRPr="002836EB">
        <w:t xml:space="preserve"> focus on the objectives of the MBS Review: improve access to medical services, encourage best practice, increase value </w:t>
      </w:r>
      <w:r w:rsidR="008B6F82">
        <w:t>for</w:t>
      </w:r>
      <w:r w:rsidR="008B6F82" w:rsidRPr="002836EB">
        <w:t xml:space="preserve"> </w:t>
      </w:r>
      <w:r w:rsidRPr="002836EB">
        <w:t xml:space="preserve">consumers and the health system, </w:t>
      </w:r>
      <w:r w:rsidR="00B80F31" w:rsidRPr="002836EB">
        <w:t>and</w:t>
      </w:r>
      <w:r w:rsidRPr="002836EB">
        <w:t xml:space="preserve"> simplify the MBS to improve</w:t>
      </w:r>
      <w:r w:rsidR="00F95C0B" w:rsidRPr="002836EB">
        <w:t xml:space="preserve"> both patient and provider experience </w:t>
      </w:r>
      <w:r w:rsidR="0007125F" w:rsidRPr="002836EB">
        <w:t>(</w:t>
      </w:r>
      <w:r w:rsidR="0013614F">
        <w:t>for example</w:t>
      </w:r>
      <w:r w:rsidR="0007125F" w:rsidRPr="002836EB">
        <w:t xml:space="preserve">, through improved transparency </w:t>
      </w:r>
      <w:r w:rsidR="003770F0" w:rsidRPr="002836EB">
        <w:t>around</w:t>
      </w:r>
      <w:r w:rsidR="004C36AA">
        <w:t xml:space="preserve"> billed</w:t>
      </w:r>
      <w:r w:rsidR="003770F0" w:rsidRPr="002836EB">
        <w:t xml:space="preserve"> </w:t>
      </w:r>
      <w:r w:rsidR="0007125F" w:rsidRPr="002836EB">
        <w:t>services)</w:t>
      </w:r>
      <w:r w:rsidR="00AD243D">
        <w:t>, as well as</w:t>
      </w:r>
      <w:r w:rsidR="0007125F" w:rsidRPr="002836EB">
        <w:t xml:space="preserve"> </w:t>
      </w:r>
      <w:r w:rsidR="00E6621A" w:rsidRPr="002836EB">
        <w:t xml:space="preserve">the </w:t>
      </w:r>
      <w:r w:rsidR="00212A38" w:rsidRPr="002836EB">
        <w:t>efficiency</w:t>
      </w:r>
      <w:r w:rsidR="003609D4" w:rsidRPr="002836EB">
        <w:t xml:space="preserve"> </w:t>
      </w:r>
      <w:r w:rsidR="00E6621A" w:rsidRPr="002836EB">
        <w:t xml:space="preserve">with which the MBS is </w:t>
      </w:r>
      <w:r w:rsidR="00647EFA" w:rsidRPr="002836EB">
        <w:t>administered</w:t>
      </w:r>
      <w:r w:rsidR="003609D4" w:rsidRPr="002836EB">
        <w:t>.</w:t>
      </w:r>
    </w:p>
    <w:p w14:paraId="4101E517" w14:textId="6FCD4607" w:rsidR="000F0472" w:rsidRPr="002836EB" w:rsidRDefault="000F0472" w:rsidP="00184CBF">
      <w:r w:rsidRPr="002836EB">
        <w:t xml:space="preserve">An inclusive set of stakeholders is now engaged in consultation on the recommendations resulting from this process, which are outlined in this report. Following this period of consultation, the Committee will consider stakeholder feedback before finalising the recommendations and presenting them to the Taskforce. The Taskforce will consider the report and stakeholder feedback before making recommendations to the Minister for Health for consideration by the Government. </w:t>
      </w:r>
    </w:p>
    <w:p w14:paraId="5B3832E0" w14:textId="77777777" w:rsidR="00C172DC" w:rsidRPr="002836EB" w:rsidRDefault="00E64FF9" w:rsidP="00C477F2">
      <w:pPr>
        <w:pStyle w:val="Heading3"/>
        <w:rPr>
          <w:lang w:val="en-GB"/>
        </w:rPr>
      </w:pPr>
      <w:bookmarkStart w:id="84" w:name="_Toc468647470"/>
      <w:bookmarkStart w:id="85" w:name="_Toc479082776"/>
      <w:r w:rsidRPr="002836EB">
        <w:rPr>
          <w:lang w:val="en-GB"/>
        </w:rPr>
        <w:t>Structure of the report</w:t>
      </w:r>
      <w:bookmarkEnd w:id="84"/>
      <w:bookmarkEnd w:id="85"/>
    </w:p>
    <w:p w14:paraId="2170758F" w14:textId="77777777" w:rsidR="00184CBF" w:rsidRPr="002836EB" w:rsidRDefault="00184CBF" w:rsidP="00184CBF">
      <w:pPr>
        <w:rPr>
          <w:lang w:eastAsia="en-US"/>
        </w:rPr>
      </w:pPr>
      <w:r w:rsidRPr="002836EB">
        <w:rPr>
          <w:lang w:eastAsia="en-US"/>
        </w:rPr>
        <w:t>The recommendations in this report are organised by the primary deliberating body that developed the recommendation.</w:t>
      </w:r>
    </w:p>
    <w:p w14:paraId="03269136" w14:textId="6DF5C989" w:rsidR="003E5C71" w:rsidRPr="002836EB" w:rsidRDefault="00184CBF" w:rsidP="00184CBF">
      <w:pPr>
        <w:pStyle w:val="01squarebullet"/>
        <w:rPr>
          <w:lang w:val="en-GB"/>
        </w:rPr>
      </w:pPr>
      <w:r w:rsidRPr="002836EB">
        <w:rPr>
          <w:lang w:val="en-GB"/>
        </w:rPr>
        <w:t xml:space="preserve">Section </w:t>
      </w:r>
      <w:r w:rsidR="003E5C71" w:rsidRPr="002836EB">
        <w:rPr>
          <w:lang w:val="en-GB"/>
        </w:rPr>
        <w:fldChar w:fldCharType="begin"/>
      </w:r>
      <w:r w:rsidR="003E5C71" w:rsidRPr="002836EB">
        <w:rPr>
          <w:lang w:val="en-GB"/>
        </w:rPr>
        <w:instrText xml:space="preserve"> REF _Ref463916493 \r \h </w:instrText>
      </w:r>
      <w:r w:rsidR="003E5C71" w:rsidRPr="002836EB">
        <w:rPr>
          <w:lang w:val="en-GB"/>
        </w:rPr>
      </w:r>
      <w:r w:rsidR="003E5C71" w:rsidRPr="002836EB">
        <w:rPr>
          <w:lang w:val="en-GB"/>
        </w:rPr>
        <w:fldChar w:fldCharType="separate"/>
      </w:r>
      <w:r w:rsidR="003274EF">
        <w:rPr>
          <w:lang w:val="en-GB"/>
        </w:rPr>
        <w:t>4</w:t>
      </w:r>
      <w:r w:rsidR="003E5C71" w:rsidRPr="002836EB">
        <w:rPr>
          <w:lang w:val="en-GB"/>
        </w:rPr>
        <w:fldChar w:fldCharType="end"/>
      </w:r>
      <w:r w:rsidR="003E5C71" w:rsidRPr="002836EB">
        <w:rPr>
          <w:lang w:val="en-GB"/>
        </w:rPr>
        <w:t xml:space="preserve"> – </w:t>
      </w:r>
      <w:r w:rsidR="003E5C71" w:rsidRPr="002836EB">
        <w:rPr>
          <w:lang w:val="en-GB"/>
        </w:rPr>
        <w:fldChar w:fldCharType="begin"/>
      </w:r>
      <w:r w:rsidR="003E5C71" w:rsidRPr="002836EB">
        <w:rPr>
          <w:lang w:val="en-GB"/>
        </w:rPr>
        <w:instrText xml:space="preserve"> REF _Ref463916493 \h </w:instrText>
      </w:r>
      <w:r w:rsidR="003E5C71" w:rsidRPr="002836EB">
        <w:rPr>
          <w:lang w:val="en-GB"/>
        </w:rPr>
      </w:r>
      <w:r w:rsidR="003E5C71" w:rsidRPr="002836EB">
        <w:rPr>
          <w:lang w:val="en-GB"/>
        </w:rPr>
        <w:fldChar w:fldCharType="separate"/>
      </w:r>
      <w:r w:rsidR="003274EF" w:rsidRPr="002836EB">
        <w:rPr>
          <w:lang w:val="en-GB"/>
        </w:rPr>
        <w:t>Medical oncology recommendations</w:t>
      </w:r>
      <w:r w:rsidR="003E5C71" w:rsidRPr="002836EB">
        <w:rPr>
          <w:lang w:val="en-GB"/>
        </w:rPr>
        <w:fldChar w:fldCharType="end"/>
      </w:r>
      <w:r w:rsidR="003E5C71" w:rsidRPr="002836EB">
        <w:rPr>
          <w:lang w:val="en-GB"/>
        </w:rPr>
        <w:t xml:space="preserve"> on issues relating to:</w:t>
      </w:r>
    </w:p>
    <w:p w14:paraId="747BC1D2" w14:textId="25EA8F85" w:rsidR="003E5C71" w:rsidRPr="002836EB" w:rsidRDefault="00184CBF" w:rsidP="00A7186C">
      <w:pPr>
        <w:pStyle w:val="01squarebullet"/>
        <w:numPr>
          <w:ilvl w:val="1"/>
          <w:numId w:val="16"/>
        </w:numPr>
        <w:rPr>
          <w:lang w:val="en-GB"/>
        </w:rPr>
      </w:pPr>
      <w:r w:rsidRPr="002836EB">
        <w:rPr>
          <w:lang w:val="en-GB"/>
        </w:rPr>
        <w:fldChar w:fldCharType="begin"/>
      </w:r>
      <w:r w:rsidRPr="002836EB">
        <w:rPr>
          <w:lang w:val="en-GB"/>
        </w:rPr>
        <w:instrText xml:space="preserve"> REF _Ref463918844 \h </w:instrText>
      </w:r>
      <w:r w:rsidRPr="002836EB">
        <w:rPr>
          <w:lang w:val="en-GB"/>
        </w:rPr>
      </w:r>
      <w:r w:rsidRPr="002836EB">
        <w:rPr>
          <w:lang w:val="en-GB"/>
        </w:rPr>
        <w:fldChar w:fldCharType="separate"/>
      </w:r>
      <w:r w:rsidR="003274EF" w:rsidRPr="0036753C">
        <w:rPr>
          <w:lang w:val="en-GB"/>
        </w:rPr>
        <w:t>Management of anticancer therapy</w:t>
      </w:r>
      <w:r w:rsidRPr="002836EB">
        <w:rPr>
          <w:lang w:val="en-GB"/>
        </w:rPr>
        <w:fldChar w:fldCharType="end"/>
      </w:r>
      <w:r w:rsidR="007872A4" w:rsidRPr="002836EB">
        <w:rPr>
          <w:lang w:val="en-GB"/>
        </w:rPr>
        <w:t>.</w:t>
      </w:r>
    </w:p>
    <w:p w14:paraId="1A2D003D" w14:textId="0CE41827" w:rsidR="00184CBF" w:rsidRPr="002836EB" w:rsidRDefault="003E5C71" w:rsidP="00A7186C">
      <w:pPr>
        <w:pStyle w:val="01squarebullet"/>
        <w:numPr>
          <w:ilvl w:val="1"/>
          <w:numId w:val="16"/>
        </w:numPr>
        <w:rPr>
          <w:lang w:val="en-GB"/>
        </w:rPr>
      </w:pPr>
      <w:r w:rsidRPr="002836EB">
        <w:rPr>
          <w:lang w:val="en-GB"/>
        </w:rPr>
        <w:fldChar w:fldCharType="begin"/>
      </w:r>
      <w:r w:rsidRPr="002836EB">
        <w:rPr>
          <w:lang w:val="en-GB"/>
        </w:rPr>
        <w:instrText xml:space="preserve"> REF _Ref464490164 \h </w:instrText>
      </w:r>
      <w:r w:rsidRPr="002836EB">
        <w:rPr>
          <w:lang w:val="en-GB"/>
        </w:rPr>
      </w:r>
      <w:r w:rsidRPr="002836EB">
        <w:rPr>
          <w:lang w:val="en-GB"/>
        </w:rPr>
        <w:fldChar w:fldCharType="separate"/>
      </w:r>
      <w:r w:rsidR="003274EF" w:rsidRPr="002836EB">
        <w:rPr>
          <w:lang w:val="en-GB"/>
        </w:rPr>
        <w:t>Accessing long-term implanted drug delivery devices</w:t>
      </w:r>
      <w:r w:rsidRPr="002836EB">
        <w:rPr>
          <w:lang w:val="en-GB"/>
        </w:rPr>
        <w:fldChar w:fldCharType="end"/>
      </w:r>
      <w:r w:rsidR="00184CBF" w:rsidRPr="002836EB">
        <w:rPr>
          <w:lang w:val="en-GB"/>
        </w:rPr>
        <w:t>.</w:t>
      </w:r>
    </w:p>
    <w:p w14:paraId="401B4DBE" w14:textId="5F3B3FE5" w:rsidR="004F519E" w:rsidRPr="002836EB" w:rsidRDefault="00184CBF" w:rsidP="00184CBF">
      <w:pPr>
        <w:pStyle w:val="01squarebullet"/>
        <w:rPr>
          <w:lang w:val="en-GB"/>
        </w:rPr>
      </w:pPr>
      <w:r w:rsidRPr="002836EB">
        <w:rPr>
          <w:lang w:val="en-GB"/>
        </w:rPr>
        <w:t>Section</w:t>
      </w:r>
      <w:r w:rsidR="003E5C71" w:rsidRPr="002836EB">
        <w:rPr>
          <w:lang w:val="en-GB"/>
        </w:rPr>
        <w:t xml:space="preserve"> </w:t>
      </w:r>
      <w:r w:rsidR="003E5C71" w:rsidRPr="002836EB">
        <w:rPr>
          <w:lang w:val="en-GB"/>
        </w:rPr>
        <w:fldChar w:fldCharType="begin"/>
      </w:r>
      <w:r w:rsidR="003E5C71" w:rsidRPr="002836EB">
        <w:rPr>
          <w:lang w:val="en-GB"/>
        </w:rPr>
        <w:instrText xml:space="preserve"> REF _Ref463916501 \r \h </w:instrText>
      </w:r>
      <w:r w:rsidR="003E5C71" w:rsidRPr="002836EB">
        <w:rPr>
          <w:lang w:val="en-GB"/>
        </w:rPr>
      </w:r>
      <w:r w:rsidR="003E5C71" w:rsidRPr="002836EB">
        <w:rPr>
          <w:lang w:val="en-GB"/>
        </w:rPr>
        <w:fldChar w:fldCharType="separate"/>
      </w:r>
      <w:r w:rsidR="003274EF">
        <w:rPr>
          <w:lang w:val="en-GB"/>
        </w:rPr>
        <w:t>5</w:t>
      </w:r>
      <w:r w:rsidR="003E5C71" w:rsidRPr="002836EB">
        <w:rPr>
          <w:lang w:val="en-GB"/>
        </w:rPr>
        <w:fldChar w:fldCharType="end"/>
      </w:r>
      <w:r w:rsidR="003E5C71" w:rsidRPr="002836EB">
        <w:rPr>
          <w:lang w:val="en-GB"/>
        </w:rPr>
        <w:t xml:space="preserve"> – </w:t>
      </w:r>
      <w:r w:rsidRPr="002836EB">
        <w:rPr>
          <w:lang w:val="en-GB"/>
        </w:rPr>
        <w:fldChar w:fldCharType="begin"/>
      </w:r>
      <w:r w:rsidRPr="002836EB">
        <w:rPr>
          <w:lang w:val="en-GB"/>
        </w:rPr>
        <w:instrText xml:space="preserve"> REF _Ref463916501 \h </w:instrText>
      </w:r>
      <w:r w:rsidRPr="002836EB">
        <w:rPr>
          <w:lang w:val="en-GB"/>
        </w:rPr>
      </w:r>
      <w:r w:rsidRPr="002836EB">
        <w:rPr>
          <w:lang w:val="en-GB"/>
        </w:rPr>
        <w:fldChar w:fldCharType="separate"/>
      </w:r>
      <w:r w:rsidR="003274EF" w:rsidRPr="002836EB">
        <w:rPr>
          <w:lang w:val="en-GB"/>
        </w:rPr>
        <w:t>Radiation oncology recommendations</w:t>
      </w:r>
      <w:r w:rsidRPr="002836EB">
        <w:rPr>
          <w:lang w:val="en-GB"/>
        </w:rPr>
        <w:fldChar w:fldCharType="end"/>
      </w:r>
      <w:r w:rsidRPr="002836EB">
        <w:rPr>
          <w:lang w:val="en-GB"/>
        </w:rPr>
        <w:t xml:space="preserve"> on issues relating to</w:t>
      </w:r>
      <w:r w:rsidR="007872A4" w:rsidRPr="002836EB">
        <w:rPr>
          <w:lang w:val="en-GB"/>
        </w:rPr>
        <w:t>:</w:t>
      </w:r>
      <w:r w:rsidRPr="002836EB">
        <w:rPr>
          <w:lang w:val="en-GB"/>
        </w:rPr>
        <w:t xml:space="preserve"> </w:t>
      </w:r>
    </w:p>
    <w:p w14:paraId="785321CB" w14:textId="116F71DF" w:rsidR="001D6C05" w:rsidRPr="002836EB" w:rsidRDefault="001D6C05" w:rsidP="00A7186C">
      <w:pPr>
        <w:pStyle w:val="01squarebullet"/>
        <w:numPr>
          <w:ilvl w:val="1"/>
          <w:numId w:val="16"/>
        </w:numPr>
        <w:rPr>
          <w:lang w:val="en-GB"/>
        </w:rPr>
      </w:pPr>
      <w:r w:rsidRPr="002836EB">
        <w:rPr>
          <w:lang w:val="en-GB"/>
        </w:rPr>
        <w:fldChar w:fldCharType="begin"/>
      </w:r>
      <w:r w:rsidRPr="002836EB">
        <w:rPr>
          <w:lang w:val="en-GB"/>
        </w:rPr>
        <w:instrText xml:space="preserve"> REF _Ref464501738 \h </w:instrText>
      </w:r>
      <w:r w:rsidRPr="002836EB">
        <w:rPr>
          <w:lang w:val="en-GB"/>
        </w:rPr>
      </w:r>
      <w:r w:rsidRPr="002836EB">
        <w:rPr>
          <w:lang w:val="en-GB"/>
        </w:rPr>
        <w:fldChar w:fldCharType="separate"/>
      </w:r>
      <w:r w:rsidR="003274EF" w:rsidRPr="00E07C64">
        <w:rPr>
          <w:rFonts w:ascii="Calibri" w:hAnsi="Calibri"/>
          <w:lang w:val="en-GB"/>
        </w:rPr>
        <w:t>M</w:t>
      </w:r>
      <w:r w:rsidR="003274EF" w:rsidRPr="00E07C64">
        <w:rPr>
          <w:lang w:val="en-GB"/>
        </w:rPr>
        <w:t>egavoltage radiation therapy</w:t>
      </w:r>
      <w:r w:rsidRPr="002836EB">
        <w:rPr>
          <w:lang w:val="en-GB"/>
        </w:rPr>
        <w:fldChar w:fldCharType="end"/>
      </w:r>
      <w:r w:rsidRPr="002836EB">
        <w:rPr>
          <w:lang w:val="en-GB"/>
        </w:rPr>
        <w:t>.</w:t>
      </w:r>
    </w:p>
    <w:p w14:paraId="5EE05711" w14:textId="77777777" w:rsidR="001D6C05" w:rsidRPr="002836EB" w:rsidRDefault="001D6C05" w:rsidP="00A7186C">
      <w:pPr>
        <w:pStyle w:val="01squarebullet"/>
        <w:numPr>
          <w:ilvl w:val="1"/>
          <w:numId w:val="16"/>
        </w:numPr>
        <w:rPr>
          <w:lang w:val="en-GB"/>
        </w:rPr>
      </w:pPr>
      <w:r w:rsidRPr="002836EB">
        <w:rPr>
          <w:lang w:val="en-GB"/>
        </w:rPr>
        <w:lastRenderedPageBreak/>
        <w:fldChar w:fldCharType="begin"/>
      </w:r>
      <w:r w:rsidRPr="002836EB">
        <w:rPr>
          <w:lang w:val="en-GB"/>
        </w:rPr>
        <w:instrText xml:space="preserve"> REF _Ref464501739 \h </w:instrText>
      </w:r>
      <w:r w:rsidRPr="002836EB">
        <w:rPr>
          <w:lang w:val="en-GB"/>
        </w:rPr>
      </w:r>
      <w:r w:rsidRPr="002836EB">
        <w:rPr>
          <w:lang w:val="en-GB"/>
        </w:rPr>
        <w:fldChar w:fldCharType="separate"/>
      </w:r>
      <w:r w:rsidR="003274EF" w:rsidRPr="00AC6DC1">
        <w:rPr>
          <w:lang w:val="en-GB"/>
        </w:rPr>
        <w:t>Kilovoltage radiation therapy</w:t>
      </w:r>
      <w:r w:rsidRPr="002836EB">
        <w:rPr>
          <w:lang w:val="en-GB"/>
        </w:rPr>
        <w:fldChar w:fldCharType="end"/>
      </w:r>
      <w:r w:rsidRPr="002836EB">
        <w:rPr>
          <w:lang w:val="en-GB"/>
        </w:rPr>
        <w:t>.</w:t>
      </w:r>
    </w:p>
    <w:p w14:paraId="4B6EDCBB" w14:textId="58050D1D" w:rsidR="00184CBF" w:rsidRDefault="001D6C05" w:rsidP="00A7186C">
      <w:pPr>
        <w:pStyle w:val="01squarebullet"/>
        <w:numPr>
          <w:ilvl w:val="1"/>
          <w:numId w:val="16"/>
        </w:numPr>
        <w:rPr>
          <w:lang w:val="en-GB"/>
        </w:rPr>
      </w:pPr>
      <w:r w:rsidRPr="00F70966">
        <w:rPr>
          <w:lang w:val="en-GB"/>
        </w:rPr>
        <w:fldChar w:fldCharType="begin"/>
      </w:r>
      <w:r w:rsidRPr="00F70966">
        <w:rPr>
          <w:lang w:val="en-GB"/>
        </w:rPr>
        <w:instrText xml:space="preserve"> REF _Ref464501740 \h </w:instrText>
      </w:r>
      <w:r w:rsidRPr="00F70966">
        <w:rPr>
          <w:lang w:val="en-GB"/>
        </w:rPr>
      </w:r>
      <w:r w:rsidRPr="00F70966">
        <w:rPr>
          <w:lang w:val="en-GB"/>
        </w:rPr>
        <w:fldChar w:fldCharType="separate"/>
      </w:r>
      <w:r w:rsidR="003274EF" w:rsidRPr="00A96028">
        <w:rPr>
          <w:lang w:val="en-GB"/>
        </w:rPr>
        <w:t>Brachytherapy</w:t>
      </w:r>
      <w:r w:rsidRPr="00F70966">
        <w:rPr>
          <w:lang w:val="en-GB"/>
        </w:rPr>
        <w:fldChar w:fldCharType="end"/>
      </w:r>
      <w:r w:rsidRPr="00F70966">
        <w:rPr>
          <w:lang w:val="en-GB"/>
        </w:rPr>
        <w:t>.</w:t>
      </w:r>
    </w:p>
    <w:p w14:paraId="2088B9E2" w14:textId="6B15B001" w:rsidR="00CD2AD0" w:rsidRPr="00F70966" w:rsidRDefault="00CD2AD0" w:rsidP="00A7186C">
      <w:pPr>
        <w:pStyle w:val="01squarebullet"/>
        <w:numPr>
          <w:ilvl w:val="1"/>
          <w:numId w:val="16"/>
        </w:numPr>
        <w:rPr>
          <w:lang w:val="en-GB"/>
        </w:rPr>
      </w:pPr>
      <w:r>
        <w:rPr>
          <w:lang w:val="en-GB"/>
        </w:rPr>
        <w:fldChar w:fldCharType="begin"/>
      </w:r>
      <w:r>
        <w:rPr>
          <w:lang w:val="en-GB"/>
        </w:rPr>
        <w:instrText xml:space="preserve"> REF _Ref467435306 \h </w:instrText>
      </w:r>
      <w:r>
        <w:rPr>
          <w:lang w:val="en-GB"/>
        </w:rPr>
      </w:r>
      <w:r>
        <w:rPr>
          <w:lang w:val="en-GB"/>
        </w:rPr>
        <w:fldChar w:fldCharType="separate"/>
      </w:r>
      <w:r w:rsidR="003274EF" w:rsidRPr="0041322A">
        <w:rPr>
          <w:lang w:val="en-GB"/>
        </w:rPr>
        <w:t>Cobalt and caesium radiation therapy</w:t>
      </w:r>
      <w:r>
        <w:rPr>
          <w:lang w:val="en-GB"/>
        </w:rPr>
        <w:fldChar w:fldCharType="end"/>
      </w:r>
      <w:r>
        <w:rPr>
          <w:lang w:val="en-GB"/>
        </w:rPr>
        <w:t>.</w:t>
      </w:r>
    </w:p>
    <w:p w14:paraId="309020DA" w14:textId="77777777" w:rsidR="00C77EF8" w:rsidRDefault="0030013B" w:rsidP="00C77EF8">
      <w:pPr>
        <w:pStyle w:val="01squarebullet"/>
        <w:rPr>
          <w:lang w:val="en-GB"/>
        </w:rPr>
      </w:pPr>
      <w:r w:rsidRPr="002836EB">
        <w:rPr>
          <w:lang w:val="en-GB"/>
        </w:rPr>
        <w:t xml:space="preserve">Section </w:t>
      </w:r>
      <w:r w:rsidR="00FA2859">
        <w:rPr>
          <w:lang w:val="en-GB"/>
        </w:rPr>
        <w:fldChar w:fldCharType="begin"/>
      </w:r>
      <w:r w:rsidR="00FA2859">
        <w:rPr>
          <w:lang w:val="en-GB"/>
        </w:rPr>
        <w:instrText xml:space="preserve"> REF _Ref474805450 \r \h </w:instrText>
      </w:r>
      <w:r w:rsidR="00FA2859">
        <w:rPr>
          <w:lang w:val="en-GB"/>
        </w:rPr>
      </w:r>
      <w:r w:rsidR="00FA2859">
        <w:rPr>
          <w:lang w:val="en-GB"/>
        </w:rPr>
        <w:fldChar w:fldCharType="separate"/>
      </w:r>
      <w:r w:rsidR="003274EF">
        <w:rPr>
          <w:lang w:val="en-GB"/>
        </w:rPr>
        <w:t>6</w:t>
      </w:r>
      <w:r w:rsidR="00FA2859">
        <w:rPr>
          <w:lang w:val="en-GB"/>
        </w:rPr>
        <w:fldChar w:fldCharType="end"/>
      </w:r>
      <w:r w:rsidR="002051EA">
        <w:rPr>
          <w:lang w:val="en-GB"/>
        </w:rPr>
        <w:t xml:space="preserve"> – </w:t>
      </w:r>
      <w:r w:rsidR="002051EA">
        <w:rPr>
          <w:lang w:val="en-GB"/>
        </w:rPr>
        <w:fldChar w:fldCharType="begin"/>
      </w:r>
      <w:r w:rsidR="002051EA">
        <w:rPr>
          <w:lang w:val="en-GB"/>
        </w:rPr>
        <w:instrText xml:space="preserve"> REF _Ref474805232 \h </w:instrText>
      </w:r>
      <w:r w:rsidR="002051EA">
        <w:rPr>
          <w:lang w:val="en-GB"/>
        </w:rPr>
      </w:r>
      <w:r w:rsidR="002051EA">
        <w:rPr>
          <w:lang w:val="en-GB"/>
        </w:rPr>
        <w:fldChar w:fldCharType="separate"/>
      </w:r>
      <w:r w:rsidR="003274EF">
        <w:rPr>
          <w:lang w:val="en-GB"/>
        </w:rPr>
        <w:t>Surgical and paediatric oncology recommendations</w:t>
      </w:r>
      <w:r w:rsidR="002051EA">
        <w:rPr>
          <w:lang w:val="en-GB"/>
        </w:rPr>
        <w:fldChar w:fldCharType="end"/>
      </w:r>
      <w:r w:rsidRPr="002836EB">
        <w:rPr>
          <w:lang w:val="en-GB"/>
        </w:rPr>
        <w:t xml:space="preserve"> on issues relating to:</w:t>
      </w:r>
    </w:p>
    <w:p w14:paraId="3D5B3D18" w14:textId="09DED676" w:rsidR="00482EF5" w:rsidRDefault="00482EF5" w:rsidP="00482EF5">
      <w:pPr>
        <w:pStyle w:val="01squarebullet"/>
        <w:numPr>
          <w:ilvl w:val="1"/>
          <w:numId w:val="16"/>
        </w:numPr>
        <w:rPr>
          <w:lang w:val="en-GB"/>
        </w:rPr>
      </w:pPr>
      <w:r>
        <w:rPr>
          <w:lang w:val="en-GB"/>
        </w:rPr>
        <w:fldChar w:fldCharType="begin"/>
      </w:r>
      <w:r>
        <w:rPr>
          <w:lang w:val="en-GB"/>
        </w:rPr>
        <w:instrText xml:space="preserve"> REF _Ref463920191 \h </w:instrText>
      </w:r>
      <w:r>
        <w:rPr>
          <w:lang w:val="en-GB"/>
        </w:rPr>
      </w:r>
      <w:r>
        <w:rPr>
          <w:lang w:val="en-GB"/>
        </w:rPr>
        <w:fldChar w:fldCharType="separate"/>
      </w:r>
      <w:r w:rsidR="003274EF" w:rsidRPr="002836EB">
        <w:rPr>
          <w:lang w:val="en-GB"/>
        </w:rPr>
        <w:t>Sentinel lymph node biopsy for breast cancer</w:t>
      </w:r>
      <w:r>
        <w:rPr>
          <w:lang w:val="en-GB"/>
        </w:rPr>
        <w:fldChar w:fldCharType="end"/>
      </w:r>
      <w:r>
        <w:rPr>
          <w:lang w:val="en-GB"/>
        </w:rPr>
        <w:t>.</w:t>
      </w:r>
    </w:p>
    <w:p w14:paraId="6CB22914" w14:textId="225E4EE2" w:rsidR="00482EF5" w:rsidRDefault="00482EF5" w:rsidP="00482EF5">
      <w:pPr>
        <w:pStyle w:val="01squarebullet"/>
        <w:numPr>
          <w:ilvl w:val="1"/>
          <w:numId w:val="16"/>
        </w:numPr>
        <w:rPr>
          <w:lang w:val="en-GB"/>
        </w:rPr>
      </w:pPr>
      <w:r>
        <w:rPr>
          <w:lang w:val="en-GB"/>
        </w:rPr>
        <w:fldChar w:fldCharType="begin"/>
      </w:r>
      <w:r>
        <w:rPr>
          <w:lang w:val="en-GB"/>
        </w:rPr>
        <w:instrText xml:space="preserve"> REF _Ref474809727 \h </w:instrText>
      </w:r>
      <w:r>
        <w:rPr>
          <w:lang w:val="en-GB"/>
        </w:rPr>
      </w:r>
      <w:r>
        <w:rPr>
          <w:lang w:val="en-GB"/>
        </w:rPr>
        <w:fldChar w:fldCharType="separate"/>
      </w:r>
      <w:r w:rsidR="003274EF" w:rsidRPr="002836EB">
        <w:rPr>
          <w:lang w:val="en-GB"/>
        </w:rPr>
        <w:t>Sentinel lymph node biopsy for melanoma</w:t>
      </w:r>
      <w:r>
        <w:rPr>
          <w:lang w:val="en-GB"/>
        </w:rPr>
        <w:fldChar w:fldCharType="end"/>
      </w:r>
      <w:r>
        <w:rPr>
          <w:lang w:val="en-GB"/>
        </w:rPr>
        <w:t>.</w:t>
      </w:r>
    </w:p>
    <w:p w14:paraId="669DE0F0" w14:textId="03FC0F82" w:rsidR="0030013B" w:rsidRPr="00482EF5" w:rsidRDefault="00482EF5" w:rsidP="00482EF5">
      <w:pPr>
        <w:pStyle w:val="01squarebullet"/>
        <w:numPr>
          <w:ilvl w:val="1"/>
          <w:numId w:val="16"/>
        </w:numPr>
        <w:rPr>
          <w:lang w:val="en-GB"/>
        </w:rPr>
      </w:pPr>
      <w:r>
        <w:rPr>
          <w:lang w:val="en-GB"/>
        </w:rPr>
        <w:fldChar w:fldCharType="begin"/>
      </w:r>
      <w:r>
        <w:rPr>
          <w:lang w:val="en-GB"/>
        </w:rPr>
        <w:instrText xml:space="preserve"> REF _Ref474809733 \h </w:instrText>
      </w:r>
      <w:r>
        <w:rPr>
          <w:lang w:val="en-GB"/>
        </w:rPr>
      </w:r>
      <w:r>
        <w:rPr>
          <w:lang w:val="en-GB"/>
        </w:rPr>
        <w:fldChar w:fldCharType="separate"/>
      </w:r>
      <w:r w:rsidR="003274EF" w:rsidRPr="002836EB">
        <w:rPr>
          <w:lang w:val="en-GB"/>
        </w:rPr>
        <w:t>Paediatric cancer</w:t>
      </w:r>
      <w:r>
        <w:rPr>
          <w:lang w:val="en-GB"/>
        </w:rPr>
        <w:fldChar w:fldCharType="end"/>
      </w:r>
      <w:r>
        <w:rPr>
          <w:lang w:val="en-GB"/>
        </w:rPr>
        <w:t>.</w:t>
      </w:r>
    </w:p>
    <w:p w14:paraId="0721B9B3" w14:textId="77B9F868" w:rsidR="00CD16D1" w:rsidRPr="002836EB" w:rsidRDefault="00CD16D1" w:rsidP="00C477F2">
      <w:pPr>
        <w:pStyle w:val="Heading3"/>
        <w:rPr>
          <w:lang w:val="en-GB"/>
        </w:rPr>
      </w:pPr>
      <w:bookmarkStart w:id="86" w:name="_Toc468647471"/>
      <w:bookmarkStart w:id="87" w:name="_Toc479082777"/>
      <w:r w:rsidRPr="002836EB">
        <w:rPr>
          <w:lang w:val="en-GB"/>
        </w:rPr>
        <w:t>Numbering of proposed items</w:t>
      </w:r>
      <w:bookmarkEnd w:id="86"/>
      <w:bookmarkEnd w:id="87"/>
    </w:p>
    <w:p w14:paraId="33DDBAFB" w14:textId="4493197C" w:rsidR="00CD16D1" w:rsidRPr="002836EB" w:rsidRDefault="00CD16D1" w:rsidP="00CD16D1">
      <w:r w:rsidRPr="002836EB">
        <w:t>Throughout the report</w:t>
      </w:r>
      <w:r w:rsidR="00AF272D" w:rsidRPr="002836EB">
        <w:t>,</w:t>
      </w:r>
      <w:r w:rsidRPr="002836EB">
        <w:t xml:space="preserve"> the Committee recommends new or substantially changed items, </w:t>
      </w:r>
      <w:r w:rsidR="00140E0F" w:rsidRPr="002836EB">
        <w:t>most</w:t>
      </w:r>
      <w:r w:rsidRPr="002836EB">
        <w:t xml:space="preserve"> of which involve </w:t>
      </w:r>
      <w:r w:rsidR="00140E0F" w:rsidRPr="002836EB">
        <w:t>restructuring</w:t>
      </w:r>
      <w:r w:rsidR="00DE49B7" w:rsidRPr="002836EB">
        <w:t xml:space="preserve"> </w:t>
      </w:r>
      <w:r w:rsidRPr="002836EB">
        <w:t xml:space="preserve">current items. These proposed items are often referred to using letters to differentiate them for ease of reference. </w:t>
      </w:r>
      <w:r w:rsidR="003D43A0" w:rsidRPr="002836EB">
        <w:t>I</w:t>
      </w:r>
      <w:r w:rsidRPr="002836EB">
        <w:t xml:space="preserve">f the recommended items are </w:t>
      </w:r>
      <w:r w:rsidR="003D43A0" w:rsidRPr="002836EB">
        <w:t xml:space="preserve">ultimately </w:t>
      </w:r>
      <w:r w:rsidRPr="002836EB">
        <w:t xml:space="preserve">added to the </w:t>
      </w:r>
      <w:r w:rsidR="000D4DC9" w:rsidRPr="002836EB">
        <w:t>MBS</w:t>
      </w:r>
      <w:r w:rsidR="003D43A0" w:rsidRPr="002836EB">
        <w:t xml:space="preserve">, </w:t>
      </w:r>
      <w:r w:rsidR="00F4723B" w:rsidRPr="002836EB">
        <w:t>the Department of Human Services (</w:t>
      </w:r>
      <w:r w:rsidR="003D43A0" w:rsidRPr="002836EB">
        <w:t>DHS</w:t>
      </w:r>
      <w:r w:rsidR="00F4723B" w:rsidRPr="002836EB">
        <w:t>)</w:t>
      </w:r>
      <w:r w:rsidR="003D43A0" w:rsidRPr="002836EB">
        <w:t xml:space="preserve"> will assign new numbers in the usual format</w:t>
      </w:r>
      <w:r w:rsidRPr="002836EB">
        <w:t xml:space="preserve">. </w:t>
      </w:r>
      <w:r w:rsidR="003D43A0" w:rsidRPr="002836EB">
        <w:t xml:space="preserve">The Committee is not recommending changes to the MBS numbering system. </w:t>
      </w:r>
    </w:p>
    <w:p w14:paraId="163C4684" w14:textId="77777777" w:rsidR="00FA60CB" w:rsidRPr="002836EB" w:rsidRDefault="00FA60CB" w:rsidP="00CD16D1"/>
    <w:p w14:paraId="4C543B5C" w14:textId="7F2C313F" w:rsidR="00A46E80" w:rsidRPr="002836EB" w:rsidRDefault="00A46E80" w:rsidP="00A46E80">
      <w:pPr>
        <w:pStyle w:val="Heading1"/>
        <w:rPr>
          <w:lang w:val="en-GB"/>
        </w:rPr>
      </w:pPr>
      <w:bookmarkStart w:id="88" w:name="_Medical_oncology_recommendations"/>
      <w:bookmarkStart w:id="89" w:name="_Ref463916493"/>
      <w:bookmarkStart w:id="90" w:name="_Toc468647472"/>
      <w:bookmarkStart w:id="91" w:name="_Toc479082778"/>
      <w:bookmarkEnd w:id="88"/>
      <w:r w:rsidRPr="002836EB">
        <w:rPr>
          <w:lang w:val="en-GB"/>
        </w:rPr>
        <w:lastRenderedPageBreak/>
        <w:t xml:space="preserve">Medical </w:t>
      </w:r>
      <w:r w:rsidR="009C492A" w:rsidRPr="002836EB">
        <w:rPr>
          <w:lang w:val="en-GB"/>
        </w:rPr>
        <w:t>o</w:t>
      </w:r>
      <w:r w:rsidRPr="002836EB">
        <w:rPr>
          <w:lang w:val="en-GB"/>
        </w:rPr>
        <w:t>ncology recommendations</w:t>
      </w:r>
      <w:bookmarkEnd w:id="89"/>
      <w:bookmarkEnd w:id="90"/>
      <w:bookmarkEnd w:id="91"/>
    </w:p>
    <w:p w14:paraId="56761735" w14:textId="1FACD9C6" w:rsidR="00A46E80" w:rsidRPr="002836EB" w:rsidRDefault="00A46E80" w:rsidP="00A46E80">
      <w:pPr>
        <w:pStyle w:val="Heading2"/>
        <w:rPr>
          <w:lang w:val="en-GB"/>
        </w:rPr>
      </w:pPr>
      <w:bookmarkStart w:id="92" w:name="_Toc468647473"/>
      <w:bookmarkStart w:id="93" w:name="_Toc479082779"/>
      <w:r w:rsidRPr="002836EB">
        <w:rPr>
          <w:lang w:val="en-GB"/>
        </w:rPr>
        <w:t>Medical Oncology Working Group membership</w:t>
      </w:r>
      <w:bookmarkEnd w:id="92"/>
      <w:bookmarkEnd w:id="93"/>
    </w:p>
    <w:p w14:paraId="0B651D7B" w14:textId="582A80E4" w:rsidR="00A46E80" w:rsidRPr="002836EB" w:rsidRDefault="00A46E80" w:rsidP="00A46E80">
      <w:pPr>
        <w:rPr>
          <w:rFonts w:ascii="Calibri" w:hAnsi="Calibri"/>
        </w:rPr>
      </w:pPr>
      <w:r w:rsidRPr="002836EB">
        <w:rPr>
          <w:rFonts w:ascii="Calibri" w:hAnsi="Calibri"/>
        </w:rPr>
        <w:t xml:space="preserve">The Committee formed a </w:t>
      </w:r>
      <w:r w:rsidR="000E2087">
        <w:rPr>
          <w:rFonts w:ascii="Calibri" w:hAnsi="Calibri"/>
        </w:rPr>
        <w:t>W</w:t>
      </w:r>
      <w:r w:rsidRPr="002836EB">
        <w:rPr>
          <w:rFonts w:ascii="Calibri" w:hAnsi="Calibri"/>
        </w:rPr>
        <w:t xml:space="preserve">orking </w:t>
      </w:r>
      <w:r w:rsidR="000E2087">
        <w:rPr>
          <w:rFonts w:ascii="Calibri" w:hAnsi="Calibri"/>
        </w:rPr>
        <w:t>G</w:t>
      </w:r>
      <w:r w:rsidRPr="002836EB">
        <w:rPr>
          <w:rFonts w:ascii="Calibri" w:hAnsi="Calibri"/>
        </w:rPr>
        <w:t xml:space="preserve">roup to consider medical oncology services. The Medical Oncology Working Group included the </w:t>
      </w:r>
      <w:r w:rsidR="00F617AD" w:rsidRPr="002836EB">
        <w:rPr>
          <w:rFonts w:ascii="Calibri" w:hAnsi="Calibri"/>
        </w:rPr>
        <w:t xml:space="preserve">members listed in </w:t>
      </w:r>
      <w:r w:rsidR="00F617AD" w:rsidRPr="002836EB">
        <w:rPr>
          <w:rFonts w:ascii="Calibri" w:hAnsi="Calibri"/>
        </w:rPr>
        <w:fldChar w:fldCharType="begin"/>
      </w:r>
      <w:r w:rsidR="00F617AD" w:rsidRPr="002836EB">
        <w:rPr>
          <w:rFonts w:ascii="Calibri" w:hAnsi="Calibri"/>
        </w:rPr>
        <w:instrText xml:space="preserve"> REF _Ref464161058 \h </w:instrText>
      </w:r>
      <w:r w:rsidR="00F617AD" w:rsidRPr="002836EB">
        <w:rPr>
          <w:rFonts w:ascii="Calibri" w:hAnsi="Calibri"/>
        </w:rPr>
      </w:r>
      <w:r w:rsidR="00F617AD" w:rsidRPr="002836EB">
        <w:rPr>
          <w:rFonts w:ascii="Calibri" w:hAnsi="Calibri"/>
        </w:rPr>
        <w:fldChar w:fldCharType="separate"/>
      </w:r>
      <w:r w:rsidR="003274EF" w:rsidRPr="002836EB">
        <w:t xml:space="preserve">Table </w:t>
      </w:r>
      <w:r w:rsidR="003274EF">
        <w:rPr>
          <w:noProof/>
        </w:rPr>
        <w:t>2</w:t>
      </w:r>
      <w:r w:rsidR="00F617AD" w:rsidRPr="002836EB">
        <w:rPr>
          <w:rFonts w:ascii="Calibri" w:hAnsi="Calibri"/>
        </w:rPr>
        <w:fldChar w:fldCharType="end"/>
      </w:r>
      <w:r w:rsidR="00F617AD" w:rsidRPr="002836EB">
        <w:rPr>
          <w:rFonts w:ascii="Calibri" w:hAnsi="Calibri"/>
        </w:rPr>
        <w:t>.</w:t>
      </w:r>
    </w:p>
    <w:p w14:paraId="30A6E577" w14:textId="0BBF5FB2" w:rsidR="006B3D16" w:rsidRPr="002836EB" w:rsidRDefault="006B3D16" w:rsidP="006B3D16">
      <w:pPr>
        <w:pStyle w:val="Caption"/>
      </w:pPr>
      <w:bookmarkStart w:id="94" w:name="_Ref464161058"/>
      <w:bookmarkStart w:id="95" w:name="_Toc464036453"/>
      <w:bookmarkStart w:id="96" w:name="_Toc468647503"/>
      <w:bookmarkStart w:id="97" w:name="_Toc479082809"/>
      <w:r w:rsidRPr="002836EB">
        <w:t xml:space="preserve">Table </w:t>
      </w:r>
      <w:r w:rsidRPr="002836EB">
        <w:fldChar w:fldCharType="begin"/>
      </w:r>
      <w:r w:rsidRPr="002836EB">
        <w:instrText xml:space="preserve"> SEQ Table \* ARABIC </w:instrText>
      </w:r>
      <w:r w:rsidRPr="002836EB">
        <w:fldChar w:fldCharType="separate"/>
      </w:r>
      <w:r w:rsidR="003274EF">
        <w:rPr>
          <w:noProof/>
        </w:rPr>
        <w:t>2</w:t>
      </w:r>
      <w:r w:rsidRPr="002836EB">
        <w:fldChar w:fldCharType="end"/>
      </w:r>
      <w:bookmarkEnd w:id="94"/>
      <w:r w:rsidR="00ED0DCC">
        <w:t>:</w:t>
      </w:r>
      <w:r w:rsidRPr="002836EB">
        <w:t xml:space="preserve"> Medical Oncology Working Group (MOWG) members</w:t>
      </w:r>
      <w:bookmarkEnd w:id="95"/>
      <w:bookmarkEnd w:id="96"/>
      <w:bookmarkEnd w:id="9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 lists the Committee members for the Medical Oncology Working Group, their positions and any declared conflicts of interest."/>
      </w:tblPr>
      <w:tblGrid>
        <w:gridCol w:w="2122"/>
        <w:gridCol w:w="4252"/>
        <w:gridCol w:w="2642"/>
      </w:tblGrid>
      <w:tr w:rsidR="006B3D16" w:rsidRPr="002836EB" w14:paraId="36D067E6" w14:textId="77777777" w:rsidTr="00FB6FCF">
        <w:trPr>
          <w:tblHeader/>
        </w:trPr>
        <w:tc>
          <w:tcPr>
            <w:tcW w:w="1177" w:type="pct"/>
            <w:shd w:val="clear" w:color="auto" w:fill="F2F2F2" w:themeFill="background1" w:themeFillShade="F2"/>
            <w:vAlign w:val="bottom"/>
          </w:tcPr>
          <w:p w14:paraId="0DBDDE93" w14:textId="77777777" w:rsidR="006B3D16" w:rsidRPr="002836EB" w:rsidRDefault="006B3D16" w:rsidP="005F1F23">
            <w:pPr>
              <w:pStyle w:val="01Tableheaderrow"/>
            </w:pPr>
            <w:r w:rsidRPr="002836EB">
              <w:t>Name</w:t>
            </w:r>
          </w:p>
        </w:tc>
        <w:tc>
          <w:tcPr>
            <w:tcW w:w="2358" w:type="pct"/>
            <w:shd w:val="clear" w:color="auto" w:fill="F2F2F2" w:themeFill="background1" w:themeFillShade="F2"/>
            <w:vAlign w:val="bottom"/>
          </w:tcPr>
          <w:p w14:paraId="481066CC" w14:textId="77777777" w:rsidR="006B3D16" w:rsidRPr="002836EB" w:rsidRDefault="006B3D16" w:rsidP="005F1F23">
            <w:pPr>
              <w:pStyle w:val="01Tableheaderrow"/>
            </w:pPr>
            <w:r w:rsidRPr="002836EB">
              <w:t>Position/Organisation</w:t>
            </w:r>
          </w:p>
        </w:tc>
        <w:tc>
          <w:tcPr>
            <w:tcW w:w="1465" w:type="pct"/>
            <w:shd w:val="clear" w:color="auto" w:fill="F2F2F2" w:themeFill="background1" w:themeFillShade="F2"/>
            <w:vAlign w:val="bottom"/>
          </w:tcPr>
          <w:p w14:paraId="38447F32" w14:textId="0DAEECB3" w:rsidR="006B3D16" w:rsidRPr="002836EB" w:rsidRDefault="007A4F39" w:rsidP="005F1F23">
            <w:pPr>
              <w:pStyle w:val="01Tableheaderrow"/>
            </w:pPr>
            <w:r>
              <w:t>Interests declared</w:t>
            </w:r>
          </w:p>
        </w:tc>
      </w:tr>
      <w:tr w:rsidR="00706E8E" w:rsidRPr="002836EB" w14:paraId="5110BFB8" w14:textId="77777777" w:rsidTr="00FB6FCF">
        <w:tc>
          <w:tcPr>
            <w:tcW w:w="1177" w:type="pct"/>
          </w:tcPr>
          <w:p w14:paraId="742EA803" w14:textId="5EFCED67" w:rsidR="00706E8E" w:rsidRPr="002836EB" w:rsidRDefault="00706E8E" w:rsidP="00706E8E">
            <w:pPr>
              <w:pStyle w:val="02Tabletext"/>
            </w:pPr>
            <w:r w:rsidRPr="002836EB">
              <w:t>Dr Phillip Carson</w:t>
            </w:r>
            <w:r w:rsidRPr="002836EB">
              <w:br/>
              <w:t>(Co-Chair)</w:t>
            </w:r>
          </w:p>
        </w:tc>
        <w:tc>
          <w:tcPr>
            <w:tcW w:w="2358" w:type="pct"/>
          </w:tcPr>
          <w:p w14:paraId="2B116245" w14:textId="37B4ECE7" w:rsidR="00706E8E" w:rsidRPr="002836EB" w:rsidRDefault="00706E8E" w:rsidP="00706E8E">
            <w:pPr>
              <w:pStyle w:val="02Tabletext"/>
            </w:pPr>
            <w:r w:rsidRPr="002836EB">
              <w:t xml:space="preserve">General </w:t>
            </w:r>
            <w:r w:rsidR="00146203">
              <w:t>Surgeon</w:t>
            </w:r>
            <w:r w:rsidRPr="002836EB">
              <w:t>, The Royal Darwin Hospital &amp; Darwin Private Hospital</w:t>
            </w:r>
          </w:p>
          <w:p w14:paraId="6D278710" w14:textId="54F3B46D" w:rsidR="00706E8E" w:rsidRPr="002836EB" w:rsidRDefault="00706E8E" w:rsidP="00706E8E">
            <w:pPr>
              <w:pStyle w:val="02Tabletext"/>
            </w:pPr>
            <w:r w:rsidRPr="002836EB">
              <w:t>Associate Professor, Flinders Northern Territory Medical Program</w:t>
            </w:r>
          </w:p>
        </w:tc>
        <w:tc>
          <w:tcPr>
            <w:tcW w:w="1465" w:type="pct"/>
          </w:tcPr>
          <w:p w14:paraId="20755A2A" w14:textId="36A00DD5" w:rsidR="00706E8E" w:rsidRPr="002836EB" w:rsidRDefault="00706E8E" w:rsidP="00706E8E">
            <w:pPr>
              <w:pStyle w:val="02Tabletext"/>
            </w:pPr>
            <w:r w:rsidRPr="002836EB">
              <w:t>None</w:t>
            </w:r>
          </w:p>
        </w:tc>
      </w:tr>
      <w:tr w:rsidR="006B3D16" w:rsidRPr="002836EB" w14:paraId="49387DFB" w14:textId="77777777" w:rsidTr="00FB6FCF">
        <w:tc>
          <w:tcPr>
            <w:tcW w:w="1177" w:type="pct"/>
          </w:tcPr>
          <w:p w14:paraId="0A97D41B" w14:textId="77777777" w:rsidR="006B3D16" w:rsidRPr="002836EB" w:rsidRDefault="006B3D16" w:rsidP="005F1F23">
            <w:pPr>
              <w:pStyle w:val="02Tabletext"/>
            </w:pPr>
            <w:r w:rsidRPr="002836EB">
              <w:t>Professor David Thomas</w:t>
            </w:r>
            <w:r w:rsidRPr="002836EB">
              <w:br/>
              <w:t>(Co-Chair)</w:t>
            </w:r>
          </w:p>
        </w:tc>
        <w:tc>
          <w:tcPr>
            <w:tcW w:w="2358" w:type="pct"/>
          </w:tcPr>
          <w:p w14:paraId="7DB0D69D" w14:textId="77777777" w:rsidR="006B3D16" w:rsidRPr="002836EB" w:rsidRDefault="006B3D16" w:rsidP="005F1F23">
            <w:pPr>
              <w:pStyle w:val="02Tabletext"/>
            </w:pPr>
            <w:r w:rsidRPr="002836EB">
              <w:t>Director &amp; Division Head, Genomic Cancer Medicine, Cancer Division, Garvan Institute of Medical Research &amp; The Kinghorn Cancer Centre</w:t>
            </w:r>
          </w:p>
        </w:tc>
        <w:tc>
          <w:tcPr>
            <w:tcW w:w="1465" w:type="pct"/>
          </w:tcPr>
          <w:p w14:paraId="042637D4" w14:textId="77777777" w:rsidR="006B3D16" w:rsidRPr="002836EB" w:rsidRDefault="006B3D16" w:rsidP="005F1F23">
            <w:pPr>
              <w:pStyle w:val="02Tabletext"/>
            </w:pPr>
            <w:r w:rsidRPr="002836EB">
              <w:t>None</w:t>
            </w:r>
          </w:p>
        </w:tc>
      </w:tr>
      <w:tr w:rsidR="00706E8E" w:rsidRPr="002836EB" w14:paraId="3C98123A" w14:textId="77777777" w:rsidTr="00FB6FCF">
        <w:tc>
          <w:tcPr>
            <w:tcW w:w="1177" w:type="pct"/>
          </w:tcPr>
          <w:p w14:paraId="1745E858" w14:textId="03990349" w:rsidR="00706E8E" w:rsidRPr="002836EB" w:rsidRDefault="00706E8E" w:rsidP="00706E8E">
            <w:pPr>
              <w:pStyle w:val="02Tabletext"/>
            </w:pPr>
            <w:r w:rsidRPr="002836EB">
              <w:t>Dr Elizabeth Marles</w:t>
            </w:r>
          </w:p>
        </w:tc>
        <w:tc>
          <w:tcPr>
            <w:tcW w:w="2358" w:type="pct"/>
          </w:tcPr>
          <w:p w14:paraId="6FEF297E" w14:textId="61F51BD8" w:rsidR="00706E8E" w:rsidRPr="002836EB" w:rsidRDefault="003E703E" w:rsidP="003E703E">
            <w:pPr>
              <w:pStyle w:val="02Tabletext"/>
            </w:pPr>
            <w:r>
              <w:t>Director, H</w:t>
            </w:r>
            <w:r w:rsidRPr="002836EB">
              <w:t>ornsby</w:t>
            </w:r>
            <w:r>
              <w:t>-Brooklyn</w:t>
            </w:r>
            <w:r w:rsidRPr="002836EB">
              <w:t xml:space="preserve"> GP Unit</w:t>
            </w:r>
            <w:r>
              <w:br/>
              <w:t xml:space="preserve">Past </w:t>
            </w:r>
            <w:r w:rsidRPr="002836EB">
              <w:t>President,</w:t>
            </w:r>
            <w:r>
              <w:t xml:space="preserve"> RACGP</w:t>
            </w:r>
          </w:p>
        </w:tc>
        <w:tc>
          <w:tcPr>
            <w:tcW w:w="1465" w:type="pct"/>
          </w:tcPr>
          <w:p w14:paraId="4517C973" w14:textId="3DCEB080" w:rsidR="00706E8E" w:rsidRPr="002836EB" w:rsidRDefault="00706E8E" w:rsidP="00706E8E">
            <w:pPr>
              <w:pStyle w:val="02Tabletext"/>
            </w:pPr>
            <w:r w:rsidRPr="002836EB">
              <w:t>None</w:t>
            </w:r>
          </w:p>
        </w:tc>
      </w:tr>
      <w:tr w:rsidR="006D3DA8" w:rsidRPr="002836EB" w14:paraId="0F4FF061" w14:textId="77777777" w:rsidTr="00FB6FCF">
        <w:tc>
          <w:tcPr>
            <w:tcW w:w="1177" w:type="pct"/>
          </w:tcPr>
          <w:p w14:paraId="30FFFF8E" w14:textId="7916EADB" w:rsidR="006D3DA8" w:rsidRPr="002836EB" w:rsidRDefault="006D3DA8" w:rsidP="006D3DA8">
            <w:pPr>
              <w:pStyle w:val="02Tabletext"/>
            </w:pPr>
            <w:r w:rsidRPr="002836EB">
              <w:t>Professor John Zalcberg</w:t>
            </w:r>
          </w:p>
        </w:tc>
        <w:tc>
          <w:tcPr>
            <w:tcW w:w="2358" w:type="pct"/>
          </w:tcPr>
          <w:p w14:paraId="5958AB3F" w14:textId="77777777" w:rsidR="006D3DA8" w:rsidRPr="002836EB" w:rsidRDefault="006D3DA8" w:rsidP="006D3DA8">
            <w:pPr>
              <w:pStyle w:val="02Tabletext"/>
            </w:pPr>
            <w:r w:rsidRPr="002836EB">
              <w:t>Head, Cancer Research Program</w:t>
            </w:r>
          </w:p>
          <w:p w14:paraId="39AE77D0" w14:textId="77777777" w:rsidR="006D3DA8" w:rsidRPr="002836EB" w:rsidRDefault="006D3DA8" w:rsidP="006D3DA8">
            <w:pPr>
              <w:pStyle w:val="02Tabletext"/>
            </w:pPr>
            <w:r w:rsidRPr="002836EB">
              <w:t xml:space="preserve">School of Public Health and Preventative Medicine, </w:t>
            </w:r>
          </w:p>
          <w:p w14:paraId="5799625D" w14:textId="75373DED" w:rsidR="006D3DA8" w:rsidRPr="002836EB" w:rsidRDefault="006D3DA8" w:rsidP="006D3DA8">
            <w:pPr>
              <w:pStyle w:val="02Tabletext"/>
            </w:pPr>
            <w:r w:rsidRPr="002836EB">
              <w:t>Monash University</w:t>
            </w:r>
          </w:p>
        </w:tc>
        <w:tc>
          <w:tcPr>
            <w:tcW w:w="1465" w:type="pct"/>
          </w:tcPr>
          <w:p w14:paraId="325F5BC2" w14:textId="3EF71313" w:rsidR="006D3DA8" w:rsidRPr="002836EB" w:rsidRDefault="006D3DA8" w:rsidP="006D3DA8">
            <w:pPr>
              <w:pStyle w:val="02Tabletext"/>
            </w:pPr>
            <w:r w:rsidRPr="002836EB">
              <w:t>Prof Zalcberg declared</w:t>
            </w:r>
            <w:r w:rsidR="008818F0">
              <w:t xml:space="preserve"> that</w:t>
            </w:r>
            <w:r w:rsidRPr="002836EB">
              <w:t xml:space="preserve"> he is Chair of the Cancer Drugs Alliance and Chair of the Australian Clinical Trials Alliance (which made a submission to the MBS Review)</w:t>
            </w:r>
            <w:r w:rsidR="00290517">
              <w:t>.</w:t>
            </w:r>
          </w:p>
        </w:tc>
      </w:tr>
      <w:tr w:rsidR="006D3DA8" w:rsidRPr="002836EB" w14:paraId="31A33EF4" w14:textId="77777777" w:rsidTr="00FB6FCF">
        <w:tc>
          <w:tcPr>
            <w:tcW w:w="1177" w:type="pct"/>
          </w:tcPr>
          <w:p w14:paraId="08C576FC" w14:textId="543A97CB" w:rsidR="006D3DA8" w:rsidRPr="002836EB" w:rsidRDefault="006D3DA8" w:rsidP="006D3DA8">
            <w:pPr>
              <w:pStyle w:val="02Tabletext"/>
            </w:pPr>
            <w:r w:rsidRPr="002836EB">
              <w:t>Ms Kathy Wells</w:t>
            </w:r>
          </w:p>
        </w:tc>
        <w:tc>
          <w:tcPr>
            <w:tcW w:w="2358" w:type="pct"/>
          </w:tcPr>
          <w:p w14:paraId="1A724870" w14:textId="75804A89" w:rsidR="006D3DA8" w:rsidRPr="002836EB" w:rsidRDefault="006D3DA8" w:rsidP="006D3DA8">
            <w:pPr>
              <w:pStyle w:val="02Tabletext"/>
            </w:pPr>
            <w:r w:rsidRPr="002836EB">
              <w:t>Head of Policy, Research and Advocacy, Breast Cancer Network Australia</w:t>
            </w:r>
          </w:p>
        </w:tc>
        <w:tc>
          <w:tcPr>
            <w:tcW w:w="1465" w:type="pct"/>
          </w:tcPr>
          <w:p w14:paraId="2D51AE94" w14:textId="1F1C8354" w:rsidR="006D3DA8" w:rsidRPr="002836EB" w:rsidRDefault="006D3DA8" w:rsidP="006D3DA8">
            <w:pPr>
              <w:pStyle w:val="02Tabletext"/>
            </w:pPr>
            <w:r w:rsidRPr="002836EB">
              <w:t>None</w:t>
            </w:r>
          </w:p>
        </w:tc>
      </w:tr>
      <w:tr w:rsidR="006D3DA8" w:rsidRPr="002836EB" w14:paraId="54921BE2" w14:textId="77777777" w:rsidTr="00FB6FCF">
        <w:tc>
          <w:tcPr>
            <w:tcW w:w="1177" w:type="pct"/>
          </w:tcPr>
          <w:p w14:paraId="5EB2F2A7" w14:textId="6CE3BE88" w:rsidR="006D3DA8" w:rsidRPr="002836EB" w:rsidRDefault="006D3DA8" w:rsidP="006D3DA8">
            <w:pPr>
              <w:pStyle w:val="02Tabletext"/>
            </w:pPr>
            <w:r w:rsidRPr="002836EB">
              <w:t>Ms Maree Bransdon</w:t>
            </w:r>
          </w:p>
        </w:tc>
        <w:tc>
          <w:tcPr>
            <w:tcW w:w="2358" w:type="pct"/>
          </w:tcPr>
          <w:p w14:paraId="1213CC9C" w14:textId="4C9B960B" w:rsidR="006D3DA8" w:rsidRPr="002836EB" w:rsidRDefault="006D3DA8" w:rsidP="006D3DA8">
            <w:pPr>
              <w:pStyle w:val="02Tabletext"/>
            </w:pPr>
            <w:r w:rsidRPr="002836EB">
              <w:t>Nursing Director, Central Integrated Regional Cancer Service, Queensland Department of Health</w:t>
            </w:r>
          </w:p>
        </w:tc>
        <w:tc>
          <w:tcPr>
            <w:tcW w:w="1465" w:type="pct"/>
          </w:tcPr>
          <w:p w14:paraId="1C9D2B48" w14:textId="071D2ACB" w:rsidR="006D3DA8" w:rsidRPr="002836EB" w:rsidRDefault="006D3DA8" w:rsidP="006D3DA8">
            <w:pPr>
              <w:pStyle w:val="02Tabletext"/>
            </w:pPr>
            <w:r w:rsidRPr="002836EB">
              <w:t>None</w:t>
            </w:r>
          </w:p>
        </w:tc>
      </w:tr>
      <w:tr w:rsidR="006D3DA8" w:rsidRPr="002836EB" w14:paraId="39C4D1EB" w14:textId="77777777" w:rsidTr="00FB6FCF">
        <w:tc>
          <w:tcPr>
            <w:tcW w:w="1177" w:type="pct"/>
          </w:tcPr>
          <w:p w14:paraId="044485D2" w14:textId="1F2B1367" w:rsidR="006D3DA8" w:rsidRPr="002836EB" w:rsidRDefault="006D3DA8" w:rsidP="006D3DA8">
            <w:pPr>
              <w:pStyle w:val="02Tabletext"/>
            </w:pPr>
            <w:r w:rsidRPr="002836EB">
              <w:t>Dr Mustafa Khasraw</w:t>
            </w:r>
          </w:p>
        </w:tc>
        <w:tc>
          <w:tcPr>
            <w:tcW w:w="2358" w:type="pct"/>
          </w:tcPr>
          <w:p w14:paraId="1817FC27" w14:textId="55B638F0" w:rsidR="006D3DA8" w:rsidRPr="002836EB" w:rsidRDefault="00B248C2" w:rsidP="006D3DA8">
            <w:pPr>
              <w:pStyle w:val="02Tabletext"/>
            </w:pPr>
            <w:r>
              <w:t>Medical Oncologist</w:t>
            </w:r>
            <w:r w:rsidR="006D3DA8" w:rsidRPr="002836EB">
              <w:t>, Royal North Shore Hospital</w:t>
            </w:r>
          </w:p>
          <w:p w14:paraId="33F138BD" w14:textId="78068210" w:rsidR="006D3DA8" w:rsidRPr="002836EB" w:rsidRDefault="006D3DA8" w:rsidP="00355106">
            <w:pPr>
              <w:pStyle w:val="02Tabletext"/>
            </w:pPr>
            <w:r w:rsidRPr="002836EB">
              <w:t>Clinical Lead, NHMRC Clinical Trials Centre</w:t>
            </w:r>
          </w:p>
        </w:tc>
        <w:tc>
          <w:tcPr>
            <w:tcW w:w="1465" w:type="pct"/>
          </w:tcPr>
          <w:p w14:paraId="481A7344" w14:textId="02A7E088" w:rsidR="006D3DA8" w:rsidRPr="002836EB" w:rsidRDefault="006D3DA8" w:rsidP="006D3DA8">
            <w:pPr>
              <w:pStyle w:val="02Tabletext"/>
            </w:pPr>
            <w:r w:rsidRPr="002836EB">
              <w:t>None</w:t>
            </w:r>
          </w:p>
        </w:tc>
      </w:tr>
      <w:tr w:rsidR="000353AA" w:rsidRPr="002836EB" w14:paraId="23E5EB3B" w14:textId="77777777" w:rsidTr="00FB6FCF">
        <w:tc>
          <w:tcPr>
            <w:tcW w:w="1177" w:type="pct"/>
          </w:tcPr>
          <w:p w14:paraId="0FF186F9" w14:textId="0D147B52" w:rsidR="000353AA" w:rsidRPr="002836EB" w:rsidRDefault="000353AA" w:rsidP="000353AA">
            <w:pPr>
              <w:pStyle w:val="02Tabletext"/>
            </w:pPr>
            <w:r w:rsidRPr="002836EB">
              <w:t>Associate Professor Roslyn Francis</w:t>
            </w:r>
          </w:p>
        </w:tc>
        <w:tc>
          <w:tcPr>
            <w:tcW w:w="2358" w:type="pct"/>
          </w:tcPr>
          <w:p w14:paraId="65CBBA6D" w14:textId="77777777" w:rsidR="000353AA" w:rsidRPr="002836EB" w:rsidRDefault="000353AA" w:rsidP="000353AA">
            <w:pPr>
              <w:pStyle w:val="02Tabletext"/>
            </w:pPr>
            <w:r w:rsidRPr="002836EB">
              <w:t>Associate Professor of Molecular Imaging, School of Medicine &amp; Pharmacology, University of Western Australia</w:t>
            </w:r>
          </w:p>
          <w:p w14:paraId="3FD3AEB6" w14:textId="53BBC5EE" w:rsidR="000353AA" w:rsidRPr="002836EB" w:rsidRDefault="000353AA" w:rsidP="000353AA">
            <w:pPr>
              <w:pStyle w:val="02Tabletext"/>
            </w:pPr>
            <w:r w:rsidRPr="002836EB">
              <w:t>Harry Perkins Institute of Medical Research, QEII Medical Centre</w:t>
            </w:r>
          </w:p>
        </w:tc>
        <w:tc>
          <w:tcPr>
            <w:tcW w:w="1465" w:type="pct"/>
          </w:tcPr>
          <w:p w14:paraId="36E2550F" w14:textId="65A52F99" w:rsidR="000353AA" w:rsidRPr="002836EB" w:rsidRDefault="000353AA" w:rsidP="000353AA">
            <w:pPr>
              <w:pStyle w:val="02Tabletext"/>
            </w:pPr>
            <w:r w:rsidRPr="002836EB">
              <w:t>None</w:t>
            </w:r>
          </w:p>
        </w:tc>
      </w:tr>
      <w:tr w:rsidR="000353AA" w:rsidRPr="002836EB" w14:paraId="1A568307" w14:textId="77777777" w:rsidTr="00FB6FCF">
        <w:tc>
          <w:tcPr>
            <w:tcW w:w="1177" w:type="pct"/>
          </w:tcPr>
          <w:p w14:paraId="4EB5F285" w14:textId="192178EB" w:rsidR="000353AA" w:rsidRPr="002836EB" w:rsidRDefault="000353AA" w:rsidP="000353AA">
            <w:pPr>
              <w:pStyle w:val="02Tabletext"/>
            </w:pPr>
            <w:r w:rsidRPr="002836EB">
              <w:t>Professor Sandra O’Toole</w:t>
            </w:r>
          </w:p>
        </w:tc>
        <w:tc>
          <w:tcPr>
            <w:tcW w:w="2358" w:type="pct"/>
          </w:tcPr>
          <w:p w14:paraId="3525C377" w14:textId="152462FC" w:rsidR="000353AA" w:rsidRPr="002836EB" w:rsidRDefault="000353AA" w:rsidP="000353AA">
            <w:pPr>
              <w:pStyle w:val="02Tabletext"/>
            </w:pPr>
            <w:r w:rsidRPr="002836EB">
              <w:t>Head of Molecular Diagnostic Oncology &amp; Senior Staff Specialist, Department of Tissue Pathology and Diagnostic Oncology, Royal Prince Alfred Hospital</w:t>
            </w:r>
          </w:p>
        </w:tc>
        <w:tc>
          <w:tcPr>
            <w:tcW w:w="1465" w:type="pct"/>
          </w:tcPr>
          <w:p w14:paraId="04C87C55" w14:textId="19740F99" w:rsidR="000353AA" w:rsidRPr="002836EB" w:rsidRDefault="000353AA" w:rsidP="000353AA">
            <w:pPr>
              <w:pStyle w:val="02Tabletext"/>
            </w:pPr>
            <w:r w:rsidRPr="002836EB">
              <w:t xml:space="preserve">Prof O’Toole declared that she is an advisor for </w:t>
            </w:r>
            <w:r w:rsidR="00C13B86">
              <w:t xml:space="preserve">the </w:t>
            </w:r>
            <w:r w:rsidRPr="002836EB">
              <w:t>pharmaceutical industry with respect to molecular diagnostics</w:t>
            </w:r>
            <w:r w:rsidR="00C13B86">
              <w:t>.</w:t>
            </w:r>
          </w:p>
        </w:tc>
      </w:tr>
      <w:tr w:rsidR="00B045BE" w:rsidRPr="002836EB" w14:paraId="0863B719" w14:textId="77777777" w:rsidTr="00FB6FCF">
        <w:tc>
          <w:tcPr>
            <w:tcW w:w="1177" w:type="pct"/>
          </w:tcPr>
          <w:p w14:paraId="530EC9E4" w14:textId="1E75F83C" w:rsidR="00B045BE" w:rsidRPr="002836EB" w:rsidRDefault="00B045BE" w:rsidP="000353AA">
            <w:pPr>
              <w:pStyle w:val="02Tabletext"/>
            </w:pPr>
            <w:r w:rsidRPr="002836EB">
              <w:t>Professor Stephen Clarke</w:t>
            </w:r>
          </w:p>
        </w:tc>
        <w:tc>
          <w:tcPr>
            <w:tcW w:w="2358" w:type="pct"/>
          </w:tcPr>
          <w:p w14:paraId="0B7C9104" w14:textId="77777777" w:rsidR="00B045BE" w:rsidRPr="002836EB" w:rsidRDefault="00B045BE" w:rsidP="00B045BE">
            <w:pPr>
              <w:pStyle w:val="02Tabletext"/>
            </w:pPr>
            <w:r w:rsidRPr="002836EB">
              <w:t>Professor of Medicine, Northern Clinical School</w:t>
            </w:r>
          </w:p>
          <w:p w14:paraId="79640192" w14:textId="70CD4621" w:rsidR="00B045BE" w:rsidRPr="002836EB" w:rsidRDefault="00B045BE" w:rsidP="001C560A">
            <w:pPr>
              <w:pStyle w:val="02Tabletext"/>
            </w:pPr>
            <w:r w:rsidRPr="002836EB">
              <w:t>Kolling Institute of Medical Research</w:t>
            </w:r>
          </w:p>
        </w:tc>
        <w:tc>
          <w:tcPr>
            <w:tcW w:w="1465" w:type="pct"/>
          </w:tcPr>
          <w:p w14:paraId="0C9D44C3" w14:textId="77777777" w:rsidR="00B045BE" w:rsidRPr="002836EB" w:rsidRDefault="00B045BE" w:rsidP="000353AA">
            <w:pPr>
              <w:pStyle w:val="02Tabletext"/>
            </w:pPr>
          </w:p>
        </w:tc>
      </w:tr>
      <w:tr w:rsidR="00B045BE" w:rsidRPr="002836EB" w14:paraId="09C4FFD8" w14:textId="77777777" w:rsidTr="00FB6FCF">
        <w:tc>
          <w:tcPr>
            <w:tcW w:w="1177" w:type="pct"/>
          </w:tcPr>
          <w:p w14:paraId="063D927F" w14:textId="070B5626" w:rsidR="00B045BE" w:rsidRPr="002836EB" w:rsidRDefault="00B045BE" w:rsidP="000353AA">
            <w:pPr>
              <w:pStyle w:val="02Tabletext"/>
            </w:pPr>
            <w:r w:rsidRPr="002836EB">
              <w:t xml:space="preserve">Dr </w:t>
            </w:r>
            <w:r w:rsidR="00AA0AB9">
              <w:t>Anthony Mills</w:t>
            </w:r>
          </w:p>
        </w:tc>
        <w:tc>
          <w:tcPr>
            <w:tcW w:w="2358" w:type="pct"/>
          </w:tcPr>
          <w:p w14:paraId="03DC0D1D" w14:textId="25C7AF25" w:rsidR="00A033C2" w:rsidRPr="002836EB" w:rsidRDefault="00A033C2" w:rsidP="00A033C2">
            <w:pPr>
              <w:pStyle w:val="02Tabletext"/>
            </w:pPr>
            <w:r w:rsidRPr="002836EB">
              <w:t>Senior Staff Specialist, Clinical Haematology, Princess Alexandra Hospital</w:t>
            </w:r>
          </w:p>
          <w:p w14:paraId="0329D4E7" w14:textId="2BEFBEDE" w:rsidR="00B045BE" w:rsidRPr="002836EB" w:rsidRDefault="00A033C2" w:rsidP="00A033C2">
            <w:pPr>
              <w:pStyle w:val="02Tabletext"/>
            </w:pPr>
            <w:r w:rsidRPr="002836EB">
              <w:t>Visiting Medical Officer, Clinical Haematology, Greenslopes Private Hospital</w:t>
            </w:r>
          </w:p>
        </w:tc>
        <w:tc>
          <w:tcPr>
            <w:tcW w:w="1465" w:type="pct"/>
          </w:tcPr>
          <w:p w14:paraId="76D94F52" w14:textId="0F65936F" w:rsidR="00B045BE" w:rsidRPr="002836EB" w:rsidRDefault="00B045BE" w:rsidP="000353AA">
            <w:pPr>
              <w:pStyle w:val="02Tabletext"/>
            </w:pPr>
            <w:r w:rsidRPr="002836EB">
              <w:t>None</w:t>
            </w:r>
          </w:p>
        </w:tc>
      </w:tr>
      <w:tr w:rsidR="000353AA" w:rsidRPr="002836EB" w14:paraId="6CCCEAF4" w14:textId="77777777" w:rsidTr="00FB6FCF">
        <w:tc>
          <w:tcPr>
            <w:tcW w:w="1177" w:type="pct"/>
          </w:tcPr>
          <w:p w14:paraId="03ED5539" w14:textId="74C7F4A1" w:rsidR="000353AA" w:rsidRPr="002836EB" w:rsidRDefault="000353AA" w:rsidP="00B045BE">
            <w:pPr>
              <w:pStyle w:val="02Tabletext"/>
            </w:pPr>
            <w:r w:rsidRPr="002836EB">
              <w:t xml:space="preserve">Prof Bruce Barraclough </w:t>
            </w:r>
            <w:r w:rsidR="00B045BE" w:rsidRPr="002836EB">
              <w:t>(</w:t>
            </w:r>
            <w:r w:rsidR="00A50B4C">
              <w:t xml:space="preserve">Oncology Clinical </w:t>
            </w:r>
            <w:r w:rsidR="00D747FC">
              <w:t>Committee</w:t>
            </w:r>
            <w:r w:rsidR="00B045BE" w:rsidRPr="002836EB">
              <w:t xml:space="preserve"> Chair)</w:t>
            </w:r>
          </w:p>
        </w:tc>
        <w:tc>
          <w:tcPr>
            <w:tcW w:w="2358" w:type="pct"/>
          </w:tcPr>
          <w:p w14:paraId="447EEE00" w14:textId="77777777" w:rsidR="000353AA" w:rsidRPr="002836EB" w:rsidRDefault="000353AA" w:rsidP="000353AA">
            <w:pPr>
              <w:pStyle w:val="02Tabletext"/>
            </w:pPr>
            <w:r w:rsidRPr="002836EB">
              <w:t>Board Chair, Australian E-Health Research Centre</w:t>
            </w:r>
          </w:p>
          <w:p w14:paraId="547D3DDB" w14:textId="77777777" w:rsidR="000353AA" w:rsidRPr="002836EB" w:rsidRDefault="000353AA" w:rsidP="000353AA">
            <w:pPr>
              <w:pStyle w:val="02Tabletext"/>
            </w:pPr>
            <w:r w:rsidRPr="002836EB">
              <w:t>Board, Macquarie University Hospital</w:t>
            </w:r>
          </w:p>
          <w:p w14:paraId="7BC351D4" w14:textId="63BADBD0" w:rsidR="000353AA" w:rsidRPr="002836EB" w:rsidRDefault="000353AA" w:rsidP="000353AA">
            <w:pPr>
              <w:pStyle w:val="02Tabletext"/>
            </w:pPr>
            <w:r w:rsidRPr="002836EB">
              <w:t>Emeritus Professor, University of Western Sydney</w:t>
            </w:r>
          </w:p>
        </w:tc>
        <w:tc>
          <w:tcPr>
            <w:tcW w:w="1465" w:type="pct"/>
          </w:tcPr>
          <w:p w14:paraId="0F272BED" w14:textId="3E01AADD" w:rsidR="000353AA" w:rsidRPr="002836EB" w:rsidRDefault="000353AA" w:rsidP="000353AA">
            <w:pPr>
              <w:pStyle w:val="02Tabletext"/>
            </w:pPr>
            <w:r w:rsidRPr="002836EB">
              <w:t>Prof Barraclough declared that he is a member of a hospital with a Gamma Knife</w:t>
            </w:r>
            <w:r w:rsidR="001B17E7">
              <w:t>.</w:t>
            </w:r>
          </w:p>
        </w:tc>
      </w:tr>
    </w:tbl>
    <w:p w14:paraId="0C5E73E7" w14:textId="1EE866BB" w:rsidR="006B3D16" w:rsidRPr="002836EB" w:rsidRDefault="006B3D16" w:rsidP="006B3D16">
      <w:r w:rsidRPr="002836EB">
        <w:t xml:space="preserve">It is noted that the majority of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w:t>
      </w:r>
    </w:p>
    <w:p w14:paraId="0032B5E0" w14:textId="7F1C71B4" w:rsidR="006B3D16" w:rsidRPr="002836EB" w:rsidRDefault="00EB42E7" w:rsidP="006B3D16">
      <w:pPr>
        <w:spacing w:after="160" w:line="259" w:lineRule="auto"/>
        <w:rPr>
          <w:rFonts w:ascii="Calibri" w:hAnsi="Calibri" w:cs="Arial"/>
          <w:szCs w:val="22"/>
        </w:rPr>
      </w:pPr>
      <w:r w:rsidRPr="002836EB">
        <w:rPr>
          <w:rFonts w:ascii="Calibri" w:hAnsi="Calibri" w:cs="Arial"/>
          <w:szCs w:val="22"/>
        </w:rPr>
        <w:lastRenderedPageBreak/>
        <w:t xml:space="preserve">The </w:t>
      </w:r>
      <w:r w:rsidR="006B3D16" w:rsidRPr="002836EB">
        <w:rPr>
          <w:rFonts w:ascii="Calibri" w:hAnsi="Calibri" w:cs="Arial"/>
          <w:szCs w:val="22"/>
        </w:rPr>
        <w:t>Medical Oncology Working Group</w:t>
      </w:r>
      <w:r w:rsidR="00B33AF8" w:rsidRPr="002836EB">
        <w:rPr>
          <w:rFonts w:ascii="Calibri" w:hAnsi="Calibri" w:cs="Arial"/>
          <w:szCs w:val="22"/>
        </w:rPr>
        <w:t xml:space="preserve"> developed the following recommendations</w:t>
      </w:r>
      <w:r w:rsidR="006B3D16" w:rsidRPr="002836EB">
        <w:rPr>
          <w:rFonts w:ascii="Calibri" w:hAnsi="Calibri" w:cs="Arial"/>
          <w:szCs w:val="22"/>
        </w:rPr>
        <w:t xml:space="preserve">, </w:t>
      </w:r>
      <w:r w:rsidR="00B33AF8" w:rsidRPr="002836EB">
        <w:rPr>
          <w:rFonts w:ascii="Calibri" w:hAnsi="Calibri" w:cs="Arial"/>
          <w:szCs w:val="22"/>
        </w:rPr>
        <w:t xml:space="preserve">which were </w:t>
      </w:r>
      <w:r w:rsidR="006B3D16" w:rsidRPr="002836EB">
        <w:rPr>
          <w:rFonts w:ascii="Calibri" w:hAnsi="Calibri" w:cs="Arial"/>
          <w:szCs w:val="22"/>
        </w:rPr>
        <w:t>unanimous</w:t>
      </w:r>
      <w:r w:rsidR="00B33AF8" w:rsidRPr="002836EB">
        <w:rPr>
          <w:rFonts w:ascii="Calibri" w:hAnsi="Calibri" w:cs="Arial"/>
          <w:szCs w:val="22"/>
        </w:rPr>
        <w:t>ly</w:t>
      </w:r>
      <w:r w:rsidR="006B3D16" w:rsidRPr="002836EB">
        <w:rPr>
          <w:rFonts w:ascii="Calibri" w:hAnsi="Calibri" w:cs="Arial"/>
          <w:szCs w:val="22"/>
        </w:rPr>
        <w:t xml:space="preserve"> </w:t>
      </w:r>
      <w:r w:rsidR="00B33AF8" w:rsidRPr="002836EB">
        <w:rPr>
          <w:rFonts w:ascii="Calibri" w:hAnsi="Calibri" w:cs="Arial"/>
          <w:szCs w:val="22"/>
        </w:rPr>
        <w:t xml:space="preserve">endorsed </w:t>
      </w:r>
      <w:r w:rsidR="006B3D16" w:rsidRPr="002836EB">
        <w:rPr>
          <w:rFonts w:ascii="Calibri" w:hAnsi="Calibri" w:cs="Arial"/>
          <w:szCs w:val="22"/>
        </w:rPr>
        <w:t xml:space="preserve">by the Committee. </w:t>
      </w:r>
    </w:p>
    <w:p w14:paraId="1F69B2C1" w14:textId="1A432696" w:rsidR="00A46E80" w:rsidRPr="0036753C" w:rsidRDefault="00C867EE" w:rsidP="00A46E80">
      <w:pPr>
        <w:pStyle w:val="Heading2"/>
        <w:rPr>
          <w:lang w:val="en-GB"/>
        </w:rPr>
      </w:pPr>
      <w:bookmarkStart w:id="98" w:name="_Ref463918844"/>
      <w:bookmarkStart w:id="99" w:name="_Toc468647474"/>
      <w:bookmarkStart w:id="100" w:name="_Toc479082780"/>
      <w:r w:rsidRPr="0036753C">
        <w:rPr>
          <w:lang w:val="en-GB"/>
        </w:rPr>
        <w:t xml:space="preserve">Management of </w:t>
      </w:r>
      <w:r w:rsidR="001F7CBD" w:rsidRPr="0036753C">
        <w:rPr>
          <w:lang w:val="en-GB"/>
        </w:rPr>
        <w:t>a</w:t>
      </w:r>
      <w:r w:rsidRPr="0036753C">
        <w:rPr>
          <w:lang w:val="en-GB"/>
        </w:rPr>
        <w:t>nticance</w:t>
      </w:r>
      <w:r w:rsidR="000629EC" w:rsidRPr="0036753C">
        <w:rPr>
          <w:lang w:val="en-GB"/>
        </w:rPr>
        <w:t xml:space="preserve">r </w:t>
      </w:r>
      <w:r w:rsidR="001F7CBD" w:rsidRPr="0036753C">
        <w:rPr>
          <w:lang w:val="en-GB"/>
        </w:rPr>
        <w:t>t</w:t>
      </w:r>
      <w:r w:rsidRPr="0036753C">
        <w:rPr>
          <w:lang w:val="en-GB"/>
        </w:rPr>
        <w:t>herapy</w:t>
      </w:r>
      <w:bookmarkEnd w:id="98"/>
      <w:bookmarkEnd w:id="99"/>
      <w:bookmarkEnd w:id="100"/>
    </w:p>
    <w:p w14:paraId="78C35D50" w14:textId="349F4169" w:rsidR="005E7FA2" w:rsidRPr="002836EB" w:rsidRDefault="00740CC7" w:rsidP="00B93CDC">
      <w:bookmarkStart w:id="101" w:name="_Toc464036454"/>
      <w:r w:rsidRPr="002836EB">
        <w:t xml:space="preserve">The MBS currently has 12 items related to chemotherapy, </w:t>
      </w:r>
      <w:r w:rsidR="00C00185">
        <w:t xml:space="preserve">11 </w:t>
      </w:r>
      <w:r w:rsidRPr="002836EB">
        <w:t>of which concern the administration of cytotoxic/chemotherapeutic agents</w:t>
      </w:r>
      <w:r w:rsidR="00C11AD6">
        <w:t>:</w:t>
      </w:r>
      <w:r w:rsidRPr="002836EB">
        <w:t xml:space="preserve"> four items for administration via the intravenous (IV) route</w:t>
      </w:r>
      <w:r w:rsidR="007A4810">
        <w:t>;</w:t>
      </w:r>
      <w:r w:rsidRPr="002836EB">
        <w:t xml:space="preserve"> four items for</w:t>
      </w:r>
      <w:r w:rsidR="00DD6687" w:rsidRPr="002836EB">
        <w:t xml:space="preserve"> administration via</w:t>
      </w:r>
      <w:r w:rsidRPr="002836EB">
        <w:t xml:space="preserve"> the intra</w:t>
      </w:r>
      <w:r w:rsidR="00966173" w:rsidRPr="002836EB">
        <w:t>-</w:t>
      </w:r>
      <w:r w:rsidRPr="002836EB">
        <w:t>arterial (IA) route</w:t>
      </w:r>
      <w:r w:rsidR="00A053D3">
        <w:t>;</w:t>
      </w:r>
      <w:r w:rsidRPr="002836EB">
        <w:t xml:space="preserve"> </w:t>
      </w:r>
      <w:r w:rsidR="00A50B4C">
        <w:t xml:space="preserve">and </w:t>
      </w:r>
      <w:r w:rsidRPr="002836EB">
        <w:t>three items for administration via other routes (pump or reservoir, ambulatory drug delivery device, body cavity)</w:t>
      </w:r>
      <w:r w:rsidR="00A50B4C">
        <w:t xml:space="preserve">. </w:t>
      </w:r>
      <w:r w:rsidR="005E7FA2" w:rsidRPr="002836EB">
        <w:t>There is an additional item for accessing long-term implanted drug delivery devices (</w:t>
      </w:r>
      <w:r w:rsidR="00AF147F">
        <w:t>i</w:t>
      </w:r>
      <w:r w:rsidR="005E7FA2" w:rsidRPr="002836EB">
        <w:t xml:space="preserve">tem 13945, reviewed in Section </w:t>
      </w:r>
      <w:r w:rsidR="005E7FA2" w:rsidRPr="002836EB">
        <w:fldChar w:fldCharType="begin"/>
      </w:r>
      <w:r w:rsidR="005E7FA2" w:rsidRPr="002836EB">
        <w:instrText xml:space="preserve"> REF _Ref464490177 \r \h </w:instrText>
      </w:r>
      <w:r w:rsidR="005E7FA2" w:rsidRPr="002836EB">
        <w:fldChar w:fldCharType="separate"/>
      </w:r>
      <w:r w:rsidR="003274EF">
        <w:t>4.3</w:t>
      </w:r>
      <w:r w:rsidR="005E7FA2" w:rsidRPr="002836EB">
        <w:fldChar w:fldCharType="end"/>
      </w:r>
      <w:r w:rsidR="005E7FA2" w:rsidRPr="002836EB">
        <w:t>).</w:t>
      </w:r>
    </w:p>
    <w:p w14:paraId="3FEED1E9" w14:textId="57DB0CD8" w:rsidR="00740CC7" w:rsidRPr="002836EB" w:rsidRDefault="00740CC7" w:rsidP="00B93CDC">
      <w:r w:rsidRPr="002836EB">
        <w:t xml:space="preserve">The four IV and four IA items are tiered by duration of administration, with items for not more than one hour, not more than six hours, the first day of an administration lasting more than six hours, and each subsequent day of an administration lasting more than six hours. The MBS schedule fee is greater for longer durations, and </w:t>
      </w:r>
      <w:r w:rsidR="004835A2">
        <w:t xml:space="preserve">it is </w:t>
      </w:r>
      <w:r w:rsidRPr="002836EB">
        <w:t>greater for IA than for IV.</w:t>
      </w:r>
    </w:p>
    <w:p w14:paraId="639B2615" w14:textId="40BDC7FA" w:rsidR="00453BB4" w:rsidRPr="002836EB" w:rsidRDefault="00453BB4" w:rsidP="00453BB4">
      <w:pPr>
        <w:pStyle w:val="Caption"/>
      </w:pPr>
      <w:bookmarkStart w:id="102" w:name="_Toc468647504"/>
      <w:bookmarkStart w:id="103" w:name="_Toc479082810"/>
      <w:r w:rsidRPr="002836EB">
        <w:t xml:space="preserve">Table </w:t>
      </w:r>
      <w:r w:rsidRPr="002836EB">
        <w:fldChar w:fldCharType="begin"/>
      </w:r>
      <w:r w:rsidRPr="002836EB">
        <w:instrText xml:space="preserve"> SEQ Table \* ARABIC </w:instrText>
      </w:r>
      <w:r w:rsidRPr="002836EB">
        <w:fldChar w:fldCharType="separate"/>
      </w:r>
      <w:r w:rsidR="003274EF">
        <w:rPr>
          <w:noProof/>
        </w:rPr>
        <w:t>3</w:t>
      </w:r>
      <w:r w:rsidRPr="002836EB">
        <w:fldChar w:fldCharType="end"/>
      </w:r>
      <w:r w:rsidRPr="002836EB">
        <w:t xml:space="preserve">: Item introduction table for items </w:t>
      </w:r>
      <w:bookmarkEnd w:id="101"/>
      <w:r w:rsidRPr="002836EB">
        <w:t>13915</w:t>
      </w:r>
      <w:r w:rsidR="008D10A0" w:rsidRPr="002836EB">
        <w:t>–</w:t>
      </w:r>
      <w:r w:rsidRPr="002836EB">
        <w:t>13942 and</w:t>
      </w:r>
      <w:r w:rsidR="00776AC3" w:rsidRPr="002836EB">
        <w:t xml:space="preserve"> item</w:t>
      </w:r>
      <w:r w:rsidRPr="002836EB">
        <w:t xml:space="preserve"> 13948</w:t>
      </w:r>
      <w:bookmarkEnd w:id="102"/>
      <w:bookmarkEnd w:id="103"/>
      <w:r w:rsidRPr="002836EB">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3 is an item introduction table for Management of anticancer therapy items 13915-13942 and item 13948. There are 6 columns: column 1. List of items, column 2. Descriptor, column 3. Schedule fee, column 4. Volume of services for financial year 2014-15, column 5. Total benefits for financial year 2014-15, and column 6. Percentage of the services 5-year annual average growth. "/>
      </w:tblPr>
      <w:tblGrid>
        <w:gridCol w:w="719"/>
        <w:gridCol w:w="4066"/>
        <w:gridCol w:w="929"/>
        <w:gridCol w:w="1009"/>
        <w:gridCol w:w="1094"/>
        <w:gridCol w:w="1199"/>
      </w:tblGrid>
      <w:tr w:rsidR="00396184" w:rsidRPr="002836EB" w14:paraId="75446700" w14:textId="77777777" w:rsidTr="00A60C83">
        <w:trPr>
          <w:tblHeader/>
        </w:trPr>
        <w:tc>
          <w:tcPr>
            <w:tcW w:w="723" w:type="dxa"/>
            <w:shd w:val="clear" w:color="auto" w:fill="F2F2F2" w:themeFill="background1" w:themeFillShade="F2"/>
            <w:vAlign w:val="bottom"/>
          </w:tcPr>
          <w:p w14:paraId="5210D75C" w14:textId="77777777" w:rsidR="00453BB4" w:rsidRPr="002836EB" w:rsidRDefault="00453BB4" w:rsidP="005F1F23">
            <w:pPr>
              <w:pStyle w:val="02Tabletext"/>
              <w:rPr>
                <w:b/>
              </w:rPr>
            </w:pPr>
            <w:r w:rsidRPr="002836EB">
              <w:rPr>
                <w:b/>
              </w:rPr>
              <w:t>Item</w:t>
            </w:r>
          </w:p>
        </w:tc>
        <w:tc>
          <w:tcPr>
            <w:tcW w:w="4118" w:type="dxa"/>
            <w:shd w:val="clear" w:color="auto" w:fill="F2F2F2" w:themeFill="background1" w:themeFillShade="F2"/>
            <w:vAlign w:val="bottom"/>
          </w:tcPr>
          <w:p w14:paraId="2D8E11A9" w14:textId="3A9B05E5" w:rsidR="00453BB4" w:rsidRPr="002836EB" w:rsidRDefault="00453BB4" w:rsidP="005F1F23">
            <w:pPr>
              <w:pStyle w:val="02Tabletext"/>
              <w:rPr>
                <w:b/>
              </w:rPr>
            </w:pPr>
            <w:r w:rsidRPr="002836EB">
              <w:rPr>
                <w:b/>
              </w:rPr>
              <w:t>Descriptor</w:t>
            </w:r>
          </w:p>
        </w:tc>
        <w:tc>
          <w:tcPr>
            <w:tcW w:w="930" w:type="dxa"/>
            <w:shd w:val="clear" w:color="auto" w:fill="F2F2F2" w:themeFill="background1" w:themeFillShade="F2"/>
            <w:vAlign w:val="bottom"/>
          </w:tcPr>
          <w:p w14:paraId="3E4859C9" w14:textId="77777777" w:rsidR="00453BB4" w:rsidRPr="002836EB" w:rsidRDefault="00453BB4" w:rsidP="005F1F23">
            <w:pPr>
              <w:pStyle w:val="02Tabletext"/>
              <w:rPr>
                <w:b/>
              </w:rPr>
            </w:pPr>
            <w:r w:rsidRPr="002836EB">
              <w:rPr>
                <w:b/>
              </w:rPr>
              <w:t>Schedule</w:t>
            </w:r>
          </w:p>
          <w:p w14:paraId="78A9423E" w14:textId="77777777" w:rsidR="00453BB4" w:rsidRPr="002836EB" w:rsidRDefault="00453BB4" w:rsidP="005F1F23">
            <w:pPr>
              <w:pStyle w:val="02Tabletext"/>
              <w:rPr>
                <w:b/>
              </w:rPr>
            </w:pPr>
            <w:r w:rsidRPr="002836EB">
              <w:rPr>
                <w:b/>
              </w:rPr>
              <w:t>fee</w:t>
            </w:r>
          </w:p>
        </w:tc>
        <w:tc>
          <w:tcPr>
            <w:tcW w:w="1010" w:type="dxa"/>
            <w:shd w:val="clear" w:color="auto" w:fill="F2F2F2" w:themeFill="background1" w:themeFillShade="F2"/>
            <w:vAlign w:val="bottom"/>
          </w:tcPr>
          <w:p w14:paraId="105F36A4" w14:textId="77777777" w:rsidR="00453BB4" w:rsidRPr="002836EB" w:rsidRDefault="00453BB4" w:rsidP="005F1F23">
            <w:pPr>
              <w:pStyle w:val="02Tabletext"/>
              <w:rPr>
                <w:b/>
              </w:rPr>
            </w:pPr>
            <w:r w:rsidRPr="002836EB">
              <w:rPr>
                <w:b/>
              </w:rPr>
              <w:t>Volume of services FY2014/15</w:t>
            </w:r>
          </w:p>
        </w:tc>
        <w:tc>
          <w:tcPr>
            <w:tcW w:w="1095" w:type="dxa"/>
            <w:shd w:val="clear" w:color="auto" w:fill="F2F2F2" w:themeFill="background1" w:themeFillShade="F2"/>
            <w:vAlign w:val="bottom"/>
          </w:tcPr>
          <w:p w14:paraId="2FBFFDA2" w14:textId="77777777" w:rsidR="00453BB4" w:rsidRPr="002836EB" w:rsidRDefault="00453BB4" w:rsidP="005F1F23">
            <w:pPr>
              <w:pStyle w:val="02Tabletext"/>
              <w:rPr>
                <w:b/>
              </w:rPr>
            </w:pPr>
            <w:r w:rsidRPr="002836EB">
              <w:rPr>
                <w:b/>
              </w:rPr>
              <w:t>Total benefits FY2014/15</w:t>
            </w:r>
          </w:p>
        </w:tc>
        <w:tc>
          <w:tcPr>
            <w:tcW w:w="1206" w:type="dxa"/>
            <w:shd w:val="clear" w:color="auto" w:fill="F2F2F2" w:themeFill="background1" w:themeFillShade="F2"/>
            <w:vAlign w:val="bottom"/>
          </w:tcPr>
          <w:p w14:paraId="7371F156" w14:textId="77777777" w:rsidR="00453BB4" w:rsidRPr="002836EB" w:rsidRDefault="00453BB4" w:rsidP="005F1F23">
            <w:pPr>
              <w:pStyle w:val="02Tabletext"/>
              <w:rPr>
                <w:b/>
              </w:rPr>
            </w:pPr>
            <w:r w:rsidRPr="002836EB">
              <w:rPr>
                <w:b/>
              </w:rPr>
              <w:t>Services 5-year-average annual growth</w:t>
            </w:r>
          </w:p>
        </w:tc>
      </w:tr>
      <w:tr w:rsidR="00D35A78" w:rsidRPr="002836EB" w14:paraId="524AE58C" w14:textId="77777777" w:rsidTr="00A60C83">
        <w:tc>
          <w:tcPr>
            <w:tcW w:w="723" w:type="dxa"/>
          </w:tcPr>
          <w:p w14:paraId="5C306774" w14:textId="77777777" w:rsidR="00D35A78" w:rsidRPr="002836EB" w:rsidRDefault="00D35A78" w:rsidP="00D35A78">
            <w:pPr>
              <w:pStyle w:val="02Tabletext"/>
            </w:pPr>
            <w:r w:rsidRPr="002836EB">
              <w:t>13915</w:t>
            </w:r>
          </w:p>
        </w:tc>
        <w:tc>
          <w:tcPr>
            <w:tcW w:w="4118" w:type="dxa"/>
          </w:tcPr>
          <w:p w14:paraId="47FDC21B" w14:textId="0C7D1150" w:rsidR="00D35A78" w:rsidRPr="002836EB" w:rsidRDefault="00D35A78" w:rsidP="00D35A78">
            <w:pPr>
              <w:pStyle w:val="02Tabletext"/>
            </w:pPr>
            <w:r w:rsidRPr="002836EB">
              <w:t>Cytotoxic chemotherapy, administration of, either by intravenous push technique (directly into a vein, or a butterfly needle, or the side-arm of an infusion) or by intravenous infusion of not more than 1 hours duration – payable once only on the same day, not being a service associated with photodynamic therapy with verteporfin or for the administration of drugs used immediately prior to, or with microwave (uhf radiowave) cancer therapy alone.</w:t>
            </w:r>
          </w:p>
        </w:tc>
        <w:tc>
          <w:tcPr>
            <w:tcW w:w="930" w:type="dxa"/>
          </w:tcPr>
          <w:p w14:paraId="6D0C4E09" w14:textId="73C57715" w:rsidR="00D35A78" w:rsidRPr="002836EB" w:rsidRDefault="00D35A78" w:rsidP="00D35A78">
            <w:pPr>
              <w:pStyle w:val="02Tabletext"/>
              <w:jc w:val="center"/>
            </w:pPr>
            <w:r w:rsidRPr="002836EB">
              <w:t xml:space="preserve"> $65.05 </w:t>
            </w:r>
          </w:p>
        </w:tc>
        <w:tc>
          <w:tcPr>
            <w:tcW w:w="1010" w:type="dxa"/>
          </w:tcPr>
          <w:p w14:paraId="0C1AB35F" w14:textId="3D81EBB2" w:rsidR="00D35A78" w:rsidRPr="002836EB" w:rsidRDefault="00D35A78" w:rsidP="00D35A78">
            <w:pPr>
              <w:pStyle w:val="02Tabletext"/>
              <w:jc w:val="center"/>
            </w:pPr>
            <w:r w:rsidRPr="00A34861">
              <w:t>116,228</w:t>
            </w:r>
          </w:p>
        </w:tc>
        <w:tc>
          <w:tcPr>
            <w:tcW w:w="1095" w:type="dxa"/>
          </w:tcPr>
          <w:p w14:paraId="775FFFFA" w14:textId="5F288B52" w:rsidR="00D35A78" w:rsidRPr="002836EB" w:rsidRDefault="00D35A78" w:rsidP="00D35A78">
            <w:pPr>
              <w:pStyle w:val="02Tabletext"/>
              <w:jc w:val="center"/>
            </w:pPr>
            <w:r w:rsidRPr="00A34861">
              <w:t>$6,088,500</w:t>
            </w:r>
          </w:p>
        </w:tc>
        <w:tc>
          <w:tcPr>
            <w:tcW w:w="1206" w:type="dxa"/>
          </w:tcPr>
          <w:p w14:paraId="38EC0A10" w14:textId="0B5C901A" w:rsidR="00D35A78" w:rsidRPr="002836EB" w:rsidRDefault="00D35A78" w:rsidP="00D35A78">
            <w:pPr>
              <w:pStyle w:val="02Tabletext"/>
              <w:jc w:val="center"/>
            </w:pPr>
            <w:r w:rsidRPr="00A34861">
              <w:t>5.2%</w:t>
            </w:r>
          </w:p>
        </w:tc>
      </w:tr>
      <w:tr w:rsidR="00D35A78" w:rsidRPr="002836EB" w14:paraId="75AFA2DD" w14:textId="77777777" w:rsidTr="00A60C83">
        <w:tc>
          <w:tcPr>
            <w:tcW w:w="723" w:type="dxa"/>
          </w:tcPr>
          <w:p w14:paraId="1E550E9E" w14:textId="77777777" w:rsidR="00D35A78" w:rsidRPr="002836EB" w:rsidRDefault="00D35A78" w:rsidP="00D35A78">
            <w:pPr>
              <w:pStyle w:val="02Tabletext"/>
            </w:pPr>
            <w:r w:rsidRPr="002836EB">
              <w:t>13918</w:t>
            </w:r>
          </w:p>
        </w:tc>
        <w:tc>
          <w:tcPr>
            <w:tcW w:w="4118" w:type="dxa"/>
          </w:tcPr>
          <w:p w14:paraId="401E864F" w14:textId="350DD539" w:rsidR="00D35A78" w:rsidRPr="002836EB" w:rsidRDefault="00D35A78" w:rsidP="00D35A78">
            <w:pPr>
              <w:pStyle w:val="02Tabletext"/>
            </w:pPr>
            <w:r w:rsidRPr="002836EB">
              <w:t>Cytotoxic chemotherapy, administration of, by intravenous infusion of more than 1 hours duration but not more than 6 hours duration – payable once only on the same day.</w:t>
            </w:r>
          </w:p>
        </w:tc>
        <w:tc>
          <w:tcPr>
            <w:tcW w:w="930" w:type="dxa"/>
          </w:tcPr>
          <w:p w14:paraId="6E136667" w14:textId="7976682C" w:rsidR="00D35A78" w:rsidRPr="002836EB" w:rsidRDefault="00D35A78" w:rsidP="00D35A78">
            <w:pPr>
              <w:pStyle w:val="02Tabletext"/>
              <w:jc w:val="center"/>
            </w:pPr>
            <w:r w:rsidRPr="002836EB">
              <w:t xml:space="preserve"> $97.95 </w:t>
            </w:r>
          </w:p>
        </w:tc>
        <w:tc>
          <w:tcPr>
            <w:tcW w:w="1010" w:type="dxa"/>
          </w:tcPr>
          <w:p w14:paraId="794C7839" w14:textId="16EA2CBF" w:rsidR="00D35A78" w:rsidRPr="002836EB" w:rsidRDefault="00D35A78" w:rsidP="00D35A78">
            <w:pPr>
              <w:pStyle w:val="02Tabletext"/>
              <w:jc w:val="center"/>
            </w:pPr>
            <w:r w:rsidRPr="00A34861">
              <w:t>302,198</w:t>
            </w:r>
          </w:p>
        </w:tc>
        <w:tc>
          <w:tcPr>
            <w:tcW w:w="1095" w:type="dxa"/>
          </w:tcPr>
          <w:p w14:paraId="05AD17D3" w14:textId="53D1569F" w:rsidR="00D35A78" w:rsidRPr="002836EB" w:rsidRDefault="00D35A78" w:rsidP="00D35A78">
            <w:pPr>
              <w:pStyle w:val="02Tabletext"/>
              <w:jc w:val="center"/>
            </w:pPr>
            <w:r w:rsidRPr="00A34861">
              <w:t>$23,509,262</w:t>
            </w:r>
          </w:p>
        </w:tc>
        <w:tc>
          <w:tcPr>
            <w:tcW w:w="1206" w:type="dxa"/>
          </w:tcPr>
          <w:p w14:paraId="5C77A988" w14:textId="72DC1820" w:rsidR="00D35A78" w:rsidRPr="002836EB" w:rsidRDefault="00D35A78" w:rsidP="00D35A78">
            <w:pPr>
              <w:pStyle w:val="02Tabletext"/>
              <w:jc w:val="center"/>
            </w:pPr>
            <w:r w:rsidRPr="00A34861">
              <w:t>5.9%</w:t>
            </w:r>
          </w:p>
        </w:tc>
      </w:tr>
      <w:tr w:rsidR="00D35A78" w:rsidRPr="002836EB" w14:paraId="7C778228" w14:textId="77777777" w:rsidTr="00A60C83">
        <w:tc>
          <w:tcPr>
            <w:tcW w:w="723" w:type="dxa"/>
          </w:tcPr>
          <w:p w14:paraId="6E07FE08" w14:textId="77777777" w:rsidR="00D35A78" w:rsidRPr="002836EB" w:rsidRDefault="00D35A78" w:rsidP="00D35A78">
            <w:pPr>
              <w:pStyle w:val="02Tabletext"/>
            </w:pPr>
            <w:r w:rsidRPr="002836EB">
              <w:t>13921</w:t>
            </w:r>
          </w:p>
        </w:tc>
        <w:tc>
          <w:tcPr>
            <w:tcW w:w="4118" w:type="dxa"/>
          </w:tcPr>
          <w:p w14:paraId="43A95B96" w14:textId="6EB9B728" w:rsidR="00D35A78" w:rsidRPr="002836EB" w:rsidRDefault="00D35A78" w:rsidP="00D35A78">
            <w:pPr>
              <w:pStyle w:val="02Tabletext"/>
            </w:pPr>
            <w:r w:rsidRPr="002836EB">
              <w:t>Cytotoxic chemotherapy, administration of, by intravenous infusion of more than 6 hours duration – for the first day of treatment.</w:t>
            </w:r>
          </w:p>
        </w:tc>
        <w:tc>
          <w:tcPr>
            <w:tcW w:w="930" w:type="dxa"/>
          </w:tcPr>
          <w:p w14:paraId="532B6BDF" w14:textId="4E875074" w:rsidR="00D35A78" w:rsidRPr="002836EB" w:rsidRDefault="00D35A78" w:rsidP="00D35A78">
            <w:pPr>
              <w:pStyle w:val="02Tabletext"/>
              <w:jc w:val="center"/>
            </w:pPr>
            <w:r w:rsidRPr="002836EB">
              <w:t xml:space="preserve"> $110.80 </w:t>
            </w:r>
          </w:p>
        </w:tc>
        <w:tc>
          <w:tcPr>
            <w:tcW w:w="1010" w:type="dxa"/>
          </w:tcPr>
          <w:p w14:paraId="43D636CF" w14:textId="297FEB70" w:rsidR="00D35A78" w:rsidRPr="002836EB" w:rsidRDefault="00D35A78" w:rsidP="00D35A78">
            <w:pPr>
              <w:pStyle w:val="02Tabletext"/>
              <w:jc w:val="center"/>
            </w:pPr>
            <w:r w:rsidRPr="00A34861">
              <w:t>34,459</w:t>
            </w:r>
          </w:p>
        </w:tc>
        <w:tc>
          <w:tcPr>
            <w:tcW w:w="1095" w:type="dxa"/>
          </w:tcPr>
          <w:p w14:paraId="0C017327" w14:textId="317B87C9" w:rsidR="00D35A78" w:rsidRPr="002836EB" w:rsidRDefault="00D35A78" w:rsidP="00D35A78">
            <w:pPr>
              <w:pStyle w:val="02Tabletext"/>
              <w:jc w:val="center"/>
            </w:pPr>
            <w:r w:rsidRPr="00A34861">
              <w:t>$2,971,918</w:t>
            </w:r>
          </w:p>
        </w:tc>
        <w:tc>
          <w:tcPr>
            <w:tcW w:w="1206" w:type="dxa"/>
          </w:tcPr>
          <w:p w14:paraId="2EAB4B61" w14:textId="1CA5BA2D" w:rsidR="00D35A78" w:rsidRPr="002836EB" w:rsidRDefault="00D35A78" w:rsidP="00D35A78">
            <w:pPr>
              <w:pStyle w:val="02Tabletext"/>
              <w:jc w:val="center"/>
            </w:pPr>
            <w:r w:rsidRPr="00A34861">
              <w:t>1.9%</w:t>
            </w:r>
          </w:p>
        </w:tc>
      </w:tr>
      <w:tr w:rsidR="00D35A78" w:rsidRPr="002836EB" w14:paraId="50AEE3CE" w14:textId="77777777" w:rsidTr="00A60C83">
        <w:tc>
          <w:tcPr>
            <w:tcW w:w="723" w:type="dxa"/>
          </w:tcPr>
          <w:p w14:paraId="0FC92209" w14:textId="77777777" w:rsidR="00D35A78" w:rsidRPr="002836EB" w:rsidRDefault="00D35A78" w:rsidP="00D35A78">
            <w:pPr>
              <w:pStyle w:val="02Tabletext"/>
            </w:pPr>
            <w:r w:rsidRPr="002836EB">
              <w:t>13924</w:t>
            </w:r>
          </w:p>
        </w:tc>
        <w:tc>
          <w:tcPr>
            <w:tcW w:w="4118" w:type="dxa"/>
          </w:tcPr>
          <w:p w14:paraId="322B5D28" w14:textId="65B4765C" w:rsidR="00D35A78" w:rsidRPr="002836EB" w:rsidRDefault="00D35A78" w:rsidP="00D35A78">
            <w:pPr>
              <w:pStyle w:val="02Tabletext"/>
            </w:pPr>
            <w:r w:rsidRPr="002836EB">
              <w:t>Cytotoxic chemotherapy, administration of, by intravenous infusion of more than 6 hours duration – on each day subsequent to the first in the same continuous treatment episode.</w:t>
            </w:r>
          </w:p>
        </w:tc>
        <w:tc>
          <w:tcPr>
            <w:tcW w:w="930" w:type="dxa"/>
          </w:tcPr>
          <w:p w14:paraId="44A18F9D" w14:textId="38263E58" w:rsidR="00D35A78" w:rsidRPr="002836EB" w:rsidRDefault="00D35A78" w:rsidP="00D35A78">
            <w:pPr>
              <w:pStyle w:val="02Tabletext"/>
              <w:jc w:val="center"/>
            </w:pPr>
            <w:r w:rsidRPr="002836EB">
              <w:t xml:space="preserve"> $65.25 </w:t>
            </w:r>
          </w:p>
        </w:tc>
        <w:tc>
          <w:tcPr>
            <w:tcW w:w="1010" w:type="dxa"/>
          </w:tcPr>
          <w:p w14:paraId="050F49D6" w14:textId="729BC583" w:rsidR="00D35A78" w:rsidRPr="002836EB" w:rsidRDefault="00D35A78" w:rsidP="00D35A78">
            <w:pPr>
              <w:pStyle w:val="02Tabletext"/>
              <w:jc w:val="center"/>
            </w:pPr>
            <w:r w:rsidRPr="00A34861">
              <w:t>70,220</w:t>
            </w:r>
          </w:p>
        </w:tc>
        <w:tc>
          <w:tcPr>
            <w:tcW w:w="1095" w:type="dxa"/>
          </w:tcPr>
          <w:p w14:paraId="36905B61" w14:textId="42B389A3" w:rsidR="00D35A78" w:rsidRPr="002836EB" w:rsidRDefault="00D35A78" w:rsidP="00D35A78">
            <w:pPr>
              <w:pStyle w:val="02Tabletext"/>
              <w:jc w:val="center"/>
            </w:pPr>
            <w:r w:rsidRPr="00A34861">
              <w:t>$3,743,428</w:t>
            </w:r>
          </w:p>
        </w:tc>
        <w:tc>
          <w:tcPr>
            <w:tcW w:w="1206" w:type="dxa"/>
          </w:tcPr>
          <w:p w14:paraId="5B0E5A66" w14:textId="1F8A85ED" w:rsidR="00D35A78" w:rsidRPr="002836EB" w:rsidRDefault="00D35A78" w:rsidP="00D35A78">
            <w:pPr>
              <w:pStyle w:val="02Tabletext"/>
              <w:jc w:val="center"/>
            </w:pPr>
            <w:r w:rsidRPr="00A34861">
              <w:t>2.6%</w:t>
            </w:r>
          </w:p>
        </w:tc>
      </w:tr>
      <w:tr w:rsidR="00D35A78" w:rsidRPr="002836EB" w14:paraId="64A9BAE3" w14:textId="77777777" w:rsidTr="00A60C83">
        <w:tc>
          <w:tcPr>
            <w:tcW w:w="723" w:type="dxa"/>
          </w:tcPr>
          <w:p w14:paraId="60662D20" w14:textId="77777777" w:rsidR="00D35A78" w:rsidRPr="002836EB" w:rsidRDefault="00D35A78" w:rsidP="00D35A78">
            <w:pPr>
              <w:pStyle w:val="02Tabletext"/>
            </w:pPr>
            <w:r w:rsidRPr="002836EB">
              <w:t>13927</w:t>
            </w:r>
          </w:p>
        </w:tc>
        <w:tc>
          <w:tcPr>
            <w:tcW w:w="4118" w:type="dxa"/>
          </w:tcPr>
          <w:p w14:paraId="4ADE15EB" w14:textId="572D98F0" w:rsidR="00D35A78" w:rsidRPr="002836EB" w:rsidRDefault="00D35A78" w:rsidP="00D35A78">
            <w:pPr>
              <w:pStyle w:val="02Tabletext"/>
            </w:pPr>
            <w:r w:rsidRPr="002836EB">
              <w:t>Cytotoxic chemotherapy, administration of, either by intra-arterial push technique (directly into an artery, a butterfly needle or the side-arm of an infusion) or by intra-arterial infusion of not more than 1 hours duration – payable once only on the same day.</w:t>
            </w:r>
          </w:p>
        </w:tc>
        <w:tc>
          <w:tcPr>
            <w:tcW w:w="930" w:type="dxa"/>
          </w:tcPr>
          <w:p w14:paraId="44FBA46C" w14:textId="2E328565" w:rsidR="00D35A78" w:rsidRPr="002836EB" w:rsidRDefault="00D35A78" w:rsidP="00D35A78">
            <w:pPr>
              <w:pStyle w:val="02Tabletext"/>
              <w:jc w:val="center"/>
            </w:pPr>
            <w:r w:rsidRPr="002836EB">
              <w:t xml:space="preserve"> $84.40 </w:t>
            </w:r>
          </w:p>
        </w:tc>
        <w:tc>
          <w:tcPr>
            <w:tcW w:w="1010" w:type="dxa"/>
          </w:tcPr>
          <w:p w14:paraId="04DFAB17" w14:textId="6BD1C6E0" w:rsidR="00D35A78" w:rsidRPr="002836EB" w:rsidRDefault="00D35A78" w:rsidP="00D35A78">
            <w:pPr>
              <w:pStyle w:val="02Tabletext"/>
              <w:jc w:val="center"/>
            </w:pPr>
            <w:r w:rsidRPr="00A34861">
              <w:t>215</w:t>
            </w:r>
          </w:p>
        </w:tc>
        <w:tc>
          <w:tcPr>
            <w:tcW w:w="1095" w:type="dxa"/>
          </w:tcPr>
          <w:p w14:paraId="13B33B65" w14:textId="2370B9CB" w:rsidR="00D35A78" w:rsidRPr="002836EB" w:rsidRDefault="00D35A78" w:rsidP="00D35A78">
            <w:pPr>
              <w:pStyle w:val="02Tabletext"/>
              <w:jc w:val="center"/>
            </w:pPr>
            <w:r w:rsidRPr="00A34861">
              <w:t>$14,041</w:t>
            </w:r>
          </w:p>
        </w:tc>
        <w:tc>
          <w:tcPr>
            <w:tcW w:w="1206" w:type="dxa"/>
          </w:tcPr>
          <w:p w14:paraId="5DFA4158" w14:textId="76585EE1" w:rsidR="00D35A78" w:rsidRPr="002836EB" w:rsidRDefault="00D35A78" w:rsidP="00D35A78">
            <w:pPr>
              <w:pStyle w:val="02Tabletext"/>
              <w:jc w:val="center"/>
            </w:pPr>
            <w:r w:rsidRPr="00A34861">
              <w:t>-7.5%</w:t>
            </w:r>
          </w:p>
        </w:tc>
      </w:tr>
      <w:tr w:rsidR="00D35A78" w:rsidRPr="002836EB" w14:paraId="07842EAC" w14:textId="77777777" w:rsidTr="00A60C83">
        <w:tc>
          <w:tcPr>
            <w:tcW w:w="723" w:type="dxa"/>
          </w:tcPr>
          <w:p w14:paraId="5E738236" w14:textId="77777777" w:rsidR="00D35A78" w:rsidRPr="002836EB" w:rsidRDefault="00D35A78" w:rsidP="00D35A78">
            <w:pPr>
              <w:pStyle w:val="02Tabletext"/>
            </w:pPr>
            <w:r w:rsidRPr="002836EB">
              <w:t>13930</w:t>
            </w:r>
          </w:p>
        </w:tc>
        <w:tc>
          <w:tcPr>
            <w:tcW w:w="4118" w:type="dxa"/>
          </w:tcPr>
          <w:p w14:paraId="1057331A" w14:textId="0B511026" w:rsidR="00D35A78" w:rsidRPr="002836EB" w:rsidRDefault="00D35A78" w:rsidP="00D35A78">
            <w:pPr>
              <w:pStyle w:val="02Tabletext"/>
            </w:pPr>
            <w:r w:rsidRPr="002836EB">
              <w:t>Cytotoxic chemotherapy, administration of, by intra-arterial infusion of more than 1 hours duration but not more than 6 hours duration – payable once only on the same day.</w:t>
            </w:r>
          </w:p>
        </w:tc>
        <w:tc>
          <w:tcPr>
            <w:tcW w:w="930" w:type="dxa"/>
          </w:tcPr>
          <w:p w14:paraId="7C502BFB" w14:textId="63343BD8" w:rsidR="00D35A78" w:rsidRPr="002836EB" w:rsidRDefault="00D35A78" w:rsidP="00D35A78">
            <w:pPr>
              <w:pStyle w:val="02Tabletext"/>
              <w:jc w:val="center"/>
            </w:pPr>
            <w:r w:rsidRPr="002836EB">
              <w:t xml:space="preserve"> $117.80 </w:t>
            </w:r>
          </w:p>
        </w:tc>
        <w:tc>
          <w:tcPr>
            <w:tcW w:w="1010" w:type="dxa"/>
          </w:tcPr>
          <w:p w14:paraId="2AB43D96" w14:textId="360F8D3B" w:rsidR="00D35A78" w:rsidRPr="002836EB" w:rsidRDefault="00D35A78" w:rsidP="00D35A78">
            <w:pPr>
              <w:pStyle w:val="02Tabletext"/>
              <w:jc w:val="center"/>
            </w:pPr>
            <w:r w:rsidRPr="00A34861">
              <w:t>68</w:t>
            </w:r>
          </w:p>
        </w:tc>
        <w:tc>
          <w:tcPr>
            <w:tcW w:w="1095" w:type="dxa"/>
          </w:tcPr>
          <w:p w14:paraId="5FAB71A4" w14:textId="49BB7A8B" w:rsidR="00D35A78" w:rsidRPr="002836EB" w:rsidRDefault="00D35A78" w:rsidP="00D35A78">
            <w:pPr>
              <w:pStyle w:val="02Tabletext"/>
              <w:jc w:val="center"/>
            </w:pPr>
            <w:r w:rsidRPr="00A34861">
              <w:t>$6,662</w:t>
            </w:r>
          </w:p>
        </w:tc>
        <w:tc>
          <w:tcPr>
            <w:tcW w:w="1206" w:type="dxa"/>
          </w:tcPr>
          <w:p w14:paraId="4F338BBA" w14:textId="4874A02A" w:rsidR="00D35A78" w:rsidRPr="002836EB" w:rsidRDefault="00D35A78" w:rsidP="00D35A78">
            <w:pPr>
              <w:pStyle w:val="02Tabletext"/>
              <w:jc w:val="center"/>
            </w:pPr>
            <w:r w:rsidRPr="00A34861">
              <w:t>-22.7%</w:t>
            </w:r>
          </w:p>
        </w:tc>
      </w:tr>
      <w:tr w:rsidR="00D35A78" w:rsidRPr="002836EB" w14:paraId="36A88C97" w14:textId="77777777" w:rsidTr="00A60C83">
        <w:tc>
          <w:tcPr>
            <w:tcW w:w="723" w:type="dxa"/>
          </w:tcPr>
          <w:p w14:paraId="74FF36A0" w14:textId="77777777" w:rsidR="00D35A78" w:rsidRPr="002836EB" w:rsidRDefault="00D35A78" w:rsidP="00D35A78">
            <w:pPr>
              <w:pStyle w:val="02Tabletext"/>
            </w:pPr>
            <w:r w:rsidRPr="002836EB">
              <w:t>13933</w:t>
            </w:r>
          </w:p>
        </w:tc>
        <w:tc>
          <w:tcPr>
            <w:tcW w:w="4118" w:type="dxa"/>
          </w:tcPr>
          <w:p w14:paraId="7DDF9687" w14:textId="3FE536EE" w:rsidR="00D35A78" w:rsidRPr="002836EB" w:rsidRDefault="00D35A78" w:rsidP="00D35A78">
            <w:pPr>
              <w:pStyle w:val="02Tabletext"/>
            </w:pPr>
            <w:r w:rsidRPr="002836EB">
              <w:t>Cytotoxic chemotherapy, administration of, by intra-arterial infusion of more than 6 hours duration – for the first day of treatment.</w:t>
            </w:r>
          </w:p>
        </w:tc>
        <w:tc>
          <w:tcPr>
            <w:tcW w:w="930" w:type="dxa"/>
          </w:tcPr>
          <w:p w14:paraId="059EA35F" w14:textId="65E8CA99" w:rsidR="00D35A78" w:rsidRPr="002836EB" w:rsidRDefault="00D35A78" w:rsidP="00D35A78">
            <w:pPr>
              <w:pStyle w:val="02Tabletext"/>
              <w:jc w:val="center"/>
            </w:pPr>
            <w:r w:rsidRPr="002836EB">
              <w:t xml:space="preserve"> $130.70 </w:t>
            </w:r>
          </w:p>
        </w:tc>
        <w:tc>
          <w:tcPr>
            <w:tcW w:w="1010" w:type="dxa"/>
          </w:tcPr>
          <w:p w14:paraId="31EE1D66" w14:textId="28202BA4" w:rsidR="00D35A78" w:rsidRPr="002836EB" w:rsidRDefault="00D35A78" w:rsidP="00D35A78">
            <w:pPr>
              <w:pStyle w:val="02Tabletext"/>
              <w:jc w:val="center"/>
            </w:pPr>
            <w:r w:rsidRPr="00A34861">
              <w:t>9</w:t>
            </w:r>
          </w:p>
        </w:tc>
        <w:tc>
          <w:tcPr>
            <w:tcW w:w="1095" w:type="dxa"/>
          </w:tcPr>
          <w:p w14:paraId="16EA9A23" w14:textId="59B3AFC3" w:rsidR="00D35A78" w:rsidRPr="002836EB" w:rsidRDefault="00D35A78" w:rsidP="00D35A78">
            <w:pPr>
              <w:pStyle w:val="02Tabletext"/>
              <w:jc w:val="center"/>
            </w:pPr>
            <w:r w:rsidRPr="00A34861">
              <w:t>$882</w:t>
            </w:r>
          </w:p>
        </w:tc>
        <w:tc>
          <w:tcPr>
            <w:tcW w:w="1206" w:type="dxa"/>
          </w:tcPr>
          <w:p w14:paraId="41280084" w14:textId="5F06DA05" w:rsidR="00D35A78" w:rsidRPr="002836EB" w:rsidRDefault="00D35A78" w:rsidP="00D35A78">
            <w:pPr>
              <w:pStyle w:val="02Tabletext"/>
              <w:jc w:val="center"/>
            </w:pPr>
            <w:r w:rsidRPr="00A34861">
              <w:t>-49.8%</w:t>
            </w:r>
          </w:p>
        </w:tc>
      </w:tr>
      <w:tr w:rsidR="00D35A78" w:rsidRPr="002836EB" w14:paraId="5B237D6D" w14:textId="77777777" w:rsidTr="00A60C83">
        <w:tc>
          <w:tcPr>
            <w:tcW w:w="723" w:type="dxa"/>
          </w:tcPr>
          <w:p w14:paraId="7B263F04" w14:textId="77777777" w:rsidR="00D35A78" w:rsidRPr="002836EB" w:rsidRDefault="00D35A78" w:rsidP="00D35A78">
            <w:pPr>
              <w:pStyle w:val="02Tabletext"/>
            </w:pPr>
            <w:r w:rsidRPr="002836EB">
              <w:t>13936</w:t>
            </w:r>
          </w:p>
        </w:tc>
        <w:tc>
          <w:tcPr>
            <w:tcW w:w="4118" w:type="dxa"/>
          </w:tcPr>
          <w:p w14:paraId="054C6535" w14:textId="577919FB" w:rsidR="00D35A78" w:rsidRPr="002836EB" w:rsidRDefault="00D35A78" w:rsidP="00D35A78">
            <w:pPr>
              <w:pStyle w:val="02Tabletext"/>
            </w:pPr>
            <w:r w:rsidRPr="002836EB">
              <w:t xml:space="preserve">Cytotoxic chemotherapy, administration of, by intra-arterial infusion of more than 6 hours </w:t>
            </w:r>
            <w:r w:rsidRPr="002836EB">
              <w:lastRenderedPageBreak/>
              <w:t>duration – on each day subsequent to the first in the same continuous treatment episode.</w:t>
            </w:r>
          </w:p>
        </w:tc>
        <w:tc>
          <w:tcPr>
            <w:tcW w:w="930" w:type="dxa"/>
          </w:tcPr>
          <w:p w14:paraId="5ED35355" w14:textId="2EB13676" w:rsidR="00D35A78" w:rsidRPr="002836EB" w:rsidRDefault="00D35A78" w:rsidP="00D35A78">
            <w:pPr>
              <w:pStyle w:val="02Tabletext"/>
              <w:jc w:val="center"/>
            </w:pPr>
            <w:r w:rsidRPr="002836EB">
              <w:lastRenderedPageBreak/>
              <w:t xml:space="preserve"> $85.15 </w:t>
            </w:r>
          </w:p>
        </w:tc>
        <w:tc>
          <w:tcPr>
            <w:tcW w:w="1010" w:type="dxa"/>
          </w:tcPr>
          <w:p w14:paraId="6C30BCBE" w14:textId="47926183" w:rsidR="00D35A78" w:rsidRPr="002836EB" w:rsidRDefault="00D35A78" w:rsidP="00D35A78">
            <w:pPr>
              <w:pStyle w:val="02Tabletext"/>
              <w:jc w:val="center"/>
            </w:pPr>
            <w:r w:rsidRPr="00A34861">
              <w:t>41</w:t>
            </w:r>
          </w:p>
        </w:tc>
        <w:tc>
          <w:tcPr>
            <w:tcW w:w="1095" w:type="dxa"/>
          </w:tcPr>
          <w:p w14:paraId="24C5AF33" w14:textId="683EC215" w:rsidR="00D35A78" w:rsidRPr="002836EB" w:rsidRDefault="00D35A78" w:rsidP="00D35A78">
            <w:pPr>
              <w:pStyle w:val="02Tabletext"/>
              <w:jc w:val="center"/>
            </w:pPr>
            <w:r w:rsidRPr="00A34861">
              <w:t>$2,756</w:t>
            </w:r>
          </w:p>
        </w:tc>
        <w:tc>
          <w:tcPr>
            <w:tcW w:w="1206" w:type="dxa"/>
          </w:tcPr>
          <w:p w14:paraId="4EDEF9D7" w14:textId="3FDAD924" w:rsidR="00D35A78" w:rsidRPr="002836EB" w:rsidRDefault="00D35A78" w:rsidP="00D35A78">
            <w:pPr>
              <w:pStyle w:val="02Tabletext"/>
              <w:jc w:val="center"/>
            </w:pPr>
            <w:r w:rsidRPr="00A34861">
              <w:t>-20.9%</w:t>
            </w:r>
          </w:p>
        </w:tc>
      </w:tr>
      <w:tr w:rsidR="00D35A78" w:rsidRPr="002836EB" w14:paraId="55F9D2C3" w14:textId="77777777" w:rsidTr="00A60C83">
        <w:tc>
          <w:tcPr>
            <w:tcW w:w="723" w:type="dxa"/>
          </w:tcPr>
          <w:p w14:paraId="7B8FB402" w14:textId="77777777" w:rsidR="00D35A78" w:rsidRPr="002836EB" w:rsidRDefault="00D35A78" w:rsidP="00D35A78">
            <w:pPr>
              <w:pStyle w:val="02Tabletext"/>
            </w:pPr>
            <w:r w:rsidRPr="002836EB">
              <w:t>13939</w:t>
            </w:r>
          </w:p>
        </w:tc>
        <w:tc>
          <w:tcPr>
            <w:tcW w:w="4118" w:type="dxa"/>
          </w:tcPr>
          <w:p w14:paraId="52F9A2C4" w14:textId="51033332" w:rsidR="00D35A78" w:rsidRPr="002836EB" w:rsidRDefault="00D35A78" w:rsidP="00D35A78">
            <w:pPr>
              <w:pStyle w:val="02Tabletext"/>
            </w:pPr>
            <w:r w:rsidRPr="002836EB">
              <w:t>Implanted pump or reservoir, loading of, with a cytotoxic agent or agents, not being a service associated with a service to which item 13915, 13918, 13921, 13924, 13927, 13930, 13933, 13936 or 13945 applies.</w:t>
            </w:r>
          </w:p>
        </w:tc>
        <w:tc>
          <w:tcPr>
            <w:tcW w:w="930" w:type="dxa"/>
          </w:tcPr>
          <w:p w14:paraId="4DE624BA" w14:textId="1E2AB8EE" w:rsidR="00D35A78" w:rsidRPr="002836EB" w:rsidRDefault="00D35A78" w:rsidP="00D35A78">
            <w:pPr>
              <w:pStyle w:val="02Tabletext"/>
              <w:jc w:val="center"/>
            </w:pPr>
            <w:r w:rsidRPr="002836EB">
              <w:t xml:space="preserve">$97.95 </w:t>
            </w:r>
          </w:p>
        </w:tc>
        <w:tc>
          <w:tcPr>
            <w:tcW w:w="1010" w:type="dxa"/>
          </w:tcPr>
          <w:p w14:paraId="111BC026" w14:textId="4110FB6D" w:rsidR="00D35A78" w:rsidRPr="002836EB" w:rsidRDefault="00D35A78" w:rsidP="00D35A78">
            <w:pPr>
              <w:pStyle w:val="02Tabletext"/>
              <w:jc w:val="center"/>
            </w:pPr>
            <w:r w:rsidRPr="00A34861">
              <w:t>347</w:t>
            </w:r>
          </w:p>
        </w:tc>
        <w:tc>
          <w:tcPr>
            <w:tcW w:w="1095" w:type="dxa"/>
          </w:tcPr>
          <w:p w14:paraId="70A73DB4" w14:textId="2B1FA559" w:rsidR="00D35A78" w:rsidRPr="002836EB" w:rsidRDefault="00D35A78" w:rsidP="00D35A78">
            <w:pPr>
              <w:pStyle w:val="02Tabletext"/>
              <w:jc w:val="center"/>
            </w:pPr>
            <w:r w:rsidRPr="00A34861">
              <w:t>$28,102</w:t>
            </w:r>
          </w:p>
        </w:tc>
        <w:tc>
          <w:tcPr>
            <w:tcW w:w="1206" w:type="dxa"/>
          </w:tcPr>
          <w:p w14:paraId="5AF722AB" w14:textId="28B6F9CC" w:rsidR="00D35A78" w:rsidRPr="002836EB" w:rsidRDefault="00D35A78" w:rsidP="00D35A78">
            <w:pPr>
              <w:pStyle w:val="02Tabletext"/>
              <w:jc w:val="center"/>
            </w:pPr>
            <w:r w:rsidRPr="00A34861">
              <w:t>-7.9%</w:t>
            </w:r>
          </w:p>
        </w:tc>
      </w:tr>
      <w:tr w:rsidR="00D35A78" w:rsidRPr="002836EB" w14:paraId="3680630E" w14:textId="77777777" w:rsidTr="00A60C83">
        <w:tc>
          <w:tcPr>
            <w:tcW w:w="723" w:type="dxa"/>
          </w:tcPr>
          <w:p w14:paraId="6C17581B" w14:textId="77777777" w:rsidR="00D35A78" w:rsidRPr="002836EB" w:rsidRDefault="00D35A78" w:rsidP="00D35A78">
            <w:pPr>
              <w:pStyle w:val="02Tabletext"/>
            </w:pPr>
            <w:r w:rsidRPr="002836EB">
              <w:t>13942</w:t>
            </w:r>
          </w:p>
        </w:tc>
        <w:tc>
          <w:tcPr>
            <w:tcW w:w="4118" w:type="dxa"/>
          </w:tcPr>
          <w:p w14:paraId="569BF8C5" w14:textId="02CFECCB" w:rsidR="00D35A78" w:rsidRPr="002836EB" w:rsidRDefault="00D35A78" w:rsidP="00D35A78">
            <w:pPr>
              <w:pStyle w:val="02Tabletext"/>
            </w:pPr>
            <w:r w:rsidRPr="002836EB">
              <w:t>Ambulatory drug delivery device, loading of, with a cytotoxic agent or agents for the infusion of the agent or agents via the intravenous, intra-arterial or spinal routes, not being a service associated with a service to which item 13915, 13918, 13921, 13924, 13927, 13930, 13933, 13936 or 13945 applies.</w:t>
            </w:r>
          </w:p>
        </w:tc>
        <w:tc>
          <w:tcPr>
            <w:tcW w:w="930" w:type="dxa"/>
          </w:tcPr>
          <w:p w14:paraId="38A38C3C" w14:textId="41F2C7A5" w:rsidR="00D35A78" w:rsidRPr="002836EB" w:rsidRDefault="00D35A78" w:rsidP="00D35A78">
            <w:pPr>
              <w:pStyle w:val="02Tabletext"/>
              <w:jc w:val="center"/>
            </w:pPr>
            <w:r w:rsidRPr="002836EB">
              <w:t xml:space="preserve"> $65.25 </w:t>
            </w:r>
          </w:p>
        </w:tc>
        <w:tc>
          <w:tcPr>
            <w:tcW w:w="1010" w:type="dxa"/>
          </w:tcPr>
          <w:p w14:paraId="7547BE7F" w14:textId="3FB6A331" w:rsidR="00D35A78" w:rsidRPr="002836EB" w:rsidRDefault="00D35A78" w:rsidP="00D35A78">
            <w:pPr>
              <w:pStyle w:val="02Tabletext"/>
              <w:jc w:val="center"/>
            </w:pPr>
            <w:r w:rsidRPr="00A34861">
              <w:t>8,201</w:t>
            </w:r>
          </w:p>
        </w:tc>
        <w:tc>
          <w:tcPr>
            <w:tcW w:w="1095" w:type="dxa"/>
          </w:tcPr>
          <w:p w14:paraId="5C641322" w14:textId="6A83ECFD" w:rsidR="00D35A78" w:rsidRPr="002836EB" w:rsidRDefault="00D35A78" w:rsidP="00D35A78">
            <w:pPr>
              <w:pStyle w:val="02Tabletext"/>
              <w:jc w:val="center"/>
            </w:pPr>
            <w:r w:rsidRPr="00A34861">
              <w:t>$443,601</w:t>
            </w:r>
          </w:p>
        </w:tc>
        <w:tc>
          <w:tcPr>
            <w:tcW w:w="1206" w:type="dxa"/>
          </w:tcPr>
          <w:p w14:paraId="063EE914" w14:textId="24CF0736" w:rsidR="00D35A78" w:rsidRPr="002836EB" w:rsidRDefault="00D35A78" w:rsidP="00D35A78">
            <w:pPr>
              <w:pStyle w:val="02Tabletext"/>
              <w:jc w:val="center"/>
            </w:pPr>
            <w:r w:rsidRPr="00A34861">
              <w:t>1.8%</w:t>
            </w:r>
          </w:p>
        </w:tc>
      </w:tr>
      <w:tr w:rsidR="00D35A78" w:rsidRPr="002836EB" w14:paraId="00CA0162" w14:textId="77777777" w:rsidTr="00A60C83">
        <w:tc>
          <w:tcPr>
            <w:tcW w:w="723" w:type="dxa"/>
          </w:tcPr>
          <w:p w14:paraId="7664F22A" w14:textId="77777777" w:rsidR="00D35A78" w:rsidRPr="002836EB" w:rsidRDefault="00D35A78" w:rsidP="00D35A78">
            <w:pPr>
              <w:pStyle w:val="02Tabletext"/>
            </w:pPr>
            <w:r w:rsidRPr="002836EB">
              <w:t>13948</w:t>
            </w:r>
          </w:p>
        </w:tc>
        <w:tc>
          <w:tcPr>
            <w:tcW w:w="4118" w:type="dxa"/>
          </w:tcPr>
          <w:p w14:paraId="19AB2C8C" w14:textId="3B313827" w:rsidR="00D35A78" w:rsidRPr="002836EB" w:rsidRDefault="00D35A78" w:rsidP="00D35A78">
            <w:pPr>
              <w:pStyle w:val="02Tabletext"/>
            </w:pPr>
            <w:r w:rsidRPr="002836EB">
              <w:t>Cytotoxic agent, instillation of, into a body cavity.</w:t>
            </w:r>
          </w:p>
        </w:tc>
        <w:tc>
          <w:tcPr>
            <w:tcW w:w="930" w:type="dxa"/>
          </w:tcPr>
          <w:p w14:paraId="56D8B0EE" w14:textId="218241C5" w:rsidR="00D35A78" w:rsidRPr="002836EB" w:rsidRDefault="00D35A78" w:rsidP="00D35A78">
            <w:pPr>
              <w:pStyle w:val="02Tabletext"/>
              <w:jc w:val="center"/>
            </w:pPr>
            <w:r w:rsidRPr="002836EB">
              <w:t>$65.25</w:t>
            </w:r>
          </w:p>
        </w:tc>
        <w:tc>
          <w:tcPr>
            <w:tcW w:w="1010" w:type="dxa"/>
          </w:tcPr>
          <w:p w14:paraId="52086B88" w14:textId="5EDA97F5" w:rsidR="00D35A78" w:rsidRPr="002836EB" w:rsidRDefault="00D35A78" w:rsidP="00D35A78">
            <w:pPr>
              <w:pStyle w:val="02Tabletext"/>
              <w:jc w:val="center"/>
            </w:pPr>
            <w:r w:rsidRPr="0008292A">
              <w:t>8,109</w:t>
            </w:r>
          </w:p>
        </w:tc>
        <w:tc>
          <w:tcPr>
            <w:tcW w:w="1095" w:type="dxa"/>
          </w:tcPr>
          <w:p w14:paraId="28122EC7" w14:textId="5DFA347F" w:rsidR="00D35A78" w:rsidRPr="002836EB" w:rsidRDefault="00D35A78" w:rsidP="00D35A78">
            <w:pPr>
              <w:pStyle w:val="02Tabletext"/>
              <w:jc w:val="center"/>
            </w:pPr>
            <w:r w:rsidRPr="0008292A">
              <w:t>$452,906</w:t>
            </w:r>
          </w:p>
        </w:tc>
        <w:tc>
          <w:tcPr>
            <w:tcW w:w="1206" w:type="dxa"/>
          </w:tcPr>
          <w:p w14:paraId="5C99511F" w14:textId="03F4B799" w:rsidR="00D35A78" w:rsidRPr="002836EB" w:rsidRDefault="00D35A78" w:rsidP="00D35A78">
            <w:pPr>
              <w:pStyle w:val="02Tabletext"/>
              <w:jc w:val="center"/>
            </w:pPr>
            <w:r w:rsidRPr="0008292A">
              <w:t>5.0%</w:t>
            </w:r>
          </w:p>
        </w:tc>
      </w:tr>
    </w:tbl>
    <w:p w14:paraId="5A2E338F" w14:textId="77777777" w:rsidR="00A60C83" w:rsidRDefault="00A60C83" w:rsidP="00DE1A53">
      <w:pPr>
        <w:spacing w:before="0"/>
        <w:rPr>
          <w:color w:val="000000"/>
          <w:sz w:val="18"/>
          <w:szCs w:val="18"/>
        </w:rPr>
      </w:pPr>
      <w:bookmarkStart w:id="104" w:name="_Ref467446401"/>
      <w:r>
        <w:rPr>
          <w:color w:val="000000"/>
          <w:sz w:val="18"/>
          <w:szCs w:val="18"/>
        </w:rPr>
        <w:t>Public data (Department of Human Services).</w:t>
      </w:r>
    </w:p>
    <w:p w14:paraId="16D06311" w14:textId="4224F4B1" w:rsidR="00D818DC" w:rsidRPr="00D818DC" w:rsidRDefault="00D818DC" w:rsidP="00D818DC">
      <w:pPr>
        <w:pStyle w:val="TableUnderLast"/>
      </w:pPr>
    </w:p>
    <w:p w14:paraId="7CCD8694" w14:textId="61F31B68" w:rsidR="00392FA7" w:rsidRDefault="00E45B76" w:rsidP="00392FA7">
      <w:pPr>
        <w:pStyle w:val="Boldhdg"/>
      </w:pPr>
      <w:bookmarkStart w:id="105" w:name="_Ref474803028"/>
      <w:r>
        <w:t xml:space="preserve">Recommendation </w:t>
      </w:r>
      <w:r w:rsidR="00537CC8">
        <w:fldChar w:fldCharType="begin"/>
      </w:r>
      <w:r w:rsidR="00537CC8">
        <w:instrText xml:space="preserve"> SEQ Recommendation \* ARABIC </w:instrText>
      </w:r>
      <w:r w:rsidR="00537CC8">
        <w:fldChar w:fldCharType="separate"/>
      </w:r>
      <w:r w:rsidR="003274EF">
        <w:rPr>
          <w:noProof/>
        </w:rPr>
        <w:t>1</w:t>
      </w:r>
      <w:r w:rsidR="00537CC8">
        <w:fldChar w:fldCharType="end"/>
      </w:r>
      <w:bookmarkEnd w:id="104"/>
      <w:bookmarkEnd w:id="105"/>
    </w:p>
    <w:p w14:paraId="6B98D315" w14:textId="47B51CF5" w:rsidR="008D76A6" w:rsidRPr="002836EB" w:rsidRDefault="00453BB4" w:rsidP="008D76A6">
      <w:pPr>
        <w:pStyle w:val="01squarebullet"/>
        <w:rPr>
          <w:lang w:val="en-GB"/>
        </w:rPr>
      </w:pPr>
      <w:r w:rsidRPr="002836EB">
        <w:rPr>
          <w:lang w:val="en-GB"/>
        </w:rPr>
        <w:t>Replace chemotherapy administration items (13915</w:t>
      </w:r>
      <w:r w:rsidR="00B6091C" w:rsidRPr="002836EB">
        <w:rPr>
          <w:lang w:val="en-GB"/>
        </w:rPr>
        <w:t>–</w:t>
      </w:r>
      <w:r w:rsidRPr="002836EB">
        <w:rPr>
          <w:lang w:val="en-GB"/>
        </w:rPr>
        <w:t>13942 and 13</w:t>
      </w:r>
      <w:r w:rsidR="002D4147">
        <w:rPr>
          <w:lang w:val="en-GB"/>
        </w:rPr>
        <w:t>9</w:t>
      </w:r>
      <w:r w:rsidRPr="002836EB">
        <w:rPr>
          <w:lang w:val="en-GB"/>
        </w:rPr>
        <w:t>48) with a set of three items for the medical management of anticancer therapy that</w:t>
      </w:r>
      <w:r w:rsidR="007745C4" w:rsidRPr="002836EB">
        <w:rPr>
          <w:lang w:val="en-GB"/>
        </w:rPr>
        <w:t>:</w:t>
      </w:r>
    </w:p>
    <w:p w14:paraId="21B782D5" w14:textId="69796D54" w:rsidR="00453BB4" w:rsidRPr="00967D41" w:rsidRDefault="00453BB4" w:rsidP="004606FB">
      <w:pPr>
        <w:pStyle w:val="02dash"/>
        <w:rPr>
          <w:lang w:val="en-GB"/>
        </w:rPr>
      </w:pPr>
      <w:r w:rsidRPr="00967D41">
        <w:rPr>
          <w:lang w:val="en-GB"/>
        </w:rPr>
        <w:t>Cover</w:t>
      </w:r>
      <w:r w:rsidR="00AD13D0" w:rsidRPr="00967D41">
        <w:rPr>
          <w:lang w:val="en-GB"/>
        </w:rPr>
        <w:t>s</w:t>
      </w:r>
      <w:r w:rsidR="00893164">
        <w:rPr>
          <w:lang w:val="en-GB"/>
        </w:rPr>
        <w:t xml:space="preserve"> professional involvement in</w:t>
      </w:r>
      <w:r w:rsidRPr="00967D41">
        <w:rPr>
          <w:lang w:val="en-GB"/>
        </w:rPr>
        <w:t xml:space="preserve"> elements of care beyond that which</w:t>
      </w:r>
      <w:r w:rsidR="00E33DC6" w:rsidRPr="00967D41">
        <w:rPr>
          <w:lang w:val="en-GB"/>
        </w:rPr>
        <w:t xml:space="preserve"> occurs in physical </w:t>
      </w:r>
      <w:r w:rsidR="00893164">
        <w:rPr>
          <w:lang w:val="en-GB"/>
        </w:rPr>
        <w:t>attendances.</w:t>
      </w:r>
    </w:p>
    <w:p w14:paraId="1822F8ED" w14:textId="66E83DBD" w:rsidR="00453BB4" w:rsidRPr="002836EB" w:rsidRDefault="00453BB4" w:rsidP="00A7186C">
      <w:pPr>
        <w:pStyle w:val="01squarebullet"/>
        <w:numPr>
          <w:ilvl w:val="1"/>
          <w:numId w:val="16"/>
        </w:numPr>
        <w:rPr>
          <w:lang w:val="en-GB"/>
        </w:rPr>
      </w:pPr>
      <w:r w:rsidRPr="002836EB">
        <w:rPr>
          <w:lang w:val="en-GB"/>
        </w:rPr>
        <w:t>Is applicable regardless of the chosen route of administration (i.e.</w:t>
      </w:r>
      <w:r w:rsidR="002F3E29" w:rsidRPr="002836EB">
        <w:rPr>
          <w:lang w:val="en-GB"/>
        </w:rPr>
        <w:t>,</w:t>
      </w:r>
      <w:r w:rsidRPr="002836EB">
        <w:rPr>
          <w:lang w:val="en-GB"/>
        </w:rPr>
        <w:t xml:space="preserve"> including both parenteral and oral therapies).</w:t>
      </w:r>
    </w:p>
    <w:p w14:paraId="10B463E2" w14:textId="77777777" w:rsidR="00453BB4" w:rsidRDefault="00453BB4" w:rsidP="00A7186C">
      <w:pPr>
        <w:pStyle w:val="01squarebullet"/>
        <w:numPr>
          <w:ilvl w:val="1"/>
          <w:numId w:val="16"/>
        </w:numPr>
        <w:rPr>
          <w:lang w:val="en-GB"/>
        </w:rPr>
      </w:pPr>
      <w:r w:rsidRPr="002836EB">
        <w:rPr>
          <w:lang w:val="en-GB"/>
        </w:rPr>
        <w:t>Excludes hormonal therapy and bisphosphonate therapy.</w:t>
      </w:r>
    </w:p>
    <w:p w14:paraId="38954124" w14:textId="7946BC28" w:rsidR="0064344E" w:rsidRPr="002836EB" w:rsidRDefault="005F1F23" w:rsidP="0064344E">
      <w:pPr>
        <w:pStyle w:val="01squarebullet"/>
        <w:numPr>
          <w:ilvl w:val="0"/>
          <w:numId w:val="0"/>
        </w:numPr>
        <w:ind w:left="360"/>
        <w:rPr>
          <w:lang w:val="en-GB"/>
        </w:rPr>
      </w:pPr>
      <w:r w:rsidRPr="002836EB">
        <w:rPr>
          <w:lang w:val="en-GB"/>
        </w:rPr>
        <w:t xml:space="preserve">The proposed item descriptors </w:t>
      </w:r>
      <w:r w:rsidR="00777C83" w:rsidRPr="002836EB">
        <w:rPr>
          <w:lang w:val="en-GB"/>
        </w:rPr>
        <w:t xml:space="preserve">and explanatory notes </w:t>
      </w:r>
      <w:r w:rsidR="0064344E">
        <w:rPr>
          <w:lang w:val="en-GB"/>
        </w:rPr>
        <w:t>are below</w:t>
      </w:r>
      <w:r w:rsidR="00E81D80">
        <w:rPr>
          <w:lang w:val="en-GB"/>
        </w:rPr>
        <w:t>. T</w:t>
      </w:r>
      <w:r w:rsidR="0064344E">
        <w:rPr>
          <w:lang w:val="en-GB"/>
        </w:rPr>
        <w:t>he three</w:t>
      </w:r>
      <w:r w:rsidR="00E81D80">
        <w:rPr>
          <w:lang w:val="en-GB"/>
        </w:rPr>
        <w:t xml:space="preserve"> proposed</w:t>
      </w:r>
      <w:r w:rsidR="0064344E">
        <w:rPr>
          <w:lang w:val="en-GB"/>
        </w:rPr>
        <w:t xml:space="preserve"> items differ by</w:t>
      </w:r>
      <w:r w:rsidR="0064344E" w:rsidRPr="00D84C3B">
        <w:rPr>
          <w:lang w:val="en-GB"/>
        </w:rPr>
        <w:t xml:space="preserve"> the duration of medical management covered</w:t>
      </w:r>
      <w:r w:rsidR="0064344E">
        <w:rPr>
          <w:lang w:val="en-GB"/>
        </w:rPr>
        <w:t>, to facilitate the administration of the billing process</w:t>
      </w:r>
      <w:r w:rsidR="0064344E" w:rsidRPr="00D84C3B">
        <w:rPr>
          <w:lang w:val="en-GB"/>
        </w:rPr>
        <w:t xml:space="preserve">: two, three or four weeks (where the applicable </w:t>
      </w:r>
      <w:r w:rsidR="0064344E">
        <w:rPr>
          <w:lang w:val="en-GB"/>
        </w:rPr>
        <w:t>MBS b</w:t>
      </w:r>
      <w:r w:rsidR="0064344E" w:rsidRPr="00D84C3B">
        <w:rPr>
          <w:lang w:val="en-GB"/>
        </w:rPr>
        <w:t>enefit per week is the same</w:t>
      </w:r>
      <w:r w:rsidR="0064344E">
        <w:rPr>
          <w:lang w:val="en-GB"/>
        </w:rPr>
        <w:t xml:space="preserve"> for all items).</w:t>
      </w:r>
    </w:p>
    <w:p w14:paraId="034596C5" w14:textId="77777777" w:rsidR="00D85401" w:rsidRPr="002836EB" w:rsidRDefault="005F1F23" w:rsidP="00D85401">
      <w:pPr>
        <w:pStyle w:val="Item"/>
      </w:pPr>
      <w:r w:rsidRPr="002836EB">
        <w:t>Item 139XX</w:t>
      </w:r>
      <w:r w:rsidR="00882FB3" w:rsidRPr="002836EB">
        <w:t>:</w:t>
      </w:r>
    </w:p>
    <w:p w14:paraId="75ED4326" w14:textId="19B4AD3E" w:rsidR="005F1F23" w:rsidRPr="002836EB" w:rsidRDefault="005F1F23" w:rsidP="00D85401">
      <w:r w:rsidRPr="002836EB">
        <w:t>Management of anticancer therapy, excluding hormone therapy and bisphosphonate therapy, claimable once in each 2 week period of therapy</w:t>
      </w:r>
      <w:r w:rsidR="00205D20" w:rsidRPr="002836EB">
        <w:t>.</w:t>
      </w:r>
    </w:p>
    <w:p w14:paraId="64087D9C" w14:textId="77777777" w:rsidR="00D85401" w:rsidRPr="002836EB" w:rsidRDefault="005F1F23" w:rsidP="00D85401">
      <w:pPr>
        <w:pStyle w:val="Item"/>
      </w:pPr>
      <w:r w:rsidRPr="002836EB">
        <w:t>Item 139YY</w:t>
      </w:r>
      <w:r w:rsidR="004718E3" w:rsidRPr="002836EB">
        <w:t xml:space="preserve">: </w:t>
      </w:r>
    </w:p>
    <w:p w14:paraId="7321A4C8" w14:textId="34C7A682" w:rsidR="005F1F23" w:rsidRPr="002836EB" w:rsidRDefault="005F1F23" w:rsidP="00D85401">
      <w:r w:rsidRPr="002836EB">
        <w:t>Management of anticancer therapy, excluding hormone therapy and bisphosphonate therapy, claimable once in each 3 week period of therapy</w:t>
      </w:r>
      <w:r w:rsidR="00205D20" w:rsidRPr="002836EB">
        <w:t>.</w:t>
      </w:r>
    </w:p>
    <w:p w14:paraId="7309315A" w14:textId="77777777" w:rsidR="00D85401" w:rsidRPr="002836EB" w:rsidRDefault="005F1F23" w:rsidP="00D85401">
      <w:pPr>
        <w:pStyle w:val="Item"/>
      </w:pPr>
      <w:r w:rsidRPr="002836EB">
        <w:t>Item 139ZZ</w:t>
      </w:r>
      <w:r w:rsidR="00F10E80" w:rsidRPr="002836EB">
        <w:t xml:space="preserve">: </w:t>
      </w:r>
    </w:p>
    <w:p w14:paraId="2156A7A4" w14:textId="42B74D45" w:rsidR="009B5976" w:rsidRPr="002836EB" w:rsidRDefault="005F1F23" w:rsidP="00D85401">
      <w:r w:rsidRPr="002836EB">
        <w:t>Management of anticancer therapy, excluding hormone therapy and bisphosphonate therapy, claimable once in each 4 week period of therapy</w:t>
      </w:r>
      <w:r w:rsidR="00205D20" w:rsidRPr="002836EB">
        <w:t>.</w:t>
      </w:r>
    </w:p>
    <w:p w14:paraId="182F3BD0" w14:textId="693A7373" w:rsidR="009B5976" w:rsidRPr="002836EB" w:rsidRDefault="009B5976" w:rsidP="00D85401">
      <w:r w:rsidRPr="002836EB">
        <w:t>[</w:t>
      </w:r>
      <w:r w:rsidR="00C41B6D" w:rsidRPr="002836EB">
        <w:t>The</w:t>
      </w:r>
      <w:r w:rsidRPr="002836EB">
        <w:t xml:space="preserve"> </w:t>
      </w:r>
      <w:r w:rsidR="003F2D11" w:rsidRPr="002836EB">
        <w:t>s</w:t>
      </w:r>
      <w:r w:rsidRPr="002836EB">
        <w:t xml:space="preserve">chedule </w:t>
      </w:r>
      <w:r w:rsidR="003F2D11" w:rsidRPr="002836EB">
        <w:t>f</w:t>
      </w:r>
      <w:r w:rsidRPr="002836EB">
        <w:t>ee for the two-week item 139XX is two thirds of the three</w:t>
      </w:r>
      <w:r w:rsidR="00480C32" w:rsidRPr="002836EB">
        <w:t>-</w:t>
      </w:r>
      <w:r w:rsidRPr="002836EB">
        <w:t xml:space="preserve">week item 139YY, and the </w:t>
      </w:r>
      <w:r w:rsidR="00F9645C" w:rsidRPr="002836EB">
        <w:t>s</w:t>
      </w:r>
      <w:r w:rsidRPr="002836EB">
        <w:t xml:space="preserve">chedule </w:t>
      </w:r>
      <w:r w:rsidR="00F9645C" w:rsidRPr="002836EB">
        <w:t>f</w:t>
      </w:r>
      <w:r w:rsidRPr="002836EB">
        <w:t>ee for the three</w:t>
      </w:r>
      <w:r w:rsidR="001C7801" w:rsidRPr="002836EB">
        <w:t>-</w:t>
      </w:r>
      <w:r w:rsidRPr="002836EB">
        <w:t>week item 139YY is three fourths of the four</w:t>
      </w:r>
      <w:r w:rsidR="00843C62" w:rsidRPr="002836EB">
        <w:t>-</w:t>
      </w:r>
      <w:r w:rsidRPr="002836EB">
        <w:t>week item 139ZZ</w:t>
      </w:r>
      <w:r w:rsidR="00843C62" w:rsidRPr="002836EB">
        <w:t>.</w:t>
      </w:r>
      <w:r w:rsidRPr="002836EB">
        <w:t>]</w:t>
      </w:r>
    </w:p>
    <w:p w14:paraId="65296CA0" w14:textId="026BE0AB" w:rsidR="00777C83" w:rsidRPr="002836EB" w:rsidRDefault="00777C83" w:rsidP="00D85401">
      <w:pPr>
        <w:pStyle w:val="ExplanatoryNotes"/>
      </w:pPr>
      <w:r w:rsidRPr="002836EB">
        <w:t>Explanatory notes for items 139XX</w:t>
      </w:r>
      <w:r w:rsidR="006979C0" w:rsidRPr="002836EB">
        <w:t>–</w:t>
      </w:r>
      <w:r w:rsidRPr="002836EB">
        <w:t>ZZ:</w:t>
      </w:r>
    </w:p>
    <w:p w14:paraId="01391510" w14:textId="5AA237F5" w:rsidR="00777C83" w:rsidRPr="002836EB" w:rsidRDefault="00777C83" w:rsidP="00D85401">
      <w:pPr>
        <w:pStyle w:val="ExplanatoryNotes"/>
        <w:rPr>
          <w:color w:val="000000"/>
        </w:rPr>
      </w:pPr>
      <w:r w:rsidRPr="002836EB">
        <w:rPr>
          <w:color w:val="000000"/>
        </w:rPr>
        <w:lastRenderedPageBreak/>
        <w:t>Items 139XX</w:t>
      </w:r>
      <w:r w:rsidR="00155320" w:rsidRPr="002836EB">
        <w:rPr>
          <w:color w:val="000000"/>
        </w:rPr>
        <w:t>–</w:t>
      </w:r>
      <w:r w:rsidRPr="002836EB">
        <w:rPr>
          <w:color w:val="000000"/>
        </w:rPr>
        <w:t xml:space="preserve">ZZ cover elements of managing anticancer therapy </w:t>
      </w:r>
      <w:r w:rsidR="0059476A" w:rsidRPr="002836EB">
        <w:rPr>
          <w:color w:val="000000"/>
        </w:rPr>
        <w:t xml:space="preserve">that </w:t>
      </w:r>
      <w:r w:rsidRPr="002836EB">
        <w:rPr>
          <w:color w:val="000000"/>
        </w:rPr>
        <w:t>may occur outside physical attendances, including</w:t>
      </w:r>
    </w:p>
    <w:p w14:paraId="0C045673" w14:textId="77777777" w:rsidR="00400017" w:rsidRPr="002836EB" w:rsidRDefault="00400017" w:rsidP="00F95A14">
      <w:pPr>
        <w:pStyle w:val="05number1"/>
        <w:numPr>
          <w:ilvl w:val="0"/>
          <w:numId w:val="25"/>
        </w:numPr>
        <w:rPr>
          <w:i/>
          <w:lang w:val="en-GB"/>
        </w:rPr>
      </w:pPr>
      <w:r w:rsidRPr="002836EB">
        <w:rPr>
          <w:i/>
          <w:lang w:val="en-GB"/>
        </w:rPr>
        <w:t>Determination of the doses of each of the agents in the treatment regimen; and</w:t>
      </w:r>
    </w:p>
    <w:p w14:paraId="1D75252A" w14:textId="77777777" w:rsidR="00400017" w:rsidRPr="002836EB" w:rsidRDefault="00400017" w:rsidP="00F95A14">
      <w:pPr>
        <w:pStyle w:val="05number1"/>
        <w:numPr>
          <w:ilvl w:val="0"/>
          <w:numId w:val="25"/>
        </w:numPr>
        <w:rPr>
          <w:i/>
          <w:lang w:val="en-GB"/>
        </w:rPr>
      </w:pPr>
      <w:r w:rsidRPr="002836EB">
        <w:rPr>
          <w:i/>
          <w:lang w:val="en-GB"/>
        </w:rPr>
        <w:t>Supervision of the administration of anticancer therapy; and</w:t>
      </w:r>
    </w:p>
    <w:p w14:paraId="321F7641" w14:textId="77777777" w:rsidR="00400017" w:rsidRPr="002836EB" w:rsidRDefault="00400017" w:rsidP="00F95A14">
      <w:pPr>
        <w:pStyle w:val="05number1"/>
        <w:numPr>
          <w:ilvl w:val="0"/>
          <w:numId w:val="25"/>
        </w:numPr>
        <w:rPr>
          <w:i/>
          <w:lang w:val="en-GB"/>
        </w:rPr>
      </w:pPr>
      <w:r w:rsidRPr="002836EB">
        <w:rPr>
          <w:i/>
          <w:lang w:val="en-GB"/>
        </w:rPr>
        <w:t>Prevention of, and monitoring for, and management of toxicity; and</w:t>
      </w:r>
    </w:p>
    <w:p w14:paraId="7C0865B7" w14:textId="77777777" w:rsidR="00400017" w:rsidRPr="002836EB" w:rsidRDefault="00400017" w:rsidP="00F95A14">
      <w:pPr>
        <w:pStyle w:val="05number1"/>
        <w:numPr>
          <w:ilvl w:val="0"/>
          <w:numId w:val="25"/>
        </w:numPr>
        <w:rPr>
          <w:i/>
          <w:lang w:val="en-GB"/>
        </w:rPr>
      </w:pPr>
      <w:r w:rsidRPr="002836EB">
        <w:rPr>
          <w:i/>
          <w:lang w:val="en-GB"/>
        </w:rPr>
        <w:t>Assessment of the response to therapy; and</w:t>
      </w:r>
    </w:p>
    <w:p w14:paraId="2BD10046" w14:textId="470DEC4A" w:rsidR="00400017" w:rsidRPr="002836EB" w:rsidRDefault="00400017" w:rsidP="00F95A14">
      <w:pPr>
        <w:pStyle w:val="05number1"/>
        <w:numPr>
          <w:ilvl w:val="0"/>
          <w:numId w:val="25"/>
        </w:numPr>
        <w:rPr>
          <w:i/>
          <w:lang w:val="en-GB"/>
        </w:rPr>
      </w:pPr>
      <w:r w:rsidRPr="002836EB">
        <w:rPr>
          <w:i/>
          <w:lang w:val="en-GB"/>
        </w:rPr>
        <w:t>Liaison and discussion with patients and other providers (where appropriate) on the above.</w:t>
      </w:r>
    </w:p>
    <w:p w14:paraId="6CB7A512" w14:textId="3DD85C15" w:rsidR="00777C83" w:rsidRPr="002836EB" w:rsidRDefault="00777C83" w:rsidP="00D85401">
      <w:pPr>
        <w:pStyle w:val="ExplanatoryNotes"/>
        <w:rPr>
          <w:color w:val="000000"/>
        </w:rPr>
      </w:pPr>
      <w:r w:rsidRPr="002836EB">
        <w:rPr>
          <w:color w:val="000000"/>
        </w:rPr>
        <w:t xml:space="preserve">Only one of items 139XX, 139YY or 139ZZ may be claimed once for any given period of therapy (regardless of the number of therapeutic agents used during the given period). Providers should choose the MBS item </w:t>
      </w:r>
      <w:r w:rsidR="00205D20" w:rsidRPr="002836EB">
        <w:rPr>
          <w:color w:val="000000"/>
        </w:rPr>
        <w:t xml:space="preserve">for </w:t>
      </w:r>
      <w:r w:rsidRPr="002836EB">
        <w:rPr>
          <w:color w:val="000000"/>
        </w:rPr>
        <w:t xml:space="preserve">a period that most closely aligns with the anticipated timing of attendances at which the </w:t>
      </w:r>
      <w:r w:rsidR="007C2007" w:rsidRPr="002836EB">
        <w:rPr>
          <w:color w:val="000000"/>
        </w:rPr>
        <w:t>Medical Practitioner</w:t>
      </w:r>
      <w:r w:rsidRPr="002836EB">
        <w:rPr>
          <w:color w:val="000000"/>
        </w:rPr>
        <w:t xml:space="preserve"> and patient will review clinical progress and make a decision as to the cessation or continuatio</w:t>
      </w:r>
      <w:r w:rsidR="00860ECC" w:rsidRPr="002836EB">
        <w:rPr>
          <w:color w:val="000000"/>
        </w:rPr>
        <w:t>n of anticancer therapy (i.e.</w:t>
      </w:r>
      <w:r w:rsidR="003A02CF" w:rsidRPr="002836EB">
        <w:rPr>
          <w:color w:val="000000"/>
        </w:rPr>
        <w:t>,</w:t>
      </w:r>
      <w:r w:rsidR="00860ECC" w:rsidRPr="002836EB">
        <w:rPr>
          <w:color w:val="000000"/>
        </w:rPr>
        <w:t xml:space="preserve"> a full cyc</w:t>
      </w:r>
      <w:r w:rsidR="004B2C60" w:rsidRPr="002836EB">
        <w:rPr>
          <w:color w:val="000000"/>
        </w:rPr>
        <w:t>le; where the period of a full cycle is greater than 4 weeks, a combination of items 139XX</w:t>
      </w:r>
      <w:r w:rsidR="00D9286B" w:rsidRPr="002836EB">
        <w:rPr>
          <w:color w:val="000000"/>
        </w:rPr>
        <w:t>–</w:t>
      </w:r>
      <w:r w:rsidR="004B2C60" w:rsidRPr="002836EB">
        <w:rPr>
          <w:color w:val="000000"/>
        </w:rPr>
        <w:t>ZZ may be used in sequence to cover the full period of therapy).</w:t>
      </w:r>
    </w:p>
    <w:p w14:paraId="5C44932E" w14:textId="3B0EC87F" w:rsidR="00777C83" w:rsidRPr="002836EB" w:rsidRDefault="00777C83" w:rsidP="00D85401">
      <w:pPr>
        <w:pStyle w:val="ExplanatoryNotes"/>
      </w:pPr>
      <w:r w:rsidRPr="002836EB">
        <w:rPr>
          <w:color w:val="000000"/>
        </w:rPr>
        <w:t>Where a physical attendance has occurred, professional attendance items may be claimed in conjunction with items 139XX</w:t>
      </w:r>
      <w:r w:rsidR="006A2815" w:rsidRPr="002836EB">
        <w:rPr>
          <w:color w:val="000000"/>
        </w:rPr>
        <w:t>–</w:t>
      </w:r>
      <w:r w:rsidRPr="002836EB">
        <w:rPr>
          <w:color w:val="000000"/>
        </w:rPr>
        <w:t>ZZ.</w:t>
      </w:r>
    </w:p>
    <w:p w14:paraId="6AFC5FA5" w14:textId="325B35F6" w:rsidR="00522CC6" w:rsidRPr="002836EB" w:rsidRDefault="00522CC6" w:rsidP="00522CC6">
      <w:pPr>
        <w:pStyle w:val="Boldhdg"/>
        <w:rPr>
          <w:lang w:val="en-GB"/>
        </w:rPr>
      </w:pPr>
      <w:bookmarkStart w:id="106" w:name="_Ref463918846"/>
      <w:r w:rsidRPr="002836EB">
        <w:rPr>
          <w:lang w:val="en-GB"/>
        </w:rPr>
        <w:t>Rationale</w:t>
      </w:r>
    </w:p>
    <w:p w14:paraId="3DA80E39" w14:textId="46772933" w:rsidR="0067763B" w:rsidRDefault="0067763B" w:rsidP="0067763B">
      <w:r w:rsidRPr="0067763B">
        <w:t xml:space="preserve">This recommendation focuses on aligning MBS items to reflect evolution in </w:t>
      </w:r>
      <w:r w:rsidR="00C536F9">
        <w:t xml:space="preserve">the </w:t>
      </w:r>
      <w:r w:rsidRPr="0067763B">
        <w:t xml:space="preserve">modern clinical practice of medical oncology. It improves access to modern therapeutics, and </w:t>
      </w:r>
      <w:r w:rsidR="009A641E">
        <w:t xml:space="preserve">it </w:t>
      </w:r>
      <w:r w:rsidRPr="0067763B">
        <w:t>ensures that patients</w:t>
      </w:r>
      <w:r w:rsidR="009A5DB9">
        <w:t xml:space="preserve">’ </w:t>
      </w:r>
      <w:r w:rsidRPr="0067763B">
        <w:t>bill</w:t>
      </w:r>
      <w:r w:rsidR="00277920">
        <w:t>s</w:t>
      </w:r>
      <w:r w:rsidRPr="0067763B">
        <w:t xml:space="preserve"> reflect the care they receive</w:t>
      </w:r>
      <w:r w:rsidR="00944804">
        <w:t>d</w:t>
      </w:r>
      <w:r w:rsidRPr="0067763B">
        <w:t>. It is based on the following observations.</w:t>
      </w:r>
    </w:p>
    <w:p w14:paraId="198A2D80" w14:textId="6D92982E" w:rsidR="00777C83" w:rsidRPr="002836EB" w:rsidRDefault="00AF7D66" w:rsidP="00777C83">
      <w:pPr>
        <w:pStyle w:val="02dash"/>
        <w:numPr>
          <w:ilvl w:val="0"/>
          <w:numId w:val="6"/>
        </w:numPr>
        <w:rPr>
          <w:lang w:val="en-GB"/>
        </w:rPr>
      </w:pPr>
      <w:r>
        <w:rPr>
          <w:lang w:val="en-GB"/>
        </w:rPr>
        <w:t xml:space="preserve">The 12 MBS items relating to chemotherapy intend to provide MBS benefits for medical </w:t>
      </w:r>
      <w:r w:rsidR="003D2D2D">
        <w:rPr>
          <w:lang w:val="en-GB"/>
        </w:rPr>
        <w:t xml:space="preserve">professional services. </w:t>
      </w:r>
      <w:r w:rsidR="000C5664">
        <w:rPr>
          <w:lang w:val="en-GB"/>
        </w:rPr>
        <w:t>However, m</w:t>
      </w:r>
      <w:r w:rsidR="00777C83" w:rsidRPr="002836EB">
        <w:rPr>
          <w:lang w:val="en-GB"/>
        </w:rPr>
        <w:t xml:space="preserve">edical professional involvement has shifted from activities relating to the physical administration of chemotherapy to activities relating to </w:t>
      </w:r>
      <w:r w:rsidR="00BF441A" w:rsidRPr="002836EB">
        <w:rPr>
          <w:lang w:val="en-GB"/>
        </w:rPr>
        <w:t xml:space="preserve">the </w:t>
      </w:r>
      <w:r w:rsidR="00777C83" w:rsidRPr="002836EB">
        <w:rPr>
          <w:lang w:val="en-GB"/>
        </w:rPr>
        <w:t>supervision and management of anticancer therapy and its associated effects</w:t>
      </w:r>
      <w:r w:rsidR="00E26159" w:rsidRPr="002836EB">
        <w:rPr>
          <w:lang w:val="en-GB"/>
        </w:rPr>
        <w:t>,</w:t>
      </w:r>
      <w:r w:rsidR="00777C83" w:rsidRPr="002836EB">
        <w:rPr>
          <w:lang w:val="en-GB"/>
        </w:rPr>
        <w:t xml:space="preserve"> such as bone marrow suppression</w:t>
      </w:r>
      <w:r w:rsidR="003A337E" w:rsidRPr="002836EB">
        <w:rPr>
          <w:lang w:val="en-GB"/>
        </w:rPr>
        <w:t>.</w:t>
      </w:r>
      <w:r w:rsidR="00777C83" w:rsidRPr="002836EB">
        <w:rPr>
          <w:lang w:val="en-GB"/>
        </w:rPr>
        <w:t xml:space="preserve"> </w:t>
      </w:r>
      <w:r w:rsidR="003A337E" w:rsidRPr="002836EB">
        <w:rPr>
          <w:lang w:val="en-GB"/>
        </w:rPr>
        <w:t>T</w:t>
      </w:r>
      <w:r w:rsidR="00777C83" w:rsidRPr="002836EB">
        <w:rPr>
          <w:lang w:val="en-GB"/>
        </w:rPr>
        <w:t>his should be recognised in the item descriptors.</w:t>
      </w:r>
    </w:p>
    <w:p w14:paraId="6500490F" w14:textId="5E63FA05" w:rsidR="00777C83" w:rsidRPr="002836EB" w:rsidRDefault="00B53A33" w:rsidP="00777C83">
      <w:pPr>
        <w:pStyle w:val="02dash"/>
        <w:rPr>
          <w:lang w:val="en-GB"/>
        </w:rPr>
      </w:pPr>
      <w:r w:rsidRPr="002836EB">
        <w:rPr>
          <w:lang w:val="en-GB"/>
        </w:rPr>
        <w:t xml:space="preserve">Historically, </w:t>
      </w:r>
      <w:r w:rsidR="007C2007" w:rsidRPr="002836EB">
        <w:rPr>
          <w:lang w:val="en-GB"/>
        </w:rPr>
        <w:t>Medical Practitioner</w:t>
      </w:r>
      <w:r w:rsidRPr="002836EB">
        <w:rPr>
          <w:lang w:val="en-GB"/>
        </w:rPr>
        <w:t>s administered c</w:t>
      </w:r>
      <w:r w:rsidR="00777C83" w:rsidRPr="002836EB">
        <w:rPr>
          <w:lang w:val="en-GB"/>
        </w:rPr>
        <w:t xml:space="preserve">hemotherapy directly into a vein or artery. The existing items assume that the characteristics of the administration determine the levels of medical professional involvement required, with higher </w:t>
      </w:r>
      <w:r w:rsidR="003013F7" w:rsidRPr="002836EB">
        <w:rPr>
          <w:lang w:val="en-GB"/>
        </w:rPr>
        <w:t>s</w:t>
      </w:r>
      <w:r w:rsidR="00777C83" w:rsidRPr="002836EB">
        <w:rPr>
          <w:lang w:val="en-GB"/>
        </w:rPr>
        <w:t xml:space="preserve">chedule </w:t>
      </w:r>
      <w:r w:rsidR="003013F7" w:rsidRPr="002836EB">
        <w:rPr>
          <w:lang w:val="en-GB"/>
        </w:rPr>
        <w:t>f</w:t>
      </w:r>
      <w:r w:rsidR="00777C83" w:rsidRPr="002836EB">
        <w:rPr>
          <w:lang w:val="en-GB"/>
        </w:rPr>
        <w:t>ees for longer durations of administration, and for more difficult routes of administration (</w:t>
      </w:r>
      <w:r w:rsidR="0013614F">
        <w:rPr>
          <w:lang w:val="en-GB"/>
        </w:rPr>
        <w:t>for example</w:t>
      </w:r>
      <w:r w:rsidR="00752432" w:rsidRPr="002836EB">
        <w:rPr>
          <w:lang w:val="en-GB"/>
        </w:rPr>
        <w:t>,</w:t>
      </w:r>
      <w:r w:rsidR="00777C83" w:rsidRPr="002836EB">
        <w:rPr>
          <w:lang w:val="en-GB"/>
        </w:rPr>
        <w:t xml:space="preserve"> IA </w:t>
      </w:r>
      <w:r w:rsidR="00752432" w:rsidRPr="002836EB">
        <w:rPr>
          <w:lang w:val="en-GB"/>
        </w:rPr>
        <w:t>versus</w:t>
      </w:r>
      <w:r w:rsidR="00777C83" w:rsidRPr="002836EB">
        <w:rPr>
          <w:lang w:val="en-GB"/>
        </w:rPr>
        <w:t xml:space="preserve"> IV).</w:t>
      </w:r>
    </w:p>
    <w:p w14:paraId="56FFC22E" w14:textId="68A3DDC2" w:rsidR="00777C83" w:rsidRPr="002836EB" w:rsidRDefault="00777C83" w:rsidP="00777C83">
      <w:pPr>
        <w:pStyle w:val="02dash"/>
        <w:rPr>
          <w:lang w:val="en-GB"/>
        </w:rPr>
      </w:pPr>
      <w:r w:rsidRPr="002836EB">
        <w:rPr>
          <w:lang w:val="en-GB"/>
        </w:rPr>
        <w:t xml:space="preserve">In modern practice, </w:t>
      </w:r>
      <w:r w:rsidR="00A46E39" w:rsidRPr="002836EB">
        <w:rPr>
          <w:lang w:val="en-GB"/>
        </w:rPr>
        <w:t xml:space="preserve">however, </w:t>
      </w:r>
      <w:r w:rsidRPr="002836EB">
        <w:rPr>
          <w:lang w:val="en-GB"/>
        </w:rPr>
        <w:t>the therapeutic agent is typically administered into a long-term implanted vascular access device (</w:t>
      </w:r>
      <w:r w:rsidR="00A16FFE" w:rsidRPr="002836EB">
        <w:rPr>
          <w:lang w:val="en-GB"/>
        </w:rPr>
        <w:t xml:space="preserve">rather than </w:t>
      </w:r>
      <w:r w:rsidRPr="002836EB">
        <w:rPr>
          <w:lang w:val="en-GB"/>
        </w:rPr>
        <w:t>directly into a vein)</w:t>
      </w:r>
      <w:r w:rsidR="000F09E2">
        <w:rPr>
          <w:lang w:val="en-GB"/>
        </w:rPr>
        <w:t>, which</w:t>
      </w:r>
      <w:r w:rsidRPr="002836EB">
        <w:rPr>
          <w:lang w:val="en-GB"/>
        </w:rPr>
        <w:t xml:space="preserve"> carries less risk of immediate adverse events (</w:t>
      </w:r>
      <w:r w:rsidR="0013614F">
        <w:rPr>
          <w:lang w:val="en-GB"/>
        </w:rPr>
        <w:t>for example</w:t>
      </w:r>
      <w:r w:rsidR="00315319" w:rsidRPr="002836EB">
        <w:rPr>
          <w:lang w:val="en-GB"/>
        </w:rPr>
        <w:t>,</w:t>
      </w:r>
      <w:r w:rsidRPr="002836EB">
        <w:rPr>
          <w:lang w:val="en-GB"/>
        </w:rPr>
        <w:t xml:space="preserve"> extravasation of the cytotoxic agent from the vein into surrounding tissue). </w:t>
      </w:r>
      <w:r w:rsidR="00756B41" w:rsidRPr="002836EB">
        <w:rPr>
          <w:lang w:val="en-GB"/>
        </w:rPr>
        <w:t xml:space="preserve">A </w:t>
      </w:r>
      <w:r w:rsidR="007C2007" w:rsidRPr="002836EB">
        <w:rPr>
          <w:lang w:val="en-GB"/>
        </w:rPr>
        <w:t>Nurse</w:t>
      </w:r>
      <w:r w:rsidR="00756B41" w:rsidRPr="002836EB">
        <w:rPr>
          <w:lang w:val="en-GB"/>
        </w:rPr>
        <w:t xml:space="preserve"> typically performs the </w:t>
      </w:r>
      <w:r w:rsidRPr="002836EB">
        <w:rPr>
          <w:lang w:val="en-GB"/>
        </w:rPr>
        <w:t xml:space="preserve">administration under the supervision of a </w:t>
      </w:r>
      <w:r w:rsidR="007C2007" w:rsidRPr="002836EB">
        <w:rPr>
          <w:lang w:val="en-GB"/>
        </w:rPr>
        <w:t>Medical Practitioner</w:t>
      </w:r>
      <w:r w:rsidR="00DD4861" w:rsidRPr="002836EB">
        <w:rPr>
          <w:lang w:val="en-GB"/>
        </w:rPr>
        <w:t>,</w:t>
      </w:r>
      <w:r w:rsidRPr="002836EB">
        <w:rPr>
          <w:lang w:val="en-GB"/>
        </w:rPr>
        <w:t xml:space="preserve"> who might not be in attendance at the bedside but is able to attend to the patient should an adverse event </w:t>
      </w:r>
      <w:r w:rsidR="00084131" w:rsidRPr="002836EB">
        <w:rPr>
          <w:lang w:val="en-GB"/>
        </w:rPr>
        <w:t>occur</w:t>
      </w:r>
      <w:r w:rsidRPr="002836EB">
        <w:rPr>
          <w:lang w:val="en-GB"/>
        </w:rPr>
        <w:t>.</w:t>
      </w:r>
    </w:p>
    <w:p w14:paraId="2CC9309C" w14:textId="3567755D" w:rsidR="00777C83" w:rsidRPr="002836EB" w:rsidRDefault="00777C83" w:rsidP="00777C83">
      <w:pPr>
        <w:pStyle w:val="02dash"/>
        <w:rPr>
          <w:lang w:val="en-GB"/>
        </w:rPr>
      </w:pPr>
      <w:r w:rsidRPr="002836EB">
        <w:rPr>
          <w:lang w:val="en-GB"/>
        </w:rPr>
        <w:t xml:space="preserve">In modern practice, the </w:t>
      </w:r>
      <w:r w:rsidR="007C2007" w:rsidRPr="002836EB">
        <w:rPr>
          <w:lang w:val="en-GB"/>
        </w:rPr>
        <w:t>Medical Practitioner</w:t>
      </w:r>
      <w:r w:rsidRPr="002836EB">
        <w:rPr>
          <w:lang w:val="en-GB"/>
        </w:rPr>
        <w:t xml:space="preserve"> is </w:t>
      </w:r>
      <w:r w:rsidR="009776F8" w:rsidRPr="002836EB">
        <w:rPr>
          <w:lang w:val="en-GB"/>
        </w:rPr>
        <w:t xml:space="preserve">also </w:t>
      </w:r>
      <w:r w:rsidRPr="002836EB">
        <w:rPr>
          <w:lang w:val="en-GB"/>
        </w:rPr>
        <w:t xml:space="preserve">responsible for the overall care of the patient receiving anticancer therapy. Once a cycle of anticancer therapy has begun, the patient and </w:t>
      </w:r>
      <w:r w:rsidR="007C2007" w:rsidRPr="002836EB">
        <w:rPr>
          <w:lang w:val="en-GB"/>
        </w:rPr>
        <w:t>Medical Practitioner</w:t>
      </w:r>
      <w:r w:rsidRPr="002836EB">
        <w:rPr>
          <w:lang w:val="en-GB"/>
        </w:rPr>
        <w:t xml:space="preserve"> have committed to a set of irreversible consequences. In particular, many anticancer therapies</w:t>
      </w:r>
      <w:r w:rsidR="006957F7">
        <w:rPr>
          <w:lang w:val="en-GB"/>
        </w:rPr>
        <w:t xml:space="preserve"> (</w:t>
      </w:r>
      <w:r w:rsidRPr="002836EB">
        <w:rPr>
          <w:lang w:val="en-GB"/>
        </w:rPr>
        <w:t>such as cytotoxic chemotherapy</w:t>
      </w:r>
      <w:r w:rsidR="006957F7">
        <w:rPr>
          <w:lang w:val="en-GB"/>
        </w:rPr>
        <w:t>)</w:t>
      </w:r>
      <w:r w:rsidR="006957F7" w:rsidRPr="002836EB">
        <w:rPr>
          <w:lang w:val="en-GB"/>
        </w:rPr>
        <w:t xml:space="preserve"> </w:t>
      </w:r>
      <w:r w:rsidRPr="002836EB">
        <w:rPr>
          <w:lang w:val="en-GB"/>
        </w:rPr>
        <w:t>result in clinically significant side effects</w:t>
      </w:r>
      <w:r w:rsidR="00516D32" w:rsidRPr="002836EB">
        <w:rPr>
          <w:lang w:val="en-GB"/>
        </w:rPr>
        <w:t>,</w:t>
      </w:r>
      <w:r w:rsidRPr="002836EB">
        <w:rPr>
          <w:lang w:val="en-GB"/>
        </w:rPr>
        <w:t xml:space="preserve"> such as an ensuing </w:t>
      </w:r>
      <w:r w:rsidR="001F2F65" w:rsidRPr="002836EB">
        <w:rPr>
          <w:lang w:val="en-GB"/>
        </w:rPr>
        <w:t>two- to three-</w:t>
      </w:r>
      <w:r w:rsidRPr="002836EB">
        <w:rPr>
          <w:lang w:val="en-GB"/>
        </w:rPr>
        <w:t>week period of bone marrow suppression</w:t>
      </w:r>
      <w:r w:rsidR="00EC6905">
        <w:rPr>
          <w:lang w:val="en-GB"/>
        </w:rPr>
        <w:t>/dose-</w:t>
      </w:r>
      <w:r w:rsidR="001D70AF">
        <w:rPr>
          <w:lang w:val="en-GB"/>
        </w:rPr>
        <w:t>limiting</w:t>
      </w:r>
      <w:r w:rsidR="00EC6905">
        <w:rPr>
          <w:lang w:val="en-GB"/>
        </w:rPr>
        <w:t xml:space="preserve"> neutropenia</w:t>
      </w:r>
      <w:r w:rsidRPr="002836EB">
        <w:rPr>
          <w:lang w:val="en-GB"/>
        </w:rPr>
        <w:t xml:space="preserve"> (with the resultant risk of life-threatening infection through immunosuppression). A substantial proportion of </w:t>
      </w:r>
      <w:r w:rsidR="007C2007" w:rsidRPr="002836EB">
        <w:rPr>
          <w:lang w:val="en-GB"/>
        </w:rPr>
        <w:t>Medical Practitioner</w:t>
      </w:r>
      <w:r w:rsidRPr="002836EB">
        <w:rPr>
          <w:lang w:val="en-GB"/>
        </w:rPr>
        <w:t xml:space="preserve"> involvement in good clinical care therefore lies outside physical attendances</w:t>
      </w:r>
      <w:r w:rsidR="00C14067" w:rsidRPr="002836EB">
        <w:rPr>
          <w:lang w:val="en-GB"/>
        </w:rPr>
        <w:t>. This includes</w:t>
      </w:r>
      <w:r w:rsidR="00374BC3" w:rsidRPr="002836EB">
        <w:rPr>
          <w:lang w:val="en-GB"/>
        </w:rPr>
        <w:t>:</w:t>
      </w:r>
    </w:p>
    <w:p w14:paraId="3D5A989B" w14:textId="5A4BF683" w:rsidR="00777C83" w:rsidRPr="002836EB" w:rsidRDefault="00777C83" w:rsidP="00777C83">
      <w:pPr>
        <w:pStyle w:val="Bullet3"/>
        <w:rPr>
          <w:lang w:val="en-GB"/>
        </w:rPr>
      </w:pPr>
      <w:r w:rsidRPr="002836EB">
        <w:rPr>
          <w:lang w:val="en-GB"/>
        </w:rPr>
        <w:lastRenderedPageBreak/>
        <w:t>Determin</w:t>
      </w:r>
      <w:r w:rsidR="00C14067" w:rsidRPr="002836EB">
        <w:rPr>
          <w:lang w:val="en-GB"/>
        </w:rPr>
        <w:t>ing</w:t>
      </w:r>
      <w:r w:rsidRPr="002836EB">
        <w:rPr>
          <w:lang w:val="en-GB"/>
        </w:rPr>
        <w:t xml:space="preserve"> the doses </w:t>
      </w:r>
      <w:r w:rsidR="004A23CC" w:rsidRPr="002836EB">
        <w:rPr>
          <w:lang w:val="en-GB"/>
        </w:rPr>
        <w:t xml:space="preserve">for </w:t>
      </w:r>
      <w:r w:rsidRPr="002836EB">
        <w:rPr>
          <w:lang w:val="en-GB"/>
        </w:rPr>
        <w:t>each of the agents in the treatment regimen</w:t>
      </w:r>
      <w:r w:rsidR="00B90926" w:rsidRPr="002836EB">
        <w:rPr>
          <w:lang w:val="en-GB"/>
        </w:rPr>
        <w:t>.</w:t>
      </w:r>
    </w:p>
    <w:p w14:paraId="579D342B" w14:textId="7BB74ACD" w:rsidR="00777C83" w:rsidRPr="002836EB" w:rsidRDefault="00777C83" w:rsidP="00777C83">
      <w:pPr>
        <w:pStyle w:val="Bullet3"/>
        <w:rPr>
          <w:lang w:val="en-GB"/>
        </w:rPr>
      </w:pPr>
      <w:r w:rsidRPr="002836EB">
        <w:rPr>
          <w:lang w:val="en-GB"/>
        </w:rPr>
        <w:t xml:space="preserve">Supervising </w:t>
      </w:r>
      <w:r w:rsidR="007C2007" w:rsidRPr="002836EB">
        <w:rPr>
          <w:lang w:val="en-GB"/>
        </w:rPr>
        <w:t>Nurse</w:t>
      </w:r>
      <w:r w:rsidRPr="002836EB">
        <w:rPr>
          <w:lang w:val="en-GB"/>
        </w:rPr>
        <w:t xml:space="preserve"> administration of anticancer therapy</w:t>
      </w:r>
      <w:r w:rsidR="006A1CAF" w:rsidRPr="002836EB">
        <w:rPr>
          <w:lang w:val="en-GB"/>
        </w:rPr>
        <w:t>.</w:t>
      </w:r>
    </w:p>
    <w:p w14:paraId="44E748DC" w14:textId="3ACAF7F7" w:rsidR="00777C83" w:rsidRPr="002836EB" w:rsidRDefault="00777C83" w:rsidP="00777C83">
      <w:pPr>
        <w:pStyle w:val="Bullet3"/>
        <w:rPr>
          <w:lang w:val="en-GB"/>
        </w:rPr>
      </w:pPr>
      <w:r w:rsidRPr="002836EB">
        <w:rPr>
          <w:lang w:val="en-GB"/>
        </w:rPr>
        <w:t>Preven</w:t>
      </w:r>
      <w:r w:rsidR="00CF4A37" w:rsidRPr="002836EB">
        <w:rPr>
          <w:lang w:val="en-GB"/>
        </w:rPr>
        <w:t>ting,</w:t>
      </w:r>
      <w:r w:rsidRPr="002836EB">
        <w:rPr>
          <w:lang w:val="en-GB"/>
        </w:rPr>
        <w:t xml:space="preserve"> monitoring and mana</w:t>
      </w:r>
      <w:r w:rsidR="00CF4A37" w:rsidRPr="002836EB">
        <w:rPr>
          <w:lang w:val="en-GB"/>
        </w:rPr>
        <w:t>ging</w:t>
      </w:r>
      <w:r w:rsidRPr="002836EB">
        <w:rPr>
          <w:lang w:val="en-GB"/>
        </w:rPr>
        <w:t xml:space="preserve"> toxicity (</w:t>
      </w:r>
      <w:r w:rsidR="0013614F">
        <w:rPr>
          <w:lang w:val="en-GB"/>
        </w:rPr>
        <w:t>for example</w:t>
      </w:r>
      <w:r w:rsidR="005C5474" w:rsidRPr="002836EB">
        <w:rPr>
          <w:lang w:val="en-GB"/>
        </w:rPr>
        <w:t>,</w:t>
      </w:r>
      <w:r w:rsidRPr="002836EB">
        <w:rPr>
          <w:lang w:val="en-GB"/>
        </w:rPr>
        <w:t xml:space="preserve"> through the monitoring of blood test results)</w:t>
      </w:r>
      <w:r w:rsidR="00AC0249" w:rsidRPr="002836EB">
        <w:rPr>
          <w:lang w:val="en-GB"/>
        </w:rPr>
        <w:t>.</w:t>
      </w:r>
    </w:p>
    <w:p w14:paraId="77E307B2" w14:textId="7A84DDFD" w:rsidR="00777C83" w:rsidRPr="002836EB" w:rsidRDefault="001F569D" w:rsidP="00777C83">
      <w:pPr>
        <w:pStyle w:val="Bullet3"/>
        <w:rPr>
          <w:lang w:val="en-GB"/>
        </w:rPr>
      </w:pPr>
      <w:r w:rsidRPr="002836EB">
        <w:rPr>
          <w:lang w:val="en-GB"/>
        </w:rPr>
        <w:t>Assessing</w:t>
      </w:r>
      <w:r w:rsidR="00777C83" w:rsidRPr="002836EB">
        <w:rPr>
          <w:lang w:val="en-GB"/>
        </w:rPr>
        <w:t xml:space="preserve"> the response to therapy</w:t>
      </w:r>
      <w:r w:rsidR="00BF7C0E" w:rsidRPr="002836EB">
        <w:rPr>
          <w:lang w:val="en-GB"/>
        </w:rPr>
        <w:t>.</w:t>
      </w:r>
    </w:p>
    <w:p w14:paraId="5BAB2775" w14:textId="19516A3B" w:rsidR="00777C83" w:rsidRPr="002836EB" w:rsidRDefault="00274829" w:rsidP="00777C83">
      <w:pPr>
        <w:pStyle w:val="Bullet3"/>
        <w:rPr>
          <w:lang w:val="en-GB"/>
        </w:rPr>
      </w:pPr>
      <w:r w:rsidRPr="002836EB">
        <w:rPr>
          <w:lang w:val="en-GB"/>
        </w:rPr>
        <w:t xml:space="preserve">Liaising </w:t>
      </w:r>
      <w:r w:rsidR="00777C83" w:rsidRPr="002836EB">
        <w:rPr>
          <w:lang w:val="en-GB"/>
        </w:rPr>
        <w:t xml:space="preserve">and </w:t>
      </w:r>
      <w:r w:rsidR="002D5F37" w:rsidRPr="002836EB">
        <w:rPr>
          <w:lang w:val="en-GB"/>
        </w:rPr>
        <w:t xml:space="preserve">discussing </w:t>
      </w:r>
      <w:r w:rsidR="00777C83" w:rsidRPr="002836EB">
        <w:rPr>
          <w:lang w:val="en-GB"/>
        </w:rPr>
        <w:t xml:space="preserve">with patients and other providers (where appropriate) </w:t>
      </w:r>
      <w:r w:rsidR="0035168B" w:rsidRPr="002836EB">
        <w:rPr>
          <w:lang w:val="en-GB"/>
        </w:rPr>
        <w:t xml:space="preserve">regarding </w:t>
      </w:r>
      <w:r w:rsidR="00777C83" w:rsidRPr="002836EB">
        <w:rPr>
          <w:lang w:val="en-GB"/>
        </w:rPr>
        <w:t>the above.</w:t>
      </w:r>
    </w:p>
    <w:p w14:paraId="50158DA4" w14:textId="371A5367" w:rsidR="00777C83" w:rsidRPr="002836EB" w:rsidRDefault="00F14E83" w:rsidP="00777C83">
      <w:pPr>
        <w:pStyle w:val="02dash"/>
        <w:rPr>
          <w:lang w:val="en-GB"/>
        </w:rPr>
      </w:pPr>
      <w:r w:rsidRPr="002836EB">
        <w:rPr>
          <w:lang w:val="en-GB"/>
        </w:rPr>
        <w:t>Fo</w:t>
      </w:r>
      <w:r w:rsidR="0023371A" w:rsidRPr="002836EB">
        <w:rPr>
          <w:lang w:val="en-GB"/>
        </w:rPr>
        <w:t>r this reason,</w:t>
      </w:r>
      <w:r w:rsidRPr="002836EB">
        <w:rPr>
          <w:lang w:val="en-GB"/>
        </w:rPr>
        <w:t xml:space="preserve"> </w:t>
      </w:r>
      <w:r w:rsidR="00777C83" w:rsidRPr="002836EB">
        <w:rPr>
          <w:lang w:val="en-GB"/>
        </w:rPr>
        <w:t xml:space="preserve">MBS items </w:t>
      </w:r>
      <w:r w:rsidR="00C0230C" w:rsidRPr="002836EB">
        <w:rPr>
          <w:lang w:val="en-GB"/>
        </w:rPr>
        <w:t xml:space="preserve">for the </w:t>
      </w:r>
      <w:r w:rsidR="00777C83" w:rsidRPr="002836EB">
        <w:rPr>
          <w:lang w:val="en-GB"/>
        </w:rPr>
        <w:t>administration of chemotherapy should be revised to cover all aspects of medical management of anticancer therapy outside of attendances. Specifically, revisions should</w:t>
      </w:r>
      <w:r w:rsidR="004A301B" w:rsidRPr="002836EB">
        <w:rPr>
          <w:lang w:val="en-GB"/>
        </w:rPr>
        <w:t>:</w:t>
      </w:r>
    </w:p>
    <w:p w14:paraId="65E7BA1F" w14:textId="1A09CE9A" w:rsidR="00777C83" w:rsidRPr="002836EB" w:rsidRDefault="007B1049" w:rsidP="00777C83">
      <w:pPr>
        <w:pStyle w:val="Bullet3"/>
        <w:rPr>
          <w:lang w:val="en-GB"/>
        </w:rPr>
      </w:pPr>
      <w:r w:rsidRPr="002836EB">
        <w:rPr>
          <w:bCs/>
          <w:lang w:val="en-GB"/>
        </w:rPr>
        <w:t>Remove the separation</w:t>
      </w:r>
      <w:r w:rsidR="00777C83" w:rsidRPr="002836EB">
        <w:rPr>
          <w:bCs/>
          <w:lang w:val="en-GB"/>
        </w:rPr>
        <w:t xml:space="preserve"> of items by administration route, </w:t>
      </w:r>
      <w:r w:rsidR="005B061A" w:rsidRPr="002836EB">
        <w:rPr>
          <w:bCs/>
          <w:lang w:val="en-GB"/>
        </w:rPr>
        <w:t>recognising</w:t>
      </w:r>
      <w:r w:rsidR="00777C83" w:rsidRPr="002836EB">
        <w:rPr>
          <w:lang w:val="en-GB"/>
        </w:rPr>
        <w:t xml:space="preserve"> that medical professional involvement in supervising the consequences of a decision to administer chemotherapy is substantively similar, and remov</w:t>
      </w:r>
      <w:r w:rsidR="005266EC" w:rsidRPr="002836EB">
        <w:rPr>
          <w:lang w:val="en-GB"/>
        </w:rPr>
        <w:t>ing</w:t>
      </w:r>
      <w:r w:rsidR="00777C83" w:rsidRPr="002836EB">
        <w:rPr>
          <w:lang w:val="en-GB"/>
        </w:rPr>
        <w:t xml:space="preserve"> incentives favouring one administration route over another.</w:t>
      </w:r>
    </w:p>
    <w:p w14:paraId="05DC2689" w14:textId="76853595" w:rsidR="00777C83" w:rsidRPr="002836EB" w:rsidRDefault="00777C83" w:rsidP="00777C83">
      <w:pPr>
        <w:pStyle w:val="Bullet3"/>
        <w:rPr>
          <w:lang w:val="en-GB"/>
        </w:rPr>
      </w:pPr>
      <w:r w:rsidRPr="002836EB">
        <w:rPr>
          <w:bCs/>
          <w:lang w:val="en-GB"/>
        </w:rPr>
        <w:t xml:space="preserve">Remove tiering </w:t>
      </w:r>
      <w:r w:rsidR="00B63964" w:rsidRPr="002836EB">
        <w:rPr>
          <w:bCs/>
          <w:lang w:val="en-GB"/>
        </w:rPr>
        <w:t xml:space="preserve">based on </w:t>
      </w:r>
      <w:r w:rsidRPr="002836EB">
        <w:rPr>
          <w:bCs/>
          <w:lang w:val="en-GB"/>
        </w:rPr>
        <w:t>the number of hours over which a single treatment is administered, as</w:t>
      </w:r>
      <w:r w:rsidRPr="002836EB">
        <w:rPr>
          <w:lang w:val="en-GB"/>
        </w:rPr>
        <w:t xml:space="preserve"> the duration of treatment administration is no longer an appropriate surrogate for the level of medical professional input required.</w:t>
      </w:r>
      <w:r w:rsidR="00682348" w:rsidRPr="002836EB">
        <w:rPr>
          <w:lang w:val="en-GB"/>
        </w:rPr>
        <w:t xml:space="preserve"> The Committee also observed irregular and unexplained variation in distribution of durations between </w:t>
      </w:r>
      <w:r w:rsidR="00D8538A" w:rsidRPr="002836EB">
        <w:rPr>
          <w:lang w:val="en-GB"/>
        </w:rPr>
        <w:t>s</w:t>
      </w:r>
      <w:r w:rsidR="00682348" w:rsidRPr="002836EB">
        <w:rPr>
          <w:lang w:val="en-GB"/>
        </w:rPr>
        <w:t>tates/</w:t>
      </w:r>
      <w:r w:rsidR="00D8538A" w:rsidRPr="002836EB">
        <w:rPr>
          <w:lang w:val="en-GB"/>
        </w:rPr>
        <w:t>t</w:t>
      </w:r>
      <w:r w:rsidR="00682348" w:rsidRPr="002836EB">
        <w:rPr>
          <w:lang w:val="en-GB"/>
        </w:rPr>
        <w:t>erritories. For example, the prop</w:t>
      </w:r>
      <w:r w:rsidR="0075038A" w:rsidRPr="002836EB">
        <w:rPr>
          <w:lang w:val="en-GB"/>
        </w:rPr>
        <w:t xml:space="preserve">ortion of chemotherapy billings accounted for by MBS items for </w:t>
      </w:r>
      <w:r w:rsidR="0033422D" w:rsidRPr="002836EB">
        <w:rPr>
          <w:lang w:val="en-GB"/>
        </w:rPr>
        <w:t xml:space="preserve">a duration of </w:t>
      </w:r>
      <w:r w:rsidR="0075038A" w:rsidRPr="002836EB">
        <w:rPr>
          <w:lang w:val="en-GB"/>
        </w:rPr>
        <w:t xml:space="preserve">more than </w:t>
      </w:r>
      <w:r w:rsidR="00B86F0E" w:rsidRPr="002836EB">
        <w:rPr>
          <w:lang w:val="en-GB"/>
        </w:rPr>
        <w:t>six</w:t>
      </w:r>
      <w:r w:rsidR="0075038A" w:rsidRPr="002836EB">
        <w:rPr>
          <w:lang w:val="en-GB"/>
        </w:rPr>
        <w:t xml:space="preserve"> hours </w:t>
      </w:r>
      <w:r w:rsidR="0077781F" w:rsidRPr="002836EB">
        <w:rPr>
          <w:lang w:val="en-GB"/>
        </w:rPr>
        <w:t xml:space="preserve">of </w:t>
      </w:r>
      <w:r w:rsidR="0075038A" w:rsidRPr="002836EB">
        <w:rPr>
          <w:lang w:val="en-GB"/>
        </w:rPr>
        <w:t xml:space="preserve">continuous </w:t>
      </w:r>
      <w:r w:rsidR="0033422D" w:rsidRPr="002836EB">
        <w:rPr>
          <w:lang w:val="en-GB"/>
        </w:rPr>
        <w:t xml:space="preserve">administration was </w:t>
      </w:r>
      <w:r w:rsidR="00527826" w:rsidRPr="002836EB">
        <w:rPr>
          <w:lang w:val="en-GB"/>
        </w:rPr>
        <w:t>three times</w:t>
      </w:r>
      <w:r w:rsidR="0033422D" w:rsidRPr="002836EB">
        <w:rPr>
          <w:lang w:val="en-GB"/>
        </w:rPr>
        <w:t xml:space="preserve"> higher in Victoria than </w:t>
      </w:r>
      <w:r w:rsidR="003F315A" w:rsidRPr="002836EB">
        <w:rPr>
          <w:lang w:val="en-GB"/>
        </w:rPr>
        <w:t xml:space="preserve">in </w:t>
      </w:r>
      <w:r w:rsidR="00883E4A" w:rsidRPr="002836EB">
        <w:rPr>
          <w:lang w:val="en-GB"/>
        </w:rPr>
        <w:t>New South Wales (</w:t>
      </w:r>
      <w:r w:rsidR="00883E4A" w:rsidRPr="002836EB">
        <w:rPr>
          <w:lang w:val="en-GB"/>
        </w:rPr>
        <w:fldChar w:fldCharType="begin"/>
      </w:r>
      <w:r w:rsidR="00883E4A" w:rsidRPr="002836EB">
        <w:rPr>
          <w:lang w:val="en-GB"/>
        </w:rPr>
        <w:instrText xml:space="preserve"> REF _Ref464491036 \h </w:instrText>
      </w:r>
      <w:r w:rsidR="00883E4A" w:rsidRPr="002836EB">
        <w:rPr>
          <w:lang w:val="en-GB"/>
        </w:rPr>
      </w:r>
      <w:r w:rsidR="00883E4A" w:rsidRPr="002836EB">
        <w:rPr>
          <w:lang w:val="en-GB"/>
        </w:rPr>
        <w:fldChar w:fldCharType="separate"/>
      </w:r>
      <w:r w:rsidR="003274EF" w:rsidRPr="002836EB">
        <w:t xml:space="preserve">Figure </w:t>
      </w:r>
      <w:r w:rsidR="003274EF">
        <w:rPr>
          <w:noProof/>
        </w:rPr>
        <w:t>3</w:t>
      </w:r>
      <w:r w:rsidR="00883E4A" w:rsidRPr="002836EB">
        <w:rPr>
          <w:lang w:val="en-GB"/>
        </w:rPr>
        <w:fldChar w:fldCharType="end"/>
      </w:r>
      <w:r w:rsidR="00883E4A" w:rsidRPr="002836EB">
        <w:rPr>
          <w:lang w:val="en-GB"/>
        </w:rPr>
        <w:t>).</w:t>
      </w:r>
      <w:r w:rsidR="0033422D" w:rsidRPr="002836EB">
        <w:rPr>
          <w:lang w:val="en-GB"/>
        </w:rPr>
        <w:t xml:space="preserve"> This is unlikely to be accounted for by clinical need alone.</w:t>
      </w:r>
    </w:p>
    <w:p w14:paraId="69BEFF21" w14:textId="2BCAD36E" w:rsidR="00777C83" w:rsidRPr="002836EB" w:rsidRDefault="00777C83" w:rsidP="00777C83">
      <w:pPr>
        <w:pStyle w:val="Bullet3"/>
        <w:rPr>
          <w:lang w:val="en-GB"/>
        </w:rPr>
      </w:pPr>
      <w:r w:rsidRPr="002836EB">
        <w:rPr>
          <w:lang w:val="en-GB"/>
        </w:rPr>
        <w:t xml:space="preserve">Cover a period of time that relates as closely as possible to the cycle length of a regimen, </w:t>
      </w:r>
      <w:r w:rsidR="006726D4" w:rsidRPr="002836EB">
        <w:rPr>
          <w:lang w:val="en-GB"/>
        </w:rPr>
        <w:t>recognising</w:t>
      </w:r>
      <w:r w:rsidRPr="002836EB">
        <w:rPr>
          <w:lang w:val="en-GB"/>
        </w:rPr>
        <w:t xml:space="preserve"> that</w:t>
      </w:r>
      <w:r w:rsidR="006726D4" w:rsidRPr="002836EB">
        <w:rPr>
          <w:lang w:val="en-GB"/>
        </w:rPr>
        <w:t>:</w:t>
      </w:r>
    </w:p>
    <w:p w14:paraId="5F4E7904" w14:textId="57CC4BF1" w:rsidR="00777C83" w:rsidRPr="002836EB" w:rsidRDefault="00777C83" w:rsidP="00777C83">
      <w:pPr>
        <w:pStyle w:val="Bullet3"/>
        <w:numPr>
          <w:ilvl w:val="3"/>
          <w:numId w:val="6"/>
        </w:numPr>
        <w:rPr>
          <w:lang w:val="en-GB"/>
        </w:rPr>
      </w:pPr>
      <w:r w:rsidRPr="002836EB">
        <w:rPr>
          <w:lang w:val="en-GB"/>
        </w:rPr>
        <w:t>A cycle of therapy represents the period of time between a commitment to begin therapy and the next major review of the management plan (</w:t>
      </w:r>
      <w:r w:rsidR="00275F82" w:rsidRPr="002836EB">
        <w:rPr>
          <w:lang w:val="en-GB"/>
        </w:rPr>
        <w:t xml:space="preserve">including deciding </w:t>
      </w:r>
      <w:r w:rsidRPr="002836EB">
        <w:rPr>
          <w:lang w:val="en-GB"/>
        </w:rPr>
        <w:t xml:space="preserve">whether to continue for another cycle). </w:t>
      </w:r>
    </w:p>
    <w:p w14:paraId="60857B19" w14:textId="09688142" w:rsidR="00777C83" w:rsidRDefault="00777C83" w:rsidP="00777C83">
      <w:pPr>
        <w:pStyle w:val="Bullet3"/>
        <w:numPr>
          <w:ilvl w:val="3"/>
          <w:numId w:val="6"/>
        </w:numPr>
        <w:rPr>
          <w:lang w:val="en-GB"/>
        </w:rPr>
      </w:pPr>
      <w:r w:rsidRPr="002836EB">
        <w:rPr>
          <w:lang w:val="en-GB"/>
        </w:rPr>
        <w:t xml:space="preserve">A minimum time period of </w:t>
      </w:r>
      <w:r w:rsidR="00225E0E" w:rsidRPr="002836EB">
        <w:rPr>
          <w:lang w:val="en-GB"/>
        </w:rPr>
        <w:t xml:space="preserve">two </w:t>
      </w:r>
      <w:r w:rsidRPr="002836EB">
        <w:rPr>
          <w:lang w:val="en-GB"/>
        </w:rPr>
        <w:t>weeks is appropriate, as</w:t>
      </w:r>
      <w:r w:rsidR="00DB325D" w:rsidRPr="002836EB">
        <w:rPr>
          <w:lang w:val="en-GB"/>
        </w:rPr>
        <w:t xml:space="preserve"> the </w:t>
      </w:r>
      <w:r w:rsidR="007C2007" w:rsidRPr="002836EB">
        <w:rPr>
          <w:lang w:val="en-GB"/>
        </w:rPr>
        <w:t>Medical Practitioner</w:t>
      </w:r>
      <w:r w:rsidR="00DB325D" w:rsidRPr="002836EB">
        <w:rPr>
          <w:lang w:val="en-GB"/>
        </w:rPr>
        <w:t xml:space="preserve"> and patient have committed to a set of irreversible consequences</w:t>
      </w:r>
      <w:r w:rsidRPr="002836EB">
        <w:rPr>
          <w:lang w:val="en-GB"/>
        </w:rPr>
        <w:t xml:space="preserve"> once a single treatment of anticancer therapy </w:t>
      </w:r>
      <w:r w:rsidR="00E527D3">
        <w:rPr>
          <w:lang w:val="en-GB"/>
        </w:rPr>
        <w:t>has been</w:t>
      </w:r>
      <w:r w:rsidR="00E527D3" w:rsidRPr="002836EB">
        <w:rPr>
          <w:lang w:val="en-GB"/>
        </w:rPr>
        <w:t xml:space="preserve"> </w:t>
      </w:r>
      <w:r w:rsidRPr="002836EB">
        <w:rPr>
          <w:lang w:val="en-GB"/>
        </w:rPr>
        <w:t xml:space="preserve">administered. In particular, bone marrow suppression of </w:t>
      </w:r>
      <w:r w:rsidR="007C0E18" w:rsidRPr="002836EB">
        <w:rPr>
          <w:lang w:val="en-GB"/>
        </w:rPr>
        <w:t xml:space="preserve">two to three </w:t>
      </w:r>
      <w:r w:rsidR="00690CEF">
        <w:rPr>
          <w:lang w:val="en-GB"/>
        </w:rPr>
        <w:t xml:space="preserve">weeks ensues, resulting in effects such as immunosuppression. </w:t>
      </w:r>
    </w:p>
    <w:p w14:paraId="7BD05674" w14:textId="77777777" w:rsidR="00777C83" w:rsidRPr="002836EB" w:rsidRDefault="00777C83" w:rsidP="00777C83">
      <w:pPr>
        <w:pStyle w:val="Bullet3"/>
        <w:numPr>
          <w:ilvl w:val="3"/>
          <w:numId w:val="6"/>
        </w:numPr>
        <w:rPr>
          <w:lang w:val="en-GB"/>
        </w:rPr>
      </w:pPr>
      <w:r w:rsidRPr="002836EB">
        <w:rPr>
          <w:lang w:val="en-GB"/>
        </w:rPr>
        <w:t xml:space="preserve">A periodic payment is simple to administer, clear and auditable. </w:t>
      </w:r>
    </w:p>
    <w:p w14:paraId="0291A152" w14:textId="6D9DEEC2" w:rsidR="00777C83" w:rsidRPr="002836EB" w:rsidRDefault="00777C83" w:rsidP="00777C83">
      <w:pPr>
        <w:pStyle w:val="Bullet3"/>
        <w:numPr>
          <w:ilvl w:val="3"/>
          <w:numId w:val="6"/>
        </w:numPr>
        <w:rPr>
          <w:lang w:val="en-GB"/>
        </w:rPr>
      </w:pPr>
      <w:r w:rsidRPr="002836EB">
        <w:rPr>
          <w:lang w:val="en-GB"/>
        </w:rPr>
        <w:t xml:space="preserve">Multiple items for differing periods </w:t>
      </w:r>
      <w:r w:rsidR="00DD3801" w:rsidRPr="002836EB">
        <w:rPr>
          <w:lang w:val="en-GB"/>
        </w:rPr>
        <w:t>(</w:t>
      </w:r>
      <w:r w:rsidR="008D5C6D" w:rsidRPr="002836EB">
        <w:rPr>
          <w:lang w:val="en-GB"/>
        </w:rPr>
        <w:t>two</w:t>
      </w:r>
      <w:r w:rsidR="00DD3801" w:rsidRPr="002836EB">
        <w:rPr>
          <w:lang w:val="en-GB"/>
        </w:rPr>
        <w:t xml:space="preserve">, </w:t>
      </w:r>
      <w:r w:rsidR="008D5C6D" w:rsidRPr="002836EB">
        <w:rPr>
          <w:lang w:val="en-GB"/>
        </w:rPr>
        <w:t>three</w:t>
      </w:r>
      <w:r w:rsidR="00DD3801" w:rsidRPr="002836EB">
        <w:rPr>
          <w:lang w:val="en-GB"/>
        </w:rPr>
        <w:t xml:space="preserve"> and </w:t>
      </w:r>
      <w:r w:rsidR="008D5C6D" w:rsidRPr="002836EB">
        <w:rPr>
          <w:lang w:val="en-GB"/>
        </w:rPr>
        <w:t>four</w:t>
      </w:r>
      <w:r w:rsidR="00DD3801" w:rsidRPr="002836EB">
        <w:rPr>
          <w:lang w:val="en-GB"/>
        </w:rPr>
        <w:t xml:space="preserve"> weeks) </w:t>
      </w:r>
      <w:r w:rsidRPr="002836EB">
        <w:rPr>
          <w:lang w:val="en-GB"/>
        </w:rPr>
        <w:t>allow administrative flexibility and recognise that cycle duration varies between regimens.</w:t>
      </w:r>
      <w:r w:rsidR="00DD3801" w:rsidRPr="002836EB">
        <w:rPr>
          <w:lang w:val="en-GB"/>
        </w:rPr>
        <w:t xml:space="preserve"> </w:t>
      </w:r>
    </w:p>
    <w:p w14:paraId="27E67FF6" w14:textId="2D8B6D4D" w:rsidR="00777C83" w:rsidRDefault="00777C83" w:rsidP="00777C83">
      <w:pPr>
        <w:pStyle w:val="Bullet3"/>
        <w:rPr>
          <w:lang w:val="en-GB"/>
        </w:rPr>
      </w:pPr>
      <w:r w:rsidRPr="002836EB">
        <w:rPr>
          <w:bCs/>
          <w:lang w:val="en-GB"/>
        </w:rPr>
        <w:t>Retain the ability to co-claim with attendance items</w:t>
      </w:r>
      <w:r w:rsidRPr="002836EB">
        <w:rPr>
          <w:lang w:val="en-GB"/>
        </w:rPr>
        <w:t xml:space="preserve"> (</w:t>
      </w:r>
      <w:r w:rsidR="0013614F">
        <w:rPr>
          <w:lang w:val="en-GB"/>
        </w:rPr>
        <w:t>for example</w:t>
      </w:r>
      <w:r w:rsidR="00F47E38" w:rsidRPr="002836EB">
        <w:rPr>
          <w:lang w:val="en-GB"/>
        </w:rPr>
        <w:t>,</w:t>
      </w:r>
      <w:r w:rsidRPr="002836EB">
        <w:rPr>
          <w:lang w:val="en-GB"/>
        </w:rPr>
        <w:t xml:space="preserve"> item 116), whether due to a complication of anticancer therapy requiring personal professional attendance or the need to attend for an unrelated medical issue.</w:t>
      </w:r>
    </w:p>
    <w:p w14:paraId="49A780F7" w14:textId="461711F1" w:rsidR="00B4299E" w:rsidRDefault="00B4299E" w:rsidP="00777C83">
      <w:pPr>
        <w:pStyle w:val="Bullet3"/>
        <w:rPr>
          <w:lang w:val="en-GB"/>
        </w:rPr>
      </w:pPr>
      <w:r>
        <w:rPr>
          <w:lang w:val="en-GB"/>
        </w:rPr>
        <w:t xml:space="preserve">Retain the ability for </w:t>
      </w:r>
      <w:r w:rsidR="0042227C">
        <w:rPr>
          <w:lang w:val="en-GB"/>
        </w:rPr>
        <w:t>M</w:t>
      </w:r>
      <w:r>
        <w:rPr>
          <w:lang w:val="en-GB"/>
        </w:rPr>
        <w:t xml:space="preserve">edical </w:t>
      </w:r>
      <w:r w:rsidR="0042227C">
        <w:rPr>
          <w:lang w:val="en-GB"/>
        </w:rPr>
        <w:t>P</w:t>
      </w:r>
      <w:r>
        <w:rPr>
          <w:lang w:val="en-GB"/>
        </w:rPr>
        <w:t xml:space="preserve">ractitioners to claim relevant MBS items </w:t>
      </w:r>
      <w:r w:rsidR="00733A69">
        <w:rPr>
          <w:lang w:val="en-GB"/>
        </w:rPr>
        <w:t xml:space="preserve">if </w:t>
      </w:r>
      <w:r w:rsidR="004E6162">
        <w:rPr>
          <w:lang w:val="en-GB"/>
        </w:rPr>
        <w:t>they</w:t>
      </w:r>
      <w:r>
        <w:rPr>
          <w:lang w:val="en-GB"/>
        </w:rPr>
        <w:t xml:space="preserve"> are directly </w:t>
      </w:r>
      <w:r w:rsidR="00737D35">
        <w:rPr>
          <w:lang w:val="en-GB"/>
        </w:rPr>
        <w:t xml:space="preserve">administering </w:t>
      </w:r>
      <w:r>
        <w:rPr>
          <w:lang w:val="en-GB"/>
        </w:rPr>
        <w:t>the anticancer therapy</w:t>
      </w:r>
      <w:r w:rsidR="008C04E4">
        <w:rPr>
          <w:lang w:val="en-GB"/>
        </w:rPr>
        <w:t xml:space="preserve"> (</w:t>
      </w:r>
      <w:r w:rsidR="001319F0">
        <w:rPr>
          <w:lang w:val="en-GB"/>
        </w:rPr>
        <w:t>for example,</w:t>
      </w:r>
      <w:r>
        <w:rPr>
          <w:lang w:val="en-GB"/>
        </w:rPr>
        <w:t xml:space="preserve"> MBS items for lumbar puncture in the rare instances of delivering intra-spinal anticancer therapy</w:t>
      </w:r>
      <w:r w:rsidR="008C04E4">
        <w:rPr>
          <w:lang w:val="en-GB"/>
        </w:rPr>
        <w:t>)</w:t>
      </w:r>
      <w:r>
        <w:rPr>
          <w:lang w:val="en-GB"/>
        </w:rPr>
        <w:t xml:space="preserve">. </w:t>
      </w:r>
    </w:p>
    <w:p w14:paraId="5A35016F" w14:textId="2EE91FB7" w:rsidR="00145A0F" w:rsidRPr="00353C4B" w:rsidRDefault="00145A0F" w:rsidP="00353C4B">
      <w:pPr>
        <w:pStyle w:val="02dash"/>
        <w:rPr>
          <w:lang w:val="en-GB"/>
        </w:rPr>
      </w:pPr>
      <w:r w:rsidRPr="00353C4B">
        <w:rPr>
          <w:lang w:val="en-GB"/>
        </w:rPr>
        <w:t>Where it is administratively easier for patients and providers to bill on the first occasion of anticancer therapy, the MBS benefit should be payable prospectively (i.e.</w:t>
      </w:r>
      <w:r w:rsidR="00B71C49">
        <w:rPr>
          <w:lang w:val="en-GB"/>
        </w:rPr>
        <w:t>,</w:t>
      </w:r>
      <w:r w:rsidRPr="00353C4B">
        <w:rPr>
          <w:lang w:val="en-GB"/>
        </w:rPr>
        <w:t xml:space="preserve"> the items should be payable on the first day of treatment). </w:t>
      </w:r>
      <w:r w:rsidR="00115FE4">
        <w:rPr>
          <w:lang w:val="en-GB"/>
        </w:rPr>
        <w:t>Although</w:t>
      </w:r>
      <w:r w:rsidR="00115FE4" w:rsidRPr="00353C4B">
        <w:rPr>
          <w:lang w:val="en-GB"/>
        </w:rPr>
        <w:t xml:space="preserve"> </w:t>
      </w:r>
      <w:r w:rsidRPr="00353C4B">
        <w:rPr>
          <w:lang w:val="en-GB"/>
        </w:rPr>
        <w:t xml:space="preserve">MBS benefits are typically payable retrospectively (i.e., at the completion of the full service), anticancer therapy is more akin to the performance of surgical procedures than the administration of other medications, in </w:t>
      </w:r>
      <w:r w:rsidRPr="00353C4B">
        <w:rPr>
          <w:lang w:val="en-GB"/>
        </w:rPr>
        <w:lastRenderedPageBreak/>
        <w:t xml:space="preserve">that once a single treatment is administered, the </w:t>
      </w:r>
      <w:r w:rsidR="00791E30">
        <w:rPr>
          <w:lang w:val="en-GB"/>
        </w:rPr>
        <w:t>M</w:t>
      </w:r>
      <w:r w:rsidRPr="00353C4B">
        <w:rPr>
          <w:lang w:val="en-GB"/>
        </w:rPr>
        <w:t xml:space="preserve">edical </w:t>
      </w:r>
      <w:r w:rsidR="00791E30">
        <w:rPr>
          <w:lang w:val="en-GB"/>
        </w:rPr>
        <w:t>P</w:t>
      </w:r>
      <w:r w:rsidRPr="00353C4B">
        <w:rPr>
          <w:lang w:val="en-GB"/>
        </w:rPr>
        <w:t>ractitioner and patient have committed to a set of irreversible consequences. MBS benefits for surgical procedures are payable prospectively at the time of surgery, prior to completion of the aftercare component of the service.</w:t>
      </w:r>
    </w:p>
    <w:p w14:paraId="60A0DAC5" w14:textId="4EC61045" w:rsidR="00285A4C" w:rsidRPr="002836EB" w:rsidRDefault="00285A4C" w:rsidP="00285A4C">
      <w:pPr>
        <w:pStyle w:val="Caption"/>
        <w:pBdr>
          <w:bottom w:val="single" w:sz="4" w:space="1" w:color="auto"/>
        </w:pBdr>
      </w:pPr>
      <w:bookmarkStart w:id="107" w:name="_Ref464491036"/>
      <w:bookmarkStart w:id="108" w:name="_Toc468647515"/>
      <w:bookmarkStart w:id="109" w:name="_Toc479082825"/>
      <w:r w:rsidRPr="002836EB">
        <w:t xml:space="preserve">Figure </w:t>
      </w:r>
      <w:r w:rsidRPr="002836EB">
        <w:fldChar w:fldCharType="begin"/>
      </w:r>
      <w:r w:rsidRPr="002836EB">
        <w:instrText xml:space="preserve"> SEQ Figure \* ARABIC </w:instrText>
      </w:r>
      <w:r w:rsidRPr="002836EB">
        <w:fldChar w:fldCharType="separate"/>
      </w:r>
      <w:r w:rsidR="003274EF">
        <w:rPr>
          <w:noProof/>
        </w:rPr>
        <w:t>3</w:t>
      </w:r>
      <w:r w:rsidRPr="002836EB">
        <w:fldChar w:fldCharType="end"/>
      </w:r>
      <w:bookmarkEnd w:id="107"/>
      <w:r w:rsidRPr="002836EB">
        <w:t>: Breakdown of all chemotherapy services (public and privately funded) for N</w:t>
      </w:r>
      <w:r w:rsidR="00875353" w:rsidRPr="002836EB">
        <w:t xml:space="preserve">ew </w:t>
      </w:r>
      <w:r w:rsidRPr="002836EB">
        <w:t>S</w:t>
      </w:r>
      <w:r w:rsidR="00875353" w:rsidRPr="002836EB">
        <w:t xml:space="preserve">outh </w:t>
      </w:r>
      <w:r w:rsidRPr="002836EB">
        <w:t>W</w:t>
      </w:r>
      <w:r w:rsidR="00875353" w:rsidRPr="002836EB">
        <w:t>ales</w:t>
      </w:r>
      <w:r w:rsidRPr="002836EB">
        <w:t xml:space="preserve"> and V</w:t>
      </w:r>
      <w:r w:rsidR="00875353" w:rsidRPr="002836EB">
        <w:t>ictoria</w:t>
      </w:r>
      <w:r w:rsidRPr="002836EB">
        <w:t xml:space="preserve"> by duration of administration</w:t>
      </w:r>
      <w:bookmarkEnd w:id="108"/>
      <w:bookmarkEnd w:id="109"/>
    </w:p>
    <w:p w14:paraId="2CF061E1" w14:textId="1CE7C01E" w:rsidR="00D02DB4" w:rsidRPr="002836EB" w:rsidRDefault="00D02DB4" w:rsidP="001B05A3">
      <w:pPr>
        <w:jc w:val="center"/>
        <w:rPr>
          <w:lang w:eastAsia="en-US"/>
        </w:rPr>
      </w:pPr>
      <w:r w:rsidRPr="00D33ED8">
        <w:rPr>
          <w:noProof/>
          <w:lang w:val="en-AU"/>
        </w:rPr>
        <w:drawing>
          <wp:inline distT="0" distB="0" distL="0" distR="0" wp14:anchorId="01C20E67" wp14:editId="7F34B221">
            <wp:extent cx="4906645" cy="3684270"/>
            <wp:effectExtent l="0" t="0" r="8255" b="0"/>
            <wp:docPr id="6" name="Picture 6" descr="Figure 3 is a stacked bar graph which shows the breakdown of all chemotherapy services, public and privately funded, for NSW and VIC by duration of administration.&#10;The stacks are shows four categories, from the top: Public non-MBS funded, MBS other, MBS-funded short duration less than 6 hours and MBS-funded long duration more than 6 hours.&#10;&#10;NSW has the highest claims for MBS-funded short duration items at 55% and the lowest claims are for MBS-funded long duration at 6% and MBS other at 4%.&#10;&#10;VIC has the highest claims for MBS-funded short duration items at 38% and the lowest claims are for MBS-funded ling duration at 19% and MBS other at 1%.&#10;&#10;VIC therefore has more than 3 times the proportion of long duration chemotherapy services under the MBS, at 19% vs 6% in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6645" cy="36842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p w14:paraId="3D40FA06" w14:textId="5038C528" w:rsidR="00A17154" w:rsidRPr="00D818DC" w:rsidRDefault="009F699E" w:rsidP="00A17154">
      <w:pPr>
        <w:pStyle w:val="TableUnderLast"/>
        <w:pBdr>
          <w:bottom w:val="single" w:sz="4" w:space="1" w:color="auto"/>
        </w:pBdr>
      </w:pPr>
      <w:r w:rsidRPr="00D818DC">
        <w:t>Unpublished data</w:t>
      </w:r>
      <w:r>
        <w:t xml:space="preserve">, </w:t>
      </w:r>
      <w:r w:rsidR="00A17154">
        <w:t xml:space="preserve">2013-14 </w:t>
      </w:r>
      <w:r>
        <w:t>extract based on date of service</w:t>
      </w:r>
      <w:r w:rsidRPr="00D818DC">
        <w:t xml:space="preserve"> (Department of Health)</w:t>
      </w:r>
      <w:r w:rsidR="00A17154">
        <w:t>. Includes all chemotherapy administration</w:t>
      </w:r>
      <w:r w:rsidR="00B63044">
        <w:t xml:space="preserve"> MBS</w:t>
      </w:r>
      <w:r w:rsidR="00A17154">
        <w:t xml:space="preserve"> items </w:t>
      </w:r>
      <w:r w:rsidR="00A17154" w:rsidRPr="00A17154">
        <w:rPr>
          <w:lang w:val="en-GB"/>
        </w:rPr>
        <w:t>(where “other” items are non-duration</w:t>
      </w:r>
      <w:r w:rsidR="00B63044">
        <w:rPr>
          <w:lang w:val="en-GB"/>
        </w:rPr>
        <w:t>-</w:t>
      </w:r>
      <w:r w:rsidR="00A17154" w:rsidRPr="00A17154">
        <w:rPr>
          <w:lang w:val="en-GB"/>
        </w:rPr>
        <w:t>specific)</w:t>
      </w:r>
      <w:r w:rsidR="00B63044">
        <w:rPr>
          <w:lang w:val="en-GB"/>
        </w:rPr>
        <w:t>, M</w:t>
      </w:r>
      <w:r w:rsidR="00A17154" w:rsidRPr="00A17154">
        <w:rPr>
          <w:lang w:val="en-GB"/>
        </w:rPr>
        <w:t>edicare data on all inpatient separations for chemotherapy AR-DRG v7.</w:t>
      </w:r>
      <w:r w:rsidR="00B63044">
        <w:rPr>
          <w:lang w:val="en-GB"/>
        </w:rPr>
        <w:t xml:space="preserve">0 R63Z, </w:t>
      </w:r>
      <w:r w:rsidR="00A17154" w:rsidRPr="00A17154">
        <w:rPr>
          <w:lang w:val="en-GB"/>
        </w:rPr>
        <w:t>and AIHW data on outpatient separations for medical oncology treatment (10.11).</w:t>
      </w:r>
    </w:p>
    <w:p w14:paraId="1BB246F6" w14:textId="37E3B423" w:rsidR="00777C83" w:rsidRPr="002836EB" w:rsidRDefault="00777C83" w:rsidP="00783284">
      <w:pPr>
        <w:pStyle w:val="02dash"/>
        <w:numPr>
          <w:ilvl w:val="0"/>
          <w:numId w:val="6"/>
        </w:numPr>
        <w:rPr>
          <w:lang w:val="en-GB"/>
        </w:rPr>
      </w:pPr>
      <w:r w:rsidRPr="002836EB">
        <w:rPr>
          <w:lang w:val="en-GB"/>
        </w:rPr>
        <w:t xml:space="preserve">Therapeutic agents other than cytotoxic chemotherapy </w:t>
      </w:r>
      <w:r w:rsidR="00B60AE5" w:rsidRPr="002836EB">
        <w:rPr>
          <w:lang w:val="en-GB"/>
        </w:rPr>
        <w:t xml:space="preserve">are </w:t>
      </w:r>
      <w:r w:rsidRPr="002836EB">
        <w:rPr>
          <w:lang w:val="en-GB"/>
        </w:rPr>
        <w:t xml:space="preserve">increasingly used and should be </w:t>
      </w:r>
      <w:r w:rsidR="000C542A">
        <w:rPr>
          <w:lang w:val="en-GB"/>
        </w:rPr>
        <w:t>covered by the items</w:t>
      </w:r>
      <w:r w:rsidR="000C542A" w:rsidRPr="002836EB">
        <w:rPr>
          <w:lang w:val="en-GB"/>
        </w:rPr>
        <w:t xml:space="preserve"> </w:t>
      </w:r>
      <w:r w:rsidR="0040749C" w:rsidRPr="002836EB">
        <w:rPr>
          <w:lang w:val="en-GB"/>
        </w:rPr>
        <w:t xml:space="preserve">(for example, </w:t>
      </w:r>
      <w:r w:rsidRPr="002836EB">
        <w:rPr>
          <w:lang w:val="en-GB"/>
        </w:rPr>
        <w:t>biologic agents such as monoclonal antibody therapies, or tyrosine kinase inhibitors</w:t>
      </w:r>
      <w:r w:rsidR="00783284" w:rsidRPr="002836EB">
        <w:rPr>
          <w:lang w:val="en-GB"/>
        </w:rPr>
        <w:t>)</w:t>
      </w:r>
      <w:r w:rsidRPr="002836EB">
        <w:rPr>
          <w:lang w:val="en-GB"/>
        </w:rPr>
        <w:t>.</w:t>
      </w:r>
    </w:p>
    <w:p w14:paraId="215906A3" w14:textId="358281A6" w:rsidR="00777C83" w:rsidRPr="002836EB" w:rsidRDefault="00777C83" w:rsidP="00777C83">
      <w:pPr>
        <w:pStyle w:val="02dash"/>
        <w:rPr>
          <w:lang w:val="en-GB"/>
        </w:rPr>
      </w:pPr>
      <w:r w:rsidRPr="002836EB">
        <w:rPr>
          <w:lang w:val="en-GB"/>
        </w:rPr>
        <w:t xml:space="preserve">The term </w:t>
      </w:r>
      <w:r w:rsidR="008976CA" w:rsidRPr="002836EB">
        <w:rPr>
          <w:lang w:val="en-GB"/>
        </w:rPr>
        <w:t>‘</w:t>
      </w:r>
      <w:r w:rsidRPr="002836EB">
        <w:rPr>
          <w:lang w:val="en-GB"/>
        </w:rPr>
        <w:t>anticancer therapy</w:t>
      </w:r>
      <w:r w:rsidR="008976CA" w:rsidRPr="002836EB">
        <w:rPr>
          <w:lang w:val="en-GB"/>
        </w:rPr>
        <w:t>’</w:t>
      </w:r>
      <w:r w:rsidRPr="002836EB">
        <w:rPr>
          <w:lang w:val="en-GB"/>
        </w:rPr>
        <w:t xml:space="preserve"> represents the optimal balance between capturing all appropriate modern therapeutics </w:t>
      </w:r>
      <w:r w:rsidR="00DC72ED">
        <w:rPr>
          <w:lang w:val="en-GB"/>
        </w:rPr>
        <w:t>and</w:t>
      </w:r>
      <w:r w:rsidR="00DC72ED" w:rsidRPr="002836EB">
        <w:rPr>
          <w:lang w:val="en-GB"/>
        </w:rPr>
        <w:t xml:space="preserve"> </w:t>
      </w:r>
      <w:r w:rsidRPr="002836EB">
        <w:rPr>
          <w:lang w:val="en-GB"/>
        </w:rPr>
        <w:t>excluding all other therapeutics.</w:t>
      </w:r>
    </w:p>
    <w:p w14:paraId="6F6068B0" w14:textId="268C99E4" w:rsidR="00777C83" w:rsidRPr="002836EB" w:rsidRDefault="00DC46E9" w:rsidP="00777C83">
      <w:pPr>
        <w:pStyle w:val="Bullet3"/>
        <w:rPr>
          <w:lang w:val="en-GB"/>
        </w:rPr>
      </w:pPr>
      <w:r w:rsidRPr="002836EB">
        <w:rPr>
          <w:lang w:val="en-GB"/>
        </w:rPr>
        <w:t xml:space="preserve">The term </w:t>
      </w:r>
      <w:r w:rsidR="008976CA" w:rsidRPr="002836EB">
        <w:rPr>
          <w:lang w:val="en-GB"/>
        </w:rPr>
        <w:t>‘</w:t>
      </w:r>
      <w:r w:rsidRPr="002836EB">
        <w:rPr>
          <w:lang w:val="en-GB"/>
        </w:rPr>
        <w:t>c</w:t>
      </w:r>
      <w:r w:rsidR="00777C83" w:rsidRPr="002836EB">
        <w:rPr>
          <w:lang w:val="en-GB"/>
        </w:rPr>
        <w:t>hemotherapy</w:t>
      </w:r>
      <w:r w:rsidR="008976CA" w:rsidRPr="002836EB">
        <w:rPr>
          <w:lang w:val="en-GB"/>
        </w:rPr>
        <w:t>’</w:t>
      </w:r>
      <w:r w:rsidR="00777C83" w:rsidRPr="002836EB">
        <w:rPr>
          <w:lang w:val="en-GB"/>
        </w:rPr>
        <w:t xml:space="preserve"> implies cytotoxic chemotherapy and therefore excludes some classes</w:t>
      </w:r>
      <w:r w:rsidR="003A57F6" w:rsidRPr="002836EB">
        <w:rPr>
          <w:lang w:val="en-GB"/>
        </w:rPr>
        <w:t xml:space="preserve"> of</w:t>
      </w:r>
      <w:r w:rsidR="00777C83" w:rsidRPr="002836EB">
        <w:rPr>
          <w:lang w:val="en-GB"/>
        </w:rPr>
        <w:t xml:space="preserve"> modern therapeutics.</w:t>
      </w:r>
    </w:p>
    <w:p w14:paraId="609D2118" w14:textId="15660888" w:rsidR="00777C83" w:rsidRPr="002836EB" w:rsidRDefault="002A2EA3" w:rsidP="00777C83">
      <w:pPr>
        <w:pStyle w:val="Bullet3"/>
        <w:rPr>
          <w:lang w:val="en-GB"/>
        </w:rPr>
      </w:pPr>
      <w:r w:rsidRPr="002836EB">
        <w:rPr>
          <w:lang w:val="en-GB"/>
        </w:rPr>
        <w:t>M</w:t>
      </w:r>
      <w:r w:rsidR="00777C83" w:rsidRPr="002836EB">
        <w:rPr>
          <w:lang w:val="en-GB"/>
        </w:rPr>
        <w:t>ention</w:t>
      </w:r>
      <w:r w:rsidR="002505F7" w:rsidRPr="002836EB">
        <w:rPr>
          <w:lang w:val="en-GB"/>
        </w:rPr>
        <w:t>ing</w:t>
      </w:r>
      <w:r w:rsidR="00777C83" w:rsidRPr="002836EB">
        <w:rPr>
          <w:lang w:val="en-GB"/>
        </w:rPr>
        <w:t xml:space="preserve"> </w:t>
      </w:r>
      <w:r w:rsidR="00604DE0" w:rsidRPr="002836EB">
        <w:rPr>
          <w:lang w:val="en-GB"/>
        </w:rPr>
        <w:t>specific therapeutic agent</w:t>
      </w:r>
      <w:r w:rsidR="009E5C2F" w:rsidRPr="002836EB">
        <w:rPr>
          <w:lang w:val="en-GB"/>
        </w:rPr>
        <w:t>s</w:t>
      </w:r>
      <w:r w:rsidR="00792217" w:rsidRPr="002836EB">
        <w:rPr>
          <w:lang w:val="en-GB"/>
        </w:rPr>
        <w:t xml:space="preserve"> (</w:t>
      </w:r>
      <w:r w:rsidR="0013614F">
        <w:rPr>
          <w:lang w:val="en-GB"/>
        </w:rPr>
        <w:t>for example</w:t>
      </w:r>
      <w:r w:rsidR="00792217" w:rsidRPr="002836EB">
        <w:rPr>
          <w:lang w:val="en-GB"/>
        </w:rPr>
        <w:t xml:space="preserve">, </w:t>
      </w:r>
      <w:r w:rsidR="00777C83" w:rsidRPr="002836EB">
        <w:rPr>
          <w:lang w:val="en-GB"/>
        </w:rPr>
        <w:t>monoclonal antibodies</w:t>
      </w:r>
      <w:r w:rsidR="00792217" w:rsidRPr="002836EB">
        <w:rPr>
          <w:lang w:val="en-GB"/>
        </w:rPr>
        <w:t xml:space="preserve">) </w:t>
      </w:r>
      <w:r w:rsidR="004F3F09" w:rsidRPr="002836EB">
        <w:rPr>
          <w:lang w:val="en-GB"/>
        </w:rPr>
        <w:t>would</w:t>
      </w:r>
      <w:r w:rsidR="00777C83" w:rsidRPr="002836EB">
        <w:rPr>
          <w:lang w:val="en-GB"/>
        </w:rPr>
        <w:t xml:space="preserve"> </w:t>
      </w:r>
      <w:r w:rsidR="00FF4E4C" w:rsidRPr="002836EB">
        <w:rPr>
          <w:lang w:val="en-GB"/>
        </w:rPr>
        <w:t>limit</w:t>
      </w:r>
      <w:r w:rsidR="00777C83" w:rsidRPr="002836EB">
        <w:rPr>
          <w:lang w:val="en-GB"/>
        </w:rPr>
        <w:t xml:space="preserve"> the item descriptor</w:t>
      </w:r>
      <w:r w:rsidR="00FF4E4C" w:rsidRPr="002836EB">
        <w:rPr>
          <w:lang w:val="en-GB"/>
        </w:rPr>
        <w:t>’s capacity</w:t>
      </w:r>
      <w:r w:rsidR="00777C83" w:rsidRPr="002836EB">
        <w:rPr>
          <w:lang w:val="en-GB"/>
        </w:rPr>
        <w:t xml:space="preserve"> to include future types of therapy</w:t>
      </w:r>
      <w:r w:rsidR="008F394F" w:rsidRPr="002836EB">
        <w:rPr>
          <w:lang w:val="en-GB"/>
        </w:rPr>
        <w:t>.</w:t>
      </w:r>
    </w:p>
    <w:p w14:paraId="070B8AFC" w14:textId="7746663F" w:rsidR="00777C83" w:rsidRPr="002836EB" w:rsidRDefault="00777C83" w:rsidP="00777C83">
      <w:pPr>
        <w:pStyle w:val="02dash"/>
        <w:numPr>
          <w:ilvl w:val="0"/>
          <w:numId w:val="6"/>
        </w:numPr>
        <w:rPr>
          <w:lang w:val="en-GB"/>
        </w:rPr>
      </w:pPr>
      <w:r w:rsidRPr="002836EB">
        <w:rPr>
          <w:lang w:val="en-GB"/>
        </w:rPr>
        <w:t>Bisphosphonate and hormone therapies, such as those for prostate and breast cancer (</w:t>
      </w:r>
      <w:r w:rsidR="0013614F">
        <w:rPr>
          <w:lang w:val="en-GB"/>
        </w:rPr>
        <w:t>for example</w:t>
      </w:r>
      <w:r w:rsidR="00561B05" w:rsidRPr="002836EB">
        <w:rPr>
          <w:lang w:val="en-GB"/>
        </w:rPr>
        <w:t>,</w:t>
      </w:r>
      <w:r w:rsidRPr="002836EB">
        <w:rPr>
          <w:lang w:val="en-GB"/>
        </w:rPr>
        <w:t xml:space="preserve"> tamoxifen)</w:t>
      </w:r>
      <w:r w:rsidR="00E54C90" w:rsidRPr="002836EB">
        <w:rPr>
          <w:lang w:val="en-GB"/>
        </w:rPr>
        <w:t>,</w:t>
      </w:r>
      <w:r w:rsidRPr="002836EB">
        <w:rPr>
          <w:lang w:val="en-GB"/>
        </w:rPr>
        <w:t xml:space="preserve"> typically require </w:t>
      </w:r>
      <w:r w:rsidR="00E30104">
        <w:rPr>
          <w:lang w:val="en-GB"/>
        </w:rPr>
        <w:t xml:space="preserve">less </w:t>
      </w:r>
      <w:r w:rsidRPr="002836EB">
        <w:rPr>
          <w:lang w:val="en-GB"/>
        </w:rPr>
        <w:t>medical professional involvement and should be excluded.</w:t>
      </w:r>
    </w:p>
    <w:p w14:paraId="60DFA349" w14:textId="59E898CB" w:rsidR="00777C83" w:rsidRPr="002836EB" w:rsidRDefault="00777C83" w:rsidP="00777C83">
      <w:pPr>
        <w:pStyle w:val="02dash"/>
        <w:rPr>
          <w:lang w:val="en-GB"/>
        </w:rPr>
      </w:pPr>
      <w:r w:rsidRPr="002836EB">
        <w:rPr>
          <w:lang w:val="en-GB"/>
        </w:rPr>
        <w:t xml:space="preserve">Bisphosphonate and hormone therapies are typically less toxic and </w:t>
      </w:r>
      <w:r w:rsidR="0004143D" w:rsidRPr="002836EB">
        <w:rPr>
          <w:lang w:val="en-GB"/>
        </w:rPr>
        <w:t xml:space="preserve">can </w:t>
      </w:r>
      <w:r w:rsidRPr="002836EB">
        <w:rPr>
          <w:lang w:val="en-GB"/>
        </w:rPr>
        <w:t xml:space="preserve">be managed or prescribed on an ongoing basis by </w:t>
      </w:r>
      <w:r w:rsidR="007C2007" w:rsidRPr="002836EB">
        <w:rPr>
          <w:lang w:val="en-GB"/>
        </w:rPr>
        <w:t>Medical Practitioner</w:t>
      </w:r>
      <w:r w:rsidRPr="002836EB">
        <w:rPr>
          <w:lang w:val="en-GB"/>
        </w:rPr>
        <w:t xml:space="preserve">s other than the </w:t>
      </w:r>
      <w:r w:rsidR="00B248C2">
        <w:rPr>
          <w:lang w:val="en-GB"/>
        </w:rPr>
        <w:t>Medical Oncologist</w:t>
      </w:r>
      <w:r w:rsidRPr="002836EB">
        <w:rPr>
          <w:lang w:val="en-GB"/>
        </w:rPr>
        <w:t xml:space="preserve">, such as the patient’s </w:t>
      </w:r>
      <w:r w:rsidR="00B37054" w:rsidRPr="002836EB">
        <w:rPr>
          <w:lang w:val="en-GB"/>
        </w:rPr>
        <w:t>G</w:t>
      </w:r>
      <w:r w:rsidR="006F1D93">
        <w:rPr>
          <w:lang w:val="en-GB"/>
        </w:rPr>
        <w:t xml:space="preserve">eneral </w:t>
      </w:r>
      <w:r w:rsidR="00B37054" w:rsidRPr="002836EB">
        <w:rPr>
          <w:lang w:val="en-GB"/>
        </w:rPr>
        <w:t>P</w:t>
      </w:r>
      <w:r w:rsidR="006F1D93">
        <w:rPr>
          <w:lang w:val="en-GB"/>
        </w:rPr>
        <w:t>ractitioner (GP)</w:t>
      </w:r>
      <w:r w:rsidRPr="002836EB">
        <w:rPr>
          <w:lang w:val="en-GB"/>
        </w:rPr>
        <w:t>.</w:t>
      </w:r>
    </w:p>
    <w:p w14:paraId="7E881B21" w14:textId="0BCA6967" w:rsidR="00777C83" w:rsidRPr="002836EB" w:rsidRDefault="00EF64B2" w:rsidP="00777C83">
      <w:pPr>
        <w:pStyle w:val="02dash"/>
        <w:rPr>
          <w:lang w:val="en-GB"/>
        </w:rPr>
      </w:pPr>
      <w:r w:rsidRPr="002836EB">
        <w:rPr>
          <w:lang w:val="en-GB"/>
        </w:rPr>
        <w:t>The Committee considered a</w:t>
      </w:r>
      <w:r w:rsidR="00777C83" w:rsidRPr="002836EB">
        <w:rPr>
          <w:lang w:val="en-GB"/>
        </w:rPr>
        <w:t xml:space="preserve">lternative ways of distinguishing between circumstances </w:t>
      </w:r>
      <w:r w:rsidR="00441750" w:rsidRPr="002836EB">
        <w:rPr>
          <w:lang w:val="en-GB"/>
        </w:rPr>
        <w:t xml:space="preserve">that </w:t>
      </w:r>
      <w:r w:rsidR="00777C83" w:rsidRPr="002836EB">
        <w:rPr>
          <w:lang w:val="en-GB"/>
        </w:rPr>
        <w:t>requir</w:t>
      </w:r>
      <w:r w:rsidR="00251451" w:rsidRPr="002836EB">
        <w:rPr>
          <w:lang w:val="en-GB"/>
        </w:rPr>
        <w:t>e</w:t>
      </w:r>
      <w:r w:rsidR="00777C83" w:rsidRPr="002836EB">
        <w:rPr>
          <w:lang w:val="en-GB"/>
        </w:rPr>
        <w:t xml:space="preserve"> higher </w:t>
      </w:r>
      <w:r w:rsidR="00441750" w:rsidRPr="002836EB">
        <w:rPr>
          <w:lang w:val="en-GB"/>
        </w:rPr>
        <w:t>and</w:t>
      </w:r>
      <w:r w:rsidR="00771010" w:rsidRPr="002836EB">
        <w:rPr>
          <w:lang w:val="en-GB"/>
        </w:rPr>
        <w:t xml:space="preserve"> lower </w:t>
      </w:r>
      <w:r w:rsidR="00777C83" w:rsidRPr="002836EB">
        <w:rPr>
          <w:lang w:val="en-GB"/>
        </w:rPr>
        <w:t>degrees of medical professional involvement</w:t>
      </w:r>
      <w:r w:rsidR="00314557" w:rsidRPr="002836EB">
        <w:rPr>
          <w:lang w:val="en-GB"/>
        </w:rPr>
        <w:t xml:space="preserve">. However, it was </w:t>
      </w:r>
      <w:r w:rsidR="00314557" w:rsidRPr="002836EB">
        <w:rPr>
          <w:lang w:val="en-GB"/>
        </w:rPr>
        <w:lastRenderedPageBreak/>
        <w:t>challenging</w:t>
      </w:r>
      <w:r w:rsidR="00777C83" w:rsidRPr="002836EB">
        <w:rPr>
          <w:lang w:val="en-GB"/>
        </w:rPr>
        <w:t xml:space="preserve"> to ensure consistent and accurate interpretation without unintentionally excluding or including inappropriate clinical circumstances. </w:t>
      </w:r>
    </w:p>
    <w:p w14:paraId="4685CB9B" w14:textId="63EE51F4" w:rsidR="00777C83" w:rsidRPr="002836EB" w:rsidRDefault="00777C83" w:rsidP="00777C83">
      <w:pPr>
        <w:pStyle w:val="Bullet3"/>
        <w:rPr>
          <w:lang w:val="en-GB"/>
        </w:rPr>
      </w:pPr>
      <w:r w:rsidRPr="002836EB">
        <w:rPr>
          <w:lang w:val="en-GB"/>
        </w:rPr>
        <w:t xml:space="preserve">For example, the Committee considered distinguishing between acute and maintenance therapy (where acute therapy might be considered to require greater professional involvement) but noted that </w:t>
      </w:r>
      <w:r w:rsidR="000D0F10" w:rsidRPr="002836EB">
        <w:rPr>
          <w:lang w:val="en-GB"/>
        </w:rPr>
        <w:t>‘</w:t>
      </w:r>
      <w:r w:rsidRPr="002836EB">
        <w:rPr>
          <w:lang w:val="en-GB"/>
        </w:rPr>
        <w:t>maintenance</w:t>
      </w:r>
      <w:r w:rsidR="000D0F10" w:rsidRPr="002836EB">
        <w:rPr>
          <w:lang w:val="en-GB"/>
        </w:rPr>
        <w:t>’</w:t>
      </w:r>
      <w:r w:rsidRPr="002836EB">
        <w:rPr>
          <w:lang w:val="en-GB"/>
        </w:rPr>
        <w:t xml:space="preserve"> does not have a standardi</w:t>
      </w:r>
      <w:r w:rsidR="00F90E17" w:rsidRPr="002836EB">
        <w:rPr>
          <w:lang w:val="en-GB"/>
        </w:rPr>
        <w:t>s</w:t>
      </w:r>
      <w:r w:rsidRPr="002836EB">
        <w:rPr>
          <w:lang w:val="en-GB"/>
        </w:rPr>
        <w:t xml:space="preserve">ed definition. </w:t>
      </w:r>
    </w:p>
    <w:p w14:paraId="15E0D4A6" w14:textId="0688218D" w:rsidR="00777C83" w:rsidRPr="002836EB" w:rsidRDefault="009632DA" w:rsidP="00777C83">
      <w:pPr>
        <w:pStyle w:val="Bullet3"/>
        <w:rPr>
          <w:lang w:val="en-GB"/>
        </w:rPr>
      </w:pPr>
      <w:r w:rsidRPr="002836EB">
        <w:rPr>
          <w:lang w:val="en-GB"/>
        </w:rPr>
        <w:t>The</w:t>
      </w:r>
      <w:r w:rsidR="00777C83" w:rsidRPr="002836EB">
        <w:rPr>
          <w:lang w:val="en-GB"/>
        </w:rPr>
        <w:t xml:space="preserve"> Committee </w:t>
      </w:r>
      <w:r w:rsidR="006D3389" w:rsidRPr="002836EB">
        <w:rPr>
          <w:lang w:val="en-GB"/>
        </w:rPr>
        <w:t xml:space="preserve">also </w:t>
      </w:r>
      <w:r w:rsidR="00777C83" w:rsidRPr="002836EB">
        <w:rPr>
          <w:lang w:val="en-GB"/>
        </w:rPr>
        <w:t xml:space="preserve">considered specifying certain monoclonal antibody therapies </w:t>
      </w:r>
      <w:r w:rsidR="00105291" w:rsidRPr="002836EB">
        <w:rPr>
          <w:lang w:val="en-GB"/>
        </w:rPr>
        <w:t xml:space="preserve">that </w:t>
      </w:r>
      <w:r w:rsidR="00777C83" w:rsidRPr="002836EB">
        <w:rPr>
          <w:lang w:val="en-GB"/>
        </w:rPr>
        <w:t>are less toxic</w:t>
      </w:r>
      <w:r w:rsidR="000D0F10" w:rsidRPr="002836EB">
        <w:rPr>
          <w:lang w:val="en-GB"/>
        </w:rPr>
        <w:t>,</w:t>
      </w:r>
      <w:r w:rsidR="00777C83" w:rsidRPr="002836EB">
        <w:rPr>
          <w:lang w:val="en-GB"/>
        </w:rPr>
        <w:t xml:space="preserve"> but</w:t>
      </w:r>
      <w:r w:rsidR="000D0F10" w:rsidRPr="002836EB">
        <w:rPr>
          <w:lang w:val="en-GB"/>
        </w:rPr>
        <w:t xml:space="preserve"> it</w:t>
      </w:r>
      <w:r w:rsidR="00777C83" w:rsidRPr="002836EB">
        <w:rPr>
          <w:lang w:val="en-GB"/>
        </w:rPr>
        <w:t xml:space="preserve"> </w:t>
      </w:r>
      <w:r w:rsidR="00C62E7C" w:rsidRPr="002836EB">
        <w:rPr>
          <w:lang w:val="en-GB"/>
        </w:rPr>
        <w:t xml:space="preserve">noted </w:t>
      </w:r>
      <w:r w:rsidR="00777C83" w:rsidRPr="002836EB">
        <w:rPr>
          <w:lang w:val="en-GB"/>
        </w:rPr>
        <w:t>that it is impractical to specifically exclude each instance, and</w:t>
      </w:r>
      <w:r w:rsidR="00DA15C9" w:rsidRPr="002836EB">
        <w:rPr>
          <w:lang w:val="en-GB"/>
        </w:rPr>
        <w:t xml:space="preserve"> that it is</w:t>
      </w:r>
      <w:r w:rsidR="00777C83" w:rsidRPr="002836EB">
        <w:rPr>
          <w:lang w:val="en-GB"/>
        </w:rPr>
        <w:t xml:space="preserve"> conceptually difficult where therapies lie on a continuum of toxicity. </w:t>
      </w:r>
    </w:p>
    <w:p w14:paraId="7ACF4F78" w14:textId="2FDB8AAC" w:rsidR="00777C83" w:rsidRPr="002836EB" w:rsidRDefault="00504ABB" w:rsidP="00FB763C">
      <w:pPr>
        <w:pStyle w:val="01squarebullet"/>
        <w:rPr>
          <w:lang w:val="en-GB"/>
        </w:rPr>
      </w:pPr>
      <w:r w:rsidRPr="002836EB">
        <w:rPr>
          <w:lang w:val="en-GB"/>
        </w:rPr>
        <w:t xml:space="preserve">The Committee observed that </w:t>
      </w:r>
      <w:r w:rsidR="00825F98" w:rsidRPr="002836EB">
        <w:rPr>
          <w:lang w:val="en-GB"/>
        </w:rPr>
        <w:t xml:space="preserve">the intent of </w:t>
      </w:r>
      <w:r w:rsidRPr="002836EB">
        <w:rPr>
          <w:lang w:val="en-GB"/>
        </w:rPr>
        <w:t xml:space="preserve">current funding arrangements </w:t>
      </w:r>
      <w:r w:rsidR="00825F98" w:rsidRPr="002836EB">
        <w:rPr>
          <w:lang w:val="en-GB"/>
        </w:rPr>
        <w:t>is</w:t>
      </w:r>
      <w:r w:rsidRPr="002836EB">
        <w:rPr>
          <w:lang w:val="en-GB"/>
        </w:rPr>
        <w:t xml:space="preserve"> often misconstrued.</w:t>
      </w:r>
      <w:r w:rsidR="008B7BE0" w:rsidRPr="002836EB">
        <w:rPr>
          <w:lang w:val="en-GB"/>
        </w:rPr>
        <w:t xml:space="preserve"> </w:t>
      </w:r>
      <w:r w:rsidR="00777C83" w:rsidRPr="002836EB">
        <w:rPr>
          <w:lang w:val="en-GB"/>
        </w:rPr>
        <w:t>MBS items for chemotherapy administration were originally introduced to cover medical professional involvement (either directly administering the chemotherapy or supervising administration by non-</w:t>
      </w:r>
      <w:r w:rsidR="007C2007" w:rsidRPr="002836EB">
        <w:rPr>
          <w:lang w:val="en-GB"/>
        </w:rPr>
        <w:t>Medical Practitioner</w:t>
      </w:r>
      <w:r w:rsidR="00777C83" w:rsidRPr="002836EB">
        <w:rPr>
          <w:lang w:val="en-GB"/>
        </w:rPr>
        <w:t>s)</w:t>
      </w:r>
      <w:r w:rsidR="00F038FB" w:rsidRPr="002836EB">
        <w:rPr>
          <w:lang w:val="en-GB"/>
        </w:rPr>
        <w:t>.</w:t>
      </w:r>
    </w:p>
    <w:p w14:paraId="248DDA60" w14:textId="2246433F" w:rsidR="00F038FB" w:rsidRPr="002836EB" w:rsidRDefault="00F038FB" w:rsidP="00F038FB">
      <w:pPr>
        <w:pStyle w:val="02dash"/>
        <w:rPr>
          <w:lang w:val="en-GB"/>
        </w:rPr>
      </w:pPr>
      <w:r w:rsidRPr="002836EB">
        <w:rPr>
          <w:bCs/>
          <w:lang w:val="en-GB"/>
        </w:rPr>
        <w:t xml:space="preserve">Confusion </w:t>
      </w:r>
      <w:r w:rsidR="0095414C" w:rsidRPr="002836EB">
        <w:rPr>
          <w:bCs/>
          <w:lang w:val="en-GB"/>
        </w:rPr>
        <w:t xml:space="preserve">around </w:t>
      </w:r>
      <w:r w:rsidRPr="002836EB">
        <w:rPr>
          <w:bCs/>
          <w:lang w:val="en-GB"/>
        </w:rPr>
        <w:t xml:space="preserve">the intent of the MBS items stems from the commercial arrangements between facilities and providers. </w:t>
      </w:r>
      <w:r w:rsidR="003B5375" w:rsidRPr="002836EB">
        <w:rPr>
          <w:bCs/>
          <w:lang w:val="en-GB"/>
        </w:rPr>
        <w:t>Although</w:t>
      </w:r>
      <w:r w:rsidR="003B5375" w:rsidRPr="002836EB">
        <w:rPr>
          <w:lang w:val="en-GB"/>
        </w:rPr>
        <w:t xml:space="preserve"> </w:t>
      </w:r>
      <w:r w:rsidRPr="002836EB">
        <w:rPr>
          <w:lang w:val="en-GB"/>
        </w:rPr>
        <w:t xml:space="preserve">MBS items for chemotherapy administration are not intended to cover the nursing costs of administration, some facilities choose to recoup nursing costs </w:t>
      </w:r>
      <w:r w:rsidR="001A0E1F" w:rsidRPr="002836EB">
        <w:rPr>
          <w:lang w:val="en-GB"/>
        </w:rPr>
        <w:t xml:space="preserve">by </w:t>
      </w:r>
      <w:r w:rsidRPr="002836EB">
        <w:rPr>
          <w:lang w:val="en-GB"/>
        </w:rPr>
        <w:t xml:space="preserve">charging facility fees. These facility fees are often calculated as a percentage of a </w:t>
      </w:r>
      <w:r w:rsidR="00B248C2">
        <w:rPr>
          <w:lang w:val="en-GB"/>
        </w:rPr>
        <w:t>Medical Oncologist</w:t>
      </w:r>
      <w:r w:rsidRPr="002836EB">
        <w:rPr>
          <w:lang w:val="en-GB"/>
        </w:rPr>
        <w:t xml:space="preserve">’s MBS billings. This has led to the misconception that MBS items for chemotherapy administration are intended to cover </w:t>
      </w:r>
      <w:r w:rsidR="00880D91">
        <w:rPr>
          <w:lang w:val="en-GB"/>
        </w:rPr>
        <w:t>nursing</w:t>
      </w:r>
      <w:r w:rsidR="00880D91" w:rsidRPr="002836EB">
        <w:rPr>
          <w:lang w:val="en-GB"/>
        </w:rPr>
        <w:t xml:space="preserve"> </w:t>
      </w:r>
      <w:r w:rsidRPr="002836EB">
        <w:rPr>
          <w:lang w:val="en-GB"/>
        </w:rPr>
        <w:t>costs.</w:t>
      </w:r>
    </w:p>
    <w:p w14:paraId="7C8BB001" w14:textId="773E25D2" w:rsidR="00404EBC" w:rsidRPr="002836EB" w:rsidRDefault="00777C83" w:rsidP="00404EBC">
      <w:pPr>
        <w:pStyle w:val="02dash"/>
        <w:rPr>
          <w:lang w:val="en-GB"/>
        </w:rPr>
      </w:pPr>
      <w:r w:rsidRPr="002836EB">
        <w:rPr>
          <w:lang w:val="en-GB"/>
        </w:rPr>
        <w:t>As with other therapeu</w:t>
      </w:r>
      <w:r w:rsidR="00FB0A35" w:rsidRPr="002836EB">
        <w:rPr>
          <w:lang w:val="en-GB"/>
        </w:rPr>
        <w:t>tic services, nursing costs may</w:t>
      </w:r>
      <w:r w:rsidR="00C0203F" w:rsidRPr="002836EB">
        <w:rPr>
          <w:lang w:val="en-GB"/>
        </w:rPr>
        <w:t xml:space="preserve"> also</w:t>
      </w:r>
      <w:r w:rsidR="00FB0A35" w:rsidRPr="002836EB">
        <w:rPr>
          <w:lang w:val="en-GB"/>
        </w:rPr>
        <w:t xml:space="preserve"> be </w:t>
      </w:r>
      <w:r w:rsidRPr="002836EB">
        <w:rPr>
          <w:lang w:val="en-GB"/>
        </w:rPr>
        <w:t xml:space="preserve">covered via accommodation fees (a bundle </w:t>
      </w:r>
      <w:r w:rsidR="003B3E87" w:rsidRPr="002836EB">
        <w:rPr>
          <w:lang w:val="en-GB"/>
        </w:rPr>
        <w:t xml:space="preserve">that </w:t>
      </w:r>
      <w:r w:rsidRPr="002836EB">
        <w:rPr>
          <w:lang w:val="en-GB"/>
        </w:rPr>
        <w:t xml:space="preserve">includes bed, board </w:t>
      </w:r>
      <w:r w:rsidR="00594411" w:rsidRPr="002836EB">
        <w:rPr>
          <w:lang w:val="en-GB"/>
        </w:rPr>
        <w:t>and other expenses</w:t>
      </w:r>
      <w:r w:rsidRPr="002836EB">
        <w:rPr>
          <w:lang w:val="en-GB"/>
        </w:rPr>
        <w:t xml:space="preserve"> involved in a hospital stay)</w:t>
      </w:r>
      <w:r w:rsidR="00F038FB" w:rsidRPr="002836EB">
        <w:rPr>
          <w:lang w:val="en-GB"/>
        </w:rPr>
        <w:t xml:space="preserve">. However, </w:t>
      </w:r>
      <w:r w:rsidR="001F7AA6" w:rsidRPr="002836EB">
        <w:rPr>
          <w:lang w:val="en-GB"/>
        </w:rPr>
        <w:t>p</w:t>
      </w:r>
      <w:r w:rsidR="00F038FB" w:rsidRPr="002836EB">
        <w:rPr>
          <w:lang w:val="en-GB"/>
        </w:rPr>
        <w:t xml:space="preserve">rivate </w:t>
      </w:r>
      <w:r w:rsidR="001F7AA6" w:rsidRPr="002836EB">
        <w:rPr>
          <w:lang w:val="en-GB"/>
        </w:rPr>
        <w:t>h</w:t>
      </w:r>
      <w:r w:rsidR="00F038FB" w:rsidRPr="002836EB">
        <w:rPr>
          <w:lang w:val="en-GB"/>
        </w:rPr>
        <w:t xml:space="preserve">ealth </w:t>
      </w:r>
      <w:r w:rsidR="001F7AA6" w:rsidRPr="002836EB">
        <w:rPr>
          <w:lang w:val="en-GB"/>
        </w:rPr>
        <w:t>i</w:t>
      </w:r>
      <w:r w:rsidR="00F038FB" w:rsidRPr="002836EB">
        <w:rPr>
          <w:lang w:val="en-GB"/>
        </w:rPr>
        <w:t xml:space="preserve">nsurance coverage </w:t>
      </w:r>
      <w:r w:rsidRPr="002836EB">
        <w:rPr>
          <w:bCs/>
          <w:lang w:val="en-GB"/>
        </w:rPr>
        <w:t xml:space="preserve">of chemotherapy typically includes inpatient but not outpatient chemotherapy. </w:t>
      </w:r>
      <w:r w:rsidRPr="002836EB">
        <w:rPr>
          <w:lang w:val="en-GB"/>
        </w:rPr>
        <w:t xml:space="preserve">The barrier to </w:t>
      </w:r>
      <w:r w:rsidR="00CB7AC2">
        <w:rPr>
          <w:lang w:val="en-GB"/>
        </w:rPr>
        <w:t>private health insurance</w:t>
      </w:r>
      <w:r w:rsidRPr="002836EB">
        <w:rPr>
          <w:lang w:val="en-GB"/>
        </w:rPr>
        <w:t xml:space="preserve"> coverage of outpatient chemotherapy is not legislative</w:t>
      </w:r>
      <w:r w:rsidR="003F15D4" w:rsidRPr="002836EB">
        <w:rPr>
          <w:lang w:val="en-GB"/>
        </w:rPr>
        <w:t>,</w:t>
      </w:r>
      <w:r w:rsidRPr="002836EB">
        <w:rPr>
          <w:lang w:val="en-GB"/>
        </w:rPr>
        <w:t xml:space="preserve"> as chemotherapy is </w:t>
      </w:r>
      <w:r w:rsidR="00C96B09" w:rsidRPr="002836EB">
        <w:rPr>
          <w:lang w:val="en-GB"/>
        </w:rPr>
        <w:t xml:space="preserve">listed </w:t>
      </w:r>
      <w:r w:rsidRPr="002836EB">
        <w:rPr>
          <w:lang w:val="en-GB"/>
        </w:rPr>
        <w:t>a</w:t>
      </w:r>
      <w:r w:rsidR="00C96B09" w:rsidRPr="002836EB">
        <w:rPr>
          <w:lang w:val="en-GB"/>
        </w:rPr>
        <w:t>s a</w:t>
      </w:r>
      <w:r w:rsidRPr="002836EB">
        <w:rPr>
          <w:lang w:val="en-GB"/>
        </w:rPr>
        <w:t xml:space="preserve"> </w:t>
      </w:r>
      <w:r w:rsidR="007332E4" w:rsidRPr="002836EB">
        <w:rPr>
          <w:lang w:val="en-GB"/>
        </w:rPr>
        <w:t>h</w:t>
      </w:r>
      <w:r w:rsidRPr="002836EB">
        <w:rPr>
          <w:lang w:val="en-GB"/>
        </w:rPr>
        <w:t xml:space="preserve">ospital </w:t>
      </w:r>
      <w:r w:rsidR="007332E4" w:rsidRPr="002836EB">
        <w:rPr>
          <w:lang w:val="en-GB"/>
        </w:rPr>
        <w:t>s</w:t>
      </w:r>
      <w:r w:rsidRPr="002836EB">
        <w:rPr>
          <w:lang w:val="en-GB"/>
        </w:rPr>
        <w:t xml:space="preserve">ubstitute </w:t>
      </w:r>
      <w:r w:rsidR="007332E4" w:rsidRPr="002836EB">
        <w:rPr>
          <w:lang w:val="en-GB"/>
        </w:rPr>
        <w:t>t</w:t>
      </w:r>
      <w:r w:rsidRPr="002836EB">
        <w:rPr>
          <w:lang w:val="en-GB"/>
        </w:rPr>
        <w:t xml:space="preserve">reatment under the </w:t>
      </w:r>
      <w:r w:rsidR="00BF7F9F" w:rsidRPr="002836EB">
        <w:rPr>
          <w:lang w:val="en-GB"/>
        </w:rPr>
        <w:t>b</w:t>
      </w:r>
      <w:r w:rsidRPr="002836EB">
        <w:rPr>
          <w:lang w:val="en-GB"/>
        </w:rPr>
        <w:t xml:space="preserve">roader </w:t>
      </w:r>
      <w:r w:rsidR="00BF7F9F" w:rsidRPr="002836EB">
        <w:rPr>
          <w:lang w:val="en-GB"/>
        </w:rPr>
        <w:t>h</w:t>
      </w:r>
      <w:r w:rsidRPr="002836EB">
        <w:rPr>
          <w:lang w:val="en-GB"/>
        </w:rPr>
        <w:t xml:space="preserve">ealth </w:t>
      </w:r>
      <w:r w:rsidR="00BF7F9F" w:rsidRPr="002836EB">
        <w:rPr>
          <w:lang w:val="en-GB"/>
        </w:rPr>
        <w:t>c</w:t>
      </w:r>
      <w:r w:rsidRPr="002836EB">
        <w:rPr>
          <w:lang w:val="en-GB"/>
        </w:rPr>
        <w:t>over reforms of 2007</w:t>
      </w:r>
      <w:r w:rsidR="00F038FB" w:rsidRPr="002836EB">
        <w:rPr>
          <w:lang w:val="en-GB"/>
        </w:rPr>
        <w:t>.</w:t>
      </w:r>
    </w:p>
    <w:p w14:paraId="4036C75D" w14:textId="0CEC61CE" w:rsidR="00404EBC" w:rsidRPr="002836EB" w:rsidRDefault="00404EBC" w:rsidP="00404EBC">
      <w:pPr>
        <w:pStyle w:val="02dash"/>
        <w:numPr>
          <w:ilvl w:val="0"/>
          <w:numId w:val="6"/>
        </w:numPr>
        <w:rPr>
          <w:lang w:val="en-GB"/>
        </w:rPr>
      </w:pPr>
      <w:r w:rsidRPr="002836EB">
        <w:rPr>
          <w:lang w:val="en-GB"/>
        </w:rPr>
        <w:t xml:space="preserve">Some </w:t>
      </w:r>
      <w:r w:rsidR="007C2007" w:rsidRPr="002836EB">
        <w:rPr>
          <w:lang w:val="en-GB"/>
        </w:rPr>
        <w:t>Nurse</w:t>
      </w:r>
      <w:r w:rsidRPr="002836EB">
        <w:rPr>
          <w:lang w:val="en-GB"/>
        </w:rPr>
        <w:t xml:space="preserve"> Practitioner services are now reimbursable through MBS items, </w:t>
      </w:r>
      <w:r w:rsidR="00A90F1E" w:rsidRPr="002836EB">
        <w:rPr>
          <w:lang w:val="en-GB"/>
        </w:rPr>
        <w:t>reflecting</w:t>
      </w:r>
      <w:r w:rsidRPr="002836EB">
        <w:rPr>
          <w:lang w:val="en-GB"/>
        </w:rPr>
        <w:t xml:space="preserve"> the changing health workforce landscape </w:t>
      </w:r>
      <w:r w:rsidR="00B90C19" w:rsidRPr="002836EB">
        <w:rPr>
          <w:lang w:val="en-GB"/>
        </w:rPr>
        <w:t xml:space="preserve">and </w:t>
      </w:r>
      <w:r w:rsidR="007C2007" w:rsidRPr="002836EB">
        <w:rPr>
          <w:lang w:val="en-GB"/>
        </w:rPr>
        <w:t>Nurse</w:t>
      </w:r>
      <w:r w:rsidRPr="002836EB">
        <w:rPr>
          <w:lang w:val="en-GB"/>
        </w:rPr>
        <w:t xml:space="preserve"> Practitioners</w:t>
      </w:r>
      <w:r w:rsidR="003B2456" w:rsidRPr="002836EB">
        <w:rPr>
          <w:lang w:val="en-GB"/>
        </w:rPr>
        <w:t>’</w:t>
      </w:r>
      <w:r w:rsidRPr="002836EB">
        <w:rPr>
          <w:lang w:val="en-GB"/>
        </w:rPr>
        <w:t xml:space="preserve"> increasing role in the provision of health services. Nursing services provided by </w:t>
      </w:r>
      <w:r w:rsidR="007C2007" w:rsidRPr="002836EB">
        <w:rPr>
          <w:lang w:val="en-GB"/>
        </w:rPr>
        <w:t>Nurse</w:t>
      </w:r>
      <w:r w:rsidRPr="002836EB">
        <w:rPr>
          <w:lang w:val="en-GB"/>
        </w:rPr>
        <w:t xml:space="preserve">s other than </w:t>
      </w:r>
      <w:r w:rsidR="007C2007" w:rsidRPr="002836EB">
        <w:rPr>
          <w:lang w:val="en-GB"/>
        </w:rPr>
        <w:t>Nurse</w:t>
      </w:r>
      <w:r w:rsidRPr="002836EB">
        <w:rPr>
          <w:lang w:val="en-GB"/>
        </w:rPr>
        <w:t xml:space="preserve"> Practitioners remain outside the scope of MBS items. In </w:t>
      </w:r>
      <w:r w:rsidR="00475EE7" w:rsidRPr="002836EB">
        <w:rPr>
          <w:lang w:val="en-GB"/>
        </w:rPr>
        <w:t xml:space="preserve">the </w:t>
      </w:r>
      <w:r w:rsidRPr="002836EB">
        <w:rPr>
          <w:lang w:val="en-GB"/>
        </w:rPr>
        <w:t>absence of a policy shift to include nursing services more broadly</w:t>
      </w:r>
      <w:r w:rsidR="00FF1766" w:rsidRPr="002836EB">
        <w:rPr>
          <w:lang w:val="en-GB"/>
        </w:rPr>
        <w:t xml:space="preserve"> in the MBS</w:t>
      </w:r>
      <w:r w:rsidRPr="002836EB">
        <w:rPr>
          <w:lang w:val="en-GB"/>
        </w:rPr>
        <w:t xml:space="preserve"> (beyond those currently included for </w:t>
      </w:r>
      <w:r w:rsidR="007C2007" w:rsidRPr="002836EB">
        <w:rPr>
          <w:lang w:val="en-GB"/>
        </w:rPr>
        <w:t>Nurse</w:t>
      </w:r>
      <w:r w:rsidRPr="002836EB">
        <w:rPr>
          <w:lang w:val="en-GB"/>
        </w:rPr>
        <w:t xml:space="preserve"> Practitioners), </w:t>
      </w:r>
      <w:r w:rsidR="00C2783C" w:rsidRPr="002836EB">
        <w:rPr>
          <w:lang w:val="en-GB"/>
        </w:rPr>
        <w:t>anticancer therapy</w:t>
      </w:r>
      <w:r w:rsidRPr="002836EB">
        <w:rPr>
          <w:lang w:val="en-GB"/>
        </w:rPr>
        <w:t xml:space="preserve"> items should</w:t>
      </w:r>
      <w:r w:rsidR="002E0572" w:rsidRPr="002836EB">
        <w:rPr>
          <w:lang w:val="en-GB"/>
        </w:rPr>
        <w:t xml:space="preserve"> continue covering </w:t>
      </w:r>
      <w:r w:rsidRPr="002836EB">
        <w:rPr>
          <w:lang w:val="en-GB"/>
        </w:rPr>
        <w:t>medical professional involvement (i.e.</w:t>
      </w:r>
      <w:r w:rsidR="005224D4" w:rsidRPr="002836EB">
        <w:rPr>
          <w:lang w:val="en-GB"/>
        </w:rPr>
        <w:t>,</w:t>
      </w:r>
      <w:r w:rsidRPr="002836EB">
        <w:rPr>
          <w:lang w:val="en-GB"/>
        </w:rPr>
        <w:t xml:space="preserve"> medical supervision).</w:t>
      </w:r>
    </w:p>
    <w:p w14:paraId="793971FC" w14:textId="040F810C" w:rsidR="00777C83" w:rsidRDefault="00C0203F" w:rsidP="00384DD0">
      <w:pPr>
        <w:pStyle w:val="02dash"/>
        <w:numPr>
          <w:ilvl w:val="0"/>
          <w:numId w:val="6"/>
        </w:numPr>
        <w:rPr>
          <w:lang w:val="en-GB"/>
        </w:rPr>
      </w:pPr>
      <w:r w:rsidRPr="002836EB">
        <w:rPr>
          <w:lang w:val="en-GB"/>
        </w:rPr>
        <w:t xml:space="preserve">The arrangements </w:t>
      </w:r>
      <w:r w:rsidR="00811DDF" w:rsidRPr="002836EB">
        <w:rPr>
          <w:lang w:val="en-GB"/>
        </w:rPr>
        <w:t xml:space="preserve">through </w:t>
      </w:r>
      <w:r w:rsidRPr="002836EB">
        <w:rPr>
          <w:lang w:val="en-GB"/>
        </w:rPr>
        <w:t xml:space="preserve">which facilities choose to charge for nursing costs remain a private matter for the facility to determine and </w:t>
      </w:r>
      <w:r w:rsidR="00561E60" w:rsidRPr="002836EB">
        <w:rPr>
          <w:lang w:val="en-GB"/>
        </w:rPr>
        <w:t>are</w:t>
      </w:r>
      <w:r w:rsidRPr="002836EB">
        <w:rPr>
          <w:lang w:val="en-GB"/>
        </w:rPr>
        <w:t xml:space="preserve"> not within the scope of the MBS Review. </w:t>
      </w:r>
      <w:r w:rsidR="00777C83" w:rsidRPr="002836EB">
        <w:rPr>
          <w:lang w:val="en-GB"/>
        </w:rPr>
        <w:t xml:space="preserve">Facilities across Australia have </w:t>
      </w:r>
      <w:r w:rsidR="00700F6D">
        <w:rPr>
          <w:lang w:val="en-GB"/>
        </w:rPr>
        <w:t>different</w:t>
      </w:r>
      <w:r w:rsidR="00700F6D" w:rsidRPr="002836EB">
        <w:rPr>
          <w:lang w:val="en-GB"/>
        </w:rPr>
        <w:t xml:space="preserve"> </w:t>
      </w:r>
      <w:r w:rsidR="00777C83" w:rsidRPr="002836EB">
        <w:rPr>
          <w:lang w:val="en-GB"/>
        </w:rPr>
        <w:t>business models and a complex ecosystem of funding arrang</w:t>
      </w:r>
      <w:r w:rsidR="00F36070" w:rsidRPr="002836EB">
        <w:rPr>
          <w:lang w:val="en-GB"/>
        </w:rPr>
        <w:t xml:space="preserve">ements for anticancer therapy. </w:t>
      </w:r>
      <w:r w:rsidR="00777C83" w:rsidRPr="002836EB">
        <w:rPr>
          <w:lang w:val="en-GB"/>
        </w:rPr>
        <w:t>The</w:t>
      </w:r>
      <w:r w:rsidR="00F36070" w:rsidRPr="002836EB">
        <w:rPr>
          <w:lang w:val="en-GB"/>
        </w:rPr>
        <w:t xml:space="preserve"> Committee’s</w:t>
      </w:r>
      <w:r w:rsidR="00777C83" w:rsidRPr="002836EB">
        <w:rPr>
          <w:lang w:val="en-GB"/>
        </w:rPr>
        <w:t xml:space="preserve"> recommendation is not intended</w:t>
      </w:r>
      <w:r w:rsidR="003120E1" w:rsidRPr="002836EB">
        <w:rPr>
          <w:lang w:val="en-GB"/>
        </w:rPr>
        <w:t xml:space="preserve"> (</w:t>
      </w:r>
      <w:r w:rsidR="00777C83" w:rsidRPr="002836EB">
        <w:rPr>
          <w:lang w:val="en-GB"/>
        </w:rPr>
        <w:t>nor expected</w:t>
      </w:r>
      <w:r w:rsidR="003120E1" w:rsidRPr="002836EB">
        <w:rPr>
          <w:lang w:val="en-GB"/>
        </w:rPr>
        <w:t>)</w:t>
      </w:r>
      <w:r w:rsidR="00777C83" w:rsidRPr="002836EB">
        <w:rPr>
          <w:lang w:val="en-GB"/>
        </w:rPr>
        <w:t xml:space="preserve"> to reduce the overall level of public funding for cancer services</w:t>
      </w:r>
      <w:r w:rsidR="00D72C70" w:rsidRPr="002836EB">
        <w:rPr>
          <w:lang w:val="en-GB"/>
        </w:rPr>
        <w:t xml:space="preserve"> in any way</w:t>
      </w:r>
      <w:r w:rsidR="00F36070" w:rsidRPr="002836EB">
        <w:rPr>
          <w:lang w:val="en-GB"/>
        </w:rPr>
        <w:t>.</w:t>
      </w:r>
      <w:r w:rsidR="008F1344" w:rsidRPr="002836EB">
        <w:rPr>
          <w:lang w:val="en-GB"/>
        </w:rPr>
        <w:t xml:space="preserve"> T</w:t>
      </w:r>
      <w:r w:rsidR="00404EBC" w:rsidRPr="002836EB">
        <w:rPr>
          <w:lang w:val="en-GB"/>
        </w:rPr>
        <w:t xml:space="preserve">he MBS cannot, and should not, decree how facility fees are agreed between individual providers and facilities, </w:t>
      </w:r>
      <w:r w:rsidR="008D68DF" w:rsidRPr="002836EB">
        <w:rPr>
          <w:lang w:val="en-GB"/>
        </w:rPr>
        <w:t xml:space="preserve">and </w:t>
      </w:r>
      <w:r w:rsidR="00404EBC" w:rsidRPr="002836EB">
        <w:rPr>
          <w:lang w:val="en-GB"/>
        </w:rPr>
        <w:t>the recommended change is anticipated to be compatible with most existing funding arrangements.</w:t>
      </w:r>
      <w:r w:rsidR="0079233B">
        <w:rPr>
          <w:lang w:val="en-GB"/>
        </w:rPr>
        <w:t xml:space="preserve"> </w:t>
      </w:r>
      <w:r w:rsidR="0079233B">
        <w:rPr>
          <w:lang w:val="en-GB"/>
        </w:rPr>
        <w:fldChar w:fldCharType="begin"/>
      </w:r>
      <w:r w:rsidR="0079233B">
        <w:rPr>
          <w:lang w:val="en-GB"/>
        </w:rPr>
        <w:instrText xml:space="preserve"> REF _Ref478311154 \r \h </w:instrText>
      </w:r>
      <w:r w:rsidR="0079233B">
        <w:rPr>
          <w:lang w:val="en-GB"/>
        </w:rPr>
      </w:r>
      <w:r w:rsidR="0079233B">
        <w:rPr>
          <w:lang w:val="en-GB"/>
        </w:rPr>
        <w:fldChar w:fldCharType="separate"/>
      </w:r>
      <w:r w:rsidR="003274EF">
        <w:rPr>
          <w:lang w:val="en-GB"/>
        </w:rPr>
        <w:t xml:space="preserve">Appendix E </w:t>
      </w:r>
      <w:r w:rsidR="0079233B">
        <w:rPr>
          <w:lang w:val="en-GB"/>
        </w:rPr>
        <w:fldChar w:fldCharType="end"/>
      </w:r>
      <w:r w:rsidR="007514FE">
        <w:rPr>
          <w:lang w:val="en-GB"/>
        </w:rPr>
        <w:t>provides further information on this matter.</w:t>
      </w:r>
    </w:p>
    <w:p w14:paraId="6A11B1FB" w14:textId="136FE5ED" w:rsidR="00B211D9" w:rsidRPr="002836EB" w:rsidRDefault="00B211D9" w:rsidP="00B211D9">
      <w:r>
        <w:t>The Committee also specifically noted two limitations to their recommendation on items for the management of anticancer therapy.</w:t>
      </w:r>
    </w:p>
    <w:p w14:paraId="5FF2D875" w14:textId="4AECE24C" w:rsidR="00777C83" w:rsidRDefault="00E8700B" w:rsidP="00E563F7">
      <w:pPr>
        <w:pStyle w:val="01squarebullet"/>
        <w:rPr>
          <w:lang w:val="en-GB"/>
        </w:rPr>
      </w:pPr>
      <w:r w:rsidRPr="00E8700B">
        <w:rPr>
          <w:b/>
          <w:lang w:val="en-GB"/>
        </w:rPr>
        <w:t xml:space="preserve">Non-cancer uses: </w:t>
      </w:r>
      <w:r w:rsidR="00B211D9">
        <w:rPr>
          <w:lang w:val="en-GB"/>
        </w:rPr>
        <w:t xml:space="preserve">The recommendation and rationale on items for the management of anticancer therapy </w:t>
      </w:r>
      <w:r w:rsidR="00B27BC2" w:rsidRPr="002836EB">
        <w:rPr>
          <w:lang w:val="en-GB"/>
        </w:rPr>
        <w:t xml:space="preserve">do </w:t>
      </w:r>
      <w:r w:rsidR="00777C83" w:rsidRPr="002836EB">
        <w:rPr>
          <w:lang w:val="en-GB"/>
        </w:rPr>
        <w:t xml:space="preserve">not consider </w:t>
      </w:r>
      <w:r w:rsidR="006202D5">
        <w:rPr>
          <w:lang w:val="en-GB"/>
        </w:rPr>
        <w:t xml:space="preserve">the </w:t>
      </w:r>
      <w:r w:rsidR="00777C83" w:rsidRPr="002836EB">
        <w:rPr>
          <w:lang w:val="en-GB"/>
        </w:rPr>
        <w:t>use of cytotoxic chemotherapeutic agents for purposes other than the management of cancer, for which the treatment regimens and major determinants of the</w:t>
      </w:r>
      <w:r w:rsidR="00811E19" w:rsidRPr="002836EB">
        <w:rPr>
          <w:lang w:val="en-GB"/>
        </w:rPr>
        <w:t xml:space="preserve"> required</w:t>
      </w:r>
      <w:r w:rsidR="00777C83" w:rsidRPr="002836EB">
        <w:rPr>
          <w:lang w:val="en-GB"/>
        </w:rPr>
        <w:t xml:space="preserve"> level of medical professional involvement may differ. </w:t>
      </w:r>
    </w:p>
    <w:p w14:paraId="515793E3" w14:textId="269795A2" w:rsidR="00596725" w:rsidRPr="004E1896" w:rsidRDefault="00515565" w:rsidP="004E1896">
      <w:pPr>
        <w:pStyle w:val="01squarebullet"/>
        <w:rPr>
          <w:lang w:val="en-GB"/>
        </w:rPr>
      </w:pPr>
      <w:r w:rsidRPr="00515565">
        <w:rPr>
          <w:b/>
          <w:lang w:val="en-GB"/>
        </w:rPr>
        <w:t xml:space="preserve">Unexplained variation: </w:t>
      </w:r>
      <w:r w:rsidR="00596725" w:rsidRPr="00596725">
        <w:rPr>
          <w:lang w:val="en-GB"/>
        </w:rPr>
        <w:t xml:space="preserve">As noted above, the Committee observed irregular and unexplained variation in </w:t>
      </w:r>
      <w:r w:rsidR="001F21C6">
        <w:rPr>
          <w:lang w:val="en-GB"/>
        </w:rPr>
        <w:t>item use</w:t>
      </w:r>
      <w:r w:rsidR="00596725" w:rsidRPr="00596725">
        <w:rPr>
          <w:lang w:val="en-GB"/>
        </w:rPr>
        <w:t xml:space="preserve"> between states/territories. For example, the proportion of chemotherapy </w:t>
      </w:r>
      <w:r w:rsidR="00596725" w:rsidRPr="00596725">
        <w:rPr>
          <w:lang w:val="en-GB"/>
        </w:rPr>
        <w:lastRenderedPageBreak/>
        <w:t>billings accounted for by MBS items for a duration of more than six hours of continuous administration was three times higher in Victoria than in New South Wales (</w:t>
      </w:r>
      <w:r w:rsidR="00596725" w:rsidRPr="00596725">
        <w:rPr>
          <w:lang w:val="en-GB"/>
        </w:rPr>
        <w:fldChar w:fldCharType="begin"/>
      </w:r>
      <w:r w:rsidR="00596725" w:rsidRPr="00596725">
        <w:rPr>
          <w:lang w:val="en-GB"/>
        </w:rPr>
        <w:instrText xml:space="preserve"> REF _Ref464491036 \h </w:instrText>
      </w:r>
      <w:r w:rsidR="00596725" w:rsidRPr="00596725">
        <w:rPr>
          <w:lang w:val="en-GB"/>
        </w:rPr>
      </w:r>
      <w:r w:rsidR="00596725" w:rsidRPr="00596725">
        <w:rPr>
          <w:lang w:val="en-GB"/>
        </w:rPr>
        <w:fldChar w:fldCharType="separate"/>
      </w:r>
      <w:r w:rsidR="003274EF" w:rsidRPr="002836EB">
        <w:t xml:space="preserve">Figure </w:t>
      </w:r>
      <w:r w:rsidR="003274EF">
        <w:rPr>
          <w:noProof/>
        </w:rPr>
        <w:t>3</w:t>
      </w:r>
      <w:r w:rsidR="00596725" w:rsidRPr="00596725">
        <w:rPr>
          <w:lang w:val="en-GB"/>
        </w:rPr>
        <w:fldChar w:fldCharType="end"/>
      </w:r>
      <w:r w:rsidR="00596725" w:rsidRPr="00596725">
        <w:rPr>
          <w:lang w:val="en-GB"/>
        </w:rPr>
        <w:t>).</w:t>
      </w:r>
      <w:r w:rsidR="00596725">
        <w:rPr>
          <w:lang w:val="en-GB"/>
        </w:rPr>
        <w:t xml:space="preserve"> </w:t>
      </w:r>
      <w:r w:rsidR="009E2F2B">
        <w:rPr>
          <w:lang w:val="en-GB"/>
        </w:rPr>
        <w:t>Although</w:t>
      </w:r>
      <w:r w:rsidR="009E2F2B" w:rsidRPr="00596725">
        <w:rPr>
          <w:lang w:val="en-GB"/>
        </w:rPr>
        <w:t xml:space="preserve"> </w:t>
      </w:r>
      <w:r w:rsidR="00E329AC" w:rsidRPr="00596725">
        <w:rPr>
          <w:lang w:val="en-GB"/>
        </w:rPr>
        <w:t xml:space="preserve">the </w:t>
      </w:r>
      <w:r w:rsidR="006178AA" w:rsidRPr="00596725">
        <w:rPr>
          <w:lang w:val="en-GB"/>
        </w:rPr>
        <w:t>Committee</w:t>
      </w:r>
      <w:r w:rsidR="00E329AC" w:rsidRPr="00596725">
        <w:rPr>
          <w:lang w:val="en-GB"/>
        </w:rPr>
        <w:t xml:space="preserve"> believes that the recommended items will </w:t>
      </w:r>
      <w:r w:rsidR="008816E8">
        <w:rPr>
          <w:lang w:val="en-GB"/>
        </w:rPr>
        <w:t>make the MBS easier to use</w:t>
      </w:r>
      <w:r w:rsidR="00E329AC" w:rsidRPr="00596725">
        <w:rPr>
          <w:lang w:val="en-GB"/>
        </w:rPr>
        <w:t xml:space="preserve"> and better align item descriptors with their clinical intent, there may be residual unexplained variation in item use. This residual variation may not be readily explained by factors relating to clinical need and may reflect item use that differs from the intended use of MBS items. Any further revisions to improve item descriptors should be informed by an understanding of the causes </w:t>
      </w:r>
      <w:r w:rsidR="00E64547">
        <w:rPr>
          <w:lang w:val="en-GB"/>
        </w:rPr>
        <w:t>of</w:t>
      </w:r>
      <w:r w:rsidR="00E64547" w:rsidRPr="00596725">
        <w:rPr>
          <w:lang w:val="en-GB"/>
        </w:rPr>
        <w:t xml:space="preserve"> </w:t>
      </w:r>
      <w:r w:rsidR="00E329AC" w:rsidRPr="00596725">
        <w:rPr>
          <w:lang w:val="en-GB"/>
        </w:rPr>
        <w:t xml:space="preserve">such variation. The Committee therefore supports </w:t>
      </w:r>
      <w:r w:rsidR="002D4358" w:rsidRPr="00596725">
        <w:rPr>
          <w:lang w:val="en-GB"/>
        </w:rPr>
        <w:t xml:space="preserve">monitoring of item usage, particularly </w:t>
      </w:r>
      <w:r w:rsidR="001C0EB9">
        <w:rPr>
          <w:lang w:val="en-GB"/>
        </w:rPr>
        <w:t>when</w:t>
      </w:r>
      <w:r w:rsidR="001C0EB9" w:rsidRPr="00596725">
        <w:rPr>
          <w:lang w:val="en-GB"/>
        </w:rPr>
        <w:t xml:space="preserve"> </w:t>
      </w:r>
      <w:r w:rsidR="002D4358" w:rsidRPr="00596725">
        <w:rPr>
          <w:lang w:val="en-GB"/>
        </w:rPr>
        <w:t>evaluating the success or otherwise of recommendations made by the MBS Review.</w:t>
      </w:r>
    </w:p>
    <w:p w14:paraId="73F19FD5" w14:textId="3266F62E" w:rsidR="00C867EE" w:rsidRPr="002836EB" w:rsidRDefault="008D7A59" w:rsidP="00C867EE">
      <w:pPr>
        <w:pStyle w:val="Heading2"/>
        <w:rPr>
          <w:lang w:val="en-GB"/>
        </w:rPr>
      </w:pPr>
      <w:bookmarkStart w:id="110" w:name="_Accessing_long-term_implanted"/>
      <w:bookmarkStart w:id="111" w:name="_Ref464490164"/>
      <w:bookmarkStart w:id="112" w:name="_Ref464490177"/>
      <w:bookmarkStart w:id="113" w:name="_Ref464490181"/>
      <w:bookmarkStart w:id="114" w:name="_Ref464490193"/>
      <w:bookmarkStart w:id="115" w:name="_Toc468647475"/>
      <w:bookmarkStart w:id="116" w:name="_Toc479082781"/>
      <w:bookmarkEnd w:id="110"/>
      <w:r w:rsidRPr="002836EB">
        <w:rPr>
          <w:lang w:val="en-GB"/>
        </w:rPr>
        <w:t>Accessing</w:t>
      </w:r>
      <w:r w:rsidR="00FD76C7" w:rsidRPr="002836EB">
        <w:rPr>
          <w:lang w:val="en-GB"/>
        </w:rPr>
        <w:t xml:space="preserve"> </w:t>
      </w:r>
      <w:r w:rsidRPr="002836EB">
        <w:rPr>
          <w:lang w:val="en-GB"/>
        </w:rPr>
        <w:t>long-term implanted drug delivery devices</w:t>
      </w:r>
      <w:bookmarkEnd w:id="106"/>
      <w:bookmarkEnd w:id="111"/>
      <w:bookmarkEnd w:id="112"/>
      <w:bookmarkEnd w:id="113"/>
      <w:bookmarkEnd w:id="114"/>
      <w:bookmarkEnd w:id="115"/>
      <w:bookmarkEnd w:id="116"/>
    </w:p>
    <w:p w14:paraId="56A78493" w14:textId="42337DBB" w:rsidR="009122A9" w:rsidRPr="002836EB" w:rsidDel="004A1035" w:rsidRDefault="009122A9" w:rsidP="009122A9">
      <w:pPr>
        <w:pStyle w:val="01squarebullet"/>
        <w:numPr>
          <w:ilvl w:val="0"/>
          <w:numId w:val="0"/>
        </w:numPr>
        <w:rPr>
          <w:lang w:val="en-GB"/>
        </w:rPr>
      </w:pPr>
      <w:r w:rsidRPr="002836EB" w:rsidDel="004A1035">
        <w:rPr>
          <w:lang w:val="en-GB"/>
        </w:rPr>
        <w:t xml:space="preserve">Item 13945 provides for the accessing of long-term drug delivery devices implanted for the purposes of delivering cytotoxic chemotherapy, while item 14221 provides for the accessing of long-term drug delivery devices implanted for the purposes of delivering therapeutic agents other than cytotoxic chemotherapy. </w:t>
      </w:r>
    </w:p>
    <w:p w14:paraId="178DA957" w14:textId="5CFEC1AE" w:rsidR="00C867EE" w:rsidRPr="002836EB" w:rsidRDefault="00C867EE" w:rsidP="00C867EE">
      <w:pPr>
        <w:pStyle w:val="Caption"/>
      </w:pPr>
      <w:bookmarkStart w:id="117" w:name="_Toc468647505"/>
      <w:bookmarkStart w:id="118" w:name="_Toc479082811"/>
      <w:r w:rsidRPr="002836EB">
        <w:t xml:space="preserve">Table </w:t>
      </w:r>
      <w:r w:rsidRPr="002836EB">
        <w:fldChar w:fldCharType="begin"/>
      </w:r>
      <w:r w:rsidRPr="002836EB">
        <w:instrText xml:space="preserve"> SEQ Table \* ARABIC </w:instrText>
      </w:r>
      <w:r w:rsidRPr="002836EB">
        <w:fldChar w:fldCharType="separate"/>
      </w:r>
      <w:r w:rsidR="003274EF">
        <w:rPr>
          <w:noProof/>
        </w:rPr>
        <w:t>4</w:t>
      </w:r>
      <w:r w:rsidRPr="002836EB">
        <w:fldChar w:fldCharType="end"/>
      </w:r>
      <w:r w:rsidRPr="002836EB">
        <w:t>: Item introduction table for item</w:t>
      </w:r>
      <w:r w:rsidR="00D20EDD" w:rsidRPr="002836EB">
        <w:t>s</w:t>
      </w:r>
      <w:r w:rsidRPr="002836EB">
        <w:t xml:space="preserve"> </w:t>
      </w:r>
      <w:r w:rsidR="00D00991" w:rsidRPr="002836EB">
        <w:t>13945 and 14221</w:t>
      </w:r>
      <w:bookmarkEnd w:id="117"/>
      <w:bookmarkEnd w:id="118"/>
      <w:r w:rsidRPr="002836EB">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4 shows the item introduction table for Accessing long-term implanted drug delivery devices item numbers 13945 and 14221. There are 6 columns: Column 1. List of items, Column 2. Descriptor, column 3. Schedule fee, column 4. Volume of services for financial year 2014-15, column 5. Total benefits for FY 2014-15, and column 6. Percentage of the services average 5-year annual growth."/>
      </w:tblPr>
      <w:tblGrid>
        <w:gridCol w:w="718"/>
        <w:gridCol w:w="4069"/>
        <w:gridCol w:w="929"/>
        <w:gridCol w:w="1009"/>
        <w:gridCol w:w="1092"/>
        <w:gridCol w:w="1199"/>
      </w:tblGrid>
      <w:tr w:rsidR="00396184" w:rsidRPr="002836EB" w14:paraId="49F11EB6" w14:textId="77777777" w:rsidTr="00A60C83">
        <w:trPr>
          <w:tblHeader/>
        </w:trPr>
        <w:tc>
          <w:tcPr>
            <w:tcW w:w="722" w:type="dxa"/>
            <w:shd w:val="clear" w:color="auto" w:fill="F2F2F2" w:themeFill="background1" w:themeFillShade="F2"/>
            <w:vAlign w:val="bottom"/>
          </w:tcPr>
          <w:p w14:paraId="2BD6C942" w14:textId="77777777" w:rsidR="00022376" w:rsidRPr="002836EB" w:rsidRDefault="00022376" w:rsidP="00384DD0">
            <w:pPr>
              <w:pStyle w:val="02Tabletext"/>
              <w:rPr>
                <w:b/>
              </w:rPr>
            </w:pPr>
            <w:r w:rsidRPr="002836EB">
              <w:rPr>
                <w:b/>
              </w:rPr>
              <w:t>Item</w:t>
            </w:r>
          </w:p>
        </w:tc>
        <w:tc>
          <w:tcPr>
            <w:tcW w:w="4120" w:type="dxa"/>
            <w:shd w:val="clear" w:color="auto" w:fill="F2F2F2" w:themeFill="background1" w:themeFillShade="F2"/>
            <w:vAlign w:val="bottom"/>
          </w:tcPr>
          <w:p w14:paraId="69F3A3CB" w14:textId="77777777" w:rsidR="00022376" w:rsidRPr="002836EB" w:rsidRDefault="00022376" w:rsidP="00384DD0">
            <w:pPr>
              <w:pStyle w:val="02Tabletext"/>
              <w:rPr>
                <w:b/>
              </w:rPr>
            </w:pPr>
            <w:r w:rsidRPr="002836EB">
              <w:rPr>
                <w:b/>
              </w:rPr>
              <w:t>Descriptor</w:t>
            </w:r>
          </w:p>
        </w:tc>
        <w:tc>
          <w:tcPr>
            <w:tcW w:w="930" w:type="dxa"/>
            <w:shd w:val="clear" w:color="auto" w:fill="F2F2F2" w:themeFill="background1" w:themeFillShade="F2"/>
            <w:vAlign w:val="bottom"/>
          </w:tcPr>
          <w:p w14:paraId="42DF9324" w14:textId="77777777" w:rsidR="00022376" w:rsidRPr="002836EB" w:rsidRDefault="00022376" w:rsidP="00384DD0">
            <w:pPr>
              <w:pStyle w:val="02Tabletext"/>
              <w:rPr>
                <w:b/>
              </w:rPr>
            </w:pPr>
            <w:r w:rsidRPr="002836EB">
              <w:rPr>
                <w:b/>
              </w:rPr>
              <w:t>Schedule</w:t>
            </w:r>
          </w:p>
          <w:p w14:paraId="161C913D" w14:textId="77777777" w:rsidR="00022376" w:rsidRPr="002836EB" w:rsidRDefault="00022376" w:rsidP="00384DD0">
            <w:pPr>
              <w:pStyle w:val="02Tabletext"/>
              <w:rPr>
                <w:b/>
              </w:rPr>
            </w:pPr>
            <w:r w:rsidRPr="002836EB">
              <w:rPr>
                <w:b/>
              </w:rPr>
              <w:t>fee</w:t>
            </w:r>
          </w:p>
        </w:tc>
        <w:tc>
          <w:tcPr>
            <w:tcW w:w="1010" w:type="dxa"/>
            <w:shd w:val="clear" w:color="auto" w:fill="F2F2F2" w:themeFill="background1" w:themeFillShade="F2"/>
            <w:vAlign w:val="bottom"/>
          </w:tcPr>
          <w:p w14:paraId="60FC9DBC" w14:textId="77777777" w:rsidR="00022376" w:rsidRPr="002836EB" w:rsidRDefault="00022376" w:rsidP="00384DD0">
            <w:pPr>
              <w:pStyle w:val="02Tabletext"/>
              <w:rPr>
                <w:b/>
              </w:rPr>
            </w:pPr>
            <w:r w:rsidRPr="002836EB">
              <w:rPr>
                <w:b/>
              </w:rPr>
              <w:t>Volume of services FY2014/15</w:t>
            </w:r>
          </w:p>
        </w:tc>
        <w:tc>
          <w:tcPr>
            <w:tcW w:w="1094" w:type="dxa"/>
            <w:shd w:val="clear" w:color="auto" w:fill="F2F2F2" w:themeFill="background1" w:themeFillShade="F2"/>
            <w:vAlign w:val="bottom"/>
          </w:tcPr>
          <w:p w14:paraId="563C2790" w14:textId="77777777" w:rsidR="00022376" w:rsidRPr="002836EB" w:rsidRDefault="00022376" w:rsidP="00384DD0">
            <w:pPr>
              <w:pStyle w:val="02Tabletext"/>
              <w:rPr>
                <w:b/>
              </w:rPr>
            </w:pPr>
            <w:r w:rsidRPr="002836EB">
              <w:rPr>
                <w:b/>
              </w:rPr>
              <w:t>Total benefits FY2014/15</w:t>
            </w:r>
          </w:p>
        </w:tc>
        <w:tc>
          <w:tcPr>
            <w:tcW w:w="1206" w:type="dxa"/>
            <w:shd w:val="clear" w:color="auto" w:fill="F2F2F2" w:themeFill="background1" w:themeFillShade="F2"/>
            <w:vAlign w:val="bottom"/>
          </w:tcPr>
          <w:p w14:paraId="5CC6993A" w14:textId="77777777" w:rsidR="00022376" w:rsidRPr="002836EB" w:rsidRDefault="00022376" w:rsidP="00384DD0">
            <w:pPr>
              <w:pStyle w:val="02Tabletext"/>
              <w:rPr>
                <w:b/>
              </w:rPr>
            </w:pPr>
            <w:r w:rsidRPr="002836EB">
              <w:rPr>
                <w:b/>
              </w:rPr>
              <w:t>Services 5-year-average annual growth</w:t>
            </w:r>
          </w:p>
        </w:tc>
      </w:tr>
      <w:tr w:rsidR="00B85432" w:rsidRPr="002836EB" w14:paraId="6815E3BF" w14:textId="77777777" w:rsidTr="00A60C83">
        <w:tc>
          <w:tcPr>
            <w:tcW w:w="722" w:type="dxa"/>
          </w:tcPr>
          <w:p w14:paraId="42340163" w14:textId="64D379D6" w:rsidR="00B85432" w:rsidRPr="002836EB" w:rsidRDefault="00B85432" w:rsidP="00B85432">
            <w:pPr>
              <w:pStyle w:val="02Tabletext"/>
            </w:pPr>
            <w:r w:rsidRPr="002836EB">
              <w:t>13945</w:t>
            </w:r>
          </w:p>
        </w:tc>
        <w:tc>
          <w:tcPr>
            <w:tcW w:w="4120" w:type="dxa"/>
          </w:tcPr>
          <w:p w14:paraId="60260190" w14:textId="0EF2B4E2" w:rsidR="00B85432" w:rsidRPr="002836EB" w:rsidRDefault="00B85432" w:rsidP="00B85432">
            <w:pPr>
              <w:pStyle w:val="02Tabletext"/>
            </w:pPr>
            <w:r w:rsidRPr="002836EB">
              <w:t>Long-term implanted drug delivery device for cytotoxic chemotherapy, accessing of.</w:t>
            </w:r>
          </w:p>
        </w:tc>
        <w:tc>
          <w:tcPr>
            <w:tcW w:w="930" w:type="dxa"/>
          </w:tcPr>
          <w:p w14:paraId="2D16DFE8" w14:textId="12BD0D23" w:rsidR="00B85432" w:rsidRPr="002836EB" w:rsidRDefault="00B85432" w:rsidP="00B85432">
            <w:pPr>
              <w:pStyle w:val="02Tabletext"/>
              <w:jc w:val="center"/>
            </w:pPr>
            <w:r w:rsidRPr="002836EB">
              <w:t>$52.50</w:t>
            </w:r>
          </w:p>
        </w:tc>
        <w:tc>
          <w:tcPr>
            <w:tcW w:w="1010" w:type="dxa"/>
          </w:tcPr>
          <w:p w14:paraId="6198A504" w14:textId="3F0E3654" w:rsidR="00B85432" w:rsidRPr="002836EB" w:rsidRDefault="00B85432" w:rsidP="00B85432">
            <w:pPr>
              <w:pStyle w:val="02Tabletext"/>
              <w:jc w:val="center"/>
            </w:pPr>
            <w:r w:rsidRPr="005B0D65">
              <w:t>198,658</w:t>
            </w:r>
          </w:p>
        </w:tc>
        <w:tc>
          <w:tcPr>
            <w:tcW w:w="1094" w:type="dxa"/>
          </w:tcPr>
          <w:p w14:paraId="37FF6D36" w14:textId="02CAF893" w:rsidR="00B85432" w:rsidRPr="002836EB" w:rsidRDefault="00B85432" w:rsidP="00B85432">
            <w:pPr>
              <w:pStyle w:val="02Tabletext"/>
              <w:jc w:val="center"/>
            </w:pPr>
            <w:r w:rsidRPr="005B0D65">
              <w:t>$8,221,781</w:t>
            </w:r>
          </w:p>
        </w:tc>
        <w:tc>
          <w:tcPr>
            <w:tcW w:w="1206" w:type="dxa"/>
          </w:tcPr>
          <w:p w14:paraId="5D0D7387" w14:textId="2DE315AF" w:rsidR="00B85432" w:rsidRPr="002836EB" w:rsidRDefault="00B85432" w:rsidP="00B85432">
            <w:pPr>
              <w:pStyle w:val="02Tabletext"/>
              <w:tabs>
                <w:tab w:val="left" w:pos="354"/>
                <w:tab w:val="center" w:pos="569"/>
              </w:tabs>
              <w:jc w:val="center"/>
            </w:pPr>
            <w:r w:rsidRPr="005B0D65">
              <w:t>6.8%</w:t>
            </w:r>
          </w:p>
        </w:tc>
      </w:tr>
      <w:tr w:rsidR="009233F0" w:rsidRPr="002836EB" w14:paraId="10F63909" w14:textId="77777777" w:rsidTr="00A60C83">
        <w:tc>
          <w:tcPr>
            <w:tcW w:w="722" w:type="dxa"/>
          </w:tcPr>
          <w:p w14:paraId="18770987" w14:textId="50F6DB85" w:rsidR="009233F0" w:rsidRPr="002836EB" w:rsidRDefault="009233F0" w:rsidP="009233F0">
            <w:pPr>
              <w:pStyle w:val="02Tabletext"/>
            </w:pPr>
            <w:r w:rsidRPr="002836EB">
              <w:t>14221</w:t>
            </w:r>
          </w:p>
        </w:tc>
        <w:tc>
          <w:tcPr>
            <w:tcW w:w="4120" w:type="dxa"/>
          </w:tcPr>
          <w:p w14:paraId="29B53133" w14:textId="2814E221" w:rsidR="009233F0" w:rsidRPr="002836EB" w:rsidRDefault="009233F0" w:rsidP="009233F0">
            <w:pPr>
              <w:pStyle w:val="02Tabletext"/>
            </w:pPr>
            <w:r w:rsidRPr="002836EB">
              <w:t>Long-term implanted drug delivery device for cytotoxic chemotherapy, accessing of, not being a service associated with a service to which item 13945 applies.</w:t>
            </w:r>
          </w:p>
        </w:tc>
        <w:tc>
          <w:tcPr>
            <w:tcW w:w="930" w:type="dxa"/>
          </w:tcPr>
          <w:p w14:paraId="272D2B00" w14:textId="5ED3F214" w:rsidR="009233F0" w:rsidRPr="002836EB" w:rsidRDefault="009233F0" w:rsidP="009233F0">
            <w:pPr>
              <w:pStyle w:val="02Tabletext"/>
              <w:jc w:val="center"/>
            </w:pPr>
            <w:r w:rsidRPr="002836EB">
              <w:t>$52.50</w:t>
            </w:r>
          </w:p>
        </w:tc>
        <w:tc>
          <w:tcPr>
            <w:tcW w:w="1010" w:type="dxa"/>
          </w:tcPr>
          <w:p w14:paraId="0AD75EB1" w14:textId="49E9FD75" w:rsidR="009233F0" w:rsidRPr="002836EB" w:rsidRDefault="009233F0" w:rsidP="009233F0">
            <w:pPr>
              <w:pStyle w:val="02Tabletext"/>
              <w:jc w:val="center"/>
            </w:pPr>
            <w:r w:rsidRPr="001C7B58">
              <w:t>128,351</w:t>
            </w:r>
          </w:p>
        </w:tc>
        <w:tc>
          <w:tcPr>
            <w:tcW w:w="1094" w:type="dxa"/>
          </w:tcPr>
          <w:p w14:paraId="03586EEB" w14:textId="0469928C" w:rsidR="009233F0" w:rsidRPr="002836EB" w:rsidRDefault="009233F0" w:rsidP="009233F0">
            <w:pPr>
              <w:pStyle w:val="02Tabletext"/>
              <w:jc w:val="center"/>
            </w:pPr>
            <w:r w:rsidRPr="001C7B58">
              <w:t>$5,326,299</w:t>
            </w:r>
          </w:p>
        </w:tc>
        <w:tc>
          <w:tcPr>
            <w:tcW w:w="1206" w:type="dxa"/>
          </w:tcPr>
          <w:p w14:paraId="72A3CCD7" w14:textId="4D729A6C" w:rsidR="009233F0" w:rsidRPr="002836EB" w:rsidRDefault="009233F0" w:rsidP="009233F0">
            <w:pPr>
              <w:pStyle w:val="02Tabletext"/>
              <w:jc w:val="center"/>
              <w:rPr>
                <w:shd w:val="clear" w:color="auto" w:fill="FBFBFB"/>
              </w:rPr>
            </w:pPr>
            <w:r w:rsidRPr="001C7B58">
              <w:t>12.2%</w:t>
            </w:r>
          </w:p>
        </w:tc>
      </w:tr>
    </w:tbl>
    <w:p w14:paraId="43EA9BC1" w14:textId="77777777" w:rsidR="00A60C83" w:rsidRDefault="00A60C83" w:rsidP="00DE1A53">
      <w:pPr>
        <w:spacing w:before="0"/>
        <w:rPr>
          <w:color w:val="000000"/>
          <w:sz w:val="18"/>
          <w:szCs w:val="18"/>
        </w:rPr>
      </w:pPr>
      <w:bookmarkStart w:id="119" w:name="_Ref467446419"/>
      <w:r>
        <w:rPr>
          <w:color w:val="000000"/>
          <w:sz w:val="18"/>
          <w:szCs w:val="18"/>
        </w:rPr>
        <w:t>Public data (Department of Human Services).</w:t>
      </w:r>
    </w:p>
    <w:p w14:paraId="54D78A84" w14:textId="0A66D192" w:rsidR="00C54090" w:rsidRDefault="00C54090" w:rsidP="00C54090">
      <w:pPr>
        <w:pStyle w:val="Boldhdg"/>
      </w:pPr>
      <w:bookmarkStart w:id="120" w:name="_Ref474803014"/>
      <w:r>
        <w:t xml:space="preserve">Recommendation </w:t>
      </w:r>
      <w:r w:rsidR="00537CC8">
        <w:fldChar w:fldCharType="begin"/>
      </w:r>
      <w:r w:rsidR="00537CC8">
        <w:instrText xml:space="preserve"> SEQ Recommendation \* ARABIC </w:instrText>
      </w:r>
      <w:r w:rsidR="00537CC8">
        <w:fldChar w:fldCharType="separate"/>
      </w:r>
      <w:r w:rsidR="003274EF">
        <w:rPr>
          <w:noProof/>
        </w:rPr>
        <w:t>2</w:t>
      </w:r>
      <w:r w:rsidR="00537CC8">
        <w:fldChar w:fldCharType="end"/>
      </w:r>
      <w:bookmarkEnd w:id="119"/>
      <w:bookmarkEnd w:id="120"/>
    </w:p>
    <w:p w14:paraId="5C917D41" w14:textId="29D78658" w:rsidR="00FB59A5" w:rsidRDefault="00D41AD0" w:rsidP="0012752E">
      <w:pPr>
        <w:pStyle w:val="01squarebullet"/>
        <w:rPr>
          <w:lang w:val="en-GB"/>
        </w:rPr>
      </w:pPr>
      <w:r w:rsidRPr="00254D9A">
        <w:rPr>
          <w:lang w:val="en-GB"/>
        </w:rPr>
        <w:t>Remove item 13945 from the MBS</w:t>
      </w:r>
      <w:r w:rsidR="001E7EA1">
        <w:rPr>
          <w:lang w:val="en-GB"/>
        </w:rPr>
        <w:t>.</w:t>
      </w:r>
      <w:r w:rsidR="00225D80" w:rsidRPr="00254D9A">
        <w:rPr>
          <w:lang w:val="en-GB"/>
        </w:rPr>
        <w:t xml:space="preserve"> </w:t>
      </w:r>
    </w:p>
    <w:p w14:paraId="0B871664" w14:textId="7494AFEA" w:rsidR="00FC3889" w:rsidRPr="00254D9A" w:rsidRDefault="00FB59A5" w:rsidP="0012752E">
      <w:pPr>
        <w:pStyle w:val="01squarebullet"/>
        <w:rPr>
          <w:lang w:val="en-GB"/>
        </w:rPr>
      </w:pPr>
      <w:r>
        <w:rPr>
          <w:lang w:val="en-GB"/>
        </w:rPr>
        <w:t>R</w:t>
      </w:r>
      <w:r w:rsidR="00D41AD0" w:rsidRPr="00254D9A">
        <w:rPr>
          <w:lang w:val="en-GB"/>
        </w:rPr>
        <w:t xml:space="preserve">emove </w:t>
      </w:r>
      <w:r w:rsidR="002777CC" w:rsidRPr="00254D9A">
        <w:rPr>
          <w:lang w:val="en-GB"/>
        </w:rPr>
        <w:t xml:space="preserve">the </w:t>
      </w:r>
      <w:r w:rsidR="00D41AD0" w:rsidRPr="00254D9A">
        <w:rPr>
          <w:lang w:val="en-GB"/>
        </w:rPr>
        <w:t xml:space="preserve">reference to item 13945 </w:t>
      </w:r>
      <w:r w:rsidR="003B266D" w:rsidRPr="00254D9A">
        <w:rPr>
          <w:lang w:val="en-GB"/>
        </w:rPr>
        <w:t xml:space="preserve">from </w:t>
      </w:r>
      <w:r>
        <w:rPr>
          <w:lang w:val="en-GB"/>
        </w:rPr>
        <w:t xml:space="preserve">the descriptor for </w:t>
      </w:r>
      <w:r w:rsidR="00D41AD0" w:rsidRPr="00254D9A">
        <w:rPr>
          <w:lang w:val="en-GB"/>
        </w:rPr>
        <w:t>item 14221</w:t>
      </w:r>
      <w:r w:rsidR="00254D9A" w:rsidRPr="00254D9A">
        <w:rPr>
          <w:lang w:val="en-GB"/>
        </w:rPr>
        <w:t xml:space="preserve">, and </w:t>
      </w:r>
      <w:r w:rsidR="00254D9A">
        <w:rPr>
          <w:lang w:val="en-GB"/>
        </w:rPr>
        <w:t>p</w:t>
      </w:r>
      <w:r w:rsidR="00D41AD0" w:rsidRPr="00254D9A">
        <w:rPr>
          <w:lang w:val="en-GB"/>
        </w:rPr>
        <w:t>revent use of item 14221</w:t>
      </w:r>
      <w:r w:rsidR="00D00991" w:rsidRPr="00254D9A">
        <w:rPr>
          <w:lang w:val="en-GB"/>
        </w:rPr>
        <w:t xml:space="preserve"> </w:t>
      </w:r>
      <w:r w:rsidR="00A92BE4">
        <w:rPr>
          <w:lang w:val="en-GB"/>
        </w:rPr>
        <w:t>if</w:t>
      </w:r>
      <w:r w:rsidR="00A92BE4" w:rsidRPr="00254D9A">
        <w:rPr>
          <w:lang w:val="en-GB"/>
        </w:rPr>
        <w:t xml:space="preserve"> </w:t>
      </w:r>
      <w:r w:rsidR="002909FB">
        <w:rPr>
          <w:lang w:val="en-GB"/>
        </w:rPr>
        <w:t xml:space="preserve">the long-term implanted drug delivery </w:t>
      </w:r>
      <w:r>
        <w:rPr>
          <w:lang w:val="en-GB"/>
        </w:rPr>
        <w:t>device</w:t>
      </w:r>
      <w:r w:rsidR="002909FB">
        <w:rPr>
          <w:lang w:val="en-GB"/>
        </w:rPr>
        <w:t xml:space="preserve"> is </w:t>
      </w:r>
      <w:r w:rsidR="005B2C4D">
        <w:rPr>
          <w:lang w:val="en-GB"/>
        </w:rPr>
        <w:t>accessed</w:t>
      </w:r>
      <w:r w:rsidR="005B2C4D" w:rsidRPr="00254D9A">
        <w:rPr>
          <w:lang w:val="en-GB"/>
        </w:rPr>
        <w:t xml:space="preserve"> </w:t>
      </w:r>
      <w:r w:rsidR="00D41AD0" w:rsidRPr="00254D9A">
        <w:rPr>
          <w:lang w:val="en-GB"/>
        </w:rPr>
        <w:t>in conjunction with the administration of anticancer therapy</w:t>
      </w:r>
      <w:r w:rsidR="00950B18">
        <w:rPr>
          <w:lang w:val="en-GB"/>
        </w:rPr>
        <w:t xml:space="preserve"> </w:t>
      </w:r>
      <w:r>
        <w:rPr>
          <w:lang w:val="en-GB"/>
        </w:rPr>
        <w:t>(</w:t>
      </w:r>
      <w:r w:rsidR="00950B18">
        <w:rPr>
          <w:lang w:val="en-GB"/>
        </w:rPr>
        <w:t>rather than as a distinct service</w:t>
      </w:r>
      <w:r>
        <w:rPr>
          <w:lang w:val="en-GB"/>
        </w:rPr>
        <w:t>)</w:t>
      </w:r>
      <w:r w:rsidR="00950B18">
        <w:rPr>
          <w:lang w:val="en-GB"/>
        </w:rPr>
        <w:t>.</w:t>
      </w:r>
    </w:p>
    <w:p w14:paraId="5872AC74" w14:textId="77777777" w:rsidR="00FC3889" w:rsidRPr="002836EB" w:rsidRDefault="00FC3889" w:rsidP="00FC3889">
      <w:pPr>
        <w:pStyle w:val="Boldhdg"/>
        <w:rPr>
          <w:lang w:val="en-GB"/>
        </w:rPr>
      </w:pPr>
      <w:r w:rsidRPr="002836EB">
        <w:rPr>
          <w:lang w:val="en-GB"/>
        </w:rPr>
        <w:t>Rationale</w:t>
      </w:r>
    </w:p>
    <w:p w14:paraId="3C0ABB3D" w14:textId="78ABEF48" w:rsidR="004E5C17" w:rsidRPr="002836EB" w:rsidRDefault="00065121" w:rsidP="00384DD0">
      <w:pPr>
        <w:pStyle w:val="01squarebullet"/>
        <w:numPr>
          <w:ilvl w:val="0"/>
          <w:numId w:val="0"/>
        </w:numPr>
        <w:rPr>
          <w:lang w:val="en-GB"/>
        </w:rPr>
      </w:pPr>
      <w:r>
        <w:rPr>
          <w:lang w:val="en-GB"/>
        </w:rPr>
        <w:t>Th</w:t>
      </w:r>
      <w:r w:rsidR="00DA6515">
        <w:rPr>
          <w:lang w:val="en-GB"/>
        </w:rPr>
        <w:t>ese</w:t>
      </w:r>
      <w:r w:rsidR="00384DD0" w:rsidRPr="002836EB">
        <w:rPr>
          <w:lang w:val="en-GB"/>
        </w:rPr>
        <w:t xml:space="preserve"> recommendation</w:t>
      </w:r>
      <w:r w:rsidR="00DA6515">
        <w:rPr>
          <w:lang w:val="en-GB"/>
        </w:rPr>
        <w:t>s</w:t>
      </w:r>
      <w:r>
        <w:rPr>
          <w:lang w:val="en-GB"/>
        </w:rPr>
        <w:t xml:space="preserve"> focus </w:t>
      </w:r>
      <w:r w:rsidR="00384DD0" w:rsidRPr="002836EB">
        <w:rPr>
          <w:lang w:val="en-GB"/>
        </w:rPr>
        <w:t xml:space="preserve">on </w:t>
      </w:r>
      <w:r w:rsidR="0025722C" w:rsidRPr="002836EB">
        <w:rPr>
          <w:lang w:val="en-GB"/>
        </w:rPr>
        <w:t>aligning MBS items with the</w:t>
      </w:r>
      <w:r w:rsidR="00384DD0" w:rsidRPr="002836EB">
        <w:rPr>
          <w:lang w:val="en-GB"/>
        </w:rPr>
        <w:t xml:space="preserve"> modern </w:t>
      </w:r>
      <w:r w:rsidR="00104DBA" w:rsidRPr="002836EB">
        <w:rPr>
          <w:lang w:val="en-GB"/>
        </w:rPr>
        <w:t xml:space="preserve">mode of </w:t>
      </w:r>
      <w:r w:rsidR="00384DD0" w:rsidRPr="002836EB">
        <w:rPr>
          <w:lang w:val="en-GB"/>
        </w:rPr>
        <w:t xml:space="preserve">delivery </w:t>
      </w:r>
      <w:r w:rsidR="004F2AE4" w:rsidRPr="002836EB">
        <w:rPr>
          <w:lang w:val="en-GB"/>
        </w:rPr>
        <w:t xml:space="preserve">for </w:t>
      </w:r>
      <w:r w:rsidR="00384DD0" w:rsidRPr="002836EB">
        <w:rPr>
          <w:lang w:val="en-GB"/>
        </w:rPr>
        <w:t xml:space="preserve">anticancer therapy and improving value </w:t>
      </w:r>
      <w:r w:rsidR="00633B73" w:rsidRPr="002836EB">
        <w:rPr>
          <w:lang w:val="en-GB"/>
        </w:rPr>
        <w:t xml:space="preserve">for </w:t>
      </w:r>
      <w:r w:rsidR="00384DD0" w:rsidRPr="002836EB">
        <w:rPr>
          <w:lang w:val="en-GB"/>
        </w:rPr>
        <w:t xml:space="preserve">the patient and </w:t>
      </w:r>
      <w:r w:rsidR="00315382" w:rsidRPr="002836EB">
        <w:rPr>
          <w:lang w:val="en-GB"/>
        </w:rPr>
        <w:t xml:space="preserve">the </w:t>
      </w:r>
      <w:r w:rsidR="00384DD0" w:rsidRPr="002836EB">
        <w:rPr>
          <w:lang w:val="en-GB"/>
        </w:rPr>
        <w:t>health system</w:t>
      </w:r>
      <w:r w:rsidR="009C5685" w:rsidRPr="002836EB">
        <w:rPr>
          <w:lang w:val="en-GB"/>
        </w:rPr>
        <w:t>.</w:t>
      </w:r>
      <w:r w:rsidR="00384DD0" w:rsidRPr="002836EB">
        <w:rPr>
          <w:lang w:val="en-GB"/>
        </w:rPr>
        <w:t xml:space="preserve"> </w:t>
      </w:r>
      <w:r w:rsidR="00EF5B09" w:rsidRPr="002836EB">
        <w:rPr>
          <w:lang w:val="en-GB"/>
        </w:rPr>
        <w:t xml:space="preserve">They are </w:t>
      </w:r>
      <w:r w:rsidR="004E5C17" w:rsidRPr="002836EB">
        <w:rPr>
          <w:lang w:val="en-GB"/>
        </w:rPr>
        <w:t>based on the following observations.</w:t>
      </w:r>
    </w:p>
    <w:p w14:paraId="6D78EB81" w14:textId="78131C46" w:rsidR="00435357" w:rsidRPr="00E76746" w:rsidRDefault="00A330B2" w:rsidP="004B1A13">
      <w:pPr>
        <w:pStyle w:val="01squarebullet"/>
        <w:rPr>
          <w:color w:val="FF0000"/>
          <w:lang w:val="en-GB"/>
        </w:rPr>
      </w:pPr>
      <w:r w:rsidRPr="00435357">
        <w:t>Item 13945 is increasingly used in conjunction with items for the administration of chemotherapy</w:t>
      </w:r>
      <w:r w:rsidR="00D11176" w:rsidRPr="00435357">
        <w:t>. In FY2014</w:t>
      </w:r>
      <w:r w:rsidR="00C27241" w:rsidRPr="00435357">
        <w:t>/</w:t>
      </w:r>
      <w:r w:rsidR="00D11176" w:rsidRPr="00435357">
        <w:t xml:space="preserve">15, for example, this </w:t>
      </w:r>
      <w:r w:rsidRPr="00435357">
        <w:t>account</w:t>
      </w:r>
      <w:r w:rsidR="00D11176" w:rsidRPr="00435357">
        <w:t>ed</w:t>
      </w:r>
      <w:r w:rsidRPr="00435357">
        <w:t xml:space="preserve"> for more than 70</w:t>
      </w:r>
      <w:r w:rsidR="005647B5" w:rsidRPr="00435357">
        <w:t xml:space="preserve"> per cent</w:t>
      </w:r>
      <w:r w:rsidRPr="00435357">
        <w:t xml:space="preserve"> of </w:t>
      </w:r>
      <w:r w:rsidR="00C04920" w:rsidRPr="00435357">
        <w:t>service volumes for</w:t>
      </w:r>
      <w:r w:rsidRPr="00435357">
        <w:t xml:space="preserve"> item 13945.</w:t>
      </w:r>
      <w:r w:rsidR="00383B9C" w:rsidRPr="00435357">
        <w:t xml:space="preserve"> However, </w:t>
      </w:r>
      <w:r w:rsidR="0001480F" w:rsidRPr="00435357">
        <w:t xml:space="preserve">preparation </w:t>
      </w:r>
      <w:r w:rsidR="00435357" w:rsidRPr="00435357">
        <w:t>for the administration of a therapeutic agent (such as accessing a long-term implanted drug delivery device) is an integral component of the service of administering the therapeutic agent</w:t>
      </w:r>
      <w:r w:rsidR="00435357">
        <w:t xml:space="preserve"> and should not receive a separate MBS benefit</w:t>
      </w:r>
      <w:r w:rsidR="00435357" w:rsidRPr="00435357">
        <w:t xml:space="preserve">. </w:t>
      </w:r>
      <w:r w:rsidR="00D815DE">
        <w:t>For this reason</w:t>
      </w:r>
      <w:r w:rsidR="00435357">
        <w:t xml:space="preserve">, </w:t>
      </w:r>
      <w:r w:rsidR="00E76746" w:rsidRPr="00E76746">
        <w:rPr>
          <w:lang w:val="en-GB"/>
        </w:rPr>
        <w:t xml:space="preserve">the current chemotherapy administration items are considered to already include an accessing component in the context of modern practice (although co-claiming is not currently restricted). </w:t>
      </w:r>
    </w:p>
    <w:p w14:paraId="770C55BA" w14:textId="707ED9C2" w:rsidR="005D41DE" w:rsidRPr="002836EB" w:rsidRDefault="002A3203" w:rsidP="005D41DE">
      <w:pPr>
        <w:pStyle w:val="01squarebullet"/>
        <w:rPr>
          <w:lang w:val="en-GB"/>
        </w:rPr>
      </w:pPr>
      <w:r w:rsidRPr="002836EB">
        <w:rPr>
          <w:lang w:val="en-GB"/>
        </w:rPr>
        <w:t>As a result</w:t>
      </w:r>
      <w:r w:rsidR="00641440" w:rsidRPr="002836EB">
        <w:rPr>
          <w:lang w:val="en-GB"/>
        </w:rPr>
        <w:t>,</w:t>
      </w:r>
      <w:r w:rsidR="00741914" w:rsidRPr="002836EB">
        <w:rPr>
          <w:lang w:val="en-GB"/>
        </w:rPr>
        <w:t xml:space="preserve"> </w:t>
      </w:r>
      <w:r w:rsidR="003C07B3" w:rsidRPr="002836EB">
        <w:rPr>
          <w:lang w:val="en-GB"/>
        </w:rPr>
        <w:t>there are</w:t>
      </w:r>
      <w:r w:rsidR="005D41DE" w:rsidRPr="002836EB">
        <w:rPr>
          <w:lang w:val="en-GB"/>
        </w:rPr>
        <w:t xml:space="preserve"> highly irregular</w:t>
      </w:r>
      <w:r w:rsidR="00D971A3" w:rsidRPr="002836EB">
        <w:rPr>
          <w:lang w:val="en-GB"/>
        </w:rPr>
        <w:t xml:space="preserve"> and variable pattern</w:t>
      </w:r>
      <w:r w:rsidR="0044135F" w:rsidRPr="002836EB">
        <w:rPr>
          <w:lang w:val="en-GB"/>
        </w:rPr>
        <w:t>s</w:t>
      </w:r>
      <w:r w:rsidR="005C2E2F" w:rsidRPr="002836EB">
        <w:rPr>
          <w:lang w:val="en-GB"/>
        </w:rPr>
        <w:t xml:space="preserve"> of use for item 13945</w:t>
      </w:r>
      <w:r w:rsidR="00D971A3" w:rsidRPr="002836EB">
        <w:rPr>
          <w:lang w:val="en-GB"/>
        </w:rPr>
        <w:t xml:space="preserve"> </w:t>
      </w:r>
      <w:r w:rsidR="005D41DE" w:rsidRPr="002836EB">
        <w:rPr>
          <w:lang w:val="en-GB"/>
        </w:rPr>
        <w:t>across providers</w:t>
      </w:r>
      <w:r w:rsidR="00147284" w:rsidRPr="002836EB">
        <w:rPr>
          <w:lang w:val="en-GB"/>
        </w:rPr>
        <w:t>:</w:t>
      </w:r>
      <w:r w:rsidR="00EF6693" w:rsidRPr="002836EB">
        <w:rPr>
          <w:lang w:val="en-GB"/>
        </w:rPr>
        <w:t xml:space="preserve"> </w:t>
      </w:r>
      <w:r w:rsidR="00147284" w:rsidRPr="002836EB">
        <w:rPr>
          <w:lang w:val="en-GB"/>
        </w:rPr>
        <w:t>n</w:t>
      </w:r>
      <w:r w:rsidR="00EF6693" w:rsidRPr="002836EB">
        <w:rPr>
          <w:lang w:val="en-GB"/>
        </w:rPr>
        <w:t>early 30</w:t>
      </w:r>
      <w:r w:rsidR="009D7D22" w:rsidRPr="002836EB">
        <w:rPr>
          <w:lang w:val="en-GB"/>
        </w:rPr>
        <w:t xml:space="preserve"> per cent</w:t>
      </w:r>
      <w:r w:rsidR="00EF6693" w:rsidRPr="002836EB">
        <w:rPr>
          <w:lang w:val="en-GB"/>
        </w:rPr>
        <w:t xml:space="preserve"> of chemotherapy providers never use item</w:t>
      </w:r>
      <w:r w:rsidR="00232FC7" w:rsidRPr="002836EB">
        <w:rPr>
          <w:lang w:val="en-GB"/>
        </w:rPr>
        <w:t xml:space="preserve">s 13945 or 14221, </w:t>
      </w:r>
      <w:r w:rsidR="0033492F">
        <w:rPr>
          <w:lang w:val="en-GB"/>
        </w:rPr>
        <w:t>but</w:t>
      </w:r>
      <w:r w:rsidR="0033492F" w:rsidRPr="002836EB">
        <w:rPr>
          <w:lang w:val="en-GB"/>
        </w:rPr>
        <w:t xml:space="preserve"> </w:t>
      </w:r>
      <w:r w:rsidR="00E72F94" w:rsidRPr="002836EB">
        <w:rPr>
          <w:lang w:val="en-GB"/>
        </w:rPr>
        <w:lastRenderedPageBreak/>
        <w:t>a number of</w:t>
      </w:r>
      <w:r w:rsidR="00232FC7" w:rsidRPr="002836EB">
        <w:rPr>
          <w:lang w:val="en-GB"/>
        </w:rPr>
        <w:t xml:space="preserve"> providers billed the item nearly 7</w:t>
      </w:r>
      <w:r w:rsidR="00961CD7" w:rsidRPr="002836EB">
        <w:rPr>
          <w:lang w:val="en-GB"/>
        </w:rPr>
        <w:t>,</w:t>
      </w:r>
      <w:r w:rsidR="00232FC7" w:rsidRPr="002836EB">
        <w:rPr>
          <w:lang w:val="en-GB"/>
        </w:rPr>
        <w:t>000 times in</w:t>
      </w:r>
      <w:r w:rsidR="0073559B" w:rsidRPr="002836EB">
        <w:rPr>
          <w:lang w:val="en-GB"/>
        </w:rPr>
        <w:t xml:space="preserve"> conjunction with chemotherapy administration in</w:t>
      </w:r>
      <w:r w:rsidR="00232FC7" w:rsidRPr="002836EB">
        <w:rPr>
          <w:lang w:val="en-GB"/>
        </w:rPr>
        <w:t xml:space="preserve"> FY2014</w:t>
      </w:r>
      <w:r w:rsidR="009F4A78">
        <w:rPr>
          <w:lang w:val="en-GB"/>
        </w:rPr>
        <w:t>/</w:t>
      </w:r>
      <w:r w:rsidR="00232FC7" w:rsidRPr="002836EB">
        <w:rPr>
          <w:lang w:val="en-GB"/>
        </w:rPr>
        <w:t>15 (</w:t>
      </w:r>
      <w:r w:rsidR="008E1F67">
        <w:rPr>
          <w:lang w:val="en-GB"/>
        </w:rPr>
        <w:fldChar w:fldCharType="begin"/>
      </w:r>
      <w:r w:rsidR="008E1F67">
        <w:rPr>
          <w:lang w:val="en-GB"/>
        </w:rPr>
        <w:instrText xml:space="preserve"> REF _Ref464168654 \h </w:instrText>
      </w:r>
      <w:r w:rsidR="008E1F67">
        <w:rPr>
          <w:lang w:val="en-GB"/>
        </w:rPr>
      </w:r>
      <w:r w:rsidR="008E1F67">
        <w:rPr>
          <w:lang w:val="en-GB"/>
        </w:rPr>
        <w:fldChar w:fldCharType="separate"/>
      </w:r>
      <w:r w:rsidR="003274EF" w:rsidRPr="002836EB">
        <w:t xml:space="preserve">Figure </w:t>
      </w:r>
      <w:r w:rsidR="003274EF">
        <w:rPr>
          <w:noProof/>
        </w:rPr>
        <w:t>4</w:t>
      </w:r>
      <w:r w:rsidR="008E1F67">
        <w:rPr>
          <w:lang w:val="en-GB"/>
        </w:rPr>
        <w:fldChar w:fldCharType="end"/>
      </w:r>
      <w:r w:rsidR="008E1F67">
        <w:rPr>
          <w:lang w:val="en-GB"/>
        </w:rPr>
        <w:t>)</w:t>
      </w:r>
      <w:r w:rsidR="00232FC7" w:rsidRPr="002836EB">
        <w:rPr>
          <w:lang w:val="en-GB"/>
        </w:rPr>
        <w:t>.</w:t>
      </w:r>
      <w:r w:rsidR="0037736F" w:rsidRPr="002836EB">
        <w:rPr>
          <w:lang w:val="en-GB"/>
        </w:rPr>
        <w:t xml:space="preserve"> </w:t>
      </w:r>
      <w:r w:rsidR="0073559B" w:rsidRPr="002836EB">
        <w:rPr>
          <w:lang w:val="en-GB"/>
        </w:rPr>
        <w:t xml:space="preserve">Of </w:t>
      </w:r>
      <w:r w:rsidR="001412D1">
        <w:rPr>
          <w:lang w:val="en-GB"/>
        </w:rPr>
        <w:t>those</w:t>
      </w:r>
      <w:r w:rsidR="0073559B" w:rsidRPr="002836EB">
        <w:rPr>
          <w:lang w:val="en-GB"/>
        </w:rPr>
        <w:t xml:space="preserve"> who used item 13945</w:t>
      </w:r>
      <w:r w:rsidR="008360E3" w:rsidRPr="002836EB">
        <w:rPr>
          <w:lang w:val="en-GB"/>
        </w:rPr>
        <w:t xml:space="preserve"> in conjunction with chemotherapy administration</w:t>
      </w:r>
      <w:r w:rsidR="00E72F94" w:rsidRPr="002836EB">
        <w:rPr>
          <w:lang w:val="en-GB"/>
        </w:rPr>
        <w:t xml:space="preserve"> at least once</w:t>
      </w:r>
      <w:r w:rsidR="0036539B">
        <w:rPr>
          <w:lang w:val="en-GB"/>
        </w:rPr>
        <w:t xml:space="preserve"> (</w:t>
      </w:r>
      <w:r w:rsidR="00322369">
        <w:rPr>
          <w:lang w:val="en-GB"/>
        </w:rPr>
        <w:t>around</w:t>
      </w:r>
      <w:r w:rsidR="0036539B">
        <w:rPr>
          <w:lang w:val="en-GB"/>
        </w:rPr>
        <w:t xml:space="preserve"> 70 per cent of providers)</w:t>
      </w:r>
      <w:r w:rsidR="0073559B" w:rsidRPr="002836EB">
        <w:rPr>
          <w:lang w:val="en-GB"/>
        </w:rPr>
        <w:t xml:space="preserve">, approximately </w:t>
      </w:r>
      <w:r w:rsidR="00E72F94" w:rsidRPr="002836EB">
        <w:rPr>
          <w:lang w:val="en-GB"/>
        </w:rPr>
        <w:t xml:space="preserve">half </w:t>
      </w:r>
      <w:r w:rsidR="0073559B" w:rsidRPr="002836EB">
        <w:rPr>
          <w:lang w:val="en-GB"/>
        </w:rPr>
        <w:t>attracted less than $1</w:t>
      </w:r>
      <w:r w:rsidR="00433B07" w:rsidRPr="002836EB">
        <w:rPr>
          <w:lang w:val="en-GB"/>
        </w:rPr>
        <w:t>,</w:t>
      </w:r>
      <w:r w:rsidR="0073559B" w:rsidRPr="002836EB">
        <w:rPr>
          <w:lang w:val="en-GB"/>
        </w:rPr>
        <w:t>000 in</w:t>
      </w:r>
      <w:r w:rsidR="008360E3" w:rsidRPr="002836EB">
        <w:rPr>
          <w:lang w:val="en-GB"/>
        </w:rPr>
        <w:t xml:space="preserve"> </w:t>
      </w:r>
      <w:r w:rsidR="0073559B" w:rsidRPr="002836EB">
        <w:rPr>
          <w:lang w:val="en-GB"/>
        </w:rPr>
        <w:t xml:space="preserve">MBS benefits, </w:t>
      </w:r>
      <w:r w:rsidR="00A41CB1" w:rsidRPr="002836EB">
        <w:rPr>
          <w:lang w:val="en-GB"/>
        </w:rPr>
        <w:t xml:space="preserve">but </w:t>
      </w:r>
      <w:r w:rsidR="0073559B" w:rsidRPr="002836EB">
        <w:rPr>
          <w:lang w:val="en-GB"/>
        </w:rPr>
        <w:t xml:space="preserve">11 providers received </w:t>
      </w:r>
      <w:r w:rsidR="00241BF4" w:rsidRPr="002836EB">
        <w:rPr>
          <w:lang w:val="en-GB"/>
        </w:rPr>
        <w:t xml:space="preserve">from </w:t>
      </w:r>
      <w:r w:rsidR="008360E3" w:rsidRPr="002836EB">
        <w:rPr>
          <w:lang w:val="en-GB"/>
        </w:rPr>
        <w:t xml:space="preserve">$100,000 to </w:t>
      </w:r>
      <w:r w:rsidR="0056250D" w:rsidRPr="002836EB">
        <w:rPr>
          <w:lang w:val="en-GB"/>
        </w:rPr>
        <w:t>over $180,000 (</w:t>
      </w:r>
      <w:r w:rsidR="0056250D" w:rsidRPr="002836EB">
        <w:rPr>
          <w:lang w:val="en-GB"/>
        </w:rPr>
        <w:fldChar w:fldCharType="begin"/>
      </w:r>
      <w:r w:rsidR="0056250D" w:rsidRPr="002836EB">
        <w:rPr>
          <w:lang w:val="en-GB"/>
        </w:rPr>
        <w:instrText xml:space="preserve"> REF _Ref464170194 \h </w:instrText>
      </w:r>
      <w:r w:rsidR="0056250D" w:rsidRPr="002836EB">
        <w:rPr>
          <w:lang w:val="en-GB"/>
        </w:rPr>
      </w:r>
      <w:r w:rsidR="0056250D" w:rsidRPr="002836EB">
        <w:rPr>
          <w:lang w:val="en-GB"/>
        </w:rPr>
        <w:fldChar w:fldCharType="separate"/>
      </w:r>
      <w:r w:rsidR="003274EF" w:rsidRPr="002836EB">
        <w:t xml:space="preserve">Figure </w:t>
      </w:r>
      <w:r w:rsidR="003274EF">
        <w:rPr>
          <w:noProof/>
        </w:rPr>
        <w:t>5</w:t>
      </w:r>
      <w:r w:rsidR="0056250D" w:rsidRPr="002836EB">
        <w:rPr>
          <w:lang w:val="en-GB"/>
        </w:rPr>
        <w:fldChar w:fldCharType="end"/>
      </w:r>
      <w:r w:rsidR="0056250D" w:rsidRPr="002836EB">
        <w:rPr>
          <w:lang w:val="en-GB"/>
        </w:rPr>
        <w:t>).</w:t>
      </w:r>
    </w:p>
    <w:p w14:paraId="799CDC29" w14:textId="15D05867" w:rsidR="00585992" w:rsidRPr="002836EB" w:rsidRDefault="00E35B0A" w:rsidP="0056250D">
      <w:pPr>
        <w:pStyle w:val="01squarebullet"/>
        <w:rPr>
          <w:lang w:val="en-GB"/>
        </w:rPr>
      </w:pPr>
      <w:r w:rsidRPr="002836EB">
        <w:rPr>
          <w:bCs/>
          <w:lang w:val="en-GB"/>
        </w:rPr>
        <w:t>S</w:t>
      </w:r>
      <w:r w:rsidR="00973447" w:rsidRPr="002836EB">
        <w:rPr>
          <w:bCs/>
          <w:lang w:val="en-GB"/>
        </w:rPr>
        <w:t>eparate bill</w:t>
      </w:r>
      <w:r w:rsidR="00D971A3" w:rsidRPr="002836EB">
        <w:rPr>
          <w:bCs/>
          <w:lang w:val="en-GB"/>
        </w:rPr>
        <w:t>ing</w:t>
      </w:r>
      <w:r w:rsidR="00973447" w:rsidRPr="002836EB">
        <w:rPr>
          <w:bCs/>
          <w:lang w:val="en-GB"/>
        </w:rPr>
        <w:t xml:space="preserve"> for accessing a long-term vascular access device in the context of administering anticancer therapy</w:t>
      </w:r>
      <w:r w:rsidR="00D971A3" w:rsidRPr="002836EB">
        <w:rPr>
          <w:bCs/>
          <w:lang w:val="en-GB"/>
        </w:rPr>
        <w:t xml:space="preserve"> represents a low-value service</w:t>
      </w:r>
      <w:r w:rsidR="000903CB" w:rsidRPr="002836EB">
        <w:rPr>
          <w:bCs/>
          <w:lang w:val="en-GB"/>
        </w:rPr>
        <w:t xml:space="preserve">. However, </w:t>
      </w:r>
      <w:r w:rsidR="00973447" w:rsidRPr="002836EB">
        <w:rPr>
          <w:bCs/>
          <w:lang w:val="en-GB"/>
        </w:rPr>
        <w:t xml:space="preserve">clinical needs for such access </w:t>
      </w:r>
      <w:r w:rsidR="005D41DE" w:rsidRPr="002836EB">
        <w:rPr>
          <w:bCs/>
          <w:lang w:val="en-GB"/>
        </w:rPr>
        <w:t>exist</w:t>
      </w:r>
      <w:r w:rsidR="00BD56B6" w:rsidRPr="002836EB">
        <w:rPr>
          <w:bCs/>
          <w:lang w:val="en-GB"/>
        </w:rPr>
        <w:t xml:space="preserve"> </w:t>
      </w:r>
      <w:r w:rsidR="005D41DE" w:rsidRPr="002836EB">
        <w:rPr>
          <w:bCs/>
          <w:lang w:val="en-GB"/>
        </w:rPr>
        <w:t xml:space="preserve">beyond </w:t>
      </w:r>
      <w:r w:rsidR="00973447" w:rsidRPr="002836EB">
        <w:rPr>
          <w:bCs/>
          <w:lang w:val="en-GB"/>
        </w:rPr>
        <w:t>the administration of anticancer therapy</w:t>
      </w:r>
      <w:r w:rsidR="00CC0786" w:rsidRPr="002836EB">
        <w:rPr>
          <w:lang w:val="en-GB"/>
        </w:rPr>
        <w:t>,</w:t>
      </w:r>
      <w:r w:rsidR="005D41DE" w:rsidRPr="002836EB">
        <w:rPr>
          <w:lang w:val="en-GB"/>
        </w:rPr>
        <w:t xml:space="preserve"> particular</w:t>
      </w:r>
      <w:r w:rsidR="00CC0786" w:rsidRPr="002836EB">
        <w:rPr>
          <w:lang w:val="en-GB"/>
        </w:rPr>
        <w:t>ly</w:t>
      </w:r>
      <w:r w:rsidR="005D41DE" w:rsidRPr="002836EB">
        <w:rPr>
          <w:lang w:val="en-GB"/>
        </w:rPr>
        <w:t xml:space="preserve"> for flushing a long-term intravascular access device in order to maintain patency during prolonged periods of disuse</w:t>
      </w:r>
      <w:r w:rsidR="00D8078E" w:rsidRPr="002836EB">
        <w:rPr>
          <w:lang w:val="en-GB"/>
        </w:rPr>
        <w:t>.</w:t>
      </w:r>
      <w:r w:rsidR="00741914" w:rsidRPr="002836EB">
        <w:rPr>
          <w:lang w:val="en-GB"/>
        </w:rPr>
        <w:t xml:space="preserve"> </w:t>
      </w:r>
      <w:r w:rsidR="00973447" w:rsidRPr="002836EB">
        <w:rPr>
          <w:lang w:val="en-GB"/>
        </w:rPr>
        <w:t>Item 14221 could be retained for use in such circumstances.</w:t>
      </w:r>
    </w:p>
    <w:p w14:paraId="781FF0E3" w14:textId="2EA466F1" w:rsidR="00042ED2" w:rsidRPr="002836EB" w:rsidRDefault="00B65A4B" w:rsidP="00924E89">
      <w:pPr>
        <w:pStyle w:val="01squarebullet"/>
        <w:rPr>
          <w:lang w:val="en-GB"/>
        </w:rPr>
      </w:pPr>
      <w:r>
        <w:rPr>
          <w:lang w:val="en-GB"/>
        </w:rPr>
        <w:t>Although</w:t>
      </w:r>
      <w:r w:rsidRPr="002836EB">
        <w:rPr>
          <w:lang w:val="en-GB"/>
        </w:rPr>
        <w:t xml:space="preserve"> </w:t>
      </w:r>
      <w:r w:rsidR="001801F9" w:rsidRPr="002836EB">
        <w:rPr>
          <w:lang w:val="en-GB"/>
        </w:rPr>
        <w:t xml:space="preserve">item 13945 was within the scope of the Committee, </w:t>
      </w:r>
      <w:r w:rsidR="00861997">
        <w:rPr>
          <w:lang w:val="en-GB"/>
        </w:rPr>
        <w:t xml:space="preserve">corresponding </w:t>
      </w:r>
      <w:r w:rsidR="001801F9" w:rsidRPr="002836EB">
        <w:rPr>
          <w:lang w:val="en-GB"/>
        </w:rPr>
        <w:t>item 14221 has been allocated to another Clinical Committee within the MBS Review.</w:t>
      </w:r>
      <w:r w:rsidR="00B27A53" w:rsidRPr="002836EB">
        <w:rPr>
          <w:lang w:val="en-GB"/>
        </w:rPr>
        <w:t xml:space="preserve"> In recommending that item 13945 be removed from the MBS, t</w:t>
      </w:r>
      <w:r w:rsidR="001801F9" w:rsidRPr="002836EB">
        <w:rPr>
          <w:lang w:val="en-GB"/>
        </w:rPr>
        <w:t>he Committee note</w:t>
      </w:r>
      <w:r w:rsidR="00CB44A1">
        <w:rPr>
          <w:lang w:val="en-GB"/>
        </w:rPr>
        <w:t>s</w:t>
      </w:r>
      <w:r w:rsidR="001801F9" w:rsidRPr="002836EB">
        <w:rPr>
          <w:lang w:val="en-GB"/>
        </w:rPr>
        <w:t xml:space="preserve"> that item 14221 is primarily a </w:t>
      </w:r>
      <w:r w:rsidR="007C2007" w:rsidRPr="002836EB">
        <w:rPr>
          <w:lang w:val="en-GB"/>
        </w:rPr>
        <w:t>Nurse</w:t>
      </w:r>
      <w:r w:rsidR="004A42F0">
        <w:rPr>
          <w:lang w:val="en-GB"/>
        </w:rPr>
        <w:t>-</w:t>
      </w:r>
      <w:r w:rsidR="001801F9" w:rsidRPr="002836EB">
        <w:rPr>
          <w:lang w:val="en-GB"/>
        </w:rPr>
        <w:t>performed service, which is unusual amongst MBS items.</w:t>
      </w:r>
      <w:r w:rsidR="00B27A53" w:rsidRPr="002836EB">
        <w:rPr>
          <w:lang w:val="en-GB"/>
        </w:rPr>
        <w:t xml:space="preserve"> The Committee therefore suggest</w:t>
      </w:r>
      <w:r w:rsidR="00421649">
        <w:rPr>
          <w:lang w:val="en-GB"/>
        </w:rPr>
        <w:t>s</w:t>
      </w:r>
      <w:r w:rsidR="00B27A53" w:rsidRPr="002836EB">
        <w:rPr>
          <w:lang w:val="en-GB"/>
        </w:rPr>
        <w:t xml:space="preserve"> that the Clinical Committee reviewing item 14221 consider the item</w:t>
      </w:r>
      <w:r w:rsidR="00D303DA">
        <w:rPr>
          <w:lang w:val="en-GB"/>
        </w:rPr>
        <w:t>’</w:t>
      </w:r>
      <w:r w:rsidR="00B27A53" w:rsidRPr="002836EB">
        <w:rPr>
          <w:lang w:val="en-GB"/>
        </w:rPr>
        <w:t>s intent and</w:t>
      </w:r>
      <w:r w:rsidR="00083985">
        <w:rPr>
          <w:lang w:val="en-GB"/>
        </w:rPr>
        <w:t xml:space="preserve"> the</w:t>
      </w:r>
      <w:r w:rsidR="00B27A53" w:rsidRPr="002836EB">
        <w:rPr>
          <w:lang w:val="en-GB"/>
        </w:rPr>
        <w:t xml:space="preserve"> implications for the role of </w:t>
      </w:r>
      <w:r w:rsidR="007C2007" w:rsidRPr="002836EB">
        <w:rPr>
          <w:lang w:val="en-GB"/>
        </w:rPr>
        <w:t>Nurse</w:t>
      </w:r>
      <w:r w:rsidR="00B27A53" w:rsidRPr="002836EB">
        <w:rPr>
          <w:lang w:val="en-GB"/>
        </w:rPr>
        <w:t xml:space="preserve"> services more broadly within the MBS. </w:t>
      </w:r>
    </w:p>
    <w:p w14:paraId="3556F1BF" w14:textId="265A4270" w:rsidR="00FB07A3" w:rsidRPr="002836EB" w:rsidRDefault="00FB07A3" w:rsidP="00FB07A3">
      <w:pPr>
        <w:pStyle w:val="Caption"/>
        <w:pBdr>
          <w:bottom w:val="single" w:sz="4" w:space="1" w:color="auto"/>
        </w:pBdr>
      </w:pPr>
      <w:bookmarkStart w:id="121" w:name="_Ref464168654"/>
      <w:bookmarkStart w:id="122" w:name="_Toc468647516"/>
      <w:bookmarkStart w:id="123" w:name="_Toc479082826"/>
      <w:r w:rsidRPr="002836EB">
        <w:t xml:space="preserve">Figure </w:t>
      </w:r>
      <w:r w:rsidRPr="002836EB">
        <w:fldChar w:fldCharType="begin"/>
      </w:r>
      <w:r w:rsidRPr="002836EB">
        <w:instrText xml:space="preserve"> SEQ Figure \* ARABIC </w:instrText>
      </w:r>
      <w:r w:rsidRPr="002836EB">
        <w:fldChar w:fldCharType="separate"/>
      </w:r>
      <w:r w:rsidR="003274EF">
        <w:rPr>
          <w:noProof/>
        </w:rPr>
        <w:t>4</w:t>
      </w:r>
      <w:r w:rsidRPr="002836EB">
        <w:fldChar w:fldCharType="end"/>
      </w:r>
      <w:bookmarkEnd w:id="121"/>
      <w:r w:rsidRPr="002836EB">
        <w:t>: Use of items 13945 and 14221 across chemotherapy providers</w:t>
      </w:r>
      <w:bookmarkEnd w:id="122"/>
      <w:bookmarkEnd w:id="123"/>
    </w:p>
    <w:p w14:paraId="22FB704C" w14:textId="6293474F" w:rsidR="000E7502" w:rsidRDefault="000E7502" w:rsidP="00FB07A3">
      <w:pPr>
        <w:jc w:val="center"/>
        <w:rPr>
          <w:lang w:eastAsia="en-US"/>
        </w:rPr>
      </w:pPr>
      <w:r w:rsidRPr="00D33ED8">
        <w:rPr>
          <w:noProof/>
          <w:lang w:val="en-AU"/>
        </w:rPr>
        <w:drawing>
          <wp:inline distT="0" distB="0" distL="0" distR="0" wp14:anchorId="47239B3C" wp14:editId="6AB6190E">
            <wp:extent cx="4906645" cy="3684270"/>
            <wp:effectExtent l="0" t="0" r="8255" b="0"/>
            <wp:docPr id="9" name="Picture 9" descr="Figure 4 displays the cumulative percentage of chemotherapy providers against the annual service count per provider of items 13945 and 14221 (combined) in the 2014-15 financial year. &#10;&#10;29% of providers have zero service count (i.e. do not use items 13945 and 14221 at all). While more than 90% of chemotherapy providers have service volumes below 1000 instances, and more than 95% of chemotherapy providers have service volumes below 2000 instances, there is a tail of providers who provide up to nearly 7000 instances.&#10;&#10;The term 'chemotherapy provider' has been defined as providers who provided a service for item 13918 at least once in the 2014-15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6645" cy="36842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p w14:paraId="271482CC" w14:textId="77777777" w:rsidR="009F699E" w:rsidRPr="00D818DC" w:rsidRDefault="009F699E" w:rsidP="00D02DB4">
      <w:pPr>
        <w:pStyle w:val="TableUnderLast"/>
        <w:pBdr>
          <w:bottom w:val="single" w:sz="4" w:space="1" w:color="auto"/>
        </w:pBdr>
      </w:pPr>
      <w:r w:rsidRPr="00D818DC">
        <w:t>Unpublished data</w:t>
      </w:r>
      <w:r>
        <w:t>, extract based on date of service</w:t>
      </w:r>
      <w:r w:rsidRPr="00D818DC">
        <w:t xml:space="preserve"> (Department of Health)</w:t>
      </w:r>
    </w:p>
    <w:p w14:paraId="4AC48D49" w14:textId="77777777" w:rsidR="00FB07A3" w:rsidRPr="002836EB" w:rsidRDefault="00FB07A3" w:rsidP="00D02DB4">
      <w:pPr>
        <w:rPr>
          <w:lang w:eastAsia="en-US"/>
        </w:rPr>
      </w:pPr>
    </w:p>
    <w:p w14:paraId="3AED81D1" w14:textId="43DF1A97" w:rsidR="00585992" w:rsidRPr="002836EB" w:rsidRDefault="00585992" w:rsidP="00585992">
      <w:pPr>
        <w:pStyle w:val="Caption"/>
        <w:pBdr>
          <w:bottom w:val="single" w:sz="4" w:space="1" w:color="auto"/>
        </w:pBdr>
      </w:pPr>
      <w:bookmarkStart w:id="124" w:name="_Ref464170194"/>
      <w:bookmarkStart w:id="125" w:name="_Toc468647517"/>
      <w:bookmarkStart w:id="126" w:name="_Ref474879774"/>
      <w:bookmarkStart w:id="127" w:name="_Toc479082827"/>
      <w:r w:rsidRPr="002836EB">
        <w:lastRenderedPageBreak/>
        <w:t xml:space="preserve">Figure </w:t>
      </w:r>
      <w:r w:rsidRPr="002836EB">
        <w:fldChar w:fldCharType="begin"/>
      </w:r>
      <w:r w:rsidRPr="002836EB">
        <w:instrText xml:space="preserve"> SEQ Figure \* ARABIC </w:instrText>
      </w:r>
      <w:r w:rsidRPr="002836EB">
        <w:fldChar w:fldCharType="separate"/>
      </w:r>
      <w:r w:rsidR="003274EF">
        <w:rPr>
          <w:noProof/>
        </w:rPr>
        <w:t>5</w:t>
      </w:r>
      <w:r w:rsidRPr="002836EB">
        <w:fldChar w:fldCharType="end"/>
      </w:r>
      <w:bookmarkEnd w:id="124"/>
      <w:r w:rsidRPr="002836EB">
        <w:t>:</w:t>
      </w:r>
      <w:r w:rsidR="0056250D" w:rsidRPr="002836EB">
        <w:t xml:space="preserve"> Number of providers by</w:t>
      </w:r>
      <w:r w:rsidRPr="002836EB">
        <w:t xml:space="preserve"> </w:t>
      </w:r>
      <w:r w:rsidR="0056250D" w:rsidRPr="002836EB">
        <w:t>MBS benefits for item 13945 when claimed in conjunction with chemotherapy administration items</w:t>
      </w:r>
      <w:bookmarkEnd w:id="125"/>
      <w:bookmarkEnd w:id="126"/>
      <w:bookmarkEnd w:id="127"/>
    </w:p>
    <w:p w14:paraId="5CBA29DB" w14:textId="69B6A08E" w:rsidR="00585992" w:rsidRDefault="00585992" w:rsidP="00585992">
      <w:pPr>
        <w:jc w:val="center"/>
        <w:rPr>
          <w:lang w:eastAsia="en-US"/>
        </w:rPr>
      </w:pPr>
      <w:r w:rsidRPr="002836EB">
        <w:rPr>
          <w:noProof/>
          <w:lang w:val="en-AU"/>
        </w:rPr>
        <w:drawing>
          <wp:inline distT="0" distB="0" distL="0" distR="0" wp14:anchorId="607CDE8E" wp14:editId="090F60F3">
            <wp:extent cx="4491355" cy="3368675"/>
            <wp:effectExtent l="0" t="0" r="4445" b="3175"/>
            <wp:docPr id="8" name="Picture 8" descr="Figure 5 is a bar graph that shows the number of providers by MBS benefits for item 13945 when claimed in conjuction with chemotherapy administration items. &#10;&#10;Approximately 50% of providers receive less than $1000 in benefits for item 13945, approximately 66% receive less than $3000, and approximately 95% receive less than $30,000. A number of providers received more than $100,000 in benefits for item 13945, with one provider receiving more than $180,000. &#10;&#10;Note the above does not include providers who do not use items 13945 nor 14221 at all – approximately 29% of providers i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1355" cy="3368675"/>
                    </a:xfrm>
                    <a:prstGeom prst="rect">
                      <a:avLst/>
                    </a:prstGeom>
                    <a:noFill/>
                    <a:ln>
                      <a:noFill/>
                    </a:ln>
                  </pic:spPr>
                </pic:pic>
              </a:graphicData>
            </a:graphic>
          </wp:inline>
        </w:drawing>
      </w:r>
    </w:p>
    <w:p w14:paraId="7200B72D" w14:textId="77777777" w:rsidR="009F699E" w:rsidRPr="00D818DC" w:rsidRDefault="009F699E" w:rsidP="000E7502">
      <w:pPr>
        <w:pStyle w:val="TableUnderLast"/>
        <w:pBdr>
          <w:bottom w:val="single" w:sz="4" w:space="1" w:color="auto"/>
        </w:pBdr>
      </w:pPr>
      <w:r w:rsidRPr="00D818DC">
        <w:t>Unpublished data</w:t>
      </w:r>
      <w:r>
        <w:t>, extract based on date of service</w:t>
      </w:r>
      <w:r w:rsidRPr="00D818DC">
        <w:t xml:space="preserve"> (Department of Health)</w:t>
      </w:r>
    </w:p>
    <w:p w14:paraId="64ECE751" w14:textId="4DF1ACD8" w:rsidR="00C037D3" w:rsidRPr="002836EB" w:rsidRDefault="00EE694B" w:rsidP="00DE5987">
      <w:pPr>
        <w:pStyle w:val="Heading1"/>
        <w:rPr>
          <w:lang w:val="en-GB"/>
        </w:rPr>
      </w:pPr>
      <w:bookmarkStart w:id="128" w:name="_Toc471382922"/>
      <w:bookmarkStart w:id="129" w:name="_Ref463916501"/>
      <w:bookmarkStart w:id="130" w:name="_Toc468647476"/>
      <w:bookmarkStart w:id="131" w:name="_Toc479082782"/>
      <w:bookmarkEnd w:id="128"/>
      <w:r w:rsidRPr="002836EB">
        <w:rPr>
          <w:lang w:val="en-GB"/>
        </w:rPr>
        <w:lastRenderedPageBreak/>
        <w:t xml:space="preserve">Radiation </w:t>
      </w:r>
      <w:r w:rsidR="00370C97" w:rsidRPr="002836EB">
        <w:rPr>
          <w:lang w:val="en-GB"/>
        </w:rPr>
        <w:t>o</w:t>
      </w:r>
      <w:r w:rsidRPr="002836EB">
        <w:rPr>
          <w:lang w:val="en-GB"/>
        </w:rPr>
        <w:t>ncology recommendations</w:t>
      </w:r>
      <w:bookmarkEnd w:id="129"/>
      <w:bookmarkEnd w:id="130"/>
      <w:bookmarkEnd w:id="131"/>
    </w:p>
    <w:p w14:paraId="6F72F407" w14:textId="4B8E1AB2" w:rsidR="00956696" w:rsidRPr="002836EB" w:rsidRDefault="00EE694B" w:rsidP="00CD16D1">
      <w:pPr>
        <w:pStyle w:val="Heading2"/>
        <w:rPr>
          <w:lang w:val="en-GB"/>
        </w:rPr>
      </w:pPr>
      <w:bookmarkStart w:id="132" w:name="_Toc468647477"/>
      <w:bookmarkStart w:id="133" w:name="_Toc479082783"/>
      <w:r w:rsidRPr="002836EB">
        <w:rPr>
          <w:lang w:val="en-GB"/>
        </w:rPr>
        <w:t>Radiation Oncology</w:t>
      </w:r>
      <w:r w:rsidR="00956696" w:rsidRPr="002836EB">
        <w:rPr>
          <w:lang w:val="en-GB"/>
        </w:rPr>
        <w:t xml:space="preserve"> Working Group </w:t>
      </w:r>
      <w:r w:rsidR="00460EF6" w:rsidRPr="002836EB">
        <w:rPr>
          <w:lang w:val="en-GB"/>
        </w:rPr>
        <w:t>m</w:t>
      </w:r>
      <w:r w:rsidR="00956696" w:rsidRPr="002836EB">
        <w:rPr>
          <w:lang w:val="en-GB"/>
        </w:rPr>
        <w:t>embership</w:t>
      </w:r>
      <w:bookmarkEnd w:id="132"/>
      <w:bookmarkEnd w:id="133"/>
    </w:p>
    <w:p w14:paraId="7078A948" w14:textId="183C0A46" w:rsidR="00F617AD" w:rsidRPr="002836EB" w:rsidRDefault="00F617AD" w:rsidP="00F617AD">
      <w:pPr>
        <w:rPr>
          <w:rFonts w:ascii="Calibri" w:hAnsi="Calibri"/>
        </w:rPr>
      </w:pPr>
      <w:bookmarkStart w:id="134" w:name="_Ref463918885"/>
      <w:r w:rsidRPr="002836EB">
        <w:rPr>
          <w:rFonts w:ascii="Calibri" w:hAnsi="Calibri"/>
        </w:rPr>
        <w:t xml:space="preserve">The Committee formed a </w:t>
      </w:r>
      <w:r w:rsidR="00131902">
        <w:rPr>
          <w:rFonts w:ascii="Calibri" w:hAnsi="Calibri"/>
        </w:rPr>
        <w:t>W</w:t>
      </w:r>
      <w:r w:rsidRPr="002836EB">
        <w:rPr>
          <w:rFonts w:ascii="Calibri" w:hAnsi="Calibri"/>
        </w:rPr>
        <w:t xml:space="preserve">orking </w:t>
      </w:r>
      <w:r w:rsidR="00131902">
        <w:rPr>
          <w:rFonts w:ascii="Calibri" w:hAnsi="Calibri"/>
        </w:rPr>
        <w:t>G</w:t>
      </w:r>
      <w:r w:rsidRPr="002836EB">
        <w:rPr>
          <w:rFonts w:ascii="Calibri" w:hAnsi="Calibri"/>
        </w:rPr>
        <w:t xml:space="preserve">roup to consider radiation oncology services. The Radiation Oncology Working Group included the members listed in </w:t>
      </w:r>
      <w:r w:rsidRPr="002836EB">
        <w:rPr>
          <w:rFonts w:ascii="Calibri" w:hAnsi="Calibri"/>
        </w:rPr>
        <w:fldChar w:fldCharType="begin"/>
      </w:r>
      <w:r w:rsidRPr="002836EB">
        <w:rPr>
          <w:rFonts w:ascii="Calibri" w:hAnsi="Calibri"/>
        </w:rPr>
        <w:instrText xml:space="preserve"> REF _Ref464036252 \h </w:instrText>
      </w:r>
      <w:r w:rsidRPr="002836EB">
        <w:rPr>
          <w:rFonts w:ascii="Calibri" w:hAnsi="Calibri"/>
        </w:rPr>
      </w:r>
      <w:r w:rsidRPr="002836EB">
        <w:rPr>
          <w:rFonts w:ascii="Calibri" w:hAnsi="Calibri"/>
        </w:rPr>
        <w:fldChar w:fldCharType="separate"/>
      </w:r>
      <w:r w:rsidR="003274EF" w:rsidRPr="002836EB">
        <w:t xml:space="preserve">Table </w:t>
      </w:r>
      <w:r w:rsidR="003274EF">
        <w:rPr>
          <w:noProof/>
        </w:rPr>
        <w:t>5</w:t>
      </w:r>
      <w:r w:rsidRPr="002836EB">
        <w:rPr>
          <w:rFonts w:ascii="Calibri" w:hAnsi="Calibri"/>
        </w:rPr>
        <w:fldChar w:fldCharType="end"/>
      </w:r>
      <w:r w:rsidRPr="002836EB">
        <w:rPr>
          <w:rFonts w:ascii="Calibri" w:hAnsi="Calibri"/>
        </w:rPr>
        <w:t>.</w:t>
      </w:r>
    </w:p>
    <w:p w14:paraId="60032BC3" w14:textId="77777777" w:rsidR="00F617AD" w:rsidRPr="002836EB" w:rsidRDefault="00F617AD" w:rsidP="00F617AD">
      <w:pPr>
        <w:pStyle w:val="Caption"/>
      </w:pPr>
      <w:bookmarkStart w:id="135" w:name="_Ref464036252"/>
      <w:bookmarkStart w:id="136" w:name="_Toc464036456"/>
      <w:bookmarkStart w:id="137" w:name="_Toc468647506"/>
      <w:bookmarkStart w:id="138" w:name="_Toc479082812"/>
      <w:r w:rsidRPr="002836EB">
        <w:t xml:space="preserve">Table </w:t>
      </w:r>
      <w:r w:rsidRPr="002836EB">
        <w:fldChar w:fldCharType="begin"/>
      </w:r>
      <w:r w:rsidRPr="002836EB">
        <w:instrText xml:space="preserve"> SEQ Table \* ARABIC </w:instrText>
      </w:r>
      <w:r w:rsidRPr="002836EB">
        <w:fldChar w:fldCharType="separate"/>
      </w:r>
      <w:r w:rsidR="003274EF">
        <w:rPr>
          <w:noProof/>
        </w:rPr>
        <w:t>5</w:t>
      </w:r>
      <w:r w:rsidRPr="002836EB">
        <w:fldChar w:fldCharType="end"/>
      </w:r>
      <w:bookmarkEnd w:id="135"/>
      <w:r w:rsidRPr="002836EB">
        <w:t>. Radiation Oncology Working Group (ROWG) members</w:t>
      </w:r>
      <w:bookmarkEnd w:id="136"/>
      <w:bookmarkEnd w:id="137"/>
      <w:bookmarkEnd w:id="13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 lists the Committee members for the Radiation Oncology Working Group, their positions and any declared conflicts of interest."/>
      </w:tblPr>
      <w:tblGrid>
        <w:gridCol w:w="2122"/>
        <w:gridCol w:w="4252"/>
        <w:gridCol w:w="2642"/>
      </w:tblGrid>
      <w:tr w:rsidR="00F617AD" w:rsidRPr="002836EB" w14:paraId="49A5AB0A" w14:textId="77777777" w:rsidTr="00903E32">
        <w:trPr>
          <w:tblHeader/>
        </w:trPr>
        <w:tc>
          <w:tcPr>
            <w:tcW w:w="1177" w:type="pct"/>
            <w:shd w:val="clear" w:color="auto" w:fill="F2F2F2" w:themeFill="background1" w:themeFillShade="F2"/>
            <w:vAlign w:val="bottom"/>
          </w:tcPr>
          <w:p w14:paraId="74B2B460" w14:textId="77777777" w:rsidR="00F617AD" w:rsidRPr="002836EB" w:rsidRDefault="00F617AD" w:rsidP="005F1F23">
            <w:pPr>
              <w:pStyle w:val="01Tableheaderrow"/>
            </w:pPr>
            <w:r w:rsidRPr="002836EB">
              <w:t>Name</w:t>
            </w:r>
          </w:p>
        </w:tc>
        <w:tc>
          <w:tcPr>
            <w:tcW w:w="2358" w:type="pct"/>
            <w:shd w:val="clear" w:color="auto" w:fill="F2F2F2" w:themeFill="background1" w:themeFillShade="F2"/>
            <w:vAlign w:val="bottom"/>
          </w:tcPr>
          <w:p w14:paraId="06BEAD3B" w14:textId="77777777" w:rsidR="00F617AD" w:rsidRPr="002836EB" w:rsidRDefault="00F617AD" w:rsidP="005F1F23">
            <w:pPr>
              <w:pStyle w:val="01Tableheaderrow"/>
            </w:pPr>
            <w:r w:rsidRPr="002836EB">
              <w:t>Position/Organisation</w:t>
            </w:r>
          </w:p>
        </w:tc>
        <w:tc>
          <w:tcPr>
            <w:tcW w:w="1465" w:type="pct"/>
            <w:shd w:val="clear" w:color="auto" w:fill="F2F2F2" w:themeFill="background1" w:themeFillShade="F2"/>
            <w:vAlign w:val="bottom"/>
          </w:tcPr>
          <w:p w14:paraId="5C0868B4" w14:textId="3B190889" w:rsidR="00F617AD" w:rsidRPr="002836EB" w:rsidRDefault="007A4F39" w:rsidP="005F1F23">
            <w:pPr>
              <w:pStyle w:val="01Tableheaderrow"/>
            </w:pPr>
            <w:r>
              <w:t>Interests declared</w:t>
            </w:r>
          </w:p>
        </w:tc>
      </w:tr>
      <w:tr w:rsidR="00F617AD" w:rsidRPr="002836EB" w14:paraId="530F23E2" w14:textId="77777777" w:rsidTr="00903E32">
        <w:tc>
          <w:tcPr>
            <w:tcW w:w="1177" w:type="pct"/>
          </w:tcPr>
          <w:p w14:paraId="739F7CD1" w14:textId="77777777" w:rsidR="00F617AD" w:rsidRPr="002836EB" w:rsidRDefault="00F617AD" w:rsidP="005F1F23">
            <w:pPr>
              <w:pStyle w:val="02Tabletext"/>
            </w:pPr>
            <w:r w:rsidRPr="002836EB">
              <w:t>Professor Bruce Mann</w:t>
            </w:r>
            <w:r w:rsidRPr="002836EB">
              <w:br/>
              <w:t>(Co-Chair)</w:t>
            </w:r>
          </w:p>
        </w:tc>
        <w:tc>
          <w:tcPr>
            <w:tcW w:w="2358" w:type="pct"/>
          </w:tcPr>
          <w:p w14:paraId="48844421" w14:textId="77777777" w:rsidR="00F617AD" w:rsidRPr="002836EB" w:rsidRDefault="00F617AD" w:rsidP="005F1F23">
            <w:pPr>
              <w:pStyle w:val="02Tabletext"/>
            </w:pPr>
            <w:r w:rsidRPr="002836EB">
              <w:t>Director, Breast Cancer Services, The Royal Melbourne &amp; Royal Women's Hospitals</w:t>
            </w:r>
          </w:p>
          <w:p w14:paraId="1536768A" w14:textId="77777777" w:rsidR="00F617AD" w:rsidRPr="002836EB" w:rsidRDefault="00F617AD" w:rsidP="005F1F23">
            <w:pPr>
              <w:pStyle w:val="02Tabletext"/>
            </w:pPr>
            <w:r w:rsidRPr="002836EB">
              <w:t>Professor of Surgery, The University of Melbourne</w:t>
            </w:r>
          </w:p>
        </w:tc>
        <w:tc>
          <w:tcPr>
            <w:tcW w:w="1465" w:type="pct"/>
          </w:tcPr>
          <w:p w14:paraId="656E49B9" w14:textId="77777777" w:rsidR="00F617AD" w:rsidRPr="002836EB" w:rsidRDefault="00F617AD" w:rsidP="005F1F23">
            <w:pPr>
              <w:pStyle w:val="02Tabletext"/>
            </w:pPr>
            <w:r w:rsidRPr="002836EB">
              <w:t>None</w:t>
            </w:r>
          </w:p>
        </w:tc>
      </w:tr>
      <w:tr w:rsidR="00F617AD" w:rsidRPr="002836EB" w14:paraId="4118B0F2" w14:textId="77777777" w:rsidTr="00903E32">
        <w:tc>
          <w:tcPr>
            <w:tcW w:w="1177" w:type="pct"/>
          </w:tcPr>
          <w:p w14:paraId="06E0819A" w14:textId="7CCF211B" w:rsidR="00F617AD" w:rsidRPr="002836EB" w:rsidRDefault="00F617AD" w:rsidP="00F617AD">
            <w:pPr>
              <w:pStyle w:val="02Tabletext"/>
            </w:pPr>
            <w:r w:rsidRPr="002836EB">
              <w:t>Dr Liz Kenny</w:t>
            </w:r>
            <w:r w:rsidRPr="002836EB">
              <w:br/>
              <w:t>(Co-Chair)</w:t>
            </w:r>
          </w:p>
        </w:tc>
        <w:tc>
          <w:tcPr>
            <w:tcW w:w="2358" w:type="pct"/>
          </w:tcPr>
          <w:p w14:paraId="6DD8A505" w14:textId="567416D1" w:rsidR="00F617AD" w:rsidRPr="002836EB" w:rsidRDefault="00F617AD" w:rsidP="00F617AD">
            <w:pPr>
              <w:pStyle w:val="02Tabletext"/>
            </w:pPr>
            <w:r w:rsidRPr="002836EB">
              <w:t>Royal Brisbane and Women’s Hospital</w:t>
            </w:r>
          </w:p>
        </w:tc>
        <w:tc>
          <w:tcPr>
            <w:tcW w:w="1465" w:type="pct"/>
          </w:tcPr>
          <w:p w14:paraId="2B3F93E0" w14:textId="12DFD649" w:rsidR="00F617AD" w:rsidRPr="002836EB" w:rsidRDefault="00F617AD" w:rsidP="00341734">
            <w:pPr>
              <w:pStyle w:val="02Tabletext"/>
            </w:pPr>
            <w:r w:rsidRPr="002836EB">
              <w:t>Dr Kenny declared that she is the Chair of the MBS Review Working Group of the RANZCR FRO and a member of Cancer Australia’s STaR Committee</w:t>
            </w:r>
            <w:r w:rsidR="005733E2">
              <w:t>.</w:t>
            </w:r>
          </w:p>
        </w:tc>
      </w:tr>
      <w:tr w:rsidR="00F617AD" w:rsidRPr="002836EB" w14:paraId="3634B522" w14:textId="77777777" w:rsidTr="00903E32">
        <w:tc>
          <w:tcPr>
            <w:tcW w:w="1177" w:type="pct"/>
          </w:tcPr>
          <w:p w14:paraId="6B491312" w14:textId="12095AA1" w:rsidR="00F617AD" w:rsidRPr="002836EB" w:rsidRDefault="00F617AD" w:rsidP="00F617AD">
            <w:pPr>
              <w:pStyle w:val="02Tabletext"/>
            </w:pPr>
            <w:r w:rsidRPr="002836EB">
              <w:t>Associate Professor Bruce Latham</w:t>
            </w:r>
          </w:p>
        </w:tc>
        <w:tc>
          <w:tcPr>
            <w:tcW w:w="2358" w:type="pct"/>
          </w:tcPr>
          <w:p w14:paraId="0BE67A5B" w14:textId="77777777" w:rsidR="00F617AD" w:rsidRPr="002836EB" w:rsidRDefault="00F617AD" w:rsidP="00F617AD">
            <w:pPr>
              <w:pStyle w:val="02Tabletext"/>
            </w:pPr>
            <w:r w:rsidRPr="002836EB">
              <w:t>Anatomical Pathologist, PathWest – Fiona Stanley Hospital</w:t>
            </w:r>
          </w:p>
          <w:p w14:paraId="23F09A73" w14:textId="234915E2" w:rsidR="00F617AD" w:rsidRPr="002836EB" w:rsidRDefault="00F617AD" w:rsidP="00F617AD">
            <w:pPr>
              <w:pStyle w:val="02Tabletext"/>
            </w:pPr>
            <w:r w:rsidRPr="002836EB">
              <w:t>Vice President, RCPA</w:t>
            </w:r>
          </w:p>
          <w:p w14:paraId="4D9966B6" w14:textId="6061F9C1" w:rsidR="00F617AD" w:rsidRPr="002836EB" w:rsidRDefault="00F617AD" w:rsidP="00F617AD">
            <w:pPr>
              <w:pStyle w:val="02Tabletext"/>
            </w:pPr>
            <w:r w:rsidRPr="002836EB">
              <w:t>Adjunct Associate Professor, Notre Dame University</w:t>
            </w:r>
          </w:p>
        </w:tc>
        <w:tc>
          <w:tcPr>
            <w:tcW w:w="1465" w:type="pct"/>
          </w:tcPr>
          <w:p w14:paraId="1106353A" w14:textId="4ABB32FB" w:rsidR="00F617AD" w:rsidRPr="002836EB" w:rsidRDefault="00F617AD" w:rsidP="00F617AD">
            <w:pPr>
              <w:pStyle w:val="02Tabletext"/>
            </w:pPr>
            <w:r w:rsidRPr="002836EB">
              <w:t xml:space="preserve">Dr Latham declared that his wife is a practising </w:t>
            </w:r>
            <w:r w:rsidR="007C2007" w:rsidRPr="002836EB">
              <w:t>Radiation Oncologist</w:t>
            </w:r>
            <w:r w:rsidR="002912D9">
              <w:t>.</w:t>
            </w:r>
          </w:p>
        </w:tc>
      </w:tr>
      <w:tr w:rsidR="00F617AD" w:rsidRPr="002836EB" w14:paraId="3A1475E5" w14:textId="77777777" w:rsidTr="00903E32">
        <w:tc>
          <w:tcPr>
            <w:tcW w:w="1177" w:type="pct"/>
          </w:tcPr>
          <w:p w14:paraId="1F15A2A2" w14:textId="722906FC" w:rsidR="00F617AD" w:rsidRPr="002836EB" w:rsidRDefault="00F617AD" w:rsidP="00F617AD">
            <w:pPr>
              <w:pStyle w:val="02Tabletext"/>
            </w:pPr>
            <w:r w:rsidRPr="002836EB">
              <w:t>Dr Catherine Mandel</w:t>
            </w:r>
          </w:p>
        </w:tc>
        <w:tc>
          <w:tcPr>
            <w:tcW w:w="2358" w:type="pct"/>
          </w:tcPr>
          <w:p w14:paraId="6A2D7022" w14:textId="77777777" w:rsidR="00F617AD" w:rsidRPr="002836EB" w:rsidRDefault="00F617AD" w:rsidP="00F617AD">
            <w:pPr>
              <w:pStyle w:val="02Tabletext"/>
            </w:pPr>
            <w:r w:rsidRPr="002836EB">
              <w:t>Consultant Clinical Radiologist</w:t>
            </w:r>
          </w:p>
          <w:p w14:paraId="6C33C255" w14:textId="77777777" w:rsidR="00F617AD" w:rsidRPr="002836EB" w:rsidRDefault="00F617AD" w:rsidP="00F617AD">
            <w:pPr>
              <w:pStyle w:val="02Tabletext"/>
            </w:pPr>
            <w:r w:rsidRPr="002836EB">
              <w:t>MRI Radiologist, Swinburne University of Technology</w:t>
            </w:r>
          </w:p>
          <w:p w14:paraId="18B32BFF" w14:textId="3C13BFCC" w:rsidR="00F617AD" w:rsidRPr="002836EB" w:rsidRDefault="00F617AD" w:rsidP="00F617AD">
            <w:pPr>
              <w:pStyle w:val="02Tabletext"/>
            </w:pPr>
            <w:r w:rsidRPr="002836EB">
              <w:t>Councillor, Council of the Faculty of Clinical Radiology, RANZCR</w:t>
            </w:r>
          </w:p>
          <w:p w14:paraId="19EA6428" w14:textId="68AD84F6" w:rsidR="00F617AD" w:rsidRPr="002836EB" w:rsidRDefault="00F617AD" w:rsidP="00F617AD">
            <w:pPr>
              <w:pStyle w:val="02Tabletext"/>
            </w:pPr>
            <w:r w:rsidRPr="002836EB">
              <w:t>Member, Medical Expert Committee, Avant</w:t>
            </w:r>
            <w:r w:rsidR="009054A1">
              <w:br/>
              <w:t>Director, Australian Medical Association Victoria</w:t>
            </w:r>
          </w:p>
        </w:tc>
        <w:tc>
          <w:tcPr>
            <w:tcW w:w="1465" w:type="pct"/>
          </w:tcPr>
          <w:p w14:paraId="5011130B" w14:textId="3D2CC2E4" w:rsidR="00F617AD" w:rsidRPr="002836EB" w:rsidRDefault="00F617AD" w:rsidP="00F617AD">
            <w:pPr>
              <w:pStyle w:val="02Tabletext"/>
            </w:pPr>
            <w:r w:rsidRPr="002836EB">
              <w:t>None</w:t>
            </w:r>
          </w:p>
        </w:tc>
      </w:tr>
      <w:tr w:rsidR="00F617AD" w:rsidRPr="002836EB" w14:paraId="721E3C14" w14:textId="77777777" w:rsidTr="00903E32">
        <w:tc>
          <w:tcPr>
            <w:tcW w:w="1177" w:type="pct"/>
          </w:tcPr>
          <w:p w14:paraId="3DFBB76C" w14:textId="5F9C1752" w:rsidR="00F617AD" w:rsidRPr="002836EB" w:rsidRDefault="00F617AD" w:rsidP="00F617AD">
            <w:pPr>
              <w:pStyle w:val="02Tabletext"/>
            </w:pPr>
            <w:r w:rsidRPr="002836EB">
              <w:t>Associate Professor Chris Milross</w:t>
            </w:r>
          </w:p>
        </w:tc>
        <w:tc>
          <w:tcPr>
            <w:tcW w:w="2358" w:type="pct"/>
          </w:tcPr>
          <w:p w14:paraId="26F60D2B" w14:textId="77777777" w:rsidR="00F617AD" w:rsidRPr="002836EB" w:rsidRDefault="00F617AD" w:rsidP="00F617AD">
            <w:pPr>
              <w:pStyle w:val="02Tabletext"/>
            </w:pPr>
            <w:r w:rsidRPr="002836EB">
              <w:t>Associate Professor of Medicine, University of Sydney</w:t>
            </w:r>
          </w:p>
          <w:p w14:paraId="4863FEFE" w14:textId="77777777" w:rsidR="00F617AD" w:rsidRPr="002836EB" w:rsidRDefault="00F617AD" w:rsidP="00F617AD">
            <w:pPr>
              <w:pStyle w:val="02Tabletext"/>
            </w:pPr>
            <w:r w:rsidRPr="002836EB">
              <w:t>Director of Radiation Oncology &amp; Medical Services, Chris O'Brien Lifehouse</w:t>
            </w:r>
          </w:p>
          <w:p w14:paraId="4A6576A7" w14:textId="3F3A34FC" w:rsidR="00F617AD" w:rsidRPr="002836EB" w:rsidRDefault="00F617AD" w:rsidP="00F617AD">
            <w:pPr>
              <w:pStyle w:val="02Tabletext"/>
            </w:pPr>
            <w:r w:rsidRPr="002836EB">
              <w:t>Member, Board of Directors, RANZCR</w:t>
            </w:r>
          </w:p>
        </w:tc>
        <w:tc>
          <w:tcPr>
            <w:tcW w:w="1465" w:type="pct"/>
          </w:tcPr>
          <w:p w14:paraId="3185B930" w14:textId="56C3900F" w:rsidR="00F617AD" w:rsidRPr="002836EB" w:rsidRDefault="00F617AD" w:rsidP="008917F8">
            <w:pPr>
              <w:pStyle w:val="02Tabletext"/>
            </w:pPr>
            <w:r w:rsidRPr="002836EB">
              <w:t>A/Prof Milross declared that he is a member of the MBS Review Working Group of the RANZCR FRO</w:t>
            </w:r>
            <w:r w:rsidR="00640F91">
              <w:t>.</w:t>
            </w:r>
          </w:p>
        </w:tc>
      </w:tr>
      <w:tr w:rsidR="00F617AD" w:rsidRPr="002836EB" w14:paraId="22135820" w14:textId="77777777" w:rsidTr="00903E32">
        <w:tc>
          <w:tcPr>
            <w:tcW w:w="1177" w:type="pct"/>
          </w:tcPr>
          <w:p w14:paraId="0CF3BCB6" w14:textId="344F8228" w:rsidR="00F617AD" w:rsidRPr="002836EB" w:rsidRDefault="00F617AD" w:rsidP="00F617AD">
            <w:pPr>
              <w:pStyle w:val="02Tabletext"/>
            </w:pPr>
            <w:r w:rsidRPr="002836EB">
              <w:t>Professor Christobel Saunders</w:t>
            </w:r>
          </w:p>
        </w:tc>
        <w:tc>
          <w:tcPr>
            <w:tcW w:w="2358" w:type="pct"/>
          </w:tcPr>
          <w:p w14:paraId="01B24972" w14:textId="66AF7570" w:rsidR="00F617AD" w:rsidRPr="002836EB" w:rsidRDefault="00F617AD" w:rsidP="00F617AD">
            <w:pPr>
              <w:pStyle w:val="02Tabletext"/>
            </w:pPr>
            <w:r w:rsidRPr="002836EB">
              <w:t xml:space="preserve">Consultant </w:t>
            </w:r>
            <w:r w:rsidR="00146203">
              <w:t>Surgeon</w:t>
            </w:r>
            <w:r w:rsidRPr="002836EB">
              <w:t>, Royal Perth Hospital &amp; Fiona Stanley Hospital</w:t>
            </w:r>
          </w:p>
          <w:p w14:paraId="48D52960" w14:textId="2FB84400" w:rsidR="00F617AD" w:rsidRPr="002836EB" w:rsidRDefault="00F617AD" w:rsidP="00F617AD">
            <w:pPr>
              <w:pStyle w:val="02Tabletext"/>
            </w:pPr>
            <w:r w:rsidRPr="002836EB">
              <w:t>Head, General Surgery and Deputy Head, School of Surgery, University of Western Australia</w:t>
            </w:r>
          </w:p>
        </w:tc>
        <w:tc>
          <w:tcPr>
            <w:tcW w:w="1465" w:type="pct"/>
          </w:tcPr>
          <w:p w14:paraId="34A110EE" w14:textId="13D88654" w:rsidR="00F617AD" w:rsidRPr="002836EB" w:rsidRDefault="00F617AD" w:rsidP="00F617AD">
            <w:pPr>
              <w:pStyle w:val="02Tabletext"/>
            </w:pPr>
            <w:r w:rsidRPr="002836EB">
              <w:t>None</w:t>
            </w:r>
          </w:p>
        </w:tc>
      </w:tr>
      <w:tr w:rsidR="00F617AD" w:rsidRPr="002836EB" w14:paraId="60DEE084" w14:textId="77777777" w:rsidTr="00903E32">
        <w:tc>
          <w:tcPr>
            <w:tcW w:w="1177" w:type="pct"/>
          </w:tcPr>
          <w:p w14:paraId="5B28790C" w14:textId="24EA7570" w:rsidR="00F617AD" w:rsidRPr="002836EB" w:rsidRDefault="00F617AD" w:rsidP="00F617AD">
            <w:pPr>
              <w:pStyle w:val="02Tabletext"/>
            </w:pPr>
            <w:r w:rsidRPr="002836EB">
              <w:t>Professor Guy Maddern</w:t>
            </w:r>
          </w:p>
        </w:tc>
        <w:tc>
          <w:tcPr>
            <w:tcW w:w="2358" w:type="pct"/>
          </w:tcPr>
          <w:p w14:paraId="38D275F3" w14:textId="77777777" w:rsidR="00F617AD" w:rsidRPr="002836EB" w:rsidRDefault="00F617AD" w:rsidP="00F617AD">
            <w:pPr>
              <w:pStyle w:val="02Tabletext"/>
            </w:pPr>
            <w:r w:rsidRPr="002836EB">
              <w:t>Professor of Surgery &amp; Head of Discipline, The University of Adelaide</w:t>
            </w:r>
          </w:p>
          <w:p w14:paraId="5A150372" w14:textId="7D03CA48" w:rsidR="00F617AD" w:rsidRPr="002836EB" w:rsidRDefault="00F617AD" w:rsidP="00F617AD">
            <w:pPr>
              <w:pStyle w:val="02Tabletext"/>
            </w:pPr>
            <w:r w:rsidRPr="002836EB">
              <w:t>Director, Division of Surgery, The Queen Elizabeth Hospital</w:t>
            </w:r>
          </w:p>
        </w:tc>
        <w:tc>
          <w:tcPr>
            <w:tcW w:w="1465" w:type="pct"/>
          </w:tcPr>
          <w:p w14:paraId="73320461" w14:textId="26AE01F6" w:rsidR="00F617AD" w:rsidRPr="002836EB" w:rsidRDefault="00F617AD" w:rsidP="00F617AD">
            <w:pPr>
              <w:pStyle w:val="02Tabletext"/>
            </w:pPr>
            <w:r w:rsidRPr="002836EB">
              <w:t>None</w:t>
            </w:r>
          </w:p>
        </w:tc>
      </w:tr>
      <w:tr w:rsidR="00F617AD" w:rsidRPr="002836EB" w14:paraId="1E29881A" w14:textId="77777777" w:rsidTr="00903E32">
        <w:tc>
          <w:tcPr>
            <w:tcW w:w="1177" w:type="pct"/>
          </w:tcPr>
          <w:p w14:paraId="61581BB7" w14:textId="4C4734B1" w:rsidR="00F617AD" w:rsidRPr="002836EB" w:rsidRDefault="00F617AD" w:rsidP="00F617AD">
            <w:pPr>
              <w:pStyle w:val="02Tabletext"/>
            </w:pPr>
            <w:r w:rsidRPr="002836EB">
              <w:t>Mr John Stubbs</w:t>
            </w:r>
          </w:p>
        </w:tc>
        <w:tc>
          <w:tcPr>
            <w:tcW w:w="2358" w:type="pct"/>
          </w:tcPr>
          <w:p w14:paraId="14786D65" w14:textId="77777777" w:rsidR="00F617AD" w:rsidRPr="002836EB" w:rsidRDefault="00F617AD" w:rsidP="00F617AD">
            <w:pPr>
              <w:pStyle w:val="02Tabletext"/>
            </w:pPr>
            <w:r w:rsidRPr="002836EB">
              <w:t>Chief Executive Officer, CanSpeak</w:t>
            </w:r>
          </w:p>
          <w:p w14:paraId="15E0F26F" w14:textId="6B098651" w:rsidR="00F617AD" w:rsidRPr="002836EB" w:rsidRDefault="00F617AD" w:rsidP="00F617AD">
            <w:pPr>
              <w:pStyle w:val="02Tabletext"/>
            </w:pPr>
            <w:r w:rsidRPr="002836EB">
              <w:t>Member, Medical Services Advisory Committee</w:t>
            </w:r>
          </w:p>
        </w:tc>
        <w:tc>
          <w:tcPr>
            <w:tcW w:w="1465" w:type="pct"/>
          </w:tcPr>
          <w:p w14:paraId="71C142B8" w14:textId="7E1EEA6E" w:rsidR="00F617AD" w:rsidRPr="002836EB" w:rsidRDefault="00F617AD" w:rsidP="00A00775">
            <w:pPr>
              <w:pStyle w:val="02Tabletext"/>
            </w:pPr>
            <w:r w:rsidRPr="002836EB">
              <w:t>Mr Stubbs declared that he was previously on the Board of RANZCR and the ROJIG Committee of Review (contributing to the establishment of Radiation Oncology Standards). He is also a board member of Cancer Institute NSW and has advised Genesis care on establishing a consumer advisory panel (but was not involved in its MBS Review submission).</w:t>
            </w:r>
          </w:p>
        </w:tc>
      </w:tr>
      <w:tr w:rsidR="00F617AD" w:rsidRPr="002836EB" w14:paraId="44C44721" w14:textId="77777777" w:rsidTr="00903E32">
        <w:tc>
          <w:tcPr>
            <w:tcW w:w="1177" w:type="pct"/>
          </w:tcPr>
          <w:p w14:paraId="3A571FA4" w14:textId="2555D1D5" w:rsidR="00F617AD" w:rsidRPr="002836EB" w:rsidRDefault="00F617AD" w:rsidP="00F617AD">
            <w:pPr>
              <w:pStyle w:val="02Tabletext"/>
            </w:pPr>
            <w:r w:rsidRPr="002836EB">
              <w:t>Associate Professor Justin Tse</w:t>
            </w:r>
          </w:p>
        </w:tc>
        <w:tc>
          <w:tcPr>
            <w:tcW w:w="2358" w:type="pct"/>
          </w:tcPr>
          <w:p w14:paraId="3628CF5A" w14:textId="77777777" w:rsidR="00F617AD" w:rsidRPr="002836EB" w:rsidRDefault="00F617AD" w:rsidP="00F617AD">
            <w:pPr>
              <w:pStyle w:val="02Tabletext"/>
            </w:pPr>
            <w:r w:rsidRPr="002836EB">
              <w:t>Clinical Dean, St Vincent’s Clinical School, University of Melbourne</w:t>
            </w:r>
          </w:p>
          <w:p w14:paraId="56A76EDC" w14:textId="77777777" w:rsidR="00F617AD" w:rsidRPr="002836EB" w:rsidRDefault="00F617AD" w:rsidP="00F617AD">
            <w:pPr>
              <w:pStyle w:val="02Tabletext"/>
            </w:pPr>
            <w:r w:rsidRPr="002836EB">
              <w:t>Research Fellow, Cancer Council of Victoria</w:t>
            </w:r>
          </w:p>
          <w:p w14:paraId="0D551359" w14:textId="690CD7C4" w:rsidR="00F617AD" w:rsidRPr="002836EB" w:rsidRDefault="00F617AD" w:rsidP="00A00775">
            <w:pPr>
              <w:pStyle w:val="02Tabletext"/>
            </w:pPr>
            <w:r w:rsidRPr="002836EB">
              <w:t>Chair, Specific Interest – Cancer, RACGP</w:t>
            </w:r>
          </w:p>
        </w:tc>
        <w:tc>
          <w:tcPr>
            <w:tcW w:w="1465" w:type="pct"/>
          </w:tcPr>
          <w:p w14:paraId="13D3F0A9" w14:textId="1CB16B2B" w:rsidR="00F617AD" w:rsidRPr="002836EB" w:rsidRDefault="00F617AD" w:rsidP="00F617AD">
            <w:pPr>
              <w:pStyle w:val="02Tabletext"/>
            </w:pPr>
            <w:r w:rsidRPr="002836EB">
              <w:t>None</w:t>
            </w:r>
          </w:p>
        </w:tc>
      </w:tr>
      <w:tr w:rsidR="00F617AD" w:rsidRPr="002836EB" w14:paraId="084F62E8" w14:textId="77777777" w:rsidTr="00903E32">
        <w:tc>
          <w:tcPr>
            <w:tcW w:w="1177" w:type="pct"/>
          </w:tcPr>
          <w:p w14:paraId="38E99E9F" w14:textId="77777777" w:rsidR="00F617AD" w:rsidRPr="002836EB" w:rsidRDefault="00F617AD" w:rsidP="00F617AD">
            <w:pPr>
              <w:pStyle w:val="02Tabletext"/>
            </w:pPr>
            <w:r w:rsidRPr="002836EB">
              <w:lastRenderedPageBreak/>
              <w:t>Professor Michael Barton</w:t>
            </w:r>
          </w:p>
        </w:tc>
        <w:tc>
          <w:tcPr>
            <w:tcW w:w="2358" w:type="pct"/>
          </w:tcPr>
          <w:p w14:paraId="7577073C" w14:textId="77777777" w:rsidR="00F617AD" w:rsidRPr="002836EB" w:rsidRDefault="00F617AD" w:rsidP="00F617AD">
            <w:pPr>
              <w:pStyle w:val="02Tabletext"/>
            </w:pPr>
            <w:r w:rsidRPr="002836EB">
              <w:t>Research Director, Ingham Institute for Applied Medical Research</w:t>
            </w:r>
          </w:p>
        </w:tc>
        <w:tc>
          <w:tcPr>
            <w:tcW w:w="1465" w:type="pct"/>
          </w:tcPr>
          <w:p w14:paraId="725D81F4" w14:textId="77777777" w:rsidR="00F617AD" w:rsidRPr="002836EB" w:rsidRDefault="00F617AD" w:rsidP="00F617AD">
            <w:pPr>
              <w:pStyle w:val="02Tabletext"/>
            </w:pPr>
            <w:r w:rsidRPr="002836EB">
              <w:t>None</w:t>
            </w:r>
          </w:p>
        </w:tc>
      </w:tr>
      <w:tr w:rsidR="00587825" w:rsidRPr="002836EB" w14:paraId="00F06060" w14:textId="77777777" w:rsidTr="00903E32">
        <w:tc>
          <w:tcPr>
            <w:tcW w:w="1177" w:type="pct"/>
          </w:tcPr>
          <w:p w14:paraId="68921C18" w14:textId="2457C17D" w:rsidR="00587825" w:rsidRPr="002836EB" w:rsidRDefault="00587825" w:rsidP="00587825">
            <w:pPr>
              <w:pStyle w:val="02Tabletext"/>
            </w:pPr>
            <w:r w:rsidRPr="002836EB">
              <w:t>Dr Salvatore Berlangieri</w:t>
            </w:r>
          </w:p>
        </w:tc>
        <w:tc>
          <w:tcPr>
            <w:tcW w:w="2358" w:type="pct"/>
          </w:tcPr>
          <w:p w14:paraId="484CBF4D" w14:textId="742E5428" w:rsidR="00587825" w:rsidRPr="002836EB" w:rsidRDefault="00587825" w:rsidP="00587825">
            <w:pPr>
              <w:pStyle w:val="02Tabletext"/>
            </w:pPr>
            <w:r w:rsidRPr="002836EB">
              <w:t>President, Australasian Association of Nuclear Medicine Specialists</w:t>
            </w:r>
          </w:p>
        </w:tc>
        <w:tc>
          <w:tcPr>
            <w:tcW w:w="1465" w:type="pct"/>
          </w:tcPr>
          <w:p w14:paraId="4353CD1B" w14:textId="58D432BD" w:rsidR="00587825" w:rsidRPr="002836EB" w:rsidRDefault="00587825" w:rsidP="00587825">
            <w:pPr>
              <w:pStyle w:val="02Tabletext"/>
            </w:pPr>
            <w:r w:rsidRPr="002836EB">
              <w:t>None</w:t>
            </w:r>
          </w:p>
        </w:tc>
      </w:tr>
      <w:tr w:rsidR="00587825" w:rsidRPr="002836EB" w14:paraId="04B3B628" w14:textId="77777777" w:rsidTr="00903E32">
        <w:tc>
          <w:tcPr>
            <w:tcW w:w="1177" w:type="pct"/>
          </w:tcPr>
          <w:p w14:paraId="20ADF501" w14:textId="42798641" w:rsidR="00587825" w:rsidRPr="002836EB" w:rsidRDefault="00587825" w:rsidP="00587825">
            <w:pPr>
              <w:pStyle w:val="02Tabletext"/>
            </w:pPr>
            <w:r w:rsidRPr="002836EB">
              <w:t>Professor Sanchia Aranda</w:t>
            </w:r>
          </w:p>
        </w:tc>
        <w:tc>
          <w:tcPr>
            <w:tcW w:w="2358" w:type="pct"/>
          </w:tcPr>
          <w:p w14:paraId="3179B4C7" w14:textId="77777777" w:rsidR="00587825" w:rsidRPr="002836EB" w:rsidRDefault="00587825" w:rsidP="00587825">
            <w:pPr>
              <w:pStyle w:val="02Tabletext"/>
            </w:pPr>
            <w:r w:rsidRPr="002836EB">
              <w:t>Chief Executive Officer, Cancer Council Australia</w:t>
            </w:r>
          </w:p>
          <w:p w14:paraId="25190365" w14:textId="77777777" w:rsidR="00587825" w:rsidRPr="002836EB" w:rsidRDefault="00587825" w:rsidP="00587825">
            <w:pPr>
              <w:pStyle w:val="02Tabletext"/>
            </w:pPr>
            <w:r w:rsidRPr="002836EB">
              <w:t>Research Fellow, Peter MacCallum Cancer Centre</w:t>
            </w:r>
          </w:p>
          <w:p w14:paraId="6C92F3E4" w14:textId="4BA41002" w:rsidR="00587825" w:rsidRPr="002836EB" w:rsidRDefault="00587825" w:rsidP="00587825">
            <w:pPr>
              <w:pStyle w:val="02Tabletext"/>
            </w:pPr>
            <w:r w:rsidRPr="002836EB">
              <w:t>Director of Cancer Services and Information, NSW Cancer Institute</w:t>
            </w:r>
          </w:p>
        </w:tc>
        <w:tc>
          <w:tcPr>
            <w:tcW w:w="1465" w:type="pct"/>
          </w:tcPr>
          <w:p w14:paraId="5CA36DAF" w14:textId="579DD9CB" w:rsidR="00587825" w:rsidRPr="002836EB" w:rsidRDefault="00587825" w:rsidP="00587825">
            <w:pPr>
              <w:pStyle w:val="02Tabletext"/>
            </w:pPr>
            <w:r w:rsidRPr="002836EB">
              <w:t>None</w:t>
            </w:r>
          </w:p>
        </w:tc>
      </w:tr>
      <w:tr w:rsidR="00F617AD" w:rsidRPr="002836EB" w14:paraId="2C5CE2E1" w14:textId="77777777" w:rsidTr="00903E32">
        <w:tc>
          <w:tcPr>
            <w:tcW w:w="1177" w:type="pct"/>
          </w:tcPr>
          <w:p w14:paraId="7D5FDF5D" w14:textId="74C55371" w:rsidR="00F617AD" w:rsidRPr="002836EB" w:rsidRDefault="00F617AD" w:rsidP="009A7234">
            <w:pPr>
              <w:pStyle w:val="02Tabletext"/>
            </w:pPr>
            <w:r w:rsidRPr="002836EB">
              <w:t>Prof Bruce Barraclough (</w:t>
            </w:r>
            <w:r w:rsidR="009A7234">
              <w:t xml:space="preserve">Oncology Clinical Committee </w:t>
            </w:r>
            <w:r w:rsidRPr="002836EB">
              <w:t>Chair)</w:t>
            </w:r>
          </w:p>
        </w:tc>
        <w:tc>
          <w:tcPr>
            <w:tcW w:w="2358" w:type="pct"/>
          </w:tcPr>
          <w:p w14:paraId="6208F3E3" w14:textId="77777777" w:rsidR="00F617AD" w:rsidRPr="002836EB" w:rsidRDefault="00F617AD" w:rsidP="00F617AD">
            <w:pPr>
              <w:pStyle w:val="02Tabletext"/>
            </w:pPr>
            <w:r w:rsidRPr="002836EB">
              <w:t>Board Chair, Australian E-Health Research Centre</w:t>
            </w:r>
          </w:p>
          <w:p w14:paraId="0C81241C" w14:textId="77777777" w:rsidR="00F617AD" w:rsidRPr="002836EB" w:rsidRDefault="00F617AD" w:rsidP="00F617AD">
            <w:pPr>
              <w:pStyle w:val="02Tabletext"/>
            </w:pPr>
            <w:r w:rsidRPr="002836EB">
              <w:t>Board, Macquarie University Hospital</w:t>
            </w:r>
          </w:p>
          <w:p w14:paraId="5152F514" w14:textId="77777777" w:rsidR="00F617AD" w:rsidRPr="002836EB" w:rsidRDefault="00F617AD" w:rsidP="00F617AD">
            <w:pPr>
              <w:pStyle w:val="02Tabletext"/>
            </w:pPr>
            <w:r w:rsidRPr="002836EB">
              <w:t>Emeritus Professor, University of Western Sydney</w:t>
            </w:r>
          </w:p>
        </w:tc>
        <w:tc>
          <w:tcPr>
            <w:tcW w:w="1465" w:type="pct"/>
          </w:tcPr>
          <w:p w14:paraId="7690CEDD" w14:textId="77777777" w:rsidR="00F617AD" w:rsidRPr="002836EB" w:rsidRDefault="00F617AD" w:rsidP="00F617AD">
            <w:pPr>
              <w:pStyle w:val="02Tabletext"/>
            </w:pPr>
            <w:r w:rsidRPr="002836EB">
              <w:t>Prof Barraclough declared that he is a member of a hospital with a Gamma Knife</w:t>
            </w:r>
          </w:p>
        </w:tc>
      </w:tr>
    </w:tbl>
    <w:p w14:paraId="0278AF7A" w14:textId="292261E1" w:rsidR="00F617AD" w:rsidRPr="002836EB" w:rsidRDefault="00F617AD" w:rsidP="00F617AD">
      <w:r w:rsidRPr="002836EB">
        <w:t xml:space="preserve">It is noted that the majority of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w:t>
      </w:r>
    </w:p>
    <w:p w14:paraId="6AF097B6" w14:textId="1EB2EEAB" w:rsidR="00F617AD" w:rsidRPr="002836EB" w:rsidRDefault="00CC50DB" w:rsidP="00F617AD">
      <w:pPr>
        <w:spacing w:after="160" w:line="259" w:lineRule="auto"/>
        <w:rPr>
          <w:rFonts w:ascii="Calibri" w:hAnsi="Calibri" w:cs="Arial"/>
          <w:szCs w:val="22"/>
        </w:rPr>
      </w:pPr>
      <w:r w:rsidRPr="002836EB">
        <w:rPr>
          <w:rFonts w:ascii="Calibri" w:hAnsi="Calibri" w:cs="Arial"/>
          <w:szCs w:val="22"/>
        </w:rPr>
        <w:t xml:space="preserve">The </w:t>
      </w:r>
      <w:r w:rsidR="00F617AD" w:rsidRPr="002836EB">
        <w:rPr>
          <w:rFonts w:ascii="Calibri" w:hAnsi="Calibri" w:cs="Arial"/>
          <w:szCs w:val="22"/>
        </w:rPr>
        <w:t>Radiation Oncology Working Group</w:t>
      </w:r>
      <w:r w:rsidR="00C06BD8" w:rsidRPr="002836EB">
        <w:rPr>
          <w:rFonts w:ascii="Calibri" w:hAnsi="Calibri" w:cs="Arial"/>
          <w:szCs w:val="22"/>
        </w:rPr>
        <w:t xml:space="preserve"> developed the following recommendations</w:t>
      </w:r>
      <w:r w:rsidR="00F617AD" w:rsidRPr="002836EB">
        <w:rPr>
          <w:rFonts w:ascii="Calibri" w:hAnsi="Calibri" w:cs="Arial"/>
          <w:szCs w:val="22"/>
        </w:rPr>
        <w:t xml:space="preserve">, </w:t>
      </w:r>
      <w:r w:rsidR="002178FE">
        <w:rPr>
          <w:rFonts w:ascii="Calibri" w:hAnsi="Calibri" w:cs="Arial"/>
          <w:szCs w:val="22"/>
        </w:rPr>
        <w:t>taking into</w:t>
      </w:r>
      <w:r w:rsidR="002178FE" w:rsidRPr="002836EB">
        <w:rPr>
          <w:rFonts w:ascii="Calibri" w:hAnsi="Calibri" w:cs="Arial"/>
          <w:szCs w:val="22"/>
        </w:rPr>
        <w:t xml:space="preserve"> </w:t>
      </w:r>
      <w:r w:rsidR="0021169E" w:rsidRPr="002836EB">
        <w:rPr>
          <w:rFonts w:ascii="Calibri" w:hAnsi="Calibri" w:cs="Arial"/>
          <w:szCs w:val="22"/>
        </w:rPr>
        <w:t>consideration technical advice from RANZCR</w:t>
      </w:r>
      <w:r w:rsidR="00F2224C">
        <w:rPr>
          <w:rFonts w:ascii="Calibri" w:hAnsi="Calibri" w:cs="Arial"/>
          <w:szCs w:val="22"/>
        </w:rPr>
        <w:t>.</w:t>
      </w:r>
      <w:r w:rsidR="0021169E" w:rsidRPr="002836EB">
        <w:rPr>
          <w:rFonts w:ascii="Calibri" w:hAnsi="Calibri" w:cs="Arial"/>
          <w:szCs w:val="22"/>
        </w:rPr>
        <w:t xml:space="preserve"> </w:t>
      </w:r>
      <w:r w:rsidR="00F2224C">
        <w:rPr>
          <w:rFonts w:ascii="Calibri" w:hAnsi="Calibri" w:cs="Arial"/>
          <w:szCs w:val="22"/>
        </w:rPr>
        <w:t>T</w:t>
      </w:r>
      <w:r w:rsidR="0021169E" w:rsidRPr="002836EB">
        <w:rPr>
          <w:rFonts w:ascii="Calibri" w:hAnsi="Calibri" w:cs="Arial"/>
          <w:szCs w:val="22"/>
        </w:rPr>
        <w:t xml:space="preserve">he </w:t>
      </w:r>
      <w:r w:rsidR="008C133E">
        <w:rPr>
          <w:rFonts w:ascii="Calibri" w:hAnsi="Calibri" w:cs="Arial"/>
          <w:szCs w:val="22"/>
        </w:rPr>
        <w:t xml:space="preserve">Committee unanimously endorsed these </w:t>
      </w:r>
      <w:r w:rsidR="0021169E" w:rsidRPr="002836EB">
        <w:rPr>
          <w:rFonts w:ascii="Calibri" w:hAnsi="Calibri" w:cs="Arial"/>
          <w:szCs w:val="22"/>
        </w:rPr>
        <w:t>recommendations</w:t>
      </w:r>
      <w:r w:rsidR="00F617AD" w:rsidRPr="002836EB">
        <w:rPr>
          <w:rFonts w:ascii="Calibri" w:hAnsi="Calibri" w:cs="Arial"/>
          <w:szCs w:val="22"/>
        </w:rPr>
        <w:t xml:space="preserve">. </w:t>
      </w:r>
    </w:p>
    <w:p w14:paraId="556B8FF0" w14:textId="3AB5EB47" w:rsidR="003938D3" w:rsidRPr="002836EB" w:rsidRDefault="003938D3" w:rsidP="003938D3">
      <w:pPr>
        <w:pStyle w:val="Heading2"/>
        <w:rPr>
          <w:lang w:val="en-GB"/>
        </w:rPr>
      </w:pPr>
      <w:bookmarkStart w:id="139" w:name="_Toc468647478"/>
      <w:bookmarkStart w:id="140" w:name="_Toc479082784"/>
      <w:r w:rsidRPr="002836EB">
        <w:rPr>
          <w:lang w:val="en-GB"/>
        </w:rPr>
        <w:t>Item overview</w:t>
      </w:r>
      <w:bookmarkEnd w:id="139"/>
      <w:bookmarkEnd w:id="140"/>
    </w:p>
    <w:p w14:paraId="08D050BC" w14:textId="56FBC4AF" w:rsidR="003938D3" w:rsidRPr="002836EB" w:rsidRDefault="00B03261" w:rsidP="00B03261">
      <w:pPr>
        <w:pStyle w:val="Caption"/>
        <w:pBdr>
          <w:bottom w:val="single" w:sz="4" w:space="1" w:color="auto"/>
        </w:pBdr>
      </w:pPr>
      <w:bookmarkStart w:id="141" w:name="_Ref465200941"/>
      <w:bookmarkStart w:id="142" w:name="_Toc468647518"/>
      <w:bookmarkStart w:id="143" w:name="_Toc479082828"/>
      <w:r w:rsidRPr="002836EB">
        <w:t xml:space="preserve">Figure </w:t>
      </w:r>
      <w:r w:rsidRPr="002836EB">
        <w:fldChar w:fldCharType="begin"/>
      </w:r>
      <w:r w:rsidRPr="002836EB">
        <w:instrText xml:space="preserve"> SEQ Figure \* ARABIC </w:instrText>
      </w:r>
      <w:r w:rsidRPr="002836EB">
        <w:fldChar w:fldCharType="separate"/>
      </w:r>
      <w:r w:rsidR="003274EF">
        <w:rPr>
          <w:noProof/>
        </w:rPr>
        <w:t>6</w:t>
      </w:r>
      <w:r w:rsidRPr="002836EB">
        <w:fldChar w:fldCharType="end"/>
      </w:r>
      <w:bookmarkEnd w:id="141"/>
      <w:r w:rsidRPr="002836EB">
        <w:t>: Overview of current MBS radiation oncology items</w:t>
      </w:r>
      <w:r w:rsidR="0026515D">
        <w:t xml:space="preserve"> (excluding item 15900)</w:t>
      </w:r>
      <w:bookmarkEnd w:id="142"/>
      <w:bookmarkEnd w:id="143"/>
    </w:p>
    <w:p w14:paraId="204FE9B4" w14:textId="39A9EA49" w:rsidR="00B03261" w:rsidRPr="002836EB" w:rsidRDefault="00A76E4F" w:rsidP="00B03261">
      <w:pPr>
        <w:jc w:val="center"/>
        <w:rPr>
          <w:lang w:eastAsia="en-US"/>
        </w:rPr>
      </w:pPr>
      <w:r w:rsidRPr="00A76E4F">
        <w:rPr>
          <w:noProof/>
          <w:lang w:val="en-AU"/>
        </w:rPr>
        <w:drawing>
          <wp:inline distT="0" distB="0" distL="0" distR="0" wp14:anchorId="128A6384" wp14:editId="4F31D52B">
            <wp:extent cx="5660305" cy="4245429"/>
            <wp:effectExtent l="0" t="0" r="0" b="3175"/>
            <wp:docPr id="2" name="Picture 2" descr="Figure 6 shows an overview of current MBS Radiation Oncology items, and how they divide into external vs brachytherapy items; and into planning vs treatment vs verification vs cessation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3927" cy="4248145"/>
                    </a:xfrm>
                    <a:prstGeom prst="rect">
                      <a:avLst/>
                    </a:prstGeom>
                    <a:noFill/>
                    <a:ln>
                      <a:noFill/>
                    </a:ln>
                  </pic:spPr>
                </pic:pic>
              </a:graphicData>
            </a:graphic>
          </wp:inline>
        </w:drawing>
      </w:r>
    </w:p>
    <w:p w14:paraId="34C55EE8" w14:textId="77777777" w:rsidR="00B03261" w:rsidRPr="002836EB" w:rsidRDefault="00B03261" w:rsidP="00B03261">
      <w:pPr>
        <w:pBdr>
          <w:top w:val="single" w:sz="4" w:space="1" w:color="auto"/>
        </w:pBdr>
        <w:rPr>
          <w:lang w:eastAsia="en-US"/>
        </w:rPr>
      </w:pPr>
    </w:p>
    <w:p w14:paraId="5D555B2D" w14:textId="77777777" w:rsidR="00EF62A3" w:rsidRPr="002836EB" w:rsidRDefault="00EF62A3" w:rsidP="00B03261">
      <w:pPr>
        <w:pBdr>
          <w:top w:val="single" w:sz="4" w:space="1" w:color="auto"/>
        </w:pBdr>
        <w:rPr>
          <w:lang w:eastAsia="en-US"/>
        </w:rPr>
      </w:pPr>
    </w:p>
    <w:p w14:paraId="63E37DDC" w14:textId="38238BB7" w:rsidR="00B03261" w:rsidRPr="002836EB" w:rsidRDefault="00CB3643" w:rsidP="0069299B">
      <w:pPr>
        <w:pStyle w:val="01squarebullet"/>
        <w:rPr>
          <w:lang w:val="en-GB"/>
        </w:rPr>
      </w:pPr>
      <w:r>
        <w:rPr>
          <w:lang w:val="en-GB"/>
        </w:rPr>
        <w:t>The MBS currently includes 89</w:t>
      </w:r>
      <w:r w:rsidR="00B03261" w:rsidRPr="002836EB">
        <w:rPr>
          <w:lang w:val="en-GB"/>
        </w:rPr>
        <w:t xml:space="preserve"> radiati</w:t>
      </w:r>
      <w:r w:rsidR="00D752B8" w:rsidRPr="002836EB">
        <w:rPr>
          <w:lang w:val="en-GB"/>
        </w:rPr>
        <w:t>on oncology items</w:t>
      </w:r>
      <w:r w:rsidR="006F6C58">
        <w:rPr>
          <w:lang w:val="en-GB"/>
        </w:rPr>
        <w:t xml:space="preserve"> (</w:t>
      </w:r>
      <w:r w:rsidR="006F6C58">
        <w:rPr>
          <w:lang w:val="en-GB"/>
        </w:rPr>
        <w:fldChar w:fldCharType="begin"/>
      </w:r>
      <w:r w:rsidR="006F6C58">
        <w:rPr>
          <w:lang w:val="en-GB"/>
        </w:rPr>
        <w:instrText xml:space="preserve"> REF _Ref465200941 \h </w:instrText>
      </w:r>
      <w:r w:rsidR="006F6C58">
        <w:rPr>
          <w:lang w:val="en-GB"/>
        </w:rPr>
      </w:r>
      <w:r w:rsidR="006F6C58">
        <w:rPr>
          <w:lang w:val="en-GB"/>
        </w:rPr>
        <w:fldChar w:fldCharType="separate"/>
      </w:r>
      <w:r w:rsidR="003274EF" w:rsidRPr="002836EB">
        <w:t xml:space="preserve">Figure </w:t>
      </w:r>
      <w:r w:rsidR="003274EF">
        <w:rPr>
          <w:noProof/>
        </w:rPr>
        <w:t>6</w:t>
      </w:r>
      <w:r w:rsidR="006F6C58">
        <w:rPr>
          <w:lang w:val="en-GB"/>
        </w:rPr>
        <w:fldChar w:fldCharType="end"/>
      </w:r>
      <w:r w:rsidR="00F84FF1">
        <w:rPr>
          <w:lang w:val="en-GB"/>
        </w:rPr>
        <w:t>)</w:t>
      </w:r>
      <w:r w:rsidR="003E703E">
        <w:rPr>
          <w:lang w:val="en-GB"/>
        </w:rPr>
        <w:t>; excluding the recently listed intraoperative radiotherapy item 15900)</w:t>
      </w:r>
      <w:r w:rsidR="00D752B8" w:rsidRPr="002836EB">
        <w:rPr>
          <w:lang w:val="en-GB"/>
        </w:rPr>
        <w:t xml:space="preserve">. The majority of these relate to external radiation therapy, </w:t>
      </w:r>
      <w:r w:rsidR="00F210B5" w:rsidRPr="002836EB">
        <w:rPr>
          <w:lang w:val="en-GB"/>
        </w:rPr>
        <w:t xml:space="preserve">and </w:t>
      </w:r>
      <w:r w:rsidR="00D752B8" w:rsidRPr="002836EB">
        <w:rPr>
          <w:lang w:val="en-GB"/>
        </w:rPr>
        <w:t>the remainder relat</w:t>
      </w:r>
      <w:r w:rsidR="00C51D2F" w:rsidRPr="002836EB">
        <w:rPr>
          <w:lang w:val="en-GB"/>
        </w:rPr>
        <w:t>e</w:t>
      </w:r>
      <w:r w:rsidR="00D752B8" w:rsidRPr="002836EB">
        <w:rPr>
          <w:lang w:val="en-GB"/>
        </w:rPr>
        <w:t xml:space="preserve"> to brachytherapy (where the radioactive source is placed internally or i</w:t>
      </w:r>
      <w:r w:rsidR="00101FBD">
        <w:rPr>
          <w:lang w:val="en-GB"/>
        </w:rPr>
        <w:t>n close proximity to the body).</w:t>
      </w:r>
    </w:p>
    <w:p w14:paraId="378A8A5B" w14:textId="2B75BAE8" w:rsidR="00D752B8" w:rsidRPr="002836EB" w:rsidRDefault="00D752B8" w:rsidP="00D752B8">
      <w:pPr>
        <w:pStyle w:val="01squarebullet"/>
        <w:rPr>
          <w:lang w:val="en-GB"/>
        </w:rPr>
      </w:pPr>
      <w:r w:rsidRPr="002836EB">
        <w:rPr>
          <w:lang w:val="en-GB"/>
        </w:rPr>
        <w:t xml:space="preserve">External radiation therapy items are </w:t>
      </w:r>
      <w:r w:rsidR="00B83537" w:rsidRPr="002836EB">
        <w:rPr>
          <w:lang w:val="en-GB"/>
        </w:rPr>
        <w:t>divided into planning items (relating to simulation and field</w:t>
      </w:r>
      <w:r w:rsidR="005E4D1A">
        <w:rPr>
          <w:lang w:val="en-GB"/>
        </w:rPr>
        <w:t>-</w:t>
      </w:r>
      <w:r w:rsidR="00B83537" w:rsidRPr="002836EB">
        <w:rPr>
          <w:lang w:val="en-GB"/>
        </w:rPr>
        <w:t>setting, as well as dosimetry)</w:t>
      </w:r>
      <w:r w:rsidR="00FC1B21" w:rsidRPr="002836EB">
        <w:rPr>
          <w:lang w:val="en-GB"/>
        </w:rPr>
        <w:t>;</w:t>
      </w:r>
      <w:r w:rsidR="00B83537" w:rsidRPr="002836EB">
        <w:rPr>
          <w:lang w:val="en-GB"/>
        </w:rPr>
        <w:t xml:space="preserve"> treatment items (relating to primary or secondary sites, single or multiple fields)</w:t>
      </w:r>
      <w:r w:rsidR="00BC179A" w:rsidRPr="002836EB">
        <w:rPr>
          <w:lang w:val="en-GB"/>
        </w:rPr>
        <w:t>;</w:t>
      </w:r>
      <w:r w:rsidR="00B83537" w:rsidRPr="002836EB">
        <w:rPr>
          <w:lang w:val="en-GB"/>
        </w:rPr>
        <w:t xml:space="preserve"> and treatment verification items. </w:t>
      </w:r>
      <w:r w:rsidR="00AC2D7B" w:rsidRPr="002836EB">
        <w:rPr>
          <w:lang w:val="en-GB"/>
        </w:rPr>
        <w:t>These</w:t>
      </w:r>
      <w:r w:rsidR="00B35707" w:rsidRPr="002836EB">
        <w:rPr>
          <w:lang w:val="en-GB"/>
        </w:rPr>
        <w:t xml:space="preserve"> items are </w:t>
      </w:r>
      <w:r w:rsidR="00486721" w:rsidRPr="002836EB">
        <w:rPr>
          <w:lang w:val="en-GB"/>
        </w:rPr>
        <w:t xml:space="preserve">also </w:t>
      </w:r>
      <w:r w:rsidR="00B35707" w:rsidRPr="002836EB">
        <w:rPr>
          <w:lang w:val="en-GB"/>
        </w:rPr>
        <w:t>divided by factors such as the target organ (lung, prostate, breast, other) or the energy involved (single</w:t>
      </w:r>
      <w:r w:rsidR="00EE4B07">
        <w:rPr>
          <w:lang w:val="en-GB"/>
        </w:rPr>
        <w:t>-</w:t>
      </w:r>
      <w:r w:rsidR="00B35707" w:rsidRPr="002836EB">
        <w:rPr>
          <w:lang w:val="en-GB"/>
        </w:rPr>
        <w:t>photon versus dual</w:t>
      </w:r>
      <w:r w:rsidR="00EE4B07">
        <w:rPr>
          <w:lang w:val="en-GB"/>
        </w:rPr>
        <w:t>-</w:t>
      </w:r>
      <w:r w:rsidR="00B35707" w:rsidRPr="002836EB">
        <w:rPr>
          <w:lang w:val="en-GB"/>
        </w:rPr>
        <w:t>photon energy).</w:t>
      </w:r>
      <w:r w:rsidR="004D43DE" w:rsidRPr="002836EB">
        <w:rPr>
          <w:lang w:val="en-GB"/>
        </w:rPr>
        <w:t xml:space="preserve"> The external radiation therapy items include items for megavoltage therapy and kilovoltage therapy (i.e.</w:t>
      </w:r>
      <w:r w:rsidR="00D64F4F" w:rsidRPr="002836EB">
        <w:rPr>
          <w:lang w:val="en-GB"/>
        </w:rPr>
        <w:t>,</w:t>
      </w:r>
      <w:r w:rsidR="004D43DE" w:rsidRPr="002836EB">
        <w:rPr>
          <w:lang w:val="en-GB"/>
        </w:rPr>
        <w:t xml:space="preserve"> superficial and deep orthovoltage).</w:t>
      </w:r>
    </w:p>
    <w:p w14:paraId="2A7909EC" w14:textId="42695929" w:rsidR="00B83537" w:rsidRPr="002836EB" w:rsidRDefault="00B83537" w:rsidP="00D752B8">
      <w:pPr>
        <w:pStyle w:val="01squarebullet"/>
        <w:rPr>
          <w:lang w:val="en-GB"/>
        </w:rPr>
      </w:pPr>
      <w:r w:rsidRPr="002836EB">
        <w:rPr>
          <w:lang w:val="en-GB"/>
        </w:rPr>
        <w:t>Brachytherapy items are divided into planning items (relating to radiation source localisation, planning and dosimetry)</w:t>
      </w:r>
      <w:r w:rsidR="00FB10C1" w:rsidRPr="002836EB">
        <w:rPr>
          <w:lang w:val="en-GB"/>
        </w:rPr>
        <w:t>;</w:t>
      </w:r>
      <w:r w:rsidRPr="002836EB">
        <w:rPr>
          <w:lang w:val="en-GB"/>
        </w:rPr>
        <w:t xml:space="preserve"> treatment items (relating to insertion)</w:t>
      </w:r>
      <w:r w:rsidR="00B56E83" w:rsidRPr="002836EB">
        <w:rPr>
          <w:lang w:val="en-GB"/>
        </w:rPr>
        <w:t>;</w:t>
      </w:r>
      <w:r w:rsidRPr="002836EB">
        <w:rPr>
          <w:lang w:val="en-GB"/>
        </w:rPr>
        <w:t xml:space="preserve"> an item for treatment verification</w:t>
      </w:r>
      <w:r w:rsidR="00A618FB" w:rsidRPr="002836EB">
        <w:rPr>
          <w:lang w:val="en-GB"/>
        </w:rPr>
        <w:t>;</w:t>
      </w:r>
      <w:r w:rsidRPr="002836EB">
        <w:rPr>
          <w:lang w:val="en-GB"/>
        </w:rPr>
        <w:t xml:space="preserve"> and an item for removal. </w:t>
      </w:r>
      <w:r w:rsidR="004A336A" w:rsidRPr="002836EB">
        <w:rPr>
          <w:lang w:val="en-GB"/>
        </w:rPr>
        <w:t>These</w:t>
      </w:r>
      <w:r w:rsidR="00B35707" w:rsidRPr="002836EB">
        <w:rPr>
          <w:lang w:val="en-GB"/>
        </w:rPr>
        <w:t xml:space="preserve"> items are </w:t>
      </w:r>
      <w:r w:rsidR="00886C34" w:rsidRPr="002836EB">
        <w:rPr>
          <w:lang w:val="en-GB"/>
        </w:rPr>
        <w:t xml:space="preserve">also </w:t>
      </w:r>
      <w:r w:rsidR="00B35707" w:rsidRPr="002836EB">
        <w:rPr>
          <w:lang w:val="en-GB"/>
        </w:rPr>
        <w:t>divided by factors such as the target organ (prostate, ut</w:t>
      </w:r>
      <w:r w:rsidR="00102A9E" w:rsidRPr="002836EB">
        <w:rPr>
          <w:lang w:val="en-GB"/>
        </w:rPr>
        <w:t>erus, vagina, combined, other).</w:t>
      </w:r>
    </w:p>
    <w:p w14:paraId="153068E7" w14:textId="239A0973" w:rsidR="00CD16D1" w:rsidRPr="00E07C64" w:rsidRDefault="00FE1092" w:rsidP="003938D3">
      <w:pPr>
        <w:pStyle w:val="Heading2"/>
        <w:rPr>
          <w:lang w:val="en-GB"/>
        </w:rPr>
      </w:pPr>
      <w:bookmarkStart w:id="144" w:name="_Ref464501738"/>
      <w:bookmarkStart w:id="145" w:name="_Toc468647479"/>
      <w:bookmarkStart w:id="146" w:name="_Toc479082785"/>
      <w:r w:rsidRPr="00E07C64">
        <w:rPr>
          <w:rFonts w:ascii="Calibri" w:hAnsi="Calibri"/>
          <w:lang w:val="en-GB"/>
        </w:rPr>
        <w:t>M</w:t>
      </w:r>
      <w:r w:rsidR="00840163" w:rsidRPr="00E07C64">
        <w:rPr>
          <w:lang w:val="en-GB"/>
        </w:rPr>
        <w:t xml:space="preserve">egavoltage </w:t>
      </w:r>
      <w:r w:rsidR="00701122" w:rsidRPr="00E07C64">
        <w:rPr>
          <w:lang w:val="en-GB"/>
        </w:rPr>
        <w:t>r</w:t>
      </w:r>
      <w:r w:rsidR="000629EC" w:rsidRPr="00E07C64">
        <w:rPr>
          <w:lang w:val="en-GB"/>
        </w:rPr>
        <w:t xml:space="preserve">adiation </w:t>
      </w:r>
      <w:r w:rsidR="00701122" w:rsidRPr="00E07C64">
        <w:rPr>
          <w:lang w:val="en-GB"/>
        </w:rPr>
        <w:t>t</w:t>
      </w:r>
      <w:r w:rsidR="000629EC" w:rsidRPr="00E07C64">
        <w:rPr>
          <w:lang w:val="en-GB"/>
        </w:rPr>
        <w:t>herapy</w:t>
      </w:r>
      <w:bookmarkEnd w:id="134"/>
      <w:bookmarkEnd w:id="144"/>
      <w:bookmarkEnd w:id="145"/>
      <w:bookmarkEnd w:id="146"/>
    </w:p>
    <w:p w14:paraId="7E568056" w14:textId="4FBCB723" w:rsidR="00EE694B" w:rsidRPr="002836EB" w:rsidRDefault="00EE694B" w:rsidP="00EE694B">
      <w:pPr>
        <w:pStyle w:val="Caption"/>
      </w:pPr>
      <w:bookmarkStart w:id="147" w:name="_Toc462786245"/>
      <w:bookmarkStart w:id="148" w:name="_Toc468647507"/>
      <w:bookmarkStart w:id="149" w:name="_Toc479082813"/>
      <w:r w:rsidRPr="002836EB">
        <w:t xml:space="preserve">Table </w:t>
      </w:r>
      <w:r w:rsidRPr="002836EB">
        <w:fldChar w:fldCharType="begin"/>
      </w:r>
      <w:r w:rsidRPr="002836EB">
        <w:instrText xml:space="preserve"> SEQ Table \* ARABIC </w:instrText>
      </w:r>
      <w:r w:rsidRPr="002836EB">
        <w:fldChar w:fldCharType="separate"/>
      </w:r>
      <w:r w:rsidR="003274EF">
        <w:rPr>
          <w:noProof/>
        </w:rPr>
        <w:t>6</w:t>
      </w:r>
      <w:r w:rsidRPr="002836EB">
        <w:fldChar w:fldCharType="end"/>
      </w:r>
      <w:r w:rsidRPr="002836EB">
        <w:t>: Item introduction table for item</w:t>
      </w:r>
      <w:bookmarkEnd w:id="147"/>
      <w:r w:rsidR="0087655D" w:rsidRPr="002836EB">
        <w:t>s 15215</w:t>
      </w:r>
      <w:r w:rsidR="00B179E9">
        <w:t>–</w:t>
      </w:r>
      <w:r w:rsidR="0087655D" w:rsidRPr="002836EB">
        <w:t>15</w:t>
      </w:r>
      <w:r w:rsidR="00E6579E">
        <w:t>275</w:t>
      </w:r>
      <w:r w:rsidR="005120DB" w:rsidRPr="002836EB">
        <w:t>, 15500</w:t>
      </w:r>
      <w:r w:rsidR="00B179E9">
        <w:t>–</w:t>
      </w:r>
      <w:r w:rsidR="005120DB" w:rsidRPr="002836EB">
        <w:t>15512, 15515</w:t>
      </w:r>
      <w:r w:rsidR="00B179E9">
        <w:t>–</w:t>
      </w:r>
      <w:r w:rsidR="005120DB" w:rsidRPr="002836EB">
        <w:t>15533, 15550</w:t>
      </w:r>
      <w:r w:rsidR="00B179E9">
        <w:t>–</w:t>
      </w:r>
      <w:r w:rsidR="005120DB" w:rsidRPr="002836EB">
        <w:t>15710</w:t>
      </w:r>
      <w:bookmarkEnd w:id="148"/>
      <w:bookmarkEnd w:id="149"/>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6 shows the item introduction table for Megavoltage radiation therapy item numbers 15215–15272, 15500–15512, 15515–15533, and 15550–15710. There are 6 columns: Column 1. List of items, Column 2. Descriptor, column 3. Schedule fee, column 4. Volume of services for financial year 2014-15, column 5. Total benefits for FY 2014-15, and column 6. Percentage of the services average 5-year annual growth.&#10;"/>
      </w:tblPr>
      <w:tblGrid>
        <w:gridCol w:w="724"/>
        <w:gridCol w:w="3935"/>
        <w:gridCol w:w="998"/>
        <w:gridCol w:w="1065"/>
        <w:gridCol w:w="1093"/>
        <w:gridCol w:w="1201"/>
      </w:tblGrid>
      <w:tr w:rsidR="00396184" w:rsidRPr="002836EB" w14:paraId="548C9F44" w14:textId="77777777" w:rsidTr="00A60C83">
        <w:trPr>
          <w:tblHeader/>
        </w:trPr>
        <w:tc>
          <w:tcPr>
            <w:tcW w:w="725" w:type="dxa"/>
            <w:shd w:val="clear" w:color="auto" w:fill="F2F2F2" w:themeFill="background1" w:themeFillShade="F2"/>
            <w:vAlign w:val="bottom"/>
          </w:tcPr>
          <w:p w14:paraId="7FDE3EC9" w14:textId="77777777" w:rsidR="003D635F" w:rsidRPr="002836EB" w:rsidRDefault="003D635F" w:rsidP="005D41DE">
            <w:pPr>
              <w:pStyle w:val="02Tabletext"/>
              <w:rPr>
                <w:b/>
              </w:rPr>
            </w:pPr>
            <w:r w:rsidRPr="002836EB">
              <w:rPr>
                <w:b/>
              </w:rPr>
              <w:t>Item</w:t>
            </w:r>
          </w:p>
        </w:tc>
        <w:tc>
          <w:tcPr>
            <w:tcW w:w="3993" w:type="dxa"/>
            <w:shd w:val="clear" w:color="auto" w:fill="F2F2F2" w:themeFill="background1" w:themeFillShade="F2"/>
            <w:vAlign w:val="bottom"/>
          </w:tcPr>
          <w:p w14:paraId="0C1BB0C4" w14:textId="77777777" w:rsidR="003D635F" w:rsidRPr="002836EB" w:rsidRDefault="003D635F" w:rsidP="005D41DE">
            <w:pPr>
              <w:pStyle w:val="02Tabletext"/>
              <w:rPr>
                <w:b/>
              </w:rPr>
            </w:pPr>
            <w:r w:rsidRPr="002836EB">
              <w:rPr>
                <w:b/>
              </w:rPr>
              <w:t>Descriptor</w:t>
            </w:r>
          </w:p>
        </w:tc>
        <w:tc>
          <w:tcPr>
            <w:tcW w:w="1001" w:type="dxa"/>
            <w:shd w:val="clear" w:color="auto" w:fill="F2F2F2" w:themeFill="background1" w:themeFillShade="F2"/>
            <w:vAlign w:val="bottom"/>
          </w:tcPr>
          <w:p w14:paraId="1D58F98A" w14:textId="77777777" w:rsidR="003D635F" w:rsidRPr="002836EB" w:rsidRDefault="003D635F" w:rsidP="005D41DE">
            <w:pPr>
              <w:pStyle w:val="02Tabletext"/>
              <w:rPr>
                <w:b/>
              </w:rPr>
            </w:pPr>
            <w:r w:rsidRPr="002836EB">
              <w:rPr>
                <w:b/>
              </w:rPr>
              <w:t>Schedule</w:t>
            </w:r>
          </w:p>
          <w:p w14:paraId="7969EEA8" w14:textId="77777777" w:rsidR="003D635F" w:rsidRPr="002836EB" w:rsidRDefault="003D635F" w:rsidP="005D41DE">
            <w:pPr>
              <w:pStyle w:val="02Tabletext"/>
              <w:rPr>
                <w:b/>
              </w:rPr>
            </w:pPr>
            <w:r w:rsidRPr="002836EB">
              <w:rPr>
                <w:b/>
              </w:rPr>
              <w:t>fee</w:t>
            </w:r>
          </w:p>
        </w:tc>
        <w:tc>
          <w:tcPr>
            <w:tcW w:w="1065" w:type="dxa"/>
            <w:shd w:val="clear" w:color="auto" w:fill="F2F2F2" w:themeFill="background1" w:themeFillShade="F2"/>
            <w:vAlign w:val="bottom"/>
          </w:tcPr>
          <w:p w14:paraId="6FF5A6D4" w14:textId="77777777" w:rsidR="003D635F" w:rsidRPr="002836EB" w:rsidRDefault="003D635F" w:rsidP="005D41DE">
            <w:pPr>
              <w:pStyle w:val="02Tabletext"/>
              <w:rPr>
                <w:b/>
              </w:rPr>
            </w:pPr>
            <w:r w:rsidRPr="002836EB">
              <w:rPr>
                <w:b/>
              </w:rPr>
              <w:t>Volume of services FY2014/15</w:t>
            </w:r>
          </w:p>
        </w:tc>
        <w:tc>
          <w:tcPr>
            <w:tcW w:w="1094" w:type="dxa"/>
            <w:shd w:val="clear" w:color="auto" w:fill="F2F2F2" w:themeFill="background1" w:themeFillShade="F2"/>
            <w:vAlign w:val="bottom"/>
          </w:tcPr>
          <w:p w14:paraId="3E0E0056" w14:textId="77777777" w:rsidR="003D635F" w:rsidRPr="002836EB" w:rsidRDefault="003D635F" w:rsidP="005D41DE">
            <w:pPr>
              <w:pStyle w:val="02Tabletext"/>
              <w:rPr>
                <w:b/>
              </w:rPr>
            </w:pPr>
            <w:r w:rsidRPr="002836EB">
              <w:rPr>
                <w:b/>
              </w:rPr>
              <w:t>Total benefits FY2014/15</w:t>
            </w:r>
          </w:p>
        </w:tc>
        <w:tc>
          <w:tcPr>
            <w:tcW w:w="1204" w:type="dxa"/>
            <w:shd w:val="clear" w:color="auto" w:fill="F2F2F2" w:themeFill="background1" w:themeFillShade="F2"/>
            <w:vAlign w:val="bottom"/>
          </w:tcPr>
          <w:p w14:paraId="3A2FBDAE" w14:textId="77777777" w:rsidR="003D635F" w:rsidRPr="002836EB" w:rsidRDefault="003D635F" w:rsidP="005D41DE">
            <w:pPr>
              <w:pStyle w:val="02Tabletext"/>
              <w:rPr>
                <w:b/>
              </w:rPr>
            </w:pPr>
            <w:r w:rsidRPr="002836EB">
              <w:rPr>
                <w:b/>
              </w:rPr>
              <w:t>Services 5-year-average annual growth</w:t>
            </w:r>
          </w:p>
        </w:tc>
      </w:tr>
      <w:tr w:rsidR="00A232E7" w:rsidRPr="002836EB" w14:paraId="57CE9503" w14:textId="77777777" w:rsidTr="00A60C83">
        <w:tc>
          <w:tcPr>
            <w:tcW w:w="725" w:type="dxa"/>
          </w:tcPr>
          <w:p w14:paraId="31C6D27D" w14:textId="5F1E335F" w:rsidR="00A232E7" w:rsidRPr="002836EB" w:rsidRDefault="00A232E7" w:rsidP="00A232E7">
            <w:pPr>
              <w:pStyle w:val="02Tabletext"/>
            </w:pPr>
            <w:r w:rsidRPr="002836EB">
              <w:t>15215</w:t>
            </w:r>
          </w:p>
        </w:tc>
        <w:tc>
          <w:tcPr>
            <w:tcW w:w="3993" w:type="dxa"/>
          </w:tcPr>
          <w:p w14:paraId="3385D6A2" w14:textId="30C61B83"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(lung)</w:t>
            </w:r>
            <w:r>
              <w:t>.</w:t>
            </w:r>
          </w:p>
        </w:tc>
        <w:tc>
          <w:tcPr>
            <w:tcW w:w="1001" w:type="dxa"/>
          </w:tcPr>
          <w:p w14:paraId="3087DACC" w14:textId="03443855" w:rsidR="00A232E7" w:rsidRPr="002836EB" w:rsidRDefault="00A232E7" w:rsidP="00A232E7">
            <w:pPr>
              <w:pStyle w:val="02Tabletext"/>
              <w:jc w:val="center"/>
            </w:pPr>
            <w:r w:rsidRPr="002836EB">
              <w:t xml:space="preserve"> $59.65 </w:t>
            </w:r>
          </w:p>
        </w:tc>
        <w:tc>
          <w:tcPr>
            <w:tcW w:w="1065" w:type="dxa"/>
          </w:tcPr>
          <w:p w14:paraId="66E184B2" w14:textId="438B3B34" w:rsidR="00A232E7" w:rsidRPr="002836EB" w:rsidRDefault="00A232E7" w:rsidP="00A232E7">
            <w:pPr>
              <w:pStyle w:val="02Tabletext"/>
              <w:jc w:val="center"/>
            </w:pPr>
            <w:r w:rsidRPr="00CB0EC5">
              <w:t>4</w:t>
            </w:r>
          </w:p>
        </w:tc>
        <w:tc>
          <w:tcPr>
            <w:tcW w:w="1094" w:type="dxa"/>
          </w:tcPr>
          <w:p w14:paraId="74AC9087" w14:textId="5814D34C" w:rsidR="00A232E7" w:rsidRPr="002836EB" w:rsidRDefault="00A232E7" w:rsidP="00A232E7">
            <w:pPr>
              <w:pStyle w:val="02Tabletext"/>
              <w:jc w:val="center"/>
            </w:pPr>
            <w:r w:rsidRPr="00CB0EC5">
              <w:t>$203</w:t>
            </w:r>
          </w:p>
        </w:tc>
        <w:tc>
          <w:tcPr>
            <w:tcW w:w="1204" w:type="dxa"/>
          </w:tcPr>
          <w:p w14:paraId="1B319284" w14:textId="021D95D0" w:rsidR="00A232E7" w:rsidRPr="002836EB" w:rsidRDefault="00A232E7" w:rsidP="00A232E7">
            <w:pPr>
              <w:pStyle w:val="02Tabletext"/>
              <w:jc w:val="center"/>
            </w:pPr>
            <w:r w:rsidRPr="00CB0EC5">
              <w:t>-58.2%</w:t>
            </w:r>
          </w:p>
        </w:tc>
      </w:tr>
      <w:tr w:rsidR="00A232E7" w:rsidRPr="002836EB" w14:paraId="52A79B0D" w14:textId="77777777" w:rsidTr="00A60C83">
        <w:tc>
          <w:tcPr>
            <w:tcW w:w="725" w:type="dxa"/>
          </w:tcPr>
          <w:p w14:paraId="439DA6A3" w14:textId="57C8F14C" w:rsidR="00A232E7" w:rsidRPr="002836EB" w:rsidRDefault="00A232E7" w:rsidP="00A232E7">
            <w:pPr>
              <w:pStyle w:val="02Tabletext"/>
            </w:pPr>
            <w:r w:rsidRPr="002836EB">
              <w:t>15218</w:t>
            </w:r>
          </w:p>
        </w:tc>
        <w:tc>
          <w:tcPr>
            <w:tcW w:w="3993" w:type="dxa"/>
          </w:tcPr>
          <w:p w14:paraId="120E9296" w14:textId="07A4F467"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(prostate)</w:t>
            </w:r>
            <w:r>
              <w:t>.</w:t>
            </w:r>
          </w:p>
        </w:tc>
        <w:tc>
          <w:tcPr>
            <w:tcW w:w="1001" w:type="dxa"/>
          </w:tcPr>
          <w:p w14:paraId="541A3006" w14:textId="2527875C" w:rsidR="00A232E7" w:rsidRPr="002836EB" w:rsidRDefault="00A232E7" w:rsidP="00A232E7">
            <w:pPr>
              <w:pStyle w:val="02Tabletext"/>
              <w:jc w:val="center"/>
            </w:pPr>
            <w:r w:rsidRPr="002836EB">
              <w:t xml:space="preserve"> $59.65 </w:t>
            </w:r>
          </w:p>
        </w:tc>
        <w:tc>
          <w:tcPr>
            <w:tcW w:w="1065" w:type="dxa"/>
          </w:tcPr>
          <w:p w14:paraId="0BB1447A" w14:textId="2A2ABC19" w:rsidR="00A232E7" w:rsidRPr="002836EB" w:rsidRDefault="00A232E7" w:rsidP="00A232E7">
            <w:pPr>
              <w:pStyle w:val="02Tabletext"/>
              <w:jc w:val="center"/>
            </w:pPr>
            <w:r w:rsidRPr="00CB0EC5">
              <w:t>42</w:t>
            </w:r>
          </w:p>
        </w:tc>
        <w:tc>
          <w:tcPr>
            <w:tcW w:w="1094" w:type="dxa"/>
          </w:tcPr>
          <w:p w14:paraId="2A9CBE2F" w14:textId="52F5E558" w:rsidR="00A232E7" w:rsidRPr="002836EB" w:rsidRDefault="00A232E7" w:rsidP="00A232E7">
            <w:pPr>
              <w:pStyle w:val="02Tabletext"/>
              <w:jc w:val="center"/>
            </w:pPr>
            <w:r w:rsidRPr="00CB0EC5">
              <w:t>$2,132</w:t>
            </w:r>
          </w:p>
        </w:tc>
        <w:tc>
          <w:tcPr>
            <w:tcW w:w="1204" w:type="dxa"/>
          </w:tcPr>
          <w:p w14:paraId="5A38DDF3" w14:textId="5C8B612B" w:rsidR="00A232E7" w:rsidRPr="002836EB" w:rsidRDefault="00A232E7" w:rsidP="00A232E7">
            <w:pPr>
              <w:pStyle w:val="02Tabletext"/>
              <w:jc w:val="center"/>
              <w:rPr>
                <w:shd w:val="clear" w:color="auto" w:fill="FBFBFB"/>
              </w:rPr>
            </w:pPr>
            <w:r w:rsidRPr="00CB0EC5">
              <w:t>-16.1%</w:t>
            </w:r>
          </w:p>
        </w:tc>
      </w:tr>
      <w:tr w:rsidR="00A232E7" w:rsidRPr="002836EB" w14:paraId="354E652F" w14:textId="77777777" w:rsidTr="00A60C83">
        <w:tc>
          <w:tcPr>
            <w:tcW w:w="725" w:type="dxa"/>
          </w:tcPr>
          <w:p w14:paraId="22B58EE9" w14:textId="6E619A48" w:rsidR="00A232E7" w:rsidRPr="002836EB" w:rsidRDefault="00A232E7" w:rsidP="00A232E7">
            <w:pPr>
              <w:pStyle w:val="02Tabletext"/>
            </w:pPr>
            <w:r w:rsidRPr="002836EB">
              <w:t>15221</w:t>
            </w:r>
          </w:p>
        </w:tc>
        <w:tc>
          <w:tcPr>
            <w:tcW w:w="3993" w:type="dxa"/>
          </w:tcPr>
          <w:p w14:paraId="2A38388B" w14:textId="30C8DA4D"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(breast)</w:t>
            </w:r>
            <w:r>
              <w:t>.</w:t>
            </w:r>
          </w:p>
        </w:tc>
        <w:tc>
          <w:tcPr>
            <w:tcW w:w="1001" w:type="dxa"/>
          </w:tcPr>
          <w:p w14:paraId="49DDF34E" w14:textId="15F5B673" w:rsidR="00A232E7" w:rsidRPr="002836EB" w:rsidRDefault="00A232E7" w:rsidP="00A232E7">
            <w:pPr>
              <w:pStyle w:val="02Tabletext"/>
              <w:jc w:val="center"/>
            </w:pPr>
            <w:r w:rsidRPr="002836EB">
              <w:t xml:space="preserve"> $59.65 </w:t>
            </w:r>
          </w:p>
        </w:tc>
        <w:tc>
          <w:tcPr>
            <w:tcW w:w="1065" w:type="dxa"/>
          </w:tcPr>
          <w:p w14:paraId="62CBC3C3" w14:textId="3D5D47E5" w:rsidR="00A232E7" w:rsidRPr="002836EB" w:rsidRDefault="00A232E7" w:rsidP="00A232E7">
            <w:pPr>
              <w:pStyle w:val="02Tabletext"/>
              <w:jc w:val="center"/>
            </w:pPr>
            <w:r w:rsidRPr="00CB0EC5">
              <w:t>474</w:t>
            </w:r>
          </w:p>
        </w:tc>
        <w:tc>
          <w:tcPr>
            <w:tcW w:w="1094" w:type="dxa"/>
          </w:tcPr>
          <w:p w14:paraId="3E21F42B" w14:textId="7D12A6EA" w:rsidR="00A232E7" w:rsidRPr="002836EB" w:rsidRDefault="00A232E7" w:rsidP="00A232E7">
            <w:pPr>
              <w:pStyle w:val="02Tabletext"/>
              <w:jc w:val="center"/>
            </w:pPr>
            <w:r w:rsidRPr="00CB0EC5">
              <w:t>$24,909</w:t>
            </w:r>
          </w:p>
        </w:tc>
        <w:tc>
          <w:tcPr>
            <w:tcW w:w="1204" w:type="dxa"/>
          </w:tcPr>
          <w:p w14:paraId="37A0F7C7" w14:textId="714340C7" w:rsidR="00A232E7" w:rsidRPr="002836EB" w:rsidRDefault="00A232E7" w:rsidP="00A232E7">
            <w:pPr>
              <w:pStyle w:val="02Tabletext"/>
              <w:jc w:val="center"/>
              <w:rPr>
                <w:shd w:val="clear" w:color="auto" w:fill="FBFBFB"/>
              </w:rPr>
            </w:pPr>
            <w:r w:rsidRPr="00CB0EC5">
              <w:t>-20.1%</w:t>
            </w:r>
          </w:p>
        </w:tc>
      </w:tr>
      <w:tr w:rsidR="00A232E7" w:rsidRPr="002836EB" w14:paraId="06CDC38B" w14:textId="77777777" w:rsidTr="00A60C83">
        <w:tc>
          <w:tcPr>
            <w:tcW w:w="725" w:type="dxa"/>
          </w:tcPr>
          <w:p w14:paraId="55333199" w14:textId="3BA23010" w:rsidR="00A232E7" w:rsidRPr="002836EB" w:rsidRDefault="00A232E7" w:rsidP="00A232E7">
            <w:pPr>
              <w:pStyle w:val="02Tabletext"/>
            </w:pPr>
            <w:r w:rsidRPr="002836EB">
              <w:t>15224</w:t>
            </w:r>
          </w:p>
        </w:tc>
        <w:tc>
          <w:tcPr>
            <w:tcW w:w="3993" w:type="dxa"/>
          </w:tcPr>
          <w:p w14:paraId="2802A8CE" w14:textId="2ABA6725"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for diseases and conditions not covered by items 15215, 15218 and 15221</w:t>
            </w:r>
            <w:r>
              <w:t>.</w:t>
            </w:r>
          </w:p>
        </w:tc>
        <w:tc>
          <w:tcPr>
            <w:tcW w:w="1001" w:type="dxa"/>
          </w:tcPr>
          <w:p w14:paraId="0912A1BC" w14:textId="1477F855" w:rsidR="00A232E7" w:rsidRPr="002836EB" w:rsidRDefault="00A232E7" w:rsidP="00A232E7">
            <w:pPr>
              <w:pStyle w:val="02Tabletext"/>
              <w:jc w:val="center"/>
            </w:pPr>
            <w:r w:rsidRPr="002836EB">
              <w:t xml:space="preserve"> $59.65 </w:t>
            </w:r>
          </w:p>
        </w:tc>
        <w:tc>
          <w:tcPr>
            <w:tcW w:w="1065" w:type="dxa"/>
          </w:tcPr>
          <w:p w14:paraId="2AD353EF" w14:textId="259D29DA" w:rsidR="00A232E7" w:rsidRPr="002836EB" w:rsidRDefault="00A232E7" w:rsidP="00A232E7">
            <w:pPr>
              <w:pStyle w:val="02Tabletext"/>
              <w:jc w:val="center"/>
            </w:pPr>
            <w:r w:rsidRPr="00CB0EC5">
              <w:t>1,330</w:t>
            </w:r>
          </w:p>
        </w:tc>
        <w:tc>
          <w:tcPr>
            <w:tcW w:w="1094" w:type="dxa"/>
          </w:tcPr>
          <w:p w14:paraId="0847B8DE" w14:textId="61FFD873" w:rsidR="00A232E7" w:rsidRPr="002836EB" w:rsidRDefault="00A232E7" w:rsidP="00A232E7">
            <w:pPr>
              <w:pStyle w:val="02Tabletext"/>
              <w:jc w:val="center"/>
            </w:pPr>
            <w:r w:rsidRPr="00CB0EC5">
              <w:t>$68,153</w:t>
            </w:r>
          </w:p>
        </w:tc>
        <w:tc>
          <w:tcPr>
            <w:tcW w:w="1204" w:type="dxa"/>
          </w:tcPr>
          <w:p w14:paraId="428BC33D" w14:textId="6BB073BA" w:rsidR="00A232E7" w:rsidRPr="002836EB" w:rsidRDefault="00A232E7" w:rsidP="00A232E7">
            <w:pPr>
              <w:pStyle w:val="02Tabletext"/>
              <w:jc w:val="center"/>
              <w:rPr>
                <w:shd w:val="clear" w:color="auto" w:fill="FBFBFB"/>
              </w:rPr>
            </w:pPr>
            <w:r w:rsidRPr="00CB0EC5">
              <w:t>-10.9%</w:t>
            </w:r>
          </w:p>
        </w:tc>
      </w:tr>
      <w:tr w:rsidR="00A232E7" w:rsidRPr="002836EB" w14:paraId="523F175C" w14:textId="77777777" w:rsidTr="00A60C83">
        <w:tc>
          <w:tcPr>
            <w:tcW w:w="725" w:type="dxa"/>
          </w:tcPr>
          <w:p w14:paraId="1C494353" w14:textId="6449A1DB" w:rsidR="00A232E7" w:rsidRPr="002836EB" w:rsidRDefault="00A232E7" w:rsidP="00A232E7">
            <w:pPr>
              <w:pStyle w:val="02Tabletext"/>
            </w:pPr>
            <w:r w:rsidRPr="002836EB">
              <w:t>15227</w:t>
            </w:r>
          </w:p>
        </w:tc>
        <w:tc>
          <w:tcPr>
            <w:tcW w:w="3993" w:type="dxa"/>
          </w:tcPr>
          <w:p w14:paraId="41A89288" w14:textId="3CE6CA34"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1 field </w:t>
            </w:r>
            <w:r>
              <w:t>–</w:t>
            </w:r>
            <w:r w:rsidRPr="002836EB">
              <w:t xml:space="preserve"> treatment delivered to secondary site</w:t>
            </w:r>
            <w:r>
              <w:t>.</w:t>
            </w:r>
          </w:p>
        </w:tc>
        <w:tc>
          <w:tcPr>
            <w:tcW w:w="1001" w:type="dxa"/>
          </w:tcPr>
          <w:p w14:paraId="7B0A3AE7" w14:textId="7CD56ACC" w:rsidR="00A232E7" w:rsidRPr="002836EB" w:rsidRDefault="00A232E7" w:rsidP="00A232E7">
            <w:pPr>
              <w:pStyle w:val="02Tabletext"/>
              <w:jc w:val="center"/>
            </w:pPr>
            <w:r w:rsidRPr="002836EB">
              <w:t xml:space="preserve"> $59.65 </w:t>
            </w:r>
          </w:p>
        </w:tc>
        <w:tc>
          <w:tcPr>
            <w:tcW w:w="1065" w:type="dxa"/>
          </w:tcPr>
          <w:p w14:paraId="5282A568" w14:textId="286C78D1" w:rsidR="00A232E7" w:rsidRPr="002836EB" w:rsidRDefault="00A232E7" w:rsidP="00A232E7">
            <w:pPr>
              <w:pStyle w:val="02Tabletext"/>
              <w:jc w:val="center"/>
            </w:pPr>
            <w:r w:rsidRPr="00CB0EC5">
              <w:t>993</w:t>
            </w:r>
          </w:p>
        </w:tc>
        <w:tc>
          <w:tcPr>
            <w:tcW w:w="1094" w:type="dxa"/>
          </w:tcPr>
          <w:p w14:paraId="7910596D" w14:textId="5DC53CA3" w:rsidR="00A232E7" w:rsidRPr="002836EB" w:rsidRDefault="00A232E7" w:rsidP="00A232E7">
            <w:pPr>
              <w:pStyle w:val="02Tabletext"/>
              <w:jc w:val="center"/>
            </w:pPr>
            <w:r w:rsidRPr="00CB0EC5">
              <w:t>$57,448</w:t>
            </w:r>
          </w:p>
        </w:tc>
        <w:tc>
          <w:tcPr>
            <w:tcW w:w="1204" w:type="dxa"/>
          </w:tcPr>
          <w:p w14:paraId="034391DA" w14:textId="05FD5BB4" w:rsidR="00A232E7" w:rsidRPr="002836EB" w:rsidRDefault="00A232E7" w:rsidP="00A232E7">
            <w:pPr>
              <w:pStyle w:val="02Tabletext"/>
              <w:jc w:val="center"/>
              <w:rPr>
                <w:shd w:val="clear" w:color="auto" w:fill="FBFBFB"/>
              </w:rPr>
            </w:pPr>
            <w:r w:rsidRPr="00CB0EC5">
              <w:t>-18.1%</w:t>
            </w:r>
          </w:p>
        </w:tc>
      </w:tr>
      <w:tr w:rsidR="00A232E7" w:rsidRPr="002836EB" w14:paraId="73A6A9C0" w14:textId="77777777" w:rsidTr="00A60C83">
        <w:tc>
          <w:tcPr>
            <w:tcW w:w="725" w:type="dxa"/>
          </w:tcPr>
          <w:p w14:paraId="7FE5D2CB" w14:textId="7C505737" w:rsidR="00A232E7" w:rsidRPr="002836EB" w:rsidRDefault="00A232E7" w:rsidP="00A232E7">
            <w:pPr>
              <w:pStyle w:val="02Tabletext"/>
            </w:pPr>
            <w:r w:rsidRPr="002836EB">
              <w:t>15230</w:t>
            </w:r>
          </w:p>
        </w:tc>
        <w:tc>
          <w:tcPr>
            <w:tcW w:w="3993" w:type="dxa"/>
          </w:tcPr>
          <w:p w14:paraId="2ED4B37A" w14:textId="4DFD87C8"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(lung)</w:t>
            </w:r>
            <w:r>
              <w:t>.</w:t>
            </w:r>
          </w:p>
        </w:tc>
        <w:tc>
          <w:tcPr>
            <w:tcW w:w="1001" w:type="dxa"/>
          </w:tcPr>
          <w:p w14:paraId="30F62CC2" w14:textId="28017535" w:rsidR="00A232E7" w:rsidRPr="002836EB" w:rsidRDefault="00A232E7" w:rsidP="00A232E7">
            <w:pPr>
              <w:pStyle w:val="02Tabletext"/>
              <w:jc w:val="center"/>
            </w:pPr>
            <w:r w:rsidRPr="002836EB">
              <w:t xml:space="preserve">The fee for item 15215 plus for each field in excess of 1, an </w:t>
            </w:r>
            <w:r w:rsidRPr="002836EB">
              <w:lastRenderedPageBreak/>
              <w:t>amount of $37.95</w:t>
            </w:r>
          </w:p>
        </w:tc>
        <w:tc>
          <w:tcPr>
            <w:tcW w:w="1065" w:type="dxa"/>
          </w:tcPr>
          <w:p w14:paraId="6F1FD55B" w14:textId="01B97FA2" w:rsidR="00A232E7" w:rsidRPr="002836EB" w:rsidRDefault="00A232E7" w:rsidP="00A232E7">
            <w:pPr>
              <w:pStyle w:val="02Tabletext"/>
              <w:jc w:val="center"/>
            </w:pPr>
            <w:r w:rsidRPr="00CB0EC5">
              <w:lastRenderedPageBreak/>
              <w:t>5,110</w:t>
            </w:r>
          </w:p>
        </w:tc>
        <w:tc>
          <w:tcPr>
            <w:tcW w:w="1094" w:type="dxa"/>
          </w:tcPr>
          <w:p w14:paraId="3348FDD1" w14:textId="048D1FDD" w:rsidR="00A232E7" w:rsidRPr="002836EB" w:rsidRDefault="00A232E7" w:rsidP="00A232E7">
            <w:pPr>
              <w:pStyle w:val="02Tabletext"/>
              <w:jc w:val="center"/>
            </w:pPr>
            <w:r w:rsidRPr="00CB0EC5">
              <w:t>$954,936</w:t>
            </w:r>
          </w:p>
        </w:tc>
        <w:tc>
          <w:tcPr>
            <w:tcW w:w="1204" w:type="dxa"/>
          </w:tcPr>
          <w:p w14:paraId="123E1B36" w14:textId="2CA1E1B6" w:rsidR="00A232E7" w:rsidRPr="002836EB" w:rsidRDefault="00A232E7" w:rsidP="00A232E7">
            <w:pPr>
              <w:pStyle w:val="02Tabletext"/>
              <w:jc w:val="center"/>
              <w:rPr>
                <w:shd w:val="clear" w:color="auto" w:fill="FBFBFB"/>
              </w:rPr>
            </w:pPr>
            <w:r w:rsidRPr="00CB0EC5">
              <w:t>-0.9%</w:t>
            </w:r>
          </w:p>
        </w:tc>
      </w:tr>
      <w:tr w:rsidR="00A232E7" w:rsidRPr="002836EB" w14:paraId="0140719B" w14:textId="77777777" w:rsidTr="00A60C83">
        <w:tc>
          <w:tcPr>
            <w:tcW w:w="725" w:type="dxa"/>
          </w:tcPr>
          <w:p w14:paraId="345AA936" w14:textId="2CC2AC7D" w:rsidR="00A232E7" w:rsidRPr="002836EB" w:rsidRDefault="00A232E7" w:rsidP="00A232E7">
            <w:pPr>
              <w:pStyle w:val="02Tabletext"/>
            </w:pPr>
            <w:r w:rsidRPr="002836EB">
              <w:t>15233</w:t>
            </w:r>
          </w:p>
        </w:tc>
        <w:tc>
          <w:tcPr>
            <w:tcW w:w="3993" w:type="dxa"/>
          </w:tcPr>
          <w:p w14:paraId="151A496C" w14:textId="20226BC8"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(prostate)</w:t>
            </w:r>
            <w:r>
              <w:t>.</w:t>
            </w:r>
          </w:p>
        </w:tc>
        <w:tc>
          <w:tcPr>
            <w:tcW w:w="1001" w:type="dxa"/>
          </w:tcPr>
          <w:p w14:paraId="2C7F6EAE" w14:textId="6023A559" w:rsidR="00A232E7" w:rsidRPr="002836EB" w:rsidRDefault="00A232E7" w:rsidP="00A232E7">
            <w:pPr>
              <w:pStyle w:val="02Tabletext"/>
              <w:jc w:val="center"/>
            </w:pPr>
            <w:r w:rsidRPr="002836EB">
              <w:t xml:space="preserve">The fee for item 15218 plus for each field in excess of 1, an amount of $37.95 </w:t>
            </w:r>
          </w:p>
        </w:tc>
        <w:tc>
          <w:tcPr>
            <w:tcW w:w="1065" w:type="dxa"/>
          </w:tcPr>
          <w:p w14:paraId="2FC5D6C3" w14:textId="56DDFF7B" w:rsidR="00A232E7" w:rsidRPr="002836EB" w:rsidRDefault="00A232E7" w:rsidP="00A232E7">
            <w:pPr>
              <w:pStyle w:val="02Tabletext"/>
              <w:jc w:val="center"/>
            </w:pPr>
            <w:r w:rsidRPr="00CB0EC5">
              <w:t>5,723</w:t>
            </w:r>
          </w:p>
        </w:tc>
        <w:tc>
          <w:tcPr>
            <w:tcW w:w="1094" w:type="dxa"/>
          </w:tcPr>
          <w:p w14:paraId="53CCD09A" w14:textId="77E04144" w:rsidR="00A232E7" w:rsidRPr="002836EB" w:rsidRDefault="00A232E7" w:rsidP="00A232E7">
            <w:pPr>
              <w:pStyle w:val="02Tabletext"/>
              <w:jc w:val="center"/>
            </w:pPr>
            <w:r w:rsidRPr="00CB0EC5">
              <w:t>$1,570,325</w:t>
            </w:r>
          </w:p>
        </w:tc>
        <w:tc>
          <w:tcPr>
            <w:tcW w:w="1204" w:type="dxa"/>
          </w:tcPr>
          <w:p w14:paraId="736B9502" w14:textId="11E5EDCB" w:rsidR="00A232E7" w:rsidRPr="002836EB" w:rsidRDefault="00A232E7" w:rsidP="00A232E7">
            <w:pPr>
              <w:pStyle w:val="02Tabletext"/>
              <w:jc w:val="center"/>
              <w:rPr>
                <w:shd w:val="clear" w:color="auto" w:fill="FBFBFB"/>
              </w:rPr>
            </w:pPr>
            <w:r w:rsidRPr="00CB0EC5">
              <w:t>6.7%</w:t>
            </w:r>
          </w:p>
        </w:tc>
      </w:tr>
      <w:tr w:rsidR="00A232E7" w:rsidRPr="002836EB" w14:paraId="62247FF3" w14:textId="77777777" w:rsidTr="00A60C83">
        <w:tc>
          <w:tcPr>
            <w:tcW w:w="725" w:type="dxa"/>
          </w:tcPr>
          <w:p w14:paraId="42985063" w14:textId="666C59AA" w:rsidR="00A232E7" w:rsidRPr="002836EB" w:rsidRDefault="00A232E7" w:rsidP="00A232E7">
            <w:pPr>
              <w:pStyle w:val="02Tabletext"/>
            </w:pPr>
            <w:r w:rsidRPr="002836EB">
              <w:t>15236</w:t>
            </w:r>
          </w:p>
        </w:tc>
        <w:tc>
          <w:tcPr>
            <w:tcW w:w="3993" w:type="dxa"/>
          </w:tcPr>
          <w:p w14:paraId="6850C605" w14:textId="6634315A"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(breast)</w:t>
            </w:r>
            <w:r>
              <w:t>.</w:t>
            </w:r>
          </w:p>
        </w:tc>
        <w:tc>
          <w:tcPr>
            <w:tcW w:w="1001" w:type="dxa"/>
          </w:tcPr>
          <w:p w14:paraId="7DC9A8C5" w14:textId="40522EF7" w:rsidR="00A232E7" w:rsidRPr="002836EB" w:rsidRDefault="00A232E7" w:rsidP="00A232E7">
            <w:pPr>
              <w:pStyle w:val="02Tabletext"/>
              <w:jc w:val="center"/>
            </w:pPr>
            <w:r w:rsidRPr="002836EB">
              <w:t>The fee for item 15221 plus for each field in excess of 1, an amount of $37.95</w:t>
            </w:r>
          </w:p>
        </w:tc>
        <w:tc>
          <w:tcPr>
            <w:tcW w:w="1065" w:type="dxa"/>
          </w:tcPr>
          <w:p w14:paraId="3C5C908B" w14:textId="00FC32D5" w:rsidR="00A232E7" w:rsidRPr="002836EB" w:rsidRDefault="00A232E7" w:rsidP="00A232E7">
            <w:pPr>
              <w:pStyle w:val="02Tabletext"/>
              <w:jc w:val="center"/>
            </w:pPr>
            <w:r w:rsidRPr="00CB0EC5">
              <w:t>21,376</w:t>
            </w:r>
          </w:p>
        </w:tc>
        <w:tc>
          <w:tcPr>
            <w:tcW w:w="1094" w:type="dxa"/>
          </w:tcPr>
          <w:p w14:paraId="4621EB74" w14:textId="5D099F25" w:rsidR="00A232E7" w:rsidRPr="002836EB" w:rsidRDefault="00A232E7" w:rsidP="00A232E7">
            <w:pPr>
              <w:pStyle w:val="02Tabletext"/>
              <w:jc w:val="center"/>
            </w:pPr>
            <w:r w:rsidRPr="00CB0EC5">
              <w:t>$4,749,796</w:t>
            </w:r>
          </w:p>
        </w:tc>
        <w:tc>
          <w:tcPr>
            <w:tcW w:w="1204" w:type="dxa"/>
          </w:tcPr>
          <w:p w14:paraId="1E529B82" w14:textId="787ACCDD" w:rsidR="00A232E7" w:rsidRPr="002836EB" w:rsidRDefault="00A232E7" w:rsidP="00A232E7">
            <w:pPr>
              <w:pStyle w:val="02Tabletext"/>
              <w:jc w:val="center"/>
              <w:rPr>
                <w:shd w:val="clear" w:color="auto" w:fill="FBFBFB"/>
              </w:rPr>
            </w:pPr>
            <w:r w:rsidRPr="00CB0EC5">
              <w:t>-9.2%</w:t>
            </w:r>
          </w:p>
        </w:tc>
      </w:tr>
      <w:tr w:rsidR="00A232E7" w:rsidRPr="002836EB" w14:paraId="63EFF919" w14:textId="77777777" w:rsidTr="00A60C83">
        <w:tc>
          <w:tcPr>
            <w:tcW w:w="725" w:type="dxa"/>
          </w:tcPr>
          <w:p w14:paraId="238F4CDE" w14:textId="48266C70" w:rsidR="00A232E7" w:rsidRPr="002836EB" w:rsidRDefault="00A232E7" w:rsidP="00A232E7">
            <w:pPr>
              <w:pStyle w:val="02Tabletext"/>
            </w:pPr>
            <w:r w:rsidRPr="002836EB">
              <w:t>15239</w:t>
            </w:r>
          </w:p>
        </w:tc>
        <w:tc>
          <w:tcPr>
            <w:tcW w:w="3993" w:type="dxa"/>
          </w:tcPr>
          <w:p w14:paraId="4B84A090" w14:textId="570BFB61"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for diseases and conditions not covered by items 15230, 15233 or 15236</w:t>
            </w:r>
            <w:r>
              <w:t>.</w:t>
            </w:r>
          </w:p>
        </w:tc>
        <w:tc>
          <w:tcPr>
            <w:tcW w:w="1001" w:type="dxa"/>
          </w:tcPr>
          <w:p w14:paraId="3A108BD4" w14:textId="7DCD1402" w:rsidR="00A232E7" w:rsidRPr="002836EB" w:rsidRDefault="00A232E7" w:rsidP="00A232E7">
            <w:pPr>
              <w:pStyle w:val="02Tabletext"/>
              <w:jc w:val="center"/>
            </w:pPr>
            <w:r w:rsidRPr="002836EB">
              <w:t>The fee for item 15224 plus for each field in excess of 1, an amount of $37.95</w:t>
            </w:r>
          </w:p>
        </w:tc>
        <w:tc>
          <w:tcPr>
            <w:tcW w:w="1065" w:type="dxa"/>
          </w:tcPr>
          <w:p w14:paraId="27D123DA" w14:textId="44866B55" w:rsidR="00A232E7" w:rsidRPr="002836EB" w:rsidRDefault="00A232E7" w:rsidP="00A232E7">
            <w:pPr>
              <w:pStyle w:val="02Tabletext"/>
              <w:jc w:val="center"/>
            </w:pPr>
            <w:r w:rsidRPr="00CB0EC5">
              <w:t>27,028</w:t>
            </w:r>
          </w:p>
        </w:tc>
        <w:tc>
          <w:tcPr>
            <w:tcW w:w="1094" w:type="dxa"/>
          </w:tcPr>
          <w:p w14:paraId="1D5921E3" w14:textId="1F2706AF" w:rsidR="00A232E7" w:rsidRPr="002836EB" w:rsidRDefault="00A232E7" w:rsidP="00A232E7">
            <w:pPr>
              <w:pStyle w:val="02Tabletext"/>
              <w:jc w:val="center"/>
            </w:pPr>
            <w:r w:rsidRPr="00CB0EC5">
              <w:t>$4,210,920</w:t>
            </w:r>
          </w:p>
        </w:tc>
        <w:tc>
          <w:tcPr>
            <w:tcW w:w="1204" w:type="dxa"/>
          </w:tcPr>
          <w:p w14:paraId="7F75C413" w14:textId="7E33563C" w:rsidR="00A232E7" w:rsidRPr="002836EB" w:rsidRDefault="00A232E7" w:rsidP="00A232E7">
            <w:pPr>
              <w:pStyle w:val="02Tabletext"/>
              <w:jc w:val="center"/>
              <w:rPr>
                <w:shd w:val="clear" w:color="auto" w:fill="FBFBFB"/>
              </w:rPr>
            </w:pPr>
            <w:r w:rsidRPr="00CB0EC5">
              <w:t>0.8%</w:t>
            </w:r>
          </w:p>
        </w:tc>
      </w:tr>
      <w:tr w:rsidR="00A232E7" w:rsidRPr="002836EB" w14:paraId="3AE59959" w14:textId="77777777" w:rsidTr="00A60C83">
        <w:tc>
          <w:tcPr>
            <w:tcW w:w="725" w:type="dxa"/>
          </w:tcPr>
          <w:p w14:paraId="37D33B4E" w14:textId="3FED06AF" w:rsidR="00A232E7" w:rsidRPr="002836EB" w:rsidRDefault="00A232E7" w:rsidP="00A232E7">
            <w:pPr>
              <w:pStyle w:val="02Tabletext"/>
            </w:pPr>
            <w:r w:rsidRPr="002836EB">
              <w:t>15242</w:t>
            </w:r>
          </w:p>
        </w:tc>
        <w:tc>
          <w:tcPr>
            <w:tcW w:w="3993" w:type="dxa"/>
          </w:tcPr>
          <w:p w14:paraId="3D96DE34" w14:textId="5E0B2F42" w:rsidR="00A232E7" w:rsidRPr="002836EB" w:rsidRDefault="00A232E7" w:rsidP="00A232E7">
            <w:pPr>
              <w:pStyle w:val="02Tabletext"/>
            </w:pPr>
            <w:r w:rsidRPr="002836EB">
              <w:t xml:space="preserve">Radiation oncology treatment, using a single photon energy linear accelerator with or without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secondary site</w:t>
            </w:r>
            <w:r>
              <w:t>.</w:t>
            </w:r>
          </w:p>
        </w:tc>
        <w:tc>
          <w:tcPr>
            <w:tcW w:w="1001" w:type="dxa"/>
          </w:tcPr>
          <w:p w14:paraId="5FD73393" w14:textId="16E132DE" w:rsidR="00A232E7" w:rsidRPr="002836EB" w:rsidRDefault="00A232E7" w:rsidP="00A232E7">
            <w:pPr>
              <w:pStyle w:val="02Tabletext"/>
              <w:jc w:val="center"/>
            </w:pPr>
            <w:r w:rsidRPr="002836EB">
              <w:t>The fee for item 15227 plus for each field in excess of 1, an amount of $37.95</w:t>
            </w:r>
          </w:p>
        </w:tc>
        <w:tc>
          <w:tcPr>
            <w:tcW w:w="1065" w:type="dxa"/>
          </w:tcPr>
          <w:p w14:paraId="5DE28191" w14:textId="5E900677" w:rsidR="00A232E7" w:rsidRPr="002836EB" w:rsidRDefault="00A232E7" w:rsidP="00A232E7">
            <w:pPr>
              <w:pStyle w:val="02Tabletext"/>
              <w:jc w:val="center"/>
            </w:pPr>
            <w:r w:rsidRPr="00CB0EC5">
              <w:t>7,639</w:t>
            </w:r>
          </w:p>
        </w:tc>
        <w:tc>
          <w:tcPr>
            <w:tcW w:w="1094" w:type="dxa"/>
          </w:tcPr>
          <w:p w14:paraId="5591787B" w14:textId="157D35FE" w:rsidR="00A232E7" w:rsidRPr="002836EB" w:rsidRDefault="00A232E7" w:rsidP="00A232E7">
            <w:pPr>
              <w:pStyle w:val="02Tabletext"/>
              <w:jc w:val="center"/>
            </w:pPr>
            <w:r w:rsidRPr="00CB0EC5">
              <w:t>$1,108,406</w:t>
            </w:r>
          </w:p>
        </w:tc>
        <w:tc>
          <w:tcPr>
            <w:tcW w:w="1204" w:type="dxa"/>
          </w:tcPr>
          <w:p w14:paraId="48C7FA99" w14:textId="60AB6388" w:rsidR="00A232E7" w:rsidRPr="002836EB" w:rsidRDefault="00A232E7" w:rsidP="00A232E7">
            <w:pPr>
              <w:pStyle w:val="02Tabletext"/>
              <w:jc w:val="center"/>
              <w:rPr>
                <w:shd w:val="clear" w:color="auto" w:fill="FBFBFB"/>
              </w:rPr>
            </w:pPr>
            <w:r w:rsidRPr="00CB0EC5">
              <w:t>-9.2%</w:t>
            </w:r>
          </w:p>
        </w:tc>
      </w:tr>
      <w:tr w:rsidR="00A232E7" w:rsidRPr="002836EB" w14:paraId="7836B0F1" w14:textId="77777777" w:rsidTr="00A60C83">
        <w:tc>
          <w:tcPr>
            <w:tcW w:w="725" w:type="dxa"/>
          </w:tcPr>
          <w:p w14:paraId="400E6A58" w14:textId="20A246C9" w:rsidR="00A232E7" w:rsidRPr="002836EB" w:rsidRDefault="00A232E7" w:rsidP="00A232E7">
            <w:pPr>
              <w:pStyle w:val="02Tabletext"/>
            </w:pPr>
            <w:r w:rsidRPr="002836EB">
              <w:t>15245</w:t>
            </w:r>
          </w:p>
        </w:tc>
        <w:tc>
          <w:tcPr>
            <w:tcW w:w="3993" w:type="dxa"/>
          </w:tcPr>
          <w:p w14:paraId="04127B8D" w14:textId="2A848CA4"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(lung)</w:t>
            </w:r>
            <w:r>
              <w:t xml:space="preserve">. </w:t>
            </w:r>
          </w:p>
        </w:tc>
        <w:tc>
          <w:tcPr>
            <w:tcW w:w="1001" w:type="dxa"/>
          </w:tcPr>
          <w:p w14:paraId="541A91EF" w14:textId="7DDCA3B1" w:rsidR="00A232E7" w:rsidRPr="002836EB" w:rsidRDefault="00A232E7" w:rsidP="00A232E7">
            <w:pPr>
              <w:pStyle w:val="02Tabletext"/>
              <w:jc w:val="center"/>
            </w:pPr>
            <w:r w:rsidRPr="002836EB">
              <w:t xml:space="preserve"> $59.65 </w:t>
            </w:r>
          </w:p>
        </w:tc>
        <w:tc>
          <w:tcPr>
            <w:tcW w:w="1065" w:type="dxa"/>
          </w:tcPr>
          <w:p w14:paraId="1A5D6321" w14:textId="33164F97" w:rsidR="00A232E7" w:rsidRPr="002836EB" w:rsidRDefault="00A232E7" w:rsidP="00A232E7">
            <w:pPr>
              <w:pStyle w:val="02Tabletext"/>
              <w:jc w:val="center"/>
            </w:pPr>
            <w:r w:rsidRPr="00CB0EC5">
              <w:t>855</w:t>
            </w:r>
          </w:p>
        </w:tc>
        <w:tc>
          <w:tcPr>
            <w:tcW w:w="1094" w:type="dxa"/>
          </w:tcPr>
          <w:p w14:paraId="0BB0B2A5" w14:textId="40909C40" w:rsidR="00A232E7" w:rsidRPr="002836EB" w:rsidRDefault="00A232E7" w:rsidP="00A232E7">
            <w:pPr>
              <w:pStyle w:val="02Tabletext"/>
              <w:jc w:val="center"/>
            </w:pPr>
            <w:r w:rsidRPr="00CB0EC5">
              <w:t>$45,194</w:t>
            </w:r>
          </w:p>
        </w:tc>
        <w:tc>
          <w:tcPr>
            <w:tcW w:w="1204" w:type="dxa"/>
          </w:tcPr>
          <w:p w14:paraId="14C22CA0" w14:textId="201B4860" w:rsidR="00A232E7" w:rsidRPr="002836EB" w:rsidRDefault="00A232E7" w:rsidP="00A232E7">
            <w:pPr>
              <w:pStyle w:val="02Tabletext"/>
              <w:jc w:val="center"/>
              <w:rPr>
                <w:shd w:val="clear" w:color="auto" w:fill="FBFBFB"/>
              </w:rPr>
            </w:pPr>
            <w:r w:rsidRPr="00CB0EC5">
              <w:t>22.2%</w:t>
            </w:r>
          </w:p>
        </w:tc>
      </w:tr>
      <w:tr w:rsidR="00A232E7" w:rsidRPr="002836EB" w14:paraId="781664AD" w14:textId="77777777" w:rsidTr="00A60C83">
        <w:tc>
          <w:tcPr>
            <w:tcW w:w="725" w:type="dxa"/>
          </w:tcPr>
          <w:p w14:paraId="47C2CF81" w14:textId="0AEF9F95" w:rsidR="00A232E7" w:rsidRPr="002836EB" w:rsidRDefault="00A232E7" w:rsidP="00A232E7">
            <w:pPr>
              <w:pStyle w:val="02Tabletext"/>
            </w:pPr>
            <w:r w:rsidRPr="002836EB">
              <w:t>15248</w:t>
            </w:r>
          </w:p>
        </w:tc>
        <w:tc>
          <w:tcPr>
            <w:tcW w:w="3993" w:type="dxa"/>
          </w:tcPr>
          <w:p w14:paraId="179F5677" w14:textId="2B230693"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(prostate)</w:t>
            </w:r>
            <w:r>
              <w:t xml:space="preserve">. </w:t>
            </w:r>
          </w:p>
        </w:tc>
        <w:tc>
          <w:tcPr>
            <w:tcW w:w="1001" w:type="dxa"/>
          </w:tcPr>
          <w:p w14:paraId="56C4DB76" w14:textId="4C7F2AAD" w:rsidR="00A232E7" w:rsidRPr="002836EB" w:rsidRDefault="00A232E7" w:rsidP="00A232E7">
            <w:pPr>
              <w:pStyle w:val="02Tabletext"/>
              <w:jc w:val="center"/>
            </w:pPr>
            <w:r w:rsidRPr="002836EB">
              <w:t xml:space="preserve"> $59.65 </w:t>
            </w:r>
          </w:p>
        </w:tc>
        <w:tc>
          <w:tcPr>
            <w:tcW w:w="1065" w:type="dxa"/>
          </w:tcPr>
          <w:p w14:paraId="59241B9A" w14:textId="0B7B0C5A" w:rsidR="00A232E7" w:rsidRPr="002836EB" w:rsidRDefault="00A232E7" w:rsidP="00A232E7">
            <w:pPr>
              <w:pStyle w:val="02Tabletext"/>
              <w:jc w:val="center"/>
            </w:pPr>
            <w:r w:rsidRPr="00CB0EC5">
              <w:t>1,429</w:t>
            </w:r>
          </w:p>
        </w:tc>
        <w:tc>
          <w:tcPr>
            <w:tcW w:w="1094" w:type="dxa"/>
          </w:tcPr>
          <w:p w14:paraId="5943C5B3" w14:textId="28122FEE" w:rsidR="00A232E7" w:rsidRPr="002836EB" w:rsidRDefault="00A232E7" w:rsidP="00A232E7">
            <w:pPr>
              <w:pStyle w:val="02Tabletext"/>
              <w:jc w:val="center"/>
            </w:pPr>
            <w:r w:rsidRPr="00CB0EC5">
              <w:t>$75,514</w:t>
            </w:r>
          </w:p>
        </w:tc>
        <w:tc>
          <w:tcPr>
            <w:tcW w:w="1204" w:type="dxa"/>
          </w:tcPr>
          <w:p w14:paraId="18044D4E" w14:textId="22F3FA87" w:rsidR="00A232E7" w:rsidRPr="002836EB" w:rsidRDefault="00A232E7" w:rsidP="00A232E7">
            <w:pPr>
              <w:pStyle w:val="02Tabletext"/>
              <w:jc w:val="center"/>
              <w:rPr>
                <w:shd w:val="clear" w:color="auto" w:fill="FBFBFB"/>
              </w:rPr>
            </w:pPr>
            <w:r w:rsidRPr="00CB0EC5">
              <w:t>10.5%</w:t>
            </w:r>
          </w:p>
        </w:tc>
      </w:tr>
      <w:tr w:rsidR="00A232E7" w:rsidRPr="002836EB" w14:paraId="6ABD42D6" w14:textId="77777777" w:rsidTr="00A60C83">
        <w:tc>
          <w:tcPr>
            <w:tcW w:w="725" w:type="dxa"/>
          </w:tcPr>
          <w:p w14:paraId="643E2A4C" w14:textId="4F5DB3F5" w:rsidR="00A232E7" w:rsidRPr="002836EB" w:rsidRDefault="00A232E7" w:rsidP="00A232E7">
            <w:pPr>
              <w:pStyle w:val="02Tabletext"/>
            </w:pPr>
            <w:r w:rsidRPr="002836EB">
              <w:t>15251</w:t>
            </w:r>
          </w:p>
        </w:tc>
        <w:tc>
          <w:tcPr>
            <w:tcW w:w="3993" w:type="dxa"/>
          </w:tcPr>
          <w:p w14:paraId="3FE9A42A" w14:textId="1FF50C91"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(breast)</w:t>
            </w:r>
            <w:r>
              <w:t xml:space="preserve">. </w:t>
            </w:r>
          </w:p>
        </w:tc>
        <w:tc>
          <w:tcPr>
            <w:tcW w:w="1001" w:type="dxa"/>
          </w:tcPr>
          <w:p w14:paraId="014BB115" w14:textId="653B0920" w:rsidR="00A232E7" w:rsidRPr="002836EB" w:rsidRDefault="00A232E7" w:rsidP="00A232E7">
            <w:pPr>
              <w:pStyle w:val="02Tabletext"/>
              <w:jc w:val="center"/>
            </w:pPr>
            <w:r w:rsidRPr="002836EB">
              <w:t xml:space="preserve"> $59.65 </w:t>
            </w:r>
          </w:p>
        </w:tc>
        <w:tc>
          <w:tcPr>
            <w:tcW w:w="1065" w:type="dxa"/>
          </w:tcPr>
          <w:p w14:paraId="4FD53397" w14:textId="71C2F205" w:rsidR="00A232E7" w:rsidRPr="002836EB" w:rsidRDefault="00A232E7" w:rsidP="00A232E7">
            <w:pPr>
              <w:pStyle w:val="02Tabletext"/>
              <w:jc w:val="center"/>
            </w:pPr>
            <w:r w:rsidRPr="00CB0EC5">
              <w:t>23,839</w:t>
            </w:r>
          </w:p>
        </w:tc>
        <w:tc>
          <w:tcPr>
            <w:tcW w:w="1094" w:type="dxa"/>
          </w:tcPr>
          <w:p w14:paraId="41291434" w14:textId="42BFBC2C" w:rsidR="00A232E7" w:rsidRPr="002836EB" w:rsidRDefault="00A232E7" w:rsidP="00A232E7">
            <w:pPr>
              <w:pStyle w:val="02Tabletext"/>
              <w:jc w:val="center"/>
            </w:pPr>
            <w:r w:rsidRPr="00CB0EC5">
              <w:t>$1,562,218</w:t>
            </w:r>
          </w:p>
        </w:tc>
        <w:tc>
          <w:tcPr>
            <w:tcW w:w="1204" w:type="dxa"/>
          </w:tcPr>
          <w:p w14:paraId="5FF8E6DB" w14:textId="0DC67FEC" w:rsidR="00A232E7" w:rsidRPr="002836EB" w:rsidRDefault="00A232E7" w:rsidP="00A232E7">
            <w:pPr>
              <w:pStyle w:val="02Tabletext"/>
              <w:jc w:val="center"/>
              <w:rPr>
                <w:shd w:val="clear" w:color="auto" w:fill="FBFBFB"/>
              </w:rPr>
            </w:pPr>
            <w:r w:rsidRPr="00CB0EC5">
              <w:t>-1.0%</w:t>
            </w:r>
          </w:p>
        </w:tc>
      </w:tr>
      <w:tr w:rsidR="00A232E7" w:rsidRPr="002836EB" w14:paraId="40FA0724" w14:textId="77777777" w:rsidTr="00A60C83">
        <w:tc>
          <w:tcPr>
            <w:tcW w:w="725" w:type="dxa"/>
          </w:tcPr>
          <w:p w14:paraId="73170A8B" w14:textId="7D12E45D" w:rsidR="00A232E7" w:rsidRPr="002836EB" w:rsidRDefault="00A232E7" w:rsidP="00A232E7">
            <w:pPr>
              <w:pStyle w:val="02Tabletext"/>
            </w:pPr>
            <w:r w:rsidRPr="002836EB">
              <w:t>15254</w:t>
            </w:r>
          </w:p>
        </w:tc>
        <w:tc>
          <w:tcPr>
            <w:tcW w:w="3993" w:type="dxa"/>
          </w:tcPr>
          <w:p w14:paraId="55FC72A7" w14:textId="30DB2FD9"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1 field </w:t>
            </w:r>
            <w:r>
              <w:t>–</w:t>
            </w:r>
            <w:r w:rsidRPr="002836EB">
              <w:t xml:space="preserve"> treatment delivered to primary site for </w:t>
            </w:r>
            <w:r w:rsidRPr="002836EB">
              <w:lastRenderedPageBreak/>
              <w:t>diseases and conditions not covered by items 15245, 15248 or 15251</w:t>
            </w:r>
            <w:r>
              <w:t>.</w:t>
            </w:r>
          </w:p>
        </w:tc>
        <w:tc>
          <w:tcPr>
            <w:tcW w:w="1001" w:type="dxa"/>
          </w:tcPr>
          <w:p w14:paraId="50C749C2" w14:textId="35C3F0E7" w:rsidR="00A232E7" w:rsidRPr="002836EB" w:rsidRDefault="00A232E7" w:rsidP="00A232E7">
            <w:pPr>
              <w:pStyle w:val="02Tabletext"/>
              <w:jc w:val="center"/>
            </w:pPr>
            <w:r w:rsidRPr="002836EB">
              <w:lastRenderedPageBreak/>
              <w:t xml:space="preserve"> $59.65 </w:t>
            </w:r>
          </w:p>
        </w:tc>
        <w:tc>
          <w:tcPr>
            <w:tcW w:w="1065" w:type="dxa"/>
          </w:tcPr>
          <w:p w14:paraId="08657032" w14:textId="3E5CCE61" w:rsidR="00A232E7" w:rsidRPr="002836EB" w:rsidRDefault="00A232E7" w:rsidP="00A232E7">
            <w:pPr>
              <w:pStyle w:val="02Tabletext"/>
              <w:jc w:val="center"/>
            </w:pPr>
            <w:r w:rsidRPr="00CB0EC5">
              <w:t>41,699</w:t>
            </w:r>
          </w:p>
        </w:tc>
        <w:tc>
          <w:tcPr>
            <w:tcW w:w="1094" w:type="dxa"/>
          </w:tcPr>
          <w:p w14:paraId="368DE40A" w14:textId="3377511E" w:rsidR="00A232E7" w:rsidRPr="002836EB" w:rsidRDefault="00A232E7" w:rsidP="00A232E7">
            <w:pPr>
              <w:pStyle w:val="02Tabletext"/>
              <w:jc w:val="center"/>
            </w:pPr>
            <w:r w:rsidRPr="00CB0EC5">
              <w:t>$2,642,374</w:t>
            </w:r>
          </w:p>
        </w:tc>
        <w:tc>
          <w:tcPr>
            <w:tcW w:w="1204" w:type="dxa"/>
          </w:tcPr>
          <w:p w14:paraId="7C721E1C" w14:textId="703E69A2" w:rsidR="00A232E7" w:rsidRPr="002836EB" w:rsidRDefault="00A232E7" w:rsidP="00A232E7">
            <w:pPr>
              <w:pStyle w:val="02Tabletext"/>
              <w:jc w:val="center"/>
              <w:rPr>
                <w:shd w:val="clear" w:color="auto" w:fill="FBFBFB"/>
              </w:rPr>
            </w:pPr>
            <w:r w:rsidRPr="00CB0EC5">
              <w:t>6.3%</w:t>
            </w:r>
          </w:p>
        </w:tc>
      </w:tr>
      <w:tr w:rsidR="00A232E7" w:rsidRPr="002836EB" w14:paraId="072C84C7" w14:textId="77777777" w:rsidTr="00A60C83">
        <w:tc>
          <w:tcPr>
            <w:tcW w:w="725" w:type="dxa"/>
          </w:tcPr>
          <w:p w14:paraId="7A458152" w14:textId="49C99803" w:rsidR="00A232E7" w:rsidRPr="002836EB" w:rsidRDefault="00A232E7" w:rsidP="00A232E7">
            <w:pPr>
              <w:pStyle w:val="02Tabletext"/>
            </w:pPr>
            <w:r w:rsidRPr="002836EB">
              <w:t>15257</w:t>
            </w:r>
          </w:p>
        </w:tc>
        <w:tc>
          <w:tcPr>
            <w:tcW w:w="3993" w:type="dxa"/>
          </w:tcPr>
          <w:p w14:paraId="577F2797" w14:textId="60F1D676"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1 field </w:t>
            </w:r>
            <w:r>
              <w:t>–</w:t>
            </w:r>
            <w:r w:rsidRPr="002836EB">
              <w:t xml:space="preserve"> treatment delivered to secondary site treatment</w:t>
            </w:r>
            <w:r>
              <w:t xml:space="preserve">. </w:t>
            </w:r>
          </w:p>
        </w:tc>
        <w:tc>
          <w:tcPr>
            <w:tcW w:w="1001" w:type="dxa"/>
          </w:tcPr>
          <w:p w14:paraId="441EAEFC" w14:textId="13C21C2A" w:rsidR="00A232E7" w:rsidRPr="002836EB" w:rsidRDefault="00A232E7" w:rsidP="00A232E7">
            <w:pPr>
              <w:pStyle w:val="02Tabletext"/>
              <w:jc w:val="center"/>
            </w:pPr>
            <w:r w:rsidRPr="002836EB">
              <w:t xml:space="preserve"> $59.65 </w:t>
            </w:r>
          </w:p>
        </w:tc>
        <w:tc>
          <w:tcPr>
            <w:tcW w:w="1065" w:type="dxa"/>
          </w:tcPr>
          <w:p w14:paraId="682BDF4C" w14:textId="0AD19076" w:rsidR="00A232E7" w:rsidRPr="002836EB" w:rsidRDefault="00A232E7" w:rsidP="00A232E7">
            <w:pPr>
              <w:pStyle w:val="02Tabletext"/>
              <w:jc w:val="center"/>
            </w:pPr>
            <w:r w:rsidRPr="00CB0EC5">
              <w:t>11,098</w:t>
            </w:r>
          </w:p>
        </w:tc>
        <w:tc>
          <w:tcPr>
            <w:tcW w:w="1094" w:type="dxa"/>
          </w:tcPr>
          <w:p w14:paraId="76225A12" w14:textId="1DCBC8AB" w:rsidR="00A232E7" w:rsidRPr="002836EB" w:rsidRDefault="00A232E7" w:rsidP="00A232E7">
            <w:pPr>
              <w:pStyle w:val="02Tabletext"/>
              <w:jc w:val="center"/>
            </w:pPr>
            <w:r w:rsidRPr="00CB0EC5">
              <w:t>$607,298</w:t>
            </w:r>
          </w:p>
        </w:tc>
        <w:tc>
          <w:tcPr>
            <w:tcW w:w="1204" w:type="dxa"/>
          </w:tcPr>
          <w:p w14:paraId="1EE66139" w14:textId="3B03ABFC" w:rsidR="00A232E7" w:rsidRPr="002836EB" w:rsidRDefault="00A232E7" w:rsidP="00A232E7">
            <w:pPr>
              <w:pStyle w:val="02Tabletext"/>
              <w:jc w:val="center"/>
              <w:rPr>
                <w:shd w:val="clear" w:color="auto" w:fill="FBFBFB"/>
              </w:rPr>
            </w:pPr>
            <w:r w:rsidRPr="00CB0EC5">
              <w:t>-1.7%</w:t>
            </w:r>
          </w:p>
        </w:tc>
      </w:tr>
      <w:tr w:rsidR="00A232E7" w:rsidRPr="002836EB" w14:paraId="23D52F38" w14:textId="77777777" w:rsidTr="00A60C83">
        <w:tc>
          <w:tcPr>
            <w:tcW w:w="725" w:type="dxa"/>
          </w:tcPr>
          <w:p w14:paraId="50F03F6B" w14:textId="0FF87F32" w:rsidR="00A232E7" w:rsidRPr="002836EB" w:rsidRDefault="00A232E7" w:rsidP="00A232E7">
            <w:pPr>
              <w:pStyle w:val="02Tabletext"/>
            </w:pPr>
            <w:r w:rsidRPr="002836EB">
              <w:t>15260</w:t>
            </w:r>
          </w:p>
        </w:tc>
        <w:tc>
          <w:tcPr>
            <w:tcW w:w="3993" w:type="dxa"/>
          </w:tcPr>
          <w:p w14:paraId="2BBDCB1C" w14:textId="057BE4F4" w:rsidR="00A232E7" w:rsidRPr="002836EB" w:rsidRDefault="00A232E7" w:rsidP="00A232E7">
            <w:pPr>
              <w:pStyle w:val="02Tabletext"/>
            </w:pPr>
            <w:r w:rsidRPr="002836EB">
              <w:t>Radiation o</w:t>
            </w:r>
            <w:r>
              <w:t xml:space="preserve">r </w:t>
            </w: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(lung)</w:t>
            </w:r>
            <w:r>
              <w:t xml:space="preserve">. </w:t>
            </w:r>
          </w:p>
        </w:tc>
        <w:tc>
          <w:tcPr>
            <w:tcW w:w="1001" w:type="dxa"/>
          </w:tcPr>
          <w:p w14:paraId="2B25AAF1" w14:textId="64451521" w:rsidR="00A232E7" w:rsidRPr="002836EB" w:rsidRDefault="00A232E7" w:rsidP="00A232E7">
            <w:pPr>
              <w:pStyle w:val="02Tabletext"/>
              <w:jc w:val="center"/>
            </w:pPr>
            <w:r w:rsidRPr="002836EB">
              <w:t xml:space="preserve">The fee for item 15245 plus for each field in excess of 1, an amount of $37.95 </w:t>
            </w:r>
          </w:p>
        </w:tc>
        <w:tc>
          <w:tcPr>
            <w:tcW w:w="1065" w:type="dxa"/>
          </w:tcPr>
          <w:p w14:paraId="5F1BBB1D" w14:textId="1D2CB353" w:rsidR="00A232E7" w:rsidRPr="002836EB" w:rsidRDefault="00A232E7" w:rsidP="00A232E7">
            <w:pPr>
              <w:pStyle w:val="02Tabletext"/>
              <w:jc w:val="center"/>
            </w:pPr>
            <w:r w:rsidRPr="00CB0EC5">
              <w:t>53,450</w:t>
            </w:r>
          </w:p>
        </w:tc>
        <w:tc>
          <w:tcPr>
            <w:tcW w:w="1094" w:type="dxa"/>
          </w:tcPr>
          <w:p w14:paraId="45E62007" w14:textId="257B7FDC" w:rsidR="00A232E7" w:rsidRPr="002836EB" w:rsidRDefault="00A232E7" w:rsidP="00A232E7">
            <w:pPr>
              <w:pStyle w:val="02Tabletext"/>
              <w:jc w:val="center"/>
            </w:pPr>
            <w:r w:rsidRPr="00CB0EC5">
              <w:t>$9,130,993</w:t>
            </w:r>
          </w:p>
        </w:tc>
        <w:tc>
          <w:tcPr>
            <w:tcW w:w="1204" w:type="dxa"/>
          </w:tcPr>
          <w:p w14:paraId="286773E0" w14:textId="1E840895" w:rsidR="00A232E7" w:rsidRPr="002836EB" w:rsidRDefault="00A232E7" w:rsidP="00A232E7">
            <w:pPr>
              <w:pStyle w:val="02Tabletext"/>
              <w:jc w:val="center"/>
              <w:rPr>
                <w:shd w:val="clear" w:color="auto" w:fill="FBFBFB"/>
              </w:rPr>
            </w:pPr>
            <w:r w:rsidRPr="00CB0EC5">
              <w:t>5.9%</w:t>
            </w:r>
          </w:p>
        </w:tc>
      </w:tr>
      <w:tr w:rsidR="00A232E7" w:rsidRPr="002836EB" w14:paraId="2692F5F6" w14:textId="77777777" w:rsidTr="00A60C83">
        <w:tc>
          <w:tcPr>
            <w:tcW w:w="725" w:type="dxa"/>
          </w:tcPr>
          <w:p w14:paraId="44F93FFE" w14:textId="6FA1898D" w:rsidR="00A232E7" w:rsidRPr="002836EB" w:rsidRDefault="00A232E7" w:rsidP="00A232E7">
            <w:pPr>
              <w:pStyle w:val="02Tabletext"/>
            </w:pPr>
            <w:r w:rsidRPr="002836EB">
              <w:t>15263</w:t>
            </w:r>
          </w:p>
        </w:tc>
        <w:tc>
          <w:tcPr>
            <w:tcW w:w="3993" w:type="dxa"/>
          </w:tcPr>
          <w:p w14:paraId="2918D91A" w14:textId="1CB50BD1"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(prostate)</w:t>
            </w:r>
            <w:r>
              <w:t>.</w:t>
            </w:r>
          </w:p>
        </w:tc>
        <w:tc>
          <w:tcPr>
            <w:tcW w:w="1001" w:type="dxa"/>
          </w:tcPr>
          <w:p w14:paraId="394D8E84" w14:textId="1EE33D3B" w:rsidR="00A232E7" w:rsidRPr="002836EB" w:rsidRDefault="00A232E7" w:rsidP="00A232E7">
            <w:pPr>
              <w:pStyle w:val="02Tabletext"/>
              <w:jc w:val="center"/>
            </w:pPr>
            <w:r w:rsidRPr="002836EB">
              <w:t>The fee for item 15248 plus for each field in excess of 1, an amount of $37.95</w:t>
            </w:r>
          </w:p>
        </w:tc>
        <w:tc>
          <w:tcPr>
            <w:tcW w:w="1065" w:type="dxa"/>
          </w:tcPr>
          <w:p w14:paraId="6F613026" w14:textId="12BEB05F" w:rsidR="00A232E7" w:rsidRPr="002836EB" w:rsidRDefault="00A232E7" w:rsidP="00A232E7">
            <w:pPr>
              <w:pStyle w:val="02Tabletext"/>
              <w:jc w:val="center"/>
            </w:pPr>
            <w:r w:rsidRPr="00CB0EC5">
              <w:t>186,633</w:t>
            </w:r>
          </w:p>
        </w:tc>
        <w:tc>
          <w:tcPr>
            <w:tcW w:w="1094" w:type="dxa"/>
          </w:tcPr>
          <w:p w14:paraId="7E81059B" w14:textId="4240688A" w:rsidR="00A232E7" w:rsidRPr="002836EB" w:rsidRDefault="00A232E7" w:rsidP="00A232E7">
            <w:pPr>
              <w:pStyle w:val="02Tabletext"/>
              <w:jc w:val="center"/>
            </w:pPr>
            <w:r w:rsidRPr="00CB0EC5">
              <w:t>$42,005,177</w:t>
            </w:r>
          </w:p>
        </w:tc>
        <w:tc>
          <w:tcPr>
            <w:tcW w:w="1204" w:type="dxa"/>
          </w:tcPr>
          <w:p w14:paraId="36C1096A" w14:textId="1B4223EE" w:rsidR="00A232E7" w:rsidRPr="002836EB" w:rsidRDefault="00A232E7" w:rsidP="00A232E7">
            <w:pPr>
              <w:pStyle w:val="02Tabletext"/>
              <w:jc w:val="center"/>
              <w:rPr>
                <w:shd w:val="clear" w:color="auto" w:fill="FBFBFB"/>
              </w:rPr>
            </w:pPr>
            <w:r w:rsidRPr="00CB0EC5">
              <w:t>-2.0%</w:t>
            </w:r>
          </w:p>
        </w:tc>
      </w:tr>
      <w:tr w:rsidR="00A232E7" w:rsidRPr="002836EB" w14:paraId="71DE0434" w14:textId="77777777" w:rsidTr="00A60C83">
        <w:tc>
          <w:tcPr>
            <w:tcW w:w="725" w:type="dxa"/>
          </w:tcPr>
          <w:p w14:paraId="47883C0B" w14:textId="12B0C96F" w:rsidR="00A232E7" w:rsidRPr="002836EB" w:rsidRDefault="00A232E7" w:rsidP="00A232E7">
            <w:pPr>
              <w:pStyle w:val="02Tabletext"/>
            </w:pPr>
            <w:r w:rsidRPr="002836EB">
              <w:t>15266</w:t>
            </w:r>
          </w:p>
        </w:tc>
        <w:tc>
          <w:tcPr>
            <w:tcW w:w="3993" w:type="dxa"/>
          </w:tcPr>
          <w:p w14:paraId="50743E46" w14:textId="7247FE7A"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(breast)</w:t>
            </w:r>
            <w:r>
              <w:t>.</w:t>
            </w:r>
          </w:p>
        </w:tc>
        <w:tc>
          <w:tcPr>
            <w:tcW w:w="1001" w:type="dxa"/>
          </w:tcPr>
          <w:p w14:paraId="1685D9D3" w14:textId="1A22A2D0" w:rsidR="00A232E7" w:rsidRPr="002836EB" w:rsidRDefault="00A232E7" w:rsidP="00A232E7">
            <w:pPr>
              <w:pStyle w:val="02Tabletext"/>
              <w:jc w:val="center"/>
            </w:pPr>
            <w:r w:rsidRPr="002836EB">
              <w:t>The fee for item 15251 plus for each field in excess of 1, an amount of $37.95</w:t>
            </w:r>
          </w:p>
        </w:tc>
        <w:tc>
          <w:tcPr>
            <w:tcW w:w="1065" w:type="dxa"/>
          </w:tcPr>
          <w:p w14:paraId="280237B0" w14:textId="055CFE6F" w:rsidR="00A232E7" w:rsidRPr="002836EB" w:rsidRDefault="00A232E7" w:rsidP="00A232E7">
            <w:pPr>
              <w:pStyle w:val="02Tabletext"/>
              <w:jc w:val="center"/>
            </w:pPr>
            <w:r w:rsidRPr="00CB0EC5">
              <w:t>267,820</w:t>
            </w:r>
          </w:p>
        </w:tc>
        <w:tc>
          <w:tcPr>
            <w:tcW w:w="1094" w:type="dxa"/>
          </w:tcPr>
          <w:p w14:paraId="781F3213" w14:textId="316A9D15" w:rsidR="00A232E7" w:rsidRPr="002836EB" w:rsidRDefault="00A232E7" w:rsidP="00A232E7">
            <w:pPr>
              <w:pStyle w:val="02Tabletext"/>
              <w:jc w:val="center"/>
            </w:pPr>
            <w:r w:rsidRPr="00CB0EC5">
              <w:t>$54,396,404</w:t>
            </w:r>
          </w:p>
        </w:tc>
        <w:tc>
          <w:tcPr>
            <w:tcW w:w="1204" w:type="dxa"/>
          </w:tcPr>
          <w:p w14:paraId="5FD10C9E" w14:textId="738C6A9A" w:rsidR="00A232E7" w:rsidRPr="002836EB" w:rsidRDefault="00A232E7" w:rsidP="00A232E7">
            <w:pPr>
              <w:pStyle w:val="02Tabletext"/>
              <w:jc w:val="center"/>
              <w:rPr>
                <w:shd w:val="clear" w:color="auto" w:fill="FBFBFB"/>
              </w:rPr>
            </w:pPr>
            <w:r w:rsidRPr="00CB0EC5">
              <w:t>6.5%</w:t>
            </w:r>
          </w:p>
        </w:tc>
      </w:tr>
      <w:tr w:rsidR="00A232E7" w:rsidRPr="002836EB" w14:paraId="590D3D11" w14:textId="77777777" w:rsidTr="00A60C83">
        <w:tc>
          <w:tcPr>
            <w:tcW w:w="725" w:type="dxa"/>
          </w:tcPr>
          <w:p w14:paraId="282237C2" w14:textId="3BF6FEC9" w:rsidR="00A232E7" w:rsidRPr="002836EB" w:rsidRDefault="00A232E7" w:rsidP="00A232E7">
            <w:pPr>
              <w:pStyle w:val="02Tabletext"/>
            </w:pPr>
            <w:r w:rsidRPr="002836EB">
              <w:t>15269</w:t>
            </w:r>
          </w:p>
        </w:tc>
        <w:tc>
          <w:tcPr>
            <w:tcW w:w="3993" w:type="dxa"/>
          </w:tcPr>
          <w:p w14:paraId="43C1E00C" w14:textId="4FDC46A3"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primary site for diseases and conditions not covered by items 15260, 15263 or 15266</w:t>
            </w:r>
            <w:r>
              <w:t>.</w:t>
            </w:r>
          </w:p>
        </w:tc>
        <w:tc>
          <w:tcPr>
            <w:tcW w:w="1001" w:type="dxa"/>
          </w:tcPr>
          <w:p w14:paraId="7FBD0CA3" w14:textId="508EC6BC" w:rsidR="00A232E7" w:rsidRPr="002836EB" w:rsidRDefault="00A232E7" w:rsidP="00A232E7">
            <w:pPr>
              <w:pStyle w:val="02Tabletext"/>
              <w:jc w:val="center"/>
            </w:pPr>
            <w:r w:rsidRPr="002836EB">
              <w:t>The fee for item 15254 plus for each field in excess of 1, an amount of $37.95</w:t>
            </w:r>
          </w:p>
        </w:tc>
        <w:tc>
          <w:tcPr>
            <w:tcW w:w="1065" w:type="dxa"/>
          </w:tcPr>
          <w:p w14:paraId="129AD915" w14:textId="4A00747D" w:rsidR="00A232E7" w:rsidRPr="002836EB" w:rsidRDefault="00A232E7" w:rsidP="00A232E7">
            <w:pPr>
              <w:pStyle w:val="02Tabletext"/>
              <w:jc w:val="center"/>
            </w:pPr>
            <w:r w:rsidRPr="00CB0EC5">
              <w:t>334,101</w:t>
            </w:r>
          </w:p>
        </w:tc>
        <w:tc>
          <w:tcPr>
            <w:tcW w:w="1094" w:type="dxa"/>
          </w:tcPr>
          <w:p w14:paraId="5986A483" w14:textId="206AAC69" w:rsidR="00A232E7" w:rsidRPr="002836EB" w:rsidRDefault="00A232E7" w:rsidP="00A232E7">
            <w:pPr>
              <w:pStyle w:val="02Tabletext"/>
              <w:jc w:val="center"/>
            </w:pPr>
            <w:r w:rsidRPr="00CB0EC5">
              <w:t>$60,689,413</w:t>
            </w:r>
          </w:p>
        </w:tc>
        <w:tc>
          <w:tcPr>
            <w:tcW w:w="1204" w:type="dxa"/>
          </w:tcPr>
          <w:p w14:paraId="1D622409" w14:textId="35CCC324" w:rsidR="00A232E7" w:rsidRPr="002836EB" w:rsidRDefault="00A232E7" w:rsidP="00A232E7">
            <w:pPr>
              <w:pStyle w:val="02Tabletext"/>
              <w:jc w:val="center"/>
              <w:rPr>
                <w:shd w:val="clear" w:color="auto" w:fill="FBFBFB"/>
              </w:rPr>
            </w:pPr>
            <w:r w:rsidRPr="00CB0EC5">
              <w:t>5.2%</w:t>
            </w:r>
          </w:p>
        </w:tc>
      </w:tr>
      <w:tr w:rsidR="00A232E7" w:rsidRPr="002836EB" w14:paraId="5FBAC783" w14:textId="77777777" w:rsidTr="00A60C83">
        <w:tc>
          <w:tcPr>
            <w:tcW w:w="725" w:type="dxa"/>
          </w:tcPr>
          <w:p w14:paraId="0AB14A95" w14:textId="632B4859" w:rsidR="00A232E7" w:rsidRPr="002836EB" w:rsidRDefault="00A232E7" w:rsidP="00A232E7">
            <w:pPr>
              <w:pStyle w:val="02Tabletext"/>
            </w:pPr>
            <w:r w:rsidRPr="002836EB">
              <w:t>15272</w:t>
            </w:r>
          </w:p>
        </w:tc>
        <w:tc>
          <w:tcPr>
            <w:tcW w:w="3993" w:type="dxa"/>
          </w:tcPr>
          <w:p w14:paraId="4E86EE66" w14:textId="534DA4BA" w:rsidR="00A232E7" w:rsidRPr="002836EB" w:rsidRDefault="00A232E7" w:rsidP="00A232E7">
            <w:pPr>
              <w:pStyle w:val="02Tabletext"/>
            </w:pPr>
            <w:r w:rsidRPr="002836EB">
              <w:t xml:space="preserve">Radiation oncology treatment, using a dual photon energy linear accelerator with a minimum higher energy of at least 10mv photons, with electron facilities </w:t>
            </w:r>
            <w:r>
              <w:t>–</w:t>
            </w:r>
            <w:r w:rsidRPr="002836EB">
              <w:t xml:space="preserve"> each attendance at which treatment is given </w:t>
            </w:r>
            <w:r>
              <w:t>–</w:t>
            </w:r>
            <w:r w:rsidRPr="002836EB">
              <w:t xml:space="preserve"> 2 or more fields up to a maximum of 5 additional fields (rotational therapy being 3 fields) </w:t>
            </w:r>
            <w:r>
              <w:t>–</w:t>
            </w:r>
            <w:r w:rsidRPr="002836EB">
              <w:t xml:space="preserve"> treatment delivered to secondary site</w:t>
            </w:r>
            <w:r>
              <w:t>.</w:t>
            </w:r>
          </w:p>
        </w:tc>
        <w:tc>
          <w:tcPr>
            <w:tcW w:w="1001" w:type="dxa"/>
          </w:tcPr>
          <w:p w14:paraId="2974A8B5" w14:textId="7F81EEB5" w:rsidR="00A232E7" w:rsidRPr="002836EB" w:rsidRDefault="00A232E7" w:rsidP="00A232E7">
            <w:pPr>
              <w:pStyle w:val="02Tabletext"/>
              <w:jc w:val="center"/>
            </w:pPr>
            <w:r w:rsidRPr="002836EB">
              <w:t>The fee for item 15257 plus for each field in excess of 1, an amount of $37.95</w:t>
            </w:r>
          </w:p>
        </w:tc>
        <w:tc>
          <w:tcPr>
            <w:tcW w:w="1065" w:type="dxa"/>
          </w:tcPr>
          <w:p w14:paraId="7B78DF92" w14:textId="0C422FBD" w:rsidR="00A232E7" w:rsidRPr="002836EB" w:rsidRDefault="00A232E7" w:rsidP="00A232E7">
            <w:pPr>
              <w:pStyle w:val="02Tabletext"/>
              <w:jc w:val="center"/>
            </w:pPr>
            <w:r w:rsidRPr="00CB0EC5">
              <w:t>93,594</w:t>
            </w:r>
          </w:p>
        </w:tc>
        <w:tc>
          <w:tcPr>
            <w:tcW w:w="1094" w:type="dxa"/>
          </w:tcPr>
          <w:p w14:paraId="6725F09A" w14:textId="1BE37845" w:rsidR="00A232E7" w:rsidRPr="002836EB" w:rsidRDefault="00A232E7" w:rsidP="00A232E7">
            <w:pPr>
              <w:pStyle w:val="02Tabletext"/>
              <w:jc w:val="center"/>
            </w:pPr>
            <w:r w:rsidRPr="00CB0EC5">
              <w:t>$13,357,707</w:t>
            </w:r>
          </w:p>
        </w:tc>
        <w:tc>
          <w:tcPr>
            <w:tcW w:w="1204" w:type="dxa"/>
          </w:tcPr>
          <w:p w14:paraId="358C3ADC" w14:textId="3F0A53AE" w:rsidR="00A232E7" w:rsidRPr="002836EB" w:rsidRDefault="00A232E7" w:rsidP="00A232E7">
            <w:pPr>
              <w:pStyle w:val="02Tabletext"/>
              <w:jc w:val="center"/>
              <w:rPr>
                <w:shd w:val="clear" w:color="auto" w:fill="FBFBFB"/>
              </w:rPr>
            </w:pPr>
            <w:r w:rsidRPr="00CB0EC5">
              <w:t>8.5%</w:t>
            </w:r>
          </w:p>
        </w:tc>
      </w:tr>
      <w:tr w:rsidR="00396184" w:rsidRPr="002836EB" w14:paraId="163847B8" w14:textId="77777777" w:rsidTr="00A60C83">
        <w:tc>
          <w:tcPr>
            <w:tcW w:w="725" w:type="dxa"/>
          </w:tcPr>
          <w:p w14:paraId="20264AFD" w14:textId="2E10F1B1" w:rsidR="00E26954" w:rsidRPr="002836EB" w:rsidRDefault="00E26954" w:rsidP="00E26954">
            <w:pPr>
              <w:pStyle w:val="02Tabletext"/>
            </w:pPr>
            <w:r w:rsidRPr="002836EB">
              <w:t>15275</w:t>
            </w:r>
          </w:p>
        </w:tc>
        <w:tc>
          <w:tcPr>
            <w:tcW w:w="3993" w:type="dxa"/>
          </w:tcPr>
          <w:p w14:paraId="5B14F229" w14:textId="77777777" w:rsidR="00E26954" w:rsidRPr="002836EB" w:rsidRDefault="00E26954" w:rsidP="00E26954">
            <w:pPr>
              <w:pStyle w:val="02Tabletext"/>
            </w:pPr>
            <w:r w:rsidRPr="002836EB">
              <w:t>Radiation oncology treatment with IGRT imaging facilities undertaken:</w:t>
            </w:r>
          </w:p>
          <w:p w14:paraId="4D9AE716" w14:textId="77777777" w:rsidR="00E26954" w:rsidRPr="002836EB" w:rsidRDefault="00E26954" w:rsidP="00E26954">
            <w:pPr>
              <w:pStyle w:val="02Tabletext"/>
            </w:pPr>
            <w:r w:rsidRPr="002836EB">
              <w:t>(a) to implement an IMRT dosimetry plan prepared in accordance with item 15565; and</w:t>
            </w:r>
          </w:p>
          <w:p w14:paraId="4AA008D0" w14:textId="77777777" w:rsidR="00E26954" w:rsidRDefault="00E26954" w:rsidP="00E26954">
            <w:pPr>
              <w:pStyle w:val="02Tabletext"/>
            </w:pPr>
          </w:p>
          <w:p w14:paraId="78178381" w14:textId="787EFAE3" w:rsidR="00E26954" w:rsidRPr="002836EB" w:rsidRDefault="00E26954" w:rsidP="00E26954">
            <w:pPr>
              <w:pStyle w:val="02Tabletext"/>
            </w:pPr>
            <w:r w:rsidRPr="002836EB">
              <w:t>(b) utilising an intensity modulated treatment delivery mode (delivered by a fixed or dynamic gantry linear accelerator or by a helical non C-</w:t>
            </w:r>
            <w:r w:rsidRPr="002836EB">
              <w:lastRenderedPageBreak/>
              <w:t>arm based linear accelerator), once only at each attendance at which treatment is given.</w:t>
            </w:r>
          </w:p>
        </w:tc>
        <w:tc>
          <w:tcPr>
            <w:tcW w:w="1001" w:type="dxa"/>
          </w:tcPr>
          <w:p w14:paraId="391CE386" w14:textId="3A6BC2D0" w:rsidR="00E26954" w:rsidRPr="002836EB" w:rsidRDefault="00E26954" w:rsidP="00E26954">
            <w:pPr>
              <w:pStyle w:val="02Tabletext"/>
              <w:jc w:val="center"/>
            </w:pPr>
            <w:r w:rsidRPr="002836EB">
              <w:lastRenderedPageBreak/>
              <w:t>$182.90</w:t>
            </w:r>
          </w:p>
        </w:tc>
        <w:tc>
          <w:tcPr>
            <w:tcW w:w="1065" w:type="dxa"/>
          </w:tcPr>
          <w:p w14:paraId="245168AB" w14:textId="531D7237" w:rsidR="00E26954" w:rsidRPr="00903E32" w:rsidRDefault="00E26954" w:rsidP="00E26954">
            <w:pPr>
              <w:pStyle w:val="02Tabletext"/>
              <w:jc w:val="center"/>
            </w:pPr>
            <w:r w:rsidRPr="002836EB">
              <w:t>N/A</w:t>
            </w:r>
            <w:r w:rsidRPr="002836EB">
              <w:br/>
              <w:t>(IMRT items introduced in FY 2016)</w:t>
            </w:r>
          </w:p>
        </w:tc>
        <w:tc>
          <w:tcPr>
            <w:tcW w:w="1094" w:type="dxa"/>
          </w:tcPr>
          <w:p w14:paraId="62292B8E" w14:textId="2BB37ADA" w:rsidR="00E26954" w:rsidRPr="00903E32" w:rsidRDefault="00E26954" w:rsidP="00E26954">
            <w:pPr>
              <w:pStyle w:val="02Tabletext"/>
              <w:jc w:val="center"/>
            </w:pPr>
            <w:r w:rsidRPr="002836EB">
              <w:t>N/A</w:t>
            </w:r>
            <w:r w:rsidRPr="002836EB">
              <w:br/>
              <w:t>(IMRT items introduced in FY 2016)</w:t>
            </w:r>
          </w:p>
        </w:tc>
        <w:tc>
          <w:tcPr>
            <w:tcW w:w="1204" w:type="dxa"/>
          </w:tcPr>
          <w:p w14:paraId="6078D2B5" w14:textId="1F7CD2FE" w:rsidR="00E26954" w:rsidRPr="00903E32" w:rsidRDefault="00E26954" w:rsidP="00E26954">
            <w:pPr>
              <w:pStyle w:val="02Tabletext"/>
              <w:jc w:val="center"/>
            </w:pPr>
            <w:r w:rsidRPr="002836EB">
              <w:t>N/A</w:t>
            </w:r>
            <w:r w:rsidRPr="002836EB">
              <w:br/>
              <w:t>(IMRT items introduced in FY 2016)</w:t>
            </w:r>
          </w:p>
        </w:tc>
      </w:tr>
      <w:tr w:rsidR="00FD0BFE" w:rsidRPr="002836EB" w14:paraId="5CE0930C" w14:textId="77777777" w:rsidTr="00A60C83">
        <w:tc>
          <w:tcPr>
            <w:tcW w:w="725" w:type="dxa"/>
          </w:tcPr>
          <w:p w14:paraId="72F86164" w14:textId="406FD13C" w:rsidR="00FD0BFE" w:rsidRPr="002836EB" w:rsidRDefault="00FD0BFE" w:rsidP="00FD0BFE">
            <w:pPr>
              <w:pStyle w:val="02Tabletext"/>
            </w:pPr>
            <w:r w:rsidRPr="00D40971">
              <w:t>15500</w:t>
            </w:r>
          </w:p>
        </w:tc>
        <w:tc>
          <w:tcPr>
            <w:tcW w:w="3993" w:type="dxa"/>
          </w:tcPr>
          <w:p w14:paraId="3DBD2048" w14:textId="04A52EC1" w:rsidR="00FD0BFE" w:rsidRPr="002836EB" w:rsidRDefault="00FD0BFE" w:rsidP="00FD0BFE">
            <w:pPr>
              <w:pStyle w:val="02Tabletext"/>
            </w:pPr>
            <w:r w:rsidRPr="00D40971">
              <w:t xml:space="preserve">Radiation field setting using a simulator or isocentric </w:t>
            </w:r>
            <w:r>
              <w:t>x-ray</w:t>
            </w:r>
            <w:r w:rsidRPr="00D40971">
              <w:t xml:space="preserve"> or megavoltage machine or</w:t>
            </w:r>
            <w:r>
              <w:t xml:space="preserve"> CT </w:t>
            </w:r>
            <w:r w:rsidRPr="00D40971">
              <w:t>of a single area for treatment by a single field or parallel opposed fields (not being a service associated with a service to which item 15509 applies)</w:t>
            </w:r>
            <w:r>
              <w:t>.</w:t>
            </w:r>
          </w:p>
        </w:tc>
        <w:tc>
          <w:tcPr>
            <w:tcW w:w="1001" w:type="dxa"/>
          </w:tcPr>
          <w:p w14:paraId="1B8C33D0" w14:textId="41E30C3C" w:rsidR="00FD0BFE" w:rsidRPr="002836EB" w:rsidRDefault="00FD0BFE" w:rsidP="00FD0BFE">
            <w:pPr>
              <w:pStyle w:val="02Tabletext"/>
              <w:jc w:val="center"/>
            </w:pPr>
            <w:r w:rsidRPr="00D40971">
              <w:t xml:space="preserve"> $242.65 </w:t>
            </w:r>
          </w:p>
        </w:tc>
        <w:tc>
          <w:tcPr>
            <w:tcW w:w="1065" w:type="dxa"/>
          </w:tcPr>
          <w:p w14:paraId="6CAC7B3E" w14:textId="2F702903" w:rsidR="00FD0BFE" w:rsidRPr="002836EB" w:rsidRDefault="00FD0BFE" w:rsidP="00FD0BFE">
            <w:pPr>
              <w:pStyle w:val="02Tabletext"/>
              <w:jc w:val="center"/>
            </w:pPr>
            <w:r w:rsidRPr="00C0132C">
              <w:t>4,144</w:t>
            </w:r>
          </w:p>
        </w:tc>
        <w:tc>
          <w:tcPr>
            <w:tcW w:w="1094" w:type="dxa"/>
          </w:tcPr>
          <w:p w14:paraId="3000DAB5" w14:textId="0A18A65D" w:rsidR="00FD0BFE" w:rsidRPr="002836EB" w:rsidRDefault="00FD0BFE" w:rsidP="00FD0BFE">
            <w:pPr>
              <w:pStyle w:val="02Tabletext"/>
              <w:jc w:val="center"/>
            </w:pPr>
            <w:r w:rsidRPr="00C0132C">
              <w:t>$927,310</w:t>
            </w:r>
          </w:p>
        </w:tc>
        <w:tc>
          <w:tcPr>
            <w:tcW w:w="1204" w:type="dxa"/>
          </w:tcPr>
          <w:p w14:paraId="2BD31BDC" w14:textId="6365576C" w:rsidR="00FD0BFE" w:rsidRPr="002836EB" w:rsidRDefault="00FD0BFE" w:rsidP="00FD0BFE">
            <w:pPr>
              <w:pStyle w:val="02Tabletext"/>
              <w:jc w:val="center"/>
              <w:rPr>
                <w:shd w:val="clear" w:color="auto" w:fill="FBFBFB"/>
              </w:rPr>
            </w:pPr>
            <w:r w:rsidRPr="00C0132C">
              <w:t>-9.4%</w:t>
            </w:r>
          </w:p>
        </w:tc>
      </w:tr>
      <w:tr w:rsidR="00FD0BFE" w:rsidRPr="002836EB" w14:paraId="72E8A401" w14:textId="77777777" w:rsidTr="00A60C83">
        <w:tc>
          <w:tcPr>
            <w:tcW w:w="725" w:type="dxa"/>
          </w:tcPr>
          <w:p w14:paraId="3E44ED79" w14:textId="54A78873" w:rsidR="00FD0BFE" w:rsidRPr="002836EB" w:rsidRDefault="00FD0BFE" w:rsidP="00FD0BFE">
            <w:pPr>
              <w:pStyle w:val="02Tabletext"/>
            </w:pPr>
            <w:r w:rsidRPr="00D40971">
              <w:t>15503</w:t>
            </w:r>
          </w:p>
        </w:tc>
        <w:tc>
          <w:tcPr>
            <w:tcW w:w="3993" w:type="dxa"/>
          </w:tcPr>
          <w:p w14:paraId="7557220E" w14:textId="11F64E5B" w:rsidR="00FD0BFE" w:rsidRPr="002836EB" w:rsidRDefault="00FD0BFE" w:rsidP="00FD0BFE">
            <w:pPr>
              <w:pStyle w:val="02Tabletext"/>
            </w:pPr>
            <w:r w:rsidRPr="00D40971">
              <w:t xml:space="preserve">Radiation field setting using a simulator or isocentric </w:t>
            </w:r>
            <w:r>
              <w:t>x-ray</w:t>
            </w:r>
            <w:r w:rsidRPr="00D40971">
              <w:t xml:space="preserve"> or megavoltage machine or</w:t>
            </w:r>
            <w:r>
              <w:t xml:space="preserve"> CT </w:t>
            </w:r>
            <w:r w:rsidRPr="00D40971">
              <w:t>of a single area, where views in more than 1 plane are required for treatment by multiple fields, or of 2 areas (not being a service associated with a service to which item 15512 applies)</w:t>
            </w:r>
            <w:r>
              <w:t>.</w:t>
            </w:r>
          </w:p>
        </w:tc>
        <w:tc>
          <w:tcPr>
            <w:tcW w:w="1001" w:type="dxa"/>
          </w:tcPr>
          <w:p w14:paraId="2AC270E4" w14:textId="0AA36DC4" w:rsidR="00FD0BFE" w:rsidRPr="002836EB" w:rsidRDefault="00FD0BFE" w:rsidP="00FD0BFE">
            <w:pPr>
              <w:pStyle w:val="02Tabletext"/>
              <w:jc w:val="center"/>
            </w:pPr>
            <w:r w:rsidRPr="00D40971">
              <w:t xml:space="preserve"> $311.55 </w:t>
            </w:r>
          </w:p>
        </w:tc>
        <w:tc>
          <w:tcPr>
            <w:tcW w:w="1065" w:type="dxa"/>
          </w:tcPr>
          <w:p w14:paraId="0071B3C6" w14:textId="0AF1A53B" w:rsidR="00FD0BFE" w:rsidRPr="002836EB" w:rsidRDefault="00FD0BFE" w:rsidP="00FD0BFE">
            <w:pPr>
              <w:pStyle w:val="02Tabletext"/>
              <w:jc w:val="center"/>
            </w:pPr>
            <w:r w:rsidRPr="00C0132C">
              <w:t>1,033</w:t>
            </w:r>
          </w:p>
        </w:tc>
        <w:tc>
          <w:tcPr>
            <w:tcW w:w="1094" w:type="dxa"/>
          </w:tcPr>
          <w:p w14:paraId="250A5759" w14:textId="3DA8AFB7" w:rsidR="00FD0BFE" w:rsidRPr="002836EB" w:rsidRDefault="00FD0BFE" w:rsidP="00FD0BFE">
            <w:pPr>
              <w:pStyle w:val="02Tabletext"/>
              <w:jc w:val="center"/>
            </w:pPr>
            <w:r w:rsidRPr="00C0132C">
              <w:t>$301,855</w:t>
            </w:r>
          </w:p>
        </w:tc>
        <w:tc>
          <w:tcPr>
            <w:tcW w:w="1204" w:type="dxa"/>
          </w:tcPr>
          <w:p w14:paraId="18C5AF74" w14:textId="74B20841" w:rsidR="00FD0BFE" w:rsidRPr="002836EB" w:rsidRDefault="00FD0BFE" w:rsidP="00FD0BFE">
            <w:pPr>
              <w:pStyle w:val="02Tabletext"/>
              <w:jc w:val="center"/>
              <w:rPr>
                <w:shd w:val="clear" w:color="auto" w:fill="FBFBFB"/>
              </w:rPr>
            </w:pPr>
            <w:r w:rsidRPr="00C0132C">
              <w:t>-11.6%</w:t>
            </w:r>
          </w:p>
        </w:tc>
      </w:tr>
      <w:tr w:rsidR="00FD0BFE" w:rsidRPr="002836EB" w14:paraId="15125404" w14:textId="77777777" w:rsidTr="00A60C83">
        <w:tc>
          <w:tcPr>
            <w:tcW w:w="725" w:type="dxa"/>
          </w:tcPr>
          <w:p w14:paraId="54641DF4" w14:textId="64AA6A74" w:rsidR="00FD0BFE" w:rsidRPr="002836EB" w:rsidRDefault="00FD0BFE" w:rsidP="00FD0BFE">
            <w:pPr>
              <w:pStyle w:val="02Tabletext"/>
            </w:pPr>
            <w:r w:rsidRPr="00D40971">
              <w:t>15506</w:t>
            </w:r>
          </w:p>
        </w:tc>
        <w:tc>
          <w:tcPr>
            <w:tcW w:w="3993" w:type="dxa"/>
          </w:tcPr>
          <w:p w14:paraId="1FDE0B76" w14:textId="31ADD80B" w:rsidR="00FD0BFE" w:rsidRPr="002836EB" w:rsidRDefault="00FD0BFE" w:rsidP="00FD0BFE">
            <w:pPr>
              <w:pStyle w:val="02Tabletext"/>
            </w:pPr>
            <w:r w:rsidRPr="00D40971">
              <w:t xml:space="preserve">Radiation field setting using a simulator or isocentric </w:t>
            </w:r>
            <w:r>
              <w:t>x-ray</w:t>
            </w:r>
            <w:r w:rsidRPr="00D40971">
              <w:t xml:space="preserve"> or megavoltage machine or</w:t>
            </w:r>
            <w:r>
              <w:t xml:space="preserve"> CT </w:t>
            </w:r>
            <w:r w:rsidRPr="00D40971">
              <w:t>of 3 or more areas, or of total body or half body irradiation, or of mantle therapy or inverted Y fields, or of irregularly shaped fields using multiple blocks, or of offaxis fields or several joined fields (not being a service associated with a service to which item 15515 applies)</w:t>
            </w:r>
            <w:r>
              <w:t>.</w:t>
            </w:r>
          </w:p>
        </w:tc>
        <w:tc>
          <w:tcPr>
            <w:tcW w:w="1001" w:type="dxa"/>
          </w:tcPr>
          <w:p w14:paraId="246A5DF9" w14:textId="638EA5E1" w:rsidR="00FD0BFE" w:rsidRPr="002836EB" w:rsidRDefault="00FD0BFE" w:rsidP="00FD0BFE">
            <w:pPr>
              <w:pStyle w:val="02Tabletext"/>
              <w:jc w:val="center"/>
            </w:pPr>
            <w:r w:rsidRPr="00D40971">
              <w:t xml:space="preserve"> $465.30 </w:t>
            </w:r>
          </w:p>
        </w:tc>
        <w:tc>
          <w:tcPr>
            <w:tcW w:w="1065" w:type="dxa"/>
          </w:tcPr>
          <w:p w14:paraId="1FA3E476" w14:textId="58C2E4F7" w:rsidR="00FD0BFE" w:rsidRPr="002836EB" w:rsidRDefault="00FD0BFE" w:rsidP="00FD0BFE">
            <w:pPr>
              <w:pStyle w:val="02Tabletext"/>
              <w:jc w:val="center"/>
            </w:pPr>
            <w:r w:rsidRPr="00C0132C">
              <w:t>7,474</w:t>
            </w:r>
          </w:p>
        </w:tc>
        <w:tc>
          <w:tcPr>
            <w:tcW w:w="1094" w:type="dxa"/>
          </w:tcPr>
          <w:p w14:paraId="6D8055E3" w14:textId="167790E6" w:rsidR="00FD0BFE" w:rsidRPr="002836EB" w:rsidRDefault="00FD0BFE" w:rsidP="00FD0BFE">
            <w:pPr>
              <w:pStyle w:val="02Tabletext"/>
              <w:jc w:val="center"/>
            </w:pPr>
            <w:r w:rsidRPr="00C0132C">
              <w:t>$3,158,310</w:t>
            </w:r>
          </w:p>
        </w:tc>
        <w:tc>
          <w:tcPr>
            <w:tcW w:w="1204" w:type="dxa"/>
          </w:tcPr>
          <w:p w14:paraId="6F6BC931" w14:textId="55582CDA" w:rsidR="00FD0BFE" w:rsidRPr="002836EB" w:rsidRDefault="00FD0BFE" w:rsidP="00FD0BFE">
            <w:pPr>
              <w:pStyle w:val="02Tabletext"/>
              <w:jc w:val="center"/>
              <w:rPr>
                <w:shd w:val="clear" w:color="auto" w:fill="FBFBFB"/>
              </w:rPr>
            </w:pPr>
            <w:r w:rsidRPr="00C0132C">
              <w:t>-6.2%</w:t>
            </w:r>
          </w:p>
        </w:tc>
      </w:tr>
      <w:tr w:rsidR="00FD0BFE" w:rsidRPr="002836EB" w14:paraId="6B3E1856" w14:textId="77777777" w:rsidTr="00A60C83">
        <w:tc>
          <w:tcPr>
            <w:tcW w:w="725" w:type="dxa"/>
          </w:tcPr>
          <w:p w14:paraId="41A27D9C" w14:textId="5E3CBFCC" w:rsidR="00FD0BFE" w:rsidRPr="002836EB" w:rsidRDefault="00FD0BFE" w:rsidP="00FD0BFE">
            <w:pPr>
              <w:pStyle w:val="02Tabletext"/>
            </w:pPr>
            <w:r w:rsidRPr="00D40971">
              <w:t>15509</w:t>
            </w:r>
          </w:p>
        </w:tc>
        <w:tc>
          <w:tcPr>
            <w:tcW w:w="3993" w:type="dxa"/>
          </w:tcPr>
          <w:p w14:paraId="11B9950E" w14:textId="43358A0E" w:rsidR="00FD0BFE" w:rsidRPr="002836EB" w:rsidRDefault="00FD0BFE" w:rsidP="00FD0BFE">
            <w:pPr>
              <w:pStyle w:val="02Tabletext"/>
            </w:pPr>
            <w:r w:rsidRPr="00D40971">
              <w:t xml:space="preserve">Radiation field setting using a diagnostic </w:t>
            </w:r>
            <w:r>
              <w:t>x-ray</w:t>
            </w:r>
            <w:r w:rsidRPr="00D40971">
              <w:t xml:space="preserve"> unit of a single area for treatment by a single field or parallel opposed fields (not being a service associated with a service to which item 15500 applies)</w:t>
            </w:r>
            <w:r>
              <w:t>.</w:t>
            </w:r>
          </w:p>
        </w:tc>
        <w:tc>
          <w:tcPr>
            <w:tcW w:w="1001" w:type="dxa"/>
          </w:tcPr>
          <w:p w14:paraId="1797E339" w14:textId="43829277" w:rsidR="00FD0BFE" w:rsidRPr="002836EB" w:rsidRDefault="00FD0BFE" w:rsidP="00FD0BFE">
            <w:pPr>
              <w:pStyle w:val="02Tabletext"/>
              <w:jc w:val="center"/>
            </w:pPr>
            <w:r w:rsidRPr="00D40971">
              <w:t xml:space="preserve"> $210.30 </w:t>
            </w:r>
          </w:p>
        </w:tc>
        <w:tc>
          <w:tcPr>
            <w:tcW w:w="1065" w:type="dxa"/>
          </w:tcPr>
          <w:p w14:paraId="38F4D0D5" w14:textId="2D5C2D4D" w:rsidR="00FD0BFE" w:rsidRPr="002836EB" w:rsidRDefault="00FD0BFE" w:rsidP="00FD0BFE">
            <w:pPr>
              <w:pStyle w:val="02Tabletext"/>
              <w:jc w:val="center"/>
            </w:pPr>
            <w:r w:rsidRPr="00C0132C">
              <w:t>1,856</w:t>
            </w:r>
          </w:p>
        </w:tc>
        <w:tc>
          <w:tcPr>
            <w:tcW w:w="1094" w:type="dxa"/>
          </w:tcPr>
          <w:p w14:paraId="22FC4E07" w14:textId="4E83528C" w:rsidR="00FD0BFE" w:rsidRPr="002836EB" w:rsidRDefault="00FD0BFE" w:rsidP="00FD0BFE">
            <w:pPr>
              <w:pStyle w:val="02Tabletext"/>
              <w:jc w:val="center"/>
            </w:pPr>
            <w:r w:rsidRPr="00C0132C">
              <w:t>$331,853</w:t>
            </w:r>
          </w:p>
        </w:tc>
        <w:tc>
          <w:tcPr>
            <w:tcW w:w="1204" w:type="dxa"/>
          </w:tcPr>
          <w:p w14:paraId="444A236E" w14:textId="40F6DD10" w:rsidR="00FD0BFE" w:rsidRPr="002836EB" w:rsidRDefault="00FD0BFE" w:rsidP="00FD0BFE">
            <w:pPr>
              <w:pStyle w:val="02Tabletext"/>
              <w:jc w:val="center"/>
              <w:rPr>
                <w:shd w:val="clear" w:color="auto" w:fill="FBFBFB"/>
              </w:rPr>
            </w:pPr>
            <w:r w:rsidRPr="00C0132C">
              <w:t>20.9%</w:t>
            </w:r>
          </w:p>
        </w:tc>
      </w:tr>
      <w:tr w:rsidR="00FD0BFE" w:rsidRPr="002836EB" w14:paraId="5CF2401B" w14:textId="77777777" w:rsidTr="00A60C83">
        <w:tc>
          <w:tcPr>
            <w:tcW w:w="725" w:type="dxa"/>
          </w:tcPr>
          <w:p w14:paraId="2EE88362" w14:textId="1913AA9D" w:rsidR="00FD0BFE" w:rsidRPr="002836EB" w:rsidRDefault="00FD0BFE" w:rsidP="00FD0BFE">
            <w:pPr>
              <w:pStyle w:val="02Tabletext"/>
            </w:pPr>
            <w:r w:rsidRPr="00D40971">
              <w:t>15512</w:t>
            </w:r>
          </w:p>
        </w:tc>
        <w:tc>
          <w:tcPr>
            <w:tcW w:w="3993" w:type="dxa"/>
          </w:tcPr>
          <w:p w14:paraId="29050638" w14:textId="6A3ED0B7" w:rsidR="00FD0BFE" w:rsidRPr="002836EB" w:rsidRDefault="00FD0BFE" w:rsidP="00FD0BFE">
            <w:pPr>
              <w:pStyle w:val="02Tabletext"/>
            </w:pPr>
            <w:r w:rsidRPr="00D40971">
              <w:t xml:space="preserve">Radiation field setting using a diagnostic </w:t>
            </w:r>
            <w:r>
              <w:t>x-ray</w:t>
            </w:r>
            <w:r w:rsidRPr="00D40971">
              <w:t xml:space="preserve"> unit of a single area, where views in more than 1 plane are required for treatment by multiple fields, or of 2 areas (not being a service associated with a service to which item 15503 applies)</w:t>
            </w:r>
            <w:r>
              <w:t>.</w:t>
            </w:r>
          </w:p>
        </w:tc>
        <w:tc>
          <w:tcPr>
            <w:tcW w:w="1001" w:type="dxa"/>
          </w:tcPr>
          <w:p w14:paraId="40CC4DFD" w14:textId="651125A7" w:rsidR="00FD0BFE" w:rsidRPr="002836EB" w:rsidRDefault="00FD0BFE" w:rsidP="00FD0BFE">
            <w:pPr>
              <w:pStyle w:val="02Tabletext"/>
              <w:jc w:val="center"/>
            </w:pPr>
            <w:r w:rsidRPr="00D40971">
              <w:t xml:space="preserve"> $271.10 </w:t>
            </w:r>
          </w:p>
        </w:tc>
        <w:tc>
          <w:tcPr>
            <w:tcW w:w="1065" w:type="dxa"/>
          </w:tcPr>
          <w:p w14:paraId="78D8ACDC" w14:textId="5A6AB04D" w:rsidR="00FD0BFE" w:rsidRPr="002836EB" w:rsidRDefault="00FD0BFE" w:rsidP="00FD0BFE">
            <w:pPr>
              <w:pStyle w:val="02Tabletext"/>
              <w:jc w:val="center"/>
            </w:pPr>
            <w:r w:rsidRPr="00C0132C">
              <w:t>187</w:t>
            </w:r>
          </w:p>
        </w:tc>
        <w:tc>
          <w:tcPr>
            <w:tcW w:w="1094" w:type="dxa"/>
          </w:tcPr>
          <w:p w14:paraId="2B6C7ED7" w14:textId="27453802" w:rsidR="00FD0BFE" w:rsidRPr="002836EB" w:rsidRDefault="00FD0BFE" w:rsidP="00FD0BFE">
            <w:pPr>
              <w:pStyle w:val="02Tabletext"/>
              <w:jc w:val="center"/>
            </w:pPr>
            <w:r w:rsidRPr="00C0132C">
              <w:t>$43,094</w:t>
            </w:r>
          </w:p>
        </w:tc>
        <w:tc>
          <w:tcPr>
            <w:tcW w:w="1204" w:type="dxa"/>
          </w:tcPr>
          <w:p w14:paraId="7C4ACEF3" w14:textId="15EE8403" w:rsidR="00FD0BFE" w:rsidRPr="002836EB" w:rsidRDefault="00FD0BFE" w:rsidP="00FD0BFE">
            <w:pPr>
              <w:pStyle w:val="02Tabletext"/>
              <w:jc w:val="center"/>
              <w:rPr>
                <w:shd w:val="clear" w:color="auto" w:fill="FBFBFB"/>
              </w:rPr>
            </w:pPr>
            <w:r w:rsidRPr="00C0132C">
              <w:t>-10.6%</w:t>
            </w:r>
          </w:p>
        </w:tc>
      </w:tr>
      <w:tr w:rsidR="0017166A" w:rsidRPr="002836EB" w14:paraId="759E6FB8" w14:textId="77777777" w:rsidTr="00A60C83">
        <w:tc>
          <w:tcPr>
            <w:tcW w:w="725" w:type="dxa"/>
          </w:tcPr>
          <w:p w14:paraId="2B108C31" w14:textId="5097C3A8" w:rsidR="0017166A" w:rsidRPr="002836EB" w:rsidRDefault="0017166A" w:rsidP="0017166A">
            <w:pPr>
              <w:pStyle w:val="02Tabletext"/>
            </w:pPr>
            <w:r w:rsidRPr="0043143D">
              <w:t>15515</w:t>
            </w:r>
          </w:p>
        </w:tc>
        <w:tc>
          <w:tcPr>
            <w:tcW w:w="3993" w:type="dxa"/>
          </w:tcPr>
          <w:p w14:paraId="34DF0DA4" w14:textId="70B1BA6C" w:rsidR="0017166A" w:rsidRPr="002836EB" w:rsidRDefault="0017166A" w:rsidP="0017166A">
            <w:pPr>
              <w:pStyle w:val="02Tabletext"/>
            </w:pPr>
            <w:r w:rsidRPr="0043143D">
              <w:t xml:space="preserve">Radiation field setting using a diagnostic </w:t>
            </w:r>
            <w:r>
              <w:t>x-ray</w:t>
            </w:r>
            <w:r w:rsidRPr="0043143D">
              <w:t xml:space="preserve">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w:t>
            </w:r>
            <w:r>
              <w:t>.</w:t>
            </w:r>
          </w:p>
        </w:tc>
        <w:tc>
          <w:tcPr>
            <w:tcW w:w="1001" w:type="dxa"/>
          </w:tcPr>
          <w:p w14:paraId="6C1B1E3F" w14:textId="6AA5B554" w:rsidR="0017166A" w:rsidRPr="002836EB" w:rsidRDefault="0017166A" w:rsidP="0017166A">
            <w:pPr>
              <w:pStyle w:val="02Tabletext"/>
              <w:jc w:val="center"/>
            </w:pPr>
            <w:r w:rsidRPr="0043143D">
              <w:t xml:space="preserve"> $392.50 </w:t>
            </w:r>
          </w:p>
        </w:tc>
        <w:tc>
          <w:tcPr>
            <w:tcW w:w="1065" w:type="dxa"/>
          </w:tcPr>
          <w:p w14:paraId="676456A3" w14:textId="3CF0A999" w:rsidR="0017166A" w:rsidRPr="002836EB" w:rsidRDefault="0017166A" w:rsidP="0017166A">
            <w:pPr>
              <w:pStyle w:val="02Tabletext"/>
              <w:jc w:val="center"/>
            </w:pPr>
            <w:r w:rsidRPr="009737C5">
              <w:t>1</w:t>
            </w:r>
          </w:p>
        </w:tc>
        <w:tc>
          <w:tcPr>
            <w:tcW w:w="1094" w:type="dxa"/>
          </w:tcPr>
          <w:p w14:paraId="0F5C9FE2" w14:textId="65290857" w:rsidR="0017166A" w:rsidRPr="002836EB" w:rsidRDefault="0017166A" w:rsidP="0017166A">
            <w:pPr>
              <w:pStyle w:val="02Tabletext"/>
              <w:jc w:val="center"/>
            </w:pPr>
            <w:r w:rsidRPr="009737C5">
              <w:t>$334</w:t>
            </w:r>
          </w:p>
        </w:tc>
        <w:tc>
          <w:tcPr>
            <w:tcW w:w="1204" w:type="dxa"/>
          </w:tcPr>
          <w:p w14:paraId="6F6E4D75" w14:textId="009229D3" w:rsidR="0017166A" w:rsidRPr="002836EB" w:rsidRDefault="0017166A" w:rsidP="0017166A">
            <w:pPr>
              <w:pStyle w:val="02Tabletext"/>
              <w:jc w:val="center"/>
              <w:rPr>
                <w:shd w:val="clear" w:color="auto" w:fill="FBFBFB"/>
              </w:rPr>
            </w:pPr>
            <w:r w:rsidRPr="009737C5">
              <w:t>-</w:t>
            </w:r>
          </w:p>
        </w:tc>
      </w:tr>
      <w:tr w:rsidR="0017166A" w:rsidRPr="002836EB" w14:paraId="5F5565DC" w14:textId="77777777" w:rsidTr="00A60C83">
        <w:tc>
          <w:tcPr>
            <w:tcW w:w="725" w:type="dxa"/>
          </w:tcPr>
          <w:p w14:paraId="264091D9" w14:textId="42315F2F" w:rsidR="0017166A" w:rsidRPr="002836EB" w:rsidRDefault="0017166A" w:rsidP="0017166A">
            <w:pPr>
              <w:pStyle w:val="02Tabletext"/>
            </w:pPr>
            <w:r w:rsidRPr="0043143D">
              <w:t>15518</w:t>
            </w:r>
          </w:p>
        </w:tc>
        <w:tc>
          <w:tcPr>
            <w:tcW w:w="3993" w:type="dxa"/>
          </w:tcPr>
          <w:p w14:paraId="1627ECCE" w14:textId="0E14D99B" w:rsidR="0017166A" w:rsidRPr="002836EB" w:rsidRDefault="0017166A" w:rsidP="0017166A">
            <w:pPr>
              <w:pStyle w:val="02Tabletext"/>
            </w:pPr>
            <w:r w:rsidRPr="0043143D">
              <w:t>Radiation Dosimetry by a</w:t>
            </w:r>
            <w:r>
              <w:t xml:space="preserve"> CT </w:t>
            </w:r>
            <w:r w:rsidRPr="0043143D">
              <w:t>interfacing planning computer for megavoltage or teletherapy radiotherapy by a single field or parallel opposed fields to 1 area with up to 2 shielding blocks</w:t>
            </w:r>
            <w:r>
              <w:t>.</w:t>
            </w:r>
          </w:p>
        </w:tc>
        <w:tc>
          <w:tcPr>
            <w:tcW w:w="1001" w:type="dxa"/>
          </w:tcPr>
          <w:p w14:paraId="14B44C71" w14:textId="31117A3A" w:rsidR="0017166A" w:rsidRPr="002836EB" w:rsidRDefault="0017166A" w:rsidP="0017166A">
            <w:pPr>
              <w:pStyle w:val="02Tabletext"/>
              <w:jc w:val="center"/>
            </w:pPr>
            <w:r w:rsidRPr="0043143D">
              <w:t xml:space="preserve"> $77.00 </w:t>
            </w:r>
          </w:p>
        </w:tc>
        <w:tc>
          <w:tcPr>
            <w:tcW w:w="1065" w:type="dxa"/>
          </w:tcPr>
          <w:p w14:paraId="63E547F7" w14:textId="7FF74350" w:rsidR="0017166A" w:rsidRPr="002836EB" w:rsidRDefault="0017166A" w:rsidP="0017166A">
            <w:pPr>
              <w:pStyle w:val="02Tabletext"/>
              <w:jc w:val="center"/>
            </w:pPr>
            <w:r w:rsidRPr="009737C5">
              <w:t>3,341</w:t>
            </w:r>
          </w:p>
        </w:tc>
        <w:tc>
          <w:tcPr>
            <w:tcW w:w="1094" w:type="dxa"/>
          </w:tcPr>
          <w:p w14:paraId="6E06C26B" w14:textId="2C37F521" w:rsidR="0017166A" w:rsidRPr="002836EB" w:rsidRDefault="0017166A" w:rsidP="0017166A">
            <w:pPr>
              <w:pStyle w:val="02Tabletext"/>
              <w:jc w:val="center"/>
            </w:pPr>
            <w:r w:rsidRPr="009737C5">
              <w:t>$244,388</w:t>
            </w:r>
          </w:p>
        </w:tc>
        <w:tc>
          <w:tcPr>
            <w:tcW w:w="1204" w:type="dxa"/>
          </w:tcPr>
          <w:p w14:paraId="145D6E19" w14:textId="664B218F" w:rsidR="0017166A" w:rsidRPr="002836EB" w:rsidRDefault="0017166A" w:rsidP="0017166A">
            <w:pPr>
              <w:pStyle w:val="02Tabletext"/>
              <w:jc w:val="center"/>
              <w:rPr>
                <w:shd w:val="clear" w:color="auto" w:fill="FBFBFB"/>
              </w:rPr>
            </w:pPr>
            <w:r w:rsidRPr="009737C5">
              <w:t>-8.4%</w:t>
            </w:r>
          </w:p>
        </w:tc>
      </w:tr>
      <w:tr w:rsidR="0017166A" w:rsidRPr="002836EB" w14:paraId="1167AC4A" w14:textId="77777777" w:rsidTr="00A60C83">
        <w:tc>
          <w:tcPr>
            <w:tcW w:w="725" w:type="dxa"/>
          </w:tcPr>
          <w:p w14:paraId="278190E8" w14:textId="45BA19D6" w:rsidR="0017166A" w:rsidRPr="002836EB" w:rsidRDefault="0017166A" w:rsidP="0017166A">
            <w:pPr>
              <w:pStyle w:val="02Tabletext"/>
            </w:pPr>
            <w:r w:rsidRPr="0043143D">
              <w:t>15521</w:t>
            </w:r>
          </w:p>
        </w:tc>
        <w:tc>
          <w:tcPr>
            <w:tcW w:w="3993" w:type="dxa"/>
          </w:tcPr>
          <w:p w14:paraId="30A0DDA3" w14:textId="28830D77" w:rsidR="0017166A" w:rsidRPr="002836EB" w:rsidRDefault="0017166A" w:rsidP="0017166A">
            <w:pPr>
              <w:pStyle w:val="02Tabletext"/>
            </w:pPr>
            <w:r w:rsidRPr="0043143D">
              <w:t>Radiation Dosimetry by a</w:t>
            </w:r>
            <w:r>
              <w:t xml:space="preserve"> CT </w:t>
            </w:r>
            <w:r w:rsidRPr="0043143D">
              <w:t>interfacing planning computer for megavoltage or teletherapy radiotherapy to a single area by 3 or more fields, or by a single field or parallel opposed fields to 2 areas, or where wedges are used</w:t>
            </w:r>
            <w:r>
              <w:t>.</w:t>
            </w:r>
          </w:p>
        </w:tc>
        <w:tc>
          <w:tcPr>
            <w:tcW w:w="1001" w:type="dxa"/>
          </w:tcPr>
          <w:p w14:paraId="26638963" w14:textId="6E76567B" w:rsidR="0017166A" w:rsidRPr="002836EB" w:rsidRDefault="0017166A" w:rsidP="0017166A">
            <w:pPr>
              <w:pStyle w:val="02Tabletext"/>
              <w:jc w:val="center"/>
            </w:pPr>
            <w:r w:rsidRPr="0043143D">
              <w:t xml:space="preserve"> $339.90 </w:t>
            </w:r>
          </w:p>
        </w:tc>
        <w:tc>
          <w:tcPr>
            <w:tcW w:w="1065" w:type="dxa"/>
          </w:tcPr>
          <w:p w14:paraId="539A6644" w14:textId="767CB44A" w:rsidR="0017166A" w:rsidRPr="002836EB" w:rsidRDefault="0017166A" w:rsidP="0017166A">
            <w:pPr>
              <w:pStyle w:val="02Tabletext"/>
              <w:jc w:val="center"/>
            </w:pPr>
            <w:r w:rsidRPr="009737C5">
              <w:t>1,117</w:t>
            </w:r>
          </w:p>
        </w:tc>
        <w:tc>
          <w:tcPr>
            <w:tcW w:w="1094" w:type="dxa"/>
          </w:tcPr>
          <w:p w14:paraId="65522D98" w14:textId="6B86470C" w:rsidR="0017166A" w:rsidRPr="002836EB" w:rsidRDefault="0017166A" w:rsidP="0017166A">
            <w:pPr>
              <w:pStyle w:val="02Tabletext"/>
              <w:jc w:val="center"/>
            </w:pPr>
            <w:r w:rsidRPr="009737C5">
              <w:t>$358,487</w:t>
            </w:r>
          </w:p>
        </w:tc>
        <w:tc>
          <w:tcPr>
            <w:tcW w:w="1204" w:type="dxa"/>
          </w:tcPr>
          <w:p w14:paraId="1CAC19D4" w14:textId="267005FE" w:rsidR="0017166A" w:rsidRPr="002836EB" w:rsidRDefault="0017166A" w:rsidP="0017166A">
            <w:pPr>
              <w:pStyle w:val="02Tabletext"/>
              <w:jc w:val="center"/>
              <w:rPr>
                <w:shd w:val="clear" w:color="auto" w:fill="FBFBFB"/>
              </w:rPr>
            </w:pPr>
            <w:r w:rsidRPr="009737C5">
              <w:t>-5.2%</w:t>
            </w:r>
          </w:p>
        </w:tc>
      </w:tr>
      <w:tr w:rsidR="0017166A" w:rsidRPr="002836EB" w14:paraId="401EB533" w14:textId="77777777" w:rsidTr="00A60C83">
        <w:tc>
          <w:tcPr>
            <w:tcW w:w="725" w:type="dxa"/>
          </w:tcPr>
          <w:p w14:paraId="2B434A24" w14:textId="768234BD" w:rsidR="0017166A" w:rsidRPr="002836EB" w:rsidRDefault="0017166A" w:rsidP="0017166A">
            <w:pPr>
              <w:pStyle w:val="02Tabletext"/>
            </w:pPr>
            <w:r w:rsidRPr="0043143D">
              <w:t>15524</w:t>
            </w:r>
          </w:p>
        </w:tc>
        <w:tc>
          <w:tcPr>
            <w:tcW w:w="3993" w:type="dxa"/>
          </w:tcPr>
          <w:p w14:paraId="4F7FFF93" w14:textId="4403DF5A" w:rsidR="0017166A" w:rsidRPr="002836EB" w:rsidRDefault="0017166A" w:rsidP="0017166A">
            <w:pPr>
              <w:pStyle w:val="02Tabletext"/>
            </w:pPr>
            <w:r w:rsidRPr="0043143D">
              <w:t>Radiation Dosimetry by a</w:t>
            </w:r>
            <w:r>
              <w:t xml:space="preserve"> CT </w:t>
            </w:r>
            <w:r w:rsidRPr="0043143D">
              <w:t>interfacing planning computer for megavoltage or teletherapy radiotherapy to 3 or more areas, or by mantle fields or inverted Y fields or tangential fields or irregularly shaped fields using multiple blocks, or offaxis fields, or several joined fields</w:t>
            </w:r>
            <w:r>
              <w:t>.</w:t>
            </w:r>
          </w:p>
        </w:tc>
        <w:tc>
          <w:tcPr>
            <w:tcW w:w="1001" w:type="dxa"/>
          </w:tcPr>
          <w:p w14:paraId="7C7C8297" w14:textId="138E52F3" w:rsidR="0017166A" w:rsidRPr="002836EB" w:rsidRDefault="0017166A" w:rsidP="0017166A">
            <w:pPr>
              <w:pStyle w:val="02Tabletext"/>
              <w:jc w:val="center"/>
            </w:pPr>
            <w:r w:rsidRPr="0043143D">
              <w:t xml:space="preserve"> $637.35 </w:t>
            </w:r>
          </w:p>
        </w:tc>
        <w:tc>
          <w:tcPr>
            <w:tcW w:w="1065" w:type="dxa"/>
          </w:tcPr>
          <w:p w14:paraId="4FAAD30A" w14:textId="27C03B68" w:rsidR="0017166A" w:rsidRPr="002836EB" w:rsidRDefault="0017166A" w:rsidP="0017166A">
            <w:pPr>
              <w:pStyle w:val="02Tabletext"/>
              <w:jc w:val="center"/>
            </w:pPr>
            <w:r w:rsidRPr="009737C5">
              <w:t>8,069</w:t>
            </w:r>
          </w:p>
        </w:tc>
        <w:tc>
          <w:tcPr>
            <w:tcW w:w="1094" w:type="dxa"/>
          </w:tcPr>
          <w:p w14:paraId="676F0DF5" w14:textId="525F37B8" w:rsidR="0017166A" w:rsidRPr="002836EB" w:rsidRDefault="0017166A" w:rsidP="0017166A">
            <w:pPr>
              <w:pStyle w:val="02Tabletext"/>
              <w:jc w:val="center"/>
            </w:pPr>
            <w:r w:rsidRPr="009737C5">
              <w:t>$4,799,234</w:t>
            </w:r>
          </w:p>
        </w:tc>
        <w:tc>
          <w:tcPr>
            <w:tcW w:w="1204" w:type="dxa"/>
          </w:tcPr>
          <w:p w14:paraId="2A775C5A" w14:textId="7B580971" w:rsidR="0017166A" w:rsidRPr="002836EB" w:rsidRDefault="0017166A" w:rsidP="0017166A">
            <w:pPr>
              <w:pStyle w:val="02Tabletext"/>
              <w:jc w:val="center"/>
              <w:rPr>
                <w:shd w:val="clear" w:color="auto" w:fill="FBFBFB"/>
              </w:rPr>
            </w:pPr>
            <w:r w:rsidRPr="009737C5">
              <w:t>-5.6%</w:t>
            </w:r>
          </w:p>
        </w:tc>
      </w:tr>
      <w:tr w:rsidR="0017166A" w:rsidRPr="002836EB" w14:paraId="3D24616F" w14:textId="77777777" w:rsidTr="00A60C83">
        <w:tc>
          <w:tcPr>
            <w:tcW w:w="725" w:type="dxa"/>
          </w:tcPr>
          <w:p w14:paraId="25B904B4" w14:textId="11F4C633" w:rsidR="0017166A" w:rsidRPr="002836EB" w:rsidRDefault="0017166A" w:rsidP="0017166A">
            <w:pPr>
              <w:pStyle w:val="02Tabletext"/>
            </w:pPr>
            <w:r w:rsidRPr="0043143D">
              <w:lastRenderedPageBreak/>
              <w:t>15527</w:t>
            </w:r>
          </w:p>
        </w:tc>
        <w:tc>
          <w:tcPr>
            <w:tcW w:w="3993" w:type="dxa"/>
          </w:tcPr>
          <w:p w14:paraId="45F62F7A" w14:textId="70F5B8EB" w:rsidR="0017166A" w:rsidRPr="002836EB" w:rsidRDefault="0017166A" w:rsidP="0017166A">
            <w:pPr>
              <w:pStyle w:val="02Tabletext"/>
            </w:pPr>
            <w:r w:rsidRPr="0043143D">
              <w:t xml:space="preserve">Radiation Dosimetry by a </w:t>
            </w:r>
            <w:r>
              <w:t xml:space="preserve">non-CT </w:t>
            </w:r>
            <w:r w:rsidRPr="0043143D">
              <w:t>interfacing planning computer for megavoltage or teletherapy radiotherapy by a single field or parallel opposed fields to 1 area with up to 2 shielding blocks</w:t>
            </w:r>
            <w:r>
              <w:t>.</w:t>
            </w:r>
          </w:p>
        </w:tc>
        <w:tc>
          <w:tcPr>
            <w:tcW w:w="1001" w:type="dxa"/>
          </w:tcPr>
          <w:p w14:paraId="10883D1B" w14:textId="7FAD883B" w:rsidR="0017166A" w:rsidRPr="002836EB" w:rsidRDefault="0017166A" w:rsidP="0017166A">
            <w:pPr>
              <w:pStyle w:val="02Tabletext"/>
              <w:jc w:val="center"/>
            </w:pPr>
            <w:r w:rsidRPr="0043143D">
              <w:t xml:space="preserve"> $78.95 </w:t>
            </w:r>
          </w:p>
        </w:tc>
        <w:tc>
          <w:tcPr>
            <w:tcW w:w="1065" w:type="dxa"/>
          </w:tcPr>
          <w:p w14:paraId="559CE9DB" w14:textId="707CFE17" w:rsidR="0017166A" w:rsidRPr="002836EB" w:rsidRDefault="0017166A" w:rsidP="0017166A">
            <w:pPr>
              <w:pStyle w:val="02Tabletext"/>
              <w:jc w:val="center"/>
            </w:pPr>
            <w:r w:rsidRPr="009737C5">
              <w:t>2,153</w:t>
            </w:r>
          </w:p>
        </w:tc>
        <w:tc>
          <w:tcPr>
            <w:tcW w:w="1094" w:type="dxa"/>
          </w:tcPr>
          <w:p w14:paraId="7FC46779" w14:textId="7A1635B2" w:rsidR="0017166A" w:rsidRPr="002836EB" w:rsidRDefault="0017166A" w:rsidP="0017166A">
            <w:pPr>
              <w:pStyle w:val="02Tabletext"/>
              <w:jc w:val="center"/>
            </w:pPr>
            <w:r w:rsidRPr="009737C5">
              <w:t>$153,609</w:t>
            </w:r>
          </w:p>
        </w:tc>
        <w:tc>
          <w:tcPr>
            <w:tcW w:w="1204" w:type="dxa"/>
          </w:tcPr>
          <w:p w14:paraId="2CC282E5" w14:textId="28374965" w:rsidR="0017166A" w:rsidRPr="002836EB" w:rsidRDefault="0017166A" w:rsidP="0017166A">
            <w:pPr>
              <w:pStyle w:val="02Tabletext"/>
              <w:jc w:val="center"/>
              <w:rPr>
                <w:shd w:val="clear" w:color="auto" w:fill="FBFBFB"/>
              </w:rPr>
            </w:pPr>
            <w:r w:rsidRPr="009737C5">
              <w:t>-3.1%</w:t>
            </w:r>
          </w:p>
        </w:tc>
      </w:tr>
      <w:tr w:rsidR="0017166A" w:rsidRPr="002836EB" w14:paraId="71251454" w14:textId="77777777" w:rsidTr="00A60C83">
        <w:tc>
          <w:tcPr>
            <w:tcW w:w="725" w:type="dxa"/>
          </w:tcPr>
          <w:p w14:paraId="406FECA5" w14:textId="7696D900" w:rsidR="0017166A" w:rsidRPr="002836EB" w:rsidRDefault="0017166A" w:rsidP="0017166A">
            <w:pPr>
              <w:pStyle w:val="02Tabletext"/>
            </w:pPr>
            <w:r w:rsidRPr="0043143D">
              <w:t>15530</w:t>
            </w:r>
          </w:p>
        </w:tc>
        <w:tc>
          <w:tcPr>
            <w:tcW w:w="3993" w:type="dxa"/>
          </w:tcPr>
          <w:p w14:paraId="20D64871" w14:textId="0399831E" w:rsidR="0017166A" w:rsidRPr="002836EB" w:rsidRDefault="0017166A" w:rsidP="0017166A">
            <w:pPr>
              <w:pStyle w:val="02Tabletext"/>
            </w:pPr>
            <w:r w:rsidRPr="0043143D">
              <w:t xml:space="preserve">Radiation Dosimetry by a </w:t>
            </w:r>
            <w:r>
              <w:t xml:space="preserve">non-CT </w:t>
            </w:r>
            <w:r w:rsidRPr="0043143D">
              <w:t>interfacing planning computer for megavoltage or teletherapy radiotherapy to a single area by 3 or more fields, or by a single field or parallel opposed fields to 2 areas, or where wedges are used</w:t>
            </w:r>
            <w:r>
              <w:t>.</w:t>
            </w:r>
          </w:p>
        </w:tc>
        <w:tc>
          <w:tcPr>
            <w:tcW w:w="1001" w:type="dxa"/>
          </w:tcPr>
          <w:p w14:paraId="57A5CA00" w14:textId="3C90135D" w:rsidR="0017166A" w:rsidRPr="002836EB" w:rsidRDefault="0017166A" w:rsidP="0017166A">
            <w:pPr>
              <w:pStyle w:val="02Tabletext"/>
              <w:jc w:val="center"/>
            </w:pPr>
            <w:r w:rsidRPr="0043143D">
              <w:t xml:space="preserve"> $352.15 </w:t>
            </w:r>
          </w:p>
        </w:tc>
        <w:tc>
          <w:tcPr>
            <w:tcW w:w="1065" w:type="dxa"/>
          </w:tcPr>
          <w:p w14:paraId="0E434FA0" w14:textId="72FEDE3F" w:rsidR="0017166A" w:rsidRPr="002836EB" w:rsidRDefault="0017166A" w:rsidP="0017166A">
            <w:pPr>
              <w:pStyle w:val="02Tabletext"/>
              <w:jc w:val="center"/>
            </w:pPr>
            <w:r w:rsidRPr="009737C5">
              <w:t>106</w:t>
            </w:r>
          </w:p>
        </w:tc>
        <w:tc>
          <w:tcPr>
            <w:tcW w:w="1094" w:type="dxa"/>
          </w:tcPr>
          <w:p w14:paraId="475256A3" w14:textId="59340AD0" w:rsidR="0017166A" w:rsidRPr="002836EB" w:rsidRDefault="0017166A" w:rsidP="0017166A">
            <w:pPr>
              <w:pStyle w:val="02Tabletext"/>
              <w:jc w:val="center"/>
            </w:pPr>
            <w:r w:rsidRPr="009737C5">
              <w:t>$33,707</w:t>
            </w:r>
          </w:p>
        </w:tc>
        <w:tc>
          <w:tcPr>
            <w:tcW w:w="1204" w:type="dxa"/>
          </w:tcPr>
          <w:p w14:paraId="3CD276D1" w14:textId="70D62C67" w:rsidR="0017166A" w:rsidRPr="002836EB" w:rsidRDefault="0017166A" w:rsidP="0017166A">
            <w:pPr>
              <w:pStyle w:val="02Tabletext"/>
              <w:jc w:val="center"/>
              <w:rPr>
                <w:shd w:val="clear" w:color="auto" w:fill="FBFBFB"/>
              </w:rPr>
            </w:pPr>
            <w:r w:rsidRPr="009737C5">
              <w:t>-13.2%</w:t>
            </w:r>
          </w:p>
        </w:tc>
      </w:tr>
      <w:tr w:rsidR="0017166A" w:rsidRPr="002836EB" w14:paraId="3A2A65CE" w14:textId="77777777" w:rsidTr="00A60C83">
        <w:tc>
          <w:tcPr>
            <w:tcW w:w="725" w:type="dxa"/>
          </w:tcPr>
          <w:p w14:paraId="7605F78C" w14:textId="2A484470" w:rsidR="0017166A" w:rsidRPr="002836EB" w:rsidRDefault="0017166A" w:rsidP="0017166A">
            <w:pPr>
              <w:pStyle w:val="02Tabletext"/>
            </w:pPr>
            <w:r w:rsidRPr="0043143D">
              <w:t>15533</w:t>
            </w:r>
          </w:p>
        </w:tc>
        <w:tc>
          <w:tcPr>
            <w:tcW w:w="3993" w:type="dxa"/>
          </w:tcPr>
          <w:p w14:paraId="5DF69A56" w14:textId="661EC15C" w:rsidR="0017166A" w:rsidRPr="002836EB" w:rsidRDefault="0017166A" w:rsidP="0017166A">
            <w:pPr>
              <w:pStyle w:val="02Tabletext"/>
            </w:pPr>
            <w:r w:rsidRPr="0043143D">
              <w:t xml:space="preserve">Radiation Dosimetry by a </w:t>
            </w:r>
            <w:r>
              <w:t xml:space="preserve">non-CT </w:t>
            </w:r>
            <w:r w:rsidRPr="0043143D">
              <w:t>interfacing planning computer for megavoltage or teletherapy radiotherapy to 3 or more areas, or by mantle fields or inverted Y fields, or tangential fields or irregularly shaped fields using multiple blocks, or offaxis fields, or several joined fields</w:t>
            </w:r>
            <w:r>
              <w:t>.</w:t>
            </w:r>
          </w:p>
        </w:tc>
        <w:tc>
          <w:tcPr>
            <w:tcW w:w="1001" w:type="dxa"/>
          </w:tcPr>
          <w:p w14:paraId="588BC569" w14:textId="23ABAD2D" w:rsidR="0017166A" w:rsidRPr="002836EB" w:rsidRDefault="0017166A" w:rsidP="0017166A">
            <w:pPr>
              <w:pStyle w:val="02Tabletext"/>
              <w:jc w:val="center"/>
            </w:pPr>
            <w:r w:rsidRPr="0043143D">
              <w:t xml:space="preserve"> $667.70 </w:t>
            </w:r>
          </w:p>
        </w:tc>
        <w:tc>
          <w:tcPr>
            <w:tcW w:w="1065" w:type="dxa"/>
          </w:tcPr>
          <w:p w14:paraId="052123C4" w14:textId="35B1BA71" w:rsidR="0017166A" w:rsidRPr="002836EB" w:rsidRDefault="0017166A" w:rsidP="0017166A">
            <w:pPr>
              <w:pStyle w:val="02Tabletext"/>
              <w:jc w:val="center"/>
            </w:pPr>
            <w:r w:rsidRPr="009737C5">
              <w:t>309</w:t>
            </w:r>
          </w:p>
        </w:tc>
        <w:tc>
          <w:tcPr>
            <w:tcW w:w="1094" w:type="dxa"/>
          </w:tcPr>
          <w:p w14:paraId="6365C8C7" w14:textId="02B66F39" w:rsidR="0017166A" w:rsidRPr="002836EB" w:rsidRDefault="0017166A" w:rsidP="0017166A">
            <w:pPr>
              <w:pStyle w:val="02Tabletext"/>
              <w:jc w:val="center"/>
            </w:pPr>
            <w:r w:rsidRPr="009737C5">
              <w:t>$183,288</w:t>
            </w:r>
          </w:p>
        </w:tc>
        <w:tc>
          <w:tcPr>
            <w:tcW w:w="1204" w:type="dxa"/>
          </w:tcPr>
          <w:p w14:paraId="52D46B6F" w14:textId="3C26BEA0" w:rsidR="0017166A" w:rsidRPr="002836EB" w:rsidRDefault="0017166A" w:rsidP="0017166A">
            <w:pPr>
              <w:pStyle w:val="02Tabletext"/>
              <w:jc w:val="center"/>
              <w:rPr>
                <w:shd w:val="clear" w:color="auto" w:fill="FBFBFB"/>
              </w:rPr>
            </w:pPr>
            <w:r w:rsidRPr="009737C5">
              <w:t>0.9%</w:t>
            </w:r>
          </w:p>
        </w:tc>
      </w:tr>
      <w:tr w:rsidR="00D7357B" w:rsidRPr="002836EB" w14:paraId="26159D85" w14:textId="77777777" w:rsidTr="00A60C83">
        <w:tc>
          <w:tcPr>
            <w:tcW w:w="725" w:type="dxa"/>
          </w:tcPr>
          <w:p w14:paraId="2565701A" w14:textId="35A16A90" w:rsidR="00D7357B" w:rsidRPr="002836EB" w:rsidRDefault="00D7357B" w:rsidP="00D7357B">
            <w:pPr>
              <w:pStyle w:val="02Tabletext"/>
            </w:pPr>
            <w:r w:rsidRPr="00B97A55">
              <w:t>15550</w:t>
            </w:r>
          </w:p>
        </w:tc>
        <w:tc>
          <w:tcPr>
            <w:tcW w:w="3993" w:type="dxa"/>
          </w:tcPr>
          <w:p w14:paraId="5B65BEA4" w14:textId="77777777" w:rsidR="00D7357B" w:rsidRDefault="00D7357B" w:rsidP="00D7357B">
            <w:pPr>
              <w:pStyle w:val="02Tabletext"/>
            </w:pPr>
            <w:r w:rsidRPr="00B97A55">
              <w:t xml:space="preserve">Simulation for three dimensional conformal radiotherapy without intravenous contrast medium, where: </w:t>
            </w:r>
          </w:p>
          <w:p w14:paraId="280E816A" w14:textId="77777777" w:rsidR="00D7357B" w:rsidRDefault="00D7357B" w:rsidP="00D7357B">
            <w:pPr>
              <w:pStyle w:val="02Tabletext"/>
            </w:pPr>
            <w:r w:rsidRPr="00B97A55">
              <w:t xml:space="preserve">(a) treatment set up and technique specifications are in preparations for three dimensional conformal radiotherapy dose planning; and </w:t>
            </w:r>
          </w:p>
          <w:p w14:paraId="21B816CE" w14:textId="77777777" w:rsidR="00D7357B" w:rsidRDefault="00D7357B" w:rsidP="00D7357B">
            <w:pPr>
              <w:pStyle w:val="02Tabletext"/>
            </w:pPr>
          </w:p>
          <w:p w14:paraId="1F6364E5" w14:textId="0344C6AE" w:rsidR="00D7357B" w:rsidRDefault="00D7357B" w:rsidP="00D7357B">
            <w:pPr>
              <w:pStyle w:val="02Tabletext"/>
            </w:pPr>
            <w:r w:rsidRPr="00B97A55">
              <w:t>(b) patient set up and immobilisation techniques are suitable for reliable</w:t>
            </w:r>
            <w:r>
              <w:t xml:space="preserve"> CT </w:t>
            </w:r>
            <w:r w:rsidRPr="00B97A55">
              <w:t xml:space="preserve">image volume data acquisition and three dimensional conformal radiotherapy treatment; and </w:t>
            </w:r>
          </w:p>
          <w:p w14:paraId="2E4FAD89" w14:textId="77777777" w:rsidR="00D7357B" w:rsidRDefault="00D7357B" w:rsidP="00D7357B">
            <w:pPr>
              <w:pStyle w:val="02Tabletext"/>
            </w:pPr>
          </w:p>
          <w:p w14:paraId="1ACCA5F9" w14:textId="1D791E2F" w:rsidR="00D7357B" w:rsidRDefault="00D7357B" w:rsidP="00D7357B">
            <w:pPr>
              <w:pStyle w:val="02Tabletext"/>
            </w:pPr>
            <w:r w:rsidRPr="00B97A55">
              <w:t xml:space="preserve">(c) a high-quality </w:t>
            </w:r>
            <w:r>
              <w:t xml:space="preserve">CT </w:t>
            </w:r>
            <w:r w:rsidRPr="00B97A55">
              <w:t xml:space="preserve">image volume dataset must be acquired for the relevant region of interest to be planned and treated; and </w:t>
            </w:r>
          </w:p>
          <w:p w14:paraId="41C12C4C" w14:textId="77777777" w:rsidR="00D7357B" w:rsidRDefault="00D7357B" w:rsidP="00D7357B">
            <w:pPr>
              <w:pStyle w:val="02Tabletext"/>
            </w:pPr>
          </w:p>
          <w:p w14:paraId="3F8A6C23" w14:textId="3807FDDA" w:rsidR="00D7357B" w:rsidRPr="002836EB" w:rsidRDefault="00D7357B" w:rsidP="00D7357B">
            <w:pPr>
              <w:pStyle w:val="02Tabletext"/>
            </w:pPr>
            <w:r w:rsidRPr="00B97A55">
              <w:t>(d) the image set must be suitable for the generation of quality digitally reconstructed radiographic images</w:t>
            </w:r>
            <w:r>
              <w:t>.</w:t>
            </w:r>
          </w:p>
        </w:tc>
        <w:tc>
          <w:tcPr>
            <w:tcW w:w="1001" w:type="dxa"/>
          </w:tcPr>
          <w:p w14:paraId="3C635AA0" w14:textId="7023371F" w:rsidR="00D7357B" w:rsidRPr="002836EB" w:rsidRDefault="00D7357B" w:rsidP="00D7357B">
            <w:pPr>
              <w:pStyle w:val="02Tabletext"/>
              <w:jc w:val="center"/>
            </w:pPr>
            <w:r w:rsidRPr="00B97A55">
              <w:t xml:space="preserve"> $658.60 </w:t>
            </w:r>
          </w:p>
        </w:tc>
        <w:tc>
          <w:tcPr>
            <w:tcW w:w="1065" w:type="dxa"/>
          </w:tcPr>
          <w:p w14:paraId="4A9872C8" w14:textId="70CECDB3" w:rsidR="00D7357B" w:rsidRPr="002836EB" w:rsidRDefault="00D7357B" w:rsidP="00D7357B">
            <w:pPr>
              <w:pStyle w:val="02Tabletext"/>
              <w:jc w:val="center"/>
            </w:pPr>
            <w:r w:rsidRPr="00A02A7C">
              <w:t>41,431</w:t>
            </w:r>
          </w:p>
        </w:tc>
        <w:tc>
          <w:tcPr>
            <w:tcW w:w="1094" w:type="dxa"/>
          </w:tcPr>
          <w:p w14:paraId="55784782" w14:textId="12416015" w:rsidR="00D7357B" w:rsidRPr="002836EB" w:rsidRDefault="00D7357B" w:rsidP="00D7357B">
            <w:pPr>
              <w:pStyle w:val="02Tabletext"/>
              <w:jc w:val="center"/>
            </w:pPr>
            <w:r w:rsidRPr="00A02A7C">
              <w:t>$29,004,897</w:t>
            </w:r>
          </w:p>
        </w:tc>
        <w:tc>
          <w:tcPr>
            <w:tcW w:w="1204" w:type="dxa"/>
          </w:tcPr>
          <w:p w14:paraId="025C32CD" w14:textId="06311079" w:rsidR="00D7357B" w:rsidRPr="002836EB" w:rsidRDefault="00D7357B" w:rsidP="00D7357B">
            <w:pPr>
              <w:pStyle w:val="02Tabletext"/>
              <w:jc w:val="center"/>
              <w:rPr>
                <w:shd w:val="clear" w:color="auto" w:fill="FBFBFB"/>
              </w:rPr>
            </w:pPr>
            <w:r w:rsidRPr="00A02A7C">
              <w:t>11.4%</w:t>
            </w:r>
          </w:p>
        </w:tc>
      </w:tr>
      <w:tr w:rsidR="00D7357B" w:rsidRPr="002836EB" w14:paraId="68B486EB" w14:textId="77777777" w:rsidTr="00A60C83">
        <w:tc>
          <w:tcPr>
            <w:tcW w:w="725" w:type="dxa"/>
          </w:tcPr>
          <w:p w14:paraId="774CECD9" w14:textId="69A07A07" w:rsidR="00D7357B" w:rsidRPr="002836EB" w:rsidRDefault="00D7357B" w:rsidP="00D7357B">
            <w:pPr>
              <w:pStyle w:val="02Tabletext"/>
            </w:pPr>
            <w:r w:rsidRPr="00B97A55">
              <w:t>15553</w:t>
            </w:r>
          </w:p>
        </w:tc>
        <w:tc>
          <w:tcPr>
            <w:tcW w:w="3993" w:type="dxa"/>
          </w:tcPr>
          <w:p w14:paraId="25A2571C" w14:textId="77777777" w:rsidR="00D7357B" w:rsidRDefault="00D7357B" w:rsidP="00D7357B">
            <w:pPr>
              <w:pStyle w:val="02Tabletext"/>
            </w:pPr>
            <w:r w:rsidRPr="00B97A55">
              <w:t xml:space="preserve">Simulation for three dimensional conformal radiotherapy pre and post intravenous contrast medium, where: </w:t>
            </w:r>
          </w:p>
          <w:p w14:paraId="43260466" w14:textId="77777777" w:rsidR="00D7357B" w:rsidRDefault="00D7357B" w:rsidP="00D7357B">
            <w:pPr>
              <w:pStyle w:val="02Tabletext"/>
            </w:pPr>
            <w:r w:rsidRPr="00B97A55">
              <w:t xml:space="preserve">(a) treatment set up and technique specifications are in preparations for three dimensional conformal radiotherapy dose planning; and </w:t>
            </w:r>
          </w:p>
          <w:p w14:paraId="1FAFB220" w14:textId="77777777" w:rsidR="00D7357B" w:rsidRDefault="00D7357B" w:rsidP="00D7357B">
            <w:pPr>
              <w:pStyle w:val="02Tabletext"/>
            </w:pPr>
          </w:p>
          <w:p w14:paraId="65945421" w14:textId="4AF1140F" w:rsidR="00D7357B" w:rsidRDefault="00D7357B" w:rsidP="00D7357B">
            <w:pPr>
              <w:pStyle w:val="02Tabletext"/>
            </w:pPr>
            <w:r w:rsidRPr="00B97A55">
              <w:t>(b) patient set up and immobilisation techniques are suitable for reliable</w:t>
            </w:r>
            <w:r>
              <w:t xml:space="preserve"> CT </w:t>
            </w:r>
            <w:r w:rsidRPr="00B97A55">
              <w:t xml:space="preserve">image volume data acquisition and three dimensional conformal radiotherapy treatment; and </w:t>
            </w:r>
          </w:p>
          <w:p w14:paraId="32514846" w14:textId="77777777" w:rsidR="00D7357B" w:rsidRDefault="00D7357B" w:rsidP="00D7357B">
            <w:pPr>
              <w:pStyle w:val="02Tabletext"/>
            </w:pPr>
          </w:p>
          <w:p w14:paraId="09F667DD" w14:textId="3C23287B" w:rsidR="00D7357B" w:rsidRDefault="00D7357B" w:rsidP="00D7357B">
            <w:pPr>
              <w:pStyle w:val="02Tabletext"/>
            </w:pPr>
            <w:r w:rsidRPr="00B97A55">
              <w:t xml:space="preserve">(c) a high-quality </w:t>
            </w:r>
            <w:r>
              <w:t xml:space="preserve">CT </w:t>
            </w:r>
            <w:r w:rsidRPr="00B97A55">
              <w:t xml:space="preserve">image volume dataset must be acquired for the relevant region of interest to be planned and treated; and </w:t>
            </w:r>
          </w:p>
          <w:p w14:paraId="734E6651" w14:textId="77777777" w:rsidR="00D7357B" w:rsidRDefault="00D7357B" w:rsidP="00D7357B">
            <w:pPr>
              <w:pStyle w:val="02Tabletext"/>
            </w:pPr>
          </w:p>
          <w:p w14:paraId="5D27333F" w14:textId="2EC07232" w:rsidR="00D7357B" w:rsidRPr="002836EB" w:rsidRDefault="00D7357B" w:rsidP="00D7357B">
            <w:pPr>
              <w:pStyle w:val="02Tabletext"/>
            </w:pPr>
            <w:r w:rsidRPr="00B97A55">
              <w:t>(d) the image set must be suitable for the generation of quality digitally reconstructed radiographic images</w:t>
            </w:r>
            <w:r>
              <w:t>.</w:t>
            </w:r>
          </w:p>
        </w:tc>
        <w:tc>
          <w:tcPr>
            <w:tcW w:w="1001" w:type="dxa"/>
          </w:tcPr>
          <w:p w14:paraId="43E5DFD0" w14:textId="6F328FB3" w:rsidR="00D7357B" w:rsidRPr="002836EB" w:rsidRDefault="00D7357B" w:rsidP="00D7357B">
            <w:pPr>
              <w:pStyle w:val="02Tabletext"/>
              <w:jc w:val="center"/>
            </w:pPr>
            <w:r w:rsidRPr="00B97A55">
              <w:t xml:space="preserve"> $710.55 </w:t>
            </w:r>
          </w:p>
        </w:tc>
        <w:tc>
          <w:tcPr>
            <w:tcW w:w="1065" w:type="dxa"/>
          </w:tcPr>
          <w:p w14:paraId="64C805ED" w14:textId="0CC33654" w:rsidR="00D7357B" w:rsidRPr="002836EB" w:rsidRDefault="00D7357B" w:rsidP="00D7357B">
            <w:pPr>
              <w:pStyle w:val="02Tabletext"/>
              <w:jc w:val="center"/>
            </w:pPr>
            <w:r w:rsidRPr="00A02A7C">
              <w:t>2,647</w:t>
            </w:r>
          </w:p>
        </w:tc>
        <w:tc>
          <w:tcPr>
            <w:tcW w:w="1094" w:type="dxa"/>
          </w:tcPr>
          <w:p w14:paraId="68984D5B" w14:textId="248F3399" w:rsidR="00D7357B" w:rsidRPr="002836EB" w:rsidRDefault="00D7357B" w:rsidP="00D7357B">
            <w:pPr>
              <w:pStyle w:val="02Tabletext"/>
              <w:jc w:val="center"/>
            </w:pPr>
            <w:r w:rsidRPr="00A02A7C">
              <w:t>$1,680,563</w:t>
            </w:r>
          </w:p>
        </w:tc>
        <w:tc>
          <w:tcPr>
            <w:tcW w:w="1204" w:type="dxa"/>
          </w:tcPr>
          <w:p w14:paraId="35DC8A5B" w14:textId="405A9B4E" w:rsidR="00D7357B" w:rsidRPr="002836EB" w:rsidRDefault="00D7357B" w:rsidP="00D7357B">
            <w:pPr>
              <w:pStyle w:val="02Tabletext"/>
              <w:jc w:val="center"/>
              <w:rPr>
                <w:shd w:val="clear" w:color="auto" w:fill="FBFBFB"/>
              </w:rPr>
            </w:pPr>
            <w:r w:rsidRPr="00A02A7C">
              <w:t>8.8%</w:t>
            </w:r>
          </w:p>
        </w:tc>
      </w:tr>
      <w:tr w:rsidR="00F96D83" w:rsidRPr="002836EB" w14:paraId="47B07787" w14:textId="77777777" w:rsidTr="00A60C83">
        <w:tc>
          <w:tcPr>
            <w:tcW w:w="725" w:type="dxa"/>
          </w:tcPr>
          <w:p w14:paraId="63606C96" w14:textId="0C1E6344" w:rsidR="00F96D83" w:rsidRPr="00B97A55" w:rsidRDefault="00F96D83" w:rsidP="00F96D83">
            <w:pPr>
              <w:pStyle w:val="02Tabletext"/>
            </w:pPr>
            <w:r>
              <w:lastRenderedPageBreak/>
              <w:t>15555</w:t>
            </w:r>
          </w:p>
        </w:tc>
        <w:tc>
          <w:tcPr>
            <w:tcW w:w="3993" w:type="dxa"/>
          </w:tcPr>
          <w:p w14:paraId="6894020A" w14:textId="5476ED15" w:rsidR="00F96D83" w:rsidRDefault="00F96D83" w:rsidP="00F96D83">
            <w:pPr>
              <w:pStyle w:val="02Tabletext"/>
            </w:pPr>
            <w:r>
              <w:t>Simulation for intensity-modulated radiation therapy (IMRT), with or without intravenous contrast medium, if:</w:t>
            </w:r>
          </w:p>
          <w:p w14:paraId="111F3964" w14:textId="77777777" w:rsidR="00F96D83" w:rsidRDefault="00F96D83" w:rsidP="00F96D83">
            <w:pPr>
              <w:pStyle w:val="02Tabletext"/>
            </w:pPr>
          </w:p>
          <w:p w14:paraId="75E95930" w14:textId="189BC449" w:rsidR="00F96D83" w:rsidRDefault="00F96D83" w:rsidP="00F96D83">
            <w:pPr>
              <w:pStyle w:val="02Tabletext"/>
            </w:pPr>
            <w:r>
              <w:t>1. Treatment set-up and technique specifications are in preparations for three-dimensional conformal radiotherapy dose planning; and</w:t>
            </w:r>
          </w:p>
          <w:p w14:paraId="140F788E" w14:textId="77777777" w:rsidR="00F96D83" w:rsidRDefault="00F96D83" w:rsidP="00F96D83">
            <w:pPr>
              <w:pStyle w:val="02Tabletext"/>
            </w:pPr>
          </w:p>
          <w:p w14:paraId="3090ABA4" w14:textId="31AF0490" w:rsidR="00F96D83" w:rsidRDefault="00F96D83" w:rsidP="00F96D83">
            <w:pPr>
              <w:pStyle w:val="02Tabletext"/>
            </w:pPr>
            <w:r>
              <w:t>2. Patient set-up and immobilisation techniques are suitable for reliable CT-image volume data acquisition and three-dimensional conformal radiotherapy; and</w:t>
            </w:r>
          </w:p>
          <w:p w14:paraId="39157411" w14:textId="77777777" w:rsidR="00F96D83" w:rsidRDefault="00F96D83" w:rsidP="00F96D83">
            <w:pPr>
              <w:pStyle w:val="02Tabletext"/>
            </w:pPr>
          </w:p>
          <w:p w14:paraId="07128094" w14:textId="52FEFA33" w:rsidR="00F96D83" w:rsidRDefault="00F96D83" w:rsidP="00F96D83">
            <w:pPr>
              <w:pStyle w:val="02Tabletext"/>
            </w:pPr>
            <w:r>
              <w:t>3. A high-quality CT-image volume dataset is acquired for the relevant region of interest to be planned and treated; and</w:t>
            </w:r>
          </w:p>
          <w:p w14:paraId="6BDB5D6B" w14:textId="77777777" w:rsidR="00F96D83" w:rsidRDefault="00F96D83" w:rsidP="00F96D83">
            <w:pPr>
              <w:pStyle w:val="02Tabletext"/>
            </w:pPr>
          </w:p>
          <w:p w14:paraId="05329D86" w14:textId="1DB2DFB5" w:rsidR="00F96D83" w:rsidRPr="00B97A55" w:rsidRDefault="00F96D83" w:rsidP="00F96D83">
            <w:pPr>
              <w:pStyle w:val="02Tabletext"/>
            </w:pPr>
            <w:r>
              <w:t>4. The image set is suitable for the generation of quality digitally-reconstructed radiographic images.</w:t>
            </w:r>
          </w:p>
        </w:tc>
        <w:tc>
          <w:tcPr>
            <w:tcW w:w="1001" w:type="dxa"/>
          </w:tcPr>
          <w:p w14:paraId="01D1C7CB" w14:textId="3D388A78" w:rsidR="00F96D83" w:rsidRPr="00B97A55" w:rsidRDefault="00F96D83" w:rsidP="00F96D83">
            <w:pPr>
              <w:pStyle w:val="02Tabletext"/>
              <w:jc w:val="center"/>
            </w:pPr>
            <w:r>
              <w:t>$710.55</w:t>
            </w:r>
          </w:p>
        </w:tc>
        <w:tc>
          <w:tcPr>
            <w:tcW w:w="1065" w:type="dxa"/>
          </w:tcPr>
          <w:p w14:paraId="67EA6D5E" w14:textId="75697118" w:rsidR="00F96D83" w:rsidRPr="00B97A55" w:rsidRDefault="00F96D83" w:rsidP="00F96D83">
            <w:pPr>
              <w:pStyle w:val="02Tabletext"/>
              <w:jc w:val="center"/>
            </w:pPr>
            <w:r w:rsidRPr="002836EB">
              <w:t>N/A</w:t>
            </w:r>
            <w:r w:rsidRPr="002836EB">
              <w:br/>
              <w:t>(IMRT items introduced in FY 2016)</w:t>
            </w:r>
          </w:p>
        </w:tc>
        <w:tc>
          <w:tcPr>
            <w:tcW w:w="1094" w:type="dxa"/>
          </w:tcPr>
          <w:p w14:paraId="277298F4" w14:textId="69249489" w:rsidR="00F96D83" w:rsidRPr="00B97A55" w:rsidRDefault="00F96D83" w:rsidP="00F96D83">
            <w:pPr>
              <w:pStyle w:val="02Tabletext"/>
              <w:jc w:val="center"/>
            </w:pPr>
            <w:r w:rsidRPr="002836EB">
              <w:t>N/A</w:t>
            </w:r>
            <w:r w:rsidRPr="002836EB">
              <w:br/>
              <w:t>(IMRT items introduced in FY 2016)</w:t>
            </w:r>
          </w:p>
        </w:tc>
        <w:tc>
          <w:tcPr>
            <w:tcW w:w="1204" w:type="dxa"/>
          </w:tcPr>
          <w:p w14:paraId="72627F09" w14:textId="3B633E7C" w:rsidR="00F96D83" w:rsidRPr="00BB6D74" w:rsidRDefault="00F96D83" w:rsidP="00F96D83">
            <w:pPr>
              <w:pStyle w:val="02Tabletext"/>
              <w:jc w:val="center"/>
            </w:pPr>
            <w:r w:rsidRPr="002836EB">
              <w:t>N/A</w:t>
            </w:r>
            <w:r w:rsidRPr="002836EB">
              <w:br/>
              <w:t>(IMRT items introduced in FY 2016)</w:t>
            </w:r>
          </w:p>
        </w:tc>
      </w:tr>
      <w:tr w:rsidR="00F96D83" w:rsidRPr="002836EB" w14:paraId="796FEB15" w14:textId="77777777" w:rsidTr="00A60C83">
        <w:tc>
          <w:tcPr>
            <w:tcW w:w="725" w:type="dxa"/>
          </w:tcPr>
          <w:p w14:paraId="29D2E040" w14:textId="7548E5E2" w:rsidR="00F96D83" w:rsidRPr="002836EB" w:rsidRDefault="00F96D83" w:rsidP="00F96D83">
            <w:pPr>
              <w:pStyle w:val="02Tabletext"/>
            </w:pPr>
            <w:r w:rsidRPr="00B97A55">
              <w:t>15556</w:t>
            </w:r>
          </w:p>
        </w:tc>
        <w:tc>
          <w:tcPr>
            <w:tcW w:w="3993" w:type="dxa"/>
          </w:tcPr>
          <w:p w14:paraId="5F1FE1F3" w14:textId="77777777" w:rsidR="00F96D83" w:rsidRDefault="00F96D83" w:rsidP="00F96D83">
            <w:pPr>
              <w:pStyle w:val="02Tabletext"/>
            </w:pPr>
            <w:r w:rsidRPr="00B97A55">
              <w:t xml:space="preserve">Dosimetry for three dimensional conformal radiotherapy of level 1 complexity where: </w:t>
            </w:r>
          </w:p>
          <w:p w14:paraId="63AC93A6" w14:textId="6E0E444C" w:rsidR="00F96D83" w:rsidRDefault="00F96D83" w:rsidP="00F96D83">
            <w:pPr>
              <w:pStyle w:val="02Tabletext"/>
            </w:pPr>
            <w:r w:rsidRPr="00B97A55">
              <w:t>(a) dosimetry for a single phase three dimensional conformal treatment plan using</w:t>
            </w:r>
            <w:r>
              <w:t xml:space="preserve"> CT </w:t>
            </w:r>
            <w:r w:rsidRPr="00B97A55">
              <w:t xml:space="preserve">image volume dataset and having a single treatment target volume and organ at risk; and </w:t>
            </w:r>
          </w:p>
          <w:p w14:paraId="3D1D76E5" w14:textId="77777777" w:rsidR="00F96D83" w:rsidRDefault="00F96D83" w:rsidP="00F96D83">
            <w:pPr>
              <w:pStyle w:val="02Tabletext"/>
            </w:pPr>
          </w:p>
          <w:p w14:paraId="18B22CAB" w14:textId="77777777" w:rsidR="00F96D83" w:rsidRDefault="00F96D83" w:rsidP="00F96D83">
            <w:pPr>
              <w:pStyle w:val="02Tabletext"/>
            </w:pPr>
            <w:r w:rsidRPr="00B97A55">
              <w:t>(b) one gross tumour volume or clinical target volume, plus one planning target volume plus at least one relevant organ at risk as defined in the prescription must be rendered as volumes; and</w:t>
            </w:r>
          </w:p>
          <w:p w14:paraId="2E6716D2" w14:textId="77777777" w:rsidR="00F96D83" w:rsidRDefault="00F96D83" w:rsidP="00F96D83">
            <w:pPr>
              <w:pStyle w:val="02Tabletext"/>
            </w:pPr>
          </w:p>
          <w:p w14:paraId="422F8DBF" w14:textId="77777777" w:rsidR="00F96D83" w:rsidRDefault="00F96D83" w:rsidP="00F96D83">
            <w:pPr>
              <w:pStyle w:val="02Tabletext"/>
            </w:pPr>
            <w:r w:rsidRPr="00B97A55">
              <w:t>(c) the organ at risk must be nominated as a planning dose goal or constraint and the prescription must specify the organ at risk dose goal or constraint; and</w:t>
            </w:r>
          </w:p>
          <w:p w14:paraId="43E331C8" w14:textId="77777777" w:rsidR="00F96D83" w:rsidRDefault="00F96D83" w:rsidP="00F96D83">
            <w:pPr>
              <w:pStyle w:val="02Tabletext"/>
            </w:pPr>
          </w:p>
          <w:p w14:paraId="3FCD3FC1" w14:textId="77777777" w:rsidR="00F96D83" w:rsidRDefault="00F96D83" w:rsidP="00F96D83">
            <w:pPr>
              <w:pStyle w:val="02Tabletext"/>
            </w:pPr>
            <w:r w:rsidRPr="00B97A55">
              <w:t>(d) dose volume histograms must be generated, approved and recorded with the plan; and</w:t>
            </w:r>
          </w:p>
          <w:p w14:paraId="7DF9A809" w14:textId="77777777" w:rsidR="00F96D83" w:rsidRDefault="00F96D83" w:rsidP="00F96D83">
            <w:pPr>
              <w:pStyle w:val="02Tabletext"/>
            </w:pPr>
          </w:p>
          <w:p w14:paraId="261D1C6B" w14:textId="77777777" w:rsidR="00F96D83" w:rsidRDefault="00F96D83" w:rsidP="00F96D83">
            <w:pPr>
              <w:pStyle w:val="02Tabletext"/>
            </w:pPr>
            <w:r w:rsidRPr="00B97A55">
              <w:t>(e) a</w:t>
            </w:r>
            <w:r>
              <w:t xml:space="preserve"> CT </w:t>
            </w:r>
            <w:r w:rsidRPr="00B97A55">
              <w:t xml:space="preserve">image volume dataset must be used for the relevant region to be planned and treated; and </w:t>
            </w:r>
          </w:p>
          <w:p w14:paraId="6DB04E10" w14:textId="77777777" w:rsidR="00F96D83" w:rsidRDefault="00F96D83" w:rsidP="00F96D83">
            <w:pPr>
              <w:pStyle w:val="02Tabletext"/>
            </w:pPr>
          </w:p>
          <w:p w14:paraId="19F1C6AD" w14:textId="01302322" w:rsidR="00F96D83" w:rsidRPr="002836EB" w:rsidRDefault="00F96D83" w:rsidP="00F96D83">
            <w:pPr>
              <w:pStyle w:val="02Tabletext"/>
            </w:pPr>
            <w:r w:rsidRPr="00B97A55">
              <w:t>(f) the</w:t>
            </w:r>
            <w:r>
              <w:t xml:space="preserve"> CT </w:t>
            </w:r>
            <w:r w:rsidRPr="00B97A55">
              <w:t>images must be suitable for the generation of quality digitally reconstructed radiographic images</w:t>
            </w:r>
            <w:r>
              <w:t>.</w:t>
            </w:r>
          </w:p>
        </w:tc>
        <w:tc>
          <w:tcPr>
            <w:tcW w:w="1001" w:type="dxa"/>
          </w:tcPr>
          <w:p w14:paraId="6B5FA300" w14:textId="2ED67DBF" w:rsidR="00F96D83" w:rsidRPr="002836EB" w:rsidRDefault="00F96D83" w:rsidP="00F96D83">
            <w:pPr>
              <w:pStyle w:val="02Tabletext"/>
              <w:jc w:val="center"/>
            </w:pPr>
            <w:r w:rsidRPr="00B97A55">
              <w:t xml:space="preserve"> $664.40 </w:t>
            </w:r>
          </w:p>
        </w:tc>
        <w:tc>
          <w:tcPr>
            <w:tcW w:w="1065" w:type="dxa"/>
          </w:tcPr>
          <w:p w14:paraId="4EFD3421" w14:textId="370CE04D" w:rsidR="00F96D83" w:rsidRPr="002836EB" w:rsidRDefault="00F96D83" w:rsidP="00F96D83">
            <w:pPr>
              <w:pStyle w:val="02Tabletext"/>
              <w:jc w:val="center"/>
            </w:pPr>
            <w:r w:rsidRPr="004C0C65">
              <w:t>5,482</w:t>
            </w:r>
          </w:p>
        </w:tc>
        <w:tc>
          <w:tcPr>
            <w:tcW w:w="1094" w:type="dxa"/>
          </w:tcPr>
          <w:p w14:paraId="62C5BD03" w14:textId="6D46E7F2" w:rsidR="00F96D83" w:rsidRPr="002836EB" w:rsidRDefault="00F96D83" w:rsidP="00F96D83">
            <w:pPr>
              <w:pStyle w:val="02Tabletext"/>
              <w:jc w:val="center"/>
            </w:pPr>
            <w:r w:rsidRPr="004C0C65">
              <w:t>$3,731,815</w:t>
            </w:r>
          </w:p>
        </w:tc>
        <w:tc>
          <w:tcPr>
            <w:tcW w:w="1204" w:type="dxa"/>
          </w:tcPr>
          <w:p w14:paraId="56F112ED" w14:textId="490651ED" w:rsidR="00F96D83" w:rsidRPr="002836EB" w:rsidRDefault="00F96D83" w:rsidP="00F96D83">
            <w:pPr>
              <w:pStyle w:val="02Tabletext"/>
              <w:jc w:val="center"/>
              <w:rPr>
                <w:shd w:val="clear" w:color="auto" w:fill="FBFBFB"/>
              </w:rPr>
            </w:pPr>
            <w:r w:rsidRPr="004C0C65">
              <w:t>0.9%</w:t>
            </w:r>
          </w:p>
        </w:tc>
      </w:tr>
      <w:tr w:rsidR="00F96D83" w:rsidRPr="002836EB" w14:paraId="7E771E4E" w14:textId="77777777" w:rsidTr="00A60C83">
        <w:tc>
          <w:tcPr>
            <w:tcW w:w="725" w:type="dxa"/>
          </w:tcPr>
          <w:p w14:paraId="1143A2F1" w14:textId="08882E39" w:rsidR="00F96D83" w:rsidRPr="002836EB" w:rsidRDefault="00F96D83" w:rsidP="00F96D83">
            <w:pPr>
              <w:pStyle w:val="02Tabletext"/>
            </w:pPr>
            <w:r w:rsidRPr="00B97A55">
              <w:t>15559</w:t>
            </w:r>
          </w:p>
        </w:tc>
        <w:tc>
          <w:tcPr>
            <w:tcW w:w="3993" w:type="dxa"/>
          </w:tcPr>
          <w:p w14:paraId="0E5D600F" w14:textId="77777777" w:rsidR="00F96D83" w:rsidRDefault="00F96D83" w:rsidP="00F96D83">
            <w:pPr>
              <w:pStyle w:val="02Tabletext"/>
            </w:pPr>
            <w:r w:rsidRPr="00B97A55">
              <w:t xml:space="preserve">Dosimetry for three dimensional conformal radiotherapy of level 2 complexity where: </w:t>
            </w:r>
          </w:p>
          <w:p w14:paraId="01B45D81" w14:textId="77777777" w:rsidR="00F96D83" w:rsidRDefault="00F96D83" w:rsidP="00F96D83">
            <w:pPr>
              <w:pStyle w:val="02Tabletext"/>
            </w:pPr>
            <w:r w:rsidRPr="00B97A55">
              <w:t>(a) dosimetry for a two phase three dimensional conformal treatment plan using</w:t>
            </w:r>
            <w:r>
              <w:t xml:space="preserve"> CT </w:t>
            </w:r>
            <w:r w:rsidRPr="00B97A55">
              <w:t>image volume dataset(s) with at least one gross tumour volume, two planning target volumes and one organ at risk defined in the prescription; or</w:t>
            </w:r>
          </w:p>
          <w:p w14:paraId="1602D81E" w14:textId="77777777" w:rsidR="00F96D83" w:rsidRDefault="00F96D83" w:rsidP="00F96D83">
            <w:pPr>
              <w:pStyle w:val="02Tabletext"/>
            </w:pPr>
          </w:p>
          <w:p w14:paraId="42D6E4F9" w14:textId="77777777" w:rsidR="00F96D83" w:rsidRDefault="00F96D83" w:rsidP="00F96D83">
            <w:pPr>
              <w:pStyle w:val="02Tabletext"/>
            </w:pPr>
            <w:r w:rsidRPr="00B97A55">
              <w:t>(b) dosimetry for a one phase three dimensional conformal treatment plan using</w:t>
            </w:r>
            <w:r>
              <w:t xml:space="preserve"> CT </w:t>
            </w:r>
            <w:r w:rsidRPr="00B97A55">
              <w:t xml:space="preserve">image volume datasets with at least one gross tumour </w:t>
            </w:r>
            <w:r w:rsidRPr="00B97A55">
              <w:lastRenderedPageBreak/>
              <w:t xml:space="preserve">volume, one planning target volume and two organ at risk dose goals or constraints defined in the prescription; or </w:t>
            </w:r>
          </w:p>
          <w:p w14:paraId="0629AFD9" w14:textId="77777777" w:rsidR="00F96D83" w:rsidRDefault="00F96D83" w:rsidP="00F96D83">
            <w:pPr>
              <w:pStyle w:val="02Tabletext"/>
            </w:pPr>
          </w:p>
          <w:p w14:paraId="6ACEB5BD" w14:textId="613DE1E0" w:rsidR="00F96D83" w:rsidRPr="002836EB" w:rsidRDefault="00F96D83" w:rsidP="00F96D83">
            <w:pPr>
              <w:pStyle w:val="02Tabletext"/>
            </w:pPr>
            <w:r>
              <w:t>(</w:t>
            </w:r>
            <w:r w:rsidRPr="00B97A55">
              <w:t>c) image fusion with a secondary image (</w:t>
            </w:r>
            <w:r>
              <w:t>CT</w:t>
            </w:r>
            <w:r w:rsidRPr="00B97A55">
              <w:t xml:space="preserve">, </w:t>
            </w:r>
            <w:r>
              <w:t>MRI, or PET</w:t>
            </w:r>
            <w:r w:rsidRPr="00B97A55">
              <w:t xml:space="preserve">) volume dataset used to define target and organ at risk volumes in conjunction with and as specified in dosimetry for three dimensional conformal radiotherapy of level 1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w:t>
            </w:r>
            <w:r>
              <w:t xml:space="preserve">A CT </w:t>
            </w:r>
            <w:r w:rsidRPr="00B97A55">
              <w:t>image volume dataset must be used for the relevant region to be planned and treated. The</w:t>
            </w:r>
            <w:r>
              <w:t xml:space="preserve"> CT </w:t>
            </w:r>
            <w:r w:rsidRPr="00B97A55">
              <w:t>images must be suitable for the generation of quality digitally reconstructed radiographic images</w:t>
            </w:r>
            <w:r>
              <w:t>.</w:t>
            </w:r>
          </w:p>
        </w:tc>
        <w:tc>
          <w:tcPr>
            <w:tcW w:w="1001" w:type="dxa"/>
          </w:tcPr>
          <w:p w14:paraId="171F0AB9" w14:textId="27EFE01A" w:rsidR="00F96D83" w:rsidRPr="002836EB" w:rsidRDefault="00F96D83" w:rsidP="00F96D83">
            <w:pPr>
              <w:pStyle w:val="02Tabletext"/>
              <w:jc w:val="center"/>
            </w:pPr>
            <w:r w:rsidRPr="00B97A55">
              <w:lastRenderedPageBreak/>
              <w:t xml:space="preserve"> $866.55 </w:t>
            </w:r>
          </w:p>
        </w:tc>
        <w:tc>
          <w:tcPr>
            <w:tcW w:w="1065" w:type="dxa"/>
          </w:tcPr>
          <w:p w14:paraId="1CEB26D0" w14:textId="17D1D0AF" w:rsidR="00F96D83" w:rsidRPr="002836EB" w:rsidRDefault="00F96D83" w:rsidP="00F96D83">
            <w:pPr>
              <w:pStyle w:val="02Tabletext"/>
              <w:jc w:val="center"/>
            </w:pPr>
            <w:r w:rsidRPr="004C0C65">
              <w:t>5,877</w:t>
            </w:r>
          </w:p>
        </w:tc>
        <w:tc>
          <w:tcPr>
            <w:tcW w:w="1094" w:type="dxa"/>
          </w:tcPr>
          <w:p w14:paraId="043CB79B" w14:textId="08A7992B" w:rsidR="00F96D83" w:rsidRPr="002836EB" w:rsidRDefault="00F96D83" w:rsidP="00F96D83">
            <w:pPr>
              <w:pStyle w:val="02Tabletext"/>
              <w:jc w:val="center"/>
            </w:pPr>
            <w:r w:rsidRPr="004C0C65">
              <w:t>$5,373,359</w:t>
            </w:r>
          </w:p>
        </w:tc>
        <w:tc>
          <w:tcPr>
            <w:tcW w:w="1204" w:type="dxa"/>
          </w:tcPr>
          <w:p w14:paraId="285C7812" w14:textId="75B35266" w:rsidR="00F96D83" w:rsidRPr="002836EB" w:rsidRDefault="00F96D83" w:rsidP="00F96D83">
            <w:pPr>
              <w:pStyle w:val="02Tabletext"/>
              <w:jc w:val="center"/>
              <w:rPr>
                <w:shd w:val="clear" w:color="auto" w:fill="FBFBFB"/>
              </w:rPr>
            </w:pPr>
            <w:r w:rsidRPr="004C0C65">
              <w:t>-1.8%</w:t>
            </w:r>
          </w:p>
        </w:tc>
      </w:tr>
      <w:tr w:rsidR="00F96D83" w:rsidRPr="002836EB" w14:paraId="61EDEFD8" w14:textId="77777777" w:rsidTr="00A60C83">
        <w:tc>
          <w:tcPr>
            <w:tcW w:w="725" w:type="dxa"/>
          </w:tcPr>
          <w:p w14:paraId="3FE6643D" w14:textId="495630CE" w:rsidR="00F96D83" w:rsidRPr="002836EB" w:rsidRDefault="00F96D83" w:rsidP="00F96D83">
            <w:pPr>
              <w:pStyle w:val="02Tabletext"/>
            </w:pPr>
            <w:r w:rsidRPr="00B97A55">
              <w:t>15562</w:t>
            </w:r>
          </w:p>
        </w:tc>
        <w:tc>
          <w:tcPr>
            <w:tcW w:w="3993" w:type="dxa"/>
          </w:tcPr>
          <w:p w14:paraId="5EB18010" w14:textId="2D225AD7" w:rsidR="00F96D83" w:rsidRDefault="00F96D83" w:rsidP="00F96D83">
            <w:pPr>
              <w:pStyle w:val="02Tabletext"/>
            </w:pPr>
            <w:r w:rsidRPr="00B97A55">
              <w:t xml:space="preserve">Dosimetry for three dimensional conformal radiotherapy of level 3 complexity </w:t>
            </w:r>
            <w:r>
              <w:t>–</w:t>
            </w:r>
            <w:r w:rsidRPr="00B97A55">
              <w:t xml:space="preserve"> where: </w:t>
            </w:r>
          </w:p>
          <w:p w14:paraId="18FB2EED" w14:textId="77777777" w:rsidR="00F96D83" w:rsidRDefault="00F96D83" w:rsidP="00F96D83">
            <w:pPr>
              <w:pStyle w:val="02Tabletext"/>
            </w:pPr>
            <w:r w:rsidRPr="00B97A55">
              <w:t>(a) dosimetry for a three or more phase three dimensional conformal treatment plan using</w:t>
            </w:r>
            <w:r>
              <w:t xml:space="preserve"> CT </w:t>
            </w:r>
            <w:r w:rsidRPr="00B97A55">
              <w:t xml:space="preserve">image volume dataset(s) with at least one gross tumour volume, three planning target volumes and one organ at risk defined in the prescription; or </w:t>
            </w:r>
          </w:p>
          <w:p w14:paraId="5EED27B9" w14:textId="77777777" w:rsidR="00F96D83" w:rsidRDefault="00F96D83" w:rsidP="00F96D83">
            <w:pPr>
              <w:pStyle w:val="02Tabletext"/>
            </w:pPr>
          </w:p>
          <w:p w14:paraId="07E08555" w14:textId="77777777" w:rsidR="00F96D83" w:rsidRDefault="00F96D83" w:rsidP="00F96D83">
            <w:pPr>
              <w:pStyle w:val="02Tabletext"/>
            </w:pPr>
            <w:r w:rsidRPr="00B97A55">
              <w:t>(b) dosimetry for a two phase three dimensional conformal treatment plan using</w:t>
            </w:r>
            <w:r>
              <w:t xml:space="preserve"> CT </w:t>
            </w:r>
            <w:r w:rsidRPr="00B97A55">
              <w:t xml:space="preserve">image volume datasets with at least one gross tumour volume, and  </w:t>
            </w:r>
          </w:p>
          <w:p w14:paraId="0CA27E63" w14:textId="2F8D8254" w:rsidR="00F96D83" w:rsidRDefault="00F96D83" w:rsidP="00F96D83">
            <w:pPr>
              <w:pStyle w:val="02Tabletext"/>
            </w:pPr>
            <w:r w:rsidRPr="00B97A55">
              <w:t>(i) two planning target volumes; or</w:t>
            </w:r>
          </w:p>
          <w:p w14:paraId="6DE7610A" w14:textId="5501B9B0" w:rsidR="00F96D83" w:rsidRDefault="00F96D83" w:rsidP="00F96D83">
            <w:pPr>
              <w:pStyle w:val="02Tabletext"/>
            </w:pPr>
            <w:r w:rsidRPr="00B97A55">
              <w:t>(ii) two organ at risk dose goals or constraints defined in the prescription</w:t>
            </w:r>
            <w:r>
              <w:t>,</w:t>
            </w:r>
            <w:r w:rsidRPr="00B97A55">
              <w:t xml:space="preserve"> or </w:t>
            </w:r>
          </w:p>
          <w:p w14:paraId="4B19C923" w14:textId="77777777" w:rsidR="00F96D83" w:rsidRDefault="00F96D83" w:rsidP="00F96D83">
            <w:pPr>
              <w:pStyle w:val="02Tabletext"/>
            </w:pPr>
          </w:p>
          <w:p w14:paraId="3E3D6509" w14:textId="77777777" w:rsidR="00F96D83" w:rsidRDefault="00F96D83" w:rsidP="00F96D83">
            <w:pPr>
              <w:pStyle w:val="02Tabletext"/>
            </w:pPr>
            <w:r w:rsidRPr="00B97A55">
              <w:t>(c) dosimetry for a one phase three dimensional conformal treatment plan using</w:t>
            </w:r>
            <w:r>
              <w:t xml:space="preserve"> CT </w:t>
            </w:r>
            <w:r w:rsidRPr="00B97A55">
              <w:t xml:space="preserve">image volume datasets with at least one gross tumour volume, one planning target volume and three organ at risk dose goals or constraints defined in the prescription; or </w:t>
            </w:r>
          </w:p>
          <w:p w14:paraId="374610E4" w14:textId="77777777" w:rsidR="00F96D83" w:rsidRDefault="00F96D83" w:rsidP="00F96D83">
            <w:pPr>
              <w:pStyle w:val="02Tabletext"/>
            </w:pPr>
          </w:p>
          <w:p w14:paraId="04A05BBE" w14:textId="576997B7" w:rsidR="00F96D83" w:rsidRPr="002836EB" w:rsidRDefault="00F96D83" w:rsidP="00F96D83">
            <w:pPr>
              <w:pStyle w:val="02Tabletext"/>
            </w:pPr>
            <w:r w:rsidRPr="00B97A55">
              <w:t xml:space="preserve">(d) image </w:t>
            </w:r>
            <w:r>
              <w:t>fusion with a secondary image (CT, MRI or PET</w:t>
            </w:r>
            <w:r w:rsidRPr="00B97A55">
              <w:t xml:space="preserve">) volume dataset used to define target and organ at risk volumes in conjunction with and as specified in dosimetry for three dimensional conformal radiotherapy of level 2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w:t>
            </w:r>
            <w:r>
              <w:t xml:space="preserve">A CT </w:t>
            </w:r>
            <w:r w:rsidRPr="00B97A55">
              <w:t xml:space="preserve">image volume dataset must be used for the relevant region to </w:t>
            </w:r>
            <w:r w:rsidRPr="00B97A55">
              <w:lastRenderedPageBreak/>
              <w:t>be planned and treated. The</w:t>
            </w:r>
            <w:r>
              <w:t xml:space="preserve"> CT </w:t>
            </w:r>
            <w:r w:rsidRPr="00B97A55">
              <w:t>images must be suitable for the generation of quality digitally reconstructed radiographic images</w:t>
            </w:r>
            <w:r>
              <w:t>.</w:t>
            </w:r>
          </w:p>
        </w:tc>
        <w:tc>
          <w:tcPr>
            <w:tcW w:w="1001" w:type="dxa"/>
          </w:tcPr>
          <w:p w14:paraId="16EC4ADD" w14:textId="7D4088D8" w:rsidR="00F96D83" w:rsidRPr="002836EB" w:rsidRDefault="00F96D83" w:rsidP="00F96D83">
            <w:pPr>
              <w:pStyle w:val="02Tabletext"/>
              <w:jc w:val="center"/>
            </w:pPr>
            <w:r w:rsidRPr="00B97A55">
              <w:lastRenderedPageBreak/>
              <w:t xml:space="preserve"> $1,120.75 </w:t>
            </w:r>
          </w:p>
        </w:tc>
        <w:tc>
          <w:tcPr>
            <w:tcW w:w="1065" w:type="dxa"/>
          </w:tcPr>
          <w:p w14:paraId="0200B4AA" w14:textId="2EB38F79" w:rsidR="00F96D83" w:rsidRPr="002836EB" w:rsidRDefault="00F96D83" w:rsidP="00F96D83">
            <w:pPr>
              <w:pStyle w:val="02Tabletext"/>
              <w:jc w:val="center"/>
            </w:pPr>
            <w:r w:rsidRPr="009737C5">
              <w:t>5,877</w:t>
            </w:r>
          </w:p>
        </w:tc>
        <w:tc>
          <w:tcPr>
            <w:tcW w:w="1094" w:type="dxa"/>
          </w:tcPr>
          <w:p w14:paraId="701F8FF5" w14:textId="7B6517F8" w:rsidR="00F96D83" w:rsidRPr="002836EB" w:rsidRDefault="00F96D83" w:rsidP="00F96D83">
            <w:pPr>
              <w:pStyle w:val="02Tabletext"/>
            </w:pPr>
            <w:r w:rsidRPr="009737C5">
              <w:t>$5,373,359</w:t>
            </w:r>
          </w:p>
        </w:tc>
        <w:tc>
          <w:tcPr>
            <w:tcW w:w="1204" w:type="dxa"/>
          </w:tcPr>
          <w:p w14:paraId="05E29EAC" w14:textId="18F0A880" w:rsidR="00F96D83" w:rsidRPr="002836EB" w:rsidRDefault="00F96D83" w:rsidP="00F96D83">
            <w:pPr>
              <w:pStyle w:val="02Tabletext"/>
              <w:jc w:val="center"/>
              <w:rPr>
                <w:shd w:val="clear" w:color="auto" w:fill="FBFBFB"/>
              </w:rPr>
            </w:pPr>
            <w:r w:rsidRPr="009737C5">
              <w:t>-1.8%</w:t>
            </w:r>
          </w:p>
        </w:tc>
      </w:tr>
      <w:tr w:rsidR="00C84D99" w:rsidRPr="002836EB" w14:paraId="7492B7AA" w14:textId="77777777" w:rsidTr="00A60C83">
        <w:tc>
          <w:tcPr>
            <w:tcW w:w="725" w:type="dxa"/>
          </w:tcPr>
          <w:p w14:paraId="4D13B42E" w14:textId="63C62E68" w:rsidR="00C84D99" w:rsidRPr="00B97A55" w:rsidRDefault="00C84D99" w:rsidP="00C84D99">
            <w:pPr>
              <w:pStyle w:val="02Tabletext"/>
            </w:pPr>
            <w:r w:rsidRPr="002836EB">
              <w:t>15565</w:t>
            </w:r>
          </w:p>
        </w:tc>
        <w:tc>
          <w:tcPr>
            <w:tcW w:w="3993" w:type="dxa"/>
          </w:tcPr>
          <w:p w14:paraId="44EF2ED6" w14:textId="77777777" w:rsidR="00C84D99" w:rsidRPr="002836EB" w:rsidRDefault="00C84D99" w:rsidP="00C84D99">
            <w:pPr>
              <w:pStyle w:val="02Tabletext"/>
            </w:pPr>
            <w:r w:rsidRPr="002836EB">
              <w:t>Preparation of an IMRT DOSIMETRY PLAN, which uses one or more</w:t>
            </w:r>
            <w:r>
              <w:t xml:space="preserve"> CT </w:t>
            </w:r>
            <w:r w:rsidRPr="002836EB">
              <w:t>image volume datasets, if:</w:t>
            </w:r>
          </w:p>
          <w:p w14:paraId="26E4A687" w14:textId="77777777" w:rsidR="00C84D99" w:rsidRPr="002836EB" w:rsidRDefault="00C84D99" w:rsidP="00C84D99">
            <w:pPr>
              <w:pStyle w:val="02Tabletext"/>
            </w:pPr>
            <w:r w:rsidRPr="002836EB">
              <w:t>(a) in preparing the IMRT dosimetry plan:</w:t>
            </w:r>
          </w:p>
          <w:p w14:paraId="2CD55A44" w14:textId="77777777" w:rsidR="00C84D99" w:rsidRPr="002836EB" w:rsidRDefault="00C84D99" w:rsidP="00C84D99">
            <w:pPr>
              <w:pStyle w:val="02Tabletext"/>
            </w:pPr>
            <w:r w:rsidRPr="002836EB">
              <w:t>(i) the differential between target dose and normal tissue dose is maximised, based on a review and assessment by a Radiation Oncologist; and</w:t>
            </w:r>
          </w:p>
          <w:p w14:paraId="0FF4B8A6" w14:textId="77777777" w:rsidR="00C84D99" w:rsidRPr="002836EB" w:rsidRDefault="00C84D99" w:rsidP="00C84D99">
            <w:pPr>
              <w:pStyle w:val="02Tabletext"/>
            </w:pPr>
            <w:r w:rsidRPr="002836EB">
              <w:t>(ii) all gross tumour targets, clinical targets, planning targets and organs at risk are rendered as volumes as defined in the prescription; and</w:t>
            </w:r>
          </w:p>
          <w:p w14:paraId="3A5C78E5" w14:textId="77777777" w:rsidR="00C84D99" w:rsidRPr="002836EB" w:rsidRDefault="00C84D99" w:rsidP="00C84D99">
            <w:pPr>
              <w:pStyle w:val="02Tabletext"/>
            </w:pPr>
            <w:r w:rsidRPr="002836EB">
              <w:t>(iii) organs at risk are nominated as planning dose goals or constraints and the prescription specifies the organs at risk as dose goals or constraints; and</w:t>
            </w:r>
          </w:p>
          <w:p w14:paraId="0896B2B3" w14:textId="77777777" w:rsidR="00C84D99" w:rsidRPr="002836EB" w:rsidRDefault="00C84D99" w:rsidP="00C84D99">
            <w:pPr>
              <w:pStyle w:val="02Tabletext"/>
            </w:pPr>
            <w:r w:rsidRPr="002836EB">
              <w:t>(iv) dose calculations and dose volume histograms are generated in an inverse planned process, using a specialised calculation algorithm, with prescription and plan details approved and recorded in the plan; and</w:t>
            </w:r>
          </w:p>
          <w:p w14:paraId="185237C6" w14:textId="77777777" w:rsidR="00C84D99" w:rsidRPr="002836EB" w:rsidRDefault="00C84D99" w:rsidP="00C84D99">
            <w:pPr>
              <w:pStyle w:val="02Tabletext"/>
            </w:pPr>
            <w:r w:rsidRPr="002836EB">
              <w:t>(v) a</w:t>
            </w:r>
            <w:r>
              <w:t xml:space="preserve"> CT </w:t>
            </w:r>
            <w:r w:rsidRPr="002836EB">
              <w:t>image volume dataset is used for the relevant region to be planned and treated; and</w:t>
            </w:r>
          </w:p>
          <w:p w14:paraId="253269FE" w14:textId="77777777" w:rsidR="00C84D99" w:rsidRPr="002836EB" w:rsidRDefault="00C84D99" w:rsidP="00C84D99">
            <w:pPr>
              <w:pStyle w:val="02Tabletext"/>
            </w:pPr>
            <w:r w:rsidRPr="002836EB">
              <w:t>(vi) the</w:t>
            </w:r>
            <w:r>
              <w:t xml:space="preserve"> CT </w:t>
            </w:r>
            <w:r w:rsidRPr="002836EB">
              <w:t>images are suitable for the generation of quality digitally reconstructed radiographic images; and</w:t>
            </w:r>
          </w:p>
          <w:p w14:paraId="1A18FE8E" w14:textId="77777777" w:rsidR="00C84D99" w:rsidRDefault="00C84D99" w:rsidP="00C84D99">
            <w:pPr>
              <w:pStyle w:val="02Tabletext"/>
            </w:pPr>
          </w:p>
          <w:p w14:paraId="4BEA59CA" w14:textId="77777777" w:rsidR="00C84D99" w:rsidRPr="002836EB" w:rsidRDefault="00C84D99" w:rsidP="00C84D99">
            <w:pPr>
              <w:pStyle w:val="02Tabletext"/>
            </w:pPr>
            <w:r w:rsidRPr="002836EB">
              <w:t>(b) the final IMRT dosimetry plan is validated by the radiation therapist and the medical physicist, using robust quality assurance processes that include:</w:t>
            </w:r>
          </w:p>
          <w:p w14:paraId="788369CE" w14:textId="77777777" w:rsidR="00C84D99" w:rsidRPr="002836EB" w:rsidRDefault="00C84D99" w:rsidP="00C84D99">
            <w:pPr>
              <w:pStyle w:val="02Tabletext"/>
            </w:pPr>
            <w:r w:rsidRPr="002836EB">
              <w:t>(i) determination of the accuracy of the dose fluence delivered by the multi-leaf collimator and gantry</w:t>
            </w:r>
            <w:r>
              <w:t xml:space="preserve"> </w:t>
            </w:r>
            <w:r w:rsidRPr="002836EB">
              <w:t>position (static or dynamic); and</w:t>
            </w:r>
          </w:p>
          <w:p w14:paraId="647EF25A" w14:textId="77777777" w:rsidR="00C84D99" w:rsidRPr="002836EB" w:rsidRDefault="00C84D99" w:rsidP="00C84D99">
            <w:pPr>
              <w:pStyle w:val="02Tabletext"/>
            </w:pPr>
            <w:r w:rsidRPr="002836EB">
              <w:t>(ii) ensuring that the plan is deliverable, data transfer is acceptable and validation checks are completed on a linear accelerator; and</w:t>
            </w:r>
          </w:p>
          <w:p w14:paraId="752463E6" w14:textId="77777777" w:rsidR="00C84D99" w:rsidRPr="002836EB" w:rsidRDefault="00C84D99" w:rsidP="00C84D99">
            <w:pPr>
              <w:pStyle w:val="02Tabletext"/>
            </w:pPr>
            <w:r w:rsidRPr="002836EB">
              <w:t>(iii) validating the accuracy of the derived IMRT dosimetry plan in a known dosimetric phantom; and</w:t>
            </w:r>
          </w:p>
          <w:p w14:paraId="10195C67" w14:textId="77777777" w:rsidR="00C84D99" w:rsidRPr="002836EB" w:rsidRDefault="00C84D99" w:rsidP="00C84D99">
            <w:pPr>
              <w:pStyle w:val="02Tabletext"/>
            </w:pPr>
            <w:r w:rsidRPr="002836EB">
              <w:t>(iv) determining the accuracy of planned doses in comparison to delivered doses to designated points within the phantom or dosimetry device; and</w:t>
            </w:r>
          </w:p>
          <w:p w14:paraId="37FA99FC" w14:textId="77777777" w:rsidR="00C84D99" w:rsidRPr="002836EB" w:rsidRDefault="00C84D99" w:rsidP="00C84D99">
            <w:pPr>
              <w:pStyle w:val="02Tabletext"/>
            </w:pPr>
          </w:p>
          <w:p w14:paraId="07F4240D" w14:textId="23F225BA" w:rsidR="00C84D99" w:rsidRPr="00B97A55" w:rsidRDefault="00C84D99" w:rsidP="00C84D99">
            <w:pPr>
              <w:pStyle w:val="02Tabletext"/>
            </w:pPr>
            <w:r w:rsidRPr="002836EB">
              <w:t>(c) the final IMRT dosimetry plan is approved by the Radiation Oncologist prior to delivery.</w:t>
            </w:r>
          </w:p>
        </w:tc>
        <w:tc>
          <w:tcPr>
            <w:tcW w:w="1001" w:type="dxa"/>
          </w:tcPr>
          <w:p w14:paraId="3C17CA4F" w14:textId="1B9E077F" w:rsidR="00C84D99" w:rsidRPr="00B97A55" w:rsidRDefault="00C84D99" w:rsidP="00C84D99">
            <w:pPr>
              <w:pStyle w:val="02Tabletext"/>
              <w:jc w:val="center"/>
            </w:pPr>
            <w:r w:rsidRPr="002836EB">
              <w:t>$3,313.85</w:t>
            </w:r>
          </w:p>
        </w:tc>
        <w:tc>
          <w:tcPr>
            <w:tcW w:w="1065" w:type="dxa"/>
          </w:tcPr>
          <w:p w14:paraId="77B90C64" w14:textId="017C6306" w:rsidR="00C84D99" w:rsidRPr="00B97A55" w:rsidRDefault="00C84D99" w:rsidP="00C84D99">
            <w:pPr>
              <w:pStyle w:val="02Tabletext"/>
              <w:jc w:val="center"/>
            </w:pPr>
            <w:r w:rsidRPr="002836EB">
              <w:t>N/A</w:t>
            </w:r>
            <w:r w:rsidRPr="002836EB">
              <w:br/>
              <w:t>(IMRT items introduced in FY 2016)</w:t>
            </w:r>
          </w:p>
        </w:tc>
        <w:tc>
          <w:tcPr>
            <w:tcW w:w="1094" w:type="dxa"/>
          </w:tcPr>
          <w:p w14:paraId="111D546A" w14:textId="4F5C9C6A" w:rsidR="00C84D99" w:rsidRPr="00B97A55" w:rsidRDefault="00C84D99" w:rsidP="00C84D99">
            <w:pPr>
              <w:pStyle w:val="02Tabletext"/>
              <w:jc w:val="center"/>
            </w:pPr>
            <w:r w:rsidRPr="002836EB">
              <w:t>N/A</w:t>
            </w:r>
            <w:r w:rsidRPr="002836EB">
              <w:br/>
              <w:t>(IMRT items introduced in FY 2016)</w:t>
            </w:r>
          </w:p>
        </w:tc>
        <w:tc>
          <w:tcPr>
            <w:tcW w:w="1204" w:type="dxa"/>
          </w:tcPr>
          <w:p w14:paraId="2D3C1231" w14:textId="49765593" w:rsidR="00C84D99" w:rsidRPr="00BB6D74" w:rsidRDefault="00C84D99" w:rsidP="00C84D99">
            <w:pPr>
              <w:pStyle w:val="02Tabletext"/>
              <w:jc w:val="center"/>
            </w:pPr>
            <w:r w:rsidRPr="002836EB">
              <w:t>N/A</w:t>
            </w:r>
            <w:r w:rsidRPr="002836EB">
              <w:br/>
              <w:t>(IMRT items introduced in FY 2016)</w:t>
            </w:r>
          </w:p>
        </w:tc>
      </w:tr>
      <w:tr w:rsidR="00F96D83" w:rsidRPr="002836EB" w14:paraId="395F1380" w14:textId="77777777" w:rsidTr="00A60C83">
        <w:tc>
          <w:tcPr>
            <w:tcW w:w="725" w:type="dxa"/>
          </w:tcPr>
          <w:p w14:paraId="0E9AFC8D" w14:textId="6331DA2A" w:rsidR="00F96D83" w:rsidRPr="002836EB" w:rsidRDefault="00F96D83" w:rsidP="00F96D83">
            <w:pPr>
              <w:pStyle w:val="02Tabletext"/>
            </w:pPr>
            <w:r w:rsidRPr="00B97A55">
              <w:t>15600</w:t>
            </w:r>
          </w:p>
        </w:tc>
        <w:tc>
          <w:tcPr>
            <w:tcW w:w="3993" w:type="dxa"/>
          </w:tcPr>
          <w:p w14:paraId="6AD75AA0" w14:textId="6969EB64" w:rsidR="00F96D83" w:rsidRPr="002836EB" w:rsidRDefault="00F96D83" w:rsidP="00F96D83">
            <w:pPr>
              <w:pStyle w:val="02Tabletext"/>
            </w:pPr>
            <w:r w:rsidRPr="00B97A55">
              <w:t>Stereotactic radiosurgery, including all radiation oncology consultations, planning, simulation, dosimetry and treatment</w:t>
            </w:r>
            <w:r>
              <w:t>.</w:t>
            </w:r>
          </w:p>
        </w:tc>
        <w:tc>
          <w:tcPr>
            <w:tcW w:w="1001" w:type="dxa"/>
          </w:tcPr>
          <w:p w14:paraId="62BCAF2C" w14:textId="1FBE5E91" w:rsidR="00F96D83" w:rsidRPr="002836EB" w:rsidRDefault="00F96D83" w:rsidP="00F96D83">
            <w:pPr>
              <w:pStyle w:val="02Tabletext"/>
              <w:jc w:val="center"/>
            </w:pPr>
            <w:r w:rsidRPr="00B97A55">
              <w:t xml:space="preserve"> $1,702.30 </w:t>
            </w:r>
          </w:p>
        </w:tc>
        <w:tc>
          <w:tcPr>
            <w:tcW w:w="1065" w:type="dxa"/>
          </w:tcPr>
          <w:p w14:paraId="7B991F58" w14:textId="4551A9E3" w:rsidR="00F96D83" w:rsidRPr="002836EB" w:rsidRDefault="00F96D83" w:rsidP="00F96D83">
            <w:pPr>
              <w:pStyle w:val="02Tabletext"/>
              <w:jc w:val="center"/>
            </w:pPr>
            <w:r w:rsidRPr="009737C5">
              <w:t>529</w:t>
            </w:r>
          </w:p>
        </w:tc>
        <w:tc>
          <w:tcPr>
            <w:tcW w:w="1094" w:type="dxa"/>
          </w:tcPr>
          <w:p w14:paraId="3C54768B" w14:textId="4073FC4C" w:rsidR="00F96D83" w:rsidRPr="002836EB" w:rsidRDefault="00F96D83" w:rsidP="00F96D83">
            <w:pPr>
              <w:pStyle w:val="02Tabletext"/>
              <w:jc w:val="center"/>
            </w:pPr>
            <w:r w:rsidRPr="009737C5">
              <w:t>$1,596,750</w:t>
            </w:r>
          </w:p>
        </w:tc>
        <w:tc>
          <w:tcPr>
            <w:tcW w:w="1204" w:type="dxa"/>
          </w:tcPr>
          <w:p w14:paraId="0F548AD7" w14:textId="4CE60923" w:rsidR="00F96D83" w:rsidRPr="002836EB" w:rsidRDefault="00F96D83" w:rsidP="00F96D83">
            <w:pPr>
              <w:pStyle w:val="02Tabletext"/>
              <w:jc w:val="center"/>
              <w:rPr>
                <w:b/>
                <w:shd w:val="clear" w:color="auto" w:fill="FBFBFB"/>
              </w:rPr>
            </w:pPr>
            <w:r w:rsidRPr="009737C5">
              <w:t>18.3%</w:t>
            </w:r>
          </w:p>
        </w:tc>
      </w:tr>
      <w:tr w:rsidR="00F96D83" w:rsidRPr="002836EB" w14:paraId="076446F0" w14:textId="77777777" w:rsidTr="00A60C83">
        <w:tc>
          <w:tcPr>
            <w:tcW w:w="725" w:type="dxa"/>
          </w:tcPr>
          <w:p w14:paraId="3543A28E" w14:textId="37D748BF" w:rsidR="00F96D83" w:rsidRPr="002836EB" w:rsidRDefault="00F96D83" w:rsidP="00F96D83">
            <w:pPr>
              <w:pStyle w:val="02Tabletext"/>
            </w:pPr>
            <w:r w:rsidRPr="00B97A55">
              <w:t>15700</w:t>
            </w:r>
          </w:p>
        </w:tc>
        <w:tc>
          <w:tcPr>
            <w:tcW w:w="3993" w:type="dxa"/>
          </w:tcPr>
          <w:p w14:paraId="7EBFF128" w14:textId="58443C41" w:rsidR="00F96D83" w:rsidRPr="002836EB" w:rsidRDefault="00F96D83" w:rsidP="00F96D83">
            <w:pPr>
              <w:pStyle w:val="02Tabletext"/>
            </w:pPr>
            <w:r w:rsidRPr="00B97A55">
              <w:t xml:space="preserve">Radiation oncology treatment verification </w:t>
            </w:r>
            <w:r>
              <w:t>–</w:t>
            </w:r>
            <w:r w:rsidRPr="00B97A55">
              <w:t xml:space="preserve"> single projection (with single or double exposures) – when prescribed and reviewed by a radiation oncologist and not associated with item 15705 or 15710 </w:t>
            </w:r>
            <w:r>
              <w:t>–</w:t>
            </w:r>
            <w:r w:rsidRPr="00B97A55">
              <w:t xml:space="preserve"> each attendance at which treatment is verified (i.e. maximum one per attendance).</w:t>
            </w:r>
          </w:p>
        </w:tc>
        <w:tc>
          <w:tcPr>
            <w:tcW w:w="1001" w:type="dxa"/>
          </w:tcPr>
          <w:p w14:paraId="249387FD" w14:textId="20746972" w:rsidR="00F96D83" w:rsidRPr="002836EB" w:rsidRDefault="00F96D83" w:rsidP="00F96D83">
            <w:pPr>
              <w:pStyle w:val="02Tabletext"/>
              <w:jc w:val="center"/>
            </w:pPr>
            <w:r w:rsidRPr="00B97A55">
              <w:t xml:space="preserve"> $45.95 </w:t>
            </w:r>
          </w:p>
        </w:tc>
        <w:tc>
          <w:tcPr>
            <w:tcW w:w="1065" w:type="dxa"/>
          </w:tcPr>
          <w:p w14:paraId="4AD4C382" w14:textId="0DFC9173" w:rsidR="00F96D83" w:rsidRPr="002836EB" w:rsidRDefault="00F96D83" w:rsidP="00F96D83">
            <w:pPr>
              <w:pStyle w:val="02Tabletext"/>
              <w:jc w:val="center"/>
            </w:pPr>
            <w:r w:rsidRPr="009737C5">
              <w:t>131,047</w:t>
            </w:r>
          </w:p>
        </w:tc>
        <w:tc>
          <w:tcPr>
            <w:tcW w:w="1094" w:type="dxa"/>
          </w:tcPr>
          <w:p w14:paraId="5F5D40D2" w14:textId="07EDB9BD" w:rsidR="00F96D83" w:rsidRPr="002836EB" w:rsidRDefault="00F96D83" w:rsidP="00F96D83">
            <w:pPr>
              <w:pStyle w:val="02Tabletext"/>
              <w:jc w:val="center"/>
            </w:pPr>
            <w:r w:rsidRPr="009737C5">
              <w:t>$5,827,752</w:t>
            </w:r>
          </w:p>
        </w:tc>
        <w:tc>
          <w:tcPr>
            <w:tcW w:w="1204" w:type="dxa"/>
          </w:tcPr>
          <w:p w14:paraId="178C9607" w14:textId="505DD34D" w:rsidR="00F96D83" w:rsidRPr="002836EB" w:rsidRDefault="00F96D83" w:rsidP="00F96D83">
            <w:pPr>
              <w:pStyle w:val="02Tabletext"/>
              <w:jc w:val="center"/>
              <w:rPr>
                <w:shd w:val="clear" w:color="auto" w:fill="FBFBFB"/>
              </w:rPr>
            </w:pPr>
            <w:r w:rsidRPr="009737C5">
              <w:t>3.5%</w:t>
            </w:r>
          </w:p>
        </w:tc>
      </w:tr>
      <w:tr w:rsidR="00F96D83" w:rsidRPr="002836EB" w14:paraId="18E7F3C7" w14:textId="77777777" w:rsidTr="00A60C83">
        <w:tc>
          <w:tcPr>
            <w:tcW w:w="725" w:type="dxa"/>
          </w:tcPr>
          <w:p w14:paraId="181630AB" w14:textId="7B452C5F" w:rsidR="00F96D83" w:rsidRPr="002836EB" w:rsidRDefault="00F96D83" w:rsidP="00F96D83">
            <w:pPr>
              <w:pStyle w:val="02Tabletext"/>
            </w:pPr>
            <w:r w:rsidRPr="00B97A55">
              <w:lastRenderedPageBreak/>
              <w:t>15705</w:t>
            </w:r>
          </w:p>
        </w:tc>
        <w:tc>
          <w:tcPr>
            <w:tcW w:w="3993" w:type="dxa"/>
          </w:tcPr>
          <w:p w14:paraId="2655CF83" w14:textId="2276EDE9" w:rsidR="00F96D83" w:rsidRPr="002836EB" w:rsidRDefault="00F96D83" w:rsidP="00F96D83">
            <w:pPr>
              <w:pStyle w:val="02Tabletext"/>
            </w:pPr>
            <w:r w:rsidRPr="00B97A55">
              <w:t xml:space="preserve">Radiation oncology treatment verification </w:t>
            </w:r>
            <w:r>
              <w:t>–</w:t>
            </w:r>
            <w:r w:rsidRPr="00B97A55">
              <w:t xml:space="preserve"> multiple projection acquisition when prescribed and reviewed by a radiation oncologist and not associated with item 15700 or 15710 </w:t>
            </w:r>
            <w:r>
              <w:t>–</w:t>
            </w:r>
            <w:r w:rsidRPr="00B97A55">
              <w:t xml:space="preserve"> each attendance at which treatment involving three or more fields is verified (i.e. maximum one per attendance).</w:t>
            </w:r>
          </w:p>
        </w:tc>
        <w:tc>
          <w:tcPr>
            <w:tcW w:w="1001" w:type="dxa"/>
          </w:tcPr>
          <w:p w14:paraId="4506A1B1" w14:textId="2D4D9B67" w:rsidR="00F96D83" w:rsidRPr="002836EB" w:rsidRDefault="00F96D83" w:rsidP="00F96D83">
            <w:pPr>
              <w:pStyle w:val="02Tabletext"/>
              <w:jc w:val="center"/>
            </w:pPr>
            <w:r w:rsidRPr="00B97A55">
              <w:t xml:space="preserve"> $76.60 </w:t>
            </w:r>
          </w:p>
        </w:tc>
        <w:tc>
          <w:tcPr>
            <w:tcW w:w="1065" w:type="dxa"/>
          </w:tcPr>
          <w:p w14:paraId="2A75D99F" w14:textId="60397C0E" w:rsidR="00F96D83" w:rsidRPr="002836EB" w:rsidRDefault="00F96D83" w:rsidP="00F96D83">
            <w:pPr>
              <w:pStyle w:val="02Tabletext"/>
              <w:jc w:val="center"/>
            </w:pPr>
            <w:r w:rsidRPr="009737C5">
              <w:t>324,265</w:t>
            </w:r>
          </w:p>
        </w:tc>
        <w:tc>
          <w:tcPr>
            <w:tcW w:w="1094" w:type="dxa"/>
          </w:tcPr>
          <w:p w14:paraId="062A65D5" w14:textId="2DA528D1" w:rsidR="00F96D83" w:rsidRPr="002836EB" w:rsidRDefault="00F96D83" w:rsidP="00F96D83">
            <w:pPr>
              <w:pStyle w:val="02Tabletext"/>
              <w:jc w:val="center"/>
            </w:pPr>
            <w:r w:rsidRPr="009737C5">
              <w:t>$24,777,152</w:t>
            </w:r>
          </w:p>
        </w:tc>
        <w:tc>
          <w:tcPr>
            <w:tcW w:w="1204" w:type="dxa"/>
          </w:tcPr>
          <w:p w14:paraId="23915148" w14:textId="23DDCE1F" w:rsidR="00F96D83" w:rsidRPr="002836EB" w:rsidRDefault="00F96D83" w:rsidP="00F96D83">
            <w:pPr>
              <w:pStyle w:val="02Tabletext"/>
              <w:jc w:val="center"/>
              <w:rPr>
                <w:shd w:val="clear" w:color="auto" w:fill="FBFBFB"/>
              </w:rPr>
            </w:pPr>
            <w:r w:rsidRPr="009737C5">
              <w:t>4.1%</w:t>
            </w:r>
          </w:p>
        </w:tc>
      </w:tr>
      <w:tr w:rsidR="00F96D83" w:rsidRPr="002836EB" w14:paraId="4127F911" w14:textId="77777777" w:rsidTr="00A60C83">
        <w:tc>
          <w:tcPr>
            <w:tcW w:w="725" w:type="dxa"/>
            <w:tcBorders>
              <w:bottom w:val="single" w:sz="4" w:space="0" w:color="808080" w:themeColor="background1" w:themeShade="80"/>
            </w:tcBorders>
          </w:tcPr>
          <w:p w14:paraId="7ED6D34F" w14:textId="1EE2E68C" w:rsidR="00F96D83" w:rsidRPr="002836EB" w:rsidRDefault="00F96D83" w:rsidP="00F96D83">
            <w:pPr>
              <w:pStyle w:val="02Tabletext"/>
            </w:pPr>
            <w:r w:rsidRPr="00B97A55">
              <w:t>15710</w:t>
            </w:r>
          </w:p>
        </w:tc>
        <w:tc>
          <w:tcPr>
            <w:tcW w:w="3993" w:type="dxa"/>
            <w:tcBorders>
              <w:bottom w:val="single" w:sz="4" w:space="0" w:color="808080" w:themeColor="background1" w:themeShade="80"/>
            </w:tcBorders>
          </w:tcPr>
          <w:p w14:paraId="25667761" w14:textId="7327BE23" w:rsidR="00F96D83" w:rsidRDefault="00F96D83" w:rsidP="00F96D83">
            <w:pPr>
              <w:pStyle w:val="02Tabletext"/>
            </w:pPr>
            <w:r w:rsidRPr="00B97A55">
              <w:t xml:space="preserve">Radiation oncology treatment verification </w:t>
            </w:r>
            <w:r>
              <w:t>–</w:t>
            </w:r>
            <w:r w:rsidRPr="00B97A55">
              <w:t xml:space="preserve"> volumetric acquisition, when prescribed and reviewed by a radiation oncologist and not associated with item 15700 or 15705 – each attendance at which treatment involving three fields or more is verified (i.e. maximum one per attendance).</w:t>
            </w:r>
          </w:p>
          <w:p w14:paraId="1FA38334" w14:textId="77777777" w:rsidR="00F96D83" w:rsidRPr="005A0A8A" w:rsidRDefault="00F96D83" w:rsidP="00F96D83">
            <w:pPr>
              <w:rPr>
                <w:lang w:eastAsia="en-US"/>
              </w:rPr>
            </w:pPr>
          </w:p>
          <w:p w14:paraId="127587A5" w14:textId="648C7AF6" w:rsidR="00F96D83" w:rsidRPr="002836EB" w:rsidRDefault="00F96D83" w:rsidP="00F96D83">
            <w:pPr>
              <w:pStyle w:val="02Tabletext"/>
            </w:pPr>
            <w:r w:rsidRPr="00B97A55">
              <w:t>(</w:t>
            </w:r>
            <w:r>
              <w:t>S</w:t>
            </w:r>
            <w:r w:rsidRPr="00B97A55">
              <w:t>ee para</w:t>
            </w:r>
            <w:r>
              <w:t>graph</w:t>
            </w:r>
            <w:r w:rsidRPr="00B97A55">
              <w:t xml:space="preserve"> t2.5 of explanatory notes </w:t>
            </w:r>
            <w:r>
              <w:t>for</w:t>
            </w:r>
            <w:r w:rsidRPr="00B97A55">
              <w:t xml:space="preserve"> this category</w:t>
            </w:r>
            <w:r>
              <w:t>.</w:t>
            </w:r>
            <w:r w:rsidRPr="00B97A55">
              <w:t>)</w:t>
            </w:r>
          </w:p>
        </w:tc>
        <w:tc>
          <w:tcPr>
            <w:tcW w:w="1001" w:type="dxa"/>
            <w:tcBorders>
              <w:bottom w:val="single" w:sz="4" w:space="0" w:color="808080" w:themeColor="background1" w:themeShade="80"/>
            </w:tcBorders>
          </w:tcPr>
          <w:p w14:paraId="41E187DA" w14:textId="544C7ED8" w:rsidR="00F96D83" w:rsidRPr="002836EB" w:rsidRDefault="00F96D83" w:rsidP="00F96D83">
            <w:pPr>
              <w:pStyle w:val="02Tabletext"/>
              <w:jc w:val="center"/>
            </w:pPr>
            <w:r w:rsidRPr="00B97A55">
              <w:t xml:space="preserve"> $76.60 </w:t>
            </w:r>
          </w:p>
        </w:tc>
        <w:tc>
          <w:tcPr>
            <w:tcW w:w="1065" w:type="dxa"/>
            <w:tcBorders>
              <w:bottom w:val="single" w:sz="4" w:space="0" w:color="808080" w:themeColor="background1" w:themeShade="80"/>
            </w:tcBorders>
          </w:tcPr>
          <w:p w14:paraId="042597E8" w14:textId="226EFB8E" w:rsidR="00F96D83" w:rsidRPr="002836EB" w:rsidRDefault="00F96D83" w:rsidP="00F96D83">
            <w:pPr>
              <w:pStyle w:val="02Tabletext"/>
              <w:jc w:val="center"/>
            </w:pPr>
            <w:r w:rsidRPr="009737C5">
              <w:t>239,682</w:t>
            </w:r>
          </w:p>
        </w:tc>
        <w:tc>
          <w:tcPr>
            <w:tcW w:w="1094" w:type="dxa"/>
            <w:tcBorders>
              <w:bottom w:val="single" w:sz="4" w:space="0" w:color="808080" w:themeColor="background1" w:themeShade="80"/>
            </w:tcBorders>
          </w:tcPr>
          <w:p w14:paraId="31414D5D" w14:textId="41885D8D" w:rsidR="00F96D83" w:rsidRPr="002836EB" w:rsidRDefault="00F96D83" w:rsidP="00F96D83">
            <w:pPr>
              <w:pStyle w:val="02Tabletext"/>
              <w:jc w:val="center"/>
            </w:pPr>
            <w:r w:rsidRPr="009737C5">
              <w:t>$18,458,795</w:t>
            </w:r>
          </w:p>
        </w:tc>
        <w:tc>
          <w:tcPr>
            <w:tcW w:w="1204" w:type="dxa"/>
            <w:tcBorders>
              <w:bottom w:val="single" w:sz="4" w:space="0" w:color="808080" w:themeColor="background1" w:themeShade="80"/>
            </w:tcBorders>
          </w:tcPr>
          <w:p w14:paraId="3141B776" w14:textId="042739B7" w:rsidR="00F96D83" w:rsidRPr="002836EB" w:rsidRDefault="00F96D83" w:rsidP="00F96D83">
            <w:pPr>
              <w:pStyle w:val="02Tabletext"/>
              <w:jc w:val="center"/>
              <w:rPr>
                <w:shd w:val="clear" w:color="auto" w:fill="FBFBFB"/>
              </w:rPr>
            </w:pPr>
            <w:r w:rsidRPr="009737C5">
              <w:t>126.5%</w:t>
            </w:r>
          </w:p>
        </w:tc>
      </w:tr>
      <w:tr w:rsidR="00F96D83" w:rsidRPr="00BB6D74" w14:paraId="3CD998AF" w14:textId="77777777" w:rsidTr="00A60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B4366" w14:textId="77777777" w:rsidR="00F96D83" w:rsidRPr="00B97A55" w:rsidRDefault="00F96D83" w:rsidP="00F96D83">
            <w:pPr>
              <w:pStyle w:val="02Tabletext"/>
            </w:pPr>
            <w:bookmarkStart w:id="150" w:name="_Recommendation_on_restructuring"/>
            <w:bookmarkEnd w:id="150"/>
            <w:r w:rsidRPr="002836EB">
              <w:t>15715</w:t>
            </w:r>
          </w:p>
        </w:tc>
        <w:tc>
          <w:tcPr>
            <w:tcW w:w="3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5461E" w14:textId="77777777" w:rsidR="00F96D83" w:rsidRPr="002836EB" w:rsidRDefault="00F96D83" w:rsidP="00F96D83">
            <w:pPr>
              <w:pStyle w:val="02Tabletext"/>
            </w:pPr>
            <w:r w:rsidRPr="002836EB">
              <w:t>Radiation oncology treatment verification of planar or volumetric IGRT for IMRT, involving the use of at least 2 planar image views or projections or 1 volumetric image set to facilitate a 3-dimensional adjustment to radiation treatment field positioning, if:</w:t>
            </w:r>
          </w:p>
          <w:p w14:paraId="6DFFD13A" w14:textId="77777777" w:rsidR="00F96D83" w:rsidRPr="002836EB" w:rsidRDefault="00F96D83" w:rsidP="00F96D83">
            <w:pPr>
              <w:pStyle w:val="02Tabletext"/>
            </w:pPr>
          </w:p>
          <w:p w14:paraId="0A0A803B" w14:textId="77777777" w:rsidR="00F96D83" w:rsidRPr="002836EB" w:rsidRDefault="00F96D83" w:rsidP="00F96D83">
            <w:pPr>
              <w:pStyle w:val="02Tabletext"/>
            </w:pPr>
            <w:r w:rsidRPr="002836EB">
              <w:t>(a) the treatment technique is classified as IMRT; and</w:t>
            </w:r>
          </w:p>
          <w:p w14:paraId="4FE6091C" w14:textId="77777777" w:rsidR="00F96D83" w:rsidRPr="002836EB" w:rsidRDefault="00F96D83" w:rsidP="00F96D83">
            <w:pPr>
              <w:pStyle w:val="02Tabletext"/>
            </w:pPr>
          </w:p>
          <w:p w14:paraId="46F8616C" w14:textId="77777777" w:rsidR="00F96D83" w:rsidRPr="002836EB" w:rsidRDefault="00F96D83" w:rsidP="00F96D83">
            <w:pPr>
              <w:pStyle w:val="02Tabletext"/>
            </w:pPr>
            <w:r w:rsidRPr="002836EB">
              <w:t>(b) the margins applied to volumes (clinical target volume or planning target volume) are tailored or reduced to minimise treatment related exposure of healthy or normal tissues; and</w:t>
            </w:r>
          </w:p>
          <w:p w14:paraId="41BE3571" w14:textId="77777777" w:rsidR="00F96D83" w:rsidRPr="002836EB" w:rsidRDefault="00F96D83" w:rsidP="00F96D83">
            <w:pPr>
              <w:pStyle w:val="02Tabletext"/>
            </w:pPr>
          </w:p>
          <w:p w14:paraId="3914F549" w14:textId="77777777" w:rsidR="00F96D83" w:rsidRPr="002836EB" w:rsidRDefault="00F96D83" w:rsidP="00F96D83">
            <w:pPr>
              <w:pStyle w:val="02Tabletext"/>
            </w:pPr>
            <w:r w:rsidRPr="002836EB">
              <w:t>(c) the decisions made using acquired images are based on action algorithms and are given effect immediately prior to or during treatment delivery by qualified and trained staff considering complex competing factors and using software driven modelling programs; and</w:t>
            </w:r>
          </w:p>
          <w:p w14:paraId="7412C510" w14:textId="77777777" w:rsidR="00F96D83" w:rsidRPr="002836EB" w:rsidRDefault="00F96D83" w:rsidP="00F96D83">
            <w:pPr>
              <w:pStyle w:val="02Tabletext"/>
            </w:pPr>
          </w:p>
          <w:p w14:paraId="0F1EE4F6" w14:textId="77777777" w:rsidR="00F96D83" w:rsidRPr="002836EB" w:rsidRDefault="00F96D83" w:rsidP="00F96D83">
            <w:pPr>
              <w:pStyle w:val="02Tabletext"/>
            </w:pPr>
            <w:r w:rsidRPr="002836EB">
              <w:t>(d) the radiation treatment field positioning requires accuracy levels of less than 5mm (curative cases) or up to 10mm (palliative cases) to ensure accurate dose delivery to the target; and</w:t>
            </w:r>
          </w:p>
          <w:p w14:paraId="2F426572" w14:textId="77777777" w:rsidR="00F96D83" w:rsidRPr="002836EB" w:rsidRDefault="00F96D83" w:rsidP="00F96D83">
            <w:pPr>
              <w:pStyle w:val="02Tabletext"/>
            </w:pPr>
          </w:p>
          <w:p w14:paraId="213A831C" w14:textId="77777777" w:rsidR="00F96D83" w:rsidRPr="002836EB" w:rsidRDefault="00F96D83" w:rsidP="00F96D83">
            <w:pPr>
              <w:pStyle w:val="02Tabletext"/>
            </w:pPr>
            <w:r w:rsidRPr="002836EB">
              <w:t>(e) the image decisions and actions are documented in the patient’s record; and</w:t>
            </w:r>
          </w:p>
          <w:p w14:paraId="5CC48197" w14:textId="77777777" w:rsidR="00F96D83" w:rsidRPr="002836EB" w:rsidRDefault="00F96D83" w:rsidP="00F96D83">
            <w:pPr>
              <w:pStyle w:val="02Tabletext"/>
            </w:pPr>
          </w:p>
          <w:p w14:paraId="79AC7570" w14:textId="77777777" w:rsidR="00F96D83" w:rsidRPr="002836EB" w:rsidRDefault="00F96D83" w:rsidP="00F96D83">
            <w:pPr>
              <w:pStyle w:val="02Tabletext"/>
            </w:pPr>
            <w:r w:rsidRPr="002836EB">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p w14:paraId="682245FE" w14:textId="77777777" w:rsidR="00F96D83" w:rsidRPr="002836EB" w:rsidRDefault="00F96D83" w:rsidP="00F96D83">
            <w:pPr>
              <w:pStyle w:val="02Tabletext"/>
            </w:pPr>
          </w:p>
          <w:p w14:paraId="05E4084E" w14:textId="77777777" w:rsidR="00F96D83" w:rsidRPr="002836EB" w:rsidRDefault="00F96D83" w:rsidP="00F96D83">
            <w:pPr>
              <w:pStyle w:val="02Tabletext"/>
            </w:pPr>
            <w:r w:rsidRPr="002836EB">
              <w:lastRenderedPageBreak/>
              <w:t>(g) when treatment adjustments are inadequate to satisfy treatment protocol requirements, replanning is required; and</w:t>
            </w:r>
          </w:p>
          <w:p w14:paraId="181F4273" w14:textId="77777777" w:rsidR="00F96D83" w:rsidRPr="002836EB" w:rsidRDefault="00F96D83" w:rsidP="00F96D83">
            <w:pPr>
              <w:pStyle w:val="02Tabletext"/>
            </w:pPr>
          </w:p>
          <w:p w14:paraId="0244EC67" w14:textId="77777777" w:rsidR="00F96D83" w:rsidRPr="00B97A55" w:rsidRDefault="00F96D83" w:rsidP="00F96D83">
            <w:pPr>
              <w:pStyle w:val="02Tabletext"/>
            </w:pPr>
            <w:r w:rsidRPr="002836EB">
              <w:t>(h) the imaging infrastructure (hardware and software) is linked to the treatment unit and networked to an image database, enabling both on line and off line reviews.</w:t>
            </w:r>
          </w:p>
        </w:tc>
        <w:tc>
          <w:tcPr>
            <w:tcW w:w="10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2DEEDB" w14:textId="77777777" w:rsidR="00F96D83" w:rsidRPr="00B97A55" w:rsidRDefault="00F96D83" w:rsidP="00F96D83">
            <w:pPr>
              <w:pStyle w:val="02Tabletext"/>
              <w:jc w:val="center"/>
            </w:pPr>
            <w:r w:rsidRPr="002836EB">
              <w:lastRenderedPageBreak/>
              <w:t>$76.60</w:t>
            </w:r>
          </w:p>
        </w:tc>
        <w:tc>
          <w:tcPr>
            <w:tcW w:w="1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310D51" w14:textId="77777777" w:rsidR="00F96D83" w:rsidRPr="00B97A55" w:rsidRDefault="00F96D83" w:rsidP="00F96D83">
            <w:pPr>
              <w:pStyle w:val="02Tabletext"/>
              <w:jc w:val="center"/>
            </w:pPr>
            <w:r w:rsidRPr="002836EB">
              <w:t>N/A</w:t>
            </w:r>
            <w:r w:rsidRPr="002836EB">
              <w:br/>
              <w:t>(IMRT items introduced in FY 2016)</w:t>
            </w:r>
          </w:p>
        </w:tc>
        <w:tc>
          <w:tcPr>
            <w:tcW w:w="1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D8D164" w14:textId="77777777" w:rsidR="00F96D83" w:rsidRPr="00B97A55" w:rsidRDefault="00F96D83" w:rsidP="00F96D83">
            <w:pPr>
              <w:pStyle w:val="02Tabletext"/>
              <w:jc w:val="center"/>
            </w:pPr>
            <w:r w:rsidRPr="002836EB">
              <w:t>N/A</w:t>
            </w:r>
            <w:r w:rsidRPr="002836EB">
              <w:br/>
              <w:t>(IMRT items introduced in FY 2016)</w:t>
            </w:r>
          </w:p>
        </w:tc>
        <w:tc>
          <w:tcPr>
            <w:tcW w:w="1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5B18F" w14:textId="77777777" w:rsidR="00F96D83" w:rsidRPr="00BB6D74" w:rsidRDefault="00F96D83" w:rsidP="00F96D83">
            <w:pPr>
              <w:pStyle w:val="02Tabletext"/>
              <w:jc w:val="center"/>
            </w:pPr>
            <w:r w:rsidRPr="002836EB">
              <w:t>N/A</w:t>
            </w:r>
            <w:r w:rsidRPr="002836EB">
              <w:br/>
              <w:t>(IMRT items introduced in FY 2016)</w:t>
            </w:r>
          </w:p>
        </w:tc>
      </w:tr>
    </w:tbl>
    <w:p w14:paraId="658908D9" w14:textId="77777777" w:rsidR="00A60C83" w:rsidRDefault="00A60C83" w:rsidP="00DE1A53">
      <w:pPr>
        <w:spacing w:before="0"/>
        <w:rPr>
          <w:color w:val="000000"/>
          <w:sz w:val="18"/>
          <w:szCs w:val="18"/>
        </w:rPr>
      </w:pPr>
      <w:bookmarkStart w:id="151" w:name="_Toc468647480"/>
      <w:bookmarkStart w:id="152" w:name="_Ref463918890"/>
      <w:r>
        <w:rPr>
          <w:color w:val="000000"/>
          <w:sz w:val="18"/>
          <w:szCs w:val="18"/>
        </w:rPr>
        <w:t>Public data (Department of Human Services).</w:t>
      </w:r>
    </w:p>
    <w:p w14:paraId="6D0CD6D7" w14:textId="56A73AB6" w:rsidR="007714B1" w:rsidRDefault="007714B1" w:rsidP="00EB1FE7">
      <w:pPr>
        <w:pStyle w:val="TableUnderLast"/>
        <w:spacing w:after="0"/>
      </w:pPr>
      <w:r>
        <w:t>Note: N/A means not applicable.</w:t>
      </w:r>
      <w:r w:rsidR="00EB1FE7" w:rsidRPr="00EB1FE7">
        <w:t xml:space="preserve"> </w:t>
      </w:r>
      <w:r w:rsidR="00EB1FE7">
        <w:t>In 2013-14 a total of 1,764,824 radiation oncology services were rendered, totalling $296,927,532.38 in benefits, of which 13.9 per cent was paid through the Medicare safety nets. In 2014-15 a total of 1,931,537 radiation oncology services were rendered, totalling $339,784,784.74 in benefits of which 16.6 per cent was paid through the Medicare safety nets.</w:t>
      </w:r>
    </w:p>
    <w:p w14:paraId="15342234" w14:textId="77777777" w:rsidR="007714B1" w:rsidRPr="00D818DC" w:rsidRDefault="007714B1" w:rsidP="007714B1">
      <w:pPr>
        <w:pStyle w:val="TableUnderLast"/>
      </w:pPr>
    </w:p>
    <w:p w14:paraId="663E80C3" w14:textId="47A1B476" w:rsidR="00BD1ED6" w:rsidRPr="002836EB" w:rsidRDefault="00BD1ED6" w:rsidP="00BD1ED6">
      <w:pPr>
        <w:pStyle w:val="Heading3"/>
        <w:rPr>
          <w:lang w:val="en-GB"/>
        </w:rPr>
      </w:pPr>
      <w:bookmarkStart w:id="153" w:name="_Recommendation_on_restructuring_1"/>
      <w:bookmarkStart w:id="154" w:name="_Toc479082786"/>
      <w:bookmarkEnd w:id="153"/>
      <w:r w:rsidRPr="002836EB">
        <w:rPr>
          <w:lang w:val="en-GB"/>
        </w:rPr>
        <w:t>Recommendation on restructuring into a two-part payment model, tiered by complexity</w:t>
      </w:r>
      <w:bookmarkEnd w:id="151"/>
      <w:bookmarkEnd w:id="154"/>
    </w:p>
    <w:p w14:paraId="5224A796" w14:textId="6175B71A" w:rsidR="00537CC8" w:rsidRDefault="00537CC8" w:rsidP="00537CC8">
      <w:pPr>
        <w:pStyle w:val="Boldhdg"/>
      </w:pPr>
      <w:bookmarkStart w:id="155" w:name="_Ref467446478"/>
      <w:r>
        <w:t xml:space="preserve">Recommendation </w:t>
      </w:r>
      <w:r>
        <w:fldChar w:fldCharType="begin"/>
      </w:r>
      <w:r>
        <w:instrText xml:space="preserve"> SEQ Recommendation \* ARABIC </w:instrText>
      </w:r>
      <w:r>
        <w:fldChar w:fldCharType="separate"/>
      </w:r>
      <w:r w:rsidR="003274EF">
        <w:rPr>
          <w:noProof/>
        </w:rPr>
        <w:t>3</w:t>
      </w:r>
      <w:r>
        <w:fldChar w:fldCharType="end"/>
      </w:r>
      <w:bookmarkEnd w:id="155"/>
    </w:p>
    <w:p w14:paraId="29A2C860" w14:textId="76897784" w:rsidR="00AE2153" w:rsidRPr="002836EB" w:rsidRDefault="00083B09" w:rsidP="009A043A">
      <w:pPr>
        <w:pStyle w:val="01squarebullet"/>
        <w:rPr>
          <w:lang w:val="en-GB"/>
        </w:rPr>
      </w:pPr>
      <w:r w:rsidRPr="002836EB">
        <w:rPr>
          <w:lang w:val="en-GB"/>
        </w:rPr>
        <w:t>Restructure megavoltage items into a two-part payment model</w:t>
      </w:r>
      <w:r w:rsidR="00D40830">
        <w:rPr>
          <w:lang w:val="en-GB"/>
        </w:rPr>
        <w:t>,</w:t>
      </w:r>
      <w:r w:rsidRPr="002836EB">
        <w:rPr>
          <w:lang w:val="en-GB"/>
        </w:rPr>
        <w:t xml:space="preserve"> tiered by complexity level</w:t>
      </w:r>
      <w:r w:rsidR="009B0D7E" w:rsidRPr="002836EB">
        <w:rPr>
          <w:lang w:val="en-GB"/>
        </w:rPr>
        <w:t>:</w:t>
      </w:r>
      <w:r w:rsidRPr="002836EB">
        <w:rPr>
          <w:lang w:val="en-GB"/>
        </w:rPr>
        <w:t xml:space="preserve"> a planning part</w:t>
      </w:r>
      <w:r w:rsidR="009B0D7E" w:rsidRPr="002836EB">
        <w:rPr>
          <w:lang w:val="en-GB"/>
        </w:rPr>
        <w:t xml:space="preserve">, </w:t>
      </w:r>
      <w:r w:rsidRPr="002836EB">
        <w:rPr>
          <w:lang w:val="en-GB"/>
        </w:rPr>
        <w:t>covering simulation, dosimetry, voluming and quality</w:t>
      </w:r>
      <w:r w:rsidR="000C7C41" w:rsidRPr="002836EB">
        <w:rPr>
          <w:lang w:val="en-GB"/>
        </w:rPr>
        <w:t xml:space="preserve"> </w:t>
      </w:r>
      <w:r w:rsidRPr="002836EB">
        <w:rPr>
          <w:lang w:val="en-GB"/>
        </w:rPr>
        <w:t>assurance activities</w:t>
      </w:r>
      <w:r w:rsidR="00AE3040" w:rsidRPr="002836EB">
        <w:rPr>
          <w:lang w:val="en-GB"/>
        </w:rPr>
        <w:t xml:space="preserve">; </w:t>
      </w:r>
      <w:r w:rsidRPr="002836EB">
        <w:rPr>
          <w:lang w:val="en-GB"/>
        </w:rPr>
        <w:t>and a treatment part</w:t>
      </w:r>
      <w:r w:rsidR="009B5164" w:rsidRPr="002836EB">
        <w:rPr>
          <w:lang w:val="en-GB"/>
        </w:rPr>
        <w:t xml:space="preserve">, </w:t>
      </w:r>
      <w:r w:rsidRPr="002836EB">
        <w:rPr>
          <w:lang w:val="en-GB"/>
        </w:rPr>
        <w:t>covering treatment and verification activities</w:t>
      </w:r>
      <w:r w:rsidR="0040604D" w:rsidRPr="002836EB">
        <w:rPr>
          <w:lang w:val="en-GB"/>
        </w:rPr>
        <w:t>.</w:t>
      </w:r>
      <w:r w:rsidRPr="002836EB">
        <w:rPr>
          <w:lang w:val="en-GB"/>
        </w:rPr>
        <w:t xml:space="preserve"> </w:t>
      </w:r>
      <w:r w:rsidR="0040604D" w:rsidRPr="002836EB">
        <w:rPr>
          <w:lang w:val="en-GB"/>
        </w:rPr>
        <w:t>These items are</w:t>
      </w:r>
      <w:r w:rsidRPr="002836EB">
        <w:rPr>
          <w:lang w:val="en-GB"/>
        </w:rPr>
        <w:t xml:space="preserve"> payable on a per-fraction basis. </w:t>
      </w:r>
    </w:p>
    <w:p w14:paraId="1F5E3378" w14:textId="64EDE191" w:rsidR="00FE1092" w:rsidRPr="002836EB" w:rsidRDefault="00FE1092" w:rsidP="00AE2153">
      <w:pPr>
        <w:pStyle w:val="01squarebullet"/>
        <w:numPr>
          <w:ilvl w:val="0"/>
          <w:numId w:val="0"/>
        </w:numPr>
        <w:ind w:left="360"/>
        <w:rPr>
          <w:lang w:val="en-GB"/>
        </w:rPr>
      </w:pPr>
      <w:r w:rsidRPr="002836EB">
        <w:rPr>
          <w:lang w:val="en-GB"/>
        </w:rPr>
        <w:t>The proposed item descriptors and explanatory notes are outlined below.</w:t>
      </w:r>
    </w:p>
    <w:p w14:paraId="47397533" w14:textId="46550679" w:rsidR="00AE2153" w:rsidRPr="002836EB" w:rsidRDefault="00414838" w:rsidP="00AE2153">
      <w:pPr>
        <w:pStyle w:val="Item"/>
      </w:pPr>
      <w:r>
        <w:t>Item 15X11:</w:t>
      </w:r>
    </w:p>
    <w:p w14:paraId="4EC10667" w14:textId="6333F5A2" w:rsidR="001E79F7" w:rsidRDefault="004A7174" w:rsidP="00AE2153">
      <w:r w:rsidRPr="002836EB">
        <w:t xml:space="preserve">Megavoltage </w:t>
      </w:r>
      <w:r w:rsidR="00FF0580" w:rsidRPr="002836EB">
        <w:t>Level 1.1</w:t>
      </w:r>
      <w:r w:rsidR="007039BB">
        <w:t xml:space="preserve"> </w:t>
      </w:r>
      <w:r w:rsidR="00223139" w:rsidRPr="002836EB">
        <w:t>–</w:t>
      </w:r>
      <w:r w:rsidR="00FF0580" w:rsidRPr="002836EB">
        <w:t xml:space="preserve"> Simple</w:t>
      </w:r>
      <w:r w:rsidR="007039BB">
        <w:t xml:space="preserve"> </w:t>
      </w:r>
      <w:r w:rsidR="007039BB" w:rsidRPr="002836EB">
        <w:t xml:space="preserve">Complexity </w:t>
      </w:r>
      <w:r w:rsidR="007039BB">
        <w:t>S</w:t>
      </w:r>
      <w:r w:rsidR="00FF0580" w:rsidRPr="002836EB">
        <w:t>ingle Field Simulation &amp; Planning</w:t>
      </w:r>
    </w:p>
    <w:p w14:paraId="53AAAAAF" w14:textId="41AA130F" w:rsidR="001E79F7" w:rsidRPr="001E79F7" w:rsidRDefault="001E79F7" w:rsidP="0040464E">
      <w:pPr>
        <w:pStyle w:val="Itembulletlevel1"/>
        <w:rPr>
          <w:lang w:val="en-GB"/>
        </w:rPr>
      </w:pPr>
      <w:r w:rsidRPr="001E79F7">
        <w:t xml:space="preserve">Simulation for SIMPLE SINGLE FIELD radiation therapy </w:t>
      </w:r>
      <w:r w:rsidR="00C452F0">
        <w:t>to</w:t>
      </w:r>
      <w:r w:rsidRPr="001E79F7">
        <w:t xml:space="preserve"> one or two sites if:</w:t>
      </w:r>
    </w:p>
    <w:p w14:paraId="70F44099" w14:textId="52DDEF45" w:rsidR="0040464E" w:rsidRDefault="009D3C2A" w:rsidP="0040464E">
      <w:pPr>
        <w:pStyle w:val="Itembulletlevel2"/>
      </w:pPr>
      <w:r>
        <w:t>L</w:t>
      </w:r>
      <w:r w:rsidR="0040464E">
        <w:t>ocalisation is based on clinical mark-up and image-based simulation is not required; and</w:t>
      </w:r>
    </w:p>
    <w:p w14:paraId="6F8B723E" w14:textId="273104E2" w:rsidR="001E79F7" w:rsidRDefault="00930E53" w:rsidP="0040464E">
      <w:pPr>
        <w:pStyle w:val="Itembulletlevel2"/>
      </w:pPr>
      <w:r>
        <w:t>P</w:t>
      </w:r>
      <w:r w:rsidR="0040464E">
        <w:t>atient set-up and immobilisation techniques are suitable for two dimensional radiation therapy treatment, with wide mar</w:t>
      </w:r>
      <w:r w:rsidR="00564F9E">
        <w:t>gins and allowance for movement; and</w:t>
      </w:r>
    </w:p>
    <w:p w14:paraId="52FC05E7" w14:textId="3CE2354D" w:rsidR="009249CC" w:rsidRPr="00C74395" w:rsidRDefault="009249CC" w:rsidP="009249CC">
      <w:pPr>
        <w:pStyle w:val="Itembulletlevel1"/>
      </w:pPr>
      <w:r w:rsidRPr="00C74395">
        <w:t>Dosimetry for simple single field radi</w:t>
      </w:r>
      <w:r>
        <w:t>ation t</w:t>
      </w:r>
      <w:r w:rsidRPr="00C74395">
        <w:t xml:space="preserve">herapy </w:t>
      </w:r>
      <w:r w:rsidR="00B00138">
        <w:t>to</w:t>
      </w:r>
      <w:r>
        <w:t xml:space="preserve"> one or two sites if:</w:t>
      </w:r>
    </w:p>
    <w:p w14:paraId="1E312F83" w14:textId="1E950B46" w:rsidR="009249CC" w:rsidRDefault="008729B6" w:rsidP="009249CC">
      <w:pPr>
        <w:pStyle w:val="Itembulletlevel2"/>
      </w:pPr>
      <w:r>
        <w:t>T</w:t>
      </w:r>
      <w:r w:rsidR="009249CC">
        <w:t xml:space="preserve">he planning process is required to deliver a prescribed dose to a point, either at depth or on the surface of the patient; and </w:t>
      </w:r>
    </w:p>
    <w:p w14:paraId="5FF86C09" w14:textId="56DE469C" w:rsidR="009249CC" w:rsidRDefault="00C16EB9" w:rsidP="009249CC">
      <w:pPr>
        <w:pStyle w:val="Itembulletlevel2"/>
      </w:pPr>
      <w:r>
        <w:t>T</w:t>
      </w:r>
      <w:r w:rsidR="009249CC">
        <w:t>he planning process does not require the differential of dose between target, organs at risk and normal tissue dose, based on review and assessment by the radiation oncologist; and</w:t>
      </w:r>
    </w:p>
    <w:p w14:paraId="58557EFE" w14:textId="2847A1C5" w:rsidR="009249CC" w:rsidRDefault="00C16EB9" w:rsidP="009249CC">
      <w:pPr>
        <w:pStyle w:val="Itembulletlevel2"/>
      </w:pPr>
      <w:r>
        <w:t>D</w:t>
      </w:r>
      <w:r w:rsidR="009249CC">
        <w:t>elineation of structures is not possible or required, and field borders will delineate the treatment volume; and</w:t>
      </w:r>
    </w:p>
    <w:p w14:paraId="62F5BB6D" w14:textId="5F15C6E6" w:rsidR="009249CC" w:rsidRDefault="00C16EB9" w:rsidP="009249CC">
      <w:pPr>
        <w:pStyle w:val="Itembulletlevel2"/>
      </w:pPr>
      <w:r>
        <w:t>D</w:t>
      </w:r>
      <w:r w:rsidR="009249CC">
        <w:t>ose calculations are performed in reference to surface or a point at depth from tables, charts or data from a treatment planning system (with the calculation referencing the prescription and demonstrating the relationship between the daily monitor units and prescription, and all calculations being approved and recorded with the plan); and</w:t>
      </w:r>
    </w:p>
    <w:p w14:paraId="082426AF" w14:textId="617C5891" w:rsidR="009249CC" w:rsidRDefault="00284544" w:rsidP="009249CC">
      <w:pPr>
        <w:pStyle w:val="Itembulletlevel2"/>
      </w:pPr>
      <w:r>
        <w:lastRenderedPageBreak/>
        <w:t>T</w:t>
      </w:r>
      <w:r w:rsidR="009249CC">
        <w:t>he final dosimetry plan is validated by radiation therapists, using robust quality assurance processes, with the plan approved by the radiation oncologist prior to delivery, which must include ensuring the plan is deliverable, data transfer is acceptable and validation checks are completed on a linear accelerator; and</w:t>
      </w:r>
    </w:p>
    <w:p w14:paraId="6DECB222" w14:textId="7A5EABE8" w:rsidR="009249CC" w:rsidRDefault="00D86116" w:rsidP="009249CC">
      <w:pPr>
        <w:pStyle w:val="Itembulletlevel2"/>
      </w:pPr>
      <w:r>
        <w:t>T</w:t>
      </w:r>
      <w:r w:rsidR="00190B25">
        <w:t xml:space="preserve">reatment verification images can be taken, but are </w:t>
      </w:r>
      <w:r w:rsidR="009249CC">
        <w:t>no</w:t>
      </w:r>
      <w:r w:rsidR="00190B25">
        <w:t xml:space="preserve">t payable </w:t>
      </w:r>
      <w:r w:rsidR="009249CC">
        <w:t>through the MBS.</w:t>
      </w:r>
    </w:p>
    <w:p w14:paraId="10016FEA" w14:textId="77777777" w:rsidR="00AE2153" w:rsidRPr="00A02B5F" w:rsidRDefault="00FF0580" w:rsidP="00AE2153">
      <w:pPr>
        <w:pStyle w:val="Item"/>
      </w:pPr>
      <w:r w:rsidRPr="00A02B5F">
        <w:t xml:space="preserve">Item 15Y11: </w:t>
      </w:r>
    </w:p>
    <w:p w14:paraId="35C79F8F" w14:textId="02005E72" w:rsidR="00FF0580" w:rsidRPr="00A02B5F" w:rsidRDefault="00FF0580" w:rsidP="00AE2153">
      <w:r w:rsidRPr="00A02B5F">
        <w:t xml:space="preserve">Megavoltage Level 1.1 </w:t>
      </w:r>
      <w:r w:rsidR="007039BB">
        <w:t xml:space="preserve">– Simple </w:t>
      </w:r>
      <w:r w:rsidR="00596EAD">
        <w:t>Complexity</w:t>
      </w:r>
      <w:r w:rsidR="007039BB">
        <w:t xml:space="preserve"> </w:t>
      </w:r>
      <w:r w:rsidRPr="00A02B5F">
        <w:t>Single Field Treatment</w:t>
      </w:r>
    </w:p>
    <w:p w14:paraId="44636252" w14:textId="7B84DB40" w:rsidR="00A02B5F" w:rsidRPr="00A02B5F" w:rsidRDefault="00A02B5F" w:rsidP="00A02B5F">
      <w:r w:rsidRPr="00A02B5F">
        <w:t>Radiation therapy for simple, SINGLE FIELD treatment, using a device approved by the Therapeutic Goods Administration if:</w:t>
      </w:r>
    </w:p>
    <w:p w14:paraId="57628205" w14:textId="1CF5DF71" w:rsidR="00A02B5F" w:rsidRDefault="00502EF4" w:rsidP="00F95A14">
      <w:pPr>
        <w:pStyle w:val="Itembulletlevel1"/>
        <w:numPr>
          <w:ilvl w:val="0"/>
          <w:numId w:val="27"/>
        </w:numPr>
      </w:pPr>
      <w:r>
        <w:t>T</w:t>
      </w:r>
      <w:r w:rsidR="00BA1723">
        <w:t>reatment is delivered with</w:t>
      </w:r>
      <w:r w:rsidR="00A02B5F">
        <w:t xml:space="preserve"> a one dimensional plan, prepared in accordance with item 15X11; and </w:t>
      </w:r>
    </w:p>
    <w:p w14:paraId="7922DEAB" w14:textId="1F89A4C8" w:rsidR="00A02B5F" w:rsidRDefault="00502EF4" w:rsidP="00F95A14">
      <w:pPr>
        <w:pStyle w:val="Itembulletlevel1"/>
        <w:numPr>
          <w:ilvl w:val="0"/>
          <w:numId w:val="27"/>
        </w:numPr>
      </w:pPr>
      <w:r>
        <w:t>A</w:t>
      </w:r>
      <w:r w:rsidR="00A02B5F">
        <w:t xml:space="preserve"> two dimensional single-field treatment delivery mode is utilised; and </w:t>
      </w:r>
    </w:p>
    <w:p w14:paraId="46E621B4" w14:textId="6EE11C24" w:rsidR="00414838" w:rsidRDefault="00502EF4" w:rsidP="00F95A14">
      <w:pPr>
        <w:pStyle w:val="Itembulletlevel1"/>
        <w:numPr>
          <w:ilvl w:val="0"/>
          <w:numId w:val="27"/>
        </w:numPr>
      </w:pPr>
      <w:r>
        <w:t>P</w:t>
      </w:r>
      <w:r w:rsidR="00A02B5F">
        <w:t xml:space="preserve">ayable once only </w:t>
      </w:r>
      <w:r w:rsidR="00A43FF4">
        <w:t xml:space="preserve">for </w:t>
      </w:r>
      <w:r w:rsidR="00A02B5F">
        <w:t xml:space="preserve">each attendance at which treatment is given, with </w:t>
      </w:r>
      <w:r w:rsidR="00755DF7">
        <w:t xml:space="preserve">two attendances </w:t>
      </w:r>
      <w:r w:rsidR="008D3162">
        <w:t xml:space="preserve">payable </w:t>
      </w:r>
      <w:r w:rsidR="000428A5">
        <w:t>only</w:t>
      </w:r>
      <w:r w:rsidR="00755DF7">
        <w:t xml:space="preserve"> if another site is located in a different organ/part of the body and requires treatment on the same day, with </w:t>
      </w:r>
      <w:r w:rsidR="00A02B5F">
        <w:t>no treatment verification or dosimetry re-planning/adaptive strategy payable through the MBS.</w:t>
      </w:r>
    </w:p>
    <w:p w14:paraId="77570FF3" w14:textId="77777777" w:rsidR="00B8722D" w:rsidRPr="002836EB" w:rsidRDefault="00FF0580" w:rsidP="00B8722D">
      <w:pPr>
        <w:pStyle w:val="Item"/>
      </w:pPr>
      <w:r w:rsidRPr="002836EB">
        <w:t>Item 15X12:</w:t>
      </w:r>
    </w:p>
    <w:p w14:paraId="40CE6B80" w14:textId="1CE81BB1" w:rsidR="00FF0580" w:rsidRPr="002836EB" w:rsidRDefault="004A7174" w:rsidP="00B8722D">
      <w:r w:rsidRPr="002836EB">
        <w:t xml:space="preserve">Megavoltage </w:t>
      </w:r>
      <w:r w:rsidR="00FF0580" w:rsidRPr="002836EB">
        <w:t xml:space="preserve">Level 1.2 </w:t>
      </w:r>
      <w:r w:rsidR="007039BB">
        <w:t xml:space="preserve">– Simple </w:t>
      </w:r>
      <w:r w:rsidR="00596EAD">
        <w:t>Complexity</w:t>
      </w:r>
      <w:r w:rsidR="007039BB">
        <w:t xml:space="preserve"> </w:t>
      </w:r>
      <w:r w:rsidR="00FF0580" w:rsidRPr="002836EB">
        <w:t>Multiple Field Simulation &amp; Planning</w:t>
      </w:r>
    </w:p>
    <w:p w14:paraId="14764106" w14:textId="4CA32DB7" w:rsidR="00484F30" w:rsidRPr="00484F30" w:rsidRDefault="00484F30" w:rsidP="00F95A14">
      <w:pPr>
        <w:pStyle w:val="Itembulletlevel1"/>
        <w:numPr>
          <w:ilvl w:val="0"/>
          <w:numId w:val="18"/>
        </w:numPr>
        <w:rPr>
          <w:lang w:val="en-GB"/>
        </w:rPr>
      </w:pPr>
      <w:r w:rsidRPr="00484F30">
        <w:rPr>
          <w:lang w:val="en-GB"/>
        </w:rPr>
        <w:t xml:space="preserve">Simulation for SIMPLE MULTIPLE FIELD radiation therapy </w:t>
      </w:r>
      <w:r w:rsidR="000155CE">
        <w:rPr>
          <w:lang w:val="en-GB"/>
        </w:rPr>
        <w:t>to</w:t>
      </w:r>
      <w:r w:rsidRPr="00484F30">
        <w:rPr>
          <w:lang w:val="en-GB"/>
        </w:rPr>
        <w:t xml:space="preserve"> two or more sites if:</w:t>
      </w:r>
    </w:p>
    <w:p w14:paraId="17A944BF" w14:textId="0C150BF7" w:rsidR="00484F30" w:rsidRPr="00484F30" w:rsidRDefault="00D62090" w:rsidP="00484F30">
      <w:pPr>
        <w:pStyle w:val="Itembulletlevel2"/>
      </w:pPr>
      <w:r>
        <w:t>T</w:t>
      </w:r>
      <w:r w:rsidR="00484F30" w:rsidRPr="00484F30">
        <w:t xml:space="preserve">reatment set-up and technique specifications are in preparation for two dimensional radiation therapy dose planning; and </w:t>
      </w:r>
    </w:p>
    <w:p w14:paraId="2E82E542" w14:textId="1E78CD49" w:rsidR="00484F30" w:rsidRDefault="00D62090" w:rsidP="001911BC">
      <w:pPr>
        <w:pStyle w:val="Itembulletlevel2"/>
      </w:pPr>
      <w:r>
        <w:t>P</w:t>
      </w:r>
      <w:r w:rsidR="00484F30" w:rsidRPr="00484F30">
        <w:t xml:space="preserve">atient set-up and immobilisation techniques are suitable for two dimensional radiation therapy treatment where interfraction reproducibility is required; and </w:t>
      </w:r>
    </w:p>
    <w:p w14:paraId="55B21764" w14:textId="1B683919" w:rsidR="00484F30" w:rsidRPr="00484F30" w:rsidRDefault="00D62090" w:rsidP="001911BC">
      <w:pPr>
        <w:pStyle w:val="Itembulletlevel2"/>
      </w:pPr>
      <w:r>
        <w:t>O</w:t>
      </w:r>
      <w:r w:rsidR="00484F30" w:rsidRPr="00484F30">
        <w:t>rthogonal or computed tomography-based image datasets must be acquired for the relevant region of interest to be planned, treated and verified (through weekly planar or volume</w:t>
      </w:r>
      <w:r w:rsidR="00564F9E">
        <w:t>tric image guidance strategies); and</w:t>
      </w:r>
    </w:p>
    <w:p w14:paraId="4CE4981F" w14:textId="3AD029D0" w:rsidR="00484F30" w:rsidRDefault="00484F30" w:rsidP="00484F30">
      <w:pPr>
        <w:pStyle w:val="Itembulletlevel1"/>
      </w:pPr>
      <w:r>
        <w:t xml:space="preserve">Dosimetry for simple multiple field radiation therapy </w:t>
      </w:r>
      <w:r w:rsidR="00D94A15">
        <w:t>to</w:t>
      </w:r>
      <w:r>
        <w:t xml:space="preserve"> two or more sites if:</w:t>
      </w:r>
    </w:p>
    <w:p w14:paraId="7E7E190F" w14:textId="086323D1" w:rsidR="00484F30" w:rsidRDefault="00D62090" w:rsidP="00484F30">
      <w:pPr>
        <w:pStyle w:val="Itembulletlevel2"/>
      </w:pPr>
      <w:r>
        <w:t>T</w:t>
      </w:r>
      <w:r w:rsidR="00484F30">
        <w:t>he two dimensional planning process is required to calculate dose to a simple volume and will not require a dose-volume histogram to complete the planning process; and</w:t>
      </w:r>
    </w:p>
    <w:p w14:paraId="46945241" w14:textId="5E61B116" w:rsidR="00484F30" w:rsidRDefault="00D62090" w:rsidP="00484F30">
      <w:pPr>
        <w:pStyle w:val="Itembulletlevel2"/>
      </w:pPr>
      <w:r>
        <w:t>T</w:t>
      </w:r>
      <w:r w:rsidR="00484F30">
        <w:t>he two dimensional planning process is not required to maximise the differential between target dose and normal tissue dose, based on review and assessment by the radiation oncologist; and</w:t>
      </w:r>
    </w:p>
    <w:p w14:paraId="4324608E" w14:textId="64D3809E" w:rsidR="00484F30" w:rsidRDefault="00D62090" w:rsidP="00484F30">
      <w:pPr>
        <w:pStyle w:val="Itembulletlevel2"/>
      </w:pPr>
      <w:r>
        <w:t>T</w:t>
      </w:r>
      <w:r w:rsidR="00484F30">
        <w:t xml:space="preserve">he target (which may include gross, clinical and planning targets as a composite structure or field border outline), as defined in the prescription, is rendered as a two dimensional structure as field borders or a simple volume; and </w:t>
      </w:r>
    </w:p>
    <w:p w14:paraId="6598F25D" w14:textId="20FA0F42" w:rsidR="00484F30" w:rsidRDefault="00D62090" w:rsidP="00484F30">
      <w:pPr>
        <w:pStyle w:val="Itembulletlevel2"/>
      </w:pPr>
      <w:r>
        <w:t>O</w:t>
      </w:r>
      <w:r w:rsidR="00484F30">
        <w:t>rgans at risk are delineated if required, and assessment of dose to these structures is derived from dose point calculations, rather than full calculation and inclusion in a dose-volume histogram; and</w:t>
      </w:r>
    </w:p>
    <w:p w14:paraId="3796BE44" w14:textId="342812FF" w:rsidR="00484F30" w:rsidRDefault="00D62090" w:rsidP="00484F30">
      <w:pPr>
        <w:pStyle w:val="Itembulletlevel2"/>
      </w:pPr>
      <w:r>
        <w:lastRenderedPageBreak/>
        <w:t>D</w:t>
      </w:r>
      <w:r w:rsidR="00484F30">
        <w:t>ose calculations are calculated using a specialised calculation algorithm, with prescription and plan details approved and recorded with the plan; and</w:t>
      </w:r>
    </w:p>
    <w:p w14:paraId="664A02A5" w14:textId="006D8713" w:rsidR="00484F30" w:rsidRDefault="00D62090" w:rsidP="007852AF">
      <w:pPr>
        <w:pStyle w:val="Itembulletlevel2"/>
      </w:pPr>
      <w:r>
        <w:t>T</w:t>
      </w:r>
      <w:r w:rsidR="00484F30">
        <w:t>he final dosimetry plan is validated by radiation therapists, using robust quality assurance processes, with the plan approved by the radiation oncologist prior to delivery, which must include ensuring the plan is deliverable, data transfer is acceptable and validation checks are completed on a linear accelerator</w:t>
      </w:r>
      <w:r w:rsidR="007852AF">
        <w:t>.</w:t>
      </w:r>
    </w:p>
    <w:p w14:paraId="3FA241F0" w14:textId="77777777" w:rsidR="00B8722D" w:rsidRPr="0023390D" w:rsidRDefault="00FF0580" w:rsidP="00B8722D">
      <w:pPr>
        <w:pStyle w:val="Item"/>
      </w:pPr>
      <w:r w:rsidRPr="0023390D">
        <w:t>Item 15Y12:</w:t>
      </w:r>
      <w:r w:rsidR="004A7174" w:rsidRPr="0023390D">
        <w:t xml:space="preserve"> </w:t>
      </w:r>
    </w:p>
    <w:p w14:paraId="2FBB4679" w14:textId="1E2F697A" w:rsidR="00A54219" w:rsidRPr="0023390D" w:rsidRDefault="007039BB" w:rsidP="00B8722D">
      <w:r w:rsidRPr="002836EB">
        <w:t xml:space="preserve">Megavoltage Level 1.2 </w:t>
      </w:r>
      <w:r>
        <w:t xml:space="preserve">– Simple </w:t>
      </w:r>
      <w:r w:rsidR="00596EAD">
        <w:t>Complexity</w:t>
      </w:r>
      <w:r>
        <w:t xml:space="preserve"> </w:t>
      </w:r>
      <w:r w:rsidR="00A54219" w:rsidRPr="0023390D">
        <w:t>Multiple Field Treatment</w:t>
      </w:r>
      <w:r w:rsidR="00D60DEC">
        <w:t xml:space="preserve"> &amp; Verification</w:t>
      </w:r>
    </w:p>
    <w:p w14:paraId="727507AF" w14:textId="77777777" w:rsidR="0023390D" w:rsidRDefault="0023390D" w:rsidP="00B8722D">
      <w:r w:rsidRPr="0023390D">
        <w:t>Radiation therapy and verification for simple, MULTIPLE FIELD treatment, using a device approved by the Therapeutic Goods Administration if:</w:t>
      </w:r>
    </w:p>
    <w:p w14:paraId="5905836E" w14:textId="04E38D7E" w:rsidR="00DF402B" w:rsidRDefault="00D62090" w:rsidP="00F95A14">
      <w:pPr>
        <w:pStyle w:val="Itembulletlevel1"/>
        <w:numPr>
          <w:ilvl w:val="0"/>
          <w:numId w:val="28"/>
        </w:numPr>
      </w:pPr>
      <w:r>
        <w:t>I</w:t>
      </w:r>
      <w:r w:rsidR="00DF402B">
        <w:t xml:space="preserve">mage-guided radiation therapy imaging is used to implement a two dimensional plan, prepared in accordance with item </w:t>
      </w:r>
      <w:r w:rsidR="00014FB8">
        <w:t>15X12</w:t>
      </w:r>
      <w:r w:rsidR="00DF402B">
        <w:t>; and</w:t>
      </w:r>
    </w:p>
    <w:p w14:paraId="438FF438" w14:textId="28B7C6FC" w:rsidR="00DF402B" w:rsidRDefault="00D62090" w:rsidP="00F95A14">
      <w:pPr>
        <w:pStyle w:val="Itembulletlevel1"/>
        <w:numPr>
          <w:ilvl w:val="0"/>
          <w:numId w:val="28"/>
        </w:numPr>
      </w:pPr>
      <w:r>
        <w:t>A</w:t>
      </w:r>
      <w:r w:rsidR="00DF402B">
        <w:t xml:space="preserve"> two dimensional multiple-field treatment delivery mode is utilised, where radiation field positioning requires accuracy levels </w:t>
      </w:r>
      <w:r w:rsidR="00222017">
        <w:t xml:space="preserve">up to 10mm </w:t>
      </w:r>
      <w:r w:rsidR="00DF402B">
        <w:t xml:space="preserve">to ensure accurate dose delivery to the target, and image decisions and actions are documented in the patient’s record; </w:t>
      </w:r>
    </w:p>
    <w:p w14:paraId="1E584B8C" w14:textId="2D5976F7" w:rsidR="007470DC" w:rsidRPr="007470DC" w:rsidRDefault="00D62090" w:rsidP="00F95A14">
      <w:pPr>
        <w:pStyle w:val="Itembulletlevel1"/>
        <w:numPr>
          <w:ilvl w:val="0"/>
          <w:numId w:val="28"/>
        </w:numPr>
      </w:pPr>
      <w:r>
        <w:t>P</w:t>
      </w:r>
      <w:r w:rsidR="007470DC" w:rsidRPr="007470DC">
        <w:t>ayable once only for each attendance at which treatment is given, with two attendances only paid if another site is located in a different organ/part of the body and requires treatment on the same day, with an allowance for weekly treatment verification (over the course of treatment) included in the MBS fee, but no dosimetry re-planning/adaptive strategy is payable through the MBS; and</w:t>
      </w:r>
    </w:p>
    <w:p w14:paraId="3EFDF069" w14:textId="4D019480" w:rsidR="00A54219" w:rsidRPr="002836EB" w:rsidRDefault="00D62090" w:rsidP="00F95A14">
      <w:pPr>
        <w:pStyle w:val="Itembulletlevel1"/>
        <w:numPr>
          <w:ilvl w:val="0"/>
          <w:numId w:val="28"/>
        </w:numPr>
      </w:pPr>
      <w:r>
        <w:t>I</w:t>
      </w:r>
      <w:r w:rsidR="00DF402B">
        <w:t xml:space="preserve">maging infrastructure (hardware and software) is linked to the treatment unit and networked to an image database, enabling both online and offline reviews. </w:t>
      </w:r>
    </w:p>
    <w:p w14:paraId="7AD2CCF8" w14:textId="77777777" w:rsidR="00B8722D" w:rsidRPr="002836EB" w:rsidRDefault="00FF0580" w:rsidP="00B8722D">
      <w:pPr>
        <w:pStyle w:val="Item"/>
      </w:pPr>
      <w:r w:rsidRPr="002836EB">
        <w:t xml:space="preserve">Item 15X21: </w:t>
      </w:r>
    </w:p>
    <w:p w14:paraId="540ED9FE" w14:textId="19AD4415" w:rsidR="00FF0580" w:rsidRPr="002836EB" w:rsidRDefault="004A7174" w:rsidP="00B8722D">
      <w:r w:rsidRPr="002836EB">
        <w:t xml:space="preserve">Megavoltage </w:t>
      </w:r>
      <w:r w:rsidR="00FF0580" w:rsidRPr="002836EB">
        <w:t xml:space="preserve">Level 2.1 </w:t>
      </w:r>
      <w:r w:rsidR="007039BB">
        <w:t>– Standard Complexi</w:t>
      </w:r>
      <w:r w:rsidR="00596EAD">
        <w:t>ty</w:t>
      </w:r>
      <w:r w:rsidR="007039BB">
        <w:t xml:space="preserve"> </w:t>
      </w:r>
      <w:r w:rsidR="00FF0580" w:rsidRPr="002836EB">
        <w:t>3D Simulation &amp; Planning</w:t>
      </w:r>
    </w:p>
    <w:p w14:paraId="37DF7F86" w14:textId="77777777" w:rsidR="00542AD2" w:rsidRPr="00542AD2" w:rsidRDefault="00542AD2" w:rsidP="00F95A14">
      <w:pPr>
        <w:pStyle w:val="Itembulletlevel1"/>
        <w:numPr>
          <w:ilvl w:val="0"/>
          <w:numId w:val="19"/>
        </w:numPr>
        <w:rPr>
          <w:lang w:val="en-GB"/>
        </w:rPr>
      </w:pPr>
      <w:r w:rsidRPr="00542AD2">
        <w:rPr>
          <w:lang w:val="en-GB"/>
        </w:rPr>
        <w:t xml:space="preserve">Simulation for STANDARD THREE DIMENSIONAL radiation therapy if: </w:t>
      </w:r>
    </w:p>
    <w:p w14:paraId="142C1139" w14:textId="120F6CCF" w:rsidR="00542AD2" w:rsidRPr="00542AD2" w:rsidRDefault="00D62090" w:rsidP="00542AD2">
      <w:pPr>
        <w:pStyle w:val="Itembulletlevel2"/>
      </w:pPr>
      <w:r>
        <w:t>T</w:t>
      </w:r>
      <w:r w:rsidR="00542AD2" w:rsidRPr="00542AD2">
        <w:t xml:space="preserve">reatment set-up and technique specifications are in preparation for three dimensional standard planning; and </w:t>
      </w:r>
    </w:p>
    <w:p w14:paraId="799D6D81" w14:textId="1C27C2E9" w:rsidR="00542AD2" w:rsidRPr="00542AD2" w:rsidRDefault="00D62090" w:rsidP="00542AD2">
      <w:pPr>
        <w:pStyle w:val="Itembulletlevel2"/>
      </w:pPr>
      <w:r>
        <w:t>P</w:t>
      </w:r>
      <w:r w:rsidRPr="00542AD2">
        <w:t xml:space="preserve">atient </w:t>
      </w:r>
      <w:r w:rsidR="00542AD2" w:rsidRPr="00542AD2">
        <w:t xml:space="preserve">set-up and immobilisation techniques are suitable for reliable orthogonal two dimensional plain images or three dimensional computed tomography (CT) image volume data acquisition and reproducible three dimensional treatment; and </w:t>
      </w:r>
    </w:p>
    <w:p w14:paraId="277ED7BD" w14:textId="3C6D241C" w:rsidR="00542AD2" w:rsidRPr="00542AD2" w:rsidRDefault="00D62090" w:rsidP="00542AD2">
      <w:pPr>
        <w:pStyle w:val="Itembulletlevel2"/>
      </w:pPr>
      <w:r>
        <w:t>O</w:t>
      </w:r>
      <w:r w:rsidR="00542AD2" w:rsidRPr="00542AD2">
        <w:t>rthogonal two dimensional and three dimensional CT image volume dataset is acquired in treatment position for the relevant region of interest to be planned, treated and verified (through daily imaging in week one, then weekly planar or volumetric image guidance strategies); and</w:t>
      </w:r>
    </w:p>
    <w:p w14:paraId="5A4F4AF4" w14:textId="420F1A3E" w:rsidR="00542AD2" w:rsidRPr="00542AD2" w:rsidRDefault="00D62090" w:rsidP="00542AD2">
      <w:pPr>
        <w:pStyle w:val="Itembulletlevel2"/>
      </w:pPr>
      <w:r>
        <w:t>I</w:t>
      </w:r>
      <w:r w:rsidR="00542AD2" w:rsidRPr="00542AD2">
        <w:t>f utilised, the three dimensional CT image set is suitable for generation of quality digitally rec</w:t>
      </w:r>
      <w:r w:rsidR="00564F9E">
        <w:t>onstructed radiographic images; and</w:t>
      </w:r>
    </w:p>
    <w:p w14:paraId="3A7CA495" w14:textId="42F06409" w:rsidR="00542AD2" w:rsidRPr="00542AD2" w:rsidRDefault="00542AD2" w:rsidP="00542AD2">
      <w:pPr>
        <w:pStyle w:val="Itembulletlevel1"/>
        <w:rPr>
          <w:lang w:val="en-GB"/>
        </w:rPr>
      </w:pPr>
      <w:r w:rsidRPr="00542AD2">
        <w:rPr>
          <w:lang w:val="en-GB"/>
        </w:rPr>
        <w:t>Dosimetry for standard three dimensional radiation therapy if:</w:t>
      </w:r>
    </w:p>
    <w:p w14:paraId="5AC2ABCA" w14:textId="586E8EB8" w:rsidR="00542AD2" w:rsidRPr="00542AD2" w:rsidRDefault="00D62090" w:rsidP="00542AD2">
      <w:pPr>
        <w:pStyle w:val="Itembulletlevel2"/>
      </w:pPr>
      <w:r>
        <w:t>T</w:t>
      </w:r>
      <w:r w:rsidR="00542AD2" w:rsidRPr="00542AD2">
        <w:t>he standard two dimensional planning process is required to calculate dose to a single dose level volume structure and may require a dose-volume histogram to complete the planning process; and</w:t>
      </w:r>
    </w:p>
    <w:p w14:paraId="79453F0B" w14:textId="24660CA6" w:rsidR="00542AD2" w:rsidRPr="00542AD2" w:rsidRDefault="00D62090" w:rsidP="00542AD2">
      <w:pPr>
        <w:pStyle w:val="Itembulletlevel2"/>
      </w:pPr>
      <w:r>
        <w:lastRenderedPageBreak/>
        <w:t>T</w:t>
      </w:r>
      <w:r w:rsidR="00542AD2" w:rsidRPr="00542AD2">
        <w:t>he standard three dimensional planning process is not required to maximise the differential between target dose and normal tissue dose, based on review and assessment by a radiation oncologist; and</w:t>
      </w:r>
    </w:p>
    <w:p w14:paraId="709080F4" w14:textId="7A00140B" w:rsidR="00542AD2" w:rsidRPr="00542AD2" w:rsidRDefault="00D62090" w:rsidP="00542AD2">
      <w:pPr>
        <w:pStyle w:val="Itembulletlevel2"/>
      </w:pPr>
      <w:r>
        <w:t>T</w:t>
      </w:r>
      <w:r w:rsidR="00542AD2" w:rsidRPr="00542AD2">
        <w:t>he target (which may include gross, clinical and planning targets as a composite structure or field border outline)</w:t>
      </w:r>
      <w:r w:rsidR="00D50F95">
        <w:t>,</w:t>
      </w:r>
      <w:r w:rsidR="00542AD2" w:rsidRPr="00542AD2">
        <w:t xml:space="preserve"> as defined in the prescription</w:t>
      </w:r>
      <w:r w:rsidR="00D50F95">
        <w:t>,</w:t>
      </w:r>
      <w:r w:rsidR="00542AD2" w:rsidRPr="00542AD2">
        <w:t xml:space="preserve"> is rendered as a three dimensional structure on planning outputs (three dimensional plan review/cross sections/dose-volume histogram); and </w:t>
      </w:r>
    </w:p>
    <w:p w14:paraId="72B0097F" w14:textId="700DDEBB" w:rsidR="00542AD2" w:rsidRPr="00542AD2" w:rsidRDefault="00D62090" w:rsidP="00542AD2">
      <w:pPr>
        <w:pStyle w:val="Itembulletlevel2"/>
      </w:pPr>
      <w:r>
        <w:t>O</w:t>
      </w:r>
      <w:r w:rsidR="00542AD2" w:rsidRPr="00542AD2">
        <w:t>rgans at risk are delineated if required, and assessment of dose to these structures is derived from dose point calculations, rather than full calculation and inclusion in a dose-volume histogram; and</w:t>
      </w:r>
    </w:p>
    <w:p w14:paraId="66694CE3" w14:textId="5F26AC22" w:rsidR="00542AD2" w:rsidRPr="00542AD2" w:rsidRDefault="00D62090" w:rsidP="00542AD2">
      <w:pPr>
        <w:pStyle w:val="Itembulletlevel2"/>
      </w:pPr>
      <w:r>
        <w:t>D</w:t>
      </w:r>
      <w:r w:rsidR="00542AD2" w:rsidRPr="00542AD2">
        <w:t>ose calculations are calculated using a specialised calculation algorithm, with prescription and plan details approved and recorded with the plan; and</w:t>
      </w:r>
    </w:p>
    <w:p w14:paraId="2149016E" w14:textId="69A68C76" w:rsidR="00542AD2" w:rsidRPr="00B10793" w:rsidRDefault="00D62090" w:rsidP="00A03618">
      <w:pPr>
        <w:pStyle w:val="Itembulletlevel2"/>
      </w:pPr>
      <w:r>
        <w:t>T</w:t>
      </w:r>
      <w:r w:rsidR="00542AD2" w:rsidRPr="00542AD2">
        <w:t xml:space="preserve">he final dosimetry plan is validated by radiation therapists, using robust quality assurance processes, with the plan approved by the radiation oncologist prior to delivery, which </w:t>
      </w:r>
      <w:r w:rsidR="00542AD2" w:rsidRPr="00B10793">
        <w:t>must include ensuring the plan is deliverable, data transfer is acceptable and validation checks are completed on a linear accelerator</w:t>
      </w:r>
      <w:r w:rsidR="00A03618">
        <w:t>.</w:t>
      </w:r>
    </w:p>
    <w:p w14:paraId="4C530113" w14:textId="2C487601" w:rsidR="00B8722D" w:rsidRPr="00B10793" w:rsidRDefault="00F70C8D" w:rsidP="00B8722D">
      <w:pPr>
        <w:pStyle w:val="Item"/>
      </w:pPr>
      <w:r>
        <w:t>Item 15Y21:</w:t>
      </w:r>
    </w:p>
    <w:p w14:paraId="3AAAACE8" w14:textId="4D357AE5" w:rsidR="00A54219" w:rsidRPr="00B10793" w:rsidRDefault="007039BB" w:rsidP="00B8722D">
      <w:r w:rsidRPr="002836EB">
        <w:t xml:space="preserve">Megavoltage Level 2.1 </w:t>
      </w:r>
      <w:r>
        <w:t>– Standard Complexi</w:t>
      </w:r>
      <w:r w:rsidR="00596EAD">
        <w:t>ty</w:t>
      </w:r>
      <w:r>
        <w:t xml:space="preserve"> </w:t>
      </w:r>
      <w:r w:rsidRPr="002836EB">
        <w:t xml:space="preserve">3D </w:t>
      </w:r>
      <w:r w:rsidR="00A54219" w:rsidRPr="00B10793">
        <w:t xml:space="preserve">Treatment </w:t>
      </w:r>
      <w:r w:rsidR="00D60DEC" w:rsidRPr="00B10793">
        <w:t>&amp; Verification</w:t>
      </w:r>
    </w:p>
    <w:p w14:paraId="6157F444" w14:textId="1594AD82" w:rsidR="00D60DEC" w:rsidRPr="00B10793" w:rsidRDefault="00D60DEC" w:rsidP="00B8722D">
      <w:r w:rsidRPr="00B10793">
        <w:t>Radiation therapy for STANDARD three dimensional treatment, using a device approved by the Therapeutic Goods Administration if:</w:t>
      </w:r>
    </w:p>
    <w:p w14:paraId="0B89AC01" w14:textId="35676B3A" w:rsidR="00D60DEC" w:rsidRPr="00B10793" w:rsidRDefault="00D62090" w:rsidP="00F95A14">
      <w:pPr>
        <w:pStyle w:val="Itembulletlevel1"/>
        <w:numPr>
          <w:ilvl w:val="0"/>
          <w:numId w:val="29"/>
        </w:numPr>
      </w:pPr>
      <w:r>
        <w:t>I</w:t>
      </w:r>
      <w:r w:rsidR="00D60DEC" w:rsidRPr="00B10793">
        <w:t xml:space="preserve">mage-guided radiation therapy imaging is used to implement a standard three dimensional plan, prepared in accordance with item </w:t>
      </w:r>
      <w:r w:rsidR="004E113D">
        <w:t>15X21</w:t>
      </w:r>
      <w:r w:rsidR="00D60DEC" w:rsidRPr="00B10793">
        <w:t>; and</w:t>
      </w:r>
    </w:p>
    <w:p w14:paraId="1A9CDC9A" w14:textId="5B895A2C" w:rsidR="000E29A8" w:rsidRDefault="00D62090" w:rsidP="00F95A14">
      <w:pPr>
        <w:pStyle w:val="Itembulletlevel1"/>
        <w:numPr>
          <w:ilvl w:val="0"/>
          <w:numId w:val="29"/>
        </w:numPr>
      </w:pPr>
      <w:r>
        <w:t>S</w:t>
      </w:r>
      <w:r w:rsidR="000E29A8">
        <w:t xml:space="preserve">tandard three dimensional treatment delivery mode is utilised, where radiation field positioning requires accuracy levels up to 10mm to ensure accurate dose delivery to the target, and image decisions and actions are documented in the patient’s record; </w:t>
      </w:r>
    </w:p>
    <w:p w14:paraId="0EC7ADF4" w14:textId="3F553C7A" w:rsidR="000E29A8" w:rsidRDefault="00D62090" w:rsidP="00F95A14">
      <w:pPr>
        <w:pStyle w:val="Itembulletlevel1"/>
        <w:numPr>
          <w:ilvl w:val="0"/>
          <w:numId w:val="29"/>
        </w:numPr>
      </w:pPr>
      <w:r>
        <w:t>P</w:t>
      </w:r>
      <w:r w:rsidR="000E29A8">
        <w:t>ayable once only for each attendance at which treatment is given, two attendances only paid if another site is located in a different organ/part of the body and requires treatment on the same day, with an allowance for daily treatment verification in week one of treatment, and weekly treatment verification for the remainder of the treatment course, included in the MBS fee, but no dosimetry re-planning/adaptive strategy is payable through the MBS; and</w:t>
      </w:r>
    </w:p>
    <w:p w14:paraId="5619EE1F" w14:textId="50AAE344" w:rsidR="00A54219" w:rsidRPr="002836EB" w:rsidRDefault="00D62090" w:rsidP="00F95A14">
      <w:pPr>
        <w:pStyle w:val="Itembulletlevel1"/>
        <w:numPr>
          <w:ilvl w:val="0"/>
          <w:numId w:val="29"/>
        </w:numPr>
      </w:pPr>
      <w:r>
        <w:t>I</w:t>
      </w:r>
      <w:r w:rsidR="000E29A8">
        <w:t xml:space="preserve">maging infrastructure (hardware and software) is linked to the treatment unit and networked to an image database, enabling both </w:t>
      </w:r>
      <w:r w:rsidR="001F16E6">
        <w:t>online and offline reviews.</w:t>
      </w:r>
    </w:p>
    <w:p w14:paraId="37D5C1D6" w14:textId="77777777" w:rsidR="00B8722D" w:rsidRPr="002836EB" w:rsidRDefault="00FF0580" w:rsidP="00B8722D">
      <w:pPr>
        <w:pStyle w:val="Item"/>
      </w:pPr>
      <w:r w:rsidRPr="002836EB">
        <w:t>Item 15X22:</w:t>
      </w:r>
      <w:r w:rsidR="004A7174" w:rsidRPr="002836EB">
        <w:t xml:space="preserve"> </w:t>
      </w:r>
    </w:p>
    <w:p w14:paraId="66EA7B8F" w14:textId="085B9C97" w:rsidR="00FF0580" w:rsidRPr="002836EB" w:rsidRDefault="004A7174" w:rsidP="00B8722D">
      <w:r w:rsidRPr="002836EB">
        <w:t>Megavoltage</w:t>
      </w:r>
      <w:r w:rsidR="00FF0580" w:rsidRPr="002836EB">
        <w:t xml:space="preserve"> Level 2.2</w:t>
      </w:r>
      <w:r w:rsidR="007039BB">
        <w:t xml:space="preserve"> – </w:t>
      </w:r>
      <w:r w:rsidR="00596EAD">
        <w:t>Complex</w:t>
      </w:r>
      <w:r w:rsidR="007039BB">
        <w:t xml:space="preserve"> </w:t>
      </w:r>
      <w:r w:rsidR="00FF0580" w:rsidRPr="002836EB">
        <w:t>3D Simulation &amp; Planning</w:t>
      </w:r>
    </w:p>
    <w:p w14:paraId="3C08015B" w14:textId="77777777" w:rsidR="00A60AE5" w:rsidRPr="00A60AE5" w:rsidRDefault="00A60AE5" w:rsidP="00F95A14">
      <w:pPr>
        <w:pStyle w:val="Itembulletlevel1"/>
        <w:numPr>
          <w:ilvl w:val="0"/>
          <w:numId w:val="20"/>
        </w:numPr>
        <w:rPr>
          <w:lang w:val="en-GB"/>
        </w:rPr>
      </w:pPr>
      <w:r w:rsidRPr="00A60AE5">
        <w:rPr>
          <w:lang w:val="en-GB"/>
        </w:rPr>
        <w:t xml:space="preserve">Simulation for COMPLEX THREE DIMENSIONAL radiation therapy if: </w:t>
      </w:r>
    </w:p>
    <w:p w14:paraId="1A28E0DE" w14:textId="7D0B8A91" w:rsidR="00A60AE5" w:rsidRPr="00A60AE5" w:rsidRDefault="00D62090" w:rsidP="00A60AE5">
      <w:pPr>
        <w:pStyle w:val="Itembulletlevel2"/>
      </w:pPr>
      <w:r>
        <w:t>T</w:t>
      </w:r>
      <w:r w:rsidR="00A60AE5" w:rsidRPr="00A60AE5">
        <w:t xml:space="preserve">reatment set-up and technique specifications are in preparation for complex three dimensional planning, with or without consideration of motion management; and </w:t>
      </w:r>
    </w:p>
    <w:p w14:paraId="2D477233" w14:textId="3ECFD96F" w:rsidR="00A60AE5" w:rsidRPr="00A60AE5" w:rsidRDefault="00D62090" w:rsidP="00A60AE5">
      <w:pPr>
        <w:pStyle w:val="Itembulletlevel2"/>
      </w:pPr>
      <w:r>
        <w:t>P</w:t>
      </w:r>
      <w:r w:rsidR="00A60AE5" w:rsidRPr="00A60AE5">
        <w:t xml:space="preserve">atient set-up and immobilisation techniques are suitable for reliable computed tomography (CT) image volume data acquisition and reproducible complex three dimensional treatment (with or without motion management); and </w:t>
      </w:r>
    </w:p>
    <w:p w14:paraId="28F4E84B" w14:textId="46D53B6F" w:rsidR="00A60AE5" w:rsidRPr="00A60AE5" w:rsidRDefault="00D62090" w:rsidP="00A60AE5">
      <w:pPr>
        <w:pStyle w:val="Itembulletlevel2"/>
      </w:pPr>
      <w:r>
        <w:lastRenderedPageBreak/>
        <w:t>A</w:t>
      </w:r>
      <w:r w:rsidR="00A60AE5" w:rsidRPr="00A60AE5">
        <w:t xml:space="preserve"> high-quality three dimensional or four dimensional CT image volume dataset is acquired in treatment position for the relevant region of interest to be planned, treated and verified (through daily planar or volumetric image guidance strategies); and</w:t>
      </w:r>
    </w:p>
    <w:p w14:paraId="56804FF3" w14:textId="7D55EF6E" w:rsidR="00A60AE5" w:rsidRPr="00A60AE5" w:rsidRDefault="00D62090" w:rsidP="00A60AE5">
      <w:pPr>
        <w:pStyle w:val="Itembulletlevel2"/>
      </w:pPr>
      <w:r>
        <w:t>T</w:t>
      </w:r>
      <w:r w:rsidR="00A60AE5" w:rsidRPr="00A60AE5">
        <w:t xml:space="preserve">he image-set is suitable for generation of quality digitally reconstructed radiographic images and/or respiratory phased/binned images or projection images such </w:t>
      </w:r>
      <w:r w:rsidR="00564F9E">
        <w:t>as maximum intensity projection</w:t>
      </w:r>
      <w:r w:rsidR="00A07B37">
        <w:t>s</w:t>
      </w:r>
      <w:r w:rsidR="00564F9E">
        <w:t>; and</w:t>
      </w:r>
    </w:p>
    <w:p w14:paraId="62ACE53B" w14:textId="4130CA4D" w:rsidR="00A60AE5" w:rsidRPr="00A60AE5" w:rsidRDefault="00A60AE5" w:rsidP="00F95A14">
      <w:pPr>
        <w:pStyle w:val="Itembulletlevel1"/>
        <w:numPr>
          <w:ilvl w:val="0"/>
          <w:numId w:val="20"/>
        </w:numPr>
        <w:rPr>
          <w:lang w:val="en-GB"/>
        </w:rPr>
      </w:pPr>
      <w:r w:rsidRPr="00A60AE5">
        <w:rPr>
          <w:lang w:val="en-GB"/>
        </w:rPr>
        <w:t xml:space="preserve"> Dosimetry for complex three dimensional radiation therapy if:</w:t>
      </w:r>
    </w:p>
    <w:p w14:paraId="1DE2FE13" w14:textId="64CF548E" w:rsidR="00A60AE5" w:rsidRPr="00A60AE5" w:rsidRDefault="00D62090" w:rsidP="00A60AE5">
      <w:pPr>
        <w:pStyle w:val="Itembulletlevel2"/>
      </w:pPr>
      <w:r>
        <w:t>T</w:t>
      </w:r>
      <w:r w:rsidR="00A60AE5" w:rsidRPr="00A60AE5">
        <w:t>he complex three dimensional planning process is required to calculate dose to three dimensional volume structures (which must include structures moving with physiologic processes or requiring precise positioning with respect to beam edges) and which require a dose-volume histogram to complete the planning process; and</w:t>
      </w:r>
    </w:p>
    <w:p w14:paraId="2839D920" w14:textId="00EBC6B3" w:rsidR="00A60AE5" w:rsidRPr="00A60AE5" w:rsidRDefault="00D62090" w:rsidP="00A60AE5">
      <w:pPr>
        <w:pStyle w:val="Itembulletlevel2"/>
      </w:pPr>
      <w:r>
        <w:t>T</w:t>
      </w:r>
      <w:r w:rsidR="00A60AE5" w:rsidRPr="00A60AE5">
        <w:t>he complex three dimensional planning process is required to maximise the differential between target dose and normal tissue dose, based on review and assessment by a radiation oncologist (which must include multi-leaf collimator based shaping, as well as simple multi-leaf collimator or field in field modulation to achieve target dose conformity and organs at risk avoidance or dose management/reduction</w:t>
      </w:r>
      <w:r>
        <w:t>)</w:t>
      </w:r>
      <w:r w:rsidR="00A60AE5" w:rsidRPr="00A60AE5">
        <w:t>; or</w:t>
      </w:r>
    </w:p>
    <w:p w14:paraId="4E4B5945" w14:textId="70325ED9" w:rsidR="00A60AE5" w:rsidRPr="00A60AE5" w:rsidRDefault="001C0A50" w:rsidP="00A60AE5">
      <w:pPr>
        <w:pStyle w:val="Itembulletlevel2"/>
      </w:pPr>
      <w:r>
        <w:t>T</w:t>
      </w:r>
      <w:r w:rsidRPr="00A60AE5">
        <w:t xml:space="preserve">he </w:t>
      </w:r>
      <w:r w:rsidR="00A60AE5" w:rsidRPr="00A60AE5">
        <w:t>target (which must include gross, clinical and planning targets and/or internal target volumes), as defined in the prescription, is rendered as a three dimensional structure on planning outputs (three dimensional plan review/cross sections/dose-volume histogram</w:t>
      </w:r>
      <w:r>
        <w:t>)</w:t>
      </w:r>
      <w:r w:rsidR="00A60AE5" w:rsidRPr="00A60AE5">
        <w:t xml:space="preserve">; and </w:t>
      </w:r>
    </w:p>
    <w:p w14:paraId="3BAC9232" w14:textId="576D8FE9" w:rsidR="00A60AE5" w:rsidRPr="00A60AE5" w:rsidRDefault="00733A8B" w:rsidP="00A60AE5">
      <w:pPr>
        <w:pStyle w:val="Itembulletlevel2"/>
      </w:pPr>
      <w:r>
        <w:t>O</w:t>
      </w:r>
      <w:r w:rsidR="00A60AE5" w:rsidRPr="00A60AE5">
        <w:t>rgans at risk are delineated, and assessment of dose to these structures is derived from full calculation and inclusion in a dose-volume histogram; and</w:t>
      </w:r>
    </w:p>
    <w:p w14:paraId="667151BE" w14:textId="4D184B79" w:rsidR="00A60AE5" w:rsidRPr="00A60AE5" w:rsidRDefault="00733A8B" w:rsidP="00A60AE5">
      <w:pPr>
        <w:pStyle w:val="Itembulletlevel2"/>
      </w:pPr>
      <w:r>
        <w:t>T</w:t>
      </w:r>
      <w:r w:rsidR="00A60AE5" w:rsidRPr="00A60AE5">
        <w:t>he CT images are suitable for generation of quality digitally</w:t>
      </w:r>
      <w:r w:rsidR="00E16902">
        <w:t xml:space="preserve"> </w:t>
      </w:r>
      <w:r w:rsidR="00A60AE5" w:rsidRPr="00A60AE5">
        <w:t>reconstructed radiographic images and projection images, such as maximum intensity projection</w:t>
      </w:r>
      <w:r w:rsidR="00271679">
        <w:t>s</w:t>
      </w:r>
      <w:r w:rsidR="00A60AE5" w:rsidRPr="00A60AE5">
        <w:t>; and</w:t>
      </w:r>
    </w:p>
    <w:p w14:paraId="2459CE1A" w14:textId="38144E6E" w:rsidR="00A60AE5" w:rsidRPr="00A60AE5" w:rsidRDefault="00733A8B" w:rsidP="00A60AE5">
      <w:pPr>
        <w:pStyle w:val="Itembulletlevel2"/>
      </w:pPr>
      <w:r>
        <w:t>D</w:t>
      </w:r>
      <w:r w:rsidR="00A60AE5" w:rsidRPr="00A60AE5">
        <w:t xml:space="preserve">ose calculations are calculated using a specialised calculation algorithm, with prescription and plan details approved and recorded with the plan; and </w:t>
      </w:r>
    </w:p>
    <w:p w14:paraId="7AFD7228" w14:textId="7E1193E5" w:rsidR="00A60AE5" w:rsidRPr="00A60AE5" w:rsidRDefault="00733A8B" w:rsidP="00B52C50">
      <w:pPr>
        <w:pStyle w:val="Itembulletlevel2"/>
      </w:pPr>
      <w:r>
        <w:t>T</w:t>
      </w:r>
      <w:r w:rsidR="00A60AE5" w:rsidRPr="00A60AE5">
        <w:t>he final dosimetry plan is validated by radiation therapists, using robust quality assurance processes, with the plan approved by the radiation oncologist prior to delivery, which must include ensuring the plan is deliverable, data transfer is acceptable and validation checks are completed on a linear accelerator</w:t>
      </w:r>
      <w:r w:rsidR="00B52C50">
        <w:t>.</w:t>
      </w:r>
    </w:p>
    <w:p w14:paraId="0A6EB2E7" w14:textId="77777777" w:rsidR="00B8722D" w:rsidRPr="00580D79" w:rsidRDefault="00FF0580" w:rsidP="00B8722D">
      <w:pPr>
        <w:pStyle w:val="Item"/>
      </w:pPr>
      <w:r w:rsidRPr="00580D79">
        <w:t>Item 15Y22:</w:t>
      </w:r>
      <w:r w:rsidR="004A7174" w:rsidRPr="00580D79">
        <w:t xml:space="preserve"> </w:t>
      </w:r>
    </w:p>
    <w:p w14:paraId="4C9319C8" w14:textId="3630D9D1" w:rsidR="00FF0580" w:rsidRPr="00580D79" w:rsidRDefault="00596EAD" w:rsidP="00B8722D">
      <w:r w:rsidRPr="002836EB">
        <w:t>Megavoltage Level 2.2</w:t>
      </w:r>
      <w:r>
        <w:t xml:space="preserve"> – Complex </w:t>
      </w:r>
      <w:r w:rsidRPr="002836EB">
        <w:t xml:space="preserve">3D </w:t>
      </w:r>
      <w:r w:rsidR="004A7174" w:rsidRPr="00580D79">
        <w:t>Treatment</w:t>
      </w:r>
      <w:r w:rsidR="00580D79" w:rsidRPr="00580D79">
        <w:t xml:space="preserve"> &amp; Verification</w:t>
      </w:r>
    </w:p>
    <w:p w14:paraId="657172F5" w14:textId="02421CCF" w:rsidR="00580D79" w:rsidRDefault="00580D79" w:rsidP="00B8722D">
      <w:r w:rsidRPr="00580D79">
        <w:t>Radiation therapy for COMPLEX three dimensional treatment, using a device approved by the Therapeutic Goods Administration if:</w:t>
      </w:r>
    </w:p>
    <w:p w14:paraId="47CF45B0" w14:textId="0363B267" w:rsidR="00A94CAB" w:rsidRDefault="00733A8B" w:rsidP="00F95A14">
      <w:pPr>
        <w:pStyle w:val="Itembulletlevel1"/>
        <w:numPr>
          <w:ilvl w:val="0"/>
          <w:numId w:val="30"/>
        </w:numPr>
      </w:pPr>
      <w:r>
        <w:t>I</w:t>
      </w:r>
      <w:r w:rsidR="00A94CAB">
        <w:t>mage-guided radiation therapy imaging is used to implement a complex three dimensional plan, prepared in accordance with item 15X22; and</w:t>
      </w:r>
    </w:p>
    <w:p w14:paraId="75B15A82" w14:textId="22BFD6C9" w:rsidR="00A94CAB" w:rsidRDefault="00733A8B" w:rsidP="00F95A14">
      <w:pPr>
        <w:pStyle w:val="Itembulletlevel1"/>
        <w:numPr>
          <w:ilvl w:val="0"/>
          <w:numId w:val="30"/>
        </w:numPr>
      </w:pPr>
      <w:r>
        <w:t>C</w:t>
      </w:r>
      <w:r w:rsidR="00A94CAB">
        <w:t xml:space="preserve">omplex three dimensional treatment delivery mode is utilised (with management of motion if required), where radiation field positioning requires accuracy levels up to 5mm to ensure accurate dose delivery to the target, and image decisions and actions are documented in the patient’s record; </w:t>
      </w:r>
    </w:p>
    <w:p w14:paraId="2FEA2ACF" w14:textId="349FADCB" w:rsidR="00A94CAB" w:rsidRDefault="00733A8B" w:rsidP="00F95A14">
      <w:pPr>
        <w:pStyle w:val="Itembulletlevel1"/>
        <w:numPr>
          <w:ilvl w:val="0"/>
          <w:numId w:val="30"/>
        </w:numPr>
      </w:pPr>
      <w:r>
        <w:lastRenderedPageBreak/>
        <w:t>P</w:t>
      </w:r>
      <w:r w:rsidR="00A94CAB">
        <w:t>ayable once only for each attendance at which treatment is given, with two attendances only paid if another site is located in a different organ/part of the body and requires treatment on the same day, with an allowance for daily treatment verification over the treatment course included in the MBS fee, but no dosimetry re-planning/adaptive strategy is payable through the MBS; and</w:t>
      </w:r>
    </w:p>
    <w:p w14:paraId="6180F1DD" w14:textId="46DD8FB4" w:rsidR="004A7174" w:rsidRPr="002836EB" w:rsidRDefault="00733A8B" w:rsidP="00F95A14">
      <w:pPr>
        <w:pStyle w:val="Itembulletlevel1"/>
        <w:numPr>
          <w:ilvl w:val="0"/>
          <w:numId w:val="30"/>
        </w:numPr>
      </w:pPr>
      <w:r>
        <w:t>I</w:t>
      </w:r>
      <w:r w:rsidR="00A94CAB">
        <w:t>maging infrastructure (hardware and software) is linked to the treatment unit and networked to an image database, enabling b</w:t>
      </w:r>
      <w:r w:rsidR="00435B83">
        <w:t>oth online and offline reviews.</w:t>
      </w:r>
    </w:p>
    <w:p w14:paraId="37787C74" w14:textId="7C8A3553" w:rsidR="00B8722D" w:rsidRPr="002836EB" w:rsidRDefault="00FF0580" w:rsidP="00B8722D">
      <w:pPr>
        <w:pStyle w:val="Item"/>
      </w:pPr>
      <w:r w:rsidRPr="002836EB">
        <w:t>Item 15</w:t>
      </w:r>
      <w:r w:rsidR="00435B83">
        <w:t>X31:</w:t>
      </w:r>
    </w:p>
    <w:p w14:paraId="4250D8A9" w14:textId="427ADCED" w:rsidR="00FF0580" w:rsidRPr="00596EAD" w:rsidRDefault="004A7174" w:rsidP="00B8722D">
      <w:r w:rsidRPr="00596EAD">
        <w:t xml:space="preserve">Megavoltage </w:t>
      </w:r>
      <w:r w:rsidR="00FF0580" w:rsidRPr="00596EAD">
        <w:t>Level 3.1</w:t>
      </w:r>
      <w:r w:rsidR="00596EAD" w:rsidRPr="00596EAD">
        <w:t xml:space="preserve"> </w:t>
      </w:r>
      <w:r w:rsidR="00C5273F" w:rsidRPr="00596EAD">
        <w:t>–</w:t>
      </w:r>
      <w:r w:rsidR="00FF0580" w:rsidRPr="00596EAD">
        <w:t xml:space="preserve"> Standard</w:t>
      </w:r>
      <w:r w:rsidR="00596EAD" w:rsidRPr="00596EAD">
        <w:t xml:space="preserve"> Complexity</w:t>
      </w:r>
      <w:r w:rsidR="00FF0580" w:rsidRPr="00596EAD">
        <w:t xml:space="preserve"> IMRT Simulation &amp; Planning</w:t>
      </w:r>
    </w:p>
    <w:p w14:paraId="157BAAC4" w14:textId="77777777" w:rsidR="008068CC" w:rsidRPr="008068CC" w:rsidRDefault="008068CC" w:rsidP="00F95A14">
      <w:pPr>
        <w:pStyle w:val="Itembulletlevel1"/>
        <w:numPr>
          <w:ilvl w:val="0"/>
          <w:numId w:val="21"/>
        </w:numPr>
        <w:rPr>
          <w:lang w:val="en-GB"/>
        </w:rPr>
      </w:pPr>
      <w:r w:rsidRPr="008068CC">
        <w:rPr>
          <w:lang w:val="en-GB"/>
        </w:rPr>
        <w:t xml:space="preserve">Simulation for STANDARD INTENSITY MODULATED RADIATION THERAPY (IMRT) if: </w:t>
      </w:r>
    </w:p>
    <w:p w14:paraId="4452DC22" w14:textId="2C177ED7" w:rsidR="008068CC" w:rsidRPr="008068CC" w:rsidRDefault="00733A8B" w:rsidP="008068CC">
      <w:pPr>
        <w:pStyle w:val="Itembulletlevel2"/>
      </w:pPr>
      <w:r>
        <w:t>T</w:t>
      </w:r>
      <w:r w:rsidR="008068CC" w:rsidRPr="008068CC">
        <w:t xml:space="preserve">reatment set-up and technique specifications are in preparation for single dose level IMRT planning; and </w:t>
      </w:r>
    </w:p>
    <w:p w14:paraId="39D3EC04" w14:textId="1C69C55D" w:rsidR="008068CC" w:rsidRPr="008068CC" w:rsidRDefault="00733A8B" w:rsidP="008068CC">
      <w:pPr>
        <w:pStyle w:val="Itembulletlevel2"/>
      </w:pPr>
      <w:r>
        <w:t>P</w:t>
      </w:r>
      <w:r w:rsidR="008068CC" w:rsidRPr="008068CC">
        <w:t xml:space="preserve">atient set-up and immobilisation techniques are suitable for reliable computed tomography (CT) image volume data acquisition and reproducible IMRT treatment; and </w:t>
      </w:r>
    </w:p>
    <w:p w14:paraId="12122794" w14:textId="20C550A9" w:rsidR="008068CC" w:rsidRPr="008068CC" w:rsidRDefault="00733A8B" w:rsidP="008068CC">
      <w:pPr>
        <w:pStyle w:val="Itembulletlevel2"/>
      </w:pPr>
      <w:r>
        <w:t>A</w:t>
      </w:r>
      <w:r w:rsidR="008068CC" w:rsidRPr="008068CC">
        <w:t xml:space="preserve"> high-quality three dimensional CT image volume dataset is acquired in treatment position for the relevant region of interest to be planned, treated and verified (through daily planar or volumetric image guidance strategies); and </w:t>
      </w:r>
    </w:p>
    <w:p w14:paraId="6108F2D6" w14:textId="4CB42EFF" w:rsidR="008068CC" w:rsidRDefault="00733A8B" w:rsidP="008068CC">
      <w:pPr>
        <w:pStyle w:val="Itembulletlevel2"/>
      </w:pPr>
      <w:r>
        <w:t>T</w:t>
      </w:r>
      <w:r w:rsidR="008068CC" w:rsidRPr="008068CC">
        <w:t>he image-set is suitable for generation of quality digitally rec</w:t>
      </w:r>
      <w:r w:rsidR="008068CC">
        <w:t>onstructed rad</w:t>
      </w:r>
      <w:r w:rsidR="00564F9E">
        <w:t>iographic images; and</w:t>
      </w:r>
    </w:p>
    <w:p w14:paraId="6282963F" w14:textId="77777777" w:rsidR="00806391" w:rsidRDefault="00806391" w:rsidP="00806391">
      <w:pPr>
        <w:pStyle w:val="Itembulletlevel1"/>
      </w:pPr>
      <w:r>
        <w:t xml:space="preserve">Dosimetry for standard intensity modulated radiation therapy (IMRT) if: </w:t>
      </w:r>
    </w:p>
    <w:p w14:paraId="46CADE28" w14:textId="377BD10B" w:rsidR="00806391" w:rsidRDefault="00733A8B" w:rsidP="00806391">
      <w:pPr>
        <w:pStyle w:val="Itembulletlevel2"/>
      </w:pPr>
      <w:r>
        <w:t>T</w:t>
      </w:r>
      <w:r w:rsidR="00806391">
        <w:t>he IMRT planning process is required to calculate dose to a single-dose level volume structure and requires a dose-volume histogram to complete the planning process; and</w:t>
      </w:r>
    </w:p>
    <w:p w14:paraId="6FB97441" w14:textId="240F55C2" w:rsidR="00806391" w:rsidRDefault="00733A8B" w:rsidP="00806391">
      <w:pPr>
        <w:pStyle w:val="Itembulletlevel2"/>
      </w:pPr>
      <w:r>
        <w:t>T</w:t>
      </w:r>
      <w:r w:rsidR="00806391">
        <w:t>he IMRT planning process maximises the differential between target dose, organs at risk and normal tissue dose, based on review and assessment by a radiation oncologist; and</w:t>
      </w:r>
    </w:p>
    <w:p w14:paraId="38ADC5A5" w14:textId="5C130D67" w:rsidR="00806391" w:rsidRDefault="00733A8B" w:rsidP="00806391">
      <w:pPr>
        <w:pStyle w:val="Itembulletlevel2"/>
      </w:pPr>
      <w:r>
        <w:t>A</w:t>
      </w:r>
      <w:r w:rsidR="00806391">
        <w:t>ll gross tumour targets, clinical targets, planning targets and organs at risk are rendered as volumes; and</w:t>
      </w:r>
    </w:p>
    <w:p w14:paraId="7D84114C" w14:textId="61F605A1" w:rsidR="00806391" w:rsidRDefault="00733A8B" w:rsidP="00806391">
      <w:pPr>
        <w:pStyle w:val="Itembulletlevel2"/>
      </w:pPr>
      <w:r>
        <w:t xml:space="preserve">Organs </w:t>
      </w:r>
      <w:r w:rsidR="00806391">
        <w:t>at risk are nominated as plan</w:t>
      </w:r>
      <w:r w:rsidR="002F1467">
        <w:t>ning dose goals or constraints</w:t>
      </w:r>
      <w:r w:rsidR="00806391">
        <w:t>; and</w:t>
      </w:r>
    </w:p>
    <w:p w14:paraId="4E987FF4" w14:textId="3642C9D4" w:rsidR="00806391" w:rsidRDefault="00733A8B" w:rsidP="00806391">
      <w:pPr>
        <w:pStyle w:val="Itembulletlevel2"/>
      </w:pPr>
      <w:r>
        <w:t>D</w:t>
      </w:r>
      <w:r w:rsidR="00806391">
        <w:t>ose calculations and dose volume histograms are generated in an inverse planned process, using a specialised calculation algorithm, with prescription and plan details approved and recorded with the plan; and</w:t>
      </w:r>
    </w:p>
    <w:p w14:paraId="4B718A7B" w14:textId="3B45A9C6" w:rsidR="00806391" w:rsidRDefault="00733A8B" w:rsidP="00806391">
      <w:pPr>
        <w:pStyle w:val="Itembulletlevel2"/>
      </w:pPr>
      <w:r>
        <w:t>A</w:t>
      </w:r>
      <w:r w:rsidR="00806391">
        <w:t xml:space="preserve"> three dimensional CT image volume dataset is used for the relevant region to be planned, treated and verified; and </w:t>
      </w:r>
    </w:p>
    <w:p w14:paraId="5DDA7E87" w14:textId="7A8EF003" w:rsidR="00806391" w:rsidRDefault="00733A8B" w:rsidP="00806391">
      <w:pPr>
        <w:pStyle w:val="Itembulletlevel2"/>
      </w:pPr>
      <w:r>
        <w:t>R</w:t>
      </w:r>
      <w:r w:rsidR="00266270">
        <w:t xml:space="preserve">elevant </w:t>
      </w:r>
      <w:r w:rsidR="00806391">
        <w:t xml:space="preserve">multi-modality imaging, including </w:t>
      </w:r>
      <w:r w:rsidR="009064FD">
        <w:t>Contrast-enhanced CT</w:t>
      </w:r>
      <w:r w:rsidR="00806391">
        <w:t>, magnetic resonance imaging or positron emission tomography</w:t>
      </w:r>
      <w:r w:rsidR="0069663A">
        <w:t>,</w:t>
      </w:r>
      <w:r w:rsidR="00806391">
        <w:t xml:space="preserve"> </w:t>
      </w:r>
      <w:r w:rsidR="00B57687">
        <w:t xml:space="preserve">is </w:t>
      </w:r>
      <w:r w:rsidR="00806391">
        <w:t xml:space="preserve">used to delineate all </w:t>
      </w:r>
      <w:r w:rsidR="00E9201A">
        <w:t>targets and organs at risk</w:t>
      </w:r>
      <w:r w:rsidR="00806391">
        <w:t>; and</w:t>
      </w:r>
    </w:p>
    <w:p w14:paraId="2234E5D3" w14:textId="589A902F" w:rsidR="00806391" w:rsidRDefault="00733A8B" w:rsidP="00806391">
      <w:pPr>
        <w:pStyle w:val="Itembulletlevel2"/>
      </w:pPr>
      <w:r>
        <w:t>T</w:t>
      </w:r>
      <w:r w:rsidR="00806391">
        <w:t>he CT images are suitable for generation of quality digitally reconstructed radiographic images; and</w:t>
      </w:r>
    </w:p>
    <w:p w14:paraId="62618EE4" w14:textId="3C9A46E6" w:rsidR="00806391" w:rsidRDefault="0069663A" w:rsidP="00806391">
      <w:pPr>
        <w:pStyle w:val="Itembulletlevel2"/>
      </w:pPr>
      <w:r>
        <w:t xml:space="preserve">The </w:t>
      </w:r>
      <w:r w:rsidR="00806391">
        <w:t xml:space="preserve">final dosimetry plan is validated by both the radiation therapist and medical physicist, using robust quality assurance processes (where audit-based processes do not </w:t>
      </w:r>
      <w:r w:rsidR="00806391">
        <w:lastRenderedPageBreak/>
        <w:t>apply), with the plan approved by the radiation oncologist prior t</w:t>
      </w:r>
      <w:r w:rsidR="00AA3234">
        <w:t>o delivery, which must include:</w:t>
      </w:r>
    </w:p>
    <w:p w14:paraId="55691222" w14:textId="059EA7A5" w:rsidR="00AA3234" w:rsidRDefault="0069663A" w:rsidP="00AA3234">
      <w:pPr>
        <w:pStyle w:val="Itembulletlevel3"/>
      </w:pPr>
      <w:r>
        <w:t>D</w:t>
      </w:r>
      <w:r w:rsidR="00AA3234">
        <w:t xml:space="preserve">etermination of accuracy of dose fluence delivered using the multi-leaf collimator and gantry position (static or dynamic); or </w:t>
      </w:r>
    </w:p>
    <w:p w14:paraId="7E78C613" w14:textId="3292205C" w:rsidR="00AA3234" w:rsidRDefault="0069663A" w:rsidP="001911BC">
      <w:pPr>
        <w:pStyle w:val="Itembulletlevel3"/>
      </w:pPr>
      <w:r>
        <w:t>E</w:t>
      </w:r>
      <w:r w:rsidR="00AA3234" w:rsidRPr="00AA3234">
        <w:t>nsuring the plan is deliverable, data transfer is acceptable and validation checks are completed on a linear accelerator; or</w:t>
      </w:r>
    </w:p>
    <w:p w14:paraId="179A9DE7" w14:textId="2AF044D6" w:rsidR="00AA3234" w:rsidRDefault="0069663A" w:rsidP="001911BC">
      <w:pPr>
        <w:pStyle w:val="Itembulletlevel3"/>
      </w:pPr>
      <w:r>
        <w:t>V</w:t>
      </w:r>
      <w:r w:rsidR="00AA3234" w:rsidRPr="00AA3234">
        <w:t>alidating accuracy of the derived IMRT treatment plan in a known dosimetric phantom; or</w:t>
      </w:r>
    </w:p>
    <w:p w14:paraId="76139EDD" w14:textId="5E8D904B" w:rsidR="00806391" w:rsidRDefault="0069663A" w:rsidP="00B50173">
      <w:pPr>
        <w:pStyle w:val="Itembulletlevel3"/>
      </w:pPr>
      <w:r>
        <w:t>D</w:t>
      </w:r>
      <w:r w:rsidR="00AA3234" w:rsidRPr="00AA3234">
        <w:t>etermining the accuracy of planned doses in comparison to delivered dose to designated points within the phantom and/or dosimetry device</w:t>
      </w:r>
      <w:r w:rsidR="00B50173">
        <w:t>.</w:t>
      </w:r>
    </w:p>
    <w:p w14:paraId="7618453C" w14:textId="77777777" w:rsidR="00B8722D" w:rsidRPr="00580D79" w:rsidRDefault="00FF0580" w:rsidP="00B8722D">
      <w:pPr>
        <w:pStyle w:val="Item"/>
      </w:pPr>
      <w:r w:rsidRPr="00580D79">
        <w:t xml:space="preserve">Item 15Y31: </w:t>
      </w:r>
    </w:p>
    <w:p w14:paraId="32949E6B" w14:textId="49A2147B" w:rsidR="00FF0580" w:rsidRPr="00580D79" w:rsidRDefault="00596EAD" w:rsidP="00B8722D">
      <w:r w:rsidRPr="00596EAD">
        <w:t xml:space="preserve">Megavoltage Level 3.1 – Standard Complexity IMRT </w:t>
      </w:r>
      <w:r w:rsidR="002305C9" w:rsidRPr="00580D79">
        <w:t>Treatment</w:t>
      </w:r>
      <w:r w:rsidR="00580D79" w:rsidRPr="00580D79">
        <w:t xml:space="preserve"> &amp; Verification</w:t>
      </w:r>
    </w:p>
    <w:p w14:paraId="1303B88D" w14:textId="49815266" w:rsidR="00580D79" w:rsidRPr="00580D79" w:rsidRDefault="00580D79" w:rsidP="00B8722D">
      <w:r w:rsidRPr="00580D79">
        <w:t>STANDARD intensity modulated radiation therapy (IMRT) and verification, using a device approved by the Therapeutic Goods Administration if:</w:t>
      </w:r>
    </w:p>
    <w:p w14:paraId="70E59FD7" w14:textId="77E5832E" w:rsidR="00580D79" w:rsidRPr="00580D79" w:rsidRDefault="00E26665" w:rsidP="00F95A14">
      <w:pPr>
        <w:pStyle w:val="Itembulletlevel1"/>
        <w:numPr>
          <w:ilvl w:val="0"/>
          <w:numId w:val="31"/>
        </w:numPr>
      </w:pPr>
      <w:r>
        <w:t>I</w:t>
      </w:r>
      <w:r w:rsidR="00580D79" w:rsidRPr="00580D79">
        <w:t xml:space="preserve">mage-guided radiation therapy imaging is used to implement a standard IMRT plan, prepared in accordance with item </w:t>
      </w:r>
      <w:r w:rsidR="001911BC">
        <w:t>15X31</w:t>
      </w:r>
      <w:r w:rsidR="00580D79" w:rsidRPr="00580D79">
        <w:t>; and</w:t>
      </w:r>
    </w:p>
    <w:p w14:paraId="6B732002" w14:textId="3AE6782B" w:rsidR="00C7663A" w:rsidRDefault="00E26665" w:rsidP="00C7663A">
      <w:pPr>
        <w:pStyle w:val="Itembulletlevel1"/>
      </w:pPr>
      <w:r>
        <w:t>S</w:t>
      </w:r>
      <w:r w:rsidR="00C7663A">
        <w:t>tandard IMRT delivery mode is utilised (delivered by a fixed or dynamic gantry linear accelerator, or by a helical non C-arm based linear accelerator), where radiation field positioning requires accuracy levels up to 5mm to ensure accurate dose delivery to the target, and image decisions and actions are documented in the patient’s record; and</w:t>
      </w:r>
    </w:p>
    <w:p w14:paraId="05A7D6C1" w14:textId="3CDECABA" w:rsidR="00414838" w:rsidRPr="002836EB" w:rsidRDefault="00E26665" w:rsidP="003F248B">
      <w:pPr>
        <w:pStyle w:val="Itembulletlevel1"/>
      </w:pPr>
      <w:r>
        <w:t>P</w:t>
      </w:r>
      <w:r w:rsidR="00C7663A">
        <w:t>ayable once only for each attendance at which treatment is given (with two attendances only paid if another site is located in a different organ/part of the body and requires treatment on the same day), with daily treatment verification included in the MBS fee (using at least two planar image views/projections or one volumetric image-set to facilitate a three dimensional adjustment to radiation treatment field positioning</w:t>
      </w:r>
      <w:r w:rsidR="008D7ECD">
        <w:t>)</w:t>
      </w:r>
      <w:r w:rsidR="00C7663A">
        <w:t>, but no dosimetry re-planning/adaptive strategy payable through the MBS, and (if required), patient-specific IMRT quality assurance applied to designated cases where an approved dosimetry audit program is not used.</w:t>
      </w:r>
    </w:p>
    <w:p w14:paraId="518729BC" w14:textId="3F2FD3DF" w:rsidR="00B8722D" w:rsidRPr="002836EB" w:rsidRDefault="00FF0580" w:rsidP="00B8722D">
      <w:pPr>
        <w:pStyle w:val="Item"/>
      </w:pPr>
      <w:r w:rsidRPr="002836EB">
        <w:t>I</w:t>
      </w:r>
      <w:r w:rsidR="00AF17D2">
        <w:t>tem 15X32:</w:t>
      </w:r>
    </w:p>
    <w:p w14:paraId="0A8E2C3E" w14:textId="0EFEDF5E" w:rsidR="00FF0580" w:rsidRPr="002836EB" w:rsidRDefault="004A7174" w:rsidP="00B8722D">
      <w:r w:rsidRPr="002836EB">
        <w:t xml:space="preserve">Megavoltage </w:t>
      </w:r>
      <w:r w:rsidR="00FF0580" w:rsidRPr="002836EB">
        <w:t>Level 3.2</w:t>
      </w:r>
      <w:r w:rsidR="00596EAD">
        <w:t xml:space="preserve"> </w:t>
      </w:r>
      <w:r w:rsidR="003D1801" w:rsidRPr="002836EB">
        <w:t>–</w:t>
      </w:r>
      <w:r w:rsidR="00FF0580" w:rsidRPr="002836EB">
        <w:t xml:space="preserve"> Complex IMRT Simulation &amp; Planning</w:t>
      </w:r>
      <w:r w:rsidR="0021526E">
        <w:t>, including Small Field Hypofractionated Treatment Strategies</w:t>
      </w:r>
    </w:p>
    <w:p w14:paraId="50695760" w14:textId="03E52F4C" w:rsidR="004B0D95" w:rsidRPr="004B0D95" w:rsidRDefault="004B0D95" w:rsidP="00F95A14">
      <w:pPr>
        <w:pStyle w:val="Itembulletlevel1"/>
        <w:numPr>
          <w:ilvl w:val="0"/>
          <w:numId w:val="22"/>
        </w:numPr>
        <w:rPr>
          <w:lang w:val="en-GB"/>
        </w:rPr>
      </w:pPr>
      <w:r w:rsidRPr="004B0D95">
        <w:rPr>
          <w:lang w:val="en-GB"/>
        </w:rPr>
        <w:t>Simulation for COMPLEX INTENSITY MODULATED RADIATION THERAPY (IMRT)</w:t>
      </w:r>
      <w:r w:rsidR="00C9758A">
        <w:rPr>
          <w:lang w:val="en-GB"/>
        </w:rPr>
        <w:t>, which may include small field hypofractionated treatment strategies,</w:t>
      </w:r>
      <w:r w:rsidRPr="004B0D95">
        <w:rPr>
          <w:lang w:val="en-GB"/>
        </w:rPr>
        <w:t xml:space="preserve"> if: </w:t>
      </w:r>
    </w:p>
    <w:p w14:paraId="7449EAD1" w14:textId="70B936EC" w:rsidR="004B0D95" w:rsidRPr="004B0D95" w:rsidRDefault="000B64FE" w:rsidP="004B0D95">
      <w:pPr>
        <w:pStyle w:val="Itembulletlevel2"/>
      </w:pPr>
      <w:r>
        <w:t>T</w:t>
      </w:r>
      <w:r w:rsidR="004B0D95" w:rsidRPr="004B0D95">
        <w:t xml:space="preserve">reatment set-up and technique specifications are in preparation for multiple-dose level IMRT planning or single dose level IMRT planning requiring motion management; and </w:t>
      </w:r>
    </w:p>
    <w:p w14:paraId="52C2582C" w14:textId="0C7CDE7E" w:rsidR="004B0D95" w:rsidRPr="004B0D95" w:rsidRDefault="000B64FE" w:rsidP="004B0D95">
      <w:pPr>
        <w:pStyle w:val="Itembulletlevel2"/>
      </w:pPr>
      <w:r>
        <w:t>P</w:t>
      </w:r>
      <w:r w:rsidR="004B0D95" w:rsidRPr="004B0D95">
        <w:t xml:space="preserve">atient set-up and immobilisation techniques are suitable for reliable computed tomography (CT) image volume data acquisition and reproducible IMRT treatment; and </w:t>
      </w:r>
    </w:p>
    <w:p w14:paraId="04BD80C1" w14:textId="2D704AD6" w:rsidR="004B0D95" w:rsidRPr="004B0D95" w:rsidRDefault="000B64FE" w:rsidP="004B0D95">
      <w:pPr>
        <w:pStyle w:val="Itembulletlevel2"/>
      </w:pPr>
      <w:r>
        <w:t>A</w:t>
      </w:r>
      <w:r w:rsidR="004B0D95" w:rsidRPr="004B0D95">
        <w:t xml:space="preserve"> high-quality three dimensional or four dimensional CT image volume dataset must be acquired in treatment position for the relevant region of interest to be planned, treated and verified (through daily planar or volumetric image guidance strategies); and</w:t>
      </w:r>
    </w:p>
    <w:p w14:paraId="4ED0324C" w14:textId="47F3BD06" w:rsidR="004B0D95" w:rsidRDefault="000B64FE" w:rsidP="004B0D95">
      <w:pPr>
        <w:pStyle w:val="Itembulletlevel2"/>
      </w:pPr>
      <w:r>
        <w:lastRenderedPageBreak/>
        <w:t>T</w:t>
      </w:r>
      <w:r w:rsidRPr="004B0D95">
        <w:t xml:space="preserve">he </w:t>
      </w:r>
      <w:r w:rsidR="004B0D95" w:rsidRPr="004B0D95">
        <w:t xml:space="preserve">image-set must be suitable for generation of quality digitally reconstructed radiographic images and/or respiratory phased/binned images or projection images, such </w:t>
      </w:r>
      <w:r w:rsidR="00564F9E">
        <w:t>as maximum intensity projection; and</w:t>
      </w:r>
    </w:p>
    <w:p w14:paraId="41DD2A26" w14:textId="6CA75B61" w:rsidR="004B0D95" w:rsidRDefault="004B0D95" w:rsidP="004B0D95">
      <w:pPr>
        <w:pStyle w:val="Itembulletlevel1"/>
      </w:pPr>
      <w:r>
        <w:t>Dosimetry for complex intensity modulated radiation therapy (IMRT)</w:t>
      </w:r>
      <w:r w:rsidR="00187564">
        <w:t>, which may include small field hypofract</w:t>
      </w:r>
      <w:r w:rsidR="00E16902">
        <w:t>i</w:t>
      </w:r>
      <w:r w:rsidR="00187564">
        <w:t>onated treatment strategies,</w:t>
      </w:r>
      <w:r>
        <w:t xml:space="preserve"> if:</w:t>
      </w:r>
    </w:p>
    <w:p w14:paraId="5CA6DD87" w14:textId="6B698E06" w:rsidR="004B0D95" w:rsidRDefault="000B64FE" w:rsidP="004B0D95">
      <w:pPr>
        <w:pStyle w:val="Itembulletlevel2"/>
      </w:pPr>
      <w:r>
        <w:t>T</w:t>
      </w:r>
      <w:r w:rsidR="004B0D95">
        <w:t>he IMRT planning process is required to calculate dose to multiple-dose level volume structures or single-dose level volume structures (including structures moving with physiologic processes or requiring precise positioning with respect to beam edges) and require</w:t>
      </w:r>
      <w:r w:rsidR="00296797">
        <w:t>s</w:t>
      </w:r>
      <w:r w:rsidR="004B0D95">
        <w:t xml:space="preserve"> a dose-volume histogram to complete the planning process; and</w:t>
      </w:r>
    </w:p>
    <w:p w14:paraId="088D6933" w14:textId="325C2BDF" w:rsidR="004B0D95" w:rsidRDefault="000B64FE" w:rsidP="004B0D95">
      <w:pPr>
        <w:pStyle w:val="Itembulletlevel2"/>
      </w:pPr>
      <w:r>
        <w:t>T</w:t>
      </w:r>
      <w:r w:rsidR="004B0D95">
        <w:t>he IMRT planning process maximises the differential between target dose, organs at risk and normal tissue dose, based on review and assessment by a radiation oncologist; and</w:t>
      </w:r>
    </w:p>
    <w:p w14:paraId="3409853F" w14:textId="150BD17F" w:rsidR="004B0D95" w:rsidRDefault="000B64FE" w:rsidP="004B0D95">
      <w:pPr>
        <w:pStyle w:val="Itembulletlevel2"/>
      </w:pPr>
      <w:r>
        <w:t>A</w:t>
      </w:r>
      <w:r w:rsidR="004B0D95">
        <w:t>ll gross tumour targets, clinical targets, planning targets, internal t</w:t>
      </w:r>
      <w:r w:rsidR="00781003">
        <w:t>arget volumes and organs at risk</w:t>
      </w:r>
      <w:r w:rsidR="004B0D95">
        <w:t xml:space="preserve"> are rendered as volumes; and</w:t>
      </w:r>
    </w:p>
    <w:p w14:paraId="6C4992CF" w14:textId="0170B38E" w:rsidR="004B0D95" w:rsidRDefault="000B64FE" w:rsidP="004B0D95">
      <w:pPr>
        <w:pStyle w:val="Itembulletlevel2"/>
      </w:pPr>
      <w:r>
        <w:t>O</w:t>
      </w:r>
      <w:r w:rsidR="004B0D95">
        <w:t>rgans at risk are nominated as plan</w:t>
      </w:r>
      <w:r w:rsidR="004D151B">
        <w:t>ning dose goals or constraints</w:t>
      </w:r>
      <w:r w:rsidR="004B0D95">
        <w:t>; and</w:t>
      </w:r>
    </w:p>
    <w:p w14:paraId="5D91EFA1" w14:textId="5BA50DD3" w:rsidR="004B0D95" w:rsidRDefault="000B64FE" w:rsidP="004B0D95">
      <w:pPr>
        <w:pStyle w:val="Itembulletlevel2"/>
      </w:pPr>
      <w:r>
        <w:t>D</w:t>
      </w:r>
      <w:r w:rsidR="004B0D95">
        <w:t xml:space="preserve">ose calculations and dose volume histograms are generated in an inverse planned process using a specialised calculation algorithm, with prescription and plan details approved and recorded with the plan; and </w:t>
      </w:r>
    </w:p>
    <w:p w14:paraId="42A2EB00" w14:textId="66103D2E" w:rsidR="004B0D95" w:rsidRDefault="000B64FE" w:rsidP="004B0D95">
      <w:pPr>
        <w:pStyle w:val="Itembulletlevel2"/>
      </w:pPr>
      <w:r>
        <w:t>I</w:t>
      </w:r>
      <w:r w:rsidR="004B0D95">
        <w:t xml:space="preserve">n the case of a multiple-dose level structure/target, a three dimensional CT image volume dataset is used for the relevant region to be planned, treated and verified; and </w:t>
      </w:r>
    </w:p>
    <w:p w14:paraId="7F1E2DF9" w14:textId="1807F7BD" w:rsidR="004B0D95" w:rsidRDefault="000B64FE" w:rsidP="004B0D95">
      <w:pPr>
        <w:pStyle w:val="Itembulletlevel2"/>
      </w:pPr>
      <w:r>
        <w:t>I</w:t>
      </w:r>
      <w:r w:rsidR="004B0D95">
        <w:t>n the case of single dose or multiple dose level structures/targets where motion management is required (including structures moving with physiologic processes or requiring precise positioning with respect to beam edges), a four dimensional CT image volume dataset must be used for relevant regions to be planned, treated and verified; and</w:t>
      </w:r>
    </w:p>
    <w:p w14:paraId="43D69488" w14:textId="04B7C1F7" w:rsidR="004B0D95" w:rsidRDefault="000B64FE" w:rsidP="004B0D95">
      <w:pPr>
        <w:pStyle w:val="Itembulletlevel2"/>
      </w:pPr>
      <w:r>
        <w:t>R</w:t>
      </w:r>
      <w:r w:rsidR="00BD4F37">
        <w:t xml:space="preserve">elevant </w:t>
      </w:r>
      <w:r w:rsidR="004B0D95">
        <w:t>multi-modality imaging, including</w:t>
      </w:r>
      <w:r w:rsidR="00C84297">
        <w:t xml:space="preserve"> four dimensional CT</w:t>
      </w:r>
      <w:r w:rsidR="00B62AB7">
        <w:t>,</w:t>
      </w:r>
      <w:r w:rsidR="004B0D95">
        <w:t xml:space="preserve"> </w:t>
      </w:r>
      <w:r w:rsidR="009064FD">
        <w:t>Contrast-enhanced CT</w:t>
      </w:r>
      <w:r w:rsidR="004B0D95">
        <w:t xml:space="preserve">, magnetic resonance imaging and positron emission tomography </w:t>
      </w:r>
      <w:r>
        <w:t xml:space="preserve">is </w:t>
      </w:r>
      <w:r w:rsidR="004B0D95">
        <w:t xml:space="preserve">used to delineate all </w:t>
      </w:r>
      <w:r w:rsidR="00DE2021">
        <w:t>targets and organs at risk</w:t>
      </w:r>
      <w:r w:rsidR="004B0D95">
        <w:t>; and</w:t>
      </w:r>
    </w:p>
    <w:p w14:paraId="1A0CEE9D" w14:textId="77777777" w:rsidR="004B0D95" w:rsidRDefault="004B0D95" w:rsidP="004B0D95">
      <w:pPr>
        <w:pStyle w:val="Itembulletlevel2"/>
      </w:pPr>
      <w:r>
        <w:t>CT images must be suitable for generation of quality digitally reconstructed radiographic images and projection images, such as maximum intensity projection; and</w:t>
      </w:r>
    </w:p>
    <w:p w14:paraId="0438DFF9" w14:textId="1898CBF8" w:rsidR="00AA3234" w:rsidRDefault="006C1EA2" w:rsidP="00AA3234">
      <w:pPr>
        <w:pStyle w:val="Itembulletlevel2"/>
      </w:pPr>
      <w:r>
        <w:t>T</w:t>
      </w:r>
      <w:r w:rsidR="004B0D95">
        <w:t>he final dosimetry plan must be validated by both the radiation therapist and medical physicist, using robust quality assurance processes, with the plan approved by the radiation oncologist prior to delivery, which must include:</w:t>
      </w:r>
    </w:p>
    <w:p w14:paraId="29387BDF" w14:textId="38D59527" w:rsidR="00AA3234" w:rsidRDefault="006C1EA2" w:rsidP="000E6D28">
      <w:pPr>
        <w:pStyle w:val="Itembulletlevel3"/>
      </w:pPr>
      <w:r>
        <w:t>A</w:t>
      </w:r>
      <w:r w:rsidR="00AA3234">
        <w:t>ssessment of motion management strategies and accuracy of delivery; or</w:t>
      </w:r>
    </w:p>
    <w:p w14:paraId="76F4F220" w14:textId="74C7CB83" w:rsidR="00AA3234" w:rsidRDefault="006C1EA2" w:rsidP="000E6D28">
      <w:pPr>
        <w:pStyle w:val="Itembulletlevel3"/>
      </w:pPr>
      <w:r>
        <w:t>D</w:t>
      </w:r>
      <w:r w:rsidR="00AA3234">
        <w:t>etermination of accuracy of the dose fluence delivered by the multi-leaf collimator and gantry position (static or dynamic); or</w:t>
      </w:r>
    </w:p>
    <w:p w14:paraId="2DF9A6D8" w14:textId="2FD75255" w:rsidR="00AA3234" w:rsidRDefault="006C1EA2" w:rsidP="000E6D28">
      <w:pPr>
        <w:pStyle w:val="Itembulletlevel3"/>
      </w:pPr>
      <w:r>
        <w:t>E</w:t>
      </w:r>
      <w:r w:rsidR="00AA3234">
        <w:t>nsuring the plan is deliverable, data transfer is acceptable and validation checks are completed on a linear accelerator; or</w:t>
      </w:r>
    </w:p>
    <w:p w14:paraId="5D8271A0" w14:textId="727E5686" w:rsidR="00AA3234" w:rsidRDefault="006C1EA2" w:rsidP="000E6D28">
      <w:pPr>
        <w:pStyle w:val="Itembulletlevel3"/>
      </w:pPr>
      <w:r>
        <w:t>V</w:t>
      </w:r>
      <w:r w:rsidR="00AA3234">
        <w:t>alidating accuracy of the derived IMRT treatment plan in a known dosimetric phantom; or</w:t>
      </w:r>
    </w:p>
    <w:p w14:paraId="6681F55F" w14:textId="73CA561A" w:rsidR="00AA3234" w:rsidRDefault="006C1EA2" w:rsidP="000E6D28">
      <w:pPr>
        <w:pStyle w:val="Itembulletlevel3"/>
      </w:pPr>
      <w:r>
        <w:lastRenderedPageBreak/>
        <w:t>D</w:t>
      </w:r>
      <w:r w:rsidR="00AA3234">
        <w:t>etermining accuracy of planned doses in comparison to delivered dose to designated points within the phantom and/or dosimetry device; and</w:t>
      </w:r>
    </w:p>
    <w:p w14:paraId="6F1752E3" w14:textId="6558036F" w:rsidR="004B0D95" w:rsidRDefault="006C1EA2" w:rsidP="004B0D95">
      <w:pPr>
        <w:pStyle w:val="Itembulletlevel2"/>
      </w:pPr>
      <w:r>
        <w:t>O</w:t>
      </w:r>
      <w:r w:rsidR="004B0D95">
        <w:t>nly one ADDITIONAL dosimetry plan (for re-planning/adaptive strategy) is payable through the MBS during the treatment course</w:t>
      </w:r>
      <w:r w:rsidR="00E34AA6">
        <w:t xml:space="preserve"> (at 50% of the </w:t>
      </w:r>
      <w:r w:rsidR="00FB2924">
        <w:t>f</w:t>
      </w:r>
      <w:r w:rsidR="00E34AA6">
        <w:t>ee for this item)</w:t>
      </w:r>
      <w:r w:rsidR="004B0D95">
        <w:t>, when treatment adjustments are inadequate to satisfy treatment protocol requirements.</w:t>
      </w:r>
    </w:p>
    <w:p w14:paraId="7F3A425D" w14:textId="77777777" w:rsidR="00B8722D" w:rsidRPr="00631C72" w:rsidRDefault="00FF0580" w:rsidP="00B8722D">
      <w:pPr>
        <w:pStyle w:val="Item"/>
      </w:pPr>
      <w:r w:rsidRPr="00631C72">
        <w:t>Item 15Y32:</w:t>
      </w:r>
    </w:p>
    <w:p w14:paraId="45034D94" w14:textId="133AD2E5" w:rsidR="007520E1" w:rsidRDefault="007520E1" w:rsidP="00B8722D">
      <w:r w:rsidRPr="00580D79">
        <w:t>Megavoltage Level 3.</w:t>
      </w:r>
      <w:r>
        <w:t>2</w:t>
      </w:r>
      <w:r w:rsidRPr="00580D79">
        <w:t xml:space="preserve"> </w:t>
      </w:r>
      <w:r w:rsidR="00596EAD">
        <w:t xml:space="preserve">– </w:t>
      </w:r>
      <w:r>
        <w:t>Complex</w:t>
      </w:r>
      <w:r w:rsidRPr="00580D79">
        <w:t xml:space="preserve"> IMRT Treatment &amp; Verification</w:t>
      </w:r>
      <w:r w:rsidR="00AE25BB">
        <w:t>, including Small Field Hypofractionated Treatment Strategies</w:t>
      </w:r>
    </w:p>
    <w:p w14:paraId="156EE310" w14:textId="2AC3F0CC" w:rsidR="00BB6B49" w:rsidRDefault="00631C72" w:rsidP="00B8722D">
      <w:r w:rsidRPr="00631C72">
        <w:t>COMPLEX intensity modulated radiation therapy (IMRT) and verification, using a device approved by the Therapeutic Goods Administration if:</w:t>
      </w:r>
    </w:p>
    <w:p w14:paraId="4E4896B1" w14:textId="7C889662" w:rsidR="00631C72" w:rsidRDefault="006C1EA2" w:rsidP="00F95A14">
      <w:pPr>
        <w:pStyle w:val="Itembulletlevel1"/>
        <w:numPr>
          <w:ilvl w:val="0"/>
          <w:numId w:val="32"/>
        </w:numPr>
      </w:pPr>
      <w:r>
        <w:t>I</w:t>
      </w:r>
      <w:r w:rsidR="00631C72">
        <w:t>mage-guided radiation therapy imaging is used (with motion management functionality if required) to implement a complex IMRT plan</w:t>
      </w:r>
      <w:r w:rsidR="00807E82">
        <w:t xml:space="preserve"> (which may include small field hypofractionated treatment strategies)</w:t>
      </w:r>
      <w:r w:rsidR="00631C72">
        <w:t xml:space="preserve">, prepared in accordance with item </w:t>
      </w:r>
      <w:r w:rsidR="00680753">
        <w:t>15X32</w:t>
      </w:r>
      <w:r w:rsidR="00631C72">
        <w:t>; and</w:t>
      </w:r>
    </w:p>
    <w:p w14:paraId="4681A53E" w14:textId="1EFE1E5F" w:rsidR="00CF287F" w:rsidRDefault="006C1EA2" w:rsidP="00F95A14">
      <w:pPr>
        <w:pStyle w:val="Itembulletlevel1"/>
        <w:numPr>
          <w:ilvl w:val="0"/>
          <w:numId w:val="32"/>
        </w:numPr>
      </w:pPr>
      <w:r>
        <w:t>C</w:t>
      </w:r>
      <w:r w:rsidR="00CF287F">
        <w:t>omplex IMRT delivery mode is utilised (delivered by a fixed or dynamic gantry linear accelerator, or by a helical non C-arm based linear accelerator), which includes motion management for single-dose level IMRT and small field hypofractionated IMRT cases, and radiation field positioning requires accuracy levels up to 5mm to ensure accurate dose delivery to the target, and image decisions and actions are documented in the patient’s record; and</w:t>
      </w:r>
    </w:p>
    <w:p w14:paraId="76AD1103" w14:textId="15DFE43A" w:rsidR="00CF287F" w:rsidRDefault="006C1EA2" w:rsidP="00F95A14">
      <w:pPr>
        <w:pStyle w:val="Itembulletlevel1"/>
        <w:numPr>
          <w:ilvl w:val="0"/>
          <w:numId w:val="32"/>
        </w:numPr>
      </w:pPr>
      <w:r>
        <w:t>P</w:t>
      </w:r>
      <w:r w:rsidR="00CF287F">
        <w:t>ayable once only for each attendance at which treatment is given (with two attendances only paid if another site is located in a different organ/part of the body and requires treatment on the same day), with daily attendance by the radiation oncologist if required (particularly for small field hypofractionated treatment strategies); and</w:t>
      </w:r>
    </w:p>
    <w:p w14:paraId="621CF07A" w14:textId="4A140F58" w:rsidR="004A7174" w:rsidRPr="002836EB" w:rsidRDefault="006C1EA2" w:rsidP="00F95A14">
      <w:pPr>
        <w:pStyle w:val="Itembulletlevel1"/>
        <w:numPr>
          <w:ilvl w:val="0"/>
          <w:numId w:val="32"/>
        </w:numPr>
      </w:pPr>
      <w:r>
        <w:t>D</w:t>
      </w:r>
      <w:r w:rsidR="00CF287F">
        <w:t xml:space="preserve">aily treatment verification is included in the MBS fee, and patient-specific IMRT quality assurance applied to all cases, with one ADDITIONAL IMRT plan/adaptive strategy payable per treatment course (at 50% of the fee for item </w:t>
      </w:r>
      <w:r w:rsidR="00EE7714">
        <w:t>1</w:t>
      </w:r>
      <w:r w:rsidR="00517291">
        <w:t>5X</w:t>
      </w:r>
      <w:r w:rsidR="00EE7714">
        <w:t>32</w:t>
      </w:r>
      <w:r w:rsidR="00CF287F">
        <w:t>) when treatment adjustments are inadequate to satisfy treatment protocol requirements.</w:t>
      </w:r>
    </w:p>
    <w:p w14:paraId="59C18656" w14:textId="77777777" w:rsidR="00B8722D" w:rsidRPr="002836EB" w:rsidRDefault="00FF0580" w:rsidP="00B8722D">
      <w:pPr>
        <w:pStyle w:val="Item"/>
      </w:pPr>
      <w:r w:rsidRPr="002836EB">
        <w:t xml:space="preserve">Item 15X40: </w:t>
      </w:r>
    </w:p>
    <w:p w14:paraId="487ED352" w14:textId="7CA31793" w:rsidR="00FF0580" w:rsidRPr="002836EB" w:rsidRDefault="004A7174" w:rsidP="00B8722D">
      <w:r w:rsidRPr="002836EB">
        <w:t xml:space="preserve">Megavoltage </w:t>
      </w:r>
      <w:r w:rsidR="00FF0580" w:rsidRPr="002836EB">
        <w:t>Level 4</w:t>
      </w:r>
      <w:r w:rsidR="00276BC5">
        <w:t xml:space="preserve"> </w:t>
      </w:r>
      <w:r w:rsidR="009C617D" w:rsidRPr="002836EB">
        <w:t>–</w:t>
      </w:r>
      <w:r w:rsidR="00FF0580" w:rsidRPr="002836EB">
        <w:t xml:space="preserve"> </w:t>
      </w:r>
      <w:r w:rsidR="004775B0" w:rsidRPr="004775B0">
        <w:t>Intr</w:t>
      </w:r>
      <w:r w:rsidR="004775B0">
        <w:t>acranial Stereotactic Radiation T</w:t>
      </w:r>
      <w:r w:rsidR="004775B0" w:rsidRPr="004775B0">
        <w:t>herapy Simulation &amp; Planning</w:t>
      </w:r>
    </w:p>
    <w:p w14:paraId="23C29819" w14:textId="77777777" w:rsidR="004B5781" w:rsidRPr="00680753" w:rsidRDefault="004B5781" w:rsidP="00F95A14">
      <w:pPr>
        <w:pStyle w:val="Itembulletlevel1"/>
        <w:numPr>
          <w:ilvl w:val="0"/>
          <w:numId w:val="34"/>
        </w:numPr>
        <w:rPr>
          <w:lang w:val="en-GB"/>
        </w:rPr>
      </w:pPr>
      <w:r w:rsidRPr="00680753">
        <w:rPr>
          <w:lang w:val="en-GB"/>
        </w:rPr>
        <w:t xml:space="preserve">Simulation for INTRACRANIAL STEREOTACTIC RADIATION THERAPY (SRT) if: </w:t>
      </w:r>
    </w:p>
    <w:p w14:paraId="7B51C0F5" w14:textId="3494F0BF" w:rsidR="004B5781" w:rsidRPr="004B5781" w:rsidRDefault="006C1EA2" w:rsidP="004B5781">
      <w:pPr>
        <w:pStyle w:val="Itembulletlevel2"/>
      </w:pPr>
      <w:r>
        <w:t>T</w:t>
      </w:r>
      <w:r w:rsidR="004B5781" w:rsidRPr="004B5781">
        <w:t xml:space="preserve">reatment set-up and technique specifications are in preparation for inverse planned or dynamic conformal arc therapy stereotactic delivery; and </w:t>
      </w:r>
    </w:p>
    <w:p w14:paraId="0A647AF5" w14:textId="50E49811" w:rsidR="004B5781" w:rsidRPr="004B5781" w:rsidRDefault="006C1EA2" w:rsidP="004B5781">
      <w:pPr>
        <w:pStyle w:val="Itembulletlevel2"/>
      </w:pPr>
      <w:r>
        <w:t>P</w:t>
      </w:r>
      <w:r w:rsidR="004B5781" w:rsidRPr="004B5781">
        <w:t xml:space="preserve">recise personalised patient set-up and immobilisation techniques are suitable for reliable computed tomography (CT) image volume data acquisition and reproducible SRT small field and ablative treatments; and </w:t>
      </w:r>
    </w:p>
    <w:p w14:paraId="4BCDB789" w14:textId="6CAAA55B" w:rsidR="004B5781" w:rsidRPr="004B5781" w:rsidRDefault="006C1EA2" w:rsidP="004B5781">
      <w:pPr>
        <w:pStyle w:val="Itembulletlevel2"/>
      </w:pPr>
      <w:r>
        <w:t>A</w:t>
      </w:r>
      <w:r w:rsidR="004B5781" w:rsidRPr="004B5781">
        <w:t xml:space="preserve"> high-quality three dimensional image volume dataset must be acquired in treatment position for the relevant region of interest to be planned, treated and verified (through daily planar or volumetric image guidance strategies); and</w:t>
      </w:r>
    </w:p>
    <w:p w14:paraId="75CBCC5D" w14:textId="69968473" w:rsidR="00164257" w:rsidRPr="002836EB" w:rsidRDefault="006C1EA2" w:rsidP="002F2E34">
      <w:pPr>
        <w:pStyle w:val="Itembulletlevel2"/>
      </w:pPr>
      <w:r>
        <w:t>T</w:t>
      </w:r>
      <w:r w:rsidR="004B5781" w:rsidRPr="004B5781">
        <w:t>he image-set must be suitable for fusion or co-registration with diagnostic quality datasets (such as from magnetic resonance imaging or positron emission tomography scans) and generation of quality digitally reconstructed radiographic images to support ablative planning an</w:t>
      </w:r>
      <w:r w:rsidR="00564F9E">
        <w:t>d treatment delivery strategies; and</w:t>
      </w:r>
    </w:p>
    <w:p w14:paraId="772BDB5F" w14:textId="304DBA4B" w:rsidR="004B5781" w:rsidRPr="004B5781" w:rsidRDefault="004B5781" w:rsidP="00680753">
      <w:pPr>
        <w:pStyle w:val="Itembulletlevel1"/>
      </w:pPr>
      <w:r w:rsidRPr="004B5781">
        <w:lastRenderedPageBreak/>
        <w:t>Dosimetry for intracranial stereotactic radiation therapy (SRT) if:</w:t>
      </w:r>
    </w:p>
    <w:p w14:paraId="688BD30E" w14:textId="4E641B4D" w:rsidR="004B5781" w:rsidRPr="004B5781" w:rsidRDefault="006C1EA2" w:rsidP="004B5781">
      <w:pPr>
        <w:pStyle w:val="Itembulletlevel2"/>
      </w:pPr>
      <w:r>
        <w:t>T</w:t>
      </w:r>
      <w:r w:rsidR="004B5781" w:rsidRPr="004B5781">
        <w:t>he intensity modulated radiation therapy (IMRT) or dynamic conformal arc therapy (DCAT) planning process is required to calculate dose to single or multiple target structures and require</w:t>
      </w:r>
      <w:r>
        <w:t>s</w:t>
      </w:r>
      <w:r w:rsidR="004B5781" w:rsidRPr="004B5781">
        <w:t xml:space="preserve"> a dose-volume histogram to complete the planning process; and</w:t>
      </w:r>
    </w:p>
    <w:p w14:paraId="572CB08D" w14:textId="7178258C" w:rsidR="004B5781" w:rsidRPr="004B5781" w:rsidRDefault="001756FB" w:rsidP="004B5781">
      <w:pPr>
        <w:pStyle w:val="Itembulletlevel2"/>
      </w:pPr>
      <w:r>
        <w:t>T</w:t>
      </w:r>
      <w:r w:rsidR="004B5781" w:rsidRPr="004B5781">
        <w:t>he IMRT or DCAT planning process maximises the differential between target dose, organs at risk and normal tissue dose, based on review and assessment by a radiation oncologist; and</w:t>
      </w:r>
    </w:p>
    <w:p w14:paraId="687E03B6" w14:textId="29455E20" w:rsidR="004B5781" w:rsidRPr="004B5781" w:rsidRDefault="001756FB" w:rsidP="004B5781">
      <w:pPr>
        <w:pStyle w:val="Itembulletlevel2"/>
      </w:pPr>
      <w:r>
        <w:t>A</w:t>
      </w:r>
      <w:r w:rsidR="004B5781" w:rsidRPr="004B5781">
        <w:t>ll gross tumour targets, clinical targets, planning targets and organs at risk are rendered as volumes; and</w:t>
      </w:r>
    </w:p>
    <w:p w14:paraId="45614BF0" w14:textId="6538CB9D" w:rsidR="004B5781" w:rsidRPr="004B5781" w:rsidRDefault="001756FB" w:rsidP="004B5781">
      <w:pPr>
        <w:pStyle w:val="Itembulletlevel2"/>
      </w:pPr>
      <w:r>
        <w:t>O</w:t>
      </w:r>
      <w:r w:rsidR="004B5781" w:rsidRPr="004B5781">
        <w:t>rgans at risk must be nominated as planning dose goals or constraints; and</w:t>
      </w:r>
    </w:p>
    <w:p w14:paraId="40AB0277" w14:textId="4EE825A5" w:rsidR="004B5781" w:rsidRPr="004B5781" w:rsidRDefault="001756FB" w:rsidP="004B5781">
      <w:pPr>
        <w:pStyle w:val="Itembulletlevel2"/>
      </w:pPr>
      <w:r>
        <w:t>D</w:t>
      </w:r>
      <w:r w:rsidR="004B5781" w:rsidRPr="004B5781">
        <w:t>ose calculations and dose-volume histograms are generated in an inverse planned or DCAT process, using a validated stereotactic-type calculation algorithm, with prescription and plan details approved and recorded with the plan; and</w:t>
      </w:r>
    </w:p>
    <w:p w14:paraId="7B8A659F" w14:textId="3AF8FC17" w:rsidR="004B5781" w:rsidRPr="004B5781" w:rsidRDefault="001756FB" w:rsidP="004B5781">
      <w:pPr>
        <w:pStyle w:val="Itembulletlevel2"/>
      </w:pPr>
      <w:r>
        <w:t>T</w:t>
      </w:r>
      <w:r w:rsidR="004B5781" w:rsidRPr="004B5781">
        <w:t xml:space="preserve">he three dimensional computed tomography image volume dataset is used for the relevant region to be planned, treated and verified; and </w:t>
      </w:r>
    </w:p>
    <w:p w14:paraId="07696F2A" w14:textId="7CEBCD54" w:rsidR="004B5781" w:rsidRPr="004B5781" w:rsidRDefault="001756FB" w:rsidP="004B5781">
      <w:pPr>
        <w:pStyle w:val="Itembulletlevel2"/>
      </w:pPr>
      <w:r>
        <w:t>R</w:t>
      </w:r>
      <w:r w:rsidR="00E2758F">
        <w:t xml:space="preserve">elevant </w:t>
      </w:r>
      <w:r w:rsidR="004B5781" w:rsidRPr="004B5781">
        <w:t xml:space="preserve">multi-modality imaging (such as computed tomography contrast, magnetic resonance imaging and positron emission tomography) is used to delineate </w:t>
      </w:r>
      <w:r w:rsidR="00E2758F">
        <w:t>targets and organs at risk</w:t>
      </w:r>
      <w:r w:rsidR="004B5781" w:rsidRPr="004B5781">
        <w:t>; and</w:t>
      </w:r>
    </w:p>
    <w:p w14:paraId="72DA4F09" w14:textId="5B0A3C0F" w:rsidR="004B5781" w:rsidRPr="004B5781" w:rsidRDefault="001756FB" w:rsidP="004B5781">
      <w:pPr>
        <w:pStyle w:val="Itembulletlevel2"/>
      </w:pPr>
      <w:r>
        <w:t>T</w:t>
      </w:r>
      <w:r w:rsidR="004B5781" w:rsidRPr="004B5781">
        <w:t>he computed tomography images are suitable for generation of quality digitally</w:t>
      </w:r>
      <w:r w:rsidR="00457286">
        <w:t xml:space="preserve"> </w:t>
      </w:r>
      <w:r w:rsidR="004B5781" w:rsidRPr="004B5781">
        <w:t>reconstructed radiographic images; and</w:t>
      </w:r>
    </w:p>
    <w:p w14:paraId="3C16EFA0" w14:textId="32AEF71F" w:rsidR="004B5781" w:rsidRPr="004B5781" w:rsidRDefault="001756FB" w:rsidP="004B5781">
      <w:pPr>
        <w:pStyle w:val="Itembulletlevel2"/>
      </w:pPr>
      <w:r>
        <w:t>T</w:t>
      </w:r>
      <w:r w:rsidR="004B5781" w:rsidRPr="004B5781">
        <w:t>he final dosimetry plan is validated by both the radiation therapist and medical physicist, using robust quality-assurance processes, with the plan approved by the radiation oncologist prior to delivery, which must include:</w:t>
      </w:r>
    </w:p>
    <w:p w14:paraId="56F3A191" w14:textId="7D4B3AC6" w:rsidR="004B5781" w:rsidRPr="004B5781" w:rsidRDefault="001756FB" w:rsidP="000E6D28">
      <w:pPr>
        <w:pStyle w:val="Itembulletlevel3"/>
      </w:pPr>
      <w:r>
        <w:t>D</w:t>
      </w:r>
      <w:r w:rsidR="004B5781" w:rsidRPr="004B5781">
        <w:t>etermination of accuracy of dose fluence delivered by the multi-leaf collimator and gantry position (static or dynamic) for intensity modulated radiation therapy (IMRT) delivery; or</w:t>
      </w:r>
    </w:p>
    <w:p w14:paraId="5B8A2CB6" w14:textId="4A1AA7F4" w:rsidR="004B5781" w:rsidRPr="004B5781" w:rsidRDefault="001756FB" w:rsidP="000E6D28">
      <w:pPr>
        <w:pStyle w:val="Itembulletlevel3"/>
      </w:pPr>
      <w:r>
        <w:t>E</w:t>
      </w:r>
      <w:r w:rsidR="004B5781" w:rsidRPr="004B5781">
        <w:t>nsuring the plan is deliverable, data transfer is acceptable and validation checks are completed on a linear accelerator; or</w:t>
      </w:r>
    </w:p>
    <w:p w14:paraId="5EE237AE" w14:textId="7BAA1660" w:rsidR="004B5781" w:rsidRPr="004B5781" w:rsidRDefault="001756FB" w:rsidP="000E6D28">
      <w:pPr>
        <w:pStyle w:val="Itembulletlevel3"/>
      </w:pPr>
      <w:r>
        <w:t>V</w:t>
      </w:r>
      <w:r w:rsidR="004B5781" w:rsidRPr="004B5781">
        <w:t>alidation of accuracy of the derived IMRT or dynamic conformal arc therapy plan in a known dosimetric phantom; or</w:t>
      </w:r>
    </w:p>
    <w:p w14:paraId="277EE7D4" w14:textId="47295FCE" w:rsidR="004B5781" w:rsidRPr="004B5781" w:rsidRDefault="001756FB" w:rsidP="000E6D28">
      <w:pPr>
        <w:pStyle w:val="Itembulletlevel3"/>
      </w:pPr>
      <w:r>
        <w:t>D</w:t>
      </w:r>
      <w:r w:rsidR="004B5781" w:rsidRPr="004B5781">
        <w:t>etermination of accuracy of planned doses in comparison to delivered dose to designated points within the phantom and/or dosimetry device; and</w:t>
      </w:r>
    </w:p>
    <w:p w14:paraId="4A906CC8" w14:textId="4142412D" w:rsidR="004B5781" w:rsidRPr="004B5781" w:rsidRDefault="001756FB" w:rsidP="004B5781">
      <w:pPr>
        <w:pStyle w:val="Itembulletlevel2"/>
      </w:pPr>
      <w:r>
        <w:t>O</w:t>
      </w:r>
      <w:r w:rsidR="004B5781" w:rsidRPr="004B5781">
        <w:t>nly one ADDITIONAL dosimetry plan (for re-planning/adaptive strategy) is payable through the MBS during the treatment course</w:t>
      </w:r>
      <w:r w:rsidR="00382813">
        <w:t xml:space="preserve"> (at 50% of the </w:t>
      </w:r>
      <w:r w:rsidR="00457286">
        <w:t>f</w:t>
      </w:r>
      <w:r w:rsidR="00382813">
        <w:t>ee for this item)</w:t>
      </w:r>
      <w:r w:rsidR="004B5781" w:rsidRPr="004B5781">
        <w:t>, when treatment adjustments are inadequate to satisfy treatment protocol requirements.</w:t>
      </w:r>
    </w:p>
    <w:p w14:paraId="31807ECF" w14:textId="77777777" w:rsidR="002F2E34" w:rsidRPr="00C449A2" w:rsidRDefault="00FF0580" w:rsidP="002F2E34">
      <w:pPr>
        <w:pStyle w:val="Item"/>
      </w:pPr>
      <w:r w:rsidRPr="00C449A2">
        <w:t xml:space="preserve">Item 15Y40: </w:t>
      </w:r>
    </w:p>
    <w:p w14:paraId="3D4EEF29" w14:textId="1F0DC9E1" w:rsidR="00347C34" w:rsidRPr="00C449A2" w:rsidRDefault="00BB6B49" w:rsidP="002F2E34">
      <w:r w:rsidRPr="00C449A2">
        <w:t xml:space="preserve">Megavoltage Level 4 </w:t>
      </w:r>
      <w:r w:rsidR="000327FF" w:rsidRPr="00C449A2">
        <w:t>–</w:t>
      </w:r>
      <w:r w:rsidRPr="00C449A2">
        <w:t xml:space="preserve"> </w:t>
      </w:r>
      <w:r w:rsidR="00347C34" w:rsidRPr="00C449A2">
        <w:t xml:space="preserve">Intracranial Stereotactic Radiation Therapy </w:t>
      </w:r>
      <w:r w:rsidR="00C449A2" w:rsidRPr="00C449A2">
        <w:t>&amp;</w:t>
      </w:r>
      <w:r w:rsidR="00347C34" w:rsidRPr="00C449A2">
        <w:t xml:space="preserve"> Verification </w:t>
      </w:r>
    </w:p>
    <w:p w14:paraId="700A6F3E" w14:textId="77777777" w:rsidR="004D6C6A" w:rsidRDefault="00C449A2" w:rsidP="002F2E34">
      <w:r w:rsidRPr="00C449A2">
        <w:t>INTRACRANIAL STEREOTACTIC RADIATION THERAPY and verification, using a device approved by the Therapeutic Goods Administration if:</w:t>
      </w:r>
    </w:p>
    <w:p w14:paraId="01453A9D" w14:textId="25CB4154" w:rsidR="00680753" w:rsidRDefault="001756FB" w:rsidP="00F95A14">
      <w:pPr>
        <w:pStyle w:val="Itembulletlevel1"/>
        <w:numPr>
          <w:ilvl w:val="0"/>
          <w:numId w:val="33"/>
        </w:numPr>
      </w:pPr>
      <w:r>
        <w:lastRenderedPageBreak/>
        <w:t>I</w:t>
      </w:r>
      <w:r w:rsidR="00680753">
        <w:t xml:space="preserve">mage-guided radiation therapy imaging is used (with motion management functionality if required) to implement an intensity modulated radiation therapy (IMRT) or dynamic conformal arc therapy (DCAT) plan, prepared in accordance with item </w:t>
      </w:r>
      <w:r w:rsidR="001911BC">
        <w:t>15X40</w:t>
      </w:r>
      <w:r w:rsidR="00680753">
        <w:t xml:space="preserve">; and </w:t>
      </w:r>
    </w:p>
    <w:p w14:paraId="06FDDAFD" w14:textId="77777777" w:rsidR="00990D79" w:rsidRDefault="00990D79" w:rsidP="00F95A14">
      <w:pPr>
        <w:pStyle w:val="Itembulletlevel1"/>
        <w:numPr>
          <w:ilvl w:val="0"/>
          <w:numId w:val="33"/>
        </w:numPr>
      </w:pPr>
      <w:r>
        <w:t>IMRT delivery mode is utilised (delivered by a fixed or dynamic gantry linear accelerator, or by a helical non C-arm based linear accelerator), or DCAT mode is utilised, with management of motion as required, and radiation field positioning requires accuracy levels of less than 5mm to ensure accurate dose delivery to the target, and image decisions and actions are documented in the patient’s record; and</w:t>
      </w:r>
    </w:p>
    <w:p w14:paraId="0B426ABD" w14:textId="7E9D91A2" w:rsidR="004A7174" w:rsidRPr="002836EB" w:rsidRDefault="001756FB" w:rsidP="00F95A14">
      <w:pPr>
        <w:pStyle w:val="Itembulletlevel1"/>
        <w:numPr>
          <w:ilvl w:val="0"/>
          <w:numId w:val="33"/>
        </w:numPr>
      </w:pPr>
      <w:r>
        <w:t>P</w:t>
      </w:r>
      <w:r w:rsidR="00990D79">
        <w:t xml:space="preserve">ayable once only for each attendance at which treatment is given, with two attendances only paid if another site is located in a different organ/part of the body and requires treatment on the same day, and daily treatment verification included in the MBS fee (using at least two planar image views/projections or one volumetric image-set to facilitate a three dimensional adjustment to radiation treatment field positioning), and patient-specific IMRT quality assurance applied to all cases, with one ADDITIONAL dosimetry plan/adaptive strategy payable per treatment course (at 50% of the fee for item </w:t>
      </w:r>
      <w:r w:rsidR="00390073">
        <w:t>15X40</w:t>
      </w:r>
      <w:r w:rsidR="00990D79">
        <w:t>) when treatment adjustments are inadequate to satisfy tre</w:t>
      </w:r>
      <w:r w:rsidR="00DE32F9">
        <w:t xml:space="preserve">atment protocol requirements. </w:t>
      </w:r>
    </w:p>
    <w:p w14:paraId="38DC0F7F" w14:textId="77777777" w:rsidR="002F2E34" w:rsidRPr="002836EB" w:rsidRDefault="00FF0580" w:rsidP="006770A0">
      <w:pPr>
        <w:pStyle w:val="Item"/>
      </w:pPr>
      <w:r w:rsidRPr="002836EB">
        <w:t xml:space="preserve">Item 15X50: </w:t>
      </w:r>
    </w:p>
    <w:p w14:paraId="28BF3511" w14:textId="18E6AF80" w:rsidR="00FF0580" w:rsidRPr="002836EB" w:rsidRDefault="004A7174" w:rsidP="002F2E34">
      <w:r w:rsidRPr="002836EB">
        <w:t xml:space="preserve">Megavoltage </w:t>
      </w:r>
      <w:r w:rsidR="00FF0580" w:rsidRPr="002836EB">
        <w:t>Level 5</w:t>
      </w:r>
      <w:r w:rsidR="00276BC5">
        <w:t xml:space="preserve"> </w:t>
      </w:r>
      <w:r w:rsidR="00F65C29" w:rsidRPr="002836EB">
        <w:t>–</w:t>
      </w:r>
      <w:r w:rsidR="00FF0580" w:rsidRPr="002836EB">
        <w:t xml:space="preserve"> Specialised Simulation &amp; Planning</w:t>
      </w:r>
    </w:p>
    <w:p w14:paraId="5FE8EA39" w14:textId="3A2D88B5" w:rsidR="00603A33" w:rsidRPr="00603A33" w:rsidRDefault="00603A33" w:rsidP="00F95A14">
      <w:pPr>
        <w:pStyle w:val="Itembulletlevel1"/>
        <w:numPr>
          <w:ilvl w:val="0"/>
          <w:numId w:val="24"/>
        </w:numPr>
        <w:rPr>
          <w:lang w:val="en-GB"/>
        </w:rPr>
      </w:pPr>
      <w:r w:rsidRPr="00603A33">
        <w:rPr>
          <w:lang w:val="en-GB"/>
        </w:rPr>
        <w:t>Simulation for SPECIALISED RADIATION THERAPY</w:t>
      </w:r>
      <w:r w:rsidR="00F40A5D">
        <w:rPr>
          <w:lang w:val="en-GB"/>
        </w:rPr>
        <w:t>, requiring the attendance of the radiation oncologist or trained delegate,</w:t>
      </w:r>
      <w:r w:rsidRPr="00603A33">
        <w:rPr>
          <w:lang w:val="en-GB"/>
        </w:rPr>
        <w:t xml:space="preserve"> if: </w:t>
      </w:r>
    </w:p>
    <w:p w14:paraId="056E7FF3" w14:textId="018D8664" w:rsidR="00603A33" w:rsidRPr="00603A33" w:rsidRDefault="001756FB" w:rsidP="00603A33">
      <w:pPr>
        <w:pStyle w:val="Itembulletlevel2"/>
      </w:pPr>
      <w:r>
        <w:t>T</w:t>
      </w:r>
      <w:r w:rsidR="00603A33" w:rsidRPr="00603A33">
        <w:t xml:space="preserve">reatment set-up and technique specifications are in preparation for specialised applications, such as paediatric cases with general anaesthetic or total body irradiation (photons or electrons), utilising a full range of complex treatment options (complex three dimensional radiation therapy, complex intensity modulated radiation therapy (IMRT), and IMRT or dynamic conformal arc therapy (DCAT) stereotactic delivery); and </w:t>
      </w:r>
    </w:p>
    <w:p w14:paraId="7B2F4EB0" w14:textId="2D696034" w:rsidR="00603A33" w:rsidRPr="00603A33" w:rsidRDefault="001756FB" w:rsidP="00603A33">
      <w:pPr>
        <w:pStyle w:val="Itembulletlevel2"/>
      </w:pPr>
      <w:r>
        <w:t>P</w:t>
      </w:r>
      <w:r w:rsidR="00603A33" w:rsidRPr="00603A33">
        <w:t xml:space="preserve">recise personalised patient set-up and immobilisation techniques are suitable for reliable computed tomography image volume data acquisition and reproducible complex three dimensional, complex IMRT, and IMRT or DCAT stereotactic delivery which are challenging for the patient and require lengthy treatment delivery times; and </w:t>
      </w:r>
    </w:p>
    <w:p w14:paraId="60EAA5BB" w14:textId="3E9C755F" w:rsidR="00603A33" w:rsidRPr="00603A33" w:rsidRDefault="001756FB" w:rsidP="00603A33">
      <w:pPr>
        <w:pStyle w:val="Itembulletlevel2"/>
      </w:pPr>
      <w:r>
        <w:t>A</w:t>
      </w:r>
      <w:r w:rsidR="00603A33" w:rsidRPr="00603A33">
        <w:t xml:space="preserve"> high-quality three dimensional or four dimensional image volume dataset is acquired in treatment position for the relevant region of interest to be planned, treated and verified (through daily planar or volumetric image guidance strategies); and</w:t>
      </w:r>
    </w:p>
    <w:p w14:paraId="6BC998D2" w14:textId="6E92434C" w:rsidR="00164257" w:rsidRDefault="001756FB" w:rsidP="00603A33">
      <w:pPr>
        <w:pStyle w:val="Itembulletlevel2"/>
      </w:pPr>
      <w:r>
        <w:t>T</w:t>
      </w:r>
      <w:r w:rsidR="00603A33" w:rsidRPr="00603A33">
        <w:t>he image-set must be suitable for fusion or co-registration with diagnostic quality datasets and generation of quality digitally</w:t>
      </w:r>
      <w:r w:rsidR="00835D4A">
        <w:t xml:space="preserve"> </w:t>
      </w:r>
      <w:r w:rsidR="00603A33" w:rsidRPr="00603A33">
        <w:t>reconstructed radiographic images to all complex three dimensional, complex IMRT, and IMRT/DCAT stereotactic delivery strategies; and</w:t>
      </w:r>
    </w:p>
    <w:p w14:paraId="3D837018" w14:textId="7E599302" w:rsidR="00603A33" w:rsidRDefault="00603A33" w:rsidP="00603A33">
      <w:pPr>
        <w:pStyle w:val="Itembulletlevel1"/>
      </w:pPr>
      <w:r>
        <w:t>Dosimetry for specialised radiation therapy if:</w:t>
      </w:r>
    </w:p>
    <w:p w14:paraId="7670276D" w14:textId="7C2C9FD6" w:rsidR="00603A33" w:rsidRDefault="001756FB" w:rsidP="00603A33">
      <w:pPr>
        <w:pStyle w:val="Itembulletlevel2"/>
      </w:pPr>
      <w:r>
        <w:t>T</w:t>
      </w:r>
      <w:r w:rsidR="00603A33">
        <w:t>he complex three dimensional, complex IMRT, and IMRT/DCAT stereotactic delivery planning process is required to calculate dose to single or multiple target structures and require</w:t>
      </w:r>
      <w:r>
        <w:t>s</w:t>
      </w:r>
      <w:r w:rsidR="00603A33">
        <w:t xml:space="preserve"> a dose-volume histogram to complete the planning process; and</w:t>
      </w:r>
    </w:p>
    <w:p w14:paraId="47A57137" w14:textId="56FCBDDE" w:rsidR="00603A33" w:rsidRDefault="00411506" w:rsidP="00603A33">
      <w:pPr>
        <w:pStyle w:val="Itembulletlevel2"/>
      </w:pPr>
      <w:r>
        <w:lastRenderedPageBreak/>
        <w:t>T</w:t>
      </w:r>
      <w:r w:rsidR="00603A33">
        <w:t>he complex three dimensional, complex IMRT, and IMRT/DCAT stereotactic delivery planning process maximises the differential between target dose, organs at risk and normal tissue dose, based on review and assessment by a radiation oncologist; and</w:t>
      </w:r>
    </w:p>
    <w:p w14:paraId="30F5251F" w14:textId="390CC17E" w:rsidR="00603A33" w:rsidRDefault="00411506" w:rsidP="00603A33">
      <w:pPr>
        <w:pStyle w:val="Itembulletlevel2"/>
      </w:pPr>
      <w:r>
        <w:t>A</w:t>
      </w:r>
      <w:r w:rsidR="00603A33">
        <w:t>ll gross tumour targets, clinical targets, planning targets and organs at risk must be rendered as volumes; and</w:t>
      </w:r>
    </w:p>
    <w:p w14:paraId="479DDD72" w14:textId="3967E26E" w:rsidR="00603A33" w:rsidRDefault="00411506" w:rsidP="00603A33">
      <w:pPr>
        <w:pStyle w:val="Itembulletlevel2"/>
      </w:pPr>
      <w:r>
        <w:t xml:space="preserve">Organs </w:t>
      </w:r>
      <w:r w:rsidR="00603A33">
        <w:t>at risk must be nominated as planning dose goals or constraints; and</w:t>
      </w:r>
    </w:p>
    <w:p w14:paraId="0E452753" w14:textId="61665FC3" w:rsidR="00603A33" w:rsidRDefault="00411506" w:rsidP="00603A33">
      <w:pPr>
        <w:pStyle w:val="Itembulletlevel2"/>
      </w:pPr>
      <w:r>
        <w:t>D</w:t>
      </w:r>
      <w:r w:rsidR="00603A33">
        <w:t>ose calculations and dose-volume histograms must be generated in a complex three dimensional, inverse-planned or DCAT process, using a specialised calculation algorithm, with prescription and plan details approved and recorded with the plan; and</w:t>
      </w:r>
    </w:p>
    <w:p w14:paraId="0E024484" w14:textId="2F74B8D2" w:rsidR="00603A33" w:rsidRDefault="00411506" w:rsidP="00603A33">
      <w:pPr>
        <w:pStyle w:val="Itembulletlevel2"/>
      </w:pPr>
      <w:r>
        <w:t>T</w:t>
      </w:r>
      <w:r w:rsidR="00603A33">
        <w:t xml:space="preserve">hree dimensional computed tomography image volume dataset must be used for the relevant region to be planned, treated and verified; and </w:t>
      </w:r>
    </w:p>
    <w:p w14:paraId="080B399F" w14:textId="2BE3293B" w:rsidR="00603A33" w:rsidRDefault="00411506" w:rsidP="00603A33">
      <w:pPr>
        <w:pStyle w:val="Itembulletlevel2"/>
      </w:pPr>
      <w:r>
        <w:t>R</w:t>
      </w:r>
      <w:r w:rsidR="00927B3A">
        <w:t xml:space="preserve">elevant </w:t>
      </w:r>
      <w:r w:rsidR="00603A33">
        <w:t xml:space="preserve">multi-modality imaging (such as computed tomography contrast, magnetic resonance imaging and positron emission tomography) is used to delineate all relevant </w:t>
      </w:r>
      <w:r w:rsidR="00C137C8">
        <w:t>targets and organs at risk</w:t>
      </w:r>
      <w:r w:rsidR="00603A33">
        <w:t>; and</w:t>
      </w:r>
    </w:p>
    <w:p w14:paraId="31AE4F0C" w14:textId="699D0718" w:rsidR="00603A33" w:rsidRDefault="00411506" w:rsidP="00603A33">
      <w:pPr>
        <w:pStyle w:val="Itembulletlevel2"/>
      </w:pPr>
      <w:r>
        <w:t>C</w:t>
      </w:r>
      <w:r w:rsidR="00603A33">
        <w:t>omputed tomography images are suitable for generation of quality digitally</w:t>
      </w:r>
      <w:r w:rsidR="00FE2BB9">
        <w:t xml:space="preserve"> </w:t>
      </w:r>
      <w:r w:rsidR="00603A33">
        <w:t>reconstructed radiographic images; and</w:t>
      </w:r>
    </w:p>
    <w:p w14:paraId="071B4160" w14:textId="482613D0" w:rsidR="00603A33" w:rsidRDefault="00411506" w:rsidP="00603A33">
      <w:pPr>
        <w:pStyle w:val="Itembulletlevel2"/>
      </w:pPr>
      <w:r>
        <w:t>T</w:t>
      </w:r>
      <w:r w:rsidR="00603A33">
        <w:t>he final dosimetry plan is validated by both the radiation therapist and medical physicist, using robust quality-assurance processes, with the plan approved by the radiation oncologist prior to delivery, which must include:</w:t>
      </w:r>
    </w:p>
    <w:p w14:paraId="3BA7B453" w14:textId="77D2E235" w:rsidR="00603A33" w:rsidRDefault="00411506" w:rsidP="00603A33">
      <w:pPr>
        <w:pStyle w:val="Itembulletlevel3"/>
      </w:pPr>
      <w:r>
        <w:t>F</w:t>
      </w:r>
      <w:r w:rsidR="00603A33">
        <w:t>or IMRT cases, determination of accuracy of dose fluence delivered by the multi-leaf collimator and gantry position (static or dynamic); or</w:t>
      </w:r>
    </w:p>
    <w:p w14:paraId="2BBDB3B0" w14:textId="703D0EAD" w:rsidR="00603A33" w:rsidRDefault="00411506" w:rsidP="00603A33">
      <w:pPr>
        <w:pStyle w:val="Itembulletlevel3"/>
      </w:pPr>
      <w:r>
        <w:t>F</w:t>
      </w:r>
      <w:r w:rsidR="00603A33">
        <w:t>or all cases, ensuring the plan is deliverable, data transfer is acceptable and validation checks are completed on a linear accelerator; or</w:t>
      </w:r>
    </w:p>
    <w:p w14:paraId="27A3311E" w14:textId="7168F3C3" w:rsidR="00603A33" w:rsidRDefault="00411506" w:rsidP="00603A33">
      <w:pPr>
        <w:pStyle w:val="Itembulletlevel3"/>
      </w:pPr>
      <w:r>
        <w:t>V</w:t>
      </w:r>
      <w:r w:rsidR="00603A33">
        <w:t>alidation of accuracy of the derived IMRT/DCAT treatment plan in a known dosimetric phantom; or</w:t>
      </w:r>
    </w:p>
    <w:p w14:paraId="3AA01EFF" w14:textId="625C75DA" w:rsidR="00603A33" w:rsidRDefault="00411506" w:rsidP="00603A33">
      <w:pPr>
        <w:pStyle w:val="Itembulletlevel3"/>
      </w:pPr>
      <w:r>
        <w:t xml:space="preserve">Determination </w:t>
      </w:r>
      <w:r w:rsidR="00603A33">
        <w:t>of accuracy of planned doses, in comparison to delivered dose to designated points within the phantom and/or dosimetry device; and</w:t>
      </w:r>
    </w:p>
    <w:p w14:paraId="0569F01E" w14:textId="04CCD341" w:rsidR="00603A33" w:rsidRPr="00603A33" w:rsidRDefault="00411506" w:rsidP="00603A33">
      <w:pPr>
        <w:pStyle w:val="Itembulletlevel2"/>
      </w:pPr>
      <w:r>
        <w:t>O</w:t>
      </w:r>
      <w:r w:rsidR="00603A33">
        <w:t>nly one ADDITIONAL dosimetry plan (for re-planning/adaptive strategy) is payable through the MBS during the treatment course</w:t>
      </w:r>
      <w:r w:rsidR="00BA1559">
        <w:t xml:space="preserve"> (at 50% of the </w:t>
      </w:r>
      <w:r w:rsidR="001B1AB7">
        <w:t>f</w:t>
      </w:r>
      <w:r w:rsidR="00BA1559">
        <w:t>ee for this item)</w:t>
      </w:r>
      <w:r w:rsidR="00603A33">
        <w:t>, when treatment adjustments are inadequate to satisfy treatment protocol requirements.</w:t>
      </w:r>
    </w:p>
    <w:p w14:paraId="7DB7501C" w14:textId="593D6A31" w:rsidR="002F2E34" w:rsidRPr="00456ABF" w:rsidRDefault="00FF0580" w:rsidP="002F2E34">
      <w:pPr>
        <w:pStyle w:val="Item"/>
      </w:pPr>
      <w:r w:rsidRPr="00456ABF">
        <w:t xml:space="preserve">Item 15Y50: </w:t>
      </w:r>
    </w:p>
    <w:p w14:paraId="1273D5C2" w14:textId="7665ED13" w:rsidR="00BB0CF6" w:rsidRDefault="002F2E34" w:rsidP="002F2E34">
      <w:r w:rsidRPr="00456ABF">
        <w:t>M</w:t>
      </w:r>
      <w:r w:rsidR="00BB6B49" w:rsidRPr="00456ABF">
        <w:t xml:space="preserve">egavoltage Level 5 </w:t>
      </w:r>
      <w:r w:rsidR="00D71D20" w:rsidRPr="00456ABF">
        <w:t>–</w:t>
      </w:r>
      <w:r w:rsidR="00BB6B49" w:rsidRPr="00456ABF">
        <w:t xml:space="preserve"> Specialised Treatment</w:t>
      </w:r>
      <w:r w:rsidR="007520E1">
        <w:t xml:space="preserve"> &amp; Verification</w:t>
      </w:r>
    </w:p>
    <w:p w14:paraId="71B80BAD" w14:textId="285770B4" w:rsidR="007C231F" w:rsidRDefault="007C231F" w:rsidP="002F2E34">
      <w:r w:rsidRPr="007C231F">
        <w:t>SPECIALISED RADIATION THERAPY, using a device approved by the Therapeutic Goods Administration if:</w:t>
      </w:r>
    </w:p>
    <w:p w14:paraId="4998108B" w14:textId="40D12221" w:rsidR="00BB1EB8" w:rsidRPr="00BB1EB8" w:rsidRDefault="00411506" w:rsidP="00F95A14">
      <w:pPr>
        <w:pStyle w:val="Itembulletlevel1"/>
        <w:numPr>
          <w:ilvl w:val="0"/>
          <w:numId w:val="35"/>
        </w:numPr>
      </w:pPr>
      <w:r>
        <w:t>I</w:t>
      </w:r>
      <w:r w:rsidR="00BB1EB8" w:rsidRPr="00BB1EB8">
        <w:t xml:space="preserve">mage-guided radiation therapy imaging is used (with motion management functionality if required) to implement a complex three dimensional, complex intensity modulated radiation therapy (IMRT), stereotactic radiation therapy or dynamic conformal arc therapy (DCAT) plan, prepared in accordance with item </w:t>
      </w:r>
      <w:r w:rsidR="00BB1EB8">
        <w:t>15X50</w:t>
      </w:r>
      <w:r w:rsidR="00BB1EB8" w:rsidRPr="00BB1EB8">
        <w:t xml:space="preserve"> (where attendance by the radiation oncologist or trained delegate at the treatment and verification session is required); and</w:t>
      </w:r>
    </w:p>
    <w:p w14:paraId="49D7C584" w14:textId="32172AB3" w:rsidR="00AF02A6" w:rsidRDefault="00411506" w:rsidP="00F95A14">
      <w:pPr>
        <w:pStyle w:val="Itembulletlevel1"/>
        <w:numPr>
          <w:ilvl w:val="0"/>
          <w:numId w:val="35"/>
        </w:numPr>
      </w:pPr>
      <w:r>
        <w:lastRenderedPageBreak/>
        <w:t>C</w:t>
      </w:r>
      <w:r w:rsidR="00AF02A6">
        <w:t xml:space="preserve">omplex three dimensional or complex IMRT delivery mode is utilised (delivered by a fixed or dynamic gantry linear accelerator, or by a helical non C-arm based linear accelerator), or DCAT mode is utilised, with management of motion as required, and radiation field positioning requiring accuracy levels of up to 10mm to ensure accurate dose delivery to the target, using margins applied to volumes (clinical target volume and planning target volume) tailored or reduced to minimise treatment-related exposure of normal tissues; </w:t>
      </w:r>
      <w:r w:rsidR="00ED1279">
        <w:t>and</w:t>
      </w:r>
    </w:p>
    <w:p w14:paraId="50E6E0BB" w14:textId="7DE8FEEA" w:rsidR="00FF0580" w:rsidRPr="00256BAB" w:rsidRDefault="0011133E" w:rsidP="00F95A14">
      <w:pPr>
        <w:pStyle w:val="Itembulletlevel1"/>
        <w:numPr>
          <w:ilvl w:val="0"/>
          <w:numId w:val="35"/>
        </w:numPr>
        <w:rPr>
          <w:color w:val="595959" w:themeColor="text1" w:themeTint="A6"/>
        </w:rPr>
      </w:pPr>
      <w:r>
        <w:t>P</w:t>
      </w:r>
      <w:r w:rsidR="00AF02A6">
        <w:t>ayable once only for each attendance at which treatment is given (with daily multidisciplinary team support and direct involvement in treatment delivery because of clinical/medical and technical complexity), and daily treatment verification included in the MBS fee (using at least two planar image views/projections or one volumetric image-set to facilitate a three dimensional adjustment to radiation treatment field positioning), and patient-specific IMRT quality assurance for all cases, with one ADDITIONAL dosimetry plan/adaptive strategy payable per treatment course when treatment adjustments are inadequate to satisfy treatment protocol requirements.</w:t>
      </w:r>
    </w:p>
    <w:p w14:paraId="10E4C8B5" w14:textId="73AAD92A" w:rsidR="00FC3889" w:rsidRPr="002836EB" w:rsidRDefault="00FC3889" w:rsidP="002F2E34">
      <w:pPr>
        <w:pStyle w:val="ExplanatoryNotes"/>
      </w:pPr>
      <w:r w:rsidRPr="002836EB">
        <w:t>Explanatory notes</w:t>
      </w:r>
      <w:r w:rsidR="00FE1092" w:rsidRPr="002836EB">
        <w:t xml:space="preserve"> for items </w:t>
      </w:r>
      <w:r w:rsidR="00D828D8" w:rsidRPr="002836EB">
        <w:t>15X11</w:t>
      </w:r>
      <w:r w:rsidR="0090610F" w:rsidRPr="002836EB">
        <w:t>–</w:t>
      </w:r>
      <w:r w:rsidR="00D828D8" w:rsidRPr="002836EB">
        <w:t>15X50 and 15Y11</w:t>
      </w:r>
      <w:r w:rsidR="0090610F" w:rsidRPr="002836EB">
        <w:softHyphen/>
        <w:t>–</w:t>
      </w:r>
      <w:r w:rsidR="00D828D8" w:rsidRPr="002836EB">
        <w:t>15Y50</w:t>
      </w:r>
      <w:r w:rsidRPr="002836EB">
        <w:t xml:space="preserve">: </w:t>
      </w:r>
    </w:p>
    <w:p w14:paraId="5E2B90D6" w14:textId="77777777" w:rsidR="0066603E" w:rsidRPr="002836EB" w:rsidRDefault="0066603E" w:rsidP="002F2E34">
      <w:pPr>
        <w:pStyle w:val="ExplanatoryNotes"/>
        <w:rPr>
          <w:b/>
        </w:rPr>
      </w:pPr>
      <w:r w:rsidRPr="002836EB">
        <w:rPr>
          <w:b/>
        </w:rPr>
        <w:t>Meaning of Level 1.1 Items (Complexity = Simple/Single Field)</w:t>
      </w:r>
    </w:p>
    <w:p w14:paraId="48603F8D" w14:textId="1DFBA739" w:rsidR="0066603E" w:rsidRPr="002836EB" w:rsidRDefault="0066603E" w:rsidP="002F2E34">
      <w:pPr>
        <w:pStyle w:val="ExplanatoryNotes"/>
      </w:pPr>
      <w:r w:rsidRPr="002836EB">
        <w:t>In items 15X11 and 15Y11: Simple/Single Field Complexity external beam radiotherapy is localised, planned and delivered through a clinical mark-up process without the requirements of simulation, computer/volumetric dosimetry and beam modulation. Patient stabilisation is simple using standard devices. Determination of the treatment volume is by clinical assessment/mark</w:t>
      </w:r>
      <w:r w:rsidR="0011133E">
        <w:t>-</w:t>
      </w:r>
      <w:r w:rsidRPr="002836EB">
        <w:t xml:space="preserve">up with the prescribed dose identified on the surface or at depth. Single field delivery via wide margins determined through the clinical assessment process will not require treatment verification. </w:t>
      </w:r>
    </w:p>
    <w:p w14:paraId="2F72EDF3" w14:textId="205326D5" w:rsidR="0066603E" w:rsidRPr="002836EB" w:rsidRDefault="0066603E" w:rsidP="002F2E34">
      <w:pPr>
        <w:pStyle w:val="ExplanatoryNotes"/>
        <w:ind w:left="720"/>
        <w:rPr>
          <w:iCs/>
          <w:u w:val="single"/>
        </w:rPr>
      </w:pPr>
      <w:r w:rsidRPr="002836EB">
        <w:rPr>
          <w:iCs/>
        </w:rPr>
        <w:t>Delivery Technologies:</w:t>
      </w:r>
      <w:r w:rsidR="0068694B" w:rsidRPr="002836EB">
        <w:t xml:space="preserve"> </w:t>
      </w:r>
      <w:r w:rsidR="00796E52">
        <w:t>LINAC</w:t>
      </w:r>
      <w:r w:rsidRPr="002836EB">
        <w:t xml:space="preserve"> based fixed beam single field delivery, no simulation, computer dosimetry, verification, pre-treatment patient specific QA or re-planning/adaption consideration required.</w:t>
      </w:r>
    </w:p>
    <w:p w14:paraId="671F4211" w14:textId="77777777" w:rsidR="0066603E" w:rsidRPr="002836EB" w:rsidRDefault="0066603E" w:rsidP="002F2E34">
      <w:pPr>
        <w:pStyle w:val="ExplanatoryNotes"/>
        <w:ind w:left="720"/>
      </w:pPr>
      <w:r w:rsidRPr="002836EB">
        <w:rPr>
          <w:iCs/>
        </w:rPr>
        <w:t>Grouped Elements:</w:t>
      </w:r>
      <w:r w:rsidRPr="002836EB">
        <w:t xml:space="preserve"> 1D Plan, Single Field Delivery.</w:t>
      </w:r>
    </w:p>
    <w:p w14:paraId="034A7CE7" w14:textId="77777777" w:rsidR="0066603E" w:rsidRPr="002836EB" w:rsidRDefault="0066603E" w:rsidP="002F2E34">
      <w:pPr>
        <w:pStyle w:val="ExplanatoryNotes"/>
        <w:rPr>
          <w:b/>
        </w:rPr>
      </w:pPr>
      <w:r w:rsidRPr="002836EB">
        <w:rPr>
          <w:b/>
        </w:rPr>
        <w:t>Meaning of Level 1.2 Items (Complexity = 2D Simple/Multiple Fields)</w:t>
      </w:r>
    </w:p>
    <w:p w14:paraId="5BA663FC" w14:textId="49FB2135" w:rsidR="0066603E" w:rsidRPr="002836EB" w:rsidRDefault="0066603E" w:rsidP="002F2E34">
      <w:pPr>
        <w:pStyle w:val="ExplanatoryNotes"/>
      </w:pPr>
      <w:r w:rsidRPr="002836EB">
        <w:t>In items 15X12 and 15Y12: Simple/Multiple Field Complexity external beam radiotherapy is localised through a process of either 2D simulation (Single Plain Film views or CT/DRR delineation) or 3D simulation (Orthogonal Plain Film views or</w:t>
      </w:r>
      <w:r w:rsidR="00A328C8">
        <w:t xml:space="preserve"> CT </w:t>
      </w:r>
      <w:r w:rsidRPr="002836EB">
        <w:t xml:space="preserve">Volumetric Delineation) to identify the treatment region. Patient stabilisation is simple using standard devices (requiring no manufacturing). Planning is based on 2 Dimensional planning processes with simple beam shaping but no modulation or inverse planning requirements, optimisation is not required on organs at risk. Multiple field delivery via MLC shaped beams with wide margins requires only weekly verification. </w:t>
      </w:r>
    </w:p>
    <w:p w14:paraId="1956B1FD" w14:textId="38A3B9EE" w:rsidR="0066603E" w:rsidRPr="002836EB" w:rsidRDefault="0066603E" w:rsidP="002F2E34">
      <w:pPr>
        <w:pStyle w:val="ExplanatoryNotes"/>
        <w:ind w:left="720"/>
      </w:pPr>
      <w:r w:rsidRPr="002836EB">
        <w:rPr>
          <w:iCs/>
        </w:rPr>
        <w:t>Delivery Technologies:</w:t>
      </w:r>
      <w:r w:rsidR="000263A0" w:rsidRPr="002836EB">
        <w:t xml:space="preserve"> </w:t>
      </w:r>
      <w:r w:rsidR="00796E52">
        <w:t>LINAC</w:t>
      </w:r>
      <w:r w:rsidRPr="002836EB">
        <w:t xml:space="preserve"> based fixed beam multiple field delivery, 2D simulation, 2D dosimetry and weekly verification. No pre-treatment patient specific QA required and no consideration for re-planning/adaption.</w:t>
      </w:r>
    </w:p>
    <w:p w14:paraId="2DF6EF8F" w14:textId="77777777" w:rsidR="0066603E" w:rsidRPr="002836EB" w:rsidRDefault="0066603E" w:rsidP="002F2E34">
      <w:pPr>
        <w:pStyle w:val="ExplanatoryNotes"/>
        <w:ind w:left="720"/>
      </w:pPr>
      <w:r w:rsidRPr="002836EB">
        <w:rPr>
          <w:iCs/>
        </w:rPr>
        <w:t>Grouped Elements:</w:t>
      </w:r>
      <w:r w:rsidRPr="002836EB">
        <w:t xml:space="preserve"> 2D Simulation, 2D Planning, Multiple Field Delivery and Weekly Verification.</w:t>
      </w:r>
    </w:p>
    <w:p w14:paraId="3F95360F" w14:textId="77777777" w:rsidR="0066603E" w:rsidRPr="002836EB" w:rsidRDefault="0066603E" w:rsidP="002F2E34">
      <w:pPr>
        <w:pStyle w:val="ExplanatoryNotes"/>
        <w:rPr>
          <w:b/>
        </w:rPr>
      </w:pPr>
      <w:r w:rsidRPr="002836EB">
        <w:rPr>
          <w:b/>
        </w:rPr>
        <w:t>Meaning of Level 2.1 Items (Complexity = 3D Standard/Multiple Fields)</w:t>
      </w:r>
    </w:p>
    <w:p w14:paraId="5A47C5AC" w14:textId="22D18356" w:rsidR="0066603E" w:rsidRPr="002836EB" w:rsidRDefault="0066603E" w:rsidP="002F2E34">
      <w:pPr>
        <w:pStyle w:val="ExplanatoryNotes"/>
      </w:pPr>
      <w:r w:rsidRPr="002836EB">
        <w:t>In items 15X21 and 15Y21: 3D Standard/Multiple Field Complexity external beam radiotherapy is localised through a process of 3D simulation (Orthogonal Plain Film views or</w:t>
      </w:r>
      <w:r w:rsidR="00A328C8">
        <w:t xml:space="preserve"> CT </w:t>
      </w:r>
      <w:r w:rsidRPr="002836EB">
        <w:t xml:space="preserve">Volumetric Delineation) to identify the treatment region and OARs. Patient stabilisation requires standard devices (requiring no manufacturing) to support positional reproducibility. Planning is based on 3 Dimensional planning processes with simple beam shaping (MLCs) and simple modulation (Large </w:t>
      </w:r>
      <w:r w:rsidRPr="002836EB">
        <w:lastRenderedPageBreak/>
        <w:t xml:space="preserve">Segment Field in Field/Wedges/MLCs/Tissue Compensation) to deliver a conformal dose distribution and assessment of dose to OARs. Multiple field delivery via MLC shaped beams with intermediate/wide margins requires daily verification in week 1 of any course and weekly thereafter. </w:t>
      </w:r>
    </w:p>
    <w:p w14:paraId="0E774ABA" w14:textId="0C0D4C32" w:rsidR="0066603E" w:rsidRPr="002836EB" w:rsidRDefault="0066603E" w:rsidP="002F2E34">
      <w:pPr>
        <w:pStyle w:val="ExplanatoryNotes"/>
        <w:ind w:left="720"/>
      </w:pPr>
      <w:r w:rsidRPr="002836EB">
        <w:rPr>
          <w:iCs/>
        </w:rPr>
        <w:t xml:space="preserve">Delivery Technologies: </w:t>
      </w:r>
      <w:r w:rsidR="00796E52">
        <w:t>LINAC</w:t>
      </w:r>
      <w:r w:rsidRPr="002836EB">
        <w:t xml:space="preserve"> based fixed beam multiple field delivery, 3D simulation, 3D Standard Level Dosimetry (Conformal Target Shaping and Assessment of OAR Dose) and daily verification leading to weekly verification. No pre-treatment patient specific QA required and no consideration for re-planning/adaption.</w:t>
      </w:r>
    </w:p>
    <w:p w14:paraId="117A82FC" w14:textId="77777777" w:rsidR="0066603E" w:rsidRPr="002836EB" w:rsidRDefault="0066603E" w:rsidP="002F2E34">
      <w:pPr>
        <w:pStyle w:val="ExplanatoryNotes"/>
        <w:ind w:left="720"/>
      </w:pPr>
      <w:r w:rsidRPr="002836EB">
        <w:rPr>
          <w:iCs/>
        </w:rPr>
        <w:t>Grouped Elements:</w:t>
      </w:r>
      <w:r w:rsidRPr="002836EB">
        <w:t xml:space="preserve"> 3D Simulation, Standard 3D Planning, Multiple Field Delivery and Daily/Weekly Verification.</w:t>
      </w:r>
    </w:p>
    <w:p w14:paraId="26813EF6" w14:textId="77777777" w:rsidR="0066603E" w:rsidRPr="002836EB" w:rsidRDefault="0066603E" w:rsidP="002F2E34">
      <w:pPr>
        <w:pStyle w:val="ExplanatoryNotes"/>
        <w:rPr>
          <w:b/>
        </w:rPr>
      </w:pPr>
      <w:r w:rsidRPr="002836EB">
        <w:rPr>
          <w:b/>
        </w:rPr>
        <w:t>Meaning of Level 2.2 Items (Complexity = 3D Complex/Multiple Fields)</w:t>
      </w:r>
    </w:p>
    <w:p w14:paraId="47592A8D" w14:textId="3413967B" w:rsidR="0066603E" w:rsidRPr="002836EB" w:rsidRDefault="002E7EDE" w:rsidP="002F2E34">
      <w:pPr>
        <w:pStyle w:val="ExplanatoryNotes"/>
      </w:pPr>
      <w:r w:rsidRPr="002836EB">
        <w:t>In items 15X22 and 15Y22</w:t>
      </w:r>
      <w:r w:rsidR="0066603E" w:rsidRPr="002836EB">
        <w:t>: 3D Complex/Multiple Field Complexity external beam radiotherapy is localised through a process of 3D or 4D (3D</w:t>
      </w:r>
      <w:r w:rsidR="00A328C8">
        <w:t xml:space="preserve"> CT </w:t>
      </w:r>
      <w:r w:rsidR="0066603E" w:rsidRPr="002836EB">
        <w:t>Volumetric Delineation or 4D</w:t>
      </w:r>
      <w:r w:rsidR="00A328C8">
        <w:t xml:space="preserve"> CT </w:t>
      </w:r>
      <w:r w:rsidR="0066603E" w:rsidRPr="002836EB">
        <w:t>Volumetric Delineation with consideration of tumour/OAR excursion) simulation to identify the treatment region and OARs (including excursion of targets and OARs). Patient stabilisation requires the use of personalised devices (requiring some form of manufacture) to support positional reproducibility. Planning is based on 3 or 4 Dimensional planning processes with complex beam shaping (MLCs) and modulation (MLC/Small Segment Field in Field) to deliver a conformal dose distribution and assessment/management of dose to OARs. Multiple field delivery via MLC shaped beams with narrow margins requires daily verification prior to treatment delivery. Patient specific pre-treatment Quality Assurance and consideration for re-planning/adaption is not required.</w:t>
      </w:r>
    </w:p>
    <w:p w14:paraId="42C22C21" w14:textId="6B9026C8" w:rsidR="0066603E" w:rsidRPr="002836EB" w:rsidRDefault="0066603E" w:rsidP="002F2E34">
      <w:pPr>
        <w:pStyle w:val="ExplanatoryNotes"/>
        <w:ind w:left="720"/>
      </w:pPr>
      <w:r w:rsidRPr="002836EB">
        <w:rPr>
          <w:iCs/>
        </w:rPr>
        <w:t xml:space="preserve">Delivery Technologies: </w:t>
      </w:r>
      <w:r w:rsidR="00796E52">
        <w:t>LINAC</w:t>
      </w:r>
      <w:r w:rsidRPr="002836EB">
        <w:t xml:space="preserve"> based fixed beam multiple field delivery (with or without motion management), 3D/4D simulation, 3D Complex Level Dosimetry (Conformal Target Shaping and Assessment /Management of OAR Dose) and daily verification. No pre-treatment patient specific QA required and no consideration for re-planning/adaption.</w:t>
      </w:r>
    </w:p>
    <w:p w14:paraId="2E23BDB7" w14:textId="77777777" w:rsidR="0066603E" w:rsidRPr="002836EB" w:rsidRDefault="0066603E" w:rsidP="002F2E34">
      <w:pPr>
        <w:pStyle w:val="ExplanatoryNotes"/>
        <w:ind w:left="720"/>
      </w:pPr>
      <w:r w:rsidRPr="002836EB">
        <w:rPr>
          <w:iCs/>
        </w:rPr>
        <w:t>Grouped Elements:</w:t>
      </w:r>
      <w:r w:rsidRPr="002836EB">
        <w:t xml:space="preserve"> 3D/4D Simulation, Complex 3D Planning, Multiple Field Delivery and Daily Verification.</w:t>
      </w:r>
    </w:p>
    <w:p w14:paraId="0E7E1F17" w14:textId="77777777" w:rsidR="0066603E" w:rsidRPr="002836EB" w:rsidRDefault="0066603E" w:rsidP="002F2E34">
      <w:pPr>
        <w:pStyle w:val="ExplanatoryNotes"/>
        <w:rPr>
          <w:b/>
        </w:rPr>
      </w:pPr>
      <w:r w:rsidRPr="002836EB">
        <w:rPr>
          <w:b/>
        </w:rPr>
        <w:t>Meaning of Level 3.1 Items (Complexity = Standard IMRT Multiple Fields)</w:t>
      </w:r>
    </w:p>
    <w:p w14:paraId="177B775F" w14:textId="7585EF83" w:rsidR="0066603E" w:rsidRPr="002836EB" w:rsidRDefault="0066603E" w:rsidP="002F2E34">
      <w:pPr>
        <w:pStyle w:val="ExplanatoryNotes"/>
      </w:pPr>
      <w:r w:rsidRPr="002836EB">
        <w:t>In item</w:t>
      </w:r>
      <w:r w:rsidR="002E7EDE" w:rsidRPr="002836EB">
        <w:t>s</w:t>
      </w:r>
      <w:r w:rsidRPr="002836EB">
        <w:t xml:space="preserve"> </w:t>
      </w:r>
      <w:r w:rsidR="002E7EDE" w:rsidRPr="002836EB">
        <w:t>15X31 and 15Y31</w:t>
      </w:r>
      <w:r w:rsidRPr="002836EB">
        <w:t>: Standard Complexity Inverse Planned Intensity Modulated external beam radiotherapy to a single dose level prescription and without motion management is localised through a 3D (CT Volumetric Delineation) simulation to identify Clinical and Planning Targets, Organs at Risk and Normal Tissue. Patient stabilisation requires the use of personalised devices (requiring some form of manufacturing) to support positional reproducibility. Planning is based on delivery to a single dose level target and includes optimisation of the dose based on assessment of OAR doses. This technique involves very sharp dose gradients adjacent to both targets and organs at risk increasing the consequences of any geometric uncertainty, making daily treatment verification an essential component of quality IMRT. It is the tumour location, size, adjacent organs and dosimetry that define the appropriate role for IMRT, and support an approach where the clinical circumstances rather than specific diagnoses are the most important determinants for using IMRT. Patient specific pre-treatment Quality Assurance may or may not be required based on the relevant application of audit processes. No consideration for re-planning/adaption.</w:t>
      </w:r>
    </w:p>
    <w:p w14:paraId="769F2BF5" w14:textId="1548B280" w:rsidR="0066603E" w:rsidRPr="002836EB" w:rsidRDefault="0066603E" w:rsidP="002F2E34">
      <w:pPr>
        <w:pStyle w:val="ExplanatoryNotes"/>
        <w:ind w:left="720"/>
      </w:pPr>
      <w:r w:rsidRPr="002836EB">
        <w:rPr>
          <w:iCs/>
        </w:rPr>
        <w:t xml:space="preserve">Delivery Technologies: </w:t>
      </w:r>
      <w:r w:rsidR="00796E52">
        <w:t>LINAC</w:t>
      </w:r>
      <w:r w:rsidRPr="002836EB">
        <w:t xml:space="preserve"> based fixed beam IMRT, </w:t>
      </w:r>
      <w:r w:rsidR="00796E52">
        <w:t>LINAC</w:t>
      </w:r>
      <w:r w:rsidRPr="002836EB">
        <w:t xml:space="preserve"> based rotational IMRT and helical non C-arm based IMRT.</w:t>
      </w:r>
    </w:p>
    <w:p w14:paraId="53665BE6" w14:textId="77777777" w:rsidR="0066603E" w:rsidRPr="002836EB" w:rsidRDefault="0066603E" w:rsidP="002F2E34">
      <w:pPr>
        <w:pStyle w:val="ExplanatoryNotes"/>
        <w:ind w:left="720"/>
      </w:pPr>
      <w:r w:rsidRPr="002836EB">
        <w:rPr>
          <w:iCs/>
        </w:rPr>
        <w:t>Grouped Elements:</w:t>
      </w:r>
      <w:r w:rsidRPr="002836EB">
        <w:t xml:space="preserve"> 3D Simulation, Single Dose Level IMRT Planning, Multiple Field Delivery, Daily Verification +/- Pre-Treatment QA. No consideration for re-planning/adaption.</w:t>
      </w:r>
    </w:p>
    <w:p w14:paraId="18E0772D" w14:textId="69E8E9BE" w:rsidR="0066603E" w:rsidRPr="002836EB" w:rsidRDefault="0066603E" w:rsidP="002F2E34">
      <w:pPr>
        <w:pStyle w:val="ExplanatoryNotes"/>
        <w:rPr>
          <w:b/>
        </w:rPr>
      </w:pPr>
      <w:r w:rsidRPr="002836EB">
        <w:rPr>
          <w:b/>
        </w:rPr>
        <w:t>Meaning of Level 3.2 Items (Complexity = Complex IMRT Multiple Field</w:t>
      </w:r>
      <w:r w:rsidR="00AE25BB">
        <w:rPr>
          <w:b/>
        </w:rPr>
        <w:t>,</w:t>
      </w:r>
      <w:r w:rsidRPr="002836EB">
        <w:rPr>
          <w:b/>
        </w:rPr>
        <w:t xml:space="preserve"> including Small Field Hypofractionated Treatment Strategies)</w:t>
      </w:r>
    </w:p>
    <w:p w14:paraId="7648AD0C" w14:textId="1AA22BC6" w:rsidR="0066603E" w:rsidRPr="002836EB" w:rsidRDefault="002E7EDE" w:rsidP="002F2E34">
      <w:pPr>
        <w:pStyle w:val="ExplanatoryNotes"/>
      </w:pPr>
      <w:r w:rsidRPr="002836EB">
        <w:lastRenderedPageBreak/>
        <w:t xml:space="preserve">In items 15X32 and 15Y32: </w:t>
      </w:r>
      <w:r w:rsidR="0066603E" w:rsidRPr="002836EB">
        <w:t>Complex Inverse Planned Intensity Modulated external beam radiotherapy to multiple dose level prescription or any IMRT with motion management is localised through a 3D or 4D (3D</w:t>
      </w:r>
      <w:r w:rsidR="00A328C8">
        <w:t xml:space="preserve"> CT </w:t>
      </w:r>
      <w:r w:rsidR="0066603E" w:rsidRPr="002836EB">
        <w:t>Volumetric Delineation or 4D</w:t>
      </w:r>
      <w:r w:rsidR="00A328C8">
        <w:t xml:space="preserve"> CT </w:t>
      </w:r>
      <w:r w:rsidR="0066603E" w:rsidRPr="002836EB">
        <w:t>Volumetric Delineation with consideration of tumour/OAR excursion) simulation to identify Clinical and Planning Targets, Organs at Risk and Normal Tissue (and tumour/OAR excursion in the case of 4D applications). Patient stabilisation requires the use of personalised devices (requiring some form of manufacture) to support positional reproducibility. Planning is based on delivery to multiple dose level targets or IMRT with motion management and includes optimisation of the dose based on assessment of OAR doses. This technique involves very sharp dose gradients adjacent to both targets and organs at risk increasing the consequences of any geometric uncertainty, making daily treatment verification an essential component of quality IMRT. In the case of 4D applications, treatment delivery utilises some form of motion management (gating, deep inspiration breath hold, etc.) and further complicates the planning, delivery and quality assurance processes. It is the tumour location, size, adjacent organs and dosimetry that define the appropriate role for IMRT, and support an approach where the clinical circumstances rather than specific diagnoses are the most important determinants for using IMRT. Patient specific pre-treatment Quality Assurance will be required and consideration for re-planning/adaption is included. Small field hypofractionated treatment strategies (using either IMRT or DCAT) utilising ablative doses are included in this complexity level.</w:t>
      </w:r>
    </w:p>
    <w:p w14:paraId="5D238BEF" w14:textId="78D4F803" w:rsidR="0066603E" w:rsidRPr="002836EB" w:rsidRDefault="0066603E" w:rsidP="002F2E34">
      <w:pPr>
        <w:pStyle w:val="ExplanatoryNotes"/>
        <w:ind w:left="720"/>
      </w:pPr>
      <w:r w:rsidRPr="002836EB">
        <w:rPr>
          <w:iCs/>
        </w:rPr>
        <w:t xml:space="preserve">Delivery Technologies: </w:t>
      </w:r>
      <w:r w:rsidR="00796E52">
        <w:t>LINAC</w:t>
      </w:r>
      <w:r w:rsidRPr="002836EB">
        <w:t xml:space="preserve"> based fixed beam IMRT, </w:t>
      </w:r>
      <w:r w:rsidR="00796E52">
        <w:t>LINAC</w:t>
      </w:r>
      <w:r w:rsidRPr="002836EB">
        <w:t xml:space="preserve"> based rotational IMRT, Helical non C-arm based IMRT or IMRT/DCAT small field hypofractionated ablative treatments.</w:t>
      </w:r>
    </w:p>
    <w:p w14:paraId="37BC434A" w14:textId="77777777" w:rsidR="0066603E" w:rsidRPr="002836EB" w:rsidRDefault="0066603E" w:rsidP="002F2E34">
      <w:pPr>
        <w:pStyle w:val="ExplanatoryNotes"/>
        <w:ind w:left="720"/>
      </w:pPr>
      <w:r w:rsidRPr="002836EB">
        <w:rPr>
          <w:iCs/>
        </w:rPr>
        <w:t>Grouped Elements:</w:t>
      </w:r>
      <w:r w:rsidRPr="002836EB">
        <w:t xml:space="preserve"> 3D Simulation/Multiple Dose Level IMRT Planning or 4D Simulation/ Single Dose Level IMRT Planning. Multiple Field Delivery, Daily Verification, Pre-Treatment QA and 1 x Re-planning/Adaption event per course.</w:t>
      </w:r>
    </w:p>
    <w:p w14:paraId="3D3B3BF5" w14:textId="77777777" w:rsidR="0066603E" w:rsidRPr="002836EB" w:rsidRDefault="0066603E" w:rsidP="002F2E34">
      <w:pPr>
        <w:pStyle w:val="ExplanatoryNotes"/>
        <w:rPr>
          <w:b/>
        </w:rPr>
      </w:pPr>
      <w:r w:rsidRPr="002836EB">
        <w:rPr>
          <w:b/>
        </w:rPr>
        <w:t>Meaning of Level 4 Items (Complexity = Intracranial Stereotactic Radiotherapy &amp; Stereotactic Radiosurgery)</w:t>
      </w:r>
    </w:p>
    <w:p w14:paraId="24780145" w14:textId="3326B990" w:rsidR="0066603E" w:rsidRPr="002836EB" w:rsidRDefault="002E7EDE" w:rsidP="002F2E34">
      <w:pPr>
        <w:pStyle w:val="ExplanatoryNotes"/>
      </w:pPr>
      <w:r w:rsidRPr="002836EB">
        <w:t>In items 15X40 and 15Y40</w:t>
      </w:r>
      <w:r w:rsidR="0066603E" w:rsidRPr="002836EB">
        <w:t>: Inverse Planned or DCAT Stereotactic Delivery using a specifically calibrated small field beam model. Dedicated and customised patient positioning/immobilisation (requiring manufacture) and multi-modality image based targeted identification of the treatment volume, surrounding organs at risk and normal tissue. Formal structured assessment of motion and patient suitability for complex/lengthy delivery and margin/volume/normal tissue reduction strategies. Requirement for lengthy treatment sessions requires patient education to support positional and physiological control requirements (</w:t>
      </w:r>
      <w:r w:rsidR="0013614F">
        <w:t>for example</w:t>
      </w:r>
      <w:r w:rsidR="00F77408">
        <w:t>,</w:t>
      </w:r>
      <w:r w:rsidR="0066603E" w:rsidRPr="002836EB">
        <w:t xml:space="preserve"> breathing/respiration). Dosimetry delivers small field collimation/shaping of the dose (with consideration and management of motion) to complex targets requiring ablative doses of radiation proximal to sensitive normal tissue and organs at risk. Patient specific pre-treatment Quality Assurance will be required and consideration for re-planning/adaption is included. Very tight margins and steep dose gradients mandates the use of daily treatment verification.</w:t>
      </w:r>
    </w:p>
    <w:p w14:paraId="2AD570AF" w14:textId="27A8558D" w:rsidR="0066603E" w:rsidRPr="002836EB" w:rsidRDefault="0066603E" w:rsidP="002F2E34">
      <w:pPr>
        <w:pStyle w:val="ExplanatoryNotes"/>
        <w:ind w:left="720"/>
      </w:pPr>
      <w:r w:rsidRPr="002836EB">
        <w:rPr>
          <w:iCs/>
        </w:rPr>
        <w:t xml:space="preserve">Delivery Technologies: </w:t>
      </w:r>
      <w:r w:rsidR="00796E52">
        <w:t>LINAC</w:t>
      </w:r>
      <w:r w:rsidRPr="002836EB">
        <w:t xml:space="preserve"> based fixed beam 3D/IMRT, </w:t>
      </w:r>
      <w:r w:rsidR="00796E52">
        <w:t>LINAC</w:t>
      </w:r>
      <w:r w:rsidRPr="002836EB">
        <w:t xml:space="preserve"> based rotational DCAT/ IMRT and helical non C-arm based DCAT/IMRT collimated with MLC or Fixed Cones.</w:t>
      </w:r>
    </w:p>
    <w:p w14:paraId="5950C164" w14:textId="77777777" w:rsidR="0066603E" w:rsidRPr="002836EB" w:rsidRDefault="0066603E" w:rsidP="002F2E34">
      <w:pPr>
        <w:pStyle w:val="ExplanatoryNotes"/>
        <w:ind w:left="720"/>
      </w:pPr>
      <w:r w:rsidRPr="002836EB">
        <w:rPr>
          <w:iCs/>
        </w:rPr>
        <w:t>Grouped Elements:</w:t>
      </w:r>
      <w:r w:rsidRPr="002836EB">
        <w:t xml:space="preserve"> 3D Simulation/Multiple Dose Level IMRT Planning or 4D Simulation/ Single Dose Level DCAT/ IMRT Planning. Multiple Field Delivery, Daily Verification, Pre-Treatment QA and 1 x Re-planning/Adaption event per course.</w:t>
      </w:r>
    </w:p>
    <w:p w14:paraId="532C120D" w14:textId="77777777" w:rsidR="0066603E" w:rsidRPr="002836EB" w:rsidRDefault="0066603E" w:rsidP="002F2E34">
      <w:pPr>
        <w:pStyle w:val="ExplanatoryNotes"/>
        <w:rPr>
          <w:b/>
        </w:rPr>
      </w:pPr>
      <w:r w:rsidRPr="002836EB">
        <w:rPr>
          <w:b/>
        </w:rPr>
        <w:t>Meaning of Level 5 Items (Complexity = Specialised)</w:t>
      </w:r>
    </w:p>
    <w:p w14:paraId="5CBD6732" w14:textId="6FA999DC" w:rsidR="0066603E" w:rsidRPr="002836EB" w:rsidRDefault="002E7EDE" w:rsidP="002F2E34">
      <w:pPr>
        <w:pStyle w:val="ExplanatoryNotes"/>
      </w:pPr>
      <w:r w:rsidRPr="002836EB">
        <w:t>In items 15X50 and 15Y50</w:t>
      </w:r>
      <w:r w:rsidR="0066603E" w:rsidRPr="002836EB">
        <w:t>: Complex 3D/4D, Stereotactic or Inverse Planned Intensity Modulated external beam radiotherapy to multiple dose level prescription with or without motion management is localised through a 3D or 4D (3D</w:t>
      </w:r>
      <w:r w:rsidR="00A328C8">
        <w:t xml:space="preserve"> CT </w:t>
      </w:r>
      <w:r w:rsidR="0066603E" w:rsidRPr="002836EB">
        <w:t>Volumetric Delineation or 4D</w:t>
      </w:r>
      <w:r w:rsidR="00A328C8">
        <w:t xml:space="preserve"> CT </w:t>
      </w:r>
      <w:r w:rsidR="0066603E" w:rsidRPr="002836EB">
        <w:t xml:space="preserve">Volumetric Delineation with consideration of tumour/OAR excursion) simulation to identify Clinical and Planning Targets, Organs at Risk and Normal Tissue (and tumour/OAR excursion in the case of 4D applications). Dedicated and personalised patient positioning/immobilisation (requiring manufacture) and multi-modality image </w:t>
      </w:r>
      <w:r w:rsidR="0066603E" w:rsidRPr="002836EB">
        <w:lastRenderedPageBreak/>
        <w:t>based targeted identification of the treatment volume, surrounding organs at risk and normal tissue. Requirement for lengthy treatment sessions requires patient education to support positional and physiological control requirements (</w:t>
      </w:r>
      <w:r w:rsidR="0013614F">
        <w:t>for example</w:t>
      </w:r>
      <w:r w:rsidR="00F77408">
        <w:t>,</w:t>
      </w:r>
      <w:r w:rsidR="0066603E" w:rsidRPr="002836EB">
        <w:t xml:space="preserve"> breathing/respiration). Patient acuity requires multidisciplinary medical support during the simulation process (</w:t>
      </w:r>
      <w:r w:rsidR="0013614F">
        <w:t>for example</w:t>
      </w:r>
      <w:r w:rsidR="00F04288">
        <w:t>, general anaesthetic</w:t>
      </w:r>
      <w:r w:rsidR="0066603E" w:rsidRPr="002836EB">
        <w:t xml:space="preserve"> for Paediatric cases, </w:t>
      </w:r>
      <w:r w:rsidR="009A3C08">
        <w:t>m</w:t>
      </w:r>
      <w:r w:rsidR="0066603E" w:rsidRPr="002836EB">
        <w:t xml:space="preserve">onitoring for </w:t>
      </w:r>
      <w:r w:rsidR="00B65E9D">
        <w:t xml:space="preserve">patients receiving </w:t>
      </w:r>
      <w:r w:rsidR="0066603E" w:rsidRPr="002836EB">
        <w:t>Total Body Irradiation).</w:t>
      </w:r>
      <w:r w:rsidR="00C3608C" w:rsidRPr="002836EB">
        <w:t xml:space="preserve"> </w:t>
      </w:r>
      <w:r w:rsidR="0066603E" w:rsidRPr="002836EB">
        <w:t xml:space="preserve">Complex dosimetry requirements driven by large field/large volume requirements in TBI/TBE cases and highly personalised dosimetry requirements with younger paediatric patients. Clinical/Medical and Technical complexity requires daily multidisciplinary team support and direct involvement in the treatment delivery and verification process, which for stereotactic treatments would require a </w:t>
      </w:r>
      <w:r w:rsidR="007C2007" w:rsidRPr="002836EB">
        <w:t>Radiation Oncologist</w:t>
      </w:r>
      <w:r w:rsidR="0066603E" w:rsidRPr="002836EB">
        <w:t xml:space="preserve"> to be present at the time of each treatment. Patient specific pre-treatment Quality Assurance may be required and consideration for re-planning/adaption is included. Very tight margins and steep dose gradients mandates the use of daily treatment verification.</w:t>
      </w:r>
    </w:p>
    <w:p w14:paraId="692CC746" w14:textId="2D4705BD" w:rsidR="0066603E" w:rsidRPr="002836EB" w:rsidRDefault="0066603E" w:rsidP="002F2E34">
      <w:pPr>
        <w:pStyle w:val="ExplanatoryNotes"/>
        <w:ind w:left="720"/>
      </w:pPr>
      <w:r w:rsidRPr="002836EB">
        <w:rPr>
          <w:iCs/>
        </w:rPr>
        <w:t>Delivery Technologies:</w:t>
      </w:r>
      <w:r w:rsidR="00C3608C" w:rsidRPr="002836EB">
        <w:rPr>
          <w:iCs/>
        </w:rPr>
        <w:t xml:space="preserve"> </w:t>
      </w:r>
      <w:r w:rsidR="00796E52">
        <w:t>LINAC</w:t>
      </w:r>
      <w:r w:rsidRPr="002836EB">
        <w:t xml:space="preserve"> based fixed beam Complex 3D, DCAT/IMRT, </w:t>
      </w:r>
      <w:r w:rsidR="00796E52">
        <w:t>LINAC</w:t>
      </w:r>
      <w:r w:rsidRPr="002836EB">
        <w:t xml:space="preserve"> based rotational IMRT and helical non C-arm based DCAT/IMRT</w:t>
      </w:r>
      <w:r w:rsidR="00326F38">
        <w:t>.</w:t>
      </w:r>
    </w:p>
    <w:p w14:paraId="75E5A7A9" w14:textId="77777777" w:rsidR="0066603E" w:rsidRPr="002836EB" w:rsidRDefault="0066603E" w:rsidP="002F2E34">
      <w:pPr>
        <w:pStyle w:val="ExplanatoryNotes"/>
        <w:ind w:left="720"/>
      </w:pPr>
      <w:r w:rsidRPr="002836EB">
        <w:rPr>
          <w:iCs/>
        </w:rPr>
        <w:t>Grouped Elements:</w:t>
      </w:r>
      <w:r w:rsidRPr="002836EB">
        <w:t xml:space="preserve"> 3D Simulation/Multiple Dose Level IMRT Planning or 4D Simulation/ Single Dose Level IMRT Planning. Multiple Field Delivery, Daily Verification, Pre-Treatment QA and 1 x Re-planning/Adaption event per course.</w:t>
      </w:r>
    </w:p>
    <w:p w14:paraId="33F48532" w14:textId="77777777" w:rsidR="00FC3889" w:rsidRPr="002836EB" w:rsidRDefault="00FC3889" w:rsidP="00FC3889">
      <w:pPr>
        <w:pStyle w:val="Boldhdg"/>
        <w:rPr>
          <w:lang w:val="en-GB"/>
        </w:rPr>
      </w:pPr>
      <w:r w:rsidRPr="002836EB">
        <w:rPr>
          <w:lang w:val="en-GB"/>
        </w:rPr>
        <w:t>Rationale</w:t>
      </w:r>
    </w:p>
    <w:p w14:paraId="0B9DDAB8" w14:textId="676CF267" w:rsidR="002F2FC0" w:rsidRPr="002836EB" w:rsidRDefault="002F2FC0" w:rsidP="00BE09CD">
      <w:pPr>
        <w:pStyle w:val="01squarebullet"/>
        <w:numPr>
          <w:ilvl w:val="0"/>
          <w:numId w:val="0"/>
        </w:numPr>
        <w:rPr>
          <w:lang w:val="en-GB"/>
        </w:rPr>
      </w:pPr>
      <w:r w:rsidRPr="002836EB">
        <w:rPr>
          <w:lang w:val="en-GB"/>
        </w:rPr>
        <w:t>Th</w:t>
      </w:r>
      <w:r w:rsidR="00B161D5" w:rsidRPr="002836EB">
        <w:rPr>
          <w:lang w:val="en-GB"/>
        </w:rPr>
        <w:t xml:space="preserve">is recommendation focuses on bringing item structure and descriptors in line with the modern delivery of </w:t>
      </w:r>
      <w:r w:rsidR="00BE09CD" w:rsidRPr="002836EB">
        <w:rPr>
          <w:lang w:val="en-GB"/>
        </w:rPr>
        <w:t>megavoltage therapy</w:t>
      </w:r>
      <w:r w:rsidR="00ED0B0D" w:rsidRPr="002836EB">
        <w:rPr>
          <w:lang w:val="en-GB"/>
        </w:rPr>
        <w:t>. It</w:t>
      </w:r>
      <w:r w:rsidRPr="002836EB">
        <w:rPr>
          <w:lang w:val="en-GB"/>
        </w:rPr>
        <w:t xml:space="preserve"> is based on the following observations.</w:t>
      </w:r>
    </w:p>
    <w:p w14:paraId="4E670A12" w14:textId="3620CDBE" w:rsidR="00B161D5" w:rsidRPr="002836EB" w:rsidRDefault="00BE09CD" w:rsidP="00A7186C">
      <w:pPr>
        <w:pStyle w:val="01squarebullet"/>
        <w:numPr>
          <w:ilvl w:val="0"/>
          <w:numId w:val="15"/>
        </w:numPr>
        <w:rPr>
          <w:lang w:val="en-GB"/>
        </w:rPr>
      </w:pPr>
      <w:r w:rsidRPr="002836EB">
        <w:rPr>
          <w:bCs/>
          <w:lang w:val="en-GB"/>
        </w:rPr>
        <w:t>T</w:t>
      </w:r>
      <w:r w:rsidR="00B161D5" w:rsidRPr="002836EB">
        <w:rPr>
          <w:bCs/>
          <w:lang w:val="en-GB"/>
        </w:rPr>
        <w:t xml:space="preserve">he two-part payment model updates the MBS schedule </w:t>
      </w:r>
      <w:r w:rsidR="004723C4" w:rsidRPr="002836EB">
        <w:rPr>
          <w:bCs/>
          <w:lang w:val="en-GB"/>
        </w:rPr>
        <w:t>to align</w:t>
      </w:r>
      <w:r w:rsidR="00B161D5" w:rsidRPr="002836EB">
        <w:rPr>
          <w:bCs/>
          <w:lang w:val="en-GB"/>
        </w:rPr>
        <w:t xml:space="preserve"> with </w:t>
      </w:r>
      <w:r w:rsidR="00AB070F" w:rsidRPr="002836EB">
        <w:rPr>
          <w:bCs/>
          <w:lang w:val="en-GB"/>
        </w:rPr>
        <w:t xml:space="preserve">the </w:t>
      </w:r>
      <w:r w:rsidR="00B161D5" w:rsidRPr="002836EB">
        <w:rPr>
          <w:bCs/>
          <w:lang w:val="en-GB"/>
        </w:rPr>
        <w:t xml:space="preserve">modern delivery </w:t>
      </w:r>
      <w:r w:rsidR="00B161D5" w:rsidRPr="002836EB">
        <w:rPr>
          <w:lang w:val="en-GB"/>
        </w:rPr>
        <w:t>of megavoltage radiotherapy, where simulation and dosimetry (which are currently separate sets of items) are performed in an integrated fashion, and treatment and verification (which</w:t>
      </w:r>
      <w:r w:rsidR="00F836C4" w:rsidRPr="002836EB">
        <w:rPr>
          <w:lang w:val="en-GB"/>
        </w:rPr>
        <w:t xml:space="preserve"> </w:t>
      </w:r>
      <w:r w:rsidR="00B161D5" w:rsidRPr="002836EB">
        <w:rPr>
          <w:lang w:val="en-GB"/>
        </w:rPr>
        <w:t>are</w:t>
      </w:r>
      <w:r w:rsidR="00F836C4" w:rsidRPr="002836EB">
        <w:rPr>
          <w:lang w:val="en-GB"/>
        </w:rPr>
        <w:t xml:space="preserve"> also</w:t>
      </w:r>
      <w:r w:rsidR="00B161D5" w:rsidRPr="002836EB">
        <w:rPr>
          <w:lang w:val="en-GB"/>
        </w:rPr>
        <w:t xml:space="preserve"> separate sets of items) are also performed together</w:t>
      </w:r>
      <w:r w:rsidRPr="002836EB">
        <w:rPr>
          <w:lang w:val="en-GB"/>
        </w:rPr>
        <w:t>.</w:t>
      </w:r>
    </w:p>
    <w:p w14:paraId="00FD99E4" w14:textId="64E70592" w:rsidR="00B161D5" w:rsidRPr="002836EB" w:rsidRDefault="00BE09CD" w:rsidP="00A7186C">
      <w:pPr>
        <w:pStyle w:val="01squarebullet"/>
        <w:numPr>
          <w:ilvl w:val="0"/>
          <w:numId w:val="15"/>
        </w:numPr>
        <w:rPr>
          <w:lang w:val="en-GB"/>
        </w:rPr>
      </w:pPr>
      <w:r w:rsidRPr="002836EB">
        <w:rPr>
          <w:lang w:val="en-GB"/>
        </w:rPr>
        <w:t xml:space="preserve">The complexity levels described above </w:t>
      </w:r>
      <w:r w:rsidR="00B161D5" w:rsidRPr="002836EB">
        <w:rPr>
          <w:bCs/>
          <w:lang w:val="en-GB"/>
        </w:rPr>
        <w:t>reflect the major drivers of differing patient complexity</w:t>
      </w:r>
      <w:r w:rsidR="008B7583" w:rsidRPr="002836EB">
        <w:rPr>
          <w:bCs/>
          <w:lang w:val="en-GB"/>
        </w:rPr>
        <w:t>, as</w:t>
      </w:r>
      <w:r w:rsidR="00B161D5" w:rsidRPr="002836EB">
        <w:rPr>
          <w:bCs/>
          <w:lang w:val="en-GB"/>
        </w:rPr>
        <w:t xml:space="preserve"> </w:t>
      </w:r>
      <w:r w:rsidR="006D7350" w:rsidRPr="002836EB">
        <w:rPr>
          <w:lang w:val="en-GB"/>
        </w:rPr>
        <w:t>f</w:t>
      </w:r>
      <w:r w:rsidR="00B161D5" w:rsidRPr="002836EB">
        <w:rPr>
          <w:lang w:val="en-GB"/>
        </w:rPr>
        <w:t xml:space="preserve">ield count and beam energy (single </w:t>
      </w:r>
      <w:r w:rsidR="00674AAD" w:rsidRPr="002836EB">
        <w:rPr>
          <w:lang w:val="en-GB"/>
        </w:rPr>
        <w:t xml:space="preserve">versus </w:t>
      </w:r>
      <w:r w:rsidR="00B161D5" w:rsidRPr="002836EB">
        <w:rPr>
          <w:lang w:val="en-GB"/>
        </w:rPr>
        <w:t>dual photon) are not accurate predictors of complexity in modern practice.</w:t>
      </w:r>
      <w:r w:rsidR="00AA3959" w:rsidRPr="002836EB">
        <w:rPr>
          <w:lang w:val="en-GB"/>
        </w:rPr>
        <w:t xml:space="preserve"> They also </w:t>
      </w:r>
      <w:r w:rsidR="00B161D5" w:rsidRPr="002836EB">
        <w:rPr>
          <w:bCs/>
          <w:lang w:val="en-GB"/>
        </w:rPr>
        <w:t>simpli</w:t>
      </w:r>
      <w:r w:rsidR="002D3287" w:rsidRPr="002836EB">
        <w:rPr>
          <w:bCs/>
          <w:lang w:val="en-GB"/>
        </w:rPr>
        <w:t>fy</w:t>
      </w:r>
      <w:r w:rsidR="00B161D5" w:rsidRPr="002836EB">
        <w:rPr>
          <w:bCs/>
          <w:lang w:val="en-GB"/>
        </w:rPr>
        <w:t xml:space="preserve"> the MBS schedule</w:t>
      </w:r>
      <w:r w:rsidR="00CE40BB" w:rsidRPr="002836EB">
        <w:rPr>
          <w:bCs/>
          <w:lang w:val="en-GB"/>
        </w:rPr>
        <w:t>—</w:t>
      </w:r>
      <w:r w:rsidR="00B161D5" w:rsidRPr="002836EB">
        <w:rPr>
          <w:bCs/>
          <w:lang w:val="en-GB"/>
        </w:rPr>
        <w:t>while remaining auditable and non-gam</w:t>
      </w:r>
      <w:r w:rsidR="005D11EC" w:rsidRPr="002836EB">
        <w:rPr>
          <w:bCs/>
          <w:lang w:val="en-GB"/>
        </w:rPr>
        <w:t>e</w:t>
      </w:r>
      <w:r w:rsidR="00B161D5" w:rsidRPr="002836EB">
        <w:rPr>
          <w:bCs/>
          <w:lang w:val="en-GB"/>
        </w:rPr>
        <w:t>able</w:t>
      </w:r>
      <w:r w:rsidR="00CE40BB" w:rsidRPr="002836EB">
        <w:rPr>
          <w:bCs/>
          <w:lang w:val="en-GB"/>
        </w:rPr>
        <w:t>—</w:t>
      </w:r>
      <w:r w:rsidR="00FD42FD" w:rsidRPr="002836EB">
        <w:rPr>
          <w:lang w:val="en-GB"/>
        </w:rPr>
        <w:t>by creating</w:t>
      </w:r>
      <w:r w:rsidR="00426A3A" w:rsidRPr="002836EB">
        <w:rPr>
          <w:lang w:val="en-GB"/>
        </w:rPr>
        <w:t xml:space="preserve"> </w:t>
      </w:r>
      <w:r w:rsidR="00B161D5" w:rsidRPr="002836EB">
        <w:rPr>
          <w:lang w:val="en-GB"/>
        </w:rPr>
        <w:t>highly discriminatory</w:t>
      </w:r>
      <w:r w:rsidR="00342D5D" w:rsidRPr="002836EB">
        <w:rPr>
          <w:lang w:val="en-GB"/>
        </w:rPr>
        <w:t xml:space="preserve"> and un</w:t>
      </w:r>
      <w:r w:rsidR="00B161D5" w:rsidRPr="002836EB">
        <w:rPr>
          <w:lang w:val="en-GB"/>
        </w:rPr>
        <w:t xml:space="preserve">ambiguous items </w:t>
      </w:r>
      <w:r w:rsidR="00627091" w:rsidRPr="002836EB">
        <w:rPr>
          <w:lang w:val="en-GB"/>
        </w:rPr>
        <w:t xml:space="preserve">that </w:t>
      </w:r>
      <w:r w:rsidR="00B161D5" w:rsidRPr="002836EB">
        <w:rPr>
          <w:lang w:val="en-GB"/>
        </w:rPr>
        <w:t>reflect real differences in the technique employed to deliver radiotherapy</w:t>
      </w:r>
      <w:r w:rsidR="00DE0A88" w:rsidRPr="002836EB">
        <w:rPr>
          <w:lang w:val="en-GB"/>
        </w:rPr>
        <w:t>.</w:t>
      </w:r>
    </w:p>
    <w:p w14:paraId="61B44DD8" w14:textId="1A66F14C" w:rsidR="00FC3889" w:rsidRPr="002836EB" w:rsidRDefault="003212AB" w:rsidP="00A7186C">
      <w:pPr>
        <w:pStyle w:val="01squarebullet"/>
        <w:numPr>
          <w:ilvl w:val="0"/>
          <w:numId w:val="15"/>
        </w:numPr>
        <w:rPr>
          <w:lang w:val="en-GB"/>
        </w:rPr>
      </w:pPr>
      <w:r w:rsidRPr="002836EB">
        <w:rPr>
          <w:lang w:val="en-GB"/>
        </w:rPr>
        <w:t>T</w:t>
      </w:r>
      <w:r w:rsidR="00B161D5" w:rsidRPr="002836EB">
        <w:rPr>
          <w:lang w:val="en-GB"/>
        </w:rPr>
        <w:t xml:space="preserve">he retention of </w:t>
      </w:r>
      <w:r w:rsidR="003D2B3E" w:rsidRPr="002836EB">
        <w:rPr>
          <w:lang w:val="en-GB"/>
        </w:rPr>
        <w:t xml:space="preserve">the </w:t>
      </w:r>
      <w:r w:rsidR="00B161D5" w:rsidRPr="002836EB">
        <w:rPr>
          <w:lang w:val="en-GB"/>
        </w:rPr>
        <w:t>pay</w:t>
      </w:r>
      <w:r w:rsidR="003D2B3E" w:rsidRPr="002836EB">
        <w:rPr>
          <w:lang w:val="en-GB"/>
        </w:rPr>
        <w:t>-</w:t>
      </w:r>
      <w:r w:rsidR="00B161D5" w:rsidRPr="002836EB">
        <w:rPr>
          <w:lang w:val="en-GB"/>
        </w:rPr>
        <w:t>per</w:t>
      </w:r>
      <w:r w:rsidR="003D2B3E" w:rsidRPr="002836EB">
        <w:rPr>
          <w:lang w:val="en-GB"/>
        </w:rPr>
        <w:t>-</w:t>
      </w:r>
      <w:r w:rsidR="00B161D5" w:rsidRPr="002836EB">
        <w:rPr>
          <w:lang w:val="en-GB"/>
        </w:rPr>
        <w:t>fraction</w:t>
      </w:r>
      <w:r w:rsidR="003D2B3E" w:rsidRPr="002836EB">
        <w:rPr>
          <w:lang w:val="en-GB"/>
        </w:rPr>
        <w:t xml:space="preserve"> approach</w:t>
      </w:r>
      <w:r w:rsidR="00B161D5" w:rsidRPr="002836EB">
        <w:rPr>
          <w:lang w:val="en-GB"/>
        </w:rPr>
        <w:t xml:space="preserve"> </w:t>
      </w:r>
      <w:r w:rsidR="00B161D5" w:rsidRPr="002836EB">
        <w:rPr>
          <w:bCs/>
          <w:lang w:val="en-GB"/>
        </w:rPr>
        <w:t>recognises that one</w:t>
      </w:r>
      <w:r w:rsidR="00802AC8" w:rsidRPr="002836EB">
        <w:rPr>
          <w:bCs/>
          <w:lang w:val="en-GB"/>
        </w:rPr>
        <w:t xml:space="preserve"> </w:t>
      </w:r>
      <w:r w:rsidR="00B161D5" w:rsidRPr="002836EB">
        <w:rPr>
          <w:bCs/>
          <w:lang w:val="en-GB"/>
        </w:rPr>
        <w:t xml:space="preserve">size does not fit all: </w:t>
      </w:r>
      <w:r w:rsidR="00B161D5" w:rsidRPr="002836EB">
        <w:rPr>
          <w:lang w:val="en-GB"/>
        </w:rPr>
        <w:t>there are over 200 indications for radiation therapy, each with their own guidance on the appropriate number of fractions. Further</w:t>
      </w:r>
      <w:r w:rsidR="002B74CF" w:rsidRPr="002836EB">
        <w:rPr>
          <w:lang w:val="en-GB"/>
        </w:rPr>
        <w:t>more</w:t>
      </w:r>
      <w:r w:rsidR="000D4F6D" w:rsidRPr="002836EB">
        <w:rPr>
          <w:lang w:val="en-GB"/>
        </w:rPr>
        <w:t>,</w:t>
      </w:r>
      <w:r w:rsidR="002B74CF" w:rsidRPr="002836EB">
        <w:rPr>
          <w:lang w:val="en-GB"/>
        </w:rPr>
        <w:t xml:space="preserve"> </w:t>
      </w:r>
      <w:r w:rsidR="00B161D5" w:rsidRPr="002836EB">
        <w:rPr>
          <w:lang w:val="en-GB"/>
        </w:rPr>
        <w:t>the average case</w:t>
      </w:r>
      <w:r w:rsidR="00F54DCB">
        <w:rPr>
          <w:lang w:val="en-GB"/>
        </w:rPr>
        <w:t>-</w:t>
      </w:r>
      <w:r w:rsidR="00B161D5" w:rsidRPr="002836EB">
        <w:rPr>
          <w:lang w:val="en-GB"/>
        </w:rPr>
        <w:t>mix may differ by facility</w:t>
      </w:r>
      <w:r w:rsidR="00DC0D17" w:rsidRPr="002836EB">
        <w:rPr>
          <w:lang w:val="en-GB"/>
        </w:rPr>
        <w:t xml:space="preserve"> for any given indication</w:t>
      </w:r>
      <w:r w:rsidR="00B161D5" w:rsidRPr="002836EB">
        <w:rPr>
          <w:lang w:val="en-GB"/>
        </w:rPr>
        <w:t xml:space="preserve">. </w:t>
      </w:r>
      <w:r w:rsidR="00C72F36" w:rsidRPr="002836EB">
        <w:rPr>
          <w:lang w:val="en-GB"/>
        </w:rPr>
        <w:t>A p</w:t>
      </w:r>
      <w:r w:rsidR="00B161D5" w:rsidRPr="002836EB">
        <w:rPr>
          <w:lang w:val="en-GB"/>
        </w:rPr>
        <w:t>ay</w:t>
      </w:r>
      <w:r w:rsidR="00C72F36" w:rsidRPr="002836EB">
        <w:rPr>
          <w:lang w:val="en-GB"/>
        </w:rPr>
        <w:t>-</w:t>
      </w:r>
      <w:r w:rsidR="00B161D5" w:rsidRPr="002836EB">
        <w:rPr>
          <w:lang w:val="en-GB"/>
        </w:rPr>
        <w:t>per</w:t>
      </w:r>
      <w:r w:rsidR="00C72F36" w:rsidRPr="002836EB">
        <w:rPr>
          <w:lang w:val="en-GB"/>
        </w:rPr>
        <w:t>-</w:t>
      </w:r>
      <w:r w:rsidR="00B161D5" w:rsidRPr="002836EB">
        <w:rPr>
          <w:lang w:val="en-GB"/>
        </w:rPr>
        <w:t>course</w:t>
      </w:r>
      <w:r w:rsidR="00C72F36" w:rsidRPr="002836EB">
        <w:rPr>
          <w:lang w:val="en-GB"/>
        </w:rPr>
        <w:t xml:space="preserve"> approach</w:t>
      </w:r>
      <w:r w:rsidR="00B161D5" w:rsidRPr="002836EB">
        <w:rPr>
          <w:lang w:val="en-GB"/>
        </w:rPr>
        <w:t xml:space="preserve"> would require separate items by indication, adding significant complexity to the billing system.</w:t>
      </w:r>
      <w:r w:rsidR="00C12838" w:rsidRPr="002836EB">
        <w:rPr>
          <w:bCs/>
          <w:lang w:val="en-GB"/>
        </w:rPr>
        <w:t xml:space="preserve"> Retaining the</w:t>
      </w:r>
      <w:r w:rsidRPr="002836EB">
        <w:rPr>
          <w:bCs/>
          <w:lang w:val="en-GB"/>
        </w:rPr>
        <w:t xml:space="preserve"> pay-per-fraction </w:t>
      </w:r>
      <w:r w:rsidR="00C12838" w:rsidRPr="002836EB">
        <w:rPr>
          <w:bCs/>
          <w:lang w:val="en-GB"/>
        </w:rPr>
        <w:t xml:space="preserve">approach </w:t>
      </w:r>
      <w:r w:rsidR="00D15C7D" w:rsidRPr="002836EB">
        <w:rPr>
          <w:bCs/>
          <w:lang w:val="en-GB"/>
        </w:rPr>
        <w:t xml:space="preserve">also </w:t>
      </w:r>
      <w:r w:rsidR="00B161D5" w:rsidRPr="002836EB">
        <w:rPr>
          <w:bCs/>
          <w:lang w:val="en-GB"/>
        </w:rPr>
        <w:t>recognises the need to balance the risk</w:t>
      </w:r>
      <w:r w:rsidR="00B161D5" w:rsidRPr="002836EB">
        <w:rPr>
          <w:lang w:val="en-GB"/>
        </w:rPr>
        <w:t xml:space="preserve"> of incentivising inappropriate hyperfractionation with the greater clinical risks of incentivising hypofractionation </w:t>
      </w:r>
      <w:r w:rsidR="00AB4B07" w:rsidRPr="002836EB">
        <w:rPr>
          <w:lang w:val="en-GB"/>
        </w:rPr>
        <w:t xml:space="preserve">through </w:t>
      </w:r>
      <w:r w:rsidR="00B161D5" w:rsidRPr="002836EB">
        <w:rPr>
          <w:lang w:val="en-GB"/>
        </w:rPr>
        <w:t>a pay-per-course (or equivalent) approach</w:t>
      </w:r>
      <w:r w:rsidRPr="002836EB">
        <w:rPr>
          <w:bCs/>
          <w:lang w:val="en-GB"/>
        </w:rPr>
        <w:t>.</w:t>
      </w:r>
    </w:p>
    <w:p w14:paraId="1F7AEED3" w14:textId="0429E428" w:rsidR="001D6C05" w:rsidRPr="002836EB" w:rsidRDefault="00BD1ED6" w:rsidP="001D6C05">
      <w:pPr>
        <w:pStyle w:val="Heading3"/>
        <w:rPr>
          <w:lang w:val="en-GB"/>
        </w:rPr>
      </w:pPr>
      <w:bookmarkStart w:id="156" w:name="_Recommendation_on_conducting"/>
      <w:bookmarkStart w:id="157" w:name="_Toc468647481"/>
      <w:bookmarkStart w:id="158" w:name="_Toc479082787"/>
      <w:bookmarkEnd w:id="156"/>
      <w:r w:rsidRPr="002836EB">
        <w:rPr>
          <w:lang w:val="en-GB"/>
        </w:rPr>
        <w:t>Recommendation on conducting a ‘dummy</w:t>
      </w:r>
      <w:r w:rsidR="0011133E">
        <w:rPr>
          <w:lang w:val="en-GB"/>
        </w:rPr>
        <w:t>-</w:t>
      </w:r>
      <w:r w:rsidRPr="002836EB">
        <w:rPr>
          <w:lang w:val="en-GB"/>
        </w:rPr>
        <w:t>billing’ modelling exercise prior to implementation</w:t>
      </w:r>
      <w:bookmarkEnd w:id="157"/>
      <w:bookmarkEnd w:id="158"/>
    </w:p>
    <w:p w14:paraId="7BFE593A" w14:textId="6209E088" w:rsidR="00537CC8" w:rsidRDefault="00537CC8" w:rsidP="00537CC8">
      <w:pPr>
        <w:pStyle w:val="Boldhdg"/>
      </w:pPr>
      <w:bookmarkStart w:id="159" w:name="_Ref474802655"/>
      <w:r>
        <w:t xml:space="preserve">Recommendation </w:t>
      </w:r>
      <w:r>
        <w:fldChar w:fldCharType="begin"/>
      </w:r>
      <w:r>
        <w:instrText xml:space="preserve"> SEQ Recommendation \* ARABIC </w:instrText>
      </w:r>
      <w:r>
        <w:fldChar w:fldCharType="separate"/>
      </w:r>
      <w:r w:rsidR="003274EF">
        <w:rPr>
          <w:noProof/>
        </w:rPr>
        <w:t>4</w:t>
      </w:r>
      <w:r>
        <w:fldChar w:fldCharType="end"/>
      </w:r>
      <w:bookmarkEnd w:id="159"/>
    </w:p>
    <w:p w14:paraId="67F6C86C" w14:textId="077D9BCD" w:rsidR="00870C02" w:rsidRPr="002836EB" w:rsidRDefault="00505CC7" w:rsidP="00505CC7">
      <w:pPr>
        <w:pStyle w:val="01squarebullet"/>
        <w:rPr>
          <w:lang w:val="en-GB"/>
        </w:rPr>
      </w:pPr>
      <w:r w:rsidRPr="002836EB">
        <w:rPr>
          <w:lang w:val="en-GB"/>
        </w:rPr>
        <w:t>Conduct a ‘dummy</w:t>
      </w:r>
      <w:r w:rsidR="0011133E">
        <w:rPr>
          <w:lang w:val="en-GB"/>
        </w:rPr>
        <w:t>-</w:t>
      </w:r>
      <w:r w:rsidRPr="002836EB">
        <w:rPr>
          <w:lang w:val="en-GB"/>
        </w:rPr>
        <w:t>billing’ modelling exercise</w:t>
      </w:r>
      <w:r w:rsidR="00870C02" w:rsidRPr="002836EB">
        <w:rPr>
          <w:lang w:val="en-GB"/>
        </w:rPr>
        <w:t xml:space="preserve"> prior to implementation of the two-part payment model, </w:t>
      </w:r>
      <w:r w:rsidR="0011133E">
        <w:rPr>
          <w:lang w:val="en-GB"/>
        </w:rPr>
        <w:t>mapping</w:t>
      </w:r>
      <w:r w:rsidR="0011133E" w:rsidRPr="002836EB">
        <w:rPr>
          <w:lang w:val="en-GB"/>
        </w:rPr>
        <w:t xml:space="preserve"> </w:t>
      </w:r>
      <w:r w:rsidR="00870C02" w:rsidRPr="002836EB">
        <w:rPr>
          <w:lang w:val="en-GB"/>
        </w:rPr>
        <w:t xml:space="preserve">a sample of existing cases (where the actual use of MBS items is known) to the items proposed in the two-part payment model. </w:t>
      </w:r>
      <w:r w:rsidR="007C6DAF" w:rsidRPr="002836EB">
        <w:rPr>
          <w:lang w:val="en-GB"/>
        </w:rPr>
        <w:t>This exercise should</w:t>
      </w:r>
      <w:r w:rsidR="009C5FDB">
        <w:rPr>
          <w:lang w:val="en-GB"/>
        </w:rPr>
        <w:t>:</w:t>
      </w:r>
    </w:p>
    <w:p w14:paraId="7A3A18BE" w14:textId="50591428" w:rsidR="00FA7B43" w:rsidRPr="002836EB" w:rsidRDefault="007C6DAF" w:rsidP="00A7186C">
      <w:pPr>
        <w:pStyle w:val="01squarebullet"/>
        <w:numPr>
          <w:ilvl w:val="1"/>
          <w:numId w:val="16"/>
        </w:numPr>
        <w:rPr>
          <w:lang w:val="en-GB"/>
        </w:rPr>
      </w:pPr>
      <w:r w:rsidRPr="002836EB">
        <w:rPr>
          <w:lang w:val="en-GB"/>
        </w:rPr>
        <w:lastRenderedPageBreak/>
        <w:t>I</w:t>
      </w:r>
      <w:r w:rsidR="004E4187" w:rsidRPr="002836EB">
        <w:rPr>
          <w:lang w:val="en-GB"/>
        </w:rPr>
        <w:t>nvolve</w:t>
      </w:r>
      <w:r w:rsidR="005F76ED" w:rsidRPr="002836EB">
        <w:rPr>
          <w:lang w:val="en-GB"/>
        </w:rPr>
        <w:t xml:space="preserve"> MBS billings over a retrospective period of </w:t>
      </w:r>
      <w:r w:rsidR="00DD54BB">
        <w:rPr>
          <w:lang w:val="en-GB"/>
        </w:rPr>
        <w:t>six</w:t>
      </w:r>
      <w:r w:rsidR="005F76ED" w:rsidRPr="002836EB">
        <w:rPr>
          <w:lang w:val="en-GB"/>
        </w:rPr>
        <w:t xml:space="preserve"> months, for a m</w:t>
      </w:r>
      <w:r w:rsidR="00FA7B43" w:rsidRPr="002836EB">
        <w:rPr>
          <w:lang w:val="en-GB"/>
        </w:rPr>
        <w:t>ix of treatment centres that includes facilities serving complex and less-complex case</w:t>
      </w:r>
      <w:r w:rsidR="001765CA">
        <w:rPr>
          <w:lang w:val="en-GB"/>
        </w:rPr>
        <w:t>-</w:t>
      </w:r>
      <w:r w:rsidR="00FA7B43" w:rsidRPr="002836EB">
        <w:rPr>
          <w:lang w:val="en-GB"/>
        </w:rPr>
        <w:t>mix</w:t>
      </w:r>
      <w:r w:rsidR="00F10CCD">
        <w:rPr>
          <w:lang w:val="en-GB"/>
        </w:rPr>
        <w:t>es</w:t>
      </w:r>
      <w:r w:rsidR="00FA7B43" w:rsidRPr="002836EB">
        <w:rPr>
          <w:lang w:val="en-GB"/>
        </w:rPr>
        <w:t xml:space="preserve">, </w:t>
      </w:r>
      <w:r w:rsidR="003C2B5B" w:rsidRPr="002836EB">
        <w:rPr>
          <w:lang w:val="en-GB"/>
        </w:rPr>
        <w:t xml:space="preserve">across </w:t>
      </w:r>
      <w:r w:rsidR="003E209C">
        <w:rPr>
          <w:lang w:val="en-GB"/>
        </w:rPr>
        <w:t>s</w:t>
      </w:r>
      <w:r w:rsidR="003C2B5B" w:rsidRPr="002836EB">
        <w:rPr>
          <w:lang w:val="en-GB"/>
        </w:rPr>
        <w:t xml:space="preserve">tates and </w:t>
      </w:r>
      <w:r w:rsidR="003E209C">
        <w:rPr>
          <w:lang w:val="en-GB"/>
        </w:rPr>
        <w:t>t</w:t>
      </w:r>
      <w:r w:rsidR="003C2B5B" w:rsidRPr="002836EB">
        <w:rPr>
          <w:lang w:val="en-GB"/>
        </w:rPr>
        <w:t xml:space="preserve">erritories, private and public hospitals, metropolitan and regional </w:t>
      </w:r>
      <w:r w:rsidR="0054452B" w:rsidRPr="002836EB">
        <w:rPr>
          <w:lang w:val="en-GB"/>
        </w:rPr>
        <w:t>hospitals.</w:t>
      </w:r>
    </w:p>
    <w:p w14:paraId="7852BDAD" w14:textId="571CF811" w:rsidR="0054452B" w:rsidRPr="002836EB" w:rsidRDefault="007C6DAF" w:rsidP="00A7186C">
      <w:pPr>
        <w:pStyle w:val="01squarebullet"/>
        <w:numPr>
          <w:ilvl w:val="1"/>
          <w:numId w:val="16"/>
        </w:numPr>
        <w:rPr>
          <w:lang w:val="en-GB"/>
        </w:rPr>
      </w:pPr>
      <w:r w:rsidRPr="002836EB">
        <w:rPr>
          <w:lang w:val="en-GB"/>
        </w:rPr>
        <w:t>B</w:t>
      </w:r>
      <w:r w:rsidR="0054452B" w:rsidRPr="002836EB">
        <w:rPr>
          <w:lang w:val="en-GB"/>
        </w:rPr>
        <w:t>e conduc</w:t>
      </w:r>
      <w:r w:rsidRPr="002836EB">
        <w:rPr>
          <w:lang w:val="en-GB"/>
        </w:rPr>
        <w:t xml:space="preserve">ted with the support of RANZCR, </w:t>
      </w:r>
      <w:r w:rsidR="00FE20FD">
        <w:rPr>
          <w:lang w:val="en-GB"/>
        </w:rPr>
        <w:t>which</w:t>
      </w:r>
      <w:r w:rsidR="00FE20FD" w:rsidRPr="002836EB">
        <w:rPr>
          <w:lang w:val="en-GB"/>
        </w:rPr>
        <w:t xml:space="preserve"> </w:t>
      </w:r>
      <w:r w:rsidR="0054452B" w:rsidRPr="002836EB">
        <w:rPr>
          <w:lang w:val="en-GB"/>
        </w:rPr>
        <w:t>ha</w:t>
      </w:r>
      <w:r w:rsidR="00FE20FD">
        <w:rPr>
          <w:lang w:val="en-GB"/>
        </w:rPr>
        <w:t>s</w:t>
      </w:r>
      <w:r w:rsidR="0054452B" w:rsidRPr="002836EB">
        <w:rPr>
          <w:lang w:val="en-GB"/>
        </w:rPr>
        <w:t xml:space="preserve"> offered assistance with both the design and execution of such an exercise</w:t>
      </w:r>
      <w:r w:rsidR="00985419">
        <w:rPr>
          <w:lang w:val="en-GB"/>
        </w:rPr>
        <w:t>.</w:t>
      </w:r>
      <w:r w:rsidR="006D2B7B" w:rsidRPr="002836EB">
        <w:rPr>
          <w:lang w:val="en-GB"/>
        </w:rPr>
        <w:t xml:space="preserve"> </w:t>
      </w:r>
    </w:p>
    <w:p w14:paraId="76FCED88" w14:textId="62B155BC" w:rsidR="007C6DAF" w:rsidRPr="002836EB" w:rsidRDefault="007C6DAF" w:rsidP="00A7186C">
      <w:pPr>
        <w:pStyle w:val="01squarebullet"/>
        <w:numPr>
          <w:ilvl w:val="1"/>
          <w:numId w:val="16"/>
        </w:numPr>
        <w:rPr>
          <w:lang w:val="en-GB"/>
        </w:rPr>
      </w:pPr>
      <w:r w:rsidRPr="002836EB">
        <w:rPr>
          <w:lang w:val="en-GB"/>
        </w:rPr>
        <w:t xml:space="preserve">Involve input from </w:t>
      </w:r>
      <w:r w:rsidR="003E076C">
        <w:rPr>
          <w:lang w:val="en-GB"/>
        </w:rPr>
        <w:t>R</w:t>
      </w:r>
      <w:r w:rsidRPr="002836EB">
        <w:rPr>
          <w:lang w:val="en-GB"/>
        </w:rPr>
        <w:t xml:space="preserve">adiation </w:t>
      </w:r>
      <w:r w:rsidR="003E076C">
        <w:rPr>
          <w:lang w:val="en-GB"/>
        </w:rPr>
        <w:t>T</w:t>
      </w:r>
      <w:r w:rsidRPr="002836EB">
        <w:rPr>
          <w:lang w:val="en-GB"/>
        </w:rPr>
        <w:t>herapists who are familiar with the complexity of services and the current MBS items.</w:t>
      </w:r>
    </w:p>
    <w:p w14:paraId="0FD05C67" w14:textId="2225F2D3" w:rsidR="00700056" w:rsidRPr="002836EB" w:rsidRDefault="007C6DAF" w:rsidP="00A7186C">
      <w:pPr>
        <w:pStyle w:val="01squarebullet"/>
        <w:numPr>
          <w:ilvl w:val="1"/>
          <w:numId w:val="16"/>
        </w:numPr>
        <w:rPr>
          <w:lang w:val="en-GB"/>
        </w:rPr>
      </w:pPr>
      <w:r w:rsidRPr="002836EB">
        <w:rPr>
          <w:lang w:val="en-GB"/>
        </w:rPr>
        <w:t>B</w:t>
      </w:r>
      <w:r w:rsidR="00922999" w:rsidRPr="002836EB">
        <w:rPr>
          <w:lang w:val="en-GB"/>
        </w:rPr>
        <w:t xml:space="preserve">e </w:t>
      </w:r>
      <w:r w:rsidR="00C9730A" w:rsidRPr="002836EB">
        <w:rPr>
          <w:lang w:val="en-GB"/>
        </w:rPr>
        <w:t>supported</w:t>
      </w:r>
      <w:r w:rsidR="00A26EC7" w:rsidRPr="002836EB">
        <w:rPr>
          <w:lang w:val="en-GB"/>
        </w:rPr>
        <w:t xml:space="preserve"> via a new source of funds</w:t>
      </w:r>
      <w:r w:rsidR="005874F7" w:rsidRPr="002836EB">
        <w:rPr>
          <w:lang w:val="en-GB"/>
        </w:rPr>
        <w:t xml:space="preserve"> to cover components of the exercise that are unable to be provided by RANZCR and participating facilities</w:t>
      </w:r>
      <w:r w:rsidR="00A26EC7" w:rsidRPr="002836EB">
        <w:rPr>
          <w:lang w:val="en-GB"/>
        </w:rPr>
        <w:t xml:space="preserve">. </w:t>
      </w:r>
    </w:p>
    <w:p w14:paraId="4DFA5069" w14:textId="77777777" w:rsidR="00CC1236" w:rsidRPr="002836EB" w:rsidRDefault="00CC1236" w:rsidP="00CC1236">
      <w:pPr>
        <w:pStyle w:val="Boldhdg"/>
        <w:rPr>
          <w:lang w:val="en-GB"/>
        </w:rPr>
      </w:pPr>
      <w:r w:rsidRPr="002836EB">
        <w:rPr>
          <w:lang w:val="en-GB"/>
        </w:rPr>
        <w:t>Rationale</w:t>
      </w:r>
    </w:p>
    <w:p w14:paraId="16EB99B3" w14:textId="19714EA1" w:rsidR="00CC1236" w:rsidRPr="002836EB" w:rsidRDefault="00CC1236" w:rsidP="00CC1236">
      <w:pPr>
        <w:pStyle w:val="01squarebullet"/>
        <w:numPr>
          <w:ilvl w:val="0"/>
          <w:numId w:val="0"/>
        </w:numPr>
        <w:rPr>
          <w:lang w:val="en-GB"/>
        </w:rPr>
      </w:pPr>
      <w:r w:rsidRPr="002836EB">
        <w:rPr>
          <w:lang w:val="en-GB"/>
        </w:rPr>
        <w:t>This recommendation focuses on minimi</w:t>
      </w:r>
      <w:r w:rsidR="00047333">
        <w:rPr>
          <w:lang w:val="en-GB"/>
        </w:rPr>
        <w:t>s</w:t>
      </w:r>
      <w:r w:rsidRPr="002836EB">
        <w:rPr>
          <w:lang w:val="en-GB"/>
        </w:rPr>
        <w:t xml:space="preserve">ing </w:t>
      </w:r>
      <w:r w:rsidR="00512FAF">
        <w:rPr>
          <w:lang w:val="en-GB"/>
        </w:rPr>
        <w:t xml:space="preserve">the </w:t>
      </w:r>
      <w:r w:rsidRPr="002836EB">
        <w:rPr>
          <w:lang w:val="en-GB"/>
        </w:rPr>
        <w:t xml:space="preserve">risk of unintended disruption to </w:t>
      </w:r>
      <w:r w:rsidR="008B6476" w:rsidRPr="002836EB">
        <w:rPr>
          <w:lang w:val="en-GB"/>
        </w:rPr>
        <w:t xml:space="preserve">radiation oncology </w:t>
      </w:r>
      <w:r w:rsidRPr="002836EB">
        <w:rPr>
          <w:lang w:val="en-GB"/>
        </w:rPr>
        <w:t xml:space="preserve">services </w:t>
      </w:r>
      <w:r w:rsidR="009F65FF">
        <w:rPr>
          <w:lang w:val="en-GB"/>
        </w:rPr>
        <w:t>or</w:t>
      </w:r>
      <w:r w:rsidR="00A408DF">
        <w:rPr>
          <w:lang w:val="en-GB"/>
        </w:rPr>
        <w:t xml:space="preserve"> </w:t>
      </w:r>
      <w:r w:rsidRPr="002836EB">
        <w:rPr>
          <w:lang w:val="en-GB"/>
        </w:rPr>
        <w:t xml:space="preserve">the financial sustainability of </w:t>
      </w:r>
      <w:r w:rsidR="0075647A">
        <w:rPr>
          <w:lang w:val="en-GB"/>
        </w:rPr>
        <w:t>those</w:t>
      </w:r>
      <w:r w:rsidRPr="002836EB">
        <w:rPr>
          <w:lang w:val="en-GB"/>
        </w:rPr>
        <w:t xml:space="preserve"> services</w:t>
      </w:r>
      <w:r w:rsidR="004719F9" w:rsidRPr="002836EB">
        <w:rPr>
          <w:lang w:val="en-GB"/>
        </w:rPr>
        <w:t xml:space="preserve"> (</w:t>
      </w:r>
      <w:r w:rsidR="00032E12">
        <w:rPr>
          <w:lang w:val="en-GB"/>
        </w:rPr>
        <w:t>for</w:t>
      </w:r>
      <w:r w:rsidR="00032E12" w:rsidRPr="002836EB">
        <w:rPr>
          <w:lang w:val="en-GB"/>
        </w:rPr>
        <w:t xml:space="preserve"> </w:t>
      </w:r>
      <w:r w:rsidR="004719F9" w:rsidRPr="002836EB">
        <w:rPr>
          <w:lang w:val="en-GB"/>
        </w:rPr>
        <w:t xml:space="preserve">both the MBS and providers). </w:t>
      </w:r>
      <w:r w:rsidRPr="002836EB">
        <w:rPr>
          <w:lang w:val="en-GB"/>
        </w:rPr>
        <w:t>It is based on the following observations.</w:t>
      </w:r>
    </w:p>
    <w:p w14:paraId="04D23E1B" w14:textId="3D0F2F55" w:rsidR="00CB5EE3" w:rsidRPr="002836EB" w:rsidRDefault="00CB5EE3" w:rsidP="00A7186C">
      <w:pPr>
        <w:pStyle w:val="01squarebullet"/>
        <w:numPr>
          <w:ilvl w:val="0"/>
          <w:numId w:val="15"/>
        </w:numPr>
        <w:rPr>
          <w:bCs/>
          <w:lang w:val="en-GB"/>
        </w:rPr>
      </w:pPr>
      <w:r w:rsidRPr="002836EB">
        <w:rPr>
          <w:bCs/>
          <w:lang w:val="en-GB"/>
        </w:rPr>
        <w:t>The two</w:t>
      </w:r>
      <w:r w:rsidR="0054452B" w:rsidRPr="002836EB">
        <w:rPr>
          <w:bCs/>
          <w:lang w:val="en-GB"/>
        </w:rPr>
        <w:t>-</w:t>
      </w:r>
      <w:r w:rsidRPr="002836EB">
        <w:rPr>
          <w:bCs/>
          <w:lang w:val="en-GB"/>
        </w:rPr>
        <w:t xml:space="preserve">part payment model represents a wholesale restructuring of reimbursement for radiation </w:t>
      </w:r>
      <w:r w:rsidR="0054452B" w:rsidRPr="002836EB">
        <w:rPr>
          <w:bCs/>
          <w:lang w:val="en-GB"/>
        </w:rPr>
        <w:t>oncology services in Australia. This restructuring is intended to maintain current levels of funding and access to radiation oncology services in Australia.</w:t>
      </w:r>
    </w:p>
    <w:p w14:paraId="7052965D" w14:textId="78CEC79C" w:rsidR="001E03B5" w:rsidRPr="002836EB" w:rsidRDefault="00CB5EE3" w:rsidP="00A7186C">
      <w:pPr>
        <w:pStyle w:val="01squarebullet"/>
        <w:numPr>
          <w:ilvl w:val="0"/>
          <w:numId w:val="15"/>
        </w:numPr>
        <w:rPr>
          <w:lang w:val="en-GB"/>
        </w:rPr>
      </w:pPr>
      <w:r w:rsidRPr="002836EB">
        <w:rPr>
          <w:lang w:val="en-GB"/>
        </w:rPr>
        <w:t>A ‘dummy</w:t>
      </w:r>
      <w:r w:rsidR="0084423B">
        <w:rPr>
          <w:lang w:val="en-GB"/>
        </w:rPr>
        <w:t>-</w:t>
      </w:r>
      <w:r w:rsidRPr="002836EB">
        <w:rPr>
          <w:lang w:val="en-GB"/>
        </w:rPr>
        <w:t xml:space="preserve">billing’ modelling exercise will assist in </w:t>
      </w:r>
      <w:r w:rsidR="001E03B5" w:rsidRPr="002836EB">
        <w:rPr>
          <w:lang w:val="en-GB"/>
        </w:rPr>
        <w:t>identifying</w:t>
      </w:r>
      <w:r w:rsidR="00AE5B95" w:rsidRPr="002836EB">
        <w:rPr>
          <w:lang w:val="en-GB"/>
        </w:rPr>
        <w:t>:</w:t>
      </w:r>
    </w:p>
    <w:p w14:paraId="6775748F" w14:textId="5CA74B56" w:rsidR="001D3A8A" w:rsidRPr="002836EB" w:rsidRDefault="00AF32DF" w:rsidP="001D3A8A">
      <w:pPr>
        <w:pStyle w:val="02dash"/>
        <w:rPr>
          <w:lang w:val="en-GB"/>
        </w:rPr>
      </w:pPr>
      <w:r w:rsidRPr="002836EB">
        <w:rPr>
          <w:lang w:val="en-GB"/>
        </w:rPr>
        <w:t>The e</w:t>
      </w:r>
      <w:r w:rsidR="001D3A8A" w:rsidRPr="002836EB">
        <w:rPr>
          <w:lang w:val="en-GB"/>
        </w:rPr>
        <w:t xml:space="preserve">xpected volume of services at each complexity level, </w:t>
      </w:r>
      <w:r w:rsidR="00F54DCB">
        <w:rPr>
          <w:lang w:val="en-GB"/>
        </w:rPr>
        <w:t>which will help to</w:t>
      </w:r>
      <w:r w:rsidR="001D3A8A" w:rsidRPr="002836EB">
        <w:rPr>
          <w:lang w:val="en-GB"/>
        </w:rPr>
        <w:t xml:space="preserve"> determi</w:t>
      </w:r>
      <w:r w:rsidR="00F54DCB">
        <w:rPr>
          <w:lang w:val="en-GB"/>
        </w:rPr>
        <w:t>ne</w:t>
      </w:r>
      <w:r w:rsidR="001D3A8A" w:rsidRPr="002836EB">
        <w:rPr>
          <w:lang w:val="en-GB"/>
        </w:rPr>
        <w:t xml:space="preserve"> appropriate </w:t>
      </w:r>
      <w:r w:rsidR="00C07AAE">
        <w:rPr>
          <w:lang w:val="en-GB"/>
        </w:rPr>
        <w:t>s</w:t>
      </w:r>
      <w:r w:rsidR="001D3A8A" w:rsidRPr="002836EB">
        <w:rPr>
          <w:lang w:val="en-GB"/>
        </w:rPr>
        <w:t xml:space="preserve">chedule </w:t>
      </w:r>
      <w:r w:rsidR="00C07AAE">
        <w:rPr>
          <w:lang w:val="en-GB"/>
        </w:rPr>
        <w:t>f</w:t>
      </w:r>
      <w:r w:rsidR="001D3A8A" w:rsidRPr="002836EB">
        <w:rPr>
          <w:lang w:val="en-GB"/>
        </w:rPr>
        <w:t>ees that maintain access to radiation therapy services</w:t>
      </w:r>
      <w:r w:rsidR="00AE5B95" w:rsidRPr="002836EB">
        <w:rPr>
          <w:lang w:val="en-GB"/>
        </w:rPr>
        <w:t>.</w:t>
      </w:r>
    </w:p>
    <w:p w14:paraId="41FF19E4" w14:textId="204ECF57" w:rsidR="00AF32DF" w:rsidRPr="002836EB" w:rsidRDefault="00AF32DF" w:rsidP="001D3A8A">
      <w:pPr>
        <w:pStyle w:val="02dash"/>
        <w:rPr>
          <w:lang w:val="en-GB"/>
        </w:rPr>
      </w:pPr>
      <w:r w:rsidRPr="002836EB">
        <w:rPr>
          <w:lang w:val="en-GB"/>
        </w:rPr>
        <w:t>The potential for large deviation around the mean price point within each complexity level</w:t>
      </w:r>
      <w:r w:rsidR="00AE5B95" w:rsidRPr="002836EB">
        <w:rPr>
          <w:lang w:val="en-GB"/>
        </w:rPr>
        <w:t>.</w:t>
      </w:r>
    </w:p>
    <w:p w14:paraId="6B5B5BCD" w14:textId="2B644854" w:rsidR="001E03B5" w:rsidRPr="002836EB" w:rsidRDefault="001E03B5" w:rsidP="00AF32DF">
      <w:pPr>
        <w:pStyle w:val="02dash"/>
        <w:rPr>
          <w:lang w:val="en-GB"/>
        </w:rPr>
      </w:pPr>
      <w:r w:rsidRPr="002836EB">
        <w:rPr>
          <w:lang w:val="en-GB"/>
        </w:rPr>
        <w:t>W</w:t>
      </w:r>
      <w:r w:rsidR="00AF32DF" w:rsidRPr="002836EB">
        <w:rPr>
          <w:lang w:val="en-GB"/>
        </w:rPr>
        <w:t>hether any low</w:t>
      </w:r>
      <w:r w:rsidR="006609F5">
        <w:rPr>
          <w:lang w:val="en-GB"/>
        </w:rPr>
        <w:t>-</w:t>
      </w:r>
      <w:r w:rsidR="00AF32DF" w:rsidRPr="002836EB">
        <w:rPr>
          <w:lang w:val="en-GB"/>
        </w:rPr>
        <w:t>volume items c</w:t>
      </w:r>
      <w:r w:rsidR="001D3A8A" w:rsidRPr="002836EB">
        <w:rPr>
          <w:lang w:val="en-GB"/>
        </w:rPr>
        <w:t>ould be consolidated</w:t>
      </w:r>
      <w:r w:rsidR="00AE5B95" w:rsidRPr="002836EB">
        <w:rPr>
          <w:lang w:val="en-GB"/>
        </w:rPr>
        <w:t>.</w:t>
      </w:r>
    </w:p>
    <w:p w14:paraId="3EFAD7F8" w14:textId="41379642" w:rsidR="006D2B7B" w:rsidRPr="002836EB" w:rsidRDefault="00B74ED5" w:rsidP="006D2B7B">
      <w:pPr>
        <w:pStyle w:val="02dash"/>
        <w:numPr>
          <w:ilvl w:val="0"/>
          <w:numId w:val="6"/>
        </w:numPr>
        <w:rPr>
          <w:lang w:val="en-GB"/>
        </w:rPr>
      </w:pPr>
      <w:r w:rsidRPr="002836EB">
        <w:rPr>
          <w:lang w:val="en-GB"/>
        </w:rPr>
        <w:t>A six</w:t>
      </w:r>
      <w:r w:rsidR="001E3546">
        <w:rPr>
          <w:lang w:val="en-GB"/>
        </w:rPr>
        <w:t>-</w:t>
      </w:r>
      <w:r w:rsidR="00F05BF8" w:rsidRPr="002836EB">
        <w:rPr>
          <w:lang w:val="en-GB"/>
        </w:rPr>
        <w:t xml:space="preserve">month retrospective period, and </w:t>
      </w:r>
      <w:r w:rsidR="004E5291">
        <w:rPr>
          <w:lang w:val="en-GB"/>
        </w:rPr>
        <w:t xml:space="preserve">the </w:t>
      </w:r>
      <w:r w:rsidR="00F05BF8" w:rsidRPr="002836EB">
        <w:rPr>
          <w:lang w:val="en-GB"/>
        </w:rPr>
        <w:t xml:space="preserve">inclusion of a range of treatment centres, </w:t>
      </w:r>
      <w:r w:rsidRPr="002836EB">
        <w:rPr>
          <w:lang w:val="en-GB"/>
        </w:rPr>
        <w:t xml:space="preserve">will balance efficiency with </w:t>
      </w:r>
      <w:r w:rsidR="00F05BF8" w:rsidRPr="002836EB">
        <w:rPr>
          <w:lang w:val="en-GB"/>
        </w:rPr>
        <w:t xml:space="preserve">the need to capture a </w:t>
      </w:r>
      <w:r w:rsidRPr="002836EB">
        <w:rPr>
          <w:lang w:val="en-GB"/>
        </w:rPr>
        <w:t xml:space="preserve">sufficient </w:t>
      </w:r>
      <w:r w:rsidR="00922999" w:rsidRPr="002836EB">
        <w:rPr>
          <w:lang w:val="en-GB"/>
        </w:rPr>
        <w:t>r</w:t>
      </w:r>
      <w:r w:rsidR="00F05BF8" w:rsidRPr="002836EB">
        <w:rPr>
          <w:lang w:val="en-GB"/>
        </w:rPr>
        <w:t>ange of treatments.</w:t>
      </w:r>
    </w:p>
    <w:p w14:paraId="16A8A407" w14:textId="796B25D0" w:rsidR="00840163" w:rsidRPr="00AC6DC1" w:rsidRDefault="00840163" w:rsidP="00840163">
      <w:pPr>
        <w:pStyle w:val="Heading2"/>
        <w:rPr>
          <w:lang w:val="en-GB"/>
        </w:rPr>
      </w:pPr>
      <w:bookmarkStart w:id="160" w:name="_Kilovoltage_radiation_therapy"/>
      <w:bookmarkStart w:id="161" w:name="_Ref464501739"/>
      <w:bookmarkStart w:id="162" w:name="_Toc468647482"/>
      <w:bookmarkStart w:id="163" w:name="_Toc479082788"/>
      <w:bookmarkEnd w:id="160"/>
      <w:r w:rsidRPr="00AC6DC1">
        <w:rPr>
          <w:lang w:val="en-GB"/>
        </w:rPr>
        <w:t xml:space="preserve">Kilovoltage </w:t>
      </w:r>
      <w:r w:rsidR="00E51CC2" w:rsidRPr="00AC6DC1">
        <w:rPr>
          <w:lang w:val="en-GB"/>
        </w:rPr>
        <w:t>r</w:t>
      </w:r>
      <w:r w:rsidR="000629EC" w:rsidRPr="00AC6DC1">
        <w:rPr>
          <w:lang w:val="en-GB"/>
        </w:rPr>
        <w:t xml:space="preserve">adiation </w:t>
      </w:r>
      <w:r w:rsidR="00E51CC2" w:rsidRPr="00AC6DC1">
        <w:rPr>
          <w:lang w:val="en-GB"/>
        </w:rPr>
        <w:t>t</w:t>
      </w:r>
      <w:r w:rsidR="000629EC" w:rsidRPr="00AC6DC1">
        <w:rPr>
          <w:lang w:val="en-GB"/>
        </w:rPr>
        <w:t>herapy</w:t>
      </w:r>
      <w:bookmarkEnd w:id="152"/>
      <w:bookmarkEnd w:id="161"/>
      <w:bookmarkEnd w:id="162"/>
      <w:bookmarkEnd w:id="163"/>
    </w:p>
    <w:p w14:paraId="5EA962C7" w14:textId="6B0CD4CE" w:rsidR="00840163" w:rsidRPr="002836EB" w:rsidRDefault="00840163" w:rsidP="00840163">
      <w:pPr>
        <w:pStyle w:val="Caption"/>
      </w:pPr>
      <w:bookmarkStart w:id="164" w:name="_Toc468647508"/>
      <w:bookmarkStart w:id="165" w:name="_Toc479082814"/>
      <w:r w:rsidRPr="002836EB">
        <w:t xml:space="preserve">Table </w:t>
      </w:r>
      <w:r w:rsidRPr="002836EB">
        <w:fldChar w:fldCharType="begin"/>
      </w:r>
      <w:r w:rsidRPr="002836EB">
        <w:instrText xml:space="preserve"> SEQ Table \* ARABIC </w:instrText>
      </w:r>
      <w:r w:rsidRPr="002836EB">
        <w:fldChar w:fldCharType="separate"/>
      </w:r>
      <w:r w:rsidR="003274EF">
        <w:rPr>
          <w:noProof/>
        </w:rPr>
        <w:t>7</w:t>
      </w:r>
      <w:r w:rsidRPr="002836EB">
        <w:fldChar w:fldCharType="end"/>
      </w:r>
      <w:r w:rsidRPr="002836EB">
        <w:t>: Item introduction table for item</w:t>
      </w:r>
      <w:r w:rsidR="00BA5CED" w:rsidRPr="002836EB">
        <w:t>s</w:t>
      </w:r>
      <w:r w:rsidRPr="002836EB">
        <w:t xml:space="preserve"> </w:t>
      </w:r>
      <w:r w:rsidR="00BA5CED" w:rsidRPr="002836EB">
        <w:t>15000</w:t>
      </w:r>
      <w:r w:rsidR="002A7AFC">
        <w:t>–</w:t>
      </w:r>
      <w:r w:rsidR="00BA5CED" w:rsidRPr="002836EB">
        <w:t>15115</w:t>
      </w:r>
      <w:bookmarkEnd w:id="164"/>
      <w:bookmarkEnd w:id="16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7 shows the item introduction table for Kilovoltage radiation therapy item numbers 15000-15115. There are 6 columns: Column 1. List of items, Column 2. Descriptor, column 3. Schedule fee, column 4. Volume of services for financial year 2014-15, column 5. Total benefits for FY 2014-15, and column 6. Percentage of the services average 5-year annual growth."/>
      </w:tblPr>
      <w:tblGrid>
        <w:gridCol w:w="718"/>
        <w:gridCol w:w="4090"/>
        <w:gridCol w:w="923"/>
        <w:gridCol w:w="1003"/>
        <w:gridCol w:w="1085"/>
        <w:gridCol w:w="1197"/>
      </w:tblGrid>
      <w:tr w:rsidR="00396184" w:rsidRPr="002836EB" w14:paraId="3EF66DC8" w14:textId="77777777" w:rsidTr="00232E7A">
        <w:trPr>
          <w:tblHeader/>
        </w:trPr>
        <w:tc>
          <w:tcPr>
            <w:tcW w:w="721" w:type="dxa"/>
            <w:shd w:val="clear" w:color="auto" w:fill="F2F2F2" w:themeFill="background1" w:themeFillShade="F2"/>
            <w:vAlign w:val="bottom"/>
          </w:tcPr>
          <w:p w14:paraId="2F3E2263" w14:textId="77777777" w:rsidR="003D635F" w:rsidRPr="002836EB" w:rsidRDefault="003D635F" w:rsidP="005D41DE">
            <w:pPr>
              <w:pStyle w:val="02Tabletext"/>
              <w:rPr>
                <w:b/>
              </w:rPr>
            </w:pPr>
            <w:r w:rsidRPr="002836EB">
              <w:rPr>
                <w:b/>
              </w:rPr>
              <w:t>Item</w:t>
            </w:r>
          </w:p>
        </w:tc>
        <w:tc>
          <w:tcPr>
            <w:tcW w:w="4141" w:type="dxa"/>
            <w:shd w:val="clear" w:color="auto" w:fill="F2F2F2" w:themeFill="background1" w:themeFillShade="F2"/>
            <w:vAlign w:val="bottom"/>
          </w:tcPr>
          <w:p w14:paraId="7DBA066E" w14:textId="77777777" w:rsidR="003D635F" w:rsidRPr="002836EB" w:rsidRDefault="003D635F" w:rsidP="005D41DE">
            <w:pPr>
              <w:pStyle w:val="02Tabletext"/>
              <w:rPr>
                <w:b/>
              </w:rPr>
            </w:pPr>
            <w:r w:rsidRPr="002836EB">
              <w:rPr>
                <w:b/>
              </w:rPr>
              <w:t>Descriptor</w:t>
            </w:r>
          </w:p>
        </w:tc>
        <w:tc>
          <w:tcPr>
            <w:tcW w:w="924" w:type="dxa"/>
            <w:shd w:val="clear" w:color="auto" w:fill="F2F2F2" w:themeFill="background1" w:themeFillShade="F2"/>
            <w:vAlign w:val="bottom"/>
          </w:tcPr>
          <w:p w14:paraId="64959B53" w14:textId="77777777" w:rsidR="003D635F" w:rsidRPr="002836EB" w:rsidRDefault="003D635F" w:rsidP="005D41DE">
            <w:pPr>
              <w:pStyle w:val="02Tabletext"/>
              <w:rPr>
                <w:b/>
              </w:rPr>
            </w:pPr>
            <w:r w:rsidRPr="002836EB">
              <w:rPr>
                <w:b/>
              </w:rPr>
              <w:t>Schedule</w:t>
            </w:r>
          </w:p>
          <w:p w14:paraId="5A74B89C" w14:textId="77777777" w:rsidR="003D635F" w:rsidRPr="002836EB" w:rsidRDefault="003D635F" w:rsidP="005D41DE">
            <w:pPr>
              <w:pStyle w:val="02Tabletext"/>
              <w:rPr>
                <w:b/>
              </w:rPr>
            </w:pPr>
            <w:r w:rsidRPr="002836EB">
              <w:rPr>
                <w:b/>
              </w:rPr>
              <w:t>fee</w:t>
            </w:r>
          </w:p>
        </w:tc>
        <w:tc>
          <w:tcPr>
            <w:tcW w:w="1004" w:type="dxa"/>
            <w:shd w:val="clear" w:color="auto" w:fill="F2F2F2" w:themeFill="background1" w:themeFillShade="F2"/>
            <w:vAlign w:val="bottom"/>
          </w:tcPr>
          <w:p w14:paraId="4ADB235F" w14:textId="77777777" w:rsidR="003D635F" w:rsidRPr="002836EB" w:rsidRDefault="003D635F" w:rsidP="005D41DE">
            <w:pPr>
              <w:pStyle w:val="02Tabletext"/>
              <w:rPr>
                <w:b/>
              </w:rPr>
            </w:pPr>
            <w:r w:rsidRPr="002836EB">
              <w:rPr>
                <w:b/>
              </w:rPr>
              <w:t>Volume of services FY2014/15</w:t>
            </w:r>
          </w:p>
        </w:tc>
        <w:tc>
          <w:tcPr>
            <w:tcW w:w="1088" w:type="dxa"/>
            <w:shd w:val="clear" w:color="auto" w:fill="F2F2F2" w:themeFill="background1" w:themeFillShade="F2"/>
            <w:vAlign w:val="bottom"/>
          </w:tcPr>
          <w:p w14:paraId="53E8C02A" w14:textId="77777777" w:rsidR="003D635F" w:rsidRPr="002836EB" w:rsidRDefault="003D635F" w:rsidP="005D41DE">
            <w:pPr>
              <w:pStyle w:val="02Tabletext"/>
              <w:rPr>
                <w:b/>
              </w:rPr>
            </w:pPr>
            <w:r w:rsidRPr="002836EB">
              <w:rPr>
                <w:b/>
              </w:rPr>
              <w:t>Total benefits FY2014/15</w:t>
            </w:r>
          </w:p>
        </w:tc>
        <w:tc>
          <w:tcPr>
            <w:tcW w:w="1204" w:type="dxa"/>
            <w:shd w:val="clear" w:color="auto" w:fill="F2F2F2" w:themeFill="background1" w:themeFillShade="F2"/>
            <w:vAlign w:val="bottom"/>
          </w:tcPr>
          <w:p w14:paraId="2320DE21" w14:textId="77777777" w:rsidR="003D635F" w:rsidRPr="002836EB" w:rsidRDefault="003D635F" w:rsidP="005D41DE">
            <w:pPr>
              <w:pStyle w:val="02Tabletext"/>
              <w:rPr>
                <w:b/>
              </w:rPr>
            </w:pPr>
            <w:r w:rsidRPr="002836EB">
              <w:rPr>
                <w:b/>
              </w:rPr>
              <w:t>Services 5-year-average annual growth</w:t>
            </w:r>
          </w:p>
        </w:tc>
      </w:tr>
      <w:tr w:rsidR="00B57FD1" w:rsidRPr="002836EB" w14:paraId="19F975F4" w14:textId="77777777" w:rsidTr="00256BAB">
        <w:tc>
          <w:tcPr>
            <w:tcW w:w="721" w:type="dxa"/>
          </w:tcPr>
          <w:p w14:paraId="0EDE6AAD" w14:textId="71829089" w:rsidR="00B57FD1" w:rsidRPr="002836EB" w:rsidRDefault="00B57FD1" w:rsidP="00B57FD1">
            <w:pPr>
              <w:pStyle w:val="02Tabletext"/>
            </w:pPr>
            <w:r w:rsidRPr="002836EB">
              <w:t>15000</w:t>
            </w:r>
          </w:p>
        </w:tc>
        <w:tc>
          <w:tcPr>
            <w:tcW w:w="4141" w:type="dxa"/>
          </w:tcPr>
          <w:p w14:paraId="05AF1A3C" w14:textId="6BBC5CEC" w:rsidR="00B57FD1" w:rsidRPr="002836EB" w:rsidRDefault="00B57FD1" w:rsidP="00B57FD1">
            <w:pPr>
              <w:pStyle w:val="02Tabletext"/>
            </w:pPr>
            <w:r w:rsidRPr="002836EB">
              <w:t xml:space="preserve">Radiotherapy, superficial (including treatment with </w:t>
            </w:r>
            <w:r w:rsidR="000275E7">
              <w:t>x-ray</w:t>
            </w:r>
            <w:r w:rsidRPr="002836EB">
              <w:t>s, radium rays or other radioactive substances), not being a service to which another item in this Group applies</w:t>
            </w:r>
            <w:r w:rsidR="00D645CF">
              <w:t xml:space="preserve"> –</w:t>
            </w:r>
            <w:r w:rsidRPr="002836EB">
              <w:t xml:space="preserve"> each attendance at which fractionated treatment is given 1 field</w:t>
            </w:r>
            <w:r w:rsidR="00D645CF">
              <w:t>.</w:t>
            </w:r>
          </w:p>
        </w:tc>
        <w:tc>
          <w:tcPr>
            <w:tcW w:w="924" w:type="dxa"/>
          </w:tcPr>
          <w:p w14:paraId="298E29CB" w14:textId="10293A47" w:rsidR="00B57FD1" w:rsidRPr="002836EB" w:rsidRDefault="00B57FD1" w:rsidP="00B57FD1">
            <w:pPr>
              <w:pStyle w:val="02Tabletext"/>
              <w:jc w:val="center"/>
            </w:pPr>
            <w:r w:rsidRPr="002836EB">
              <w:t>$42.55</w:t>
            </w:r>
          </w:p>
        </w:tc>
        <w:tc>
          <w:tcPr>
            <w:tcW w:w="1004" w:type="dxa"/>
          </w:tcPr>
          <w:p w14:paraId="4DE61ADA" w14:textId="63971C9D" w:rsidR="00B57FD1" w:rsidRPr="002836EB" w:rsidRDefault="00B57FD1" w:rsidP="00B57FD1">
            <w:pPr>
              <w:pStyle w:val="02Tabletext"/>
              <w:jc w:val="center"/>
            </w:pPr>
            <w:r w:rsidRPr="002836EB">
              <w:t>22,767</w:t>
            </w:r>
          </w:p>
        </w:tc>
        <w:tc>
          <w:tcPr>
            <w:tcW w:w="1088" w:type="dxa"/>
          </w:tcPr>
          <w:p w14:paraId="0FA0E953" w14:textId="5BFD6D54" w:rsidR="00B57FD1" w:rsidRPr="002836EB" w:rsidRDefault="00B57FD1" w:rsidP="00B57FD1">
            <w:pPr>
              <w:pStyle w:val="02Tabletext"/>
              <w:jc w:val="center"/>
            </w:pPr>
            <w:r w:rsidRPr="002836EB">
              <w:t>$893,254</w:t>
            </w:r>
          </w:p>
        </w:tc>
        <w:tc>
          <w:tcPr>
            <w:tcW w:w="1204" w:type="dxa"/>
          </w:tcPr>
          <w:p w14:paraId="2B23DD9C" w14:textId="73A385E4" w:rsidR="00B57FD1" w:rsidRPr="002836EB" w:rsidRDefault="00B57FD1" w:rsidP="00B57FD1">
            <w:pPr>
              <w:pStyle w:val="02Tabletext"/>
              <w:jc w:val="center"/>
            </w:pPr>
            <w:r w:rsidRPr="002836EB">
              <w:t>9.9%</w:t>
            </w:r>
          </w:p>
        </w:tc>
      </w:tr>
      <w:tr w:rsidR="00B57FD1" w:rsidRPr="002836EB" w14:paraId="596E24B1" w14:textId="77777777" w:rsidTr="00256BAB">
        <w:tc>
          <w:tcPr>
            <w:tcW w:w="721" w:type="dxa"/>
          </w:tcPr>
          <w:p w14:paraId="13454573" w14:textId="38EFC9BC" w:rsidR="00B57FD1" w:rsidRPr="002836EB" w:rsidRDefault="00B57FD1" w:rsidP="00B57FD1">
            <w:pPr>
              <w:pStyle w:val="02Tabletext"/>
            </w:pPr>
            <w:r w:rsidRPr="002836EB">
              <w:t>15003</w:t>
            </w:r>
          </w:p>
        </w:tc>
        <w:tc>
          <w:tcPr>
            <w:tcW w:w="4141" w:type="dxa"/>
          </w:tcPr>
          <w:p w14:paraId="6385F96F" w14:textId="7D4E9787" w:rsidR="00B57FD1" w:rsidRPr="002836EB" w:rsidRDefault="00B57FD1" w:rsidP="00B57FD1">
            <w:pPr>
              <w:pStyle w:val="02Tabletext"/>
            </w:pPr>
            <w:r w:rsidRPr="002836EB">
              <w:t xml:space="preserve">Radiotherapy, superficial (including treatment with x-rays, radium rays or other radioactive substances), not being a service to which another item in this Group applies </w:t>
            </w:r>
            <w:r w:rsidR="00517656">
              <w:t>–</w:t>
            </w:r>
            <w:r w:rsidRPr="002836EB">
              <w:t xml:space="preserve"> each attendance at which fractionated treatment is given </w:t>
            </w:r>
            <w:r w:rsidR="002145D3">
              <w:t>–</w:t>
            </w:r>
            <w:r w:rsidRPr="002836EB">
              <w:t xml:space="preserve"> 2 or more fields up to a maximum of 5 additional fields</w:t>
            </w:r>
            <w:r w:rsidR="008C7605">
              <w:t>.</w:t>
            </w:r>
          </w:p>
        </w:tc>
        <w:tc>
          <w:tcPr>
            <w:tcW w:w="924" w:type="dxa"/>
          </w:tcPr>
          <w:p w14:paraId="25BEFB0E" w14:textId="6C0911FC" w:rsidR="00B57FD1" w:rsidRPr="002836EB" w:rsidRDefault="00B57FD1" w:rsidP="00B57FD1">
            <w:pPr>
              <w:pStyle w:val="02Tabletext"/>
              <w:jc w:val="center"/>
            </w:pPr>
            <w:r w:rsidRPr="002836EB">
              <w:t>The fee for item 15000 plus for each field in excess of 1, an amount of $17.10</w:t>
            </w:r>
          </w:p>
        </w:tc>
        <w:tc>
          <w:tcPr>
            <w:tcW w:w="1004" w:type="dxa"/>
          </w:tcPr>
          <w:p w14:paraId="2AB218DC" w14:textId="054C2427" w:rsidR="00B57FD1" w:rsidRPr="002836EB" w:rsidRDefault="00B57FD1" w:rsidP="00B57FD1">
            <w:pPr>
              <w:pStyle w:val="02Tabletext"/>
              <w:jc w:val="center"/>
            </w:pPr>
            <w:r w:rsidRPr="002836EB">
              <w:t>6,466</w:t>
            </w:r>
          </w:p>
        </w:tc>
        <w:tc>
          <w:tcPr>
            <w:tcW w:w="1088" w:type="dxa"/>
          </w:tcPr>
          <w:p w14:paraId="0D70826C" w14:textId="601E1D38" w:rsidR="00B57FD1" w:rsidRPr="002836EB" w:rsidRDefault="00B57FD1" w:rsidP="00B57FD1">
            <w:pPr>
              <w:pStyle w:val="02Tabletext"/>
              <w:jc w:val="center"/>
            </w:pPr>
            <w:r w:rsidRPr="002836EB">
              <w:t>$447,712</w:t>
            </w:r>
          </w:p>
        </w:tc>
        <w:tc>
          <w:tcPr>
            <w:tcW w:w="1204" w:type="dxa"/>
          </w:tcPr>
          <w:p w14:paraId="30481C30" w14:textId="3824B350" w:rsidR="00B57FD1" w:rsidRPr="002836EB" w:rsidRDefault="00B57FD1" w:rsidP="00B57FD1">
            <w:pPr>
              <w:pStyle w:val="02Tabletext"/>
              <w:jc w:val="center"/>
              <w:rPr>
                <w:shd w:val="clear" w:color="auto" w:fill="FBFBFB"/>
              </w:rPr>
            </w:pPr>
            <w:r w:rsidRPr="002836EB">
              <w:t>1.9%</w:t>
            </w:r>
          </w:p>
        </w:tc>
      </w:tr>
      <w:tr w:rsidR="00B57FD1" w:rsidRPr="002836EB" w14:paraId="54CDFAC0" w14:textId="77777777" w:rsidTr="00256BAB">
        <w:tc>
          <w:tcPr>
            <w:tcW w:w="721" w:type="dxa"/>
          </w:tcPr>
          <w:p w14:paraId="25CBA3C6" w14:textId="621B15C6" w:rsidR="00B57FD1" w:rsidRPr="002836EB" w:rsidRDefault="00B57FD1" w:rsidP="00B57FD1">
            <w:pPr>
              <w:pStyle w:val="02Tabletext"/>
            </w:pPr>
            <w:r w:rsidRPr="002836EB">
              <w:t>15006</w:t>
            </w:r>
          </w:p>
        </w:tc>
        <w:tc>
          <w:tcPr>
            <w:tcW w:w="4141" w:type="dxa"/>
          </w:tcPr>
          <w:p w14:paraId="1056BA13" w14:textId="742EB6AC" w:rsidR="00B57FD1" w:rsidRPr="002836EB" w:rsidRDefault="00B57FD1" w:rsidP="00B57FD1">
            <w:pPr>
              <w:pStyle w:val="02Tabletext"/>
            </w:pPr>
            <w:r w:rsidRPr="002836EB">
              <w:t xml:space="preserve">Radiotherapy, superficial attendance at which a single dose technique is applied </w:t>
            </w:r>
            <w:r w:rsidR="00305958">
              <w:t>–</w:t>
            </w:r>
            <w:r w:rsidRPr="002836EB">
              <w:t xml:space="preserve"> 1 field</w:t>
            </w:r>
            <w:r w:rsidR="006112AE">
              <w:t>.</w:t>
            </w:r>
          </w:p>
        </w:tc>
        <w:tc>
          <w:tcPr>
            <w:tcW w:w="924" w:type="dxa"/>
          </w:tcPr>
          <w:p w14:paraId="6A2D27E4" w14:textId="73E12C49" w:rsidR="00B57FD1" w:rsidRPr="002836EB" w:rsidRDefault="00B57FD1" w:rsidP="00B57FD1">
            <w:pPr>
              <w:pStyle w:val="02Tabletext"/>
              <w:jc w:val="center"/>
            </w:pPr>
            <w:r w:rsidRPr="002836EB">
              <w:t>$94.35</w:t>
            </w:r>
          </w:p>
        </w:tc>
        <w:tc>
          <w:tcPr>
            <w:tcW w:w="1004" w:type="dxa"/>
          </w:tcPr>
          <w:p w14:paraId="6160507C" w14:textId="6AD52626" w:rsidR="00B57FD1" w:rsidRPr="002836EB" w:rsidRDefault="00B57FD1" w:rsidP="00B57FD1">
            <w:pPr>
              <w:pStyle w:val="02Tabletext"/>
              <w:jc w:val="center"/>
            </w:pPr>
            <w:r w:rsidRPr="002836EB">
              <w:t>195</w:t>
            </w:r>
          </w:p>
        </w:tc>
        <w:tc>
          <w:tcPr>
            <w:tcW w:w="1088" w:type="dxa"/>
          </w:tcPr>
          <w:p w14:paraId="46FC8C26" w14:textId="74290CE6" w:rsidR="00B57FD1" w:rsidRPr="002836EB" w:rsidRDefault="00B57FD1" w:rsidP="00B57FD1">
            <w:pPr>
              <w:pStyle w:val="02Tabletext"/>
              <w:jc w:val="center"/>
            </w:pPr>
            <w:r w:rsidRPr="002836EB">
              <w:t>$15,429</w:t>
            </w:r>
          </w:p>
        </w:tc>
        <w:tc>
          <w:tcPr>
            <w:tcW w:w="1204" w:type="dxa"/>
          </w:tcPr>
          <w:p w14:paraId="6199653F" w14:textId="5CB45B4E" w:rsidR="00B57FD1" w:rsidRPr="002836EB" w:rsidRDefault="00B57FD1" w:rsidP="00B57FD1">
            <w:pPr>
              <w:pStyle w:val="02Tabletext"/>
              <w:jc w:val="center"/>
              <w:rPr>
                <w:shd w:val="clear" w:color="auto" w:fill="FBFBFB"/>
              </w:rPr>
            </w:pPr>
            <w:r w:rsidRPr="002836EB">
              <w:t>-8.7%</w:t>
            </w:r>
          </w:p>
        </w:tc>
      </w:tr>
      <w:tr w:rsidR="00B57FD1" w:rsidRPr="002836EB" w14:paraId="3B29BDB8" w14:textId="77777777" w:rsidTr="00256BAB">
        <w:tc>
          <w:tcPr>
            <w:tcW w:w="721" w:type="dxa"/>
          </w:tcPr>
          <w:p w14:paraId="3C5543A2" w14:textId="441F3D06" w:rsidR="00B57FD1" w:rsidRPr="002836EB" w:rsidRDefault="00B57FD1" w:rsidP="00B57FD1">
            <w:pPr>
              <w:pStyle w:val="02Tabletext"/>
            </w:pPr>
            <w:r w:rsidRPr="002836EB">
              <w:lastRenderedPageBreak/>
              <w:t>15009</w:t>
            </w:r>
          </w:p>
        </w:tc>
        <w:tc>
          <w:tcPr>
            <w:tcW w:w="4141" w:type="dxa"/>
          </w:tcPr>
          <w:p w14:paraId="2E106230" w14:textId="34FA504F" w:rsidR="00B57FD1" w:rsidRPr="002836EB" w:rsidRDefault="00B57FD1" w:rsidP="00B57FD1">
            <w:pPr>
              <w:pStyle w:val="02Tabletext"/>
            </w:pPr>
            <w:r w:rsidRPr="002836EB">
              <w:t xml:space="preserve">Radiotherapy, superficial attendance at which a single dose technique is applied </w:t>
            </w:r>
            <w:r w:rsidR="00895A7D">
              <w:t>–</w:t>
            </w:r>
            <w:r w:rsidRPr="002836EB">
              <w:t xml:space="preserve"> 2 or more fields up to a maximum of 5 additional fields</w:t>
            </w:r>
            <w:r w:rsidR="00DA41E7">
              <w:t>.</w:t>
            </w:r>
          </w:p>
        </w:tc>
        <w:tc>
          <w:tcPr>
            <w:tcW w:w="924" w:type="dxa"/>
          </w:tcPr>
          <w:p w14:paraId="45939817" w14:textId="5D920113" w:rsidR="00B57FD1" w:rsidRPr="002836EB" w:rsidRDefault="00B57FD1" w:rsidP="00B57FD1">
            <w:pPr>
              <w:pStyle w:val="02Tabletext"/>
              <w:jc w:val="center"/>
            </w:pPr>
            <w:r w:rsidRPr="002836EB">
              <w:t>The fee for item 15006 plus for each field in excess of 1, an amount of $18.55</w:t>
            </w:r>
          </w:p>
        </w:tc>
        <w:tc>
          <w:tcPr>
            <w:tcW w:w="1004" w:type="dxa"/>
          </w:tcPr>
          <w:p w14:paraId="4A3E7D3A" w14:textId="4D063CFE" w:rsidR="00B57FD1" w:rsidRPr="002836EB" w:rsidRDefault="00B57FD1" w:rsidP="00B57FD1">
            <w:pPr>
              <w:pStyle w:val="02Tabletext"/>
              <w:jc w:val="center"/>
            </w:pPr>
            <w:r w:rsidRPr="002836EB">
              <w:t>51</w:t>
            </w:r>
          </w:p>
        </w:tc>
        <w:tc>
          <w:tcPr>
            <w:tcW w:w="1088" w:type="dxa"/>
          </w:tcPr>
          <w:p w14:paraId="5A56EFDD" w14:textId="7DCF43B8" w:rsidR="00B57FD1" w:rsidRPr="002836EB" w:rsidRDefault="00B57FD1" w:rsidP="00B57FD1">
            <w:pPr>
              <w:pStyle w:val="02Tabletext"/>
              <w:jc w:val="center"/>
            </w:pPr>
            <w:r w:rsidRPr="002836EB">
              <w:t>$8,083</w:t>
            </w:r>
          </w:p>
        </w:tc>
        <w:tc>
          <w:tcPr>
            <w:tcW w:w="1204" w:type="dxa"/>
          </w:tcPr>
          <w:p w14:paraId="543CCA4D" w14:textId="6EAE54B9" w:rsidR="00B57FD1" w:rsidRPr="002836EB" w:rsidRDefault="00B57FD1" w:rsidP="00B57FD1">
            <w:pPr>
              <w:pStyle w:val="02Tabletext"/>
              <w:jc w:val="center"/>
              <w:rPr>
                <w:shd w:val="clear" w:color="auto" w:fill="FBFBFB"/>
              </w:rPr>
            </w:pPr>
            <w:r w:rsidRPr="002836EB">
              <w:t>-1.1%</w:t>
            </w:r>
          </w:p>
        </w:tc>
      </w:tr>
      <w:tr w:rsidR="00B57FD1" w:rsidRPr="002836EB" w14:paraId="450C27BB" w14:textId="77777777" w:rsidTr="00256BAB">
        <w:tc>
          <w:tcPr>
            <w:tcW w:w="721" w:type="dxa"/>
          </w:tcPr>
          <w:p w14:paraId="2EFB809B" w14:textId="7E5D0992" w:rsidR="00B57FD1" w:rsidRPr="002836EB" w:rsidRDefault="00B57FD1" w:rsidP="00B57FD1">
            <w:pPr>
              <w:pStyle w:val="02Tabletext"/>
            </w:pPr>
            <w:r w:rsidRPr="002836EB">
              <w:t>15012</w:t>
            </w:r>
          </w:p>
        </w:tc>
        <w:tc>
          <w:tcPr>
            <w:tcW w:w="4141" w:type="dxa"/>
          </w:tcPr>
          <w:p w14:paraId="01819187" w14:textId="14F949AA" w:rsidR="00B57FD1" w:rsidRPr="002836EB" w:rsidRDefault="009B128D" w:rsidP="00B57FD1">
            <w:pPr>
              <w:pStyle w:val="02Tabletext"/>
            </w:pPr>
            <w:r w:rsidRPr="002836EB">
              <w:t xml:space="preserve">Radiotherapy, superficial </w:t>
            </w:r>
            <w:r w:rsidR="00F17D6F">
              <w:t xml:space="preserve">– </w:t>
            </w:r>
            <w:r w:rsidR="00B57FD1" w:rsidRPr="002836EB">
              <w:t>each attendance at which treatment is given to an eye</w:t>
            </w:r>
            <w:r w:rsidR="00961126">
              <w:t>.</w:t>
            </w:r>
          </w:p>
        </w:tc>
        <w:tc>
          <w:tcPr>
            <w:tcW w:w="924" w:type="dxa"/>
          </w:tcPr>
          <w:p w14:paraId="62B8AC00" w14:textId="63D261EC" w:rsidR="00B57FD1" w:rsidRPr="002836EB" w:rsidRDefault="00B57FD1" w:rsidP="00B57FD1">
            <w:pPr>
              <w:pStyle w:val="02Tabletext"/>
              <w:jc w:val="center"/>
            </w:pPr>
            <w:r w:rsidRPr="002836EB">
              <w:t>$53.45</w:t>
            </w:r>
          </w:p>
        </w:tc>
        <w:tc>
          <w:tcPr>
            <w:tcW w:w="1004" w:type="dxa"/>
          </w:tcPr>
          <w:p w14:paraId="61AB7289" w14:textId="667CC5AD" w:rsidR="00B57FD1" w:rsidRPr="002836EB" w:rsidRDefault="00B57FD1" w:rsidP="00B57FD1">
            <w:pPr>
              <w:pStyle w:val="02Tabletext"/>
              <w:jc w:val="center"/>
            </w:pPr>
            <w:r w:rsidRPr="002836EB">
              <w:t>386</w:t>
            </w:r>
          </w:p>
        </w:tc>
        <w:tc>
          <w:tcPr>
            <w:tcW w:w="1088" w:type="dxa"/>
          </w:tcPr>
          <w:p w14:paraId="0955E4B7" w14:textId="4777840A" w:rsidR="00B57FD1" w:rsidRPr="002836EB" w:rsidRDefault="00B57FD1" w:rsidP="00B57FD1">
            <w:pPr>
              <w:pStyle w:val="02Tabletext"/>
              <w:jc w:val="center"/>
            </w:pPr>
            <w:r w:rsidRPr="002836EB">
              <w:t>$21,326</w:t>
            </w:r>
          </w:p>
        </w:tc>
        <w:tc>
          <w:tcPr>
            <w:tcW w:w="1204" w:type="dxa"/>
          </w:tcPr>
          <w:p w14:paraId="3F33E605" w14:textId="481CDB1A" w:rsidR="00B57FD1" w:rsidRPr="002836EB" w:rsidRDefault="00B57FD1" w:rsidP="00B57FD1">
            <w:pPr>
              <w:pStyle w:val="02Tabletext"/>
              <w:jc w:val="center"/>
              <w:rPr>
                <w:shd w:val="clear" w:color="auto" w:fill="FBFBFB"/>
              </w:rPr>
            </w:pPr>
            <w:r w:rsidRPr="002836EB">
              <w:t>6.0%</w:t>
            </w:r>
          </w:p>
        </w:tc>
      </w:tr>
      <w:tr w:rsidR="00B57FD1" w:rsidRPr="002836EB" w14:paraId="3CA8975A" w14:textId="77777777" w:rsidTr="00256BAB">
        <w:tc>
          <w:tcPr>
            <w:tcW w:w="721" w:type="dxa"/>
          </w:tcPr>
          <w:p w14:paraId="68D3D5FD" w14:textId="7D74DED3" w:rsidR="00B57FD1" w:rsidRPr="002836EB" w:rsidRDefault="00B57FD1" w:rsidP="00B57FD1">
            <w:pPr>
              <w:pStyle w:val="02Tabletext"/>
            </w:pPr>
            <w:r w:rsidRPr="002836EB">
              <w:t>15100</w:t>
            </w:r>
          </w:p>
        </w:tc>
        <w:tc>
          <w:tcPr>
            <w:tcW w:w="4141" w:type="dxa"/>
          </w:tcPr>
          <w:p w14:paraId="21C532B0" w14:textId="01E7B4C7" w:rsidR="00B57FD1" w:rsidRPr="002836EB" w:rsidRDefault="00B57FD1" w:rsidP="00B57FD1">
            <w:pPr>
              <w:pStyle w:val="02Tabletext"/>
            </w:pPr>
            <w:r w:rsidRPr="002836EB">
              <w:t xml:space="preserve">Radiotherapy, deep or orthovoltage </w:t>
            </w:r>
            <w:r w:rsidR="00CC004F">
              <w:t>–</w:t>
            </w:r>
            <w:r w:rsidRPr="002836EB">
              <w:t xml:space="preserve"> each attendance at which fractionated treatment is given at 3 or more treatments per week </w:t>
            </w:r>
            <w:r w:rsidR="003A2FD6">
              <w:t>–</w:t>
            </w:r>
            <w:r w:rsidRPr="002836EB">
              <w:t xml:space="preserve"> 1 field</w:t>
            </w:r>
            <w:r w:rsidR="003A2FD6">
              <w:t>.</w:t>
            </w:r>
          </w:p>
        </w:tc>
        <w:tc>
          <w:tcPr>
            <w:tcW w:w="924" w:type="dxa"/>
          </w:tcPr>
          <w:p w14:paraId="2536535F" w14:textId="3A0E1E5A" w:rsidR="00B57FD1" w:rsidRPr="002836EB" w:rsidRDefault="00B57FD1" w:rsidP="00B57FD1">
            <w:pPr>
              <w:pStyle w:val="02Tabletext"/>
              <w:jc w:val="center"/>
            </w:pPr>
            <w:r w:rsidRPr="002836EB">
              <w:t>$47.70</w:t>
            </w:r>
          </w:p>
        </w:tc>
        <w:tc>
          <w:tcPr>
            <w:tcW w:w="1004" w:type="dxa"/>
          </w:tcPr>
          <w:p w14:paraId="3029174A" w14:textId="4BCC184E" w:rsidR="00B57FD1" w:rsidRPr="002836EB" w:rsidRDefault="00B57FD1" w:rsidP="00B57FD1">
            <w:pPr>
              <w:pStyle w:val="02Tabletext"/>
              <w:jc w:val="center"/>
            </w:pPr>
            <w:r w:rsidRPr="002836EB">
              <w:t>5,025</w:t>
            </w:r>
          </w:p>
        </w:tc>
        <w:tc>
          <w:tcPr>
            <w:tcW w:w="1088" w:type="dxa"/>
          </w:tcPr>
          <w:p w14:paraId="336F3911" w14:textId="67AA778C" w:rsidR="00B57FD1" w:rsidRPr="002836EB" w:rsidRDefault="00B57FD1" w:rsidP="00B57FD1">
            <w:pPr>
              <w:pStyle w:val="02Tabletext"/>
              <w:jc w:val="center"/>
            </w:pPr>
            <w:r w:rsidRPr="002836EB">
              <w:t>$203,664</w:t>
            </w:r>
          </w:p>
        </w:tc>
        <w:tc>
          <w:tcPr>
            <w:tcW w:w="1204" w:type="dxa"/>
          </w:tcPr>
          <w:p w14:paraId="4CED0A15" w14:textId="3F4B27C4" w:rsidR="00B57FD1" w:rsidRPr="002836EB" w:rsidRDefault="00B57FD1" w:rsidP="00B57FD1">
            <w:pPr>
              <w:pStyle w:val="02Tabletext"/>
              <w:jc w:val="center"/>
              <w:rPr>
                <w:shd w:val="clear" w:color="auto" w:fill="FBFBFB"/>
              </w:rPr>
            </w:pPr>
            <w:r w:rsidRPr="002836EB">
              <w:t>-0.8%</w:t>
            </w:r>
          </w:p>
        </w:tc>
      </w:tr>
      <w:tr w:rsidR="00B57FD1" w:rsidRPr="002836EB" w14:paraId="683E70E4" w14:textId="77777777" w:rsidTr="00256BAB">
        <w:tc>
          <w:tcPr>
            <w:tcW w:w="721" w:type="dxa"/>
          </w:tcPr>
          <w:p w14:paraId="4EB95589" w14:textId="07954815" w:rsidR="00B57FD1" w:rsidRPr="002836EB" w:rsidRDefault="00B57FD1" w:rsidP="00B57FD1">
            <w:pPr>
              <w:pStyle w:val="02Tabletext"/>
            </w:pPr>
            <w:r w:rsidRPr="002836EB">
              <w:t>15103</w:t>
            </w:r>
          </w:p>
        </w:tc>
        <w:tc>
          <w:tcPr>
            <w:tcW w:w="4141" w:type="dxa"/>
          </w:tcPr>
          <w:p w14:paraId="37133E43" w14:textId="310EF41C" w:rsidR="00B57FD1" w:rsidRPr="002836EB" w:rsidRDefault="00B57FD1" w:rsidP="00B57FD1">
            <w:pPr>
              <w:pStyle w:val="02Tabletext"/>
            </w:pPr>
            <w:r w:rsidRPr="002836EB">
              <w:t xml:space="preserve">Radiotherapy, deep or orthovoltage </w:t>
            </w:r>
            <w:r w:rsidR="003A2FD6">
              <w:t>–</w:t>
            </w:r>
            <w:r w:rsidRPr="002836EB">
              <w:t xml:space="preserve"> each attendance at which fractionated treatment is given at 3 or more treatments per week </w:t>
            </w:r>
            <w:r w:rsidR="00CB491E">
              <w:t>–</w:t>
            </w:r>
            <w:r w:rsidRPr="002836EB">
              <w:t xml:space="preserve"> 2 or more fields up to a maximum of 5 additional fields (rotational therapy being 3 fields)</w:t>
            </w:r>
            <w:r w:rsidR="009E10C0">
              <w:t>.</w:t>
            </w:r>
          </w:p>
        </w:tc>
        <w:tc>
          <w:tcPr>
            <w:tcW w:w="924" w:type="dxa"/>
          </w:tcPr>
          <w:p w14:paraId="784873D7" w14:textId="731CDF13" w:rsidR="00B57FD1" w:rsidRPr="002836EB" w:rsidRDefault="00B57FD1" w:rsidP="00B57FD1">
            <w:pPr>
              <w:pStyle w:val="02Tabletext"/>
              <w:jc w:val="center"/>
            </w:pPr>
            <w:r w:rsidRPr="002836EB">
              <w:t>The fee for item 15100 plus for each field in excess of 1, an amount of $18.80</w:t>
            </w:r>
          </w:p>
        </w:tc>
        <w:tc>
          <w:tcPr>
            <w:tcW w:w="1004" w:type="dxa"/>
          </w:tcPr>
          <w:p w14:paraId="0E9107B4" w14:textId="3125A1E0" w:rsidR="00B57FD1" w:rsidRPr="002836EB" w:rsidRDefault="00B57FD1" w:rsidP="00B57FD1">
            <w:pPr>
              <w:pStyle w:val="02Tabletext"/>
              <w:jc w:val="center"/>
            </w:pPr>
            <w:r w:rsidRPr="002836EB">
              <w:t>420</w:t>
            </w:r>
          </w:p>
        </w:tc>
        <w:tc>
          <w:tcPr>
            <w:tcW w:w="1088" w:type="dxa"/>
          </w:tcPr>
          <w:p w14:paraId="6CE13CF6" w14:textId="065C5805" w:rsidR="00B57FD1" w:rsidRPr="002836EB" w:rsidRDefault="00B57FD1" w:rsidP="00B57FD1">
            <w:pPr>
              <w:pStyle w:val="02Tabletext"/>
              <w:jc w:val="center"/>
            </w:pPr>
            <w:r w:rsidRPr="002836EB">
              <w:t>$24,924</w:t>
            </w:r>
          </w:p>
        </w:tc>
        <w:tc>
          <w:tcPr>
            <w:tcW w:w="1204" w:type="dxa"/>
          </w:tcPr>
          <w:p w14:paraId="17EC8887" w14:textId="06A494C8" w:rsidR="00B57FD1" w:rsidRPr="002836EB" w:rsidRDefault="00B57FD1" w:rsidP="00B57FD1">
            <w:pPr>
              <w:pStyle w:val="02Tabletext"/>
              <w:jc w:val="center"/>
              <w:rPr>
                <w:shd w:val="clear" w:color="auto" w:fill="FBFBFB"/>
              </w:rPr>
            </w:pPr>
            <w:r w:rsidRPr="002836EB">
              <w:t>-1.5%</w:t>
            </w:r>
          </w:p>
        </w:tc>
      </w:tr>
      <w:tr w:rsidR="00B57FD1" w:rsidRPr="002836EB" w14:paraId="47AED555" w14:textId="77777777" w:rsidTr="00256BAB">
        <w:tc>
          <w:tcPr>
            <w:tcW w:w="721" w:type="dxa"/>
          </w:tcPr>
          <w:p w14:paraId="6FC5E6B1" w14:textId="2A1BD4DD" w:rsidR="00B57FD1" w:rsidRPr="002836EB" w:rsidRDefault="00B57FD1" w:rsidP="00B57FD1">
            <w:pPr>
              <w:pStyle w:val="02Tabletext"/>
            </w:pPr>
            <w:r w:rsidRPr="002836EB">
              <w:t>15106</w:t>
            </w:r>
          </w:p>
        </w:tc>
        <w:tc>
          <w:tcPr>
            <w:tcW w:w="4141" w:type="dxa"/>
          </w:tcPr>
          <w:p w14:paraId="16301388" w14:textId="25B7AA65" w:rsidR="00B57FD1" w:rsidRPr="002836EB" w:rsidRDefault="00B57FD1" w:rsidP="00B57FD1">
            <w:pPr>
              <w:pStyle w:val="02Tabletext"/>
            </w:pPr>
            <w:r w:rsidRPr="002836EB">
              <w:t xml:space="preserve">Radiotherapy, deep or orthovoltage </w:t>
            </w:r>
            <w:r w:rsidR="002A2A91">
              <w:t>–</w:t>
            </w:r>
            <w:r w:rsidRPr="002836EB">
              <w:t xml:space="preserve"> each attendance at which fractionated treatment is given at 2 treatments per week or less frequently </w:t>
            </w:r>
            <w:r w:rsidR="002377C7">
              <w:t>–</w:t>
            </w:r>
            <w:r w:rsidRPr="002836EB">
              <w:t xml:space="preserve"> 1 field</w:t>
            </w:r>
            <w:r w:rsidR="002377C7">
              <w:t>.</w:t>
            </w:r>
          </w:p>
        </w:tc>
        <w:tc>
          <w:tcPr>
            <w:tcW w:w="924" w:type="dxa"/>
          </w:tcPr>
          <w:p w14:paraId="4D6A0C5E" w14:textId="47D196B8" w:rsidR="00B57FD1" w:rsidRPr="002836EB" w:rsidRDefault="00B57FD1" w:rsidP="00B57FD1">
            <w:pPr>
              <w:pStyle w:val="02Tabletext"/>
              <w:jc w:val="center"/>
            </w:pPr>
            <w:r w:rsidRPr="002836EB">
              <w:t>$56.30</w:t>
            </w:r>
          </w:p>
        </w:tc>
        <w:tc>
          <w:tcPr>
            <w:tcW w:w="1004" w:type="dxa"/>
          </w:tcPr>
          <w:p w14:paraId="78694252" w14:textId="57C44B1F" w:rsidR="00B57FD1" w:rsidRPr="002836EB" w:rsidRDefault="00B57FD1" w:rsidP="00B57FD1">
            <w:pPr>
              <w:pStyle w:val="02Tabletext"/>
              <w:jc w:val="center"/>
            </w:pPr>
            <w:r w:rsidRPr="002836EB">
              <w:t>157</w:t>
            </w:r>
          </w:p>
        </w:tc>
        <w:tc>
          <w:tcPr>
            <w:tcW w:w="1088" w:type="dxa"/>
          </w:tcPr>
          <w:p w14:paraId="79222B43" w14:textId="3FA023C6" w:rsidR="00B57FD1" w:rsidRPr="002836EB" w:rsidRDefault="00B57FD1" w:rsidP="00B57FD1">
            <w:pPr>
              <w:pStyle w:val="02Tabletext"/>
              <w:jc w:val="center"/>
            </w:pPr>
            <w:r w:rsidRPr="002836EB">
              <w:t>$7,520</w:t>
            </w:r>
          </w:p>
        </w:tc>
        <w:tc>
          <w:tcPr>
            <w:tcW w:w="1204" w:type="dxa"/>
          </w:tcPr>
          <w:p w14:paraId="2EE2A3B3" w14:textId="73713BB4" w:rsidR="00B57FD1" w:rsidRPr="002836EB" w:rsidRDefault="00B57FD1" w:rsidP="00B57FD1">
            <w:pPr>
              <w:pStyle w:val="02Tabletext"/>
              <w:jc w:val="center"/>
              <w:rPr>
                <w:shd w:val="clear" w:color="auto" w:fill="FBFBFB"/>
              </w:rPr>
            </w:pPr>
            <w:r w:rsidRPr="002836EB">
              <w:t>14.2%</w:t>
            </w:r>
          </w:p>
        </w:tc>
      </w:tr>
      <w:tr w:rsidR="00B57FD1" w:rsidRPr="002836EB" w14:paraId="6EA0BFE6" w14:textId="77777777" w:rsidTr="00256BAB">
        <w:tc>
          <w:tcPr>
            <w:tcW w:w="721" w:type="dxa"/>
          </w:tcPr>
          <w:p w14:paraId="3E08E7F6" w14:textId="08C1F862" w:rsidR="00B57FD1" w:rsidRPr="002836EB" w:rsidRDefault="00B57FD1" w:rsidP="00B57FD1">
            <w:pPr>
              <w:pStyle w:val="02Tabletext"/>
            </w:pPr>
            <w:r w:rsidRPr="002836EB">
              <w:t>15109</w:t>
            </w:r>
          </w:p>
        </w:tc>
        <w:tc>
          <w:tcPr>
            <w:tcW w:w="4141" w:type="dxa"/>
          </w:tcPr>
          <w:p w14:paraId="76B7AB1F" w14:textId="1210B578" w:rsidR="00B57FD1" w:rsidRPr="002836EB" w:rsidRDefault="00B57FD1" w:rsidP="00B57FD1">
            <w:pPr>
              <w:pStyle w:val="02Tabletext"/>
            </w:pPr>
            <w:r w:rsidRPr="002836EB">
              <w:t xml:space="preserve">Radiotherapy, deep or orthovoltage </w:t>
            </w:r>
            <w:r w:rsidR="0040054F">
              <w:t>–</w:t>
            </w:r>
            <w:r w:rsidRPr="002836EB">
              <w:t xml:space="preserve"> each attendance at which fractionated treatment is given at 2 treatments per week or less frequently </w:t>
            </w:r>
            <w:r w:rsidR="00626B2F">
              <w:t>–</w:t>
            </w:r>
            <w:r w:rsidRPr="002836EB">
              <w:t xml:space="preserve"> 2 or more fields up to a maximum of 5 additional fields (rotational therapy being 3 fields)</w:t>
            </w:r>
            <w:r w:rsidR="009E1587">
              <w:t>.</w:t>
            </w:r>
          </w:p>
        </w:tc>
        <w:tc>
          <w:tcPr>
            <w:tcW w:w="924" w:type="dxa"/>
          </w:tcPr>
          <w:p w14:paraId="7F2CAD88" w14:textId="6FAC46F5" w:rsidR="00B57FD1" w:rsidRPr="002836EB" w:rsidRDefault="00B57FD1" w:rsidP="00B57FD1">
            <w:pPr>
              <w:pStyle w:val="02Tabletext"/>
              <w:jc w:val="center"/>
            </w:pPr>
            <w:r w:rsidRPr="002836EB">
              <w:t>The fee for item 15106 plus for each field in excess of 1, an amount of $22.70</w:t>
            </w:r>
          </w:p>
        </w:tc>
        <w:tc>
          <w:tcPr>
            <w:tcW w:w="1004" w:type="dxa"/>
          </w:tcPr>
          <w:p w14:paraId="700A428C" w14:textId="57080BF9" w:rsidR="00B57FD1" w:rsidRPr="002836EB" w:rsidRDefault="00B57FD1" w:rsidP="00B57FD1">
            <w:pPr>
              <w:pStyle w:val="02Tabletext"/>
              <w:jc w:val="center"/>
            </w:pPr>
            <w:r w:rsidRPr="002836EB">
              <w:t>33</w:t>
            </w:r>
          </w:p>
        </w:tc>
        <w:tc>
          <w:tcPr>
            <w:tcW w:w="1088" w:type="dxa"/>
          </w:tcPr>
          <w:p w14:paraId="54A7F6B6" w14:textId="15BEF9CD" w:rsidR="00B57FD1" w:rsidRPr="002836EB" w:rsidRDefault="00B57FD1" w:rsidP="00B57FD1">
            <w:pPr>
              <w:pStyle w:val="02Tabletext"/>
              <w:jc w:val="center"/>
            </w:pPr>
            <w:r w:rsidRPr="002836EB">
              <w:t>$2,305</w:t>
            </w:r>
          </w:p>
        </w:tc>
        <w:tc>
          <w:tcPr>
            <w:tcW w:w="1204" w:type="dxa"/>
          </w:tcPr>
          <w:p w14:paraId="4AB075B7" w14:textId="258EC993" w:rsidR="00B57FD1" w:rsidRPr="002836EB" w:rsidRDefault="00B57FD1" w:rsidP="00B57FD1">
            <w:pPr>
              <w:pStyle w:val="02Tabletext"/>
              <w:jc w:val="center"/>
              <w:rPr>
                <w:shd w:val="clear" w:color="auto" w:fill="FBFBFB"/>
              </w:rPr>
            </w:pPr>
            <w:r w:rsidRPr="002836EB">
              <w:t>22.4%</w:t>
            </w:r>
          </w:p>
        </w:tc>
      </w:tr>
      <w:tr w:rsidR="00B57FD1" w:rsidRPr="002836EB" w14:paraId="43B12167" w14:textId="77777777" w:rsidTr="00256BAB">
        <w:tc>
          <w:tcPr>
            <w:tcW w:w="721" w:type="dxa"/>
          </w:tcPr>
          <w:p w14:paraId="6546D1EC" w14:textId="14626FC4" w:rsidR="00B57FD1" w:rsidRPr="002836EB" w:rsidRDefault="00B57FD1" w:rsidP="00B57FD1">
            <w:pPr>
              <w:pStyle w:val="02Tabletext"/>
            </w:pPr>
            <w:r w:rsidRPr="002836EB">
              <w:t>15112</w:t>
            </w:r>
          </w:p>
        </w:tc>
        <w:tc>
          <w:tcPr>
            <w:tcW w:w="4141" w:type="dxa"/>
          </w:tcPr>
          <w:p w14:paraId="68F03AC0" w14:textId="260E68BA" w:rsidR="00B57FD1" w:rsidRPr="002836EB" w:rsidRDefault="00B57FD1" w:rsidP="00B57FD1">
            <w:pPr>
              <w:pStyle w:val="02Tabletext"/>
            </w:pPr>
            <w:r w:rsidRPr="002836EB">
              <w:t xml:space="preserve">Radiotherapy, deep or orthovoltage </w:t>
            </w:r>
            <w:r w:rsidR="00196685">
              <w:t>–</w:t>
            </w:r>
            <w:r w:rsidRPr="002836EB">
              <w:t xml:space="preserve"> attendance at which a single dose technique is applied </w:t>
            </w:r>
            <w:r w:rsidR="00087E2F">
              <w:t>–</w:t>
            </w:r>
            <w:r w:rsidRPr="002836EB">
              <w:t xml:space="preserve"> 1 field</w:t>
            </w:r>
            <w:r w:rsidR="00087E2F">
              <w:t>.</w:t>
            </w:r>
          </w:p>
        </w:tc>
        <w:tc>
          <w:tcPr>
            <w:tcW w:w="924" w:type="dxa"/>
          </w:tcPr>
          <w:p w14:paraId="630AC6CB" w14:textId="0D00EB08" w:rsidR="00B57FD1" w:rsidRPr="002836EB" w:rsidRDefault="00B57FD1" w:rsidP="00B57FD1">
            <w:pPr>
              <w:pStyle w:val="02Tabletext"/>
              <w:jc w:val="center"/>
            </w:pPr>
            <w:r w:rsidRPr="002836EB">
              <w:t>$120.25</w:t>
            </w:r>
          </w:p>
        </w:tc>
        <w:tc>
          <w:tcPr>
            <w:tcW w:w="1004" w:type="dxa"/>
          </w:tcPr>
          <w:p w14:paraId="2F793AEE" w14:textId="69F44F28" w:rsidR="00B57FD1" w:rsidRPr="002836EB" w:rsidRDefault="00B57FD1" w:rsidP="00B57FD1">
            <w:pPr>
              <w:pStyle w:val="02Tabletext"/>
              <w:jc w:val="center"/>
            </w:pPr>
            <w:r w:rsidRPr="002836EB">
              <w:t>141</w:t>
            </w:r>
          </w:p>
        </w:tc>
        <w:tc>
          <w:tcPr>
            <w:tcW w:w="1088" w:type="dxa"/>
          </w:tcPr>
          <w:p w14:paraId="58D6867D" w14:textId="447A121F" w:rsidR="00B57FD1" w:rsidRPr="002836EB" w:rsidRDefault="00B57FD1" w:rsidP="00B57FD1">
            <w:pPr>
              <w:pStyle w:val="02Tabletext"/>
              <w:jc w:val="center"/>
            </w:pPr>
            <w:r w:rsidRPr="002836EB">
              <w:t>$14,369</w:t>
            </w:r>
          </w:p>
        </w:tc>
        <w:tc>
          <w:tcPr>
            <w:tcW w:w="1204" w:type="dxa"/>
          </w:tcPr>
          <w:p w14:paraId="38F254EF" w14:textId="021610CC" w:rsidR="00B57FD1" w:rsidRPr="002836EB" w:rsidRDefault="00B57FD1" w:rsidP="00B57FD1">
            <w:pPr>
              <w:pStyle w:val="02Tabletext"/>
              <w:jc w:val="center"/>
              <w:rPr>
                <w:shd w:val="clear" w:color="auto" w:fill="FBFBFB"/>
              </w:rPr>
            </w:pPr>
            <w:r w:rsidRPr="002836EB">
              <w:t>2.9%</w:t>
            </w:r>
          </w:p>
        </w:tc>
      </w:tr>
      <w:tr w:rsidR="00B57FD1" w:rsidRPr="002836EB" w14:paraId="53C76FD9" w14:textId="77777777" w:rsidTr="00256BAB">
        <w:tc>
          <w:tcPr>
            <w:tcW w:w="721" w:type="dxa"/>
          </w:tcPr>
          <w:p w14:paraId="5EB121F6" w14:textId="1F667378" w:rsidR="00B57FD1" w:rsidRPr="002836EB" w:rsidRDefault="00B57FD1" w:rsidP="00B57FD1">
            <w:pPr>
              <w:pStyle w:val="02Tabletext"/>
            </w:pPr>
            <w:r w:rsidRPr="002836EB">
              <w:t>15115</w:t>
            </w:r>
          </w:p>
        </w:tc>
        <w:tc>
          <w:tcPr>
            <w:tcW w:w="4141" w:type="dxa"/>
          </w:tcPr>
          <w:p w14:paraId="4C70BF98" w14:textId="11D480E3" w:rsidR="00B57FD1" w:rsidRPr="002836EB" w:rsidRDefault="00B57FD1" w:rsidP="00B57FD1">
            <w:pPr>
              <w:pStyle w:val="02Tabletext"/>
            </w:pPr>
            <w:r w:rsidRPr="002836EB">
              <w:t xml:space="preserve">Radiotherapy, deep or orthovoltage </w:t>
            </w:r>
            <w:r w:rsidR="006F0159">
              <w:t>–</w:t>
            </w:r>
            <w:r w:rsidRPr="002836EB">
              <w:t xml:space="preserve"> attendance at which a single dose technique is applied </w:t>
            </w:r>
            <w:r w:rsidR="002602B0">
              <w:t>–</w:t>
            </w:r>
            <w:r w:rsidRPr="002836EB">
              <w:t xml:space="preserve"> 2 or more fields up to a maximum of 5 additional fields (rotational therapy being 3 fields)</w:t>
            </w:r>
            <w:r w:rsidR="002602B0">
              <w:t>.</w:t>
            </w:r>
          </w:p>
        </w:tc>
        <w:tc>
          <w:tcPr>
            <w:tcW w:w="924" w:type="dxa"/>
          </w:tcPr>
          <w:p w14:paraId="1C731345" w14:textId="3F007E8C" w:rsidR="00B57FD1" w:rsidRPr="002836EB" w:rsidRDefault="00B57FD1" w:rsidP="00B57FD1">
            <w:pPr>
              <w:pStyle w:val="02Tabletext"/>
              <w:jc w:val="center"/>
            </w:pPr>
            <w:r w:rsidRPr="002836EB">
              <w:t>The fee for item 15112 plus for each field in excess of 1, an amount of $47.30</w:t>
            </w:r>
          </w:p>
        </w:tc>
        <w:tc>
          <w:tcPr>
            <w:tcW w:w="1004" w:type="dxa"/>
          </w:tcPr>
          <w:p w14:paraId="05B70ADF" w14:textId="41785B86" w:rsidR="00B57FD1" w:rsidRPr="002836EB" w:rsidRDefault="00B57FD1" w:rsidP="00B57FD1">
            <w:pPr>
              <w:pStyle w:val="02Tabletext"/>
              <w:jc w:val="center"/>
            </w:pPr>
            <w:r w:rsidRPr="002836EB">
              <w:t>23</w:t>
            </w:r>
          </w:p>
        </w:tc>
        <w:tc>
          <w:tcPr>
            <w:tcW w:w="1088" w:type="dxa"/>
          </w:tcPr>
          <w:p w14:paraId="5A28C774" w14:textId="596547C1" w:rsidR="00B57FD1" w:rsidRPr="002836EB" w:rsidRDefault="00B57FD1" w:rsidP="00B57FD1">
            <w:pPr>
              <w:pStyle w:val="02Tabletext"/>
              <w:jc w:val="center"/>
            </w:pPr>
            <w:r w:rsidRPr="002836EB">
              <w:t>$3,496</w:t>
            </w:r>
          </w:p>
        </w:tc>
        <w:tc>
          <w:tcPr>
            <w:tcW w:w="1204" w:type="dxa"/>
          </w:tcPr>
          <w:p w14:paraId="6978A10D" w14:textId="402E1058" w:rsidR="00B57FD1" w:rsidRPr="002836EB" w:rsidRDefault="00B57FD1" w:rsidP="00B57FD1">
            <w:pPr>
              <w:pStyle w:val="02Tabletext"/>
              <w:jc w:val="center"/>
              <w:rPr>
                <w:shd w:val="clear" w:color="auto" w:fill="FBFBFB"/>
              </w:rPr>
            </w:pPr>
            <w:r w:rsidRPr="002836EB">
              <w:t>-3.9%</w:t>
            </w:r>
          </w:p>
        </w:tc>
      </w:tr>
    </w:tbl>
    <w:p w14:paraId="246C5D26" w14:textId="77777777" w:rsidR="00A60C83" w:rsidRDefault="00A60C83" w:rsidP="00DE1A53">
      <w:pPr>
        <w:spacing w:before="0"/>
        <w:rPr>
          <w:color w:val="000000"/>
          <w:sz w:val="18"/>
          <w:szCs w:val="18"/>
        </w:rPr>
      </w:pPr>
      <w:bookmarkStart w:id="166" w:name="_Ref463918892"/>
      <w:r>
        <w:rPr>
          <w:color w:val="000000"/>
          <w:sz w:val="18"/>
          <w:szCs w:val="18"/>
        </w:rPr>
        <w:t>Public data (Department of Human Services).</w:t>
      </w:r>
    </w:p>
    <w:p w14:paraId="4417E7C5" w14:textId="66100179" w:rsidR="00B81F2E" w:rsidRDefault="00EB1FE7" w:rsidP="00B81F2E">
      <w:pPr>
        <w:pStyle w:val="TableUnderLast"/>
        <w:spacing w:after="0"/>
      </w:pPr>
      <w:r>
        <w:br/>
        <w:t>Note: In 2013-14 a total of 1,764,824 radiation oncology services were rendered, totalling $296,927,532.38 in benefits, of which 13.9 per cent was paid through the Medicare safety nets. In 2014-15 a total of 1,931,537 radiation oncology services were rendered, totalling $339,784,784.74 in benefits of which 16.6 per cent was paid through the Medicare safety nets.</w:t>
      </w:r>
    </w:p>
    <w:p w14:paraId="4967AF96" w14:textId="31C950D5" w:rsidR="00537CC8" w:rsidRDefault="00537CC8" w:rsidP="00537CC8">
      <w:pPr>
        <w:pStyle w:val="Boldhdg"/>
      </w:pPr>
      <w:bookmarkStart w:id="167" w:name="_Ref474802698"/>
      <w:r>
        <w:lastRenderedPageBreak/>
        <w:t xml:space="preserve">Recommendation </w:t>
      </w:r>
      <w:r>
        <w:fldChar w:fldCharType="begin"/>
      </w:r>
      <w:r>
        <w:instrText xml:space="preserve"> SEQ Recommendation \* ARABIC </w:instrText>
      </w:r>
      <w:r>
        <w:fldChar w:fldCharType="separate"/>
      </w:r>
      <w:r w:rsidR="003274EF">
        <w:rPr>
          <w:noProof/>
        </w:rPr>
        <w:t>5</w:t>
      </w:r>
      <w:r>
        <w:fldChar w:fldCharType="end"/>
      </w:r>
      <w:bookmarkEnd w:id="167"/>
    </w:p>
    <w:p w14:paraId="4A5B91C9" w14:textId="1901F75D" w:rsidR="00FC3889" w:rsidRPr="002836EB" w:rsidRDefault="00806755" w:rsidP="00FC3889">
      <w:pPr>
        <w:pStyle w:val="01squarebullet"/>
        <w:rPr>
          <w:lang w:val="en-GB"/>
        </w:rPr>
      </w:pPr>
      <w:r w:rsidRPr="002836EB">
        <w:rPr>
          <w:lang w:val="en-GB"/>
        </w:rPr>
        <w:t xml:space="preserve">Consolidate </w:t>
      </w:r>
      <w:r w:rsidR="0033576F" w:rsidRPr="002836EB">
        <w:rPr>
          <w:lang w:val="en-GB"/>
        </w:rPr>
        <w:t>superficial and orthovoltage radiotherapy items (150</w:t>
      </w:r>
      <w:r w:rsidR="00DB0052">
        <w:rPr>
          <w:lang w:val="en-GB"/>
        </w:rPr>
        <w:t>0</w:t>
      </w:r>
      <w:r w:rsidR="0033576F" w:rsidRPr="002836EB">
        <w:rPr>
          <w:lang w:val="en-GB"/>
        </w:rPr>
        <w:t>0</w:t>
      </w:r>
      <w:r w:rsidR="003701B2">
        <w:rPr>
          <w:lang w:val="en-GB"/>
        </w:rPr>
        <w:t>–</w:t>
      </w:r>
      <w:r w:rsidR="0033576F" w:rsidRPr="002836EB">
        <w:rPr>
          <w:lang w:val="en-GB"/>
        </w:rPr>
        <w:t xml:space="preserve">15115) into three items </w:t>
      </w:r>
      <w:r w:rsidR="00961DF2" w:rsidRPr="002836EB">
        <w:rPr>
          <w:lang w:val="en-GB"/>
        </w:rPr>
        <w:t xml:space="preserve">for kilovoltage therapy to the first anatomical site, subsequent anatomical site(s) or the orbit or orbital structures. </w:t>
      </w:r>
    </w:p>
    <w:p w14:paraId="45A07E60" w14:textId="47189F7F" w:rsidR="0033576F" w:rsidRPr="002836EB" w:rsidRDefault="0033576F" w:rsidP="0033576F">
      <w:pPr>
        <w:pStyle w:val="01squarebullet"/>
        <w:numPr>
          <w:ilvl w:val="0"/>
          <w:numId w:val="0"/>
        </w:numPr>
        <w:ind w:left="360"/>
        <w:rPr>
          <w:lang w:val="en-GB"/>
        </w:rPr>
      </w:pPr>
      <w:r w:rsidRPr="002836EB">
        <w:rPr>
          <w:lang w:val="en-GB"/>
        </w:rPr>
        <w:t>The proposed item descriptors are below.</w:t>
      </w:r>
    </w:p>
    <w:p w14:paraId="066910A4" w14:textId="278650AC" w:rsidR="00FC3889" w:rsidRPr="002836EB" w:rsidRDefault="00961DF2" w:rsidP="00F24B69">
      <w:pPr>
        <w:pStyle w:val="Item"/>
      </w:pPr>
      <w:r w:rsidRPr="002836EB">
        <w:t>Item 1500X</w:t>
      </w:r>
      <w:r w:rsidR="0038508D" w:rsidRPr="002836EB">
        <w:t>:</w:t>
      </w:r>
      <w:r w:rsidR="008F03DA" w:rsidRPr="002836EB">
        <w:t xml:space="preserve"> </w:t>
      </w:r>
    </w:p>
    <w:p w14:paraId="03DFC04F" w14:textId="77777777" w:rsidR="003C1B0C" w:rsidRDefault="003C1B0C" w:rsidP="008F03DA">
      <w:pPr>
        <w:pStyle w:val="Item"/>
        <w:rPr>
          <w:b w:val="0"/>
          <w:szCs w:val="24"/>
        </w:rPr>
      </w:pPr>
      <w:r w:rsidRPr="003C1B0C">
        <w:rPr>
          <w:b w:val="0"/>
          <w:szCs w:val="24"/>
        </w:rPr>
        <w:t>Delivery of kilovoltage radiation therapy (50 kV to 500 kV range) to the first anatomical site (excluding orbital structures where there is placement of an internal eyeshield), payable once only for a single attendance.</w:t>
      </w:r>
    </w:p>
    <w:p w14:paraId="2C7528C7" w14:textId="39E1521E" w:rsidR="008F03DA" w:rsidRPr="002836EB" w:rsidRDefault="008F03DA" w:rsidP="008F03DA">
      <w:pPr>
        <w:pStyle w:val="Item"/>
      </w:pPr>
      <w:r w:rsidRPr="002836EB">
        <w:t>Item 1500Y:</w:t>
      </w:r>
    </w:p>
    <w:p w14:paraId="6129C6EA" w14:textId="0554BF09" w:rsidR="00BE7194" w:rsidRPr="002836EB" w:rsidRDefault="00BE7194" w:rsidP="00BE7194">
      <w:r w:rsidRPr="00BE7194">
        <w:t xml:space="preserve">Delivery of kilovoltage radiation therapy (50 kV to 500 kV range) to each anatomical site subsequent to the first (excluding orbital structures where there is placement of an internal eyeshield), up to and including five sites, payable once only for </w:t>
      </w:r>
      <w:r w:rsidR="009D255A">
        <w:t>each additional site</w:t>
      </w:r>
      <w:r w:rsidR="00C74D2A">
        <w:t xml:space="preserve"> in a single attendance</w:t>
      </w:r>
      <w:r w:rsidRPr="00BE7194">
        <w:t>.</w:t>
      </w:r>
    </w:p>
    <w:p w14:paraId="09438035" w14:textId="19F0D259" w:rsidR="008F03DA" w:rsidRPr="002836EB" w:rsidRDefault="000C2F94" w:rsidP="008F03DA">
      <w:pPr>
        <w:pStyle w:val="Item"/>
      </w:pPr>
      <w:r>
        <w:t>Item 1500Z:</w:t>
      </w:r>
    </w:p>
    <w:p w14:paraId="377A5C6C" w14:textId="77777777" w:rsidR="00B50383" w:rsidRDefault="00B50383" w:rsidP="00961DF2">
      <w:pPr>
        <w:pStyle w:val="ExplanatoryNotes"/>
        <w:rPr>
          <w:i w:val="0"/>
          <w:szCs w:val="24"/>
        </w:rPr>
      </w:pPr>
      <w:r w:rsidRPr="00B50383">
        <w:rPr>
          <w:i w:val="0"/>
          <w:szCs w:val="24"/>
        </w:rPr>
        <w:t>Delivery of kilovoltage radiation therapy (50 kV to 500 kV range) to orbital structures, where there is placement of an internal eyeshield, payable once only for a single attendance.</w:t>
      </w:r>
    </w:p>
    <w:p w14:paraId="07B00C31" w14:textId="7B7B6B72" w:rsidR="00FC3889" w:rsidRPr="002836EB" w:rsidRDefault="00FC3889" w:rsidP="00961DF2">
      <w:pPr>
        <w:pStyle w:val="ExplanatoryNotes"/>
      </w:pPr>
      <w:r w:rsidRPr="002836EB">
        <w:t>Explanatory notes:</w:t>
      </w:r>
      <w:r w:rsidR="009C22E1" w:rsidRPr="002836EB">
        <w:t xml:space="preserve"> [</w:t>
      </w:r>
      <w:r w:rsidR="00BD6C65">
        <w:t>N</w:t>
      </w:r>
      <w:r w:rsidR="009C22E1" w:rsidRPr="002836EB">
        <w:t>one]</w:t>
      </w:r>
    </w:p>
    <w:p w14:paraId="07D07884" w14:textId="77777777" w:rsidR="00FC3889" w:rsidRPr="002836EB" w:rsidRDefault="00FC3889" w:rsidP="00FC3889">
      <w:pPr>
        <w:pStyle w:val="Boldhdg"/>
        <w:rPr>
          <w:lang w:val="en-GB"/>
        </w:rPr>
      </w:pPr>
      <w:r w:rsidRPr="002836EB">
        <w:rPr>
          <w:lang w:val="en-GB"/>
        </w:rPr>
        <w:t>Rationale</w:t>
      </w:r>
    </w:p>
    <w:p w14:paraId="763EF27A" w14:textId="32E2993C" w:rsidR="002F2FC0" w:rsidRPr="002836EB" w:rsidRDefault="002F2FC0" w:rsidP="002F2FC0">
      <w:r w:rsidRPr="002836EB">
        <w:t xml:space="preserve">This recommendation focuses on </w:t>
      </w:r>
      <w:r w:rsidR="000A0F27" w:rsidRPr="002836EB">
        <w:t>ensuring</w:t>
      </w:r>
      <w:r w:rsidR="00BD6FE5">
        <w:t xml:space="preserve"> that</w:t>
      </w:r>
      <w:r w:rsidR="000A0F27" w:rsidRPr="002836EB">
        <w:t xml:space="preserve"> items reflect current </w:t>
      </w:r>
      <w:r w:rsidR="00B549CF" w:rsidRPr="002836EB">
        <w:t>best-practice health services</w:t>
      </w:r>
      <w:r w:rsidR="00106872">
        <w:t>. It</w:t>
      </w:r>
      <w:r w:rsidR="00B549CF" w:rsidRPr="002836EB">
        <w:t xml:space="preserve"> </w:t>
      </w:r>
      <w:r w:rsidRPr="002836EB">
        <w:t>is based on the following observations.</w:t>
      </w:r>
    </w:p>
    <w:p w14:paraId="6765AE76" w14:textId="3AF04E56" w:rsidR="008F03DA" w:rsidRDefault="00B549CF" w:rsidP="00A7186C">
      <w:pPr>
        <w:pStyle w:val="01squarebullet"/>
        <w:numPr>
          <w:ilvl w:val="0"/>
          <w:numId w:val="15"/>
        </w:numPr>
        <w:rPr>
          <w:lang w:val="en-GB"/>
        </w:rPr>
      </w:pPr>
      <w:r w:rsidRPr="002836EB">
        <w:rPr>
          <w:lang w:val="en-GB"/>
        </w:rPr>
        <w:t>T</w:t>
      </w:r>
      <w:r w:rsidR="008F03DA" w:rsidRPr="002836EB">
        <w:rPr>
          <w:lang w:val="en-GB"/>
        </w:rPr>
        <w:t>he dist</w:t>
      </w:r>
      <w:r w:rsidR="002C0391" w:rsidRPr="002836EB">
        <w:rPr>
          <w:lang w:val="en-GB"/>
        </w:rPr>
        <w:t>inction between superficial and</w:t>
      </w:r>
      <w:r w:rsidR="00C91A31" w:rsidRPr="002836EB">
        <w:rPr>
          <w:lang w:val="en-GB"/>
        </w:rPr>
        <w:t xml:space="preserve"> </w:t>
      </w:r>
      <w:r w:rsidR="008F03DA" w:rsidRPr="002836EB">
        <w:rPr>
          <w:lang w:val="en-GB"/>
        </w:rPr>
        <w:t xml:space="preserve">orthovoltage items is clinically </w:t>
      </w:r>
      <w:r w:rsidR="008A2E1F">
        <w:rPr>
          <w:lang w:val="en-GB"/>
        </w:rPr>
        <w:t xml:space="preserve">obsolete </w:t>
      </w:r>
      <w:r w:rsidR="00CE15B5">
        <w:rPr>
          <w:lang w:val="en-GB"/>
        </w:rPr>
        <w:t xml:space="preserve">due to </w:t>
      </w:r>
      <w:r w:rsidR="008A2E1F">
        <w:rPr>
          <w:lang w:val="en-GB"/>
        </w:rPr>
        <w:t xml:space="preserve">the decline in use of deep x-ray therapy in definitive cancer management. The distinction is also potentially ambiguous, </w:t>
      </w:r>
      <w:r w:rsidR="009175FB">
        <w:rPr>
          <w:lang w:val="en-GB"/>
        </w:rPr>
        <w:t xml:space="preserve">given that </w:t>
      </w:r>
      <w:r w:rsidR="008A2E1F">
        <w:rPr>
          <w:lang w:val="en-GB"/>
        </w:rPr>
        <w:t>superficial radiation therapy may be considered a type of orthovoltage radiation therapy.</w:t>
      </w:r>
    </w:p>
    <w:p w14:paraId="42E2D94E" w14:textId="293C0CF9" w:rsidR="008F03DA" w:rsidRPr="002836EB" w:rsidRDefault="00B549CF" w:rsidP="00A7186C">
      <w:pPr>
        <w:pStyle w:val="01squarebullet"/>
        <w:numPr>
          <w:ilvl w:val="0"/>
          <w:numId w:val="15"/>
        </w:numPr>
        <w:rPr>
          <w:lang w:val="en-GB"/>
        </w:rPr>
      </w:pPr>
      <w:r w:rsidRPr="002836EB">
        <w:rPr>
          <w:lang w:val="en-GB"/>
        </w:rPr>
        <w:t>T</w:t>
      </w:r>
      <w:r w:rsidR="008F03DA" w:rsidRPr="002836EB">
        <w:rPr>
          <w:lang w:val="en-GB"/>
        </w:rPr>
        <w:t xml:space="preserve">he </w:t>
      </w:r>
      <w:r w:rsidRPr="002836EB">
        <w:rPr>
          <w:lang w:val="en-GB"/>
        </w:rPr>
        <w:t xml:space="preserve">current </w:t>
      </w:r>
      <w:r w:rsidR="008F03DA" w:rsidRPr="002836EB">
        <w:rPr>
          <w:lang w:val="en-GB"/>
        </w:rPr>
        <w:t xml:space="preserve">distinction between </w:t>
      </w:r>
      <w:r w:rsidR="008260EA">
        <w:rPr>
          <w:lang w:val="en-GB"/>
        </w:rPr>
        <w:t xml:space="preserve">the </w:t>
      </w:r>
      <w:r w:rsidR="008F03DA" w:rsidRPr="002836EB">
        <w:rPr>
          <w:lang w:val="en-GB"/>
        </w:rPr>
        <w:t>delivery of single</w:t>
      </w:r>
      <w:r w:rsidR="0095390B">
        <w:rPr>
          <w:lang w:val="en-GB"/>
        </w:rPr>
        <w:t>-</w:t>
      </w:r>
      <w:r w:rsidR="008F03DA" w:rsidRPr="002836EB">
        <w:rPr>
          <w:lang w:val="en-GB"/>
        </w:rPr>
        <w:t>dose therapy</w:t>
      </w:r>
      <w:r w:rsidR="0068731C">
        <w:rPr>
          <w:lang w:val="en-GB"/>
        </w:rPr>
        <w:t xml:space="preserve"> versus</w:t>
      </w:r>
      <w:r w:rsidR="008F03DA" w:rsidRPr="002836EB">
        <w:rPr>
          <w:lang w:val="en-GB"/>
        </w:rPr>
        <w:t xml:space="preserve"> fractionated therapy does not reflect significant differences in professional involvement and may inappropriately </w:t>
      </w:r>
      <w:r w:rsidRPr="002836EB">
        <w:rPr>
          <w:lang w:val="en-GB"/>
        </w:rPr>
        <w:t>incentivi</w:t>
      </w:r>
      <w:r w:rsidR="00430663">
        <w:rPr>
          <w:lang w:val="en-GB"/>
        </w:rPr>
        <w:t>s</w:t>
      </w:r>
      <w:r w:rsidRPr="002836EB">
        <w:rPr>
          <w:lang w:val="en-GB"/>
        </w:rPr>
        <w:t>e</w:t>
      </w:r>
      <w:r w:rsidR="008F03DA" w:rsidRPr="002836EB">
        <w:rPr>
          <w:lang w:val="en-GB"/>
        </w:rPr>
        <w:t xml:space="preserve"> severe hypofractionation</w:t>
      </w:r>
      <w:r w:rsidRPr="002836EB">
        <w:rPr>
          <w:lang w:val="en-GB"/>
        </w:rPr>
        <w:t>.</w:t>
      </w:r>
    </w:p>
    <w:p w14:paraId="3EF0C8DD" w14:textId="5C60778E" w:rsidR="004575EE" w:rsidRPr="002836EB" w:rsidRDefault="004575EE" w:rsidP="00A7186C">
      <w:pPr>
        <w:pStyle w:val="02dash"/>
        <w:numPr>
          <w:ilvl w:val="0"/>
          <w:numId w:val="15"/>
        </w:numPr>
        <w:rPr>
          <w:lang w:val="en-GB"/>
        </w:rPr>
      </w:pPr>
      <w:r w:rsidRPr="002836EB">
        <w:rPr>
          <w:rFonts w:eastAsia="Times New Roman"/>
          <w:lang w:val="en-GB"/>
        </w:rPr>
        <w:t xml:space="preserve">RANZCR </w:t>
      </w:r>
      <w:r w:rsidR="006D176A">
        <w:rPr>
          <w:rFonts w:eastAsia="Times New Roman"/>
          <w:lang w:val="en-GB"/>
        </w:rPr>
        <w:t>has</w:t>
      </w:r>
      <w:r w:rsidR="006D176A" w:rsidRPr="002836EB">
        <w:rPr>
          <w:rFonts w:eastAsia="Times New Roman"/>
          <w:lang w:val="en-GB"/>
        </w:rPr>
        <w:t xml:space="preserve"> </w:t>
      </w:r>
      <w:r w:rsidRPr="002836EB">
        <w:rPr>
          <w:rFonts w:eastAsia="Times New Roman"/>
          <w:lang w:val="en-GB"/>
        </w:rPr>
        <w:t>recommended consolidation into three items</w:t>
      </w:r>
      <w:r w:rsidR="00E328E5">
        <w:rPr>
          <w:rFonts w:eastAsia="Times New Roman"/>
          <w:lang w:val="en-GB"/>
        </w:rPr>
        <w:t>,</w:t>
      </w:r>
      <w:r w:rsidRPr="002836EB">
        <w:rPr>
          <w:rFonts w:eastAsia="Times New Roman"/>
          <w:lang w:val="en-GB"/>
        </w:rPr>
        <w:t xml:space="preserve"> as outlined in the recommendation.</w:t>
      </w:r>
    </w:p>
    <w:p w14:paraId="13B76985" w14:textId="1538FE2F" w:rsidR="008F03DA" w:rsidRPr="002836EB" w:rsidRDefault="009A634D" w:rsidP="00A7186C">
      <w:pPr>
        <w:pStyle w:val="01squarebullet"/>
        <w:numPr>
          <w:ilvl w:val="0"/>
          <w:numId w:val="15"/>
        </w:numPr>
        <w:rPr>
          <w:lang w:val="en-GB"/>
        </w:rPr>
      </w:pPr>
      <w:r w:rsidRPr="002836EB">
        <w:rPr>
          <w:lang w:val="en-GB"/>
        </w:rPr>
        <w:t>P</w:t>
      </w:r>
      <w:r w:rsidR="008F03DA" w:rsidRPr="002836EB">
        <w:rPr>
          <w:lang w:val="en-GB"/>
        </w:rPr>
        <w:t xml:space="preserve">rovider types other than </w:t>
      </w:r>
      <w:r w:rsidR="007C2007" w:rsidRPr="002836EB">
        <w:rPr>
          <w:lang w:val="en-GB"/>
        </w:rPr>
        <w:t>Radiation Oncologist</w:t>
      </w:r>
      <w:r w:rsidR="008F03DA" w:rsidRPr="002836EB">
        <w:rPr>
          <w:lang w:val="en-GB"/>
        </w:rPr>
        <w:t>s also</w:t>
      </w:r>
      <w:r w:rsidR="00F37B26" w:rsidRPr="002836EB">
        <w:rPr>
          <w:lang w:val="en-GB"/>
        </w:rPr>
        <w:t xml:space="preserve"> use the existing superficial and</w:t>
      </w:r>
      <w:r w:rsidR="00C91A31" w:rsidRPr="002836EB">
        <w:rPr>
          <w:lang w:val="en-GB"/>
        </w:rPr>
        <w:t xml:space="preserve"> </w:t>
      </w:r>
      <w:r w:rsidR="008F03DA" w:rsidRPr="002836EB">
        <w:rPr>
          <w:lang w:val="en-GB"/>
        </w:rPr>
        <w:t>orthovoltage</w:t>
      </w:r>
      <w:r w:rsidR="00F37B26" w:rsidRPr="002836EB">
        <w:rPr>
          <w:lang w:val="en-GB"/>
        </w:rPr>
        <w:t xml:space="preserve"> MBS items.</w:t>
      </w:r>
      <w:r w:rsidR="00FF2C17" w:rsidRPr="002836EB">
        <w:rPr>
          <w:lang w:val="en-GB"/>
        </w:rPr>
        <w:t xml:space="preserve"> In FY2014</w:t>
      </w:r>
      <w:r w:rsidR="00C019E8">
        <w:rPr>
          <w:lang w:val="en-GB"/>
        </w:rPr>
        <w:t>/</w:t>
      </w:r>
      <w:r w:rsidR="00FF2C17" w:rsidRPr="002836EB">
        <w:rPr>
          <w:lang w:val="en-GB"/>
        </w:rPr>
        <w:t>15</w:t>
      </w:r>
      <w:r w:rsidR="002E4985">
        <w:rPr>
          <w:lang w:val="en-GB"/>
        </w:rPr>
        <w:t>,</w:t>
      </w:r>
      <w:r w:rsidR="00FF2C17" w:rsidRPr="002836EB">
        <w:rPr>
          <w:lang w:val="en-GB"/>
        </w:rPr>
        <w:t xml:space="preserve"> </w:t>
      </w:r>
      <w:r w:rsidR="005B30CA">
        <w:rPr>
          <w:lang w:val="en-GB"/>
        </w:rPr>
        <w:t xml:space="preserve">for example, </w:t>
      </w:r>
      <w:r w:rsidR="00547F19">
        <w:rPr>
          <w:lang w:val="en-GB"/>
        </w:rPr>
        <w:t>D</w:t>
      </w:r>
      <w:r w:rsidR="00F37B26" w:rsidRPr="002836EB">
        <w:rPr>
          <w:lang w:val="en-GB"/>
        </w:rPr>
        <w:t>ermatologists account</w:t>
      </w:r>
      <w:r w:rsidR="004A3D8F">
        <w:rPr>
          <w:lang w:val="en-GB"/>
        </w:rPr>
        <w:t>ed</w:t>
      </w:r>
      <w:r w:rsidR="00F37B26" w:rsidRPr="002836EB">
        <w:rPr>
          <w:lang w:val="en-GB"/>
        </w:rPr>
        <w:t xml:space="preserve"> for 3</w:t>
      </w:r>
      <w:r w:rsidR="004C5F73">
        <w:rPr>
          <w:lang w:val="en-GB"/>
        </w:rPr>
        <w:t xml:space="preserve"> per cent</w:t>
      </w:r>
      <w:r w:rsidR="00F37B26" w:rsidRPr="002836EB">
        <w:rPr>
          <w:lang w:val="en-GB"/>
        </w:rPr>
        <w:t xml:space="preserve"> of </w:t>
      </w:r>
      <w:r w:rsidR="00345AE5">
        <w:rPr>
          <w:lang w:val="en-GB"/>
        </w:rPr>
        <w:t>service volume for i</w:t>
      </w:r>
      <w:r w:rsidR="00F37B26" w:rsidRPr="002836EB">
        <w:rPr>
          <w:lang w:val="en-GB"/>
        </w:rPr>
        <w:t>tem 15000, 11</w:t>
      </w:r>
      <w:r w:rsidR="00AE367E">
        <w:rPr>
          <w:lang w:val="en-GB"/>
        </w:rPr>
        <w:t xml:space="preserve"> per</w:t>
      </w:r>
      <w:r w:rsidR="00932916">
        <w:rPr>
          <w:lang w:val="en-GB"/>
        </w:rPr>
        <w:t xml:space="preserve"> </w:t>
      </w:r>
      <w:r w:rsidR="00AE367E">
        <w:rPr>
          <w:lang w:val="en-GB"/>
        </w:rPr>
        <w:t>cent</w:t>
      </w:r>
      <w:r w:rsidR="00F37B26" w:rsidRPr="002836EB">
        <w:rPr>
          <w:lang w:val="en-GB"/>
        </w:rPr>
        <w:t xml:space="preserve"> </w:t>
      </w:r>
      <w:r w:rsidR="0095390B">
        <w:rPr>
          <w:lang w:val="en-GB"/>
        </w:rPr>
        <w:t xml:space="preserve">of service volume </w:t>
      </w:r>
      <w:r w:rsidR="00AE367E">
        <w:rPr>
          <w:lang w:val="en-GB"/>
        </w:rPr>
        <w:t>for</w:t>
      </w:r>
      <w:r w:rsidR="00F37B26" w:rsidRPr="002836EB">
        <w:rPr>
          <w:lang w:val="en-GB"/>
        </w:rPr>
        <w:t xml:space="preserve"> item 15003 and 1</w:t>
      </w:r>
      <w:r w:rsidR="00D62060">
        <w:rPr>
          <w:lang w:val="en-GB"/>
        </w:rPr>
        <w:t xml:space="preserve"> per cent</w:t>
      </w:r>
      <w:r w:rsidR="003E7460">
        <w:rPr>
          <w:lang w:val="en-GB"/>
        </w:rPr>
        <w:t xml:space="preserve"> of service volume</w:t>
      </w:r>
      <w:r w:rsidR="00F37B26" w:rsidRPr="002836EB">
        <w:rPr>
          <w:lang w:val="en-GB"/>
        </w:rPr>
        <w:t xml:space="preserve"> </w:t>
      </w:r>
      <w:r w:rsidR="00D62060">
        <w:rPr>
          <w:lang w:val="en-GB"/>
        </w:rPr>
        <w:t>for</w:t>
      </w:r>
      <w:r w:rsidR="00F37B26" w:rsidRPr="002836EB">
        <w:rPr>
          <w:lang w:val="en-GB"/>
        </w:rPr>
        <w:t xml:space="preserve"> item 15012</w:t>
      </w:r>
      <w:r w:rsidR="002C53A3" w:rsidRPr="002836EB">
        <w:rPr>
          <w:lang w:val="en-GB"/>
        </w:rPr>
        <w:t xml:space="preserve"> (tota</w:t>
      </w:r>
      <w:r w:rsidR="00B10B24">
        <w:rPr>
          <w:lang w:val="en-GB"/>
        </w:rPr>
        <w:t>l</w:t>
      </w:r>
      <w:r w:rsidR="002C53A3" w:rsidRPr="002836EB">
        <w:rPr>
          <w:lang w:val="en-GB"/>
        </w:rPr>
        <w:t>ling less than 1</w:t>
      </w:r>
      <w:r w:rsidR="000124AC">
        <w:rPr>
          <w:lang w:val="en-GB"/>
        </w:rPr>
        <w:t>,</w:t>
      </w:r>
      <w:r w:rsidR="002C53A3" w:rsidRPr="002836EB">
        <w:rPr>
          <w:lang w:val="en-GB"/>
        </w:rPr>
        <w:t>500 services in the year)</w:t>
      </w:r>
      <w:r w:rsidR="00F37B26" w:rsidRPr="002836EB">
        <w:rPr>
          <w:lang w:val="en-GB"/>
        </w:rPr>
        <w:t xml:space="preserve">; </w:t>
      </w:r>
      <w:r w:rsidR="00547F19">
        <w:rPr>
          <w:lang w:val="en-GB"/>
        </w:rPr>
        <w:t>O</w:t>
      </w:r>
      <w:r w:rsidR="00F37B26" w:rsidRPr="002836EB">
        <w:rPr>
          <w:lang w:val="en-GB"/>
        </w:rPr>
        <w:t>p</w:t>
      </w:r>
      <w:r w:rsidR="00164278" w:rsidRPr="002836EB">
        <w:rPr>
          <w:lang w:val="en-GB"/>
        </w:rPr>
        <w:t>h</w:t>
      </w:r>
      <w:r w:rsidR="00F37B26" w:rsidRPr="002836EB">
        <w:rPr>
          <w:lang w:val="en-GB"/>
        </w:rPr>
        <w:t>thalmologists account</w:t>
      </w:r>
      <w:r w:rsidR="00CD427E">
        <w:rPr>
          <w:lang w:val="en-GB"/>
        </w:rPr>
        <w:t>ed</w:t>
      </w:r>
      <w:r w:rsidR="00F37B26" w:rsidRPr="002836EB">
        <w:rPr>
          <w:lang w:val="en-GB"/>
        </w:rPr>
        <w:t xml:space="preserve"> for 32</w:t>
      </w:r>
      <w:r w:rsidR="00CD427E">
        <w:rPr>
          <w:lang w:val="en-GB"/>
        </w:rPr>
        <w:t xml:space="preserve"> per cent</w:t>
      </w:r>
      <w:r w:rsidR="00F37B26" w:rsidRPr="002836EB">
        <w:rPr>
          <w:lang w:val="en-GB"/>
        </w:rPr>
        <w:t xml:space="preserve"> of</w:t>
      </w:r>
      <w:r w:rsidR="001D63D6">
        <w:rPr>
          <w:lang w:val="en-GB"/>
        </w:rPr>
        <w:t xml:space="preserve"> service volume for</w:t>
      </w:r>
      <w:r w:rsidR="00F37B26" w:rsidRPr="002836EB">
        <w:rPr>
          <w:lang w:val="en-GB"/>
        </w:rPr>
        <w:t xml:space="preserve"> item 1500</w:t>
      </w:r>
      <w:r w:rsidR="002C53A3" w:rsidRPr="002836EB">
        <w:rPr>
          <w:lang w:val="en-GB"/>
        </w:rPr>
        <w:t>6 and 20</w:t>
      </w:r>
      <w:r w:rsidR="00A23133">
        <w:rPr>
          <w:lang w:val="en-GB"/>
        </w:rPr>
        <w:t xml:space="preserve"> per cent</w:t>
      </w:r>
      <w:r w:rsidR="004C688F">
        <w:rPr>
          <w:lang w:val="en-GB"/>
        </w:rPr>
        <w:t xml:space="preserve"> of service volume</w:t>
      </w:r>
      <w:r w:rsidR="00A23133">
        <w:rPr>
          <w:lang w:val="en-GB"/>
        </w:rPr>
        <w:t xml:space="preserve"> for</w:t>
      </w:r>
      <w:r w:rsidR="002C53A3" w:rsidRPr="002836EB">
        <w:rPr>
          <w:lang w:val="en-GB"/>
        </w:rPr>
        <w:t xml:space="preserve"> item 15012 (tota</w:t>
      </w:r>
      <w:r w:rsidR="008A570B">
        <w:rPr>
          <w:lang w:val="en-GB"/>
        </w:rPr>
        <w:t>l</w:t>
      </w:r>
      <w:r w:rsidR="002C53A3" w:rsidRPr="002836EB">
        <w:rPr>
          <w:lang w:val="en-GB"/>
        </w:rPr>
        <w:t xml:space="preserve">ling less than 150 services in the year). </w:t>
      </w:r>
    </w:p>
    <w:p w14:paraId="19CC9DE7" w14:textId="467C1170" w:rsidR="004575EE" w:rsidRPr="002836EB" w:rsidRDefault="00164278" w:rsidP="0096444B">
      <w:pPr>
        <w:pStyle w:val="02dash"/>
        <w:rPr>
          <w:lang w:val="en-GB"/>
        </w:rPr>
      </w:pPr>
      <w:r w:rsidRPr="002836EB">
        <w:rPr>
          <w:lang w:val="en-GB"/>
        </w:rPr>
        <w:t>T</w:t>
      </w:r>
      <w:r w:rsidR="008F03DA" w:rsidRPr="002836EB">
        <w:rPr>
          <w:lang w:val="en-GB"/>
        </w:rPr>
        <w:t xml:space="preserve">he Dermatology, Immunology and Allergy Clinical Committee </w:t>
      </w:r>
      <w:r w:rsidRPr="002836EB">
        <w:rPr>
          <w:lang w:val="en-GB"/>
        </w:rPr>
        <w:t xml:space="preserve">of the MBS Review </w:t>
      </w:r>
      <w:r w:rsidR="008F03DA" w:rsidRPr="002836EB">
        <w:rPr>
          <w:lang w:val="en-GB"/>
        </w:rPr>
        <w:t>unanimously endorsed</w:t>
      </w:r>
      <w:r w:rsidR="00791F30" w:rsidRPr="002836EB">
        <w:rPr>
          <w:lang w:val="en-GB"/>
        </w:rPr>
        <w:t xml:space="preserve"> </w:t>
      </w:r>
      <w:r w:rsidR="008F03DA" w:rsidRPr="002836EB">
        <w:rPr>
          <w:lang w:val="en-GB"/>
        </w:rPr>
        <w:t>a recommendation to consolidate orthovoltage and superficial items</w:t>
      </w:r>
      <w:r w:rsidR="001B717E">
        <w:rPr>
          <w:lang w:val="en-GB"/>
        </w:rPr>
        <w:t xml:space="preserve"> (</w:t>
      </w:r>
      <w:r w:rsidR="00791F30" w:rsidRPr="002836EB">
        <w:rPr>
          <w:lang w:val="en-GB"/>
        </w:rPr>
        <w:t>in principle</w:t>
      </w:r>
      <w:r w:rsidR="001B717E">
        <w:rPr>
          <w:lang w:val="en-GB"/>
        </w:rPr>
        <w:t>)</w:t>
      </w:r>
      <w:r w:rsidR="004A0618">
        <w:rPr>
          <w:lang w:val="en-GB"/>
        </w:rPr>
        <w:t>,</w:t>
      </w:r>
      <w:r w:rsidR="00791F30" w:rsidRPr="002836EB">
        <w:rPr>
          <w:lang w:val="en-GB"/>
        </w:rPr>
        <w:t xml:space="preserve"> </w:t>
      </w:r>
      <w:r w:rsidR="0045145D">
        <w:rPr>
          <w:lang w:val="en-GB"/>
        </w:rPr>
        <w:t>with</w:t>
      </w:r>
      <w:r w:rsidR="00791F30" w:rsidRPr="002836EB">
        <w:rPr>
          <w:lang w:val="en-GB"/>
        </w:rPr>
        <w:t xml:space="preserve"> </w:t>
      </w:r>
      <w:r w:rsidR="008F03DA" w:rsidRPr="002836EB">
        <w:rPr>
          <w:lang w:val="en-GB"/>
        </w:rPr>
        <w:t xml:space="preserve">a simplified descriptor that accounts for both practices, </w:t>
      </w:r>
      <w:r w:rsidR="00070316">
        <w:rPr>
          <w:lang w:val="en-GB"/>
        </w:rPr>
        <w:t>based on</w:t>
      </w:r>
      <w:r w:rsidR="00070316" w:rsidRPr="002836EB">
        <w:rPr>
          <w:lang w:val="en-GB"/>
        </w:rPr>
        <w:t xml:space="preserve"> </w:t>
      </w:r>
      <w:r w:rsidR="008F03DA" w:rsidRPr="002836EB">
        <w:rPr>
          <w:lang w:val="en-GB"/>
        </w:rPr>
        <w:t xml:space="preserve">the assumption that the combined items’ schedule fees will </w:t>
      </w:r>
      <w:r w:rsidR="00B520AD">
        <w:rPr>
          <w:lang w:val="en-GB"/>
        </w:rPr>
        <w:t xml:space="preserve">ensure </w:t>
      </w:r>
      <w:r w:rsidR="008F03DA" w:rsidRPr="002836EB">
        <w:rPr>
          <w:lang w:val="en-GB"/>
        </w:rPr>
        <w:t>that the consolidation does not adversely impact patient access</w:t>
      </w:r>
      <w:r w:rsidRPr="002836EB">
        <w:rPr>
          <w:lang w:val="en-GB"/>
        </w:rPr>
        <w:t>.</w:t>
      </w:r>
    </w:p>
    <w:p w14:paraId="59BC5873" w14:textId="2D629CED" w:rsidR="007D3080" w:rsidRPr="002836EB" w:rsidRDefault="007D3080" w:rsidP="0096444B">
      <w:pPr>
        <w:pStyle w:val="02dash"/>
        <w:rPr>
          <w:lang w:val="en-GB"/>
        </w:rPr>
      </w:pPr>
      <w:r w:rsidRPr="002836EB">
        <w:rPr>
          <w:lang w:val="en-GB"/>
        </w:rPr>
        <w:t>The Ophthalmology Clinical Committee of the MBS Review h</w:t>
      </w:r>
      <w:r w:rsidR="00EF70ED" w:rsidRPr="002836EB">
        <w:rPr>
          <w:lang w:val="en-GB"/>
        </w:rPr>
        <w:t>as not yet been established.</w:t>
      </w:r>
    </w:p>
    <w:p w14:paraId="39E4D47D" w14:textId="06EDB7E5" w:rsidR="00840163" w:rsidRPr="00A96028" w:rsidRDefault="00840163" w:rsidP="00840163">
      <w:pPr>
        <w:pStyle w:val="Heading2"/>
        <w:rPr>
          <w:lang w:val="en-GB"/>
        </w:rPr>
      </w:pPr>
      <w:bookmarkStart w:id="168" w:name="_Brachytherapy"/>
      <w:bookmarkStart w:id="169" w:name="_Ref464501740"/>
      <w:bookmarkStart w:id="170" w:name="_Toc468647483"/>
      <w:bookmarkStart w:id="171" w:name="_Toc479082789"/>
      <w:bookmarkEnd w:id="168"/>
      <w:r w:rsidRPr="00A96028">
        <w:rPr>
          <w:lang w:val="en-GB"/>
        </w:rPr>
        <w:lastRenderedPageBreak/>
        <w:t>Brachytherapy</w:t>
      </w:r>
      <w:bookmarkEnd w:id="166"/>
      <w:bookmarkEnd w:id="169"/>
      <w:bookmarkEnd w:id="170"/>
      <w:bookmarkEnd w:id="171"/>
    </w:p>
    <w:p w14:paraId="1AB87F2D" w14:textId="43FD84F9" w:rsidR="00840163" w:rsidRPr="002836EB" w:rsidRDefault="00840163" w:rsidP="00840163">
      <w:pPr>
        <w:pStyle w:val="Caption"/>
      </w:pPr>
      <w:bookmarkStart w:id="172" w:name="_Toc468647509"/>
      <w:bookmarkStart w:id="173" w:name="_Toc479082815"/>
      <w:r w:rsidRPr="002836EB">
        <w:t xml:space="preserve">Table </w:t>
      </w:r>
      <w:r w:rsidRPr="002836EB">
        <w:fldChar w:fldCharType="begin"/>
      </w:r>
      <w:r w:rsidRPr="002836EB">
        <w:instrText xml:space="preserve"> SEQ Table \* ARABIC </w:instrText>
      </w:r>
      <w:r w:rsidRPr="002836EB">
        <w:fldChar w:fldCharType="separate"/>
      </w:r>
      <w:r w:rsidR="003274EF">
        <w:rPr>
          <w:noProof/>
        </w:rPr>
        <w:t>8</w:t>
      </w:r>
      <w:r w:rsidRPr="002836EB">
        <w:fldChar w:fldCharType="end"/>
      </w:r>
      <w:r w:rsidRPr="002836EB">
        <w:t>: Item introduction table for item</w:t>
      </w:r>
      <w:r w:rsidR="00BA5CED" w:rsidRPr="002836EB">
        <w:t>s 15303</w:t>
      </w:r>
      <w:r w:rsidR="002D4480">
        <w:t>–</w:t>
      </w:r>
      <w:r w:rsidR="00BA5CED" w:rsidRPr="002836EB">
        <w:t>15357, 15513, 15536</w:t>
      </w:r>
      <w:r w:rsidR="001F2730">
        <w:t>–</w:t>
      </w:r>
      <w:r w:rsidR="00BA5CED" w:rsidRPr="002836EB">
        <w:t>15539, 15800</w:t>
      </w:r>
      <w:r w:rsidR="001F2730">
        <w:t>–</w:t>
      </w:r>
      <w:r w:rsidR="00BA5CED" w:rsidRPr="002836EB">
        <w:t>15850</w:t>
      </w:r>
      <w:bookmarkEnd w:id="172"/>
      <w:bookmarkEnd w:id="173"/>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8 shows the item introduction table for Brachytherapy item numbers 15303–15357, 15513, 15536–15539, 15800–15850. There are 6 columns: Column 1. List of items, Column 2. Descriptor, column 3. Schedule fee, column 4. Volume of services for financial year 2014-15, column 5. Total benefits for FY 2014-15, and column 6. Percentage of the services average 5-year annual growth."/>
      </w:tblPr>
      <w:tblGrid>
        <w:gridCol w:w="708"/>
        <w:gridCol w:w="3835"/>
        <w:gridCol w:w="1223"/>
        <w:gridCol w:w="1004"/>
        <w:gridCol w:w="1079"/>
        <w:gridCol w:w="1167"/>
      </w:tblGrid>
      <w:tr w:rsidR="00396184" w:rsidRPr="002836EB" w14:paraId="1830DC2F" w14:textId="77777777" w:rsidTr="00A60C83">
        <w:trPr>
          <w:tblHeader/>
        </w:trPr>
        <w:tc>
          <w:tcPr>
            <w:tcW w:w="710" w:type="dxa"/>
            <w:shd w:val="clear" w:color="auto" w:fill="F2F2F2" w:themeFill="background1" w:themeFillShade="F2"/>
            <w:vAlign w:val="bottom"/>
          </w:tcPr>
          <w:p w14:paraId="60222341" w14:textId="77777777" w:rsidR="003D635F" w:rsidRPr="002836EB" w:rsidRDefault="003D635F" w:rsidP="005D41DE">
            <w:pPr>
              <w:pStyle w:val="02Tabletext"/>
              <w:rPr>
                <w:b/>
              </w:rPr>
            </w:pPr>
            <w:r w:rsidRPr="002836EB">
              <w:rPr>
                <w:b/>
              </w:rPr>
              <w:t>Item</w:t>
            </w:r>
          </w:p>
        </w:tc>
        <w:tc>
          <w:tcPr>
            <w:tcW w:w="3882" w:type="dxa"/>
            <w:shd w:val="clear" w:color="auto" w:fill="F2F2F2" w:themeFill="background1" w:themeFillShade="F2"/>
            <w:vAlign w:val="bottom"/>
          </w:tcPr>
          <w:p w14:paraId="18AF6DDA" w14:textId="77777777" w:rsidR="003D635F" w:rsidRPr="002836EB" w:rsidRDefault="003D635F" w:rsidP="005D41DE">
            <w:pPr>
              <w:pStyle w:val="02Tabletext"/>
              <w:rPr>
                <w:b/>
              </w:rPr>
            </w:pPr>
            <w:r w:rsidRPr="002836EB">
              <w:rPr>
                <w:b/>
              </w:rPr>
              <w:t>Descriptor</w:t>
            </w:r>
          </w:p>
        </w:tc>
        <w:tc>
          <w:tcPr>
            <w:tcW w:w="1229" w:type="dxa"/>
            <w:shd w:val="clear" w:color="auto" w:fill="F2F2F2" w:themeFill="background1" w:themeFillShade="F2"/>
            <w:vAlign w:val="bottom"/>
          </w:tcPr>
          <w:p w14:paraId="1D15F3A1" w14:textId="77777777" w:rsidR="003D635F" w:rsidRPr="002836EB" w:rsidRDefault="003D635F" w:rsidP="005D41DE">
            <w:pPr>
              <w:pStyle w:val="02Tabletext"/>
              <w:rPr>
                <w:b/>
              </w:rPr>
            </w:pPr>
            <w:r w:rsidRPr="002836EB">
              <w:rPr>
                <w:b/>
              </w:rPr>
              <w:t>Schedule</w:t>
            </w:r>
          </w:p>
          <w:p w14:paraId="6E301A23" w14:textId="77777777" w:rsidR="003D635F" w:rsidRPr="002836EB" w:rsidRDefault="003D635F" w:rsidP="005D41DE">
            <w:pPr>
              <w:pStyle w:val="02Tabletext"/>
              <w:rPr>
                <w:b/>
              </w:rPr>
            </w:pPr>
            <w:r w:rsidRPr="002836EB">
              <w:rPr>
                <w:b/>
              </w:rPr>
              <w:t>fee</w:t>
            </w:r>
          </w:p>
        </w:tc>
        <w:tc>
          <w:tcPr>
            <w:tcW w:w="1005" w:type="dxa"/>
            <w:shd w:val="clear" w:color="auto" w:fill="F2F2F2" w:themeFill="background1" w:themeFillShade="F2"/>
            <w:vAlign w:val="bottom"/>
          </w:tcPr>
          <w:p w14:paraId="4667A8D3" w14:textId="77777777" w:rsidR="003D635F" w:rsidRPr="002836EB" w:rsidRDefault="003D635F" w:rsidP="005D41DE">
            <w:pPr>
              <w:pStyle w:val="02Tabletext"/>
              <w:rPr>
                <w:b/>
              </w:rPr>
            </w:pPr>
            <w:r w:rsidRPr="002836EB">
              <w:rPr>
                <w:b/>
              </w:rPr>
              <w:t>Volume of services FY2014/15</w:t>
            </w:r>
          </w:p>
        </w:tc>
        <w:tc>
          <w:tcPr>
            <w:tcW w:w="1082" w:type="dxa"/>
            <w:shd w:val="clear" w:color="auto" w:fill="F2F2F2" w:themeFill="background1" w:themeFillShade="F2"/>
            <w:vAlign w:val="bottom"/>
          </w:tcPr>
          <w:p w14:paraId="11C48717" w14:textId="77777777" w:rsidR="003D635F" w:rsidRPr="002836EB" w:rsidRDefault="003D635F" w:rsidP="005D41DE">
            <w:pPr>
              <w:pStyle w:val="02Tabletext"/>
              <w:rPr>
                <w:b/>
              </w:rPr>
            </w:pPr>
            <w:r w:rsidRPr="002836EB">
              <w:rPr>
                <w:b/>
              </w:rPr>
              <w:t>Total benefits FY2014/15</w:t>
            </w:r>
          </w:p>
        </w:tc>
        <w:tc>
          <w:tcPr>
            <w:tcW w:w="1174" w:type="dxa"/>
            <w:shd w:val="clear" w:color="auto" w:fill="F2F2F2" w:themeFill="background1" w:themeFillShade="F2"/>
            <w:vAlign w:val="bottom"/>
          </w:tcPr>
          <w:p w14:paraId="3B7F2811" w14:textId="77777777" w:rsidR="003D635F" w:rsidRPr="002836EB" w:rsidRDefault="003D635F" w:rsidP="005D41DE">
            <w:pPr>
              <w:pStyle w:val="02Tabletext"/>
              <w:rPr>
                <w:b/>
              </w:rPr>
            </w:pPr>
            <w:r w:rsidRPr="002836EB">
              <w:rPr>
                <w:b/>
              </w:rPr>
              <w:t>Services 5-year-average annual growth</w:t>
            </w:r>
          </w:p>
        </w:tc>
      </w:tr>
      <w:tr w:rsidR="00E83435" w:rsidRPr="002836EB" w14:paraId="4CD42C09" w14:textId="77777777" w:rsidTr="00A60C83">
        <w:tc>
          <w:tcPr>
            <w:tcW w:w="710" w:type="dxa"/>
          </w:tcPr>
          <w:p w14:paraId="257BBFE8" w14:textId="0569FD5B" w:rsidR="00E83435" w:rsidRPr="002836EB" w:rsidRDefault="00E83435" w:rsidP="00E83435">
            <w:pPr>
              <w:pStyle w:val="02Tabletext"/>
            </w:pPr>
            <w:r w:rsidRPr="002836EB">
              <w:t>15303</w:t>
            </w:r>
          </w:p>
        </w:tc>
        <w:tc>
          <w:tcPr>
            <w:tcW w:w="3882" w:type="dxa"/>
          </w:tcPr>
          <w:p w14:paraId="177DF00A" w14:textId="19E5175E" w:rsidR="00E83435" w:rsidRPr="002836EB" w:rsidRDefault="00E83435" w:rsidP="00E83435">
            <w:pPr>
              <w:pStyle w:val="02Tabletext"/>
            </w:pPr>
            <w:r w:rsidRPr="002836EB">
              <w:t>Intrauterine treatment alone using radioactive sealed sources having a half-life greater than 115 days using manual afterloading techniques</w:t>
            </w:r>
            <w:r>
              <w:t>.</w:t>
            </w:r>
            <w:r w:rsidRPr="002836EB">
              <w:t xml:space="preserve"> (Anaes.)</w:t>
            </w:r>
          </w:p>
        </w:tc>
        <w:tc>
          <w:tcPr>
            <w:tcW w:w="1229" w:type="dxa"/>
          </w:tcPr>
          <w:p w14:paraId="556E716B" w14:textId="76D4421F" w:rsidR="00E83435" w:rsidRPr="002836EB" w:rsidRDefault="00E83435" w:rsidP="00E83435">
            <w:pPr>
              <w:pStyle w:val="02Tabletext"/>
              <w:jc w:val="center"/>
            </w:pPr>
            <w:r w:rsidRPr="002836EB">
              <w:t xml:space="preserve"> $357.00 </w:t>
            </w:r>
          </w:p>
        </w:tc>
        <w:tc>
          <w:tcPr>
            <w:tcW w:w="1005" w:type="dxa"/>
          </w:tcPr>
          <w:p w14:paraId="09020225" w14:textId="67C9514C" w:rsidR="00E83435" w:rsidRPr="002836EB" w:rsidRDefault="00E83435" w:rsidP="00E83435">
            <w:pPr>
              <w:pStyle w:val="02Tabletext"/>
              <w:jc w:val="center"/>
            </w:pPr>
            <w:r w:rsidRPr="00006DCE">
              <w:t>0</w:t>
            </w:r>
          </w:p>
        </w:tc>
        <w:tc>
          <w:tcPr>
            <w:tcW w:w="1082" w:type="dxa"/>
          </w:tcPr>
          <w:p w14:paraId="2D190AFA" w14:textId="1C8984E7" w:rsidR="00E83435" w:rsidRPr="002836EB" w:rsidRDefault="00E83435" w:rsidP="00E83435">
            <w:pPr>
              <w:pStyle w:val="02Tabletext"/>
              <w:jc w:val="center"/>
            </w:pPr>
            <w:r w:rsidRPr="00006DCE">
              <w:t>$0</w:t>
            </w:r>
          </w:p>
        </w:tc>
        <w:tc>
          <w:tcPr>
            <w:tcW w:w="1174" w:type="dxa"/>
          </w:tcPr>
          <w:p w14:paraId="34C6E1E0" w14:textId="6F767A8E" w:rsidR="00E83435" w:rsidRPr="002836EB" w:rsidRDefault="00E83435" w:rsidP="00E83435">
            <w:pPr>
              <w:pStyle w:val="02Tabletext"/>
              <w:jc w:val="center"/>
            </w:pPr>
            <w:r w:rsidRPr="00006DCE">
              <w:t>-</w:t>
            </w:r>
          </w:p>
        </w:tc>
      </w:tr>
      <w:tr w:rsidR="00E83435" w:rsidRPr="002836EB" w14:paraId="5BF06265" w14:textId="77777777" w:rsidTr="00A60C83">
        <w:tc>
          <w:tcPr>
            <w:tcW w:w="710" w:type="dxa"/>
          </w:tcPr>
          <w:p w14:paraId="070ED259" w14:textId="49BF32A6" w:rsidR="00E83435" w:rsidRPr="002836EB" w:rsidRDefault="00E83435" w:rsidP="00E83435">
            <w:pPr>
              <w:pStyle w:val="02Tabletext"/>
            </w:pPr>
            <w:r w:rsidRPr="002836EB">
              <w:t>15304</w:t>
            </w:r>
          </w:p>
        </w:tc>
        <w:tc>
          <w:tcPr>
            <w:tcW w:w="3882" w:type="dxa"/>
          </w:tcPr>
          <w:p w14:paraId="5EA84FE9" w14:textId="3AE85099" w:rsidR="00E83435" w:rsidRPr="002836EB" w:rsidRDefault="00E83435" w:rsidP="00E83435">
            <w:pPr>
              <w:pStyle w:val="02Tabletext"/>
            </w:pPr>
            <w:r w:rsidRPr="002836EB">
              <w:t>Intrauterine treatment alone using radioactive sealed sources having a half-life greater than 115 days using automatic afterloading techniques</w:t>
            </w:r>
            <w:r>
              <w:t>.</w:t>
            </w:r>
            <w:r w:rsidRPr="002836EB">
              <w:t xml:space="preserve"> (Anaes.)</w:t>
            </w:r>
          </w:p>
        </w:tc>
        <w:tc>
          <w:tcPr>
            <w:tcW w:w="1229" w:type="dxa"/>
          </w:tcPr>
          <w:p w14:paraId="7A0E8498" w14:textId="52CE7746" w:rsidR="00E83435" w:rsidRPr="002836EB" w:rsidRDefault="00E83435" w:rsidP="00E83435">
            <w:pPr>
              <w:pStyle w:val="02Tabletext"/>
              <w:jc w:val="center"/>
            </w:pPr>
            <w:r w:rsidRPr="002836EB">
              <w:t xml:space="preserve"> $357.00 </w:t>
            </w:r>
          </w:p>
        </w:tc>
        <w:tc>
          <w:tcPr>
            <w:tcW w:w="1005" w:type="dxa"/>
          </w:tcPr>
          <w:p w14:paraId="1A01AB17" w14:textId="0BFC31B1" w:rsidR="00E83435" w:rsidRPr="002836EB" w:rsidRDefault="00E83435" w:rsidP="00E83435">
            <w:pPr>
              <w:pStyle w:val="02Tabletext"/>
              <w:jc w:val="center"/>
            </w:pPr>
            <w:r w:rsidRPr="00006DCE">
              <w:t>0</w:t>
            </w:r>
          </w:p>
        </w:tc>
        <w:tc>
          <w:tcPr>
            <w:tcW w:w="1082" w:type="dxa"/>
          </w:tcPr>
          <w:p w14:paraId="4D0D4C2C" w14:textId="747CE18A" w:rsidR="00E83435" w:rsidRPr="002836EB" w:rsidRDefault="00E83435" w:rsidP="00E83435">
            <w:pPr>
              <w:pStyle w:val="02Tabletext"/>
              <w:jc w:val="center"/>
            </w:pPr>
            <w:r w:rsidRPr="00006DCE">
              <w:t>$0</w:t>
            </w:r>
          </w:p>
        </w:tc>
        <w:tc>
          <w:tcPr>
            <w:tcW w:w="1174" w:type="dxa"/>
          </w:tcPr>
          <w:p w14:paraId="12302461" w14:textId="79909F3C" w:rsidR="00E83435" w:rsidRPr="002836EB" w:rsidRDefault="00E83435" w:rsidP="00E83435">
            <w:pPr>
              <w:pStyle w:val="02Tabletext"/>
              <w:jc w:val="center"/>
              <w:rPr>
                <w:shd w:val="clear" w:color="auto" w:fill="FBFBFB"/>
              </w:rPr>
            </w:pPr>
            <w:r w:rsidRPr="00006DCE">
              <w:t>-</w:t>
            </w:r>
          </w:p>
        </w:tc>
      </w:tr>
      <w:tr w:rsidR="00E83435" w:rsidRPr="002836EB" w14:paraId="193E1672" w14:textId="77777777" w:rsidTr="00A60C83">
        <w:tc>
          <w:tcPr>
            <w:tcW w:w="710" w:type="dxa"/>
          </w:tcPr>
          <w:p w14:paraId="64DCAEE2" w14:textId="63C87774" w:rsidR="00E83435" w:rsidRPr="002836EB" w:rsidRDefault="00E83435" w:rsidP="00E83435">
            <w:pPr>
              <w:pStyle w:val="02Tabletext"/>
            </w:pPr>
            <w:r w:rsidRPr="002836EB">
              <w:t>15307</w:t>
            </w:r>
          </w:p>
        </w:tc>
        <w:tc>
          <w:tcPr>
            <w:tcW w:w="3882" w:type="dxa"/>
          </w:tcPr>
          <w:p w14:paraId="012DF6B6" w14:textId="3837995A" w:rsidR="00E83435" w:rsidRPr="002836EB" w:rsidRDefault="00E83435" w:rsidP="00E83435">
            <w:pPr>
              <w:pStyle w:val="02Tabletext"/>
            </w:pPr>
            <w:r w:rsidRPr="002836EB">
              <w:t>Intrauterine treatment alone using radioactive sealed sources having a half-life of less than 115 days including iodine, gold, iridium or tantalum using manual afterloading techniques</w:t>
            </w:r>
            <w:r>
              <w:t>.</w:t>
            </w:r>
            <w:r w:rsidRPr="002836EB">
              <w:t xml:space="preserve"> (Anaes.)</w:t>
            </w:r>
          </w:p>
        </w:tc>
        <w:tc>
          <w:tcPr>
            <w:tcW w:w="1229" w:type="dxa"/>
          </w:tcPr>
          <w:p w14:paraId="5B5E5917" w14:textId="24FB7D3C" w:rsidR="00E83435" w:rsidRPr="002836EB" w:rsidRDefault="00E83435" w:rsidP="00E83435">
            <w:pPr>
              <w:pStyle w:val="02Tabletext"/>
              <w:jc w:val="center"/>
            </w:pPr>
            <w:r w:rsidRPr="002836EB">
              <w:t xml:space="preserve"> $676.80 </w:t>
            </w:r>
          </w:p>
        </w:tc>
        <w:tc>
          <w:tcPr>
            <w:tcW w:w="1005" w:type="dxa"/>
          </w:tcPr>
          <w:p w14:paraId="4D8CB14E" w14:textId="0E8B704D" w:rsidR="00E83435" w:rsidRPr="002836EB" w:rsidRDefault="00E83435" w:rsidP="00E83435">
            <w:pPr>
              <w:pStyle w:val="02Tabletext"/>
              <w:jc w:val="center"/>
            </w:pPr>
            <w:r w:rsidRPr="00006DCE">
              <w:t>0</w:t>
            </w:r>
          </w:p>
        </w:tc>
        <w:tc>
          <w:tcPr>
            <w:tcW w:w="1082" w:type="dxa"/>
          </w:tcPr>
          <w:p w14:paraId="297ADC7F" w14:textId="7BC8A80E" w:rsidR="00E83435" w:rsidRPr="002836EB" w:rsidRDefault="00E83435" w:rsidP="00E83435">
            <w:pPr>
              <w:pStyle w:val="02Tabletext"/>
              <w:jc w:val="center"/>
            </w:pPr>
            <w:r w:rsidRPr="00006DCE">
              <w:t>$0</w:t>
            </w:r>
          </w:p>
        </w:tc>
        <w:tc>
          <w:tcPr>
            <w:tcW w:w="1174" w:type="dxa"/>
          </w:tcPr>
          <w:p w14:paraId="6969C1D6" w14:textId="5865567F" w:rsidR="00E83435" w:rsidRPr="002836EB" w:rsidRDefault="00E83435" w:rsidP="00E83435">
            <w:pPr>
              <w:pStyle w:val="02Tabletext"/>
              <w:jc w:val="center"/>
              <w:rPr>
                <w:shd w:val="clear" w:color="auto" w:fill="FBFBFB"/>
              </w:rPr>
            </w:pPr>
            <w:r w:rsidRPr="00006DCE">
              <w:t>-</w:t>
            </w:r>
          </w:p>
        </w:tc>
      </w:tr>
      <w:tr w:rsidR="00E83435" w:rsidRPr="002836EB" w14:paraId="779D8429" w14:textId="77777777" w:rsidTr="00A60C83">
        <w:tc>
          <w:tcPr>
            <w:tcW w:w="710" w:type="dxa"/>
          </w:tcPr>
          <w:p w14:paraId="2F5BA85B" w14:textId="7D79B280" w:rsidR="00E83435" w:rsidRPr="002836EB" w:rsidRDefault="00E83435" w:rsidP="00E83435">
            <w:pPr>
              <w:pStyle w:val="02Tabletext"/>
            </w:pPr>
            <w:r w:rsidRPr="002836EB">
              <w:t>15308</w:t>
            </w:r>
          </w:p>
        </w:tc>
        <w:tc>
          <w:tcPr>
            <w:tcW w:w="3882" w:type="dxa"/>
          </w:tcPr>
          <w:p w14:paraId="6A5664AD" w14:textId="46AFB8CB" w:rsidR="00E83435" w:rsidRPr="002836EB" w:rsidRDefault="00E83435" w:rsidP="00E83435">
            <w:pPr>
              <w:pStyle w:val="02Tabletext"/>
            </w:pPr>
            <w:r w:rsidRPr="002836EB">
              <w:t>Intrauterine treatment alone using radioactive sealed sources having a half-life of less than 115 days including iodine, gold, iridium or tantalum using automatic afterloading techniques</w:t>
            </w:r>
            <w:r>
              <w:t>.</w:t>
            </w:r>
            <w:r w:rsidRPr="002836EB">
              <w:t xml:space="preserve"> (Anaes.)</w:t>
            </w:r>
          </w:p>
        </w:tc>
        <w:tc>
          <w:tcPr>
            <w:tcW w:w="1229" w:type="dxa"/>
          </w:tcPr>
          <w:p w14:paraId="0F6134D7" w14:textId="354DE8F1" w:rsidR="00E83435" w:rsidRPr="002836EB" w:rsidRDefault="00E83435" w:rsidP="00E83435">
            <w:pPr>
              <w:pStyle w:val="02Tabletext"/>
              <w:jc w:val="center"/>
            </w:pPr>
            <w:r w:rsidRPr="002836EB">
              <w:t xml:space="preserve"> $676.80 </w:t>
            </w:r>
          </w:p>
        </w:tc>
        <w:tc>
          <w:tcPr>
            <w:tcW w:w="1005" w:type="dxa"/>
          </w:tcPr>
          <w:p w14:paraId="1F34D67A" w14:textId="1394A77C" w:rsidR="00E83435" w:rsidRPr="002836EB" w:rsidRDefault="00E83435" w:rsidP="00E83435">
            <w:pPr>
              <w:pStyle w:val="02Tabletext"/>
              <w:jc w:val="center"/>
            </w:pPr>
            <w:r w:rsidRPr="00006DCE">
              <w:t>43</w:t>
            </w:r>
          </w:p>
        </w:tc>
        <w:tc>
          <w:tcPr>
            <w:tcW w:w="1082" w:type="dxa"/>
          </w:tcPr>
          <w:p w14:paraId="4914CCE7" w14:textId="55F8E1C5" w:rsidR="00E83435" w:rsidRPr="002836EB" w:rsidRDefault="00E83435" w:rsidP="00E83435">
            <w:pPr>
              <w:pStyle w:val="02Tabletext"/>
              <w:jc w:val="center"/>
            </w:pPr>
            <w:r w:rsidRPr="00006DCE">
              <w:t>$25,126</w:t>
            </w:r>
          </w:p>
        </w:tc>
        <w:tc>
          <w:tcPr>
            <w:tcW w:w="1174" w:type="dxa"/>
          </w:tcPr>
          <w:p w14:paraId="3E0597CE" w14:textId="5FE7418C" w:rsidR="00E83435" w:rsidRPr="002836EB" w:rsidRDefault="00E83435" w:rsidP="00E83435">
            <w:pPr>
              <w:pStyle w:val="02Tabletext"/>
              <w:jc w:val="center"/>
              <w:rPr>
                <w:shd w:val="clear" w:color="auto" w:fill="FBFBFB"/>
              </w:rPr>
            </w:pPr>
            <w:r w:rsidRPr="00006DCE">
              <w:t>-5.5%</w:t>
            </w:r>
          </w:p>
        </w:tc>
      </w:tr>
      <w:tr w:rsidR="00E83435" w:rsidRPr="002836EB" w14:paraId="6A81CA62" w14:textId="77777777" w:rsidTr="00A60C83">
        <w:tc>
          <w:tcPr>
            <w:tcW w:w="710" w:type="dxa"/>
          </w:tcPr>
          <w:p w14:paraId="7BD4F45D" w14:textId="248629B9" w:rsidR="00E83435" w:rsidRPr="002836EB" w:rsidRDefault="00E83435" w:rsidP="00E83435">
            <w:pPr>
              <w:pStyle w:val="02Tabletext"/>
            </w:pPr>
            <w:r w:rsidRPr="002836EB">
              <w:t>15311</w:t>
            </w:r>
          </w:p>
        </w:tc>
        <w:tc>
          <w:tcPr>
            <w:tcW w:w="3882" w:type="dxa"/>
          </w:tcPr>
          <w:p w14:paraId="33AF9663" w14:textId="2D1F0086" w:rsidR="00E83435" w:rsidRPr="002836EB" w:rsidRDefault="00E83435" w:rsidP="00E83435">
            <w:pPr>
              <w:pStyle w:val="02Tabletext"/>
            </w:pPr>
            <w:r w:rsidRPr="002836EB">
              <w:t>Intravaginal treatment alone using radioactive sealed sources having a half-life greater than 115 days using manual afterloading techniques</w:t>
            </w:r>
            <w:r>
              <w:t>.</w:t>
            </w:r>
            <w:r w:rsidRPr="002836EB">
              <w:t xml:space="preserve"> (Anaes.)</w:t>
            </w:r>
          </w:p>
        </w:tc>
        <w:tc>
          <w:tcPr>
            <w:tcW w:w="1229" w:type="dxa"/>
          </w:tcPr>
          <w:p w14:paraId="72291E84" w14:textId="230BCB3F" w:rsidR="00E83435" w:rsidRPr="002836EB" w:rsidRDefault="00E83435" w:rsidP="00E83435">
            <w:pPr>
              <w:pStyle w:val="02Tabletext"/>
              <w:jc w:val="center"/>
            </w:pPr>
            <w:r w:rsidRPr="002836EB">
              <w:t xml:space="preserve"> $333.20 </w:t>
            </w:r>
          </w:p>
        </w:tc>
        <w:tc>
          <w:tcPr>
            <w:tcW w:w="1005" w:type="dxa"/>
          </w:tcPr>
          <w:p w14:paraId="2E84A3E4" w14:textId="067AE389" w:rsidR="00E83435" w:rsidRPr="002836EB" w:rsidRDefault="00E83435" w:rsidP="00E83435">
            <w:pPr>
              <w:pStyle w:val="02Tabletext"/>
              <w:jc w:val="center"/>
            </w:pPr>
            <w:r w:rsidRPr="00006DCE">
              <w:t>0</w:t>
            </w:r>
          </w:p>
        </w:tc>
        <w:tc>
          <w:tcPr>
            <w:tcW w:w="1082" w:type="dxa"/>
          </w:tcPr>
          <w:p w14:paraId="31903812" w14:textId="0FEA247D" w:rsidR="00E83435" w:rsidRPr="002836EB" w:rsidRDefault="00E83435" w:rsidP="00E83435">
            <w:pPr>
              <w:pStyle w:val="02Tabletext"/>
              <w:jc w:val="center"/>
            </w:pPr>
            <w:r w:rsidRPr="00006DCE">
              <w:t>$0</w:t>
            </w:r>
          </w:p>
        </w:tc>
        <w:tc>
          <w:tcPr>
            <w:tcW w:w="1174" w:type="dxa"/>
          </w:tcPr>
          <w:p w14:paraId="04C3E701" w14:textId="568BF951" w:rsidR="00E83435" w:rsidRPr="002836EB" w:rsidRDefault="00E83435" w:rsidP="00E83435">
            <w:pPr>
              <w:pStyle w:val="02Tabletext"/>
              <w:jc w:val="center"/>
              <w:rPr>
                <w:shd w:val="clear" w:color="auto" w:fill="FBFBFB"/>
              </w:rPr>
            </w:pPr>
            <w:r w:rsidRPr="00006DCE">
              <w:t>-</w:t>
            </w:r>
          </w:p>
        </w:tc>
      </w:tr>
      <w:tr w:rsidR="00E83435" w:rsidRPr="002836EB" w14:paraId="49F18808" w14:textId="77777777" w:rsidTr="00A60C83">
        <w:tc>
          <w:tcPr>
            <w:tcW w:w="710" w:type="dxa"/>
          </w:tcPr>
          <w:p w14:paraId="09E62ACB" w14:textId="68E7C4A7" w:rsidR="00E83435" w:rsidRPr="002836EB" w:rsidRDefault="00E83435" w:rsidP="00E83435">
            <w:pPr>
              <w:pStyle w:val="02Tabletext"/>
            </w:pPr>
            <w:r w:rsidRPr="002836EB">
              <w:t>15312</w:t>
            </w:r>
          </w:p>
        </w:tc>
        <w:tc>
          <w:tcPr>
            <w:tcW w:w="3882" w:type="dxa"/>
          </w:tcPr>
          <w:p w14:paraId="5E046D0F" w14:textId="77A95E6C" w:rsidR="00E83435" w:rsidRPr="002836EB" w:rsidRDefault="00E83435" w:rsidP="00E83435">
            <w:pPr>
              <w:pStyle w:val="02Tabletext"/>
            </w:pPr>
            <w:r w:rsidRPr="002836EB">
              <w:t>Intravaginal treatment alone using radioactive sealed sources having a half-life greater than 115 days using automatic afterloading techniques</w:t>
            </w:r>
            <w:r>
              <w:t>.</w:t>
            </w:r>
            <w:r w:rsidRPr="002836EB">
              <w:t xml:space="preserve"> (Anaes.)</w:t>
            </w:r>
          </w:p>
        </w:tc>
        <w:tc>
          <w:tcPr>
            <w:tcW w:w="1229" w:type="dxa"/>
          </w:tcPr>
          <w:p w14:paraId="6AD8C4F1" w14:textId="1D18ABB1" w:rsidR="00E83435" w:rsidRPr="002836EB" w:rsidRDefault="00E83435" w:rsidP="00E83435">
            <w:pPr>
              <w:pStyle w:val="02Tabletext"/>
              <w:jc w:val="center"/>
            </w:pPr>
            <w:r w:rsidRPr="002836EB">
              <w:t xml:space="preserve"> $330.80 </w:t>
            </w:r>
          </w:p>
        </w:tc>
        <w:tc>
          <w:tcPr>
            <w:tcW w:w="1005" w:type="dxa"/>
          </w:tcPr>
          <w:p w14:paraId="1908525B" w14:textId="3DFDE3A3" w:rsidR="00E83435" w:rsidRPr="002836EB" w:rsidRDefault="00E83435" w:rsidP="00E83435">
            <w:pPr>
              <w:pStyle w:val="02Tabletext"/>
              <w:jc w:val="center"/>
            </w:pPr>
            <w:r w:rsidRPr="00006DCE">
              <w:t>45</w:t>
            </w:r>
          </w:p>
        </w:tc>
        <w:tc>
          <w:tcPr>
            <w:tcW w:w="1082" w:type="dxa"/>
          </w:tcPr>
          <w:p w14:paraId="6F4C29D3" w14:textId="7AEF46CC" w:rsidR="00E83435" w:rsidRPr="002836EB" w:rsidRDefault="00E83435" w:rsidP="00E83435">
            <w:pPr>
              <w:pStyle w:val="02Tabletext"/>
              <w:jc w:val="center"/>
            </w:pPr>
            <w:r w:rsidRPr="00006DCE">
              <w:t>$12,654</w:t>
            </w:r>
          </w:p>
        </w:tc>
        <w:tc>
          <w:tcPr>
            <w:tcW w:w="1174" w:type="dxa"/>
          </w:tcPr>
          <w:p w14:paraId="57ED6967" w14:textId="568401A3" w:rsidR="00E83435" w:rsidRPr="002836EB" w:rsidRDefault="00E83435" w:rsidP="00E83435">
            <w:pPr>
              <w:pStyle w:val="02Tabletext"/>
              <w:jc w:val="center"/>
              <w:rPr>
                <w:shd w:val="clear" w:color="auto" w:fill="FBFBFB"/>
              </w:rPr>
            </w:pPr>
            <w:r w:rsidRPr="00006DCE">
              <w:t>-</w:t>
            </w:r>
          </w:p>
        </w:tc>
      </w:tr>
      <w:tr w:rsidR="00E83435" w:rsidRPr="002836EB" w14:paraId="3587C968" w14:textId="77777777" w:rsidTr="00A60C83">
        <w:tc>
          <w:tcPr>
            <w:tcW w:w="710" w:type="dxa"/>
          </w:tcPr>
          <w:p w14:paraId="47749C0B" w14:textId="25DAF8E1" w:rsidR="00E83435" w:rsidRPr="002836EB" w:rsidRDefault="00E83435" w:rsidP="00E83435">
            <w:pPr>
              <w:pStyle w:val="02Tabletext"/>
            </w:pPr>
            <w:r w:rsidRPr="002836EB">
              <w:t>15315</w:t>
            </w:r>
          </w:p>
        </w:tc>
        <w:tc>
          <w:tcPr>
            <w:tcW w:w="3882" w:type="dxa"/>
          </w:tcPr>
          <w:p w14:paraId="5F932431" w14:textId="5B037393" w:rsidR="00E83435" w:rsidRPr="002836EB" w:rsidRDefault="00E83435" w:rsidP="00E83435">
            <w:pPr>
              <w:pStyle w:val="02Tabletext"/>
            </w:pPr>
            <w:r w:rsidRPr="002836EB">
              <w:t>Intravaginal treatment alone using radioactive sealed sources having a half-life of less than 115 days including iodine, gold, iridium or tantalum using manual afterloading techniques</w:t>
            </w:r>
            <w:r>
              <w:t>.</w:t>
            </w:r>
            <w:r w:rsidRPr="002836EB">
              <w:t xml:space="preserve"> (Anaes.)</w:t>
            </w:r>
          </w:p>
        </w:tc>
        <w:tc>
          <w:tcPr>
            <w:tcW w:w="1229" w:type="dxa"/>
          </w:tcPr>
          <w:p w14:paraId="2AE04F9B" w14:textId="38958D6D" w:rsidR="00E83435" w:rsidRPr="002836EB" w:rsidRDefault="00E83435" w:rsidP="00E83435">
            <w:pPr>
              <w:pStyle w:val="02Tabletext"/>
              <w:jc w:val="center"/>
            </w:pPr>
            <w:r w:rsidRPr="002836EB">
              <w:t xml:space="preserve"> $654.25 </w:t>
            </w:r>
          </w:p>
        </w:tc>
        <w:tc>
          <w:tcPr>
            <w:tcW w:w="1005" w:type="dxa"/>
          </w:tcPr>
          <w:p w14:paraId="7A5AC50C" w14:textId="211B238C" w:rsidR="00E83435" w:rsidRPr="002836EB" w:rsidRDefault="00E83435" w:rsidP="00E83435">
            <w:pPr>
              <w:pStyle w:val="02Tabletext"/>
              <w:jc w:val="center"/>
            </w:pPr>
            <w:r w:rsidRPr="00006DCE">
              <w:t>0</w:t>
            </w:r>
          </w:p>
        </w:tc>
        <w:tc>
          <w:tcPr>
            <w:tcW w:w="1082" w:type="dxa"/>
          </w:tcPr>
          <w:p w14:paraId="0746521A" w14:textId="1A18C860" w:rsidR="00E83435" w:rsidRPr="002836EB" w:rsidRDefault="00E83435" w:rsidP="00E83435">
            <w:pPr>
              <w:pStyle w:val="02Tabletext"/>
              <w:jc w:val="center"/>
            </w:pPr>
            <w:r w:rsidRPr="00006DCE">
              <w:t>$0</w:t>
            </w:r>
          </w:p>
        </w:tc>
        <w:tc>
          <w:tcPr>
            <w:tcW w:w="1174" w:type="dxa"/>
          </w:tcPr>
          <w:p w14:paraId="2FC862EC" w14:textId="7A7D726D" w:rsidR="00E83435" w:rsidRPr="002836EB" w:rsidRDefault="00E83435" w:rsidP="00E83435">
            <w:pPr>
              <w:pStyle w:val="02Tabletext"/>
              <w:jc w:val="center"/>
              <w:rPr>
                <w:shd w:val="clear" w:color="auto" w:fill="FBFBFB"/>
              </w:rPr>
            </w:pPr>
            <w:r w:rsidRPr="00006DCE">
              <w:t>-</w:t>
            </w:r>
          </w:p>
        </w:tc>
      </w:tr>
      <w:tr w:rsidR="00E83435" w:rsidRPr="002836EB" w14:paraId="4D9FFA99" w14:textId="77777777" w:rsidTr="00A60C83">
        <w:tc>
          <w:tcPr>
            <w:tcW w:w="710" w:type="dxa"/>
          </w:tcPr>
          <w:p w14:paraId="08FECED5" w14:textId="02423398" w:rsidR="00E83435" w:rsidRPr="002836EB" w:rsidRDefault="00E83435" w:rsidP="00E83435">
            <w:pPr>
              <w:pStyle w:val="02Tabletext"/>
            </w:pPr>
            <w:r w:rsidRPr="002836EB">
              <w:t>15316</w:t>
            </w:r>
          </w:p>
        </w:tc>
        <w:tc>
          <w:tcPr>
            <w:tcW w:w="3882" w:type="dxa"/>
          </w:tcPr>
          <w:p w14:paraId="32517694" w14:textId="38317707" w:rsidR="00E83435" w:rsidRPr="002836EB" w:rsidRDefault="00E83435" w:rsidP="00E83435">
            <w:pPr>
              <w:pStyle w:val="02Tabletext"/>
            </w:pPr>
            <w:r w:rsidRPr="002836EB">
              <w:t>Intravaginal treatment alone using radioactive sealed sources having a half-life of less than 115 days including iodine, gold, iridium or tantalum using automatic afterloading techniques</w:t>
            </w:r>
            <w:r>
              <w:t>.</w:t>
            </w:r>
            <w:r w:rsidRPr="002836EB">
              <w:t xml:space="preserve"> (Anaes.)</w:t>
            </w:r>
          </w:p>
        </w:tc>
        <w:tc>
          <w:tcPr>
            <w:tcW w:w="1229" w:type="dxa"/>
          </w:tcPr>
          <w:p w14:paraId="7A3EE441" w14:textId="685B0BBF" w:rsidR="00E83435" w:rsidRPr="002836EB" w:rsidRDefault="00E83435" w:rsidP="00E83435">
            <w:pPr>
              <w:pStyle w:val="02Tabletext"/>
              <w:jc w:val="center"/>
            </w:pPr>
            <w:r w:rsidRPr="002836EB">
              <w:t xml:space="preserve"> $654.25 </w:t>
            </w:r>
          </w:p>
        </w:tc>
        <w:tc>
          <w:tcPr>
            <w:tcW w:w="1005" w:type="dxa"/>
          </w:tcPr>
          <w:p w14:paraId="59C77F4F" w14:textId="2384F667" w:rsidR="00E83435" w:rsidRPr="002836EB" w:rsidRDefault="00E83435" w:rsidP="00E83435">
            <w:pPr>
              <w:pStyle w:val="02Tabletext"/>
              <w:jc w:val="center"/>
            </w:pPr>
            <w:r w:rsidRPr="00006DCE">
              <w:t>1,303</w:t>
            </w:r>
          </w:p>
        </w:tc>
        <w:tc>
          <w:tcPr>
            <w:tcW w:w="1082" w:type="dxa"/>
          </w:tcPr>
          <w:p w14:paraId="556BD08A" w14:textId="39EF31EC" w:rsidR="00E83435" w:rsidRPr="002836EB" w:rsidRDefault="00E83435" w:rsidP="00E83435">
            <w:pPr>
              <w:pStyle w:val="02Tabletext"/>
              <w:jc w:val="center"/>
            </w:pPr>
            <w:r w:rsidRPr="00006DCE">
              <w:t>$827,081</w:t>
            </w:r>
          </w:p>
        </w:tc>
        <w:tc>
          <w:tcPr>
            <w:tcW w:w="1174" w:type="dxa"/>
          </w:tcPr>
          <w:p w14:paraId="242C2BFB" w14:textId="464FB2A3" w:rsidR="00E83435" w:rsidRPr="002836EB" w:rsidRDefault="00E83435" w:rsidP="00E83435">
            <w:pPr>
              <w:pStyle w:val="02Tabletext"/>
              <w:jc w:val="center"/>
              <w:rPr>
                <w:shd w:val="clear" w:color="auto" w:fill="FBFBFB"/>
              </w:rPr>
            </w:pPr>
            <w:r w:rsidRPr="00006DCE">
              <w:t>1.2%</w:t>
            </w:r>
          </w:p>
        </w:tc>
      </w:tr>
      <w:tr w:rsidR="00E83435" w:rsidRPr="002836EB" w14:paraId="4E8E9AC1" w14:textId="77777777" w:rsidTr="00A60C83">
        <w:tc>
          <w:tcPr>
            <w:tcW w:w="710" w:type="dxa"/>
          </w:tcPr>
          <w:p w14:paraId="3BED082E" w14:textId="6F77E7E6" w:rsidR="00E83435" w:rsidRPr="002836EB" w:rsidRDefault="00E83435" w:rsidP="00E83435">
            <w:pPr>
              <w:pStyle w:val="02Tabletext"/>
            </w:pPr>
            <w:r w:rsidRPr="002836EB">
              <w:t>15319</w:t>
            </w:r>
          </w:p>
        </w:tc>
        <w:tc>
          <w:tcPr>
            <w:tcW w:w="3882" w:type="dxa"/>
          </w:tcPr>
          <w:p w14:paraId="0F5F98C4" w14:textId="0A542918" w:rsidR="00E83435" w:rsidRPr="002836EB" w:rsidRDefault="00E83435" w:rsidP="00E83435">
            <w:pPr>
              <w:pStyle w:val="02Tabletext"/>
            </w:pPr>
            <w:r w:rsidRPr="002836EB">
              <w:t>Combined intrauterine and intravaginal treatment using radioactive sealed sources having a half-life greater than 115 days using manual afterloading techniques</w:t>
            </w:r>
            <w:r>
              <w:t>.</w:t>
            </w:r>
            <w:r w:rsidRPr="002836EB">
              <w:t xml:space="preserve"> (Anaes.)</w:t>
            </w:r>
          </w:p>
        </w:tc>
        <w:tc>
          <w:tcPr>
            <w:tcW w:w="1229" w:type="dxa"/>
          </w:tcPr>
          <w:p w14:paraId="617458B0" w14:textId="6B102E85" w:rsidR="00E83435" w:rsidRPr="002836EB" w:rsidRDefault="00E83435" w:rsidP="00E83435">
            <w:pPr>
              <w:pStyle w:val="02Tabletext"/>
              <w:jc w:val="center"/>
            </w:pPr>
            <w:r w:rsidRPr="002836EB">
              <w:t xml:space="preserve"> $406.05 </w:t>
            </w:r>
          </w:p>
        </w:tc>
        <w:tc>
          <w:tcPr>
            <w:tcW w:w="1005" w:type="dxa"/>
          </w:tcPr>
          <w:p w14:paraId="477B4EB3" w14:textId="56DEB1C0" w:rsidR="00E83435" w:rsidRPr="002836EB" w:rsidRDefault="00E83435" w:rsidP="00E83435">
            <w:pPr>
              <w:pStyle w:val="02Tabletext"/>
              <w:jc w:val="center"/>
            </w:pPr>
            <w:r w:rsidRPr="00006DCE">
              <w:t>0</w:t>
            </w:r>
          </w:p>
        </w:tc>
        <w:tc>
          <w:tcPr>
            <w:tcW w:w="1082" w:type="dxa"/>
          </w:tcPr>
          <w:p w14:paraId="6086FF0B" w14:textId="56BAC7FD" w:rsidR="00E83435" w:rsidRPr="002836EB" w:rsidRDefault="00E83435" w:rsidP="00E83435">
            <w:pPr>
              <w:pStyle w:val="02Tabletext"/>
              <w:jc w:val="center"/>
            </w:pPr>
            <w:r w:rsidRPr="00006DCE">
              <w:t>$0</w:t>
            </w:r>
          </w:p>
        </w:tc>
        <w:tc>
          <w:tcPr>
            <w:tcW w:w="1174" w:type="dxa"/>
          </w:tcPr>
          <w:p w14:paraId="35F336EB" w14:textId="7BFB2EF8" w:rsidR="00E83435" w:rsidRPr="002836EB" w:rsidRDefault="00E83435" w:rsidP="00E83435">
            <w:pPr>
              <w:pStyle w:val="02Tabletext"/>
              <w:jc w:val="center"/>
              <w:rPr>
                <w:shd w:val="clear" w:color="auto" w:fill="FBFBFB"/>
              </w:rPr>
            </w:pPr>
            <w:r w:rsidRPr="00006DCE">
              <w:t>-</w:t>
            </w:r>
          </w:p>
        </w:tc>
      </w:tr>
      <w:tr w:rsidR="00E83435" w:rsidRPr="002836EB" w14:paraId="553B5B94" w14:textId="77777777" w:rsidTr="00A60C83">
        <w:tc>
          <w:tcPr>
            <w:tcW w:w="710" w:type="dxa"/>
          </w:tcPr>
          <w:p w14:paraId="5FF1BF68" w14:textId="4A52F216" w:rsidR="00E83435" w:rsidRPr="002836EB" w:rsidRDefault="00E83435" w:rsidP="00E83435">
            <w:pPr>
              <w:pStyle w:val="02Tabletext"/>
            </w:pPr>
            <w:r w:rsidRPr="002836EB">
              <w:t>15320</w:t>
            </w:r>
          </w:p>
        </w:tc>
        <w:tc>
          <w:tcPr>
            <w:tcW w:w="3882" w:type="dxa"/>
          </w:tcPr>
          <w:p w14:paraId="5848DF22" w14:textId="62063E43" w:rsidR="00E83435" w:rsidRPr="002836EB" w:rsidRDefault="00E83435" w:rsidP="00E83435">
            <w:pPr>
              <w:pStyle w:val="02Tabletext"/>
            </w:pPr>
            <w:r w:rsidRPr="002836EB">
              <w:t>Combined intrauterine and intravaginal treatment using radioactive sealed sources having a half-life greater than 115 days using automatic afterloading techniques</w:t>
            </w:r>
            <w:r>
              <w:t>.</w:t>
            </w:r>
            <w:r w:rsidRPr="002836EB">
              <w:t xml:space="preserve"> (Anaes.)</w:t>
            </w:r>
          </w:p>
        </w:tc>
        <w:tc>
          <w:tcPr>
            <w:tcW w:w="1229" w:type="dxa"/>
          </w:tcPr>
          <w:p w14:paraId="7EA4F9D5" w14:textId="183BB4C1" w:rsidR="00E83435" w:rsidRPr="002836EB" w:rsidRDefault="00E83435" w:rsidP="00E83435">
            <w:pPr>
              <w:pStyle w:val="02Tabletext"/>
              <w:jc w:val="center"/>
            </w:pPr>
            <w:r w:rsidRPr="002836EB">
              <w:t xml:space="preserve"> $406.05 </w:t>
            </w:r>
          </w:p>
        </w:tc>
        <w:tc>
          <w:tcPr>
            <w:tcW w:w="1005" w:type="dxa"/>
          </w:tcPr>
          <w:p w14:paraId="1A116275" w14:textId="0B52C2FF" w:rsidR="00E83435" w:rsidRPr="002836EB" w:rsidRDefault="00E83435" w:rsidP="00E83435">
            <w:pPr>
              <w:pStyle w:val="02Tabletext"/>
              <w:jc w:val="center"/>
            </w:pPr>
            <w:r w:rsidRPr="00006DCE">
              <w:t>0</w:t>
            </w:r>
          </w:p>
        </w:tc>
        <w:tc>
          <w:tcPr>
            <w:tcW w:w="1082" w:type="dxa"/>
          </w:tcPr>
          <w:p w14:paraId="27FAE292" w14:textId="4607C3A3" w:rsidR="00E83435" w:rsidRPr="002836EB" w:rsidRDefault="00E83435" w:rsidP="00E83435">
            <w:pPr>
              <w:pStyle w:val="02Tabletext"/>
              <w:jc w:val="center"/>
            </w:pPr>
            <w:r w:rsidRPr="00006DCE">
              <w:t>$0</w:t>
            </w:r>
          </w:p>
        </w:tc>
        <w:tc>
          <w:tcPr>
            <w:tcW w:w="1174" w:type="dxa"/>
          </w:tcPr>
          <w:p w14:paraId="5ED2BA21" w14:textId="3712BB1E" w:rsidR="00E83435" w:rsidRPr="002836EB" w:rsidRDefault="00E83435" w:rsidP="00E83435">
            <w:pPr>
              <w:pStyle w:val="02Tabletext"/>
              <w:jc w:val="center"/>
              <w:rPr>
                <w:shd w:val="clear" w:color="auto" w:fill="FBFBFB"/>
              </w:rPr>
            </w:pPr>
            <w:r w:rsidRPr="00006DCE">
              <w:t>-</w:t>
            </w:r>
          </w:p>
        </w:tc>
      </w:tr>
      <w:tr w:rsidR="00E83435" w:rsidRPr="002836EB" w14:paraId="61F3DFCA" w14:textId="77777777" w:rsidTr="00A60C83">
        <w:tc>
          <w:tcPr>
            <w:tcW w:w="710" w:type="dxa"/>
          </w:tcPr>
          <w:p w14:paraId="770A1C69" w14:textId="056C8093" w:rsidR="00E83435" w:rsidRPr="002836EB" w:rsidRDefault="00E83435" w:rsidP="00E83435">
            <w:pPr>
              <w:pStyle w:val="02Tabletext"/>
            </w:pPr>
            <w:r w:rsidRPr="002836EB">
              <w:t>15323</w:t>
            </w:r>
          </w:p>
        </w:tc>
        <w:tc>
          <w:tcPr>
            <w:tcW w:w="3882" w:type="dxa"/>
          </w:tcPr>
          <w:p w14:paraId="59F0E3ED" w14:textId="04BD1C48" w:rsidR="00E83435" w:rsidRPr="002836EB" w:rsidRDefault="00E83435" w:rsidP="00E83435">
            <w:pPr>
              <w:pStyle w:val="02Tabletext"/>
            </w:pPr>
            <w:r w:rsidRPr="002836EB">
              <w:t>Combined intrauterine and intravaginal treatment using radioactive sealed sources having a half-life of less than 115 days including iodine, gold, iridium, or tantalum using manual afterloading techniques</w:t>
            </w:r>
            <w:r>
              <w:t>.</w:t>
            </w:r>
            <w:r w:rsidRPr="002836EB">
              <w:t xml:space="preserve"> (Anaes.)</w:t>
            </w:r>
          </w:p>
        </w:tc>
        <w:tc>
          <w:tcPr>
            <w:tcW w:w="1229" w:type="dxa"/>
          </w:tcPr>
          <w:p w14:paraId="0964D7A3" w14:textId="0B7EC8D2" w:rsidR="00E83435" w:rsidRPr="002836EB" w:rsidRDefault="00E83435" w:rsidP="00E83435">
            <w:pPr>
              <w:pStyle w:val="02Tabletext"/>
              <w:jc w:val="center"/>
            </w:pPr>
            <w:r w:rsidRPr="002836EB">
              <w:t xml:space="preserve"> $722.00 </w:t>
            </w:r>
          </w:p>
        </w:tc>
        <w:tc>
          <w:tcPr>
            <w:tcW w:w="1005" w:type="dxa"/>
          </w:tcPr>
          <w:p w14:paraId="7CB14833" w14:textId="16253F0E" w:rsidR="00E83435" w:rsidRPr="002836EB" w:rsidRDefault="00E83435" w:rsidP="00E83435">
            <w:pPr>
              <w:pStyle w:val="02Tabletext"/>
              <w:jc w:val="center"/>
            </w:pPr>
            <w:r w:rsidRPr="00006DCE">
              <w:t>0</w:t>
            </w:r>
          </w:p>
        </w:tc>
        <w:tc>
          <w:tcPr>
            <w:tcW w:w="1082" w:type="dxa"/>
          </w:tcPr>
          <w:p w14:paraId="382BD160" w14:textId="0926AF79" w:rsidR="00E83435" w:rsidRPr="002836EB" w:rsidRDefault="00E83435" w:rsidP="00E83435">
            <w:pPr>
              <w:pStyle w:val="02Tabletext"/>
              <w:jc w:val="center"/>
            </w:pPr>
            <w:r w:rsidRPr="00006DCE">
              <w:t>$0</w:t>
            </w:r>
          </w:p>
        </w:tc>
        <w:tc>
          <w:tcPr>
            <w:tcW w:w="1174" w:type="dxa"/>
          </w:tcPr>
          <w:p w14:paraId="040C2BAB" w14:textId="5B69BA80" w:rsidR="00E83435" w:rsidRPr="002836EB" w:rsidRDefault="00E83435" w:rsidP="00E83435">
            <w:pPr>
              <w:pStyle w:val="02Tabletext"/>
              <w:jc w:val="center"/>
              <w:rPr>
                <w:shd w:val="clear" w:color="auto" w:fill="FBFBFB"/>
              </w:rPr>
            </w:pPr>
            <w:r w:rsidRPr="00006DCE">
              <w:t>-</w:t>
            </w:r>
          </w:p>
        </w:tc>
      </w:tr>
      <w:tr w:rsidR="00E83435" w:rsidRPr="002836EB" w14:paraId="2B0E1FAE" w14:textId="77777777" w:rsidTr="00A60C83">
        <w:tc>
          <w:tcPr>
            <w:tcW w:w="710" w:type="dxa"/>
          </w:tcPr>
          <w:p w14:paraId="21360C9F" w14:textId="1272C6A4" w:rsidR="00E83435" w:rsidRPr="002836EB" w:rsidRDefault="00E83435" w:rsidP="00E83435">
            <w:pPr>
              <w:pStyle w:val="02Tabletext"/>
            </w:pPr>
            <w:r w:rsidRPr="002836EB">
              <w:t>15324</w:t>
            </w:r>
          </w:p>
        </w:tc>
        <w:tc>
          <w:tcPr>
            <w:tcW w:w="3882" w:type="dxa"/>
          </w:tcPr>
          <w:p w14:paraId="318EF632" w14:textId="55679101" w:rsidR="00E83435" w:rsidRPr="002836EB" w:rsidRDefault="00E83435" w:rsidP="00E83435">
            <w:pPr>
              <w:pStyle w:val="02Tabletext"/>
            </w:pPr>
            <w:r w:rsidRPr="002836EB">
              <w:t xml:space="preserve">Combined intrauterine and intravaginal treatment using radioactive sealed sources having a half-life of less than 115 days including iodine, gold, iridium, or tantalum </w:t>
            </w:r>
            <w:r w:rsidRPr="002836EB">
              <w:lastRenderedPageBreak/>
              <w:t>using automatic afterloading techniques</w:t>
            </w:r>
            <w:r>
              <w:t>.</w:t>
            </w:r>
            <w:r w:rsidRPr="002836EB">
              <w:t xml:space="preserve"> (Anaes.)</w:t>
            </w:r>
          </w:p>
        </w:tc>
        <w:tc>
          <w:tcPr>
            <w:tcW w:w="1229" w:type="dxa"/>
          </w:tcPr>
          <w:p w14:paraId="5487AC1D" w14:textId="0A7E02B4" w:rsidR="00E83435" w:rsidRPr="002836EB" w:rsidRDefault="00E83435" w:rsidP="00E83435">
            <w:pPr>
              <w:pStyle w:val="02Tabletext"/>
              <w:jc w:val="center"/>
            </w:pPr>
            <w:r w:rsidRPr="002836EB">
              <w:lastRenderedPageBreak/>
              <w:t xml:space="preserve"> $722.00 </w:t>
            </w:r>
          </w:p>
        </w:tc>
        <w:tc>
          <w:tcPr>
            <w:tcW w:w="1005" w:type="dxa"/>
          </w:tcPr>
          <w:p w14:paraId="73E2A71A" w14:textId="52362249" w:rsidR="00E83435" w:rsidRPr="002836EB" w:rsidRDefault="00E83435" w:rsidP="00E83435">
            <w:pPr>
              <w:pStyle w:val="02Tabletext"/>
              <w:jc w:val="center"/>
            </w:pPr>
            <w:r w:rsidRPr="00006DCE">
              <w:t>257</w:t>
            </w:r>
          </w:p>
        </w:tc>
        <w:tc>
          <w:tcPr>
            <w:tcW w:w="1082" w:type="dxa"/>
          </w:tcPr>
          <w:p w14:paraId="59319717" w14:textId="5B83EF89" w:rsidR="00E83435" w:rsidRPr="002836EB" w:rsidRDefault="00E83435" w:rsidP="00E83435">
            <w:pPr>
              <w:pStyle w:val="02Tabletext"/>
              <w:jc w:val="center"/>
            </w:pPr>
            <w:r w:rsidRPr="00006DCE">
              <w:t>$166,960</w:t>
            </w:r>
          </w:p>
        </w:tc>
        <w:tc>
          <w:tcPr>
            <w:tcW w:w="1174" w:type="dxa"/>
          </w:tcPr>
          <w:p w14:paraId="5E7E36EE" w14:textId="011E0609" w:rsidR="00E83435" w:rsidRPr="002836EB" w:rsidRDefault="00E83435" w:rsidP="00E83435">
            <w:pPr>
              <w:pStyle w:val="02Tabletext"/>
              <w:jc w:val="center"/>
              <w:rPr>
                <w:shd w:val="clear" w:color="auto" w:fill="FBFBFB"/>
              </w:rPr>
            </w:pPr>
            <w:r w:rsidRPr="00006DCE">
              <w:t>2.9%</w:t>
            </w:r>
          </w:p>
        </w:tc>
      </w:tr>
      <w:tr w:rsidR="00E83435" w:rsidRPr="002836EB" w14:paraId="30468717" w14:textId="77777777" w:rsidTr="00A60C83">
        <w:tc>
          <w:tcPr>
            <w:tcW w:w="710" w:type="dxa"/>
          </w:tcPr>
          <w:p w14:paraId="03532D66" w14:textId="459AB9F3" w:rsidR="00E83435" w:rsidRPr="002836EB" w:rsidRDefault="00E83435" w:rsidP="00E83435">
            <w:pPr>
              <w:pStyle w:val="02Tabletext"/>
            </w:pPr>
            <w:r w:rsidRPr="002836EB">
              <w:t>15327</w:t>
            </w:r>
          </w:p>
        </w:tc>
        <w:tc>
          <w:tcPr>
            <w:tcW w:w="3882" w:type="dxa"/>
          </w:tcPr>
          <w:p w14:paraId="29014593" w14:textId="34328DFD" w:rsidR="00E83435" w:rsidRPr="002836EB" w:rsidRDefault="00E83435" w:rsidP="00E83435">
            <w:pPr>
              <w:pStyle w:val="02Tabletext"/>
            </w:pPr>
            <w:r w:rsidRPr="002836EB">
              <w:t>Implantation of a sealed radioactive source (having a half-life of less than 115 days including iodine, gold, iridium or tantalum) to a region, under general anaesthesia, or epidural or spinal (intrathecal) nerve block, requiring surgical exposure and using manual afterloading techniques</w:t>
            </w:r>
            <w:r>
              <w:t>.</w:t>
            </w:r>
            <w:r w:rsidRPr="002836EB">
              <w:t xml:space="preserve"> (Anaes.)</w:t>
            </w:r>
          </w:p>
        </w:tc>
        <w:tc>
          <w:tcPr>
            <w:tcW w:w="1229" w:type="dxa"/>
          </w:tcPr>
          <w:p w14:paraId="30D6CFA1" w14:textId="59DEC521" w:rsidR="00E83435" w:rsidRPr="002836EB" w:rsidRDefault="00E83435" w:rsidP="00E83435">
            <w:pPr>
              <w:pStyle w:val="02Tabletext"/>
              <w:jc w:val="center"/>
            </w:pPr>
            <w:r w:rsidRPr="002836EB">
              <w:t xml:space="preserve"> $785.45 </w:t>
            </w:r>
          </w:p>
        </w:tc>
        <w:tc>
          <w:tcPr>
            <w:tcW w:w="1005" w:type="dxa"/>
          </w:tcPr>
          <w:p w14:paraId="3BE818F3" w14:textId="0A9C3C99" w:rsidR="00E83435" w:rsidRPr="002836EB" w:rsidRDefault="00E83435" w:rsidP="00E83435">
            <w:pPr>
              <w:pStyle w:val="02Tabletext"/>
              <w:jc w:val="center"/>
            </w:pPr>
            <w:r w:rsidRPr="00006DCE">
              <w:t>0</w:t>
            </w:r>
          </w:p>
        </w:tc>
        <w:tc>
          <w:tcPr>
            <w:tcW w:w="1082" w:type="dxa"/>
          </w:tcPr>
          <w:p w14:paraId="5211E45D" w14:textId="3164EF8E" w:rsidR="00E83435" w:rsidRPr="002836EB" w:rsidRDefault="00E83435" w:rsidP="00E83435">
            <w:pPr>
              <w:pStyle w:val="02Tabletext"/>
              <w:jc w:val="center"/>
            </w:pPr>
            <w:r w:rsidRPr="00006DCE">
              <w:t>$0</w:t>
            </w:r>
          </w:p>
        </w:tc>
        <w:tc>
          <w:tcPr>
            <w:tcW w:w="1174" w:type="dxa"/>
          </w:tcPr>
          <w:p w14:paraId="1372A592" w14:textId="223BEC61" w:rsidR="00E83435" w:rsidRPr="002836EB" w:rsidRDefault="00E83435" w:rsidP="00E83435">
            <w:pPr>
              <w:pStyle w:val="02Tabletext"/>
              <w:jc w:val="center"/>
              <w:rPr>
                <w:shd w:val="clear" w:color="auto" w:fill="FBFBFB"/>
              </w:rPr>
            </w:pPr>
            <w:r w:rsidRPr="00006DCE">
              <w:t>-</w:t>
            </w:r>
          </w:p>
        </w:tc>
      </w:tr>
      <w:tr w:rsidR="00E83435" w:rsidRPr="002836EB" w14:paraId="43A06596" w14:textId="77777777" w:rsidTr="00A60C83">
        <w:tc>
          <w:tcPr>
            <w:tcW w:w="710" w:type="dxa"/>
          </w:tcPr>
          <w:p w14:paraId="5422B19E" w14:textId="3396BE3C" w:rsidR="00E83435" w:rsidRPr="002836EB" w:rsidRDefault="00E83435" w:rsidP="00E83435">
            <w:pPr>
              <w:pStyle w:val="02Tabletext"/>
            </w:pPr>
            <w:r w:rsidRPr="002836EB">
              <w:t>15328</w:t>
            </w:r>
          </w:p>
        </w:tc>
        <w:tc>
          <w:tcPr>
            <w:tcW w:w="3882" w:type="dxa"/>
          </w:tcPr>
          <w:p w14:paraId="5204E5C5" w14:textId="03C2BE15" w:rsidR="00E83435" w:rsidRPr="002836EB" w:rsidRDefault="00E83435" w:rsidP="00E83435">
            <w:pPr>
              <w:pStyle w:val="02Tabletext"/>
            </w:pPr>
            <w:r w:rsidRPr="002836EB">
              <w:t>Implantation of a sealed radioactive source (having a half-life of less than 115 days including iodine, gold, iridium or tantalum) to a region, under general anaesthesia, or epidural or spinal (intrathecal) nerve block, requiring surgical exposure and using automatic afterloading techniques</w:t>
            </w:r>
            <w:r>
              <w:t>.</w:t>
            </w:r>
            <w:r w:rsidRPr="002836EB">
              <w:t xml:space="preserve"> (Anaes.)</w:t>
            </w:r>
          </w:p>
        </w:tc>
        <w:tc>
          <w:tcPr>
            <w:tcW w:w="1229" w:type="dxa"/>
          </w:tcPr>
          <w:p w14:paraId="20EF9B92" w14:textId="28A4B64B" w:rsidR="00E83435" w:rsidRPr="002836EB" w:rsidRDefault="00E83435" w:rsidP="00E83435">
            <w:pPr>
              <w:pStyle w:val="02Tabletext"/>
              <w:jc w:val="center"/>
            </w:pPr>
            <w:r w:rsidRPr="002836EB">
              <w:t xml:space="preserve"> $785.45 </w:t>
            </w:r>
          </w:p>
        </w:tc>
        <w:tc>
          <w:tcPr>
            <w:tcW w:w="1005" w:type="dxa"/>
          </w:tcPr>
          <w:p w14:paraId="23300430" w14:textId="340BF5D2" w:rsidR="00E83435" w:rsidRPr="002836EB" w:rsidRDefault="00E83435" w:rsidP="00E83435">
            <w:pPr>
              <w:pStyle w:val="02Tabletext"/>
              <w:jc w:val="center"/>
            </w:pPr>
            <w:r w:rsidRPr="00006DCE">
              <w:t>89</w:t>
            </w:r>
          </w:p>
        </w:tc>
        <w:tc>
          <w:tcPr>
            <w:tcW w:w="1082" w:type="dxa"/>
          </w:tcPr>
          <w:p w14:paraId="041D583E" w14:textId="0B5F61DF" w:rsidR="00E83435" w:rsidRPr="002836EB" w:rsidRDefault="00E83435" w:rsidP="00E83435">
            <w:pPr>
              <w:pStyle w:val="02Tabletext"/>
              <w:jc w:val="center"/>
            </w:pPr>
            <w:r w:rsidRPr="00006DCE">
              <w:t>$62,438</w:t>
            </w:r>
          </w:p>
        </w:tc>
        <w:tc>
          <w:tcPr>
            <w:tcW w:w="1174" w:type="dxa"/>
          </w:tcPr>
          <w:p w14:paraId="74CEFBD7" w14:textId="0902F109" w:rsidR="00E83435" w:rsidRPr="002836EB" w:rsidRDefault="00E83435" w:rsidP="00E83435">
            <w:pPr>
              <w:pStyle w:val="02Tabletext"/>
              <w:jc w:val="center"/>
              <w:rPr>
                <w:shd w:val="clear" w:color="auto" w:fill="FBFBFB"/>
              </w:rPr>
            </w:pPr>
            <w:r w:rsidRPr="00006DCE">
              <w:t>-18.4%</w:t>
            </w:r>
          </w:p>
        </w:tc>
      </w:tr>
      <w:tr w:rsidR="00E83435" w:rsidRPr="002836EB" w14:paraId="78F0EF19" w14:textId="77777777" w:rsidTr="00A60C83">
        <w:tc>
          <w:tcPr>
            <w:tcW w:w="710" w:type="dxa"/>
          </w:tcPr>
          <w:p w14:paraId="13041273" w14:textId="0F91089A" w:rsidR="00E83435" w:rsidRPr="002836EB" w:rsidRDefault="00E83435" w:rsidP="00E83435">
            <w:pPr>
              <w:pStyle w:val="02Tabletext"/>
            </w:pPr>
            <w:r w:rsidRPr="002836EB">
              <w:t>15331</w:t>
            </w:r>
          </w:p>
        </w:tc>
        <w:tc>
          <w:tcPr>
            <w:tcW w:w="3882" w:type="dxa"/>
          </w:tcPr>
          <w:p w14:paraId="1E447E20" w14:textId="5A8A950C" w:rsidR="00E83435" w:rsidRPr="002836EB" w:rsidRDefault="00E83435" w:rsidP="00E83435">
            <w:pPr>
              <w:pStyle w:val="02Tabletext"/>
            </w:pPr>
            <w:r w:rsidRPr="002836EB">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afterloading techniques</w:t>
            </w:r>
            <w:r>
              <w:t>.</w:t>
            </w:r>
            <w:r w:rsidRPr="002836EB">
              <w:t xml:space="preserve"> (Anaes.)</w:t>
            </w:r>
          </w:p>
        </w:tc>
        <w:tc>
          <w:tcPr>
            <w:tcW w:w="1229" w:type="dxa"/>
          </w:tcPr>
          <w:p w14:paraId="44A75BE1" w14:textId="6C3369F6" w:rsidR="00E83435" w:rsidRPr="002836EB" w:rsidRDefault="00E83435" w:rsidP="00E83435">
            <w:pPr>
              <w:pStyle w:val="02Tabletext"/>
              <w:jc w:val="center"/>
            </w:pPr>
            <w:r w:rsidRPr="002836EB">
              <w:t xml:space="preserve"> $745.80 </w:t>
            </w:r>
          </w:p>
        </w:tc>
        <w:tc>
          <w:tcPr>
            <w:tcW w:w="1005" w:type="dxa"/>
          </w:tcPr>
          <w:p w14:paraId="637CA0CD" w14:textId="1586EC32" w:rsidR="00E83435" w:rsidRPr="002836EB" w:rsidRDefault="00E83435" w:rsidP="00E83435">
            <w:pPr>
              <w:pStyle w:val="02Tabletext"/>
              <w:jc w:val="center"/>
            </w:pPr>
            <w:r w:rsidRPr="00006DCE">
              <w:t>0</w:t>
            </w:r>
          </w:p>
        </w:tc>
        <w:tc>
          <w:tcPr>
            <w:tcW w:w="1082" w:type="dxa"/>
          </w:tcPr>
          <w:p w14:paraId="3F31BF0D" w14:textId="0AD21CE3" w:rsidR="00E83435" w:rsidRPr="002836EB" w:rsidRDefault="00E83435" w:rsidP="00E83435">
            <w:pPr>
              <w:pStyle w:val="02Tabletext"/>
              <w:jc w:val="center"/>
            </w:pPr>
            <w:r w:rsidRPr="00006DCE">
              <w:t>$0</w:t>
            </w:r>
          </w:p>
        </w:tc>
        <w:tc>
          <w:tcPr>
            <w:tcW w:w="1174" w:type="dxa"/>
          </w:tcPr>
          <w:p w14:paraId="727B22BF" w14:textId="6D89D41D" w:rsidR="00E83435" w:rsidRPr="002836EB" w:rsidRDefault="00E83435" w:rsidP="00E83435">
            <w:pPr>
              <w:pStyle w:val="02Tabletext"/>
              <w:jc w:val="center"/>
              <w:rPr>
                <w:shd w:val="clear" w:color="auto" w:fill="FBFBFB"/>
              </w:rPr>
            </w:pPr>
            <w:r w:rsidRPr="00006DCE">
              <w:t>-</w:t>
            </w:r>
          </w:p>
        </w:tc>
      </w:tr>
      <w:tr w:rsidR="00E83435" w:rsidRPr="002836EB" w14:paraId="75856837" w14:textId="77777777" w:rsidTr="00A60C83">
        <w:tc>
          <w:tcPr>
            <w:tcW w:w="710" w:type="dxa"/>
          </w:tcPr>
          <w:p w14:paraId="0D66B43A" w14:textId="3A7B9A5A" w:rsidR="00E83435" w:rsidRPr="002836EB" w:rsidRDefault="00E83435" w:rsidP="00E83435">
            <w:pPr>
              <w:pStyle w:val="02Tabletext"/>
            </w:pPr>
            <w:r w:rsidRPr="002836EB">
              <w:t>15332</w:t>
            </w:r>
          </w:p>
        </w:tc>
        <w:tc>
          <w:tcPr>
            <w:tcW w:w="3882" w:type="dxa"/>
          </w:tcPr>
          <w:p w14:paraId="381CD8E2" w14:textId="1641F335" w:rsidR="00E83435" w:rsidRPr="002836EB" w:rsidRDefault="00E83435" w:rsidP="00E83435">
            <w:pPr>
              <w:pStyle w:val="02Tabletext"/>
            </w:pPr>
            <w:r w:rsidRPr="002836EB">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afterloading techniques</w:t>
            </w:r>
            <w:r>
              <w:t>.</w:t>
            </w:r>
            <w:r w:rsidRPr="002836EB">
              <w:t xml:space="preserve"> (Anaes.)</w:t>
            </w:r>
          </w:p>
        </w:tc>
        <w:tc>
          <w:tcPr>
            <w:tcW w:w="1229" w:type="dxa"/>
          </w:tcPr>
          <w:p w14:paraId="45B91857" w14:textId="134051EE" w:rsidR="00E83435" w:rsidRPr="002836EB" w:rsidRDefault="00E83435" w:rsidP="00E83435">
            <w:pPr>
              <w:pStyle w:val="02Tabletext"/>
              <w:jc w:val="center"/>
            </w:pPr>
            <w:r w:rsidRPr="002836EB">
              <w:t xml:space="preserve"> $745.80 </w:t>
            </w:r>
          </w:p>
        </w:tc>
        <w:tc>
          <w:tcPr>
            <w:tcW w:w="1005" w:type="dxa"/>
          </w:tcPr>
          <w:p w14:paraId="68E78AF5" w14:textId="71F6D3C4" w:rsidR="00E83435" w:rsidRPr="002836EB" w:rsidRDefault="00E83435" w:rsidP="00E83435">
            <w:pPr>
              <w:pStyle w:val="02Tabletext"/>
              <w:jc w:val="center"/>
            </w:pPr>
            <w:r w:rsidRPr="00006DCE">
              <w:t>297</w:t>
            </w:r>
          </w:p>
        </w:tc>
        <w:tc>
          <w:tcPr>
            <w:tcW w:w="1082" w:type="dxa"/>
          </w:tcPr>
          <w:p w14:paraId="15CAD28A" w14:textId="64F6F7E9" w:rsidR="00E83435" w:rsidRPr="002836EB" w:rsidRDefault="00E83435" w:rsidP="00E83435">
            <w:pPr>
              <w:pStyle w:val="02Tabletext"/>
              <w:jc w:val="center"/>
            </w:pPr>
            <w:r w:rsidRPr="00006DCE">
              <w:t>$180,221</w:t>
            </w:r>
          </w:p>
        </w:tc>
        <w:tc>
          <w:tcPr>
            <w:tcW w:w="1174" w:type="dxa"/>
          </w:tcPr>
          <w:p w14:paraId="20FBC370" w14:textId="75FFA7C7" w:rsidR="00E83435" w:rsidRPr="002836EB" w:rsidRDefault="00E83435" w:rsidP="00E83435">
            <w:pPr>
              <w:pStyle w:val="02Tabletext"/>
              <w:jc w:val="center"/>
              <w:rPr>
                <w:shd w:val="clear" w:color="auto" w:fill="FBFBFB"/>
              </w:rPr>
            </w:pPr>
            <w:r w:rsidRPr="00006DCE">
              <w:t>-16.3%</w:t>
            </w:r>
          </w:p>
        </w:tc>
      </w:tr>
      <w:tr w:rsidR="00E83435" w:rsidRPr="002836EB" w14:paraId="35F96DB5" w14:textId="77777777" w:rsidTr="00A60C83">
        <w:tc>
          <w:tcPr>
            <w:tcW w:w="710" w:type="dxa"/>
          </w:tcPr>
          <w:p w14:paraId="2D9D234F" w14:textId="6EE2271E" w:rsidR="00E83435" w:rsidRPr="002836EB" w:rsidRDefault="00E83435" w:rsidP="00E83435">
            <w:pPr>
              <w:pStyle w:val="02Tabletext"/>
            </w:pPr>
            <w:r w:rsidRPr="002836EB">
              <w:t>15335</w:t>
            </w:r>
          </w:p>
        </w:tc>
        <w:tc>
          <w:tcPr>
            <w:tcW w:w="3882" w:type="dxa"/>
          </w:tcPr>
          <w:p w14:paraId="00605902" w14:textId="20C84D2A" w:rsidR="00E83435" w:rsidRPr="002836EB" w:rsidRDefault="00E83435" w:rsidP="00E83435">
            <w:pPr>
              <w:pStyle w:val="02Tabletext"/>
            </w:pPr>
            <w:r w:rsidRPr="002836EB">
              <w:t>Implantation of a sealed radioactive source (having a half-life of less than 115 days including iodine, gold, iridium or tantalum) to a site where the volume treated involves only a single plane but does not require surgical exposure and using manual afterloading techniques</w:t>
            </w:r>
            <w:r>
              <w:t>.</w:t>
            </w:r>
            <w:r w:rsidRPr="002836EB">
              <w:t xml:space="preserve"> (Anaes.)</w:t>
            </w:r>
          </w:p>
        </w:tc>
        <w:tc>
          <w:tcPr>
            <w:tcW w:w="1229" w:type="dxa"/>
          </w:tcPr>
          <w:p w14:paraId="0B4343E6" w14:textId="5F1FE091" w:rsidR="00E83435" w:rsidRPr="002836EB" w:rsidRDefault="00E83435" w:rsidP="00E83435">
            <w:pPr>
              <w:pStyle w:val="02Tabletext"/>
              <w:jc w:val="center"/>
            </w:pPr>
            <w:r w:rsidRPr="002836EB">
              <w:t xml:space="preserve"> $676.80 </w:t>
            </w:r>
          </w:p>
        </w:tc>
        <w:tc>
          <w:tcPr>
            <w:tcW w:w="1005" w:type="dxa"/>
          </w:tcPr>
          <w:p w14:paraId="2E907B71" w14:textId="4E4D2C02" w:rsidR="00E83435" w:rsidRPr="002836EB" w:rsidRDefault="00E83435" w:rsidP="00E83435">
            <w:pPr>
              <w:pStyle w:val="02Tabletext"/>
              <w:jc w:val="center"/>
            </w:pPr>
            <w:r w:rsidRPr="00006DCE">
              <w:t>296</w:t>
            </w:r>
          </w:p>
        </w:tc>
        <w:tc>
          <w:tcPr>
            <w:tcW w:w="1082" w:type="dxa"/>
          </w:tcPr>
          <w:p w14:paraId="77DC5855" w14:textId="2C89905D" w:rsidR="00E83435" w:rsidRPr="002836EB" w:rsidRDefault="00E83435" w:rsidP="00E83435">
            <w:pPr>
              <w:pStyle w:val="02Tabletext"/>
              <w:jc w:val="center"/>
            </w:pPr>
            <w:r w:rsidRPr="00006DCE">
              <w:t>$176,827</w:t>
            </w:r>
          </w:p>
        </w:tc>
        <w:tc>
          <w:tcPr>
            <w:tcW w:w="1174" w:type="dxa"/>
          </w:tcPr>
          <w:p w14:paraId="5B35B1F8" w14:textId="63757E67" w:rsidR="00E83435" w:rsidRPr="002836EB" w:rsidRDefault="00E83435" w:rsidP="00E83435">
            <w:pPr>
              <w:pStyle w:val="02Tabletext"/>
              <w:jc w:val="center"/>
              <w:rPr>
                <w:shd w:val="clear" w:color="auto" w:fill="FBFBFB"/>
              </w:rPr>
            </w:pPr>
            <w:r w:rsidRPr="00006DCE">
              <w:t>-</w:t>
            </w:r>
          </w:p>
        </w:tc>
      </w:tr>
      <w:tr w:rsidR="00E83435" w:rsidRPr="002836EB" w14:paraId="0F366153" w14:textId="77777777" w:rsidTr="00A60C83">
        <w:tc>
          <w:tcPr>
            <w:tcW w:w="710" w:type="dxa"/>
          </w:tcPr>
          <w:p w14:paraId="5FB6316E" w14:textId="27574739" w:rsidR="00E83435" w:rsidRPr="002836EB" w:rsidRDefault="00E83435" w:rsidP="00E83435">
            <w:pPr>
              <w:pStyle w:val="02Tabletext"/>
            </w:pPr>
            <w:r w:rsidRPr="002836EB">
              <w:t>15336</w:t>
            </w:r>
          </w:p>
        </w:tc>
        <w:tc>
          <w:tcPr>
            <w:tcW w:w="3882" w:type="dxa"/>
          </w:tcPr>
          <w:p w14:paraId="6B932A71" w14:textId="7A7258CF" w:rsidR="00E83435" w:rsidRPr="002836EB" w:rsidRDefault="00E83435" w:rsidP="00E83435">
            <w:pPr>
              <w:pStyle w:val="02Tabletext"/>
            </w:pPr>
            <w:r w:rsidRPr="002836EB">
              <w:t>Implantation of a sealed radioactive source (having a half-life of less than 115 days including iodine, gold, iridium or tantalum) to a site where the volume treated involves only a single plane but does not require surgical exposure and using automatic afterloading techniques</w:t>
            </w:r>
            <w:r>
              <w:t>.</w:t>
            </w:r>
            <w:r w:rsidRPr="002836EB">
              <w:t xml:space="preserve"> (Anaes.)</w:t>
            </w:r>
          </w:p>
        </w:tc>
        <w:tc>
          <w:tcPr>
            <w:tcW w:w="1229" w:type="dxa"/>
          </w:tcPr>
          <w:p w14:paraId="07D016F5" w14:textId="57231633" w:rsidR="00E83435" w:rsidRPr="002836EB" w:rsidRDefault="00E83435" w:rsidP="00E83435">
            <w:pPr>
              <w:pStyle w:val="02Tabletext"/>
              <w:jc w:val="center"/>
            </w:pPr>
            <w:r w:rsidRPr="002836EB">
              <w:t xml:space="preserve"> $676.80 </w:t>
            </w:r>
          </w:p>
        </w:tc>
        <w:tc>
          <w:tcPr>
            <w:tcW w:w="1005" w:type="dxa"/>
          </w:tcPr>
          <w:p w14:paraId="550D69AD" w14:textId="00D35D99" w:rsidR="00E83435" w:rsidRPr="002836EB" w:rsidRDefault="00E83435" w:rsidP="00E83435">
            <w:pPr>
              <w:pStyle w:val="02Tabletext"/>
              <w:jc w:val="center"/>
            </w:pPr>
            <w:r w:rsidRPr="00006DCE">
              <w:t>51</w:t>
            </w:r>
          </w:p>
        </w:tc>
        <w:tc>
          <w:tcPr>
            <w:tcW w:w="1082" w:type="dxa"/>
          </w:tcPr>
          <w:p w14:paraId="7E9C0648" w14:textId="5310EF50" w:rsidR="00E83435" w:rsidRPr="002836EB" w:rsidRDefault="00E83435" w:rsidP="00E83435">
            <w:pPr>
              <w:pStyle w:val="02Tabletext"/>
              <w:jc w:val="center"/>
            </w:pPr>
            <w:r w:rsidRPr="00006DCE">
              <w:t>$29,600</w:t>
            </w:r>
          </w:p>
        </w:tc>
        <w:tc>
          <w:tcPr>
            <w:tcW w:w="1174" w:type="dxa"/>
          </w:tcPr>
          <w:p w14:paraId="42AA02B3" w14:textId="30C585E8" w:rsidR="00E83435" w:rsidRPr="002836EB" w:rsidRDefault="00E83435" w:rsidP="00E83435">
            <w:pPr>
              <w:pStyle w:val="02Tabletext"/>
              <w:jc w:val="center"/>
              <w:rPr>
                <w:shd w:val="clear" w:color="auto" w:fill="FBFBFB"/>
              </w:rPr>
            </w:pPr>
            <w:r w:rsidRPr="00006DCE">
              <w:t>-29.3%</w:t>
            </w:r>
          </w:p>
        </w:tc>
      </w:tr>
      <w:tr w:rsidR="00E83435" w:rsidRPr="002836EB" w14:paraId="3B95C882" w14:textId="77777777" w:rsidTr="00A60C83">
        <w:tc>
          <w:tcPr>
            <w:tcW w:w="710" w:type="dxa"/>
          </w:tcPr>
          <w:p w14:paraId="5AA1B534" w14:textId="32761642" w:rsidR="00E83435" w:rsidRPr="002836EB" w:rsidRDefault="00E83435" w:rsidP="00E83435">
            <w:pPr>
              <w:pStyle w:val="02Tabletext"/>
            </w:pPr>
            <w:r w:rsidRPr="002836EB">
              <w:t>15338</w:t>
            </w:r>
          </w:p>
        </w:tc>
        <w:tc>
          <w:tcPr>
            <w:tcW w:w="3882" w:type="dxa"/>
          </w:tcPr>
          <w:p w14:paraId="08B167D5" w14:textId="7CC89B77" w:rsidR="00E83435" w:rsidRPr="002836EB" w:rsidRDefault="00E83435" w:rsidP="00E83435">
            <w:pPr>
              <w:pStyle w:val="02Tabletext"/>
            </w:pPr>
            <w:r w:rsidRPr="002836EB">
              <w:t>Prostate, radioactive seed implantation of, radiation oncology component, using transrectal ultrasound guidance, for localised prostatic malignancy at clinical stages t1 (clinically inapparent tumour not palpable or visible by imaging) or t2 (tumour confined within prostate), with a gleason score of less than or equal to 7 and a prostate specific antigen (psa) of less than or equal to 10ng/ml at the time of diagnosis. The procedure must be performed at an approved site in association with a urologist.</w:t>
            </w:r>
          </w:p>
        </w:tc>
        <w:tc>
          <w:tcPr>
            <w:tcW w:w="1229" w:type="dxa"/>
          </w:tcPr>
          <w:p w14:paraId="18E904FD" w14:textId="762FA0A2" w:rsidR="00E83435" w:rsidRPr="002836EB" w:rsidRDefault="00E83435" w:rsidP="00E83435">
            <w:pPr>
              <w:pStyle w:val="02Tabletext"/>
              <w:jc w:val="center"/>
            </w:pPr>
            <w:r w:rsidRPr="002836EB">
              <w:t xml:space="preserve"> $935.60 </w:t>
            </w:r>
          </w:p>
        </w:tc>
        <w:tc>
          <w:tcPr>
            <w:tcW w:w="1005" w:type="dxa"/>
          </w:tcPr>
          <w:p w14:paraId="3E7110A3" w14:textId="618C1E4F" w:rsidR="00E83435" w:rsidRPr="002836EB" w:rsidRDefault="00E83435" w:rsidP="00E83435">
            <w:pPr>
              <w:pStyle w:val="02Tabletext"/>
              <w:jc w:val="center"/>
            </w:pPr>
            <w:r w:rsidRPr="00006DCE">
              <w:t>366</w:t>
            </w:r>
          </w:p>
        </w:tc>
        <w:tc>
          <w:tcPr>
            <w:tcW w:w="1082" w:type="dxa"/>
          </w:tcPr>
          <w:p w14:paraId="129815EF" w14:textId="0B3A3D17" w:rsidR="00E83435" w:rsidRPr="002836EB" w:rsidRDefault="00E83435" w:rsidP="00E83435">
            <w:pPr>
              <w:pStyle w:val="02Tabletext"/>
              <w:jc w:val="center"/>
            </w:pPr>
            <w:r w:rsidRPr="00006DCE">
              <w:t>$268,563</w:t>
            </w:r>
          </w:p>
        </w:tc>
        <w:tc>
          <w:tcPr>
            <w:tcW w:w="1174" w:type="dxa"/>
          </w:tcPr>
          <w:p w14:paraId="6F8E27B2" w14:textId="27343F99" w:rsidR="00E83435" w:rsidRPr="002836EB" w:rsidRDefault="00E83435" w:rsidP="00E83435">
            <w:pPr>
              <w:pStyle w:val="02Tabletext"/>
              <w:jc w:val="center"/>
              <w:rPr>
                <w:shd w:val="clear" w:color="auto" w:fill="FBFBFB"/>
              </w:rPr>
            </w:pPr>
            <w:r w:rsidRPr="00006DCE">
              <w:t>-13.2%</w:t>
            </w:r>
          </w:p>
        </w:tc>
      </w:tr>
      <w:tr w:rsidR="00E83435" w:rsidRPr="002836EB" w14:paraId="112F27EC" w14:textId="77777777" w:rsidTr="00A60C83">
        <w:tc>
          <w:tcPr>
            <w:tcW w:w="710" w:type="dxa"/>
          </w:tcPr>
          <w:p w14:paraId="1CE680CA" w14:textId="330C20A5" w:rsidR="00E83435" w:rsidRPr="002836EB" w:rsidRDefault="00E83435" w:rsidP="00E83435">
            <w:pPr>
              <w:pStyle w:val="02Tabletext"/>
            </w:pPr>
            <w:r w:rsidRPr="002836EB">
              <w:lastRenderedPageBreak/>
              <w:t>15339</w:t>
            </w:r>
          </w:p>
        </w:tc>
        <w:tc>
          <w:tcPr>
            <w:tcW w:w="3882" w:type="dxa"/>
          </w:tcPr>
          <w:p w14:paraId="51E78E4A" w14:textId="2FB5BB68" w:rsidR="00E83435" w:rsidRPr="002836EB" w:rsidRDefault="00E83435" w:rsidP="00E83435">
            <w:pPr>
              <w:pStyle w:val="02Tabletext"/>
            </w:pPr>
            <w:r w:rsidRPr="002836EB">
              <w:t>Removal of a sealed radioactive source under general anaesthesia, or under epidural or spinal nerve block</w:t>
            </w:r>
            <w:r>
              <w:t>.</w:t>
            </w:r>
            <w:r w:rsidRPr="002836EB">
              <w:t xml:space="preserve"> (Anaes.)</w:t>
            </w:r>
          </w:p>
        </w:tc>
        <w:tc>
          <w:tcPr>
            <w:tcW w:w="1229" w:type="dxa"/>
          </w:tcPr>
          <w:p w14:paraId="3B4A7C9B" w14:textId="766CE6CC" w:rsidR="00E83435" w:rsidRPr="002836EB" w:rsidRDefault="00E83435" w:rsidP="00E83435">
            <w:pPr>
              <w:pStyle w:val="02Tabletext"/>
              <w:jc w:val="center"/>
            </w:pPr>
            <w:r w:rsidRPr="002836EB">
              <w:t xml:space="preserve"> $76.20 </w:t>
            </w:r>
          </w:p>
        </w:tc>
        <w:tc>
          <w:tcPr>
            <w:tcW w:w="1005" w:type="dxa"/>
          </w:tcPr>
          <w:p w14:paraId="339B2A57" w14:textId="1EC7CA18" w:rsidR="00E83435" w:rsidRPr="002836EB" w:rsidRDefault="00E83435" w:rsidP="00E83435">
            <w:pPr>
              <w:pStyle w:val="02Tabletext"/>
              <w:jc w:val="center"/>
            </w:pPr>
            <w:r w:rsidRPr="00006DCE">
              <w:t>69</w:t>
            </w:r>
          </w:p>
        </w:tc>
        <w:tc>
          <w:tcPr>
            <w:tcW w:w="1082" w:type="dxa"/>
          </w:tcPr>
          <w:p w14:paraId="62B411E3" w14:textId="3F5E0246" w:rsidR="00E83435" w:rsidRPr="002836EB" w:rsidRDefault="00E83435" w:rsidP="00E83435">
            <w:pPr>
              <w:pStyle w:val="02Tabletext"/>
              <w:jc w:val="center"/>
            </w:pPr>
            <w:r w:rsidRPr="00006DCE">
              <w:t>$4,652</w:t>
            </w:r>
          </w:p>
        </w:tc>
        <w:tc>
          <w:tcPr>
            <w:tcW w:w="1174" w:type="dxa"/>
          </w:tcPr>
          <w:p w14:paraId="311F19D7" w14:textId="0C9ABA36" w:rsidR="00E83435" w:rsidRPr="002836EB" w:rsidRDefault="00E83435" w:rsidP="00E83435">
            <w:pPr>
              <w:pStyle w:val="02Tabletext"/>
              <w:jc w:val="center"/>
              <w:rPr>
                <w:shd w:val="clear" w:color="auto" w:fill="FBFBFB"/>
              </w:rPr>
            </w:pPr>
            <w:r w:rsidRPr="00006DCE">
              <w:t>3.9%</w:t>
            </w:r>
          </w:p>
        </w:tc>
      </w:tr>
      <w:tr w:rsidR="00E83435" w:rsidRPr="002836EB" w14:paraId="5E52AC9D" w14:textId="77777777" w:rsidTr="00A60C83">
        <w:tc>
          <w:tcPr>
            <w:tcW w:w="710" w:type="dxa"/>
          </w:tcPr>
          <w:p w14:paraId="7A0F5DF1" w14:textId="28CD2724" w:rsidR="00E83435" w:rsidRPr="002836EB" w:rsidRDefault="00E83435" w:rsidP="00E83435">
            <w:pPr>
              <w:pStyle w:val="02Tabletext"/>
            </w:pPr>
            <w:r w:rsidRPr="002836EB">
              <w:t>15342</w:t>
            </w:r>
          </w:p>
        </w:tc>
        <w:tc>
          <w:tcPr>
            <w:tcW w:w="3882" w:type="dxa"/>
          </w:tcPr>
          <w:p w14:paraId="3A93D093" w14:textId="48FAD846" w:rsidR="00E83435" w:rsidRPr="002836EB" w:rsidRDefault="00E83435" w:rsidP="00E83435">
            <w:pPr>
              <w:pStyle w:val="02Tabletext"/>
            </w:pPr>
            <w:r w:rsidRPr="002836EB">
              <w:t>Construction and application of a radioactive mould using a sealed source having a half-life of greater than 115 days, to treat intracavity, intraoral or intranasal site</w:t>
            </w:r>
            <w:r>
              <w:t>.</w:t>
            </w:r>
          </w:p>
        </w:tc>
        <w:tc>
          <w:tcPr>
            <w:tcW w:w="1229" w:type="dxa"/>
          </w:tcPr>
          <w:p w14:paraId="53B57224" w14:textId="10FB22C3" w:rsidR="00E83435" w:rsidRPr="002836EB" w:rsidRDefault="00E83435" w:rsidP="00E83435">
            <w:pPr>
              <w:pStyle w:val="02Tabletext"/>
              <w:jc w:val="center"/>
            </w:pPr>
            <w:r w:rsidRPr="002836EB">
              <w:t xml:space="preserve"> $190.30 </w:t>
            </w:r>
          </w:p>
        </w:tc>
        <w:tc>
          <w:tcPr>
            <w:tcW w:w="1005" w:type="dxa"/>
          </w:tcPr>
          <w:p w14:paraId="72E8A7A4" w14:textId="702C20C4" w:rsidR="00E83435" w:rsidRPr="002836EB" w:rsidRDefault="00E83435" w:rsidP="00E83435">
            <w:pPr>
              <w:pStyle w:val="02Tabletext"/>
              <w:jc w:val="center"/>
            </w:pPr>
            <w:r w:rsidRPr="00006DCE">
              <w:t>0</w:t>
            </w:r>
          </w:p>
        </w:tc>
        <w:tc>
          <w:tcPr>
            <w:tcW w:w="1082" w:type="dxa"/>
          </w:tcPr>
          <w:p w14:paraId="6274333D" w14:textId="471CEA58" w:rsidR="00E83435" w:rsidRPr="002836EB" w:rsidRDefault="00E83435" w:rsidP="00E83435">
            <w:pPr>
              <w:pStyle w:val="02Tabletext"/>
              <w:jc w:val="center"/>
            </w:pPr>
            <w:r w:rsidRPr="00006DCE">
              <w:t>$0</w:t>
            </w:r>
          </w:p>
        </w:tc>
        <w:tc>
          <w:tcPr>
            <w:tcW w:w="1174" w:type="dxa"/>
          </w:tcPr>
          <w:p w14:paraId="1EDEA452" w14:textId="1319D0A5" w:rsidR="00E83435" w:rsidRPr="002836EB" w:rsidRDefault="00E83435" w:rsidP="00E83435">
            <w:pPr>
              <w:pStyle w:val="02Tabletext"/>
              <w:jc w:val="center"/>
              <w:rPr>
                <w:shd w:val="clear" w:color="auto" w:fill="FBFBFB"/>
              </w:rPr>
            </w:pPr>
            <w:r w:rsidRPr="00006DCE">
              <w:t>-</w:t>
            </w:r>
          </w:p>
        </w:tc>
      </w:tr>
      <w:tr w:rsidR="00E83435" w:rsidRPr="002836EB" w14:paraId="19C4B106" w14:textId="77777777" w:rsidTr="00A60C83">
        <w:tc>
          <w:tcPr>
            <w:tcW w:w="710" w:type="dxa"/>
          </w:tcPr>
          <w:p w14:paraId="0FF342BF" w14:textId="2A1A1383" w:rsidR="00E83435" w:rsidRPr="002836EB" w:rsidRDefault="00E83435" w:rsidP="00E83435">
            <w:pPr>
              <w:pStyle w:val="02Tabletext"/>
            </w:pPr>
            <w:r w:rsidRPr="002836EB">
              <w:t>15345</w:t>
            </w:r>
          </w:p>
        </w:tc>
        <w:tc>
          <w:tcPr>
            <w:tcW w:w="3882" w:type="dxa"/>
          </w:tcPr>
          <w:p w14:paraId="02545F4D" w14:textId="6380B388" w:rsidR="00E83435" w:rsidRPr="002836EB" w:rsidRDefault="00E83435" w:rsidP="00E83435">
            <w:pPr>
              <w:pStyle w:val="02Tabletext"/>
            </w:pPr>
            <w:r w:rsidRPr="002836EB">
              <w:t>Construction and application of a radioactive mould using a sealed source having a half-life of less than 115 days including iodine, gold, iridium or tantalum to treat intracavity, intraoral or intranasal sites</w:t>
            </w:r>
            <w:r>
              <w:t>.</w:t>
            </w:r>
          </w:p>
        </w:tc>
        <w:tc>
          <w:tcPr>
            <w:tcW w:w="1229" w:type="dxa"/>
          </w:tcPr>
          <w:p w14:paraId="79D8AC24" w14:textId="1949BCE9" w:rsidR="00E83435" w:rsidRPr="002836EB" w:rsidRDefault="00E83435" w:rsidP="00E83435">
            <w:pPr>
              <w:pStyle w:val="02Tabletext"/>
              <w:jc w:val="center"/>
            </w:pPr>
            <w:r w:rsidRPr="002836EB">
              <w:t xml:space="preserve"> $507.80 </w:t>
            </w:r>
          </w:p>
        </w:tc>
        <w:tc>
          <w:tcPr>
            <w:tcW w:w="1005" w:type="dxa"/>
          </w:tcPr>
          <w:p w14:paraId="0850D081" w14:textId="450254AC" w:rsidR="00E83435" w:rsidRPr="002836EB" w:rsidRDefault="00E83435" w:rsidP="00E83435">
            <w:pPr>
              <w:pStyle w:val="02Tabletext"/>
              <w:jc w:val="center"/>
            </w:pPr>
            <w:r w:rsidRPr="00006DCE">
              <w:t>59</w:t>
            </w:r>
          </w:p>
        </w:tc>
        <w:tc>
          <w:tcPr>
            <w:tcW w:w="1082" w:type="dxa"/>
          </w:tcPr>
          <w:p w14:paraId="1F5B8CCD" w14:textId="449FCE02" w:rsidR="00E83435" w:rsidRPr="002836EB" w:rsidRDefault="00E83435" w:rsidP="00E83435">
            <w:pPr>
              <w:pStyle w:val="02Tabletext"/>
              <w:jc w:val="center"/>
            </w:pPr>
            <w:r w:rsidRPr="00006DCE">
              <w:t>$33,217</w:t>
            </w:r>
          </w:p>
        </w:tc>
        <w:tc>
          <w:tcPr>
            <w:tcW w:w="1174" w:type="dxa"/>
          </w:tcPr>
          <w:p w14:paraId="16356732" w14:textId="718C334D" w:rsidR="00E83435" w:rsidRPr="002836EB" w:rsidRDefault="00E83435" w:rsidP="00E83435">
            <w:pPr>
              <w:pStyle w:val="02Tabletext"/>
              <w:jc w:val="center"/>
              <w:rPr>
                <w:shd w:val="clear" w:color="auto" w:fill="FBFBFB"/>
              </w:rPr>
            </w:pPr>
            <w:r w:rsidRPr="00006DCE">
              <w:t>-22.1%</w:t>
            </w:r>
          </w:p>
        </w:tc>
      </w:tr>
      <w:tr w:rsidR="00E83435" w:rsidRPr="002836EB" w14:paraId="6C4621FB" w14:textId="77777777" w:rsidTr="00A60C83">
        <w:tc>
          <w:tcPr>
            <w:tcW w:w="710" w:type="dxa"/>
          </w:tcPr>
          <w:p w14:paraId="22FE6027" w14:textId="3D915134" w:rsidR="00E83435" w:rsidRPr="002836EB" w:rsidRDefault="00E83435" w:rsidP="00E83435">
            <w:pPr>
              <w:pStyle w:val="02Tabletext"/>
            </w:pPr>
            <w:r w:rsidRPr="002836EB">
              <w:t>15348</w:t>
            </w:r>
          </w:p>
        </w:tc>
        <w:tc>
          <w:tcPr>
            <w:tcW w:w="3882" w:type="dxa"/>
          </w:tcPr>
          <w:p w14:paraId="13BB86B2" w14:textId="20A32991" w:rsidR="00E83435" w:rsidRPr="002836EB" w:rsidRDefault="00E83435" w:rsidP="00E83435">
            <w:pPr>
              <w:pStyle w:val="02Tabletext"/>
            </w:pPr>
            <w:r w:rsidRPr="002836EB">
              <w:t>Subsequent applications of radioactive mould referred to in item 15342 or 15345 each attendance</w:t>
            </w:r>
            <w:r>
              <w:t>.</w:t>
            </w:r>
          </w:p>
        </w:tc>
        <w:tc>
          <w:tcPr>
            <w:tcW w:w="1229" w:type="dxa"/>
          </w:tcPr>
          <w:p w14:paraId="1C2B1BEE" w14:textId="6859A4EF" w:rsidR="00E83435" w:rsidRPr="002836EB" w:rsidRDefault="00E83435" w:rsidP="00E83435">
            <w:pPr>
              <w:pStyle w:val="02Tabletext"/>
              <w:jc w:val="center"/>
            </w:pPr>
            <w:r w:rsidRPr="002836EB">
              <w:t xml:space="preserve"> $58.40 </w:t>
            </w:r>
          </w:p>
        </w:tc>
        <w:tc>
          <w:tcPr>
            <w:tcW w:w="1005" w:type="dxa"/>
          </w:tcPr>
          <w:p w14:paraId="3CDB34F4" w14:textId="4C0CAA57" w:rsidR="00E83435" w:rsidRPr="002836EB" w:rsidRDefault="00E83435" w:rsidP="00E83435">
            <w:pPr>
              <w:pStyle w:val="02Tabletext"/>
              <w:jc w:val="center"/>
            </w:pPr>
            <w:r w:rsidRPr="00006DCE">
              <w:t>77</w:t>
            </w:r>
          </w:p>
        </w:tc>
        <w:tc>
          <w:tcPr>
            <w:tcW w:w="1082" w:type="dxa"/>
          </w:tcPr>
          <w:p w14:paraId="408B5706" w14:textId="30F87498" w:rsidR="00E83435" w:rsidRPr="002836EB" w:rsidRDefault="00E83435" w:rsidP="00E83435">
            <w:pPr>
              <w:pStyle w:val="02Tabletext"/>
              <w:jc w:val="center"/>
            </w:pPr>
            <w:r w:rsidRPr="00006DCE">
              <w:t>$7,087</w:t>
            </w:r>
          </w:p>
        </w:tc>
        <w:tc>
          <w:tcPr>
            <w:tcW w:w="1174" w:type="dxa"/>
          </w:tcPr>
          <w:p w14:paraId="3C96479D" w14:textId="2E1EFC4E" w:rsidR="00E83435" w:rsidRPr="002836EB" w:rsidRDefault="00E83435" w:rsidP="00E83435">
            <w:pPr>
              <w:pStyle w:val="02Tabletext"/>
              <w:jc w:val="center"/>
              <w:rPr>
                <w:shd w:val="clear" w:color="auto" w:fill="FBFBFB"/>
              </w:rPr>
            </w:pPr>
            <w:r w:rsidRPr="00006DCE">
              <w:t>38.7%</w:t>
            </w:r>
          </w:p>
        </w:tc>
      </w:tr>
      <w:tr w:rsidR="00E83435" w:rsidRPr="002836EB" w14:paraId="5C82B73B" w14:textId="77777777" w:rsidTr="00A60C83">
        <w:tc>
          <w:tcPr>
            <w:tcW w:w="710" w:type="dxa"/>
          </w:tcPr>
          <w:p w14:paraId="57AF4E92" w14:textId="5C6315E7" w:rsidR="00E83435" w:rsidRPr="002836EB" w:rsidRDefault="00E83435" w:rsidP="00E83435">
            <w:pPr>
              <w:pStyle w:val="02Tabletext"/>
            </w:pPr>
            <w:r w:rsidRPr="002836EB">
              <w:t>15351</w:t>
            </w:r>
          </w:p>
        </w:tc>
        <w:tc>
          <w:tcPr>
            <w:tcW w:w="3882" w:type="dxa"/>
          </w:tcPr>
          <w:p w14:paraId="7B661944" w14:textId="68D5A445" w:rsidR="00E83435" w:rsidRPr="002836EB" w:rsidRDefault="00E83435" w:rsidP="00E83435">
            <w:pPr>
              <w:pStyle w:val="02Tabletext"/>
            </w:pPr>
            <w:r w:rsidRPr="002836EB">
              <w:t>Construction with or without first application of a radioactive mould not exceeding 5 cm in diameter to an external surface</w:t>
            </w:r>
            <w:r>
              <w:t>.</w:t>
            </w:r>
          </w:p>
        </w:tc>
        <w:tc>
          <w:tcPr>
            <w:tcW w:w="1229" w:type="dxa"/>
          </w:tcPr>
          <w:p w14:paraId="16E44AEE" w14:textId="1B7EED88" w:rsidR="00E83435" w:rsidRPr="002836EB" w:rsidRDefault="00E83435" w:rsidP="00E83435">
            <w:pPr>
              <w:pStyle w:val="02Tabletext"/>
              <w:jc w:val="center"/>
            </w:pPr>
            <w:r w:rsidRPr="002836EB">
              <w:t xml:space="preserve"> $116.60 </w:t>
            </w:r>
          </w:p>
        </w:tc>
        <w:tc>
          <w:tcPr>
            <w:tcW w:w="1005" w:type="dxa"/>
          </w:tcPr>
          <w:p w14:paraId="4F1B3E70" w14:textId="2CFCE605" w:rsidR="00E83435" w:rsidRPr="002836EB" w:rsidRDefault="00E83435" w:rsidP="00E83435">
            <w:pPr>
              <w:pStyle w:val="02Tabletext"/>
              <w:jc w:val="center"/>
            </w:pPr>
            <w:r w:rsidRPr="00006DCE">
              <w:t>46</w:t>
            </w:r>
          </w:p>
        </w:tc>
        <w:tc>
          <w:tcPr>
            <w:tcW w:w="1082" w:type="dxa"/>
          </w:tcPr>
          <w:p w14:paraId="63372E72" w14:textId="13510A8E" w:rsidR="00E83435" w:rsidRPr="002836EB" w:rsidRDefault="00E83435" w:rsidP="00E83435">
            <w:pPr>
              <w:pStyle w:val="02Tabletext"/>
              <w:jc w:val="center"/>
            </w:pPr>
            <w:r w:rsidRPr="00006DCE">
              <w:t>$5,315</w:t>
            </w:r>
          </w:p>
        </w:tc>
        <w:tc>
          <w:tcPr>
            <w:tcW w:w="1174" w:type="dxa"/>
          </w:tcPr>
          <w:p w14:paraId="56FDAA7F" w14:textId="783EAE60" w:rsidR="00E83435" w:rsidRPr="002836EB" w:rsidRDefault="00E83435" w:rsidP="00E83435">
            <w:pPr>
              <w:pStyle w:val="02Tabletext"/>
              <w:jc w:val="center"/>
              <w:rPr>
                <w:shd w:val="clear" w:color="auto" w:fill="FBFBFB"/>
              </w:rPr>
            </w:pPr>
            <w:r w:rsidRPr="00006DCE">
              <w:t>15.9%</w:t>
            </w:r>
          </w:p>
        </w:tc>
      </w:tr>
      <w:tr w:rsidR="00E83435" w:rsidRPr="002836EB" w14:paraId="154F0BB7" w14:textId="77777777" w:rsidTr="00A60C83">
        <w:tc>
          <w:tcPr>
            <w:tcW w:w="710" w:type="dxa"/>
          </w:tcPr>
          <w:p w14:paraId="7CFCCCE9" w14:textId="6504949E" w:rsidR="00E83435" w:rsidRPr="002836EB" w:rsidRDefault="00E83435" w:rsidP="00E83435">
            <w:pPr>
              <w:pStyle w:val="02Tabletext"/>
            </w:pPr>
            <w:r w:rsidRPr="002836EB">
              <w:t>15354</w:t>
            </w:r>
          </w:p>
        </w:tc>
        <w:tc>
          <w:tcPr>
            <w:tcW w:w="3882" w:type="dxa"/>
          </w:tcPr>
          <w:p w14:paraId="094DF013" w14:textId="4B7FB75A" w:rsidR="00E83435" w:rsidRPr="002836EB" w:rsidRDefault="00E83435" w:rsidP="00E83435">
            <w:pPr>
              <w:pStyle w:val="02Tabletext"/>
            </w:pPr>
            <w:r w:rsidRPr="002836EB">
              <w:t>Construction and first application of a radioactive mould more than 5 cm in diameter to an external surface</w:t>
            </w:r>
            <w:r>
              <w:t>.</w:t>
            </w:r>
          </w:p>
        </w:tc>
        <w:tc>
          <w:tcPr>
            <w:tcW w:w="1229" w:type="dxa"/>
          </w:tcPr>
          <w:p w14:paraId="0DFFABE6" w14:textId="21661CA5" w:rsidR="00E83435" w:rsidRPr="002836EB" w:rsidRDefault="00E83435" w:rsidP="00E83435">
            <w:pPr>
              <w:pStyle w:val="02Tabletext"/>
              <w:jc w:val="center"/>
            </w:pPr>
            <w:r w:rsidRPr="002836EB">
              <w:t xml:space="preserve"> $141.50 </w:t>
            </w:r>
          </w:p>
        </w:tc>
        <w:tc>
          <w:tcPr>
            <w:tcW w:w="1005" w:type="dxa"/>
          </w:tcPr>
          <w:p w14:paraId="2472435D" w14:textId="0616A961" w:rsidR="00E83435" w:rsidRPr="002836EB" w:rsidRDefault="00E83435" w:rsidP="00E83435">
            <w:pPr>
              <w:pStyle w:val="02Tabletext"/>
              <w:jc w:val="center"/>
            </w:pPr>
            <w:r w:rsidRPr="00006DCE">
              <w:t>9</w:t>
            </w:r>
          </w:p>
        </w:tc>
        <w:tc>
          <w:tcPr>
            <w:tcW w:w="1082" w:type="dxa"/>
          </w:tcPr>
          <w:p w14:paraId="4E8F1216" w14:textId="184E1D9D" w:rsidR="00E83435" w:rsidRPr="002836EB" w:rsidRDefault="00E83435" w:rsidP="00E83435">
            <w:pPr>
              <w:pStyle w:val="02Tabletext"/>
              <w:jc w:val="center"/>
            </w:pPr>
            <w:r w:rsidRPr="00006DCE">
              <w:t>$1,083</w:t>
            </w:r>
          </w:p>
        </w:tc>
        <w:tc>
          <w:tcPr>
            <w:tcW w:w="1174" w:type="dxa"/>
          </w:tcPr>
          <w:p w14:paraId="61B5C4E2" w14:textId="3BCE6853" w:rsidR="00E83435" w:rsidRPr="002836EB" w:rsidRDefault="00E83435" w:rsidP="00E83435">
            <w:pPr>
              <w:pStyle w:val="02Tabletext"/>
              <w:jc w:val="center"/>
              <w:rPr>
                <w:shd w:val="clear" w:color="auto" w:fill="FBFBFB"/>
              </w:rPr>
            </w:pPr>
            <w:r w:rsidRPr="00006DCE">
              <w:t>55.2%</w:t>
            </w:r>
          </w:p>
        </w:tc>
      </w:tr>
      <w:tr w:rsidR="00E83435" w:rsidRPr="002836EB" w14:paraId="1EEED7FD" w14:textId="77777777" w:rsidTr="00A60C83">
        <w:tc>
          <w:tcPr>
            <w:tcW w:w="710" w:type="dxa"/>
          </w:tcPr>
          <w:p w14:paraId="0588BA61" w14:textId="605594ED" w:rsidR="00E83435" w:rsidRPr="002836EB" w:rsidRDefault="00E83435" w:rsidP="00E83435">
            <w:pPr>
              <w:pStyle w:val="02Tabletext"/>
            </w:pPr>
            <w:r w:rsidRPr="002836EB">
              <w:t>15357</w:t>
            </w:r>
          </w:p>
        </w:tc>
        <w:tc>
          <w:tcPr>
            <w:tcW w:w="3882" w:type="dxa"/>
          </w:tcPr>
          <w:p w14:paraId="6962DB13" w14:textId="5D75D871" w:rsidR="00E83435" w:rsidRPr="002836EB" w:rsidRDefault="00E83435" w:rsidP="00E83435">
            <w:pPr>
              <w:pStyle w:val="02Tabletext"/>
            </w:pPr>
            <w:r>
              <w:t>Subsequent applications of radioactive mould referred to in item 15351 or 15354, each attendance.</w:t>
            </w:r>
          </w:p>
        </w:tc>
        <w:tc>
          <w:tcPr>
            <w:tcW w:w="1229" w:type="dxa"/>
          </w:tcPr>
          <w:p w14:paraId="107B5ED1" w14:textId="0FF9B679" w:rsidR="00E83435" w:rsidRPr="002836EB" w:rsidRDefault="00E83435" w:rsidP="00E83435">
            <w:pPr>
              <w:pStyle w:val="02Tabletext"/>
              <w:jc w:val="center"/>
            </w:pPr>
            <w:r w:rsidRPr="002836EB">
              <w:t xml:space="preserve"> $40.05 </w:t>
            </w:r>
          </w:p>
        </w:tc>
        <w:tc>
          <w:tcPr>
            <w:tcW w:w="1005" w:type="dxa"/>
          </w:tcPr>
          <w:p w14:paraId="67F13584" w14:textId="207B1834" w:rsidR="00E83435" w:rsidRPr="002836EB" w:rsidRDefault="00E83435" w:rsidP="00E83435">
            <w:pPr>
              <w:pStyle w:val="02Tabletext"/>
              <w:jc w:val="center"/>
            </w:pPr>
            <w:r w:rsidRPr="00006DCE">
              <w:t>681</w:t>
            </w:r>
          </w:p>
        </w:tc>
        <w:tc>
          <w:tcPr>
            <w:tcW w:w="1082" w:type="dxa"/>
          </w:tcPr>
          <w:p w14:paraId="2B9EEEA2" w14:textId="4719F4C0" w:rsidR="00E83435" w:rsidRPr="002836EB" w:rsidRDefault="00E83435" w:rsidP="00E83435">
            <w:pPr>
              <w:pStyle w:val="02Tabletext"/>
              <w:jc w:val="center"/>
            </w:pPr>
            <w:r w:rsidRPr="00006DCE">
              <w:t>$28,835</w:t>
            </w:r>
          </w:p>
        </w:tc>
        <w:tc>
          <w:tcPr>
            <w:tcW w:w="1174" w:type="dxa"/>
          </w:tcPr>
          <w:p w14:paraId="0B3582FD" w14:textId="2E471634" w:rsidR="00E83435" w:rsidRPr="002836EB" w:rsidRDefault="00E83435" w:rsidP="00E83435">
            <w:pPr>
              <w:pStyle w:val="02Tabletext"/>
              <w:jc w:val="center"/>
              <w:rPr>
                <w:shd w:val="clear" w:color="auto" w:fill="FBFBFB"/>
              </w:rPr>
            </w:pPr>
            <w:r w:rsidRPr="00006DCE">
              <w:t>18.9%</w:t>
            </w:r>
          </w:p>
        </w:tc>
      </w:tr>
      <w:tr w:rsidR="00E83435" w:rsidRPr="002836EB" w14:paraId="09AA3AA3" w14:textId="77777777" w:rsidTr="00A60C83">
        <w:tc>
          <w:tcPr>
            <w:tcW w:w="710" w:type="dxa"/>
          </w:tcPr>
          <w:p w14:paraId="4F889E07" w14:textId="2A2D7CE5" w:rsidR="00E83435" w:rsidRPr="002836EB" w:rsidRDefault="00E83435" w:rsidP="00E83435">
            <w:pPr>
              <w:pStyle w:val="02Tabletext"/>
            </w:pPr>
            <w:r w:rsidRPr="002836EB">
              <w:t>15513</w:t>
            </w:r>
          </w:p>
        </w:tc>
        <w:tc>
          <w:tcPr>
            <w:tcW w:w="3882" w:type="dxa"/>
          </w:tcPr>
          <w:p w14:paraId="472356DF" w14:textId="7DEB8C19" w:rsidR="00E83435" w:rsidRPr="002836EB" w:rsidRDefault="00E83435" w:rsidP="00E83435">
            <w:pPr>
              <w:pStyle w:val="02Tabletext"/>
            </w:pPr>
            <w:r w:rsidRPr="002836EB">
              <w:t>Radiation source localisation using a simulator or x-ray machine or</w:t>
            </w:r>
            <w:r>
              <w:t xml:space="preserve"> CT </w:t>
            </w:r>
            <w:r w:rsidRPr="002836EB">
              <w:t>of a single area, where views in more than 1 plane are required, for brachytherapy treatment planning for i125 seed implantation of localised prostate cancer, in association with item 15338</w:t>
            </w:r>
            <w:r>
              <w:t>.</w:t>
            </w:r>
          </w:p>
        </w:tc>
        <w:tc>
          <w:tcPr>
            <w:tcW w:w="1229" w:type="dxa"/>
          </w:tcPr>
          <w:p w14:paraId="31C88B2B" w14:textId="7D99B25E" w:rsidR="00E83435" w:rsidRPr="002836EB" w:rsidRDefault="00E83435" w:rsidP="00E83435">
            <w:pPr>
              <w:pStyle w:val="02Tabletext"/>
              <w:jc w:val="center"/>
            </w:pPr>
            <w:r w:rsidRPr="002836EB">
              <w:t xml:space="preserve"> $306.55 </w:t>
            </w:r>
          </w:p>
        </w:tc>
        <w:tc>
          <w:tcPr>
            <w:tcW w:w="1005" w:type="dxa"/>
          </w:tcPr>
          <w:p w14:paraId="758FC882" w14:textId="43230583" w:rsidR="00E83435" w:rsidRPr="002836EB" w:rsidRDefault="00E83435" w:rsidP="00E83435">
            <w:pPr>
              <w:pStyle w:val="02Tabletext"/>
              <w:jc w:val="center"/>
            </w:pPr>
            <w:r w:rsidRPr="00540B4D">
              <w:t>353</w:t>
            </w:r>
          </w:p>
        </w:tc>
        <w:tc>
          <w:tcPr>
            <w:tcW w:w="1082" w:type="dxa"/>
          </w:tcPr>
          <w:p w14:paraId="280C25E7" w14:textId="14985DEC" w:rsidR="00E83435" w:rsidRPr="002836EB" w:rsidRDefault="00E83435" w:rsidP="00E83435">
            <w:pPr>
              <w:pStyle w:val="02Tabletext"/>
              <w:jc w:val="center"/>
            </w:pPr>
            <w:r w:rsidRPr="00540B4D">
              <w:t>$183,807</w:t>
            </w:r>
          </w:p>
        </w:tc>
        <w:tc>
          <w:tcPr>
            <w:tcW w:w="1174" w:type="dxa"/>
          </w:tcPr>
          <w:p w14:paraId="7516E05D" w14:textId="2C353A71" w:rsidR="00E83435" w:rsidRPr="002836EB" w:rsidRDefault="00E83435" w:rsidP="00E83435">
            <w:pPr>
              <w:pStyle w:val="02Tabletext"/>
              <w:jc w:val="center"/>
              <w:rPr>
                <w:shd w:val="clear" w:color="auto" w:fill="FBFBFB"/>
              </w:rPr>
            </w:pPr>
            <w:r w:rsidRPr="00540B4D">
              <w:t>-7.7%</w:t>
            </w:r>
          </w:p>
        </w:tc>
      </w:tr>
      <w:tr w:rsidR="006B6031" w:rsidRPr="002836EB" w14:paraId="2884C60B" w14:textId="77777777" w:rsidTr="00A60C83">
        <w:tc>
          <w:tcPr>
            <w:tcW w:w="710" w:type="dxa"/>
          </w:tcPr>
          <w:p w14:paraId="74595B72" w14:textId="3EED0B2A" w:rsidR="006B6031" w:rsidRPr="002836EB" w:rsidRDefault="006B6031" w:rsidP="006B6031">
            <w:pPr>
              <w:pStyle w:val="02Tabletext"/>
            </w:pPr>
            <w:r w:rsidRPr="002836EB">
              <w:t>15536</w:t>
            </w:r>
          </w:p>
        </w:tc>
        <w:tc>
          <w:tcPr>
            <w:tcW w:w="3882" w:type="dxa"/>
          </w:tcPr>
          <w:p w14:paraId="23162B83" w14:textId="6E7DC0E7" w:rsidR="006B6031" w:rsidRPr="002836EB" w:rsidRDefault="006B6031" w:rsidP="006B6031">
            <w:pPr>
              <w:pStyle w:val="02Tabletext"/>
            </w:pPr>
            <w:r w:rsidRPr="002836EB">
              <w:t>Brachytherapy planning, computerised radiation dosimetry</w:t>
            </w:r>
            <w:r>
              <w:t>.</w:t>
            </w:r>
          </w:p>
        </w:tc>
        <w:tc>
          <w:tcPr>
            <w:tcW w:w="1229" w:type="dxa"/>
          </w:tcPr>
          <w:p w14:paraId="24900740" w14:textId="3B9BA09B" w:rsidR="006B6031" w:rsidRPr="002836EB" w:rsidRDefault="006B6031" w:rsidP="006B6031">
            <w:pPr>
              <w:pStyle w:val="02Tabletext"/>
              <w:jc w:val="center"/>
            </w:pPr>
            <w:r w:rsidRPr="002836EB">
              <w:t xml:space="preserve"> $266.90 </w:t>
            </w:r>
          </w:p>
        </w:tc>
        <w:tc>
          <w:tcPr>
            <w:tcW w:w="1005" w:type="dxa"/>
          </w:tcPr>
          <w:p w14:paraId="4472E0BE" w14:textId="26B1EF84" w:rsidR="006B6031" w:rsidRPr="002836EB" w:rsidRDefault="006B6031" w:rsidP="006B6031">
            <w:pPr>
              <w:pStyle w:val="02Tabletext"/>
              <w:jc w:val="center"/>
            </w:pPr>
            <w:r w:rsidRPr="004B434F">
              <w:t>674</w:t>
            </w:r>
          </w:p>
        </w:tc>
        <w:tc>
          <w:tcPr>
            <w:tcW w:w="1082" w:type="dxa"/>
          </w:tcPr>
          <w:p w14:paraId="06249F3C" w14:textId="5C6714B0" w:rsidR="006B6031" w:rsidRPr="002836EB" w:rsidRDefault="006B6031" w:rsidP="006B6031">
            <w:pPr>
              <w:pStyle w:val="02Tabletext"/>
              <w:jc w:val="center"/>
            </w:pPr>
            <w:r w:rsidRPr="004B434F">
              <w:t>$163,625</w:t>
            </w:r>
          </w:p>
        </w:tc>
        <w:tc>
          <w:tcPr>
            <w:tcW w:w="1174" w:type="dxa"/>
          </w:tcPr>
          <w:p w14:paraId="45FD7BD7" w14:textId="5D8A6D5A" w:rsidR="006B6031" w:rsidRPr="002836EB" w:rsidRDefault="006B6031" w:rsidP="006B6031">
            <w:pPr>
              <w:pStyle w:val="02Tabletext"/>
              <w:jc w:val="center"/>
              <w:rPr>
                <w:shd w:val="clear" w:color="auto" w:fill="FBFBFB"/>
              </w:rPr>
            </w:pPr>
            <w:r w:rsidRPr="004B434F">
              <w:t>-8.9%</w:t>
            </w:r>
          </w:p>
        </w:tc>
      </w:tr>
      <w:tr w:rsidR="006B6031" w:rsidRPr="002836EB" w14:paraId="15913ABC" w14:textId="77777777" w:rsidTr="00A60C83">
        <w:tc>
          <w:tcPr>
            <w:tcW w:w="710" w:type="dxa"/>
          </w:tcPr>
          <w:p w14:paraId="04378C61" w14:textId="7385EEA8" w:rsidR="006B6031" w:rsidRPr="002836EB" w:rsidRDefault="006B6031" w:rsidP="006B6031">
            <w:pPr>
              <w:pStyle w:val="02Tabletext"/>
            </w:pPr>
            <w:r w:rsidRPr="002836EB">
              <w:t>15539</w:t>
            </w:r>
          </w:p>
        </w:tc>
        <w:tc>
          <w:tcPr>
            <w:tcW w:w="3882" w:type="dxa"/>
          </w:tcPr>
          <w:p w14:paraId="6211121E" w14:textId="695E4A90" w:rsidR="006B6031" w:rsidRPr="002836EB" w:rsidRDefault="006B6031" w:rsidP="006B6031">
            <w:pPr>
              <w:pStyle w:val="02Tabletext"/>
            </w:pPr>
            <w:r w:rsidRPr="002836EB">
              <w:t>Brachytherapy planning, computerised radiation dosimetry for i125 seed implantation of localised prostate cancer, in association with item 15338</w:t>
            </w:r>
            <w:r>
              <w:t>.</w:t>
            </w:r>
          </w:p>
        </w:tc>
        <w:tc>
          <w:tcPr>
            <w:tcW w:w="1229" w:type="dxa"/>
          </w:tcPr>
          <w:p w14:paraId="43F10188" w14:textId="6809AF9A" w:rsidR="006B6031" w:rsidRPr="002836EB" w:rsidRDefault="006B6031" w:rsidP="006B6031">
            <w:pPr>
              <w:pStyle w:val="02Tabletext"/>
              <w:jc w:val="center"/>
            </w:pPr>
            <w:r w:rsidRPr="002836EB">
              <w:t xml:space="preserve"> $627.30 </w:t>
            </w:r>
          </w:p>
        </w:tc>
        <w:tc>
          <w:tcPr>
            <w:tcW w:w="1005" w:type="dxa"/>
          </w:tcPr>
          <w:p w14:paraId="0FD4A92F" w14:textId="556B17C0" w:rsidR="006B6031" w:rsidRPr="002836EB" w:rsidRDefault="006B6031" w:rsidP="006B6031">
            <w:pPr>
              <w:pStyle w:val="02Tabletext"/>
              <w:jc w:val="center"/>
            </w:pPr>
            <w:r w:rsidRPr="004B434F">
              <w:t>597</w:t>
            </w:r>
          </w:p>
        </w:tc>
        <w:tc>
          <w:tcPr>
            <w:tcW w:w="1082" w:type="dxa"/>
          </w:tcPr>
          <w:p w14:paraId="6C6B1D54" w14:textId="6FC711B7" w:rsidR="006B6031" w:rsidRPr="002836EB" w:rsidRDefault="006B6031" w:rsidP="006B6031">
            <w:pPr>
              <w:pStyle w:val="02Tabletext"/>
              <w:jc w:val="center"/>
            </w:pPr>
            <w:r w:rsidRPr="004B434F">
              <w:t>$585,676</w:t>
            </w:r>
          </w:p>
        </w:tc>
        <w:tc>
          <w:tcPr>
            <w:tcW w:w="1174" w:type="dxa"/>
          </w:tcPr>
          <w:p w14:paraId="645114A0" w14:textId="626723F1" w:rsidR="006B6031" w:rsidRPr="002836EB" w:rsidRDefault="006B6031" w:rsidP="006B6031">
            <w:pPr>
              <w:pStyle w:val="02Tabletext"/>
              <w:jc w:val="center"/>
              <w:rPr>
                <w:shd w:val="clear" w:color="auto" w:fill="FBFBFB"/>
              </w:rPr>
            </w:pPr>
            <w:r w:rsidRPr="004B434F">
              <w:t>-10.0%</w:t>
            </w:r>
          </w:p>
        </w:tc>
      </w:tr>
      <w:tr w:rsidR="005A4563" w:rsidRPr="002836EB" w14:paraId="6D0747A4" w14:textId="77777777" w:rsidTr="00A60C83">
        <w:tc>
          <w:tcPr>
            <w:tcW w:w="710" w:type="dxa"/>
          </w:tcPr>
          <w:p w14:paraId="1E7BF8E9" w14:textId="6826B6F0" w:rsidR="005A4563" w:rsidRPr="002836EB" w:rsidRDefault="005A4563" w:rsidP="005A4563">
            <w:pPr>
              <w:pStyle w:val="02Tabletext"/>
            </w:pPr>
            <w:r w:rsidRPr="002836EB">
              <w:t>15800</w:t>
            </w:r>
          </w:p>
        </w:tc>
        <w:tc>
          <w:tcPr>
            <w:tcW w:w="3882" w:type="dxa"/>
          </w:tcPr>
          <w:p w14:paraId="1508BAC5" w14:textId="2BA9A953" w:rsidR="005A4563" w:rsidRPr="002836EB" w:rsidRDefault="005A4563" w:rsidP="005A4563">
            <w:pPr>
              <w:pStyle w:val="02Tabletext"/>
            </w:pPr>
            <w:r w:rsidRPr="002836EB">
              <w:t xml:space="preserve">Brachytherapy treatment verification </w:t>
            </w:r>
            <w:r>
              <w:t>–</w:t>
            </w:r>
            <w:r w:rsidRPr="002836EB">
              <w:t xml:space="preserve"> maximum of one only for each attendance.</w:t>
            </w:r>
          </w:p>
        </w:tc>
        <w:tc>
          <w:tcPr>
            <w:tcW w:w="1229" w:type="dxa"/>
          </w:tcPr>
          <w:p w14:paraId="0AF1CCEB" w14:textId="3AA83177" w:rsidR="005A4563" w:rsidRPr="002836EB" w:rsidRDefault="005A4563" w:rsidP="005A4563">
            <w:pPr>
              <w:pStyle w:val="02Tabletext"/>
              <w:jc w:val="center"/>
            </w:pPr>
            <w:r w:rsidRPr="002836EB">
              <w:t xml:space="preserve"> $96.30 </w:t>
            </w:r>
          </w:p>
        </w:tc>
        <w:tc>
          <w:tcPr>
            <w:tcW w:w="1005" w:type="dxa"/>
          </w:tcPr>
          <w:p w14:paraId="794F136E" w14:textId="1F57CDEA" w:rsidR="005A4563" w:rsidRPr="002836EB" w:rsidRDefault="005A4563" w:rsidP="005A4563">
            <w:pPr>
              <w:pStyle w:val="02Tabletext"/>
              <w:jc w:val="center"/>
            </w:pPr>
            <w:r w:rsidRPr="00EC224D">
              <w:t>640</w:t>
            </w:r>
          </w:p>
        </w:tc>
        <w:tc>
          <w:tcPr>
            <w:tcW w:w="1082" w:type="dxa"/>
          </w:tcPr>
          <w:p w14:paraId="69A96EC6" w14:textId="77D421EF" w:rsidR="005A4563" w:rsidRPr="002836EB" w:rsidRDefault="005A4563" w:rsidP="005A4563">
            <w:pPr>
              <w:pStyle w:val="02Tabletext"/>
              <w:jc w:val="center"/>
            </w:pPr>
            <w:r w:rsidRPr="00EC224D">
              <w:t>$50,586</w:t>
            </w:r>
          </w:p>
        </w:tc>
        <w:tc>
          <w:tcPr>
            <w:tcW w:w="1174" w:type="dxa"/>
          </w:tcPr>
          <w:p w14:paraId="240BA009" w14:textId="0B8136E1" w:rsidR="005A4563" w:rsidRPr="002836EB" w:rsidRDefault="005A4563" w:rsidP="005A4563">
            <w:pPr>
              <w:pStyle w:val="02Tabletext"/>
              <w:jc w:val="center"/>
              <w:rPr>
                <w:shd w:val="clear" w:color="auto" w:fill="FBFBFB"/>
              </w:rPr>
            </w:pPr>
            <w:r w:rsidRPr="00EC224D">
              <w:t>-0.2%</w:t>
            </w:r>
          </w:p>
        </w:tc>
      </w:tr>
      <w:tr w:rsidR="005A4563" w:rsidRPr="002836EB" w14:paraId="4BDBD2E6" w14:textId="77777777" w:rsidTr="00A60C83">
        <w:tc>
          <w:tcPr>
            <w:tcW w:w="710" w:type="dxa"/>
          </w:tcPr>
          <w:p w14:paraId="15493E86" w14:textId="7ECAD436" w:rsidR="005A4563" w:rsidRPr="002836EB" w:rsidRDefault="005A4563" w:rsidP="005A4563">
            <w:pPr>
              <w:pStyle w:val="02Tabletext"/>
            </w:pPr>
            <w:r w:rsidRPr="002836EB">
              <w:t>15850</w:t>
            </w:r>
          </w:p>
        </w:tc>
        <w:tc>
          <w:tcPr>
            <w:tcW w:w="3882" w:type="dxa"/>
          </w:tcPr>
          <w:p w14:paraId="35F047DD" w14:textId="26FBF870" w:rsidR="005A4563" w:rsidRPr="002836EB" w:rsidRDefault="005A4563" w:rsidP="005A4563">
            <w:pPr>
              <w:pStyle w:val="02Tabletext"/>
            </w:pPr>
            <w:r w:rsidRPr="002836EB">
              <w:t>Radiation source localisation using a simulator, x-ray machine,</w:t>
            </w:r>
            <w:r>
              <w:t xml:space="preserve"> CT </w:t>
            </w:r>
            <w:r w:rsidRPr="002836EB">
              <w:t>or ultrasound of a single area, where views in more than one plane are required, for brachytherapy treatment planning, not being a service to which item 15513 applies.</w:t>
            </w:r>
          </w:p>
        </w:tc>
        <w:tc>
          <w:tcPr>
            <w:tcW w:w="1229" w:type="dxa"/>
          </w:tcPr>
          <w:p w14:paraId="5E01B111" w14:textId="79FFFAE0" w:rsidR="005A4563" w:rsidRPr="002836EB" w:rsidRDefault="005A4563" w:rsidP="005A4563">
            <w:pPr>
              <w:pStyle w:val="02Tabletext"/>
              <w:jc w:val="center"/>
            </w:pPr>
            <w:r w:rsidRPr="002836EB">
              <w:t xml:space="preserve"> $199.50 </w:t>
            </w:r>
          </w:p>
        </w:tc>
        <w:tc>
          <w:tcPr>
            <w:tcW w:w="1005" w:type="dxa"/>
          </w:tcPr>
          <w:p w14:paraId="01F2B378" w14:textId="17F9DF93" w:rsidR="005A4563" w:rsidRPr="002836EB" w:rsidRDefault="005A4563" w:rsidP="005A4563">
            <w:pPr>
              <w:pStyle w:val="02Tabletext"/>
              <w:jc w:val="center"/>
            </w:pPr>
            <w:r w:rsidRPr="00EC224D">
              <w:t>488</w:t>
            </w:r>
          </w:p>
        </w:tc>
        <w:tc>
          <w:tcPr>
            <w:tcW w:w="1082" w:type="dxa"/>
          </w:tcPr>
          <w:p w14:paraId="56DBB159" w14:textId="4EFE5298" w:rsidR="005A4563" w:rsidRPr="002836EB" w:rsidRDefault="005A4563" w:rsidP="005A4563">
            <w:pPr>
              <w:pStyle w:val="02Tabletext"/>
              <w:jc w:val="center"/>
            </w:pPr>
            <w:r w:rsidRPr="00EC224D">
              <w:t>$108,653</w:t>
            </w:r>
          </w:p>
        </w:tc>
        <w:tc>
          <w:tcPr>
            <w:tcW w:w="1174" w:type="dxa"/>
          </w:tcPr>
          <w:p w14:paraId="452F8A5C" w14:textId="3A5ACAE0" w:rsidR="005A4563" w:rsidRPr="002836EB" w:rsidRDefault="005A4563" w:rsidP="005A4563">
            <w:pPr>
              <w:pStyle w:val="02Tabletext"/>
              <w:jc w:val="center"/>
              <w:rPr>
                <w:shd w:val="clear" w:color="auto" w:fill="FBFBFB"/>
              </w:rPr>
            </w:pPr>
            <w:r w:rsidRPr="00EC224D">
              <w:t>-1.5%</w:t>
            </w:r>
          </w:p>
        </w:tc>
      </w:tr>
    </w:tbl>
    <w:p w14:paraId="4C168350" w14:textId="77777777" w:rsidR="00A60C83" w:rsidRDefault="00A60C83" w:rsidP="00DE1A53">
      <w:pPr>
        <w:spacing w:before="0"/>
        <w:rPr>
          <w:color w:val="000000"/>
          <w:sz w:val="18"/>
          <w:szCs w:val="18"/>
        </w:rPr>
      </w:pPr>
      <w:bookmarkStart w:id="174" w:name="_Ref463918893"/>
      <w:r>
        <w:rPr>
          <w:color w:val="000000"/>
          <w:sz w:val="18"/>
          <w:szCs w:val="18"/>
        </w:rPr>
        <w:t>Public data (Department of Human Services).</w:t>
      </w:r>
    </w:p>
    <w:p w14:paraId="0E6249E1" w14:textId="0E6643EE" w:rsidR="0003550F" w:rsidRDefault="0003550F" w:rsidP="0003550F">
      <w:pPr>
        <w:pStyle w:val="TableUnderLast"/>
        <w:spacing w:after="0"/>
      </w:pPr>
      <w:r>
        <w:t>Note: N/A means not applicable.</w:t>
      </w:r>
      <w:r w:rsidR="00092834">
        <w:t xml:space="preserve"> In 2013-14 a total of 1,764,824 radiation oncology services were rendered, totalling $296,927,532.38 in benefits, of which 13.9 per cent was paid through the Medicare safety nets. In 2014-15 a total of 1,931,537 radiation oncology services were rendered, totalling $339,784,784.74 in benefits of which 16.6 per cent was paid through the Medicare safety nets.</w:t>
      </w:r>
    </w:p>
    <w:p w14:paraId="28B86F07" w14:textId="2C9CCE8B" w:rsidR="003A0E76" w:rsidRDefault="003A0E76" w:rsidP="0003550F">
      <w:pPr>
        <w:pStyle w:val="Boldhdg"/>
        <w:rPr>
          <w:b w:val="0"/>
          <w:lang w:val="en-GB"/>
        </w:rPr>
      </w:pPr>
      <w:r>
        <w:rPr>
          <w:b w:val="0"/>
          <w:lang w:val="en-GB"/>
        </w:rPr>
        <w:t>Note that t</w:t>
      </w:r>
      <w:r w:rsidRPr="00CB25D6">
        <w:rPr>
          <w:b w:val="0"/>
          <w:lang w:val="en-GB"/>
        </w:rPr>
        <w:t xml:space="preserve">he </w:t>
      </w:r>
      <w:r>
        <w:rPr>
          <w:b w:val="0"/>
          <w:lang w:val="en-GB"/>
        </w:rPr>
        <w:t>Committee has made recommendations for both an end- and interim-state for the MBS brachytherapy items.  The end-state recommendation involves replacing all MBS brachytherapy items with a new item structure</w:t>
      </w:r>
      <w:r w:rsidR="00F636CB">
        <w:rPr>
          <w:b w:val="0"/>
          <w:lang w:val="en-GB"/>
        </w:rPr>
        <w:t xml:space="preserve"> consisting of</w:t>
      </w:r>
      <w:r>
        <w:rPr>
          <w:b w:val="0"/>
          <w:lang w:val="en-GB"/>
        </w:rPr>
        <w:t xml:space="preserve"> </w:t>
      </w:r>
      <w:r w:rsidR="00501422">
        <w:rPr>
          <w:b w:val="0"/>
          <w:lang w:val="en-GB"/>
        </w:rPr>
        <w:t>four</w:t>
      </w:r>
      <w:r>
        <w:rPr>
          <w:b w:val="0"/>
          <w:lang w:val="en-GB"/>
        </w:rPr>
        <w:t xml:space="preserve"> items</w:t>
      </w:r>
      <w:r w:rsidR="00216DDD">
        <w:rPr>
          <w:b w:val="0"/>
          <w:lang w:val="en-GB"/>
        </w:rPr>
        <w:t>,</w:t>
      </w:r>
      <w:r>
        <w:rPr>
          <w:b w:val="0"/>
          <w:lang w:val="en-GB"/>
        </w:rPr>
        <w:t xml:space="preserve"> tiered by complexity level. </w:t>
      </w:r>
      <w:r w:rsidR="007F5EC5">
        <w:rPr>
          <w:b w:val="0"/>
          <w:lang w:val="en-GB"/>
        </w:rPr>
        <w:t>The</w:t>
      </w:r>
      <w:r>
        <w:rPr>
          <w:b w:val="0"/>
          <w:lang w:val="en-GB"/>
        </w:rPr>
        <w:t xml:space="preserve"> Committee </w:t>
      </w:r>
      <w:r w:rsidR="000A5242">
        <w:rPr>
          <w:b w:val="0"/>
          <w:lang w:val="en-GB"/>
        </w:rPr>
        <w:t xml:space="preserve">has also </w:t>
      </w:r>
      <w:r>
        <w:rPr>
          <w:b w:val="0"/>
          <w:lang w:val="en-GB"/>
        </w:rPr>
        <w:t xml:space="preserve">made </w:t>
      </w:r>
      <w:r w:rsidR="000A467B">
        <w:rPr>
          <w:b w:val="0"/>
          <w:lang w:val="en-GB"/>
        </w:rPr>
        <w:t xml:space="preserve">an </w:t>
      </w:r>
      <w:r>
        <w:rPr>
          <w:b w:val="0"/>
          <w:lang w:val="en-GB"/>
        </w:rPr>
        <w:t>interim-state recommendation</w:t>
      </w:r>
      <w:r w:rsidR="00457858">
        <w:rPr>
          <w:b w:val="0"/>
          <w:lang w:val="en-GB"/>
        </w:rPr>
        <w:t xml:space="preserve"> (in case delays to implementing this new structure </w:t>
      </w:r>
      <w:r w:rsidR="00FF0506">
        <w:rPr>
          <w:b w:val="0"/>
          <w:lang w:val="en-GB"/>
        </w:rPr>
        <w:lastRenderedPageBreak/>
        <w:t>are</w:t>
      </w:r>
      <w:r w:rsidR="00457858">
        <w:rPr>
          <w:b w:val="0"/>
          <w:lang w:val="en-GB"/>
        </w:rPr>
        <w:t xml:space="preserve"> anticipated</w:t>
      </w:r>
      <w:r w:rsidR="00FF0506">
        <w:rPr>
          <w:b w:val="0"/>
          <w:lang w:val="en-GB"/>
        </w:rPr>
        <w:t>)</w:t>
      </w:r>
      <w:r w:rsidR="00457858">
        <w:rPr>
          <w:b w:val="0"/>
          <w:lang w:val="en-GB"/>
        </w:rPr>
        <w:t>,</w:t>
      </w:r>
      <w:r>
        <w:rPr>
          <w:b w:val="0"/>
          <w:lang w:val="en-GB"/>
        </w:rPr>
        <w:t xml:space="preserve"> </w:t>
      </w:r>
      <w:r w:rsidR="00FF0506">
        <w:rPr>
          <w:b w:val="0"/>
          <w:lang w:val="en-GB"/>
        </w:rPr>
        <w:t xml:space="preserve">which </w:t>
      </w:r>
      <w:r>
        <w:rPr>
          <w:b w:val="0"/>
          <w:lang w:val="en-GB"/>
        </w:rPr>
        <w:t>involv</w:t>
      </w:r>
      <w:r w:rsidR="00FF0506">
        <w:rPr>
          <w:b w:val="0"/>
          <w:lang w:val="en-GB"/>
        </w:rPr>
        <w:t>es</w:t>
      </w:r>
      <w:r>
        <w:rPr>
          <w:b w:val="0"/>
          <w:lang w:val="en-GB"/>
        </w:rPr>
        <w:t xml:space="preserve"> </w:t>
      </w:r>
      <w:r w:rsidR="00923868">
        <w:rPr>
          <w:b w:val="0"/>
          <w:lang w:val="en-GB"/>
        </w:rPr>
        <w:t>deleting</w:t>
      </w:r>
      <w:r>
        <w:rPr>
          <w:b w:val="0"/>
          <w:lang w:val="en-GB"/>
        </w:rPr>
        <w:t xml:space="preserve"> </w:t>
      </w:r>
      <w:r>
        <w:rPr>
          <w:b w:val="0"/>
        </w:rPr>
        <w:t xml:space="preserve">obsolete items and </w:t>
      </w:r>
      <w:r w:rsidR="00EF6A2D">
        <w:rPr>
          <w:b w:val="0"/>
        </w:rPr>
        <w:t>consolidating</w:t>
      </w:r>
      <w:r>
        <w:rPr>
          <w:b w:val="0"/>
        </w:rPr>
        <w:t xml:space="preserve"> unnecessary distinctions between existing MBS items. As this interim-state recommendation affects </w:t>
      </w:r>
      <w:r>
        <w:rPr>
          <w:b w:val="0"/>
          <w:lang w:val="en-GB"/>
        </w:rPr>
        <w:t xml:space="preserve">only items that are unused or rarely used, the Committee expects </w:t>
      </w:r>
      <w:r w:rsidR="000508E6">
        <w:rPr>
          <w:b w:val="0"/>
          <w:lang w:val="en-GB"/>
        </w:rPr>
        <w:t>that it may be implemented quickly</w:t>
      </w:r>
      <w:r>
        <w:rPr>
          <w:b w:val="0"/>
          <w:lang w:val="en-GB"/>
        </w:rPr>
        <w:t xml:space="preserve"> </w:t>
      </w:r>
      <w:r w:rsidR="00D764AD">
        <w:rPr>
          <w:b w:val="0"/>
          <w:lang w:val="en-GB"/>
        </w:rPr>
        <w:t>(</w:t>
      </w:r>
      <w:r>
        <w:rPr>
          <w:b w:val="0"/>
          <w:lang w:val="en-GB"/>
        </w:rPr>
        <w:t>if accepted by the Minister).</w:t>
      </w:r>
    </w:p>
    <w:p w14:paraId="428FFBB7" w14:textId="0335E8F4" w:rsidR="003A0E76" w:rsidRPr="003A0E76" w:rsidRDefault="003A0E76" w:rsidP="003A0E76">
      <w:pPr>
        <w:pStyle w:val="Boldhdg"/>
        <w:rPr>
          <w:b w:val="0"/>
          <w:lang w:val="en-GB"/>
        </w:rPr>
      </w:pPr>
      <w:r>
        <w:rPr>
          <w:b w:val="0"/>
          <w:lang w:val="en-GB"/>
        </w:rPr>
        <w:t xml:space="preserve">For clarity, the interim-state recommendation is not intended to prevent the end-state recommendation from being implemented </w:t>
      </w:r>
      <w:r w:rsidR="00326750">
        <w:rPr>
          <w:b w:val="0"/>
          <w:lang w:val="en-GB"/>
        </w:rPr>
        <w:t>straight away</w:t>
      </w:r>
      <w:r w:rsidR="005941B1">
        <w:rPr>
          <w:b w:val="0"/>
          <w:lang w:val="en-GB"/>
        </w:rPr>
        <w:t xml:space="preserve"> </w:t>
      </w:r>
      <w:r>
        <w:rPr>
          <w:b w:val="0"/>
          <w:lang w:val="en-GB"/>
        </w:rPr>
        <w:t>(i.e., without first implementing the</w:t>
      </w:r>
      <w:r w:rsidR="000A0FF8">
        <w:rPr>
          <w:b w:val="0"/>
          <w:lang w:val="en-GB"/>
        </w:rPr>
        <w:t xml:space="preserve"> interim-state recommendation).</w:t>
      </w:r>
    </w:p>
    <w:p w14:paraId="1CA7BC61" w14:textId="3C6ABBAF" w:rsidR="00F85766" w:rsidRDefault="00176AFD" w:rsidP="00F85766">
      <w:pPr>
        <w:pStyle w:val="Heading3"/>
      </w:pPr>
      <w:bookmarkStart w:id="175" w:name="_Interim-state_recommendation:_Delet"/>
      <w:bookmarkStart w:id="176" w:name="_Toc468647484"/>
      <w:bookmarkStart w:id="177" w:name="_Toc479082790"/>
      <w:bookmarkEnd w:id="175"/>
      <w:r>
        <w:t>Interim-state</w:t>
      </w:r>
      <w:r w:rsidR="00640DC1">
        <w:t xml:space="preserve"> recommendation</w:t>
      </w:r>
      <w:r w:rsidR="00C92894">
        <w:t xml:space="preserve">: </w:t>
      </w:r>
      <w:r w:rsidR="009730BD">
        <w:t>D</w:t>
      </w:r>
      <w:r w:rsidR="00C92894">
        <w:t>elet</w:t>
      </w:r>
      <w:r w:rsidR="000D7DF9">
        <w:t>e</w:t>
      </w:r>
      <w:r w:rsidR="00C92894">
        <w:t xml:space="preserve"> obsolete items and consolidat</w:t>
      </w:r>
      <w:r w:rsidR="000D7DF9">
        <w:t>e</w:t>
      </w:r>
      <w:r w:rsidR="00C92894">
        <w:t xml:space="preserve"> unnecessary distinctions between items</w:t>
      </w:r>
      <w:bookmarkEnd w:id="176"/>
      <w:bookmarkEnd w:id="177"/>
    </w:p>
    <w:p w14:paraId="15C0598F" w14:textId="5FD4A947" w:rsidR="00F92045" w:rsidRDefault="00F92045" w:rsidP="00F92045">
      <w:pPr>
        <w:pStyle w:val="Boldhdg"/>
      </w:pPr>
      <w:bookmarkStart w:id="178" w:name="_Ref474802722"/>
      <w:r>
        <w:t xml:space="preserve">Recommendation </w:t>
      </w:r>
      <w:r>
        <w:fldChar w:fldCharType="begin"/>
      </w:r>
      <w:r>
        <w:instrText xml:space="preserve"> SEQ Recommendation \* ARABIC </w:instrText>
      </w:r>
      <w:r>
        <w:fldChar w:fldCharType="separate"/>
      </w:r>
      <w:r w:rsidR="003274EF">
        <w:rPr>
          <w:noProof/>
        </w:rPr>
        <w:t>6</w:t>
      </w:r>
      <w:r>
        <w:fldChar w:fldCharType="end"/>
      </w:r>
      <w:bookmarkEnd w:id="178"/>
    </w:p>
    <w:p w14:paraId="5D0E567F" w14:textId="54D15C57" w:rsidR="00FC3889" w:rsidRPr="002836EB" w:rsidRDefault="00C45C29" w:rsidP="00FC3889">
      <w:pPr>
        <w:pStyle w:val="01squarebullet"/>
        <w:rPr>
          <w:lang w:val="en-GB"/>
        </w:rPr>
      </w:pPr>
      <w:r w:rsidRPr="002836EB">
        <w:rPr>
          <w:lang w:val="en-GB"/>
        </w:rPr>
        <w:t>Delete the following items</w:t>
      </w:r>
      <w:r w:rsidR="00850685">
        <w:rPr>
          <w:lang w:val="en-GB"/>
        </w:rPr>
        <w:t>, recognising that</w:t>
      </w:r>
      <w:r w:rsidRPr="002836EB">
        <w:rPr>
          <w:lang w:val="en-GB"/>
        </w:rPr>
        <w:t xml:space="preserve"> radioactive sealed sources with</w:t>
      </w:r>
      <w:r w:rsidR="00FD3E02">
        <w:rPr>
          <w:lang w:val="en-GB"/>
        </w:rPr>
        <w:t xml:space="preserve"> a</w:t>
      </w:r>
      <w:r w:rsidRPr="002836EB">
        <w:rPr>
          <w:lang w:val="en-GB"/>
        </w:rPr>
        <w:t xml:space="preserve"> half-life greater than 115 days</w:t>
      </w:r>
      <w:r w:rsidR="00850685">
        <w:rPr>
          <w:lang w:val="en-GB"/>
        </w:rPr>
        <w:t xml:space="preserve"> have become obsolete</w:t>
      </w:r>
      <w:r w:rsidR="00F67D6B" w:rsidRPr="002836EB">
        <w:rPr>
          <w:lang w:val="en-GB"/>
        </w:rPr>
        <w:t>:</w:t>
      </w:r>
    </w:p>
    <w:p w14:paraId="1FB55C03" w14:textId="7ED06804" w:rsidR="00C45C29" w:rsidRPr="002836EB" w:rsidRDefault="00C45C29" w:rsidP="00A7186C">
      <w:pPr>
        <w:pStyle w:val="01squarebullet"/>
        <w:numPr>
          <w:ilvl w:val="1"/>
          <w:numId w:val="16"/>
        </w:numPr>
        <w:rPr>
          <w:lang w:val="en-GB"/>
        </w:rPr>
      </w:pPr>
      <w:r w:rsidRPr="002836EB">
        <w:rPr>
          <w:lang w:val="en-GB"/>
        </w:rPr>
        <w:t xml:space="preserve">Items 15303 </w:t>
      </w:r>
      <w:r w:rsidR="00333A40">
        <w:rPr>
          <w:lang w:val="en-GB"/>
        </w:rPr>
        <w:t>and</w:t>
      </w:r>
      <w:r w:rsidRPr="002836EB">
        <w:rPr>
          <w:lang w:val="en-GB"/>
        </w:rPr>
        <w:t xml:space="preserve"> 15304 (intrauterine brachytherapy)</w:t>
      </w:r>
      <w:r w:rsidR="00F67D6B" w:rsidRPr="002836EB">
        <w:rPr>
          <w:lang w:val="en-GB"/>
        </w:rPr>
        <w:t>.</w:t>
      </w:r>
    </w:p>
    <w:p w14:paraId="0B97A54D" w14:textId="1C336FAB" w:rsidR="00C45C29" w:rsidRPr="002836EB" w:rsidRDefault="00C45C29" w:rsidP="00A7186C">
      <w:pPr>
        <w:pStyle w:val="01squarebullet"/>
        <w:numPr>
          <w:ilvl w:val="1"/>
          <w:numId w:val="16"/>
        </w:numPr>
        <w:rPr>
          <w:lang w:val="en-GB"/>
        </w:rPr>
      </w:pPr>
      <w:r w:rsidRPr="002836EB">
        <w:rPr>
          <w:lang w:val="en-GB"/>
        </w:rPr>
        <w:t xml:space="preserve">Items 15311 </w:t>
      </w:r>
      <w:r w:rsidR="003871FC">
        <w:rPr>
          <w:lang w:val="en-GB"/>
        </w:rPr>
        <w:t>and</w:t>
      </w:r>
      <w:r w:rsidRPr="002836EB">
        <w:rPr>
          <w:lang w:val="en-GB"/>
        </w:rPr>
        <w:t xml:space="preserve"> 15312 (intravaginal brachytherapy)</w:t>
      </w:r>
      <w:r w:rsidR="00F67D6B" w:rsidRPr="002836EB">
        <w:rPr>
          <w:lang w:val="en-GB"/>
        </w:rPr>
        <w:t>.</w:t>
      </w:r>
    </w:p>
    <w:p w14:paraId="53AD3604" w14:textId="7C4FC3AA" w:rsidR="00C45C29" w:rsidRPr="002836EB" w:rsidRDefault="00C45C29" w:rsidP="00A7186C">
      <w:pPr>
        <w:pStyle w:val="01squarebullet"/>
        <w:numPr>
          <w:ilvl w:val="1"/>
          <w:numId w:val="16"/>
        </w:numPr>
        <w:rPr>
          <w:lang w:val="en-GB"/>
        </w:rPr>
      </w:pPr>
      <w:r w:rsidRPr="002836EB">
        <w:rPr>
          <w:lang w:val="en-GB"/>
        </w:rPr>
        <w:t xml:space="preserve">Items 15319 </w:t>
      </w:r>
      <w:r w:rsidR="003871FC">
        <w:rPr>
          <w:lang w:val="en-GB"/>
        </w:rPr>
        <w:t>and</w:t>
      </w:r>
      <w:r w:rsidRPr="002836EB">
        <w:rPr>
          <w:lang w:val="en-GB"/>
        </w:rPr>
        <w:t xml:space="preserve"> 15320 (combined brachytherapy)</w:t>
      </w:r>
      <w:r w:rsidR="00F67D6B" w:rsidRPr="002836EB">
        <w:rPr>
          <w:lang w:val="en-GB"/>
        </w:rPr>
        <w:t>.</w:t>
      </w:r>
    </w:p>
    <w:p w14:paraId="61D318DD" w14:textId="0224B390" w:rsidR="00C45C29" w:rsidRPr="002836EB" w:rsidRDefault="00C45C29" w:rsidP="00A7186C">
      <w:pPr>
        <w:pStyle w:val="01squarebullet"/>
        <w:numPr>
          <w:ilvl w:val="1"/>
          <w:numId w:val="16"/>
        </w:numPr>
        <w:rPr>
          <w:lang w:val="en-GB"/>
        </w:rPr>
      </w:pPr>
      <w:r w:rsidRPr="002836EB">
        <w:rPr>
          <w:lang w:val="en-GB"/>
        </w:rPr>
        <w:t>Item 15342 (</w:t>
      </w:r>
      <w:r w:rsidR="00F8048F" w:rsidRPr="002836EB">
        <w:rPr>
          <w:lang w:val="en-GB"/>
        </w:rPr>
        <w:t>construction and application or intracavity, intraoral or intranasal radioactive mould</w:t>
      </w:r>
      <w:r w:rsidRPr="002836EB">
        <w:rPr>
          <w:lang w:val="en-GB"/>
        </w:rPr>
        <w:t>)</w:t>
      </w:r>
      <w:r w:rsidR="00F67D6B" w:rsidRPr="002836EB">
        <w:rPr>
          <w:lang w:val="en-GB"/>
        </w:rPr>
        <w:t>.</w:t>
      </w:r>
    </w:p>
    <w:p w14:paraId="5B1A567F" w14:textId="46DC2573" w:rsidR="00C45C29" w:rsidRPr="002836EB" w:rsidRDefault="00F8048F" w:rsidP="00C45C29">
      <w:pPr>
        <w:pStyle w:val="01squarebullet"/>
        <w:rPr>
          <w:lang w:val="en-GB"/>
        </w:rPr>
      </w:pPr>
      <w:r w:rsidRPr="002836EB">
        <w:rPr>
          <w:bCs/>
          <w:lang w:val="en-GB"/>
        </w:rPr>
        <w:t>Consolidate</w:t>
      </w:r>
      <w:r w:rsidR="00C45C29" w:rsidRPr="002836EB">
        <w:rPr>
          <w:bCs/>
          <w:lang w:val="en-GB"/>
        </w:rPr>
        <w:t xml:space="preserve"> the following items </w:t>
      </w:r>
      <w:r w:rsidR="00C45C29" w:rsidRPr="002836EB">
        <w:rPr>
          <w:lang w:val="en-GB"/>
        </w:rPr>
        <w:t>to remove the unnecessary distinction between manual and automatic after</w:t>
      </w:r>
      <w:r w:rsidR="0072466B">
        <w:rPr>
          <w:lang w:val="en-GB"/>
        </w:rPr>
        <w:t>-</w:t>
      </w:r>
      <w:r w:rsidR="00C45C29" w:rsidRPr="002836EB">
        <w:rPr>
          <w:lang w:val="en-GB"/>
        </w:rPr>
        <w:t>loading techniques</w:t>
      </w:r>
      <w:r w:rsidR="00F67D6B" w:rsidRPr="002836EB">
        <w:rPr>
          <w:lang w:val="en-GB"/>
        </w:rPr>
        <w:t>:</w:t>
      </w:r>
    </w:p>
    <w:p w14:paraId="1C753F73" w14:textId="550948DE" w:rsidR="00C45C29" w:rsidRPr="002836EB" w:rsidRDefault="00C45C29" w:rsidP="00A7186C">
      <w:pPr>
        <w:pStyle w:val="01squarebullet"/>
        <w:numPr>
          <w:ilvl w:val="1"/>
          <w:numId w:val="16"/>
        </w:numPr>
        <w:rPr>
          <w:lang w:val="en-GB"/>
        </w:rPr>
      </w:pPr>
      <w:r w:rsidRPr="002836EB">
        <w:rPr>
          <w:lang w:val="en-GB"/>
        </w:rPr>
        <w:t>Item 15307 into 15308 (intrauterine brachytherapy)</w:t>
      </w:r>
      <w:r w:rsidR="00F67D6B" w:rsidRPr="002836EB">
        <w:rPr>
          <w:lang w:val="en-GB"/>
        </w:rPr>
        <w:t>.</w:t>
      </w:r>
    </w:p>
    <w:p w14:paraId="590FD52D" w14:textId="603D5746" w:rsidR="00C45C29" w:rsidRPr="002836EB" w:rsidRDefault="00C45C29" w:rsidP="00A7186C">
      <w:pPr>
        <w:pStyle w:val="01squarebullet"/>
        <w:numPr>
          <w:ilvl w:val="1"/>
          <w:numId w:val="16"/>
        </w:numPr>
        <w:rPr>
          <w:lang w:val="en-GB"/>
        </w:rPr>
      </w:pPr>
      <w:r w:rsidRPr="002836EB">
        <w:rPr>
          <w:lang w:val="en-GB"/>
        </w:rPr>
        <w:t>Item 15315 into 15316 (intravaginal brachytherapy)</w:t>
      </w:r>
      <w:r w:rsidR="00F67D6B" w:rsidRPr="002836EB">
        <w:rPr>
          <w:lang w:val="en-GB"/>
        </w:rPr>
        <w:t>.</w:t>
      </w:r>
    </w:p>
    <w:p w14:paraId="4F71F43E" w14:textId="2C49F51E" w:rsidR="00C45C29" w:rsidRPr="002836EB" w:rsidRDefault="00C45C29" w:rsidP="00A7186C">
      <w:pPr>
        <w:pStyle w:val="01squarebullet"/>
        <w:numPr>
          <w:ilvl w:val="1"/>
          <w:numId w:val="16"/>
        </w:numPr>
        <w:rPr>
          <w:lang w:val="en-GB"/>
        </w:rPr>
      </w:pPr>
      <w:r w:rsidRPr="002836EB">
        <w:rPr>
          <w:lang w:val="en-GB"/>
        </w:rPr>
        <w:t>Item 15323 into 15324 (combined brachytherapy)</w:t>
      </w:r>
      <w:r w:rsidR="00F67D6B" w:rsidRPr="002836EB">
        <w:rPr>
          <w:lang w:val="en-GB"/>
        </w:rPr>
        <w:t>.</w:t>
      </w:r>
    </w:p>
    <w:p w14:paraId="61B3C0A5" w14:textId="2C4D4DD3" w:rsidR="00C45C29" w:rsidRPr="002836EB" w:rsidRDefault="00C45C29" w:rsidP="00A7186C">
      <w:pPr>
        <w:pStyle w:val="01squarebullet"/>
        <w:numPr>
          <w:ilvl w:val="1"/>
          <w:numId w:val="16"/>
        </w:numPr>
        <w:rPr>
          <w:lang w:val="en-GB"/>
        </w:rPr>
      </w:pPr>
      <w:r w:rsidRPr="002836EB">
        <w:rPr>
          <w:lang w:val="en-GB"/>
        </w:rPr>
        <w:t>Item 15327 into 15328 (other site, surgical exposure)</w:t>
      </w:r>
      <w:r w:rsidR="00F67D6B" w:rsidRPr="002836EB">
        <w:rPr>
          <w:lang w:val="en-GB"/>
        </w:rPr>
        <w:t>.</w:t>
      </w:r>
    </w:p>
    <w:p w14:paraId="47F256C7" w14:textId="2CAF6DE5" w:rsidR="00C45C29" w:rsidRPr="002836EB" w:rsidRDefault="00C45C29" w:rsidP="00A7186C">
      <w:pPr>
        <w:pStyle w:val="01squarebullet"/>
        <w:numPr>
          <w:ilvl w:val="1"/>
          <w:numId w:val="16"/>
        </w:numPr>
        <w:rPr>
          <w:lang w:val="en-GB"/>
        </w:rPr>
      </w:pPr>
      <w:r w:rsidRPr="002836EB">
        <w:rPr>
          <w:lang w:val="en-GB"/>
        </w:rPr>
        <w:t>Item 15331 into 15332 (other site, multiplane non-surgical exposure)</w:t>
      </w:r>
      <w:r w:rsidR="00F67D6B" w:rsidRPr="002836EB">
        <w:rPr>
          <w:lang w:val="en-GB"/>
        </w:rPr>
        <w:t>.</w:t>
      </w:r>
    </w:p>
    <w:p w14:paraId="4CFDFEC2" w14:textId="2A3CCDBB" w:rsidR="00C45C29" w:rsidRPr="002836EB" w:rsidRDefault="00F8048F" w:rsidP="00C45C29">
      <w:pPr>
        <w:pStyle w:val="01squarebullet"/>
        <w:rPr>
          <w:lang w:val="en-GB"/>
        </w:rPr>
      </w:pPr>
      <w:r w:rsidRPr="002836EB">
        <w:rPr>
          <w:bCs/>
          <w:lang w:val="en-GB"/>
        </w:rPr>
        <w:t>Remove</w:t>
      </w:r>
      <w:r w:rsidR="00C45C29" w:rsidRPr="002836EB">
        <w:rPr>
          <w:bCs/>
          <w:lang w:val="en-GB"/>
        </w:rPr>
        <w:t xml:space="preserve"> half-life references from all brachytherapy items </w:t>
      </w:r>
      <w:r w:rsidR="003A2259">
        <w:rPr>
          <w:bCs/>
          <w:lang w:val="en-GB"/>
        </w:rPr>
        <w:t xml:space="preserve">that </w:t>
      </w:r>
      <w:r w:rsidR="00C45C29" w:rsidRPr="002836EB">
        <w:rPr>
          <w:bCs/>
          <w:lang w:val="en-GB"/>
        </w:rPr>
        <w:t>remain</w:t>
      </w:r>
      <w:r w:rsidR="003A2259">
        <w:rPr>
          <w:bCs/>
          <w:lang w:val="en-GB"/>
        </w:rPr>
        <w:t xml:space="preserve"> in the MBS</w:t>
      </w:r>
      <w:r w:rsidR="00C45C29" w:rsidRPr="002836EB">
        <w:rPr>
          <w:bCs/>
          <w:lang w:val="en-GB"/>
        </w:rPr>
        <w:t xml:space="preserve"> after the abo</w:t>
      </w:r>
      <w:r w:rsidR="00F67D6B" w:rsidRPr="002836EB">
        <w:rPr>
          <w:bCs/>
          <w:lang w:val="en-GB"/>
        </w:rPr>
        <w:t>ve deletions and consolidations</w:t>
      </w:r>
      <w:r w:rsidR="00166697">
        <w:rPr>
          <w:bCs/>
          <w:lang w:val="en-GB"/>
        </w:rPr>
        <w:t xml:space="preserve"> have been implemented</w:t>
      </w:r>
      <w:r w:rsidR="00F67D6B" w:rsidRPr="002836EB">
        <w:rPr>
          <w:bCs/>
          <w:lang w:val="en-GB"/>
        </w:rPr>
        <w:t>:</w:t>
      </w:r>
      <w:r w:rsidR="00C45C29" w:rsidRPr="002836EB">
        <w:rPr>
          <w:lang w:val="en-GB"/>
        </w:rPr>
        <w:t xml:space="preserve"> items 15308, 15316, 15324, 15</w:t>
      </w:r>
      <w:r w:rsidR="00F67D6B" w:rsidRPr="002836EB">
        <w:rPr>
          <w:lang w:val="en-GB"/>
        </w:rPr>
        <w:t>328, 15332, 15335, 15336</w:t>
      </w:r>
      <w:r w:rsidR="00C5642D">
        <w:rPr>
          <w:lang w:val="en-GB"/>
        </w:rPr>
        <w:t xml:space="preserve"> and </w:t>
      </w:r>
      <w:r w:rsidR="00F67D6B" w:rsidRPr="002836EB">
        <w:rPr>
          <w:lang w:val="en-GB"/>
        </w:rPr>
        <w:t>15345.</w:t>
      </w:r>
    </w:p>
    <w:p w14:paraId="11A2CDFC" w14:textId="5DC9B9C4" w:rsidR="00F45889" w:rsidRPr="002836EB" w:rsidRDefault="00F45889" w:rsidP="00912CB0">
      <w:pPr>
        <w:pStyle w:val="01squarebullet"/>
        <w:numPr>
          <w:ilvl w:val="0"/>
          <w:numId w:val="0"/>
        </w:numPr>
        <w:ind w:left="360"/>
        <w:rPr>
          <w:lang w:val="en-GB"/>
        </w:rPr>
      </w:pPr>
      <w:r w:rsidRPr="002836EB">
        <w:rPr>
          <w:lang w:val="en-GB"/>
        </w:rPr>
        <w:t>The proposed item descriptors are below.</w:t>
      </w:r>
    </w:p>
    <w:p w14:paraId="29F3E113" w14:textId="7236781E" w:rsidR="00912CB0" w:rsidRPr="002836EB" w:rsidRDefault="009E5096" w:rsidP="00912CB0">
      <w:pPr>
        <w:pStyle w:val="Item"/>
      </w:pPr>
      <w:r w:rsidRPr="002836EB">
        <w:t xml:space="preserve">Item </w:t>
      </w:r>
      <w:r w:rsidR="00163123" w:rsidRPr="002836EB">
        <w:t>15308</w:t>
      </w:r>
      <w:r w:rsidR="00912CB0" w:rsidRPr="002836EB">
        <w:t xml:space="preserve">: </w:t>
      </w:r>
    </w:p>
    <w:p w14:paraId="32A755B5" w14:textId="63CAD556" w:rsidR="002C3468" w:rsidRPr="002836EB" w:rsidRDefault="00F2427F" w:rsidP="00912CB0">
      <w:r w:rsidRPr="002836EB">
        <w:t>Intrauterine treatment alone using radioactive sealed sources including iod</w:t>
      </w:r>
      <w:r w:rsidR="002C3468" w:rsidRPr="002836EB">
        <w:t>ine, gold, iridium or tantalum.</w:t>
      </w:r>
    </w:p>
    <w:p w14:paraId="1E329C9B" w14:textId="214070B6" w:rsidR="00912CB0" w:rsidRPr="002836EB" w:rsidRDefault="00F2427F" w:rsidP="00912CB0">
      <w:r w:rsidRPr="002836EB">
        <w:t>(Anaes.)</w:t>
      </w:r>
    </w:p>
    <w:p w14:paraId="088249F2" w14:textId="2A81E6EB" w:rsidR="00163123" w:rsidRPr="002836EB" w:rsidRDefault="00857BF1" w:rsidP="00163123">
      <w:pPr>
        <w:pStyle w:val="Item"/>
      </w:pPr>
      <w:r>
        <w:t>Item 15316:</w:t>
      </w:r>
    </w:p>
    <w:p w14:paraId="4030C923" w14:textId="77673ED2" w:rsidR="002C3468" w:rsidRPr="002836EB" w:rsidRDefault="00F2427F" w:rsidP="00163123">
      <w:r w:rsidRPr="002836EB">
        <w:t>Intravaginal treatment alone using radioactive sealed sources including io</w:t>
      </w:r>
      <w:r w:rsidR="002C3468" w:rsidRPr="002836EB">
        <w:t>dine, gold, iridium or tantalum.</w:t>
      </w:r>
    </w:p>
    <w:p w14:paraId="095B7786" w14:textId="2AA12772" w:rsidR="00163123" w:rsidRPr="002836EB" w:rsidRDefault="00F2427F" w:rsidP="00163123">
      <w:r w:rsidRPr="002836EB">
        <w:t>(Anaes.)</w:t>
      </w:r>
    </w:p>
    <w:p w14:paraId="15050269" w14:textId="5816BA0F" w:rsidR="00163123" w:rsidRPr="002836EB" w:rsidRDefault="00026A09" w:rsidP="00163123">
      <w:pPr>
        <w:pStyle w:val="Item"/>
      </w:pPr>
      <w:r>
        <w:lastRenderedPageBreak/>
        <w:t>Item 15324:</w:t>
      </w:r>
    </w:p>
    <w:p w14:paraId="03731131" w14:textId="740C86F0" w:rsidR="002C3468" w:rsidRPr="002836EB" w:rsidRDefault="00F2427F" w:rsidP="00163123">
      <w:r w:rsidRPr="002836EB">
        <w:t>Combined intrauterine and intravaginal treatment using radioactive sealed sources including iod</w:t>
      </w:r>
      <w:r w:rsidR="002C3468" w:rsidRPr="002836EB">
        <w:t>ine, gold, iridium or tantalum.</w:t>
      </w:r>
    </w:p>
    <w:p w14:paraId="7C3A287E" w14:textId="706730EE" w:rsidR="00163123" w:rsidRPr="002836EB" w:rsidRDefault="00F2427F" w:rsidP="00163123">
      <w:r w:rsidRPr="002836EB">
        <w:t>(Anaes.)</w:t>
      </w:r>
    </w:p>
    <w:p w14:paraId="5E306C5F" w14:textId="588C886E" w:rsidR="00163123" w:rsidRPr="002836EB" w:rsidRDefault="00163123" w:rsidP="00163123">
      <w:pPr>
        <w:pStyle w:val="Item"/>
      </w:pPr>
      <w:r w:rsidRPr="002836EB">
        <w:t xml:space="preserve">Item 15328: </w:t>
      </w:r>
    </w:p>
    <w:p w14:paraId="370B5FA7" w14:textId="1C945EFD" w:rsidR="002C3468" w:rsidRPr="002836EB" w:rsidRDefault="00F2427F" w:rsidP="00163123">
      <w:r w:rsidRPr="002836EB">
        <w:t xml:space="preserve">Implantation of a sealed radioactive source </w:t>
      </w:r>
      <w:r w:rsidR="002C3468" w:rsidRPr="002836EB">
        <w:t>(</w:t>
      </w:r>
      <w:r w:rsidRPr="002836EB">
        <w:t>including iodine, gold, iridium or tantalum) to a region, under general anaesthesia, or epidural or spinal (intrathecal) nerve blo</w:t>
      </w:r>
      <w:r w:rsidR="002C3468" w:rsidRPr="002836EB">
        <w:t>ck, requiring surgical exposure.</w:t>
      </w:r>
    </w:p>
    <w:p w14:paraId="02BA696F" w14:textId="131F7BD4" w:rsidR="00163123" w:rsidRPr="002836EB" w:rsidRDefault="00F2427F" w:rsidP="00163123">
      <w:r w:rsidRPr="002836EB">
        <w:t>(Anaes.)</w:t>
      </w:r>
    </w:p>
    <w:p w14:paraId="446B7089" w14:textId="22A854BD" w:rsidR="00163123" w:rsidRPr="002836EB" w:rsidRDefault="00163123" w:rsidP="00163123">
      <w:pPr>
        <w:pStyle w:val="Item"/>
      </w:pPr>
      <w:r w:rsidRPr="002836EB">
        <w:t xml:space="preserve">Item 15332: </w:t>
      </w:r>
    </w:p>
    <w:p w14:paraId="39DE222C" w14:textId="1FA189E5" w:rsidR="002C3468" w:rsidRPr="002836EB" w:rsidRDefault="00F2427F" w:rsidP="00163123">
      <w:r w:rsidRPr="002836EB">
        <w:t>Implantation of a sealed radioactive source (including iodine, gold, iridium or tantalum) to a site (including the tongue, mouth, salivary gland, axilla, subcutaneous sites) where the volume treated involves multiple planes but doe</w:t>
      </w:r>
      <w:r w:rsidR="002C3468" w:rsidRPr="002836EB">
        <w:t>s not require surgical exposure.</w:t>
      </w:r>
    </w:p>
    <w:p w14:paraId="68C90DDD" w14:textId="19D1C7A1" w:rsidR="00163123" w:rsidRPr="002836EB" w:rsidRDefault="00F2427F" w:rsidP="00163123">
      <w:r w:rsidRPr="002836EB">
        <w:t>(Anaes.)</w:t>
      </w:r>
    </w:p>
    <w:p w14:paraId="0425BCD1" w14:textId="0C1E9370" w:rsidR="00163123" w:rsidRPr="002836EB" w:rsidRDefault="00163123" w:rsidP="00163123">
      <w:pPr>
        <w:pStyle w:val="Item"/>
      </w:pPr>
      <w:r w:rsidRPr="002836EB">
        <w:t xml:space="preserve">Item 15335: </w:t>
      </w:r>
    </w:p>
    <w:p w14:paraId="110E32AB" w14:textId="62D9C2D4" w:rsidR="002C3468" w:rsidRPr="002836EB" w:rsidRDefault="00F2427F" w:rsidP="00163123">
      <w:r w:rsidRPr="002836EB">
        <w:t>Implantation of a sealed radioactive source (including iodine, gold, iridium or tantalum) to a site where the volume treated involves only a single plane but doe</w:t>
      </w:r>
      <w:r w:rsidR="002C3468" w:rsidRPr="002836EB">
        <w:t>s not require surgical exposure</w:t>
      </w:r>
      <w:r w:rsidR="0006691D">
        <w:t>, and using manual afterloading techniques</w:t>
      </w:r>
      <w:r w:rsidR="002C3468" w:rsidRPr="002836EB">
        <w:t>.</w:t>
      </w:r>
    </w:p>
    <w:p w14:paraId="36C9561F" w14:textId="68BA835D" w:rsidR="00163123" w:rsidRPr="002836EB" w:rsidRDefault="00F2427F" w:rsidP="00163123">
      <w:r w:rsidRPr="002836EB">
        <w:t>(Anaes.)</w:t>
      </w:r>
    </w:p>
    <w:p w14:paraId="64F9C5F1" w14:textId="4418501D" w:rsidR="00163123" w:rsidRPr="002836EB" w:rsidRDefault="00163123" w:rsidP="00163123">
      <w:pPr>
        <w:pStyle w:val="Item"/>
      </w:pPr>
      <w:r w:rsidRPr="002836EB">
        <w:t xml:space="preserve">Item 15336: </w:t>
      </w:r>
    </w:p>
    <w:p w14:paraId="1DD06828" w14:textId="0516439C" w:rsidR="002C3468" w:rsidRPr="002836EB" w:rsidRDefault="00F2427F" w:rsidP="00163123">
      <w:pPr>
        <w:pStyle w:val="Item"/>
        <w:rPr>
          <w:b w:val="0"/>
          <w:szCs w:val="24"/>
        </w:rPr>
      </w:pPr>
      <w:r w:rsidRPr="002836EB">
        <w:rPr>
          <w:b w:val="0"/>
          <w:szCs w:val="24"/>
        </w:rPr>
        <w:t>Implantation of a sealed radioactive source (including iodine, gold, iridium or tantalum) to a site where the volume treated involves only a single plane but doe</w:t>
      </w:r>
      <w:r w:rsidR="002C3468" w:rsidRPr="002836EB">
        <w:rPr>
          <w:b w:val="0"/>
          <w:szCs w:val="24"/>
        </w:rPr>
        <w:t>s not require surgical exposure</w:t>
      </w:r>
      <w:r w:rsidR="0006691D">
        <w:rPr>
          <w:b w:val="0"/>
          <w:szCs w:val="24"/>
        </w:rPr>
        <w:t>,</w:t>
      </w:r>
      <w:r w:rsidR="0006691D" w:rsidRPr="00605E25">
        <w:t xml:space="preserve"> </w:t>
      </w:r>
      <w:r w:rsidR="0006691D" w:rsidRPr="0006691D">
        <w:rPr>
          <w:b w:val="0"/>
        </w:rPr>
        <w:t>and using automatic afterloading techniques</w:t>
      </w:r>
      <w:r w:rsidR="002C3468" w:rsidRPr="002836EB">
        <w:rPr>
          <w:b w:val="0"/>
          <w:szCs w:val="24"/>
        </w:rPr>
        <w:t>.</w:t>
      </w:r>
    </w:p>
    <w:p w14:paraId="0D615B66" w14:textId="5F3894E8" w:rsidR="00F2427F" w:rsidRPr="002836EB" w:rsidRDefault="00F2427F" w:rsidP="00163123">
      <w:pPr>
        <w:pStyle w:val="Item"/>
        <w:rPr>
          <w:b w:val="0"/>
          <w:szCs w:val="24"/>
        </w:rPr>
      </w:pPr>
      <w:r w:rsidRPr="002836EB">
        <w:rPr>
          <w:b w:val="0"/>
          <w:szCs w:val="24"/>
        </w:rPr>
        <w:t>(Anaes.)</w:t>
      </w:r>
    </w:p>
    <w:p w14:paraId="6B610762" w14:textId="6AFC071B" w:rsidR="00163123" w:rsidRPr="002836EB" w:rsidRDefault="00163123" w:rsidP="00163123">
      <w:pPr>
        <w:pStyle w:val="Item"/>
      </w:pPr>
      <w:r w:rsidRPr="002836EB">
        <w:t xml:space="preserve">Item 15345: </w:t>
      </w:r>
    </w:p>
    <w:p w14:paraId="0BAD891D" w14:textId="660B8915" w:rsidR="00F2427F" w:rsidRPr="002836EB" w:rsidRDefault="00F2427F" w:rsidP="00912CB0">
      <w:pPr>
        <w:pStyle w:val="ExplanatoryNotes"/>
        <w:rPr>
          <w:i w:val="0"/>
          <w:szCs w:val="24"/>
        </w:rPr>
      </w:pPr>
      <w:r w:rsidRPr="002836EB">
        <w:rPr>
          <w:i w:val="0"/>
          <w:szCs w:val="24"/>
        </w:rPr>
        <w:t>Construction and application of a radioactive mould using a sealed source including iodine, gold, iridium or tantalum to treat intracavity, intraoral or intranasal sites</w:t>
      </w:r>
      <w:r w:rsidR="00174EFC" w:rsidRPr="002836EB">
        <w:rPr>
          <w:i w:val="0"/>
          <w:szCs w:val="24"/>
        </w:rPr>
        <w:t>.</w:t>
      </w:r>
    </w:p>
    <w:p w14:paraId="16AEB330" w14:textId="1333CE77" w:rsidR="00912CB0" w:rsidRPr="002836EB" w:rsidRDefault="00912CB0" w:rsidP="00912CB0">
      <w:pPr>
        <w:pStyle w:val="ExplanatoryNotes"/>
      </w:pPr>
      <w:r w:rsidRPr="002836EB">
        <w:t>Explanatory notes</w:t>
      </w:r>
      <w:r w:rsidR="00D37E10" w:rsidRPr="002836EB">
        <w:t>:</w:t>
      </w:r>
      <w:r w:rsidR="00CF1C24" w:rsidRPr="002836EB">
        <w:t xml:space="preserve"> [</w:t>
      </w:r>
      <w:r w:rsidR="00650DDA">
        <w:t>N</w:t>
      </w:r>
      <w:r w:rsidR="00CF1C24" w:rsidRPr="002836EB">
        <w:t>one]</w:t>
      </w:r>
    </w:p>
    <w:p w14:paraId="68A97545" w14:textId="77777777" w:rsidR="00FC3889" w:rsidRPr="002836EB" w:rsidRDefault="00FC3889" w:rsidP="00FC3889">
      <w:pPr>
        <w:pStyle w:val="Boldhdg"/>
        <w:rPr>
          <w:lang w:val="en-GB"/>
        </w:rPr>
      </w:pPr>
      <w:r w:rsidRPr="002836EB">
        <w:rPr>
          <w:lang w:val="en-GB"/>
        </w:rPr>
        <w:t>Rationale</w:t>
      </w:r>
    </w:p>
    <w:p w14:paraId="67E91AFE" w14:textId="6EC3B3D4" w:rsidR="002F2FC0" w:rsidRPr="002836EB" w:rsidRDefault="00BD1CF9" w:rsidP="00D1460F">
      <w:pPr>
        <w:pStyle w:val="01squarebullet"/>
        <w:numPr>
          <w:ilvl w:val="0"/>
          <w:numId w:val="0"/>
        </w:numPr>
        <w:rPr>
          <w:lang w:val="en-GB"/>
        </w:rPr>
      </w:pPr>
      <w:r>
        <w:rPr>
          <w:lang w:val="en-GB"/>
        </w:rPr>
        <w:t>These</w:t>
      </w:r>
      <w:r w:rsidRPr="002836EB">
        <w:rPr>
          <w:lang w:val="en-GB"/>
        </w:rPr>
        <w:t xml:space="preserve"> </w:t>
      </w:r>
      <w:r w:rsidR="00D1460F" w:rsidRPr="002836EB">
        <w:rPr>
          <w:lang w:val="en-GB"/>
        </w:rPr>
        <w:t>recommendation</w:t>
      </w:r>
      <w:r>
        <w:rPr>
          <w:lang w:val="en-GB"/>
        </w:rPr>
        <w:t>s</w:t>
      </w:r>
      <w:r w:rsidR="00D1460F" w:rsidRPr="002836EB">
        <w:rPr>
          <w:lang w:val="en-GB"/>
        </w:rPr>
        <w:t xml:space="preserve"> focus on ensuring </w:t>
      </w:r>
      <w:r w:rsidR="0048395D">
        <w:rPr>
          <w:lang w:val="en-GB"/>
        </w:rPr>
        <w:t xml:space="preserve">that </w:t>
      </w:r>
      <w:r w:rsidR="00D1460F" w:rsidRPr="002836EB">
        <w:rPr>
          <w:lang w:val="en-GB"/>
        </w:rPr>
        <w:t>items reflect best-practice health services</w:t>
      </w:r>
      <w:r w:rsidR="006409BB">
        <w:rPr>
          <w:lang w:val="en-GB"/>
        </w:rPr>
        <w:t>.</w:t>
      </w:r>
      <w:r w:rsidR="00D1460F" w:rsidRPr="002836EB">
        <w:rPr>
          <w:lang w:val="en-GB"/>
        </w:rPr>
        <w:t xml:space="preserve"> </w:t>
      </w:r>
      <w:r w:rsidR="00B54E02">
        <w:rPr>
          <w:lang w:val="en-GB"/>
        </w:rPr>
        <w:t>They are</w:t>
      </w:r>
      <w:r w:rsidR="002F2FC0" w:rsidRPr="002836EB">
        <w:rPr>
          <w:lang w:val="en-GB"/>
        </w:rPr>
        <w:t xml:space="preserve"> based on the following observations.</w:t>
      </w:r>
    </w:p>
    <w:p w14:paraId="1D20D22D" w14:textId="64D6B883" w:rsidR="00C45C29" w:rsidRPr="002836EB" w:rsidRDefault="00C45C29" w:rsidP="00542896">
      <w:pPr>
        <w:pStyle w:val="01squarebullet"/>
        <w:rPr>
          <w:lang w:val="en-GB"/>
        </w:rPr>
      </w:pPr>
      <w:r w:rsidRPr="002836EB">
        <w:rPr>
          <w:lang w:val="en-GB"/>
        </w:rPr>
        <w:t>Radioactive sources with long half-lives</w:t>
      </w:r>
      <w:r w:rsidR="004C0DCB" w:rsidRPr="002836EB">
        <w:rPr>
          <w:lang w:val="en-GB"/>
        </w:rPr>
        <w:t xml:space="preserve"> (such as radium)</w:t>
      </w:r>
      <w:r w:rsidR="002A18A4" w:rsidRPr="002836EB">
        <w:rPr>
          <w:lang w:val="en-GB"/>
        </w:rPr>
        <w:t xml:space="preserve"> are clinically obsolete</w:t>
      </w:r>
      <w:r w:rsidR="002703C5" w:rsidRPr="002836EB">
        <w:rPr>
          <w:lang w:val="en-GB"/>
        </w:rPr>
        <w:t xml:space="preserve"> </w:t>
      </w:r>
      <w:r w:rsidR="00612B81">
        <w:rPr>
          <w:lang w:val="en-GB"/>
        </w:rPr>
        <w:t xml:space="preserve">as they are </w:t>
      </w:r>
      <w:r w:rsidR="00A64860">
        <w:rPr>
          <w:lang w:val="en-GB"/>
        </w:rPr>
        <w:t>almost impossible</w:t>
      </w:r>
      <w:r w:rsidR="002703C5" w:rsidRPr="002836EB">
        <w:rPr>
          <w:lang w:val="en-GB"/>
        </w:rPr>
        <w:t xml:space="preserve"> to source and </w:t>
      </w:r>
      <w:r w:rsidR="003B1958">
        <w:rPr>
          <w:lang w:val="en-GB"/>
        </w:rPr>
        <w:t xml:space="preserve">are </w:t>
      </w:r>
      <w:r w:rsidR="002703C5" w:rsidRPr="002836EB">
        <w:rPr>
          <w:lang w:val="en-GB"/>
        </w:rPr>
        <w:t xml:space="preserve">more difficult to </w:t>
      </w:r>
      <w:r w:rsidR="00612B81">
        <w:rPr>
          <w:lang w:val="en-GB"/>
        </w:rPr>
        <w:t>safely</w:t>
      </w:r>
      <w:r w:rsidR="002703C5" w:rsidRPr="002836EB">
        <w:rPr>
          <w:lang w:val="en-GB"/>
        </w:rPr>
        <w:t xml:space="preserve"> dispose of, in comparison to short half-life sources. </w:t>
      </w:r>
      <w:r w:rsidR="00F26A56">
        <w:rPr>
          <w:lang w:val="en-GB"/>
        </w:rPr>
        <w:t>As a result, t</w:t>
      </w:r>
      <w:r w:rsidR="007B5481" w:rsidRPr="002836EB">
        <w:rPr>
          <w:lang w:val="en-GB"/>
        </w:rPr>
        <w:t>he</w:t>
      </w:r>
      <w:r w:rsidR="00F26A56">
        <w:rPr>
          <w:lang w:val="en-GB"/>
        </w:rPr>
        <w:t xml:space="preserve">se </w:t>
      </w:r>
      <w:r w:rsidR="007B5481" w:rsidRPr="002836EB">
        <w:rPr>
          <w:lang w:val="en-GB"/>
        </w:rPr>
        <w:t>items are rarely used. Of the items recommended for deletion, items 15303, 15304, 15311, 15319, 15320 and 15342 had no instances of use in FY2014</w:t>
      </w:r>
      <w:r w:rsidR="004E1180">
        <w:rPr>
          <w:lang w:val="en-GB"/>
        </w:rPr>
        <w:t>/</w:t>
      </w:r>
      <w:r w:rsidR="007B5481" w:rsidRPr="002836EB">
        <w:rPr>
          <w:lang w:val="en-GB"/>
        </w:rPr>
        <w:t>15</w:t>
      </w:r>
      <w:r w:rsidR="009C7D02">
        <w:rPr>
          <w:lang w:val="en-GB"/>
        </w:rPr>
        <w:t>.</w:t>
      </w:r>
      <w:r w:rsidR="007B5481" w:rsidRPr="002836EB">
        <w:rPr>
          <w:lang w:val="en-GB"/>
        </w:rPr>
        <w:t xml:space="preserve"> </w:t>
      </w:r>
      <w:r w:rsidR="009C7D02">
        <w:rPr>
          <w:lang w:val="en-GB"/>
        </w:rPr>
        <w:t>I</w:t>
      </w:r>
      <w:r w:rsidR="007B5481" w:rsidRPr="002836EB">
        <w:rPr>
          <w:lang w:val="en-GB"/>
        </w:rPr>
        <w:t xml:space="preserve">tem 15312 </w:t>
      </w:r>
      <w:r w:rsidR="00501811" w:rsidRPr="002836EB">
        <w:rPr>
          <w:lang w:val="en-GB"/>
        </w:rPr>
        <w:t>(for intravaginal brachytherapy) had 45 instances</w:t>
      </w:r>
      <w:r w:rsidR="00D46ED3">
        <w:rPr>
          <w:lang w:val="en-GB"/>
        </w:rPr>
        <w:t xml:space="preserve"> of use in FY2014/15</w:t>
      </w:r>
      <w:r w:rsidR="00501811" w:rsidRPr="002836EB">
        <w:rPr>
          <w:lang w:val="en-GB"/>
        </w:rPr>
        <w:t xml:space="preserve"> (</w:t>
      </w:r>
      <w:r w:rsidR="00450414">
        <w:rPr>
          <w:lang w:val="en-GB"/>
        </w:rPr>
        <w:t>compared</w:t>
      </w:r>
      <w:r w:rsidR="00501811" w:rsidRPr="002836EB">
        <w:rPr>
          <w:lang w:val="en-GB"/>
        </w:rPr>
        <w:t xml:space="preserve"> to 1,303 instances</w:t>
      </w:r>
      <w:r w:rsidR="007707A7">
        <w:rPr>
          <w:lang w:val="en-GB"/>
        </w:rPr>
        <w:t xml:space="preserve"> of use</w:t>
      </w:r>
      <w:r w:rsidR="00501811" w:rsidRPr="002836EB">
        <w:rPr>
          <w:lang w:val="en-GB"/>
        </w:rPr>
        <w:t xml:space="preserve"> for the corresponding </w:t>
      </w:r>
      <w:r w:rsidR="006B00C1" w:rsidRPr="002836EB">
        <w:rPr>
          <w:lang w:val="en-GB"/>
        </w:rPr>
        <w:t>short half-life item 15316).</w:t>
      </w:r>
    </w:p>
    <w:p w14:paraId="28597FAD" w14:textId="42B17399" w:rsidR="003F6AF0" w:rsidRDefault="00C45C29" w:rsidP="003F6AF0">
      <w:pPr>
        <w:pStyle w:val="01squarebullet"/>
        <w:rPr>
          <w:lang w:val="en-GB"/>
        </w:rPr>
      </w:pPr>
      <w:r w:rsidRPr="002836EB">
        <w:rPr>
          <w:lang w:val="en-GB"/>
        </w:rPr>
        <w:t>Manual after-loading is rarely used in modern clinical practice</w:t>
      </w:r>
      <w:r w:rsidR="00A64860">
        <w:rPr>
          <w:lang w:val="en-GB"/>
        </w:rPr>
        <w:t xml:space="preserve">, due to the safety risks </w:t>
      </w:r>
      <w:r w:rsidR="008D26FD">
        <w:rPr>
          <w:lang w:val="en-GB"/>
        </w:rPr>
        <w:t xml:space="preserve">associated with </w:t>
      </w:r>
      <w:r w:rsidR="00673799">
        <w:rPr>
          <w:lang w:val="en-GB"/>
        </w:rPr>
        <w:t xml:space="preserve">radiation exposure </w:t>
      </w:r>
      <w:r w:rsidR="00772CF7">
        <w:rPr>
          <w:lang w:val="en-GB"/>
        </w:rPr>
        <w:t xml:space="preserve">for </w:t>
      </w:r>
      <w:r w:rsidR="00673799">
        <w:rPr>
          <w:lang w:val="en-GB"/>
        </w:rPr>
        <w:t>the provider during the loading process</w:t>
      </w:r>
      <w:r w:rsidR="002A18A4" w:rsidRPr="002836EB">
        <w:rPr>
          <w:lang w:val="en-GB"/>
        </w:rPr>
        <w:t xml:space="preserve">. Furthermore, </w:t>
      </w:r>
      <w:r w:rsidRPr="002836EB">
        <w:rPr>
          <w:lang w:val="en-GB"/>
        </w:rPr>
        <w:lastRenderedPageBreak/>
        <w:t>the distinction between manual and automatic after-loading is unnecessary (noting that the MBS items have identical schedule fees)</w:t>
      </w:r>
      <w:r w:rsidR="00812732" w:rsidRPr="002836EB">
        <w:rPr>
          <w:lang w:val="en-GB"/>
        </w:rPr>
        <w:t>.</w:t>
      </w:r>
      <w:r w:rsidR="003F6AF0" w:rsidRPr="002836EB">
        <w:rPr>
          <w:lang w:val="en-GB"/>
        </w:rPr>
        <w:t xml:space="preserve"> All manual after-loading items recommended for consolidation had no instances of use in FY2014</w:t>
      </w:r>
      <w:r w:rsidR="001737AF">
        <w:rPr>
          <w:lang w:val="en-GB"/>
        </w:rPr>
        <w:t>/</w:t>
      </w:r>
      <w:r w:rsidR="003F6AF0" w:rsidRPr="002836EB">
        <w:rPr>
          <w:lang w:val="en-GB"/>
        </w:rPr>
        <w:t xml:space="preserve">15. </w:t>
      </w:r>
    </w:p>
    <w:p w14:paraId="272FB8FA" w14:textId="5181112B" w:rsidR="00640DC1" w:rsidRDefault="00545C9C" w:rsidP="00640DC1">
      <w:pPr>
        <w:pStyle w:val="Heading3"/>
      </w:pPr>
      <w:bookmarkStart w:id="179" w:name="_End-state_recommendation:_Restructu"/>
      <w:bookmarkStart w:id="180" w:name="_Toc468647485"/>
      <w:bookmarkStart w:id="181" w:name="_Toc479082791"/>
      <w:bookmarkEnd w:id="179"/>
      <w:r>
        <w:t>End-state</w:t>
      </w:r>
      <w:r w:rsidR="00640DC1">
        <w:t xml:space="preserve"> recommendation: </w:t>
      </w:r>
      <w:r w:rsidR="00F135CE">
        <w:t>R</w:t>
      </w:r>
      <w:r w:rsidR="00640DC1">
        <w:t xml:space="preserve">estructure remaining brachytherapy items into </w:t>
      </w:r>
      <w:r w:rsidR="000475CC">
        <w:t>four</w:t>
      </w:r>
      <w:r w:rsidR="00640DC1">
        <w:t xml:space="preserve"> items tiered by complexity level</w:t>
      </w:r>
      <w:bookmarkEnd w:id="180"/>
      <w:bookmarkEnd w:id="181"/>
    </w:p>
    <w:p w14:paraId="725C508D" w14:textId="7DC9A673" w:rsidR="00F92045" w:rsidRDefault="00F92045" w:rsidP="00F92045">
      <w:pPr>
        <w:pStyle w:val="Boldhdg"/>
      </w:pPr>
      <w:bookmarkStart w:id="182" w:name="_Ref474802775"/>
      <w:r>
        <w:t xml:space="preserve">Recommendation </w:t>
      </w:r>
      <w:r>
        <w:fldChar w:fldCharType="begin"/>
      </w:r>
      <w:r>
        <w:instrText xml:space="preserve"> SEQ Recommendation \* ARABIC </w:instrText>
      </w:r>
      <w:r>
        <w:fldChar w:fldCharType="separate"/>
      </w:r>
      <w:r w:rsidR="003274EF">
        <w:rPr>
          <w:noProof/>
        </w:rPr>
        <w:t>7</w:t>
      </w:r>
      <w:r>
        <w:fldChar w:fldCharType="end"/>
      </w:r>
      <w:bookmarkEnd w:id="182"/>
    </w:p>
    <w:p w14:paraId="1AEEDC46" w14:textId="4F3A17CF" w:rsidR="00FC66A8" w:rsidRDefault="00C058DA" w:rsidP="00C058DA">
      <w:pPr>
        <w:pStyle w:val="01squarebullet"/>
        <w:rPr>
          <w:lang w:val="en-GB"/>
        </w:rPr>
      </w:pPr>
      <w:r w:rsidRPr="002836EB">
        <w:rPr>
          <w:lang w:val="en-GB"/>
        </w:rPr>
        <w:t xml:space="preserve">Restructure </w:t>
      </w:r>
      <w:r>
        <w:rPr>
          <w:lang w:val="en-GB"/>
        </w:rPr>
        <w:t>brachytherapy</w:t>
      </w:r>
      <w:r w:rsidRPr="002836EB">
        <w:rPr>
          <w:lang w:val="en-GB"/>
        </w:rPr>
        <w:t xml:space="preserve"> items </w:t>
      </w:r>
      <w:r w:rsidR="00E35DE8">
        <w:rPr>
          <w:lang w:val="en-GB"/>
        </w:rPr>
        <w:t>(</w:t>
      </w:r>
      <w:r w:rsidR="00E35DE8" w:rsidRPr="002836EB">
        <w:t>15303</w:t>
      </w:r>
      <w:r w:rsidR="00E35DE8">
        <w:t>–</w:t>
      </w:r>
      <w:r w:rsidR="00E35DE8" w:rsidRPr="002836EB">
        <w:t>15357, 15513, 15536</w:t>
      </w:r>
      <w:r w:rsidR="00E35DE8">
        <w:t>–</w:t>
      </w:r>
      <w:r w:rsidR="00E35DE8" w:rsidRPr="002836EB">
        <w:t>15539, 15800</w:t>
      </w:r>
      <w:r w:rsidR="00E35DE8">
        <w:t>–</w:t>
      </w:r>
      <w:r w:rsidR="00E35DE8" w:rsidRPr="002836EB">
        <w:t>15850</w:t>
      </w:r>
      <w:r w:rsidR="00E35DE8">
        <w:t xml:space="preserve">) </w:t>
      </w:r>
      <w:r w:rsidRPr="002836EB">
        <w:rPr>
          <w:lang w:val="en-GB"/>
        </w:rPr>
        <w:t xml:space="preserve">into </w:t>
      </w:r>
      <w:r w:rsidR="00E43CA6">
        <w:rPr>
          <w:lang w:val="en-GB"/>
        </w:rPr>
        <w:t xml:space="preserve">four </w:t>
      </w:r>
      <w:r w:rsidR="00FC66A8">
        <w:rPr>
          <w:lang w:val="en-GB"/>
        </w:rPr>
        <w:t>items</w:t>
      </w:r>
      <w:r w:rsidR="009541B7">
        <w:rPr>
          <w:lang w:val="en-GB"/>
        </w:rPr>
        <w:t>:</w:t>
      </w:r>
    </w:p>
    <w:p w14:paraId="13E9BDA2" w14:textId="36255A55" w:rsidR="00FC66A8" w:rsidRDefault="00FC66A8" w:rsidP="00A7186C">
      <w:pPr>
        <w:pStyle w:val="01squarebullet"/>
        <w:numPr>
          <w:ilvl w:val="1"/>
          <w:numId w:val="16"/>
        </w:numPr>
        <w:rPr>
          <w:lang w:val="en-GB"/>
        </w:rPr>
      </w:pPr>
      <w:r>
        <w:rPr>
          <w:lang w:val="en-GB"/>
        </w:rPr>
        <w:t xml:space="preserve">Tiered by </w:t>
      </w:r>
      <w:r w:rsidR="00394AF9">
        <w:rPr>
          <w:lang w:val="en-GB"/>
        </w:rPr>
        <w:t xml:space="preserve">three </w:t>
      </w:r>
      <w:r>
        <w:rPr>
          <w:lang w:val="en-GB"/>
        </w:rPr>
        <w:t>level</w:t>
      </w:r>
      <w:r w:rsidR="00394AF9">
        <w:rPr>
          <w:lang w:val="en-GB"/>
        </w:rPr>
        <w:t>s</w:t>
      </w:r>
      <w:r>
        <w:rPr>
          <w:lang w:val="en-GB"/>
        </w:rPr>
        <w:t xml:space="preserve"> of complexity</w:t>
      </w:r>
      <w:r w:rsidR="00AB2784">
        <w:rPr>
          <w:lang w:val="en-GB"/>
        </w:rPr>
        <w:t>:</w:t>
      </w:r>
    </w:p>
    <w:p w14:paraId="5ED6FC95" w14:textId="4EADA67B" w:rsidR="00394AF9" w:rsidRPr="00394AF9" w:rsidRDefault="00394AF9" w:rsidP="00A7186C">
      <w:pPr>
        <w:pStyle w:val="01squarebullet"/>
        <w:numPr>
          <w:ilvl w:val="2"/>
          <w:numId w:val="16"/>
        </w:numPr>
        <w:rPr>
          <w:lang w:val="en-GB"/>
        </w:rPr>
      </w:pPr>
      <w:r w:rsidRPr="00394AF9">
        <w:rPr>
          <w:lang w:val="en-GB"/>
        </w:rPr>
        <w:t xml:space="preserve">Level 1 – Simple </w:t>
      </w:r>
      <w:r w:rsidR="002672C9">
        <w:rPr>
          <w:lang w:val="en-GB"/>
        </w:rPr>
        <w:t xml:space="preserve">Complexity, </w:t>
      </w:r>
      <w:r w:rsidR="000A5C41">
        <w:rPr>
          <w:lang w:val="en-GB"/>
        </w:rPr>
        <w:t>High-Dose Rate</w:t>
      </w:r>
      <w:r w:rsidR="007A5491">
        <w:rPr>
          <w:lang w:val="en-GB"/>
        </w:rPr>
        <w:t xml:space="preserve"> Brachytherapy.</w:t>
      </w:r>
    </w:p>
    <w:p w14:paraId="78A4D038" w14:textId="6EBFDC97" w:rsidR="00394AF9" w:rsidRPr="00394AF9" w:rsidRDefault="00394AF9" w:rsidP="00A7186C">
      <w:pPr>
        <w:pStyle w:val="01squarebullet"/>
        <w:numPr>
          <w:ilvl w:val="2"/>
          <w:numId w:val="16"/>
        </w:numPr>
        <w:rPr>
          <w:lang w:val="en-GB"/>
        </w:rPr>
      </w:pPr>
      <w:r w:rsidRPr="00394AF9">
        <w:rPr>
          <w:lang w:val="en-GB"/>
        </w:rPr>
        <w:t xml:space="preserve">Level 2 – Intermediate </w:t>
      </w:r>
      <w:r w:rsidR="002672C9">
        <w:rPr>
          <w:lang w:val="en-GB"/>
        </w:rPr>
        <w:t xml:space="preserve">Complexity, </w:t>
      </w:r>
      <w:r w:rsidR="000A5C41">
        <w:rPr>
          <w:lang w:val="en-GB"/>
        </w:rPr>
        <w:t>High-Dose Rate</w:t>
      </w:r>
      <w:r w:rsidRPr="00394AF9">
        <w:rPr>
          <w:lang w:val="en-GB"/>
        </w:rPr>
        <w:t xml:space="preserve"> </w:t>
      </w:r>
      <w:r w:rsidR="00F77E1E">
        <w:rPr>
          <w:lang w:val="en-GB"/>
        </w:rPr>
        <w:t>or</w:t>
      </w:r>
      <w:r w:rsidRPr="00394AF9">
        <w:rPr>
          <w:lang w:val="en-GB"/>
        </w:rPr>
        <w:t xml:space="preserve"> Temporary Eye Plaques (Choroidal Melanoma)</w:t>
      </w:r>
      <w:r w:rsidR="007A5491">
        <w:rPr>
          <w:lang w:val="en-GB"/>
        </w:rPr>
        <w:t xml:space="preserve"> Brachytherapy.</w:t>
      </w:r>
    </w:p>
    <w:p w14:paraId="65D4EA5B" w14:textId="7C5B6832" w:rsidR="00394AF9" w:rsidRPr="00394AF9" w:rsidRDefault="00394AF9" w:rsidP="00A7186C">
      <w:pPr>
        <w:pStyle w:val="01squarebullet"/>
        <w:numPr>
          <w:ilvl w:val="2"/>
          <w:numId w:val="16"/>
        </w:numPr>
        <w:rPr>
          <w:lang w:val="en-GB"/>
        </w:rPr>
      </w:pPr>
      <w:r w:rsidRPr="00394AF9">
        <w:rPr>
          <w:lang w:val="en-GB"/>
        </w:rPr>
        <w:t>Level 3 –</w:t>
      </w:r>
      <w:r w:rsidR="002672C9">
        <w:rPr>
          <w:lang w:val="en-GB"/>
        </w:rPr>
        <w:t xml:space="preserve"> High Complexity, </w:t>
      </w:r>
      <w:r w:rsidR="000A5C41">
        <w:rPr>
          <w:lang w:val="en-GB"/>
        </w:rPr>
        <w:t>High-Dose Rate</w:t>
      </w:r>
      <w:r w:rsidR="007A5491">
        <w:rPr>
          <w:lang w:val="en-GB"/>
        </w:rPr>
        <w:t xml:space="preserve"> Brachytherapy.</w:t>
      </w:r>
    </w:p>
    <w:p w14:paraId="32457587" w14:textId="34546FE5" w:rsidR="002E417B" w:rsidRDefault="00394AF9" w:rsidP="00A7186C">
      <w:pPr>
        <w:pStyle w:val="01squarebullet"/>
        <w:numPr>
          <w:ilvl w:val="2"/>
          <w:numId w:val="16"/>
        </w:numPr>
        <w:rPr>
          <w:lang w:val="en-GB"/>
        </w:rPr>
      </w:pPr>
      <w:r w:rsidRPr="00394AF9">
        <w:rPr>
          <w:lang w:val="en-GB"/>
        </w:rPr>
        <w:t xml:space="preserve">Level 3 – </w:t>
      </w:r>
      <w:r w:rsidR="002672C9">
        <w:rPr>
          <w:lang w:val="en-GB"/>
        </w:rPr>
        <w:t>High Complexity,</w:t>
      </w:r>
      <w:r w:rsidRPr="00394AF9">
        <w:rPr>
          <w:lang w:val="en-GB"/>
        </w:rPr>
        <w:t xml:space="preserve"> </w:t>
      </w:r>
      <w:r w:rsidR="000A5C41">
        <w:rPr>
          <w:lang w:val="en-GB"/>
        </w:rPr>
        <w:t>Low-Dose Rate</w:t>
      </w:r>
      <w:r w:rsidRPr="00394AF9">
        <w:rPr>
          <w:lang w:val="en-GB"/>
        </w:rPr>
        <w:t xml:space="preserve"> Permanent Seed Implant</w:t>
      </w:r>
      <w:r w:rsidR="007A5491">
        <w:rPr>
          <w:lang w:val="en-GB"/>
        </w:rPr>
        <w:t xml:space="preserve"> Brachytherapy.</w:t>
      </w:r>
    </w:p>
    <w:p w14:paraId="74CE358C" w14:textId="26B69C90" w:rsidR="00E43CA6" w:rsidRDefault="00FC66A8" w:rsidP="00A7186C">
      <w:pPr>
        <w:pStyle w:val="01squarebullet"/>
        <w:numPr>
          <w:ilvl w:val="1"/>
          <w:numId w:val="16"/>
        </w:numPr>
        <w:rPr>
          <w:lang w:val="en-GB"/>
        </w:rPr>
      </w:pPr>
      <w:r>
        <w:rPr>
          <w:lang w:val="en-GB"/>
        </w:rPr>
        <w:t>C</w:t>
      </w:r>
      <w:r w:rsidR="00E43CA6">
        <w:rPr>
          <w:lang w:val="en-GB"/>
        </w:rPr>
        <w:t>overing the previously separate items for radiation source locali</w:t>
      </w:r>
      <w:r w:rsidR="00DC3DD4">
        <w:rPr>
          <w:lang w:val="en-GB"/>
        </w:rPr>
        <w:t>s</w:t>
      </w:r>
      <w:r w:rsidR="00E43CA6">
        <w:rPr>
          <w:lang w:val="en-GB"/>
        </w:rPr>
        <w:t>ation, planning</w:t>
      </w:r>
      <w:r w:rsidR="009A4C8E">
        <w:rPr>
          <w:lang w:val="en-GB"/>
        </w:rPr>
        <w:t xml:space="preserve">, </w:t>
      </w:r>
      <w:r w:rsidR="000F5ABE">
        <w:rPr>
          <w:lang w:val="en-GB"/>
        </w:rPr>
        <w:t>treatment/</w:t>
      </w:r>
      <w:r w:rsidR="009A4C8E">
        <w:rPr>
          <w:lang w:val="en-GB"/>
        </w:rPr>
        <w:t>insertion, tre</w:t>
      </w:r>
      <w:r>
        <w:rPr>
          <w:lang w:val="en-GB"/>
        </w:rPr>
        <w:t>atment verification and removal</w:t>
      </w:r>
      <w:r w:rsidR="009112EA">
        <w:rPr>
          <w:lang w:val="en-GB"/>
        </w:rPr>
        <w:t>.</w:t>
      </w:r>
    </w:p>
    <w:p w14:paraId="3229D292" w14:textId="77777777" w:rsidR="00C058DA" w:rsidRPr="002836EB" w:rsidRDefault="00C058DA" w:rsidP="00C058DA">
      <w:pPr>
        <w:pStyle w:val="01squarebullet"/>
        <w:numPr>
          <w:ilvl w:val="0"/>
          <w:numId w:val="0"/>
        </w:numPr>
        <w:ind w:left="360"/>
        <w:rPr>
          <w:lang w:val="en-GB"/>
        </w:rPr>
      </w:pPr>
      <w:r w:rsidRPr="002836EB">
        <w:rPr>
          <w:lang w:val="en-GB"/>
        </w:rPr>
        <w:t>The proposed item descriptors and explanatory notes are outlined below.</w:t>
      </w:r>
    </w:p>
    <w:p w14:paraId="097FE842" w14:textId="29B6C468" w:rsidR="00C058DA" w:rsidRPr="002836EB" w:rsidRDefault="001B0261" w:rsidP="00C058DA">
      <w:pPr>
        <w:pStyle w:val="Item"/>
      </w:pPr>
      <w:r>
        <w:t>Item 15XX1</w:t>
      </w:r>
      <w:r w:rsidR="00C058DA">
        <w:t>:</w:t>
      </w:r>
    </w:p>
    <w:p w14:paraId="70E2D535" w14:textId="0D152DF9" w:rsidR="000F5ABE" w:rsidRDefault="000F5ABE" w:rsidP="00C058DA">
      <w:r>
        <w:t>Brachytherapy Level 1</w:t>
      </w:r>
      <w:r w:rsidR="007039BB">
        <w:t xml:space="preserve"> </w:t>
      </w:r>
      <w:r>
        <w:t xml:space="preserve">– Simple </w:t>
      </w:r>
      <w:r w:rsidR="007039BB">
        <w:t xml:space="preserve">Complexity </w:t>
      </w:r>
      <w:r>
        <w:t>High-Dose Rate</w:t>
      </w:r>
      <w:r w:rsidR="00D02F4C">
        <w:t xml:space="preserve"> Brachytherapy</w:t>
      </w:r>
    </w:p>
    <w:p w14:paraId="5D2D13D7" w14:textId="77777777" w:rsidR="003403FA" w:rsidRDefault="003403FA" w:rsidP="00F95A14">
      <w:pPr>
        <w:pStyle w:val="Itembulletlevel1"/>
        <w:numPr>
          <w:ilvl w:val="0"/>
          <w:numId w:val="36"/>
        </w:numPr>
      </w:pPr>
      <w:r>
        <w:t>Simulation/Localisation for SIMPLE COMPLEXITY HIGH-DOSE RATE brachytherapy if:</w:t>
      </w:r>
    </w:p>
    <w:p w14:paraId="255EF5F3" w14:textId="46A0F7E9" w:rsidR="003403FA" w:rsidRDefault="00B5169F" w:rsidP="003403FA">
      <w:pPr>
        <w:pStyle w:val="Itembulletlevel2"/>
      </w:pPr>
      <w:r>
        <w:t>L</w:t>
      </w:r>
      <w:r w:rsidR="003403FA">
        <w:t>ocalisation is based on visual review of a single plane x-ray which demonstrates placement of the delivery applicator, needle or catheter in reference to the disease and adjacent organs at risk; and</w:t>
      </w:r>
    </w:p>
    <w:p w14:paraId="3196F8F2" w14:textId="469FE1E8" w:rsidR="0045165F" w:rsidRDefault="0045165F" w:rsidP="00F95A14">
      <w:pPr>
        <w:pStyle w:val="Itembulletlevel1"/>
        <w:numPr>
          <w:ilvl w:val="0"/>
          <w:numId w:val="36"/>
        </w:numPr>
      </w:pPr>
      <w:r>
        <w:t xml:space="preserve">SIMPLE COMPLEXITY high-dose rate brachytherapy DOSIMETRY/TREATMENT/VERIFICATION if: </w:t>
      </w:r>
    </w:p>
    <w:p w14:paraId="07D92832" w14:textId="7EAA5EDD" w:rsidR="0045165F" w:rsidRDefault="00C968B3" w:rsidP="0045165F">
      <w:pPr>
        <w:pStyle w:val="Itembulletlevel2"/>
      </w:pPr>
      <w:r>
        <w:t>T</w:t>
      </w:r>
      <w:r w:rsidR="0045165F">
        <w:t>he planning process is required to deliver a prescribed dose to a two dimensional or simple three dimensional volume in the patient, and relative to a fixed single line or channel delivery applicator; and</w:t>
      </w:r>
    </w:p>
    <w:p w14:paraId="30E7CD33" w14:textId="69063F77" w:rsidR="0045165F" w:rsidRDefault="00F772EB" w:rsidP="0045165F">
      <w:pPr>
        <w:pStyle w:val="Itembulletlevel2"/>
      </w:pPr>
      <w:r>
        <w:t>T</w:t>
      </w:r>
      <w:r w:rsidR="0045165F">
        <w:t>he planning process does not require the differential of dose between the target, organs at risk and normal tissue dose, based on review and assessment by a radiation oncologist; and</w:t>
      </w:r>
    </w:p>
    <w:p w14:paraId="47B7D87F" w14:textId="2FBDA9C0" w:rsidR="0045165F" w:rsidRDefault="00F51706" w:rsidP="0045165F">
      <w:pPr>
        <w:pStyle w:val="Itembulletlevel2"/>
      </w:pPr>
      <w:r>
        <w:t>D</w:t>
      </w:r>
      <w:r w:rsidR="0045165F">
        <w:t>elineation of structures is not possible or required; and</w:t>
      </w:r>
    </w:p>
    <w:p w14:paraId="72F9581A" w14:textId="1A25E559" w:rsidR="0045165F" w:rsidRDefault="007F29B4" w:rsidP="0045165F">
      <w:pPr>
        <w:pStyle w:val="Itembulletlevel2"/>
      </w:pPr>
      <w:r>
        <w:t>D</w:t>
      </w:r>
      <w:r w:rsidR="0045165F">
        <w:t>ose calculations are performed in reference to the surface or a point at depth (two dimensional plan) from tables, charts or data from a treatment planning system (‘library plan’), with the calculation referencing the prescription and demonstrating the relationship between exposure time, decay factor units and prescription, and all calculations approved and recorded with the plan; and</w:t>
      </w:r>
    </w:p>
    <w:p w14:paraId="7ED0CAAC" w14:textId="3ADC3C75" w:rsidR="0045165F" w:rsidRDefault="005B2BC3" w:rsidP="0045165F">
      <w:pPr>
        <w:pStyle w:val="Itembulletlevel2"/>
      </w:pPr>
      <w:r>
        <w:t>T</w:t>
      </w:r>
      <w:r w:rsidR="0045165F">
        <w:t xml:space="preserve">he final dosimetry plan is validated by both the radiation therapist and medical physicist, using robust quality assurance processes, with the plan approved by the radiation oncologist prior to delivery, which must include ensuring the plan is </w:t>
      </w:r>
      <w:r w:rsidR="0045165F">
        <w:lastRenderedPageBreak/>
        <w:t>deliverable, data transfer is acceptable and validation checks are completed on a high-dose rate after-loading unit that contains a s</w:t>
      </w:r>
      <w:r w:rsidR="009A6E61">
        <w:t>ingle-transfer cable connection.</w:t>
      </w:r>
    </w:p>
    <w:p w14:paraId="498D2D91" w14:textId="0433E680" w:rsidR="00BF390A" w:rsidRPr="002836EB" w:rsidRDefault="00A961A9" w:rsidP="00BF390A">
      <w:pPr>
        <w:pStyle w:val="Item"/>
      </w:pPr>
      <w:r>
        <w:t>Item 15XX2</w:t>
      </w:r>
      <w:r w:rsidR="00BF390A">
        <w:t>:</w:t>
      </w:r>
    </w:p>
    <w:p w14:paraId="4819E3C6" w14:textId="26FD5084" w:rsidR="00BF390A" w:rsidRDefault="00BF390A" w:rsidP="00BF390A">
      <w:r>
        <w:t xml:space="preserve">Brachytherapy </w:t>
      </w:r>
      <w:r w:rsidR="0010532D">
        <w:t>Level 2</w:t>
      </w:r>
      <w:r>
        <w:t xml:space="preserve"> – </w:t>
      </w:r>
      <w:r w:rsidR="0010532D">
        <w:t>Intermediate</w:t>
      </w:r>
      <w:r>
        <w:t xml:space="preserve"> Complexity High-Dose Rate</w:t>
      </w:r>
      <w:r w:rsidR="0010532D">
        <w:t xml:space="preserve"> </w:t>
      </w:r>
      <w:r w:rsidR="000A1BAE">
        <w:t>or</w:t>
      </w:r>
      <w:r w:rsidR="0010532D">
        <w:t xml:space="preserve"> Temporary Eye Plaque (Choroidal Melanoma)</w:t>
      </w:r>
      <w:r>
        <w:t xml:space="preserve"> Brachytherapy</w:t>
      </w:r>
    </w:p>
    <w:p w14:paraId="0FAA3F12" w14:textId="07FA2062" w:rsidR="00D65960" w:rsidRDefault="00D65960" w:rsidP="00F95A14">
      <w:pPr>
        <w:pStyle w:val="Itembulletlevel1"/>
        <w:numPr>
          <w:ilvl w:val="0"/>
          <w:numId w:val="37"/>
        </w:numPr>
      </w:pPr>
      <w:r>
        <w:t xml:space="preserve">Simulation/Localisation for INTERMEDIATE COMPLEXITY HIGH-DOSE RATE brachytherapy </w:t>
      </w:r>
      <w:r w:rsidR="000A1BAE">
        <w:t>or</w:t>
      </w:r>
      <w:r>
        <w:t xml:space="preserve"> temporary eye plaques (choroidal melanoma) if:</w:t>
      </w:r>
    </w:p>
    <w:p w14:paraId="11424E1D" w14:textId="2E082607" w:rsidR="00D65960" w:rsidRDefault="00B326EB" w:rsidP="00D65960">
      <w:pPr>
        <w:pStyle w:val="Itembulletlevel2"/>
      </w:pPr>
      <w:r>
        <w:t>L</w:t>
      </w:r>
      <w:r w:rsidR="00D65960">
        <w:t xml:space="preserve">ocalisation is based on review of an orthogonal x-ray, computed tomography or volumetric ultrasound image which demonstrates placement of delivery applicator, needles or catheters in reference to the disease and adjacent organs at risk; and </w:t>
      </w:r>
    </w:p>
    <w:p w14:paraId="37BB6755" w14:textId="7F97FE1A" w:rsidR="00D65960" w:rsidRDefault="00D65960" w:rsidP="00D65960">
      <w:pPr>
        <w:pStyle w:val="Itembulletlevel2"/>
      </w:pPr>
      <w:r>
        <w:t>(</w:t>
      </w:r>
      <w:r w:rsidR="00B326EB">
        <w:t>N</w:t>
      </w:r>
      <w:r>
        <w:t xml:space="preserve">ot essential for eye plaques) </w:t>
      </w:r>
      <w:r w:rsidR="00B326EB">
        <w:t>T</w:t>
      </w:r>
      <w:r>
        <w:t>he simulation process enables delineation of treatment volume and organs at risk, for inclusion in the calculation process (as point, surface or volumetric structures), with a dose-volume histogram used in the planning process if required; and</w:t>
      </w:r>
    </w:p>
    <w:p w14:paraId="34151678" w14:textId="77777777" w:rsidR="00D65960" w:rsidRDefault="00D65960" w:rsidP="00D65960">
      <w:pPr>
        <w:pStyle w:val="Itembulletlevel1"/>
      </w:pPr>
      <w:r>
        <w:t>INTERMEDIATE COMPLEXITY high-dose rate brachytherapy DOSIMETRY, TREATMENT and VERIFICATION if:</w:t>
      </w:r>
    </w:p>
    <w:p w14:paraId="280BBC0F" w14:textId="04FC1CD1" w:rsidR="00D65960" w:rsidRDefault="000A1CC2" w:rsidP="00D65960">
      <w:pPr>
        <w:pStyle w:val="Itembulletlevel2"/>
      </w:pPr>
      <w:r>
        <w:t>T</w:t>
      </w:r>
      <w:r w:rsidR="00D65960">
        <w:t>he planning process is required to deliver a prescribed dose to a two dimensional or simple three dimensional volume in the patient, and relative to a fixed two or three line/channel delivery applicator (or personalised plaque in the case of choroidal melanoma eye plaque brachytherapy); and</w:t>
      </w:r>
    </w:p>
    <w:p w14:paraId="653A4358" w14:textId="56EA2AA8" w:rsidR="00D65960" w:rsidRDefault="000A1CC2" w:rsidP="00D65960">
      <w:pPr>
        <w:pStyle w:val="Itembulletlevel2"/>
      </w:pPr>
      <w:r>
        <w:t>I</w:t>
      </w:r>
      <w:r w:rsidR="00D65960">
        <w:t>f required, the planning process requires the differential of dose between target, organs at risk and normal tissue dose, using avoidance strategies (which include placement of sources/dwell-times or tissue packing), based on review and assessment by a radiation oncologist; and</w:t>
      </w:r>
    </w:p>
    <w:p w14:paraId="07367425" w14:textId="707359BA" w:rsidR="00D65960" w:rsidRDefault="000A1CC2" w:rsidP="00D65960">
      <w:pPr>
        <w:pStyle w:val="Itembulletlevel2"/>
      </w:pPr>
      <w:r>
        <w:t>I</w:t>
      </w:r>
      <w:r w:rsidR="00D65960">
        <w:t>f required, delineation of structures is possible, but point or surface dose assessments must be performed; and</w:t>
      </w:r>
    </w:p>
    <w:p w14:paraId="4F125581" w14:textId="14462797" w:rsidR="00D65960" w:rsidRDefault="000A1CC2" w:rsidP="00D65960">
      <w:pPr>
        <w:pStyle w:val="Itembulletlevel2"/>
      </w:pPr>
      <w:r>
        <w:t>D</w:t>
      </w:r>
      <w:r w:rsidR="00D65960">
        <w:t xml:space="preserve">ose calculations are performed in reference to the surface or a point at depth (two dimensional plan) from tables, charts or data from a treatment planning system (‘library plan’); or </w:t>
      </w:r>
    </w:p>
    <w:p w14:paraId="0D671A32" w14:textId="62697870" w:rsidR="00D65960" w:rsidRDefault="000A1CC2" w:rsidP="00D65960">
      <w:pPr>
        <w:pStyle w:val="Itembulletlevel2"/>
      </w:pPr>
      <w:r>
        <w:t>D</w:t>
      </w:r>
      <w:r w:rsidR="00D65960">
        <w:t>ose calculations are performed on a personalised basis, using dose calculation to tumour and organ-at-risk volumes (‘personalised plan’), with the calculation referencing the prescription and demonstrating the relationship between exposure time, decay factor units and prescription; and</w:t>
      </w:r>
    </w:p>
    <w:p w14:paraId="4764ABF5" w14:textId="033E3D74" w:rsidR="00D65960" w:rsidRDefault="000A1CC2" w:rsidP="00D65960">
      <w:pPr>
        <w:pStyle w:val="Itembulletlevel2"/>
      </w:pPr>
      <w:r>
        <w:t xml:space="preserve">All </w:t>
      </w:r>
      <w:r w:rsidR="00D65960">
        <w:t>calculations are approved and recorded with the plan; and</w:t>
      </w:r>
    </w:p>
    <w:p w14:paraId="7C25ADE4" w14:textId="05C839AD" w:rsidR="00D65960" w:rsidRDefault="000A1CC2" w:rsidP="00D65960">
      <w:pPr>
        <w:pStyle w:val="Itembulletlevel2"/>
      </w:pPr>
      <w:r>
        <w:t>T</w:t>
      </w:r>
      <w:r w:rsidR="00D65960">
        <w:t>he final dosimetry plan is validated by both the radiation therapist and medical physicist, using robust quality assurance processes, with the plan approved by the radiation oncologist prior to delivery, which must include ensuring the plan is deliverable, data transfer is acceptable and validation checks are completed on a high-dose rate after-loading unit that contains two or three transfer cable connections (and in the case of eye plaques, the applicator is applied and removed in accordance with dose, time and radiation safety requirements); and</w:t>
      </w:r>
    </w:p>
    <w:p w14:paraId="4C8D0681" w14:textId="6D594D9B" w:rsidR="00D65960" w:rsidRDefault="000A1CC2" w:rsidP="00D65960">
      <w:pPr>
        <w:pStyle w:val="Itembulletlevel2"/>
      </w:pPr>
      <w:r>
        <w:lastRenderedPageBreak/>
        <w:t>A</w:t>
      </w:r>
      <w:r w:rsidR="00D65960">
        <w:t xml:space="preserve"> minimum of two (2) planar image views or one (1) volumetric image set (using computed tomography, ultrasound or magnetic resonance imaging) to facilitate a three-dimensional adjustment to the applicators, needles, catheters or dosimetry plan, with an allowance for these images included in the MBS fee (and not billed separately), if: </w:t>
      </w:r>
    </w:p>
    <w:p w14:paraId="593F544F" w14:textId="16032724" w:rsidR="00D65960" w:rsidRDefault="000A1CC2" w:rsidP="00D65960">
      <w:pPr>
        <w:pStyle w:val="Itembulletlevel2"/>
      </w:pPr>
      <w:r>
        <w:t>D</w:t>
      </w:r>
      <w:r w:rsidR="00D65960">
        <w:t>ecisions using the acquired image are based on action algorithms and are enacted immediately prior to or during treatment delivery by qualified and trained staff, considering complex competing factors, which must include manipulation/adjustment of delivery applicator or adjustment of the dosimetry plan; and</w:t>
      </w:r>
    </w:p>
    <w:p w14:paraId="6D92458B" w14:textId="120153BE" w:rsidR="00D65960" w:rsidRDefault="000A1CC2" w:rsidP="00D65960">
      <w:pPr>
        <w:pStyle w:val="Itembulletlevel2"/>
      </w:pPr>
      <w:r>
        <w:t>I</w:t>
      </w:r>
      <w:r w:rsidR="00D65960">
        <w:t>mage decisions and actions are documented in the medical record; and</w:t>
      </w:r>
    </w:p>
    <w:p w14:paraId="1F82E673" w14:textId="57F65452" w:rsidR="00D65960" w:rsidRDefault="000A1CC2" w:rsidP="00D65960">
      <w:pPr>
        <w:pStyle w:val="Itembulletlevel2"/>
      </w:pPr>
      <w:r>
        <w:t>T</w:t>
      </w:r>
      <w:r w:rsidR="00D65960">
        <w:t xml:space="preserve">he radiation oncologist is responsible for supervising the process, which must include specifying the type and frequency of imaging, the tolerance and action levels to be incorporated in the process, reviewing the trend analysis(es)/reports and relevant images during the treatment course, and specifying action protocols as required; and </w:t>
      </w:r>
    </w:p>
    <w:p w14:paraId="6D856253" w14:textId="200DC5C0" w:rsidR="00BF390A" w:rsidRDefault="000A1CC2" w:rsidP="00D65960">
      <w:pPr>
        <w:pStyle w:val="Itembulletlevel2"/>
      </w:pPr>
      <w:r>
        <w:t>R</w:t>
      </w:r>
      <w:r w:rsidR="00D65960">
        <w:t>e-planning is only billed when treatment adjustments are inadequate to satisfy treatment protocol requirements.</w:t>
      </w:r>
    </w:p>
    <w:p w14:paraId="0FEA3288" w14:textId="28384659" w:rsidR="000A375D" w:rsidRPr="002836EB" w:rsidRDefault="000A375D" w:rsidP="000A375D">
      <w:pPr>
        <w:pStyle w:val="Item"/>
      </w:pPr>
      <w:r>
        <w:t>Item 15XX3:</w:t>
      </w:r>
    </w:p>
    <w:p w14:paraId="26A136A4" w14:textId="3904E0F3" w:rsidR="000A375D" w:rsidRDefault="000A375D" w:rsidP="000A375D">
      <w:r>
        <w:t>Brachytherapy Level 3 – Complex High-Dose Rate Brachytherapy</w:t>
      </w:r>
    </w:p>
    <w:p w14:paraId="37749F95" w14:textId="77777777" w:rsidR="005A0FDB" w:rsidRDefault="005A0FDB" w:rsidP="00F95A14">
      <w:pPr>
        <w:pStyle w:val="Itembulletlevel1"/>
        <w:numPr>
          <w:ilvl w:val="0"/>
          <w:numId w:val="38"/>
        </w:numPr>
      </w:pPr>
      <w:r>
        <w:t>Simulation/Localisation for COMPLEX HIGH-DOSE RATE brachytherapy if:</w:t>
      </w:r>
    </w:p>
    <w:p w14:paraId="101ADC4A" w14:textId="76004F54" w:rsidR="005A0FDB" w:rsidRDefault="000A1CC2" w:rsidP="008D2A7E">
      <w:pPr>
        <w:pStyle w:val="Itembulletlevel2"/>
      </w:pPr>
      <w:r>
        <w:t>L</w:t>
      </w:r>
      <w:r w:rsidR="005A0FDB">
        <w:t>ocalisation is based on review of relevant imaging (such as computed tomography, or magnetic resonance or volumetric ultrasound or other imaging</w:t>
      </w:r>
      <w:r w:rsidR="004506B5">
        <w:t>)</w:t>
      </w:r>
      <w:r w:rsidR="005A0FDB">
        <w:t xml:space="preserve"> which demonstrates placement of delivery applicator, needles or catheters in reference to disease and adjacent organs at risk; and</w:t>
      </w:r>
    </w:p>
    <w:p w14:paraId="7181CF75" w14:textId="04F03B43" w:rsidR="005A0FDB" w:rsidRDefault="00071561" w:rsidP="008D2A7E">
      <w:pPr>
        <w:pStyle w:val="Itembulletlevel2"/>
      </w:pPr>
      <w:r>
        <w:t>T</w:t>
      </w:r>
      <w:r w:rsidR="005A0FDB">
        <w:t>he simulation process enables delineation of treatment volume and organs at risk, for inclusion in the calculation process as volumetric structures, with a dose-volume histogram required in the planning process; and</w:t>
      </w:r>
    </w:p>
    <w:p w14:paraId="6117388E" w14:textId="77777777" w:rsidR="005A0FDB" w:rsidRDefault="005A0FDB" w:rsidP="00F95A14">
      <w:pPr>
        <w:pStyle w:val="Itembulletlevel1"/>
        <w:numPr>
          <w:ilvl w:val="0"/>
          <w:numId w:val="38"/>
        </w:numPr>
      </w:pPr>
      <w:r>
        <w:t xml:space="preserve">COMPLEX high-dose rate brachytherapy DOSIMETRY, TREATMENT and VERIFICATION if: </w:t>
      </w:r>
    </w:p>
    <w:p w14:paraId="52E17F32" w14:textId="0F1E22A1" w:rsidR="005A0FDB" w:rsidRDefault="00071561" w:rsidP="008D2A7E">
      <w:pPr>
        <w:pStyle w:val="Itembulletlevel2"/>
      </w:pPr>
      <w:r>
        <w:t>T</w:t>
      </w:r>
      <w:r w:rsidR="005A0FDB">
        <w:t>he planning process is required to deliver a prescribed dose to three dimensional volume in the patient, relative to a three or more line/channel delivery applicator, needles or catheters; and</w:t>
      </w:r>
    </w:p>
    <w:p w14:paraId="2FD97250" w14:textId="12233130" w:rsidR="005A0FDB" w:rsidRDefault="00071561" w:rsidP="008D2A7E">
      <w:pPr>
        <w:pStyle w:val="Itembulletlevel2"/>
      </w:pPr>
      <w:r>
        <w:t>T</w:t>
      </w:r>
      <w:r w:rsidR="005A0FDB">
        <w:t>he planning process requires the differential of dose between target, organs at risk and normal tissue dose by avoidance strategies (which include placement of sources/dwell times or tissue packing), based on review and assessment by a radiation oncologist; and</w:t>
      </w:r>
    </w:p>
    <w:p w14:paraId="44033609" w14:textId="6B22C8D7" w:rsidR="005A0FDB" w:rsidRDefault="00071561" w:rsidP="008D2A7E">
      <w:pPr>
        <w:pStyle w:val="Itembulletlevel2"/>
      </w:pPr>
      <w:r>
        <w:t>D</w:t>
      </w:r>
      <w:r w:rsidR="005A0FDB">
        <w:t>elineation of structures is required as part of the planning process, in order to produce a dose-volume histogram to review and assess the plan; and</w:t>
      </w:r>
    </w:p>
    <w:p w14:paraId="4A3CE257" w14:textId="307FC81B" w:rsidR="005A0FDB" w:rsidRDefault="00071561" w:rsidP="008D2A7E">
      <w:pPr>
        <w:pStyle w:val="Itembulletlevel2"/>
      </w:pPr>
      <w:r>
        <w:t>D</w:t>
      </w:r>
      <w:r w:rsidR="005A0FDB">
        <w:t>ose calculations are performed on a personalised basis, which must include three dimensional dose calculation to tumour and organ at risk volumes (‘personalised plan’), with the calculation referencing the prescription and demonstrating the relationship between exposure time, decay factor units and prescription, and all calculations and the dose-volume histogram being approved and recorded with the plan; and</w:t>
      </w:r>
    </w:p>
    <w:p w14:paraId="1CC4131A" w14:textId="312C9225" w:rsidR="005A0FDB" w:rsidRDefault="00071561" w:rsidP="008D2A7E">
      <w:pPr>
        <w:pStyle w:val="Itembulletlevel2"/>
      </w:pPr>
      <w:r>
        <w:t>T</w:t>
      </w:r>
      <w:r w:rsidR="005A0FDB">
        <w:t xml:space="preserve">he final dosimetry plan is validated by the medical physicist or radiation therapist, using robust quality assurance processes, with the plan approved by the radiation oncologist </w:t>
      </w:r>
      <w:r w:rsidR="005A0FDB">
        <w:lastRenderedPageBreak/>
        <w:t xml:space="preserve">prior to delivery, which must include ensuring the plan is deliverable, data transfer is acceptable and validation checks are completed on a high-dose rate after-loading unit that includes three or more transfer cable connections; and </w:t>
      </w:r>
    </w:p>
    <w:p w14:paraId="291D8AB6" w14:textId="15EF6338" w:rsidR="005A0FDB" w:rsidRDefault="00071561" w:rsidP="008D2A7E">
      <w:pPr>
        <w:pStyle w:val="Itembulletlevel2"/>
      </w:pPr>
      <w:r>
        <w:t>A</w:t>
      </w:r>
      <w:r w:rsidR="005A0FDB">
        <w:t xml:space="preserve"> minimum of two (2) planar image views or one (1) volumetric image set (using computed tomography, ultrasound or magnetic resonance imaging) to facilitate a three dimensional adjustment to the applicators, needles, catheters or dosimetry plan, with an allowance for these images included in the MBS fee (and not billed separately), if:</w:t>
      </w:r>
    </w:p>
    <w:p w14:paraId="6D5F3FC8" w14:textId="1BBE23A7" w:rsidR="005A0FDB" w:rsidRDefault="00071561" w:rsidP="008D2A7E">
      <w:pPr>
        <w:pStyle w:val="Itembulletlevel3"/>
      </w:pPr>
      <w:r>
        <w:t>D</w:t>
      </w:r>
      <w:r w:rsidR="005A0FDB">
        <w:t>ecisions using the acquired image are based on action algorithms and are enacted immediately prior to or during treatment delivery by qualified and trained staff, considering complex competing factors, which must include manipulation/adjustment of delivery applicator or adjustment of the dosimetry plan; and</w:t>
      </w:r>
    </w:p>
    <w:p w14:paraId="7A1EC96C" w14:textId="686A7C02" w:rsidR="005A0FDB" w:rsidRDefault="00071561" w:rsidP="008D2A7E">
      <w:pPr>
        <w:pStyle w:val="Itembulletlevel3"/>
      </w:pPr>
      <w:r>
        <w:t>I</w:t>
      </w:r>
      <w:r w:rsidR="005A0FDB">
        <w:t>mage decisions and actions are documented in the medical record; and</w:t>
      </w:r>
    </w:p>
    <w:p w14:paraId="0A22387D" w14:textId="5824375C" w:rsidR="005A0FDB" w:rsidRDefault="00071561" w:rsidP="008D2A7E">
      <w:pPr>
        <w:pStyle w:val="Itembulletlevel3"/>
      </w:pPr>
      <w:r>
        <w:t>T</w:t>
      </w:r>
      <w:r w:rsidR="005A0FDB">
        <w:t>he radiation oncologist supervises the process, which must include specifying the type and frequency of imaging, the tolerance and action levels to be incorporated in the process, reviewing the trend analysis(es)/reports and relevant images during the treatment course, and specifying action protocols as required; and</w:t>
      </w:r>
    </w:p>
    <w:p w14:paraId="261A34C5" w14:textId="006CAE13" w:rsidR="000A375D" w:rsidRDefault="00071561" w:rsidP="008D2A7E">
      <w:pPr>
        <w:pStyle w:val="Itembulletlevel3"/>
      </w:pPr>
      <w:r>
        <w:t>R</w:t>
      </w:r>
      <w:r w:rsidR="005A0FDB">
        <w:t>e-planning is only billed when treatment adjustments are inadequate to satisfy treatment protocol requirements.</w:t>
      </w:r>
    </w:p>
    <w:p w14:paraId="1EA63D48" w14:textId="010FD129" w:rsidR="005A0FDB" w:rsidRDefault="005A0FDB" w:rsidP="005A0FDB">
      <w:pPr>
        <w:pStyle w:val="Itembulletlevel1"/>
        <w:numPr>
          <w:ilvl w:val="0"/>
          <w:numId w:val="0"/>
        </w:numPr>
      </w:pPr>
      <w:r>
        <w:t>N</w:t>
      </w:r>
      <w:r w:rsidR="00665FAC">
        <w:t xml:space="preserve">ote: </w:t>
      </w:r>
      <w:r w:rsidR="00071561">
        <w:t>T</w:t>
      </w:r>
      <w:r w:rsidR="00665FAC">
        <w:t xml:space="preserve">he </w:t>
      </w:r>
      <w:r w:rsidR="003A22D4">
        <w:t>s</w:t>
      </w:r>
      <w:r w:rsidR="00665FAC">
        <w:t xml:space="preserve">chedule </w:t>
      </w:r>
      <w:r w:rsidR="003A22D4">
        <w:t>f</w:t>
      </w:r>
      <w:r w:rsidR="00665FAC">
        <w:t xml:space="preserve">ees are identical for </w:t>
      </w:r>
      <w:r>
        <w:t>item 15XX3 (Level 3 – Complex High-Dose Rate</w:t>
      </w:r>
      <w:r w:rsidR="00665FAC">
        <w:t xml:space="preserve"> Brachytherapy) and item 15XX4 (Level 3 – Complex Low-Dose Rate Brachytherapy).</w:t>
      </w:r>
    </w:p>
    <w:p w14:paraId="31F71754" w14:textId="200FB211" w:rsidR="003F23B7" w:rsidRPr="002836EB" w:rsidRDefault="003F23B7" w:rsidP="003F23B7">
      <w:pPr>
        <w:pStyle w:val="Item"/>
      </w:pPr>
      <w:r>
        <w:t>Item 15XX4:</w:t>
      </w:r>
    </w:p>
    <w:p w14:paraId="6F46C1FC" w14:textId="74EC6EFE" w:rsidR="003F23B7" w:rsidRDefault="003F23B7" w:rsidP="003F23B7">
      <w:r>
        <w:t xml:space="preserve">Brachytherapy Level 3 – Complex </w:t>
      </w:r>
      <w:r w:rsidR="00146C99">
        <w:t>Low</w:t>
      </w:r>
      <w:r>
        <w:t>-Dose Rate Brachytherapy</w:t>
      </w:r>
    </w:p>
    <w:p w14:paraId="6A36F064" w14:textId="77777777" w:rsidR="00C22783" w:rsidRDefault="00C22783" w:rsidP="00F95A14">
      <w:pPr>
        <w:pStyle w:val="Itembulletlevel1"/>
        <w:numPr>
          <w:ilvl w:val="0"/>
          <w:numId w:val="39"/>
        </w:numPr>
      </w:pPr>
      <w:r>
        <w:t>Simulation/Localisation for COMPLEX LOW-DOSE RATE brachytherapy if:</w:t>
      </w:r>
    </w:p>
    <w:p w14:paraId="58B11AD9" w14:textId="56D7C778" w:rsidR="00C22783" w:rsidRDefault="009B35AD" w:rsidP="00C22783">
      <w:pPr>
        <w:pStyle w:val="Itembulletlevel2"/>
      </w:pPr>
      <w:r>
        <w:t>P</w:t>
      </w:r>
      <w:r w:rsidR="00C22783">
        <w:t>re-planning volumetric ultrasound localisation is performed up to 4 – 6 weeks prior to implantation, to enable preliminary dose review and order of seeds for implantation; and</w:t>
      </w:r>
    </w:p>
    <w:p w14:paraId="1D5FCD9A" w14:textId="2F0C1B91" w:rsidR="00C22783" w:rsidRDefault="009B35AD" w:rsidP="00C22783">
      <w:pPr>
        <w:pStyle w:val="Itembulletlevel2"/>
      </w:pPr>
      <w:r>
        <w:t>V</w:t>
      </w:r>
      <w:r w:rsidR="00C22783">
        <w:t>olumetric ultrasound localisation is performed at implantation to enable implantation of seed trains so the intended dose is delivered to target structures, and organs/regions of risk are avoided; or</w:t>
      </w:r>
    </w:p>
    <w:p w14:paraId="7F5F4D74" w14:textId="19F3E059" w:rsidR="00C22783" w:rsidRDefault="00C22783" w:rsidP="00C22783">
      <w:pPr>
        <w:pStyle w:val="Itembulletlevel2"/>
      </w:pPr>
      <w:r>
        <w:t>(</w:t>
      </w:r>
      <w:r w:rsidR="009B35AD">
        <w:t>F</w:t>
      </w:r>
      <w:r>
        <w:t xml:space="preserve">or real-time simulation) </w:t>
      </w:r>
      <w:r w:rsidR="00A63CF2">
        <w:t>v</w:t>
      </w:r>
      <w:r>
        <w:t>olumetric ultrasound localisation is performed at implantation to enable personalised construction and implantation of seeds so the intended dose is delivered to target structures, and organs/regions of risk are avoided; and</w:t>
      </w:r>
    </w:p>
    <w:p w14:paraId="062B6A68" w14:textId="616F923A" w:rsidR="00C22783" w:rsidRDefault="0044318A" w:rsidP="00C22783">
      <w:pPr>
        <w:pStyle w:val="Itembulletlevel2"/>
      </w:pPr>
      <w:r>
        <w:t>S</w:t>
      </w:r>
      <w:r w:rsidR="00C22783">
        <w:t>imulation and localisation enable delineation of structures as volumes, to enable generation of a dose-volume histogram for plan review and assessment; and</w:t>
      </w:r>
    </w:p>
    <w:p w14:paraId="244060FE" w14:textId="77777777" w:rsidR="00C22783" w:rsidRDefault="00C22783" w:rsidP="00F95A14">
      <w:pPr>
        <w:pStyle w:val="Itembulletlevel1"/>
        <w:numPr>
          <w:ilvl w:val="0"/>
          <w:numId w:val="39"/>
        </w:numPr>
      </w:pPr>
      <w:r>
        <w:t>COMPLEX low-dose rate brachytherapy DOSIMETRY, TREATMENT AND VERIFICATION if:</w:t>
      </w:r>
    </w:p>
    <w:p w14:paraId="54D5BD13" w14:textId="1049A433" w:rsidR="00C22783" w:rsidRDefault="0044318A" w:rsidP="00C22783">
      <w:pPr>
        <w:pStyle w:val="Itembulletlevel2"/>
      </w:pPr>
      <w:r>
        <w:t>P</w:t>
      </w:r>
      <w:r w:rsidR="00C22783">
        <w:t>re-planning or real-time planning is required to deliver a prescribed dose to three dimensional volume in the patient, and relative to the implanted seeds; and</w:t>
      </w:r>
    </w:p>
    <w:p w14:paraId="26C362B6" w14:textId="742CE5EE" w:rsidR="00C22783" w:rsidRDefault="0044318A" w:rsidP="00C22783">
      <w:pPr>
        <w:pStyle w:val="Itembulletlevel2"/>
      </w:pPr>
      <w:r>
        <w:lastRenderedPageBreak/>
        <w:t>I</w:t>
      </w:r>
      <w:r w:rsidR="00C22783">
        <w:t>nformed placement of seeds (by high quality volumetric ultrasound) determines the dose to the target and organs/structure at risk; and</w:t>
      </w:r>
    </w:p>
    <w:p w14:paraId="30AEADAB" w14:textId="797DDE82" w:rsidR="00C22783" w:rsidRDefault="00C22783" w:rsidP="00C22783">
      <w:pPr>
        <w:pStyle w:val="Itembulletlevel2"/>
      </w:pPr>
      <w:r>
        <w:t>(</w:t>
      </w:r>
      <w:r w:rsidR="0044318A">
        <w:t>F</w:t>
      </w:r>
      <w:r>
        <w:t>or pre-planning) post-implant dosimetry is undertaken at a prescribed time point following implantation; and</w:t>
      </w:r>
    </w:p>
    <w:p w14:paraId="384952E3" w14:textId="6CCE1596" w:rsidR="00C22783" w:rsidRDefault="0044318A" w:rsidP="00C22783">
      <w:pPr>
        <w:pStyle w:val="Itembulletlevel2"/>
      </w:pPr>
      <w:r>
        <w:t>T</w:t>
      </w:r>
      <w:r w:rsidR="00C22783">
        <w:t>he planning process requires the differential of dose between target, organs/regions at risk and normal tissue dose by avoidance strategies, based on review and assessment by a radiation oncologist and/or urologist; and</w:t>
      </w:r>
    </w:p>
    <w:p w14:paraId="6FFD992A" w14:textId="391F1F24" w:rsidR="00C22783" w:rsidRDefault="0044318A" w:rsidP="00C22783">
      <w:pPr>
        <w:pStyle w:val="Itembulletlevel2"/>
      </w:pPr>
      <w:r>
        <w:t>D</w:t>
      </w:r>
      <w:r w:rsidR="00C22783">
        <w:t>elineation of structures is undertaken as part of the planning process, in order to produce a dose-volume histogram to review and assess the plan; and</w:t>
      </w:r>
    </w:p>
    <w:p w14:paraId="6EE9E421" w14:textId="79FA8775" w:rsidR="00C22783" w:rsidRDefault="0044318A" w:rsidP="00C22783">
      <w:pPr>
        <w:pStyle w:val="Itembulletlevel2"/>
      </w:pPr>
      <w:r>
        <w:t>D</w:t>
      </w:r>
      <w:r w:rsidR="00C22783">
        <w:t>ose calculations are performed on a personalised basis, which must include three dimensional dose calculation to tumour and organs/regions at risk volumes (‘personalised plan’), with the calculation referencing the prescription and demonstrating the relationship between the implanted radioactive load, decay factor units and prescription, with all calculations and the dose-volume histogram being approved and recorded with the plan; and</w:t>
      </w:r>
    </w:p>
    <w:p w14:paraId="1DE1BA34" w14:textId="1B2B9C7A" w:rsidR="00C22783" w:rsidRDefault="0044318A" w:rsidP="00C22783">
      <w:pPr>
        <w:pStyle w:val="Itembulletlevel2"/>
      </w:pPr>
      <w:r>
        <w:t>T</w:t>
      </w:r>
      <w:r w:rsidR="00C22783">
        <w:t>he initial and final dosimetry plan is validated by the medical physicist or radiation therapist, using robust quality assurance processes, with the plan approved by the radiation oncologist, which must include</w:t>
      </w:r>
    </w:p>
    <w:p w14:paraId="77B12C3D" w14:textId="731EA94B" w:rsidR="00C22783" w:rsidRDefault="0044318A" w:rsidP="00C22783">
      <w:pPr>
        <w:pStyle w:val="Itembulletlevel3"/>
      </w:pPr>
      <w:r>
        <w:t>A</w:t>
      </w:r>
      <w:r w:rsidR="00C22783">
        <w:t xml:space="preserve"> review of seed positions, including possible seed loss in the 24 hour period following implantation; or</w:t>
      </w:r>
    </w:p>
    <w:p w14:paraId="62FB07B6" w14:textId="257C2E03" w:rsidR="00C22783" w:rsidRDefault="0044318A" w:rsidP="00C22783">
      <w:pPr>
        <w:pStyle w:val="Itembulletlevel3"/>
      </w:pPr>
      <w:r>
        <w:t>P</w:t>
      </w:r>
      <w:r w:rsidR="00C22783">
        <w:t>ost-implant dosimetry at a prescribed time point following implantation to assess the delivered dosimetry; and</w:t>
      </w:r>
    </w:p>
    <w:p w14:paraId="674000E3" w14:textId="27FDE675" w:rsidR="00506F73" w:rsidRDefault="0044318A" w:rsidP="00661749">
      <w:pPr>
        <w:pStyle w:val="Itembulletlevel2"/>
      </w:pPr>
      <w:r>
        <w:t>A</w:t>
      </w:r>
      <w:r w:rsidR="00C22783">
        <w:t xml:space="preserve"> minimum of two (2) planar image views or one (1) volumetric image set (using computed tomography, ultrasound or magnetic resonance imaging) to facilitate a three-dimensional adjustment to the applicators, needles, catheters or dosimetry plan, with an allowance for these images included in the MBS fee (and not billed separately).</w:t>
      </w:r>
    </w:p>
    <w:p w14:paraId="52F153FC" w14:textId="3D502D33" w:rsidR="003F23B7" w:rsidRDefault="003F23B7" w:rsidP="005A0FDB">
      <w:pPr>
        <w:pStyle w:val="Itembulletlevel1"/>
        <w:numPr>
          <w:ilvl w:val="0"/>
          <w:numId w:val="0"/>
        </w:numPr>
      </w:pPr>
      <w:r>
        <w:t xml:space="preserve">Note: </w:t>
      </w:r>
      <w:r w:rsidR="0044318A">
        <w:t>T</w:t>
      </w:r>
      <w:r>
        <w:t xml:space="preserve">he </w:t>
      </w:r>
      <w:r w:rsidR="0044318A">
        <w:t>s</w:t>
      </w:r>
      <w:r>
        <w:t xml:space="preserve">chedule </w:t>
      </w:r>
      <w:r w:rsidR="0044318A">
        <w:t>f</w:t>
      </w:r>
      <w:r>
        <w:t>ees are identical for item 15XX3 (Level 3 – Complex High-Dose Rate Brachytherapy) and item 15XX4 (Level 3 – Complex Low-Dose Rate Brachytherapy).</w:t>
      </w:r>
    </w:p>
    <w:p w14:paraId="65DE883C" w14:textId="5E0370FA" w:rsidR="00617FA9" w:rsidRDefault="00617FA9" w:rsidP="00492A9C">
      <w:pPr>
        <w:pStyle w:val="ExplanatoryNotes"/>
      </w:pPr>
      <w:r w:rsidRPr="002836EB">
        <w:t xml:space="preserve">Explanatory notes for items </w:t>
      </w:r>
      <w:r>
        <w:t>15XX1</w:t>
      </w:r>
      <w:r w:rsidRPr="002836EB">
        <w:t>–15X</w:t>
      </w:r>
      <w:r>
        <w:t>X4</w:t>
      </w:r>
      <w:r w:rsidRPr="002836EB">
        <w:t xml:space="preserve">: </w:t>
      </w:r>
    </w:p>
    <w:p w14:paraId="01F37512" w14:textId="6FF52517" w:rsidR="00492A9C" w:rsidRPr="00492A9C" w:rsidRDefault="00492A9C" w:rsidP="00492A9C">
      <w:pPr>
        <w:pStyle w:val="ExplanatoryNotes"/>
        <w:rPr>
          <w:b/>
        </w:rPr>
      </w:pPr>
      <w:r w:rsidRPr="00492A9C">
        <w:rPr>
          <w:b/>
        </w:rPr>
        <w:t xml:space="preserve">Meaning of Level 1 Items (Complexity = Simple </w:t>
      </w:r>
      <w:r w:rsidR="000A5C41">
        <w:rPr>
          <w:b/>
        </w:rPr>
        <w:t>High-Dose Rate</w:t>
      </w:r>
      <w:r w:rsidRPr="00492A9C">
        <w:rPr>
          <w:b/>
        </w:rPr>
        <w:t>)</w:t>
      </w:r>
    </w:p>
    <w:p w14:paraId="73DEF2ED" w14:textId="511495D6" w:rsidR="00492A9C" w:rsidRPr="00492A9C" w:rsidRDefault="00492A9C" w:rsidP="00492A9C">
      <w:pPr>
        <w:pStyle w:val="ExplanatoryNotes"/>
      </w:pPr>
      <w:r w:rsidRPr="00492A9C">
        <w:t xml:space="preserve">In item 15XX1: Simple </w:t>
      </w:r>
      <w:r w:rsidR="000A5C41">
        <w:t>High-Dose Rate</w:t>
      </w:r>
      <w:r w:rsidRPr="00492A9C">
        <w:t xml:space="preserve"> Brachytherapy is planned and delivered via a single line source application using a standard “library” dosimetry plan to deliver the prescribed dose at a known distance from the applicator, needle, catheter or source (2D Dose Distribution). Placement of the applicator is by the Radiation Oncologist (or trained delegate) and localisation is achieved with x-ray or fluoroscopy visualisation. </w:t>
      </w:r>
    </w:p>
    <w:p w14:paraId="4B1A6190" w14:textId="43925BED" w:rsidR="00492A9C" w:rsidRPr="00492A9C" w:rsidRDefault="00492A9C" w:rsidP="00492A9C">
      <w:pPr>
        <w:pStyle w:val="ExplanatoryNotes"/>
        <w:ind w:left="720"/>
      </w:pPr>
      <w:r w:rsidRPr="00492A9C">
        <w:t>Delivery Technologies: Single line delivery by applicator, needle, catheter or other (</w:t>
      </w:r>
      <w:r w:rsidR="00E12170">
        <w:t>for example</w:t>
      </w:r>
      <w:r w:rsidRPr="00492A9C">
        <w:t xml:space="preserve"> balloon/source) using a library plan.</w:t>
      </w:r>
    </w:p>
    <w:p w14:paraId="4E1DBEA2" w14:textId="0ABDEF7E" w:rsidR="00492A9C" w:rsidRPr="00492A9C" w:rsidRDefault="00492A9C" w:rsidP="00492A9C">
      <w:pPr>
        <w:pStyle w:val="ExplanatoryNotes"/>
        <w:ind w:left="720"/>
      </w:pPr>
      <w:r w:rsidRPr="00492A9C">
        <w:t xml:space="preserve">Grouped Elements: </w:t>
      </w:r>
      <w:r w:rsidR="000A5C41">
        <w:t>High-Dose Rate</w:t>
      </w:r>
      <w:r w:rsidRPr="00492A9C">
        <w:t xml:space="preserve"> Delivery, Simple </w:t>
      </w:r>
      <w:r w:rsidR="000A5C41">
        <w:t>High-Dose Rate</w:t>
      </w:r>
      <w:r w:rsidRPr="00492A9C">
        <w:t xml:space="preserve"> Plan, Simple Localisation.</w:t>
      </w:r>
    </w:p>
    <w:p w14:paraId="07184512" w14:textId="1DDCC0F6" w:rsidR="00492A9C" w:rsidRPr="00492A9C" w:rsidRDefault="00492A9C" w:rsidP="00492A9C">
      <w:pPr>
        <w:pStyle w:val="ExplanatoryNotes"/>
        <w:rPr>
          <w:b/>
        </w:rPr>
      </w:pPr>
      <w:r w:rsidRPr="00492A9C">
        <w:rPr>
          <w:b/>
        </w:rPr>
        <w:t xml:space="preserve">Meaning of Level 2 Items </w:t>
      </w:r>
      <w:r>
        <w:rPr>
          <w:b/>
        </w:rPr>
        <w:t xml:space="preserve">(Complexity = Intermediate </w:t>
      </w:r>
      <w:r w:rsidR="000A5C41">
        <w:rPr>
          <w:b/>
        </w:rPr>
        <w:t>High-Dose Rate</w:t>
      </w:r>
      <w:r>
        <w:rPr>
          <w:b/>
        </w:rPr>
        <w:t xml:space="preserve"> or</w:t>
      </w:r>
      <w:r w:rsidRPr="00492A9C">
        <w:rPr>
          <w:b/>
        </w:rPr>
        <w:t xml:space="preserve"> Temporary Eye Plaques for Choroidal Melanoma)</w:t>
      </w:r>
    </w:p>
    <w:p w14:paraId="491E8015" w14:textId="05676BB6" w:rsidR="00492A9C" w:rsidRPr="00492A9C" w:rsidRDefault="00492A9C" w:rsidP="00492A9C">
      <w:pPr>
        <w:pStyle w:val="ExplanatoryNotes"/>
      </w:pPr>
      <w:r w:rsidRPr="00492A9C">
        <w:lastRenderedPageBreak/>
        <w:t xml:space="preserve">In item 15XX2: Intermediate </w:t>
      </w:r>
      <w:r w:rsidR="000A5C41">
        <w:t>High-Dose Rate</w:t>
      </w:r>
      <w:r w:rsidRPr="00492A9C">
        <w:t xml:space="preserve"> Brachytherapy is planned and delivered via a two or three line application or temporary eye plaque application using a standard “library” plan or personalised plan to deliver the prescribed dose to a 2D or 3D volume with minimal dose shaping to avoid organs at risk (2D or 3D Dose Distribution). Placement of the applicators is by the Radiation Oncologist (or trained delegate) and localisation is achieved with orthogonal x-ray or CT or Volumetric Ultrasound visualisation. DVH is not required but may be utilised in the plan review process.</w:t>
      </w:r>
    </w:p>
    <w:p w14:paraId="3224767A" w14:textId="05D820F6" w:rsidR="00492A9C" w:rsidRPr="00492A9C" w:rsidRDefault="00492A9C" w:rsidP="00492A9C">
      <w:pPr>
        <w:pStyle w:val="ExplanatoryNotes"/>
        <w:ind w:left="720"/>
      </w:pPr>
      <w:r w:rsidRPr="00492A9C">
        <w:t>Delivery Technologies: Eye Plaque or 2 or 3 line delivery by applicator, needles, catheter using a library plan or personalised plan</w:t>
      </w:r>
      <w:r w:rsidR="00E22174">
        <w:t>.</w:t>
      </w:r>
    </w:p>
    <w:p w14:paraId="3BE1FFC9" w14:textId="711F77EE" w:rsidR="00492A9C" w:rsidRPr="00492A9C" w:rsidRDefault="00492A9C" w:rsidP="00492A9C">
      <w:pPr>
        <w:pStyle w:val="ExplanatoryNotes"/>
        <w:ind w:left="720"/>
      </w:pPr>
      <w:r w:rsidRPr="00492A9C">
        <w:t xml:space="preserve">Grouped Elements: Eye Plaque Plan/Load/Delivery or </w:t>
      </w:r>
      <w:r w:rsidR="000A5C41">
        <w:t>High-Dose Rate</w:t>
      </w:r>
      <w:r w:rsidRPr="00492A9C">
        <w:t xml:space="preserve"> Delivery, Intermediate </w:t>
      </w:r>
      <w:r w:rsidR="000A5C41">
        <w:t>High-Dose Rate</w:t>
      </w:r>
      <w:r w:rsidRPr="00492A9C">
        <w:t xml:space="preserve"> Plan, Intermediate Localisation.</w:t>
      </w:r>
    </w:p>
    <w:p w14:paraId="789BE09C" w14:textId="08CDD176" w:rsidR="00492A9C" w:rsidRPr="00492A9C" w:rsidRDefault="00492A9C" w:rsidP="00492A9C">
      <w:pPr>
        <w:pStyle w:val="ExplanatoryNotes"/>
        <w:rPr>
          <w:b/>
        </w:rPr>
      </w:pPr>
      <w:r w:rsidRPr="00492A9C">
        <w:rPr>
          <w:b/>
        </w:rPr>
        <w:t xml:space="preserve">Meaning of Level 3 Items (Complexity = Complex </w:t>
      </w:r>
      <w:r w:rsidR="000A5C41">
        <w:rPr>
          <w:b/>
        </w:rPr>
        <w:t>High-Dose Rate</w:t>
      </w:r>
      <w:r w:rsidRPr="00492A9C">
        <w:rPr>
          <w:b/>
        </w:rPr>
        <w:t>)</w:t>
      </w:r>
    </w:p>
    <w:p w14:paraId="0F04B364" w14:textId="47E2C4C9" w:rsidR="00492A9C" w:rsidRPr="00492A9C" w:rsidRDefault="00492A9C" w:rsidP="00492A9C">
      <w:pPr>
        <w:pStyle w:val="ExplanatoryNotes"/>
      </w:pPr>
      <w:r w:rsidRPr="00492A9C">
        <w:t xml:space="preserve">In item 15XX3: Complex </w:t>
      </w:r>
      <w:r w:rsidR="000A5C41">
        <w:t>High-Dose Rate</w:t>
      </w:r>
      <w:r w:rsidRPr="00492A9C">
        <w:t xml:space="preserve"> Brachytherapy is planned and delivered via multiple line</w:t>
      </w:r>
      <w:r w:rsidR="004506B5">
        <w:t>s</w:t>
      </w:r>
      <w:r w:rsidRPr="00492A9C">
        <w:t xml:space="preserve"> (3 or more) using a personalised plan to deliver the prescribed dose to a complex 3D Radiation Oncologist delineated volume with complex dose shaping to avoid organs at risk (3D Dose Distribution). Placement of the applicators is by the Radiation Oncologist (or trained delegate) and the localisation is achieved with orthogonal x-ray or CT, MRI or Volumetric Ultrasound visualisation. DVH is required in the plan review process.</w:t>
      </w:r>
    </w:p>
    <w:p w14:paraId="4262BA67" w14:textId="4F753F27" w:rsidR="00492A9C" w:rsidRPr="00492A9C" w:rsidRDefault="00492A9C" w:rsidP="00492A9C">
      <w:pPr>
        <w:pStyle w:val="ExplanatoryNotes"/>
        <w:ind w:left="720"/>
      </w:pPr>
      <w:r w:rsidRPr="00492A9C">
        <w:t>Delivery Technologies: 3 or more Line delivery by needles or catheters using a personalised plan</w:t>
      </w:r>
      <w:r w:rsidR="00E22174">
        <w:t>.</w:t>
      </w:r>
    </w:p>
    <w:p w14:paraId="6095C84C" w14:textId="6004A770" w:rsidR="00492A9C" w:rsidRPr="00492A9C" w:rsidRDefault="00492A9C" w:rsidP="00492A9C">
      <w:pPr>
        <w:pStyle w:val="ExplanatoryNotes"/>
        <w:ind w:left="720"/>
      </w:pPr>
      <w:r w:rsidRPr="00492A9C">
        <w:t xml:space="preserve">Grouped Elements: </w:t>
      </w:r>
      <w:r w:rsidR="000A5C41">
        <w:t>High-Dose Rate</w:t>
      </w:r>
      <w:r w:rsidRPr="00492A9C">
        <w:t xml:space="preserve"> Delivery, Complex </w:t>
      </w:r>
      <w:r w:rsidR="000A5C41">
        <w:t>High-Dose Rate</w:t>
      </w:r>
      <w:r w:rsidRPr="00492A9C">
        <w:t xml:space="preserve"> Plan, Intermediate Localisation (No MRI)/Complex Localisation (Includes MRI)</w:t>
      </w:r>
      <w:r w:rsidR="00E22174">
        <w:t>.</w:t>
      </w:r>
    </w:p>
    <w:p w14:paraId="3304C75C" w14:textId="54C5F3F4" w:rsidR="00492A9C" w:rsidRPr="00492A9C" w:rsidRDefault="00492A9C" w:rsidP="00492A9C">
      <w:pPr>
        <w:pStyle w:val="ExplanatoryNotes"/>
        <w:rPr>
          <w:b/>
        </w:rPr>
      </w:pPr>
      <w:r w:rsidRPr="00492A9C">
        <w:rPr>
          <w:b/>
        </w:rPr>
        <w:t xml:space="preserve">Meaning of Level 3 Items (Complexity = Complex </w:t>
      </w:r>
      <w:r w:rsidR="000A5C41">
        <w:rPr>
          <w:b/>
        </w:rPr>
        <w:t>Low-Dose Rate</w:t>
      </w:r>
      <w:r w:rsidRPr="00492A9C">
        <w:rPr>
          <w:b/>
        </w:rPr>
        <w:t xml:space="preserve"> Permanent Seed Implant)</w:t>
      </w:r>
    </w:p>
    <w:p w14:paraId="5960D097" w14:textId="54145CAC" w:rsidR="00492A9C" w:rsidRPr="00492A9C" w:rsidRDefault="00492A9C" w:rsidP="00492A9C">
      <w:pPr>
        <w:pStyle w:val="ExplanatoryNotes"/>
      </w:pPr>
      <w:r w:rsidRPr="00492A9C">
        <w:t xml:space="preserve">In item 15XX4: Complex </w:t>
      </w:r>
      <w:r w:rsidR="000A5C41">
        <w:t>Low-Dose Rate</w:t>
      </w:r>
      <w:r w:rsidRPr="00492A9C">
        <w:t xml:space="preserve"> Permanent Seed Brachytherapy is planned and delivered via multiple permanently implanted radioactive seeds using a personalised plan to deliver the prescribed dose to a prescribed complex 3D volume with complex dose shaping to avoid organs at risk (3D Dose Distribution). Placement of the seeds is by the Radiation Oncologist or Urologist (or trained delegate) and the localisation is achieved with orthogonal x-ray or CT, MRI or Volumetric Ultrasound visualisation. Pre-planning to determine seed loading and Post Implant Dosimetry at &gt;Day 21 post implant may be required depending on the implantation technique.</w:t>
      </w:r>
    </w:p>
    <w:p w14:paraId="722F0539" w14:textId="2D985F96" w:rsidR="00492A9C" w:rsidRPr="00492A9C" w:rsidRDefault="00492A9C" w:rsidP="00492A9C">
      <w:pPr>
        <w:pStyle w:val="ExplanatoryNotes"/>
        <w:ind w:left="720"/>
      </w:pPr>
      <w:r w:rsidRPr="00492A9C">
        <w:t>Delivery Technologies: Permanent seed implant using a personalised plan (pre-calculated or real-time)</w:t>
      </w:r>
      <w:r w:rsidR="00E22174">
        <w:t>.</w:t>
      </w:r>
    </w:p>
    <w:p w14:paraId="7B1EC2C4" w14:textId="4997C68C" w:rsidR="00492A9C" w:rsidRDefault="00492A9C" w:rsidP="00492A9C">
      <w:pPr>
        <w:pStyle w:val="ExplanatoryNotes"/>
        <w:ind w:left="720"/>
      </w:pPr>
      <w:r w:rsidRPr="00492A9C">
        <w:t>Grouped Elements: Pre Plan Dosimetry, Implantation, Real Time or Post Implant Dosimetry, Complex Localisation (Includes Orthogonal X-Ray, CT and Volumetric Ultrasound)</w:t>
      </w:r>
      <w:r w:rsidR="00E22174">
        <w:t>.</w:t>
      </w:r>
    </w:p>
    <w:p w14:paraId="6927EBB6" w14:textId="77777777" w:rsidR="00581A12" w:rsidRPr="002836EB" w:rsidRDefault="00581A12" w:rsidP="00581A12">
      <w:pPr>
        <w:pStyle w:val="Boldhdg"/>
        <w:rPr>
          <w:lang w:val="en-GB"/>
        </w:rPr>
      </w:pPr>
      <w:bookmarkStart w:id="183" w:name="_Ref464501742"/>
      <w:r w:rsidRPr="002836EB">
        <w:rPr>
          <w:lang w:val="en-GB"/>
        </w:rPr>
        <w:t>Rationale</w:t>
      </w:r>
    </w:p>
    <w:p w14:paraId="3B8AA5EB" w14:textId="1390253A" w:rsidR="00581A12" w:rsidRPr="002836EB" w:rsidRDefault="00581A12" w:rsidP="00581A12">
      <w:pPr>
        <w:pStyle w:val="01squarebullet"/>
        <w:numPr>
          <w:ilvl w:val="0"/>
          <w:numId w:val="0"/>
        </w:numPr>
        <w:rPr>
          <w:lang w:val="en-GB"/>
        </w:rPr>
      </w:pPr>
      <w:r w:rsidRPr="002836EB">
        <w:rPr>
          <w:lang w:val="en-GB"/>
        </w:rPr>
        <w:t xml:space="preserve">This recommendation focuses on bringing item structure and descriptors in line with the modern delivery of </w:t>
      </w:r>
      <w:r w:rsidR="00AF0532">
        <w:rPr>
          <w:lang w:val="en-GB"/>
        </w:rPr>
        <w:t>brachytherapy</w:t>
      </w:r>
      <w:r w:rsidR="00006B66">
        <w:rPr>
          <w:lang w:val="en-GB"/>
        </w:rPr>
        <w:t xml:space="preserve"> and simplifying the MBS</w:t>
      </w:r>
      <w:r w:rsidRPr="002836EB">
        <w:rPr>
          <w:lang w:val="en-GB"/>
        </w:rPr>
        <w:t>. It is based on the following observations.</w:t>
      </w:r>
    </w:p>
    <w:p w14:paraId="553C47E1" w14:textId="1BF0E043" w:rsidR="00484A23" w:rsidRDefault="00484A23" w:rsidP="00A7186C">
      <w:pPr>
        <w:pStyle w:val="01squarebullet"/>
        <w:numPr>
          <w:ilvl w:val="0"/>
          <w:numId w:val="15"/>
        </w:numPr>
      </w:pPr>
      <w:r w:rsidRPr="00C41E3A">
        <w:rPr>
          <w:lang w:val="en-GB"/>
        </w:rPr>
        <w:t xml:space="preserve">The complexity levels described above reflect the major drivers of differing </w:t>
      </w:r>
      <w:r w:rsidR="0053507E">
        <w:rPr>
          <w:lang w:val="en-GB"/>
        </w:rPr>
        <w:t xml:space="preserve">levels of </w:t>
      </w:r>
      <w:r w:rsidRPr="00C41E3A">
        <w:rPr>
          <w:lang w:val="en-GB"/>
        </w:rPr>
        <w:t>professional involvement due to patient co</w:t>
      </w:r>
      <w:r w:rsidR="006B18E9" w:rsidRPr="00C41E3A">
        <w:rPr>
          <w:lang w:val="en-GB"/>
        </w:rPr>
        <w:t>mplexity</w:t>
      </w:r>
      <w:r w:rsidR="0016141C" w:rsidRPr="00C41E3A">
        <w:rPr>
          <w:lang w:val="en-GB"/>
        </w:rPr>
        <w:t>, s</w:t>
      </w:r>
      <w:r w:rsidR="006B18E9">
        <w:t xml:space="preserve">uch as whether the volume is 2D or 3D, whether differential dosing is required between the target tissue and other tissue, and the complexity of dose calculations. The </w:t>
      </w:r>
      <w:r w:rsidR="00C41E3A">
        <w:t xml:space="preserve">previous separation of </w:t>
      </w:r>
      <w:r w:rsidR="00F8255D">
        <w:t>items primarily</w:t>
      </w:r>
      <w:r w:rsidR="00C41E3A">
        <w:t xml:space="preserve"> by </w:t>
      </w:r>
      <w:r w:rsidR="006B18E9">
        <w:t>target organ (</w:t>
      </w:r>
      <w:r w:rsidR="00E12170">
        <w:t>for example</w:t>
      </w:r>
      <w:r w:rsidR="006B18E9">
        <w:t xml:space="preserve">, </w:t>
      </w:r>
      <w:r w:rsidR="00F8255D">
        <w:t>intrauterine versus intravaginal) is not a sufficiently</w:t>
      </w:r>
      <w:r w:rsidR="006B18E9">
        <w:t xml:space="preserve"> accurate predictor of complexity in modern practice. </w:t>
      </w:r>
    </w:p>
    <w:p w14:paraId="1BC09D4F" w14:textId="6508D408" w:rsidR="00492A9C" w:rsidRPr="006B18E9" w:rsidRDefault="002616FB" w:rsidP="002616FB">
      <w:pPr>
        <w:pStyle w:val="02dash"/>
        <w:numPr>
          <w:ilvl w:val="0"/>
          <w:numId w:val="6"/>
        </w:numPr>
        <w:rPr>
          <w:lang w:val="en-GB"/>
        </w:rPr>
      </w:pPr>
      <w:r>
        <w:rPr>
          <w:lang w:val="en-GB"/>
        </w:rPr>
        <w:lastRenderedPageBreak/>
        <w:t xml:space="preserve">The recommended items </w:t>
      </w:r>
      <w:r w:rsidR="006B18E9" w:rsidRPr="006B18E9">
        <w:rPr>
          <w:bCs/>
          <w:lang w:val="en-GB"/>
        </w:rPr>
        <w:t>simplify the MBS schedule</w:t>
      </w:r>
      <w:r>
        <w:rPr>
          <w:bCs/>
          <w:lang w:val="en-GB"/>
        </w:rPr>
        <w:t xml:space="preserve"> by reducing the large number of existing items to four items. These items r</w:t>
      </w:r>
      <w:r w:rsidR="006B18E9" w:rsidRPr="006B18E9">
        <w:rPr>
          <w:bCs/>
          <w:lang w:val="en-GB"/>
        </w:rPr>
        <w:t>emain auditable</w:t>
      </w:r>
      <w:r>
        <w:rPr>
          <w:bCs/>
          <w:lang w:val="en-GB"/>
        </w:rPr>
        <w:t xml:space="preserve">, </w:t>
      </w:r>
      <w:r w:rsidR="00A80BD4">
        <w:rPr>
          <w:bCs/>
          <w:lang w:val="en-GB"/>
        </w:rPr>
        <w:t>and</w:t>
      </w:r>
      <w:r w:rsidR="00A80BD4" w:rsidRPr="006B18E9">
        <w:rPr>
          <w:lang w:val="en-GB"/>
        </w:rPr>
        <w:t xml:space="preserve"> </w:t>
      </w:r>
      <w:r w:rsidR="006B18E9" w:rsidRPr="006B18E9">
        <w:rPr>
          <w:lang w:val="en-GB"/>
        </w:rPr>
        <w:t>unambiguous item</w:t>
      </w:r>
      <w:r w:rsidR="007E6F2C">
        <w:rPr>
          <w:lang w:val="en-GB"/>
        </w:rPr>
        <w:t xml:space="preserve"> descriptors</w:t>
      </w:r>
      <w:r w:rsidR="006B18E9" w:rsidRPr="006B18E9">
        <w:rPr>
          <w:lang w:val="en-GB"/>
        </w:rPr>
        <w:t xml:space="preserve"> </w:t>
      </w:r>
      <w:r w:rsidR="00A01478">
        <w:rPr>
          <w:lang w:val="en-GB"/>
        </w:rPr>
        <w:t xml:space="preserve">that </w:t>
      </w:r>
      <w:r w:rsidR="006B18E9" w:rsidRPr="006B18E9">
        <w:rPr>
          <w:lang w:val="en-GB"/>
        </w:rPr>
        <w:t>reflect real differences in the technique employed to deliver radiotherapy.</w:t>
      </w:r>
      <w:r w:rsidR="00492A9C">
        <w:rPr>
          <w:lang w:val="en-GB"/>
        </w:rPr>
        <w:br w:type="page"/>
      </w:r>
    </w:p>
    <w:p w14:paraId="5D8C2B0E" w14:textId="77087D6C" w:rsidR="00840163" w:rsidRPr="0041322A" w:rsidRDefault="00840163" w:rsidP="00840163">
      <w:pPr>
        <w:pStyle w:val="Heading2"/>
        <w:rPr>
          <w:lang w:val="en-GB"/>
        </w:rPr>
      </w:pPr>
      <w:bookmarkStart w:id="184" w:name="_Cobalt_and_caesium"/>
      <w:bookmarkStart w:id="185" w:name="_Ref467435306"/>
      <w:bookmarkStart w:id="186" w:name="_Toc468647486"/>
      <w:bookmarkStart w:id="187" w:name="_Toc479082792"/>
      <w:bookmarkEnd w:id="184"/>
      <w:r w:rsidRPr="0041322A">
        <w:rPr>
          <w:lang w:val="en-GB"/>
        </w:rPr>
        <w:lastRenderedPageBreak/>
        <w:t xml:space="preserve">Cobalt and </w:t>
      </w:r>
      <w:r w:rsidR="00BF2427" w:rsidRPr="0041322A">
        <w:rPr>
          <w:lang w:val="en-GB"/>
        </w:rPr>
        <w:t>c</w:t>
      </w:r>
      <w:r w:rsidR="000629EC" w:rsidRPr="0041322A">
        <w:rPr>
          <w:lang w:val="en-GB"/>
        </w:rPr>
        <w:t>aesium</w:t>
      </w:r>
      <w:r w:rsidRPr="0041322A">
        <w:rPr>
          <w:lang w:val="en-GB"/>
        </w:rPr>
        <w:t xml:space="preserve"> </w:t>
      </w:r>
      <w:r w:rsidR="00BF2427" w:rsidRPr="0041322A">
        <w:rPr>
          <w:lang w:val="en-GB"/>
        </w:rPr>
        <w:t>r</w:t>
      </w:r>
      <w:r w:rsidR="000629EC" w:rsidRPr="0041322A">
        <w:rPr>
          <w:lang w:val="en-GB"/>
        </w:rPr>
        <w:t xml:space="preserve">adiation </w:t>
      </w:r>
      <w:r w:rsidR="00BF2427" w:rsidRPr="0041322A">
        <w:rPr>
          <w:lang w:val="en-GB"/>
        </w:rPr>
        <w:t>t</w:t>
      </w:r>
      <w:r w:rsidR="000629EC" w:rsidRPr="0041322A">
        <w:rPr>
          <w:lang w:val="en-GB"/>
        </w:rPr>
        <w:t>herapy</w:t>
      </w:r>
      <w:bookmarkEnd w:id="174"/>
      <w:bookmarkEnd w:id="183"/>
      <w:bookmarkEnd w:id="185"/>
      <w:bookmarkEnd w:id="186"/>
      <w:bookmarkEnd w:id="187"/>
    </w:p>
    <w:p w14:paraId="655C9EA9" w14:textId="24E560DD" w:rsidR="00840163" w:rsidRPr="002836EB" w:rsidRDefault="00840163" w:rsidP="00840163">
      <w:pPr>
        <w:pStyle w:val="Caption"/>
      </w:pPr>
      <w:bookmarkStart w:id="188" w:name="_Toc468647510"/>
      <w:bookmarkStart w:id="189" w:name="_Toc479082816"/>
      <w:r w:rsidRPr="002836EB">
        <w:t xml:space="preserve">Table </w:t>
      </w:r>
      <w:r w:rsidRPr="002836EB">
        <w:fldChar w:fldCharType="begin"/>
      </w:r>
      <w:r w:rsidRPr="002836EB">
        <w:instrText xml:space="preserve"> SEQ Table \* ARABIC </w:instrText>
      </w:r>
      <w:r w:rsidRPr="002836EB">
        <w:fldChar w:fldCharType="separate"/>
      </w:r>
      <w:r w:rsidR="003274EF">
        <w:rPr>
          <w:noProof/>
        </w:rPr>
        <w:t>9</w:t>
      </w:r>
      <w:r w:rsidRPr="002836EB">
        <w:fldChar w:fldCharType="end"/>
      </w:r>
      <w:r w:rsidRPr="002836EB">
        <w:t>: Item introduction table for item</w:t>
      </w:r>
      <w:r w:rsidR="00BA5CED" w:rsidRPr="002836EB">
        <w:t>s</w:t>
      </w:r>
      <w:r w:rsidRPr="002836EB">
        <w:t xml:space="preserve"> </w:t>
      </w:r>
      <w:r w:rsidR="00BA5CED" w:rsidRPr="002836EB">
        <w:t>15211</w:t>
      </w:r>
      <w:r w:rsidR="00375C0D">
        <w:t>–</w:t>
      </w:r>
      <w:r w:rsidR="00BA5CED" w:rsidRPr="002836EB">
        <w:t>15214</w:t>
      </w:r>
      <w:bookmarkEnd w:id="188"/>
      <w:bookmarkEnd w:id="189"/>
      <w:r w:rsidRPr="002836EB">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9 shows the item introduction table for Cobalt and caesium radiation therapy item numbers 15211-15214. There are 6 columns: Column 1. List of items, Column 2. Descriptor, column 3. Schedule fee, column 4. Volume of services for financial year 2014-15, column 5. Total benefits for FY 2014-15, and column 6. Percentage of the services average 5-year annual growth."/>
      </w:tblPr>
      <w:tblGrid>
        <w:gridCol w:w="718"/>
        <w:gridCol w:w="4089"/>
        <w:gridCol w:w="923"/>
        <w:gridCol w:w="1003"/>
        <w:gridCol w:w="1086"/>
        <w:gridCol w:w="1197"/>
      </w:tblGrid>
      <w:tr w:rsidR="00396184" w:rsidRPr="002836EB" w14:paraId="3DF604D5" w14:textId="77777777" w:rsidTr="00232E7A">
        <w:trPr>
          <w:tblHeader/>
        </w:trPr>
        <w:tc>
          <w:tcPr>
            <w:tcW w:w="721" w:type="dxa"/>
            <w:shd w:val="clear" w:color="auto" w:fill="F2F2F2" w:themeFill="background1" w:themeFillShade="F2"/>
            <w:vAlign w:val="bottom"/>
          </w:tcPr>
          <w:p w14:paraId="46192753" w14:textId="77777777" w:rsidR="003D635F" w:rsidRPr="002836EB" w:rsidRDefault="003D635F" w:rsidP="005D41DE">
            <w:pPr>
              <w:pStyle w:val="02Tabletext"/>
              <w:rPr>
                <w:b/>
              </w:rPr>
            </w:pPr>
            <w:r w:rsidRPr="002836EB">
              <w:rPr>
                <w:b/>
              </w:rPr>
              <w:t>Item</w:t>
            </w:r>
          </w:p>
        </w:tc>
        <w:tc>
          <w:tcPr>
            <w:tcW w:w="4141" w:type="dxa"/>
            <w:shd w:val="clear" w:color="auto" w:fill="F2F2F2" w:themeFill="background1" w:themeFillShade="F2"/>
            <w:vAlign w:val="bottom"/>
          </w:tcPr>
          <w:p w14:paraId="4E066D20" w14:textId="77777777" w:rsidR="003D635F" w:rsidRPr="002836EB" w:rsidRDefault="003D635F" w:rsidP="005D41DE">
            <w:pPr>
              <w:pStyle w:val="02Tabletext"/>
              <w:rPr>
                <w:b/>
              </w:rPr>
            </w:pPr>
            <w:r w:rsidRPr="002836EB">
              <w:rPr>
                <w:b/>
              </w:rPr>
              <w:t>Descriptor</w:t>
            </w:r>
          </w:p>
        </w:tc>
        <w:tc>
          <w:tcPr>
            <w:tcW w:w="924" w:type="dxa"/>
            <w:shd w:val="clear" w:color="auto" w:fill="F2F2F2" w:themeFill="background1" w:themeFillShade="F2"/>
            <w:vAlign w:val="bottom"/>
          </w:tcPr>
          <w:p w14:paraId="67953386" w14:textId="77777777" w:rsidR="003D635F" w:rsidRPr="002836EB" w:rsidRDefault="003D635F" w:rsidP="005D41DE">
            <w:pPr>
              <w:pStyle w:val="02Tabletext"/>
              <w:rPr>
                <w:b/>
              </w:rPr>
            </w:pPr>
            <w:r w:rsidRPr="002836EB">
              <w:rPr>
                <w:b/>
              </w:rPr>
              <w:t>Schedule</w:t>
            </w:r>
          </w:p>
          <w:p w14:paraId="61E67FC8" w14:textId="77777777" w:rsidR="003D635F" w:rsidRPr="002836EB" w:rsidRDefault="003D635F" w:rsidP="005D41DE">
            <w:pPr>
              <w:pStyle w:val="02Tabletext"/>
              <w:rPr>
                <w:b/>
              </w:rPr>
            </w:pPr>
            <w:r w:rsidRPr="002836EB">
              <w:rPr>
                <w:b/>
              </w:rPr>
              <w:t>fee</w:t>
            </w:r>
          </w:p>
        </w:tc>
        <w:tc>
          <w:tcPr>
            <w:tcW w:w="1004" w:type="dxa"/>
            <w:shd w:val="clear" w:color="auto" w:fill="F2F2F2" w:themeFill="background1" w:themeFillShade="F2"/>
            <w:vAlign w:val="bottom"/>
          </w:tcPr>
          <w:p w14:paraId="62C10F45" w14:textId="77777777" w:rsidR="003D635F" w:rsidRPr="002836EB" w:rsidRDefault="003D635F" w:rsidP="005D41DE">
            <w:pPr>
              <w:pStyle w:val="02Tabletext"/>
              <w:rPr>
                <w:b/>
              </w:rPr>
            </w:pPr>
            <w:r w:rsidRPr="002836EB">
              <w:rPr>
                <w:b/>
              </w:rPr>
              <w:t>Volume of services FY2014/15</w:t>
            </w:r>
          </w:p>
        </w:tc>
        <w:tc>
          <w:tcPr>
            <w:tcW w:w="1088" w:type="dxa"/>
            <w:shd w:val="clear" w:color="auto" w:fill="F2F2F2" w:themeFill="background1" w:themeFillShade="F2"/>
            <w:vAlign w:val="bottom"/>
          </w:tcPr>
          <w:p w14:paraId="2373AE53" w14:textId="77777777" w:rsidR="003D635F" w:rsidRPr="002836EB" w:rsidRDefault="003D635F" w:rsidP="005D41DE">
            <w:pPr>
              <w:pStyle w:val="02Tabletext"/>
              <w:rPr>
                <w:b/>
              </w:rPr>
            </w:pPr>
            <w:r w:rsidRPr="002836EB">
              <w:rPr>
                <w:b/>
              </w:rPr>
              <w:t>Total benefits FY2014/15</w:t>
            </w:r>
          </w:p>
        </w:tc>
        <w:tc>
          <w:tcPr>
            <w:tcW w:w="1204" w:type="dxa"/>
            <w:shd w:val="clear" w:color="auto" w:fill="F2F2F2" w:themeFill="background1" w:themeFillShade="F2"/>
            <w:vAlign w:val="bottom"/>
          </w:tcPr>
          <w:p w14:paraId="27F35AFB" w14:textId="77777777" w:rsidR="003D635F" w:rsidRPr="002836EB" w:rsidRDefault="003D635F" w:rsidP="005D41DE">
            <w:pPr>
              <w:pStyle w:val="02Tabletext"/>
              <w:rPr>
                <w:b/>
              </w:rPr>
            </w:pPr>
            <w:r w:rsidRPr="002836EB">
              <w:rPr>
                <w:b/>
              </w:rPr>
              <w:t>Services 5-year-average annual growth</w:t>
            </w:r>
          </w:p>
        </w:tc>
      </w:tr>
      <w:tr w:rsidR="00112D03" w:rsidRPr="002836EB" w14:paraId="403A02E9" w14:textId="77777777" w:rsidTr="00605E25">
        <w:tc>
          <w:tcPr>
            <w:tcW w:w="721" w:type="dxa"/>
          </w:tcPr>
          <w:p w14:paraId="22243B51" w14:textId="1FDAB881" w:rsidR="00112D03" w:rsidRPr="002836EB" w:rsidRDefault="00112D03" w:rsidP="00112D03">
            <w:pPr>
              <w:pStyle w:val="02Tabletext"/>
            </w:pPr>
            <w:r w:rsidRPr="002836EB">
              <w:t>15211</w:t>
            </w:r>
          </w:p>
        </w:tc>
        <w:tc>
          <w:tcPr>
            <w:tcW w:w="4141" w:type="dxa"/>
          </w:tcPr>
          <w:p w14:paraId="63046765" w14:textId="201E0457" w:rsidR="00112D03" w:rsidRPr="002836EB" w:rsidRDefault="00112D03" w:rsidP="00112D03">
            <w:pPr>
              <w:pStyle w:val="02Tabletext"/>
            </w:pPr>
            <w:r w:rsidRPr="002836EB">
              <w:t xml:space="preserve">Radiation oncology treatment, using cobalt unit or caesium teletherapy unit </w:t>
            </w:r>
            <w:r w:rsidR="00565B9E">
              <w:t>–</w:t>
            </w:r>
            <w:r w:rsidRPr="002836EB">
              <w:t xml:space="preserve"> each attendance at which treatment is given </w:t>
            </w:r>
            <w:r w:rsidR="00272200">
              <w:t>–</w:t>
            </w:r>
            <w:r w:rsidRPr="002836EB">
              <w:t xml:space="preserve"> 1 field</w:t>
            </w:r>
            <w:r w:rsidR="00272200">
              <w:t>.</w:t>
            </w:r>
          </w:p>
        </w:tc>
        <w:tc>
          <w:tcPr>
            <w:tcW w:w="924" w:type="dxa"/>
          </w:tcPr>
          <w:p w14:paraId="3AFF66C8" w14:textId="74306E63" w:rsidR="00112D03" w:rsidRPr="002836EB" w:rsidRDefault="00112D03" w:rsidP="00112D03">
            <w:pPr>
              <w:pStyle w:val="02Tabletext"/>
              <w:jc w:val="center"/>
            </w:pPr>
            <w:r w:rsidRPr="002836EB">
              <w:t xml:space="preserve"> $54.70 </w:t>
            </w:r>
          </w:p>
        </w:tc>
        <w:tc>
          <w:tcPr>
            <w:tcW w:w="1004" w:type="dxa"/>
          </w:tcPr>
          <w:p w14:paraId="7316DF5E" w14:textId="1103A6D7" w:rsidR="00112D03" w:rsidRPr="002836EB" w:rsidRDefault="00112D03" w:rsidP="00112D03">
            <w:pPr>
              <w:pStyle w:val="02Tabletext"/>
              <w:jc w:val="center"/>
            </w:pPr>
            <w:r w:rsidRPr="002836EB">
              <w:t>0</w:t>
            </w:r>
          </w:p>
        </w:tc>
        <w:tc>
          <w:tcPr>
            <w:tcW w:w="1088" w:type="dxa"/>
          </w:tcPr>
          <w:p w14:paraId="4F841BBF" w14:textId="542441BF" w:rsidR="00112D03" w:rsidRPr="002836EB" w:rsidRDefault="00112D03" w:rsidP="00112D03">
            <w:pPr>
              <w:pStyle w:val="02Tabletext"/>
              <w:jc w:val="center"/>
            </w:pPr>
            <w:r w:rsidRPr="002836EB">
              <w:t>0</w:t>
            </w:r>
          </w:p>
        </w:tc>
        <w:tc>
          <w:tcPr>
            <w:tcW w:w="1204" w:type="dxa"/>
          </w:tcPr>
          <w:p w14:paraId="1A295F4E" w14:textId="2CADF7A4" w:rsidR="00112D03" w:rsidRPr="002836EB" w:rsidRDefault="00112D03" w:rsidP="00112D03">
            <w:pPr>
              <w:pStyle w:val="02Tabletext"/>
              <w:jc w:val="center"/>
            </w:pPr>
            <w:r w:rsidRPr="002836EB">
              <w:rPr>
                <w:shd w:val="clear" w:color="auto" w:fill="FBFBFB"/>
              </w:rPr>
              <w:t>N/A</w:t>
            </w:r>
          </w:p>
        </w:tc>
      </w:tr>
      <w:tr w:rsidR="00112D03" w:rsidRPr="002836EB" w14:paraId="3CDFFF6B" w14:textId="77777777" w:rsidTr="00605E25">
        <w:tc>
          <w:tcPr>
            <w:tcW w:w="721" w:type="dxa"/>
          </w:tcPr>
          <w:p w14:paraId="20BF1CDC" w14:textId="24E4FED6" w:rsidR="00112D03" w:rsidRPr="002836EB" w:rsidRDefault="00112D03" w:rsidP="00112D03">
            <w:pPr>
              <w:pStyle w:val="02Tabletext"/>
            </w:pPr>
            <w:r w:rsidRPr="002836EB">
              <w:t>15214</w:t>
            </w:r>
          </w:p>
        </w:tc>
        <w:tc>
          <w:tcPr>
            <w:tcW w:w="4141" w:type="dxa"/>
          </w:tcPr>
          <w:p w14:paraId="5EC2E8DB" w14:textId="0F8FFCD2" w:rsidR="00112D03" w:rsidRPr="002836EB" w:rsidRDefault="00112D03" w:rsidP="00112D03">
            <w:pPr>
              <w:pStyle w:val="02Tabletext"/>
            </w:pPr>
            <w:r w:rsidRPr="002836EB">
              <w:t xml:space="preserve">Radiation oncology treatment, using cobalt unit or caesium teletherapy unit </w:t>
            </w:r>
            <w:r w:rsidR="0029349B">
              <w:t>–</w:t>
            </w:r>
            <w:r w:rsidRPr="002836EB">
              <w:t xml:space="preserve"> each attendance at which treatment is given </w:t>
            </w:r>
            <w:r w:rsidR="00C24154">
              <w:t>–</w:t>
            </w:r>
            <w:r w:rsidRPr="002836EB">
              <w:t xml:space="preserve"> 2 or more fields up to a maximum of 5 additional fields (rotational therapy being 3 fields)</w:t>
            </w:r>
            <w:r w:rsidR="000B7434">
              <w:t>.</w:t>
            </w:r>
          </w:p>
        </w:tc>
        <w:tc>
          <w:tcPr>
            <w:tcW w:w="924" w:type="dxa"/>
          </w:tcPr>
          <w:p w14:paraId="766BF797" w14:textId="21292AFC" w:rsidR="00112D03" w:rsidRPr="002836EB" w:rsidRDefault="00112D03" w:rsidP="00112D03">
            <w:pPr>
              <w:pStyle w:val="02Tabletext"/>
              <w:jc w:val="center"/>
            </w:pPr>
            <w:r w:rsidRPr="002836EB">
              <w:t>The fee for item 15211 plus for each field in excess of 1, an amount of $31.90</w:t>
            </w:r>
          </w:p>
        </w:tc>
        <w:tc>
          <w:tcPr>
            <w:tcW w:w="1004" w:type="dxa"/>
          </w:tcPr>
          <w:p w14:paraId="27065A7C" w14:textId="77EED9F1" w:rsidR="00112D03" w:rsidRPr="002836EB" w:rsidRDefault="00112D03" w:rsidP="00112D03">
            <w:pPr>
              <w:pStyle w:val="02Tabletext"/>
              <w:jc w:val="center"/>
            </w:pPr>
            <w:r w:rsidRPr="002836EB">
              <w:t>0</w:t>
            </w:r>
          </w:p>
        </w:tc>
        <w:tc>
          <w:tcPr>
            <w:tcW w:w="1088" w:type="dxa"/>
          </w:tcPr>
          <w:p w14:paraId="39CA1FFD" w14:textId="0DFB2CB5" w:rsidR="00112D03" w:rsidRPr="002836EB" w:rsidRDefault="00112D03" w:rsidP="00112D03">
            <w:pPr>
              <w:pStyle w:val="02Tabletext"/>
              <w:jc w:val="center"/>
            </w:pPr>
            <w:r w:rsidRPr="002836EB">
              <w:t>0</w:t>
            </w:r>
          </w:p>
        </w:tc>
        <w:tc>
          <w:tcPr>
            <w:tcW w:w="1204" w:type="dxa"/>
          </w:tcPr>
          <w:p w14:paraId="1A39F7B1" w14:textId="0F26D274" w:rsidR="00112D03" w:rsidRPr="002836EB" w:rsidRDefault="00112D03" w:rsidP="00112D03">
            <w:pPr>
              <w:pStyle w:val="02Tabletext"/>
              <w:jc w:val="center"/>
              <w:rPr>
                <w:shd w:val="clear" w:color="auto" w:fill="FBFBFB"/>
              </w:rPr>
            </w:pPr>
            <w:r w:rsidRPr="002836EB">
              <w:rPr>
                <w:shd w:val="clear" w:color="auto" w:fill="FBFBFB"/>
              </w:rPr>
              <w:t>N/A</w:t>
            </w:r>
          </w:p>
        </w:tc>
      </w:tr>
    </w:tbl>
    <w:p w14:paraId="44EF905B" w14:textId="77777777" w:rsidR="00A60C83" w:rsidRDefault="00A60C83" w:rsidP="00DE1A53">
      <w:pPr>
        <w:spacing w:before="0"/>
        <w:rPr>
          <w:color w:val="000000"/>
          <w:sz w:val="18"/>
          <w:szCs w:val="18"/>
        </w:rPr>
      </w:pPr>
      <w:bookmarkStart w:id="190" w:name="_Ref467446510"/>
      <w:r>
        <w:rPr>
          <w:color w:val="000000"/>
          <w:sz w:val="18"/>
          <w:szCs w:val="18"/>
        </w:rPr>
        <w:t>Public data (Department of Human Services).</w:t>
      </w:r>
    </w:p>
    <w:p w14:paraId="54F2D327" w14:textId="71024BC7" w:rsidR="00232E7A" w:rsidRPr="00D818DC" w:rsidRDefault="00602F77" w:rsidP="00602F77">
      <w:pPr>
        <w:pStyle w:val="TableUnderLast"/>
      </w:pPr>
      <w:r>
        <w:t>Note: N/A means not applicable.</w:t>
      </w:r>
    </w:p>
    <w:p w14:paraId="0AA5B021" w14:textId="77C86741" w:rsidR="00F92045" w:rsidRDefault="00F92045" w:rsidP="00F92045">
      <w:pPr>
        <w:pStyle w:val="Boldhdg"/>
      </w:pPr>
      <w:bookmarkStart w:id="191" w:name="_Ref474802972"/>
      <w:r>
        <w:t xml:space="preserve">Recommendation </w:t>
      </w:r>
      <w:r>
        <w:fldChar w:fldCharType="begin"/>
      </w:r>
      <w:r>
        <w:instrText xml:space="preserve"> SEQ Recommendation \* ARABIC </w:instrText>
      </w:r>
      <w:r>
        <w:fldChar w:fldCharType="separate"/>
      </w:r>
      <w:r w:rsidR="003274EF">
        <w:rPr>
          <w:noProof/>
        </w:rPr>
        <w:t>8</w:t>
      </w:r>
      <w:r>
        <w:fldChar w:fldCharType="end"/>
      </w:r>
      <w:bookmarkEnd w:id="190"/>
      <w:bookmarkEnd w:id="191"/>
    </w:p>
    <w:p w14:paraId="12BA0DAE" w14:textId="79DD7431" w:rsidR="00FC3889" w:rsidRPr="002836EB" w:rsidRDefault="00AF73B5" w:rsidP="00FC3889">
      <w:pPr>
        <w:pStyle w:val="01squarebullet"/>
        <w:rPr>
          <w:lang w:val="en-GB"/>
        </w:rPr>
      </w:pPr>
      <w:r>
        <w:rPr>
          <w:lang w:val="en-GB"/>
        </w:rPr>
        <w:t>Delete items 1521</w:t>
      </w:r>
      <w:r w:rsidR="00835CB3" w:rsidRPr="002836EB">
        <w:rPr>
          <w:lang w:val="en-GB"/>
        </w:rPr>
        <w:t xml:space="preserve">1 and 15214. </w:t>
      </w:r>
    </w:p>
    <w:p w14:paraId="0A7A4BEC" w14:textId="77777777" w:rsidR="00FC3889" w:rsidRPr="002836EB" w:rsidRDefault="00FC3889" w:rsidP="00FC3889">
      <w:pPr>
        <w:pStyle w:val="Boldhdg"/>
        <w:rPr>
          <w:lang w:val="en-GB"/>
        </w:rPr>
      </w:pPr>
      <w:r w:rsidRPr="002836EB">
        <w:rPr>
          <w:lang w:val="en-GB"/>
        </w:rPr>
        <w:t>Rationale</w:t>
      </w:r>
    </w:p>
    <w:p w14:paraId="233669BE" w14:textId="584747AA" w:rsidR="002F2FC0" w:rsidRPr="002836EB" w:rsidRDefault="002F2FC0" w:rsidP="0016743B">
      <w:pPr>
        <w:pStyle w:val="01squarebullet"/>
        <w:numPr>
          <w:ilvl w:val="0"/>
          <w:numId w:val="0"/>
        </w:numPr>
        <w:rPr>
          <w:lang w:val="en-GB"/>
        </w:rPr>
      </w:pPr>
      <w:r w:rsidRPr="002836EB">
        <w:rPr>
          <w:lang w:val="en-GB"/>
        </w:rPr>
        <w:t xml:space="preserve">This recommendation focuses on </w:t>
      </w:r>
      <w:r w:rsidR="0016743B" w:rsidRPr="002836EB">
        <w:rPr>
          <w:lang w:val="en-GB"/>
        </w:rPr>
        <w:t>ensuring</w:t>
      </w:r>
      <w:r w:rsidR="00401AE1">
        <w:rPr>
          <w:lang w:val="en-GB"/>
        </w:rPr>
        <w:t xml:space="preserve"> that</w:t>
      </w:r>
      <w:r w:rsidR="0016743B" w:rsidRPr="002836EB">
        <w:rPr>
          <w:lang w:val="en-GB"/>
        </w:rPr>
        <w:t xml:space="preserve"> items reflect best-practice health services</w:t>
      </w:r>
      <w:r w:rsidR="004070CB">
        <w:rPr>
          <w:lang w:val="en-GB"/>
        </w:rPr>
        <w:t>. It</w:t>
      </w:r>
      <w:r w:rsidR="0016743B" w:rsidRPr="002836EB">
        <w:rPr>
          <w:lang w:val="en-GB"/>
        </w:rPr>
        <w:t xml:space="preserve"> </w:t>
      </w:r>
      <w:r w:rsidRPr="002836EB">
        <w:rPr>
          <w:lang w:val="en-GB"/>
        </w:rPr>
        <w:t>is based on the following observations.</w:t>
      </w:r>
    </w:p>
    <w:p w14:paraId="524EA8C9" w14:textId="63444271" w:rsidR="005629CE" w:rsidRPr="002836EB" w:rsidRDefault="005629CE" w:rsidP="00A7186C">
      <w:pPr>
        <w:pStyle w:val="01squarebullet"/>
        <w:numPr>
          <w:ilvl w:val="0"/>
          <w:numId w:val="15"/>
        </w:numPr>
        <w:rPr>
          <w:lang w:val="en-GB"/>
        </w:rPr>
      </w:pPr>
      <w:r w:rsidRPr="002836EB">
        <w:rPr>
          <w:lang w:val="en-GB"/>
        </w:rPr>
        <w:t>Cobalt and caesium radio</w:t>
      </w:r>
      <w:r w:rsidR="008E78D3" w:rsidRPr="002836EB">
        <w:rPr>
          <w:lang w:val="en-GB"/>
        </w:rPr>
        <w:t>therapy are clinically obsolete</w:t>
      </w:r>
      <w:r w:rsidR="001E07E8">
        <w:rPr>
          <w:lang w:val="en-GB"/>
        </w:rPr>
        <w:t xml:space="preserve"> due to</w:t>
      </w:r>
      <w:r w:rsidR="00E60BEB">
        <w:rPr>
          <w:lang w:val="en-GB"/>
        </w:rPr>
        <w:t xml:space="preserve"> the</w:t>
      </w:r>
      <w:r w:rsidR="001E07E8">
        <w:rPr>
          <w:lang w:val="en-GB"/>
        </w:rPr>
        <w:t xml:space="preserve"> physical characteristics of cobalt and caesium (namely, poor depth of dose and a wide penumbra)</w:t>
      </w:r>
      <w:r w:rsidR="00707AE3">
        <w:rPr>
          <w:lang w:val="en-GB"/>
        </w:rPr>
        <w:t>, which make it difficult to target treatment.</w:t>
      </w:r>
      <w:r w:rsidR="008E78D3" w:rsidRPr="002836EB">
        <w:rPr>
          <w:lang w:val="en-GB"/>
        </w:rPr>
        <w:t xml:space="preserve"> These radioactive sources are</w:t>
      </w:r>
      <w:r w:rsidR="008D49F5">
        <w:rPr>
          <w:lang w:val="en-GB"/>
        </w:rPr>
        <w:t xml:space="preserve"> also</w:t>
      </w:r>
      <w:r w:rsidR="008E78D3" w:rsidRPr="002836EB">
        <w:rPr>
          <w:lang w:val="en-GB"/>
        </w:rPr>
        <w:t xml:space="preserve"> no longer available in Australia.</w:t>
      </w:r>
    </w:p>
    <w:p w14:paraId="5550C2F8" w14:textId="269E5048" w:rsidR="00840163" w:rsidRPr="002836EB" w:rsidRDefault="005629CE" w:rsidP="00A7186C">
      <w:pPr>
        <w:pStyle w:val="01squarebullet"/>
        <w:numPr>
          <w:ilvl w:val="0"/>
          <w:numId w:val="15"/>
        </w:numPr>
        <w:rPr>
          <w:lang w:val="en-GB"/>
        </w:rPr>
      </w:pPr>
      <w:r w:rsidRPr="002836EB">
        <w:rPr>
          <w:lang w:val="en-GB"/>
        </w:rPr>
        <w:t>Items 152</w:t>
      </w:r>
      <w:r w:rsidR="000A6ADC">
        <w:rPr>
          <w:lang w:val="en-GB"/>
        </w:rPr>
        <w:t>1</w:t>
      </w:r>
      <w:r w:rsidRPr="002836EB">
        <w:rPr>
          <w:lang w:val="en-GB"/>
        </w:rPr>
        <w:t xml:space="preserve">1 and 15214 have not been used for more than </w:t>
      </w:r>
      <w:r w:rsidR="00244081">
        <w:rPr>
          <w:lang w:val="en-GB"/>
        </w:rPr>
        <w:t>five</w:t>
      </w:r>
      <w:r w:rsidRPr="002836EB">
        <w:rPr>
          <w:lang w:val="en-GB"/>
        </w:rPr>
        <w:t xml:space="preserve"> years.</w:t>
      </w:r>
    </w:p>
    <w:p w14:paraId="174FCD25" w14:textId="483187FE" w:rsidR="00F80480" w:rsidRDefault="00F80480">
      <w:pPr>
        <w:spacing w:before="0" w:after="0"/>
        <w:rPr>
          <w:szCs w:val="22"/>
        </w:rPr>
      </w:pPr>
      <w:r>
        <w:rPr>
          <w:szCs w:val="22"/>
        </w:rPr>
        <w:br w:type="page"/>
      </w:r>
    </w:p>
    <w:p w14:paraId="6C2AC8B4" w14:textId="5282320E" w:rsidR="00F80480" w:rsidRPr="002836EB" w:rsidRDefault="00774262" w:rsidP="00F80480">
      <w:pPr>
        <w:pStyle w:val="Heading1"/>
        <w:rPr>
          <w:lang w:val="en-GB"/>
        </w:rPr>
      </w:pPr>
      <w:bookmarkStart w:id="192" w:name="_Ref474805232"/>
      <w:bookmarkStart w:id="193" w:name="_Ref474805242"/>
      <w:bookmarkStart w:id="194" w:name="_Ref474805363"/>
      <w:bookmarkStart w:id="195" w:name="_Ref474805450"/>
      <w:bookmarkStart w:id="196" w:name="_Ref474805468"/>
      <w:bookmarkStart w:id="197" w:name="_Ref474805509"/>
      <w:bookmarkStart w:id="198" w:name="_Ref474805514"/>
      <w:bookmarkStart w:id="199" w:name="_Ref474805539"/>
      <w:bookmarkStart w:id="200" w:name="_Ref474805542"/>
      <w:bookmarkStart w:id="201" w:name="_Toc479082793"/>
      <w:r>
        <w:rPr>
          <w:lang w:val="en-GB"/>
        </w:rPr>
        <w:lastRenderedPageBreak/>
        <w:t>Surgical and paediatric oncology recommendations</w:t>
      </w:r>
      <w:bookmarkEnd w:id="192"/>
      <w:bookmarkEnd w:id="193"/>
      <w:bookmarkEnd w:id="194"/>
      <w:bookmarkEnd w:id="195"/>
      <w:bookmarkEnd w:id="196"/>
      <w:bookmarkEnd w:id="197"/>
      <w:bookmarkEnd w:id="198"/>
      <w:bookmarkEnd w:id="199"/>
      <w:bookmarkEnd w:id="200"/>
      <w:bookmarkEnd w:id="201"/>
    </w:p>
    <w:p w14:paraId="40629442" w14:textId="1B8750A7" w:rsidR="00F80480" w:rsidRPr="002836EB" w:rsidRDefault="00F80480" w:rsidP="00F80480">
      <w:pPr>
        <w:spacing w:after="160" w:line="259" w:lineRule="auto"/>
        <w:rPr>
          <w:rFonts w:ascii="Calibri" w:hAnsi="Calibri" w:cs="Arial"/>
          <w:szCs w:val="22"/>
        </w:rPr>
      </w:pPr>
      <w:r w:rsidRPr="002836EB">
        <w:rPr>
          <w:rFonts w:ascii="Calibri" w:hAnsi="Calibri" w:cs="Arial"/>
          <w:szCs w:val="22"/>
        </w:rPr>
        <w:t xml:space="preserve">The following recommendations </w:t>
      </w:r>
      <w:r w:rsidR="00CD3F1A">
        <w:rPr>
          <w:rFonts w:ascii="Calibri" w:hAnsi="Calibri" w:cs="Arial"/>
          <w:szCs w:val="22"/>
        </w:rPr>
        <w:t xml:space="preserve">and requests </w:t>
      </w:r>
      <w:r w:rsidRPr="002836EB">
        <w:rPr>
          <w:rFonts w:ascii="Calibri" w:hAnsi="Calibri" w:cs="Arial"/>
          <w:szCs w:val="22"/>
        </w:rPr>
        <w:t>were developed by the Committee and accepted unanimously.</w:t>
      </w:r>
    </w:p>
    <w:p w14:paraId="20DE6CFD" w14:textId="77777777" w:rsidR="00F80480" w:rsidRPr="002836EB" w:rsidRDefault="00F80480" w:rsidP="00F80480">
      <w:pPr>
        <w:pStyle w:val="Heading2"/>
        <w:rPr>
          <w:lang w:val="en-GB"/>
        </w:rPr>
      </w:pPr>
      <w:bookmarkStart w:id="202" w:name="_Sentinel_lymph_node"/>
      <w:bookmarkStart w:id="203" w:name="_Ref463918778"/>
      <w:bookmarkStart w:id="204" w:name="_Ref463920191"/>
      <w:bookmarkStart w:id="205" w:name="_Toc468647488"/>
      <w:bookmarkStart w:id="206" w:name="_Toc479082794"/>
      <w:bookmarkEnd w:id="202"/>
      <w:r w:rsidRPr="002836EB">
        <w:rPr>
          <w:lang w:val="en-GB"/>
        </w:rPr>
        <w:t>Sentinel lymph node biopsy</w:t>
      </w:r>
      <w:bookmarkEnd w:id="203"/>
      <w:r w:rsidRPr="002836EB">
        <w:rPr>
          <w:lang w:val="en-GB"/>
        </w:rPr>
        <w:t xml:space="preserve"> for breast cancer</w:t>
      </w:r>
      <w:bookmarkEnd w:id="204"/>
      <w:bookmarkEnd w:id="205"/>
      <w:bookmarkEnd w:id="206"/>
    </w:p>
    <w:p w14:paraId="1007E48E" w14:textId="77777777" w:rsidR="00F80480" w:rsidRPr="002836EB" w:rsidRDefault="00F80480" w:rsidP="00F80480">
      <w:pPr>
        <w:pStyle w:val="Caption"/>
      </w:pPr>
      <w:bookmarkStart w:id="207" w:name="_Toc468647511"/>
      <w:bookmarkStart w:id="208" w:name="_Toc479082817"/>
      <w:r w:rsidRPr="002836EB">
        <w:t xml:space="preserve">Table </w:t>
      </w:r>
      <w:r w:rsidRPr="002836EB">
        <w:fldChar w:fldCharType="begin"/>
      </w:r>
      <w:r w:rsidRPr="002836EB">
        <w:instrText xml:space="preserve"> SEQ Table \* ARABIC </w:instrText>
      </w:r>
      <w:r w:rsidRPr="002836EB">
        <w:fldChar w:fldCharType="separate"/>
      </w:r>
      <w:r w:rsidR="003274EF">
        <w:rPr>
          <w:noProof/>
        </w:rPr>
        <w:t>10</w:t>
      </w:r>
      <w:r w:rsidRPr="002836EB">
        <w:fldChar w:fldCharType="end"/>
      </w:r>
      <w:r w:rsidRPr="002836EB">
        <w:t>: Item introduction table for items 30299–30303</w:t>
      </w:r>
      <w:bookmarkEnd w:id="207"/>
      <w:bookmarkEnd w:id="208"/>
      <w:r w:rsidRPr="002836EB">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0 shows the item introduction table for Sentinel lymph node biopsy for breast cancer item numbers 30299-30303. There are 6 columns: Column 1. List of items, Column 2. Descriptor, column 3. Schedule fee, column 4. Services for financial year 2014-15, column 5. Total benefits for FY 2014-15, and column 6. Percentage of the services average 5-year annual growth."/>
      </w:tblPr>
      <w:tblGrid>
        <w:gridCol w:w="693"/>
        <w:gridCol w:w="3668"/>
        <w:gridCol w:w="918"/>
        <w:gridCol w:w="998"/>
        <w:gridCol w:w="1607"/>
        <w:gridCol w:w="1132"/>
      </w:tblGrid>
      <w:tr w:rsidR="00396184" w:rsidRPr="002836EB" w14:paraId="60E2D137" w14:textId="77777777" w:rsidTr="00A60C83">
        <w:trPr>
          <w:tblHeader/>
        </w:trPr>
        <w:tc>
          <w:tcPr>
            <w:tcW w:w="696" w:type="dxa"/>
            <w:shd w:val="clear" w:color="auto" w:fill="F2F2F2" w:themeFill="background1" w:themeFillShade="F2"/>
            <w:vAlign w:val="bottom"/>
          </w:tcPr>
          <w:p w14:paraId="19D7C95F" w14:textId="77777777" w:rsidR="00F80480" w:rsidRPr="002836EB" w:rsidRDefault="00F80480" w:rsidP="00422B09">
            <w:pPr>
              <w:pStyle w:val="02Tabletext"/>
              <w:rPr>
                <w:b/>
              </w:rPr>
            </w:pPr>
            <w:r w:rsidRPr="002836EB">
              <w:rPr>
                <w:b/>
              </w:rPr>
              <w:t xml:space="preserve">Item </w:t>
            </w:r>
          </w:p>
        </w:tc>
        <w:tc>
          <w:tcPr>
            <w:tcW w:w="3709" w:type="dxa"/>
            <w:shd w:val="clear" w:color="auto" w:fill="F2F2F2" w:themeFill="background1" w:themeFillShade="F2"/>
            <w:vAlign w:val="bottom"/>
          </w:tcPr>
          <w:p w14:paraId="0654F451" w14:textId="77777777" w:rsidR="00F80480" w:rsidRPr="002836EB" w:rsidRDefault="00F80480" w:rsidP="00422B09">
            <w:pPr>
              <w:pStyle w:val="02Tabletext"/>
              <w:rPr>
                <w:b/>
              </w:rPr>
            </w:pPr>
            <w:r w:rsidRPr="002836EB">
              <w:rPr>
                <w:b/>
              </w:rPr>
              <w:t>Descriptor</w:t>
            </w:r>
          </w:p>
        </w:tc>
        <w:tc>
          <w:tcPr>
            <w:tcW w:w="919" w:type="dxa"/>
            <w:shd w:val="clear" w:color="auto" w:fill="F2F2F2" w:themeFill="background1" w:themeFillShade="F2"/>
            <w:vAlign w:val="bottom"/>
          </w:tcPr>
          <w:p w14:paraId="042D80C0" w14:textId="77777777" w:rsidR="00F80480" w:rsidRPr="002836EB" w:rsidRDefault="00F80480" w:rsidP="00422B09">
            <w:pPr>
              <w:pStyle w:val="02Tabletext"/>
              <w:rPr>
                <w:b/>
              </w:rPr>
            </w:pPr>
            <w:r w:rsidRPr="002836EB">
              <w:rPr>
                <w:b/>
              </w:rPr>
              <w:t>Schedule</w:t>
            </w:r>
          </w:p>
          <w:p w14:paraId="60B0F780" w14:textId="77777777" w:rsidR="00F80480" w:rsidRPr="002836EB" w:rsidRDefault="00F80480" w:rsidP="00422B09">
            <w:pPr>
              <w:pStyle w:val="02Tabletext"/>
              <w:rPr>
                <w:b/>
              </w:rPr>
            </w:pPr>
            <w:r w:rsidRPr="002836EB">
              <w:rPr>
                <w:b/>
              </w:rPr>
              <w:t>fee</w:t>
            </w:r>
          </w:p>
        </w:tc>
        <w:tc>
          <w:tcPr>
            <w:tcW w:w="999" w:type="dxa"/>
            <w:shd w:val="clear" w:color="auto" w:fill="F2F2F2" w:themeFill="background1" w:themeFillShade="F2"/>
            <w:vAlign w:val="bottom"/>
          </w:tcPr>
          <w:p w14:paraId="0013DAB9" w14:textId="77777777" w:rsidR="00F80480" w:rsidRPr="002836EB" w:rsidRDefault="00F80480" w:rsidP="00422B09">
            <w:pPr>
              <w:pStyle w:val="02Tabletext"/>
              <w:rPr>
                <w:b/>
              </w:rPr>
            </w:pPr>
            <w:r w:rsidRPr="002836EB">
              <w:rPr>
                <w:b/>
              </w:rPr>
              <w:t>Volume of services FY2014/15</w:t>
            </w:r>
          </w:p>
        </w:tc>
        <w:tc>
          <w:tcPr>
            <w:tcW w:w="1620" w:type="dxa"/>
            <w:shd w:val="clear" w:color="auto" w:fill="F2F2F2" w:themeFill="background1" w:themeFillShade="F2"/>
            <w:vAlign w:val="bottom"/>
          </w:tcPr>
          <w:p w14:paraId="14BA89EE" w14:textId="77777777" w:rsidR="00F80480" w:rsidRPr="002836EB" w:rsidRDefault="00F80480" w:rsidP="00422B09">
            <w:pPr>
              <w:pStyle w:val="02Tabletext"/>
              <w:rPr>
                <w:b/>
              </w:rPr>
            </w:pPr>
            <w:r w:rsidRPr="002836EB">
              <w:rPr>
                <w:b/>
              </w:rPr>
              <w:t>Total benefits FY2014/15</w:t>
            </w:r>
          </w:p>
        </w:tc>
        <w:tc>
          <w:tcPr>
            <w:tcW w:w="1139" w:type="dxa"/>
            <w:shd w:val="clear" w:color="auto" w:fill="F2F2F2" w:themeFill="background1" w:themeFillShade="F2"/>
            <w:vAlign w:val="bottom"/>
          </w:tcPr>
          <w:p w14:paraId="534A3512" w14:textId="77777777" w:rsidR="00F80480" w:rsidRPr="002836EB" w:rsidRDefault="00F80480" w:rsidP="00422B09">
            <w:pPr>
              <w:pStyle w:val="02Tabletext"/>
              <w:rPr>
                <w:b/>
              </w:rPr>
            </w:pPr>
            <w:r w:rsidRPr="002836EB">
              <w:rPr>
                <w:b/>
              </w:rPr>
              <w:t>Services 5-year-average annual growth</w:t>
            </w:r>
          </w:p>
        </w:tc>
      </w:tr>
      <w:tr w:rsidR="00EC620F" w:rsidRPr="002836EB" w14:paraId="5C84BFA6" w14:textId="77777777" w:rsidTr="00A60C83">
        <w:tc>
          <w:tcPr>
            <w:tcW w:w="696" w:type="dxa"/>
          </w:tcPr>
          <w:p w14:paraId="78812543" w14:textId="77777777" w:rsidR="00EC620F" w:rsidRPr="002836EB" w:rsidRDefault="00EC620F" w:rsidP="00EC620F">
            <w:pPr>
              <w:pStyle w:val="02Tabletext"/>
            </w:pPr>
            <w:r w:rsidRPr="002836EB">
              <w:t>30299</w:t>
            </w:r>
          </w:p>
        </w:tc>
        <w:tc>
          <w:tcPr>
            <w:tcW w:w="3709" w:type="dxa"/>
          </w:tcPr>
          <w:p w14:paraId="0D7F65F7" w14:textId="77777777" w:rsidR="00EC620F" w:rsidRPr="002836EB" w:rsidRDefault="00EC620F" w:rsidP="00EC620F">
            <w:pPr>
              <w:pStyle w:val="02Tabletext"/>
            </w:pPr>
            <w:r w:rsidRPr="002836EB">
              <w:t>Sentinel lymph node biopsy or biopsies for breast cancer, involving dissection in a level I axilla (as defined at t8.16), using preoperative lymphoscintigraphy and lymphotropic dye injection, not being a service associated with a service to which item 30300, 30302 or 30303 applies</w:t>
            </w:r>
            <w:r>
              <w:t>.</w:t>
            </w:r>
            <w:r w:rsidRPr="002836EB">
              <w:t xml:space="preserve"> (Anaes.) (Assist.)</w:t>
            </w:r>
          </w:p>
        </w:tc>
        <w:tc>
          <w:tcPr>
            <w:tcW w:w="919" w:type="dxa"/>
          </w:tcPr>
          <w:p w14:paraId="6B777A7D" w14:textId="77777777" w:rsidR="00EC620F" w:rsidRPr="002836EB" w:rsidRDefault="00EC620F" w:rsidP="00EC620F">
            <w:pPr>
              <w:pStyle w:val="02Tabletext"/>
              <w:jc w:val="center"/>
            </w:pPr>
            <w:r w:rsidRPr="002836EB">
              <w:t xml:space="preserve"> $637.45 </w:t>
            </w:r>
          </w:p>
        </w:tc>
        <w:tc>
          <w:tcPr>
            <w:tcW w:w="999" w:type="dxa"/>
          </w:tcPr>
          <w:p w14:paraId="61A2EB5E" w14:textId="71AE53D6" w:rsidR="00EC620F" w:rsidRPr="002836EB" w:rsidRDefault="00EC620F" w:rsidP="00EC620F">
            <w:pPr>
              <w:pStyle w:val="02Tabletext"/>
              <w:jc w:val="center"/>
            </w:pPr>
            <w:r w:rsidRPr="001127B2">
              <w:t>3,326</w:t>
            </w:r>
          </w:p>
        </w:tc>
        <w:tc>
          <w:tcPr>
            <w:tcW w:w="1620" w:type="dxa"/>
          </w:tcPr>
          <w:p w14:paraId="422C6CF5" w14:textId="0BA9FFC5" w:rsidR="00EC620F" w:rsidRPr="002836EB" w:rsidRDefault="00EC620F" w:rsidP="00EC620F">
            <w:pPr>
              <w:pStyle w:val="02Tabletext"/>
              <w:jc w:val="center"/>
            </w:pPr>
            <w:r w:rsidRPr="001127B2">
              <w:t>$762,858</w:t>
            </w:r>
          </w:p>
        </w:tc>
        <w:tc>
          <w:tcPr>
            <w:tcW w:w="1139" w:type="dxa"/>
          </w:tcPr>
          <w:p w14:paraId="2EB7CEC9" w14:textId="13C5E410" w:rsidR="00EC620F" w:rsidRPr="002836EB" w:rsidRDefault="00EC620F" w:rsidP="00EC620F">
            <w:pPr>
              <w:jc w:val="center"/>
              <w:rPr>
                <w:lang w:eastAsia="en-US"/>
              </w:rPr>
            </w:pPr>
            <w:r w:rsidRPr="001127B2">
              <w:t>4.1%</w:t>
            </w:r>
          </w:p>
        </w:tc>
      </w:tr>
      <w:tr w:rsidR="00EC620F" w:rsidRPr="002836EB" w14:paraId="1E7E98CE" w14:textId="77777777" w:rsidTr="00A60C83">
        <w:tc>
          <w:tcPr>
            <w:tcW w:w="696" w:type="dxa"/>
          </w:tcPr>
          <w:p w14:paraId="6BB919D8" w14:textId="77777777" w:rsidR="00EC620F" w:rsidRPr="002836EB" w:rsidRDefault="00EC620F" w:rsidP="00EC620F">
            <w:pPr>
              <w:pStyle w:val="02Tabletext"/>
            </w:pPr>
            <w:r w:rsidRPr="002836EB">
              <w:t>30300</w:t>
            </w:r>
          </w:p>
        </w:tc>
        <w:tc>
          <w:tcPr>
            <w:tcW w:w="3709" w:type="dxa"/>
          </w:tcPr>
          <w:p w14:paraId="37216BCE" w14:textId="77777777" w:rsidR="00EC620F" w:rsidRPr="002836EB" w:rsidRDefault="00EC620F" w:rsidP="00EC620F">
            <w:pPr>
              <w:pStyle w:val="02Tabletext"/>
            </w:pPr>
            <w:r w:rsidRPr="002836EB">
              <w:t>Sentinel lymph node biopsy or biopsies for breast cancer, involving dissection in a level ii/iii axilla, using preoperative lymphoscintigraphy and lymphotropic dye injection, not being a service associated with a service to which item 30299, 30302 or 30303 applies</w:t>
            </w:r>
            <w:r>
              <w:t>.</w:t>
            </w:r>
            <w:r w:rsidRPr="002836EB">
              <w:t xml:space="preserve"> (Anaes.) (Assist.)</w:t>
            </w:r>
          </w:p>
        </w:tc>
        <w:tc>
          <w:tcPr>
            <w:tcW w:w="919" w:type="dxa"/>
          </w:tcPr>
          <w:p w14:paraId="18318CE3" w14:textId="77777777" w:rsidR="00EC620F" w:rsidRPr="002836EB" w:rsidRDefault="00EC620F" w:rsidP="00EC620F">
            <w:pPr>
              <w:pStyle w:val="02Tabletext"/>
              <w:jc w:val="center"/>
            </w:pPr>
            <w:r w:rsidRPr="002836EB">
              <w:t xml:space="preserve"> $764.90 </w:t>
            </w:r>
          </w:p>
        </w:tc>
        <w:tc>
          <w:tcPr>
            <w:tcW w:w="999" w:type="dxa"/>
          </w:tcPr>
          <w:p w14:paraId="3FF6AC25" w14:textId="6A45B2CF" w:rsidR="00EC620F" w:rsidRPr="002836EB" w:rsidRDefault="00EC620F" w:rsidP="00EC620F">
            <w:pPr>
              <w:pStyle w:val="02Tabletext"/>
              <w:jc w:val="center"/>
            </w:pPr>
            <w:r w:rsidRPr="001127B2">
              <w:t>4,731</w:t>
            </w:r>
          </w:p>
        </w:tc>
        <w:tc>
          <w:tcPr>
            <w:tcW w:w="1620" w:type="dxa"/>
          </w:tcPr>
          <w:p w14:paraId="7536CC73" w14:textId="347F6529" w:rsidR="00EC620F" w:rsidRPr="002836EB" w:rsidRDefault="00EC620F" w:rsidP="00EC620F">
            <w:pPr>
              <w:pStyle w:val="02Tabletext"/>
              <w:jc w:val="center"/>
            </w:pPr>
            <w:r w:rsidRPr="001127B2">
              <w:t>$2,426,064</w:t>
            </w:r>
          </w:p>
        </w:tc>
        <w:tc>
          <w:tcPr>
            <w:tcW w:w="1139" w:type="dxa"/>
          </w:tcPr>
          <w:p w14:paraId="524E3CC8" w14:textId="6451C5D8" w:rsidR="00EC620F" w:rsidRPr="002836EB" w:rsidRDefault="00EC620F" w:rsidP="00EC620F">
            <w:pPr>
              <w:pStyle w:val="02Tabletext"/>
              <w:jc w:val="center"/>
            </w:pPr>
            <w:r w:rsidRPr="001127B2">
              <w:t>8.3%</w:t>
            </w:r>
          </w:p>
        </w:tc>
      </w:tr>
      <w:tr w:rsidR="00EC620F" w:rsidRPr="002836EB" w14:paraId="41B8BFFC" w14:textId="77777777" w:rsidTr="00A60C83">
        <w:tc>
          <w:tcPr>
            <w:tcW w:w="696" w:type="dxa"/>
          </w:tcPr>
          <w:p w14:paraId="79B8C9A2" w14:textId="77777777" w:rsidR="00EC620F" w:rsidRPr="002836EB" w:rsidRDefault="00EC620F" w:rsidP="00EC620F">
            <w:pPr>
              <w:pStyle w:val="02Tabletext"/>
            </w:pPr>
            <w:r w:rsidRPr="002836EB">
              <w:t>30302</w:t>
            </w:r>
          </w:p>
        </w:tc>
        <w:tc>
          <w:tcPr>
            <w:tcW w:w="3709" w:type="dxa"/>
          </w:tcPr>
          <w:p w14:paraId="411C51E6" w14:textId="77777777" w:rsidR="00EC620F" w:rsidRPr="002836EB" w:rsidRDefault="00EC620F" w:rsidP="00EC620F">
            <w:pPr>
              <w:pStyle w:val="02Tabletext"/>
            </w:pPr>
            <w:r w:rsidRPr="002836EB">
              <w:t>Sentinel lymph node biopsy or biopsies for breast cancer, involving dissection in a level i axilla, using lymphotropic dye injection, not being a service associated with a service to which item 30299, 30300 or 30303 applies</w:t>
            </w:r>
            <w:r>
              <w:t>.</w:t>
            </w:r>
            <w:r w:rsidRPr="002836EB">
              <w:t xml:space="preserve"> (Anaes.) (Assist.)</w:t>
            </w:r>
          </w:p>
        </w:tc>
        <w:tc>
          <w:tcPr>
            <w:tcW w:w="919" w:type="dxa"/>
          </w:tcPr>
          <w:p w14:paraId="767EBCBE" w14:textId="77777777" w:rsidR="00EC620F" w:rsidRPr="002836EB" w:rsidRDefault="00EC620F" w:rsidP="00EC620F">
            <w:pPr>
              <w:pStyle w:val="02Tabletext"/>
              <w:jc w:val="center"/>
            </w:pPr>
            <w:r w:rsidRPr="002836EB">
              <w:t xml:space="preserve"> $509.95 </w:t>
            </w:r>
          </w:p>
        </w:tc>
        <w:tc>
          <w:tcPr>
            <w:tcW w:w="999" w:type="dxa"/>
          </w:tcPr>
          <w:p w14:paraId="771BBD35" w14:textId="52CA7BB6" w:rsidR="00EC620F" w:rsidRPr="002836EB" w:rsidRDefault="00EC620F" w:rsidP="00EC620F">
            <w:pPr>
              <w:pStyle w:val="02Tabletext"/>
              <w:jc w:val="center"/>
            </w:pPr>
            <w:r w:rsidRPr="001127B2">
              <w:t>363</w:t>
            </w:r>
          </w:p>
        </w:tc>
        <w:tc>
          <w:tcPr>
            <w:tcW w:w="1620" w:type="dxa"/>
          </w:tcPr>
          <w:p w14:paraId="7E368194" w14:textId="2EA73002" w:rsidR="00EC620F" w:rsidRPr="002836EB" w:rsidRDefault="00EC620F" w:rsidP="00EC620F">
            <w:pPr>
              <w:pStyle w:val="02Tabletext"/>
              <w:jc w:val="center"/>
            </w:pPr>
            <w:r w:rsidRPr="001127B2">
              <w:t>$64,060</w:t>
            </w:r>
          </w:p>
        </w:tc>
        <w:tc>
          <w:tcPr>
            <w:tcW w:w="1139" w:type="dxa"/>
          </w:tcPr>
          <w:p w14:paraId="0C15F731" w14:textId="3EB5B337" w:rsidR="00EC620F" w:rsidRPr="002836EB" w:rsidRDefault="00EC620F" w:rsidP="00EC620F">
            <w:pPr>
              <w:pStyle w:val="02Tabletext"/>
              <w:jc w:val="center"/>
            </w:pPr>
            <w:r w:rsidRPr="001127B2">
              <w:t>-1.4%</w:t>
            </w:r>
          </w:p>
        </w:tc>
      </w:tr>
      <w:tr w:rsidR="00EC620F" w:rsidRPr="002836EB" w14:paraId="24A39CC4" w14:textId="77777777" w:rsidTr="00A60C83">
        <w:tc>
          <w:tcPr>
            <w:tcW w:w="696" w:type="dxa"/>
          </w:tcPr>
          <w:p w14:paraId="67A9EE53" w14:textId="77777777" w:rsidR="00EC620F" w:rsidRPr="002836EB" w:rsidRDefault="00EC620F" w:rsidP="00EC620F">
            <w:pPr>
              <w:pStyle w:val="02Tabletext"/>
            </w:pPr>
            <w:r w:rsidRPr="002836EB">
              <w:t>30303</w:t>
            </w:r>
          </w:p>
        </w:tc>
        <w:tc>
          <w:tcPr>
            <w:tcW w:w="3709" w:type="dxa"/>
          </w:tcPr>
          <w:p w14:paraId="7D28E6CD" w14:textId="77777777" w:rsidR="00EC620F" w:rsidRPr="002836EB" w:rsidRDefault="00EC620F" w:rsidP="00EC620F">
            <w:pPr>
              <w:pStyle w:val="02Tabletext"/>
            </w:pPr>
            <w:r w:rsidRPr="002836EB">
              <w:t>Sentinel lymph node biopsy or biopsies for breast cancer, involving dissection in a level ii/iii axilla, using lymphotropic dye injection, not being a service associated with a service to which item 30299, 30300 or 30302 applies</w:t>
            </w:r>
            <w:r>
              <w:t>.</w:t>
            </w:r>
            <w:r w:rsidRPr="002836EB">
              <w:t xml:space="preserve"> (Anaes.) (Assist.)</w:t>
            </w:r>
          </w:p>
        </w:tc>
        <w:tc>
          <w:tcPr>
            <w:tcW w:w="919" w:type="dxa"/>
          </w:tcPr>
          <w:p w14:paraId="252B41F5" w14:textId="77777777" w:rsidR="00EC620F" w:rsidRPr="002836EB" w:rsidRDefault="00EC620F" w:rsidP="00EC620F">
            <w:pPr>
              <w:pStyle w:val="02Tabletext"/>
              <w:jc w:val="center"/>
            </w:pPr>
            <w:r w:rsidRPr="002836EB">
              <w:t xml:space="preserve"> $611.85 </w:t>
            </w:r>
          </w:p>
        </w:tc>
        <w:tc>
          <w:tcPr>
            <w:tcW w:w="999" w:type="dxa"/>
          </w:tcPr>
          <w:p w14:paraId="078E14AC" w14:textId="01AE745D" w:rsidR="00EC620F" w:rsidRPr="002836EB" w:rsidRDefault="00EC620F" w:rsidP="00EC620F">
            <w:pPr>
              <w:pStyle w:val="02Tabletext"/>
              <w:jc w:val="center"/>
            </w:pPr>
            <w:r w:rsidRPr="001127B2">
              <w:t>148</w:t>
            </w:r>
          </w:p>
        </w:tc>
        <w:tc>
          <w:tcPr>
            <w:tcW w:w="1620" w:type="dxa"/>
          </w:tcPr>
          <w:p w14:paraId="70BBB497" w14:textId="0F823ED0" w:rsidR="00EC620F" w:rsidRPr="002836EB" w:rsidRDefault="00EC620F" w:rsidP="00EC620F">
            <w:pPr>
              <w:pStyle w:val="02Tabletext"/>
              <w:jc w:val="center"/>
            </w:pPr>
            <w:r w:rsidRPr="001127B2">
              <w:t>$33,586</w:t>
            </w:r>
          </w:p>
        </w:tc>
        <w:tc>
          <w:tcPr>
            <w:tcW w:w="1139" w:type="dxa"/>
          </w:tcPr>
          <w:p w14:paraId="6C0C0834" w14:textId="16294AE6" w:rsidR="00EC620F" w:rsidRPr="002836EB" w:rsidRDefault="00EC620F" w:rsidP="00EC620F">
            <w:pPr>
              <w:pStyle w:val="02Tabletext"/>
              <w:jc w:val="center"/>
            </w:pPr>
            <w:r w:rsidRPr="001127B2">
              <w:t>1.4%</w:t>
            </w:r>
          </w:p>
        </w:tc>
      </w:tr>
    </w:tbl>
    <w:p w14:paraId="3D92FA49" w14:textId="77777777" w:rsidR="00A60C83" w:rsidRDefault="00A60C83" w:rsidP="00DE1A53">
      <w:pPr>
        <w:spacing w:before="0"/>
        <w:rPr>
          <w:color w:val="000000"/>
          <w:sz w:val="18"/>
          <w:szCs w:val="18"/>
        </w:rPr>
      </w:pPr>
      <w:bookmarkStart w:id="209" w:name="_Ref467446553"/>
      <w:r>
        <w:rPr>
          <w:color w:val="000000"/>
          <w:sz w:val="18"/>
          <w:szCs w:val="18"/>
        </w:rPr>
        <w:t>Public data (Department of Human Services).</w:t>
      </w:r>
    </w:p>
    <w:p w14:paraId="6A49B831" w14:textId="48A1ABCC" w:rsidR="00F92045" w:rsidRDefault="00F92045" w:rsidP="00F92045">
      <w:pPr>
        <w:pStyle w:val="Boldhdg"/>
      </w:pPr>
      <w:bookmarkStart w:id="210" w:name="_Ref474803078"/>
      <w:r>
        <w:t xml:space="preserve">Recommendation </w:t>
      </w:r>
      <w:r>
        <w:fldChar w:fldCharType="begin"/>
      </w:r>
      <w:r>
        <w:instrText xml:space="preserve"> SEQ Recommendation \* ARABIC </w:instrText>
      </w:r>
      <w:r>
        <w:fldChar w:fldCharType="separate"/>
      </w:r>
      <w:r w:rsidR="003274EF">
        <w:rPr>
          <w:noProof/>
        </w:rPr>
        <w:t>9</w:t>
      </w:r>
      <w:r>
        <w:fldChar w:fldCharType="end"/>
      </w:r>
      <w:bookmarkEnd w:id="209"/>
      <w:bookmarkEnd w:id="210"/>
    </w:p>
    <w:p w14:paraId="2E887F2C" w14:textId="77777777" w:rsidR="00F80480" w:rsidRPr="002836EB" w:rsidRDefault="00F80480" w:rsidP="00F80480">
      <w:pPr>
        <w:pStyle w:val="01squarebullet"/>
        <w:rPr>
          <w:lang w:val="en-GB"/>
        </w:rPr>
      </w:pPr>
      <w:r w:rsidRPr="002836EB">
        <w:rPr>
          <w:lang w:val="en-GB"/>
        </w:rPr>
        <w:t>Consolidate sentinel lymph node biopsy items (30299–30303) into a single item covering use of preoperative lymphoscintigraphy and/or lymphotropic dye injection, in any axilla level. The proposed item descriptor is below.</w:t>
      </w:r>
    </w:p>
    <w:p w14:paraId="45838889" w14:textId="77777777" w:rsidR="00F80480" w:rsidRPr="002836EB" w:rsidRDefault="00F80480" w:rsidP="00F80480">
      <w:pPr>
        <w:pStyle w:val="Item"/>
      </w:pPr>
      <w:r w:rsidRPr="002836EB">
        <w:t xml:space="preserve">Item 303XX: </w:t>
      </w:r>
    </w:p>
    <w:p w14:paraId="6219C988" w14:textId="7969184B" w:rsidR="00F80480" w:rsidRPr="002836EB" w:rsidRDefault="00F80480" w:rsidP="00F80480">
      <w:r w:rsidRPr="002836EB">
        <w:t>Sentinel Lymph Node Biopsy or Biopsies for breast cancer, involving dissection in an axilla, using preoperative lymphoscintigraphy and/or lymphotropic dye injection.</w:t>
      </w:r>
    </w:p>
    <w:p w14:paraId="1255577A" w14:textId="77777777" w:rsidR="00F80480" w:rsidRPr="002836EB" w:rsidRDefault="00F80480" w:rsidP="00F80480">
      <w:pPr>
        <w:rPr>
          <w:color w:val="000000"/>
          <w:szCs w:val="22"/>
        </w:rPr>
      </w:pPr>
      <w:r w:rsidRPr="002836EB">
        <w:rPr>
          <w:color w:val="000000"/>
          <w:szCs w:val="22"/>
        </w:rPr>
        <w:t>(Anaes.) (Assist.)</w:t>
      </w:r>
    </w:p>
    <w:p w14:paraId="6F099A77" w14:textId="77777777" w:rsidR="00F80480" w:rsidRPr="002836EB" w:rsidRDefault="00F80480" w:rsidP="00F80480">
      <w:pPr>
        <w:pStyle w:val="ExplanatoryNotes"/>
      </w:pPr>
      <w:r w:rsidRPr="002836EB">
        <w:t>Explanatory notes: [</w:t>
      </w:r>
      <w:r w:rsidRPr="002836EB">
        <w:rPr>
          <w:color w:val="000000"/>
        </w:rPr>
        <w:t>None]</w:t>
      </w:r>
    </w:p>
    <w:p w14:paraId="5E77BB71" w14:textId="77777777" w:rsidR="00F80480" w:rsidRPr="002836EB" w:rsidRDefault="00F80480" w:rsidP="00F80480">
      <w:pPr>
        <w:pStyle w:val="Boldhdg"/>
        <w:rPr>
          <w:lang w:val="en-GB"/>
        </w:rPr>
      </w:pPr>
      <w:r w:rsidRPr="002836EB">
        <w:rPr>
          <w:lang w:val="en-GB"/>
        </w:rPr>
        <w:lastRenderedPageBreak/>
        <w:t>Rationale</w:t>
      </w:r>
    </w:p>
    <w:p w14:paraId="325ED3C4" w14:textId="77777777" w:rsidR="00F80480" w:rsidRPr="002836EB" w:rsidRDefault="00F80480" w:rsidP="00F80480">
      <w:r w:rsidRPr="002836EB">
        <w:t xml:space="preserve">This recommendation focuses on maintaining access to best-practice health services, as well as ensuring value for the individual patient and </w:t>
      </w:r>
      <w:r>
        <w:t xml:space="preserve">the </w:t>
      </w:r>
      <w:r w:rsidRPr="002836EB">
        <w:t>health system. It is based on the following observations.</w:t>
      </w:r>
    </w:p>
    <w:p w14:paraId="1D5F91A3" w14:textId="77777777" w:rsidR="00924EF2" w:rsidRPr="00100538" w:rsidRDefault="00924EF2" w:rsidP="00924EF2">
      <w:pPr>
        <w:pStyle w:val="01squarebullet"/>
      </w:pPr>
      <w:r w:rsidRPr="00100538">
        <w:t>Sentinel lymph node biopsy for breast cancer uses radioisotopes and/or</w:t>
      </w:r>
      <w:r>
        <w:t xml:space="preserve"> </w:t>
      </w:r>
      <w:r w:rsidRPr="00100538">
        <w:t>lymphotrophic blue dyes to identify lymph node(s) that, in theory, are the first</w:t>
      </w:r>
      <w:r>
        <w:t xml:space="preserve"> </w:t>
      </w:r>
      <w:r w:rsidRPr="00100538">
        <w:t>node(s) to receive metastatic cells from the primary tumour. The sentinel nodes may be</w:t>
      </w:r>
      <w:r>
        <w:t xml:space="preserve"> </w:t>
      </w:r>
      <w:r w:rsidRPr="00100538">
        <w:t>preoperatively identified by lymphoscintigraphy and can be surgically identified by either</w:t>
      </w:r>
      <w:r>
        <w:t xml:space="preserve"> </w:t>
      </w:r>
      <w:r w:rsidRPr="00100538">
        <w:t>using a hand-held gamma probe or by visually identifying a blue stained lymph vessel and</w:t>
      </w:r>
      <w:r>
        <w:t xml:space="preserve"> </w:t>
      </w:r>
      <w:r w:rsidRPr="00100538">
        <w:t>node, depending on the technique used to identify the sentinel nodes. The excised sentinel</w:t>
      </w:r>
      <w:r>
        <w:t xml:space="preserve"> </w:t>
      </w:r>
      <w:r w:rsidRPr="00100538">
        <w:t>nodes are then pathologically examined and further treatment decisions are based on the</w:t>
      </w:r>
      <w:r>
        <w:t xml:space="preserve"> </w:t>
      </w:r>
      <w:r w:rsidRPr="00100538">
        <w:t xml:space="preserve">metastatic status of the sentinel node(s). As only one or two nodes need be removed, </w:t>
      </w:r>
      <w:r>
        <w:t>sentinel lymph node biopsy is</w:t>
      </w:r>
      <w:r w:rsidRPr="00100538">
        <w:t xml:space="preserve"> less invasive method of staging the axilla than axillary clearance, in which many more axillary lymph nodes are removed for pathological testing, and</w:t>
      </w:r>
      <w:r>
        <w:t xml:space="preserve"> it </w:t>
      </w:r>
      <w:r w:rsidRPr="00100538">
        <w:t>could help to avoid the morbidities associated with axillary clearance.</w:t>
      </w:r>
    </w:p>
    <w:p w14:paraId="7AEEC763" w14:textId="77777777" w:rsidR="00F80480" w:rsidRPr="002836EB" w:rsidRDefault="00F80480" w:rsidP="00A7186C">
      <w:pPr>
        <w:pStyle w:val="01squarebullet"/>
        <w:numPr>
          <w:ilvl w:val="0"/>
          <w:numId w:val="15"/>
        </w:numPr>
        <w:rPr>
          <w:lang w:val="en-GB"/>
        </w:rPr>
      </w:pPr>
      <w:r w:rsidRPr="002836EB">
        <w:rPr>
          <w:lang w:val="en-GB"/>
        </w:rPr>
        <w:t xml:space="preserve">The Committee noted that sentinel lymph node biopsy is safe and as effective as axillary lymph node clearance, with better morbidity outcomes. </w:t>
      </w:r>
    </w:p>
    <w:p w14:paraId="35642238" w14:textId="77777777" w:rsidR="00F80480" w:rsidRPr="002836EB" w:rsidRDefault="00F80480" w:rsidP="00F80480">
      <w:pPr>
        <w:pStyle w:val="02dash"/>
        <w:rPr>
          <w:lang w:val="en-GB"/>
        </w:rPr>
      </w:pPr>
      <w:r w:rsidRPr="002836EB">
        <w:rPr>
          <w:lang w:val="en-GB"/>
        </w:rPr>
        <w:t xml:space="preserve">Sentinel lymph node biopsy items were originally listed on an interim basis by the MSAC in 2005, based on available evidence that the procedure was safe and effective in identifying sentinel lymph nodes, but noting that the long-term outcomes compared to lymph node clearance were uncertain. </w:t>
      </w:r>
    </w:p>
    <w:p w14:paraId="5D817E8E" w14:textId="77777777" w:rsidR="00F80480" w:rsidRPr="002836EB" w:rsidRDefault="00F80480" w:rsidP="00F80480">
      <w:pPr>
        <w:pStyle w:val="02dash"/>
        <w:rPr>
          <w:lang w:val="en-GB"/>
        </w:rPr>
      </w:pPr>
      <w:r w:rsidRPr="002836EB">
        <w:rPr>
          <w:lang w:val="en-GB"/>
        </w:rPr>
        <w:t xml:space="preserve">The Committee believes that sufficient evidence has since emerged that demonstrates that sentinel lymph node biopsy offers comparable long-term equivalence in efficacy, compared to axillary lymph node clearance, as well as improved morbidity outcomes. </w:t>
      </w:r>
    </w:p>
    <w:p w14:paraId="4BE100FA" w14:textId="4FD5DB4C" w:rsidR="00F80480" w:rsidRPr="002836EB" w:rsidRDefault="00F80480" w:rsidP="00F80480">
      <w:pPr>
        <w:pStyle w:val="01squarebullet"/>
        <w:rPr>
          <w:lang w:val="en-GB"/>
        </w:rPr>
      </w:pPr>
      <w:r w:rsidRPr="002836EB">
        <w:rPr>
          <w:lang w:val="en-GB"/>
        </w:rPr>
        <w:t xml:space="preserve">Although there are clinical circumstances in which dual-agent mapping with both lymphoscintigraphy and lymphotropic dye injection may be contraindicated, the Committee felt that retaining separate items for single-agent mapping with lymphotropic dye was unnecessary. In order to simplify the schedule, the Committee therefore recommended creating one item using the phrase “and/or,” rather than listing separate items for dual-agent and single-agent mapping. Retaining the </w:t>
      </w:r>
      <w:r w:rsidR="00B96FD5">
        <w:rPr>
          <w:lang w:val="en-GB"/>
        </w:rPr>
        <w:t xml:space="preserve">word </w:t>
      </w:r>
      <w:r w:rsidRPr="002836EB">
        <w:rPr>
          <w:lang w:val="en-GB"/>
        </w:rPr>
        <w:t xml:space="preserve">“or” allows flexibility for the rare situations in which lymphoscintigraphy may be contraindicated. </w:t>
      </w:r>
    </w:p>
    <w:p w14:paraId="11EF462C" w14:textId="5A4ADBBC" w:rsidR="00F80480" w:rsidRPr="002836EB" w:rsidRDefault="00F80480" w:rsidP="00F80480">
      <w:pPr>
        <w:pStyle w:val="01squarebullet"/>
        <w:rPr>
          <w:lang w:val="en-GB"/>
        </w:rPr>
      </w:pPr>
      <w:r w:rsidRPr="002836EB">
        <w:rPr>
          <w:lang w:val="en-GB"/>
        </w:rPr>
        <w:t xml:space="preserve">The existing explanatory note states that “both lymphoscintigraphy and lymphotropic dye injection must be used, unless the patient has an allergy to the lymphotropic dye.” This is unnecessary and does not adequately cover all circumstances in which it may be appropriate to use single-agent mapping, particularly as clinical evidence develops on the most appropriate course of action in each of these circumstances. </w:t>
      </w:r>
    </w:p>
    <w:p w14:paraId="2363C72D" w14:textId="04DC8F12" w:rsidR="00F80480" w:rsidRPr="002836EB" w:rsidRDefault="00F80480" w:rsidP="00A7186C">
      <w:pPr>
        <w:pStyle w:val="01squarebullet"/>
        <w:numPr>
          <w:ilvl w:val="1"/>
          <w:numId w:val="16"/>
        </w:numPr>
        <w:rPr>
          <w:lang w:val="en-GB"/>
        </w:rPr>
      </w:pPr>
      <w:r w:rsidRPr="002836EB">
        <w:rPr>
          <w:lang w:val="en-GB"/>
        </w:rPr>
        <w:t>The Committee noted that dual-agent mapping (using lymphoscintigraphy with lymphotropic dye) is more accurate than using either of the mapping methods alone</w:t>
      </w:r>
      <w:r w:rsidR="00FB4B36">
        <w:rPr>
          <w:lang w:val="en-GB"/>
        </w:rPr>
        <w:t>. It is also</w:t>
      </w:r>
      <w:r w:rsidRPr="002836EB">
        <w:rPr>
          <w:lang w:val="en-GB"/>
        </w:rPr>
        <w:t xml:space="preserve"> easier for the </w:t>
      </w:r>
      <w:r>
        <w:rPr>
          <w:lang w:val="en-GB"/>
        </w:rPr>
        <w:t>Surgeon</w:t>
      </w:r>
      <w:r w:rsidRPr="002836EB">
        <w:rPr>
          <w:lang w:val="en-GB"/>
        </w:rPr>
        <w:t>, which means that there is no perverse incentive to use dye only.</w:t>
      </w:r>
    </w:p>
    <w:p w14:paraId="45DCBDDF" w14:textId="229E0459" w:rsidR="00F80480" w:rsidRPr="002836EB" w:rsidRDefault="00F80480" w:rsidP="00A7186C">
      <w:pPr>
        <w:pStyle w:val="01squarebullet"/>
        <w:numPr>
          <w:ilvl w:val="1"/>
          <w:numId w:val="16"/>
        </w:numPr>
        <w:rPr>
          <w:lang w:val="en-GB"/>
        </w:rPr>
      </w:pPr>
      <w:r w:rsidRPr="002836EB">
        <w:rPr>
          <w:lang w:val="en-GB"/>
        </w:rPr>
        <w:t xml:space="preserve">Where sentinel lymph node biopsy is available, there does not appear to be a difference in access to lymphoscintigraphy between major cities and regional or remote areas. Service distribution between single-agent mapping items (30302 and 30303) and dual-agent mapping items (30299 and 30300) is similar across geographical remoteness classifications (see </w:t>
      </w:r>
      <w:r w:rsidRPr="002836EB">
        <w:rPr>
          <w:color w:val="FF0000"/>
          <w:lang w:val="en-GB"/>
        </w:rPr>
        <w:fldChar w:fldCharType="begin"/>
      </w:r>
      <w:r w:rsidRPr="002836EB">
        <w:rPr>
          <w:lang w:val="en-GB"/>
        </w:rPr>
        <w:instrText xml:space="preserve"> REF _Ref464018056 \h </w:instrText>
      </w:r>
      <w:r w:rsidRPr="002836EB">
        <w:rPr>
          <w:color w:val="FF0000"/>
          <w:lang w:val="en-GB"/>
        </w:rPr>
      </w:r>
      <w:r w:rsidRPr="002836EB">
        <w:rPr>
          <w:color w:val="FF0000"/>
          <w:lang w:val="en-GB"/>
        </w:rPr>
        <w:fldChar w:fldCharType="separate"/>
      </w:r>
      <w:r w:rsidR="003274EF" w:rsidRPr="002836EB">
        <w:t xml:space="preserve">Figure </w:t>
      </w:r>
      <w:r w:rsidR="003274EF">
        <w:rPr>
          <w:noProof/>
        </w:rPr>
        <w:t>7</w:t>
      </w:r>
      <w:r w:rsidRPr="002836EB">
        <w:rPr>
          <w:color w:val="FF0000"/>
          <w:lang w:val="en-GB"/>
        </w:rPr>
        <w:fldChar w:fldCharType="end"/>
      </w:r>
      <w:r w:rsidRPr="002836EB">
        <w:rPr>
          <w:lang w:val="en-GB"/>
        </w:rPr>
        <w:t xml:space="preserve">). All items are predominantly used in major cities, which account for more than 70 per cent of services for each item. </w:t>
      </w:r>
    </w:p>
    <w:p w14:paraId="406CFA84" w14:textId="77777777" w:rsidR="00F80480" w:rsidRPr="002836EB" w:rsidRDefault="00F80480" w:rsidP="00F80480">
      <w:pPr>
        <w:pStyle w:val="Caption"/>
        <w:pBdr>
          <w:bottom w:val="single" w:sz="4" w:space="1" w:color="auto"/>
        </w:pBdr>
      </w:pPr>
      <w:bookmarkStart w:id="211" w:name="_Ref464018056"/>
      <w:bookmarkStart w:id="212" w:name="_Toc468647519"/>
      <w:bookmarkStart w:id="213" w:name="_Ref474880072"/>
      <w:bookmarkStart w:id="214" w:name="_Toc479082829"/>
      <w:r w:rsidRPr="002836EB">
        <w:lastRenderedPageBreak/>
        <w:t xml:space="preserve">Figure </w:t>
      </w:r>
      <w:r w:rsidRPr="002836EB">
        <w:fldChar w:fldCharType="begin"/>
      </w:r>
      <w:r w:rsidRPr="002836EB">
        <w:instrText xml:space="preserve"> SEQ Figure \* ARABIC </w:instrText>
      </w:r>
      <w:r w:rsidRPr="002836EB">
        <w:fldChar w:fldCharType="separate"/>
      </w:r>
      <w:r w:rsidR="003274EF">
        <w:rPr>
          <w:noProof/>
        </w:rPr>
        <w:t>7</w:t>
      </w:r>
      <w:r w:rsidRPr="002836EB">
        <w:fldChar w:fldCharType="end"/>
      </w:r>
      <w:bookmarkEnd w:id="211"/>
      <w:r w:rsidRPr="002836EB">
        <w:t>: Distribution of dual-agent versus single-agent sentinel lymph node biopsy services by remoteness</w:t>
      </w:r>
      <w:bookmarkEnd w:id="212"/>
      <w:bookmarkEnd w:id="213"/>
      <w:bookmarkEnd w:id="214"/>
    </w:p>
    <w:p w14:paraId="2FD36003" w14:textId="77777777" w:rsidR="00F80480" w:rsidRDefault="00F80480" w:rsidP="00F80480">
      <w:pPr>
        <w:jc w:val="center"/>
        <w:rPr>
          <w:lang w:eastAsia="en-US"/>
        </w:rPr>
      </w:pPr>
      <w:r w:rsidRPr="002836EB">
        <w:rPr>
          <w:noProof/>
          <w:lang w:val="en-AU"/>
        </w:rPr>
        <w:drawing>
          <wp:inline distT="0" distB="0" distL="0" distR="0" wp14:anchorId="0495FB0A" wp14:editId="28F2592D">
            <wp:extent cx="4487545" cy="3361055"/>
            <wp:effectExtent l="0" t="0" r="8255" b="0"/>
            <wp:docPr id="3" name="Picture 3" descr="Figure 7 shows the distribution of dual-agent versus single-agent lymph node biopsy services by remoteness through 2 stacked bar graphs. The first graph pertains to the Dissection on Axilla I, where the highest occurance is found in major cities at 73% for item 30299 and 79% for item 30302 and the lowest are in very remote areas at 1% respectively. The second graph pertains to Dissection on Axilla IVIII, where the highest occurence is also found in major cities at 74% for tiem 30300 and 73% for item 30303. The lowest occurence are again in very remote aread a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7545" cy="3361055"/>
                    </a:xfrm>
                    <a:prstGeom prst="rect">
                      <a:avLst/>
                    </a:prstGeom>
                    <a:noFill/>
                    <a:ln>
                      <a:noFill/>
                    </a:ln>
                  </pic:spPr>
                </pic:pic>
              </a:graphicData>
            </a:graphic>
          </wp:inline>
        </w:drawing>
      </w:r>
    </w:p>
    <w:p w14:paraId="38999821" w14:textId="77777777" w:rsidR="009F699E" w:rsidRPr="00D818DC" w:rsidRDefault="009F699E" w:rsidP="000E7502">
      <w:pPr>
        <w:pStyle w:val="TableUnderLast"/>
        <w:pBdr>
          <w:bottom w:val="single" w:sz="4" w:space="1" w:color="auto"/>
        </w:pBdr>
      </w:pPr>
      <w:r w:rsidRPr="00D818DC">
        <w:t>Unpublished data</w:t>
      </w:r>
      <w:r>
        <w:t>, extract based on date of service</w:t>
      </w:r>
      <w:r w:rsidRPr="00D818DC">
        <w:t xml:space="preserve"> (Department of Health)</w:t>
      </w:r>
    </w:p>
    <w:p w14:paraId="222F2321" w14:textId="3C3B0773" w:rsidR="00F80480" w:rsidRPr="002836EB" w:rsidRDefault="00F80480" w:rsidP="00F80480">
      <w:pPr>
        <w:pStyle w:val="02dash"/>
        <w:numPr>
          <w:ilvl w:val="0"/>
          <w:numId w:val="6"/>
        </w:numPr>
        <w:rPr>
          <w:lang w:val="en-GB"/>
        </w:rPr>
      </w:pPr>
      <w:r w:rsidRPr="002836EB">
        <w:rPr>
          <w:lang w:val="en-GB"/>
        </w:rPr>
        <w:t>Although the separate items for Level I axillae and Level II/III axillae reflect differences in surgical complexity, these differences are likely to be averaged over a provider’s case</w:t>
      </w:r>
      <w:r w:rsidR="00961A07">
        <w:rPr>
          <w:lang w:val="en-GB"/>
        </w:rPr>
        <w:t>-</w:t>
      </w:r>
      <w:r w:rsidRPr="002836EB">
        <w:rPr>
          <w:lang w:val="en-GB"/>
        </w:rPr>
        <w:t>mix. Separate items for sentinel lymph node biopsy by axillary level are therefore unnecessary. A single item (regardless of axillary level) also removes any possibility of inadvertent or intentional miscoding between axillary levels (</w:t>
      </w:r>
      <w:r>
        <w:rPr>
          <w:lang w:val="en-GB"/>
        </w:rPr>
        <w:t>for example</w:t>
      </w:r>
      <w:r w:rsidRPr="002836EB">
        <w:rPr>
          <w:lang w:val="en-GB"/>
        </w:rPr>
        <w:t>, where sentinel lymph node biopsy is undertaken in a Level I axilla, but the Level II/III</w:t>
      </w:r>
      <w:r>
        <w:rPr>
          <w:lang w:val="en-GB"/>
        </w:rPr>
        <w:t xml:space="preserve"> axilla</w:t>
      </w:r>
      <w:r w:rsidRPr="002836EB">
        <w:rPr>
          <w:lang w:val="en-GB"/>
        </w:rPr>
        <w:t xml:space="preserve"> is billed). The recommended consolidation of existing separate items for sentinel lymph node biopsy in a Level I or Level II/III axilla renders the existing explanatory note defining axillary lymph node levels (Level I, Level II and Level III) redundant.</w:t>
      </w:r>
    </w:p>
    <w:p w14:paraId="4B5E7406" w14:textId="77777777" w:rsidR="00F86DEC" w:rsidRDefault="00F86DEC">
      <w:pPr>
        <w:spacing w:before="0" w:after="0"/>
        <w:rPr>
          <w:rFonts w:eastAsiaTheme="minorHAnsi" w:cs="Arial"/>
          <w:b/>
          <w:bCs/>
          <w:iCs/>
          <w:color w:val="01653F"/>
          <w:sz w:val="28"/>
          <w:szCs w:val="22"/>
          <w:lang w:eastAsia="en-US"/>
        </w:rPr>
      </w:pPr>
      <w:bookmarkStart w:id="215" w:name="_Sentinel_lymph_node_1"/>
      <w:bookmarkStart w:id="216" w:name="_Ref463920195"/>
      <w:bookmarkStart w:id="217" w:name="_Toc468647489"/>
      <w:bookmarkStart w:id="218" w:name="_Ref463918781"/>
      <w:bookmarkEnd w:id="215"/>
      <w:r>
        <w:br w:type="page"/>
      </w:r>
    </w:p>
    <w:p w14:paraId="0563610A" w14:textId="13C36DF8" w:rsidR="00F80480" w:rsidRPr="002836EB" w:rsidRDefault="00F80480" w:rsidP="00F80480">
      <w:pPr>
        <w:pStyle w:val="Heading2"/>
        <w:rPr>
          <w:lang w:val="en-GB"/>
        </w:rPr>
      </w:pPr>
      <w:bookmarkStart w:id="219" w:name="_Ref474809727"/>
      <w:bookmarkStart w:id="220" w:name="_Toc479082795"/>
      <w:r w:rsidRPr="002836EB">
        <w:rPr>
          <w:lang w:val="en-GB"/>
        </w:rPr>
        <w:lastRenderedPageBreak/>
        <w:t>Sentinel lymph node biopsy for melanoma</w:t>
      </w:r>
      <w:bookmarkEnd w:id="216"/>
      <w:bookmarkEnd w:id="217"/>
      <w:bookmarkEnd w:id="219"/>
      <w:bookmarkEnd w:id="220"/>
    </w:p>
    <w:p w14:paraId="5F29AC98" w14:textId="797ED3A3" w:rsidR="00F92045" w:rsidRDefault="00F92045" w:rsidP="00F92045">
      <w:pPr>
        <w:pStyle w:val="Boldhdg"/>
      </w:pPr>
      <w:bookmarkStart w:id="221" w:name="_Ref474803101"/>
      <w:r>
        <w:t xml:space="preserve">Recommendation </w:t>
      </w:r>
      <w:r>
        <w:fldChar w:fldCharType="begin"/>
      </w:r>
      <w:r>
        <w:instrText xml:space="preserve"> SEQ Recommendation \* ARABIC </w:instrText>
      </w:r>
      <w:r>
        <w:fldChar w:fldCharType="separate"/>
      </w:r>
      <w:r w:rsidR="003274EF">
        <w:rPr>
          <w:noProof/>
        </w:rPr>
        <w:t>10</w:t>
      </w:r>
      <w:r>
        <w:fldChar w:fldCharType="end"/>
      </w:r>
      <w:bookmarkEnd w:id="221"/>
    </w:p>
    <w:p w14:paraId="02AC3CA4" w14:textId="77777777" w:rsidR="00F80480" w:rsidRPr="002836EB" w:rsidRDefault="00F80480" w:rsidP="00F80480">
      <w:pPr>
        <w:pStyle w:val="01squarebullet"/>
        <w:rPr>
          <w:lang w:val="en-GB"/>
        </w:rPr>
      </w:pPr>
      <w:r w:rsidRPr="002836EB">
        <w:rPr>
          <w:lang w:val="en-GB"/>
        </w:rPr>
        <w:t xml:space="preserve">Consider an expedited MSAC assessment of the MBS listing of items for sentinel lymph node biopsy for patients with intermediate to high-risk melanoma. </w:t>
      </w:r>
    </w:p>
    <w:p w14:paraId="249F1E4C" w14:textId="77777777" w:rsidR="00F80480" w:rsidRPr="002836EB" w:rsidRDefault="00F80480" w:rsidP="00F80480">
      <w:pPr>
        <w:pStyle w:val="Boldhdg"/>
        <w:rPr>
          <w:lang w:val="en-GB"/>
        </w:rPr>
      </w:pPr>
      <w:r w:rsidRPr="002836EB">
        <w:rPr>
          <w:lang w:val="en-GB"/>
        </w:rPr>
        <w:t>Rationale</w:t>
      </w:r>
    </w:p>
    <w:p w14:paraId="0759FE5D" w14:textId="77777777" w:rsidR="00F80480" w:rsidRPr="002836EB" w:rsidRDefault="00F80480" w:rsidP="00F80480">
      <w:r w:rsidRPr="002836EB">
        <w:t>This recommendation focuses on providing affordable and universal access to best-practice health services</w:t>
      </w:r>
      <w:r>
        <w:t>. It</w:t>
      </w:r>
      <w:r w:rsidRPr="002836EB">
        <w:t xml:space="preserve"> is based on the following observations.</w:t>
      </w:r>
    </w:p>
    <w:p w14:paraId="227FFB78" w14:textId="0509AFAF" w:rsidR="00F80480" w:rsidRPr="002836EB" w:rsidRDefault="00F80480" w:rsidP="00A7186C">
      <w:pPr>
        <w:pStyle w:val="01squarebullet"/>
        <w:numPr>
          <w:ilvl w:val="0"/>
          <w:numId w:val="15"/>
        </w:numPr>
        <w:rPr>
          <w:lang w:val="en-GB"/>
        </w:rPr>
      </w:pPr>
      <w:r w:rsidRPr="002836EB">
        <w:rPr>
          <w:lang w:val="en-GB"/>
        </w:rPr>
        <w:t xml:space="preserve">There is strong clinical need </w:t>
      </w:r>
      <w:r w:rsidR="00961A07">
        <w:rPr>
          <w:lang w:val="en-GB"/>
        </w:rPr>
        <w:t>(</w:t>
      </w:r>
      <w:r w:rsidRPr="002836EB">
        <w:rPr>
          <w:lang w:val="en-GB"/>
        </w:rPr>
        <w:t>and supporting evidence</w:t>
      </w:r>
      <w:r w:rsidR="00961A07">
        <w:rPr>
          <w:lang w:val="en-GB"/>
        </w:rPr>
        <w:t>)</w:t>
      </w:r>
      <w:r w:rsidRPr="002836EB">
        <w:rPr>
          <w:lang w:val="en-GB"/>
        </w:rPr>
        <w:t xml:space="preserve"> for sentinel lymph node biopsy for melanoma.</w:t>
      </w:r>
    </w:p>
    <w:p w14:paraId="22DF0196" w14:textId="721EDE48" w:rsidR="00F80480" w:rsidRPr="002836EB" w:rsidRDefault="00F80480" w:rsidP="00F80480">
      <w:pPr>
        <w:pStyle w:val="02dash"/>
        <w:rPr>
          <w:lang w:val="en-GB"/>
        </w:rPr>
      </w:pPr>
      <w:r w:rsidRPr="002836EB">
        <w:rPr>
          <w:lang w:val="en-GB"/>
        </w:rPr>
        <w:t>Sentinel lymph node biopsy provides prognostic clarity, regional control of disease and improved disease-free survival at 10 years (and likely overall survival), compared to symptomatic relapse in patients without sentinel lymph node biopsy.</w:t>
      </w:r>
      <w:r w:rsidRPr="00C9406A">
        <w:rPr>
          <w:vertAlign w:val="superscript"/>
          <w:lang w:val="en-GB"/>
        </w:rPr>
        <w:fldChar w:fldCharType="begin" w:fldLock="1"/>
      </w:r>
      <w:r w:rsidR="006C3F14">
        <w:rPr>
          <w:vertAlign w:val="superscript"/>
          <w:lang w:val="en-GB"/>
        </w:rPr>
        <w:instrText>ADDIN CSL_CITATION { "citationItems" : [ { "id" : "ITEM-1", "itemData" : { "DOI" : "10.1056/NEJMoa1310460", "ISBN" : "1533-4406 (Electronic)\\r0028-4793 (Linking)", "ISSN" : "0028-4793", "PMID" : "24521106", "abstract" : "Background Sentinel-node biopsy, a minimally invasive procedure for regional melanoma staging, was evaluated in a phase 3 trial. Methods We evaluated outcomes in 2001 patients with primary cutaneous melanomas randomly assigned to undergo wide excision and nodal observation, with lymphadenectomy for nodal relapse (observation group), or wide excision and sentinel-node biopsy, with immediate lymphadenectomy for nodal metastases detected on biopsy (biopsy group). Results No significant treatment-related difference in the 10-year melanoma-specific survival rate was seen in the overall study population (20.8% with and 79.2% without nodal metastases). Mean (\u00b1SE) 10-year disease-free survival rates were significantly improved in the biopsy group, as compared with the observation group, among patients with intermediate-thickness melanomas, defined as 1.20 to 3.50 mm (71.3\u00b11.8% vs. 64.7\u00b12.3%; hazard ratio for recurrence or metastasis, 0.76; P=0.01), and those with thick melanomas, defined as &gt;3.50 mm (50.7\u00b14.0% vs...", "author" : [ { "dropping-particle" : "", "family" : "Morton", "given" : "Donald L.", "non-dropping-particle" : "", "parse-names" : false, "suffix" : "" }, { "dropping-particle" : "", "family" : "Thompson", "given" : "John F.", "non-dropping-particle" : "", "parse-names" : false, "suffix" : "" }, { "dropping-particle" : "", "family" : "Cochran", "given" : "Alistair J.", "non-dropping-particle" : "", "parse-names" : false, "suffix" : "" }, { "dropping-particle" : "", "family" : "Mozzillo", "given" : "Nicola", "non-dropping-particle" : "", "parse-names" : false, "suffix" : "" }, { "dropping-particle" : "", "family" : "Nieweg", "given" : "Omgo E.", "non-dropping-particle" : "", "parse-names" : false, "suffix" : "" }, { "dropping-particle" : "", "family" : "Roses", "given" : "Daniel F.", "non-dropping-particle" : "", "parse-names" : false, "suffix" : "" }, { "dropping-particle" : "", "family" : "Hoekstra", "given" : "Harold J.", "non-dropping-particle" : "", "parse-names" : false, "suffix" : "" }, { "dropping-particle" : "", "family" : "Karakousis", "given" : "Constantine P.", "non-dropping-particle" : "", "parse-names" : false, "suffix" : "" }, { "dropping-particle" : "", "family" : "Puleo", "given" : "Christopher A.", "non-dropping-particle" : "", "parse-names" : false, "suffix" : "" }, { "dropping-particle" : "", "family" : "Coventry", "given" : "Brendon J.", "non-dropping-particle" : "", "parse-names" : false, "suffix" : "" }, { "dropping-particle" : "", "family" : "Kashani-Sabet", "given" : "Mohammed", "non-dropping-particle" : "", "parse-names" : false, "suffix" : "" }, { "dropping-particle" : "", "family" : "Smithers", "given" : "B. Mark", "non-dropping-particle" : "", "parse-names" : false, "suffix" : "" }, { "dropping-particle" : "", "family" : "Paul", "given" : "Eberhard", "non-dropping-particle" : "", "parse-names" : false, "suffix" : "" }, { "dropping-particle" : "", "family" : "Kraybill", "given" : "William G.", "non-dropping-particle" : "", "parse-names" : false, "suffix" : "" }, { "dropping-particle" : "", "family" : "McKinnon", "given" : "J. Gregory", "non-dropping-particle" : "", "parse-names" : false, "suffix" : "" }, { "dropping-particle" : "", "family" : "Wang", "given" : "He-Jing", "non-dropping-particle" : "", "parse-names" : false, "suffix" : "" }, { "dropping-particle" : "", "family" : "Elashoff", "given" : "Robert", "non-dropping-particle" : "", "parse-names" : false, "suffix" : "" }, { "dropping-particle" : "", "family" : "Faries", "given" : "Mark B.", "non-dropping-particle" : "", "parse-names" : false, "suffix" : "" } ], "container-title" : "New England Journal of Medicine", "id" : "ITEM-1", "issue" : "7", "issued" : { "date-parts" : [ [ "2014" ] ] }, "page" : "599-609", "title" : "Final Trial Report of Sentinel-Node Biopsy versus Nodal Observation in Melanoma", "type" : "article-journal", "volume" : "370" }, "uris" : [ "http://www.mendeley.com/documents/?uuid=4aa913a7-2dd9-487b-97e8-dba8b62929e9", "http://www.mendeley.com/documents/?uuid=806824e9-991b-442a-8f63-d01a97052441" ] }, { "id" : "ITEM-2", "itemData" : { "author" : [ { "dropping-particle" : "", "family" : "Spillane", "given" : "Andrew", "non-dropping-particle" : "", "parse-names" : false, "suffix" : "" }, { "dropping-particle" : "", "family" : "Read", "given" : "Rebecca", "non-dropping-particle" : "", "parse-names" : false, "suffix" : "" }, { "dropping-particle" : "", "family" : "Thompson", "given" : "John", "non-dropping-particle" : "", "parse-names" : false, "suffix" : "" } ], "id" : "ITEM-2", "issue" : "8", "issued" : { "date-parts" : [ [ "2015" ] ] }, "page" : "604-606", "title" : "Sentinel node biopsy should be the standard of care for patients with intermediate and thick melanomas", "type" : "article-journal", "volume" : "44" }, "uris" : [ "http://www.mendeley.com/documents/?uuid=c126469a-eb86-4583-928d-01bf80bc72f0", "http://www.mendeley.com/documents/?uuid=0eec9367-f9fd-48e1-9bd3-734f9abd3223" ] }, { "id" : "ITEM-3", "itemData" : { "DOI" : "10.1245/s10434-013-3253-6", "ISBN" : "1534-4681 (Electronic)\\r1068-9265 (Linking)", "ISSN" : "1534-4681", "PMID" : "24052314", "abstract" : "BACKGROUND: Melanoma patients with lymph node (LN) metastases have variable survival after lymphadenectomy. This study investigates whether lymphadenectomy at different times in the course of disease progression influences disease-free survival (DFS; time from primary diagnosis to first recurrence after lymphadenectomy), post recurrence survival (PRS; time from first recurrence after lymphadenectomy to death), and overall survival (OS; time from diagnosis to death). METHODS: Between 1992 and 2010, a total of 1,704 patients underwent lymphadenectomy; 502 underwent immediate completion lymphadenectomy (ICL) after positive sentinel node biopsy (SNB), 214 had delayed completion lymphadenectomy (DCL) for regional recurrence after positive SNB with no ICL or after an earlier false-negative SNB, 709 had no SNB and later required delayed therapeutic lymphadenectomy (DTL) for clinically evident metastasis, and 279 had immediate therapeutic lymphadenectomy (ITL) for clinically positive LNs at primary melanoma diagnosis. RESULTS: Median DFS for ICL, DCL, DTL, and ITL was 68, 48, 82, and 16 months, respectively (p &lt; 0.001). Median PRS for ICL, DCL, DTL, and ITL was 14, 8, 9, and 9 months, respectively (p &lt; 0.001). Median OS for ICL was not reached whilst for DCL, DTL, and ITL it was 71, 101, and 29 months, respectively (p &lt; 0.001). Extranodal spread and tumor, node, metastasis classification system N stage were the only significant prognostic factors for OS within each group. ICL patients had significantly improved DFS (p = 0.005) and OS (p = 0.012) beyond 5 years compared to DTL patients. CONCLUSIONS: Variable outcomes after lymphadenectomy were observed with different timing of surgery and LN tumor burden. ICL patients had the best outcome.", "author" : [ { "dropping-particle" : "", "family" : "Spillane", "given" : "A J", "non-dropping-particle" : "", "parse-names" : false, "suffix" : "" }, { "dropping-particle" : "", "family" : "Pasquali", "given" : "S", "non-dropping-particle" : "", "parse-names" : false, "suffix" : "" }, { "dropping-particle" : "", "family" : "Haydu", "given" : "L E", "non-dropping-particle" : "", "parse-names" : false, "suffix" : "" }, { "dropping-particle" : "", "family" : "Thompson", "given" : "J F", "non-dropping-particle" : "", "parse-names" : false, "suffix" : "" } ], "container-title" : "Ann Surg Oncol", "id" : "ITEM-3", "issue" : "1", "issued" : { "date-parts" : [ [ "2014" ] ] }, "page" : "292-299", "title" : "Patterns of recurrence and survival after lymphadenectomy in melanoma patients: clarifying the effects of timing of surgery and lymph node tumor burden", "type" : "article-journal", "volume" : "21" }, "uris" : [ "http://www.mendeley.com/documents/?uuid=0d8c29e5-7079-4b55-9e87-2a9dc585bb59", "http://www.mendeley.com/documents/?uuid=55a7b0d7-744b-4f29-a6ea-05e60385c157" ] } ], "mendeley" : { "formattedCitation" : "(2\u20134)", "plainTextFormattedCitation" : "(2\u20134)", "previouslyFormattedCitation" : "(2\u20134)" }, "properties" : { "noteIndex" : 0 }, "schema" : "https://github.com/citation-style-language/schema/raw/master/csl-citation.json" }</w:instrText>
      </w:r>
      <w:r w:rsidRPr="00C9406A">
        <w:rPr>
          <w:vertAlign w:val="superscript"/>
          <w:lang w:val="en-GB"/>
        </w:rPr>
        <w:fldChar w:fldCharType="separate"/>
      </w:r>
      <w:r w:rsidR="00C054E9" w:rsidRPr="00C9406A">
        <w:rPr>
          <w:noProof/>
          <w:vertAlign w:val="superscript"/>
          <w:lang w:val="en-GB"/>
        </w:rPr>
        <w:t>(2–4)</w:t>
      </w:r>
      <w:r w:rsidRPr="00C9406A">
        <w:rPr>
          <w:vertAlign w:val="superscript"/>
          <w:lang w:val="en-GB"/>
        </w:rPr>
        <w:fldChar w:fldCharType="end"/>
      </w:r>
    </w:p>
    <w:p w14:paraId="604CACE9" w14:textId="64D843AE" w:rsidR="00F80480" w:rsidRPr="00C9406A" w:rsidRDefault="00F80480" w:rsidP="00F80480">
      <w:pPr>
        <w:pStyle w:val="02dash"/>
        <w:rPr>
          <w:vertAlign w:val="superscript"/>
          <w:lang w:val="en-GB"/>
        </w:rPr>
      </w:pPr>
      <w:r w:rsidRPr="002836EB">
        <w:rPr>
          <w:lang w:val="en-GB"/>
        </w:rPr>
        <w:t>There is also low procedure-associated morbidity with sentinel lymph node biopsy for melanoma.</w:t>
      </w:r>
      <w:r w:rsidRPr="00C9406A">
        <w:rPr>
          <w:vertAlign w:val="superscript"/>
          <w:lang w:val="en-GB"/>
        </w:rPr>
        <w:fldChar w:fldCharType="begin" w:fldLock="1"/>
      </w:r>
      <w:r w:rsidR="00C054E9" w:rsidRPr="00C9406A">
        <w:rPr>
          <w:vertAlign w:val="superscript"/>
          <w:lang w:val="en-GB"/>
        </w:rPr>
        <w:instrText>ADDIN CSL_CITATION { "citationItems" : [ { "id" : "ITEM-1", "itemData" : { "DOI" : "10.1245/s10434-010-1203-0", "ISBN" : "1534-4681 (Electronic)\\r1068-9265 (Linking)", "ISSN" : "1534-4681", "PMID" : "20614193", "abstract" : "BACKGROUND: Complete lymph node dissection, the current standard treatment for nodal metastasis in melanoma, carries the risk of significant morbidity. Clinically apparent nodal tumor is likely to impact both preoperative lymphatic function and extent of soft tissue dissection required to clear the basin. We hypothesized that early dissection would be associated with less morbidity than delayed dissection at the time of clinical recurrence.\\n\\nMATERIALS AND METHODS: The Multicenter Selective Lymphadenectomy Trial I randomized patients to wide excision of a primary melanoma with or without sentinel lymph node biopsy. Immediate completion lymph node dissection (early CLND) was performed when indicated in the SLN arm, while therapeutic dissection (delayed CLND) was performed at the time of clinical recurrence in the wide excision-alone arm. Acute and chronic morbidities were prospectively monitored.\\n\\nRESULTS: Early CLND was performed in 225 patients, and in the wide excision-alone arm 132 have undergone delayed CLND. The 2 groups were similar for primary tumor features, body mass index, basin location, and demographics except age, which were higher for delayed CLND. The number of nodes evaluated and the number of positive nodes was greater for delayed CLND. There was no significant difference in acute morbidity, but lymphedema was significantly higher in the delayed CLND group (20.4% vs. 12.4%, P = .04). Length of inpatient hospitalization was also longer for delayed CLND.\\n\\nCONCLUSION: Immediate nodal treatment provides critical prognostic information and a likely therapeutic effect for those patients with nodal involvement. These data show that early CLND is also less likely to result in lymphedema.", "author" : [ { "dropping-particle" : "", "family" : "Faries", "given" : "Mark B", "non-dropping-particle" : "", "parse-names" : false, "suffix" : "" }, { "dropping-particle" : "", "family" : "Thompson", "given" : "John F", "non-dropping-particle" : "", "parse-names" : false, "suffix" : "" }, { "dropping-particle" : "", "family" : "Cochran", "given" : "Alistair", "non-dropping-particle" : "", "parse-names" : false, "suffix" : "" }, { "dropping-particle" : "", "family" : "Elashoff", "given" : "Robert", "non-dropping-particle" : "", "parse-names" : false, "suffix" : "" }, { "dropping-particle" : "", "family" : "Glass", "given" : "Edwin C", "non-dropping-particle" : "", "parse-names" : false, "suffix" : "" }, { "dropping-particle" : "", "family" : "Mozzillo", "given" : "Nicola", "non-dropping-particle" : "", "parse-names" : false, "suffix" : "" }, { "dropping-particle" : "", "family" : "Nieweg", "given" : "Omgo E", "non-dropping-particle" : "", "parse-names" : false, "suffix" : "" }, { "dropping-particle" : "", "family" : "Roses", "given" : "Daniel F", "non-dropping-particle" : "", "parse-names" : false, "suffix" : "" }, { "dropping-particle" : "", "family" : "Hoekstra", "given" : "Harold J", "non-dropping-particle" : "", "parse-names" : false, "suffix" : "" }, { "dropping-particle" : "", "family" : "Karakousis", "given" : "Constantine P", "non-dropping-particle" : "", "parse-names" : false, "suffix" : "" }, { "dropping-particle" : "", "family" : "Reintgen", "given" : "Douglas S", "non-dropping-particle" : "", "parse-names" : false, "suffix" : "" }, { "dropping-particle" : "", "family" : "Coventry", "given" : "Brendon J", "non-dropping-particle" : "", "parse-names" : false, "suffix" : "" }, { "dropping-particle" : "", "family" : "Wang", "given" : "He-Jing", "non-dropping-particle" : "", "parse-names" : false, "suffix" : "" }, { "dropping-particle" : "", "family" : "Morton", "given" : "Donald L", "non-dropping-particle" : "", "parse-names" : false, "suffix" : "" } ], "container-title" : "Annals of surgical oncology", "id" : "ITEM-1", "issue" : "12", "issued" : { "date-parts" : [ [ "2010" ] ] }, "page" : "3324-9", "title" : "The impact on morbidity and length of stay of early versus delayed complete lymphadenectomy in melanoma: results of the Multicenter Selective Lymphadenectomy Trial (I).", "type" : "article-journal", "volume" : "17" }, "uris" : [ "http://www.mendeley.com/documents/?uuid=e9eeba1e-3c9d-4a53-8586-2a5a1bd0d3c0", "http://www.mendeley.com/documents/?uuid=9737aa0b-727c-4710-944c-666872c135c8" ] }, { "id" : "ITEM-2", "itemData" : { "DOI" : "10.1016/j.ejso.2014.12.003", "ISSN" : "15322157", "PMID" : "25595509", "abstract" : "Background: The quality of melanoma surgery needs to be assessed by oncological outcome and complication rates. There is no published consensus on complication rates for common melanoma surgeries, namely wide excision (WE), sentinel node biopsy (SNB) and regional lymph node dissection (RLND). Consequently there are no agreed standards by which surgeons can audit their practices. Methods: Surgical standards were proposed in 2008 following review of the literature and from expert opinion. Melanoma Institute Australia (MIA) self-reported audit data from 2011 and 2012 were compared with these standards. To quality check the self-reported audit, RLND data were extracted from the MIA database. Results: Six surgeons performed a mean of 568 surgeries each quarter; with a mean of 106 major procedures. Following WE with primary closure or flap repair, wound infection or dehiscence occurred in &lt;1% of cases. When skin grafting was required non-take of &gt;20% of the grafted area was observed in 5.9% of cases. Following SNB wound infection and significant seroma occurred in 1.8% of cases. RLND node counts were below the 90% standard in 4 of 409 procedures. In comparison, data extraction identified 405 RLNDs, with node counts below the 90% standard in eight procedures. Two of these patients had previously undergone surgery removing nodes from the field and two had gross coalescing disease with extensive extra-nodal spread. Conclusion: The quality standards proposed in 2008 have been validated long-term by high volume caseloads. The data presented provide standards by which melanoma surgeons can audit their surgical performance.", "author" : [ { "dropping-particle" : "", "family" : "Read", "given" : "R. L.", "non-dropping-particle" : "", "parse-names" : false, "suffix" : "" }, { "dropping-particle" : "", "family" : "Pasquali", "given" : "S.", "non-dropping-particle" : "", "parse-names" : false, "suffix" : "" }, { "dropping-particle" : "", "family" : "Haydu", "given" : "L.", "non-dropping-particle" : "", "parse-names" : false, "suffix" : "" }, { "dropping-particle" : "", "family" : "Thompson", "given" : "J. F.", "non-dropping-particle" : "", "parse-names" : false, "suffix" : "" }, { "dropping-particle" : "", "family" : "Stretch", "given" : "J. R.", "non-dropping-particle" : "", "parse-names" : false, "suffix" : "" }, { "dropping-particle" : "", "family" : "Saw", "given" : "R. P M", "non-dropping-particle" : "", "parse-names" : false, "suffix" : "" }, { "dropping-particle" : "", "family" : "Quinn", "given" : "M. J.", "non-dropping-particle" : "", "parse-names" : false, "suffix" : "" }, { "dropping-particle" : "", "family" : "Shannon", "given" : "K.", "non-dropping-particle" : "", "parse-names" : false, "suffix" : "" }, { "dropping-particle" : "", "family" : "Spillane", "given" : "A. J.", "non-dropping-particle" : "", "parse-names" : false, "suffix" : "" } ], "container-title" : "European Journal of Surgical Oncology", "id" : "ITEM-2", "issue" : "7", "issued" : { "date-parts" : [ [ "2015" ] ] }, "page" : "830-836", "publisher" : "Elsevier Ltd", "title" : "Quality assurance in melanoma surgery: The evolving experience at a large tertiary referral centre", "type" : "article-journal", "volume" : "41" }, "uris" : [ "http://www.mendeley.com/documents/?uuid=4f0b8066-9800-407f-a225-6cad21a33ecf", "http://www.mendeley.com/documents/?uuid=f027edf1-0308-4044-85c7-06384bdc0a27" ] } ], "mendeley" : { "formattedCitation" : "(5,6)", "plainTextFormattedCitation" : "(5,6)", "previouslyFormattedCitation" : "(5,6)" }, "properties" : { "noteIndex" : 0 }, "schema" : "https://github.com/citation-style-language/schema/raw/master/csl-citation.json" }</w:instrText>
      </w:r>
      <w:r w:rsidRPr="00C9406A">
        <w:rPr>
          <w:vertAlign w:val="superscript"/>
          <w:lang w:val="en-GB"/>
        </w:rPr>
        <w:fldChar w:fldCharType="separate"/>
      </w:r>
      <w:r w:rsidRPr="00C9406A">
        <w:rPr>
          <w:noProof/>
          <w:vertAlign w:val="superscript"/>
          <w:lang w:val="en-GB"/>
        </w:rPr>
        <w:t>(5,6)</w:t>
      </w:r>
      <w:r w:rsidRPr="00C9406A">
        <w:rPr>
          <w:vertAlign w:val="superscript"/>
          <w:lang w:val="en-GB"/>
        </w:rPr>
        <w:fldChar w:fldCharType="end"/>
      </w:r>
    </w:p>
    <w:p w14:paraId="7892432E" w14:textId="761A87C9" w:rsidR="00F80480" w:rsidRPr="002836EB" w:rsidRDefault="00F80480" w:rsidP="00F80480">
      <w:pPr>
        <w:pStyle w:val="01squarebullet"/>
        <w:rPr>
          <w:lang w:val="en-GB"/>
        </w:rPr>
      </w:pPr>
      <w:r w:rsidRPr="002836EB">
        <w:rPr>
          <w:lang w:val="en-GB"/>
        </w:rPr>
        <w:t xml:space="preserve">Although there are MBS items for sentinel lymph node biopsy for breast cancer, no corresponding items are currently listed for sentinel lymph node biopsy for melanoma. The MSAC has not previously considered an MBS listing for sentinel </w:t>
      </w:r>
      <w:r w:rsidR="002576DF">
        <w:rPr>
          <w:lang w:val="en-GB"/>
        </w:rPr>
        <w:t>lymph node biopsy for melanoma.</w:t>
      </w:r>
    </w:p>
    <w:p w14:paraId="1E282211" w14:textId="1C695BDD" w:rsidR="00F80480" w:rsidRPr="002836EB" w:rsidRDefault="00F80480" w:rsidP="00A7186C">
      <w:pPr>
        <w:pStyle w:val="01squarebullet"/>
        <w:numPr>
          <w:ilvl w:val="1"/>
          <w:numId w:val="16"/>
        </w:numPr>
        <w:rPr>
          <w:lang w:val="en-GB"/>
        </w:rPr>
      </w:pPr>
      <w:r w:rsidRPr="002836EB">
        <w:rPr>
          <w:lang w:val="en-GB"/>
        </w:rPr>
        <w:t>At present, sentinel lymph node biopsy for melanoma is provided under MBS items for limited excision (sampling) of lymph nodes (</w:t>
      </w:r>
      <w:r>
        <w:rPr>
          <w:lang w:val="en-GB"/>
        </w:rPr>
        <w:t>for example</w:t>
      </w:r>
      <w:r w:rsidRPr="002836EB">
        <w:rPr>
          <w:lang w:val="en-GB"/>
        </w:rPr>
        <w:t xml:space="preserve">, item 30322 in the axilla or item 30329 in the groin). </w:t>
      </w:r>
    </w:p>
    <w:p w14:paraId="04AF9E73" w14:textId="77777777" w:rsidR="00F80480" w:rsidRPr="002836EB" w:rsidRDefault="00F80480" w:rsidP="00A7186C">
      <w:pPr>
        <w:pStyle w:val="01squarebullet"/>
        <w:numPr>
          <w:ilvl w:val="1"/>
          <w:numId w:val="16"/>
        </w:numPr>
        <w:rPr>
          <w:lang w:val="en-GB"/>
        </w:rPr>
      </w:pPr>
      <w:r w:rsidRPr="002836EB">
        <w:rPr>
          <w:lang w:val="en-GB"/>
        </w:rPr>
        <w:t xml:space="preserve">The MBS benefit that patients receive for these items is less than the benefit received for items relating to sentinel lymph node biopsy for breast cancer. However, sentinel lymph node biopsy for melanoma in nodal regions such as parotid/neck and deep pelvic may be more surgically complex than axillary sentinel lymph node biopsy for breast cancer. </w:t>
      </w:r>
    </w:p>
    <w:p w14:paraId="605E6510" w14:textId="721DCAE1" w:rsidR="00F80480" w:rsidRPr="002836EB" w:rsidRDefault="00F80480" w:rsidP="00A7186C">
      <w:pPr>
        <w:pStyle w:val="01squarebullet"/>
        <w:numPr>
          <w:ilvl w:val="1"/>
          <w:numId w:val="16"/>
        </w:numPr>
        <w:rPr>
          <w:lang w:val="en-GB"/>
        </w:rPr>
      </w:pPr>
      <w:r w:rsidRPr="002836EB">
        <w:rPr>
          <w:lang w:val="en-GB"/>
        </w:rPr>
        <w:t>A substantial proportion of patients with melanoma who are deemed suitable for sentinel lymph node biopsy (based on the clinical guidelines) do not receive sentinel lymph node biopsy.</w:t>
      </w:r>
      <w:r w:rsidRPr="007A6E3D">
        <w:rPr>
          <w:vertAlign w:val="superscript"/>
          <w:lang w:val="en-GB"/>
        </w:rPr>
        <w:fldChar w:fldCharType="begin" w:fldLock="1"/>
      </w:r>
      <w:r w:rsidR="00C054E9" w:rsidRPr="007A6E3D">
        <w:rPr>
          <w:vertAlign w:val="superscript"/>
          <w:lang w:val="en-GB"/>
        </w:rPr>
        <w:instrText>ADDIN CSL_CITATION { "citationItems" : [ { "id" : "ITEM-1", "itemData" : { "DOI" : "10.1200/JCO.2011.40.3519", "ISBN" : "1527-7755 (Electronic)\\r0732-183X (Linking)", "ISSN" : "0732183X", "PMID" : "22778321", "abstract" : "PURPOSE: The American Society of Clinical Oncology (ASCO) and Society of Surgical Oncology (SSO) sought to provide an evidence-based guideline on the use of lymphatic mapping and sentinel lymph node (SLN) biopsy in staging patients with newly diagnosed melanoma. METHODS: A comprehensive systematic review of the literature published from January 1990 through August 2011 was completed using MEDLINE and EMBASE. Abstracts from ASCO and SSO annual meetings were included in the evidence review. An Expert Panel was convened to review the evidence and develop guideline recommendations. RESULTS: Seventy-three studies met full eligibility criteria. The evidence review demonstrated that SLN biopsy is an acceptable method for lymph node staging of most patients with newly diagnosed melanoma. RECOMMENDATIONS: SLN biopsy is recommended for patients with intermediate-thickness melanomas (Breslow thickness, 1 to 4 mm) of any anatomic site; use of SLN biopsy in this population provides accurate staging. Although there are few studies focusing on patients with thick melanomas (T4; Breslow thickness, &gt; 4 mm), SLN biopsy may be recommended for staging purposes and to facilitate regional disease control. There is insufficient evidence to support routine SLN biopsy for patients with thin melanomas (T1; Breslow thickness, &lt; 1 mm), although it may be considered in selected patients with high-risk features when staging benefits outweigh risks of the procedure. Completion lymph node dissection (CLND) is recommended for all patients with a positive SLN biopsy and achieves good regional disease control. Whether CLND after a positive SLN biopsy improves survival is the subject of the ongoing Multicenter Selective Lymphadenectomy Trial II.", "author" : [ { "dropping-particle" : "", "family" : "Wong", "given" : "S L", "non-dropping-particle" : "", "parse-names" : false, "suffix" : "" }, { "dropping-particle" : "", "family" : "Balch", "given" : "C M", "non-dropping-particle" : "", "parse-names" : false, "suffix" : "" }, { "dropping-particle" : "", "family" : "Hurley", "given" : "P", "non-dropping-particle" : "", "parse-names" : false, "suffix" : "" }, { "dropping-particle" : "", "family" : "Agarwala", "given" : "S S", "non-dropping-particle" : "", "parse-names" : false, "suffix" : "" }, { "dropping-particle" : "", "family" : "Akhurst", "given" : "T J", "non-dropping-particle" : "", "parse-names" : false, "suffix" : "" }, { "dropping-particle" : "", "family" : "Cochran", "given" : "A", "non-dropping-particle" : "", "parse-names" : false, "suffix" : "" }, { "dropping-particle" : "", "family" : "Cormier", "given" : "J N", "non-dropping-particle" : "", "parse-names" : false, "suffix" : "" }, { "dropping-particle" : "", "family" : "Gorman", "given" : "M", "non-dropping-particle" : "", "parse-names" : false, "suffix" : "" }, { "dropping-particle" : "", "family" : "Kim", "given" : "T Y", "non-dropping-particle" : "", "parse-names" : false, "suffix" : "" }, { "dropping-particle" : "", "family" : "McMasters", "given" : "K M", "non-dropping-particle" : "", "parse-names" : false, "suffix" : "" }, { "dropping-particle" : "", "family" : "Noyes", "given" : "R D", "non-dropping-particle" : "", "parse-names" : false, "suffix" : "" }, { "dropping-particle" : "", "family" : "Schuchter", "given" : "L M", "non-dropping-particle" : "", "parse-names" : false, "suffix" : "" }, { "dropping-particle" : "", "family" : "Valsecchi", "given" : "M E", "non-dropping-particle" : "", "parse-names" : false, "suffix" : "" }, { "dropping-particle" : "", "family" : "Weaver", "given" : "D L", "non-dropping-particle" : "", "parse-names" : false, "suffix" : "" }, { "dropping-particle" : "", "family" : "Lyman", "given" : "G H", "non-dropping-particle" : "", "parse-names" : false, "suffix" : "" }, { "dropping-particle" : "", "family" : "American Society of Clinical", "given" : "Oncology", "non-dropping-particle" : "", "parse-names" : false, "suffix" : "" }, { "dropping-particle" : "", "family" : "Society of Surgical", "given" : "Oncology", "non-dropping-particle" : "", "parse-names" : false, "suffix" : "" } ], "container-title" : "J Clin Oncol", "id" : "ITEM-1", "issue" : "23", "issued" : { "date-parts" : [ [ "2012" ] ] }, "page" : "2912-2918", "title" : "Sentinel lymph node biopsy for melanoma: American Society of Clinical Oncology and Society of Surgical Oncology joint clinical practice guideline", "type" : "article-journal", "volume" : "30" }, "uris" : [ "http://www.mendeley.com/documents/?uuid=476e6639-de6c-416f-96b9-443fd7bab59c", "http://www.mendeley.com/documents/?uuid=ed160ba8-f051-4032-abd0-084670b8bf44" ] } ], "mendeley" : { "formattedCitation" : "(7)", "plainTextFormattedCitation" : "(7)", "previouslyFormattedCitation" : "(7)" }, "properties" : { "noteIndex" : 0 }, "schema" : "https://github.com/citation-style-language/schema/raw/master/csl-citation.json" }</w:instrText>
      </w:r>
      <w:r w:rsidRPr="007A6E3D">
        <w:rPr>
          <w:vertAlign w:val="superscript"/>
          <w:lang w:val="en-GB"/>
        </w:rPr>
        <w:fldChar w:fldCharType="separate"/>
      </w:r>
      <w:r w:rsidRPr="007A6E3D">
        <w:rPr>
          <w:noProof/>
          <w:vertAlign w:val="superscript"/>
          <w:lang w:val="en-GB"/>
        </w:rPr>
        <w:t>(7)</w:t>
      </w:r>
      <w:r w:rsidRPr="007A6E3D">
        <w:rPr>
          <w:vertAlign w:val="superscript"/>
          <w:lang w:val="en-GB"/>
        </w:rPr>
        <w:fldChar w:fldCharType="end"/>
      </w:r>
      <w:r w:rsidRPr="002836EB">
        <w:rPr>
          <w:lang w:val="en-GB"/>
        </w:rPr>
        <w:t xml:space="preserve"> One of the barriers to uptake of sentinel lymph node biopsy in melanoma patients is the lack of specific MBS benefits available. </w:t>
      </w:r>
    </w:p>
    <w:p w14:paraId="2057F500" w14:textId="77777777" w:rsidR="00F80480" w:rsidRPr="002836EB" w:rsidRDefault="00F80480" w:rsidP="00A7186C">
      <w:pPr>
        <w:pStyle w:val="01squarebullet"/>
        <w:numPr>
          <w:ilvl w:val="0"/>
          <w:numId w:val="15"/>
        </w:numPr>
        <w:rPr>
          <w:lang w:val="en-GB"/>
        </w:rPr>
      </w:pPr>
      <w:r w:rsidRPr="002836EB">
        <w:rPr>
          <w:lang w:val="en-GB"/>
        </w:rPr>
        <w:t>The Committee noted that the MSAC has already undertaken pre-lodgement consultation on the potential MBS listing of sentinel lymph node biopsy for melanoma, and that the Department of Health is supportive of a submission being made to the MSAC.</w:t>
      </w:r>
    </w:p>
    <w:p w14:paraId="3ACFC3FD" w14:textId="77777777" w:rsidR="00F86DEC" w:rsidRDefault="00F86DEC">
      <w:pPr>
        <w:spacing w:before="0" w:after="0"/>
        <w:rPr>
          <w:rFonts w:eastAsiaTheme="minorHAnsi" w:cs="Arial"/>
          <w:b/>
          <w:bCs/>
          <w:iCs/>
          <w:color w:val="01653F"/>
          <w:sz w:val="28"/>
          <w:szCs w:val="22"/>
          <w:lang w:eastAsia="en-US"/>
        </w:rPr>
      </w:pPr>
      <w:bookmarkStart w:id="222" w:name="_Ref463918784"/>
      <w:bookmarkStart w:id="223" w:name="_Ref464486555"/>
      <w:bookmarkStart w:id="224" w:name="_Toc468647493"/>
      <w:bookmarkEnd w:id="218"/>
      <w:r>
        <w:br w:type="page"/>
      </w:r>
    </w:p>
    <w:p w14:paraId="18E55A58" w14:textId="3E937A83" w:rsidR="00F80480" w:rsidRPr="002836EB" w:rsidRDefault="00F80480" w:rsidP="00F80480">
      <w:pPr>
        <w:pStyle w:val="Heading2"/>
        <w:rPr>
          <w:lang w:val="en-GB"/>
        </w:rPr>
      </w:pPr>
      <w:bookmarkStart w:id="225" w:name="_Ref474809733"/>
      <w:bookmarkStart w:id="226" w:name="_Toc479082796"/>
      <w:r w:rsidRPr="002836EB">
        <w:rPr>
          <w:lang w:val="en-GB"/>
        </w:rPr>
        <w:lastRenderedPageBreak/>
        <w:t>Paediatric cancer</w:t>
      </w:r>
      <w:bookmarkEnd w:id="222"/>
      <w:bookmarkEnd w:id="223"/>
      <w:bookmarkEnd w:id="224"/>
      <w:bookmarkEnd w:id="225"/>
      <w:bookmarkEnd w:id="226"/>
    </w:p>
    <w:p w14:paraId="55600B2C" w14:textId="022454FD" w:rsidR="00F57516" w:rsidRDefault="00F57516" w:rsidP="00F57516">
      <w:pPr>
        <w:pStyle w:val="Boldhdg"/>
      </w:pPr>
      <w:bookmarkStart w:id="227" w:name="_Ref467446573"/>
      <w:bookmarkStart w:id="228" w:name="_Ref474803147"/>
      <w:r>
        <w:t xml:space="preserve">Recommendation </w:t>
      </w:r>
      <w:bookmarkEnd w:id="227"/>
      <w:r>
        <w:fldChar w:fldCharType="begin"/>
      </w:r>
      <w:r>
        <w:instrText xml:space="preserve"> SEQ Recommendation \* ARABIC </w:instrText>
      </w:r>
      <w:r>
        <w:fldChar w:fldCharType="separate"/>
      </w:r>
      <w:r w:rsidR="003274EF">
        <w:rPr>
          <w:noProof/>
        </w:rPr>
        <w:t>11</w:t>
      </w:r>
      <w:r>
        <w:fldChar w:fldCharType="end"/>
      </w:r>
      <w:bookmarkEnd w:id="228"/>
    </w:p>
    <w:p w14:paraId="538BA7C1" w14:textId="77777777" w:rsidR="00F80480" w:rsidRPr="002836EB" w:rsidRDefault="00F80480" w:rsidP="00F80480">
      <w:pPr>
        <w:pStyle w:val="01squarebullet"/>
        <w:rPr>
          <w:lang w:val="en-GB"/>
        </w:rPr>
      </w:pPr>
      <w:r>
        <w:rPr>
          <w:lang w:val="en-GB"/>
        </w:rPr>
        <w:t>No specific changes.</w:t>
      </w:r>
    </w:p>
    <w:p w14:paraId="2FAF760C" w14:textId="77777777" w:rsidR="00F80480" w:rsidRPr="002836EB" w:rsidRDefault="00F80480" w:rsidP="00F80480">
      <w:pPr>
        <w:pStyle w:val="Boldhdg"/>
        <w:rPr>
          <w:lang w:val="en-GB"/>
        </w:rPr>
      </w:pPr>
      <w:r w:rsidRPr="002836EB">
        <w:rPr>
          <w:lang w:val="en-GB"/>
        </w:rPr>
        <w:t>Rationale</w:t>
      </w:r>
    </w:p>
    <w:p w14:paraId="79508984" w14:textId="77777777" w:rsidR="00F80480" w:rsidRPr="002836EB" w:rsidRDefault="00F80480" w:rsidP="00F80480">
      <w:r w:rsidRPr="002836EB">
        <w:t xml:space="preserve">This recommendation is based on the following observations. </w:t>
      </w:r>
    </w:p>
    <w:p w14:paraId="21B88105" w14:textId="77777777" w:rsidR="00F80480" w:rsidRPr="002836EB" w:rsidRDefault="00F80480" w:rsidP="00A7186C">
      <w:pPr>
        <w:pStyle w:val="01squarebullet"/>
        <w:numPr>
          <w:ilvl w:val="0"/>
          <w:numId w:val="15"/>
        </w:numPr>
        <w:rPr>
          <w:lang w:val="en-GB"/>
        </w:rPr>
      </w:pPr>
      <w:r w:rsidRPr="002836EB">
        <w:rPr>
          <w:lang w:val="en-GB"/>
        </w:rPr>
        <w:t xml:space="preserve">Paediatric cancer services are concentrated in the public system, rather than MBS-funded services. In FY2014/15, for example, patients aged 0–19 years old accounted for approximately 1 per cent of MBS medical oncology and radiation oncology services. </w:t>
      </w:r>
    </w:p>
    <w:p w14:paraId="3E3A5E3B" w14:textId="2FACDF39" w:rsidR="00F80480" w:rsidRPr="002836EB" w:rsidRDefault="00F80480" w:rsidP="00F80480">
      <w:pPr>
        <w:pStyle w:val="01squarebullet"/>
        <w:rPr>
          <w:lang w:val="en-GB"/>
        </w:rPr>
      </w:pPr>
      <w:r w:rsidRPr="002836EB">
        <w:rPr>
          <w:lang w:val="en-GB"/>
        </w:rPr>
        <w:t>Issues of concern to the Committee are common to both adult and paediatric patients</w:t>
      </w:r>
      <w:r w:rsidR="00350641">
        <w:rPr>
          <w:lang w:val="en-GB"/>
        </w:rPr>
        <w:t>.</w:t>
      </w:r>
    </w:p>
    <w:p w14:paraId="603DC6DD" w14:textId="3088D6CB" w:rsidR="00F80480" w:rsidRPr="002836EB" w:rsidRDefault="00F80480" w:rsidP="00F80480">
      <w:pPr>
        <w:pStyle w:val="01squarebullet"/>
        <w:rPr>
          <w:lang w:val="en-GB"/>
        </w:rPr>
      </w:pPr>
      <w:r w:rsidRPr="002836EB">
        <w:rPr>
          <w:lang w:val="en-GB"/>
        </w:rPr>
        <w:t xml:space="preserve">The Committee’s recommendations on restructuring </w:t>
      </w:r>
      <w:r w:rsidRPr="002836EB">
        <w:rPr>
          <w:lang w:val="en-GB"/>
        </w:rPr>
        <w:fldChar w:fldCharType="begin"/>
      </w:r>
      <w:r w:rsidRPr="002836EB">
        <w:rPr>
          <w:lang w:val="en-GB"/>
        </w:rPr>
        <w:instrText xml:space="preserve"> REF _Ref464501738 \h </w:instrText>
      </w:r>
      <w:r w:rsidRPr="002836EB">
        <w:rPr>
          <w:lang w:val="en-GB"/>
        </w:rPr>
      </w:r>
      <w:r w:rsidRPr="002836EB">
        <w:rPr>
          <w:lang w:val="en-GB"/>
        </w:rPr>
        <w:fldChar w:fldCharType="separate"/>
      </w:r>
      <w:r w:rsidR="003274EF" w:rsidRPr="00E07C64">
        <w:rPr>
          <w:rFonts w:ascii="Calibri" w:hAnsi="Calibri"/>
          <w:lang w:val="en-GB"/>
        </w:rPr>
        <w:t>M</w:t>
      </w:r>
      <w:r w:rsidR="003274EF" w:rsidRPr="00E07C64">
        <w:rPr>
          <w:lang w:val="en-GB"/>
        </w:rPr>
        <w:t>egavoltage radiation therapy</w:t>
      </w:r>
      <w:r w:rsidRPr="002836EB">
        <w:rPr>
          <w:lang w:val="en-GB"/>
        </w:rPr>
        <w:fldChar w:fldCharType="end"/>
      </w:r>
      <w:r w:rsidRPr="002836EB">
        <w:rPr>
          <w:lang w:val="en-GB"/>
        </w:rPr>
        <w:t xml:space="preserve"> items include consideration of age extremes when determining the complexity of the service (</w:t>
      </w:r>
      <w:r>
        <w:rPr>
          <w:lang w:val="en-GB"/>
        </w:rPr>
        <w:t>for example</w:t>
      </w:r>
      <w:r w:rsidRPr="002836EB">
        <w:rPr>
          <w:lang w:val="en-GB"/>
        </w:rPr>
        <w:t>, to determine the need for anaesthesia).</w:t>
      </w:r>
    </w:p>
    <w:p w14:paraId="2F3AF377" w14:textId="5B52B282" w:rsidR="00FA60CB" w:rsidRPr="007D7206" w:rsidRDefault="00F80480" w:rsidP="00CC38A5">
      <w:pPr>
        <w:pStyle w:val="01squarebullet"/>
      </w:pPr>
      <w:r w:rsidRPr="007D7206">
        <w:t>The Committee received advice from the Australian and New Zealand Children’s Haematology/Oncology Group (ANZCHOG) confirming that there are no pressing paediatric cancer issues for the MBS Review to address.</w:t>
      </w:r>
    </w:p>
    <w:p w14:paraId="348995AF" w14:textId="77777777" w:rsidR="00670579" w:rsidRPr="00A92374" w:rsidRDefault="00670579" w:rsidP="008D208D">
      <w:pPr>
        <w:pStyle w:val="Heading1"/>
        <w:rPr>
          <w:lang w:val="en-GB"/>
        </w:rPr>
      </w:pPr>
      <w:bookmarkStart w:id="229" w:name="_Toc471896689"/>
      <w:bookmarkStart w:id="230" w:name="_Toc471898526"/>
      <w:bookmarkStart w:id="231" w:name="_Toc471896690"/>
      <w:bookmarkStart w:id="232" w:name="_Toc471898527"/>
      <w:bookmarkStart w:id="233" w:name="_Toc471896691"/>
      <w:bookmarkStart w:id="234" w:name="_Toc471898528"/>
      <w:bookmarkStart w:id="235" w:name="_Toc459996819"/>
      <w:bookmarkStart w:id="236" w:name="_Toc458167009"/>
      <w:bookmarkStart w:id="237" w:name="_Toc468647494"/>
      <w:bookmarkStart w:id="238" w:name="_Toc479082797"/>
      <w:bookmarkEnd w:id="229"/>
      <w:bookmarkEnd w:id="230"/>
      <w:bookmarkEnd w:id="231"/>
      <w:bookmarkEnd w:id="232"/>
      <w:bookmarkEnd w:id="233"/>
      <w:bookmarkEnd w:id="234"/>
      <w:r w:rsidRPr="00A92374">
        <w:rPr>
          <w:lang w:val="en-GB"/>
        </w:rPr>
        <w:lastRenderedPageBreak/>
        <w:t>Stakeholder impact statement</w:t>
      </w:r>
      <w:bookmarkEnd w:id="235"/>
      <w:bookmarkEnd w:id="236"/>
      <w:bookmarkEnd w:id="237"/>
      <w:bookmarkEnd w:id="238"/>
      <w:r w:rsidR="00FB22D7" w:rsidRPr="00A92374">
        <w:rPr>
          <w:lang w:val="en-GB"/>
        </w:rPr>
        <w:t xml:space="preserve"> </w:t>
      </w:r>
    </w:p>
    <w:p w14:paraId="6AEA7549" w14:textId="77777777" w:rsidR="00CC38A5" w:rsidRDefault="00BA7A90" w:rsidP="00082595">
      <w:r w:rsidRPr="002836EB">
        <w:t xml:space="preserve">Both patients and providers are expected to benefit from these recommendations as they address concerns regarding patient safety and quality of care, and they take steps to simplify the MBS and make it easier to use and understand. Patient access to services was considered for each recommendation. </w:t>
      </w:r>
    </w:p>
    <w:p w14:paraId="4E0F2BB7" w14:textId="3FA26B47" w:rsidR="00BA7A90" w:rsidRPr="002836EB" w:rsidRDefault="00BA7A90" w:rsidP="00082595">
      <w:r w:rsidRPr="002836EB">
        <w:t xml:space="preserve">The Committee also considered each recommendation’s impact on provider groups to ensure that </w:t>
      </w:r>
      <w:r w:rsidR="001616E2">
        <w:t xml:space="preserve">any </w:t>
      </w:r>
      <w:r w:rsidRPr="002836EB">
        <w:t xml:space="preserve">changes </w:t>
      </w:r>
      <w:r w:rsidR="001616E2">
        <w:t>were</w:t>
      </w:r>
      <w:r w:rsidR="001616E2" w:rsidRPr="002836EB">
        <w:t xml:space="preserve"> </w:t>
      </w:r>
      <w:r w:rsidRPr="002836EB">
        <w:t>reasonable and fair.</w:t>
      </w:r>
      <w:r w:rsidR="00440C1A">
        <w:t xml:space="preserve"> </w:t>
      </w:r>
      <w:r w:rsidRPr="002836EB">
        <w:t xml:space="preserve">However, if the Committee identified evidence of potential item misuse or safety concerns, recommendations were made to encourage best practice, in line with the overarching purpose of the MBS Review. </w:t>
      </w:r>
    </w:p>
    <w:p w14:paraId="61B3DD53" w14:textId="77777777" w:rsidR="00FA60CB" w:rsidRPr="002836EB" w:rsidRDefault="00FA60CB" w:rsidP="00082595">
      <w:pPr>
        <w:rPr>
          <w:highlight w:val="yellow"/>
          <w:lang w:eastAsia="en-US"/>
        </w:rPr>
      </w:pPr>
    </w:p>
    <w:p w14:paraId="731AF60E" w14:textId="77777777" w:rsidR="001136B9" w:rsidRPr="002836EB" w:rsidRDefault="001136B9" w:rsidP="00082595">
      <w:pPr>
        <w:rPr>
          <w:rFonts w:eastAsiaTheme="minorHAnsi" w:cs="Arial"/>
          <w:kern w:val="32"/>
          <w:sz w:val="32"/>
          <w:szCs w:val="28"/>
          <w:lang w:eastAsia="en-US"/>
        </w:rPr>
      </w:pPr>
      <w:r w:rsidRPr="002836EB">
        <w:br w:type="page"/>
      </w:r>
    </w:p>
    <w:p w14:paraId="6C5E68C0" w14:textId="597A66F9" w:rsidR="000607EE" w:rsidRPr="00670E3C" w:rsidRDefault="0059491E" w:rsidP="00670E3C">
      <w:pPr>
        <w:pStyle w:val="Heading1"/>
        <w:rPr>
          <w:lang w:val="en-GB"/>
        </w:rPr>
      </w:pPr>
      <w:bookmarkStart w:id="239" w:name="_References"/>
      <w:bookmarkStart w:id="240" w:name="_Toc459996829"/>
      <w:bookmarkStart w:id="241" w:name="_Toc468647495"/>
      <w:bookmarkStart w:id="242" w:name="_Toc479082798"/>
      <w:bookmarkStart w:id="243" w:name="_Toc458167022"/>
      <w:bookmarkEnd w:id="239"/>
      <w:r w:rsidRPr="00670E3C">
        <w:rPr>
          <w:lang w:val="en-GB"/>
        </w:rPr>
        <w:lastRenderedPageBreak/>
        <w:t>References</w:t>
      </w:r>
      <w:bookmarkEnd w:id="240"/>
      <w:bookmarkEnd w:id="241"/>
      <w:bookmarkEnd w:id="242"/>
    </w:p>
    <w:p w14:paraId="4911986E" w14:textId="0E737684" w:rsidR="00B01E15" w:rsidRDefault="00B01E15" w:rsidP="008445E6">
      <w:pPr>
        <w:pStyle w:val="05number1"/>
      </w:pPr>
      <w:bookmarkStart w:id="244" w:name="_Ref472003361"/>
      <w:bookmarkStart w:id="245" w:name="_Toc456045469"/>
      <w:bookmarkEnd w:id="243"/>
      <w:r>
        <w:rPr>
          <w:noProof/>
        </w:rPr>
        <w:t xml:space="preserve">Professor Adam Elshaug’s appropriate use  criteria: </w:t>
      </w:r>
      <w:hyperlink r:id="rId17" w:history="1">
        <w:r w:rsidRPr="00C50476">
          <w:rPr>
            <w:rStyle w:val="Hyperlink"/>
            <w:noProof/>
          </w:rPr>
          <w:t>https://www.mja.com.au/journal/2012/197/10/over-150-potentially-low-value-health-care-practices-australian-study?0=ip_login_no_cache%3Db5b09599f656f879694c67531fbb95fa</w:t>
        </w:r>
      </w:hyperlink>
      <w:bookmarkEnd w:id="244"/>
      <w:r>
        <w:t xml:space="preserve"> </w:t>
      </w:r>
    </w:p>
    <w:p w14:paraId="1AFAF7D2" w14:textId="7E96542E" w:rsidR="00B01E15" w:rsidRDefault="00B01E15" w:rsidP="008445E6">
      <w:pPr>
        <w:pStyle w:val="05number1"/>
        <w:rPr>
          <w:noProof/>
        </w:rPr>
      </w:pPr>
      <w:bookmarkStart w:id="246" w:name="_Ref472003515"/>
      <w:r w:rsidRPr="00FC23BF">
        <w:rPr>
          <w:noProof/>
        </w:rPr>
        <w:t xml:space="preserve">Morton DL, Thompson JF, Cochran AJ, Mozzillo N, Nieweg OE, Roses DF, et al. Final Trial Report of Sentinel-Node Biopsy versus Nodal Observation in Melanoma. N Engl J Med [Internet]. 2014;370(7):599–609. Available from: </w:t>
      </w:r>
      <w:hyperlink r:id="rId18" w:history="1">
        <w:r w:rsidRPr="00C50476">
          <w:rPr>
            <w:rStyle w:val="Hyperlink"/>
            <w:noProof/>
          </w:rPr>
          <w:t>http://www.nejm.org/doi/abs/10.1056/NEJMoa1310460</w:t>
        </w:r>
      </w:hyperlink>
      <w:bookmarkEnd w:id="246"/>
    </w:p>
    <w:p w14:paraId="1C3194FF" w14:textId="68286BAF" w:rsidR="00B01E15" w:rsidRDefault="00B01E15" w:rsidP="008445E6">
      <w:pPr>
        <w:pStyle w:val="05number1"/>
        <w:rPr>
          <w:noProof/>
        </w:rPr>
      </w:pPr>
      <w:bookmarkStart w:id="247" w:name="_Ref472003527"/>
      <w:r w:rsidRPr="00FC23BF">
        <w:rPr>
          <w:noProof/>
        </w:rPr>
        <w:t>Spillane A, Read R, Thompson J. Sentinel node biopsy should be the standard of care for patients with intermediate and thick melanomas. 2015;44(8):604–6</w:t>
      </w:r>
      <w:bookmarkEnd w:id="247"/>
      <w:r>
        <w:rPr>
          <w:noProof/>
        </w:rPr>
        <w:t xml:space="preserve"> </w:t>
      </w:r>
    </w:p>
    <w:p w14:paraId="735066C7" w14:textId="71B805E4" w:rsidR="00B01E15" w:rsidRPr="00B01E15" w:rsidRDefault="00B01E15" w:rsidP="008445E6">
      <w:pPr>
        <w:pStyle w:val="05number1"/>
        <w:rPr>
          <w:noProof/>
        </w:rPr>
      </w:pPr>
      <w:bookmarkStart w:id="248" w:name="_Ref472003537"/>
      <w:r w:rsidRPr="00FC23BF">
        <w:rPr>
          <w:noProof/>
        </w:rPr>
        <w:t xml:space="preserve">Spillane AJ, Pasquali S, Haydu LE, Thompson JF. Patterns of recurrence and survival after lymphadenectomy in melanoma patients: clarifying the effects of timing of surgery and lymph node tumor burden. Ann Surg Oncol [Internet]. 2014;21(1):292–9. Available from: </w:t>
      </w:r>
      <w:r w:rsidRPr="00B01E15">
        <w:rPr>
          <w:noProof/>
        </w:rPr>
        <w:t>http://www.ncbi.nlm.nih.gov/pubmed/24052314</w:t>
      </w:r>
      <w:bookmarkEnd w:id="248"/>
      <w:r w:rsidRPr="00B01E15">
        <w:rPr>
          <w:noProof/>
        </w:rPr>
        <w:t xml:space="preserve"> </w:t>
      </w:r>
    </w:p>
    <w:p w14:paraId="659092C0" w14:textId="3BC6FC8E" w:rsidR="00B01E15" w:rsidRDefault="00B01E15" w:rsidP="008445E6">
      <w:pPr>
        <w:pStyle w:val="05number1"/>
        <w:rPr>
          <w:noProof/>
        </w:rPr>
      </w:pPr>
      <w:bookmarkStart w:id="249" w:name="_Ref472003815"/>
      <w:r w:rsidRPr="00FC23BF">
        <w:rPr>
          <w:noProof/>
        </w:rPr>
        <w:t xml:space="preserve">Faries MB, Thompson JF, Cochran A, Elashoff R, Glass EC, Mozzillo N, et al. The impact on morbidity and length of stay of early versus delayed complete lymphadenectomy in melanoma: results of the Multicenter Selective Lymphadenectomy Trial (I). Ann Surg Oncol [Internet]. 2010;17(12):3324–9. Available from: </w:t>
      </w:r>
      <w:hyperlink r:id="rId19" w:history="1">
        <w:r w:rsidRPr="00C50476">
          <w:rPr>
            <w:rStyle w:val="Hyperlink"/>
            <w:noProof/>
          </w:rPr>
          <w:t>http://www.pubmedcentral.nih.gov/articlerender.fcgi?artid=2970739&amp;tool=pmcentrez&amp;rendertype=abstract</w:t>
        </w:r>
      </w:hyperlink>
      <w:bookmarkEnd w:id="249"/>
      <w:r>
        <w:rPr>
          <w:noProof/>
        </w:rPr>
        <w:t xml:space="preserve"> </w:t>
      </w:r>
    </w:p>
    <w:p w14:paraId="49574E86" w14:textId="5BD3AFAC" w:rsidR="00B01E15" w:rsidRDefault="00B01E15" w:rsidP="008445E6">
      <w:pPr>
        <w:pStyle w:val="05number1"/>
        <w:rPr>
          <w:noProof/>
        </w:rPr>
      </w:pPr>
      <w:bookmarkStart w:id="250" w:name="_Ref472003825"/>
      <w:r w:rsidRPr="00FC23BF">
        <w:rPr>
          <w:noProof/>
        </w:rPr>
        <w:t xml:space="preserve">Read RL, Pasquali S, Haydu L, Thompson JF, Stretch JR, Saw RPM, et al. Quality assurance in melanoma surgery: The evolving experience at a large tertiary referral centre. Eur J Surg Oncol [Internet]. 2015;41(7):830–6. Available from: </w:t>
      </w:r>
      <w:hyperlink r:id="rId20" w:history="1">
        <w:r w:rsidRPr="00C50476">
          <w:rPr>
            <w:rStyle w:val="Hyperlink"/>
            <w:noProof/>
          </w:rPr>
          <w:t>http://dx.doi.org/10.1016/j.ejso.2014.12.003</w:t>
        </w:r>
      </w:hyperlink>
      <w:bookmarkEnd w:id="250"/>
      <w:r>
        <w:rPr>
          <w:noProof/>
        </w:rPr>
        <w:t xml:space="preserve"> </w:t>
      </w:r>
    </w:p>
    <w:p w14:paraId="3B6D741F" w14:textId="63073C63" w:rsidR="00B01E15" w:rsidRDefault="00B01E15" w:rsidP="008445E6">
      <w:pPr>
        <w:pStyle w:val="05number1"/>
        <w:rPr>
          <w:noProof/>
        </w:rPr>
      </w:pPr>
      <w:bookmarkStart w:id="251" w:name="_Ref472003848"/>
      <w:r w:rsidRPr="00FC23BF">
        <w:rPr>
          <w:noProof/>
        </w:rPr>
        <w:t xml:space="preserve">Wong SL, Balch CM, Hurley P, Agarwala SS, Akhurst TJ, Cochran A, et al. Sentinel lymph node biopsy for melanoma: American Society of Clinical Oncology and Society of Surgical Oncology joint clinical practice guideline. J Clin Oncol [Internet]. 2012;30(23):2912–8. Available from: </w:t>
      </w:r>
      <w:hyperlink r:id="rId21" w:history="1">
        <w:r w:rsidRPr="00C50476">
          <w:rPr>
            <w:rStyle w:val="Hyperlink"/>
            <w:noProof/>
          </w:rPr>
          <w:t>http://www.ncbi.nlm.nih.gov/pubmed/22778321</w:t>
        </w:r>
      </w:hyperlink>
      <w:bookmarkEnd w:id="251"/>
      <w:r>
        <w:rPr>
          <w:noProof/>
        </w:rPr>
        <w:t xml:space="preserve"> </w:t>
      </w:r>
    </w:p>
    <w:p w14:paraId="7712B7E7" w14:textId="77777777" w:rsidR="006563BE" w:rsidRDefault="006563BE" w:rsidP="006563BE">
      <w:pPr>
        <w:pStyle w:val="05number1"/>
        <w:numPr>
          <w:ilvl w:val="0"/>
          <w:numId w:val="0"/>
        </w:numPr>
        <w:ind w:left="357" w:hanging="357"/>
        <w:rPr>
          <w:noProof/>
        </w:rPr>
      </w:pPr>
    </w:p>
    <w:p w14:paraId="6DA48FCB" w14:textId="6320EECE" w:rsidR="0039305A" w:rsidRDefault="0039305A" w:rsidP="006563BE">
      <w:pPr>
        <w:pStyle w:val="05number1"/>
        <w:numPr>
          <w:ilvl w:val="0"/>
          <w:numId w:val="0"/>
        </w:numPr>
        <w:ind w:left="357" w:hanging="357"/>
      </w:pPr>
      <w:r w:rsidRPr="002836EB">
        <w:br w:type="page"/>
      </w:r>
    </w:p>
    <w:p w14:paraId="79A9E28B" w14:textId="5CF606EC" w:rsidR="00836FD2" w:rsidRPr="002836EB" w:rsidRDefault="00134AE6" w:rsidP="00134AE6">
      <w:pPr>
        <w:pStyle w:val="AppendixStyle1"/>
        <w:rPr>
          <w:lang w:val="en-GB"/>
        </w:rPr>
      </w:pPr>
      <w:bookmarkStart w:id="252" w:name="_Ref464682172"/>
      <w:bookmarkStart w:id="253" w:name="_Ref464682264"/>
      <w:bookmarkStart w:id="254" w:name="_Ref464682270"/>
      <w:bookmarkStart w:id="255" w:name="_Toc468647496"/>
      <w:bookmarkStart w:id="256" w:name="_Toc479082799"/>
      <w:bookmarkEnd w:id="245"/>
      <w:r w:rsidRPr="002836EB">
        <w:rPr>
          <w:lang w:val="en-GB"/>
        </w:rPr>
        <w:lastRenderedPageBreak/>
        <w:t>Index of items</w:t>
      </w:r>
      <w:bookmarkEnd w:id="252"/>
      <w:bookmarkEnd w:id="253"/>
      <w:bookmarkEnd w:id="254"/>
      <w:bookmarkEnd w:id="255"/>
      <w:bookmarkEnd w:id="256"/>
    </w:p>
    <w:tbl>
      <w:tblPr>
        <w:tblStyle w:val="TableGrid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A is a table for Index of items. There are 3 columns: column 1. List of items, column 2. Recommendation, column 3. Page reference"/>
      </w:tblPr>
      <w:tblGrid>
        <w:gridCol w:w="809"/>
        <w:gridCol w:w="2730"/>
        <w:gridCol w:w="851"/>
      </w:tblGrid>
      <w:tr w:rsidR="003D673C" w:rsidRPr="002836EB" w14:paraId="4BBA9BD3" w14:textId="77777777" w:rsidTr="00924EF2">
        <w:trPr>
          <w:cnfStyle w:val="100000000000" w:firstRow="1" w:lastRow="0" w:firstColumn="0" w:lastColumn="0" w:oddVBand="0" w:evenVBand="0" w:oddHBand="0" w:evenHBand="0" w:firstRowFirstColumn="0" w:firstRowLastColumn="0" w:lastRowFirstColumn="0" w:lastRowLastColumn="0"/>
          <w:trHeight w:val="182"/>
          <w:tblHeader/>
        </w:trPr>
        <w:tc>
          <w:tcPr>
            <w:tcW w:w="809" w:type="dxa"/>
            <w:shd w:val="clear" w:color="auto" w:fill="F2F2F2" w:themeFill="background1" w:themeFillShade="F2"/>
            <w:tcMar>
              <w:top w:w="57" w:type="dxa"/>
              <w:left w:w="57" w:type="dxa"/>
              <w:bottom w:w="57" w:type="dxa"/>
            </w:tcMar>
            <w:vAlign w:val="bottom"/>
          </w:tcPr>
          <w:p w14:paraId="0564DC7F" w14:textId="501C457F" w:rsidR="003D673C" w:rsidRPr="002836EB" w:rsidRDefault="003D673C" w:rsidP="007D7206">
            <w:pPr>
              <w:pStyle w:val="01Tableheaderrow"/>
              <w:rPr>
                <w:b/>
              </w:rPr>
            </w:pPr>
            <w:r w:rsidRPr="002836EB">
              <w:t>Item #</w:t>
            </w:r>
          </w:p>
        </w:tc>
        <w:tc>
          <w:tcPr>
            <w:tcW w:w="2730" w:type="dxa"/>
            <w:shd w:val="clear" w:color="auto" w:fill="F2F2F2" w:themeFill="background1" w:themeFillShade="F2"/>
            <w:tcMar>
              <w:top w:w="57" w:type="dxa"/>
              <w:left w:w="57" w:type="dxa"/>
              <w:bottom w:w="57" w:type="dxa"/>
            </w:tcMar>
            <w:vAlign w:val="bottom"/>
          </w:tcPr>
          <w:p w14:paraId="096B9A21" w14:textId="07AA3673" w:rsidR="003D673C" w:rsidRPr="002836EB" w:rsidRDefault="003D673C" w:rsidP="007D7206">
            <w:pPr>
              <w:pStyle w:val="01Tableheaderrow"/>
              <w:rPr>
                <w:b/>
              </w:rPr>
            </w:pPr>
            <w:r w:rsidRPr="002836EB">
              <w:t>Recommendation</w:t>
            </w:r>
            <w:r w:rsidR="006F0D75">
              <w:t xml:space="preserve"> / Rationale</w:t>
            </w:r>
          </w:p>
        </w:tc>
        <w:tc>
          <w:tcPr>
            <w:tcW w:w="851" w:type="dxa"/>
            <w:shd w:val="clear" w:color="auto" w:fill="F2F2F2" w:themeFill="background1" w:themeFillShade="F2"/>
            <w:tcMar>
              <w:top w:w="57" w:type="dxa"/>
              <w:left w:w="57" w:type="dxa"/>
              <w:bottom w:w="57" w:type="dxa"/>
            </w:tcMar>
            <w:vAlign w:val="bottom"/>
          </w:tcPr>
          <w:p w14:paraId="00049AFD" w14:textId="6F5048E0" w:rsidR="003D673C" w:rsidRPr="002836EB" w:rsidRDefault="003D673C" w:rsidP="007D7206">
            <w:pPr>
              <w:pStyle w:val="01Tableheaderrow"/>
              <w:rPr>
                <w:b/>
              </w:rPr>
            </w:pPr>
            <w:r w:rsidRPr="002836EB">
              <w:t>Page #</w:t>
            </w:r>
          </w:p>
        </w:tc>
      </w:tr>
      <w:tr w:rsidR="00C03482" w:rsidRPr="002836EB" w14:paraId="5E532649" w14:textId="77777777" w:rsidTr="00924EF2">
        <w:tc>
          <w:tcPr>
            <w:tcW w:w="809" w:type="dxa"/>
            <w:tcMar>
              <w:top w:w="57" w:type="dxa"/>
              <w:left w:w="57" w:type="dxa"/>
              <w:bottom w:w="57" w:type="dxa"/>
            </w:tcMar>
          </w:tcPr>
          <w:p w14:paraId="24E5B386" w14:textId="27CCAF85" w:rsidR="00C03482" w:rsidRPr="002836EB" w:rsidRDefault="00C03482" w:rsidP="00C03482">
            <w:pPr>
              <w:pStyle w:val="02Tabletext"/>
            </w:pPr>
            <w:r w:rsidRPr="002836EB">
              <w:t>13915</w:t>
            </w:r>
          </w:p>
        </w:tc>
        <w:tc>
          <w:tcPr>
            <w:tcW w:w="2730" w:type="dxa"/>
            <w:tcMar>
              <w:top w:w="57" w:type="dxa"/>
              <w:left w:w="57" w:type="dxa"/>
              <w:bottom w:w="57" w:type="dxa"/>
            </w:tcMar>
          </w:tcPr>
          <w:p w14:paraId="1B24DD8B" w14:textId="72763D42" w:rsidR="00C03482" w:rsidRPr="002836EB" w:rsidRDefault="00C03482" w:rsidP="00C03482">
            <w:pPr>
              <w:pStyle w:val="02Tabletext"/>
            </w:pPr>
            <w:r w:rsidRPr="002836EB">
              <w:t>Change</w:t>
            </w:r>
          </w:p>
        </w:tc>
        <w:tc>
          <w:tcPr>
            <w:tcW w:w="851" w:type="dxa"/>
            <w:tcMar>
              <w:top w:w="57" w:type="dxa"/>
              <w:left w:w="57" w:type="dxa"/>
              <w:bottom w:w="57" w:type="dxa"/>
            </w:tcMar>
          </w:tcPr>
          <w:p w14:paraId="7053EA5F" w14:textId="0C82BD44"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12A23012" w14:textId="77777777" w:rsidTr="00924EF2">
        <w:tc>
          <w:tcPr>
            <w:tcW w:w="809" w:type="dxa"/>
            <w:tcMar>
              <w:top w:w="57" w:type="dxa"/>
              <w:left w:w="57" w:type="dxa"/>
              <w:bottom w:w="57" w:type="dxa"/>
            </w:tcMar>
          </w:tcPr>
          <w:p w14:paraId="67219F82" w14:textId="3413C496" w:rsidR="00C03482" w:rsidRPr="002836EB" w:rsidRDefault="00C03482" w:rsidP="00C03482">
            <w:pPr>
              <w:pStyle w:val="02Tabletext"/>
            </w:pPr>
            <w:r w:rsidRPr="002836EB">
              <w:t>13918</w:t>
            </w:r>
          </w:p>
        </w:tc>
        <w:tc>
          <w:tcPr>
            <w:tcW w:w="2730" w:type="dxa"/>
            <w:tcMar>
              <w:top w:w="57" w:type="dxa"/>
              <w:left w:w="57" w:type="dxa"/>
              <w:bottom w:w="57" w:type="dxa"/>
            </w:tcMar>
          </w:tcPr>
          <w:p w14:paraId="0FF11FB6" w14:textId="2BF7DE54" w:rsidR="00C03482" w:rsidRPr="002836EB" w:rsidRDefault="00C03482" w:rsidP="00C03482">
            <w:pPr>
              <w:pStyle w:val="02Tabletext"/>
            </w:pPr>
            <w:r w:rsidRPr="002836EB">
              <w:t>Change</w:t>
            </w:r>
          </w:p>
        </w:tc>
        <w:tc>
          <w:tcPr>
            <w:tcW w:w="851" w:type="dxa"/>
            <w:tcMar>
              <w:top w:w="57" w:type="dxa"/>
              <w:left w:w="57" w:type="dxa"/>
              <w:bottom w:w="57" w:type="dxa"/>
            </w:tcMar>
          </w:tcPr>
          <w:p w14:paraId="305A48A8" w14:textId="36996AC9"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3508A19B" w14:textId="77777777" w:rsidTr="00924EF2">
        <w:tc>
          <w:tcPr>
            <w:tcW w:w="809" w:type="dxa"/>
            <w:tcMar>
              <w:top w:w="57" w:type="dxa"/>
              <w:left w:w="57" w:type="dxa"/>
              <w:bottom w:w="57" w:type="dxa"/>
            </w:tcMar>
          </w:tcPr>
          <w:p w14:paraId="731AF09D" w14:textId="756980D6" w:rsidR="00C03482" w:rsidRPr="002836EB" w:rsidRDefault="00C03482" w:rsidP="00C03482">
            <w:pPr>
              <w:pStyle w:val="02Tabletext"/>
              <w:rPr>
                <w:b/>
              </w:rPr>
            </w:pPr>
            <w:r w:rsidRPr="002836EB">
              <w:t>13921</w:t>
            </w:r>
          </w:p>
        </w:tc>
        <w:tc>
          <w:tcPr>
            <w:tcW w:w="2730" w:type="dxa"/>
            <w:tcMar>
              <w:top w:w="57" w:type="dxa"/>
              <w:left w:w="57" w:type="dxa"/>
              <w:bottom w:w="57" w:type="dxa"/>
            </w:tcMar>
          </w:tcPr>
          <w:p w14:paraId="6B8D9B36" w14:textId="5E50C2B1" w:rsidR="00C03482" w:rsidRPr="002836EB" w:rsidRDefault="00C03482" w:rsidP="00C03482">
            <w:pPr>
              <w:pStyle w:val="02Tabletext"/>
            </w:pPr>
            <w:r w:rsidRPr="002836EB">
              <w:t>Change</w:t>
            </w:r>
          </w:p>
        </w:tc>
        <w:tc>
          <w:tcPr>
            <w:tcW w:w="851" w:type="dxa"/>
            <w:tcMar>
              <w:top w:w="57" w:type="dxa"/>
              <w:left w:w="57" w:type="dxa"/>
              <w:bottom w:w="57" w:type="dxa"/>
            </w:tcMar>
          </w:tcPr>
          <w:p w14:paraId="32886147" w14:textId="0FF196E2"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1EF2DDDD" w14:textId="77777777" w:rsidTr="00924EF2">
        <w:tc>
          <w:tcPr>
            <w:tcW w:w="809" w:type="dxa"/>
            <w:tcMar>
              <w:top w:w="57" w:type="dxa"/>
              <w:left w:w="57" w:type="dxa"/>
              <w:bottom w:w="57" w:type="dxa"/>
            </w:tcMar>
          </w:tcPr>
          <w:p w14:paraId="272C95B8" w14:textId="6B80837B" w:rsidR="00C03482" w:rsidRPr="002836EB" w:rsidRDefault="00C03482" w:rsidP="00C03482">
            <w:pPr>
              <w:pStyle w:val="02Tabletext"/>
              <w:rPr>
                <w:b/>
              </w:rPr>
            </w:pPr>
            <w:r w:rsidRPr="002836EB">
              <w:t>13924</w:t>
            </w:r>
          </w:p>
        </w:tc>
        <w:tc>
          <w:tcPr>
            <w:tcW w:w="2730" w:type="dxa"/>
            <w:tcMar>
              <w:top w:w="57" w:type="dxa"/>
              <w:left w:w="57" w:type="dxa"/>
              <w:bottom w:w="57" w:type="dxa"/>
            </w:tcMar>
          </w:tcPr>
          <w:p w14:paraId="74788896" w14:textId="3E0B48AD" w:rsidR="00C03482" w:rsidRPr="002836EB" w:rsidRDefault="00C03482" w:rsidP="00C03482">
            <w:pPr>
              <w:pStyle w:val="02Tabletext"/>
            </w:pPr>
            <w:r w:rsidRPr="002836EB">
              <w:t>Change</w:t>
            </w:r>
          </w:p>
        </w:tc>
        <w:tc>
          <w:tcPr>
            <w:tcW w:w="851" w:type="dxa"/>
            <w:tcMar>
              <w:top w:w="57" w:type="dxa"/>
              <w:left w:w="57" w:type="dxa"/>
              <w:bottom w:w="57" w:type="dxa"/>
            </w:tcMar>
          </w:tcPr>
          <w:p w14:paraId="4F1CCD0A" w14:textId="32C3671D"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6A60B291" w14:textId="77777777" w:rsidTr="00924EF2">
        <w:tc>
          <w:tcPr>
            <w:tcW w:w="809" w:type="dxa"/>
            <w:tcMar>
              <w:top w:w="57" w:type="dxa"/>
              <w:left w:w="57" w:type="dxa"/>
              <w:bottom w:w="57" w:type="dxa"/>
            </w:tcMar>
          </w:tcPr>
          <w:p w14:paraId="663629F8" w14:textId="3C40FBB2" w:rsidR="00C03482" w:rsidRPr="002836EB" w:rsidRDefault="00C03482" w:rsidP="00C03482">
            <w:pPr>
              <w:pStyle w:val="02Tabletext"/>
              <w:rPr>
                <w:b/>
              </w:rPr>
            </w:pPr>
            <w:r w:rsidRPr="002836EB">
              <w:t>13927</w:t>
            </w:r>
          </w:p>
        </w:tc>
        <w:tc>
          <w:tcPr>
            <w:tcW w:w="2730" w:type="dxa"/>
            <w:tcMar>
              <w:top w:w="57" w:type="dxa"/>
              <w:left w:w="57" w:type="dxa"/>
              <w:bottom w:w="57" w:type="dxa"/>
            </w:tcMar>
          </w:tcPr>
          <w:p w14:paraId="46F50242" w14:textId="7EA45096" w:rsidR="00C03482" w:rsidRPr="002836EB" w:rsidRDefault="00C03482" w:rsidP="00C03482">
            <w:pPr>
              <w:pStyle w:val="02Tabletext"/>
            </w:pPr>
            <w:r w:rsidRPr="002836EB">
              <w:t>Change</w:t>
            </w:r>
          </w:p>
        </w:tc>
        <w:tc>
          <w:tcPr>
            <w:tcW w:w="851" w:type="dxa"/>
            <w:tcMar>
              <w:top w:w="57" w:type="dxa"/>
              <w:left w:w="57" w:type="dxa"/>
              <w:bottom w:w="57" w:type="dxa"/>
            </w:tcMar>
          </w:tcPr>
          <w:p w14:paraId="40647EC9" w14:textId="75401D6A"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1090ABCC" w14:textId="77777777" w:rsidTr="00924EF2">
        <w:tc>
          <w:tcPr>
            <w:tcW w:w="809" w:type="dxa"/>
            <w:tcMar>
              <w:top w:w="57" w:type="dxa"/>
              <w:left w:w="57" w:type="dxa"/>
              <w:bottom w:w="57" w:type="dxa"/>
            </w:tcMar>
          </w:tcPr>
          <w:p w14:paraId="1AAF64CE" w14:textId="2404B8CD" w:rsidR="00C03482" w:rsidRPr="002836EB" w:rsidRDefault="00C03482" w:rsidP="00C03482">
            <w:pPr>
              <w:pStyle w:val="02Tabletext"/>
              <w:rPr>
                <w:b/>
              </w:rPr>
            </w:pPr>
            <w:r w:rsidRPr="002836EB">
              <w:t>13930</w:t>
            </w:r>
          </w:p>
        </w:tc>
        <w:tc>
          <w:tcPr>
            <w:tcW w:w="2730" w:type="dxa"/>
            <w:tcMar>
              <w:top w:w="57" w:type="dxa"/>
              <w:left w:w="57" w:type="dxa"/>
              <w:bottom w:w="57" w:type="dxa"/>
            </w:tcMar>
          </w:tcPr>
          <w:p w14:paraId="55BAFD8A" w14:textId="28762935" w:rsidR="00C03482" w:rsidRPr="002836EB" w:rsidRDefault="00C03482" w:rsidP="00C03482">
            <w:pPr>
              <w:pStyle w:val="02Tabletext"/>
            </w:pPr>
            <w:r w:rsidRPr="002836EB">
              <w:t>Change</w:t>
            </w:r>
          </w:p>
        </w:tc>
        <w:tc>
          <w:tcPr>
            <w:tcW w:w="851" w:type="dxa"/>
            <w:tcMar>
              <w:top w:w="57" w:type="dxa"/>
              <w:left w:w="57" w:type="dxa"/>
              <w:bottom w:w="57" w:type="dxa"/>
            </w:tcMar>
          </w:tcPr>
          <w:p w14:paraId="019D74A6" w14:textId="45429ED4"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781DB41E" w14:textId="77777777" w:rsidTr="00924EF2">
        <w:tc>
          <w:tcPr>
            <w:tcW w:w="809" w:type="dxa"/>
            <w:tcMar>
              <w:top w:w="57" w:type="dxa"/>
              <w:left w:w="57" w:type="dxa"/>
              <w:bottom w:w="57" w:type="dxa"/>
            </w:tcMar>
          </w:tcPr>
          <w:p w14:paraId="191B5A06" w14:textId="643261D8" w:rsidR="00C03482" w:rsidRPr="002836EB" w:rsidRDefault="00C03482" w:rsidP="00C03482">
            <w:pPr>
              <w:pStyle w:val="02Tabletext"/>
              <w:rPr>
                <w:b/>
              </w:rPr>
            </w:pPr>
            <w:r w:rsidRPr="002836EB">
              <w:t>13933</w:t>
            </w:r>
          </w:p>
        </w:tc>
        <w:tc>
          <w:tcPr>
            <w:tcW w:w="2730" w:type="dxa"/>
            <w:tcMar>
              <w:top w:w="57" w:type="dxa"/>
              <w:left w:w="57" w:type="dxa"/>
              <w:bottom w:w="57" w:type="dxa"/>
            </w:tcMar>
          </w:tcPr>
          <w:p w14:paraId="49595DE6" w14:textId="1CC628AF" w:rsidR="00C03482" w:rsidRPr="002836EB" w:rsidRDefault="00C03482" w:rsidP="00C03482">
            <w:pPr>
              <w:pStyle w:val="02Tabletext"/>
              <w:rPr>
                <w:shd w:val="clear" w:color="auto" w:fill="FFFFFF"/>
              </w:rPr>
            </w:pPr>
            <w:r w:rsidRPr="002836EB">
              <w:t>Change</w:t>
            </w:r>
          </w:p>
        </w:tc>
        <w:tc>
          <w:tcPr>
            <w:tcW w:w="851" w:type="dxa"/>
            <w:tcMar>
              <w:top w:w="57" w:type="dxa"/>
              <w:left w:w="57" w:type="dxa"/>
              <w:bottom w:w="57" w:type="dxa"/>
            </w:tcMar>
          </w:tcPr>
          <w:p w14:paraId="04742E37" w14:textId="0B3E3D92" w:rsidR="00C03482" w:rsidRPr="002836EB" w:rsidRDefault="00C03482" w:rsidP="00C03482">
            <w:pPr>
              <w:pStyle w:val="02Tabletext"/>
              <w:rPr>
                <w:shd w:val="clear" w:color="auto" w:fill="FFFFFF"/>
              </w:rPr>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0E7EAF79" w14:textId="77777777" w:rsidTr="00924EF2">
        <w:tc>
          <w:tcPr>
            <w:tcW w:w="809" w:type="dxa"/>
            <w:tcMar>
              <w:top w:w="57" w:type="dxa"/>
              <w:left w:w="57" w:type="dxa"/>
              <w:bottom w:w="57" w:type="dxa"/>
            </w:tcMar>
          </w:tcPr>
          <w:p w14:paraId="2693CF52" w14:textId="7BE07F58" w:rsidR="00C03482" w:rsidRPr="002836EB" w:rsidRDefault="00C03482" w:rsidP="00C03482">
            <w:pPr>
              <w:pStyle w:val="02Tabletext"/>
            </w:pPr>
            <w:r w:rsidRPr="002836EB">
              <w:t>13936</w:t>
            </w:r>
          </w:p>
        </w:tc>
        <w:tc>
          <w:tcPr>
            <w:tcW w:w="2730" w:type="dxa"/>
            <w:tcMar>
              <w:top w:w="57" w:type="dxa"/>
              <w:left w:w="57" w:type="dxa"/>
              <w:bottom w:w="57" w:type="dxa"/>
            </w:tcMar>
          </w:tcPr>
          <w:p w14:paraId="0F855056" w14:textId="7C0813AC" w:rsidR="00C03482" w:rsidRPr="002836EB" w:rsidRDefault="00C03482" w:rsidP="00C03482">
            <w:pPr>
              <w:pStyle w:val="02Tabletext"/>
            </w:pPr>
            <w:r w:rsidRPr="002836EB">
              <w:t>Change</w:t>
            </w:r>
          </w:p>
        </w:tc>
        <w:tc>
          <w:tcPr>
            <w:tcW w:w="851" w:type="dxa"/>
            <w:tcMar>
              <w:top w:w="57" w:type="dxa"/>
              <w:left w:w="57" w:type="dxa"/>
              <w:bottom w:w="57" w:type="dxa"/>
            </w:tcMar>
          </w:tcPr>
          <w:p w14:paraId="0867BB07" w14:textId="640211F1"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711140FE" w14:textId="77777777" w:rsidTr="00924EF2">
        <w:tc>
          <w:tcPr>
            <w:tcW w:w="809" w:type="dxa"/>
            <w:tcMar>
              <w:top w:w="57" w:type="dxa"/>
              <w:left w:w="57" w:type="dxa"/>
              <w:bottom w:w="57" w:type="dxa"/>
            </w:tcMar>
          </w:tcPr>
          <w:p w14:paraId="2D1E63B7" w14:textId="6E82580A" w:rsidR="00C03482" w:rsidRPr="002836EB" w:rsidRDefault="00C03482" w:rsidP="00C03482">
            <w:pPr>
              <w:pStyle w:val="02Tabletext"/>
            </w:pPr>
            <w:r w:rsidRPr="002836EB">
              <w:t>13939</w:t>
            </w:r>
          </w:p>
        </w:tc>
        <w:tc>
          <w:tcPr>
            <w:tcW w:w="2730" w:type="dxa"/>
            <w:tcMar>
              <w:top w:w="57" w:type="dxa"/>
              <w:left w:w="57" w:type="dxa"/>
              <w:bottom w:w="57" w:type="dxa"/>
            </w:tcMar>
          </w:tcPr>
          <w:p w14:paraId="01E42426" w14:textId="40917894" w:rsidR="00C03482" w:rsidRPr="002836EB" w:rsidRDefault="00C03482" w:rsidP="00C03482">
            <w:pPr>
              <w:pStyle w:val="02Tabletext"/>
            </w:pPr>
            <w:r w:rsidRPr="002836EB">
              <w:t>Change</w:t>
            </w:r>
          </w:p>
        </w:tc>
        <w:tc>
          <w:tcPr>
            <w:tcW w:w="851" w:type="dxa"/>
            <w:tcMar>
              <w:top w:w="57" w:type="dxa"/>
              <w:left w:w="57" w:type="dxa"/>
              <w:bottom w:w="57" w:type="dxa"/>
            </w:tcMar>
          </w:tcPr>
          <w:p w14:paraId="284B6FEB" w14:textId="7C7F5934"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C03482" w:rsidRPr="002836EB" w14:paraId="5818097F" w14:textId="77777777" w:rsidTr="00924EF2">
        <w:tc>
          <w:tcPr>
            <w:tcW w:w="809" w:type="dxa"/>
            <w:tcMar>
              <w:top w:w="57" w:type="dxa"/>
              <w:left w:w="57" w:type="dxa"/>
              <w:bottom w:w="57" w:type="dxa"/>
            </w:tcMar>
          </w:tcPr>
          <w:p w14:paraId="3DF75113" w14:textId="19786841" w:rsidR="00C03482" w:rsidRPr="002836EB" w:rsidRDefault="00C03482" w:rsidP="00C03482">
            <w:pPr>
              <w:pStyle w:val="02Tabletext"/>
            </w:pPr>
            <w:r w:rsidRPr="002836EB">
              <w:t>13942</w:t>
            </w:r>
          </w:p>
        </w:tc>
        <w:tc>
          <w:tcPr>
            <w:tcW w:w="2730" w:type="dxa"/>
            <w:tcMar>
              <w:top w:w="57" w:type="dxa"/>
              <w:left w:w="57" w:type="dxa"/>
              <w:bottom w:w="57" w:type="dxa"/>
            </w:tcMar>
          </w:tcPr>
          <w:p w14:paraId="53EE2908" w14:textId="4A776651" w:rsidR="00C03482" w:rsidRPr="002836EB" w:rsidRDefault="00C03482" w:rsidP="00C03482">
            <w:pPr>
              <w:pStyle w:val="02Tabletext"/>
            </w:pPr>
            <w:r w:rsidRPr="002836EB">
              <w:t>Change</w:t>
            </w:r>
          </w:p>
        </w:tc>
        <w:tc>
          <w:tcPr>
            <w:tcW w:w="851" w:type="dxa"/>
            <w:tcMar>
              <w:top w:w="57" w:type="dxa"/>
              <w:left w:w="57" w:type="dxa"/>
              <w:bottom w:w="57" w:type="dxa"/>
            </w:tcMar>
          </w:tcPr>
          <w:p w14:paraId="72A8FDA8" w14:textId="31A05F6B" w:rsidR="00C03482" w:rsidRPr="002836EB" w:rsidRDefault="00C03482" w:rsidP="00C03482">
            <w:pPr>
              <w:pStyle w:val="02Tabletext"/>
            </w:pPr>
            <w:r w:rsidRPr="00EF02E2">
              <w:fldChar w:fldCharType="begin"/>
            </w:r>
            <w:r w:rsidRPr="00EF02E2">
              <w:instrText xml:space="preserve"> PAGEREF _Ref463918844 \h </w:instrText>
            </w:r>
            <w:r w:rsidRPr="00EF02E2">
              <w:fldChar w:fldCharType="separate"/>
            </w:r>
            <w:r w:rsidR="003274EF">
              <w:rPr>
                <w:noProof/>
              </w:rPr>
              <w:t>21</w:t>
            </w:r>
            <w:r w:rsidRPr="00EF02E2">
              <w:fldChar w:fldCharType="end"/>
            </w:r>
            <w:r w:rsidRPr="00EF02E2">
              <w:t xml:space="preserve"> - </w:t>
            </w:r>
            <w:r w:rsidRPr="00EF02E2">
              <w:fldChar w:fldCharType="begin"/>
            </w:r>
            <w:r w:rsidRPr="00EF02E2">
              <w:instrText xml:space="preserve"> PAGEREF _Ref464490164 \h </w:instrText>
            </w:r>
            <w:r w:rsidRPr="00EF02E2">
              <w:fldChar w:fldCharType="separate"/>
            </w:r>
            <w:r w:rsidR="003274EF">
              <w:rPr>
                <w:noProof/>
              </w:rPr>
              <w:t>27</w:t>
            </w:r>
            <w:r w:rsidRPr="00EF02E2">
              <w:fldChar w:fldCharType="end"/>
            </w:r>
          </w:p>
        </w:tc>
      </w:tr>
      <w:tr w:rsidR="00E55615" w:rsidRPr="002836EB" w14:paraId="5EEDE527" w14:textId="77777777" w:rsidTr="00924EF2">
        <w:tc>
          <w:tcPr>
            <w:tcW w:w="809" w:type="dxa"/>
            <w:tcMar>
              <w:top w:w="57" w:type="dxa"/>
              <w:left w:w="57" w:type="dxa"/>
              <w:bottom w:w="57" w:type="dxa"/>
            </w:tcMar>
          </w:tcPr>
          <w:p w14:paraId="2D312388" w14:textId="3B443964" w:rsidR="00E55615" w:rsidRPr="002836EB" w:rsidRDefault="00E55615" w:rsidP="00E55615">
            <w:pPr>
              <w:pStyle w:val="02Tabletext"/>
            </w:pPr>
            <w:r w:rsidRPr="002836EB">
              <w:t>13945</w:t>
            </w:r>
          </w:p>
        </w:tc>
        <w:tc>
          <w:tcPr>
            <w:tcW w:w="2730" w:type="dxa"/>
            <w:tcMar>
              <w:top w:w="57" w:type="dxa"/>
              <w:left w:w="57" w:type="dxa"/>
              <w:bottom w:w="57" w:type="dxa"/>
            </w:tcMar>
          </w:tcPr>
          <w:p w14:paraId="512CDC71" w14:textId="2EF52DDC" w:rsidR="00E55615" w:rsidRPr="002836EB" w:rsidRDefault="00E55615" w:rsidP="00E55615">
            <w:pPr>
              <w:pStyle w:val="02Tabletext"/>
              <w:rPr>
                <w:shd w:val="clear" w:color="auto" w:fill="FFFFFF"/>
              </w:rPr>
            </w:pPr>
            <w:r w:rsidRPr="002836EB">
              <w:t>Delete</w:t>
            </w:r>
          </w:p>
        </w:tc>
        <w:tc>
          <w:tcPr>
            <w:tcW w:w="851" w:type="dxa"/>
            <w:tcMar>
              <w:top w:w="57" w:type="dxa"/>
              <w:left w:w="57" w:type="dxa"/>
              <w:bottom w:w="57" w:type="dxa"/>
            </w:tcMar>
          </w:tcPr>
          <w:p w14:paraId="4111B231" w14:textId="53BCF0A6" w:rsidR="00E55615" w:rsidRPr="002836EB" w:rsidRDefault="00E55615" w:rsidP="00E55615">
            <w:pPr>
              <w:pStyle w:val="02Tabletext"/>
              <w:rPr>
                <w:shd w:val="clear" w:color="auto" w:fill="FFFFFF"/>
              </w:rPr>
            </w:pPr>
            <w:r w:rsidRPr="002836EB">
              <w:fldChar w:fldCharType="begin"/>
            </w:r>
            <w:r w:rsidRPr="002836EB">
              <w:rPr>
                <w:shd w:val="clear" w:color="auto" w:fill="FFFFFF"/>
              </w:rPr>
              <w:instrText xml:space="preserve"> PAGEREF _Ref464490164 \h </w:instrText>
            </w:r>
            <w:r w:rsidRPr="002836EB">
              <w:fldChar w:fldCharType="separate"/>
            </w:r>
            <w:r w:rsidR="003274EF">
              <w:rPr>
                <w:noProof/>
                <w:shd w:val="clear" w:color="auto" w:fill="FFFFFF"/>
              </w:rPr>
              <w:t>27</w:t>
            </w:r>
            <w:r w:rsidRPr="002836EB">
              <w:fldChar w:fldCharType="end"/>
            </w:r>
            <w:r w:rsidR="00212514">
              <w:t xml:space="preserve"> - </w:t>
            </w:r>
            <w:r w:rsidR="00212514">
              <w:fldChar w:fldCharType="begin"/>
            </w:r>
            <w:r w:rsidR="00212514">
              <w:instrText xml:space="preserve"> PAGEREF _Ref474879774 \h </w:instrText>
            </w:r>
            <w:r w:rsidR="00212514">
              <w:fldChar w:fldCharType="separate"/>
            </w:r>
            <w:r w:rsidR="003274EF">
              <w:rPr>
                <w:noProof/>
              </w:rPr>
              <w:t>29</w:t>
            </w:r>
            <w:r w:rsidR="00212514">
              <w:fldChar w:fldCharType="end"/>
            </w:r>
          </w:p>
        </w:tc>
      </w:tr>
      <w:tr w:rsidR="00E55615" w:rsidRPr="002836EB" w14:paraId="442E7373" w14:textId="77777777" w:rsidTr="00924EF2">
        <w:tc>
          <w:tcPr>
            <w:tcW w:w="809" w:type="dxa"/>
            <w:tcMar>
              <w:top w:w="57" w:type="dxa"/>
              <w:left w:w="57" w:type="dxa"/>
              <w:bottom w:w="57" w:type="dxa"/>
            </w:tcMar>
          </w:tcPr>
          <w:p w14:paraId="677D03D3" w14:textId="435A7883" w:rsidR="00E55615" w:rsidRPr="002836EB" w:rsidRDefault="00E55615" w:rsidP="00E55615">
            <w:pPr>
              <w:pStyle w:val="02Tabletext"/>
            </w:pPr>
            <w:r w:rsidRPr="002836EB">
              <w:t>13948</w:t>
            </w:r>
          </w:p>
        </w:tc>
        <w:tc>
          <w:tcPr>
            <w:tcW w:w="2730" w:type="dxa"/>
            <w:tcMar>
              <w:top w:w="57" w:type="dxa"/>
              <w:left w:w="57" w:type="dxa"/>
              <w:bottom w:w="57" w:type="dxa"/>
            </w:tcMar>
          </w:tcPr>
          <w:p w14:paraId="42089CC1" w14:textId="07320E3C" w:rsidR="00E55615" w:rsidRPr="002836EB" w:rsidRDefault="00E55615" w:rsidP="00E55615">
            <w:pPr>
              <w:pStyle w:val="02Tabletext"/>
            </w:pPr>
            <w:r w:rsidRPr="002836EB">
              <w:t>Change</w:t>
            </w:r>
          </w:p>
        </w:tc>
        <w:tc>
          <w:tcPr>
            <w:tcW w:w="851" w:type="dxa"/>
            <w:tcMar>
              <w:top w:w="57" w:type="dxa"/>
              <w:left w:w="57" w:type="dxa"/>
              <w:bottom w:w="57" w:type="dxa"/>
            </w:tcMar>
          </w:tcPr>
          <w:p w14:paraId="5F726F8E" w14:textId="1F254D38" w:rsidR="00E55615" w:rsidRPr="002836EB" w:rsidRDefault="00C03482" w:rsidP="00E55615">
            <w:pPr>
              <w:pStyle w:val="02Tabletext"/>
            </w:pPr>
            <w:r w:rsidRPr="002836EB">
              <w:fldChar w:fldCharType="begin"/>
            </w:r>
            <w:r w:rsidRPr="002836EB">
              <w:instrText xml:space="preserve"> PAGEREF _Ref463918844 \h </w:instrText>
            </w:r>
            <w:r w:rsidRPr="002836EB">
              <w:fldChar w:fldCharType="separate"/>
            </w:r>
            <w:r w:rsidR="003274EF">
              <w:rPr>
                <w:noProof/>
              </w:rPr>
              <w:t>21</w:t>
            </w:r>
            <w:r w:rsidRPr="002836EB">
              <w:fldChar w:fldCharType="end"/>
            </w:r>
            <w:r>
              <w:t xml:space="preserve"> - </w:t>
            </w:r>
            <w:r>
              <w:fldChar w:fldCharType="begin"/>
            </w:r>
            <w:r>
              <w:instrText xml:space="preserve"> PAGEREF _Ref464490164 \h </w:instrText>
            </w:r>
            <w:r>
              <w:fldChar w:fldCharType="separate"/>
            </w:r>
            <w:r w:rsidR="003274EF">
              <w:rPr>
                <w:noProof/>
              </w:rPr>
              <w:t>27</w:t>
            </w:r>
            <w:r>
              <w:fldChar w:fldCharType="end"/>
            </w:r>
          </w:p>
        </w:tc>
      </w:tr>
      <w:tr w:rsidR="00293B69" w:rsidRPr="002836EB" w14:paraId="71AB499A" w14:textId="77777777" w:rsidTr="00924EF2">
        <w:tc>
          <w:tcPr>
            <w:tcW w:w="809" w:type="dxa"/>
            <w:tcMar>
              <w:top w:w="57" w:type="dxa"/>
              <w:left w:w="57" w:type="dxa"/>
              <w:bottom w:w="57" w:type="dxa"/>
            </w:tcMar>
          </w:tcPr>
          <w:p w14:paraId="3BC26422" w14:textId="7A4291DB" w:rsidR="00293B69" w:rsidRPr="002836EB" w:rsidRDefault="00293B69" w:rsidP="00293B69">
            <w:pPr>
              <w:pStyle w:val="02Tabletext"/>
              <w:rPr>
                <w:b/>
              </w:rPr>
            </w:pPr>
            <w:r w:rsidRPr="002836EB">
              <w:t>15000</w:t>
            </w:r>
          </w:p>
        </w:tc>
        <w:tc>
          <w:tcPr>
            <w:tcW w:w="2730" w:type="dxa"/>
            <w:tcMar>
              <w:top w:w="57" w:type="dxa"/>
              <w:left w:w="57" w:type="dxa"/>
              <w:bottom w:w="57" w:type="dxa"/>
            </w:tcMar>
          </w:tcPr>
          <w:p w14:paraId="2B8834E2" w14:textId="1D38D910" w:rsidR="00293B69" w:rsidRPr="002836EB" w:rsidRDefault="00293B69" w:rsidP="00293B69">
            <w:pPr>
              <w:pStyle w:val="02Tabletext"/>
            </w:pPr>
            <w:r w:rsidRPr="002836EB">
              <w:t>Change</w:t>
            </w:r>
          </w:p>
        </w:tc>
        <w:tc>
          <w:tcPr>
            <w:tcW w:w="851" w:type="dxa"/>
            <w:tcMar>
              <w:top w:w="57" w:type="dxa"/>
              <w:left w:w="57" w:type="dxa"/>
              <w:bottom w:w="57" w:type="dxa"/>
            </w:tcMar>
          </w:tcPr>
          <w:p w14:paraId="23619559" w14:textId="2C62FCCB" w:rsidR="00293B69" w:rsidRPr="002836EB" w:rsidRDefault="00050417" w:rsidP="006E59D8">
            <w:pPr>
              <w:pStyle w:val="02Tabletext"/>
            </w:pPr>
            <w:r w:rsidRPr="002836EB">
              <w:fldChar w:fldCharType="begin"/>
            </w:r>
            <w:r w:rsidRPr="002836EB">
              <w:instrText xml:space="preserve"> PAGEREF _Ref464501739 \h </w:instrText>
            </w:r>
            <w:r w:rsidRPr="002836EB">
              <w:fldChar w:fldCharType="separate"/>
            </w:r>
            <w:r w:rsidR="003274EF">
              <w:rPr>
                <w:noProof/>
              </w:rPr>
              <w:t>57</w:t>
            </w:r>
            <w:r w:rsidRPr="002836EB">
              <w:fldChar w:fldCharType="end"/>
            </w:r>
            <w:r w:rsidR="00212514">
              <w:t xml:space="preserve"> - </w:t>
            </w:r>
            <w:r w:rsidR="00045A9D">
              <w:fldChar w:fldCharType="begin"/>
            </w:r>
            <w:r w:rsidR="00045A9D">
              <w:instrText xml:space="preserve"> PAGEREF _Ref464501740 \h </w:instrText>
            </w:r>
            <w:r w:rsidR="00045A9D">
              <w:fldChar w:fldCharType="separate"/>
            </w:r>
            <w:r w:rsidR="003274EF">
              <w:rPr>
                <w:noProof/>
              </w:rPr>
              <w:t>60</w:t>
            </w:r>
            <w:r w:rsidR="00045A9D">
              <w:fldChar w:fldCharType="end"/>
            </w:r>
          </w:p>
        </w:tc>
      </w:tr>
      <w:tr w:rsidR="00045A9D" w:rsidRPr="002836EB" w14:paraId="072BB93F" w14:textId="77777777" w:rsidTr="00924EF2">
        <w:tc>
          <w:tcPr>
            <w:tcW w:w="809" w:type="dxa"/>
            <w:tcMar>
              <w:top w:w="57" w:type="dxa"/>
              <w:left w:w="57" w:type="dxa"/>
              <w:bottom w:w="57" w:type="dxa"/>
            </w:tcMar>
          </w:tcPr>
          <w:p w14:paraId="533383B8" w14:textId="66E288F3" w:rsidR="00045A9D" w:rsidRPr="002836EB" w:rsidRDefault="00045A9D" w:rsidP="00045A9D">
            <w:pPr>
              <w:pStyle w:val="02Tabletext"/>
              <w:rPr>
                <w:b/>
              </w:rPr>
            </w:pPr>
            <w:r w:rsidRPr="002836EB">
              <w:t>15003</w:t>
            </w:r>
          </w:p>
        </w:tc>
        <w:tc>
          <w:tcPr>
            <w:tcW w:w="2730" w:type="dxa"/>
            <w:tcMar>
              <w:top w:w="57" w:type="dxa"/>
              <w:left w:w="57" w:type="dxa"/>
              <w:bottom w:w="57" w:type="dxa"/>
            </w:tcMar>
          </w:tcPr>
          <w:p w14:paraId="7A50FD89" w14:textId="7EC5372E" w:rsidR="00045A9D" w:rsidRPr="002836EB" w:rsidRDefault="00045A9D" w:rsidP="00045A9D">
            <w:pPr>
              <w:pStyle w:val="02Tabletext"/>
              <w:rPr>
                <w:shd w:val="clear" w:color="auto" w:fill="FFFFFF"/>
              </w:rPr>
            </w:pPr>
            <w:r w:rsidRPr="002836EB">
              <w:t>Change</w:t>
            </w:r>
          </w:p>
        </w:tc>
        <w:tc>
          <w:tcPr>
            <w:tcW w:w="851" w:type="dxa"/>
            <w:tcMar>
              <w:top w:w="57" w:type="dxa"/>
              <w:left w:w="57" w:type="dxa"/>
              <w:bottom w:w="57" w:type="dxa"/>
            </w:tcMar>
          </w:tcPr>
          <w:p w14:paraId="101B6CDB" w14:textId="4180AAB6" w:rsidR="00045A9D" w:rsidRPr="002836EB" w:rsidRDefault="00045A9D" w:rsidP="00045A9D">
            <w:pPr>
              <w:pStyle w:val="02Tabletext"/>
              <w:rPr>
                <w:shd w:val="clear" w:color="auto" w:fill="FFFFFF"/>
              </w:rPr>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620007AB" w14:textId="77777777" w:rsidTr="00924EF2">
        <w:tc>
          <w:tcPr>
            <w:tcW w:w="809" w:type="dxa"/>
            <w:tcMar>
              <w:top w:w="57" w:type="dxa"/>
              <w:left w:w="57" w:type="dxa"/>
              <w:bottom w:w="57" w:type="dxa"/>
            </w:tcMar>
          </w:tcPr>
          <w:p w14:paraId="336E5564" w14:textId="1BACCA8A" w:rsidR="00045A9D" w:rsidRPr="002836EB" w:rsidRDefault="00045A9D" w:rsidP="00045A9D">
            <w:pPr>
              <w:pStyle w:val="02Tabletext"/>
              <w:rPr>
                <w:b/>
              </w:rPr>
            </w:pPr>
            <w:r w:rsidRPr="002836EB">
              <w:t>15006</w:t>
            </w:r>
          </w:p>
        </w:tc>
        <w:tc>
          <w:tcPr>
            <w:tcW w:w="2730" w:type="dxa"/>
            <w:tcMar>
              <w:top w:w="57" w:type="dxa"/>
              <w:left w:w="57" w:type="dxa"/>
              <w:bottom w:w="57" w:type="dxa"/>
            </w:tcMar>
          </w:tcPr>
          <w:p w14:paraId="2ACEBD50" w14:textId="0FEE8EC2" w:rsidR="00045A9D" w:rsidRPr="002836EB" w:rsidRDefault="00045A9D" w:rsidP="00045A9D">
            <w:pPr>
              <w:pStyle w:val="02Tabletext"/>
            </w:pPr>
            <w:r w:rsidRPr="002836EB">
              <w:t>Change</w:t>
            </w:r>
          </w:p>
        </w:tc>
        <w:tc>
          <w:tcPr>
            <w:tcW w:w="851" w:type="dxa"/>
            <w:tcMar>
              <w:top w:w="57" w:type="dxa"/>
              <w:left w:w="57" w:type="dxa"/>
              <w:bottom w:w="57" w:type="dxa"/>
            </w:tcMar>
          </w:tcPr>
          <w:p w14:paraId="584173B0" w14:textId="2E426D0C"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28D2681D" w14:textId="77777777" w:rsidTr="00924EF2">
        <w:tc>
          <w:tcPr>
            <w:tcW w:w="809" w:type="dxa"/>
            <w:tcMar>
              <w:top w:w="57" w:type="dxa"/>
              <w:left w:w="57" w:type="dxa"/>
              <w:bottom w:w="57" w:type="dxa"/>
            </w:tcMar>
          </w:tcPr>
          <w:p w14:paraId="36331811" w14:textId="4EE2D810" w:rsidR="00045A9D" w:rsidRPr="002836EB" w:rsidRDefault="00045A9D" w:rsidP="00045A9D">
            <w:pPr>
              <w:pStyle w:val="02Tabletext"/>
              <w:rPr>
                <w:b/>
              </w:rPr>
            </w:pPr>
            <w:r w:rsidRPr="002836EB">
              <w:t>15009</w:t>
            </w:r>
          </w:p>
        </w:tc>
        <w:tc>
          <w:tcPr>
            <w:tcW w:w="2730" w:type="dxa"/>
            <w:tcMar>
              <w:top w:w="57" w:type="dxa"/>
              <w:left w:w="57" w:type="dxa"/>
              <w:bottom w:w="57" w:type="dxa"/>
            </w:tcMar>
          </w:tcPr>
          <w:p w14:paraId="612F220F" w14:textId="3E6680D5" w:rsidR="00045A9D" w:rsidRPr="002836EB" w:rsidRDefault="00045A9D" w:rsidP="00045A9D">
            <w:pPr>
              <w:pStyle w:val="02Tabletext"/>
            </w:pPr>
            <w:r w:rsidRPr="002836EB">
              <w:t>Change</w:t>
            </w:r>
          </w:p>
        </w:tc>
        <w:tc>
          <w:tcPr>
            <w:tcW w:w="851" w:type="dxa"/>
            <w:tcMar>
              <w:top w:w="57" w:type="dxa"/>
              <w:left w:w="57" w:type="dxa"/>
              <w:bottom w:w="57" w:type="dxa"/>
            </w:tcMar>
          </w:tcPr>
          <w:p w14:paraId="683A8A24" w14:textId="4C4F4037"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3044BEFA" w14:textId="77777777" w:rsidTr="00924EF2">
        <w:tc>
          <w:tcPr>
            <w:tcW w:w="809" w:type="dxa"/>
            <w:tcMar>
              <w:top w:w="57" w:type="dxa"/>
              <w:left w:w="57" w:type="dxa"/>
              <w:bottom w:w="57" w:type="dxa"/>
            </w:tcMar>
          </w:tcPr>
          <w:p w14:paraId="2AF0DCA1" w14:textId="6F87C609" w:rsidR="00045A9D" w:rsidRPr="002836EB" w:rsidRDefault="00045A9D" w:rsidP="00045A9D">
            <w:pPr>
              <w:pStyle w:val="02Tabletext"/>
              <w:rPr>
                <w:b/>
              </w:rPr>
            </w:pPr>
            <w:r w:rsidRPr="002836EB">
              <w:t>15012</w:t>
            </w:r>
          </w:p>
        </w:tc>
        <w:tc>
          <w:tcPr>
            <w:tcW w:w="2730" w:type="dxa"/>
            <w:tcMar>
              <w:top w:w="57" w:type="dxa"/>
              <w:left w:w="57" w:type="dxa"/>
              <w:bottom w:w="57" w:type="dxa"/>
            </w:tcMar>
          </w:tcPr>
          <w:p w14:paraId="754CD9E3" w14:textId="49DF0F09" w:rsidR="00045A9D" w:rsidRPr="002836EB" w:rsidRDefault="00045A9D" w:rsidP="00045A9D">
            <w:pPr>
              <w:pStyle w:val="02Tabletext"/>
            </w:pPr>
            <w:r w:rsidRPr="002836EB">
              <w:t>Change</w:t>
            </w:r>
          </w:p>
        </w:tc>
        <w:tc>
          <w:tcPr>
            <w:tcW w:w="851" w:type="dxa"/>
            <w:tcMar>
              <w:top w:w="57" w:type="dxa"/>
              <w:left w:w="57" w:type="dxa"/>
              <w:bottom w:w="57" w:type="dxa"/>
            </w:tcMar>
          </w:tcPr>
          <w:p w14:paraId="204FCBA8" w14:textId="3E3A9629"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65A92CCF" w14:textId="77777777" w:rsidTr="00924EF2">
        <w:tc>
          <w:tcPr>
            <w:tcW w:w="809" w:type="dxa"/>
            <w:tcMar>
              <w:top w:w="57" w:type="dxa"/>
              <w:left w:w="57" w:type="dxa"/>
              <w:bottom w:w="57" w:type="dxa"/>
            </w:tcMar>
          </w:tcPr>
          <w:p w14:paraId="585F5995" w14:textId="46C53A82" w:rsidR="00045A9D" w:rsidRPr="002836EB" w:rsidRDefault="00045A9D" w:rsidP="00045A9D">
            <w:pPr>
              <w:pStyle w:val="02Tabletext"/>
            </w:pPr>
            <w:r w:rsidRPr="002836EB">
              <w:t>15100</w:t>
            </w:r>
          </w:p>
        </w:tc>
        <w:tc>
          <w:tcPr>
            <w:tcW w:w="2730" w:type="dxa"/>
            <w:tcMar>
              <w:top w:w="57" w:type="dxa"/>
              <w:left w:w="57" w:type="dxa"/>
              <w:bottom w:w="57" w:type="dxa"/>
            </w:tcMar>
          </w:tcPr>
          <w:p w14:paraId="5CFC7E05" w14:textId="67FBE91F" w:rsidR="00045A9D" w:rsidRPr="002836EB" w:rsidRDefault="00045A9D" w:rsidP="00045A9D">
            <w:pPr>
              <w:pStyle w:val="02Tabletext"/>
            </w:pPr>
            <w:r w:rsidRPr="002836EB">
              <w:t>Change</w:t>
            </w:r>
          </w:p>
        </w:tc>
        <w:tc>
          <w:tcPr>
            <w:tcW w:w="851" w:type="dxa"/>
            <w:tcMar>
              <w:top w:w="57" w:type="dxa"/>
              <w:left w:w="57" w:type="dxa"/>
              <w:bottom w:w="57" w:type="dxa"/>
            </w:tcMar>
          </w:tcPr>
          <w:p w14:paraId="5D7B7E4D" w14:textId="4B1657BC"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5A63C845" w14:textId="77777777" w:rsidTr="00924EF2">
        <w:tc>
          <w:tcPr>
            <w:tcW w:w="809" w:type="dxa"/>
            <w:tcMar>
              <w:top w:w="57" w:type="dxa"/>
              <w:left w:w="57" w:type="dxa"/>
              <w:bottom w:w="57" w:type="dxa"/>
            </w:tcMar>
          </w:tcPr>
          <w:p w14:paraId="2628DD10" w14:textId="17627528" w:rsidR="00045A9D" w:rsidRPr="002836EB" w:rsidRDefault="00045A9D" w:rsidP="00045A9D">
            <w:pPr>
              <w:pStyle w:val="02Tabletext"/>
            </w:pPr>
            <w:r w:rsidRPr="002836EB">
              <w:t>15103</w:t>
            </w:r>
          </w:p>
        </w:tc>
        <w:tc>
          <w:tcPr>
            <w:tcW w:w="2730" w:type="dxa"/>
            <w:tcMar>
              <w:top w:w="57" w:type="dxa"/>
              <w:left w:w="57" w:type="dxa"/>
              <w:bottom w:w="57" w:type="dxa"/>
            </w:tcMar>
          </w:tcPr>
          <w:p w14:paraId="08B57CD1" w14:textId="01F1F5A7" w:rsidR="00045A9D" w:rsidRPr="002836EB" w:rsidRDefault="00045A9D" w:rsidP="00045A9D">
            <w:pPr>
              <w:pStyle w:val="02Tabletext"/>
            </w:pPr>
            <w:r w:rsidRPr="002836EB">
              <w:t>Change</w:t>
            </w:r>
          </w:p>
        </w:tc>
        <w:tc>
          <w:tcPr>
            <w:tcW w:w="851" w:type="dxa"/>
            <w:tcMar>
              <w:top w:w="57" w:type="dxa"/>
              <w:left w:w="57" w:type="dxa"/>
              <w:bottom w:w="57" w:type="dxa"/>
            </w:tcMar>
          </w:tcPr>
          <w:p w14:paraId="358214C6" w14:textId="6AB9B7DC"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20897827" w14:textId="77777777" w:rsidTr="00924EF2">
        <w:tc>
          <w:tcPr>
            <w:tcW w:w="809" w:type="dxa"/>
            <w:tcMar>
              <w:top w:w="57" w:type="dxa"/>
              <w:left w:w="57" w:type="dxa"/>
              <w:bottom w:w="57" w:type="dxa"/>
            </w:tcMar>
          </w:tcPr>
          <w:p w14:paraId="4106DED3" w14:textId="37353089" w:rsidR="00045A9D" w:rsidRPr="002836EB" w:rsidRDefault="00045A9D" w:rsidP="00045A9D">
            <w:pPr>
              <w:pStyle w:val="02Tabletext"/>
            </w:pPr>
            <w:r w:rsidRPr="002836EB">
              <w:t>15106</w:t>
            </w:r>
          </w:p>
        </w:tc>
        <w:tc>
          <w:tcPr>
            <w:tcW w:w="2730" w:type="dxa"/>
            <w:tcMar>
              <w:top w:w="57" w:type="dxa"/>
              <w:left w:w="57" w:type="dxa"/>
              <w:bottom w:w="57" w:type="dxa"/>
            </w:tcMar>
          </w:tcPr>
          <w:p w14:paraId="3F9F23BD" w14:textId="062341C6" w:rsidR="00045A9D" w:rsidRPr="002836EB" w:rsidRDefault="00045A9D" w:rsidP="00045A9D">
            <w:pPr>
              <w:pStyle w:val="02Tabletext"/>
              <w:rPr>
                <w:shd w:val="clear" w:color="auto" w:fill="FFFFFF"/>
              </w:rPr>
            </w:pPr>
            <w:r w:rsidRPr="002836EB">
              <w:t>Change</w:t>
            </w:r>
          </w:p>
        </w:tc>
        <w:tc>
          <w:tcPr>
            <w:tcW w:w="851" w:type="dxa"/>
            <w:tcMar>
              <w:top w:w="57" w:type="dxa"/>
              <w:left w:w="57" w:type="dxa"/>
              <w:bottom w:w="57" w:type="dxa"/>
            </w:tcMar>
          </w:tcPr>
          <w:p w14:paraId="572AD064" w14:textId="3CB758DC" w:rsidR="00045A9D" w:rsidRPr="002836EB" w:rsidRDefault="00045A9D" w:rsidP="00045A9D">
            <w:pPr>
              <w:pStyle w:val="02Tabletext"/>
              <w:rPr>
                <w:shd w:val="clear" w:color="auto" w:fill="FFFFFF"/>
              </w:rPr>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1245ED5E" w14:textId="77777777" w:rsidTr="00924EF2">
        <w:tc>
          <w:tcPr>
            <w:tcW w:w="809" w:type="dxa"/>
            <w:tcMar>
              <w:top w:w="57" w:type="dxa"/>
              <w:left w:w="57" w:type="dxa"/>
              <w:bottom w:w="57" w:type="dxa"/>
            </w:tcMar>
          </w:tcPr>
          <w:p w14:paraId="54D33241" w14:textId="0E93C9AB" w:rsidR="00045A9D" w:rsidRPr="002836EB" w:rsidRDefault="00045A9D" w:rsidP="00045A9D">
            <w:pPr>
              <w:pStyle w:val="02Tabletext"/>
            </w:pPr>
            <w:r w:rsidRPr="002836EB">
              <w:t>15109</w:t>
            </w:r>
          </w:p>
        </w:tc>
        <w:tc>
          <w:tcPr>
            <w:tcW w:w="2730" w:type="dxa"/>
            <w:tcMar>
              <w:top w:w="57" w:type="dxa"/>
              <w:left w:w="57" w:type="dxa"/>
              <w:bottom w:w="57" w:type="dxa"/>
            </w:tcMar>
          </w:tcPr>
          <w:p w14:paraId="453BC965" w14:textId="1B3D53D8" w:rsidR="00045A9D" w:rsidRPr="002836EB" w:rsidRDefault="00045A9D" w:rsidP="00045A9D">
            <w:pPr>
              <w:pStyle w:val="02Tabletext"/>
            </w:pPr>
            <w:r w:rsidRPr="002836EB">
              <w:t>Change</w:t>
            </w:r>
          </w:p>
        </w:tc>
        <w:tc>
          <w:tcPr>
            <w:tcW w:w="851" w:type="dxa"/>
            <w:tcMar>
              <w:top w:w="57" w:type="dxa"/>
              <w:left w:w="57" w:type="dxa"/>
              <w:bottom w:w="57" w:type="dxa"/>
            </w:tcMar>
          </w:tcPr>
          <w:p w14:paraId="21AA031B" w14:textId="78288ADA"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63B2BCF2" w14:textId="77777777" w:rsidTr="00924EF2">
        <w:tc>
          <w:tcPr>
            <w:tcW w:w="809" w:type="dxa"/>
            <w:tcMar>
              <w:top w:w="57" w:type="dxa"/>
              <w:left w:w="57" w:type="dxa"/>
              <w:bottom w:w="57" w:type="dxa"/>
            </w:tcMar>
          </w:tcPr>
          <w:p w14:paraId="1FAFD85C" w14:textId="56AC6D0D" w:rsidR="00045A9D" w:rsidRPr="002836EB" w:rsidRDefault="00045A9D" w:rsidP="00045A9D">
            <w:pPr>
              <w:pStyle w:val="02Tabletext"/>
            </w:pPr>
            <w:r w:rsidRPr="002836EB">
              <w:t>15112</w:t>
            </w:r>
          </w:p>
        </w:tc>
        <w:tc>
          <w:tcPr>
            <w:tcW w:w="2730" w:type="dxa"/>
            <w:tcMar>
              <w:top w:w="57" w:type="dxa"/>
              <w:left w:w="57" w:type="dxa"/>
              <w:bottom w:w="57" w:type="dxa"/>
            </w:tcMar>
          </w:tcPr>
          <w:p w14:paraId="380C1784" w14:textId="434C7906" w:rsidR="00045A9D" w:rsidRPr="002836EB" w:rsidRDefault="00045A9D" w:rsidP="00045A9D">
            <w:pPr>
              <w:pStyle w:val="02Tabletext"/>
            </w:pPr>
            <w:r w:rsidRPr="002836EB">
              <w:t>Change</w:t>
            </w:r>
          </w:p>
        </w:tc>
        <w:tc>
          <w:tcPr>
            <w:tcW w:w="851" w:type="dxa"/>
            <w:tcMar>
              <w:top w:w="57" w:type="dxa"/>
              <w:left w:w="57" w:type="dxa"/>
              <w:bottom w:w="57" w:type="dxa"/>
            </w:tcMar>
          </w:tcPr>
          <w:p w14:paraId="42EEF17A" w14:textId="7E7DCBC8"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045A9D" w:rsidRPr="002836EB" w14:paraId="7EE99A10" w14:textId="77777777" w:rsidTr="00924EF2">
        <w:tc>
          <w:tcPr>
            <w:tcW w:w="809" w:type="dxa"/>
            <w:tcMar>
              <w:top w:w="57" w:type="dxa"/>
              <w:left w:w="57" w:type="dxa"/>
              <w:bottom w:w="57" w:type="dxa"/>
            </w:tcMar>
          </w:tcPr>
          <w:p w14:paraId="5B0771C5" w14:textId="2FE073F3" w:rsidR="00045A9D" w:rsidRPr="002836EB" w:rsidRDefault="00045A9D" w:rsidP="00045A9D">
            <w:pPr>
              <w:pStyle w:val="02Tabletext"/>
              <w:rPr>
                <w:b/>
              </w:rPr>
            </w:pPr>
            <w:r w:rsidRPr="002836EB">
              <w:t>15115</w:t>
            </w:r>
          </w:p>
        </w:tc>
        <w:tc>
          <w:tcPr>
            <w:tcW w:w="2730" w:type="dxa"/>
            <w:tcMar>
              <w:top w:w="57" w:type="dxa"/>
              <w:left w:w="57" w:type="dxa"/>
              <w:bottom w:w="57" w:type="dxa"/>
            </w:tcMar>
          </w:tcPr>
          <w:p w14:paraId="47A474F2" w14:textId="0C653892" w:rsidR="00045A9D" w:rsidRPr="002836EB" w:rsidRDefault="00045A9D" w:rsidP="00045A9D">
            <w:pPr>
              <w:pStyle w:val="02Tabletext"/>
            </w:pPr>
            <w:r w:rsidRPr="002836EB">
              <w:t>Change</w:t>
            </w:r>
          </w:p>
        </w:tc>
        <w:tc>
          <w:tcPr>
            <w:tcW w:w="851" w:type="dxa"/>
            <w:tcMar>
              <w:top w:w="57" w:type="dxa"/>
              <w:left w:w="57" w:type="dxa"/>
              <w:bottom w:w="57" w:type="dxa"/>
            </w:tcMar>
          </w:tcPr>
          <w:p w14:paraId="0B2754B7" w14:textId="7C6BC50D" w:rsidR="00045A9D" w:rsidRPr="002836EB" w:rsidRDefault="00045A9D" w:rsidP="00045A9D">
            <w:pPr>
              <w:pStyle w:val="02Tabletext"/>
            </w:pPr>
            <w:r w:rsidRPr="00D32F3E">
              <w:fldChar w:fldCharType="begin"/>
            </w:r>
            <w:r w:rsidRPr="00D32F3E">
              <w:instrText xml:space="preserve"> PAGEREF _Ref464501739 \h </w:instrText>
            </w:r>
            <w:r w:rsidRPr="00D32F3E">
              <w:fldChar w:fldCharType="separate"/>
            </w:r>
            <w:r w:rsidR="003274EF">
              <w:rPr>
                <w:noProof/>
              </w:rPr>
              <w:t>57</w:t>
            </w:r>
            <w:r w:rsidRPr="00D32F3E">
              <w:fldChar w:fldCharType="end"/>
            </w:r>
            <w:r w:rsidRPr="00D32F3E">
              <w:t xml:space="preserve"> - </w:t>
            </w:r>
            <w:r w:rsidRPr="00D32F3E">
              <w:fldChar w:fldCharType="begin"/>
            </w:r>
            <w:r w:rsidRPr="00D32F3E">
              <w:instrText xml:space="preserve"> PAGEREF _Ref464501740 \h </w:instrText>
            </w:r>
            <w:r w:rsidRPr="00D32F3E">
              <w:fldChar w:fldCharType="separate"/>
            </w:r>
            <w:r w:rsidR="003274EF">
              <w:rPr>
                <w:noProof/>
              </w:rPr>
              <w:t>60</w:t>
            </w:r>
            <w:r w:rsidRPr="00D32F3E">
              <w:fldChar w:fldCharType="end"/>
            </w:r>
          </w:p>
        </w:tc>
      </w:tr>
      <w:tr w:rsidR="00293B69" w:rsidRPr="002836EB" w14:paraId="20C883CB" w14:textId="77777777" w:rsidTr="00924EF2">
        <w:tc>
          <w:tcPr>
            <w:tcW w:w="809" w:type="dxa"/>
            <w:tcMar>
              <w:top w:w="57" w:type="dxa"/>
              <w:left w:w="57" w:type="dxa"/>
              <w:bottom w:w="57" w:type="dxa"/>
            </w:tcMar>
          </w:tcPr>
          <w:p w14:paraId="62C850BF" w14:textId="50CCFE27" w:rsidR="00293B69" w:rsidRPr="002836EB" w:rsidRDefault="00293B69" w:rsidP="00293B69">
            <w:pPr>
              <w:pStyle w:val="02Tabletext"/>
              <w:rPr>
                <w:b/>
              </w:rPr>
            </w:pPr>
            <w:r w:rsidRPr="002836EB">
              <w:t>15211</w:t>
            </w:r>
          </w:p>
        </w:tc>
        <w:tc>
          <w:tcPr>
            <w:tcW w:w="2730" w:type="dxa"/>
            <w:tcMar>
              <w:top w:w="57" w:type="dxa"/>
              <w:left w:w="57" w:type="dxa"/>
              <w:bottom w:w="57" w:type="dxa"/>
            </w:tcMar>
          </w:tcPr>
          <w:p w14:paraId="39CE8FD2" w14:textId="42444CF7" w:rsidR="00293B69" w:rsidRPr="002836EB" w:rsidRDefault="00293B69" w:rsidP="00293B69">
            <w:pPr>
              <w:pStyle w:val="02Tabletext"/>
              <w:rPr>
                <w:shd w:val="clear" w:color="auto" w:fill="FFFFFF"/>
              </w:rPr>
            </w:pPr>
            <w:r w:rsidRPr="002836EB">
              <w:t>Delete</w:t>
            </w:r>
          </w:p>
        </w:tc>
        <w:tc>
          <w:tcPr>
            <w:tcW w:w="851" w:type="dxa"/>
            <w:tcMar>
              <w:top w:w="57" w:type="dxa"/>
              <w:left w:w="57" w:type="dxa"/>
              <w:bottom w:w="57" w:type="dxa"/>
            </w:tcMar>
          </w:tcPr>
          <w:p w14:paraId="44703C5D" w14:textId="66AD0459" w:rsidR="00293B69" w:rsidRPr="00285F3E" w:rsidRDefault="00A52F18" w:rsidP="00293B69">
            <w:pPr>
              <w:pStyle w:val="02Tabletext"/>
              <w:rPr>
                <w:shd w:val="clear" w:color="auto" w:fill="FFFFFF"/>
              </w:rPr>
            </w:pPr>
            <w:hyperlink w:anchor="_Cobalt_and_caesium" w:history="1">
              <w:r w:rsidR="00285F3E" w:rsidRPr="00285F3E">
                <w:rPr>
                  <w:rStyle w:val="Hyperlink"/>
                  <w:color w:val="000000" w:themeColor="text1"/>
                  <w:u w:val="none"/>
                </w:rPr>
                <w:t>72</w:t>
              </w:r>
            </w:hyperlink>
          </w:p>
        </w:tc>
      </w:tr>
      <w:tr w:rsidR="00293B69" w:rsidRPr="002836EB" w14:paraId="72C19C80" w14:textId="77777777" w:rsidTr="00924EF2">
        <w:tc>
          <w:tcPr>
            <w:tcW w:w="809" w:type="dxa"/>
            <w:tcMar>
              <w:top w:w="57" w:type="dxa"/>
              <w:left w:w="57" w:type="dxa"/>
              <w:bottom w:w="57" w:type="dxa"/>
            </w:tcMar>
          </w:tcPr>
          <w:p w14:paraId="4774CB94" w14:textId="633F05F1" w:rsidR="00293B69" w:rsidRPr="002836EB" w:rsidRDefault="00293B69" w:rsidP="00293B69">
            <w:pPr>
              <w:pStyle w:val="02Tabletext"/>
              <w:rPr>
                <w:b/>
              </w:rPr>
            </w:pPr>
            <w:r w:rsidRPr="002836EB">
              <w:t>15214</w:t>
            </w:r>
          </w:p>
        </w:tc>
        <w:tc>
          <w:tcPr>
            <w:tcW w:w="2730" w:type="dxa"/>
            <w:tcMar>
              <w:top w:w="57" w:type="dxa"/>
              <w:left w:w="57" w:type="dxa"/>
              <w:bottom w:w="57" w:type="dxa"/>
            </w:tcMar>
          </w:tcPr>
          <w:p w14:paraId="66B2B585" w14:textId="10219FFB" w:rsidR="00293B69" w:rsidRPr="002836EB" w:rsidRDefault="00293B69" w:rsidP="00293B69">
            <w:pPr>
              <w:pStyle w:val="02Tabletext"/>
            </w:pPr>
            <w:r w:rsidRPr="002836EB">
              <w:t>Delete</w:t>
            </w:r>
          </w:p>
        </w:tc>
        <w:tc>
          <w:tcPr>
            <w:tcW w:w="851" w:type="dxa"/>
            <w:tcMar>
              <w:top w:w="57" w:type="dxa"/>
              <w:left w:w="57" w:type="dxa"/>
              <w:bottom w:w="57" w:type="dxa"/>
            </w:tcMar>
          </w:tcPr>
          <w:p w14:paraId="70EA9777" w14:textId="66E839CF" w:rsidR="00293B69" w:rsidRPr="002836EB" w:rsidRDefault="00A52F18" w:rsidP="00293B69">
            <w:pPr>
              <w:pStyle w:val="02Tabletext"/>
            </w:pPr>
            <w:hyperlink w:anchor="_Cobalt_and_caesium" w:history="1">
              <w:r w:rsidR="00285F3E" w:rsidRPr="00285F3E">
                <w:rPr>
                  <w:rStyle w:val="Hyperlink"/>
                  <w:color w:val="000000" w:themeColor="text1"/>
                  <w:u w:val="none"/>
                </w:rPr>
                <w:t>72</w:t>
              </w:r>
            </w:hyperlink>
          </w:p>
        </w:tc>
      </w:tr>
      <w:tr w:rsidR="00045A9D" w:rsidRPr="002836EB" w14:paraId="7A44F442" w14:textId="77777777" w:rsidTr="00924EF2">
        <w:tc>
          <w:tcPr>
            <w:tcW w:w="809" w:type="dxa"/>
            <w:tcMar>
              <w:top w:w="57" w:type="dxa"/>
              <w:left w:w="57" w:type="dxa"/>
              <w:bottom w:w="57" w:type="dxa"/>
            </w:tcMar>
          </w:tcPr>
          <w:p w14:paraId="089DC67A" w14:textId="03D3DE59" w:rsidR="00045A9D" w:rsidRPr="002836EB" w:rsidRDefault="00045A9D" w:rsidP="00045A9D">
            <w:pPr>
              <w:pStyle w:val="02Tabletext"/>
              <w:rPr>
                <w:b/>
              </w:rPr>
            </w:pPr>
            <w:r w:rsidRPr="002836EB">
              <w:t>15215</w:t>
            </w:r>
          </w:p>
        </w:tc>
        <w:tc>
          <w:tcPr>
            <w:tcW w:w="2730" w:type="dxa"/>
            <w:tcMar>
              <w:top w:w="57" w:type="dxa"/>
              <w:left w:w="57" w:type="dxa"/>
              <w:bottom w:w="57" w:type="dxa"/>
            </w:tcMar>
          </w:tcPr>
          <w:p w14:paraId="27D3E00F" w14:textId="4221D26E" w:rsidR="00045A9D" w:rsidRPr="002836EB" w:rsidRDefault="00045A9D" w:rsidP="00045A9D">
            <w:pPr>
              <w:pStyle w:val="02Tabletext"/>
            </w:pPr>
            <w:r w:rsidRPr="002836EB">
              <w:t>Change</w:t>
            </w:r>
          </w:p>
        </w:tc>
        <w:tc>
          <w:tcPr>
            <w:tcW w:w="851" w:type="dxa"/>
            <w:tcMar>
              <w:top w:w="57" w:type="dxa"/>
              <w:left w:w="57" w:type="dxa"/>
              <w:bottom w:w="57" w:type="dxa"/>
            </w:tcMar>
          </w:tcPr>
          <w:p w14:paraId="06475999" w14:textId="7E3488E9" w:rsidR="00045A9D" w:rsidRPr="002836EB" w:rsidRDefault="00045A9D" w:rsidP="00285F3E">
            <w:pPr>
              <w:pStyle w:val="02Tabletext"/>
            </w:pPr>
            <w:r w:rsidRPr="00745530">
              <w:fldChar w:fldCharType="begin"/>
            </w:r>
            <w:r w:rsidRPr="00745530">
              <w:instrText xml:space="preserve"> PAGEREF _Ref464501738 \h </w:instrText>
            </w:r>
            <w:r w:rsidRPr="00745530">
              <w:fldChar w:fldCharType="separate"/>
            </w:r>
            <w:r w:rsidR="003274EF">
              <w:rPr>
                <w:noProof/>
              </w:rPr>
              <w:t>32</w:t>
            </w:r>
            <w:r w:rsidRPr="00745530">
              <w:fldChar w:fldCharType="end"/>
            </w:r>
            <w:r w:rsidRPr="00745530">
              <w:t xml:space="preserve"> - </w:t>
            </w:r>
            <w:r w:rsidRPr="00745530">
              <w:fldChar w:fldCharType="begin"/>
            </w:r>
            <w:r w:rsidRPr="00745530">
              <w:instrText xml:space="preserve"> PAGEREF _Ref464501740 \h </w:instrText>
            </w:r>
            <w:r w:rsidRPr="00745530">
              <w:fldChar w:fldCharType="separate"/>
            </w:r>
            <w:r w:rsidR="003274EF">
              <w:rPr>
                <w:noProof/>
              </w:rPr>
              <w:t>60</w:t>
            </w:r>
            <w:r w:rsidRPr="00745530">
              <w:fldChar w:fldCharType="end"/>
            </w:r>
          </w:p>
        </w:tc>
      </w:tr>
      <w:tr w:rsidR="00285F3E" w:rsidRPr="002836EB" w14:paraId="2079DCDF" w14:textId="77777777" w:rsidTr="00924EF2">
        <w:tc>
          <w:tcPr>
            <w:tcW w:w="809" w:type="dxa"/>
            <w:tcMar>
              <w:top w:w="57" w:type="dxa"/>
              <w:left w:w="57" w:type="dxa"/>
              <w:bottom w:w="57" w:type="dxa"/>
            </w:tcMar>
          </w:tcPr>
          <w:p w14:paraId="425B723A" w14:textId="7205B01B" w:rsidR="00285F3E" w:rsidRPr="002836EB" w:rsidRDefault="00285F3E" w:rsidP="00045A9D">
            <w:pPr>
              <w:pStyle w:val="02Tabletext"/>
              <w:rPr>
                <w:b/>
              </w:rPr>
            </w:pPr>
            <w:r w:rsidRPr="002836EB">
              <w:t>15218</w:t>
            </w:r>
          </w:p>
        </w:tc>
        <w:tc>
          <w:tcPr>
            <w:tcW w:w="2730" w:type="dxa"/>
            <w:tcMar>
              <w:top w:w="57" w:type="dxa"/>
              <w:left w:w="57" w:type="dxa"/>
              <w:bottom w:w="57" w:type="dxa"/>
            </w:tcMar>
          </w:tcPr>
          <w:p w14:paraId="4939E46D" w14:textId="62AD25C5" w:rsidR="00285F3E" w:rsidRPr="002836EB" w:rsidRDefault="00285F3E" w:rsidP="00045A9D">
            <w:pPr>
              <w:pStyle w:val="02Tabletext"/>
            </w:pPr>
            <w:r w:rsidRPr="002836EB">
              <w:t>Change</w:t>
            </w:r>
          </w:p>
        </w:tc>
        <w:tc>
          <w:tcPr>
            <w:tcW w:w="851" w:type="dxa"/>
            <w:tcMar>
              <w:top w:w="57" w:type="dxa"/>
              <w:left w:w="57" w:type="dxa"/>
              <w:bottom w:w="57" w:type="dxa"/>
            </w:tcMar>
          </w:tcPr>
          <w:p w14:paraId="4CFCFCC5" w14:textId="71EAC18F"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0CB400F8" w14:textId="77777777" w:rsidTr="00924EF2">
        <w:tc>
          <w:tcPr>
            <w:tcW w:w="809" w:type="dxa"/>
            <w:tcMar>
              <w:top w:w="57" w:type="dxa"/>
              <w:left w:w="57" w:type="dxa"/>
              <w:bottom w:w="57" w:type="dxa"/>
            </w:tcMar>
          </w:tcPr>
          <w:p w14:paraId="7E1B1F8A" w14:textId="5F41E95A" w:rsidR="00285F3E" w:rsidRPr="002836EB" w:rsidRDefault="00285F3E" w:rsidP="00045A9D">
            <w:pPr>
              <w:pStyle w:val="02Tabletext"/>
            </w:pPr>
            <w:r w:rsidRPr="002836EB">
              <w:t>15221</w:t>
            </w:r>
          </w:p>
        </w:tc>
        <w:tc>
          <w:tcPr>
            <w:tcW w:w="2730" w:type="dxa"/>
            <w:tcMar>
              <w:top w:w="57" w:type="dxa"/>
              <w:left w:w="57" w:type="dxa"/>
              <w:bottom w:w="57" w:type="dxa"/>
            </w:tcMar>
          </w:tcPr>
          <w:p w14:paraId="7195EABD" w14:textId="31D75E2A" w:rsidR="00285F3E" w:rsidRPr="002836EB" w:rsidRDefault="00285F3E" w:rsidP="00045A9D">
            <w:pPr>
              <w:pStyle w:val="02Tabletext"/>
            </w:pPr>
            <w:r w:rsidRPr="002836EB">
              <w:t>Change</w:t>
            </w:r>
          </w:p>
        </w:tc>
        <w:tc>
          <w:tcPr>
            <w:tcW w:w="851" w:type="dxa"/>
            <w:tcMar>
              <w:top w:w="57" w:type="dxa"/>
              <w:left w:w="57" w:type="dxa"/>
              <w:bottom w:w="57" w:type="dxa"/>
            </w:tcMar>
          </w:tcPr>
          <w:p w14:paraId="1F5B4D5F" w14:textId="548EBF24"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01236634" w14:textId="77777777" w:rsidTr="00924EF2">
        <w:tc>
          <w:tcPr>
            <w:tcW w:w="809" w:type="dxa"/>
            <w:tcMar>
              <w:top w:w="57" w:type="dxa"/>
              <w:left w:w="57" w:type="dxa"/>
              <w:bottom w:w="57" w:type="dxa"/>
            </w:tcMar>
          </w:tcPr>
          <w:p w14:paraId="7095DA32" w14:textId="7EA2111C" w:rsidR="00285F3E" w:rsidRPr="002836EB" w:rsidRDefault="00285F3E" w:rsidP="00045A9D">
            <w:pPr>
              <w:pStyle w:val="02Tabletext"/>
            </w:pPr>
            <w:r w:rsidRPr="002836EB">
              <w:t>15224</w:t>
            </w:r>
          </w:p>
        </w:tc>
        <w:tc>
          <w:tcPr>
            <w:tcW w:w="2730" w:type="dxa"/>
            <w:tcMar>
              <w:top w:w="57" w:type="dxa"/>
              <w:left w:w="57" w:type="dxa"/>
              <w:bottom w:w="57" w:type="dxa"/>
            </w:tcMar>
          </w:tcPr>
          <w:p w14:paraId="3FE0A188" w14:textId="098F5776" w:rsidR="00285F3E" w:rsidRPr="002836EB" w:rsidRDefault="00285F3E" w:rsidP="00045A9D">
            <w:pPr>
              <w:pStyle w:val="02Tabletext"/>
            </w:pPr>
            <w:r w:rsidRPr="002836EB">
              <w:t>Change</w:t>
            </w:r>
          </w:p>
        </w:tc>
        <w:tc>
          <w:tcPr>
            <w:tcW w:w="851" w:type="dxa"/>
            <w:tcMar>
              <w:top w:w="57" w:type="dxa"/>
              <w:left w:w="57" w:type="dxa"/>
              <w:bottom w:w="57" w:type="dxa"/>
            </w:tcMar>
          </w:tcPr>
          <w:p w14:paraId="27A1B181" w14:textId="6DB6EA91"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18F811F7" w14:textId="77777777" w:rsidTr="00924EF2">
        <w:tc>
          <w:tcPr>
            <w:tcW w:w="809" w:type="dxa"/>
            <w:tcMar>
              <w:top w:w="57" w:type="dxa"/>
              <w:left w:w="57" w:type="dxa"/>
              <w:bottom w:w="57" w:type="dxa"/>
            </w:tcMar>
          </w:tcPr>
          <w:p w14:paraId="46147F2E" w14:textId="2A776332" w:rsidR="00285F3E" w:rsidRPr="002836EB" w:rsidRDefault="00285F3E" w:rsidP="00045A9D">
            <w:pPr>
              <w:pStyle w:val="02Tabletext"/>
            </w:pPr>
            <w:r w:rsidRPr="002836EB">
              <w:t>15227</w:t>
            </w:r>
          </w:p>
        </w:tc>
        <w:tc>
          <w:tcPr>
            <w:tcW w:w="2730" w:type="dxa"/>
            <w:tcMar>
              <w:top w:w="57" w:type="dxa"/>
              <w:left w:w="57" w:type="dxa"/>
              <w:bottom w:w="57" w:type="dxa"/>
            </w:tcMar>
          </w:tcPr>
          <w:p w14:paraId="1B5FDA96" w14:textId="35450CD7" w:rsidR="00285F3E" w:rsidRPr="002836EB" w:rsidRDefault="00285F3E" w:rsidP="00045A9D">
            <w:pPr>
              <w:pStyle w:val="02Tabletext"/>
              <w:rPr>
                <w:shd w:val="clear" w:color="auto" w:fill="FFFFFF"/>
              </w:rPr>
            </w:pPr>
            <w:r w:rsidRPr="002836EB">
              <w:t>Change</w:t>
            </w:r>
          </w:p>
        </w:tc>
        <w:tc>
          <w:tcPr>
            <w:tcW w:w="851" w:type="dxa"/>
            <w:tcMar>
              <w:top w:w="57" w:type="dxa"/>
              <w:left w:w="57" w:type="dxa"/>
              <w:bottom w:w="57" w:type="dxa"/>
            </w:tcMar>
          </w:tcPr>
          <w:p w14:paraId="47516763" w14:textId="62551D05" w:rsidR="00285F3E" w:rsidRPr="002836EB" w:rsidRDefault="00285F3E" w:rsidP="00045A9D">
            <w:pPr>
              <w:pStyle w:val="02Tabletext"/>
              <w:rPr>
                <w:shd w:val="clear" w:color="auto" w:fill="FFFFFF"/>
              </w:rPr>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584AAD35" w14:textId="77777777" w:rsidTr="00924EF2">
        <w:tc>
          <w:tcPr>
            <w:tcW w:w="809" w:type="dxa"/>
            <w:tcMar>
              <w:top w:w="57" w:type="dxa"/>
              <w:left w:w="57" w:type="dxa"/>
              <w:bottom w:w="57" w:type="dxa"/>
            </w:tcMar>
          </w:tcPr>
          <w:p w14:paraId="7FD5F1C4" w14:textId="4125511A" w:rsidR="00285F3E" w:rsidRPr="002836EB" w:rsidRDefault="00285F3E" w:rsidP="00045A9D">
            <w:pPr>
              <w:pStyle w:val="02Tabletext"/>
            </w:pPr>
            <w:r w:rsidRPr="002836EB">
              <w:t>15230</w:t>
            </w:r>
          </w:p>
        </w:tc>
        <w:tc>
          <w:tcPr>
            <w:tcW w:w="2730" w:type="dxa"/>
            <w:tcMar>
              <w:top w:w="57" w:type="dxa"/>
              <w:left w:w="57" w:type="dxa"/>
              <w:bottom w:w="57" w:type="dxa"/>
            </w:tcMar>
          </w:tcPr>
          <w:p w14:paraId="4DA8DF84" w14:textId="6B179ADF" w:rsidR="00285F3E" w:rsidRPr="002836EB" w:rsidRDefault="00285F3E" w:rsidP="00045A9D">
            <w:pPr>
              <w:pStyle w:val="02Tabletext"/>
            </w:pPr>
            <w:r w:rsidRPr="002836EB">
              <w:t>Change</w:t>
            </w:r>
          </w:p>
        </w:tc>
        <w:tc>
          <w:tcPr>
            <w:tcW w:w="851" w:type="dxa"/>
            <w:tcMar>
              <w:top w:w="57" w:type="dxa"/>
              <w:left w:w="57" w:type="dxa"/>
              <w:bottom w:w="57" w:type="dxa"/>
            </w:tcMar>
          </w:tcPr>
          <w:p w14:paraId="6293B9C5" w14:textId="247EDC62"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49E3C6BE" w14:textId="77777777" w:rsidTr="00924EF2">
        <w:tc>
          <w:tcPr>
            <w:tcW w:w="809" w:type="dxa"/>
            <w:tcMar>
              <w:top w:w="57" w:type="dxa"/>
              <w:left w:w="57" w:type="dxa"/>
              <w:bottom w:w="57" w:type="dxa"/>
            </w:tcMar>
          </w:tcPr>
          <w:p w14:paraId="43E3A0A5" w14:textId="4FA5276A" w:rsidR="00285F3E" w:rsidRPr="002836EB" w:rsidRDefault="00285F3E" w:rsidP="00045A9D">
            <w:pPr>
              <w:pStyle w:val="02Tabletext"/>
            </w:pPr>
            <w:r w:rsidRPr="002836EB">
              <w:t>15233</w:t>
            </w:r>
          </w:p>
        </w:tc>
        <w:tc>
          <w:tcPr>
            <w:tcW w:w="2730" w:type="dxa"/>
            <w:tcMar>
              <w:top w:w="57" w:type="dxa"/>
              <w:left w:w="57" w:type="dxa"/>
              <w:bottom w:w="57" w:type="dxa"/>
            </w:tcMar>
          </w:tcPr>
          <w:p w14:paraId="0E96C458" w14:textId="426AAE37" w:rsidR="00285F3E" w:rsidRPr="002836EB" w:rsidRDefault="00285F3E" w:rsidP="00045A9D">
            <w:pPr>
              <w:pStyle w:val="02Tabletext"/>
            </w:pPr>
            <w:r w:rsidRPr="002836EB">
              <w:t>Change</w:t>
            </w:r>
          </w:p>
        </w:tc>
        <w:tc>
          <w:tcPr>
            <w:tcW w:w="851" w:type="dxa"/>
            <w:tcMar>
              <w:top w:w="57" w:type="dxa"/>
              <w:left w:w="57" w:type="dxa"/>
              <w:bottom w:w="57" w:type="dxa"/>
            </w:tcMar>
          </w:tcPr>
          <w:p w14:paraId="48F714BF" w14:textId="7B67A528"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126EF8EB" w14:textId="77777777" w:rsidTr="00924EF2">
        <w:tc>
          <w:tcPr>
            <w:tcW w:w="809" w:type="dxa"/>
            <w:tcMar>
              <w:top w:w="57" w:type="dxa"/>
              <w:left w:w="57" w:type="dxa"/>
              <w:bottom w:w="57" w:type="dxa"/>
            </w:tcMar>
          </w:tcPr>
          <w:p w14:paraId="424C3B51" w14:textId="0DE5E69A" w:rsidR="00285F3E" w:rsidRPr="002836EB" w:rsidRDefault="00285F3E" w:rsidP="00045A9D">
            <w:pPr>
              <w:pStyle w:val="02Tabletext"/>
              <w:rPr>
                <w:b/>
              </w:rPr>
            </w:pPr>
            <w:r w:rsidRPr="002836EB">
              <w:t>15236</w:t>
            </w:r>
          </w:p>
        </w:tc>
        <w:tc>
          <w:tcPr>
            <w:tcW w:w="2730" w:type="dxa"/>
            <w:tcMar>
              <w:top w:w="57" w:type="dxa"/>
              <w:left w:w="57" w:type="dxa"/>
              <w:bottom w:w="57" w:type="dxa"/>
            </w:tcMar>
          </w:tcPr>
          <w:p w14:paraId="018C7988" w14:textId="4BD775B6" w:rsidR="00285F3E" w:rsidRPr="002836EB" w:rsidRDefault="00285F3E" w:rsidP="00045A9D">
            <w:pPr>
              <w:pStyle w:val="02Tabletext"/>
            </w:pPr>
            <w:r w:rsidRPr="002836EB">
              <w:t>Change</w:t>
            </w:r>
          </w:p>
        </w:tc>
        <w:tc>
          <w:tcPr>
            <w:tcW w:w="851" w:type="dxa"/>
            <w:tcMar>
              <w:top w:w="57" w:type="dxa"/>
              <w:left w:w="57" w:type="dxa"/>
              <w:bottom w:w="57" w:type="dxa"/>
            </w:tcMar>
          </w:tcPr>
          <w:p w14:paraId="051F077D" w14:textId="43A1F753"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4C2026EC" w14:textId="77777777" w:rsidTr="00924EF2">
        <w:tc>
          <w:tcPr>
            <w:tcW w:w="809" w:type="dxa"/>
            <w:tcMar>
              <w:top w:w="57" w:type="dxa"/>
              <w:left w:w="57" w:type="dxa"/>
              <w:bottom w:w="57" w:type="dxa"/>
            </w:tcMar>
          </w:tcPr>
          <w:p w14:paraId="464FF851" w14:textId="47CC544C" w:rsidR="00285F3E" w:rsidRPr="002836EB" w:rsidRDefault="00285F3E" w:rsidP="00045A9D">
            <w:pPr>
              <w:pStyle w:val="02Tabletext"/>
              <w:rPr>
                <w:b/>
              </w:rPr>
            </w:pPr>
            <w:r w:rsidRPr="002836EB">
              <w:t>15239</w:t>
            </w:r>
          </w:p>
        </w:tc>
        <w:tc>
          <w:tcPr>
            <w:tcW w:w="2730" w:type="dxa"/>
            <w:tcMar>
              <w:top w:w="57" w:type="dxa"/>
              <w:left w:w="57" w:type="dxa"/>
              <w:bottom w:w="57" w:type="dxa"/>
            </w:tcMar>
          </w:tcPr>
          <w:p w14:paraId="04F604B1" w14:textId="5929634D" w:rsidR="00285F3E" w:rsidRPr="002836EB" w:rsidRDefault="00285F3E" w:rsidP="00045A9D">
            <w:pPr>
              <w:pStyle w:val="02Tabletext"/>
              <w:rPr>
                <w:shd w:val="clear" w:color="auto" w:fill="FFFFFF"/>
              </w:rPr>
            </w:pPr>
            <w:r w:rsidRPr="002836EB">
              <w:t>Change</w:t>
            </w:r>
          </w:p>
        </w:tc>
        <w:tc>
          <w:tcPr>
            <w:tcW w:w="851" w:type="dxa"/>
            <w:tcMar>
              <w:top w:w="57" w:type="dxa"/>
              <w:left w:w="57" w:type="dxa"/>
              <w:bottom w:w="57" w:type="dxa"/>
            </w:tcMar>
          </w:tcPr>
          <w:p w14:paraId="6D1EA801" w14:textId="2A8D7825" w:rsidR="00285F3E" w:rsidRPr="002836EB" w:rsidRDefault="00285F3E" w:rsidP="00045A9D">
            <w:pPr>
              <w:pStyle w:val="02Tabletext"/>
              <w:rPr>
                <w:shd w:val="clear" w:color="auto" w:fill="FFFFFF"/>
              </w:rPr>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4B2D2AA5" w14:textId="77777777" w:rsidTr="00924EF2">
        <w:tc>
          <w:tcPr>
            <w:tcW w:w="809" w:type="dxa"/>
            <w:tcMar>
              <w:top w:w="57" w:type="dxa"/>
              <w:left w:w="57" w:type="dxa"/>
              <w:bottom w:w="57" w:type="dxa"/>
            </w:tcMar>
          </w:tcPr>
          <w:p w14:paraId="08820F9E" w14:textId="04CAC3DA" w:rsidR="00285F3E" w:rsidRPr="002836EB" w:rsidRDefault="00285F3E" w:rsidP="00045A9D">
            <w:pPr>
              <w:pStyle w:val="02Tabletext"/>
              <w:rPr>
                <w:b/>
              </w:rPr>
            </w:pPr>
            <w:r w:rsidRPr="002836EB">
              <w:t>15242</w:t>
            </w:r>
          </w:p>
        </w:tc>
        <w:tc>
          <w:tcPr>
            <w:tcW w:w="2730" w:type="dxa"/>
            <w:tcMar>
              <w:top w:w="57" w:type="dxa"/>
              <w:left w:w="57" w:type="dxa"/>
              <w:bottom w:w="57" w:type="dxa"/>
            </w:tcMar>
          </w:tcPr>
          <w:p w14:paraId="009DD8C0" w14:textId="7DFC52FB" w:rsidR="00285F3E" w:rsidRPr="002836EB" w:rsidRDefault="00285F3E" w:rsidP="00045A9D">
            <w:pPr>
              <w:pStyle w:val="02Tabletext"/>
            </w:pPr>
            <w:r w:rsidRPr="002836EB">
              <w:t>Change</w:t>
            </w:r>
          </w:p>
        </w:tc>
        <w:tc>
          <w:tcPr>
            <w:tcW w:w="851" w:type="dxa"/>
            <w:tcMar>
              <w:top w:w="57" w:type="dxa"/>
              <w:left w:w="57" w:type="dxa"/>
              <w:bottom w:w="57" w:type="dxa"/>
            </w:tcMar>
          </w:tcPr>
          <w:p w14:paraId="4290E1A4" w14:textId="0D5E711E" w:rsidR="00285F3E" w:rsidRPr="002836EB" w:rsidRDefault="00285F3E" w:rsidP="00045A9D">
            <w:pPr>
              <w:pStyle w:val="02Tabletext"/>
            </w:pPr>
            <w:r w:rsidRPr="003843FD">
              <w:fldChar w:fldCharType="begin"/>
            </w:r>
            <w:r w:rsidRPr="003843FD">
              <w:instrText xml:space="preserve"> PAGEREF _Ref464501738 \h </w:instrText>
            </w:r>
            <w:r w:rsidRPr="003843FD">
              <w:fldChar w:fldCharType="separate"/>
            </w:r>
            <w:r w:rsidR="003274EF">
              <w:rPr>
                <w:noProof/>
              </w:rPr>
              <w:t>32</w:t>
            </w:r>
            <w:r w:rsidRPr="003843FD">
              <w:fldChar w:fldCharType="end"/>
            </w:r>
            <w:r w:rsidRPr="003843FD">
              <w:t xml:space="preserve"> - </w:t>
            </w:r>
            <w:r w:rsidRPr="003843FD">
              <w:fldChar w:fldCharType="begin"/>
            </w:r>
            <w:r w:rsidRPr="003843FD">
              <w:instrText xml:space="preserve"> PAGEREF _Ref464501740 \h </w:instrText>
            </w:r>
            <w:r w:rsidRPr="003843FD">
              <w:fldChar w:fldCharType="separate"/>
            </w:r>
            <w:r w:rsidR="003274EF">
              <w:rPr>
                <w:noProof/>
              </w:rPr>
              <w:t>60</w:t>
            </w:r>
            <w:r w:rsidRPr="003843FD">
              <w:fldChar w:fldCharType="end"/>
            </w:r>
          </w:p>
        </w:tc>
      </w:tr>
      <w:tr w:rsidR="00285F3E" w:rsidRPr="002836EB" w14:paraId="43A3722F" w14:textId="77777777" w:rsidTr="00924EF2">
        <w:tc>
          <w:tcPr>
            <w:tcW w:w="809" w:type="dxa"/>
            <w:tcMar>
              <w:top w:w="57" w:type="dxa"/>
              <w:left w:w="57" w:type="dxa"/>
              <w:bottom w:w="57" w:type="dxa"/>
            </w:tcMar>
          </w:tcPr>
          <w:p w14:paraId="1EC9C79F" w14:textId="71C8264F" w:rsidR="00285F3E" w:rsidRPr="002836EB" w:rsidRDefault="00285F3E" w:rsidP="00045A9D">
            <w:pPr>
              <w:pStyle w:val="02Tabletext"/>
              <w:rPr>
                <w:b/>
              </w:rPr>
            </w:pPr>
            <w:r w:rsidRPr="002836EB">
              <w:lastRenderedPageBreak/>
              <w:t>15245</w:t>
            </w:r>
          </w:p>
        </w:tc>
        <w:tc>
          <w:tcPr>
            <w:tcW w:w="2730" w:type="dxa"/>
            <w:tcMar>
              <w:top w:w="57" w:type="dxa"/>
              <w:left w:w="57" w:type="dxa"/>
              <w:bottom w:w="57" w:type="dxa"/>
            </w:tcMar>
          </w:tcPr>
          <w:p w14:paraId="3DFBE3C5" w14:textId="620B6BC8" w:rsidR="00285F3E" w:rsidRPr="002836EB" w:rsidRDefault="00285F3E" w:rsidP="00045A9D">
            <w:pPr>
              <w:pStyle w:val="02Tabletext"/>
            </w:pPr>
            <w:r w:rsidRPr="002836EB">
              <w:t>Change</w:t>
            </w:r>
          </w:p>
        </w:tc>
        <w:tc>
          <w:tcPr>
            <w:tcW w:w="851" w:type="dxa"/>
            <w:tcMar>
              <w:top w:w="57" w:type="dxa"/>
              <w:left w:w="57" w:type="dxa"/>
              <w:bottom w:w="57" w:type="dxa"/>
            </w:tcMar>
          </w:tcPr>
          <w:p w14:paraId="035DE193" w14:textId="19701CFB"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2AE7A438" w14:textId="77777777" w:rsidTr="00924EF2">
        <w:tc>
          <w:tcPr>
            <w:tcW w:w="809" w:type="dxa"/>
            <w:tcMar>
              <w:top w:w="57" w:type="dxa"/>
              <w:left w:w="57" w:type="dxa"/>
              <w:bottom w:w="57" w:type="dxa"/>
            </w:tcMar>
          </w:tcPr>
          <w:p w14:paraId="70604E3C" w14:textId="267293AB" w:rsidR="00285F3E" w:rsidRPr="002836EB" w:rsidRDefault="00285F3E" w:rsidP="00045A9D">
            <w:pPr>
              <w:pStyle w:val="02Tabletext"/>
              <w:rPr>
                <w:b/>
              </w:rPr>
            </w:pPr>
            <w:r w:rsidRPr="002836EB">
              <w:t>15248</w:t>
            </w:r>
          </w:p>
        </w:tc>
        <w:tc>
          <w:tcPr>
            <w:tcW w:w="2730" w:type="dxa"/>
            <w:tcMar>
              <w:top w:w="57" w:type="dxa"/>
              <w:left w:w="57" w:type="dxa"/>
              <w:bottom w:w="57" w:type="dxa"/>
            </w:tcMar>
          </w:tcPr>
          <w:p w14:paraId="39A659D8" w14:textId="14823349" w:rsidR="00285F3E" w:rsidRPr="002836EB" w:rsidRDefault="00285F3E" w:rsidP="00045A9D">
            <w:pPr>
              <w:pStyle w:val="02Tabletext"/>
            </w:pPr>
            <w:r w:rsidRPr="002836EB">
              <w:t>Change</w:t>
            </w:r>
          </w:p>
        </w:tc>
        <w:tc>
          <w:tcPr>
            <w:tcW w:w="851" w:type="dxa"/>
            <w:tcMar>
              <w:top w:w="57" w:type="dxa"/>
              <w:left w:w="57" w:type="dxa"/>
              <w:bottom w:w="57" w:type="dxa"/>
            </w:tcMar>
          </w:tcPr>
          <w:p w14:paraId="3DD18BA9" w14:textId="17A5BE0F"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5E0A0B33" w14:textId="77777777" w:rsidTr="00924EF2">
        <w:tc>
          <w:tcPr>
            <w:tcW w:w="809" w:type="dxa"/>
            <w:tcMar>
              <w:top w:w="57" w:type="dxa"/>
              <w:left w:w="57" w:type="dxa"/>
              <w:bottom w:w="57" w:type="dxa"/>
            </w:tcMar>
          </w:tcPr>
          <w:p w14:paraId="1393B94F" w14:textId="1497E16A" w:rsidR="00285F3E" w:rsidRPr="002836EB" w:rsidRDefault="00285F3E" w:rsidP="00045A9D">
            <w:pPr>
              <w:pStyle w:val="02Tabletext"/>
            </w:pPr>
            <w:r w:rsidRPr="002836EB">
              <w:t>15251</w:t>
            </w:r>
          </w:p>
        </w:tc>
        <w:tc>
          <w:tcPr>
            <w:tcW w:w="2730" w:type="dxa"/>
            <w:tcMar>
              <w:top w:w="57" w:type="dxa"/>
              <w:left w:w="57" w:type="dxa"/>
              <w:bottom w:w="57" w:type="dxa"/>
            </w:tcMar>
          </w:tcPr>
          <w:p w14:paraId="2538D1AF" w14:textId="3A891992" w:rsidR="00285F3E" w:rsidRPr="002836EB" w:rsidRDefault="00285F3E" w:rsidP="00045A9D">
            <w:pPr>
              <w:pStyle w:val="02Tabletext"/>
            </w:pPr>
            <w:r w:rsidRPr="002836EB">
              <w:t>Change</w:t>
            </w:r>
          </w:p>
        </w:tc>
        <w:tc>
          <w:tcPr>
            <w:tcW w:w="851" w:type="dxa"/>
            <w:tcMar>
              <w:top w:w="57" w:type="dxa"/>
              <w:left w:w="57" w:type="dxa"/>
              <w:bottom w:w="57" w:type="dxa"/>
            </w:tcMar>
          </w:tcPr>
          <w:p w14:paraId="0FD0F314" w14:textId="5917A094"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5918A9DD" w14:textId="77777777" w:rsidTr="00924EF2">
        <w:tc>
          <w:tcPr>
            <w:tcW w:w="809" w:type="dxa"/>
            <w:tcMar>
              <w:top w:w="57" w:type="dxa"/>
              <w:left w:w="57" w:type="dxa"/>
              <w:bottom w:w="57" w:type="dxa"/>
            </w:tcMar>
          </w:tcPr>
          <w:p w14:paraId="425C8190" w14:textId="21AF4E44" w:rsidR="00285F3E" w:rsidRPr="002836EB" w:rsidRDefault="00285F3E" w:rsidP="00045A9D">
            <w:pPr>
              <w:pStyle w:val="02Tabletext"/>
            </w:pPr>
            <w:r w:rsidRPr="002836EB">
              <w:t>15254</w:t>
            </w:r>
          </w:p>
        </w:tc>
        <w:tc>
          <w:tcPr>
            <w:tcW w:w="2730" w:type="dxa"/>
            <w:tcMar>
              <w:top w:w="57" w:type="dxa"/>
              <w:left w:w="57" w:type="dxa"/>
              <w:bottom w:w="57" w:type="dxa"/>
            </w:tcMar>
          </w:tcPr>
          <w:p w14:paraId="71E34993" w14:textId="709352A7" w:rsidR="00285F3E" w:rsidRPr="002836EB" w:rsidRDefault="00285F3E" w:rsidP="00045A9D">
            <w:pPr>
              <w:pStyle w:val="02Tabletext"/>
            </w:pPr>
            <w:r w:rsidRPr="002836EB">
              <w:t>Change</w:t>
            </w:r>
          </w:p>
        </w:tc>
        <w:tc>
          <w:tcPr>
            <w:tcW w:w="851" w:type="dxa"/>
            <w:tcMar>
              <w:top w:w="57" w:type="dxa"/>
              <w:left w:w="57" w:type="dxa"/>
              <w:bottom w:w="57" w:type="dxa"/>
            </w:tcMar>
          </w:tcPr>
          <w:p w14:paraId="378A8B8E" w14:textId="6EC234E9"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0545232F" w14:textId="77777777" w:rsidTr="00924EF2">
        <w:tc>
          <w:tcPr>
            <w:tcW w:w="809" w:type="dxa"/>
            <w:tcMar>
              <w:top w:w="57" w:type="dxa"/>
              <w:left w:w="57" w:type="dxa"/>
              <w:bottom w:w="57" w:type="dxa"/>
            </w:tcMar>
          </w:tcPr>
          <w:p w14:paraId="223976FA" w14:textId="5D5A475D" w:rsidR="00285F3E" w:rsidRPr="002836EB" w:rsidRDefault="00285F3E" w:rsidP="00045A9D">
            <w:pPr>
              <w:pStyle w:val="02Tabletext"/>
            </w:pPr>
            <w:r w:rsidRPr="002836EB">
              <w:t>15257</w:t>
            </w:r>
          </w:p>
        </w:tc>
        <w:tc>
          <w:tcPr>
            <w:tcW w:w="2730" w:type="dxa"/>
            <w:tcMar>
              <w:top w:w="57" w:type="dxa"/>
              <w:left w:w="57" w:type="dxa"/>
              <w:bottom w:w="57" w:type="dxa"/>
            </w:tcMar>
          </w:tcPr>
          <w:p w14:paraId="119619AF" w14:textId="6F043031" w:rsidR="00285F3E" w:rsidRPr="002836EB" w:rsidRDefault="00285F3E" w:rsidP="00045A9D">
            <w:pPr>
              <w:pStyle w:val="02Tabletext"/>
              <w:rPr>
                <w:shd w:val="clear" w:color="auto" w:fill="FFFFFF"/>
              </w:rPr>
            </w:pPr>
            <w:r w:rsidRPr="002836EB">
              <w:t>Change</w:t>
            </w:r>
          </w:p>
        </w:tc>
        <w:tc>
          <w:tcPr>
            <w:tcW w:w="851" w:type="dxa"/>
            <w:tcMar>
              <w:top w:w="57" w:type="dxa"/>
              <w:left w:w="57" w:type="dxa"/>
              <w:bottom w:w="57" w:type="dxa"/>
            </w:tcMar>
          </w:tcPr>
          <w:p w14:paraId="4663FF47" w14:textId="36FD1CF3" w:rsidR="00285F3E" w:rsidRPr="002836EB" w:rsidRDefault="00285F3E" w:rsidP="00045A9D">
            <w:pPr>
              <w:pStyle w:val="02Tabletext"/>
              <w:rPr>
                <w:shd w:val="clear" w:color="auto" w:fill="FFFFFF"/>
              </w:rPr>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3481BB81" w14:textId="77777777" w:rsidTr="00924EF2">
        <w:tc>
          <w:tcPr>
            <w:tcW w:w="809" w:type="dxa"/>
            <w:tcMar>
              <w:top w:w="57" w:type="dxa"/>
              <w:left w:w="57" w:type="dxa"/>
              <w:bottom w:w="57" w:type="dxa"/>
            </w:tcMar>
          </w:tcPr>
          <w:p w14:paraId="48637420" w14:textId="6B70B19E" w:rsidR="00285F3E" w:rsidRPr="002836EB" w:rsidRDefault="00285F3E" w:rsidP="00045A9D">
            <w:pPr>
              <w:pStyle w:val="02Tabletext"/>
            </w:pPr>
            <w:r w:rsidRPr="002836EB">
              <w:t>15260</w:t>
            </w:r>
          </w:p>
        </w:tc>
        <w:tc>
          <w:tcPr>
            <w:tcW w:w="2730" w:type="dxa"/>
            <w:tcMar>
              <w:top w:w="57" w:type="dxa"/>
              <w:left w:w="57" w:type="dxa"/>
              <w:bottom w:w="57" w:type="dxa"/>
            </w:tcMar>
          </w:tcPr>
          <w:p w14:paraId="2A6AD65A" w14:textId="05F31A4B" w:rsidR="00285F3E" w:rsidRPr="002836EB" w:rsidRDefault="00285F3E" w:rsidP="00045A9D">
            <w:pPr>
              <w:pStyle w:val="02Tabletext"/>
            </w:pPr>
            <w:r w:rsidRPr="002836EB">
              <w:t>Change</w:t>
            </w:r>
          </w:p>
        </w:tc>
        <w:tc>
          <w:tcPr>
            <w:tcW w:w="851" w:type="dxa"/>
            <w:tcMar>
              <w:top w:w="57" w:type="dxa"/>
              <w:left w:w="57" w:type="dxa"/>
              <w:bottom w:w="57" w:type="dxa"/>
            </w:tcMar>
          </w:tcPr>
          <w:p w14:paraId="5FAE15A8" w14:textId="36B30BE5"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44B85F4E" w14:textId="77777777" w:rsidTr="00924EF2">
        <w:tc>
          <w:tcPr>
            <w:tcW w:w="809" w:type="dxa"/>
            <w:tcMar>
              <w:top w:w="57" w:type="dxa"/>
              <w:left w:w="57" w:type="dxa"/>
              <w:bottom w:w="57" w:type="dxa"/>
            </w:tcMar>
          </w:tcPr>
          <w:p w14:paraId="700305CC" w14:textId="5D5AFDBF" w:rsidR="00285F3E" w:rsidRPr="002836EB" w:rsidRDefault="00285F3E" w:rsidP="00045A9D">
            <w:pPr>
              <w:pStyle w:val="02Tabletext"/>
            </w:pPr>
            <w:r w:rsidRPr="002836EB">
              <w:t>15263</w:t>
            </w:r>
          </w:p>
        </w:tc>
        <w:tc>
          <w:tcPr>
            <w:tcW w:w="2730" w:type="dxa"/>
            <w:tcMar>
              <w:top w:w="57" w:type="dxa"/>
              <w:left w:w="57" w:type="dxa"/>
              <w:bottom w:w="57" w:type="dxa"/>
            </w:tcMar>
          </w:tcPr>
          <w:p w14:paraId="3F025D51" w14:textId="0B5E5276" w:rsidR="00285F3E" w:rsidRPr="002836EB" w:rsidRDefault="00285F3E" w:rsidP="00045A9D">
            <w:pPr>
              <w:pStyle w:val="02Tabletext"/>
            </w:pPr>
            <w:r w:rsidRPr="002836EB">
              <w:t>Change</w:t>
            </w:r>
          </w:p>
        </w:tc>
        <w:tc>
          <w:tcPr>
            <w:tcW w:w="851" w:type="dxa"/>
            <w:tcMar>
              <w:top w:w="57" w:type="dxa"/>
              <w:left w:w="57" w:type="dxa"/>
              <w:bottom w:w="57" w:type="dxa"/>
            </w:tcMar>
          </w:tcPr>
          <w:p w14:paraId="58C2D027" w14:textId="521FE842"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6E39F19B" w14:textId="77777777" w:rsidTr="00924EF2">
        <w:tc>
          <w:tcPr>
            <w:tcW w:w="809" w:type="dxa"/>
            <w:tcMar>
              <w:top w:w="57" w:type="dxa"/>
              <w:left w:w="57" w:type="dxa"/>
              <w:bottom w:w="57" w:type="dxa"/>
            </w:tcMar>
          </w:tcPr>
          <w:p w14:paraId="702D05D4" w14:textId="06C57244" w:rsidR="00285F3E" w:rsidRPr="002836EB" w:rsidRDefault="00285F3E" w:rsidP="00045A9D">
            <w:pPr>
              <w:pStyle w:val="02Tabletext"/>
              <w:rPr>
                <w:b/>
              </w:rPr>
            </w:pPr>
            <w:r w:rsidRPr="002836EB">
              <w:t>15266</w:t>
            </w:r>
          </w:p>
        </w:tc>
        <w:tc>
          <w:tcPr>
            <w:tcW w:w="2730" w:type="dxa"/>
            <w:tcMar>
              <w:top w:w="57" w:type="dxa"/>
              <w:left w:w="57" w:type="dxa"/>
              <w:bottom w:w="57" w:type="dxa"/>
            </w:tcMar>
          </w:tcPr>
          <w:p w14:paraId="0A4595B2" w14:textId="36D1CBED" w:rsidR="00285F3E" w:rsidRPr="002836EB" w:rsidRDefault="00285F3E" w:rsidP="00045A9D">
            <w:pPr>
              <w:pStyle w:val="02Tabletext"/>
            </w:pPr>
            <w:r w:rsidRPr="002836EB">
              <w:t>Change</w:t>
            </w:r>
          </w:p>
        </w:tc>
        <w:tc>
          <w:tcPr>
            <w:tcW w:w="851" w:type="dxa"/>
            <w:tcMar>
              <w:top w:w="57" w:type="dxa"/>
              <w:left w:w="57" w:type="dxa"/>
              <w:bottom w:w="57" w:type="dxa"/>
            </w:tcMar>
          </w:tcPr>
          <w:p w14:paraId="2A8C94EC" w14:textId="76083B1E"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72795C85" w14:textId="77777777" w:rsidTr="00924EF2">
        <w:tc>
          <w:tcPr>
            <w:tcW w:w="809" w:type="dxa"/>
            <w:tcMar>
              <w:top w:w="57" w:type="dxa"/>
              <w:left w:w="57" w:type="dxa"/>
              <w:bottom w:w="57" w:type="dxa"/>
            </w:tcMar>
          </w:tcPr>
          <w:p w14:paraId="3FF6B946" w14:textId="5FBD4111" w:rsidR="00285F3E" w:rsidRPr="002836EB" w:rsidRDefault="00285F3E" w:rsidP="00045A9D">
            <w:pPr>
              <w:pStyle w:val="02Tabletext"/>
              <w:rPr>
                <w:b/>
              </w:rPr>
            </w:pPr>
            <w:r w:rsidRPr="002836EB">
              <w:t>15269</w:t>
            </w:r>
          </w:p>
        </w:tc>
        <w:tc>
          <w:tcPr>
            <w:tcW w:w="2730" w:type="dxa"/>
            <w:tcMar>
              <w:top w:w="57" w:type="dxa"/>
              <w:left w:w="57" w:type="dxa"/>
              <w:bottom w:w="57" w:type="dxa"/>
            </w:tcMar>
          </w:tcPr>
          <w:p w14:paraId="772E96E8" w14:textId="07F7C51A" w:rsidR="00285F3E" w:rsidRPr="002836EB" w:rsidRDefault="00285F3E" w:rsidP="00045A9D">
            <w:pPr>
              <w:pStyle w:val="02Tabletext"/>
              <w:rPr>
                <w:shd w:val="clear" w:color="auto" w:fill="FFFFFF"/>
              </w:rPr>
            </w:pPr>
            <w:r w:rsidRPr="002836EB">
              <w:t>Change</w:t>
            </w:r>
          </w:p>
        </w:tc>
        <w:tc>
          <w:tcPr>
            <w:tcW w:w="851" w:type="dxa"/>
            <w:tcMar>
              <w:top w:w="57" w:type="dxa"/>
              <w:left w:w="57" w:type="dxa"/>
              <w:bottom w:w="57" w:type="dxa"/>
            </w:tcMar>
          </w:tcPr>
          <w:p w14:paraId="51603260" w14:textId="4D4B58A0" w:rsidR="00285F3E" w:rsidRPr="002836EB" w:rsidRDefault="00285F3E" w:rsidP="00045A9D">
            <w:pPr>
              <w:pStyle w:val="02Tabletext"/>
              <w:rPr>
                <w:shd w:val="clear" w:color="auto" w:fill="FFFFFF"/>
              </w:rPr>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1F3F34DA" w14:textId="77777777" w:rsidTr="00924EF2">
        <w:tc>
          <w:tcPr>
            <w:tcW w:w="809" w:type="dxa"/>
            <w:tcMar>
              <w:top w:w="57" w:type="dxa"/>
              <w:left w:w="57" w:type="dxa"/>
              <w:bottom w:w="57" w:type="dxa"/>
            </w:tcMar>
          </w:tcPr>
          <w:p w14:paraId="34DF5DBE" w14:textId="7A760303" w:rsidR="00285F3E" w:rsidRPr="002836EB" w:rsidRDefault="00285F3E" w:rsidP="00045A9D">
            <w:pPr>
              <w:pStyle w:val="02Tabletext"/>
              <w:rPr>
                <w:b/>
              </w:rPr>
            </w:pPr>
            <w:r w:rsidRPr="002836EB">
              <w:t>15272</w:t>
            </w:r>
          </w:p>
        </w:tc>
        <w:tc>
          <w:tcPr>
            <w:tcW w:w="2730" w:type="dxa"/>
            <w:tcMar>
              <w:top w:w="57" w:type="dxa"/>
              <w:left w:w="57" w:type="dxa"/>
              <w:bottom w:w="57" w:type="dxa"/>
            </w:tcMar>
          </w:tcPr>
          <w:p w14:paraId="781C0C93" w14:textId="101570A9" w:rsidR="00285F3E" w:rsidRPr="002836EB" w:rsidRDefault="00285F3E" w:rsidP="00045A9D">
            <w:pPr>
              <w:pStyle w:val="02Tabletext"/>
            </w:pPr>
            <w:r w:rsidRPr="002836EB">
              <w:t>Change</w:t>
            </w:r>
          </w:p>
        </w:tc>
        <w:tc>
          <w:tcPr>
            <w:tcW w:w="851" w:type="dxa"/>
            <w:tcMar>
              <w:top w:w="57" w:type="dxa"/>
              <w:left w:w="57" w:type="dxa"/>
              <w:bottom w:w="57" w:type="dxa"/>
            </w:tcMar>
          </w:tcPr>
          <w:p w14:paraId="671B5956" w14:textId="6A2C500F"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285F3E" w:rsidRPr="002836EB" w14:paraId="45B60C6D" w14:textId="77777777" w:rsidTr="00924EF2">
        <w:tc>
          <w:tcPr>
            <w:tcW w:w="809" w:type="dxa"/>
            <w:tcMar>
              <w:top w:w="57" w:type="dxa"/>
              <w:left w:w="57" w:type="dxa"/>
              <w:bottom w:w="57" w:type="dxa"/>
            </w:tcMar>
          </w:tcPr>
          <w:p w14:paraId="21091057" w14:textId="4DD02898" w:rsidR="00285F3E" w:rsidRPr="002836EB" w:rsidRDefault="00285F3E" w:rsidP="00045A9D">
            <w:pPr>
              <w:pStyle w:val="02Tabletext"/>
            </w:pPr>
            <w:r w:rsidRPr="002836EB">
              <w:t>15275</w:t>
            </w:r>
          </w:p>
        </w:tc>
        <w:tc>
          <w:tcPr>
            <w:tcW w:w="2730" w:type="dxa"/>
            <w:tcMar>
              <w:top w:w="57" w:type="dxa"/>
              <w:left w:w="57" w:type="dxa"/>
              <w:bottom w:w="57" w:type="dxa"/>
            </w:tcMar>
          </w:tcPr>
          <w:p w14:paraId="73C495FF" w14:textId="45B23618" w:rsidR="00285F3E" w:rsidRPr="002836EB" w:rsidRDefault="00285F3E" w:rsidP="00045A9D">
            <w:pPr>
              <w:pStyle w:val="02Tabletext"/>
            </w:pPr>
            <w:r w:rsidRPr="002836EB">
              <w:t>Change</w:t>
            </w:r>
          </w:p>
        </w:tc>
        <w:tc>
          <w:tcPr>
            <w:tcW w:w="851" w:type="dxa"/>
            <w:tcMar>
              <w:top w:w="57" w:type="dxa"/>
              <w:left w:w="57" w:type="dxa"/>
              <w:bottom w:w="57" w:type="dxa"/>
            </w:tcMar>
          </w:tcPr>
          <w:p w14:paraId="57BB40E9" w14:textId="75C23866" w:rsidR="00285F3E" w:rsidRPr="002836EB" w:rsidRDefault="00285F3E" w:rsidP="00045A9D">
            <w:pPr>
              <w:pStyle w:val="02Tabletext"/>
            </w:pPr>
            <w:r w:rsidRPr="00802215">
              <w:fldChar w:fldCharType="begin"/>
            </w:r>
            <w:r w:rsidRPr="00802215">
              <w:instrText xml:space="preserve"> PAGEREF _Ref464501738 \h </w:instrText>
            </w:r>
            <w:r w:rsidRPr="00802215">
              <w:fldChar w:fldCharType="separate"/>
            </w:r>
            <w:r w:rsidR="003274EF">
              <w:rPr>
                <w:noProof/>
              </w:rPr>
              <w:t>32</w:t>
            </w:r>
            <w:r w:rsidRPr="00802215">
              <w:fldChar w:fldCharType="end"/>
            </w:r>
            <w:r w:rsidRPr="00802215">
              <w:t xml:space="preserve"> - </w:t>
            </w:r>
            <w:r w:rsidRPr="00802215">
              <w:fldChar w:fldCharType="begin"/>
            </w:r>
            <w:r w:rsidRPr="00802215">
              <w:instrText xml:space="preserve"> PAGEREF _Ref464501740 \h </w:instrText>
            </w:r>
            <w:r w:rsidRPr="00802215">
              <w:fldChar w:fldCharType="separate"/>
            </w:r>
            <w:r w:rsidR="003274EF">
              <w:rPr>
                <w:noProof/>
              </w:rPr>
              <w:t>60</w:t>
            </w:r>
            <w:r w:rsidRPr="00802215">
              <w:fldChar w:fldCharType="end"/>
            </w:r>
          </w:p>
        </w:tc>
      </w:tr>
      <w:tr w:rsidR="00EB0C28" w:rsidRPr="002836EB" w14:paraId="4BBEE00E" w14:textId="77777777" w:rsidTr="00924EF2">
        <w:tc>
          <w:tcPr>
            <w:tcW w:w="809" w:type="dxa"/>
            <w:tcMar>
              <w:top w:w="57" w:type="dxa"/>
              <w:left w:w="57" w:type="dxa"/>
              <w:bottom w:w="57" w:type="dxa"/>
            </w:tcMar>
          </w:tcPr>
          <w:p w14:paraId="56DB454B" w14:textId="1C5E8221" w:rsidR="00EB0C28" w:rsidRPr="002836EB" w:rsidRDefault="00EB0C28" w:rsidP="00EB0C28">
            <w:pPr>
              <w:pStyle w:val="02Tabletext"/>
              <w:rPr>
                <w:b/>
                <w:highlight w:val="yellow"/>
              </w:rPr>
            </w:pPr>
            <w:r w:rsidRPr="002836EB">
              <w:t>15303</w:t>
            </w:r>
          </w:p>
        </w:tc>
        <w:tc>
          <w:tcPr>
            <w:tcW w:w="2730" w:type="dxa"/>
            <w:tcMar>
              <w:top w:w="57" w:type="dxa"/>
              <w:left w:w="57" w:type="dxa"/>
              <w:bottom w:w="57" w:type="dxa"/>
            </w:tcMar>
          </w:tcPr>
          <w:p w14:paraId="34FE2DA1" w14:textId="55460D91" w:rsidR="00EB0C28" w:rsidRPr="002836EB" w:rsidRDefault="00EB0C28" w:rsidP="00EB0C28">
            <w:pPr>
              <w:pStyle w:val="02Tabletext"/>
            </w:pPr>
            <w:r w:rsidRPr="002836EB">
              <w:t>Delete</w:t>
            </w:r>
          </w:p>
        </w:tc>
        <w:tc>
          <w:tcPr>
            <w:tcW w:w="851" w:type="dxa"/>
            <w:tcMar>
              <w:top w:w="57" w:type="dxa"/>
              <w:left w:w="57" w:type="dxa"/>
              <w:bottom w:w="57" w:type="dxa"/>
            </w:tcMar>
          </w:tcPr>
          <w:p w14:paraId="16295C19" w14:textId="6D530BFE" w:rsidR="00EB0C28" w:rsidRPr="002836EB" w:rsidRDefault="00EB0C28" w:rsidP="000B46DA">
            <w:pPr>
              <w:pStyle w:val="02Tabletext"/>
            </w:pPr>
            <w:r w:rsidRPr="005636BA">
              <w:fldChar w:fldCharType="begin"/>
            </w:r>
            <w:r w:rsidRPr="005636BA">
              <w:instrText xml:space="preserve"> PAGEREF _Ref464501740 \h </w:instrText>
            </w:r>
            <w:r w:rsidRPr="005636BA">
              <w:fldChar w:fldCharType="separate"/>
            </w:r>
            <w:r w:rsidR="003274EF">
              <w:rPr>
                <w:noProof/>
              </w:rPr>
              <w:t>60</w:t>
            </w:r>
            <w:r w:rsidRPr="005636BA">
              <w:fldChar w:fldCharType="end"/>
            </w:r>
            <w:r w:rsidRPr="005636BA">
              <w:t xml:space="preserve"> - </w:t>
            </w:r>
            <w:r w:rsidRPr="005636BA">
              <w:fldChar w:fldCharType="begin"/>
            </w:r>
            <w:r w:rsidRPr="005636BA">
              <w:instrText xml:space="preserve"> PAGEREF _Ref467435306 \h </w:instrText>
            </w:r>
            <w:r w:rsidRPr="005636BA">
              <w:fldChar w:fldCharType="separate"/>
            </w:r>
            <w:r w:rsidR="003274EF">
              <w:rPr>
                <w:noProof/>
              </w:rPr>
              <w:t>72</w:t>
            </w:r>
            <w:r w:rsidRPr="005636BA">
              <w:fldChar w:fldCharType="end"/>
            </w:r>
          </w:p>
        </w:tc>
      </w:tr>
      <w:tr w:rsidR="000B46DA" w:rsidRPr="002836EB" w14:paraId="48A73DB2" w14:textId="77777777" w:rsidTr="00924EF2">
        <w:tc>
          <w:tcPr>
            <w:tcW w:w="809" w:type="dxa"/>
            <w:tcMar>
              <w:top w:w="57" w:type="dxa"/>
              <w:left w:w="57" w:type="dxa"/>
              <w:bottom w:w="57" w:type="dxa"/>
            </w:tcMar>
          </w:tcPr>
          <w:p w14:paraId="74A66308" w14:textId="70B2DF29" w:rsidR="000B46DA" w:rsidRPr="002836EB" w:rsidRDefault="000B46DA" w:rsidP="00EB0C28">
            <w:pPr>
              <w:pStyle w:val="02Tabletext"/>
              <w:rPr>
                <w:b/>
                <w:highlight w:val="yellow"/>
              </w:rPr>
            </w:pPr>
            <w:r w:rsidRPr="002836EB">
              <w:t>15304</w:t>
            </w:r>
          </w:p>
        </w:tc>
        <w:tc>
          <w:tcPr>
            <w:tcW w:w="2730" w:type="dxa"/>
            <w:tcMar>
              <w:top w:w="57" w:type="dxa"/>
              <w:left w:w="57" w:type="dxa"/>
              <w:bottom w:w="57" w:type="dxa"/>
            </w:tcMar>
          </w:tcPr>
          <w:p w14:paraId="2E3223F7" w14:textId="7A2D9057" w:rsidR="000B46DA" w:rsidRPr="002836EB" w:rsidRDefault="000B46DA" w:rsidP="00EB0C28">
            <w:pPr>
              <w:pStyle w:val="02Tabletext"/>
            </w:pPr>
            <w:r w:rsidRPr="002836EB">
              <w:t>Delete</w:t>
            </w:r>
          </w:p>
        </w:tc>
        <w:tc>
          <w:tcPr>
            <w:tcW w:w="851" w:type="dxa"/>
            <w:tcMar>
              <w:top w:w="57" w:type="dxa"/>
              <w:left w:w="57" w:type="dxa"/>
              <w:bottom w:w="57" w:type="dxa"/>
            </w:tcMar>
          </w:tcPr>
          <w:p w14:paraId="549A9086" w14:textId="06FE7E52"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7D3C9B38" w14:textId="77777777" w:rsidTr="00924EF2">
        <w:tc>
          <w:tcPr>
            <w:tcW w:w="809" w:type="dxa"/>
            <w:tcMar>
              <w:top w:w="57" w:type="dxa"/>
              <w:left w:w="57" w:type="dxa"/>
              <w:bottom w:w="57" w:type="dxa"/>
            </w:tcMar>
          </w:tcPr>
          <w:p w14:paraId="52F6A769" w14:textId="19282A6C" w:rsidR="000B46DA" w:rsidRPr="002836EB" w:rsidRDefault="000B46DA" w:rsidP="00EB0C28">
            <w:pPr>
              <w:pStyle w:val="02Tabletext"/>
              <w:rPr>
                <w:highlight w:val="yellow"/>
              </w:rPr>
            </w:pPr>
            <w:r w:rsidRPr="002836EB">
              <w:t>15307</w:t>
            </w:r>
          </w:p>
        </w:tc>
        <w:tc>
          <w:tcPr>
            <w:tcW w:w="2730" w:type="dxa"/>
            <w:tcMar>
              <w:top w:w="57" w:type="dxa"/>
              <w:left w:w="57" w:type="dxa"/>
              <w:bottom w:w="57" w:type="dxa"/>
            </w:tcMar>
          </w:tcPr>
          <w:p w14:paraId="5B814780" w14:textId="0BAE16B4" w:rsidR="000B46DA" w:rsidRPr="002836EB" w:rsidRDefault="000B46DA" w:rsidP="00EB0C28">
            <w:pPr>
              <w:pStyle w:val="02Tabletext"/>
            </w:pPr>
            <w:r w:rsidRPr="002836EB">
              <w:t>Change</w:t>
            </w:r>
          </w:p>
        </w:tc>
        <w:tc>
          <w:tcPr>
            <w:tcW w:w="851" w:type="dxa"/>
            <w:tcMar>
              <w:top w:w="57" w:type="dxa"/>
              <w:left w:w="57" w:type="dxa"/>
              <w:bottom w:w="57" w:type="dxa"/>
            </w:tcMar>
          </w:tcPr>
          <w:p w14:paraId="09A0E9F9" w14:textId="0C1F92EA"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757ED82E" w14:textId="77777777" w:rsidTr="00924EF2">
        <w:tc>
          <w:tcPr>
            <w:tcW w:w="809" w:type="dxa"/>
            <w:tcMar>
              <w:top w:w="57" w:type="dxa"/>
              <w:left w:w="57" w:type="dxa"/>
              <w:bottom w:w="57" w:type="dxa"/>
            </w:tcMar>
          </w:tcPr>
          <w:p w14:paraId="191BA22A" w14:textId="34F034E5" w:rsidR="000B46DA" w:rsidRPr="002836EB" w:rsidRDefault="000B46DA" w:rsidP="00EB0C28">
            <w:pPr>
              <w:pStyle w:val="02Tabletext"/>
              <w:rPr>
                <w:highlight w:val="yellow"/>
              </w:rPr>
            </w:pPr>
            <w:r w:rsidRPr="002836EB">
              <w:t>15308</w:t>
            </w:r>
          </w:p>
        </w:tc>
        <w:tc>
          <w:tcPr>
            <w:tcW w:w="2730" w:type="dxa"/>
            <w:tcMar>
              <w:top w:w="57" w:type="dxa"/>
              <w:left w:w="57" w:type="dxa"/>
              <w:bottom w:w="57" w:type="dxa"/>
            </w:tcMar>
          </w:tcPr>
          <w:p w14:paraId="5428F19C" w14:textId="785794F4" w:rsidR="000B46DA" w:rsidRPr="002836EB" w:rsidRDefault="000B46DA" w:rsidP="00EB0C28">
            <w:pPr>
              <w:pStyle w:val="02Tabletext"/>
            </w:pPr>
            <w:r w:rsidRPr="002836EB">
              <w:t>Change</w:t>
            </w:r>
          </w:p>
        </w:tc>
        <w:tc>
          <w:tcPr>
            <w:tcW w:w="851" w:type="dxa"/>
            <w:tcMar>
              <w:top w:w="57" w:type="dxa"/>
              <w:left w:w="57" w:type="dxa"/>
              <w:bottom w:w="57" w:type="dxa"/>
            </w:tcMar>
          </w:tcPr>
          <w:p w14:paraId="41C9CB08" w14:textId="51F1D611"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C7E2609" w14:textId="77777777" w:rsidTr="00924EF2">
        <w:tc>
          <w:tcPr>
            <w:tcW w:w="809" w:type="dxa"/>
            <w:tcMar>
              <w:top w:w="57" w:type="dxa"/>
              <w:left w:w="57" w:type="dxa"/>
              <w:bottom w:w="57" w:type="dxa"/>
            </w:tcMar>
          </w:tcPr>
          <w:p w14:paraId="1E385A98" w14:textId="7E2A0FDA" w:rsidR="000B46DA" w:rsidRPr="002836EB" w:rsidRDefault="000B46DA" w:rsidP="00EB0C28">
            <w:pPr>
              <w:pStyle w:val="02Tabletext"/>
              <w:rPr>
                <w:highlight w:val="yellow"/>
              </w:rPr>
            </w:pPr>
            <w:r w:rsidRPr="002836EB">
              <w:t>15311</w:t>
            </w:r>
          </w:p>
        </w:tc>
        <w:tc>
          <w:tcPr>
            <w:tcW w:w="2730" w:type="dxa"/>
            <w:tcMar>
              <w:top w:w="57" w:type="dxa"/>
              <w:left w:w="57" w:type="dxa"/>
              <w:bottom w:w="57" w:type="dxa"/>
            </w:tcMar>
          </w:tcPr>
          <w:p w14:paraId="72F832B0" w14:textId="1CEFC369" w:rsidR="000B46DA" w:rsidRPr="002836EB" w:rsidRDefault="000B46DA" w:rsidP="00EB0C28">
            <w:pPr>
              <w:pStyle w:val="02Tabletext"/>
              <w:rPr>
                <w:shd w:val="clear" w:color="auto" w:fill="FFFFFF"/>
              </w:rPr>
            </w:pPr>
            <w:r w:rsidRPr="002836EB">
              <w:t>Delete</w:t>
            </w:r>
          </w:p>
        </w:tc>
        <w:tc>
          <w:tcPr>
            <w:tcW w:w="851" w:type="dxa"/>
            <w:tcMar>
              <w:top w:w="57" w:type="dxa"/>
              <w:left w:w="57" w:type="dxa"/>
              <w:bottom w:w="57" w:type="dxa"/>
            </w:tcMar>
          </w:tcPr>
          <w:p w14:paraId="36BD6FFE" w14:textId="44E7BC48" w:rsidR="000B46DA" w:rsidRPr="002836EB" w:rsidRDefault="000B46DA" w:rsidP="00EB0C28">
            <w:pPr>
              <w:pStyle w:val="02Tabletext"/>
              <w:rPr>
                <w:shd w:val="clear" w:color="auto" w:fill="FFFFFF"/>
              </w:rPr>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E97C0BA" w14:textId="77777777" w:rsidTr="00924EF2">
        <w:tc>
          <w:tcPr>
            <w:tcW w:w="809" w:type="dxa"/>
            <w:tcMar>
              <w:top w:w="57" w:type="dxa"/>
              <w:left w:w="57" w:type="dxa"/>
              <w:bottom w:w="57" w:type="dxa"/>
            </w:tcMar>
          </w:tcPr>
          <w:p w14:paraId="2E85FB0A" w14:textId="2EAF1628" w:rsidR="000B46DA" w:rsidRPr="002836EB" w:rsidRDefault="000B46DA" w:rsidP="00EB0C28">
            <w:pPr>
              <w:pStyle w:val="02Tabletext"/>
              <w:rPr>
                <w:highlight w:val="yellow"/>
              </w:rPr>
            </w:pPr>
            <w:r w:rsidRPr="002836EB">
              <w:t>15312</w:t>
            </w:r>
          </w:p>
        </w:tc>
        <w:tc>
          <w:tcPr>
            <w:tcW w:w="2730" w:type="dxa"/>
            <w:tcMar>
              <w:top w:w="57" w:type="dxa"/>
              <w:left w:w="57" w:type="dxa"/>
              <w:bottom w:w="57" w:type="dxa"/>
            </w:tcMar>
          </w:tcPr>
          <w:p w14:paraId="64FC8B51" w14:textId="662CC7CB" w:rsidR="000B46DA" w:rsidRPr="002836EB" w:rsidRDefault="000B46DA" w:rsidP="00EB0C28">
            <w:pPr>
              <w:pStyle w:val="02Tabletext"/>
            </w:pPr>
            <w:r w:rsidRPr="002836EB">
              <w:t>Delete</w:t>
            </w:r>
          </w:p>
        </w:tc>
        <w:tc>
          <w:tcPr>
            <w:tcW w:w="851" w:type="dxa"/>
            <w:tcMar>
              <w:top w:w="57" w:type="dxa"/>
              <w:left w:w="57" w:type="dxa"/>
              <w:bottom w:w="57" w:type="dxa"/>
            </w:tcMar>
          </w:tcPr>
          <w:p w14:paraId="477996B7" w14:textId="6691F423"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4F5031EE" w14:textId="77777777" w:rsidTr="00924EF2">
        <w:tc>
          <w:tcPr>
            <w:tcW w:w="809" w:type="dxa"/>
            <w:tcMar>
              <w:top w:w="57" w:type="dxa"/>
              <w:left w:w="57" w:type="dxa"/>
              <w:bottom w:w="57" w:type="dxa"/>
            </w:tcMar>
          </w:tcPr>
          <w:p w14:paraId="3EC955AB" w14:textId="0DF1CF08" w:rsidR="000B46DA" w:rsidRPr="002836EB" w:rsidRDefault="000B46DA" w:rsidP="00EB0C28">
            <w:pPr>
              <w:pStyle w:val="02Tabletext"/>
              <w:rPr>
                <w:highlight w:val="yellow"/>
              </w:rPr>
            </w:pPr>
            <w:r w:rsidRPr="002836EB">
              <w:t>15315</w:t>
            </w:r>
          </w:p>
        </w:tc>
        <w:tc>
          <w:tcPr>
            <w:tcW w:w="2730" w:type="dxa"/>
            <w:tcMar>
              <w:top w:w="57" w:type="dxa"/>
              <w:left w:w="57" w:type="dxa"/>
              <w:bottom w:w="57" w:type="dxa"/>
            </w:tcMar>
          </w:tcPr>
          <w:p w14:paraId="4CE86081" w14:textId="56CE1AFC" w:rsidR="000B46DA" w:rsidRPr="002836EB" w:rsidRDefault="000B46DA" w:rsidP="00EB0C28">
            <w:pPr>
              <w:pStyle w:val="02Tabletext"/>
            </w:pPr>
            <w:r w:rsidRPr="002836EB">
              <w:t>Change</w:t>
            </w:r>
          </w:p>
        </w:tc>
        <w:tc>
          <w:tcPr>
            <w:tcW w:w="851" w:type="dxa"/>
            <w:tcMar>
              <w:top w:w="57" w:type="dxa"/>
              <w:left w:w="57" w:type="dxa"/>
              <w:bottom w:w="57" w:type="dxa"/>
            </w:tcMar>
          </w:tcPr>
          <w:p w14:paraId="09CB1779" w14:textId="7987FCA5"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563955B3" w14:textId="77777777" w:rsidTr="00924EF2">
        <w:tc>
          <w:tcPr>
            <w:tcW w:w="809" w:type="dxa"/>
            <w:tcMar>
              <w:top w:w="57" w:type="dxa"/>
              <w:left w:w="57" w:type="dxa"/>
              <w:bottom w:w="57" w:type="dxa"/>
            </w:tcMar>
          </w:tcPr>
          <w:p w14:paraId="52986169" w14:textId="10A018DC" w:rsidR="000B46DA" w:rsidRPr="002836EB" w:rsidRDefault="000B46DA" w:rsidP="00EB0C28">
            <w:pPr>
              <w:pStyle w:val="02Tabletext"/>
              <w:rPr>
                <w:b/>
                <w:highlight w:val="yellow"/>
              </w:rPr>
            </w:pPr>
            <w:r w:rsidRPr="002836EB">
              <w:t>15316</w:t>
            </w:r>
          </w:p>
        </w:tc>
        <w:tc>
          <w:tcPr>
            <w:tcW w:w="2730" w:type="dxa"/>
            <w:tcMar>
              <w:top w:w="57" w:type="dxa"/>
              <w:left w:w="57" w:type="dxa"/>
              <w:bottom w:w="57" w:type="dxa"/>
            </w:tcMar>
          </w:tcPr>
          <w:p w14:paraId="3ADDCCD7" w14:textId="39DEF776" w:rsidR="000B46DA" w:rsidRPr="002836EB" w:rsidRDefault="000B46DA" w:rsidP="00EB0C28">
            <w:pPr>
              <w:pStyle w:val="02Tabletext"/>
            </w:pPr>
            <w:r w:rsidRPr="002836EB">
              <w:t>Change</w:t>
            </w:r>
          </w:p>
        </w:tc>
        <w:tc>
          <w:tcPr>
            <w:tcW w:w="851" w:type="dxa"/>
            <w:tcMar>
              <w:top w:w="57" w:type="dxa"/>
              <w:left w:w="57" w:type="dxa"/>
              <w:bottom w:w="57" w:type="dxa"/>
            </w:tcMar>
          </w:tcPr>
          <w:p w14:paraId="6A0829D2" w14:textId="67AF3A1D"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2732B610" w14:textId="77777777" w:rsidTr="00924EF2">
        <w:tc>
          <w:tcPr>
            <w:tcW w:w="809" w:type="dxa"/>
            <w:tcMar>
              <w:top w:w="57" w:type="dxa"/>
              <w:left w:w="57" w:type="dxa"/>
              <w:bottom w:w="57" w:type="dxa"/>
            </w:tcMar>
          </w:tcPr>
          <w:p w14:paraId="709989E4" w14:textId="68E6772D" w:rsidR="000B46DA" w:rsidRPr="002836EB" w:rsidRDefault="000B46DA" w:rsidP="00EB0C28">
            <w:pPr>
              <w:pStyle w:val="02Tabletext"/>
              <w:rPr>
                <w:b/>
                <w:highlight w:val="yellow"/>
              </w:rPr>
            </w:pPr>
            <w:r w:rsidRPr="002836EB">
              <w:t>15319</w:t>
            </w:r>
          </w:p>
        </w:tc>
        <w:tc>
          <w:tcPr>
            <w:tcW w:w="2730" w:type="dxa"/>
            <w:tcMar>
              <w:top w:w="57" w:type="dxa"/>
              <w:left w:w="57" w:type="dxa"/>
              <w:bottom w:w="57" w:type="dxa"/>
            </w:tcMar>
          </w:tcPr>
          <w:p w14:paraId="4D4BF62D" w14:textId="293272E4" w:rsidR="000B46DA" w:rsidRPr="002836EB" w:rsidRDefault="000B46DA" w:rsidP="00EB0C28">
            <w:pPr>
              <w:pStyle w:val="02Tabletext"/>
              <w:rPr>
                <w:shd w:val="clear" w:color="auto" w:fill="FFFFFF"/>
              </w:rPr>
            </w:pPr>
            <w:r w:rsidRPr="002836EB">
              <w:t>Delete</w:t>
            </w:r>
          </w:p>
        </w:tc>
        <w:tc>
          <w:tcPr>
            <w:tcW w:w="851" w:type="dxa"/>
            <w:tcMar>
              <w:top w:w="57" w:type="dxa"/>
              <w:left w:w="57" w:type="dxa"/>
              <w:bottom w:w="57" w:type="dxa"/>
            </w:tcMar>
          </w:tcPr>
          <w:p w14:paraId="762FEA0C" w14:textId="0FE126DA" w:rsidR="000B46DA" w:rsidRPr="002836EB" w:rsidRDefault="000B46DA" w:rsidP="00EB0C28">
            <w:pPr>
              <w:pStyle w:val="02Tabletext"/>
              <w:rPr>
                <w:shd w:val="clear" w:color="auto" w:fill="FFFFFF"/>
              </w:rPr>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3477C89A" w14:textId="77777777" w:rsidTr="00924EF2">
        <w:tc>
          <w:tcPr>
            <w:tcW w:w="809" w:type="dxa"/>
            <w:tcMar>
              <w:top w:w="57" w:type="dxa"/>
              <w:left w:w="57" w:type="dxa"/>
              <w:bottom w:w="57" w:type="dxa"/>
            </w:tcMar>
          </w:tcPr>
          <w:p w14:paraId="5F7F4646" w14:textId="6C76EF95" w:rsidR="000B46DA" w:rsidRPr="002836EB" w:rsidRDefault="000B46DA" w:rsidP="00EB0C28">
            <w:pPr>
              <w:pStyle w:val="02Tabletext"/>
              <w:rPr>
                <w:b/>
                <w:highlight w:val="yellow"/>
              </w:rPr>
            </w:pPr>
            <w:r w:rsidRPr="002836EB">
              <w:t>15320</w:t>
            </w:r>
          </w:p>
        </w:tc>
        <w:tc>
          <w:tcPr>
            <w:tcW w:w="2730" w:type="dxa"/>
            <w:tcMar>
              <w:top w:w="57" w:type="dxa"/>
              <w:left w:w="57" w:type="dxa"/>
              <w:bottom w:w="57" w:type="dxa"/>
            </w:tcMar>
          </w:tcPr>
          <w:p w14:paraId="30B7C9B1" w14:textId="16513912" w:rsidR="000B46DA" w:rsidRPr="002836EB" w:rsidRDefault="000B46DA" w:rsidP="00EB0C28">
            <w:pPr>
              <w:pStyle w:val="02Tabletext"/>
            </w:pPr>
            <w:r w:rsidRPr="002836EB">
              <w:t>Delete</w:t>
            </w:r>
          </w:p>
        </w:tc>
        <w:tc>
          <w:tcPr>
            <w:tcW w:w="851" w:type="dxa"/>
            <w:tcMar>
              <w:top w:w="57" w:type="dxa"/>
              <w:left w:w="57" w:type="dxa"/>
              <w:bottom w:w="57" w:type="dxa"/>
            </w:tcMar>
          </w:tcPr>
          <w:p w14:paraId="15C1521C" w14:textId="43D1B87B"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4B464D7" w14:textId="77777777" w:rsidTr="00924EF2">
        <w:tc>
          <w:tcPr>
            <w:tcW w:w="809" w:type="dxa"/>
            <w:tcMar>
              <w:top w:w="57" w:type="dxa"/>
              <w:left w:w="57" w:type="dxa"/>
              <w:bottom w:w="57" w:type="dxa"/>
            </w:tcMar>
          </w:tcPr>
          <w:p w14:paraId="725779E9" w14:textId="29D21919" w:rsidR="000B46DA" w:rsidRPr="002836EB" w:rsidRDefault="000B46DA" w:rsidP="00EB0C28">
            <w:pPr>
              <w:pStyle w:val="02Tabletext"/>
              <w:rPr>
                <w:b/>
                <w:highlight w:val="yellow"/>
              </w:rPr>
            </w:pPr>
            <w:r w:rsidRPr="002836EB">
              <w:t>15323</w:t>
            </w:r>
          </w:p>
        </w:tc>
        <w:tc>
          <w:tcPr>
            <w:tcW w:w="2730" w:type="dxa"/>
            <w:tcMar>
              <w:top w:w="57" w:type="dxa"/>
              <w:left w:w="57" w:type="dxa"/>
              <w:bottom w:w="57" w:type="dxa"/>
            </w:tcMar>
          </w:tcPr>
          <w:p w14:paraId="20ECC1CE" w14:textId="085EB89D" w:rsidR="000B46DA" w:rsidRPr="002836EB" w:rsidRDefault="000B46DA" w:rsidP="00EB0C28">
            <w:pPr>
              <w:pStyle w:val="02Tabletext"/>
            </w:pPr>
            <w:r w:rsidRPr="002836EB">
              <w:t>Change</w:t>
            </w:r>
          </w:p>
        </w:tc>
        <w:tc>
          <w:tcPr>
            <w:tcW w:w="851" w:type="dxa"/>
            <w:tcMar>
              <w:top w:w="57" w:type="dxa"/>
              <w:left w:w="57" w:type="dxa"/>
              <w:bottom w:w="57" w:type="dxa"/>
            </w:tcMar>
          </w:tcPr>
          <w:p w14:paraId="35D3AD84" w14:textId="76AF8659"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55DDBC50" w14:textId="77777777" w:rsidTr="00924EF2">
        <w:tc>
          <w:tcPr>
            <w:tcW w:w="809" w:type="dxa"/>
            <w:tcMar>
              <w:top w:w="57" w:type="dxa"/>
              <w:left w:w="57" w:type="dxa"/>
              <w:bottom w:w="57" w:type="dxa"/>
            </w:tcMar>
          </w:tcPr>
          <w:p w14:paraId="678D554F" w14:textId="7C199232" w:rsidR="000B46DA" w:rsidRPr="002836EB" w:rsidRDefault="000B46DA" w:rsidP="00EB0C28">
            <w:pPr>
              <w:pStyle w:val="02Tabletext"/>
              <w:rPr>
                <w:b/>
                <w:highlight w:val="yellow"/>
              </w:rPr>
            </w:pPr>
            <w:r w:rsidRPr="002836EB">
              <w:t>15324</w:t>
            </w:r>
          </w:p>
        </w:tc>
        <w:tc>
          <w:tcPr>
            <w:tcW w:w="2730" w:type="dxa"/>
            <w:tcMar>
              <w:top w:w="57" w:type="dxa"/>
              <w:left w:w="57" w:type="dxa"/>
              <w:bottom w:w="57" w:type="dxa"/>
            </w:tcMar>
          </w:tcPr>
          <w:p w14:paraId="340EA34C" w14:textId="2288E154" w:rsidR="000B46DA" w:rsidRPr="002836EB" w:rsidRDefault="000B46DA" w:rsidP="00EB0C28">
            <w:pPr>
              <w:pStyle w:val="02Tabletext"/>
            </w:pPr>
            <w:r w:rsidRPr="002836EB">
              <w:t>Change</w:t>
            </w:r>
          </w:p>
        </w:tc>
        <w:tc>
          <w:tcPr>
            <w:tcW w:w="851" w:type="dxa"/>
            <w:tcMar>
              <w:top w:w="57" w:type="dxa"/>
              <w:left w:w="57" w:type="dxa"/>
              <w:bottom w:w="57" w:type="dxa"/>
            </w:tcMar>
          </w:tcPr>
          <w:p w14:paraId="309B6E28" w14:textId="1C238E4B"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E674355" w14:textId="77777777" w:rsidTr="00924EF2">
        <w:tc>
          <w:tcPr>
            <w:tcW w:w="809" w:type="dxa"/>
            <w:tcMar>
              <w:top w:w="57" w:type="dxa"/>
              <w:left w:w="57" w:type="dxa"/>
              <w:bottom w:w="57" w:type="dxa"/>
            </w:tcMar>
          </w:tcPr>
          <w:p w14:paraId="368E235A" w14:textId="7C0A7841" w:rsidR="000B46DA" w:rsidRPr="002836EB" w:rsidRDefault="000B46DA" w:rsidP="00EB0C28">
            <w:pPr>
              <w:pStyle w:val="02Tabletext"/>
              <w:rPr>
                <w:highlight w:val="yellow"/>
              </w:rPr>
            </w:pPr>
            <w:r w:rsidRPr="002836EB">
              <w:t>15327</w:t>
            </w:r>
          </w:p>
        </w:tc>
        <w:tc>
          <w:tcPr>
            <w:tcW w:w="2730" w:type="dxa"/>
            <w:tcMar>
              <w:top w:w="57" w:type="dxa"/>
              <w:left w:w="57" w:type="dxa"/>
              <w:bottom w:w="57" w:type="dxa"/>
            </w:tcMar>
          </w:tcPr>
          <w:p w14:paraId="05EF08D1" w14:textId="43519BF5" w:rsidR="000B46DA" w:rsidRPr="002836EB" w:rsidRDefault="000B46DA" w:rsidP="00EB0C28">
            <w:pPr>
              <w:pStyle w:val="02Tabletext"/>
            </w:pPr>
            <w:r w:rsidRPr="002836EB">
              <w:t>Change</w:t>
            </w:r>
          </w:p>
        </w:tc>
        <w:tc>
          <w:tcPr>
            <w:tcW w:w="851" w:type="dxa"/>
            <w:tcMar>
              <w:top w:w="57" w:type="dxa"/>
              <w:left w:w="57" w:type="dxa"/>
              <w:bottom w:w="57" w:type="dxa"/>
            </w:tcMar>
          </w:tcPr>
          <w:p w14:paraId="3E31FA97" w14:textId="4EE9E2F3"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653C60E4" w14:textId="77777777" w:rsidTr="00924EF2">
        <w:tc>
          <w:tcPr>
            <w:tcW w:w="809" w:type="dxa"/>
            <w:tcMar>
              <w:top w:w="57" w:type="dxa"/>
              <w:left w:w="57" w:type="dxa"/>
              <w:bottom w:w="57" w:type="dxa"/>
            </w:tcMar>
          </w:tcPr>
          <w:p w14:paraId="7A8ECA80" w14:textId="38B44BA0" w:rsidR="000B46DA" w:rsidRPr="002836EB" w:rsidRDefault="000B46DA" w:rsidP="00EB0C28">
            <w:pPr>
              <w:pStyle w:val="02Tabletext"/>
              <w:rPr>
                <w:highlight w:val="yellow"/>
              </w:rPr>
            </w:pPr>
            <w:r w:rsidRPr="002836EB">
              <w:t>15328</w:t>
            </w:r>
          </w:p>
        </w:tc>
        <w:tc>
          <w:tcPr>
            <w:tcW w:w="2730" w:type="dxa"/>
            <w:tcMar>
              <w:top w:w="57" w:type="dxa"/>
              <w:left w:w="57" w:type="dxa"/>
              <w:bottom w:w="57" w:type="dxa"/>
            </w:tcMar>
          </w:tcPr>
          <w:p w14:paraId="52FB7A4C" w14:textId="15F0C013" w:rsidR="000B46DA" w:rsidRPr="002836EB" w:rsidRDefault="000B46DA" w:rsidP="00EB0C28">
            <w:pPr>
              <w:pStyle w:val="02Tabletext"/>
            </w:pPr>
            <w:r w:rsidRPr="002836EB">
              <w:t>Change</w:t>
            </w:r>
          </w:p>
        </w:tc>
        <w:tc>
          <w:tcPr>
            <w:tcW w:w="851" w:type="dxa"/>
            <w:tcMar>
              <w:top w:w="57" w:type="dxa"/>
              <w:left w:w="57" w:type="dxa"/>
              <w:bottom w:w="57" w:type="dxa"/>
            </w:tcMar>
          </w:tcPr>
          <w:p w14:paraId="148FA1BC" w14:textId="0CA809C5"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083DFBA5" w14:textId="77777777" w:rsidTr="00924EF2">
        <w:tc>
          <w:tcPr>
            <w:tcW w:w="809" w:type="dxa"/>
            <w:tcMar>
              <w:top w:w="57" w:type="dxa"/>
              <w:left w:w="57" w:type="dxa"/>
              <w:bottom w:w="57" w:type="dxa"/>
            </w:tcMar>
          </w:tcPr>
          <w:p w14:paraId="585E027D" w14:textId="77C61642" w:rsidR="000B46DA" w:rsidRPr="002836EB" w:rsidRDefault="000B46DA" w:rsidP="00EB0C28">
            <w:pPr>
              <w:pStyle w:val="02Tabletext"/>
              <w:rPr>
                <w:highlight w:val="yellow"/>
              </w:rPr>
            </w:pPr>
            <w:r w:rsidRPr="002836EB">
              <w:t>15331</w:t>
            </w:r>
          </w:p>
        </w:tc>
        <w:tc>
          <w:tcPr>
            <w:tcW w:w="2730" w:type="dxa"/>
            <w:tcMar>
              <w:top w:w="57" w:type="dxa"/>
              <w:left w:w="57" w:type="dxa"/>
              <w:bottom w:w="57" w:type="dxa"/>
            </w:tcMar>
          </w:tcPr>
          <w:p w14:paraId="29925253" w14:textId="7A83068A" w:rsidR="000B46DA" w:rsidRPr="002836EB" w:rsidRDefault="000B46DA" w:rsidP="00EB0C28">
            <w:pPr>
              <w:pStyle w:val="02Tabletext"/>
              <w:rPr>
                <w:shd w:val="clear" w:color="auto" w:fill="FFFFFF"/>
              </w:rPr>
            </w:pPr>
            <w:r w:rsidRPr="002836EB">
              <w:t>Change</w:t>
            </w:r>
          </w:p>
        </w:tc>
        <w:tc>
          <w:tcPr>
            <w:tcW w:w="851" w:type="dxa"/>
            <w:tcMar>
              <w:top w:w="57" w:type="dxa"/>
              <w:left w:w="57" w:type="dxa"/>
              <w:bottom w:w="57" w:type="dxa"/>
            </w:tcMar>
          </w:tcPr>
          <w:p w14:paraId="6D6CF69E" w14:textId="757A6621" w:rsidR="000B46DA" w:rsidRPr="002836EB" w:rsidRDefault="000B46DA" w:rsidP="00EB0C28">
            <w:pPr>
              <w:pStyle w:val="02Tabletext"/>
              <w:rPr>
                <w:shd w:val="clear" w:color="auto" w:fill="FFFFFF"/>
              </w:rPr>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04AC2C3D" w14:textId="77777777" w:rsidTr="00924EF2">
        <w:tc>
          <w:tcPr>
            <w:tcW w:w="809" w:type="dxa"/>
            <w:tcMar>
              <w:top w:w="57" w:type="dxa"/>
              <w:left w:w="57" w:type="dxa"/>
              <w:bottom w:w="57" w:type="dxa"/>
            </w:tcMar>
          </w:tcPr>
          <w:p w14:paraId="4CEBA050" w14:textId="0550D9B7" w:rsidR="000B46DA" w:rsidRPr="002836EB" w:rsidRDefault="000B46DA" w:rsidP="00EB0C28">
            <w:pPr>
              <w:pStyle w:val="02Tabletext"/>
              <w:rPr>
                <w:highlight w:val="yellow"/>
              </w:rPr>
            </w:pPr>
            <w:r w:rsidRPr="002836EB">
              <w:t>15332</w:t>
            </w:r>
          </w:p>
        </w:tc>
        <w:tc>
          <w:tcPr>
            <w:tcW w:w="2730" w:type="dxa"/>
            <w:tcMar>
              <w:top w:w="57" w:type="dxa"/>
              <w:left w:w="57" w:type="dxa"/>
              <w:bottom w:w="57" w:type="dxa"/>
            </w:tcMar>
          </w:tcPr>
          <w:p w14:paraId="0671FFD2" w14:textId="5B63AD67" w:rsidR="000B46DA" w:rsidRPr="002836EB" w:rsidRDefault="000B46DA" w:rsidP="00EB0C28">
            <w:pPr>
              <w:pStyle w:val="02Tabletext"/>
            </w:pPr>
            <w:r w:rsidRPr="002836EB">
              <w:t>Change</w:t>
            </w:r>
          </w:p>
        </w:tc>
        <w:tc>
          <w:tcPr>
            <w:tcW w:w="851" w:type="dxa"/>
            <w:tcMar>
              <w:top w:w="57" w:type="dxa"/>
              <w:left w:w="57" w:type="dxa"/>
              <w:bottom w:w="57" w:type="dxa"/>
            </w:tcMar>
          </w:tcPr>
          <w:p w14:paraId="5E6FDE33" w14:textId="4BB14ECB"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7638272E" w14:textId="77777777" w:rsidTr="00924EF2">
        <w:tc>
          <w:tcPr>
            <w:tcW w:w="809" w:type="dxa"/>
            <w:tcMar>
              <w:top w:w="57" w:type="dxa"/>
              <w:left w:w="57" w:type="dxa"/>
              <w:bottom w:w="57" w:type="dxa"/>
            </w:tcMar>
          </w:tcPr>
          <w:p w14:paraId="5C29CE3D" w14:textId="09BCFF26" w:rsidR="000B46DA" w:rsidRPr="002836EB" w:rsidRDefault="000B46DA" w:rsidP="00EB0C28">
            <w:pPr>
              <w:pStyle w:val="02Tabletext"/>
              <w:rPr>
                <w:highlight w:val="yellow"/>
              </w:rPr>
            </w:pPr>
            <w:r w:rsidRPr="002836EB">
              <w:t>15335</w:t>
            </w:r>
          </w:p>
        </w:tc>
        <w:tc>
          <w:tcPr>
            <w:tcW w:w="2730" w:type="dxa"/>
            <w:tcMar>
              <w:top w:w="57" w:type="dxa"/>
              <w:left w:w="57" w:type="dxa"/>
              <w:bottom w:w="57" w:type="dxa"/>
            </w:tcMar>
          </w:tcPr>
          <w:p w14:paraId="4AD9EF33" w14:textId="14F50FB5" w:rsidR="000B46DA" w:rsidRPr="002836EB" w:rsidRDefault="000B46DA" w:rsidP="00EB0C28">
            <w:pPr>
              <w:pStyle w:val="02Tabletext"/>
            </w:pPr>
            <w:r w:rsidRPr="002836EB">
              <w:t>Change</w:t>
            </w:r>
          </w:p>
        </w:tc>
        <w:tc>
          <w:tcPr>
            <w:tcW w:w="851" w:type="dxa"/>
            <w:tcMar>
              <w:top w:w="57" w:type="dxa"/>
              <w:left w:w="57" w:type="dxa"/>
              <w:bottom w:w="57" w:type="dxa"/>
            </w:tcMar>
          </w:tcPr>
          <w:p w14:paraId="25BA46BA" w14:textId="6D8693EB"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00B9E35" w14:textId="77777777" w:rsidTr="00924EF2">
        <w:tc>
          <w:tcPr>
            <w:tcW w:w="809" w:type="dxa"/>
            <w:tcMar>
              <w:top w:w="57" w:type="dxa"/>
              <w:left w:w="57" w:type="dxa"/>
              <w:bottom w:w="57" w:type="dxa"/>
            </w:tcMar>
          </w:tcPr>
          <w:p w14:paraId="63441934" w14:textId="32951B17" w:rsidR="000B46DA" w:rsidRPr="002836EB" w:rsidRDefault="000B46DA" w:rsidP="00EB0C28">
            <w:pPr>
              <w:pStyle w:val="02Tabletext"/>
              <w:rPr>
                <w:b/>
                <w:highlight w:val="yellow"/>
              </w:rPr>
            </w:pPr>
            <w:r w:rsidRPr="002836EB">
              <w:t>15336</w:t>
            </w:r>
          </w:p>
        </w:tc>
        <w:tc>
          <w:tcPr>
            <w:tcW w:w="2730" w:type="dxa"/>
            <w:tcMar>
              <w:top w:w="57" w:type="dxa"/>
              <w:left w:w="57" w:type="dxa"/>
              <w:bottom w:w="57" w:type="dxa"/>
            </w:tcMar>
          </w:tcPr>
          <w:p w14:paraId="4687C5B8" w14:textId="75F8D8F8" w:rsidR="000B46DA" w:rsidRPr="002836EB" w:rsidRDefault="000B46DA" w:rsidP="00EB0C28">
            <w:pPr>
              <w:pStyle w:val="02Tabletext"/>
            </w:pPr>
            <w:r w:rsidRPr="002836EB">
              <w:t>Change</w:t>
            </w:r>
          </w:p>
        </w:tc>
        <w:tc>
          <w:tcPr>
            <w:tcW w:w="851" w:type="dxa"/>
            <w:tcMar>
              <w:top w:w="57" w:type="dxa"/>
              <w:left w:w="57" w:type="dxa"/>
              <w:bottom w:w="57" w:type="dxa"/>
            </w:tcMar>
          </w:tcPr>
          <w:p w14:paraId="61B8F7E9" w14:textId="29D900F6"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451B3438" w14:textId="77777777" w:rsidTr="00924EF2">
        <w:tc>
          <w:tcPr>
            <w:tcW w:w="809" w:type="dxa"/>
            <w:tcMar>
              <w:top w:w="57" w:type="dxa"/>
              <w:left w:w="57" w:type="dxa"/>
              <w:bottom w:w="57" w:type="dxa"/>
            </w:tcMar>
          </w:tcPr>
          <w:p w14:paraId="28C114B2" w14:textId="1D3D035F" w:rsidR="000B46DA" w:rsidRPr="002836EB" w:rsidRDefault="000B46DA" w:rsidP="00EB0C28">
            <w:pPr>
              <w:pStyle w:val="02Tabletext"/>
              <w:rPr>
                <w:b/>
                <w:highlight w:val="yellow"/>
              </w:rPr>
            </w:pPr>
            <w:r w:rsidRPr="002836EB">
              <w:t>15338</w:t>
            </w:r>
          </w:p>
        </w:tc>
        <w:tc>
          <w:tcPr>
            <w:tcW w:w="2730" w:type="dxa"/>
            <w:tcMar>
              <w:top w:w="57" w:type="dxa"/>
              <w:left w:w="57" w:type="dxa"/>
              <w:bottom w:w="57" w:type="dxa"/>
            </w:tcMar>
          </w:tcPr>
          <w:p w14:paraId="1243C869" w14:textId="6E2AB225" w:rsidR="000B46DA" w:rsidRPr="002836EB" w:rsidRDefault="000B46DA" w:rsidP="00EB0C28">
            <w:pPr>
              <w:pStyle w:val="02Tabletext"/>
              <w:rPr>
                <w:shd w:val="clear" w:color="auto" w:fill="FFFFFF"/>
              </w:rPr>
            </w:pPr>
            <w:r w:rsidRPr="002836EB">
              <w:t>Change</w:t>
            </w:r>
          </w:p>
        </w:tc>
        <w:tc>
          <w:tcPr>
            <w:tcW w:w="851" w:type="dxa"/>
            <w:tcMar>
              <w:top w:w="57" w:type="dxa"/>
              <w:left w:w="57" w:type="dxa"/>
              <w:bottom w:w="57" w:type="dxa"/>
            </w:tcMar>
          </w:tcPr>
          <w:p w14:paraId="4D6C0C28" w14:textId="6BCF3385" w:rsidR="000B46DA" w:rsidRPr="002836EB" w:rsidRDefault="000B46DA" w:rsidP="00EB0C28">
            <w:pPr>
              <w:pStyle w:val="02Tabletext"/>
              <w:rPr>
                <w:shd w:val="clear" w:color="auto" w:fill="FFFFFF"/>
              </w:rPr>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3BA9A85" w14:textId="77777777" w:rsidTr="00924EF2">
        <w:tc>
          <w:tcPr>
            <w:tcW w:w="809" w:type="dxa"/>
            <w:tcMar>
              <w:top w:w="57" w:type="dxa"/>
              <w:left w:w="57" w:type="dxa"/>
              <w:bottom w:w="57" w:type="dxa"/>
            </w:tcMar>
          </w:tcPr>
          <w:p w14:paraId="3FAF3271" w14:textId="48B707F6" w:rsidR="000B46DA" w:rsidRPr="002836EB" w:rsidRDefault="000B46DA" w:rsidP="00EB0C28">
            <w:pPr>
              <w:pStyle w:val="02Tabletext"/>
              <w:rPr>
                <w:b/>
                <w:highlight w:val="yellow"/>
              </w:rPr>
            </w:pPr>
            <w:r w:rsidRPr="002836EB">
              <w:t>15339</w:t>
            </w:r>
          </w:p>
        </w:tc>
        <w:tc>
          <w:tcPr>
            <w:tcW w:w="2730" w:type="dxa"/>
            <w:tcMar>
              <w:top w:w="57" w:type="dxa"/>
              <w:left w:w="57" w:type="dxa"/>
              <w:bottom w:w="57" w:type="dxa"/>
            </w:tcMar>
          </w:tcPr>
          <w:p w14:paraId="3F2EFAAF" w14:textId="023206C3" w:rsidR="000B46DA" w:rsidRPr="002836EB" w:rsidRDefault="000B46DA" w:rsidP="00EB0C28">
            <w:pPr>
              <w:pStyle w:val="02Tabletext"/>
            </w:pPr>
            <w:r w:rsidRPr="002836EB">
              <w:t>Change</w:t>
            </w:r>
          </w:p>
        </w:tc>
        <w:tc>
          <w:tcPr>
            <w:tcW w:w="851" w:type="dxa"/>
            <w:tcMar>
              <w:top w:w="57" w:type="dxa"/>
              <w:left w:w="57" w:type="dxa"/>
              <w:bottom w:w="57" w:type="dxa"/>
            </w:tcMar>
          </w:tcPr>
          <w:p w14:paraId="0853D90E" w14:textId="0456E5C7"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5DA6F085" w14:textId="77777777" w:rsidTr="00924EF2">
        <w:tc>
          <w:tcPr>
            <w:tcW w:w="809" w:type="dxa"/>
            <w:tcMar>
              <w:top w:w="57" w:type="dxa"/>
              <w:left w:w="57" w:type="dxa"/>
              <w:bottom w:w="57" w:type="dxa"/>
            </w:tcMar>
          </w:tcPr>
          <w:p w14:paraId="78C6AF23" w14:textId="30B947E7" w:rsidR="000B46DA" w:rsidRPr="002836EB" w:rsidRDefault="000B46DA" w:rsidP="00EB0C28">
            <w:pPr>
              <w:pStyle w:val="02Tabletext"/>
              <w:rPr>
                <w:b/>
                <w:highlight w:val="yellow"/>
              </w:rPr>
            </w:pPr>
            <w:r w:rsidRPr="002836EB">
              <w:t>15342</w:t>
            </w:r>
          </w:p>
        </w:tc>
        <w:tc>
          <w:tcPr>
            <w:tcW w:w="2730" w:type="dxa"/>
            <w:tcMar>
              <w:top w:w="57" w:type="dxa"/>
              <w:left w:w="57" w:type="dxa"/>
              <w:bottom w:w="57" w:type="dxa"/>
            </w:tcMar>
          </w:tcPr>
          <w:p w14:paraId="7939D536" w14:textId="3C289FB0" w:rsidR="000B46DA" w:rsidRPr="002836EB" w:rsidRDefault="000B46DA" w:rsidP="00EB0C28">
            <w:pPr>
              <w:pStyle w:val="02Tabletext"/>
            </w:pPr>
            <w:r w:rsidRPr="002836EB">
              <w:t>Delete</w:t>
            </w:r>
          </w:p>
        </w:tc>
        <w:tc>
          <w:tcPr>
            <w:tcW w:w="851" w:type="dxa"/>
            <w:tcMar>
              <w:top w:w="57" w:type="dxa"/>
              <w:left w:w="57" w:type="dxa"/>
              <w:bottom w:w="57" w:type="dxa"/>
            </w:tcMar>
          </w:tcPr>
          <w:p w14:paraId="3AB5706E" w14:textId="336ED7B2"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46B69944" w14:textId="77777777" w:rsidTr="00924EF2">
        <w:tc>
          <w:tcPr>
            <w:tcW w:w="809" w:type="dxa"/>
            <w:tcMar>
              <w:top w:w="57" w:type="dxa"/>
              <w:left w:w="57" w:type="dxa"/>
              <w:bottom w:w="57" w:type="dxa"/>
            </w:tcMar>
          </w:tcPr>
          <w:p w14:paraId="6865FFDF" w14:textId="4F083319" w:rsidR="000B46DA" w:rsidRPr="002836EB" w:rsidRDefault="000B46DA" w:rsidP="00EB0C28">
            <w:pPr>
              <w:pStyle w:val="02Tabletext"/>
              <w:rPr>
                <w:b/>
                <w:highlight w:val="yellow"/>
              </w:rPr>
            </w:pPr>
            <w:r w:rsidRPr="002836EB">
              <w:t>15345</w:t>
            </w:r>
          </w:p>
        </w:tc>
        <w:tc>
          <w:tcPr>
            <w:tcW w:w="2730" w:type="dxa"/>
            <w:tcMar>
              <w:top w:w="57" w:type="dxa"/>
              <w:left w:w="57" w:type="dxa"/>
              <w:bottom w:w="57" w:type="dxa"/>
            </w:tcMar>
          </w:tcPr>
          <w:p w14:paraId="2C15FAE2" w14:textId="03BBB9CE" w:rsidR="000B46DA" w:rsidRPr="002836EB" w:rsidRDefault="000B46DA" w:rsidP="00EB0C28">
            <w:pPr>
              <w:pStyle w:val="02Tabletext"/>
            </w:pPr>
            <w:r w:rsidRPr="002836EB">
              <w:t>Change</w:t>
            </w:r>
          </w:p>
        </w:tc>
        <w:tc>
          <w:tcPr>
            <w:tcW w:w="851" w:type="dxa"/>
            <w:tcMar>
              <w:top w:w="57" w:type="dxa"/>
              <w:left w:w="57" w:type="dxa"/>
              <w:bottom w:w="57" w:type="dxa"/>
            </w:tcMar>
          </w:tcPr>
          <w:p w14:paraId="62468704" w14:textId="764CC198"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113073C5" w14:textId="77777777" w:rsidTr="00924EF2">
        <w:tc>
          <w:tcPr>
            <w:tcW w:w="809" w:type="dxa"/>
            <w:tcMar>
              <w:top w:w="57" w:type="dxa"/>
              <w:left w:w="57" w:type="dxa"/>
              <w:bottom w:w="57" w:type="dxa"/>
            </w:tcMar>
          </w:tcPr>
          <w:p w14:paraId="6622A65C" w14:textId="089D192E" w:rsidR="000B46DA" w:rsidRPr="002836EB" w:rsidRDefault="000B46DA" w:rsidP="00EB0C28">
            <w:pPr>
              <w:pStyle w:val="02Tabletext"/>
              <w:rPr>
                <w:highlight w:val="yellow"/>
              </w:rPr>
            </w:pPr>
            <w:r w:rsidRPr="002836EB">
              <w:t>15348</w:t>
            </w:r>
          </w:p>
        </w:tc>
        <w:tc>
          <w:tcPr>
            <w:tcW w:w="2730" w:type="dxa"/>
            <w:tcMar>
              <w:top w:w="57" w:type="dxa"/>
              <w:left w:w="57" w:type="dxa"/>
              <w:bottom w:w="57" w:type="dxa"/>
            </w:tcMar>
          </w:tcPr>
          <w:p w14:paraId="5A54FD66" w14:textId="7FDCAADC" w:rsidR="000B46DA" w:rsidRPr="002836EB" w:rsidRDefault="000B46DA" w:rsidP="00EB0C28">
            <w:pPr>
              <w:pStyle w:val="02Tabletext"/>
            </w:pPr>
            <w:r w:rsidRPr="002836EB">
              <w:t>Change</w:t>
            </w:r>
          </w:p>
        </w:tc>
        <w:tc>
          <w:tcPr>
            <w:tcW w:w="851" w:type="dxa"/>
            <w:tcMar>
              <w:top w:w="57" w:type="dxa"/>
              <w:left w:w="57" w:type="dxa"/>
              <w:bottom w:w="57" w:type="dxa"/>
            </w:tcMar>
          </w:tcPr>
          <w:p w14:paraId="098A1411" w14:textId="4ED1DE29"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2115A0D0" w14:textId="77777777" w:rsidTr="00924EF2">
        <w:tc>
          <w:tcPr>
            <w:tcW w:w="809" w:type="dxa"/>
            <w:tcMar>
              <w:top w:w="57" w:type="dxa"/>
              <w:left w:w="57" w:type="dxa"/>
              <w:bottom w:w="57" w:type="dxa"/>
            </w:tcMar>
          </w:tcPr>
          <w:p w14:paraId="0AD60AC3" w14:textId="0DDBBE0D" w:rsidR="000B46DA" w:rsidRPr="002836EB" w:rsidRDefault="000B46DA" w:rsidP="00EB0C28">
            <w:pPr>
              <w:pStyle w:val="02Tabletext"/>
              <w:rPr>
                <w:highlight w:val="yellow"/>
              </w:rPr>
            </w:pPr>
            <w:r w:rsidRPr="002836EB">
              <w:t>15351</w:t>
            </w:r>
          </w:p>
        </w:tc>
        <w:tc>
          <w:tcPr>
            <w:tcW w:w="2730" w:type="dxa"/>
            <w:tcMar>
              <w:top w:w="57" w:type="dxa"/>
              <w:left w:w="57" w:type="dxa"/>
              <w:bottom w:w="57" w:type="dxa"/>
            </w:tcMar>
          </w:tcPr>
          <w:p w14:paraId="5067852C" w14:textId="6F3EA77A" w:rsidR="000B46DA" w:rsidRPr="002836EB" w:rsidRDefault="000B46DA" w:rsidP="00EB0C28">
            <w:pPr>
              <w:pStyle w:val="02Tabletext"/>
            </w:pPr>
            <w:r w:rsidRPr="002836EB">
              <w:t>Change</w:t>
            </w:r>
          </w:p>
        </w:tc>
        <w:tc>
          <w:tcPr>
            <w:tcW w:w="851" w:type="dxa"/>
            <w:tcMar>
              <w:top w:w="57" w:type="dxa"/>
              <w:left w:w="57" w:type="dxa"/>
              <w:bottom w:w="57" w:type="dxa"/>
            </w:tcMar>
          </w:tcPr>
          <w:p w14:paraId="2E6CDAE0" w14:textId="39EC00E6"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7DC32B4F" w14:textId="77777777" w:rsidTr="00924EF2">
        <w:tc>
          <w:tcPr>
            <w:tcW w:w="809" w:type="dxa"/>
            <w:tcMar>
              <w:top w:w="57" w:type="dxa"/>
              <w:left w:w="57" w:type="dxa"/>
              <w:bottom w:w="57" w:type="dxa"/>
            </w:tcMar>
          </w:tcPr>
          <w:p w14:paraId="55C71272" w14:textId="42169F03" w:rsidR="000B46DA" w:rsidRPr="002836EB" w:rsidRDefault="000B46DA" w:rsidP="00EB0C28">
            <w:pPr>
              <w:pStyle w:val="02Tabletext"/>
              <w:rPr>
                <w:highlight w:val="yellow"/>
              </w:rPr>
            </w:pPr>
            <w:r w:rsidRPr="002836EB">
              <w:t>15354</w:t>
            </w:r>
          </w:p>
        </w:tc>
        <w:tc>
          <w:tcPr>
            <w:tcW w:w="2730" w:type="dxa"/>
            <w:tcMar>
              <w:top w:w="57" w:type="dxa"/>
              <w:left w:w="57" w:type="dxa"/>
              <w:bottom w:w="57" w:type="dxa"/>
            </w:tcMar>
          </w:tcPr>
          <w:p w14:paraId="511B72CF" w14:textId="4D1A4875" w:rsidR="000B46DA" w:rsidRPr="002836EB" w:rsidRDefault="000B46DA" w:rsidP="00EB0C28">
            <w:pPr>
              <w:pStyle w:val="02Tabletext"/>
              <w:rPr>
                <w:shd w:val="clear" w:color="auto" w:fill="FFFFFF"/>
              </w:rPr>
            </w:pPr>
            <w:r w:rsidRPr="002836EB">
              <w:t>Change</w:t>
            </w:r>
          </w:p>
        </w:tc>
        <w:tc>
          <w:tcPr>
            <w:tcW w:w="851" w:type="dxa"/>
            <w:tcMar>
              <w:top w:w="57" w:type="dxa"/>
              <w:left w:w="57" w:type="dxa"/>
              <w:bottom w:w="57" w:type="dxa"/>
            </w:tcMar>
          </w:tcPr>
          <w:p w14:paraId="25104F69" w14:textId="3684AE0A" w:rsidR="000B46DA" w:rsidRPr="002836EB" w:rsidRDefault="000B46DA" w:rsidP="00EB0C28">
            <w:pPr>
              <w:pStyle w:val="02Tabletext"/>
              <w:rPr>
                <w:shd w:val="clear" w:color="auto" w:fill="FFFFFF"/>
              </w:rPr>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B46DA" w:rsidRPr="002836EB" w14:paraId="385FF618" w14:textId="77777777" w:rsidTr="00924EF2">
        <w:tc>
          <w:tcPr>
            <w:tcW w:w="809" w:type="dxa"/>
            <w:tcMar>
              <w:top w:w="57" w:type="dxa"/>
              <w:left w:w="57" w:type="dxa"/>
              <w:bottom w:w="57" w:type="dxa"/>
            </w:tcMar>
          </w:tcPr>
          <w:p w14:paraId="4361706F" w14:textId="78DF08F5" w:rsidR="000B46DA" w:rsidRPr="002836EB" w:rsidRDefault="000B46DA" w:rsidP="00EB0C28">
            <w:pPr>
              <w:pStyle w:val="02Tabletext"/>
              <w:rPr>
                <w:highlight w:val="yellow"/>
              </w:rPr>
            </w:pPr>
            <w:r w:rsidRPr="002836EB">
              <w:t>15357</w:t>
            </w:r>
          </w:p>
        </w:tc>
        <w:tc>
          <w:tcPr>
            <w:tcW w:w="2730" w:type="dxa"/>
            <w:tcMar>
              <w:top w:w="57" w:type="dxa"/>
              <w:left w:w="57" w:type="dxa"/>
              <w:bottom w:w="57" w:type="dxa"/>
            </w:tcMar>
          </w:tcPr>
          <w:p w14:paraId="0C231A2F" w14:textId="2168B8E9" w:rsidR="000B46DA" w:rsidRPr="002836EB" w:rsidRDefault="000B46DA" w:rsidP="00EB0C28">
            <w:pPr>
              <w:pStyle w:val="02Tabletext"/>
            </w:pPr>
            <w:r w:rsidRPr="002836EB">
              <w:t>Change</w:t>
            </w:r>
          </w:p>
        </w:tc>
        <w:tc>
          <w:tcPr>
            <w:tcW w:w="851" w:type="dxa"/>
            <w:tcMar>
              <w:top w:w="57" w:type="dxa"/>
              <w:left w:w="57" w:type="dxa"/>
              <w:bottom w:w="57" w:type="dxa"/>
            </w:tcMar>
          </w:tcPr>
          <w:p w14:paraId="39B037F8" w14:textId="226506B4" w:rsidR="000B46DA" w:rsidRPr="002836EB" w:rsidRDefault="000B46DA" w:rsidP="00EB0C28">
            <w:pPr>
              <w:pStyle w:val="02Tabletext"/>
            </w:pPr>
            <w:r w:rsidRPr="004F238A">
              <w:fldChar w:fldCharType="begin"/>
            </w:r>
            <w:r w:rsidRPr="004F238A">
              <w:instrText xml:space="preserve"> PAGEREF _Ref464501740 \h </w:instrText>
            </w:r>
            <w:r w:rsidRPr="004F238A">
              <w:fldChar w:fldCharType="separate"/>
            </w:r>
            <w:r w:rsidR="003274EF">
              <w:rPr>
                <w:noProof/>
              </w:rPr>
              <w:t>60</w:t>
            </w:r>
            <w:r w:rsidRPr="004F238A">
              <w:fldChar w:fldCharType="end"/>
            </w:r>
            <w:r w:rsidRPr="004F238A">
              <w:t xml:space="preserve"> - </w:t>
            </w:r>
            <w:r w:rsidRPr="004F238A">
              <w:fldChar w:fldCharType="begin"/>
            </w:r>
            <w:r w:rsidRPr="004F238A">
              <w:instrText xml:space="preserve"> PAGEREF _Ref467435306 \h </w:instrText>
            </w:r>
            <w:r w:rsidRPr="004F238A">
              <w:fldChar w:fldCharType="separate"/>
            </w:r>
            <w:r w:rsidR="003274EF">
              <w:rPr>
                <w:noProof/>
              </w:rPr>
              <w:t>72</w:t>
            </w:r>
            <w:r w:rsidRPr="004F238A">
              <w:fldChar w:fldCharType="end"/>
            </w:r>
          </w:p>
        </w:tc>
      </w:tr>
      <w:tr w:rsidR="00045A9D" w:rsidRPr="002836EB" w14:paraId="75825347" w14:textId="77777777" w:rsidTr="00924EF2">
        <w:tc>
          <w:tcPr>
            <w:tcW w:w="809" w:type="dxa"/>
            <w:tcMar>
              <w:top w:w="57" w:type="dxa"/>
              <w:left w:w="57" w:type="dxa"/>
              <w:bottom w:w="57" w:type="dxa"/>
            </w:tcMar>
          </w:tcPr>
          <w:p w14:paraId="5470B7C1" w14:textId="1F679B2A" w:rsidR="00045A9D" w:rsidRPr="002836EB" w:rsidRDefault="00045A9D" w:rsidP="00045A9D">
            <w:pPr>
              <w:pStyle w:val="02Tabletext"/>
              <w:rPr>
                <w:highlight w:val="yellow"/>
              </w:rPr>
            </w:pPr>
            <w:r w:rsidRPr="002836EB">
              <w:lastRenderedPageBreak/>
              <w:t>15500</w:t>
            </w:r>
          </w:p>
        </w:tc>
        <w:tc>
          <w:tcPr>
            <w:tcW w:w="2730" w:type="dxa"/>
            <w:tcMar>
              <w:top w:w="57" w:type="dxa"/>
              <w:left w:w="57" w:type="dxa"/>
              <w:bottom w:w="57" w:type="dxa"/>
            </w:tcMar>
          </w:tcPr>
          <w:p w14:paraId="03465A6F" w14:textId="604CB026" w:rsidR="00045A9D" w:rsidRPr="002836EB" w:rsidRDefault="00045A9D" w:rsidP="00045A9D">
            <w:pPr>
              <w:pStyle w:val="02Tabletext"/>
            </w:pPr>
            <w:r w:rsidRPr="002836EB">
              <w:t>Change</w:t>
            </w:r>
          </w:p>
        </w:tc>
        <w:tc>
          <w:tcPr>
            <w:tcW w:w="851" w:type="dxa"/>
            <w:tcMar>
              <w:top w:w="57" w:type="dxa"/>
              <w:left w:w="57" w:type="dxa"/>
              <w:bottom w:w="57" w:type="dxa"/>
            </w:tcMar>
          </w:tcPr>
          <w:p w14:paraId="3D07F658" w14:textId="2AF5032A" w:rsidR="00045A9D" w:rsidRPr="002836EB" w:rsidRDefault="00045A9D" w:rsidP="000B46DA">
            <w:pPr>
              <w:pStyle w:val="02Tabletext"/>
            </w:pPr>
            <w:r w:rsidRPr="000B794B">
              <w:fldChar w:fldCharType="begin"/>
            </w:r>
            <w:r w:rsidRPr="000B794B">
              <w:instrText xml:space="preserve"> PAGEREF _Ref464501738 \h </w:instrText>
            </w:r>
            <w:r w:rsidRPr="000B794B">
              <w:fldChar w:fldCharType="separate"/>
            </w:r>
            <w:r w:rsidR="003274EF">
              <w:rPr>
                <w:noProof/>
              </w:rPr>
              <w:t>32</w:t>
            </w:r>
            <w:r w:rsidRPr="000B794B">
              <w:fldChar w:fldCharType="end"/>
            </w:r>
            <w:r w:rsidRPr="000B794B">
              <w:t xml:space="preserve"> - </w:t>
            </w:r>
            <w:hyperlink w:anchor="_Recommendation_on_restructuring_1" w:history="1">
              <w:r w:rsidR="000B46DA" w:rsidRPr="000B46DA">
                <w:rPr>
                  <w:rStyle w:val="Hyperlink"/>
                  <w:color w:val="000000" w:themeColor="text1"/>
                  <w:u w:val="none"/>
                </w:rPr>
                <w:t>58</w:t>
              </w:r>
            </w:hyperlink>
          </w:p>
        </w:tc>
      </w:tr>
      <w:tr w:rsidR="000B46DA" w:rsidRPr="002836EB" w14:paraId="1B936CBB" w14:textId="77777777" w:rsidTr="00924EF2">
        <w:tc>
          <w:tcPr>
            <w:tcW w:w="809" w:type="dxa"/>
            <w:tcMar>
              <w:top w:w="57" w:type="dxa"/>
              <w:left w:w="57" w:type="dxa"/>
              <w:bottom w:w="57" w:type="dxa"/>
            </w:tcMar>
          </w:tcPr>
          <w:p w14:paraId="23C1BC50" w14:textId="64B84CFB" w:rsidR="000B46DA" w:rsidRPr="002836EB" w:rsidRDefault="000B46DA" w:rsidP="00045A9D">
            <w:pPr>
              <w:pStyle w:val="02Tabletext"/>
              <w:rPr>
                <w:b/>
                <w:highlight w:val="yellow"/>
              </w:rPr>
            </w:pPr>
            <w:r w:rsidRPr="002836EB">
              <w:t>15503</w:t>
            </w:r>
          </w:p>
        </w:tc>
        <w:tc>
          <w:tcPr>
            <w:tcW w:w="2730" w:type="dxa"/>
            <w:tcMar>
              <w:top w:w="57" w:type="dxa"/>
              <w:left w:w="57" w:type="dxa"/>
              <w:bottom w:w="57" w:type="dxa"/>
            </w:tcMar>
          </w:tcPr>
          <w:p w14:paraId="5A6203BB" w14:textId="3BBE59B5" w:rsidR="000B46DA" w:rsidRPr="002836EB" w:rsidRDefault="000B46DA" w:rsidP="00045A9D">
            <w:pPr>
              <w:pStyle w:val="02Tabletext"/>
            </w:pPr>
            <w:r w:rsidRPr="002836EB">
              <w:t>Change</w:t>
            </w:r>
          </w:p>
        </w:tc>
        <w:tc>
          <w:tcPr>
            <w:tcW w:w="851" w:type="dxa"/>
            <w:tcMar>
              <w:top w:w="57" w:type="dxa"/>
              <w:left w:w="57" w:type="dxa"/>
              <w:bottom w:w="57" w:type="dxa"/>
            </w:tcMar>
          </w:tcPr>
          <w:p w14:paraId="7D35FF63" w14:textId="3DB5BF7E"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735B47C1" w14:textId="77777777" w:rsidTr="00924EF2">
        <w:tc>
          <w:tcPr>
            <w:tcW w:w="809" w:type="dxa"/>
            <w:tcMar>
              <w:top w:w="57" w:type="dxa"/>
              <w:left w:w="57" w:type="dxa"/>
              <w:bottom w:w="57" w:type="dxa"/>
            </w:tcMar>
          </w:tcPr>
          <w:p w14:paraId="01BF0DD7" w14:textId="0D6E3844" w:rsidR="000B46DA" w:rsidRPr="002836EB" w:rsidRDefault="000B46DA" w:rsidP="00045A9D">
            <w:pPr>
              <w:pStyle w:val="02Tabletext"/>
              <w:rPr>
                <w:b/>
                <w:highlight w:val="yellow"/>
              </w:rPr>
            </w:pPr>
            <w:r w:rsidRPr="002836EB">
              <w:t>15506</w:t>
            </w:r>
          </w:p>
        </w:tc>
        <w:tc>
          <w:tcPr>
            <w:tcW w:w="2730" w:type="dxa"/>
            <w:tcMar>
              <w:top w:w="57" w:type="dxa"/>
              <w:left w:w="57" w:type="dxa"/>
              <w:bottom w:w="57" w:type="dxa"/>
            </w:tcMar>
          </w:tcPr>
          <w:p w14:paraId="1982A4A9" w14:textId="40269F1D" w:rsidR="000B46DA" w:rsidRPr="002836EB" w:rsidRDefault="000B46DA" w:rsidP="00045A9D">
            <w:pPr>
              <w:pStyle w:val="02Tabletext"/>
              <w:rPr>
                <w:shd w:val="clear" w:color="auto" w:fill="FFFFFF"/>
              </w:rPr>
            </w:pPr>
            <w:r w:rsidRPr="002836EB">
              <w:t>Change</w:t>
            </w:r>
          </w:p>
        </w:tc>
        <w:tc>
          <w:tcPr>
            <w:tcW w:w="851" w:type="dxa"/>
            <w:tcMar>
              <w:top w:w="57" w:type="dxa"/>
              <w:left w:w="57" w:type="dxa"/>
              <w:bottom w:w="57" w:type="dxa"/>
            </w:tcMar>
          </w:tcPr>
          <w:p w14:paraId="43F399AD" w14:textId="5028A76D" w:rsidR="000B46DA" w:rsidRPr="002836EB" w:rsidRDefault="000B46DA" w:rsidP="00045A9D">
            <w:pPr>
              <w:pStyle w:val="02Tabletext"/>
              <w:rPr>
                <w:shd w:val="clear" w:color="auto" w:fill="FFFFFF"/>
              </w:rPr>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7AAE313B" w14:textId="77777777" w:rsidTr="00924EF2">
        <w:tc>
          <w:tcPr>
            <w:tcW w:w="809" w:type="dxa"/>
            <w:tcMar>
              <w:top w:w="57" w:type="dxa"/>
              <w:left w:w="57" w:type="dxa"/>
              <w:bottom w:w="57" w:type="dxa"/>
            </w:tcMar>
          </w:tcPr>
          <w:p w14:paraId="0FDCA303" w14:textId="58713E93" w:rsidR="000B46DA" w:rsidRPr="002836EB" w:rsidRDefault="000B46DA" w:rsidP="00045A9D">
            <w:pPr>
              <w:pStyle w:val="02Tabletext"/>
              <w:rPr>
                <w:b/>
                <w:highlight w:val="yellow"/>
              </w:rPr>
            </w:pPr>
            <w:r w:rsidRPr="002836EB">
              <w:t>15509</w:t>
            </w:r>
          </w:p>
        </w:tc>
        <w:tc>
          <w:tcPr>
            <w:tcW w:w="2730" w:type="dxa"/>
            <w:tcMar>
              <w:top w:w="57" w:type="dxa"/>
              <w:left w:w="57" w:type="dxa"/>
              <w:bottom w:w="57" w:type="dxa"/>
            </w:tcMar>
          </w:tcPr>
          <w:p w14:paraId="1E667326" w14:textId="7FCFBD4E" w:rsidR="000B46DA" w:rsidRPr="002836EB" w:rsidRDefault="000B46DA" w:rsidP="00045A9D">
            <w:pPr>
              <w:pStyle w:val="02Tabletext"/>
            </w:pPr>
            <w:r w:rsidRPr="002836EB">
              <w:t>Change</w:t>
            </w:r>
          </w:p>
        </w:tc>
        <w:tc>
          <w:tcPr>
            <w:tcW w:w="851" w:type="dxa"/>
            <w:tcMar>
              <w:top w:w="57" w:type="dxa"/>
              <w:left w:w="57" w:type="dxa"/>
              <w:bottom w:w="57" w:type="dxa"/>
            </w:tcMar>
          </w:tcPr>
          <w:p w14:paraId="5B5C301A" w14:textId="59A7ECA1"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6F8527E3" w14:textId="77777777" w:rsidTr="00924EF2">
        <w:tc>
          <w:tcPr>
            <w:tcW w:w="809" w:type="dxa"/>
            <w:tcMar>
              <w:top w:w="57" w:type="dxa"/>
              <w:left w:w="57" w:type="dxa"/>
              <w:bottom w:w="57" w:type="dxa"/>
            </w:tcMar>
          </w:tcPr>
          <w:p w14:paraId="07A391D5" w14:textId="0B7A7E3F" w:rsidR="000B46DA" w:rsidRPr="002836EB" w:rsidRDefault="000B46DA" w:rsidP="00045A9D">
            <w:pPr>
              <w:pStyle w:val="02Tabletext"/>
              <w:rPr>
                <w:b/>
                <w:highlight w:val="yellow"/>
              </w:rPr>
            </w:pPr>
            <w:r w:rsidRPr="002836EB">
              <w:t>15512</w:t>
            </w:r>
          </w:p>
        </w:tc>
        <w:tc>
          <w:tcPr>
            <w:tcW w:w="2730" w:type="dxa"/>
            <w:tcMar>
              <w:top w:w="57" w:type="dxa"/>
              <w:left w:w="57" w:type="dxa"/>
              <w:bottom w:w="57" w:type="dxa"/>
            </w:tcMar>
          </w:tcPr>
          <w:p w14:paraId="291E5359" w14:textId="559C3A62" w:rsidR="000B46DA" w:rsidRPr="002836EB" w:rsidRDefault="000B46DA" w:rsidP="00045A9D">
            <w:pPr>
              <w:pStyle w:val="02Tabletext"/>
            </w:pPr>
            <w:r w:rsidRPr="002836EB">
              <w:t>Change</w:t>
            </w:r>
          </w:p>
        </w:tc>
        <w:tc>
          <w:tcPr>
            <w:tcW w:w="851" w:type="dxa"/>
            <w:tcMar>
              <w:top w:w="57" w:type="dxa"/>
              <w:left w:w="57" w:type="dxa"/>
              <w:bottom w:w="57" w:type="dxa"/>
            </w:tcMar>
          </w:tcPr>
          <w:p w14:paraId="0B70554D" w14:textId="6625ECC8"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4E4C7014" w14:textId="77777777" w:rsidTr="00924EF2">
        <w:tc>
          <w:tcPr>
            <w:tcW w:w="809" w:type="dxa"/>
            <w:tcMar>
              <w:top w:w="57" w:type="dxa"/>
              <w:left w:w="57" w:type="dxa"/>
              <w:bottom w:w="57" w:type="dxa"/>
            </w:tcMar>
          </w:tcPr>
          <w:p w14:paraId="62582327" w14:textId="7549FF7D" w:rsidR="000B46DA" w:rsidRPr="002836EB" w:rsidRDefault="000B46DA" w:rsidP="00045A9D">
            <w:pPr>
              <w:pStyle w:val="02Tabletext"/>
              <w:rPr>
                <w:b/>
                <w:highlight w:val="yellow"/>
              </w:rPr>
            </w:pPr>
            <w:r w:rsidRPr="002836EB">
              <w:t>15513</w:t>
            </w:r>
          </w:p>
        </w:tc>
        <w:tc>
          <w:tcPr>
            <w:tcW w:w="2730" w:type="dxa"/>
            <w:tcMar>
              <w:top w:w="57" w:type="dxa"/>
              <w:left w:w="57" w:type="dxa"/>
              <w:bottom w:w="57" w:type="dxa"/>
            </w:tcMar>
          </w:tcPr>
          <w:p w14:paraId="6A497A63" w14:textId="60CA5A62" w:rsidR="000B46DA" w:rsidRPr="002836EB" w:rsidRDefault="000B46DA" w:rsidP="00045A9D">
            <w:pPr>
              <w:pStyle w:val="02Tabletext"/>
            </w:pPr>
            <w:r w:rsidRPr="002836EB">
              <w:t>Change</w:t>
            </w:r>
          </w:p>
        </w:tc>
        <w:tc>
          <w:tcPr>
            <w:tcW w:w="851" w:type="dxa"/>
            <w:tcMar>
              <w:top w:w="57" w:type="dxa"/>
              <w:left w:w="57" w:type="dxa"/>
              <w:bottom w:w="57" w:type="dxa"/>
            </w:tcMar>
          </w:tcPr>
          <w:p w14:paraId="1FE92566" w14:textId="1E8B70E7"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63280D46" w14:textId="77777777" w:rsidTr="00924EF2">
        <w:tc>
          <w:tcPr>
            <w:tcW w:w="809" w:type="dxa"/>
            <w:tcMar>
              <w:top w:w="57" w:type="dxa"/>
              <w:left w:w="57" w:type="dxa"/>
              <w:bottom w:w="57" w:type="dxa"/>
            </w:tcMar>
          </w:tcPr>
          <w:p w14:paraId="657487AE" w14:textId="32DB5EFD" w:rsidR="000B46DA" w:rsidRPr="002836EB" w:rsidRDefault="000B46DA" w:rsidP="00045A9D">
            <w:pPr>
              <w:pStyle w:val="02Tabletext"/>
              <w:rPr>
                <w:highlight w:val="yellow"/>
              </w:rPr>
            </w:pPr>
            <w:r w:rsidRPr="002836EB">
              <w:t>15515</w:t>
            </w:r>
          </w:p>
        </w:tc>
        <w:tc>
          <w:tcPr>
            <w:tcW w:w="2730" w:type="dxa"/>
            <w:tcMar>
              <w:top w:w="57" w:type="dxa"/>
              <w:left w:w="57" w:type="dxa"/>
              <w:bottom w:w="57" w:type="dxa"/>
            </w:tcMar>
          </w:tcPr>
          <w:p w14:paraId="428604F0" w14:textId="154B3E44" w:rsidR="000B46DA" w:rsidRPr="002836EB" w:rsidRDefault="000B46DA" w:rsidP="00045A9D">
            <w:pPr>
              <w:pStyle w:val="02Tabletext"/>
            </w:pPr>
            <w:r w:rsidRPr="002836EB">
              <w:t>Change</w:t>
            </w:r>
          </w:p>
        </w:tc>
        <w:tc>
          <w:tcPr>
            <w:tcW w:w="851" w:type="dxa"/>
            <w:tcMar>
              <w:top w:w="57" w:type="dxa"/>
              <w:left w:w="57" w:type="dxa"/>
              <w:bottom w:w="57" w:type="dxa"/>
            </w:tcMar>
          </w:tcPr>
          <w:p w14:paraId="2A784627" w14:textId="004C1C8C"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7124EC14" w14:textId="77777777" w:rsidTr="00924EF2">
        <w:tc>
          <w:tcPr>
            <w:tcW w:w="809" w:type="dxa"/>
            <w:tcMar>
              <w:top w:w="57" w:type="dxa"/>
              <w:left w:w="57" w:type="dxa"/>
              <w:bottom w:w="57" w:type="dxa"/>
            </w:tcMar>
          </w:tcPr>
          <w:p w14:paraId="12921EBC" w14:textId="24D7DE10" w:rsidR="000B46DA" w:rsidRPr="002836EB" w:rsidRDefault="000B46DA" w:rsidP="00045A9D">
            <w:pPr>
              <w:pStyle w:val="02Tabletext"/>
              <w:rPr>
                <w:highlight w:val="yellow"/>
              </w:rPr>
            </w:pPr>
            <w:r w:rsidRPr="002836EB">
              <w:t>15518</w:t>
            </w:r>
          </w:p>
        </w:tc>
        <w:tc>
          <w:tcPr>
            <w:tcW w:w="2730" w:type="dxa"/>
            <w:tcMar>
              <w:top w:w="57" w:type="dxa"/>
              <w:left w:w="57" w:type="dxa"/>
              <w:bottom w:w="57" w:type="dxa"/>
            </w:tcMar>
          </w:tcPr>
          <w:p w14:paraId="0AB1BFC8" w14:textId="61E1F82E" w:rsidR="000B46DA" w:rsidRPr="002836EB" w:rsidRDefault="000B46DA" w:rsidP="00045A9D">
            <w:pPr>
              <w:pStyle w:val="02Tabletext"/>
            </w:pPr>
            <w:r w:rsidRPr="002836EB">
              <w:t>Change</w:t>
            </w:r>
          </w:p>
        </w:tc>
        <w:tc>
          <w:tcPr>
            <w:tcW w:w="851" w:type="dxa"/>
            <w:tcMar>
              <w:top w:w="57" w:type="dxa"/>
              <w:left w:w="57" w:type="dxa"/>
              <w:bottom w:w="57" w:type="dxa"/>
            </w:tcMar>
          </w:tcPr>
          <w:p w14:paraId="601718F2" w14:textId="44D49B38"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39422C60" w14:textId="77777777" w:rsidTr="00924EF2">
        <w:tc>
          <w:tcPr>
            <w:tcW w:w="809" w:type="dxa"/>
            <w:tcMar>
              <w:top w:w="57" w:type="dxa"/>
              <w:left w:w="57" w:type="dxa"/>
              <w:bottom w:w="57" w:type="dxa"/>
            </w:tcMar>
          </w:tcPr>
          <w:p w14:paraId="3081B83F" w14:textId="086ED09A" w:rsidR="000B46DA" w:rsidRPr="002836EB" w:rsidRDefault="000B46DA" w:rsidP="00045A9D">
            <w:pPr>
              <w:pStyle w:val="02Tabletext"/>
              <w:rPr>
                <w:highlight w:val="yellow"/>
              </w:rPr>
            </w:pPr>
            <w:r w:rsidRPr="002836EB">
              <w:t>15521</w:t>
            </w:r>
          </w:p>
        </w:tc>
        <w:tc>
          <w:tcPr>
            <w:tcW w:w="2730" w:type="dxa"/>
            <w:tcMar>
              <w:top w:w="57" w:type="dxa"/>
              <w:left w:w="57" w:type="dxa"/>
              <w:bottom w:w="57" w:type="dxa"/>
            </w:tcMar>
          </w:tcPr>
          <w:p w14:paraId="7B8621D3" w14:textId="176757FE" w:rsidR="000B46DA" w:rsidRPr="002836EB" w:rsidRDefault="000B46DA" w:rsidP="00045A9D">
            <w:pPr>
              <w:pStyle w:val="02Tabletext"/>
              <w:rPr>
                <w:shd w:val="clear" w:color="auto" w:fill="FFFFFF"/>
              </w:rPr>
            </w:pPr>
            <w:r w:rsidRPr="002836EB">
              <w:t>Change</w:t>
            </w:r>
          </w:p>
        </w:tc>
        <w:tc>
          <w:tcPr>
            <w:tcW w:w="851" w:type="dxa"/>
            <w:tcMar>
              <w:top w:w="57" w:type="dxa"/>
              <w:left w:w="57" w:type="dxa"/>
              <w:bottom w:w="57" w:type="dxa"/>
            </w:tcMar>
          </w:tcPr>
          <w:p w14:paraId="63CC8CCB" w14:textId="40ABF39A" w:rsidR="000B46DA" w:rsidRPr="002836EB" w:rsidRDefault="000B46DA" w:rsidP="00045A9D">
            <w:pPr>
              <w:pStyle w:val="02Tabletext"/>
              <w:rPr>
                <w:shd w:val="clear" w:color="auto" w:fill="FFFFFF"/>
              </w:rPr>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430E394B" w14:textId="77777777" w:rsidTr="00924EF2">
        <w:tc>
          <w:tcPr>
            <w:tcW w:w="809" w:type="dxa"/>
            <w:tcMar>
              <w:top w:w="57" w:type="dxa"/>
              <w:left w:w="57" w:type="dxa"/>
              <w:bottom w:w="57" w:type="dxa"/>
            </w:tcMar>
          </w:tcPr>
          <w:p w14:paraId="3AAD368B" w14:textId="1E454DAF" w:rsidR="000B46DA" w:rsidRPr="002836EB" w:rsidRDefault="000B46DA" w:rsidP="00045A9D">
            <w:pPr>
              <w:pStyle w:val="02Tabletext"/>
              <w:rPr>
                <w:highlight w:val="yellow"/>
              </w:rPr>
            </w:pPr>
            <w:r w:rsidRPr="002836EB">
              <w:t>15524</w:t>
            </w:r>
          </w:p>
        </w:tc>
        <w:tc>
          <w:tcPr>
            <w:tcW w:w="2730" w:type="dxa"/>
            <w:tcMar>
              <w:top w:w="57" w:type="dxa"/>
              <w:left w:w="57" w:type="dxa"/>
              <w:bottom w:w="57" w:type="dxa"/>
            </w:tcMar>
          </w:tcPr>
          <w:p w14:paraId="221239E8" w14:textId="1D0419BB" w:rsidR="000B46DA" w:rsidRPr="002836EB" w:rsidRDefault="000B46DA" w:rsidP="00045A9D">
            <w:pPr>
              <w:pStyle w:val="02Tabletext"/>
            </w:pPr>
            <w:r w:rsidRPr="002836EB">
              <w:t>Change</w:t>
            </w:r>
          </w:p>
        </w:tc>
        <w:tc>
          <w:tcPr>
            <w:tcW w:w="851" w:type="dxa"/>
            <w:tcMar>
              <w:top w:w="57" w:type="dxa"/>
              <w:left w:w="57" w:type="dxa"/>
              <w:bottom w:w="57" w:type="dxa"/>
            </w:tcMar>
          </w:tcPr>
          <w:p w14:paraId="304430BB" w14:textId="50846F13"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485FB6A6" w14:textId="77777777" w:rsidTr="00924EF2">
        <w:tc>
          <w:tcPr>
            <w:tcW w:w="809" w:type="dxa"/>
            <w:tcMar>
              <w:top w:w="57" w:type="dxa"/>
              <w:left w:w="57" w:type="dxa"/>
              <w:bottom w:w="57" w:type="dxa"/>
            </w:tcMar>
          </w:tcPr>
          <w:p w14:paraId="13B8D767" w14:textId="63C1ECB7" w:rsidR="000B46DA" w:rsidRPr="002836EB" w:rsidRDefault="000B46DA" w:rsidP="00045A9D">
            <w:pPr>
              <w:pStyle w:val="02Tabletext"/>
              <w:rPr>
                <w:highlight w:val="yellow"/>
              </w:rPr>
            </w:pPr>
            <w:r w:rsidRPr="002836EB">
              <w:t>15527</w:t>
            </w:r>
          </w:p>
        </w:tc>
        <w:tc>
          <w:tcPr>
            <w:tcW w:w="2730" w:type="dxa"/>
            <w:tcMar>
              <w:top w:w="57" w:type="dxa"/>
              <w:left w:w="57" w:type="dxa"/>
              <w:bottom w:w="57" w:type="dxa"/>
            </w:tcMar>
          </w:tcPr>
          <w:p w14:paraId="352C4623" w14:textId="7C044D0D" w:rsidR="000B46DA" w:rsidRPr="002836EB" w:rsidRDefault="000B46DA" w:rsidP="00045A9D">
            <w:pPr>
              <w:pStyle w:val="02Tabletext"/>
            </w:pPr>
            <w:r w:rsidRPr="002836EB">
              <w:t>Change</w:t>
            </w:r>
          </w:p>
        </w:tc>
        <w:tc>
          <w:tcPr>
            <w:tcW w:w="851" w:type="dxa"/>
            <w:tcMar>
              <w:top w:w="57" w:type="dxa"/>
              <w:left w:w="57" w:type="dxa"/>
              <w:bottom w:w="57" w:type="dxa"/>
            </w:tcMar>
          </w:tcPr>
          <w:p w14:paraId="7E8B7DA2" w14:textId="12A7622A"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599F04CD" w14:textId="77777777" w:rsidTr="00924EF2">
        <w:tc>
          <w:tcPr>
            <w:tcW w:w="809" w:type="dxa"/>
            <w:tcMar>
              <w:top w:w="57" w:type="dxa"/>
              <w:left w:w="57" w:type="dxa"/>
              <w:bottom w:w="57" w:type="dxa"/>
            </w:tcMar>
          </w:tcPr>
          <w:p w14:paraId="1AEECF74" w14:textId="21A326E3" w:rsidR="000B46DA" w:rsidRPr="002836EB" w:rsidRDefault="000B46DA" w:rsidP="00045A9D">
            <w:pPr>
              <w:pStyle w:val="02Tabletext"/>
              <w:rPr>
                <w:b/>
                <w:highlight w:val="yellow"/>
              </w:rPr>
            </w:pPr>
            <w:r w:rsidRPr="002836EB">
              <w:t>15530</w:t>
            </w:r>
          </w:p>
        </w:tc>
        <w:tc>
          <w:tcPr>
            <w:tcW w:w="2730" w:type="dxa"/>
            <w:tcMar>
              <w:top w:w="57" w:type="dxa"/>
              <w:left w:w="57" w:type="dxa"/>
              <w:bottom w:w="57" w:type="dxa"/>
            </w:tcMar>
          </w:tcPr>
          <w:p w14:paraId="5699641D" w14:textId="273C6F6A" w:rsidR="000B46DA" w:rsidRPr="002836EB" w:rsidRDefault="000B46DA" w:rsidP="00045A9D">
            <w:pPr>
              <w:pStyle w:val="02Tabletext"/>
            </w:pPr>
            <w:r w:rsidRPr="002836EB">
              <w:t>Change</w:t>
            </w:r>
          </w:p>
        </w:tc>
        <w:tc>
          <w:tcPr>
            <w:tcW w:w="851" w:type="dxa"/>
            <w:tcMar>
              <w:top w:w="57" w:type="dxa"/>
              <w:left w:w="57" w:type="dxa"/>
              <w:bottom w:w="57" w:type="dxa"/>
            </w:tcMar>
          </w:tcPr>
          <w:p w14:paraId="55A2979B" w14:textId="1B9A1E2D" w:rsidR="000B46DA" w:rsidRPr="002836EB" w:rsidRDefault="000B46DA" w:rsidP="00045A9D">
            <w:pPr>
              <w:pStyle w:val="02Tabletext"/>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B46DA" w:rsidRPr="002836EB" w14:paraId="40A0F85C" w14:textId="77777777" w:rsidTr="00924EF2">
        <w:tc>
          <w:tcPr>
            <w:tcW w:w="809" w:type="dxa"/>
            <w:tcMar>
              <w:top w:w="57" w:type="dxa"/>
              <w:left w:w="57" w:type="dxa"/>
              <w:bottom w:w="57" w:type="dxa"/>
            </w:tcMar>
          </w:tcPr>
          <w:p w14:paraId="4488111A" w14:textId="0B17965A" w:rsidR="000B46DA" w:rsidRPr="002836EB" w:rsidRDefault="000B46DA" w:rsidP="00045A9D">
            <w:pPr>
              <w:pStyle w:val="02Tabletext"/>
              <w:rPr>
                <w:b/>
                <w:highlight w:val="yellow"/>
              </w:rPr>
            </w:pPr>
            <w:r w:rsidRPr="002836EB">
              <w:t>15533</w:t>
            </w:r>
          </w:p>
        </w:tc>
        <w:tc>
          <w:tcPr>
            <w:tcW w:w="2730" w:type="dxa"/>
            <w:tcMar>
              <w:top w:w="57" w:type="dxa"/>
              <w:left w:w="57" w:type="dxa"/>
              <w:bottom w:w="57" w:type="dxa"/>
            </w:tcMar>
          </w:tcPr>
          <w:p w14:paraId="3304EA1D" w14:textId="73E191A2" w:rsidR="000B46DA" w:rsidRPr="002836EB" w:rsidRDefault="000B46DA" w:rsidP="00045A9D">
            <w:pPr>
              <w:pStyle w:val="02Tabletext"/>
              <w:rPr>
                <w:shd w:val="clear" w:color="auto" w:fill="FFFFFF"/>
              </w:rPr>
            </w:pPr>
            <w:r w:rsidRPr="002836EB">
              <w:t>Change</w:t>
            </w:r>
          </w:p>
        </w:tc>
        <w:tc>
          <w:tcPr>
            <w:tcW w:w="851" w:type="dxa"/>
            <w:tcMar>
              <w:top w:w="57" w:type="dxa"/>
              <w:left w:w="57" w:type="dxa"/>
              <w:bottom w:w="57" w:type="dxa"/>
            </w:tcMar>
          </w:tcPr>
          <w:p w14:paraId="5E9621F1" w14:textId="2B71BC95" w:rsidR="000B46DA" w:rsidRPr="002836EB" w:rsidRDefault="000B46DA" w:rsidP="00045A9D">
            <w:pPr>
              <w:pStyle w:val="02Tabletext"/>
              <w:rPr>
                <w:shd w:val="clear" w:color="auto" w:fill="FFFFFF"/>
              </w:rPr>
            </w:pPr>
            <w:r w:rsidRPr="00C64401">
              <w:fldChar w:fldCharType="begin"/>
            </w:r>
            <w:r w:rsidRPr="00C64401">
              <w:instrText xml:space="preserve"> PAGEREF _Ref464501738 \h </w:instrText>
            </w:r>
            <w:r w:rsidRPr="00C64401">
              <w:fldChar w:fldCharType="separate"/>
            </w:r>
            <w:r w:rsidR="003274EF">
              <w:rPr>
                <w:noProof/>
              </w:rPr>
              <w:t>32</w:t>
            </w:r>
            <w:r w:rsidRPr="00C64401">
              <w:fldChar w:fldCharType="end"/>
            </w:r>
            <w:r w:rsidRPr="00C64401">
              <w:t xml:space="preserve"> - </w:t>
            </w:r>
            <w:hyperlink w:anchor="_Recommendation_on_restructuring_1" w:history="1">
              <w:r w:rsidRPr="00C64401">
                <w:rPr>
                  <w:rStyle w:val="Hyperlink"/>
                  <w:color w:val="000000" w:themeColor="text1"/>
                  <w:u w:val="none"/>
                </w:rPr>
                <w:t>58</w:t>
              </w:r>
            </w:hyperlink>
          </w:p>
        </w:tc>
      </w:tr>
      <w:tr w:rsidR="00045A9D" w:rsidRPr="002836EB" w14:paraId="23E266A3" w14:textId="77777777" w:rsidTr="00924EF2">
        <w:tc>
          <w:tcPr>
            <w:tcW w:w="809" w:type="dxa"/>
            <w:tcMar>
              <w:top w:w="57" w:type="dxa"/>
              <w:left w:w="57" w:type="dxa"/>
              <w:bottom w:w="57" w:type="dxa"/>
            </w:tcMar>
          </w:tcPr>
          <w:p w14:paraId="7A64CB24" w14:textId="22EFC3E7" w:rsidR="00045A9D" w:rsidRPr="002836EB" w:rsidRDefault="00045A9D" w:rsidP="00045A9D">
            <w:pPr>
              <w:pStyle w:val="02Tabletext"/>
              <w:rPr>
                <w:b/>
                <w:highlight w:val="yellow"/>
              </w:rPr>
            </w:pPr>
            <w:r w:rsidRPr="002836EB">
              <w:t>15536</w:t>
            </w:r>
          </w:p>
        </w:tc>
        <w:tc>
          <w:tcPr>
            <w:tcW w:w="2730" w:type="dxa"/>
            <w:tcMar>
              <w:top w:w="57" w:type="dxa"/>
              <w:left w:w="57" w:type="dxa"/>
              <w:bottom w:w="57" w:type="dxa"/>
            </w:tcMar>
          </w:tcPr>
          <w:p w14:paraId="07D22F99" w14:textId="32123D01" w:rsidR="00045A9D" w:rsidRPr="002836EB" w:rsidRDefault="00045A9D" w:rsidP="00045A9D">
            <w:pPr>
              <w:pStyle w:val="02Tabletext"/>
            </w:pPr>
            <w:r w:rsidRPr="002836EB">
              <w:t>Change</w:t>
            </w:r>
          </w:p>
        </w:tc>
        <w:tc>
          <w:tcPr>
            <w:tcW w:w="851" w:type="dxa"/>
            <w:tcMar>
              <w:top w:w="57" w:type="dxa"/>
              <w:left w:w="57" w:type="dxa"/>
              <w:bottom w:w="57" w:type="dxa"/>
            </w:tcMar>
          </w:tcPr>
          <w:p w14:paraId="2578BC74" w14:textId="6185224F" w:rsidR="00045A9D" w:rsidRPr="0031054C" w:rsidRDefault="00A52F18" w:rsidP="0031054C">
            <w:pPr>
              <w:pStyle w:val="02Tabletext"/>
            </w:pPr>
            <w:hyperlink w:anchor="_Brachytherapy" w:history="1">
              <w:r w:rsidR="0031054C" w:rsidRPr="0031054C">
                <w:rPr>
                  <w:rStyle w:val="Hyperlink"/>
                  <w:color w:val="000000" w:themeColor="text1"/>
                  <w:u w:val="none"/>
                </w:rPr>
                <w:t>60</w:t>
              </w:r>
            </w:hyperlink>
            <w:r w:rsidR="00045A9D" w:rsidRPr="0031054C">
              <w:rPr>
                <w:color w:val="000000" w:themeColor="text1"/>
              </w:rPr>
              <w:t xml:space="preserve"> - </w:t>
            </w:r>
            <w:hyperlink w:anchor="_End-state_recommendation:_Restructu" w:history="1">
              <w:r w:rsidR="0031054C" w:rsidRPr="0031054C">
                <w:rPr>
                  <w:rStyle w:val="Hyperlink"/>
                  <w:color w:val="000000" w:themeColor="text1"/>
                  <w:u w:val="none"/>
                </w:rPr>
                <w:t>71</w:t>
              </w:r>
            </w:hyperlink>
          </w:p>
        </w:tc>
      </w:tr>
      <w:tr w:rsidR="00045A9D" w:rsidRPr="002836EB" w14:paraId="1044F07E" w14:textId="77777777" w:rsidTr="00924EF2">
        <w:tc>
          <w:tcPr>
            <w:tcW w:w="809" w:type="dxa"/>
            <w:tcMar>
              <w:top w:w="57" w:type="dxa"/>
              <w:left w:w="57" w:type="dxa"/>
              <w:bottom w:w="57" w:type="dxa"/>
            </w:tcMar>
          </w:tcPr>
          <w:p w14:paraId="3F885368" w14:textId="633B3A26" w:rsidR="00045A9D" w:rsidRPr="002836EB" w:rsidRDefault="00045A9D" w:rsidP="00045A9D">
            <w:pPr>
              <w:pStyle w:val="02Tabletext"/>
              <w:rPr>
                <w:b/>
                <w:highlight w:val="yellow"/>
              </w:rPr>
            </w:pPr>
            <w:r w:rsidRPr="002836EB">
              <w:t>15539</w:t>
            </w:r>
          </w:p>
        </w:tc>
        <w:tc>
          <w:tcPr>
            <w:tcW w:w="2730" w:type="dxa"/>
            <w:tcMar>
              <w:top w:w="57" w:type="dxa"/>
              <w:left w:w="57" w:type="dxa"/>
              <w:bottom w:w="57" w:type="dxa"/>
            </w:tcMar>
          </w:tcPr>
          <w:p w14:paraId="6BF48E9A" w14:textId="27819D8E" w:rsidR="00045A9D" w:rsidRPr="002836EB" w:rsidRDefault="00045A9D" w:rsidP="00045A9D">
            <w:pPr>
              <w:pStyle w:val="02Tabletext"/>
            </w:pPr>
            <w:r w:rsidRPr="002836EB">
              <w:t>Change</w:t>
            </w:r>
          </w:p>
        </w:tc>
        <w:tc>
          <w:tcPr>
            <w:tcW w:w="851" w:type="dxa"/>
            <w:tcMar>
              <w:top w:w="57" w:type="dxa"/>
              <w:left w:w="57" w:type="dxa"/>
              <w:bottom w:w="57" w:type="dxa"/>
            </w:tcMar>
          </w:tcPr>
          <w:p w14:paraId="200F9146" w14:textId="19FD7165" w:rsidR="00045A9D" w:rsidRPr="002836EB" w:rsidRDefault="00A52F18" w:rsidP="00045A9D">
            <w:pPr>
              <w:pStyle w:val="02Tabletext"/>
            </w:pPr>
            <w:hyperlink w:anchor="_Brachytherapy" w:history="1">
              <w:r w:rsidR="0031054C" w:rsidRPr="0031054C">
                <w:rPr>
                  <w:rStyle w:val="Hyperlink"/>
                  <w:color w:val="000000" w:themeColor="text1"/>
                  <w:u w:val="none"/>
                </w:rPr>
                <w:t>60</w:t>
              </w:r>
            </w:hyperlink>
            <w:r w:rsidR="0031054C" w:rsidRPr="0031054C">
              <w:rPr>
                <w:color w:val="000000" w:themeColor="text1"/>
              </w:rPr>
              <w:t xml:space="preserve"> - </w:t>
            </w:r>
            <w:hyperlink w:anchor="_End-state_recommendation:_Restructu" w:history="1">
              <w:r w:rsidR="0031054C" w:rsidRPr="0031054C">
                <w:rPr>
                  <w:rStyle w:val="Hyperlink"/>
                  <w:color w:val="000000" w:themeColor="text1"/>
                  <w:u w:val="none"/>
                </w:rPr>
                <w:t>71</w:t>
              </w:r>
            </w:hyperlink>
          </w:p>
        </w:tc>
      </w:tr>
      <w:tr w:rsidR="0031054C" w:rsidRPr="002836EB" w14:paraId="7AA6749D" w14:textId="77777777" w:rsidTr="00924EF2">
        <w:tc>
          <w:tcPr>
            <w:tcW w:w="809" w:type="dxa"/>
            <w:tcMar>
              <w:top w:w="57" w:type="dxa"/>
              <w:left w:w="57" w:type="dxa"/>
              <w:bottom w:w="57" w:type="dxa"/>
            </w:tcMar>
          </w:tcPr>
          <w:p w14:paraId="3FCABEE1" w14:textId="7232BDB6" w:rsidR="0031054C" w:rsidRPr="002836EB" w:rsidRDefault="0031054C" w:rsidP="00045A9D">
            <w:pPr>
              <w:pStyle w:val="02Tabletext"/>
              <w:rPr>
                <w:b/>
                <w:highlight w:val="yellow"/>
              </w:rPr>
            </w:pPr>
            <w:r w:rsidRPr="002836EB">
              <w:t>15550</w:t>
            </w:r>
          </w:p>
        </w:tc>
        <w:tc>
          <w:tcPr>
            <w:tcW w:w="2730" w:type="dxa"/>
            <w:tcMar>
              <w:top w:w="57" w:type="dxa"/>
              <w:left w:w="57" w:type="dxa"/>
              <w:bottom w:w="57" w:type="dxa"/>
            </w:tcMar>
          </w:tcPr>
          <w:p w14:paraId="6009A4EA" w14:textId="5E1F6B67" w:rsidR="0031054C" w:rsidRPr="002836EB" w:rsidRDefault="0031054C" w:rsidP="00045A9D">
            <w:pPr>
              <w:pStyle w:val="02Tabletext"/>
            </w:pPr>
            <w:r w:rsidRPr="002836EB">
              <w:t>Change</w:t>
            </w:r>
          </w:p>
        </w:tc>
        <w:tc>
          <w:tcPr>
            <w:tcW w:w="851" w:type="dxa"/>
            <w:tcMar>
              <w:top w:w="57" w:type="dxa"/>
              <w:left w:w="57" w:type="dxa"/>
              <w:bottom w:w="57" w:type="dxa"/>
            </w:tcMar>
          </w:tcPr>
          <w:p w14:paraId="6D08836A" w14:textId="43E3ABF2"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0DCF6B4A" w14:textId="77777777" w:rsidTr="00924EF2">
        <w:tc>
          <w:tcPr>
            <w:tcW w:w="809" w:type="dxa"/>
            <w:tcMar>
              <w:top w:w="57" w:type="dxa"/>
              <w:left w:w="57" w:type="dxa"/>
              <w:bottom w:w="57" w:type="dxa"/>
            </w:tcMar>
          </w:tcPr>
          <w:p w14:paraId="5ED495A8" w14:textId="1FA4DD44" w:rsidR="0031054C" w:rsidRPr="002836EB" w:rsidRDefault="0031054C" w:rsidP="00045A9D">
            <w:pPr>
              <w:pStyle w:val="02Tabletext"/>
              <w:rPr>
                <w:highlight w:val="yellow"/>
              </w:rPr>
            </w:pPr>
            <w:r w:rsidRPr="002836EB">
              <w:t>15553</w:t>
            </w:r>
          </w:p>
        </w:tc>
        <w:tc>
          <w:tcPr>
            <w:tcW w:w="2730" w:type="dxa"/>
            <w:tcMar>
              <w:top w:w="57" w:type="dxa"/>
              <w:left w:w="57" w:type="dxa"/>
              <w:bottom w:w="57" w:type="dxa"/>
            </w:tcMar>
          </w:tcPr>
          <w:p w14:paraId="1C7E3A28" w14:textId="15D5E26D" w:rsidR="0031054C" w:rsidRPr="002836EB" w:rsidRDefault="0031054C" w:rsidP="00045A9D">
            <w:pPr>
              <w:pStyle w:val="02Tabletext"/>
            </w:pPr>
            <w:r w:rsidRPr="002836EB">
              <w:t>Change</w:t>
            </w:r>
          </w:p>
        </w:tc>
        <w:tc>
          <w:tcPr>
            <w:tcW w:w="851" w:type="dxa"/>
            <w:tcMar>
              <w:top w:w="57" w:type="dxa"/>
              <w:left w:w="57" w:type="dxa"/>
              <w:bottom w:w="57" w:type="dxa"/>
            </w:tcMar>
          </w:tcPr>
          <w:p w14:paraId="3189C821" w14:textId="3F7D5C35"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5277D4C4" w14:textId="77777777" w:rsidTr="00924EF2">
        <w:tc>
          <w:tcPr>
            <w:tcW w:w="809" w:type="dxa"/>
            <w:tcMar>
              <w:top w:w="57" w:type="dxa"/>
              <w:left w:w="57" w:type="dxa"/>
              <w:bottom w:w="57" w:type="dxa"/>
            </w:tcMar>
          </w:tcPr>
          <w:p w14:paraId="1580B664" w14:textId="192AAFF4" w:rsidR="0031054C" w:rsidRPr="002836EB" w:rsidRDefault="0031054C" w:rsidP="00045A9D">
            <w:pPr>
              <w:pStyle w:val="02Tabletext"/>
            </w:pPr>
            <w:r w:rsidRPr="002836EB">
              <w:t>15555</w:t>
            </w:r>
          </w:p>
        </w:tc>
        <w:tc>
          <w:tcPr>
            <w:tcW w:w="2730" w:type="dxa"/>
            <w:tcMar>
              <w:top w:w="57" w:type="dxa"/>
              <w:left w:w="57" w:type="dxa"/>
              <w:bottom w:w="57" w:type="dxa"/>
            </w:tcMar>
          </w:tcPr>
          <w:p w14:paraId="05E1DF0B" w14:textId="15ACDD6A" w:rsidR="0031054C" w:rsidRPr="002836EB" w:rsidRDefault="0031054C" w:rsidP="00045A9D">
            <w:pPr>
              <w:pStyle w:val="02Tabletext"/>
            </w:pPr>
            <w:r w:rsidRPr="002836EB">
              <w:t>Change</w:t>
            </w:r>
          </w:p>
        </w:tc>
        <w:tc>
          <w:tcPr>
            <w:tcW w:w="851" w:type="dxa"/>
            <w:tcMar>
              <w:top w:w="57" w:type="dxa"/>
              <w:left w:w="57" w:type="dxa"/>
              <w:bottom w:w="57" w:type="dxa"/>
            </w:tcMar>
          </w:tcPr>
          <w:p w14:paraId="453662C4" w14:textId="106D18AA"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2F2C42B6" w14:textId="77777777" w:rsidTr="00924EF2">
        <w:tc>
          <w:tcPr>
            <w:tcW w:w="809" w:type="dxa"/>
            <w:tcMar>
              <w:top w:w="57" w:type="dxa"/>
              <w:left w:w="57" w:type="dxa"/>
              <w:bottom w:w="57" w:type="dxa"/>
            </w:tcMar>
          </w:tcPr>
          <w:p w14:paraId="6953AC6E" w14:textId="12C92DC8" w:rsidR="0031054C" w:rsidRPr="002836EB" w:rsidRDefault="0031054C" w:rsidP="00045A9D">
            <w:pPr>
              <w:pStyle w:val="02Tabletext"/>
              <w:rPr>
                <w:highlight w:val="yellow"/>
              </w:rPr>
            </w:pPr>
            <w:r w:rsidRPr="002836EB">
              <w:t>15556</w:t>
            </w:r>
          </w:p>
        </w:tc>
        <w:tc>
          <w:tcPr>
            <w:tcW w:w="2730" w:type="dxa"/>
            <w:tcMar>
              <w:top w:w="57" w:type="dxa"/>
              <w:left w:w="57" w:type="dxa"/>
              <w:bottom w:w="57" w:type="dxa"/>
            </w:tcMar>
          </w:tcPr>
          <w:p w14:paraId="4A0ADACB" w14:textId="120B8250" w:rsidR="0031054C" w:rsidRPr="002836EB" w:rsidRDefault="0031054C" w:rsidP="00045A9D">
            <w:pPr>
              <w:pStyle w:val="02Tabletext"/>
            </w:pPr>
            <w:r w:rsidRPr="002836EB">
              <w:t>Change</w:t>
            </w:r>
          </w:p>
        </w:tc>
        <w:tc>
          <w:tcPr>
            <w:tcW w:w="851" w:type="dxa"/>
            <w:tcMar>
              <w:top w:w="57" w:type="dxa"/>
              <w:left w:w="57" w:type="dxa"/>
              <w:bottom w:w="57" w:type="dxa"/>
            </w:tcMar>
          </w:tcPr>
          <w:p w14:paraId="1D7867A1" w14:textId="7AF960DA"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3E9327CD" w14:textId="77777777" w:rsidTr="00924EF2">
        <w:tc>
          <w:tcPr>
            <w:tcW w:w="809" w:type="dxa"/>
            <w:tcMar>
              <w:top w:w="57" w:type="dxa"/>
              <w:left w:w="57" w:type="dxa"/>
              <w:bottom w:w="57" w:type="dxa"/>
            </w:tcMar>
          </w:tcPr>
          <w:p w14:paraId="500814EF" w14:textId="4AEE0E59" w:rsidR="0031054C" w:rsidRPr="002836EB" w:rsidRDefault="0031054C" w:rsidP="00045A9D">
            <w:pPr>
              <w:pStyle w:val="02Tabletext"/>
              <w:rPr>
                <w:highlight w:val="yellow"/>
              </w:rPr>
            </w:pPr>
            <w:r w:rsidRPr="002836EB">
              <w:t>15559</w:t>
            </w:r>
          </w:p>
        </w:tc>
        <w:tc>
          <w:tcPr>
            <w:tcW w:w="2730" w:type="dxa"/>
            <w:tcMar>
              <w:top w:w="57" w:type="dxa"/>
              <w:left w:w="57" w:type="dxa"/>
              <w:bottom w:w="57" w:type="dxa"/>
            </w:tcMar>
          </w:tcPr>
          <w:p w14:paraId="61180657" w14:textId="463C564B" w:rsidR="0031054C" w:rsidRPr="002836EB" w:rsidRDefault="0031054C" w:rsidP="00045A9D">
            <w:pPr>
              <w:pStyle w:val="02Tabletext"/>
              <w:rPr>
                <w:shd w:val="clear" w:color="auto" w:fill="FFFFFF"/>
              </w:rPr>
            </w:pPr>
            <w:r w:rsidRPr="002836EB">
              <w:t>Change</w:t>
            </w:r>
          </w:p>
        </w:tc>
        <w:tc>
          <w:tcPr>
            <w:tcW w:w="851" w:type="dxa"/>
            <w:tcMar>
              <w:top w:w="57" w:type="dxa"/>
              <w:left w:w="57" w:type="dxa"/>
              <w:bottom w:w="57" w:type="dxa"/>
            </w:tcMar>
          </w:tcPr>
          <w:p w14:paraId="71B8188F" w14:textId="0D8AA52B" w:rsidR="0031054C" w:rsidRPr="002836EB" w:rsidRDefault="0031054C" w:rsidP="00045A9D">
            <w:pPr>
              <w:pStyle w:val="02Tabletext"/>
              <w:rPr>
                <w:shd w:val="clear" w:color="auto" w:fill="FFFFFF"/>
              </w:rPr>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004EF7DD" w14:textId="77777777" w:rsidTr="00924EF2">
        <w:tc>
          <w:tcPr>
            <w:tcW w:w="809" w:type="dxa"/>
            <w:tcMar>
              <w:top w:w="57" w:type="dxa"/>
              <w:left w:w="57" w:type="dxa"/>
              <w:bottom w:w="57" w:type="dxa"/>
            </w:tcMar>
          </w:tcPr>
          <w:p w14:paraId="2E6AB512" w14:textId="29A94B1E" w:rsidR="0031054C" w:rsidRPr="002836EB" w:rsidRDefault="0031054C" w:rsidP="00045A9D">
            <w:pPr>
              <w:pStyle w:val="02Tabletext"/>
              <w:rPr>
                <w:highlight w:val="yellow"/>
              </w:rPr>
            </w:pPr>
            <w:r w:rsidRPr="002836EB">
              <w:t>15562</w:t>
            </w:r>
          </w:p>
        </w:tc>
        <w:tc>
          <w:tcPr>
            <w:tcW w:w="2730" w:type="dxa"/>
            <w:tcMar>
              <w:top w:w="57" w:type="dxa"/>
              <w:left w:w="57" w:type="dxa"/>
              <w:bottom w:w="57" w:type="dxa"/>
            </w:tcMar>
          </w:tcPr>
          <w:p w14:paraId="4EB145F6" w14:textId="638D8257" w:rsidR="0031054C" w:rsidRPr="002836EB" w:rsidRDefault="0031054C" w:rsidP="00045A9D">
            <w:pPr>
              <w:pStyle w:val="02Tabletext"/>
            </w:pPr>
            <w:r w:rsidRPr="002836EB">
              <w:t>Change</w:t>
            </w:r>
          </w:p>
        </w:tc>
        <w:tc>
          <w:tcPr>
            <w:tcW w:w="851" w:type="dxa"/>
            <w:tcMar>
              <w:top w:w="57" w:type="dxa"/>
              <w:left w:w="57" w:type="dxa"/>
              <w:bottom w:w="57" w:type="dxa"/>
            </w:tcMar>
          </w:tcPr>
          <w:p w14:paraId="01D5C0B8" w14:textId="60A874D5"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3A04F0CC" w14:textId="77777777" w:rsidTr="00924EF2">
        <w:tc>
          <w:tcPr>
            <w:tcW w:w="809" w:type="dxa"/>
            <w:tcMar>
              <w:top w:w="57" w:type="dxa"/>
              <w:left w:w="57" w:type="dxa"/>
              <w:bottom w:w="57" w:type="dxa"/>
            </w:tcMar>
          </w:tcPr>
          <w:p w14:paraId="0E6074F8" w14:textId="3A89C621" w:rsidR="0031054C" w:rsidRPr="002836EB" w:rsidRDefault="0031054C" w:rsidP="00045A9D">
            <w:pPr>
              <w:pStyle w:val="02Tabletext"/>
            </w:pPr>
            <w:r w:rsidRPr="002836EB">
              <w:t>15565</w:t>
            </w:r>
          </w:p>
        </w:tc>
        <w:tc>
          <w:tcPr>
            <w:tcW w:w="2730" w:type="dxa"/>
            <w:tcMar>
              <w:top w:w="57" w:type="dxa"/>
              <w:left w:w="57" w:type="dxa"/>
              <w:bottom w:w="57" w:type="dxa"/>
            </w:tcMar>
          </w:tcPr>
          <w:p w14:paraId="2573F668" w14:textId="5282B7CE" w:rsidR="0031054C" w:rsidRPr="002836EB" w:rsidRDefault="0031054C" w:rsidP="00045A9D">
            <w:pPr>
              <w:pStyle w:val="02Tabletext"/>
            </w:pPr>
            <w:r w:rsidRPr="002836EB">
              <w:t>Change</w:t>
            </w:r>
          </w:p>
        </w:tc>
        <w:tc>
          <w:tcPr>
            <w:tcW w:w="851" w:type="dxa"/>
            <w:tcMar>
              <w:top w:w="57" w:type="dxa"/>
              <w:left w:w="57" w:type="dxa"/>
              <w:bottom w:w="57" w:type="dxa"/>
            </w:tcMar>
          </w:tcPr>
          <w:p w14:paraId="6CC0C2FA" w14:textId="6DB4788E"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06A851E2" w14:textId="77777777" w:rsidTr="00924EF2">
        <w:tc>
          <w:tcPr>
            <w:tcW w:w="809" w:type="dxa"/>
            <w:tcMar>
              <w:top w:w="57" w:type="dxa"/>
              <w:left w:w="57" w:type="dxa"/>
              <w:bottom w:w="57" w:type="dxa"/>
            </w:tcMar>
          </w:tcPr>
          <w:p w14:paraId="7087826C" w14:textId="5EB38F1F" w:rsidR="0031054C" w:rsidRPr="002836EB" w:rsidRDefault="0031054C" w:rsidP="00045A9D">
            <w:pPr>
              <w:pStyle w:val="02Tabletext"/>
              <w:rPr>
                <w:highlight w:val="yellow"/>
              </w:rPr>
            </w:pPr>
            <w:r w:rsidRPr="002836EB">
              <w:t>15600</w:t>
            </w:r>
          </w:p>
        </w:tc>
        <w:tc>
          <w:tcPr>
            <w:tcW w:w="2730" w:type="dxa"/>
            <w:tcMar>
              <w:top w:w="57" w:type="dxa"/>
              <w:left w:w="57" w:type="dxa"/>
              <w:bottom w:w="57" w:type="dxa"/>
            </w:tcMar>
          </w:tcPr>
          <w:p w14:paraId="19A34F5C" w14:textId="69D11F08" w:rsidR="0031054C" w:rsidRPr="002836EB" w:rsidRDefault="0031054C" w:rsidP="00045A9D">
            <w:pPr>
              <w:pStyle w:val="02Tabletext"/>
            </w:pPr>
            <w:r w:rsidRPr="002836EB">
              <w:t>Change</w:t>
            </w:r>
          </w:p>
        </w:tc>
        <w:tc>
          <w:tcPr>
            <w:tcW w:w="851" w:type="dxa"/>
            <w:tcMar>
              <w:top w:w="57" w:type="dxa"/>
              <w:left w:w="57" w:type="dxa"/>
              <w:bottom w:w="57" w:type="dxa"/>
            </w:tcMar>
          </w:tcPr>
          <w:p w14:paraId="292835E5" w14:textId="74257D8B"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0F063475" w14:textId="77777777" w:rsidTr="00924EF2">
        <w:tc>
          <w:tcPr>
            <w:tcW w:w="809" w:type="dxa"/>
            <w:tcMar>
              <w:top w:w="57" w:type="dxa"/>
              <w:left w:w="57" w:type="dxa"/>
              <w:bottom w:w="57" w:type="dxa"/>
            </w:tcMar>
          </w:tcPr>
          <w:p w14:paraId="025A0DB8" w14:textId="29866E35" w:rsidR="0031054C" w:rsidRPr="002836EB" w:rsidRDefault="0031054C" w:rsidP="00045A9D">
            <w:pPr>
              <w:pStyle w:val="02Tabletext"/>
              <w:rPr>
                <w:b/>
                <w:highlight w:val="yellow"/>
              </w:rPr>
            </w:pPr>
            <w:r w:rsidRPr="002836EB">
              <w:t>15700</w:t>
            </w:r>
          </w:p>
        </w:tc>
        <w:tc>
          <w:tcPr>
            <w:tcW w:w="2730" w:type="dxa"/>
            <w:tcMar>
              <w:top w:w="57" w:type="dxa"/>
              <w:left w:w="57" w:type="dxa"/>
              <w:bottom w:w="57" w:type="dxa"/>
            </w:tcMar>
          </w:tcPr>
          <w:p w14:paraId="53CCEB50" w14:textId="2081B427" w:rsidR="0031054C" w:rsidRPr="002836EB" w:rsidRDefault="0031054C" w:rsidP="00045A9D">
            <w:pPr>
              <w:pStyle w:val="02Tabletext"/>
            </w:pPr>
            <w:r w:rsidRPr="002836EB">
              <w:t>Change</w:t>
            </w:r>
          </w:p>
        </w:tc>
        <w:tc>
          <w:tcPr>
            <w:tcW w:w="851" w:type="dxa"/>
            <w:tcMar>
              <w:top w:w="57" w:type="dxa"/>
              <w:left w:w="57" w:type="dxa"/>
              <w:bottom w:w="57" w:type="dxa"/>
            </w:tcMar>
          </w:tcPr>
          <w:p w14:paraId="776C40FD" w14:textId="1CFDF513"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7F6EC47F" w14:textId="77777777" w:rsidTr="00924EF2">
        <w:tc>
          <w:tcPr>
            <w:tcW w:w="809" w:type="dxa"/>
            <w:tcMar>
              <w:top w:w="57" w:type="dxa"/>
              <w:left w:w="57" w:type="dxa"/>
              <w:bottom w:w="57" w:type="dxa"/>
            </w:tcMar>
          </w:tcPr>
          <w:p w14:paraId="7C171A6E" w14:textId="253EA7D8" w:rsidR="0031054C" w:rsidRPr="002836EB" w:rsidRDefault="0031054C" w:rsidP="00045A9D">
            <w:pPr>
              <w:pStyle w:val="02Tabletext"/>
              <w:rPr>
                <w:b/>
                <w:highlight w:val="yellow"/>
              </w:rPr>
            </w:pPr>
            <w:r w:rsidRPr="002836EB">
              <w:t>15705</w:t>
            </w:r>
          </w:p>
        </w:tc>
        <w:tc>
          <w:tcPr>
            <w:tcW w:w="2730" w:type="dxa"/>
            <w:tcMar>
              <w:top w:w="57" w:type="dxa"/>
              <w:left w:w="57" w:type="dxa"/>
              <w:bottom w:w="57" w:type="dxa"/>
            </w:tcMar>
          </w:tcPr>
          <w:p w14:paraId="1D5DFB6E" w14:textId="49B38B45" w:rsidR="0031054C" w:rsidRPr="002836EB" w:rsidRDefault="0031054C" w:rsidP="00045A9D">
            <w:pPr>
              <w:pStyle w:val="02Tabletext"/>
              <w:rPr>
                <w:shd w:val="clear" w:color="auto" w:fill="FFFFFF"/>
              </w:rPr>
            </w:pPr>
            <w:r w:rsidRPr="002836EB">
              <w:t>Change</w:t>
            </w:r>
          </w:p>
        </w:tc>
        <w:tc>
          <w:tcPr>
            <w:tcW w:w="851" w:type="dxa"/>
            <w:tcMar>
              <w:top w:w="57" w:type="dxa"/>
              <w:left w:w="57" w:type="dxa"/>
              <w:bottom w:w="57" w:type="dxa"/>
            </w:tcMar>
          </w:tcPr>
          <w:p w14:paraId="39835C0A" w14:textId="4B736C8A" w:rsidR="0031054C" w:rsidRPr="002836EB" w:rsidRDefault="0031054C" w:rsidP="00045A9D">
            <w:pPr>
              <w:pStyle w:val="02Tabletext"/>
              <w:rPr>
                <w:shd w:val="clear" w:color="auto" w:fill="FFFFFF"/>
              </w:rPr>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16F2AF94" w14:textId="77777777" w:rsidTr="00924EF2">
        <w:tc>
          <w:tcPr>
            <w:tcW w:w="809" w:type="dxa"/>
            <w:tcMar>
              <w:top w:w="57" w:type="dxa"/>
              <w:left w:w="57" w:type="dxa"/>
              <w:bottom w:w="57" w:type="dxa"/>
            </w:tcMar>
          </w:tcPr>
          <w:p w14:paraId="5775264F" w14:textId="6FB9D2F9" w:rsidR="0031054C" w:rsidRPr="002836EB" w:rsidRDefault="0031054C" w:rsidP="00045A9D">
            <w:pPr>
              <w:pStyle w:val="02Tabletext"/>
              <w:rPr>
                <w:b/>
                <w:highlight w:val="yellow"/>
              </w:rPr>
            </w:pPr>
            <w:r w:rsidRPr="002836EB">
              <w:t>15710</w:t>
            </w:r>
          </w:p>
        </w:tc>
        <w:tc>
          <w:tcPr>
            <w:tcW w:w="2730" w:type="dxa"/>
            <w:tcMar>
              <w:top w:w="57" w:type="dxa"/>
              <w:left w:w="57" w:type="dxa"/>
              <w:bottom w:w="57" w:type="dxa"/>
            </w:tcMar>
          </w:tcPr>
          <w:p w14:paraId="444B8D60" w14:textId="064A3253" w:rsidR="0031054C" w:rsidRPr="002836EB" w:rsidRDefault="0031054C" w:rsidP="00045A9D">
            <w:pPr>
              <w:pStyle w:val="02Tabletext"/>
            </w:pPr>
            <w:r w:rsidRPr="002836EB">
              <w:t>Change</w:t>
            </w:r>
          </w:p>
        </w:tc>
        <w:tc>
          <w:tcPr>
            <w:tcW w:w="851" w:type="dxa"/>
            <w:tcMar>
              <w:top w:w="57" w:type="dxa"/>
              <w:left w:w="57" w:type="dxa"/>
              <w:bottom w:w="57" w:type="dxa"/>
            </w:tcMar>
          </w:tcPr>
          <w:p w14:paraId="217B6C33" w14:textId="77FFA20D"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31054C" w:rsidRPr="002836EB" w14:paraId="20A63E05" w14:textId="77777777" w:rsidTr="00F65FC0">
        <w:tc>
          <w:tcPr>
            <w:tcW w:w="809" w:type="dxa"/>
            <w:tcMar>
              <w:top w:w="57" w:type="dxa"/>
              <w:left w:w="57" w:type="dxa"/>
              <w:bottom w:w="57" w:type="dxa"/>
            </w:tcMar>
          </w:tcPr>
          <w:p w14:paraId="3613F861" w14:textId="103CE69F" w:rsidR="0031054C" w:rsidRPr="002836EB" w:rsidRDefault="0031054C" w:rsidP="00045A9D">
            <w:pPr>
              <w:pStyle w:val="02Tabletext"/>
            </w:pPr>
            <w:r>
              <w:t>15715</w:t>
            </w:r>
          </w:p>
        </w:tc>
        <w:tc>
          <w:tcPr>
            <w:tcW w:w="2730" w:type="dxa"/>
            <w:tcMar>
              <w:top w:w="57" w:type="dxa"/>
              <w:left w:w="57" w:type="dxa"/>
              <w:bottom w:w="57" w:type="dxa"/>
            </w:tcMar>
          </w:tcPr>
          <w:p w14:paraId="372C845F" w14:textId="353626E6" w:rsidR="0031054C" w:rsidRPr="002836EB" w:rsidRDefault="0031054C" w:rsidP="00045A9D">
            <w:pPr>
              <w:pStyle w:val="02Tabletext"/>
            </w:pPr>
            <w:r>
              <w:t>Change</w:t>
            </w:r>
          </w:p>
        </w:tc>
        <w:tc>
          <w:tcPr>
            <w:tcW w:w="851" w:type="dxa"/>
            <w:tcMar>
              <w:top w:w="57" w:type="dxa"/>
              <w:left w:w="57" w:type="dxa"/>
              <w:bottom w:w="57" w:type="dxa"/>
            </w:tcMar>
          </w:tcPr>
          <w:p w14:paraId="41DEEFE7" w14:textId="7467F978" w:rsidR="0031054C" w:rsidRPr="002836EB" w:rsidRDefault="0031054C" w:rsidP="00045A9D">
            <w:pPr>
              <w:pStyle w:val="02Tabletext"/>
            </w:pPr>
            <w:r w:rsidRPr="00D936BA">
              <w:fldChar w:fldCharType="begin"/>
            </w:r>
            <w:r w:rsidRPr="00D936BA">
              <w:instrText xml:space="preserve"> PAGEREF _Ref464501738 \h </w:instrText>
            </w:r>
            <w:r w:rsidRPr="00D936BA">
              <w:fldChar w:fldCharType="separate"/>
            </w:r>
            <w:r w:rsidR="003274EF">
              <w:rPr>
                <w:noProof/>
              </w:rPr>
              <w:t>32</w:t>
            </w:r>
            <w:r w:rsidRPr="00D936BA">
              <w:fldChar w:fldCharType="end"/>
            </w:r>
            <w:r w:rsidRPr="00D936BA">
              <w:t xml:space="preserve"> - </w:t>
            </w:r>
            <w:hyperlink w:anchor="_Recommendation_on_restructuring_1" w:history="1">
              <w:r w:rsidRPr="00D936BA">
                <w:rPr>
                  <w:rStyle w:val="Hyperlink"/>
                  <w:color w:val="000000" w:themeColor="text1"/>
                  <w:u w:val="none"/>
                </w:rPr>
                <w:t>58</w:t>
              </w:r>
            </w:hyperlink>
          </w:p>
        </w:tc>
      </w:tr>
      <w:tr w:rsidR="00EB0C28" w:rsidRPr="002836EB" w14:paraId="15C4022E" w14:textId="77777777" w:rsidTr="007D7206">
        <w:tc>
          <w:tcPr>
            <w:tcW w:w="809" w:type="dxa"/>
            <w:tcMar>
              <w:top w:w="57" w:type="dxa"/>
              <w:left w:w="57" w:type="dxa"/>
              <w:bottom w:w="57" w:type="dxa"/>
            </w:tcMar>
          </w:tcPr>
          <w:p w14:paraId="77468C71" w14:textId="46DF7B90" w:rsidR="00EB0C28" w:rsidRPr="002836EB" w:rsidRDefault="00EB0C28" w:rsidP="00EB0C28">
            <w:pPr>
              <w:pStyle w:val="02Tabletext"/>
              <w:rPr>
                <w:b/>
                <w:highlight w:val="yellow"/>
              </w:rPr>
            </w:pPr>
            <w:r w:rsidRPr="002836EB">
              <w:t>15800</w:t>
            </w:r>
          </w:p>
        </w:tc>
        <w:tc>
          <w:tcPr>
            <w:tcW w:w="2730" w:type="dxa"/>
            <w:tcMar>
              <w:top w:w="57" w:type="dxa"/>
              <w:left w:w="57" w:type="dxa"/>
              <w:bottom w:w="57" w:type="dxa"/>
            </w:tcMar>
          </w:tcPr>
          <w:p w14:paraId="6886B66C" w14:textId="34BABE9E" w:rsidR="00EB0C28" w:rsidRPr="002836EB" w:rsidRDefault="00EB0C28" w:rsidP="00EB0C28">
            <w:pPr>
              <w:pStyle w:val="02Tabletext"/>
            </w:pPr>
            <w:r w:rsidRPr="002836EB">
              <w:t>Change</w:t>
            </w:r>
          </w:p>
        </w:tc>
        <w:tc>
          <w:tcPr>
            <w:tcW w:w="851" w:type="dxa"/>
            <w:tcMar>
              <w:top w:w="57" w:type="dxa"/>
              <w:left w:w="57" w:type="dxa"/>
              <w:bottom w:w="57" w:type="dxa"/>
            </w:tcMar>
          </w:tcPr>
          <w:p w14:paraId="13113251" w14:textId="11491C41" w:rsidR="00EB0C28" w:rsidRPr="002836EB" w:rsidRDefault="00EB0C28" w:rsidP="0031054C">
            <w:pPr>
              <w:pStyle w:val="02Tabletext"/>
            </w:pPr>
            <w:r w:rsidRPr="00935021">
              <w:fldChar w:fldCharType="begin"/>
            </w:r>
            <w:r w:rsidRPr="00935021">
              <w:instrText xml:space="preserve"> PAGEREF _Ref464501740 \h </w:instrText>
            </w:r>
            <w:r w:rsidRPr="00935021">
              <w:fldChar w:fldCharType="separate"/>
            </w:r>
            <w:r w:rsidR="003274EF">
              <w:rPr>
                <w:noProof/>
              </w:rPr>
              <w:t>60</w:t>
            </w:r>
            <w:r w:rsidRPr="00935021">
              <w:fldChar w:fldCharType="end"/>
            </w:r>
            <w:r w:rsidRPr="00935021">
              <w:t xml:space="preserve"> - </w:t>
            </w:r>
            <w:hyperlink w:anchor="_End-state_recommendation:_Restructu" w:history="1">
              <w:r w:rsidR="0031054C" w:rsidRPr="0031054C">
                <w:rPr>
                  <w:rStyle w:val="Hyperlink"/>
                  <w:color w:val="000000" w:themeColor="text1"/>
                  <w:u w:val="none"/>
                </w:rPr>
                <w:t>71</w:t>
              </w:r>
            </w:hyperlink>
          </w:p>
        </w:tc>
      </w:tr>
      <w:tr w:rsidR="00EB0C28" w:rsidRPr="002836EB" w14:paraId="6AC4498F" w14:textId="77777777" w:rsidTr="007D7206">
        <w:tc>
          <w:tcPr>
            <w:tcW w:w="809" w:type="dxa"/>
            <w:tcMar>
              <w:top w:w="57" w:type="dxa"/>
              <w:left w:w="57" w:type="dxa"/>
              <w:bottom w:w="57" w:type="dxa"/>
            </w:tcMar>
          </w:tcPr>
          <w:p w14:paraId="1B944D65" w14:textId="06942CBE" w:rsidR="00EB0C28" w:rsidRPr="002836EB" w:rsidRDefault="00EB0C28" w:rsidP="00EB0C28">
            <w:pPr>
              <w:pStyle w:val="02Tabletext"/>
              <w:rPr>
                <w:b/>
                <w:highlight w:val="yellow"/>
              </w:rPr>
            </w:pPr>
            <w:r w:rsidRPr="002836EB">
              <w:t>15850</w:t>
            </w:r>
          </w:p>
        </w:tc>
        <w:tc>
          <w:tcPr>
            <w:tcW w:w="2730" w:type="dxa"/>
            <w:tcMar>
              <w:top w:w="57" w:type="dxa"/>
              <w:left w:w="57" w:type="dxa"/>
              <w:bottom w:w="57" w:type="dxa"/>
            </w:tcMar>
          </w:tcPr>
          <w:p w14:paraId="2369D563" w14:textId="67CEEB69" w:rsidR="00EB0C28" w:rsidRPr="002836EB" w:rsidRDefault="00EB0C28" w:rsidP="00EB0C28">
            <w:pPr>
              <w:pStyle w:val="02Tabletext"/>
            </w:pPr>
            <w:r w:rsidRPr="002836EB">
              <w:t>Change</w:t>
            </w:r>
          </w:p>
        </w:tc>
        <w:tc>
          <w:tcPr>
            <w:tcW w:w="851" w:type="dxa"/>
            <w:tcMar>
              <w:top w:w="57" w:type="dxa"/>
              <w:left w:w="57" w:type="dxa"/>
              <w:bottom w:w="57" w:type="dxa"/>
            </w:tcMar>
          </w:tcPr>
          <w:p w14:paraId="2E2C0B8F" w14:textId="758A38E6" w:rsidR="00EB0C28" w:rsidRPr="002836EB" w:rsidRDefault="00EB0C28" w:rsidP="0031054C">
            <w:pPr>
              <w:pStyle w:val="02Tabletext"/>
            </w:pPr>
            <w:r w:rsidRPr="00935021">
              <w:fldChar w:fldCharType="begin"/>
            </w:r>
            <w:r w:rsidRPr="00935021">
              <w:instrText xml:space="preserve"> PAGEREF _Ref464501740 \h </w:instrText>
            </w:r>
            <w:r w:rsidRPr="00935021">
              <w:fldChar w:fldCharType="separate"/>
            </w:r>
            <w:r w:rsidR="003274EF">
              <w:rPr>
                <w:noProof/>
              </w:rPr>
              <w:t>60</w:t>
            </w:r>
            <w:r w:rsidRPr="00935021">
              <w:fldChar w:fldCharType="end"/>
            </w:r>
            <w:r w:rsidRPr="00935021">
              <w:t xml:space="preserve"> - </w:t>
            </w:r>
            <w:hyperlink w:anchor="_End-state_recommendation:_Restructu" w:history="1">
              <w:r w:rsidR="0031054C" w:rsidRPr="0031054C">
                <w:rPr>
                  <w:rStyle w:val="Hyperlink"/>
                  <w:color w:val="000000" w:themeColor="text1"/>
                  <w:u w:val="none"/>
                </w:rPr>
                <w:t>71</w:t>
              </w:r>
            </w:hyperlink>
          </w:p>
        </w:tc>
      </w:tr>
      <w:tr w:rsidR="00AE4D10" w:rsidRPr="002836EB" w14:paraId="41F1B023" w14:textId="77777777" w:rsidTr="007D7206">
        <w:tc>
          <w:tcPr>
            <w:tcW w:w="809" w:type="dxa"/>
            <w:tcMar>
              <w:top w:w="57" w:type="dxa"/>
              <w:left w:w="57" w:type="dxa"/>
              <w:bottom w:w="57" w:type="dxa"/>
            </w:tcMar>
          </w:tcPr>
          <w:p w14:paraId="3A6DD1C1" w14:textId="75F444C0" w:rsidR="00AE4D10" w:rsidRPr="002836EB" w:rsidRDefault="00AE4D10" w:rsidP="00AE4D10">
            <w:pPr>
              <w:pStyle w:val="02Tabletext"/>
              <w:rPr>
                <w:highlight w:val="yellow"/>
              </w:rPr>
            </w:pPr>
            <w:r w:rsidRPr="002836EB">
              <w:t>30299</w:t>
            </w:r>
          </w:p>
        </w:tc>
        <w:tc>
          <w:tcPr>
            <w:tcW w:w="2730" w:type="dxa"/>
            <w:tcMar>
              <w:top w:w="57" w:type="dxa"/>
              <w:left w:w="57" w:type="dxa"/>
              <w:bottom w:w="57" w:type="dxa"/>
            </w:tcMar>
          </w:tcPr>
          <w:p w14:paraId="2214AF0F" w14:textId="5395105B" w:rsidR="00AE4D10" w:rsidRPr="002836EB" w:rsidRDefault="00AE4D10" w:rsidP="00AE4D10">
            <w:pPr>
              <w:pStyle w:val="02Tabletext"/>
            </w:pPr>
            <w:r w:rsidRPr="002836EB">
              <w:t>Change</w:t>
            </w:r>
          </w:p>
        </w:tc>
        <w:tc>
          <w:tcPr>
            <w:tcW w:w="851" w:type="dxa"/>
            <w:tcMar>
              <w:top w:w="57" w:type="dxa"/>
              <w:left w:w="57" w:type="dxa"/>
              <w:bottom w:w="57" w:type="dxa"/>
            </w:tcMar>
          </w:tcPr>
          <w:p w14:paraId="0E8C930A" w14:textId="07D4E7DF" w:rsidR="00AE4D10" w:rsidRPr="002836EB" w:rsidRDefault="00AE4D10" w:rsidP="00AE4D10">
            <w:pPr>
              <w:pStyle w:val="02Tabletext"/>
            </w:pPr>
            <w:r w:rsidRPr="002836EB">
              <w:fldChar w:fldCharType="begin"/>
            </w:r>
            <w:r w:rsidRPr="002836EB">
              <w:instrText xml:space="preserve"> PAGEREF _Ref463920191 \h </w:instrText>
            </w:r>
            <w:r w:rsidRPr="002836EB">
              <w:fldChar w:fldCharType="separate"/>
            </w:r>
            <w:r w:rsidR="003274EF">
              <w:rPr>
                <w:noProof/>
              </w:rPr>
              <w:t>73</w:t>
            </w:r>
            <w:r w:rsidRPr="002836EB">
              <w:fldChar w:fldCharType="end"/>
            </w:r>
            <w:r w:rsidR="00EB0C28">
              <w:t xml:space="preserve"> - </w:t>
            </w:r>
            <w:r w:rsidR="00EB0C28">
              <w:fldChar w:fldCharType="begin"/>
            </w:r>
            <w:r w:rsidR="00EB0C28">
              <w:instrText xml:space="preserve"> PAGEREF _Ref474880072 \h </w:instrText>
            </w:r>
            <w:r w:rsidR="00EB0C28">
              <w:fldChar w:fldCharType="separate"/>
            </w:r>
            <w:r w:rsidR="003274EF">
              <w:rPr>
                <w:noProof/>
              </w:rPr>
              <w:t>75</w:t>
            </w:r>
            <w:r w:rsidR="00EB0C28">
              <w:fldChar w:fldCharType="end"/>
            </w:r>
          </w:p>
        </w:tc>
      </w:tr>
      <w:tr w:rsidR="00FF2EA7" w:rsidRPr="002836EB" w14:paraId="39CE99EA" w14:textId="77777777" w:rsidTr="007D7206">
        <w:tc>
          <w:tcPr>
            <w:tcW w:w="809" w:type="dxa"/>
            <w:tcMar>
              <w:top w:w="57" w:type="dxa"/>
              <w:left w:w="57" w:type="dxa"/>
              <w:bottom w:w="57" w:type="dxa"/>
            </w:tcMar>
          </w:tcPr>
          <w:p w14:paraId="6FFF0FD2" w14:textId="36FE6F9D" w:rsidR="00FF2EA7" w:rsidRPr="002836EB" w:rsidRDefault="00FF2EA7" w:rsidP="00FF2EA7">
            <w:pPr>
              <w:pStyle w:val="02Tabletext"/>
              <w:rPr>
                <w:highlight w:val="yellow"/>
              </w:rPr>
            </w:pPr>
            <w:r w:rsidRPr="002836EB">
              <w:t>30300</w:t>
            </w:r>
          </w:p>
        </w:tc>
        <w:tc>
          <w:tcPr>
            <w:tcW w:w="2730" w:type="dxa"/>
            <w:tcMar>
              <w:top w:w="57" w:type="dxa"/>
              <w:left w:w="57" w:type="dxa"/>
              <w:bottom w:w="57" w:type="dxa"/>
            </w:tcMar>
          </w:tcPr>
          <w:p w14:paraId="270ED4B7" w14:textId="00CA9151" w:rsidR="00FF2EA7" w:rsidRPr="002836EB" w:rsidRDefault="00FF2EA7" w:rsidP="00FF2EA7">
            <w:pPr>
              <w:pStyle w:val="02Tabletext"/>
              <w:rPr>
                <w:shd w:val="clear" w:color="auto" w:fill="FFFFFF"/>
              </w:rPr>
            </w:pPr>
            <w:r w:rsidRPr="002836EB">
              <w:t>Change</w:t>
            </w:r>
          </w:p>
        </w:tc>
        <w:tc>
          <w:tcPr>
            <w:tcW w:w="851" w:type="dxa"/>
            <w:tcMar>
              <w:top w:w="57" w:type="dxa"/>
              <w:left w:w="57" w:type="dxa"/>
              <w:bottom w:w="57" w:type="dxa"/>
            </w:tcMar>
          </w:tcPr>
          <w:p w14:paraId="7F0339D5" w14:textId="744D58E8" w:rsidR="00FF2EA7" w:rsidRPr="002836EB" w:rsidRDefault="00FF2EA7" w:rsidP="00FF2EA7">
            <w:pPr>
              <w:pStyle w:val="02Tabletext"/>
              <w:rPr>
                <w:shd w:val="clear" w:color="auto" w:fill="FFFFFF"/>
              </w:rPr>
            </w:pPr>
            <w:r w:rsidRPr="009A51F6">
              <w:fldChar w:fldCharType="begin"/>
            </w:r>
            <w:r w:rsidRPr="009A51F6">
              <w:instrText xml:space="preserve"> PAGEREF _Ref463920191 \h </w:instrText>
            </w:r>
            <w:r w:rsidRPr="009A51F6">
              <w:fldChar w:fldCharType="separate"/>
            </w:r>
            <w:r w:rsidR="003274EF">
              <w:rPr>
                <w:noProof/>
              </w:rPr>
              <w:t>73</w:t>
            </w:r>
            <w:r w:rsidRPr="009A51F6">
              <w:fldChar w:fldCharType="end"/>
            </w:r>
            <w:r w:rsidRPr="009A51F6">
              <w:t xml:space="preserve"> - </w:t>
            </w:r>
            <w:r w:rsidRPr="009A51F6">
              <w:fldChar w:fldCharType="begin"/>
            </w:r>
            <w:r w:rsidRPr="009A51F6">
              <w:instrText xml:space="preserve"> PAGEREF _Ref474880072 \h </w:instrText>
            </w:r>
            <w:r w:rsidRPr="009A51F6">
              <w:fldChar w:fldCharType="separate"/>
            </w:r>
            <w:r w:rsidR="003274EF">
              <w:rPr>
                <w:noProof/>
              </w:rPr>
              <w:t>75</w:t>
            </w:r>
            <w:r w:rsidRPr="009A51F6">
              <w:fldChar w:fldCharType="end"/>
            </w:r>
          </w:p>
        </w:tc>
      </w:tr>
      <w:tr w:rsidR="00FF2EA7" w:rsidRPr="002836EB" w14:paraId="026F1BE9" w14:textId="77777777" w:rsidTr="007D7206">
        <w:tc>
          <w:tcPr>
            <w:tcW w:w="809" w:type="dxa"/>
            <w:tcMar>
              <w:top w:w="57" w:type="dxa"/>
              <w:left w:w="57" w:type="dxa"/>
              <w:bottom w:w="57" w:type="dxa"/>
            </w:tcMar>
          </w:tcPr>
          <w:p w14:paraId="45F37176" w14:textId="5A0CA93C" w:rsidR="00FF2EA7" w:rsidRPr="002836EB" w:rsidRDefault="00FF2EA7" w:rsidP="00FF2EA7">
            <w:pPr>
              <w:pStyle w:val="02Tabletext"/>
              <w:rPr>
                <w:highlight w:val="yellow"/>
              </w:rPr>
            </w:pPr>
            <w:r w:rsidRPr="002836EB">
              <w:t>30302</w:t>
            </w:r>
          </w:p>
        </w:tc>
        <w:tc>
          <w:tcPr>
            <w:tcW w:w="2730" w:type="dxa"/>
            <w:tcMar>
              <w:top w:w="57" w:type="dxa"/>
              <w:left w:w="57" w:type="dxa"/>
              <w:bottom w:w="57" w:type="dxa"/>
            </w:tcMar>
          </w:tcPr>
          <w:p w14:paraId="27549256" w14:textId="7AE1AB51" w:rsidR="00FF2EA7" w:rsidRPr="002836EB" w:rsidRDefault="00FF2EA7" w:rsidP="00FF2EA7">
            <w:pPr>
              <w:pStyle w:val="02Tabletext"/>
            </w:pPr>
            <w:r w:rsidRPr="002836EB">
              <w:t>Change</w:t>
            </w:r>
          </w:p>
        </w:tc>
        <w:tc>
          <w:tcPr>
            <w:tcW w:w="851" w:type="dxa"/>
            <w:tcMar>
              <w:top w:w="57" w:type="dxa"/>
              <w:left w:w="57" w:type="dxa"/>
              <w:bottom w:w="57" w:type="dxa"/>
            </w:tcMar>
          </w:tcPr>
          <w:p w14:paraId="727EB83E" w14:textId="2235D5F9" w:rsidR="00FF2EA7" w:rsidRPr="002836EB" w:rsidRDefault="00FF2EA7" w:rsidP="00FF2EA7">
            <w:pPr>
              <w:pStyle w:val="02Tabletext"/>
            </w:pPr>
            <w:r w:rsidRPr="009A51F6">
              <w:fldChar w:fldCharType="begin"/>
            </w:r>
            <w:r w:rsidRPr="009A51F6">
              <w:instrText xml:space="preserve"> PAGEREF _Ref463920191 \h </w:instrText>
            </w:r>
            <w:r w:rsidRPr="009A51F6">
              <w:fldChar w:fldCharType="separate"/>
            </w:r>
            <w:r w:rsidR="003274EF">
              <w:rPr>
                <w:noProof/>
              </w:rPr>
              <w:t>73</w:t>
            </w:r>
            <w:r w:rsidRPr="009A51F6">
              <w:fldChar w:fldCharType="end"/>
            </w:r>
            <w:r w:rsidRPr="009A51F6">
              <w:t xml:space="preserve"> - </w:t>
            </w:r>
            <w:r w:rsidRPr="009A51F6">
              <w:fldChar w:fldCharType="begin"/>
            </w:r>
            <w:r w:rsidRPr="009A51F6">
              <w:instrText xml:space="preserve"> PAGEREF _Ref474880072 \h </w:instrText>
            </w:r>
            <w:r w:rsidRPr="009A51F6">
              <w:fldChar w:fldCharType="separate"/>
            </w:r>
            <w:r w:rsidR="003274EF">
              <w:rPr>
                <w:noProof/>
              </w:rPr>
              <w:t>75</w:t>
            </w:r>
            <w:r w:rsidRPr="009A51F6">
              <w:fldChar w:fldCharType="end"/>
            </w:r>
          </w:p>
        </w:tc>
      </w:tr>
      <w:tr w:rsidR="00FF2EA7" w:rsidRPr="002836EB" w14:paraId="20914824" w14:textId="77777777" w:rsidTr="007D7206">
        <w:tc>
          <w:tcPr>
            <w:tcW w:w="809" w:type="dxa"/>
            <w:tcMar>
              <w:top w:w="57" w:type="dxa"/>
              <w:left w:w="57" w:type="dxa"/>
              <w:bottom w:w="57" w:type="dxa"/>
            </w:tcMar>
          </w:tcPr>
          <w:p w14:paraId="7B8E7702" w14:textId="32C53C6A" w:rsidR="00FF2EA7" w:rsidRPr="002836EB" w:rsidRDefault="00FF2EA7" w:rsidP="00FF2EA7">
            <w:pPr>
              <w:pStyle w:val="02Tabletext"/>
              <w:rPr>
                <w:highlight w:val="yellow"/>
              </w:rPr>
            </w:pPr>
            <w:r w:rsidRPr="002836EB">
              <w:t>30303</w:t>
            </w:r>
          </w:p>
        </w:tc>
        <w:tc>
          <w:tcPr>
            <w:tcW w:w="2730" w:type="dxa"/>
            <w:tcMar>
              <w:top w:w="57" w:type="dxa"/>
              <w:left w:w="57" w:type="dxa"/>
              <w:bottom w:w="57" w:type="dxa"/>
            </w:tcMar>
          </w:tcPr>
          <w:p w14:paraId="23787EDE" w14:textId="58BBF9AF" w:rsidR="00FF2EA7" w:rsidRPr="002836EB" w:rsidRDefault="00FF2EA7" w:rsidP="00FF2EA7">
            <w:pPr>
              <w:pStyle w:val="02Tabletext"/>
            </w:pPr>
            <w:r w:rsidRPr="002836EB">
              <w:t>Change</w:t>
            </w:r>
          </w:p>
        </w:tc>
        <w:tc>
          <w:tcPr>
            <w:tcW w:w="851" w:type="dxa"/>
            <w:tcMar>
              <w:top w:w="57" w:type="dxa"/>
              <w:left w:w="57" w:type="dxa"/>
              <w:bottom w:w="57" w:type="dxa"/>
            </w:tcMar>
          </w:tcPr>
          <w:p w14:paraId="60A7CDDC" w14:textId="708EFCC2" w:rsidR="00FF2EA7" w:rsidRPr="002836EB" w:rsidRDefault="00FF2EA7" w:rsidP="00FF2EA7">
            <w:pPr>
              <w:pStyle w:val="02Tabletext"/>
            </w:pPr>
            <w:r w:rsidRPr="009A51F6">
              <w:fldChar w:fldCharType="begin"/>
            </w:r>
            <w:r w:rsidRPr="009A51F6">
              <w:instrText xml:space="preserve"> PAGEREF _Ref463920191 \h </w:instrText>
            </w:r>
            <w:r w:rsidRPr="009A51F6">
              <w:fldChar w:fldCharType="separate"/>
            </w:r>
            <w:r w:rsidR="003274EF">
              <w:rPr>
                <w:noProof/>
              </w:rPr>
              <w:t>73</w:t>
            </w:r>
            <w:r w:rsidRPr="009A51F6">
              <w:fldChar w:fldCharType="end"/>
            </w:r>
            <w:r w:rsidRPr="009A51F6">
              <w:t xml:space="preserve"> - </w:t>
            </w:r>
            <w:r w:rsidRPr="009A51F6">
              <w:fldChar w:fldCharType="begin"/>
            </w:r>
            <w:r w:rsidRPr="009A51F6">
              <w:instrText xml:space="preserve"> PAGEREF _Ref474880072 \h </w:instrText>
            </w:r>
            <w:r w:rsidRPr="009A51F6">
              <w:fldChar w:fldCharType="separate"/>
            </w:r>
            <w:r w:rsidR="003274EF">
              <w:rPr>
                <w:noProof/>
              </w:rPr>
              <w:t>75</w:t>
            </w:r>
            <w:r w:rsidRPr="009A51F6">
              <w:fldChar w:fldCharType="end"/>
            </w:r>
          </w:p>
        </w:tc>
      </w:tr>
    </w:tbl>
    <w:p w14:paraId="216C1E32" w14:textId="77777777" w:rsidR="00B73230" w:rsidRPr="002836EB" w:rsidRDefault="00B73230" w:rsidP="00B73230">
      <w:pPr>
        <w:sectPr w:rsidR="00B73230" w:rsidRPr="002836EB" w:rsidSect="00650794">
          <w:footerReference w:type="default" r:id="rId22"/>
          <w:type w:val="continuous"/>
          <w:pgSz w:w="11906" w:h="16838" w:code="9"/>
          <w:pgMar w:top="1440" w:right="1440" w:bottom="1276" w:left="1440" w:header="720" w:footer="720" w:gutter="0"/>
          <w:paperSrc w:first="2" w:other="2"/>
          <w:cols w:space="720"/>
          <w:docGrid w:linePitch="326"/>
        </w:sectPr>
      </w:pPr>
      <w:bookmarkStart w:id="257" w:name="_Toc456045470"/>
    </w:p>
    <w:p w14:paraId="4BCF33BD" w14:textId="4BD69C71" w:rsidR="0013441A" w:rsidRPr="002836EB" w:rsidRDefault="0013441A" w:rsidP="00134AE6">
      <w:pPr>
        <w:pStyle w:val="AppendixStyle1"/>
        <w:rPr>
          <w:lang w:val="en-GB"/>
        </w:rPr>
      </w:pPr>
      <w:bookmarkStart w:id="258" w:name="_Toc459707287"/>
      <w:bookmarkStart w:id="259" w:name="_Toc459996833"/>
      <w:bookmarkStart w:id="260" w:name="_Ref462783356"/>
      <w:bookmarkStart w:id="261" w:name="_Ref462783365"/>
      <w:bookmarkStart w:id="262" w:name="_Toc468647497"/>
      <w:bookmarkStart w:id="263" w:name="_Toc479082800"/>
      <w:bookmarkEnd w:id="257"/>
      <w:r w:rsidRPr="002836EB">
        <w:rPr>
          <w:lang w:val="en-GB"/>
        </w:rPr>
        <w:lastRenderedPageBreak/>
        <w:t xml:space="preserve">Summary for </w:t>
      </w:r>
      <w:r w:rsidR="001F7D9B" w:rsidRPr="002836EB">
        <w:rPr>
          <w:lang w:val="en-GB"/>
        </w:rPr>
        <w:t>c</w:t>
      </w:r>
      <w:r w:rsidRPr="002836EB">
        <w:rPr>
          <w:lang w:val="en-GB"/>
        </w:rPr>
        <w:t>onsumers</w:t>
      </w:r>
      <w:bookmarkEnd w:id="258"/>
      <w:bookmarkEnd w:id="259"/>
      <w:bookmarkEnd w:id="260"/>
      <w:bookmarkEnd w:id="261"/>
      <w:bookmarkEnd w:id="262"/>
      <w:bookmarkEnd w:id="263"/>
    </w:p>
    <w:p w14:paraId="6700AFC0" w14:textId="77777777" w:rsidR="0013441A" w:rsidRPr="002836EB" w:rsidRDefault="0013441A" w:rsidP="00082595">
      <w:r w:rsidRPr="002836EB">
        <w:t>This table describes the medical service,</w:t>
      </w:r>
      <w:r w:rsidR="001E7E30" w:rsidRPr="002836EB">
        <w:t xml:space="preserve"> the</w:t>
      </w:r>
      <w:r w:rsidRPr="002836EB">
        <w:t xml:space="preserve"> recommendation</w:t>
      </w:r>
      <w:r w:rsidR="00395F78" w:rsidRPr="002836EB">
        <w:t>(</w:t>
      </w:r>
      <w:r w:rsidRPr="002836EB">
        <w:t>s</w:t>
      </w:r>
      <w:r w:rsidR="00395F78" w:rsidRPr="002836EB">
        <w:t>)</w:t>
      </w:r>
      <w:r w:rsidRPr="002836EB">
        <w:t xml:space="preserve"> of the </w:t>
      </w:r>
      <w:r w:rsidR="001E7E30" w:rsidRPr="002836EB">
        <w:t>c</w:t>
      </w:r>
      <w:r w:rsidRPr="002836EB">
        <w:t xml:space="preserve">linical </w:t>
      </w:r>
      <w:r w:rsidR="001E7E30" w:rsidRPr="002836EB">
        <w:t>e</w:t>
      </w:r>
      <w:r w:rsidRPr="002836EB">
        <w:t>xperts and why the recommendation</w:t>
      </w:r>
      <w:r w:rsidR="00395F78" w:rsidRPr="002836EB">
        <w:t>(s)</w:t>
      </w:r>
      <w:r w:rsidRPr="002836EB">
        <w:t xml:space="preserve"> has been made.</w:t>
      </w:r>
    </w:p>
    <w:p w14:paraId="5A00E08E" w14:textId="77777777" w:rsidR="00D237EC" w:rsidRDefault="006F042B" w:rsidP="00C870E9">
      <w:pPr>
        <w:pStyle w:val="Boldhdg"/>
      </w:pPr>
      <w:r w:rsidRPr="002836EB">
        <w:t>Section</w:t>
      </w:r>
      <w:r w:rsidR="0039305A" w:rsidRPr="002836EB">
        <w:t xml:space="preserve"> </w:t>
      </w:r>
      <w:r w:rsidR="0046249A" w:rsidRPr="002836EB">
        <w:rPr>
          <w:b w:val="0"/>
        </w:rPr>
        <w:fldChar w:fldCharType="begin"/>
      </w:r>
      <w:r w:rsidR="0046249A" w:rsidRPr="002836EB">
        <w:instrText xml:space="preserve"> REF _Ref463916493 \r \h </w:instrText>
      </w:r>
      <w:r w:rsidR="0046249A" w:rsidRPr="002836EB">
        <w:rPr>
          <w:b w:val="0"/>
        </w:rPr>
      </w:r>
      <w:r w:rsidR="0046249A" w:rsidRPr="002836EB">
        <w:rPr>
          <w:b w:val="0"/>
        </w:rPr>
        <w:fldChar w:fldCharType="separate"/>
      </w:r>
      <w:r w:rsidR="003274EF">
        <w:t>4</w:t>
      </w:r>
      <w:r w:rsidR="0046249A" w:rsidRPr="002836EB">
        <w:rPr>
          <w:b w:val="0"/>
        </w:rPr>
        <w:fldChar w:fldCharType="end"/>
      </w:r>
      <w:r w:rsidR="0039305A" w:rsidRPr="002836EB">
        <w:t xml:space="preserve">: </w:t>
      </w:r>
      <w:r w:rsidR="00F519FC" w:rsidRPr="002836EB">
        <w:rPr>
          <w:b w:val="0"/>
        </w:rPr>
        <w:fldChar w:fldCharType="begin"/>
      </w:r>
      <w:r w:rsidR="00F519FC" w:rsidRPr="002836EB">
        <w:instrText xml:space="preserve"> REF _Ref463916493 \h </w:instrText>
      </w:r>
      <w:r w:rsidR="00B5073C" w:rsidRPr="002836EB">
        <w:instrText xml:space="preserve"> \* MERGEFORMAT </w:instrText>
      </w:r>
      <w:r w:rsidR="00F519FC" w:rsidRPr="002836EB">
        <w:rPr>
          <w:b w:val="0"/>
        </w:rPr>
      </w:r>
      <w:r w:rsidR="00F519FC" w:rsidRPr="002836EB">
        <w:rPr>
          <w:b w:val="0"/>
        </w:rPr>
        <w:fldChar w:fldCharType="separate"/>
      </w:r>
      <w:r w:rsidR="003274EF" w:rsidRPr="003274EF">
        <w:t>Medical oncology recommendations</w:t>
      </w:r>
      <w:r w:rsidR="00F519FC" w:rsidRPr="002836EB">
        <w:rPr>
          <w:b w:val="0"/>
        </w:rPr>
        <w:fldChar w:fldCharType="end"/>
      </w:r>
    </w:p>
    <w:p w14:paraId="0C07E47E" w14:textId="682A1EC0" w:rsidR="00D237EC" w:rsidRPr="00A8451A" w:rsidRDefault="003141C7" w:rsidP="00C870E9">
      <w:pPr>
        <w:pStyle w:val="Boldhdg"/>
      </w:pPr>
      <w:r>
        <w:rPr>
          <w:rFonts w:eastAsia="Times New Roman" w:cs="Times New Roman"/>
          <w:sz w:val="18"/>
          <w:szCs w:val="16"/>
          <w:lang w:val="en-AU" w:eastAsia="en-AU"/>
        </w:rPr>
        <w:fldChar w:fldCharType="begin"/>
      </w:r>
      <w:r>
        <w:rPr>
          <w:b w:val="0"/>
        </w:rPr>
        <w:instrText xml:space="preserve"> REF _Ref474803028 \h </w:instrText>
      </w:r>
      <w:r>
        <w:rPr>
          <w:rFonts w:eastAsia="Times New Roman" w:cs="Times New Roman"/>
          <w:sz w:val="18"/>
          <w:szCs w:val="16"/>
          <w:lang w:val="en-AU" w:eastAsia="en-AU"/>
        </w:rPr>
      </w:r>
      <w:r>
        <w:rPr>
          <w:rFonts w:eastAsia="Times New Roman" w:cs="Times New Roman"/>
          <w:sz w:val="18"/>
          <w:szCs w:val="16"/>
          <w:lang w:val="en-AU" w:eastAsia="en-AU"/>
        </w:rPr>
        <w:fldChar w:fldCharType="separate"/>
      </w:r>
      <w:r w:rsidR="003274EF">
        <w:t xml:space="preserve">Recommendation </w:t>
      </w:r>
      <w:r w:rsidR="003274EF">
        <w:rPr>
          <w:noProof/>
        </w:rPr>
        <w:t>1</w:t>
      </w:r>
      <w:r>
        <w:rPr>
          <w:rFonts w:eastAsia="Times New Roman" w:cs="Times New Roman"/>
          <w:sz w:val="18"/>
          <w:szCs w:val="16"/>
          <w:lang w:val="en-AU" w:eastAsia="en-AU"/>
        </w:rPr>
        <w:fldChar w:fldCharType="end"/>
      </w:r>
      <w:r>
        <w:rPr>
          <w:rFonts w:eastAsia="Times New Roman" w:cs="Times New Roman"/>
          <w:sz w:val="18"/>
          <w:szCs w:val="16"/>
          <w:lang w:val="en-AU" w:eastAsia="en-AU"/>
        </w:rPr>
        <w:t>:</w:t>
      </w:r>
      <w:r w:rsidR="00A8451A">
        <w:rPr>
          <w:b w:val="0"/>
        </w:rPr>
        <w:t xml:space="preserve"> </w:t>
      </w:r>
      <w:r w:rsidR="00A8451A">
        <w:t>r</w:t>
      </w:r>
      <w:r w:rsidR="004912AE">
        <w:t>evise</w:t>
      </w:r>
      <w:r w:rsidR="00A8451A">
        <w:t xml:space="preserve"> chemotherapy items</w:t>
      </w:r>
    </w:p>
    <w:tbl>
      <w:tblPr>
        <w:tblStyle w:val="TableGrid"/>
        <w:tblW w:w="1417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993"/>
        <w:gridCol w:w="2693"/>
        <w:gridCol w:w="2788"/>
        <w:gridCol w:w="2315"/>
        <w:gridCol w:w="5386"/>
      </w:tblGrid>
      <w:tr w:rsidR="00846818" w:rsidRPr="002836EB" w14:paraId="6881A207" w14:textId="77777777" w:rsidTr="00A611CF">
        <w:trPr>
          <w:tblHeader/>
        </w:trPr>
        <w:tc>
          <w:tcPr>
            <w:tcW w:w="993" w:type="dxa"/>
            <w:shd w:val="clear" w:color="auto" w:fill="FFFFFF" w:themeFill="background1"/>
          </w:tcPr>
          <w:p w14:paraId="0C4D7E2F" w14:textId="5585983C" w:rsidR="00846818" w:rsidRPr="00846818" w:rsidRDefault="00AD58A4" w:rsidP="00846818">
            <w:pPr>
              <w:pStyle w:val="02Tabletext"/>
              <w:rPr>
                <w:b/>
              </w:rPr>
            </w:pPr>
            <w:r>
              <w:rPr>
                <w:b/>
              </w:rPr>
              <w:t xml:space="preserve">MBS </w:t>
            </w:r>
            <w:r w:rsidR="00846818" w:rsidRPr="00846818">
              <w:rPr>
                <w:b/>
              </w:rPr>
              <w:t>Item(s)</w:t>
            </w:r>
          </w:p>
        </w:tc>
        <w:tc>
          <w:tcPr>
            <w:tcW w:w="2693" w:type="dxa"/>
            <w:shd w:val="clear" w:color="auto" w:fill="FFFFFF" w:themeFill="background1"/>
          </w:tcPr>
          <w:p w14:paraId="13EE7EB5" w14:textId="46C2BB19" w:rsidR="00846818" w:rsidRPr="00846818" w:rsidRDefault="00846818" w:rsidP="00846818">
            <w:pPr>
              <w:pStyle w:val="02Tabletext"/>
              <w:rPr>
                <w:b/>
              </w:rPr>
            </w:pPr>
            <w:r w:rsidRPr="00846818">
              <w:rPr>
                <w:b/>
              </w:rPr>
              <w:t xml:space="preserve">What it does </w:t>
            </w:r>
          </w:p>
        </w:tc>
        <w:tc>
          <w:tcPr>
            <w:tcW w:w="2788" w:type="dxa"/>
            <w:shd w:val="clear" w:color="auto" w:fill="FFFFFF" w:themeFill="background1"/>
          </w:tcPr>
          <w:p w14:paraId="3F7FB0FB" w14:textId="3790946F" w:rsidR="00846818" w:rsidRPr="00846818" w:rsidRDefault="00846818" w:rsidP="00846818">
            <w:pPr>
              <w:pStyle w:val="02Tabletext"/>
              <w:rPr>
                <w:b/>
              </w:rPr>
            </w:pPr>
            <w:r w:rsidRPr="00846818">
              <w:rPr>
                <w:b/>
              </w:rPr>
              <w:t>Committee recommendation</w:t>
            </w:r>
          </w:p>
        </w:tc>
        <w:tc>
          <w:tcPr>
            <w:tcW w:w="2315" w:type="dxa"/>
            <w:shd w:val="clear" w:color="auto" w:fill="FFFFFF" w:themeFill="background1"/>
          </w:tcPr>
          <w:p w14:paraId="20B5751D" w14:textId="409B44CF" w:rsidR="00846818" w:rsidRPr="00846818" w:rsidRDefault="00846818" w:rsidP="00846818">
            <w:pPr>
              <w:pStyle w:val="02Tabletext"/>
              <w:rPr>
                <w:b/>
              </w:rPr>
            </w:pPr>
            <w:r w:rsidRPr="00846818">
              <w:rPr>
                <w:b/>
              </w:rPr>
              <w:t>What would be different</w:t>
            </w:r>
          </w:p>
        </w:tc>
        <w:tc>
          <w:tcPr>
            <w:tcW w:w="5386" w:type="dxa"/>
            <w:shd w:val="clear" w:color="auto" w:fill="FFFFFF" w:themeFill="background1"/>
          </w:tcPr>
          <w:p w14:paraId="6C5A8A89" w14:textId="1FAB94EA" w:rsidR="00846818" w:rsidRPr="00846818" w:rsidRDefault="00846818" w:rsidP="00846818">
            <w:pPr>
              <w:pStyle w:val="02Tabletext"/>
              <w:rPr>
                <w:b/>
              </w:rPr>
            </w:pPr>
            <w:r w:rsidRPr="00846818">
              <w:rPr>
                <w:b/>
              </w:rPr>
              <w:t>Why</w:t>
            </w:r>
          </w:p>
        </w:tc>
      </w:tr>
      <w:tr w:rsidR="0023461C" w:rsidRPr="002836EB" w14:paraId="50C906B1" w14:textId="77777777" w:rsidTr="00A611CF">
        <w:tc>
          <w:tcPr>
            <w:tcW w:w="993" w:type="dxa"/>
          </w:tcPr>
          <w:p w14:paraId="264077BC" w14:textId="3AB58AC3" w:rsidR="006B0469" w:rsidRPr="002836EB" w:rsidRDefault="00846818" w:rsidP="006B0469">
            <w:pPr>
              <w:pStyle w:val="02Tabletext"/>
              <w:spacing w:before="0" w:after="0"/>
            </w:pPr>
            <w:r w:rsidRPr="002836EB">
              <w:t>13915</w:t>
            </w:r>
            <w:r>
              <w:t>–</w:t>
            </w:r>
            <w:r w:rsidRPr="002836EB">
              <w:t>13942</w:t>
            </w:r>
          </w:p>
          <w:p w14:paraId="74962F94" w14:textId="2556F3F9" w:rsidR="00846818" w:rsidRPr="002836EB" w:rsidRDefault="00846818" w:rsidP="00B640B0">
            <w:pPr>
              <w:pStyle w:val="02Tabletext"/>
              <w:spacing w:before="0" w:after="0"/>
            </w:pPr>
          </w:p>
        </w:tc>
        <w:tc>
          <w:tcPr>
            <w:tcW w:w="2693" w:type="dxa"/>
          </w:tcPr>
          <w:p w14:paraId="71FFD042" w14:textId="2BEE6EB7" w:rsidR="00846818" w:rsidRDefault="00846818" w:rsidP="007C6782">
            <w:pPr>
              <w:pStyle w:val="02Tabletext"/>
              <w:spacing w:before="0" w:after="120"/>
              <w:ind w:right="79"/>
            </w:pPr>
            <w:r w:rsidRPr="002836EB">
              <w:t>A therapeutic procedure delivering cytotoxic chemotherapeutic drugs into a vein (13915</w:t>
            </w:r>
            <w:r>
              <w:t>–</w:t>
            </w:r>
            <w:r w:rsidRPr="002836EB">
              <w:t>13924), into an artery (13927</w:t>
            </w:r>
            <w:r>
              <w:t>–</w:t>
            </w:r>
            <w:r w:rsidRPr="002836EB">
              <w:t>13936), into an implanted pump or reservoir (13939), a mobile drug deliver</w:t>
            </w:r>
            <w:r>
              <w:t>y</w:t>
            </w:r>
            <w:r w:rsidRPr="002836EB">
              <w:t xml:space="preserve"> device (1</w:t>
            </w:r>
            <w:r w:rsidR="00D51EEE">
              <w:t>3942) or a body cavity (13948).</w:t>
            </w:r>
          </w:p>
          <w:p w14:paraId="40AC2D56" w14:textId="7177B2EA" w:rsidR="00846818" w:rsidRPr="002836EB" w:rsidRDefault="00846818" w:rsidP="007C6782">
            <w:pPr>
              <w:pStyle w:val="02Tabletext"/>
              <w:spacing w:before="0" w:after="120"/>
              <w:ind w:right="79"/>
            </w:pPr>
            <w:r w:rsidRPr="002836EB">
              <w:t xml:space="preserve">The items for delivery </w:t>
            </w:r>
            <w:r w:rsidR="006224A3">
              <w:t xml:space="preserve">of </w:t>
            </w:r>
            <w:r w:rsidR="00B82BAE">
              <w:t xml:space="preserve">these drugs into </w:t>
            </w:r>
            <w:r w:rsidRPr="002836EB">
              <w:t>a vein and the items for delivery</w:t>
            </w:r>
            <w:r w:rsidR="00E70DEA">
              <w:t xml:space="preserve"> of these drugs</w:t>
            </w:r>
            <w:r w:rsidRPr="002836EB">
              <w:t xml:space="preserve"> into an artery differ by the </w:t>
            </w:r>
            <w:r w:rsidR="009E4CB2">
              <w:t>period of time</w:t>
            </w:r>
            <w:r w:rsidRPr="002836EB">
              <w:t xml:space="preserve"> over which the single continuous treatment is provided: not more than </w:t>
            </w:r>
            <w:r>
              <w:t>one</w:t>
            </w:r>
            <w:r w:rsidRPr="002836EB">
              <w:t xml:space="preserve"> hour (13915, 13927), more than </w:t>
            </w:r>
            <w:r>
              <w:t>one</w:t>
            </w:r>
            <w:r w:rsidRPr="002836EB">
              <w:t xml:space="preserve"> hour but not more than </w:t>
            </w:r>
            <w:r>
              <w:t>six</w:t>
            </w:r>
            <w:r w:rsidRPr="002836EB">
              <w:t xml:space="preserve"> hours (13918, 13930), the first day of a treatment lasting more than </w:t>
            </w:r>
            <w:r>
              <w:t>six</w:t>
            </w:r>
            <w:r w:rsidRPr="002836EB">
              <w:t xml:space="preserve"> hours (13921, 13933), or subsequent days of a treatment lasting more than </w:t>
            </w:r>
            <w:r>
              <w:t>six</w:t>
            </w:r>
            <w:r w:rsidRPr="002836EB">
              <w:t xml:space="preserve"> hours (13924, 13936).</w:t>
            </w:r>
          </w:p>
        </w:tc>
        <w:tc>
          <w:tcPr>
            <w:tcW w:w="2788" w:type="dxa"/>
          </w:tcPr>
          <w:p w14:paraId="60FAF894" w14:textId="32B8DD4B" w:rsidR="00846818" w:rsidRPr="002836EB" w:rsidRDefault="00846818" w:rsidP="00B640B0">
            <w:pPr>
              <w:pStyle w:val="02Tabletext"/>
              <w:spacing w:before="0" w:after="0"/>
            </w:pPr>
            <w:r w:rsidRPr="002836EB">
              <w:t>Replace the existing items with a set of three items for the medical management of anticancer therapy, that:</w:t>
            </w:r>
            <w:r>
              <w:t xml:space="preserve"> c</w:t>
            </w:r>
            <w:r w:rsidRPr="002836EB">
              <w:t>overs elements of care beyond that which occurs in physical attendances</w:t>
            </w:r>
            <w:r w:rsidR="00EA0060">
              <w:t xml:space="preserve"> (</w:t>
            </w:r>
            <w:r w:rsidR="00657808">
              <w:t>for example, management of side effects of treatment</w:t>
            </w:r>
            <w:r w:rsidR="00EA0060">
              <w:t>)</w:t>
            </w:r>
            <w:r>
              <w:t>; i</w:t>
            </w:r>
            <w:r w:rsidRPr="002836EB">
              <w:t xml:space="preserve">s applicable regardless of the chosen route of administration (i.e., including routes such as via vein or artery, as well </w:t>
            </w:r>
            <w:r w:rsidR="0020170A">
              <w:t xml:space="preserve">as </w:t>
            </w:r>
            <w:r w:rsidRPr="002836EB">
              <w:t>medication</w:t>
            </w:r>
            <w:r w:rsidR="0020170A">
              <w:t xml:space="preserve"> take via the mouth</w:t>
            </w:r>
            <w:r w:rsidRPr="002836EB">
              <w:t>)</w:t>
            </w:r>
            <w:r>
              <w:t>; e</w:t>
            </w:r>
            <w:r w:rsidRPr="002836EB">
              <w:t>xcludes hormonal therapy and bisphosphonate therapy but includes all other anticancer therapies such as cytotoxic chemotherapy and newer therapies such as monoclonal antibodies</w:t>
            </w:r>
            <w:r>
              <w:t>; and d</w:t>
            </w:r>
            <w:r w:rsidRPr="002836EB">
              <w:t>iffers by the duration of medical management covered</w:t>
            </w:r>
            <w:r>
              <w:t xml:space="preserve"> (</w:t>
            </w:r>
            <w:r w:rsidRPr="002836EB">
              <w:t>two, three or four weeks</w:t>
            </w:r>
            <w:r>
              <w:t>)</w:t>
            </w:r>
            <w:r w:rsidRPr="002836EB">
              <w:t>.</w:t>
            </w:r>
          </w:p>
          <w:p w14:paraId="28541DBA" w14:textId="56E4444B" w:rsidR="00846818" w:rsidRPr="002836EB" w:rsidRDefault="00846818" w:rsidP="00B640B0">
            <w:pPr>
              <w:pStyle w:val="02Tabletext"/>
              <w:spacing w:before="0" w:after="0"/>
            </w:pPr>
          </w:p>
        </w:tc>
        <w:tc>
          <w:tcPr>
            <w:tcW w:w="2315" w:type="dxa"/>
          </w:tcPr>
          <w:p w14:paraId="73671AAA" w14:textId="5E9D5EE7" w:rsidR="00846818" w:rsidRDefault="00846818" w:rsidP="007C6782">
            <w:pPr>
              <w:pStyle w:val="02Tabletext"/>
              <w:spacing w:before="0" w:after="120"/>
            </w:pPr>
            <w:r w:rsidRPr="002836EB">
              <w:t xml:space="preserve">Modern anticancer therapies will be covered, such as monoclonal antibodies, rather than just traditional cytotoxic chemotherapeutic drugs. </w:t>
            </w:r>
          </w:p>
          <w:p w14:paraId="3E05281C" w14:textId="575C28D8" w:rsidR="00846818" w:rsidRPr="002836EB" w:rsidRDefault="00846818" w:rsidP="007C6782">
            <w:pPr>
              <w:pStyle w:val="02Tabletext"/>
              <w:spacing w:before="0" w:after="120"/>
            </w:pPr>
            <w:r w:rsidRPr="002836EB">
              <w:t>There will no longer be different benefit levels depending on the route of administration</w:t>
            </w:r>
            <w:r w:rsidR="00A611CF">
              <w:t xml:space="preserve"> or</w:t>
            </w:r>
            <w:r w:rsidR="007C6782">
              <w:t xml:space="preserve"> </w:t>
            </w:r>
            <w:r>
              <w:t>duration of a single treatment.</w:t>
            </w:r>
          </w:p>
        </w:tc>
        <w:tc>
          <w:tcPr>
            <w:tcW w:w="5386" w:type="dxa"/>
          </w:tcPr>
          <w:p w14:paraId="55853CDD" w14:textId="284F6710" w:rsidR="00846818" w:rsidRDefault="00846818" w:rsidP="007C6782">
            <w:pPr>
              <w:pStyle w:val="02Tabletext"/>
              <w:spacing w:before="0" w:after="120"/>
            </w:pPr>
            <w:r w:rsidRPr="002836EB">
              <w:t>Modern treatment of cancer with medications may involve drugs that are not cytotoxic or chemotherapeutic agents</w:t>
            </w:r>
            <w:r>
              <w:t xml:space="preserve"> and</w:t>
            </w:r>
            <w:r w:rsidRPr="002836EB">
              <w:t xml:space="preserve"> may </w:t>
            </w:r>
            <w:r>
              <w:t>fall within</w:t>
            </w:r>
            <w:r w:rsidRPr="002836EB">
              <w:t xml:space="preserve"> in a new class of drugs</w:t>
            </w:r>
            <w:r>
              <w:t>,</w:t>
            </w:r>
            <w:r w:rsidRPr="002836EB">
              <w:t xml:space="preserve"> such as monoclonal antibodies. </w:t>
            </w:r>
          </w:p>
          <w:p w14:paraId="14715298" w14:textId="5F62FE22" w:rsidR="00846818" w:rsidRDefault="00846818" w:rsidP="007C6782">
            <w:pPr>
              <w:pStyle w:val="02Tabletext"/>
              <w:spacing w:before="0" w:after="120"/>
            </w:pPr>
            <w:r w:rsidRPr="002836EB">
              <w:t xml:space="preserve">Good clinical practice includes </w:t>
            </w:r>
            <w:r w:rsidR="00223701">
              <w:t xml:space="preserve">the </w:t>
            </w:r>
            <w:r w:rsidR="00B248C2">
              <w:t>Medical Oncologist</w:t>
            </w:r>
            <w:r w:rsidRPr="002836EB">
              <w:t xml:space="preserve"> </w:t>
            </w:r>
            <w:r w:rsidR="00223701">
              <w:t xml:space="preserve">being </w:t>
            </w:r>
            <w:r w:rsidRPr="002836EB">
              <w:t>involve</w:t>
            </w:r>
            <w:r w:rsidR="00223701">
              <w:t>d</w:t>
            </w:r>
            <w:r w:rsidRPr="002836EB">
              <w:t xml:space="preserve"> beyond the direct administration of a drug, such as monitoring </w:t>
            </w:r>
            <w:r w:rsidR="00223701">
              <w:t xml:space="preserve">side effects and checking </w:t>
            </w:r>
            <w:r w:rsidRPr="002836EB">
              <w:t xml:space="preserve">blood tests for signs of unsafe levels of toxicity. Once a cycle of anticancer therapy has begun, the patient and </w:t>
            </w:r>
            <w:r w:rsidR="00B248C2">
              <w:t>Medical Oncologist</w:t>
            </w:r>
            <w:r w:rsidRPr="002836EB">
              <w:t xml:space="preserve"> have typically committed to a set of irreversible consequences. In particular, many anticancer therapies, such as cytotoxic chemotherapy, result in clinically significant side effects, such as an ensuing two- to three-week period of immune system suppression. </w:t>
            </w:r>
          </w:p>
          <w:p w14:paraId="28DD962D" w14:textId="1A07BF11" w:rsidR="00846818" w:rsidRDefault="00846818" w:rsidP="007C6782">
            <w:pPr>
              <w:pStyle w:val="02Tabletext"/>
              <w:spacing w:before="0" w:after="120"/>
            </w:pPr>
            <w:r w:rsidRPr="002836EB">
              <w:t xml:space="preserve">Historically, </w:t>
            </w:r>
            <w:r w:rsidR="00B248C2">
              <w:t>Medical Oncologist</w:t>
            </w:r>
            <w:r w:rsidR="00E272CB">
              <w:t>s</w:t>
            </w:r>
            <w:r w:rsidRPr="002836EB">
              <w:t xml:space="preserve"> administered chemotherapy directly into a vein or artery. The existing items assume that the </w:t>
            </w:r>
            <w:r w:rsidR="003D0F70">
              <w:t>type</w:t>
            </w:r>
            <w:r w:rsidRPr="002836EB">
              <w:t xml:space="preserve"> of the administration determine</w:t>
            </w:r>
            <w:r w:rsidR="00201644">
              <w:t>s</w:t>
            </w:r>
            <w:r w:rsidRPr="002836EB">
              <w:t xml:space="preserve"> the levels of medical professional involvement required, with higher schedule fees for longer durations of administration, and for more difficult routes of administration. In modern practice, however, the therapeutic agent is typically administered by a Nurse into a long-term implanted vascular access device (</w:t>
            </w:r>
            <w:r w:rsidR="007B1013">
              <w:t xml:space="preserve">for example, a portacath or PICC line, </w:t>
            </w:r>
            <w:r w:rsidRPr="002836EB">
              <w:t>rather than directly into a vein) and carries less risk of immediate complications (</w:t>
            </w:r>
            <w:r w:rsidR="0013614F">
              <w:t>for example</w:t>
            </w:r>
            <w:r>
              <w:t>,</w:t>
            </w:r>
            <w:r w:rsidRPr="002836EB">
              <w:t xml:space="preserve"> leakage of the cytotoxic drug from the vein into the surrounding tissue). </w:t>
            </w:r>
          </w:p>
          <w:p w14:paraId="1D0C0AC6" w14:textId="7941F02C" w:rsidR="00846818" w:rsidRDefault="00846818" w:rsidP="007C6782">
            <w:pPr>
              <w:pStyle w:val="02Tabletext"/>
              <w:spacing w:before="0" w:after="120"/>
            </w:pPr>
            <w:r w:rsidRPr="002836EB">
              <w:t xml:space="preserve">Removing different benefit levels </w:t>
            </w:r>
            <w:r>
              <w:t>based on</w:t>
            </w:r>
            <w:r w:rsidRPr="002836EB">
              <w:t xml:space="preserve"> duration and route of administration removes incentives favouring one ad</w:t>
            </w:r>
            <w:r w:rsidR="00754C6F">
              <w:t xml:space="preserve">ministration route over another (for example, intravenous infusion over subcutaneous injection or </w:t>
            </w:r>
            <w:r w:rsidR="00C27417">
              <w:t>medication taken via the mouth).</w:t>
            </w:r>
          </w:p>
          <w:p w14:paraId="6F41DAB7" w14:textId="7FD07047" w:rsidR="00846818" w:rsidRDefault="00846818" w:rsidP="007C6782">
            <w:pPr>
              <w:pStyle w:val="02Tabletext"/>
              <w:spacing w:before="0" w:after="120"/>
            </w:pPr>
            <w:r w:rsidRPr="002836EB">
              <w:t>The</w:t>
            </w:r>
            <w:r w:rsidR="001D2787">
              <w:t xml:space="preserve"> length of time for a</w:t>
            </w:r>
            <w:r w:rsidRPr="002836EB">
              <w:t xml:space="preserve"> single treatment </w:t>
            </w:r>
            <w:r w:rsidR="001D2787">
              <w:t xml:space="preserve">no longer determines the length of involvement required from </w:t>
            </w:r>
            <w:r w:rsidR="00E83797">
              <w:t xml:space="preserve">the </w:t>
            </w:r>
            <w:r w:rsidR="00B248C2">
              <w:t>Medical Oncologist</w:t>
            </w:r>
            <w:r w:rsidR="00E83797">
              <w:t>.</w:t>
            </w:r>
          </w:p>
          <w:p w14:paraId="66E09535" w14:textId="764D2EFE" w:rsidR="00846818" w:rsidRPr="002836EB" w:rsidRDefault="00846818" w:rsidP="00B640B0">
            <w:pPr>
              <w:pStyle w:val="02Tabletext"/>
              <w:spacing w:before="0" w:after="0"/>
            </w:pPr>
          </w:p>
        </w:tc>
      </w:tr>
    </w:tbl>
    <w:p w14:paraId="1CC22ABB" w14:textId="71CE5A85" w:rsidR="00D237EC" w:rsidRPr="002836EB" w:rsidRDefault="003141C7" w:rsidP="00D237EC">
      <w:pPr>
        <w:pStyle w:val="Boldhdg"/>
      </w:pPr>
      <w:r>
        <w:rPr>
          <w:b w:val="0"/>
        </w:rPr>
        <w:lastRenderedPageBreak/>
        <w:fldChar w:fldCharType="begin"/>
      </w:r>
      <w:r>
        <w:rPr>
          <w:b w:val="0"/>
        </w:rPr>
        <w:instrText xml:space="preserve"> REF _Ref474803014 \h </w:instrText>
      </w:r>
      <w:r>
        <w:rPr>
          <w:b w:val="0"/>
        </w:rPr>
      </w:r>
      <w:r>
        <w:rPr>
          <w:b w:val="0"/>
        </w:rPr>
        <w:fldChar w:fldCharType="separate"/>
      </w:r>
      <w:r w:rsidR="003274EF">
        <w:t xml:space="preserve">Recommendation </w:t>
      </w:r>
      <w:r w:rsidR="003274EF">
        <w:rPr>
          <w:noProof/>
        </w:rPr>
        <w:t>2</w:t>
      </w:r>
      <w:r>
        <w:rPr>
          <w:b w:val="0"/>
        </w:rPr>
        <w:fldChar w:fldCharType="end"/>
      </w:r>
      <w:r w:rsidR="00A8451A">
        <w:rPr>
          <w:b w:val="0"/>
        </w:rPr>
        <w:t>:</w:t>
      </w:r>
      <w:r w:rsidR="00A8451A" w:rsidRPr="00A8451A">
        <w:t xml:space="preserve"> </w:t>
      </w:r>
      <w:r w:rsidR="004912AE">
        <w:t>revise</w:t>
      </w:r>
      <w:r w:rsidR="00A8451A" w:rsidRPr="00A8451A">
        <w:t xml:space="preserve"> of </w:t>
      </w:r>
      <w:r w:rsidR="00A8451A">
        <w:t>items for accessing long-term implanted drug delivery devices</w:t>
      </w:r>
    </w:p>
    <w:tbl>
      <w:tblPr>
        <w:tblStyle w:val="TableGrid"/>
        <w:tblW w:w="14081" w:type="dxa"/>
        <w:tblInd w:w="108" w:type="dxa"/>
        <w:tblBorders>
          <w:top w:val="single" w:sz="4" w:space="0" w:color="E36C0A" w:themeColor="accent6" w:themeShade="BF"/>
          <w:left w:val="none" w:sz="0" w:space="0" w:color="auto"/>
          <w:bottom w:val="single" w:sz="4"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024"/>
        <w:gridCol w:w="3094"/>
        <w:gridCol w:w="2258"/>
        <w:gridCol w:w="1978"/>
        <w:gridCol w:w="5727"/>
      </w:tblGrid>
      <w:tr w:rsidR="00396184" w:rsidRPr="001A3B97" w14:paraId="6B197E95" w14:textId="77777777" w:rsidTr="00175B8C">
        <w:trPr>
          <w:tblHeader/>
        </w:trPr>
        <w:tc>
          <w:tcPr>
            <w:tcW w:w="1024" w:type="dxa"/>
            <w:tcBorders>
              <w:top w:val="single" w:sz="4" w:space="0" w:color="E36C0A" w:themeColor="accent6" w:themeShade="BF"/>
              <w:bottom w:val="single" w:sz="4" w:space="0" w:color="E36C0A" w:themeColor="accent6" w:themeShade="BF"/>
            </w:tcBorders>
            <w:shd w:val="clear" w:color="auto" w:fill="FFFFFF" w:themeFill="background1"/>
          </w:tcPr>
          <w:p w14:paraId="1D9B85DD" w14:textId="5CEA812F" w:rsidR="004C14CB" w:rsidRPr="001A3B97" w:rsidRDefault="00AD58A4" w:rsidP="004C14CB">
            <w:pPr>
              <w:pStyle w:val="02Tabletext"/>
              <w:rPr>
                <w:b/>
              </w:rPr>
            </w:pPr>
            <w:r>
              <w:rPr>
                <w:b/>
              </w:rPr>
              <w:t xml:space="preserve">MBS </w:t>
            </w:r>
            <w:r w:rsidR="004C14CB" w:rsidRPr="001A3B97">
              <w:rPr>
                <w:b/>
              </w:rPr>
              <w:t>Item(s)</w:t>
            </w:r>
          </w:p>
        </w:tc>
        <w:tc>
          <w:tcPr>
            <w:tcW w:w="3094" w:type="dxa"/>
            <w:tcBorders>
              <w:top w:val="single" w:sz="4" w:space="0" w:color="E36C0A" w:themeColor="accent6" w:themeShade="BF"/>
              <w:bottom w:val="single" w:sz="4" w:space="0" w:color="E36C0A" w:themeColor="accent6" w:themeShade="BF"/>
            </w:tcBorders>
            <w:shd w:val="clear" w:color="auto" w:fill="FFFFFF" w:themeFill="background1"/>
          </w:tcPr>
          <w:p w14:paraId="726B23BB" w14:textId="77777777" w:rsidR="004C14CB" w:rsidRPr="001A3B97" w:rsidRDefault="004C14CB" w:rsidP="004C14CB">
            <w:pPr>
              <w:pStyle w:val="02Tabletext"/>
              <w:rPr>
                <w:b/>
              </w:rPr>
            </w:pPr>
            <w:r w:rsidRPr="001A3B97">
              <w:rPr>
                <w:b/>
              </w:rPr>
              <w:t xml:space="preserve">What it does </w:t>
            </w:r>
          </w:p>
        </w:tc>
        <w:tc>
          <w:tcPr>
            <w:tcW w:w="2258" w:type="dxa"/>
            <w:tcBorders>
              <w:top w:val="single" w:sz="4" w:space="0" w:color="E36C0A" w:themeColor="accent6" w:themeShade="BF"/>
              <w:bottom w:val="single" w:sz="4" w:space="0" w:color="E36C0A" w:themeColor="accent6" w:themeShade="BF"/>
            </w:tcBorders>
            <w:shd w:val="clear" w:color="auto" w:fill="FFFFFF" w:themeFill="background1"/>
          </w:tcPr>
          <w:p w14:paraId="1346C2D5" w14:textId="77777777" w:rsidR="004C14CB" w:rsidRPr="001A3B97" w:rsidRDefault="004C14CB" w:rsidP="004C14CB">
            <w:pPr>
              <w:pStyle w:val="02Tabletext"/>
              <w:rPr>
                <w:b/>
              </w:rPr>
            </w:pPr>
            <w:r w:rsidRPr="001A3B97">
              <w:rPr>
                <w:b/>
              </w:rPr>
              <w:t>Committee recommendation</w:t>
            </w:r>
          </w:p>
        </w:tc>
        <w:tc>
          <w:tcPr>
            <w:tcW w:w="1978" w:type="dxa"/>
            <w:tcBorders>
              <w:top w:val="single" w:sz="4" w:space="0" w:color="E36C0A" w:themeColor="accent6" w:themeShade="BF"/>
              <w:bottom w:val="single" w:sz="4" w:space="0" w:color="E36C0A" w:themeColor="accent6" w:themeShade="BF"/>
            </w:tcBorders>
            <w:shd w:val="clear" w:color="auto" w:fill="FFFFFF" w:themeFill="background1"/>
          </w:tcPr>
          <w:p w14:paraId="1CAD2FA3" w14:textId="77777777" w:rsidR="004C14CB" w:rsidRPr="001A3B97" w:rsidRDefault="004C14CB" w:rsidP="004C14CB">
            <w:pPr>
              <w:pStyle w:val="02Tabletext"/>
              <w:rPr>
                <w:b/>
              </w:rPr>
            </w:pPr>
            <w:r w:rsidRPr="001A3B97">
              <w:rPr>
                <w:b/>
              </w:rPr>
              <w:t>What would be different</w:t>
            </w:r>
          </w:p>
        </w:tc>
        <w:tc>
          <w:tcPr>
            <w:tcW w:w="5727" w:type="dxa"/>
            <w:tcBorders>
              <w:top w:val="single" w:sz="4" w:space="0" w:color="E36C0A" w:themeColor="accent6" w:themeShade="BF"/>
              <w:bottom w:val="single" w:sz="4" w:space="0" w:color="E36C0A" w:themeColor="accent6" w:themeShade="BF"/>
            </w:tcBorders>
            <w:shd w:val="clear" w:color="auto" w:fill="FFFFFF" w:themeFill="background1"/>
          </w:tcPr>
          <w:p w14:paraId="3B0933EA" w14:textId="77777777" w:rsidR="004C14CB" w:rsidRPr="001A3B97" w:rsidRDefault="004C14CB" w:rsidP="004C14CB">
            <w:pPr>
              <w:pStyle w:val="02Tabletext"/>
              <w:rPr>
                <w:b/>
              </w:rPr>
            </w:pPr>
            <w:r w:rsidRPr="001A3B97">
              <w:rPr>
                <w:b/>
              </w:rPr>
              <w:t>Why</w:t>
            </w:r>
          </w:p>
        </w:tc>
      </w:tr>
      <w:tr w:rsidR="004C14CB" w:rsidRPr="002836EB" w14:paraId="119A9CB3" w14:textId="77777777" w:rsidTr="00175B8C">
        <w:tc>
          <w:tcPr>
            <w:tcW w:w="1024" w:type="dxa"/>
            <w:tcBorders>
              <w:top w:val="single" w:sz="4" w:space="0" w:color="E36C0A" w:themeColor="accent6" w:themeShade="BF"/>
            </w:tcBorders>
          </w:tcPr>
          <w:p w14:paraId="6C2C5E20" w14:textId="00EF52A9" w:rsidR="004C14CB" w:rsidRPr="004C14CB" w:rsidRDefault="00127291" w:rsidP="004C14CB">
            <w:pPr>
              <w:pStyle w:val="02Tabletext"/>
            </w:pPr>
            <w:r>
              <w:t>13945</w:t>
            </w:r>
          </w:p>
        </w:tc>
        <w:tc>
          <w:tcPr>
            <w:tcW w:w="3094" w:type="dxa"/>
            <w:tcBorders>
              <w:top w:val="single" w:sz="4" w:space="0" w:color="E36C0A" w:themeColor="accent6" w:themeShade="BF"/>
            </w:tcBorders>
          </w:tcPr>
          <w:p w14:paraId="7D23DC8B" w14:textId="3D853815" w:rsidR="004C14CB" w:rsidRPr="002836EB" w:rsidRDefault="004C14CB" w:rsidP="00A032AB">
            <w:pPr>
              <w:pStyle w:val="02Tabletext"/>
            </w:pPr>
            <w:r w:rsidRPr="002836EB">
              <w:t>A procedure where a long-term implanted drug delivery device</w:t>
            </w:r>
            <w:r w:rsidR="00F206D1">
              <w:t xml:space="preserve"> (for example, a portacath)</w:t>
            </w:r>
            <w:r w:rsidRPr="002836EB">
              <w:t xml:space="preserve"> is accessed (regardle</w:t>
            </w:r>
            <w:r w:rsidR="00F206D1">
              <w:t>ss of whether this is done as an independent m</w:t>
            </w:r>
            <w:r w:rsidRPr="002836EB">
              <w:t>edical service</w:t>
            </w:r>
            <w:r w:rsidR="002803F5">
              <w:t xml:space="preserve"> (i.e., on its own)</w:t>
            </w:r>
            <w:r w:rsidRPr="002836EB">
              <w:t xml:space="preserve">, such as to flush the device to </w:t>
            </w:r>
            <w:r w:rsidR="00A032AB">
              <w:t>keep it clear</w:t>
            </w:r>
            <w:r w:rsidRPr="002836EB">
              <w:t>, or whether it is done in the course of delivering a</w:t>
            </w:r>
            <w:r w:rsidR="00A032AB">
              <w:t>n anticancer treatment</w:t>
            </w:r>
            <w:r w:rsidRPr="002836EB">
              <w:t>).</w:t>
            </w:r>
          </w:p>
        </w:tc>
        <w:tc>
          <w:tcPr>
            <w:tcW w:w="2258" w:type="dxa"/>
            <w:tcBorders>
              <w:top w:val="single" w:sz="4" w:space="0" w:color="E36C0A" w:themeColor="accent6" w:themeShade="BF"/>
            </w:tcBorders>
          </w:tcPr>
          <w:p w14:paraId="63D0C87D" w14:textId="38C59FBC" w:rsidR="004C14CB" w:rsidRPr="002836EB" w:rsidRDefault="004C14CB" w:rsidP="00A032AB">
            <w:pPr>
              <w:pStyle w:val="02Tabletext"/>
            </w:pPr>
            <w:r w:rsidRPr="002836EB">
              <w:t xml:space="preserve">Ensure MBS items for the accessing of a long-term implanted drug delivery device are only </w:t>
            </w:r>
            <w:r w:rsidR="00A032AB">
              <w:t>eligible for M</w:t>
            </w:r>
            <w:r w:rsidR="00201644">
              <w:t>B</w:t>
            </w:r>
            <w:r w:rsidR="00A032AB">
              <w:t>S benefits where this is performed as a se</w:t>
            </w:r>
            <w:r w:rsidRPr="002836EB">
              <w:t>rvice</w:t>
            </w:r>
            <w:r w:rsidR="00A032AB">
              <w:t xml:space="preserve"> on its own</w:t>
            </w:r>
            <w:r w:rsidRPr="002836EB">
              <w:t>.</w:t>
            </w:r>
          </w:p>
        </w:tc>
        <w:tc>
          <w:tcPr>
            <w:tcW w:w="1978" w:type="dxa"/>
            <w:tcBorders>
              <w:top w:val="single" w:sz="4" w:space="0" w:color="E36C0A" w:themeColor="accent6" w:themeShade="BF"/>
            </w:tcBorders>
          </w:tcPr>
          <w:p w14:paraId="5BA85753" w14:textId="1E43D2F5" w:rsidR="004C14CB" w:rsidRPr="002836EB" w:rsidRDefault="004C14CB" w:rsidP="004C14CB">
            <w:pPr>
              <w:pStyle w:val="02Tabletext"/>
            </w:pPr>
            <w:r w:rsidRPr="002836EB">
              <w:t>Accessing a long-term implanted drug delivery device will only attract an MBS benefit where it is done as a</w:t>
            </w:r>
            <w:r w:rsidR="00A032AB">
              <w:t xml:space="preserve"> </w:t>
            </w:r>
            <w:r w:rsidRPr="002836EB">
              <w:t>medical servi</w:t>
            </w:r>
            <w:r w:rsidR="00A032AB">
              <w:t>ce on its own.</w:t>
            </w:r>
          </w:p>
          <w:p w14:paraId="642AE4EA" w14:textId="77777777" w:rsidR="004C14CB" w:rsidRPr="004C14CB" w:rsidRDefault="004C14CB" w:rsidP="00175B8C">
            <w:pPr>
              <w:pStyle w:val="02Tabletext"/>
            </w:pPr>
          </w:p>
        </w:tc>
        <w:tc>
          <w:tcPr>
            <w:tcW w:w="5727" w:type="dxa"/>
            <w:tcBorders>
              <w:top w:val="single" w:sz="4" w:space="0" w:color="E36C0A" w:themeColor="accent6" w:themeShade="BF"/>
            </w:tcBorders>
          </w:tcPr>
          <w:p w14:paraId="5C9CD613" w14:textId="77777777" w:rsidR="004C14CB" w:rsidRPr="002836EB" w:rsidRDefault="004C14CB" w:rsidP="004C14CB">
            <w:pPr>
              <w:pStyle w:val="02Tabletext"/>
            </w:pPr>
            <w:r w:rsidRPr="002836EB">
              <w:t xml:space="preserve">Improve the value of services funded by MBS benefits. </w:t>
            </w:r>
          </w:p>
          <w:p w14:paraId="07CD746B" w14:textId="2C9D3534" w:rsidR="004C14CB" w:rsidRDefault="004C14CB" w:rsidP="007C6782">
            <w:pPr>
              <w:pStyle w:val="02Tabletext"/>
              <w:spacing w:before="0" w:after="120"/>
            </w:pPr>
            <w:r w:rsidRPr="002836EB">
              <w:t>In modern clinical practice, the use of long-term implanted drug delivery devices</w:t>
            </w:r>
            <w:r w:rsidR="005C36CE">
              <w:t xml:space="preserve"> such as portacaths and PICC lines are</w:t>
            </w:r>
            <w:r w:rsidRPr="002836EB">
              <w:t xml:space="preserve"> an integral part of the delivery of anticancer therapies such as chemotherapy, and</w:t>
            </w:r>
            <w:r>
              <w:t xml:space="preserve"> it</w:t>
            </w:r>
            <w:r w:rsidRPr="002836EB">
              <w:t xml:space="preserve"> should not </w:t>
            </w:r>
            <w:r w:rsidR="005C36CE">
              <w:t>result in a s</w:t>
            </w:r>
            <w:r w:rsidRPr="002836EB">
              <w:t xml:space="preserve">eparate bill when used in such circumstances. </w:t>
            </w:r>
          </w:p>
          <w:p w14:paraId="6FF7D45B" w14:textId="495EBDB3" w:rsidR="004C14CB" w:rsidRPr="002836EB" w:rsidRDefault="004C14CB" w:rsidP="007C6782">
            <w:pPr>
              <w:pStyle w:val="02Tabletext"/>
              <w:spacing w:before="0" w:after="120"/>
            </w:pPr>
            <w:r w:rsidRPr="002836EB">
              <w:t xml:space="preserve">Current use of </w:t>
            </w:r>
            <w:r w:rsidR="00D8605E">
              <w:t xml:space="preserve">this item number </w:t>
            </w:r>
            <w:r w:rsidRPr="002836EB">
              <w:t>is highly irregular</w:t>
            </w:r>
            <w:r>
              <w:t>:</w:t>
            </w:r>
            <w:r w:rsidRPr="002836EB">
              <w:t xml:space="preserve"> many providers never bil</w:t>
            </w:r>
            <w:r>
              <w:t>l</w:t>
            </w:r>
            <w:r w:rsidRPr="002836EB">
              <w:t xml:space="preserve"> the item with chemotherapy, while other bill over $100,000 per year in MBS benefits in association with chemotherapy.</w:t>
            </w:r>
          </w:p>
        </w:tc>
      </w:tr>
    </w:tbl>
    <w:p w14:paraId="0487A85B" w14:textId="77777777" w:rsidR="00F80480" w:rsidRDefault="00F80480" w:rsidP="00CA7D48">
      <w:pPr>
        <w:pStyle w:val="Boldhdg"/>
      </w:pPr>
    </w:p>
    <w:p w14:paraId="6A23FDE3" w14:textId="77777777" w:rsidR="00F80480" w:rsidRDefault="00F80480">
      <w:pPr>
        <w:spacing w:before="0" w:after="0"/>
        <w:rPr>
          <w:rFonts w:eastAsiaTheme="minorHAnsi" w:cs="Arial"/>
          <w:b/>
          <w:szCs w:val="22"/>
          <w:lang w:val="en-US" w:eastAsia="en-US"/>
        </w:rPr>
      </w:pPr>
      <w:r>
        <w:br w:type="page"/>
      </w:r>
    </w:p>
    <w:p w14:paraId="435E63FD" w14:textId="77777777" w:rsidR="00D72562" w:rsidRDefault="006F042B" w:rsidP="00CA7D48">
      <w:pPr>
        <w:pStyle w:val="Boldhdg"/>
        <w:rPr>
          <w:b w:val="0"/>
        </w:rPr>
      </w:pPr>
      <w:r w:rsidRPr="002836EB">
        <w:lastRenderedPageBreak/>
        <w:t>Sectio</w:t>
      </w:r>
      <w:r w:rsidR="0046249A" w:rsidRPr="002836EB">
        <w:t xml:space="preserve">n </w:t>
      </w:r>
      <w:r w:rsidR="0046249A" w:rsidRPr="002836EB">
        <w:rPr>
          <w:b w:val="0"/>
        </w:rPr>
        <w:fldChar w:fldCharType="begin"/>
      </w:r>
      <w:r w:rsidR="0046249A" w:rsidRPr="002836EB">
        <w:instrText xml:space="preserve"> REF _Ref463916501 \r \h </w:instrText>
      </w:r>
      <w:r w:rsidR="00B5073C" w:rsidRPr="002836EB">
        <w:instrText xml:space="preserve"> \* MERGEFORMAT </w:instrText>
      </w:r>
      <w:r w:rsidR="0046249A" w:rsidRPr="002836EB">
        <w:rPr>
          <w:b w:val="0"/>
        </w:rPr>
      </w:r>
      <w:r w:rsidR="0046249A" w:rsidRPr="002836EB">
        <w:rPr>
          <w:b w:val="0"/>
        </w:rPr>
        <w:fldChar w:fldCharType="separate"/>
      </w:r>
      <w:r w:rsidR="003274EF">
        <w:t>5</w:t>
      </w:r>
      <w:r w:rsidR="0046249A" w:rsidRPr="002836EB">
        <w:rPr>
          <w:b w:val="0"/>
        </w:rPr>
        <w:fldChar w:fldCharType="end"/>
      </w:r>
      <w:r w:rsidRPr="002836EB">
        <w:t xml:space="preserve">: </w:t>
      </w:r>
      <w:r w:rsidR="00F519FC" w:rsidRPr="002836EB">
        <w:rPr>
          <w:b w:val="0"/>
        </w:rPr>
        <w:fldChar w:fldCharType="begin"/>
      </w:r>
      <w:r w:rsidR="00F519FC" w:rsidRPr="002836EB">
        <w:instrText xml:space="preserve"> REF _Ref463916501 \h </w:instrText>
      </w:r>
      <w:r w:rsidR="00B5073C" w:rsidRPr="002836EB">
        <w:instrText xml:space="preserve"> \* MERGEFORMAT </w:instrText>
      </w:r>
      <w:r w:rsidR="00F519FC" w:rsidRPr="002836EB">
        <w:rPr>
          <w:b w:val="0"/>
        </w:rPr>
      </w:r>
      <w:r w:rsidR="00F519FC" w:rsidRPr="002836EB">
        <w:rPr>
          <w:b w:val="0"/>
        </w:rPr>
        <w:fldChar w:fldCharType="separate"/>
      </w:r>
      <w:r w:rsidR="003274EF" w:rsidRPr="003274EF">
        <w:t>Radiation oncology recommendations</w:t>
      </w:r>
      <w:r w:rsidR="00F519FC" w:rsidRPr="002836EB">
        <w:rPr>
          <w:b w:val="0"/>
        </w:rPr>
        <w:fldChar w:fldCharType="end"/>
      </w:r>
    </w:p>
    <w:p w14:paraId="7321E480" w14:textId="7D7E38B2" w:rsidR="006F042B" w:rsidRPr="002836EB" w:rsidRDefault="00906C9C" w:rsidP="00CA7D48">
      <w:pPr>
        <w:pStyle w:val="Boldhdg"/>
      </w:pPr>
      <w:r>
        <w:rPr>
          <w:b w:val="0"/>
        </w:rPr>
        <w:fldChar w:fldCharType="begin"/>
      </w:r>
      <w:r>
        <w:instrText xml:space="preserve"> REF _Ref467446478 \h </w:instrText>
      </w:r>
      <w:r>
        <w:rPr>
          <w:b w:val="0"/>
        </w:rPr>
      </w:r>
      <w:r>
        <w:rPr>
          <w:b w:val="0"/>
        </w:rPr>
        <w:fldChar w:fldCharType="separate"/>
      </w:r>
      <w:r w:rsidR="003274EF">
        <w:t xml:space="preserve">Recommendation </w:t>
      </w:r>
      <w:r w:rsidR="003274EF">
        <w:rPr>
          <w:noProof/>
        </w:rPr>
        <w:t>3</w:t>
      </w:r>
      <w:r>
        <w:rPr>
          <w:b w:val="0"/>
        </w:rPr>
        <w:fldChar w:fldCharType="end"/>
      </w:r>
      <w:r w:rsidR="00A8451A">
        <w:rPr>
          <w:b w:val="0"/>
        </w:rPr>
        <w:t xml:space="preserve">: </w:t>
      </w:r>
      <w:r w:rsidR="00A8451A" w:rsidRPr="00A8451A">
        <w:t>restructure</w:t>
      </w:r>
      <w:r w:rsidR="00A8451A">
        <w:t xml:space="preserve"> </w:t>
      </w:r>
      <w:r w:rsidR="009B4AF1">
        <w:t>items for megavoltage radiation therapy</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268"/>
        <w:gridCol w:w="3198"/>
        <w:gridCol w:w="2230"/>
        <w:gridCol w:w="2430"/>
        <w:gridCol w:w="4375"/>
      </w:tblGrid>
      <w:tr w:rsidR="00396184" w:rsidRPr="00BA15EA" w14:paraId="192A6CFA" w14:textId="77777777" w:rsidTr="00175B8C">
        <w:trPr>
          <w:cantSplit/>
          <w:tblHeader/>
        </w:trPr>
        <w:tc>
          <w:tcPr>
            <w:tcW w:w="1268" w:type="dxa"/>
            <w:shd w:val="clear" w:color="auto" w:fill="FFFFFF" w:themeFill="background1"/>
          </w:tcPr>
          <w:p w14:paraId="24B1F7D6" w14:textId="3D672504" w:rsidR="00FD3A38" w:rsidRPr="00BA15EA" w:rsidRDefault="00AD58A4" w:rsidP="003D0E02">
            <w:pPr>
              <w:pStyle w:val="01Tableheaderrow"/>
            </w:pPr>
            <w:r>
              <w:t xml:space="preserve">MBS </w:t>
            </w:r>
            <w:r w:rsidR="00FD3A38" w:rsidRPr="00BA15EA">
              <w:t>Item</w:t>
            </w:r>
            <w:r w:rsidR="0014637C" w:rsidRPr="00BA15EA">
              <w:t>(s)</w:t>
            </w:r>
          </w:p>
        </w:tc>
        <w:tc>
          <w:tcPr>
            <w:tcW w:w="3198" w:type="dxa"/>
            <w:shd w:val="clear" w:color="auto" w:fill="FFFFFF" w:themeFill="background1"/>
          </w:tcPr>
          <w:p w14:paraId="5A7D9233" w14:textId="77777777" w:rsidR="00FD3A38" w:rsidRPr="00BA15EA" w:rsidRDefault="00FD3A38" w:rsidP="003D0E02">
            <w:pPr>
              <w:pStyle w:val="01Tableheaderrow"/>
            </w:pPr>
            <w:r w:rsidRPr="00BA15EA">
              <w:t xml:space="preserve">What it does </w:t>
            </w:r>
          </w:p>
        </w:tc>
        <w:tc>
          <w:tcPr>
            <w:tcW w:w="2230" w:type="dxa"/>
            <w:shd w:val="clear" w:color="auto" w:fill="FFFFFF" w:themeFill="background1"/>
          </w:tcPr>
          <w:p w14:paraId="1E5E96FB" w14:textId="77777777" w:rsidR="00FD3A38" w:rsidRPr="00BA15EA" w:rsidRDefault="00FD3A38" w:rsidP="003D0E02">
            <w:pPr>
              <w:pStyle w:val="01Tableheaderrow"/>
            </w:pPr>
            <w:r w:rsidRPr="00BA15EA">
              <w:t>Committee recommendation</w:t>
            </w:r>
          </w:p>
        </w:tc>
        <w:tc>
          <w:tcPr>
            <w:tcW w:w="2430" w:type="dxa"/>
            <w:shd w:val="clear" w:color="auto" w:fill="FFFFFF" w:themeFill="background1"/>
          </w:tcPr>
          <w:p w14:paraId="2DD2D69A" w14:textId="77777777" w:rsidR="00FD3A38" w:rsidRPr="00BA15EA" w:rsidRDefault="00FD3A38" w:rsidP="003D0E02">
            <w:pPr>
              <w:pStyle w:val="01Tableheaderrow"/>
            </w:pPr>
            <w:r w:rsidRPr="00BA15EA">
              <w:t>What would be different</w:t>
            </w:r>
          </w:p>
        </w:tc>
        <w:tc>
          <w:tcPr>
            <w:tcW w:w="4375" w:type="dxa"/>
            <w:shd w:val="clear" w:color="auto" w:fill="FFFFFF" w:themeFill="background1"/>
          </w:tcPr>
          <w:p w14:paraId="0C7FAD5C" w14:textId="77777777" w:rsidR="00FD3A38" w:rsidRPr="00BA15EA" w:rsidRDefault="00FD3A38" w:rsidP="003D0E02">
            <w:pPr>
              <w:pStyle w:val="01Tableheaderrow"/>
            </w:pPr>
            <w:r w:rsidRPr="00BA15EA">
              <w:t>Why</w:t>
            </w:r>
          </w:p>
        </w:tc>
      </w:tr>
      <w:tr w:rsidR="00A94D12" w:rsidRPr="00BA15EA" w14:paraId="04385B3B" w14:textId="77777777" w:rsidTr="00175B8C">
        <w:tc>
          <w:tcPr>
            <w:tcW w:w="1268" w:type="dxa"/>
          </w:tcPr>
          <w:p w14:paraId="631BC03A" w14:textId="77777777" w:rsidR="008A16D8" w:rsidRDefault="002D01DC" w:rsidP="002D01DC">
            <w:pPr>
              <w:pStyle w:val="02Tabletext"/>
            </w:pPr>
            <w:r w:rsidRPr="00BA15EA">
              <w:t>15215</w:t>
            </w:r>
            <w:r w:rsidR="001A05A7" w:rsidRPr="00BA15EA">
              <w:t>–</w:t>
            </w:r>
            <w:r w:rsidRPr="00BA15EA">
              <w:t>1527</w:t>
            </w:r>
            <w:r w:rsidR="00762482">
              <w:t>5</w:t>
            </w:r>
            <w:r w:rsidRPr="00BA15EA">
              <w:t>,</w:t>
            </w:r>
          </w:p>
          <w:p w14:paraId="385A45E3" w14:textId="77777777" w:rsidR="00175B8C" w:rsidRDefault="00175B8C" w:rsidP="002D01DC">
            <w:pPr>
              <w:pStyle w:val="02Tabletext"/>
            </w:pPr>
          </w:p>
          <w:p w14:paraId="3202DE94" w14:textId="43B67C9C" w:rsidR="008A16D8" w:rsidRPr="00BA15EA" w:rsidRDefault="002D01DC" w:rsidP="002D01DC">
            <w:pPr>
              <w:pStyle w:val="02Tabletext"/>
            </w:pPr>
            <w:r w:rsidRPr="00BA15EA">
              <w:t>15500</w:t>
            </w:r>
            <w:r w:rsidR="001A05A7" w:rsidRPr="00BA15EA">
              <w:t>–</w:t>
            </w:r>
            <w:r w:rsidRPr="00BA15EA">
              <w:t xml:space="preserve">15512, </w:t>
            </w:r>
          </w:p>
          <w:p w14:paraId="297919BF" w14:textId="77777777" w:rsidR="008A16D8" w:rsidRPr="00BA15EA" w:rsidRDefault="008A16D8" w:rsidP="002D01DC">
            <w:pPr>
              <w:pStyle w:val="02Tabletext"/>
            </w:pPr>
          </w:p>
          <w:p w14:paraId="25DD872F" w14:textId="782C3F02" w:rsidR="008A16D8" w:rsidRPr="00BA15EA" w:rsidRDefault="002D01DC" w:rsidP="002D01DC">
            <w:pPr>
              <w:pStyle w:val="02Tabletext"/>
            </w:pPr>
            <w:r w:rsidRPr="00BA15EA">
              <w:t>15515</w:t>
            </w:r>
            <w:r w:rsidR="00270CEF" w:rsidRPr="00BA15EA">
              <w:t>–</w:t>
            </w:r>
            <w:r w:rsidRPr="00BA15EA">
              <w:t xml:space="preserve">15533, </w:t>
            </w:r>
          </w:p>
          <w:p w14:paraId="643528B0" w14:textId="77777777" w:rsidR="008A16D8" w:rsidRPr="00BA15EA" w:rsidRDefault="008A16D8" w:rsidP="002D01DC">
            <w:pPr>
              <w:pStyle w:val="02Tabletext"/>
            </w:pPr>
          </w:p>
          <w:p w14:paraId="3243691B" w14:textId="5D0901C5" w:rsidR="00F54A69" w:rsidRDefault="002D01DC" w:rsidP="00F54A69">
            <w:pPr>
              <w:pStyle w:val="02Tabletext"/>
            </w:pPr>
            <w:r w:rsidRPr="00BA15EA">
              <w:t>15550</w:t>
            </w:r>
            <w:r w:rsidR="001A05A7" w:rsidRPr="00BA15EA">
              <w:t>–</w:t>
            </w:r>
          </w:p>
          <w:p w14:paraId="6666DFAC" w14:textId="4E34F4AF" w:rsidR="00101FBD" w:rsidRPr="00BA15EA" w:rsidRDefault="00270CEF" w:rsidP="00101FBD">
            <w:pPr>
              <w:pStyle w:val="02Tabletext"/>
            </w:pPr>
            <w:r>
              <w:t>15</w:t>
            </w:r>
            <w:r w:rsidR="002D01DC" w:rsidRPr="00BA15EA">
              <w:t>710</w:t>
            </w:r>
          </w:p>
          <w:p w14:paraId="0BA38266" w14:textId="6D56C900" w:rsidR="00FD3A38" w:rsidRPr="00BA15EA" w:rsidRDefault="00FD3A38" w:rsidP="002D01DC">
            <w:pPr>
              <w:pStyle w:val="02Tabletext"/>
            </w:pPr>
          </w:p>
        </w:tc>
        <w:tc>
          <w:tcPr>
            <w:tcW w:w="3198" w:type="dxa"/>
          </w:tcPr>
          <w:p w14:paraId="0DE9E2B3" w14:textId="2D6E4CAF" w:rsidR="00814002" w:rsidRPr="00BA15EA" w:rsidRDefault="00545A2F" w:rsidP="007C6782">
            <w:pPr>
              <w:pStyle w:val="02Tabletext"/>
              <w:spacing w:before="0" w:after="120"/>
            </w:pPr>
            <w:r w:rsidRPr="00BA15EA">
              <w:t>‘Megavoltage radiation therapy’ is a</w:t>
            </w:r>
            <w:r w:rsidR="00814002" w:rsidRPr="00BA15EA">
              <w:t xml:space="preserve"> set of therapeutic procedures</w:t>
            </w:r>
            <w:r w:rsidR="00031A2F" w:rsidRPr="00BA15EA">
              <w:t xml:space="preserve"> to treat cancer,</w:t>
            </w:r>
            <w:r w:rsidR="00814002" w:rsidRPr="00BA15EA">
              <w:t xml:space="preserve"> where high</w:t>
            </w:r>
            <w:r w:rsidR="004D4859" w:rsidRPr="00BA15EA">
              <w:t>-</w:t>
            </w:r>
            <w:r w:rsidR="00814002" w:rsidRPr="00BA15EA">
              <w:t xml:space="preserve">energy radiation is delivered externally to the body to anatomical areas deeper in the body. </w:t>
            </w:r>
          </w:p>
          <w:p w14:paraId="3811DFC4" w14:textId="1DF1A8A2" w:rsidR="00CF3F85" w:rsidRPr="00BA15EA" w:rsidRDefault="00CF3F85" w:rsidP="007C6782">
            <w:pPr>
              <w:spacing w:before="0" w:after="120"/>
              <w:rPr>
                <w:rFonts w:ascii="Arial" w:hAnsi="Arial" w:cs="Arial"/>
                <w:sz w:val="18"/>
                <w:szCs w:val="18"/>
                <w:lang w:eastAsia="en-US"/>
              </w:rPr>
            </w:pPr>
            <w:r w:rsidRPr="00BA15EA">
              <w:rPr>
                <w:rFonts w:ascii="Arial" w:hAnsi="Arial" w:cs="Arial"/>
                <w:sz w:val="18"/>
                <w:szCs w:val="18"/>
                <w:lang w:eastAsia="en-US"/>
              </w:rPr>
              <w:t>There are separate items for simulation and field</w:t>
            </w:r>
            <w:r w:rsidR="00F20557" w:rsidRPr="00BA15EA">
              <w:rPr>
                <w:rFonts w:ascii="Arial" w:hAnsi="Arial" w:cs="Arial"/>
                <w:sz w:val="18"/>
                <w:szCs w:val="18"/>
                <w:lang w:eastAsia="en-US"/>
              </w:rPr>
              <w:t>-</w:t>
            </w:r>
            <w:r w:rsidRPr="00BA15EA">
              <w:rPr>
                <w:rFonts w:ascii="Arial" w:hAnsi="Arial" w:cs="Arial"/>
                <w:sz w:val="18"/>
                <w:szCs w:val="18"/>
                <w:lang w:eastAsia="en-US"/>
              </w:rPr>
              <w:t>setting, dosimetry, treatment, and treatment verification.</w:t>
            </w:r>
          </w:p>
          <w:p w14:paraId="7DAF8E77" w14:textId="77777777" w:rsidR="00B87C28" w:rsidRDefault="00813108" w:rsidP="007C6782">
            <w:pPr>
              <w:spacing w:before="0" w:after="120"/>
              <w:rPr>
                <w:rFonts w:ascii="Arial" w:hAnsi="Arial" w:cs="Arial"/>
                <w:sz w:val="18"/>
                <w:szCs w:val="18"/>
                <w:lang w:eastAsia="en-US"/>
              </w:rPr>
            </w:pPr>
            <w:r w:rsidRPr="00BA15EA">
              <w:rPr>
                <w:rFonts w:ascii="Arial" w:hAnsi="Arial" w:cs="Arial"/>
                <w:sz w:val="18"/>
                <w:szCs w:val="18"/>
                <w:lang w:eastAsia="en-US"/>
              </w:rPr>
              <w:t xml:space="preserve">The </w:t>
            </w:r>
            <w:r w:rsidR="00CF3F85" w:rsidRPr="00BA15EA">
              <w:rPr>
                <w:rFonts w:ascii="Arial" w:hAnsi="Arial" w:cs="Arial"/>
                <w:sz w:val="18"/>
                <w:szCs w:val="18"/>
                <w:lang w:eastAsia="en-US"/>
              </w:rPr>
              <w:t xml:space="preserve">treatment </w:t>
            </w:r>
            <w:r w:rsidRPr="00BA15EA">
              <w:rPr>
                <w:rFonts w:ascii="Arial" w:hAnsi="Arial" w:cs="Arial"/>
                <w:sz w:val="18"/>
                <w:szCs w:val="18"/>
                <w:lang w:eastAsia="en-US"/>
              </w:rPr>
              <w:t>items differ by the site treated (lung, prostate, breast or other); whether single</w:t>
            </w:r>
            <w:r w:rsidR="00F20557" w:rsidRPr="00BA15EA">
              <w:rPr>
                <w:rFonts w:ascii="Arial" w:hAnsi="Arial" w:cs="Arial"/>
                <w:sz w:val="18"/>
                <w:szCs w:val="18"/>
                <w:lang w:eastAsia="en-US"/>
              </w:rPr>
              <w:t>-</w:t>
            </w:r>
            <w:r w:rsidRPr="00BA15EA">
              <w:rPr>
                <w:rFonts w:ascii="Arial" w:hAnsi="Arial" w:cs="Arial"/>
                <w:sz w:val="18"/>
                <w:szCs w:val="18"/>
                <w:lang w:eastAsia="en-US"/>
              </w:rPr>
              <w:t>photon lower energy or dual</w:t>
            </w:r>
            <w:r w:rsidR="00113A97" w:rsidRPr="00BA15EA">
              <w:rPr>
                <w:rFonts w:ascii="Arial" w:hAnsi="Arial" w:cs="Arial"/>
                <w:sz w:val="18"/>
                <w:szCs w:val="18"/>
                <w:lang w:eastAsia="en-US"/>
              </w:rPr>
              <w:t>-</w:t>
            </w:r>
            <w:r w:rsidRPr="00BA15EA">
              <w:rPr>
                <w:rFonts w:ascii="Arial" w:hAnsi="Arial" w:cs="Arial"/>
                <w:sz w:val="18"/>
                <w:szCs w:val="18"/>
                <w:lang w:eastAsia="en-US"/>
              </w:rPr>
              <w:t>photon higher energy is used</w:t>
            </w:r>
            <w:r w:rsidR="00C9613F" w:rsidRPr="00BA15EA">
              <w:rPr>
                <w:rFonts w:ascii="Arial" w:hAnsi="Arial" w:cs="Arial"/>
                <w:sz w:val="18"/>
                <w:szCs w:val="18"/>
                <w:lang w:eastAsia="en-US"/>
              </w:rPr>
              <w:t>;</w:t>
            </w:r>
            <w:r w:rsidRPr="00BA15EA">
              <w:rPr>
                <w:rFonts w:ascii="Arial" w:hAnsi="Arial" w:cs="Arial"/>
                <w:sz w:val="18"/>
                <w:szCs w:val="18"/>
                <w:lang w:eastAsia="en-US"/>
              </w:rPr>
              <w:t xml:space="preserve"> the number of fields involved</w:t>
            </w:r>
            <w:r w:rsidR="007F7D72" w:rsidRPr="00BA15EA">
              <w:rPr>
                <w:rFonts w:ascii="Arial" w:hAnsi="Arial" w:cs="Arial"/>
                <w:sz w:val="18"/>
                <w:szCs w:val="18"/>
                <w:lang w:eastAsia="en-US"/>
              </w:rPr>
              <w:t>;</w:t>
            </w:r>
            <w:r w:rsidR="000F6E7C" w:rsidRPr="00BA15EA">
              <w:rPr>
                <w:rFonts w:ascii="Arial" w:hAnsi="Arial" w:cs="Arial"/>
                <w:sz w:val="18"/>
                <w:szCs w:val="18"/>
                <w:lang w:eastAsia="en-US"/>
              </w:rPr>
              <w:t xml:space="preserve"> and</w:t>
            </w:r>
            <w:r w:rsidRPr="00BA15EA">
              <w:rPr>
                <w:rFonts w:ascii="Arial" w:hAnsi="Arial" w:cs="Arial"/>
                <w:sz w:val="18"/>
                <w:szCs w:val="18"/>
                <w:lang w:eastAsia="en-US"/>
              </w:rPr>
              <w:t xml:space="preserve"> whether the radiation is delivered to the primary cancer site or secondary sites</w:t>
            </w:r>
            <w:r w:rsidR="000F6E7C" w:rsidRPr="00BA15EA">
              <w:rPr>
                <w:rFonts w:ascii="Arial" w:hAnsi="Arial" w:cs="Arial"/>
                <w:sz w:val="18"/>
                <w:szCs w:val="18"/>
                <w:lang w:eastAsia="en-US"/>
              </w:rPr>
              <w:t xml:space="preserve">. </w:t>
            </w:r>
          </w:p>
          <w:p w14:paraId="1ACE32C9" w14:textId="186AD2A4" w:rsidR="00814002" w:rsidRPr="00BA15EA" w:rsidRDefault="000F6E7C" w:rsidP="007C6782">
            <w:pPr>
              <w:spacing w:before="0" w:after="120"/>
              <w:rPr>
                <w:rFonts w:ascii="Arial" w:hAnsi="Arial" w:cs="Arial"/>
                <w:sz w:val="18"/>
                <w:szCs w:val="18"/>
                <w:lang w:eastAsia="en-US"/>
              </w:rPr>
            </w:pPr>
            <w:r w:rsidRPr="00BA15EA">
              <w:rPr>
                <w:rFonts w:ascii="Arial" w:hAnsi="Arial" w:cs="Arial"/>
                <w:sz w:val="18"/>
                <w:szCs w:val="18"/>
                <w:lang w:eastAsia="en-US"/>
              </w:rPr>
              <w:t>There are</w:t>
            </w:r>
            <w:r w:rsidR="00813108" w:rsidRPr="00BA15EA">
              <w:rPr>
                <w:rFonts w:ascii="Arial" w:hAnsi="Arial" w:cs="Arial"/>
                <w:sz w:val="18"/>
                <w:szCs w:val="18"/>
                <w:lang w:eastAsia="en-US"/>
              </w:rPr>
              <w:t xml:space="preserve"> specific items for the use of recent/technologically advanced techniques such as </w:t>
            </w:r>
            <w:r w:rsidR="00E41D9A" w:rsidRPr="00BA15EA">
              <w:rPr>
                <w:rFonts w:ascii="Arial" w:hAnsi="Arial" w:cs="Arial"/>
                <w:sz w:val="18"/>
                <w:szCs w:val="18"/>
                <w:lang w:eastAsia="en-US"/>
              </w:rPr>
              <w:t>i</w:t>
            </w:r>
            <w:r w:rsidR="00813108" w:rsidRPr="00BA15EA">
              <w:rPr>
                <w:rFonts w:ascii="Arial" w:hAnsi="Arial" w:cs="Arial"/>
                <w:sz w:val="18"/>
                <w:szCs w:val="18"/>
                <w:lang w:eastAsia="en-US"/>
              </w:rPr>
              <w:t>ntensity-</w:t>
            </w:r>
            <w:r w:rsidR="00E41D9A" w:rsidRPr="00BA15EA">
              <w:rPr>
                <w:rFonts w:ascii="Arial" w:hAnsi="Arial" w:cs="Arial"/>
                <w:sz w:val="18"/>
                <w:szCs w:val="18"/>
                <w:lang w:eastAsia="en-US"/>
              </w:rPr>
              <w:t>m</w:t>
            </w:r>
            <w:r w:rsidR="00813108" w:rsidRPr="00BA15EA">
              <w:rPr>
                <w:rFonts w:ascii="Arial" w:hAnsi="Arial" w:cs="Arial"/>
                <w:sz w:val="18"/>
                <w:szCs w:val="18"/>
                <w:lang w:eastAsia="en-US"/>
              </w:rPr>
              <w:t xml:space="preserve">odulated </w:t>
            </w:r>
            <w:r w:rsidR="00E41D9A" w:rsidRPr="00BA15EA">
              <w:rPr>
                <w:rFonts w:ascii="Arial" w:hAnsi="Arial" w:cs="Arial"/>
                <w:sz w:val="18"/>
                <w:szCs w:val="18"/>
                <w:lang w:eastAsia="en-US"/>
              </w:rPr>
              <w:t>r</w:t>
            </w:r>
            <w:r w:rsidR="00813108" w:rsidRPr="00BA15EA">
              <w:rPr>
                <w:rFonts w:ascii="Arial" w:hAnsi="Arial" w:cs="Arial"/>
                <w:sz w:val="18"/>
                <w:szCs w:val="18"/>
                <w:lang w:eastAsia="en-US"/>
              </w:rPr>
              <w:t xml:space="preserve">adiation </w:t>
            </w:r>
            <w:r w:rsidR="00E41D9A" w:rsidRPr="00BA15EA">
              <w:rPr>
                <w:rFonts w:ascii="Arial" w:hAnsi="Arial" w:cs="Arial"/>
                <w:sz w:val="18"/>
                <w:szCs w:val="18"/>
                <w:lang w:eastAsia="en-US"/>
              </w:rPr>
              <w:t>t</w:t>
            </w:r>
            <w:r w:rsidR="00813108" w:rsidRPr="00BA15EA">
              <w:rPr>
                <w:rFonts w:ascii="Arial" w:hAnsi="Arial" w:cs="Arial"/>
                <w:sz w:val="18"/>
                <w:szCs w:val="18"/>
                <w:lang w:eastAsia="en-US"/>
              </w:rPr>
              <w:t>herapy (IMRT) or stereotactic radiosurgery</w:t>
            </w:r>
            <w:r w:rsidR="00175B8C">
              <w:rPr>
                <w:rFonts w:ascii="Arial" w:hAnsi="Arial" w:cs="Arial"/>
                <w:sz w:val="18"/>
                <w:szCs w:val="18"/>
                <w:lang w:eastAsia="en-US"/>
              </w:rPr>
              <w:t>.</w:t>
            </w:r>
          </w:p>
        </w:tc>
        <w:tc>
          <w:tcPr>
            <w:tcW w:w="2230" w:type="dxa"/>
          </w:tcPr>
          <w:p w14:paraId="737F178B" w14:textId="3231D303" w:rsidR="00FD3A38" w:rsidRPr="00BA15EA" w:rsidRDefault="00EF3082" w:rsidP="00857C5B">
            <w:pPr>
              <w:pStyle w:val="02Tabletext"/>
              <w:rPr>
                <w:color w:val="FF0000"/>
              </w:rPr>
            </w:pPr>
            <w:r w:rsidRPr="00BA15EA">
              <w:t xml:space="preserve">Restructure items for megavoltage radiation therapy into </w:t>
            </w:r>
            <w:r w:rsidR="00796DD4" w:rsidRPr="00BA15EA">
              <w:t>two parts</w:t>
            </w:r>
            <w:r w:rsidR="0073518D" w:rsidRPr="00BA15EA">
              <w:t>:</w:t>
            </w:r>
            <w:r w:rsidR="004F0236" w:rsidRPr="00BA15EA">
              <w:t xml:space="preserve"> </w:t>
            </w:r>
            <w:r w:rsidR="00796DD4" w:rsidRPr="00BA15EA">
              <w:t>planning and treatment, with</w:t>
            </w:r>
            <w:r w:rsidR="00857C5B">
              <w:t xml:space="preserve"> different items within each part, depending on the</w:t>
            </w:r>
            <w:r w:rsidR="00DF167D" w:rsidRPr="00BA15EA">
              <w:t xml:space="preserve"> </w:t>
            </w:r>
            <w:r w:rsidRPr="00BA15EA">
              <w:t>complexity level</w:t>
            </w:r>
            <w:r w:rsidR="00DF167D" w:rsidRPr="00BA15EA">
              <w:t xml:space="preserve"> of the service</w:t>
            </w:r>
            <w:r w:rsidR="004F0236" w:rsidRPr="00BA15EA">
              <w:t>.</w:t>
            </w:r>
            <w:r w:rsidR="002E5406" w:rsidRPr="00BA15EA">
              <w:t xml:space="preserve"> </w:t>
            </w:r>
            <w:r w:rsidR="0073518D" w:rsidRPr="00BA15EA">
              <w:t>T</w:t>
            </w:r>
            <w:r w:rsidR="002E5406" w:rsidRPr="00BA15EA">
              <w:t xml:space="preserve">he treatment part is paid for each </w:t>
            </w:r>
            <w:r w:rsidR="00857C5B">
              <w:t>time a treatment (also known as a ‘fraction’) is given.</w:t>
            </w:r>
          </w:p>
        </w:tc>
        <w:tc>
          <w:tcPr>
            <w:tcW w:w="2430" w:type="dxa"/>
          </w:tcPr>
          <w:p w14:paraId="6DB7171F" w14:textId="64724C1D" w:rsidR="00CD2FE0" w:rsidRPr="00CD2FE0" w:rsidRDefault="0012071F" w:rsidP="000802AE">
            <w:pPr>
              <w:pStyle w:val="02Tabletext"/>
            </w:pPr>
            <w:r w:rsidRPr="0012071F">
              <w:t xml:space="preserve">Patients will receive </w:t>
            </w:r>
            <w:r w:rsidR="00D75718">
              <w:t>bills with</w:t>
            </w:r>
            <w:r w:rsidR="00A17B6A">
              <w:t xml:space="preserve"> a simpler set of</w:t>
            </w:r>
            <w:r w:rsidR="00D75718">
              <w:t xml:space="preserve"> MBS items that more accurately reflect the </w:t>
            </w:r>
            <w:r w:rsidR="007870A6">
              <w:t xml:space="preserve">service provided, </w:t>
            </w:r>
            <w:r w:rsidR="00DC1DB4">
              <w:t xml:space="preserve">and the level of MBS benefit </w:t>
            </w:r>
            <w:r w:rsidR="00AB6ABB">
              <w:t xml:space="preserve">payable </w:t>
            </w:r>
            <w:r w:rsidR="00DC1DB4">
              <w:t>will more consistently match the complexity of the service provided.</w:t>
            </w:r>
          </w:p>
        </w:tc>
        <w:tc>
          <w:tcPr>
            <w:tcW w:w="4375" w:type="dxa"/>
          </w:tcPr>
          <w:p w14:paraId="0D15F6F1" w14:textId="4EB53C3D" w:rsidR="00615EF2" w:rsidRDefault="00615EF2" w:rsidP="007C6782">
            <w:pPr>
              <w:pStyle w:val="01squarebullet"/>
              <w:numPr>
                <w:ilvl w:val="0"/>
                <w:numId w:val="0"/>
              </w:numPr>
              <w:spacing w:before="0" w:after="120"/>
              <w:rPr>
                <w:rFonts w:ascii="Arial" w:hAnsi="Arial" w:cs="Arial"/>
                <w:sz w:val="18"/>
                <w:szCs w:val="18"/>
                <w:lang w:val="en-GB"/>
              </w:rPr>
            </w:pPr>
            <w:r w:rsidRPr="00BA15EA">
              <w:rPr>
                <w:rFonts w:ascii="Arial" w:hAnsi="Arial" w:cs="Arial"/>
                <w:sz w:val="18"/>
                <w:szCs w:val="18"/>
                <w:lang w:val="en-GB"/>
              </w:rPr>
              <w:t xml:space="preserve">The current </w:t>
            </w:r>
            <w:r w:rsidR="0025069D">
              <w:rPr>
                <w:rFonts w:ascii="Arial" w:hAnsi="Arial" w:cs="Arial"/>
                <w:sz w:val="18"/>
                <w:szCs w:val="18"/>
                <w:lang w:val="en-GB"/>
              </w:rPr>
              <w:t xml:space="preserve">MBS </w:t>
            </w:r>
            <w:r w:rsidR="00B81937">
              <w:rPr>
                <w:rFonts w:ascii="Arial" w:hAnsi="Arial" w:cs="Arial"/>
                <w:sz w:val="18"/>
                <w:szCs w:val="18"/>
                <w:lang w:val="en-GB"/>
              </w:rPr>
              <w:t xml:space="preserve">items </w:t>
            </w:r>
            <w:r w:rsidRPr="00BA15EA">
              <w:rPr>
                <w:rFonts w:ascii="Arial" w:hAnsi="Arial" w:cs="Arial"/>
                <w:sz w:val="18"/>
                <w:szCs w:val="18"/>
                <w:lang w:val="en-GB"/>
              </w:rPr>
              <w:t xml:space="preserve">are complicated to use (with 45 items that are divided </w:t>
            </w:r>
            <w:r w:rsidR="00483D00" w:rsidRPr="00BA15EA">
              <w:rPr>
                <w:rFonts w:ascii="Arial" w:hAnsi="Arial" w:cs="Arial"/>
                <w:sz w:val="18"/>
                <w:szCs w:val="18"/>
                <w:lang w:val="en-GB"/>
              </w:rPr>
              <w:t>based o</w:t>
            </w:r>
            <w:r w:rsidR="00D01D53" w:rsidRPr="00BA15EA">
              <w:rPr>
                <w:rFonts w:ascii="Arial" w:hAnsi="Arial" w:cs="Arial"/>
                <w:sz w:val="18"/>
                <w:szCs w:val="18"/>
                <w:lang w:val="en-GB"/>
              </w:rPr>
              <w:t>n</w:t>
            </w:r>
            <w:r w:rsidR="00483D00" w:rsidRPr="00BA15EA">
              <w:rPr>
                <w:rFonts w:ascii="Arial" w:hAnsi="Arial" w:cs="Arial"/>
                <w:sz w:val="18"/>
                <w:szCs w:val="18"/>
                <w:lang w:val="en-GB"/>
              </w:rPr>
              <w:t xml:space="preserve"> </w:t>
            </w:r>
            <w:r w:rsidRPr="00BA15EA">
              <w:rPr>
                <w:rFonts w:ascii="Arial" w:hAnsi="Arial" w:cs="Arial"/>
                <w:sz w:val="18"/>
                <w:szCs w:val="18"/>
                <w:lang w:val="en-GB"/>
              </w:rPr>
              <w:t>multiple factors)</w:t>
            </w:r>
            <w:r w:rsidR="006E6C33" w:rsidRPr="00BA15EA">
              <w:rPr>
                <w:rFonts w:ascii="Arial" w:hAnsi="Arial" w:cs="Arial"/>
                <w:sz w:val="18"/>
                <w:szCs w:val="18"/>
                <w:lang w:val="en-GB"/>
              </w:rPr>
              <w:t>;</w:t>
            </w:r>
            <w:r w:rsidRPr="00BA15EA">
              <w:rPr>
                <w:rFonts w:ascii="Arial" w:hAnsi="Arial" w:cs="Arial"/>
                <w:sz w:val="18"/>
                <w:szCs w:val="18"/>
                <w:lang w:val="en-GB"/>
              </w:rPr>
              <w:t xml:space="preserve"> </w:t>
            </w:r>
            <w:r w:rsidR="00546658" w:rsidRPr="00BA15EA">
              <w:rPr>
                <w:rFonts w:ascii="Arial" w:hAnsi="Arial" w:cs="Arial"/>
                <w:sz w:val="18"/>
                <w:szCs w:val="18"/>
                <w:lang w:val="en-GB"/>
              </w:rPr>
              <w:t xml:space="preserve">are not structured in a way </w:t>
            </w:r>
            <w:r w:rsidR="00214099" w:rsidRPr="00BA15EA">
              <w:rPr>
                <w:rFonts w:ascii="Arial" w:hAnsi="Arial" w:cs="Arial"/>
                <w:sz w:val="18"/>
                <w:szCs w:val="18"/>
                <w:lang w:val="en-GB"/>
              </w:rPr>
              <w:t xml:space="preserve">that </w:t>
            </w:r>
            <w:r w:rsidR="00546658" w:rsidRPr="00BA15EA">
              <w:rPr>
                <w:rFonts w:ascii="Arial" w:hAnsi="Arial" w:cs="Arial"/>
                <w:sz w:val="18"/>
                <w:szCs w:val="18"/>
                <w:lang w:val="en-GB"/>
              </w:rPr>
              <w:t xml:space="preserve">reflects the </w:t>
            </w:r>
            <w:r w:rsidR="00C120B3" w:rsidRPr="00BA15EA">
              <w:rPr>
                <w:rFonts w:ascii="Arial" w:hAnsi="Arial" w:cs="Arial"/>
                <w:sz w:val="18"/>
                <w:szCs w:val="18"/>
                <w:lang w:val="en-GB"/>
              </w:rPr>
              <w:t>delivery of</w:t>
            </w:r>
            <w:r w:rsidR="00546658" w:rsidRPr="00BA15EA">
              <w:rPr>
                <w:rFonts w:ascii="Arial" w:hAnsi="Arial" w:cs="Arial"/>
                <w:sz w:val="18"/>
                <w:szCs w:val="18"/>
                <w:lang w:val="en-GB"/>
              </w:rPr>
              <w:t xml:space="preserve"> modern services </w:t>
            </w:r>
            <w:r w:rsidR="00B05226" w:rsidRPr="00BA15EA">
              <w:rPr>
                <w:rFonts w:ascii="Arial" w:hAnsi="Arial" w:cs="Arial"/>
                <w:sz w:val="18"/>
                <w:szCs w:val="18"/>
                <w:lang w:val="en-GB"/>
              </w:rPr>
              <w:t>(</w:t>
            </w:r>
            <w:r w:rsidR="00546658" w:rsidRPr="00BA15EA">
              <w:rPr>
                <w:rFonts w:ascii="Arial" w:hAnsi="Arial" w:cs="Arial"/>
                <w:sz w:val="18"/>
                <w:szCs w:val="18"/>
                <w:lang w:val="en-GB"/>
              </w:rPr>
              <w:t>where simulation</w:t>
            </w:r>
            <w:r w:rsidR="006E6C33" w:rsidRPr="00BA15EA">
              <w:rPr>
                <w:rFonts w:ascii="Arial" w:hAnsi="Arial" w:cs="Arial"/>
                <w:sz w:val="18"/>
                <w:szCs w:val="18"/>
                <w:lang w:val="en-GB"/>
              </w:rPr>
              <w:t>,</w:t>
            </w:r>
            <w:r w:rsidR="00546658" w:rsidRPr="00BA15EA">
              <w:rPr>
                <w:rFonts w:ascii="Arial" w:hAnsi="Arial" w:cs="Arial"/>
                <w:sz w:val="18"/>
                <w:szCs w:val="18"/>
                <w:lang w:val="en-GB"/>
              </w:rPr>
              <w:t xml:space="preserve"> field</w:t>
            </w:r>
            <w:r w:rsidR="006E6C33" w:rsidRPr="00BA15EA">
              <w:rPr>
                <w:rFonts w:ascii="Arial" w:hAnsi="Arial" w:cs="Arial"/>
                <w:sz w:val="18"/>
                <w:szCs w:val="18"/>
                <w:lang w:val="en-GB"/>
              </w:rPr>
              <w:t>-</w:t>
            </w:r>
            <w:r w:rsidR="00546658" w:rsidRPr="00BA15EA">
              <w:rPr>
                <w:rFonts w:ascii="Arial" w:hAnsi="Arial" w:cs="Arial"/>
                <w:sz w:val="18"/>
                <w:szCs w:val="18"/>
                <w:lang w:val="en-GB"/>
              </w:rPr>
              <w:t>setting and dosimetry are performed in an integrated fashion</w:t>
            </w:r>
            <w:r w:rsidR="006E6C33" w:rsidRPr="00BA15EA">
              <w:rPr>
                <w:rFonts w:ascii="Arial" w:hAnsi="Arial" w:cs="Arial"/>
                <w:sz w:val="18"/>
                <w:szCs w:val="18"/>
                <w:lang w:val="en-GB"/>
              </w:rPr>
              <w:t>, as are</w:t>
            </w:r>
            <w:r w:rsidR="00B05226" w:rsidRPr="00BA15EA">
              <w:rPr>
                <w:rFonts w:ascii="Arial" w:hAnsi="Arial" w:cs="Arial"/>
                <w:sz w:val="18"/>
                <w:szCs w:val="18"/>
                <w:lang w:val="en-GB"/>
              </w:rPr>
              <w:t xml:space="preserve"> treatment and verification)</w:t>
            </w:r>
            <w:r w:rsidR="001C7E3E" w:rsidRPr="00BA15EA">
              <w:rPr>
                <w:rFonts w:ascii="Arial" w:hAnsi="Arial" w:cs="Arial"/>
                <w:sz w:val="18"/>
                <w:szCs w:val="18"/>
                <w:lang w:val="en-GB"/>
              </w:rPr>
              <w:t>;</w:t>
            </w:r>
            <w:r w:rsidRPr="00BA15EA">
              <w:rPr>
                <w:rFonts w:ascii="Arial" w:hAnsi="Arial" w:cs="Arial"/>
                <w:sz w:val="18"/>
                <w:szCs w:val="18"/>
                <w:lang w:val="en-GB"/>
              </w:rPr>
              <w:t xml:space="preserve"> refer to </w:t>
            </w:r>
            <w:r w:rsidR="00174316">
              <w:rPr>
                <w:rFonts w:ascii="Arial" w:hAnsi="Arial" w:cs="Arial"/>
                <w:sz w:val="18"/>
                <w:szCs w:val="18"/>
                <w:lang w:val="en-GB"/>
              </w:rPr>
              <w:t>outdated differences between services</w:t>
            </w:r>
            <w:r w:rsidRPr="00BA15EA">
              <w:rPr>
                <w:rFonts w:ascii="Arial" w:hAnsi="Arial" w:cs="Arial"/>
                <w:sz w:val="18"/>
                <w:szCs w:val="18"/>
                <w:lang w:val="en-GB"/>
              </w:rPr>
              <w:t xml:space="preserve"> (</w:t>
            </w:r>
            <w:r w:rsidR="0013614F" w:rsidRPr="00BA15EA">
              <w:rPr>
                <w:rFonts w:ascii="Arial" w:hAnsi="Arial" w:cs="Arial"/>
                <w:sz w:val="18"/>
                <w:szCs w:val="18"/>
                <w:lang w:val="en-GB"/>
              </w:rPr>
              <w:t>for example</w:t>
            </w:r>
            <w:r w:rsidR="00FB423D" w:rsidRPr="00BA15EA">
              <w:rPr>
                <w:rFonts w:ascii="Arial" w:hAnsi="Arial" w:cs="Arial"/>
                <w:sz w:val="18"/>
                <w:szCs w:val="18"/>
                <w:lang w:val="en-GB"/>
              </w:rPr>
              <w:t>,</w:t>
            </w:r>
            <w:r w:rsidRPr="00BA15EA">
              <w:rPr>
                <w:rFonts w:ascii="Arial" w:hAnsi="Arial" w:cs="Arial"/>
                <w:sz w:val="18"/>
                <w:szCs w:val="18"/>
                <w:lang w:val="en-GB"/>
              </w:rPr>
              <w:t xml:space="preserve"> between single</w:t>
            </w:r>
            <w:r w:rsidR="00857471" w:rsidRPr="00BA15EA">
              <w:rPr>
                <w:rFonts w:ascii="Arial" w:hAnsi="Arial" w:cs="Arial"/>
                <w:sz w:val="18"/>
                <w:szCs w:val="18"/>
                <w:lang w:val="en-GB"/>
              </w:rPr>
              <w:t>-</w:t>
            </w:r>
            <w:r w:rsidRPr="00BA15EA">
              <w:rPr>
                <w:rFonts w:ascii="Arial" w:hAnsi="Arial" w:cs="Arial"/>
                <w:sz w:val="18"/>
                <w:szCs w:val="18"/>
                <w:lang w:val="en-GB"/>
              </w:rPr>
              <w:t>photon and dual</w:t>
            </w:r>
            <w:r w:rsidR="00857471" w:rsidRPr="00BA15EA">
              <w:rPr>
                <w:rFonts w:ascii="Arial" w:hAnsi="Arial" w:cs="Arial"/>
                <w:sz w:val="18"/>
                <w:szCs w:val="18"/>
                <w:lang w:val="en-GB"/>
              </w:rPr>
              <w:t>-</w:t>
            </w:r>
            <w:r w:rsidRPr="00BA15EA">
              <w:rPr>
                <w:rFonts w:ascii="Arial" w:hAnsi="Arial" w:cs="Arial"/>
                <w:sz w:val="18"/>
                <w:szCs w:val="18"/>
                <w:lang w:val="en-GB"/>
              </w:rPr>
              <w:t>photon energies)</w:t>
            </w:r>
            <w:r w:rsidR="00857471" w:rsidRPr="00BA15EA">
              <w:rPr>
                <w:rFonts w:ascii="Arial" w:hAnsi="Arial" w:cs="Arial"/>
                <w:sz w:val="18"/>
                <w:szCs w:val="18"/>
                <w:lang w:val="en-GB"/>
              </w:rPr>
              <w:t>;</w:t>
            </w:r>
            <w:r w:rsidR="001967A6" w:rsidRPr="00BA15EA">
              <w:rPr>
                <w:rFonts w:ascii="Arial" w:hAnsi="Arial" w:cs="Arial"/>
                <w:sz w:val="18"/>
                <w:szCs w:val="18"/>
                <w:lang w:val="en-GB"/>
              </w:rPr>
              <w:t xml:space="preserve"> and do not reflect the factors that determine the level of professional involvement required in different instances.</w:t>
            </w:r>
          </w:p>
          <w:p w14:paraId="22B6C1E0" w14:textId="422390AC" w:rsidR="00615EF2" w:rsidRDefault="00615EF2" w:rsidP="007C6782">
            <w:pPr>
              <w:pStyle w:val="01squarebullet"/>
              <w:numPr>
                <w:ilvl w:val="0"/>
                <w:numId w:val="0"/>
              </w:numPr>
              <w:spacing w:before="0" w:after="120"/>
              <w:rPr>
                <w:rFonts w:ascii="Arial" w:hAnsi="Arial" w:cs="Arial"/>
                <w:sz w:val="18"/>
                <w:szCs w:val="18"/>
                <w:lang w:val="en-GB"/>
              </w:rPr>
            </w:pPr>
            <w:r w:rsidRPr="00BA15EA">
              <w:rPr>
                <w:rFonts w:ascii="Arial" w:hAnsi="Arial" w:cs="Arial"/>
                <w:sz w:val="18"/>
                <w:szCs w:val="18"/>
                <w:lang w:val="en-GB"/>
              </w:rPr>
              <w:t xml:space="preserve">The complexity levels </w:t>
            </w:r>
            <w:r w:rsidR="00BE1958" w:rsidRPr="00BA15EA">
              <w:rPr>
                <w:rFonts w:ascii="Arial" w:hAnsi="Arial" w:cs="Arial"/>
                <w:sz w:val="18"/>
                <w:szCs w:val="18"/>
                <w:lang w:val="en-GB"/>
              </w:rPr>
              <w:t>in the new items</w:t>
            </w:r>
            <w:r w:rsidRPr="00BA15EA">
              <w:rPr>
                <w:rFonts w:ascii="Arial" w:hAnsi="Arial" w:cs="Arial"/>
                <w:sz w:val="18"/>
                <w:szCs w:val="18"/>
                <w:lang w:val="en-GB"/>
              </w:rPr>
              <w:t xml:space="preserve"> </w:t>
            </w:r>
            <w:r w:rsidRPr="00BA15EA">
              <w:rPr>
                <w:rFonts w:ascii="Arial" w:hAnsi="Arial" w:cs="Arial"/>
                <w:bCs/>
                <w:sz w:val="18"/>
                <w:szCs w:val="18"/>
                <w:lang w:val="en-GB"/>
              </w:rPr>
              <w:t xml:space="preserve">reflect the </w:t>
            </w:r>
            <w:r w:rsidR="000A43A8" w:rsidRPr="000A43A8">
              <w:rPr>
                <w:rFonts w:ascii="Arial" w:hAnsi="Arial" w:cs="Arial"/>
                <w:bCs/>
                <w:sz w:val="18"/>
                <w:szCs w:val="18"/>
                <w:lang w:val="en-GB"/>
              </w:rPr>
              <w:t>main factors that determine the level of professional involvement required</w:t>
            </w:r>
            <w:r w:rsidR="00201644">
              <w:rPr>
                <w:rFonts w:ascii="Arial" w:hAnsi="Arial" w:cs="Arial"/>
                <w:bCs/>
                <w:sz w:val="18"/>
                <w:szCs w:val="18"/>
                <w:lang w:val="en-GB"/>
              </w:rPr>
              <w:t>. T</w:t>
            </w:r>
            <w:r w:rsidR="000A43A8">
              <w:rPr>
                <w:rFonts w:ascii="Arial" w:hAnsi="Arial" w:cs="Arial"/>
                <w:bCs/>
                <w:sz w:val="18"/>
                <w:szCs w:val="18"/>
                <w:lang w:val="en-GB"/>
              </w:rPr>
              <w:t xml:space="preserve">he existing use of </w:t>
            </w:r>
            <w:r w:rsidRPr="00BA15EA">
              <w:rPr>
                <w:rFonts w:ascii="Arial" w:hAnsi="Arial" w:cs="Arial"/>
                <w:sz w:val="18"/>
                <w:szCs w:val="18"/>
                <w:lang w:val="en-GB"/>
              </w:rPr>
              <w:t xml:space="preserve">field count and beam energy (single versus dual photon) </w:t>
            </w:r>
            <w:r w:rsidR="000629DA">
              <w:rPr>
                <w:rFonts w:ascii="Arial" w:hAnsi="Arial" w:cs="Arial"/>
                <w:sz w:val="18"/>
                <w:szCs w:val="18"/>
                <w:lang w:val="en-GB"/>
              </w:rPr>
              <w:t>is</w:t>
            </w:r>
            <w:r w:rsidRPr="00BA15EA">
              <w:rPr>
                <w:rFonts w:ascii="Arial" w:hAnsi="Arial" w:cs="Arial"/>
                <w:sz w:val="18"/>
                <w:szCs w:val="18"/>
                <w:lang w:val="en-GB"/>
              </w:rPr>
              <w:t xml:space="preserve"> not </w:t>
            </w:r>
            <w:r w:rsidR="000629DA">
              <w:rPr>
                <w:rFonts w:ascii="Arial" w:hAnsi="Arial" w:cs="Arial"/>
                <w:sz w:val="18"/>
                <w:szCs w:val="18"/>
                <w:lang w:val="en-GB"/>
              </w:rPr>
              <w:t xml:space="preserve">an </w:t>
            </w:r>
            <w:r w:rsidRPr="00BA15EA">
              <w:rPr>
                <w:rFonts w:ascii="Arial" w:hAnsi="Arial" w:cs="Arial"/>
                <w:sz w:val="18"/>
                <w:szCs w:val="18"/>
                <w:lang w:val="en-GB"/>
              </w:rPr>
              <w:t>accurate predicto</w:t>
            </w:r>
            <w:r w:rsidR="000629DA">
              <w:rPr>
                <w:rFonts w:ascii="Arial" w:hAnsi="Arial" w:cs="Arial"/>
                <w:sz w:val="18"/>
                <w:szCs w:val="18"/>
                <w:lang w:val="en-GB"/>
              </w:rPr>
              <w:t>r</w:t>
            </w:r>
            <w:r w:rsidRPr="00BA15EA">
              <w:rPr>
                <w:rFonts w:ascii="Arial" w:hAnsi="Arial" w:cs="Arial"/>
                <w:sz w:val="18"/>
                <w:szCs w:val="18"/>
                <w:lang w:val="en-GB"/>
              </w:rPr>
              <w:t xml:space="preserve"> of complexity in modern practice. They also </w:t>
            </w:r>
            <w:r w:rsidRPr="00BA15EA">
              <w:rPr>
                <w:rFonts w:ascii="Arial" w:hAnsi="Arial" w:cs="Arial"/>
                <w:bCs/>
                <w:sz w:val="18"/>
                <w:szCs w:val="18"/>
                <w:lang w:val="en-GB"/>
              </w:rPr>
              <w:t>simplify the MBS schedule</w:t>
            </w:r>
            <w:r w:rsidR="00974E09">
              <w:rPr>
                <w:rFonts w:ascii="Arial" w:hAnsi="Arial" w:cs="Arial"/>
                <w:bCs/>
                <w:sz w:val="18"/>
                <w:szCs w:val="18"/>
                <w:lang w:val="en-GB"/>
              </w:rPr>
              <w:t xml:space="preserve"> </w:t>
            </w:r>
            <w:r w:rsidRPr="00BA15EA">
              <w:rPr>
                <w:rFonts w:ascii="Arial" w:hAnsi="Arial" w:cs="Arial"/>
                <w:bCs/>
                <w:sz w:val="18"/>
                <w:szCs w:val="18"/>
                <w:lang w:val="en-GB"/>
              </w:rPr>
              <w:t>—</w:t>
            </w:r>
            <w:r w:rsidR="00974E09">
              <w:rPr>
                <w:rFonts w:ascii="Arial" w:hAnsi="Arial" w:cs="Arial"/>
                <w:bCs/>
                <w:sz w:val="18"/>
                <w:szCs w:val="18"/>
                <w:lang w:val="en-GB"/>
              </w:rPr>
              <w:t xml:space="preserve"> </w:t>
            </w:r>
            <w:r w:rsidRPr="00BA15EA">
              <w:rPr>
                <w:rFonts w:ascii="Arial" w:hAnsi="Arial" w:cs="Arial"/>
                <w:bCs/>
                <w:sz w:val="18"/>
                <w:szCs w:val="18"/>
                <w:lang w:val="en-GB"/>
              </w:rPr>
              <w:t xml:space="preserve">while remaining auditable and </w:t>
            </w:r>
            <w:r w:rsidR="00CD4D08">
              <w:rPr>
                <w:rFonts w:ascii="Arial" w:hAnsi="Arial" w:cs="Arial"/>
                <w:bCs/>
                <w:sz w:val="18"/>
                <w:szCs w:val="18"/>
                <w:lang w:val="en-GB"/>
              </w:rPr>
              <w:t xml:space="preserve">difficult to misuse </w:t>
            </w:r>
            <w:r w:rsidRPr="00BA15EA">
              <w:rPr>
                <w:rFonts w:ascii="Arial" w:hAnsi="Arial" w:cs="Arial"/>
                <w:bCs/>
                <w:sz w:val="18"/>
                <w:szCs w:val="18"/>
                <w:lang w:val="en-GB"/>
              </w:rPr>
              <w:t>—</w:t>
            </w:r>
            <w:r w:rsidRPr="00BA15EA">
              <w:rPr>
                <w:rFonts w:ascii="Arial" w:hAnsi="Arial" w:cs="Arial"/>
                <w:sz w:val="18"/>
                <w:szCs w:val="18"/>
                <w:lang w:val="en-GB"/>
              </w:rPr>
              <w:t>by creating</w:t>
            </w:r>
            <w:r w:rsidR="008614FF">
              <w:rPr>
                <w:rFonts w:ascii="Arial" w:hAnsi="Arial" w:cs="Arial"/>
                <w:sz w:val="18"/>
                <w:szCs w:val="18"/>
                <w:lang w:val="en-GB"/>
              </w:rPr>
              <w:t xml:space="preserve"> items that are unambiguous, with clear differences between items, reflecting </w:t>
            </w:r>
            <w:r w:rsidRPr="00BA15EA">
              <w:rPr>
                <w:rFonts w:ascii="Arial" w:hAnsi="Arial" w:cs="Arial"/>
                <w:sz w:val="18"/>
                <w:szCs w:val="18"/>
                <w:lang w:val="en-GB"/>
              </w:rPr>
              <w:t>real differences in the technique employed to deliver radiotherapy.</w:t>
            </w:r>
          </w:p>
          <w:p w14:paraId="23FEE232" w14:textId="4962DE54" w:rsidR="00615EF2" w:rsidRPr="00BA15EA" w:rsidRDefault="00483158" w:rsidP="003E6E2B">
            <w:pPr>
              <w:pStyle w:val="01squarebullet"/>
              <w:numPr>
                <w:ilvl w:val="0"/>
                <w:numId w:val="0"/>
              </w:numPr>
              <w:spacing w:before="0" w:after="120"/>
              <w:rPr>
                <w:rFonts w:ascii="Arial" w:hAnsi="Arial" w:cs="Arial"/>
                <w:sz w:val="18"/>
                <w:szCs w:val="18"/>
                <w:lang w:val="en-GB"/>
              </w:rPr>
            </w:pPr>
            <w:r>
              <w:rPr>
                <w:rFonts w:ascii="Arial" w:hAnsi="Arial" w:cs="Arial"/>
                <w:sz w:val="18"/>
                <w:szCs w:val="18"/>
                <w:lang w:val="en-GB"/>
              </w:rPr>
              <w:t>Keeping</w:t>
            </w:r>
            <w:r w:rsidR="00615EF2" w:rsidRPr="00BA15EA">
              <w:rPr>
                <w:rFonts w:ascii="Arial" w:hAnsi="Arial" w:cs="Arial"/>
                <w:sz w:val="18"/>
                <w:szCs w:val="18"/>
                <w:lang w:val="en-GB"/>
              </w:rPr>
              <w:t xml:space="preserve"> the pay-per-fraction approach </w:t>
            </w:r>
            <w:r w:rsidR="00615EF2" w:rsidRPr="00BA15EA">
              <w:rPr>
                <w:rFonts w:ascii="Arial" w:hAnsi="Arial" w:cs="Arial"/>
                <w:bCs/>
                <w:sz w:val="18"/>
                <w:szCs w:val="18"/>
                <w:lang w:val="en-GB"/>
              </w:rPr>
              <w:t xml:space="preserve">recognises that one size does not fit all: </w:t>
            </w:r>
            <w:r w:rsidR="00615EF2" w:rsidRPr="00BA15EA">
              <w:rPr>
                <w:rFonts w:ascii="Arial" w:hAnsi="Arial" w:cs="Arial"/>
                <w:sz w:val="18"/>
                <w:szCs w:val="18"/>
                <w:lang w:val="en-GB"/>
              </w:rPr>
              <w:t xml:space="preserve">there are over 200 indications for radiation therapy, each with </w:t>
            </w:r>
            <w:r w:rsidR="00DB0F19" w:rsidRPr="00BA15EA">
              <w:rPr>
                <w:rFonts w:ascii="Arial" w:hAnsi="Arial" w:cs="Arial"/>
                <w:sz w:val="18"/>
                <w:szCs w:val="18"/>
                <w:lang w:val="en-GB"/>
              </w:rPr>
              <w:t xml:space="preserve">its </w:t>
            </w:r>
            <w:r w:rsidR="00615EF2" w:rsidRPr="00BA15EA">
              <w:rPr>
                <w:rFonts w:ascii="Arial" w:hAnsi="Arial" w:cs="Arial"/>
                <w:sz w:val="18"/>
                <w:szCs w:val="18"/>
                <w:lang w:val="en-GB"/>
              </w:rPr>
              <w:t xml:space="preserve">own guidance on the appropriate number of fractions. Furthermore, the </w:t>
            </w:r>
            <w:r w:rsidR="00CF5DF6">
              <w:rPr>
                <w:rFonts w:ascii="Arial" w:hAnsi="Arial" w:cs="Arial"/>
                <w:sz w:val="18"/>
                <w:szCs w:val="18"/>
                <w:lang w:val="en-GB"/>
              </w:rPr>
              <w:t xml:space="preserve">mix of </w:t>
            </w:r>
            <w:r w:rsidR="00E121FB">
              <w:rPr>
                <w:rFonts w:ascii="Arial" w:hAnsi="Arial" w:cs="Arial"/>
                <w:sz w:val="18"/>
                <w:szCs w:val="18"/>
                <w:lang w:val="en-GB"/>
              </w:rPr>
              <w:t xml:space="preserve">patients with </w:t>
            </w:r>
            <w:r w:rsidR="00CF5DF6">
              <w:rPr>
                <w:rFonts w:ascii="Arial" w:hAnsi="Arial" w:cs="Arial"/>
                <w:sz w:val="18"/>
                <w:szCs w:val="18"/>
                <w:lang w:val="en-GB"/>
              </w:rPr>
              <w:t xml:space="preserve">different </w:t>
            </w:r>
            <w:r w:rsidR="00E121FB">
              <w:rPr>
                <w:rFonts w:ascii="Arial" w:hAnsi="Arial" w:cs="Arial"/>
                <w:sz w:val="18"/>
                <w:szCs w:val="18"/>
                <w:lang w:val="en-GB"/>
              </w:rPr>
              <w:t xml:space="preserve">clinical </w:t>
            </w:r>
            <w:r w:rsidR="00CF5DF6">
              <w:rPr>
                <w:rFonts w:ascii="Arial" w:hAnsi="Arial" w:cs="Arial"/>
                <w:sz w:val="18"/>
                <w:szCs w:val="18"/>
                <w:lang w:val="en-GB"/>
              </w:rPr>
              <w:t>complexities</w:t>
            </w:r>
            <w:r w:rsidR="00615EF2" w:rsidRPr="00BA15EA">
              <w:rPr>
                <w:rFonts w:ascii="Arial" w:hAnsi="Arial" w:cs="Arial"/>
                <w:sz w:val="18"/>
                <w:szCs w:val="18"/>
                <w:lang w:val="en-GB"/>
              </w:rPr>
              <w:t xml:space="preserve"> may differ by facility for any given indication. A pay-per-course approach would require separate items by indication, adding significant complexity to the billing system.</w:t>
            </w:r>
            <w:r w:rsidR="00615EF2" w:rsidRPr="00BA15EA">
              <w:rPr>
                <w:rFonts w:ascii="Arial" w:hAnsi="Arial" w:cs="Arial"/>
                <w:bCs/>
                <w:sz w:val="18"/>
                <w:szCs w:val="18"/>
                <w:lang w:val="en-GB"/>
              </w:rPr>
              <w:t xml:space="preserve"> </w:t>
            </w:r>
            <w:r w:rsidR="007947DD">
              <w:rPr>
                <w:rFonts w:ascii="Arial" w:hAnsi="Arial" w:cs="Arial"/>
                <w:bCs/>
                <w:sz w:val="18"/>
                <w:szCs w:val="18"/>
                <w:lang w:val="en-GB"/>
              </w:rPr>
              <w:t>Keeping</w:t>
            </w:r>
            <w:r w:rsidR="00615EF2" w:rsidRPr="00BA15EA">
              <w:rPr>
                <w:rFonts w:ascii="Arial" w:hAnsi="Arial" w:cs="Arial"/>
                <w:bCs/>
                <w:sz w:val="18"/>
                <w:szCs w:val="18"/>
                <w:lang w:val="en-GB"/>
              </w:rPr>
              <w:t xml:space="preserve"> the pay-per-fraction approach also recognises the need to balance the risk</w:t>
            </w:r>
            <w:r w:rsidR="00615EF2" w:rsidRPr="00BA15EA">
              <w:rPr>
                <w:rFonts w:ascii="Arial" w:hAnsi="Arial" w:cs="Arial"/>
                <w:sz w:val="18"/>
                <w:szCs w:val="18"/>
                <w:lang w:val="en-GB"/>
              </w:rPr>
              <w:t xml:space="preserve"> of incentivising inappropriate hyperfractionation </w:t>
            </w:r>
            <w:r w:rsidR="003E6E2B">
              <w:rPr>
                <w:rFonts w:ascii="Arial" w:hAnsi="Arial" w:cs="Arial"/>
                <w:sz w:val="18"/>
                <w:szCs w:val="18"/>
                <w:lang w:val="en-GB"/>
              </w:rPr>
              <w:t xml:space="preserve">(giving more than one treatment with a smaller dose per day) </w:t>
            </w:r>
            <w:r w:rsidR="00615EF2" w:rsidRPr="00BA15EA">
              <w:rPr>
                <w:rFonts w:ascii="Arial" w:hAnsi="Arial" w:cs="Arial"/>
                <w:sz w:val="18"/>
                <w:szCs w:val="18"/>
                <w:lang w:val="en-GB"/>
              </w:rPr>
              <w:t>with the greater clinical risks of incentivising hypofractionation through a pay-per-course (or equivalent) approach</w:t>
            </w:r>
            <w:r w:rsidR="00615EF2" w:rsidRPr="00BA15EA">
              <w:rPr>
                <w:rFonts w:ascii="Arial" w:hAnsi="Arial" w:cs="Arial"/>
                <w:bCs/>
                <w:sz w:val="18"/>
                <w:szCs w:val="18"/>
                <w:lang w:val="en-GB"/>
              </w:rPr>
              <w:t>.</w:t>
            </w:r>
            <w:r w:rsidR="003E6E2B">
              <w:rPr>
                <w:rFonts w:ascii="Arial" w:hAnsi="Arial" w:cs="Arial"/>
                <w:bCs/>
                <w:sz w:val="18"/>
                <w:szCs w:val="18"/>
                <w:lang w:val="en-GB"/>
              </w:rPr>
              <w:t xml:space="preserve"> </w:t>
            </w:r>
          </w:p>
        </w:tc>
      </w:tr>
      <w:tr w:rsidR="00A94D12" w:rsidRPr="00BA15EA" w14:paraId="4D8AAC9C" w14:textId="77777777" w:rsidTr="00175B8C">
        <w:tc>
          <w:tcPr>
            <w:tcW w:w="1268" w:type="dxa"/>
          </w:tcPr>
          <w:p w14:paraId="40A2C77C" w14:textId="77777777" w:rsidR="00B638FD" w:rsidRPr="00BA15EA" w:rsidRDefault="00B638FD" w:rsidP="00B638FD">
            <w:pPr>
              <w:pStyle w:val="02Tabletext"/>
            </w:pPr>
            <w:r w:rsidRPr="00BA15EA">
              <w:lastRenderedPageBreak/>
              <w:t>15000</w:t>
            </w:r>
            <w:r w:rsidR="004158B1" w:rsidRPr="00BA15EA">
              <w:t>–</w:t>
            </w:r>
            <w:r w:rsidRPr="00BA15EA">
              <w:t>15115</w:t>
            </w:r>
          </w:p>
        </w:tc>
        <w:tc>
          <w:tcPr>
            <w:tcW w:w="3198" w:type="dxa"/>
          </w:tcPr>
          <w:p w14:paraId="3FCBB2FE" w14:textId="77777777" w:rsidR="00B638FD" w:rsidRPr="00BA15EA" w:rsidRDefault="00545A2F" w:rsidP="007C6782">
            <w:pPr>
              <w:pStyle w:val="02Tabletext"/>
              <w:spacing w:before="0" w:after="120"/>
            </w:pPr>
            <w:r w:rsidRPr="00BA15EA">
              <w:t xml:space="preserve">‘Kilovoltage radiation therapy’ is a set of </w:t>
            </w:r>
            <w:r w:rsidR="00B638FD" w:rsidRPr="00BA15EA">
              <w:t>therapeutic procedure</w:t>
            </w:r>
            <w:r w:rsidRPr="00BA15EA">
              <w:t>s</w:t>
            </w:r>
            <w:r w:rsidR="00AC3DB9" w:rsidRPr="00BA15EA">
              <w:t xml:space="preserve"> to treat cancer,</w:t>
            </w:r>
            <w:r w:rsidR="00B638FD" w:rsidRPr="00BA15EA">
              <w:t xml:space="preserve"> where low energy radiation is delivered to areas close to the surface of the body, such as to skin cancers.</w:t>
            </w:r>
          </w:p>
          <w:p w14:paraId="049E970A" w14:textId="77777777" w:rsidR="00B638FD" w:rsidRPr="00BA15EA" w:rsidRDefault="00B638FD" w:rsidP="007C6782">
            <w:pPr>
              <w:pStyle w:val="02Tabletext"/>
              <w:spacing w:before="0" w:after="120"/>
            </w:pPr>
            <w:r w:rsidRPr="00BA15EA">
              <w:t>Superficial radiotherapy (15000</w:t>
            </w:r>
            <w:r w:rsidR="0098761F" w:rsidRPr="00BA15EA">
              <w:t>–</w:t>
            </w:r>
            <w:r w:rsidRPr="00BA15EA">
              <w:t>15012) involves a slightly lower energy than orthovoltage radiotherapy (15100</w:t>
            </w:r>
            <w:r w:rsidR="00A86056" w:rsidRPr="00BA15EA">
              <w:t>–</w:t>
            </w:r>
            <w:r w:rsidRPr="00BA15EA">
              <w:t xml:space="preserve">15115). </w:t>
            </w:r>
          </w:p>
          <w:p w14:paraId="5315092A" w14:textId="568C3192" w:rsidR="00B638FD" w:rsidRPr="00BA15EA" w:rsidRDefault="00B638FD" w:rsidP="007C6782">
            <w:pPr>
              <w:pStyle w:val="02Tabletext"/>
              <w:spacing w:before="0" w:after="120"/>
            </w:pPr>
            <w:r w:rsidRPr="00BA15EA">
              <w:t>The radiotherapy may be given in a single dose</w:t>
            </w:r>
            <w:r w:rsidR="0029222F">
              <w:t xml:space="preserve"> treatment</w:t>
            </w:r>
            <w:r w:rsidRPr="00BA15EA">
              <w:t xml:space="preserve"> (15112, 15115) or in fractions at a rate of </w:t>
            </w:r>
            <w:r w:rsidR="00933DDF" w:rsidRPr="00BA15EA">
              <w:t>one to two</w:t>
            </w:r>
            <w:r w:rsidRPr="00BA15EA">
              <w:t xml:space="preserve"> doses per week (15106, 15109) or more than </w:t>
            </w:r>
            <w:r w:rsidR="00DD5A13" w:rsidRPr="00BA15EA">
              <w:t>two</w:t>
            </w:r>
            <w:r w:rsidRPr="00BA15EA">
              <w:t xml:space="preserve"> doses per week (15100, 15103). The radiotherapy may be delivered </w:t>
            </w:r>
            <w:r w:rsidR="0029222F">
              <w:t>via a single body area</w:t>
            </w:r>
            <w:r w:rsidRPr="00BA15EA">
              <w:t xml:space="preserve"> (15000, 15006</w:t>
            </w:r>
            <w:r w:rsidR="0029222F">
              <w:t>, 15100, 15106, 15112) or via</w:t>
            </w:r>
            <w:r w:rsidRPr="00BA15EA">
              <w:t xml:space="preserve"> multiple </w:t>
            </w:r>
            <w:r w:rsidR="0029222F">
              <w:t xml:space="preserve">body areas </w:t>
            </w:r>
            <w:r w:rsidRPr="00BA15EA">
              <w:t>(15003, 15009, 15103, 15109, 15115).</w:t>
            </w:r>
            <w:r w:rsidR="00836677" w:rsidRPr="00BA15EA">
              <w:t xml:space="preserve"> </w:t>
            </w:r>
            <w:r w:rsidRPr="00BA15EA">
              <w:t>Treatment to the eye is covered under a separate item (15012).</w:t>
            </w:r>
          </w:p>
        </w:tc>
        <w:tc>
          <w:tcPr>
            <w:tcW w:w="2230" w:type="dxa"/>
          </w:tcPr>
          <w:p w14:paraId="690D6261" w14:textId="35DF7D20" w:rsidR="00B638FD" w:rsidRPr="00BA15EA" w:rsidRDefault="00173944" w:rsidP="007C6782">
            <w:pPr>
              <w:pStyle w:val="02Tabletext"/>
              <w:spacing w:before="0" w:after="120"/>
            </w:pPr>
            <w:r>
              <w:t>Combine</w:t>
            </w:r>
            <w:r w:rsidR="00B638FD" w:rsidRPr="00BA15EA">
              <w:t xml:space="preserve"> the separate items for superficial and orthovoltage radiotherapy into items for kilovoltage therapy that cover both energy levels.</w:t>
            </w:r>
          </w:p>
        </w:tc>
        <w:tc>
          <w:tcPr>
            <w:tcW w:w="2430" w:type="dxa"/>
          </w:tcPr>
          <w:p w14:paraId="41840013" w14:textId="77777777" w:rsidR="00B638FD" w:rsidRPr="00BA15EA" w:rsidRDefault="00AE455D" w:rsidP="007C6782">
            <w:pPr>
              <w:pStyle w:val="02Tabletext"/>
              <w:spacing w:before="0" w:after="120"/>
            </w:pPr>
            <w:r w:rsidRPr="00BA15EA">
              <w:t>T</w:t>
            </w:r>
            <w:r w:rsidR="00B638FD" w:rsidRPr="00BA15EA">
              <w:t>he</w:t>
            </w:r>
            <w:r w:rsidR="004842F2" w:rsidRPr="00BA15EA">
              <w:t>re will no longer</w:t>
            </w:r>
            <w:r w:rsidR="00A94D12" w:rsidRPr="00BA15EA">
              <w:t xml:space="preserve"> be separate items for superficial and orthovoltage radiotherapy</w:t>
            </w:r>
            <w:r w:rsidR="00B638FD" w:rsidRPr="00BA15EA">
              <w:t>.</w:t>
            </w:r>
          </w:p>
        </w:tc>
        <w:tc>
          <w:tcPr>
            <w:tcW w:w="4375" w:type="dxa"/>
          </w:tcPr>
          <w:p w14:paraId="0003B4C5" w14:textId="77777777" w:rsidR="00B638FD" w:rsidRPr="00BA15EA" w:rsidRDefault="00B638FD" w:rsidP="007C6782">
            <w:pPr>
              <w:pStyle w:val="02Tabletext"/>
              <w:spacing w:before="0" w:after="120"/>
            </w:pPr>
            <w:r w:rsidRPr="00BA15EA">
              <w:t>The distinction between superficial and orthovoltage items is clinically obsolete.</w:t>
            </w:r>
          </w:p>
          <w:p w14:paraId="293A9135" w14:textId="34165B9C" w:rsidR="00B638FD" w:rsidRPr="00BA15EA" w:rsidRDefault="00B638FD" w:rsidP="007C6782">
            <w:pPr>
              <w:pStyle w:val="02Tabletext"/>
              <w:spacing w:before="0" w:after="120"/>
            </w:pPr>
            <w:r w:rsidRPr="00BA15EA">
              <w:t xml:space="preserve">The distinction between single dose therapy and fractionated therapy does not reflect significant differences in </w:t>
            </w:r>
            <w:r w:rsidR="00E20144">
              <w:t>the involvement needed from the Radiation Oncologist and may inappropriately encourage</w:t>
            </w:r>
            <w:r w:rsidRPr="00BA15EA">
              <w:t xml:space="preserve"> single dose therapy when this is not best practice.</w:t>
            </w:r>
          </w:p>
          <w:p w14:paraId="46E1551A" w14:textId="301F1A06" w:rsidR="00B638FD" w:rsidRPr="00BA15EA" w:rsidRDefault="00B638FD" w:rsidP="007C6782">
            <w:pPr>
              <w:pStyle w:val="02Tabletext"/>
              <w:spacing w:before="0" w:after="120"/>
            </w:pPr>
            <w:r w:rsidRPr="00BA15EA">
              <w:t xml:space="preserve">The changes will reduce unnecessary complexity in bills, improving transparency for consumers, reducing the administrative burden for providers, and reducing the chances of billing errors or </w:t>
            </w:r>
            <w:r w:rsidR="00E0589D">
              <w:t>misuse of the MBS items.</w:t>
            </w:r>
          </w:p>
        </w:tc>
      </w:tr>
      <w:tr w:rsidR="00A94D12" w:rsidRPr="00BA15EA" w14:paraId="46907650" w14:textId="77777777" w:rsidTr="00175B8C">
        <w:tc>
          <w:tcPr>
            <w:tcW w:w="1268" w:type="dxa"/>
          </w:tcPr>
          <w:p w14:paraId="5C0CBCE1" w14:textId="77777777" w:rsidR="008A16D8" w:rsidRPr="00BA15EA" w:rsidRDefault="00181D63" w:rsidP="00EF3082">
            <w:pPr>
              <w:pStyle w:val="02Tabletext"/>
            </w:pPr>
            <w:r w:rsidRPr="00BA15EA">
              <w:t>15303</w:t>
            </w:r>
            <w:r w:rsidR="00E21A9F" w:rsidRPr="00BA15EA">
              <w:t>–</w:t>
            </w:r>
            <w:r w:rsidRPr="00BA15EA">
              <w:t xml:space="preserve">15357, </w:t>
            </w:r>
          </w:p>
          <w:p w14:paraId="6FB6E644" w14:textId="77777777" w:rsidR="008A16D8" w:rsidRPr="00BA15EA" w:rsidRDefault="008A16D8" w:rsidP="00EF3082">
            <w:pPr>
              <w:pStyle w:val="02Tabletext"/>
            </w:pPr>
          </w:p>
          <w:p w14:paraId="56ACB96F" w14:textId="77777777" w:rsidR="008A16D8" w:rsidRPr="00BA15EA" w:rsidRDefault="00181D63" w:rsidP="00EF3082">
            <w:pPr>
              <w:pStyle w:val="02Tabletext"/>
            </w:pPr>
            <w:r w:rsidRPr="00BA15EA">
              <w:t xml:space="preserve">15513, </w:t>
            </w:r>
          </w:p>
          <w:p w14:paraId="3B52C58B" w14:textId="77777777" w:rsidR="008A16D8" w:rsidRPr="00BA15EA" w:rsidRDefault="008A16D8" w:rsidP="00EF3082">
            <w:pPr>
              <w:pStyle w:val="02Tabletext"/>
            </w:pPr>
          </w:p>
          <w:p w14:paraId="717146C0" w14:textId="77777777" w:rsidR="008A16D8" w:rsidRPr="00BA15EA" w:rsidRDefault="00181D63" w:rsidP="00EF3082">
            <w:pPr>
              <w:pStyle w:val="02Tabletext"/>
            </w:pPr>
            <w:r w:rsidRPr="00BA15EA">
              <w:t>15536</w:t>
            </w:r>
            <w:r w:rsidR="00E21A9F" w:rsidRPr="00BA15EA">
              <w:t>–</w:t>
            </w:r>
            <w:r w:rsidRPr="00BA15EA">
              <w:t xml:space="preserve">15539, </w:t>
            </w:r>
          </w:p>
          <w:p w14:paraId="21B42B1D" w14:textId="77777777" w:rsidR="008A16D8" w:rsidRPr="00BA15EA" w:rsidRDefault="008A16D8" w:rsidP="00EF3082">
            <w:pPr>
              <w:pStyle w:val="02Tabletext"/>
            </w:pPr>
          </w:p>
          <w:p w14:paraId="17E6B8A7" w14:textId="77777777" w:rsidR="00181D63" w:rsidRPr="00BA15EA" w:rsidRDefault="00181D63" w:rsidP="00EF3082">
            <w:pPr>
              <w:pStyle w:val="02Tabletext"/>
            </w:pPr>
            <w:r w:rsidRPr="00BA15EA">
              <w:t>15800</w:t>
            </w:r>
            <w:r w:rsidR="00E21A9F" w:rsidRPr="00BA15EA">
              <w:t>–</w:t>
            </w:r>
            <w:r w:rsidRPr="00BA15EA">
              <w:t>15850</w:t>
            </w:r>
          </w:p>
        </w:tc>
        <w:tc>
          <w:tcPr>
            <w:tcW w:w="3198" w:type="dxa"/>
          </w:tcPr>
          <w:p w14:paraId="09468C3A" w14:textId="77777777" w:rsidR="00181D63" w:rsidRPr="00BA15EA" w:rsidRDefault="00545A2F" w:rsidP="00181D63">
            <w:pPr>
              <w:pStyle w:val="02Tabletext"/>
            </w:pPr>
            <w:r w:rsidRPr="00BA15EA">
              <w:t>‘Brachytherapy’ is a</w:t>
            </w:r>
            <w:r w:rsidR="00181D63" w:rsidRPr="00BA15EA">
              <w:t xml:space="preserve"> set of therapeutic procedures </w:t>
            </w:r>
            <w:r w:rsidR="00AC3DB9" w:rsidRPr="00BA15EA">
              <w:t xml:space="preserve">to treat cancer, </w:t>
            </w:r>
            <w:r w:rsidR="00181D63" w:rsidRPr="00BA15EA">
              <w:t>relating to the use of a radioactive source either implanted directly into the body (15303</w:t>
            </w:r>
            <w:r w:rsidR="00300D77" w:rsidRPr="00BA15EA">
              <w:t>–</w:t>
            </w:r>
            <w:r w:rsidR="00181D63" w:rsidRPr="00BA15EA">
              <w:t>15339, 15513, 15536</w:t>
            </w:r>
            <w:r w:rsidR="005C2737" w:rsidRPr="00BA15EA">
              <w:t>–</w:t>
            </w:r>
            <w:r w:rsidR="00181D63" w:rsidRPr="00BA15EA">
              <w:t>15539, 15800-15850) or applied to the body using a mould (15342</w:t>
            </w:r>
            <w:r w:rsidR="00FD7032" w:rsidRPr="00BA15EA">
              <w:t>–</w:t>
            </w:r>
            <w:r w:rsidR="00181D63" w:rsidRPr="00BA15EA">
              <w:t>15357).</w:t>
            </w:r>
          </w:p>
          <w:p w14:paraId="727E5154" w14:textId="34FC87C9" w:rsidR="00181D63" w:rsidRPr="00BA15EA" w:rsidRDefault="005D0658" w:rsidP="00347757">
            <w:pPr>
              <w:pStyle w:val="02Tabletext"/>
              <w:spacing w:before="120"/>
            </w:pPr>
            <w:r w:rsidRPr="00BA15EA">
              <w:t>The</w:t>
            </w:r>
            <w:r w:rsidR="00181D63" w:rsidRPr="00BA15EA">
              <w:t xml:space="preserve"> radioactive source can</w:t>
            </w:r>
            <w:r w:rsidR="00D93512" w:rsidRPr="00BA15EA">
              <w:t xml:space="preserve"> be</w:t>
            </w:r>
            <w:r w:rsidR="00181D63" w:rsidRPr="00BA15EA">
              <w:t xml:space="preserve"> </w:t>
            </w:r>
            <w:r w:rsidR="00D93512" w:rsidRPr="00BA15EA">
              <w:t xml:space="preserve">inserted into </w:t>
            </w:r>
            <w:r w:rsidR="00181D63" w:rsidRPr="00BA15EA">
              <w:t>the prostate (15338), uterus (15303</w:t>
            </w:r>
            <w:r w:rsidR="0065655E" w:rsidRPr="00BA15EA">
              <w:t>–</w:t>
            </w:r>
            <w:r w:rsidR="00181D63" w:rsidRPr="00BA15EA">
              <w:t>15308), vagina (15311</w:t>
            </w:r>
            <w:r w:rsidR="006A247A" w:rsidRPr="00BA15EA">
              <w:t>–</w:t>
            </w:r>
            <w:r w:rsidR="00181D63" w:rsidRPr="00BA15EA">
              <w:t>15316), both the uterus and vagina (15319</w:t>
            </w:r>
            <w:r w:rsidR="004D5325" w:rsidRPr="00BA15EA">
              <w:t>–</w:t>
            </w:r>
            <w:r w:rsidR="00181D63" w:rsidRPr="00BA15EA">
              <w:t>15324), or other areas (15329</w:t>
            </w:r>
            <w:r w:rsidR="00B611A3" w:rsidRPr="00BA15EA">
              <w:t>—</w:t>
            </w:r>
            <w:r w:rsidR="00181D63" w:rsidRPr="00BA15EA">
              <w:t>5328 if requiring surgical exposure; otherwise 15331</w:t>
            </w:r>
            <w:r w:rsidR="00B214FD" w:rsidRPr="00BA15EA">
              <w:t>–</w:t>
            </w:r>
            <w:r w:rsidR="00181D63" w:rsidRPr="00BA15EA">
              <w:t xml:space="preserve">15336). These sets of items also differ </w:t>
            </w:r>
            <w:r w:rsidR="00330509" w:rsidRPr="00BA15EA">
              <w:t xml:space="preserve">depending on </w:t>
            </w:r>
            <w:r w:rsidR="00181D63" w:rsidRPr="00BA15EA">
              <w:t xml:space="preserve">whether </w:t>
            </w:r>
            <w:r w:rsidR="000B29C7">
              <w:t xml:space="preserve">loading of the radioactive materials occurs </w:t>
            </w:r>
            <w:r w:rsidR="000B29C7">
              <w:lastRenderedPageBreak/>
              <w:t xml:space="preserve">manually or automatically, </w:t>
            </w:r>
            <w:r w:rsidR="00181D63" w:rsidRPr="00BA15EA">
              <w:t>and whether the radioactive source has a short half-life (less than 115 days) or long half-life (greater than 115 days).</w:t>
            </w:r>
          </w:p>
          <w:p w14:paraId="7302EF8F" w14:textId="77777777" w:rsidR="00181D63" w:rsidRPr="00BA15EA" w:rsidRDefault="00181D63" w:rsidP="00347757">
            <w:pPr>
              <w:pStyle w:val="02Tabletext"/>
              <w:spacing w:before="120"/>
            </w:pPr>
            <w:r w:rsidRPr="00BA15EA">
              <w:t>Other services include planning and dose</w:t>
            </w:r>
            <w:r w:rsidR="00393180" w:rsidRPr="00BA15EA">
              <w:t>-</w:t>
            </w:r>
            <w:r w:rsidRPr="00BA15EA">
              <w:t>setting (15539 for the prostate, and 15536 otherwise)</w:t>
            </w:r>
            <w:r w:rsidR="00380A78" w:rsidRPr="00BA15EA">
              <w:t>;</w:t>
            </w:r>
            <w:r w:rsidRPr="00BA15EA">
              <w:t xml:space="preserve"> localisation</w:t>
            </w:r>
            <w:r w:rsidR="00D521F4" w:rsidRPr="00BA15EA">
              <w:t xml:space="preserve"> of</w:t>
            </w:r>
            <w:r w:rsidRPr="00BA15EA">
              <w:t xml:space="preserve"> the radioactive source (15513 for the prostate, and 15850 otherwise)</w:t>
            </w:r>
            <w:r w:rsidR="00380A78" w:rsidRPr="00BA15EA">
              <w:t>;</w:t>
            </w:r>
            <w:r w:rsidRPr="00BA15EA">
              <w:t xml:space="preserve"> verification of treatment (158500)</w:t>
            </w:r>
            <w:r w:rsidR="00380A78" w:rsidRPr="00BA15EA">
              <w:t>;</w:t>
            </w:r>
            <w:r w:rsidRPr="00BA15EA">
              <w:t xml:space="preserve"> and removal of the implant under anaesthetic (15339).</w:t>
            </w:r>
          </w:p>
        </w:tc>
        <w:tc>
          <w:tcPr>
            <w:tcW w:w="2230" w:type="dxa"/>
          </w:tcPr>
          <w:p w14:paraId="52AD3E74" w14:textId="2B6D9DFD" w:rsidR="003D6236" w:rsidRPr="00BA15EA" w:rsidRDefault="006A4935" w:rsidP="00181D63">
            <w:pPr>
              <w:pStyle w:val="02Tabletext"/>
            </w:pPr>
            <w:r w:rsidRPr="00BA15EA">
              <w:lastRenderedPageBreak/>
              <w:t xml:space="preserve">Restructure items for brachytherapy into four items that </w:t>
            </w:r>
            <w:r w:rsidR="009438FF">
              <w:t>differ by the complexity o</w:t>
            </w:r>
            <w:r w:rsidRPr="00BA15EA">
              <w:t>f the service, and which covers the previously separate items for radiation source locali</w:t>
            </w:r>
            <w:r w:rsidR="006A6B0E">
              <w:t>s</w:t>
            </w:r>
            <w:r w:rsidRPr="00BA15EA">
              <w:t>ation, planning, treatment/insertion, treat</w:t>
            </w:r>
            <w:r w:rsidR="00057B1B" w:rsidRPr="00BA15EA">
              <w:t>ment verification and removal.</w:t>
            </w:r>
          </w:p>
          <w:p w14:paraId="5B41CB92" w14:textId="6971E216" w:rsidR="00BA15EA" w:rsidRPr="00BA15EA" w:rsidRDefault="000C794F" w:rsidP="00BA15EA">
            <w:pPr>
              <w:rPr>
                <w:rFonts w:ascii="Arial" w:hAnsi="Arial" w:cs="Arial"/>
                <w:sz w:val="18"/>
                <w:szCs w:val="18"/>
              </w:rPr>
            </w:pPr>
            <w:r>
              <w:rPr>
                <w:rFonts w:ascii="Arial" w:hAnsi="Arial" w:cs="Arial"/>
                <w:sz w:val="18"/>
                <w:szCs w:val="18"/>
              </w:rPr>
              <w:t>T</w:t>
            </w:r>
            <w:r w:rsidR="003D6236" w:rsidRPr="00BA15EA">
              <w:rPr>
                <w:rFonts w:ascii="Arial" w:hAnsi="Arial" w:cs="Arial"/>
                <w:sz w:val="18"/>
                <w:szCs w:val="18"/>
              </w:rPr>
              <w:t>he Committee has also made a</w:t>
            </w:r>
            <w:r w:rsidR="003E6E2B">
              <w:rPr>
                <w:rFonts w:ascii="Arial" w:hAnsi="Arial" w:cs="Arial"/>
                <w:sz w:val="18"/>
                <w:szCs w:val="18"/>
              </w:rPr>
              <w:t xml:space="preserve"> short term</w:t>
            </w:r>
            <w:r w:rsidR="003D6236" w:rsidRPr="00BA15EA">
              <w:rPr>
                <w:rFonts w:ascii="Arial" w:hAnsi="Arial" w:cs="Arial"/>
                <w:sz w:val="18"/>
                <w:szCs w:val="18"/>
              </w:rPr>
              <w:t xml:space="preserve"> recommendation</w:t>
            </w:r>
            <w:r w:rsidR="007A4703">
              <w:rPr>
                <w:rFonts w:ascii="Arial" w:hAnsi="Arial" w:cs="Arial"/>
                <w:sz w:val="18"/>
                <w:szCs w:val="18"/>
              </w:rPr>
              <w:t xml:space="preserve"> (in case delays to implementing this restructure are </w:t>
            </w:r>
            <w:r w:rsidR="007A4703">
              <w:rPr>
                <w:rFonts w:ascii="Arial" w:hAnsi="Arial" w:cs="Arial"/>
                <w:sz w:val="18"/>
                <w:szCs w:val="18"/>
              </w:rPr>
              <w:lastRenderedPageBreak/>
              <w:t>anticipated</w:t>
            </w:r>
            <w:r w:rsidR="00062455">
              <w:rPr>
                <w:rFonts w:ascii="Arial" w:hAnsi="Arial" w:cs="Arial"/>
                <w:sz w:val="18"/>
                <w:szCs w:val="18"/>
              </w:rPr>
              <w:t>)</w:t>
            </w:r>
            <w:r w:rsidR="003D6236" w:rsidRPr="00BA15EA">
              <w:rPr>
                <w:rFonts w:ascii="Arial" w:hAnsi="Arial" w:cs="Arial"/>
                <w:sz w:val="18"/>
                <w:szCs w:val="18"/>
              </w:rPr>
              <w:t>:</w:t>
            </w:r>
            <w:r w:rsidR="00BA15EA" w:rsidRPr="00BA15EA">
              <w:rPr>
                <w:rFonts w:ascii="Arial" w:hAnsi="Arial" w:cs="Arial"/>
                <w:sz w:val="18"/>
                <w:szCs w:val="18"/>
              </w:rPr>
              <w:t xml:space="preserve"> r</w:t>
            </w:r>
            <w:r w:rsidR="00181D63" w:rsidRPr="00BA15EA">
              <w:rPr>
                <w:rFonts w:ascii="Arial" w:hAnsi="Arial" w:cs="Arial"/>
                <w:sz w:val="18"/>
                <w:szCs w:val="18"/>
              </w:rPr>
              <w:t xml:space="preserve">emove all references to the half-life of the radioactive source, </w:t>
            </w:r>
            <w:r w:rsidR="004D33D4">
              <w:rPr>
                <w:rFonts w:ascii="Arial" w:hAnsi="Arial" w:cs="Arial"/>
                <w:sz w:val="18"/>
                <w:szCs w:val="18"/>
              </w:rPr>
              <w:t>as well as references to</w:t>
            </w:r>
            <w:r w:rsidR="004D33D4" w:rsidRPr="00BA15EA">
              <w:rPr>
                <w:rFonts w:ascii="Arial" w:hAnsi="Arial" w:cs="Arial"/>
                <w:sz w:val="18"/>
                <w:szCs w:val="18"/>
              </w:rPr>
              <w:t xml:space="preserve"> </w:t>
            </w:r>
            <w:r w:rsidR="00181D63" w:rsidRPr="00BA15EA">
              <w:rPr>
                <w:rFonts w:ascii="Arial" w:hAnsi="Arial" w:cs="Arial"/>
                <w:sz w:val="18"/>
                <w:szCs w:val="18"/>
              </w:rPr>
              <w:t>whether the after</w:t>
            </w:r>
            <w:r w:rsidR="00941EF6" w:rsidRPr="00BA15EA">
              <w:rPr>
                <w:rFonts w:ascii="Arial" w:hAnsi="Arial" w:cs="Arial"/>
                <w:sz w:val="18"/>
                <w:szCs w:val="18"/>
              </w:rPr>
              <w:t>-</w:t>
            </w:r>
            <w:r w:rsidR="00181D63" w:rsidRPr="00BA15EA">
              <w:rPr>
                <w:rFonts w:ascii="Arial" w:hAnsi="Arial" w:cs="Arial"/>
                <w:sz w:val="18"/>
                <w:szCs w:val="18"/>
              </w:rPr>
              <w:t>loading t</w:t>
            </w:r>
            <w:r w:rsidR="00BA15EA" w:rsidRPr="00BA15EA">
              <w:rPr>
                <w:rFonts w:ascii="Arial" w:hAnsi="Arial" w:cs="Arial"/>
                <w:sz w:val="18"/>
                <w:szCs w:val="18"/>
              </w:rPr>
              <w:t xml:space="preserve">echnique is manual or automatic. </w:t>
            </w:r>
          </w:p>
          <w:p w14:paraId="062B7B4E" w14:textId="57D8BDB2" w:rsidR="00181D63" w:rsidRPr="00BA15EA" w:rsidRDefault="006478D2" w:rsidP="003D2728">
            <w:pPr>
              <w:pStyle w:val="01squarebullet"/>
              <w:rPr>
                <w:rFonts w:ascii="Arial" w:hAnsi="Arial" w:cs="Arial"/>
                <w:sz w:val="18"/>
                <w:szCs w:val="18"/>
              </w:rPr>
            </w:pPr>
            <w:r w:rsidRPr="00BA15EA">
              <w:rPr>
                <w:rFonts w:ascii="Arial" w:hAnsi="Arial" w:cs="Arial"/>
                <w:sz w:val="18"/>
                <w:szCs w:val="18"/>
              </w:rPr>
              <w:t>This is achieved by d</w:t>
            </w:r>
            <w:r w:rsidR="00181D63" w:rsidRPr="00BA15EA">
              <w:rPr>
                <w:rFonts w:ascii="Arial" w:hAnsi="Arial" w:cs="Arial"/>
                <w:sz w:val="18"/>
                <w:szCs w:val="18"/>
              </w:rPr>
              <w:t>elet</w:t>
            </w:r>
            <w:r w:rsidRPr="00BA15EA">
              <w:rPr>
                <w:rFonts w:ascii="Arial" w:hAnsi="Arial" w:cs="Arial"/>
                <w:sz w:val="18"/>
                <w:szCs w:val="18"/>
              </w:rPr>
              <w:t>ing</w:t>
            </w:r>
            <w:r w:rsidR="00181D63" w:rsidRPr="00BA15EA">
              <w:rPr>
                <w:rFonts w:ascii="Arial" w:hAnsi="Arial" w:cs="Arial"/>
                <w:sz w:val="18"/>
                <w:szCs w:val="18"/>
              </w:rPr>
              <w:t xml:space="preserve"> all items referring to sources of radiation with a half-life greater than 115 days (15303 </w:t>
            </w:r>
            <w:r w:rsidR="00C20BDA" w:rsidRPr="00BA15EA">
              <w:rPr>
                <w:rFonts w:ascii="Arial" w:hAnsi="Arial" w:cs="Arial"/>
                <w:sz w:val="18"/>
                <w:szCs w:val="18"/>
              </w:rPr>
              <w:t>and</w:t>
            </w:r>
            <w:r w:rsidR="00181D63" w:rsidRPr="00BA15EA">
              <w:rPr>
                <w:rFonts w:ascii="Arial" w:hAnsi="Arial" w:cs="Arial"/>
                <w:sz w:val="18"/>
                <w:szCs w:val="18"/>
              </w:rPr>
              <w:t xml:space="preserve"> 15304</w:t>
            </w:r>
            <w:r w:rsidR="001F4AB2" w:rsidRPr="00BA15EA">
              <w:rPr>
                <w:rFonts w:ascii="Arial" w:hAnsi="Arial" w:cs="Arial"/>
                <w:sz w:val="18"/>
                <w:szCs w:val="18"/>
              </w:rPr>
              <w:t>, 15311</w:t>
            </w:r>
            <w:r w:rsidR="00181D63" w:rsidRPr="00BA15EA">
              <w:rPr>
                <w:rFonts w:ascii="Arial" w:hAnsi="Arial" w:cs="Arial"/>
                <w:sz w:val="18"/>
                <w:szCs w:val="18"/>
              </w:rPr>
              <w:t xml:space="preserve"> </w:t>
            </w:r>
            <w:r w:rsidR="00C20BDA" w:rsidRPr="00BA15EA">
              <w:rPr>
                <w:rFonts w:ascii="Arial" w:hAnsi="Arial" w:cs="Arial"/>
                <w:sz w:val="18"/>
                <w:szCs w:val="18"/>
              </w:rPr>
              <w:t>and</w:t>
            </w:r>
            <w:r w:rsidR="00181D63" w:rsidRPr="00BA15EA">
              <w:rPr>
                <w:rFonts w:ascii="Arial" w:hAnsi="Arial" w:cs="Arial"/>
                <w:sz w:val="18"/>
                <w:szCs w:val="18"/>
              </w:rPr>
              <w:t xml:space="preserve"> 15312, 15319 </w:t>
            </w:r>
            <w:r w:rsidR="00C20BDA" w:rsidRPr="00BA15EA">
              <w:rPr>
                <w:rFonts w:ascii="Arial" w:hAnsi="Arial" w:cs="Arial"/>
                <w:sz w:val="18"/>
                <w:szCs w:val="18"/>
              </w:rPr>
              <w:t>and</w:t>
            </w:r>
            <w:r w:rsidR="00181D63" w:rsidRPr="00BA15EA">
              <w:rPr>
                <w:rFonts w:ascii="Arial" w:hAnsi="Arial" w:cs="Arial"/>
                <w:sz w:val="18"/>
                <w:szCs w:val="18"/>
              </w:rPr>
              <w:t xml:space="preserve"> 15320, 15342)</w:t>
            </w:r>
            <w:r w:rsidR="0082386F" w:rsidRPr="00BA15EA">
              <w:rPr>
                <w:rFonts w:ascii="Arial" w:hAnsi="Arial" w:cs="Arial"/>
                <w:sz w:val="18"/>
                <w:szCs w:val="18"/>
              </w:rPr>
              <w:t xml:space="preserve">; and by </w:t>
            </w:r>
            <w:r w:rsidR="003D2728">
              <w:rPr>
                <w:rFonts w:ascii="Arial" w:hAnsi="Arial" w:cs="Arial"/>
                <w:sz w:val="18"/>
                <w:szCs w:val="18"/>
              </w:rPr>
              <w:t>combin</w:t>
            </w:r>
            <w:r w:rsidR="003D2728" w:rsidRPr="00BA15EA">
              <w:rPr>
                <w:rFonts w:ascii="Arial" w:hAnsi="Arial" w:cs="Arial"/>
                <w:sz w:val="18"/>
                <w:szCs w:val="18"/>
              </w:rPr>
              <w:t xml:space="preserve">ing </w:t>
            </w:r>
            <w:r w:rsidR="00181D63" w:rsidRPr="00BA15EA">
              <w:rPr>
                <w:rFonts w:ascii="Arial" w:hAnsi="Arial" w:cs="Arial"/>
                <w:sz w:val="18"/>
                <w:szCs w:val="18"/>
              </w:rPr>
              <w:t xml:space="preserve">all items referring to manual </w:t>
            </w:r>
            <w:r w:rsidR="00E0758D">
              <w:rPr>
                <w:rFonts w:ascii="Arial" w:hAnsi="Arial" w:cs="Arial"/>
                <w:sz w:val="18"/>
                <w:szCs w:val="18"/>
              </w:rPr>
              <w:t>loading</w:t>
            </w:r>
            <w:r w:rsidR="00181D63" w:rsidRPr="00BA15EA">
              <w:rPr>
                <w:rFonts w:ascii="Arial" w:hAnsi="Arial" w:cs="Arial"/>
                <w:sz w:val="18"/>
                <w:szCs w:val="18"/>
              </w:rPr>
              <w:t xml:space="preserve"> </w:t>
            </w:r>
            <w:r w:rsidR="00766C07">
              <w:rPr>
                <w:rFonts w:ascii="Arial" w:hAnsi="Arial" w:cs="Arial"/>
                <w:sz w:val="18"/>
                <w:szCs w:val="18"/>
              </w:rPr>
              <w:t xml:space="preserve">of radioactive materials </w:t>
            </w:r>
            <w:r w:rsidR="00181D63" w:rsidRPr="00BA15EA">
              <w:rPr>
                <w:rFonts w:ascii="Arial" w:hAnsi="Arial" w:cs="Arial"/>
                <w:sz w:val="18"/>
                <w:szCs w:val="18"/>
              </w:rPr>
              <w:t>into the corresponding item</w:t>
            </w:r>
            <w:r w:rsidR="00B849D7" w:rsidRPr="00BA15EA">
              <w:rPr>
                <w:rFonts w:ascii="Arial" w:hAnsi="Arial" w:cs="Arial"/>
                <w:sz w:val="18"/>
                <w:szCs w:val="18"/>
              </w:rPr>
              <w:t>s</w:t>
            </w:r>
            <w:r w:rsidR="00181D63" w:rsidRPr="00BA15EA">
              <w:rPr>
                <w:rFonts w:ascii="Arial" w:hAnsi="Arial" w:cs="Arial"/>
                <w:sz w:val="18"/>
                <w:szCs w:val="18"/>
              </w:rPr>
              <w:t xml:space="preserve"> for automatic loading techniques (15307 into 15308, 15315 into 15316, 15323 into 15324, 15327 into 15328, 15331 into 15332).</w:t>
            </w:r>
          </w:p>
        </w:tc>
        <w:tc>
          <w:tcPr>
            <w:tcW w:w="2430" w:type="dxa"/>
          </w:tcPr>
          <w:p w14:paraId="4D261BF4" w14:textId="77777777" w:rsidR="000802AE" w:rsidRDefault="000802AE" w:rsidP="0019666C">
            <w:pPr>
              <w:pStyle w:val="02Tabletext"/>
            </w:pPr>
            <w:r w:rsidRPr="0012071F">
              <w:lastRenderedPageBreak/>
              <w:t xml:space="preserve">Patients will receive </w:t>
            </w:r>
            <w:r>
              <w:t>bills with a simpler set of MBS items that more accurately reflect the service provided, and the level of MBS benefit will more consistently match the complexity of the service provided.</w:t>
            </w:r>
          </w:p>
          <w:p w14:paraId="4A0B3775" w14:textId="77777777" w:rsidR="000802AE" w:rsidRDefault="000802AE" w:rsidP="0019666C">
            <w:pPr>
              <w:pStyle w:val="02Tabletext"/>
            </w:pPr>
          </w:p>
          <w:p w14:paraId="2B5B58D9" w14:textId="569693B7" w:rsidR="00181D63" w:rsidRPr="00BA15EA" w:rsidRDefault="00B55AF8" w:rsidP="00017721">
            <w:pPr>
              <w:pStyle w:val="02Tabletext"/>
            </w:pPr>
            <w:r w:rsidRPr="00BA15EA">
              <w:t>There will no longer be separate items referring to the</w:t>
            </w:r>
            <w:r w:rsidR="00A824A2">
              <w:t xml:space="preserve"> outdated </w:t>
            </w:r>
            <w:r w:rsidR="0019666C" w:rsidRPr="00BA15EA">
              <w:t>practice</w:t>
            </w:r>
            <w:r w:rsidR="00A824A2">
              <w:t>s</w:t>
            </w:r>
            <w:r w:rsidR="0019666C" w:rsidRPr="00BA15EA">
              <w:t xml:space="preserve"> of using radioactive sources with long half-lives or </w:t>
            </w:r>
            <w:r w:rsidR="004845DA" w:rsidRPr="00BA15EA">
              <w:t xml:space="preserve">manual </w:t>
            </w:r>
            <w:r w:rsidR="00017721">
              <w:t>loading techniques</w:t>
            </w:r>
            <w:r w:rsidR="001F4AB2">
              <w:t>.</w:t>
            </w:r>
          </w:p>
        </w:tc>
        <w:tc>
          <w:tcPr>
            <w:tcW w:w="4375" w:type="dxa"/>
          </w:tcPr>
          <w:p w14:paraId="6A6C5266" w14:textId="77777777" w:rsidR="009E4BB5" w:rsidRPr="00BA15EA" w:rsidRDefault="00B55AF8" w:rsidP="005D31B3">
            <w:pPr>
              <w:pStyle w:val="01squarebullet"/>
              <w:numPr>
                <w:ilvl w:val="0"/>
                <w:numId w:val="0"/>
              </w:numPr>
              <w:spacing w:before="0"/>
              <w:rPr>
                <w:rFonts w:ascii="Arial" w:hAnsi="Arial" w:cs="Arial"/>
                <w:sz w:val="18"/>
                <w:szCs w:val="18"/>
                <w:lang w:val="en-GB"/>
              </w:rPr>
            </w:pPr>
            <w:r w:rsidRPr="00BA15EA">
              <w:rPr>
                <w:rFonts w:ascii="Arial" w:hAnsi="Arial" w:cs="Arial"/>
                <w:sz w:val="18"/>
                <w:szCs w:val="18"/>
                <w:lang w:val="en-GB"/>
              </w:rPr>
              <w:t xml:space="preserve">Radioactive sources with </w:t>
            </w:r>
            <w:r w:rsidR="00B413FF" w:rsidRPr="00BA15EA">
              <w:rPr>
                <w:rFonts w:ascii="Arial" w:hAnsi="Arial" w:cs="Arial"/>
                <w:sz w:val="18"/>
                <w:szCs w:val="18"/>
                <w:lang w:val="en-GB"/>
              </w:rPr>
              <w:t>long half-lives (such as radium</w:t>
            </w:r>
            <w:r w:rsidRPr="00BA15EA">
              <w:rPr>
                <w:rFonts w:ascii="Arial" w:hAnsi="Arial" w:cs="Arial"/>
                <w:sz w:val="18"/>
                <w:szCs w:val="18"/>
                <w:lang w:val="en-GB"/>
              </w:rPr>
              <w:t>) are clinically obsolete, more difficult to source and more difficult to appropriately dispose of, in comparison to short half-life sour</w:t>
            </w:r>
            <w:r w:rsidR="009E4BB5" w:rsidRPr="00BA15EA">
              <w:rPr>
                <w:rFonts w:ascii="Arial" w:hAnsi="Arial" w:cs="Arial"/>
                <w:sz w:val="18"/>
                <w:szCs w:val="18"/>
                <w:lang w:val="en-GB"/>
              </w:rPr>
              <w:t>ces. The items are rarely used.</w:t>
            </w:r>
          </w:p>
          <w:p w14:paraId="58A1FD87" w14:textId="77777777" w:rsidR="00181D63" w:rsidRPr="00BA15EA" w:rsidRDefault="00B55AF8" w:rsidP="007F1472">
            <w:pPr>
              <w:pStyle w:val="01squarebullet"/>
              <w:numPr>
                <w:ilvl w:val="0"/>
                <w:numId w:val="0"/>
              </w:numPr>
              <w:rPr>
                <w:rFonts w:ascii="Arial" w:hAnsi="Arial" w:cs="Arial"/>
                <w:sz w:val="18"/>
                <w:szCs w:val="18"/>
                <w:lang w:val="en-GB"/>
              </w:rPr>
            </w:pPr>
            <w:r w:rsidRPr="00BA15EA">
              <w:rPr>
                <w:rFonts w:ascii="Arial" w:hAnsi="Arial" w:cs="Arial"/>
                <w:sz w:val="18"/>
                <w:szCs w:val="18"/>
                <w:lang w:val="en-GB"/>
              </w:rPr>
              <w:t>Manual after-loading is rarely used in modern clinical practice. Furthermore, the distinction between manual and automatic after-loading is unnecessary (noting that the MBS items have identical schedule fees). All manual after-loading items recommended for consolidation had no instances of use in FY2014</w:t>
            </w:r>
            <w:r w:rsidR="00C36892" w:rsidRPr="00BA15EA">
              <w:rPr>
                <w:rFonts w:ascii="Arial" w:hAnsi="Arial" w:cs="Arial"/>
                <w:sz w:val="18"/>
                <w:szCs w:val="18"/>
                <w:lang w:val="en-GB"/>
              </w:rPr>
              <w:t>/</w:t>
            </w:r>
            <w:r w:rsidRPr="00BA15EA">
              <w:rPr>
                <w:rFonts w:ascii="Arial" w:hAnsi="Arial" w:cs="Arial"/>
                <w:sz w:val="18"/>
                <w:szCs w:val="18"/>
                <w:lang w:val="en-GB"/>
              </w:rPr>
              <w:t>15.</w:t>
            </w:r>
          </w:p>
          <w:p w14:paraId="51C77167" w14:textId="77777777" w:rsidR="00015D0F" w:rsidRPr="00BA15EA" w:rsidRDefault="00015D0F" w:rsidP="00015D0F">
            <w:pPr>
              <w:pStyle w:val="01squarebullet"/>
              <w:numPr>
                <w:ilvl w:val="0"/>
                <w:numId w:val="0"/>
              </w:numPr>
              <w:rPr>
                <w:rFonts w:ascii="Arial" w:hAnsi="Arial" w:cs="Arial"/>
                <w:sz w:val="18"/>
                <w:szCs w:val="18"/>
                <w:lang w:val="en-GB"/>
              </w:rPr>
            </w:pPr>
            <w:r w:rsidRPr="00BA15EA">
              <w:rPr>
                <w:rFonts w:ascii="Arial" w:hAnsi="Arial" w:cs="Arial"/>
                <w:sz w:val="18"/>
                <w:szCs w:val="18"/>
                <w:lang w:val="en-GB"/>
              </w:rPr>
              <w:t>This recommendation focuses on bringing item structure and descriptors in line with the modern delivery of brachytherapy and on simplifying the MBS. It is based on the following observations.</w:t>
            </w:r>
          </w:p>
          <w:p w14:paraId="6B565116" w14:textId="0360E421" w:rsidR="00015D0F" w:rsidRPr="00BA15EA" w:rsidRDefault="00015D0F" w:rsidP="00A7186C">
            <w:pPr>
              <w:pStyle w:val="01squarebullet"/>
              <w:numPr>
                <w:ilvl w:val="0"/>
                <w:numId w:val="15"/>
              </w:numPr>
              <w:rPr>
                <w:rFonts w:ascii="Arial" w:hAnsi="Arial" w:cs="Arial"/>
                <w:sz w:val="18"/>
                <w:szCs w:val="18"/>
              </w:rPr>
            </w:pPr>
            <w:r w:rsidRPr="00BA15EA">
              <w:rPr>
                <w:rFonts w:ascii="Arial" w:hAnsi="Arial" w:cs="Arial"/>
                <w:sz w:val="18"/>
                <w:szCs w:val="18"/>
                <w:lang w:val="en-GB"/>
              </w:rPr>
              <w:lastRenderedPageBreak/>
              <w:t xml:space="preserve">The complexity levels described above reflect the </w:t>
            </w:r>
            <w:r w:rsidR="00B70619">
              <w:rPr>
                <w:rFonts w:ascii="Arial" w:hAnsi="Arial" w:cs="Arial"/>
                <w:sz w:val="18"/>
                <w:szCs w:val="18"/>
                <w:lang w:val="en-GB"/>
              </w:rPr>
              <w:t xml:space="preserve">main factors that determine </w:t>
            </w:r>
            <w:r w:rsidRPr="00BA15EA">
              <w:rPr>
                <w:rFonts w:ascii="Arial" w:hAnsi="Arial" w:cs="Arial"/>
                <w:sz w:val="18"/>
                <w:szCs w:val="18"/>
                <w:lang w:val="en-GB"/>
              </w:rPr>
              <w:t>differing professional involvement required due to patient complexity, s</w:t>
            </w:r>
            <w:r w:rsidRPr="00BA15EA">
              <w:rPr>
                <w:rFonts w:ascii="Arial" w:hAnsi="Arial" w:cs="Arial"/>
                <w:sz w:val="18"/>
                <w:szCs w:val="18"/>
              </w:rPr>
              <w:t>uch as whether the volume is 2D or 3D, whether differential dosing is required between the target tissue and other tissue, and the complexity of dose calculations. The previous separation of items primarily by target organ (</w:t>
            </w:r>
            <w:r w:rsidR="00E12170">
              <w:rPr>
                <w:rFonts w:ascii="Arial" w:hAnsi="Arial" w:cs="Arial"/>
                <w:sz w:val="18"/>
                <w:szCs w:val="18"/>
              </w:rPr>
              <w:t>for example</w:t>
            </w:r>
            <w:r w:rsidRPr="00BA15EA">
              <w:rPr>
                <w:rFonts w:ascii="Arial" w:hAnsi="Arial" w:cs="Arial"/>
                <w:sz w:val="18"/>
                <w:szCs w:val="18"/>
              </w:rPr>
              <w:t>, intraut</w:t>
            </w:r>
            <w:r w:rsidR="00EF6D3F">
              <w:rPr>
                <w:rFonts w:ascii="Arial" w:hAnsi="Arial" w:cs="Arial"/>
                <w:sz w:val="18"/>
                <w:szCs w:val="18"/>
              </w:rPr>
              <w:t>erine versus intravaginal) is no longer</w:t>
            </w:r>
            <w:r w:rsidRPr="00BA15EA">
              <w:rPr>
                <w:rFonts w:ascii="Arial" w:hAnsi="Arial" w:cs="Arial"/>
                <w:sz w:val="18"/>
                <w:szCs w:val="18"/>
              </w:rPr>
              <w:t xml:space="preserve"> a</w:t>
            </w:r>
            <w:r w:rsidR="00EF6D3F">
              <w:rPr>
                <w:rFonts w:ascii="Arial" w:hAnsi="Arial" w:cs="Arial"/>
                <w:sz w:val="18"/>
                <w:szCs w:val="18"/>
              </w:rPr>
              <w:t>n</w:t>
            </w:r>
            <w:r w:rsidRPr="00BA15EA">
              <w:rPr>
                <w:rFonts w:ascii="Arial" w:hAnsi="Arial" w:cs="Arial"/>
                <w:sz w:val="18"/>
                <w:szCs w:val="18"/>
              </w:rPr>
              <w:t xml:space="preserve"> accurate </w:t>
            </w:r>
            <w:r w:rsidR="00EF6D3F">
              <w:rPr>
                <w:rFonts w:ascii="Arial" w:hAnsi="Arial" w:cs="Arial"/>
                <w:sz w:val="18"/>
                <w:szCs w:val="18"/>
              </w:rPr>
              <w:t>reflection of how complex the service is.</w:t>
            </w:r>
            <w:r w:rsidRPr="00BA15EA">
              <w:rPr>
                <w:rFonts w:ascii="Arial" w:hAnsi="Arial" w:cs="Arial"/>
                <w:sz w:val="18"/>
                <w:szCs w:val="18"/>
              </w:rPr>
              <w:t xml:space="preserve"> </w:t>
            </w:r>
          </w:p>
          <w:p w14:paraId="2125652D" w14:textId="01D56600" w:rsidR="00015D0F" w:rsidRDefault="00015D0F" w:rsidP="00384CB0">
            <w:pPr>
              <w:pStyle w:val="01squarebullet"/>
              <w:numPr>
                <w:ilvl w:val="0"/>
                <w:numId w:val="0"/>
              </w:numPr>
              <w:rPr>
                <w:rFonts w:ascii="Arial" w:hAnsi="Arial" w:cs="Arial"/>
                <w:sz w:val="18"/>
                <w:szCs w:val="18"/>
                <w:lang w:val="en-GB"/>
              </w:rPr>
            </w:pPr>
            <w:r w:rsidRPr="00BA15EA">
              <w:rPr>
                <w:rFonts w:ascii="Arial" w:hAnsi="Arial" w:cs="Arial"/>
                <w:sz w:val="18"/>
                <w:szCs w:val="18"/>
                <w:lang w:val="en-GB"/>
              </w:rPr>
              <w:t xml:space="preserve">The recommended items </w:t>
            </w:r>
            <w:r w:rsidRPr="00BA15EA">
              <w:rPr>
                <w:rFonts w:ascii="Arial" w:hAnsi="Arial" w:cs="Arial"/>
                <w:bCs/>
                <w:sz w:val="18"/>
                <w:szCs w:val="18"/>
                <w:lang w:val="en-GB"/>
              </w:rPr>
              <w:t xml:space="preserve">simplify the MBS schedule by reducing the large number of existing items to four items. These items </w:t>
            </w:r>
            <w:r w:rsidR="00CB3704">
              <w:rPr>
                <w:rFonts w:ascii="Arial" w:hAnsi="Arial" w:cs="Arial"/>
                <w:bCs/>
                <w:sz w:val="18"/>
                <w:szCs w:val="18"/>
                <w:lang w:val="en-GB"/>
              </w:rPr>
              <w:t>will be clear</w:t>
            </w:r>
            <w:r w:rsidR="00384CB0">
              <w:rPr>
                <w:rFonts w:ascii="Arial" w:hAnsi="Arial" w:cs="Arial"/>
                <w:bCs/>
                <w:sz w:val="18"/>
                <w:szCs w:val="18"/>
                <w:lang w:val="en-GB"/>
              </w:rPr>
              <w:t xml:space="preserve"> (and therefore </w:t>
            </w:r>
            <w:r w:rsidR="00823E55">
              <w:rPr>
                <w:rFonts w:ascii="Arial" w:hAnsi="Arial" w:cs="Arial"/>
                <w:bCs/>
                <w:sz w:val="18"/>
                <w:szCs w:val="18"/>
                <w:lang w:val="en-GB"/>
              </w:rPr>
              <w:t>their</w:t>
            </w:r>
            <w:r w:rsidR="00384CB0">
              <w:rPr>
                <w:rFonts w:ascii="Arial" w:hAnsi="Arial" w:cs="Arial"/>
                <w:bCs/>
                <w:sz w:val="18"/>
                <w:szCs w:val="18"/>
                <w:lang w:val="en-GB"/>
              </w:rPr>
              <w:t xml:space="preserve"> use will be auditable by Medicare)</w:t>
            </w:r>
            <w:r w:rsidR="00CB3704">
              <w:rPr>
                <w:rFonts w:ascii="Arial" w:hAnsi="Arial" w:cs="Arial"/>
                <w:bCs/>
                <w:sz w:val="18"/>
                <w:szCs w:val="18"/>
                <w:lang w:val="en-GB"/>
              </w:rPr>
              <w:t xml:space="preserve">, </w:t>
            </w:r>
            <w:r w:rsidR="00872F92">
              <w:rPr>
                <w:rFonts w:ascii="Arial" w:hAnsi="Arial" w:cs="Arial"/>
                <w:bCs/>
                <w:sz w:val="18"/>
                <w:szCs w:val="18"/>
                <w:lang w:val="en-GB"/>
              </w:rPr>
              <w:t xml:space="preserve">and </w:t>
            </w:r>
            <w:r w:rsidRPr="00BA15EA">
              <w:rPr>
                <w:rFonts w:ascii="Arial" w:hAnsi="Arial" w:cs="Arial"/>
                <w:sz w:val="18"/>
                <w:szCs w:val="18"/>
                <w:lang w:val="en-GB"/>
              </w:rPr>
              <w:t>reflect real differences in the technique e</w:t>
            </w:r>
            <w:r w:rsidR="00CB3704">
              <w:rPr>
                <w:rFonts w:ascii="Arial" w:hAnsi="Arial" w:cs="Arial"/>
                <w:sz w:val="18"/>
                <w:szCs w:val="18"/>
                <w:lang w:val="en-GB"/>
              </w:rPr>
              <w:t>mployed to deliver radiotherapy.</w:t>
            </w:r>
          </w:p>
          <w:p w14:paraId="69719C92" w14:textId="13B7D37B" w:rsidR="00823E55" w:rsidRPr="00BA15EA" w:rsidRDefault="00823E55" w:rsidP="00823E55">
            <w:pPr>
              <w:pStyle w:val="01squarebullet"/>
              <w:numPr>
                <w:ilvl w:val="0"/>
                <w:numId w:val="0"/>
              </w:numPr>
              <w:rPr>
                <w:rFonts w:ascii="Arial" w:hAnsi="Arial" w:cs="Arial"/>
                <w:sz w:val="18"/>
                <w:szCs w:val="18"/>
                <w:lang w:val="en-GB"/>
              </w:rPr>
            </w:pPr>
          </w:p>
        </w:tc>
      </w:tr>
      <w:tr w:rsidR="00A94D12" w:rsidRPr="00BA15EA" w14:paraId="13A53306" w14:textId="77777777" w:rsidTr="00175B8C">
        <w:tc>
          <w:tcPr>
            <w:tcW w:w="1268" w:type="dxa"/>
          </w:tcPr>
          <w:p w14:paraId="2F17BCC5" w14:textId="77777777" w:rsidR="00EF3082" w:rsidRPr="00BA15EA" w:rsidRDefault="00AD78F9" w:rsidP="00AD78F9">
            <w:pPr>
              <w:pStyle w:val="02Tabletext"/>
            </w:pPr>
            <w:r w:rsidRPr="00BA15EA">
              <w:lastRenderedPageBreak/>
              <w:t>15221</w:t>
            </w:r>
            <w:r w:rsidR="00A108D4" w:rsidRPr="00BA15EA">
              <w:t>–</w:t>
            </w:r>
            <w:r w:rsidRPr="00BA15EA">
              <w:t>15214</w:t>
            </w:r>
          </w:p>
        </w:tc>
        <w:tc>
          <w:tcPr>
            <w:tcW w:w="3198" w:type="dxa"/>
          </w:tcPr>
          <w:p w14:paraId="3CB1A603" w14:textId="77777777" w:rsidR="00EF3082" w:rsidRPr="00BA15EA" w:rsidRDefault="00052E9E" w:rsidP="00052E9E">
            <w:pPr>
              <w:pStyle w:val="02Tabletext"/>
            </w:pPr>
            <w:r w:rsidRPr="00BA15EA">
              <w:t>‘Cobalt and caesium radiation therapy’ is a</w:t>
            </w:r>
            <w:r w:rsidR="00AD78F9" w:rsidRPr="00BA15EA">
              <w:t xml:space="preserve"> therapeutic procedure</w:t>
            </w:r>
            <w:r w:rsidR="00DB46EF" w:rsidRPr="00BA15EA">
              <w:t xml:space="preserve"> to treat cancer,</w:t>
            </w:r>
            <w:r w:rsidR="00AD78F9" w:rsidRPr="00BA15EA">
              <w:t xml:space="preserve"> where radiation is delivered using cobalt or caesium as radioactive sources.</w:t>
            </w:r>
          </w:p>
        </w:tc>
        <w:tc>
          <w:tcPr>
            <w:tcW w:w="2230" w:type="dxa"/>
          </w:tcPr>
          <w:p w14:paraId="063A8FC5" w14:textId="77777777" w:rsidR="00EF3082" w:rsidRPr="00BA15EA" w:rsidRDefault="00AD78F9" w:rsidP="00EF3082">
            <w:pPr>
              <w:pStyle w:val="02Tabletext"/>
            </w:pPr>
            <w:r w:rsidRPr="00BA15EA">
              <w:t>Delete these items from the MBS.</w:t>
            </w:r>
          </w:p>
        </w:tc>
        <w:tc>
          <w:tcPr>
            <w:tcW w:w="2430" w:type="dxa"/>
          </w:tcPr>
          <w:p w14:paraId="0FAA2168" w14:textId="77777777" w:rsidR="00EF3082" w:rsidRPr="00BA15EA" w:rsidRDefault="00FA1C79" w:rsidP="00EF3082">
            <w:pPr>
              <w:pStyle w:val="02Tabletext"/>
            </w:pPr>
            <w:r w:rsidRPr="00BA15EA">
              <w:t>The service will no longer attract an MBS rebate.</w:t>
            </w:r>
          </w:p>
        </w:tc>
        <w:tc>
          <w:tcPr>
            <w:tcW w:w="4375" w:type="dxa"/>
          </w:tcPr>
          <w:p w14:paraId="0CD04609" w14:textId="77777777" w:rsidR="00C762E1" w:rsidRPr="00BA15EA" w:rsidRDefault="00EF3082" w:rsidP="007C6782">
            <w:pPr>
              <w:pStyle w:val="02Tabletext"/>
              <w:spacing w:before="0" w:after="120"/>
            </w:pPr>
            <w:r w:rsidRPr="00BA15EA">
              <w:t>These items are no longer used because clinical</w:t>
            </w:r>
            <w:r w:rsidR="00C762E1" w:rsidRPr="00BA15EA">
              <w:t xml:space="preserve"> best practice has replaced cobalt and caesium radiotherapy </w:t>
            </w:r>
            <w:r w:rsidRPr="00BA15EA">
              <w:t>with</w:t>
            </w:r>
            <w:r w:rsidR="0063394A" w:rsidRPr="00BA15EA">
              <w:t xml:space="preserve"> more effective types of radiation therapy.</w:t>
            </w:r>
          </w:p>
          <w:p w14:paraId="2D1B840A" w14:textId="77777777" w:rsidR="00EF3082" w:rsidRPr="00BA15EA" w:rsidRDefault="00C762E1" w:rsidP="007C6782">
            <w:pPr>
              <w:pStyle w:val="02Tabletext"/>
              <w:spacing w:before="0" w:after="120"/>
            </w:pPr>
            <w:r w:rsidRPr="00BA15EA">
              <w:t xml:space="preserve">Cobalt and caesium sources are no longer available in Australia. </w:t>
            </w:r>
          </w:p>
        </w:tc>
      </w:tr>
    </w:tbl>
    <w:p w14:paraId="43A33A48" w14:textId="77777777" w:rsidR="00EC145E" w:rsidRPr="002836EB" w:rsidRDefault="00EC145E">
      <w:pPr>
        <w:spacing w:before="0" w:after="0"/>
      </w:pPr>
      <w:r w:rsidRPr="002836EB">
        <w:br w:type="page"/>
      </w:r>
    </w:p>
    <w:p w14:paraId="24ECFF0D" w14:textId="30560823" w:rsidR="004912AE" w:rsidRPr="004417D7" w:rsidRDefault="004417D7" w:rsidP="004912AE">
      <w:pPr>
        <w:pStyle w:val="Boldhdg"/>
        <w:rPr>
          <w:b w:val="0"/>
        </w:rPr>
      </w:pPr>
      <w:r>
        <w:rPr>
          <w:b w:val="0"/>
        </w:rPr>
        <w:lastRenderedPageBreak/>
        <w:fldChar w:fldCharType="begin"/>
      </w:r>
      <w:r>
        <w:rPr>
          <w:b w:val="0"/>
        </w:rPr>
        <w:instrText xml:space="preserve"> REF _Ref474802655 \h </w:instrText>
      </w:r>
      <w:r>
        <w:rPr>
          <w:b w:val="0"/>
        </w:rPr>
      </w:r>
      <w:r>
        <w:rPr>
          <w:b w:val="0"/>
        </w:rPr>
        <w:fldChar w:fldCharType="separate"/>
      </w:r>
      <w:r w:rsidR="003274EF">
        <w:t xml:space="preserve">Recommendation </w:t>
      </w:r>
      <w:r w:rsidR="003274EF">
        <w:rPr>
          <w:noProof/>
        </w:rPr>
        <w:t>4</w:t>
      </w:r>
      <w:r>
        <w:rPr>
          <w:b w:val="0"/>
        </w:rPr>
        <w:fldChar w:fldCharType="end"/>
      </w:r>
      <w:r>
        <w:rPr>
          <w:b w:val="0"/>
        </w:rPr>
        <w:t xml:space="preserve">: </w:t>
      </w:r>
      <w:r w:rsidR="004912AE">
        <w:t>conduct a ‘</w:t>
      </w:r>
      <w:r w:rsidR="00733595">
        <w:t>dummy-billing’ modelling exercise for the megavoltage item restructure</w:t>
      </w:r>
    </w:p>
    <w:tbl>
      <w:tblPr>
        <w:tblStyle w:val="TableGrid"/>
        <w:tblW w:w="14363"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shd w:val="clear" w:color="auto" w:fill="FFFFFF" w:themeFill="background1"/>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817"/>
        <w:gridCol w:w="3284"/>
        <w:gridCol w:w="3162"/>
        <w:gridCol w:w="2523"/>
        <w:gridCol w:w="4577"/>
      </w:tblGrid>
      <w:tr w:rsidR="00B640B0" w:rsidRPr="00BA15EA" w14:paraId="05A80272" w14:textId="77777777" w:rsidTr="00175B8C">
        <w:trPr>
          <w:cantSplit/>
          <w:tblHeader/>
        </w:trPr>
        <w:tc>
          <w:tcPr>
            <w:tcW w:w="817" w:type="dxa"/>
            <w:shd w:val="clear" w:color="auto" w:fill="FFFFFF" w:themeFill="background1"/>
          </w:tcPr>
          <w:p w14:paraId="7154AB3C" w14:textId="6BA81098" w:rsidR="00B640B0" w:rsidRPr="00BA15EA" w:rsidRDefault="00AD58A4" w:rsidP="00D818DC">
            <w:pPr>
              <w:pStyle w:val="01Tableheaderrow"/>
            </w:pPr>
            <w:r>
              <w:t xml:space="preserve">MBS </w:t>
            </w:r>
            <w:r w:rsidR="00B640B0" w:rsidRPr="00BA15EA">
              <w:t>Item(s)</w:t>
            </w:r>
          </w:p>
        </w:tc>
        <w:tc>
          <w:tcPr>
            <w:tcW w:w="3284" w:type="dxa"/>
            <w:shd w:val="clear" w:color="auto" w:fill="FFFFFF" w:themeFill="background1"/>
          </w:tcPr>
          <w:p w14:paraId="583A028C" w14:textId="77777777" w:rsidR="00B640B0" w:rsidRPr="00BA15EA" w:rsidRDefault="00B640B0" w:rsidP="00D818DC">
            <w:pPr>
              <w:pStyle w:val="01Tableheaderrow"/>
            </w:pPr>
            <w:r w:rsidRPr="00BA15EA">
              <w:t xml:space="preserve">What it does </w:t>
            </w:r>
          </w:p>
        </w:tc>
        <w:tc>
          <w:tcPr>
            <w:tcW w:w="3162" w:type="dxa"/>
            <w:shd w:val="clear" w:color="auto" w:fill="FFFFFF" w:themeFill="background1"/>
          </w:tcPr>
          <w:p w14:paraId="4480A853" w14:textId="77777777" w:rsidR="00B640B0" w:rsidRPr="00BA15EA" w:rsidRDefault="00B640B0" w:rsidP="00D818DC">
            <w:pPr>
              <w:pStyle w:val="01Tableheaderrow"/>
            </w:pPr>
            <w:r w:rsidRPr="00BA15EA">
              <w:t>Committee recommendation</w:t>
            </w:r>
          </w:p>
        </w:tc>
        <w:tc>
          <w:tcPr>
            <w:tcW w:w="2523" w:type="dxa"/>
            <w:shd w:val="clear" w:color="auto" w:fill="FFFFFF" w:themeFill="background1"/>
          </w:tcPr>
          <w:p w14:paraId="16C64E79" w14:textId="77777777" w:rsidR="00B640B0" w:rsidRPr="00BA15EA" w:rsidRDefault="00B640B0" w:rsidP="00D818DC">
            <w:pPr>
              <w:pStyle w:val="01Tableheaderrow"/>
            </w:pPr>
            <w:r w:rsidRPr="00BA15EA">
              <w:t>What would be different</w:t>
            </w:r>
          </w:p>
        </w:tc>
        <w:tc>
          <w:tcPr>
            <w:tcW w:w="4577" w:type="dxa"/>
            <w:shd w:val="clear" w:color="auto" w:fill="FFFFFF" w:themeFill="background1"/>
          </w:tcPr>
          <w:p w14:paraId="50BD3506" w14:textId="77777777" w:rsidR="00B640B0" w:rsidRPr="00BA15EA" w:rsidRDefault="00B640B0" w:rsidP="00D818DC">
            <w:pPr>
              <w:pStyle w:val="01Tableheaderrow"/>
            </w:pPr>
            <w:r w:rsidRPr="00BA15EA">
              <w:t>Why</w:t>
            </w:r>
          </w:p>
        </w:tc>
      </w:tr>
      <w:tr w:rsidR="004E38A8" w:rsidRPr="00BA15EA" w14:paraId="79A2D2D3" w14:textId="77777777" w:rsidTr="00175B8C">
        <w:tblPrEx>
          <w:shd w:val="clear" w:color="auto" w:fill="auto"/>
        </w:tblPrEx>
        <w:tc>
          <w:tcPr>
            <w:tcW w:w="817" w:type="dxa"/>
            <w:tcBorders>
              <w:bottom w:val="single" w:sz="4" w:space="0" w:color="B56011"/>
            </w:tcBorders>
          </w:tcPr>
          <w:p w14:paraId="18E6634C" w14:textId="30165DB0" w:rsidR="004E38A8" w:rsidRPr="00BA15EA" w:rsidRDefault="00E26954" w:rsidP="00D818DC">
            <w:pPr>
              <w:pStyle w:val="02Tabletext"/>
            </w:pPr>
            <w:r>
              <w:t>15215–15275</w:t>
            </w:r>
            <w:r w:rsidR="004E38A8" w:rsidRPr="00BA15EA">
              <w:t>,</w:t>
            </w:r>
          </w:p>
          <w:p w14:paraId="597C22C4" w14:textId="77777777" w:rsidR="004E38A8" w:rsidRPr="00BA15EA" w:rsidRDefault="004E38A8" w:rsidP="00D818DC">
            <w:pPr>
              <w:pStyle w:val="02Tabletext"/>
            </w:pPr>
            <w:r w:rsidRPr="00BA15EA">
              <w:t xml:space="preserve"> 15500–15512, </w:t>
            </w:r>
          </w:p>
          <w:p w14:paraId="0A4E8FF9" w14:textId="77777777" w:rsidR="004E38A8" w:rsidRPr="00BA15EA" w:rsidRDefault="004E38A8" w:rsidP="00D818DC">
            <w:pPr>
              <w:pStyle w:val="02Tabletext"/>
            </w:pPr>
          </w:p>
          <w:p w14:paraId="02F603F9" w14:textId="77777777" w:rsidR="004E38A8" w:rsidRPr="00BA15EA" w:rsidRDefault="004E38A8" w:rsidP="00D818DC">
            <w:pPr>
              <w:pStyle w:val="02Tabletext"/>
            </w:pPr>
            <w:r w:rsidRPr="00BA15EA">
              <w:t xml:space="preserve">15515–15533, </w:t>
            </w:r>
          </w:p>
          <w:p w14:paraId="330329FF" w14:textId="77777777" w:rsidR="004E38A8" w:rsidRPr="00BA15EA" w:rsidRDefault="004E38A8" w:rsidP="00D818DC">
            <w:pPr>
              <w:pStyle w:val="02Tabletext"/>
            </w:pPr>
          </w:p>
          <w:p w14:paraId="1B6EDA82" w14:textId="5624C691" w:rsidR="00F54A69" w:rsidRPr="00BA15EA" w:rsidRDefault="004E38A8" w:rsidP="00F54A69">
            <w:pPr>
              <w:pStyle w:val="02Tabletext"/>
            </w:pPr>
            <w:r w:rsidRPr="00BA15EA">
              <w:t>15550–</w:t>
            </w:r>
          </w:p>
          <w:p w14:paraId="29441EB6" w14:textId="5283FC72" w:rsidR="004E38A8" w:rsidRPr="00BA15EA" w:rsidRDefault="004E38A8" w:rsidP="00D818DC">
            <w:pPr>
              <w:pStyle w:val="02Tabletext"/>
            </w:pPr>
            <w:r>
              <w:t>15</w:t>
            </w:r>
            <w:r w:rsidRPr="00BA15EA">
              <w:t>710</w:t>
            </w:r>
          </w:p>
          <w:p w14:paraId="355AFEEA" w14:textId="77777777" w:rsidR="004E38A8" w:rsidRPr="00BA15EA" w:rsidRDefault="004E38A8" w:rsidP="00D818DC">
            <w:pPr>
              <w:pStyle w:val="02Tabletext"/>
            </w:pPr>
          </w:p>
        </w:tc>
        <w:tc>
          <w:tcPr>
            <w:tcW w:w="3284" w:type="dxa"/>
            <w:tcBorders>
              <w:bottom w:val="single" w:sz="4" w:space="0" w:color="B56011"/>
            </w:tcBorders>
          </w:tcPr>
          <w:p w14:paraId="7EF225D4" w14:textId="1B88360B" w:rsidR="004E38A8" w:rsidRPr="00BA15EA" w:rsidRDefault="00B87C28" w:rsidP="004E38A8">
            <w:pPr>
              <w:pStyle w:val="02Tabletext"/>
            </w:pPr>
            <w:r>
              <w:t>A dummy billing modelling exercise would identify how different business models would be impacted by the item restructure.</w:t>
            </w:r>
          </w:p>
          <w:p w14:paraId="2C854E67" w14:textId="767EF01F" w:rsidR="004E38A8" w:rsidRPr="00BA15EA" w:rsidRDefault="004E38A8" w:rsidP="00D818DC">
            <w:pPr>
              <w:rPr>
                <w:rFonts w:ascii="Arial" w:hAnsi="Arial" w:cs="Arial"/>
                <w:sz w:val="18"/>
                <w:szCs w:val="18"/>
                <w:lang w:eastAsia="en-US"/>
              </w:rPr>
            </w:pPr>
          </w:p>
        </w:tc>
        <w:tc>
          <w:tcPr>
            <w:tcW w:w="3162" w:type="dxa"/>
            <w:tcBorders>
              <w:bottom w:val="single" w:sz="4" w:space="0" w:color="B56011"/>
            </w:tcBorders>
          </w:tcPr>
          <w:p w14:paraId="09835032" w14:textId="77777777" w:rsidR="00B87C28" w:rsidRPr="00B87C28" w:rsidRDefault="00B87C28" w:rsidP="00B87C28">
            <w:pPr>
              <w:pStyle w:val="01squarebullet"/>
              <w:numPr>
                <w:ilvl w:val="0"/>
                <w:numId w:val="0"/>
              </w:numPr>
              <w:spacing w:before="0" w:after="0"/>
              <w:rPr>
                <w:rFonts w:ascii="Arial" w:hAnsi="Arial" w:cs="Arial"/>
                <w:sz w:val="18"/>
                <w:szCs w:val="18"/>
                <w:lang w:val="en-GB"/>
              </w:rPr>
            </w:pPr>
            <w:r w:rsidRPr="00B87C28">
              <w:rPr>
                <w:rFonts w:ascii="Arial" w:hAnsi="Arial" w:cs="Arial"/>
                <w:sz w:val="18"/>
                <w:szCs w:val="18"/>
                <w:lang w:val="en-GB"/>
              </w:rPr>
              <w:t>Conduct a ‘dummy-billing’ modelling exercise prior to implementation of the two-part payment model, mapping a sample of existing cases (where the actual use of MBS items is known) to the items proposed in the two-part payment model. This exercise should:</w:t>
            </w:r>
          </w:p>
          <w:p w14:paraId="0DA83BCC" w14:textId="7B16ABD1" w:rsidR="00B87C28" w:rsidRPr="00B87C28" w:rsidRDefault="00B87C28" w:rsidP="00B87C28">
            <w:pPr>
              <w:pStyle w:val="01squarebullet"/>
              <w:rPr>
                <w:rFonts w:ascii="Arial" w:hAnsi="Arial" w:cs="Arial"/>
                <w:sz w:val="18"/>
                <w:szCs w:val="18"/>
              </w:rPr>
            </w:pPr>
            <w:r w:rsidRPr="00B87C28">
              <w:rPr>
                <w:rFonts w:ascii="Arial" w:hAnsi="Arial" w:cs="Arial"/>
                <w:sz w:val="18"/>
                <w:szCs w:val="18"/>
              </w:rPr>
              <w:t xml:space="preserve">Involve MBS billings over a </w:t>
            </w:r>
            <w:r w:rsidR="00B863CA">
              <w:rPr>
                <w:rFonts w:ascii="Arial" w:hAnsi="Arial" w:cs="Arial"/>
                <w:sz w:val="18"/>
                <w:szCs w:val="18"/>
              </w:rPr>
              <w:t xml:space="preserve">recent </w:t>
            </w:r>
            <w:r w:rsidR="00B373CC">
              <w:rPr>
                <w:rFonts w:ascii="Arial" w:hAnsi="Arial" w:cs="Arial"/>
                <w:sz w:val="18"/>
                <w:szCs w:val="18"/>
              </w:rPr>
              <w:t xml:space="preserve">historical </w:t>
            </w:r>
            <w:r w:rsidRPr="00B87C28">
              <w:rPr>
                <w:rFonts w:ascii="Arial" w:hAnsi="Arial" w:cs="Arial"/>
                <w:sz w:val="18"/>
                <w:szCs w:val="18"/>
              </w:rPr>
              <w:t xml:space="preserve">period of six months, for a mix of treatment centres that includes facilities </w:t>
            </w:r>
            <w:r w:rsidR="00811D62">
              <w:rPr>
                <w:rFonts w:ascii="Arial" w:hAnsi="Arial" w:cs="Arial"/>
                <w:sz w:val="18"/>
                <w:szCs w:val="18"/>
              </w:rPr>
              <w:t>providing complex and less-complex services</w:t>
            </w:r>
            <w:r w:rsidRPr="00B87C28">
              <w:rPr>
                <w:rFonts w:ascii="Arial" w:hAnsi="Arial" w:cs="Arial"/>
                <w:sz w:val="18"/>
                <w:szCs w:val="18"/>
              </w:rPr>
              <w:t>, across states and territories, private and public hospitals, metropolitan and regional hospitals.</w:t>
            </w:r>
          </w:p>
          <w:p w14:paraId="0A0ACC57" w14:textId="5054774A" w:rsidR="00B87C28" w:rsidRPr="00B87C28" w:rsidRDefault="00B87C28" w:rsidP="00B87C28">
            <w:pPr>
              <w:pStyle w:val="01squarebullet"/>
              <w:rPr>
                <w:rFonts w:ascii="Arial" w:hAnsi="Arial" w:cs="Arial"/>
                <w:sz w:val="18"/>
                <w:szCs w:val="18"/>
              </w:rPr>
            </w:pPr>
            <w:r w:rsidRPr="00B87C28">
              <w:rPr>
                <w:rFonts w:ascii="Arial" w:hAnsi="Arial" w:cs="Arial"/>
                <w:sz w:val="18"/>
                <w:szCs w:val="18"/>
              </w:rPr>
              <w:t xml:space="preserve">Be conducted with the support of RANZCR, which has offered </w:t>
            </w:r>
            <w:r w:rsidR="00DD6BD3">
              <w:rPr>
                <w:rFonts w:ascii="Arial" w:hAnsi="Arial" w:cs="Arial"/>
                <w:sz w:val="18"/>
                <w:szCs w:val="18"/>
              </w:rPr>
              <w:t xml:space="preserve">to help </w:t>
            </w:r>
            <w:r w:rsidRPr="00B87C28">
              <w:rPr>
                <w:rFonts w:ascii="Arial" w:hAnsi="Arial" w:cs="Arial"/>
                <w:sz w:val="18"/>
                <w:szCs w:val="18"/>
              </w:rPr>
              <w:t xml:space="preserve">design and </w:t>
            </w:r>
            <w:r w:rsidR="00DC463C">
              <w:rPr>
                <w:rFonts w:ascii="Arial" w:hAnsi="Arial" w:cs="Arial"/>
                <w:sz w:val="18"/>
                <w:szCs w:val="18"/>
              </w:rPr>
              <w:t>run</w:t>
            </w:r>
            <w:r w:rsidR="00C21202">
              <w:rPr>
                <w:rFonts w:ascii="Arial" w:hAnsi="Arial" w:cs="Arial"/>
                <w:sz w:val="18"/>
                <w:szCs w:val="18"/>
              </w:rPr>
              <w:t xml:space="preserve"> this </w:t>
            </w:r>
            <w:r w:rsidRPr="00B87C28">
              <w:rPr>
                <w:rFonts w:ascii="Arial" w:hAnsi="Arial" w:cs="Arial"/>
                <w:sz w:val="18"/>
                <w:szCs w:val="18"/>
              </w:rPr>
              <w:t xml:space="preserve">exercise. </w:t>
            </w:r>
          </w:p>
          <w:p w14:paraId="5B4DE72B" w14:textId="77777777" w:rsidR="00B87C28" w:rsidRPr="00B87C28" w:rsidRDefault="00B87C28" w:rsidP="00B87C28">
            <w:pPr>
              <w:pStyle w:val="01squarebullet"/>
              <w:rPr>
                <w:rFonts w:ascii="Arial" w:hAnsi="Arial" w:cs="Arial"/>
                <w:sz w:val="18"/>
                <w:szCs w:val="18"/>
              </w:rPr>
            </w:pPr>
            <w:r w:rsidRPr="00B87C28">
              <w:rPr>
                <w:rFonts w:ascii="Arial" w:hAnsi="Arial" w:cs="Arial"/>
                <w:sz w:val="18"/>
                <w:szCs w:val="18"/>
              </w:rPr>
              <w:t>Involve input from Radiation Therapists who are familiar with the complexity of services and the current MBS items.</w:t>
            </w:r>
          </w:p>
          <w:p w14:paraId="111D89E8" w14:textId="2A0F6B4C" w:rsidR="004E38A8" w:rsidRPr="00BA15EA" w:rsidRDefault="00B87C28" w:rsidP="00062B16">
            <w:pPr>
              <w:pStyle w:val="01squarebullet"/>
              <w:rPr>
                <w:color w:val="FF0000"/>
              </w:rPr>
            </w:pPr>
            <w:r w:rsidRPr="00B87C28">
              <w:rPr>
                <w:rFonts w:ascii="Arial" w:hAnsi="Arial" w:cs="Arial"/>
                <w:sz w:val="18"/>
                <w:szCs w:val="18"/>
              </w:rPr>
              <w:t xml:space="preserve">Be supported </w:t>
            </w:r>
            <w:r w:rsidR="00062B16">
              <w:rPr>
                <w:rFonts w:ascii="Arial" w:hAnsi="Arial" w:cs="Arial"/>
                <w:sz w:val="18"/>
                <w:szCs w:val="18"/>
              </w:rPr>
              <w:t>by</w:t>
            </w:r>
            <w:r w:rsidRPr="00B87C28">
              <w:rPr>
                <w:rFonts w:ascii="Arial" w:hAnsi="Arial" w:cs="Arial"/>
                <w:sz w:val="18"/>
                <w:szCs w:val="18"/>
              </w:rPr>
              <w:t xml:space="preserve"> a new source of funds to cover components of the exercise that are unable to be provided by RANZCR and participating facilities. </w:t>
            </w:r>
          </w:p>
        </w:tc>
        <w:tc>
          <w:tcPr>
            <w:tcW w:w="2523" w:type="dxa"/>
            <w:tcBorders>
              <w:bottom w:val="single" w:sz="4" w:space="0" w:color="B56011"/>
            </w:tcBorders>
          </w:tcPr>
          <w:p w14:paraId="35403D82" w14:textId="47C20A3E" w:rsidR="004E38A8" w:rsidRPr="00CD2FE0" w:rsidRDefault="008B5B32" w:rsidP="008415A2">
            <w:pPr>
              <w:pStyle w:val="02Tabletext"/>
            </w:pPr>
            <w:r>
              <w:t>There would be greater confidence</w:t>
            </w:r>
            <w:r w:rsidR="008415A2">
              <w:t xml:space="preserve"> in </w:t>
            </w:r>
            <w:r w:rsidR="001F4AB2">
              <w:t>how the</w:t>
            </w:r>
            <w:r>
              <w:t xml:space="preserve"> new item descriptors will </w:t>
            </w:r>
            <w:r w:rsidR="008415A2">
              <w:t>be used in practice, and what the impacts will be at different treatment centres.</w:t>
            </w:r>
          </w:p>
        </w:tc>
        <w:tc>
          <w:tcPr>
            <w:tcW w:w="4577" w:type="dxa"/>
            <w:tcBorders>
              <w:bottom w:val="single" w:sz="4" w:space="0" w:color="B56011"/>
            </w:tcBorders>
          </w:tcPr>
          <w:p w14:paraId="7C846EDA" w14:textId="5093091C" w:rsidR="004E38A8" w:rsidRDefault="004E38A8" w:rsidP="00D818DC">
            <w:pPr>
              <w:pStyle w:val="01squarebullet"/>
              <w:numPr>
                <w:ilvl w:val="0"/>
                <w:numId w:val="0"/>
              </w:numPr>
              <w:spacing w:before="0" w:after="0"/>
              <w:rPr>
                <w:rFonts w:ascii="Arial" w:hAnsi="Arial" w:cs="Arial"/>
                <w:sz w:val="18"/>
                <w:szCs w:val="18"/>
                <w:lang w:val="en-GB"/>
              </w:rPr>
            </w:pPr>
            <w:r w:rsidRPr="00BA15EA">
              <w:rPr>
                <w:rFonts w:ascii="Arial" w:hAnsi="Arial" w:cs="Arial"/>
                <w:sz w:val="18"/>
                <w:szCs w:val="18"/>
                <w:lang w:val="en-GB"/>
              </w:rPr>
              <w:t xml:space="preserve">The current item descriptors are complicated to use </w:t>
            </w:r>
            <w:r w:rsidR="00B87C28">
              <w:rPr>
                <w:rFonts w:ascii="Arial" w:hAnsi="Arial" w:cs="Arial"/>
                <w:sz w:val="18"/>
                <w:szCs w:val="18"/>
                <w:lang w:val="en-GB"/>
              </w:rPr>
              <w:t xml:space="preserve">and </w:t>
            </w:r>
            <w:r w:rsidRPr="00BA15EA">
              <w:rPr>
                <w:rFonts w:ascii="Arial" w:hAnsi="Arial" w:cs="Arial"/>
                <w:sz w:val="18"/>
                <w:szCs w:val="18"/>
                <w:lang w:val="en-GB"/>
              </w:rPr>
              <w:t>are not structured in a way that reflects the delivery of</w:t>
            </w:r>
            <w:r w:rsidR="00B87C28">
              <w:rPr>
                <w:rFonts w:ascii="Arial" w:hAnsi="Arial" w:cs="Arial"/>
                <w:sz w:val="18"/>
                <w:szCs w:val="18"/>
                <w:lang w:val="en-GB"/>
              </w:rPr>
              <w:t xml:space="preserve"> modern services</w:t>
            </w:r>
            <w:r w:rsidR="00D339CE">
              <w:rPr>
                <w:rFonts w:ascii="Arial" w:hAnsi="Arial" w:cs="Arial"/>
                <w:sz w:val="18"/>
                <w:szCs w:val="18"/>
                <w:lang w:val="en-GB"/>
              </w:rPr>
              <w:t>. The new item descriptors aim to address this, but represent a major change that the Committee would like to model further before full implementation.</w:t>
            </w:r>
          </w:p>
          <w:p w14:paraId="7F9D9E19" w14:textId="77777777" w:rsidR="004E38A8" w:rsidRPr="00B640B0" w:rsidRDefault="004E38A8" w:rsidP="00D818DC">
            <w:pPr>
              <w:pStyle w:val="01squarebullet"/>
              <w:numPr>
                <w:ilvl w:val="0"/>
                <w:numId w:val="0"/>
              </w:numPr>
              <w:spacing w:before="0" w:after="0"/>
              <w:rPr>
                <w:rFonts w:ascii="Arial" w:hAnsi="Arial" w:cs="Arial"/>
                <w:sz w:val="16"/>
                <w:szCs w:val="16"/>
                <w:lang w:val="en-GB"/>
              </w:rPr>
            </w:pPr>
          </w:p>
          <w:p w14:paraId="2696936F" w14:textId="668C6F50" w:rsidR="004E38A8" w:rsidRPr="00BA15EA" w:rsidRDefault="004E38A8" w:rsidP="00D818DC">
            <w:pPr>
              <w:pStyle w:val="01squarebullet"/>
              <w:numPr>
                <w:ilvl w:val="0"/>
                <w:numId w:val="0"/>
              </w:numPr>
              <w:spacing w:before="0" w:after="0"/>
              <w:rPr>
                <w:rFonts w:ascii="Arial" w:hAnsi="Arial" w:cs="Arial"/>
                <w:sz w:val="18"/>
                <w:szCs w:val="18"/>
                <w:lang w:val="en-GB"/>
              </w:rPr>
            </w:pPr>
          </w:p>
        </w:tc>
      </w:tr>
    </w:tbl>
    <w:p w14:paraId="54C22A0A" w14:textId="77777777" w:rsidR="007C6782" w:rsidRDefault="007C6782" w:rsidP="004417D7">
      <w:pPr>
        <w:pStyle w:val="Boldhdg"/>
      </w:pPr>
    </w:p>
    <w:p w14:paraId="4AF7CE87" w14:textId="77777777" w:rsidR="007C6782" w:rsidRDefault="007C6782">
      <w:pPr>
        <w:spacing w:before="0" w:after="0"/>
        <w:rPr>
          <w:rFonts w:eastAsiaTheme="minorHAnsi" w:cs="Arial"/>
          <w:b/>
          <w:szCs w:val="22"/>
          <w:lang w:val="en-US" w:eastAsia="en-US"/>
        </w:rPr>
      </w:pPr>
      <w:r>
        <w:br w:type="page"/>
      </w:r>
    </w:p>
    <w:p w14:paraId="13267F75" w14:textId="37D39494" w:rsidR="004417D7" w:rsidRPr="004417D7" w:rsidRDefault="004417D7" w:rsidP="004417D7">
      <w:pPr>
        <w:pStyle w:val="Boldhdg"/>
      </w:pPr>
      <w:r>
        <w:lastRenderedPageBreak/>
        <w:fldChar w:fldCharType="begin"/>
      </w:r>
      <w:r>
        <w:instrText xml:space="preserve"> REF _Ref474802698 \h </w:instrText>
      </w:r>
      <w:r>
        <w:fldChar w:fldCharType="separate"/>
      </w:r>
      <w:r w:rsidR="003274EF">
        <w:t xml:space="preserve">Recommendation </w:t>
      </w:r>
      <w:r w:rsidR="003274EF">
        <w:rPr>
          <w:noProof/>
        </w:rPr>
        <w:t>5</w:t>
      </w:r>
      <w:r>
        <w:fldChar w:fldCharType="end"/>
      </w:r>
      <w:r>
        <w:t>: consolidate kilovoltage radiation therapy items</w:t>
      </w:r>
    </w:p>
    <w:tbl>
      <w:tblPr>
        <w:tblStyle w:val="TableGrid"/>
        <w:tblW w:w="14014" w:type="dxa"/>
        <w:tblInd w:w="108" w:type="dxa"/>
        <w:tblBorders>
          <w:top w:val="single" w:sz="4" w:space="0" w:color="E36C0A" w:themeColor="accent6" w:themeShade="BF"/>
          <w:left w:val="none" w:sz="0" w:space="0" w:color="auto"/>
          <w:bottom w:val="single" w:sz="4"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026"/>
        <w:gridCol w:w="3119"/>
        <w:gridCol w:w="2268"/>
        <w:gridCol w:w="3118"/>
        <w:gridCol w:w="4483"/>
      </w:tblGrid>
      <w:tr w:rsidR="00396184" w:rsidRPr="001A3B97" w14:paraId="3F992D69" w14:textId="77777777" w:rsidTr="00EF1785">
        <w:trPr>
          <w:tblHeader/>
        </w:trPr>
        <w:tc>
          <w:tcPr>
            <w:tcW w:w="1026" w:type="dxa"/>
            <w:tcBorders>
              <w:top w:val="single" w:sz="4" w:space="0" w:color="E36C0A" w:themeColor="accent6" w:themeShade="BF"/>
              <w:bottom w:val="single" w:sz="4" w:space="0" w:color="E36C0A" w:themeColor="accent6" w:themeShade="BF"/>
            </w:tcBorders>
            <w:shd w:val="clear" w:color="auto" w:fill="FFFFFF" w:themeFill="background1"/>
          </w:tcPr>
          <w:p w14:paraId="5E6FF683" w14:textId="5028EA77" w:rsidR="00B640B0" w:rsidRPr="001A3B97" w:rsidRDefault="00AD58A4" w:rsidP="008A7D44">
            <w:pPr>
              <w:pStyle w:val="02Tabletext"/>
            </w:pPr>
            <w:r>
              <w:rPr>
                <w:b/>
              </w:rPr>
              <w:t xml:space="preserve">MBS </w:t>
            </w:r>
            <w:r w:rsidR="00B640B0" w:rsidRPr="001A3B97">
              <w:rPr>
                <w:b/>
              </w:rPr>
              <w:t>Item(s)</w:t>
            </w:r>
          </w:p>
        </w:tc>
        <w:tc>
          <w:tcPr>
            <w:tcW w:w="3119" w:type="dxa"/>
            <w:tcBorders>
              <w:top w:val="single" w:sz="4" w:space="0" w:color="E36C0A" w:themeColor="accent6" w:themeShade="BF"/>
              <w:bottom w:val="single" w:sz="4" w:space="0" w:color="E36C0A" w:themeColor="accent6" w:themeShade="BF"/>
            </w:tcBorders>
            <w:shd w:val="clear" w:color="auto" w:fill="FFFFFF" w:themeFill="background1"/>
          </w:tcPr>
          <w:p w14:paraId="0850F6A8" w14:textId="77777777" w:rsidR="00B640B0" w:rsidRPr="001A3B97" w:rsidRDefault="00B640B0" w:rsidP="008A7D44">
            <w:pPr>
              <w:pStyle w:val="02Tabletext"/>
            </w:pPr>
            <w:r w:rsidRPr="001A3B97">
              <w:rPr>
                <w:b/>
              </w:rPr>
              <w:t xml:space="preserve">What it does </w:t>
            </w:r>
          </w:p>
        </w:tc>
        <w:tc>
          <w:tcPr>
            <w:tcW w:w="2268" w:type="dxa"/>
            <w:tcBorders>
              <w:top w:val="single" w:sz="4" w:space="0" w:color="E36C0A" w:themeColor="accent6" w:themeShade="BF"/>
              <w:bottom w:val="single" w:sz="4" w:space="0" w:color="E36C0A" w:themeColor="accent6" w:themeShade="BF"/>
            </w:tcBorders>
            <w:shd w:val="clear" w:color="auto" w:fill="FFFFFF" w:themeFill="background1"/>
          </w:tcPr>
          <w:p w14:paraId="25133033" w14:textId="77777777" w:rsidR="00B640B0" w:rsidRPr="001A3B97" w:rsidRDefault="00B640B0" w:rsidP="008A7D44">
            <w:pPr>
              <w:pStyle w:val="02Tabletext"/>
            </w:pPr>
            <w:r w:rsidRPr="001A3B97">
              <w:rPr>
                <w:b/>
              </w:rPr>
              <w:t>Committee recommendation</w:t>
            </w:r>
          </w:p>
        </w:tc>
        <w:tc>
          <w:tcPr>
            <w:tcW w:w="3118" w:type="dxa"/>
            <w:tcBorders>
              <w:top w:val="single" w:sz="4" w:space="0" w:color="E36C0A" w:themeColor="accent6" w:themeShade="BF"/>
              <w:bottom w:val="single" w:sz="4" w:space="0" w:color="E36C0A" w:themeColor="accent6" w:themeShade="BF"/>
            </w:tcBorders>
            <w:shd w:val="clear" w:color="auto" w:fill="FFFFFF" w:themeFill="background1"/>
          </w:tcPr>
          <w:p w14:paraId="6C2CCB99" w14:textId="77777777" w:rsidR="00B640B0" w:rsidRPr="001A3B97" w:rsidRDefault="00B640B0" w:rsidP="008A7D44">
            <w:pPr>
              <w:pStyle w:val="02Tabletext"/>
            </w:pPr>
            <w:r w:rsidRPr="001A3B97">
              <w:rPr>
                <w:b/>
              </w:rPr>
              <w:t>What would be different</w:t>
            </w:r>
          </w:p>
        </w:tc>
        <w:tc>
          <w:tcPr>
            <w:tcW w:w="4483" w:type="dxa"/>
            <w:tcBorders>
              <w:top w:val="single" w:sz="4" w:space="0" w:color="E36C0A" w:themeColor="accent6" w:themeShade="BF"/>
              <w:bottom w:val="single" w:sz="4" w:space="0" w:color="E36C0A" w:themeColor="accent6" w:themeShade="BF"/>
            </w:tcBorders>
            <w:shd w:val="clear" w:color="auto" w:fill="FFFFFF" w:themeFill="background1"/>
          </w:tcPr>
          <w:p w14:paraId="0D8B99D5" w14:textId="77777777" w:rsidR="00B640B0" w:rsidRPr="001A3B97" w:rsidRDefault="00B640B0" w:rsidP="008A7D44">
            <w:pPr>
              <w:pStyle w:val="02Tabletext"/>
            </w:pPr>
            <w:r w:rsidRPr="001A3B97">
              <w:rPr>
                <w:b/>
              </w:rPr>
              <w:t>Why</w:t>
            </w:r>
          </w:p>
        </w:tc>
      </w:tr>
      <w:tr w:rsidR="00B640B0" w:rsidRPr="00BA15EA" w14:paraId="35BB47B8" w14:textId="77777777" w:rsidTr="00EF1785">
        <w:tblPrEx>
          <w:tblBorders>
            <w:top w:val="single" w:sz="4" w:space="0" w:color="B56011"/>
            <w:bottom w:val="single" w:sz="4" w:space="0" w:color="B56011"/>
            <w:insideH w:val="single" w:sz="4" w:space="0" w:color="B56011"/>
          </w:tblBorders>
        </w:tblPrEx>
        <w:tc>
          <w:tcPr>
            <w:tcW w:w="1026" w:type="dxa"/>
          </w:tcPr>
          <w:p w14:paraId="726FF55A" w14:textId="77777777" w:rsidR="00B640B0" w:rsidRPr="00BA15EA" w:rsidRDefault="00B640B0" w:rsidP="00D818DC">
            <w:pPr>
              <w:pStyle w:val="02Tabletext"/>
            </w:pPr>
            <w:r w:rsidRPr="00BA15EA">
              <w:t>15000–15115</w:t>
            </w:r>
          </w:p>
        </w:tc>
        <w:tc>
          <w:tcPr>
            <w:tcW w:w="3119" w:type="dxa"/>
          </w:tcPr>
          <w:p w14:paraId="4C24603A" w14:textId="77777777" w:rsidR="00B640B0" w:rsidRPr="00BA15EA" w:rsidRDefault="00B640B0" w:rsidP="00D818DC">
            <w:pPr>
              <w:pStyle w:val="02Tabletext"/>
            </w:pPr>
            <w:r w:rsidRPr="00BA15EA">
              <w:t>‘Kilovoltage radiation therapy’ is a set of therapeutic procedures to treat cancer, where low energy radiation is delivered to areas close to the surface of the body, such as to skin cancers.</w:t>
            </w:r>
          </w:p>
          <w:p w14:paraId="2A8C6584" w14:textId="77777777" w:rsidR="00B640B0" w:rsidRPr="00BA15EA" w:rsidRDefault="00B640B0" w:rsidP="00D818DC">
            <w:pPr>
              <w:pStyle w:val="02Tabletext"/>
              <w:spacing w:before="120"/>
            </w:pPr>
            <w:r w:rsidRPr="00BA15EA">
              <w:t xml:space="preserve">Superficial radiotherapy (15000–15012) involves a slightly lower energy than orthovoltage radiotherapy (15100–15115). </w:t>
            </w:r>
          </w:p>
          <w:p w14:paraId="360BBAB0" w14:textId="22D15981" w:rsidR="00B640B0" w:rsidRPr="0040619C" w:rsidRDefault="00B640B0" w:rsidP="00E7499B">
            <w:pPr>
              <w:pStyle w:val="02Tabletext"/>
              <w:spacing w:before="120"/>
            </w:pPr>
            <w:r w:rsidRPr="00BA15EA">
              <w:t xml:space="preserve">The radiotherapy may be given in a single dose </w:t>
            </w:r>
            <w:r w:rsidR="005D6874">
              <w:t xml:space="preserve">of treatment </w:t>
            </w:r>
            <w:r w:rsidRPr="00BA15EA">
              <w:t>(15112, 15115) or in fractions</w:t>
            </w:r>
            <w:r w:rsidR="003D2728">
              <w:t xml:space="preserve"> of the </w:t>
            </w:r>
            <w:r w:rsidR="00E7499B">
              <w:t xml:space="preserve">total </w:t>
            </w:r>
            <w:r w:rsidR="003D2728">
              <w:t>dose</w:t>
            </w:r>
            <w:r w:rsidRPr="00BA15EA">
              <w:t xml:space="preserve"> at a rate of one to two doses per week (15106, 15109) or more than two doses per week (15100, 15103). The radiotherapy may be delivered</w:t>
            </w:r>
            <w:r w:rsidR="00147408">
              <w:t xml:space="preserve"> via a single body area</w:t>
            </w:r>
            <w:r w:rsidRPr="00BA15EA">
              <w:t xml:space="preserve"> (15000, 15006, 151</w:t>
            </w:r>
            <w:r w:rsidR="00147408">
              <w:t>00, 15106, 15112) or via multiple body areas</w:t>
            </w:r>
            <w:r w:rsidRPr="00BA15EA">
              <w:t xml:space="preserve"> (15003, 15009, 15103, 15109, 15115). Treatment to the eye is covered under a separate item (15012).</w:t>
            </w:r>
          </w:p>
        </w:tc>
        <w:tc>
          <w:tcPr>
            <w:tcW w:w="2268" w:type="dxa"/>
          </w:tcPr>
          <w:p w14:paraId="7B05CB8C" w14:textId="777796E9" w:rsidR="00B640B0" w:rsidRPr="00BA15EA" w:rsidRDefault="00C13458" w:rsidP="00D818DC">
            <w:pPr>
              <w:pStyle w:val="02Tabletext"/>
            </w:pPr>
            <w:r>
              <w:t>Combine</w:t>
            </w:r>
            <w:r w:rsidR="00B640B0" w:rsidRPr="00BA15EA">
              <w:t xml:space="preserve"> the separate items for superficial and orthovoltage radiotherapy into items for kilovoltage therapy that cover both energy levels.</w:t>
            </w:r>
          </w:p>
        </w:tc>
        <w:tc>
          <w:tcPr>
            <w:tcW w:w="3118" w:type="dxa"/>
          </w:tcPr>
          <w:p w14:paraId="285EC35B" w14:textId="77777777" w:rsidR="00B640B0" w:rsidRPr="00BA15EA" w:rsidRDefault="00B640B0" w:rsidP="00D818DC">
            <w:pPr>
              <w:pStyle w:val="02Tabletext"/>
            </w:pPr>
            <w:r w:rsidRPr="00BA15EA">
              <w:t>There will no longer be separate items for superficial and orthovoltage radiotherapy.</w:t>
            </w:r>
          </w:p>
        </w:tc>
        <w:tc>
          <w:tcPr>
            <w:tcW w:w="4483" w:type="dxa"/>
          </w:tcPr>
          <w:p w14:paraId="56793986" w14:textId="64C426F0" w:rsidR="00B640B0" w:rsidRPr="00BA15EA" w:rsidRDefault="00B640B0" w:rsidP="00D818DC">
            <w:pPr>
              <w:pStyle w:val="02Tabletext"/>
            </w:pPr>
            <w:r w:rsidRPr="00BA15EA">
              <w:t xml:space="preserve">The distinction between superficial and orthovoltage items is </w:t>
            </w:r>
            <w:r w:rsidR="00CF2517">
              <w:t>no longer relevant to modern practice.</w:t>
            </w:r>
          </w:p>
          <w:p w14:paraId="03A09DC1" w14:textId="091C0D9F" w:rsidR="00B640B0" w:rsidRPr="00BA15EA" w:rsidRDefault="00B640B0" w:rsidP="00D818DC">
            <w:pPr>
              <w:pStyle w:val="02Tabletext"/>
              <w:spacing w:before="120"/>
            </w:pPr>
            <w:r w:rsidRPr="00BA15EA">
              <w:t xml:space="preserve">The distinction between single dose therapy and fractionated </w:t>
            </w:r>
            <w:r w:rsidR="00E7499B">
              <w:t xml:space="preserve">(where the total dose is divided into small doses) </w:t>
            </w:r>
            <w:r w:rsidRPr="00BA15EA">
              <w:t xml:space="preserve">therapy does not reflect significant differences in professional involvement and may inappropriately </w:t>
            </w:r>
            <w:r w:rsidR="00CF2517">
              <w:t>encourage</w:t>
            </w:r>
            <w:r w:rsidRPr="00BA15EA">
              <w:t xml:space="preserve"> single dose therapy when this is not best practice.</w:t>
            </w:r>
          </w:p>
          <w:p w14:paraId="43D0A0F2" w14:textId="445C236C" w:rsidR="00B640B0" w:rsidRPr="00BA15EA" w:rsidRDefault="00B640B0" w:rsidP="00D818DC">
            <w:pPr>
              <w:pStyle w:val="02Tabletext"/>
              <w:spacing w:before="120"/>
            </w:pPr>
            <w:r w:rsidRPr="00BA15EA">
              <w:t>The changes will reduce unnecessary complexity in bills, improving transparency for consumers, reducing the administrative burden for providers, and reducing the cha</w:t>
            </w:r>
            <w:r w:rsidR="00CF2517">
              <w:t>nces of billing errors or misuse of items.</w:t>
            </w:r>
          </w:p>
        </w:tc>
      </w:tr>
    </w:tbl>
    <w:p w14:paraId="1C1DC27A" w14:textId="77777777" w:rsidR="00B640B0" w:rsidRDefault="00B640B0">
      <w:pPr>
        <w:spacing w:before="0" w:after="0"/>
        <w:rPr>
          <w:b/>
        </w:rPr>
      </w:pPr>
    </w:p>
    <w:p w14:paraId="5CC970CA" w14:textId="77777777" w:rsidR="00B640B0" w:rsidRDefault="00B640B0">
      <w:pPr>
        <w:spacing w:before="0" w:after="0"/>
        <w:rPr>
          <w:b/>
        </w:rPr>
      </w:pPr>
      <w:r>
        <w:rPr>
          <w:b/>
        </w:rPr>
        <w:br w:type="page"/>
      </w:r>
    </w:p>
    <w:p w14:paraId="36F8EE18" w14:textId="513F636C" w:rsidR="00B640B0" w:rsidRPr="002A1690" w:rsidRDefault="004417D7" w:rsidP="004417D7">
      <w:pPr>
        <w:pStyle w:val="Boldhdg"/>
      </w:pPr>
      <w:r>
        <w:lastRenderedPageBreak/>
        <w:fldChar w:fldCharType="begin"/>
      </w:r>
      <w:r>
        <w:instrText xml:space="preserve"> REF _Ref474802722 \h </w:instrText>
      </w:r>
      <w:r>
        <w:fldChar w:fldCharType="separate"/>
      </w:r>
      <w:r w:rsidR="003274EF">
        <w:t xml:space="preserve">Recommendation </w:t>
      </w:r>
      <w:r w:rsidR="003274EF">
        <w:rPr>
          <w:noProof/>
        </w:rPr>
        <w:t>6</w:t>
      </w:r>
      <w:r>
        <w:fldChar w:fldCharType="end"/>
      </w:r>
      <w:r>
        <w:t>: delete obsolete brachytherapy items and remove obsolete distinctions between remaining items (interim-state recommendation)</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817"/>
        <w:gridCol w:w="3286"/>
        <w:gridCol w:w="2816"/>
        <w:gridCol w:w="2523"/>
        <w:gridCol w:w="4572"/>
      </w:tblGrid>
      <w:tr w:rsidR="00B640B0" w:rsidRPr="00BA15EA" w14:paraId="5C7FD472" w14:textId="77777777" w:rsidTr="00A611CF">
        <w:trPr>
          <w:cantSplit/>
          <w:tblHeader/>
        </w:trPr>
        <w:tc>
          <w:tcPr>
            <w:tcW w:w="817" w:type="dxa"/>
            <w:shd w:val="clear" w:color="auto" w:fill="FFFFFF" w:themeFill="background1"/>
          </w:tcPr>
          <w:p w14:paraId="06D2DA1A" w14:textId="75A405D5" w:rsidR="00B640B0" w:rsidRPr="00BA15EA" w:rsidRDefault="00AD58A4" w:rsidP="00D818DC">
            <w:pPr>
              <w:pStyle w:val="01Tableheaderrow"/>
            </w:pPr>
            <w:r>
              <w:t xml:space="preserve">MBS </w:t>
            </w:r>
            <w:r w:rsidR="00B640B0" w:rsidRPr="00BA15EA">
              <w:t>Item(s)</w:t>
            </w:r>
          </w:p>
        </w:tc>
        <w:tc>
          <w:tcPr>
            <w:tcW w:w="3328" w:type="dxa"/>
            <w:shd w:val="clear" w:color="auto" w:fill="FFFFFF" w:themeFill="background1"/>
          </w:tcPr>
          <w:p w14:paraId="6205C094" w14:textId="77777777" w:rsidR="00B640B0" w:rsidRPr="00BA15EA" w:rsidRDefault="00B640B0" w:rsidP="00D818DC">
            <w:pPr>
              <w:pStyle w:val="01Tableheaderrow"/>
            </w:pPr>
            <w:r w:rsidRPr="00BA15EA">
              <w:t xml:space="preserve">What it does </w:t>
            </w:r>
          </w:p>
        </w:tc>
        <w:tc>
          <w:tcPr>
            <w:tcW w:w="2835" w:type="dxa"/>
            <w:shd w:val="clear" w:color="auto" w:fill="FFFFFF" w:themeFill="background1"/>
          </w:tcPr>
          <w:p w14:paraId="11B9E342" w14:textId="77777777" w:rsidR="00B640B0" w:rsidRPr="00BA15EA" w:rsidRDefault="00B640B0" w:rsidP="00D818DC">
            <w:pPr>
              <w:pStyle w:val="01Tableheaderrow"/>
            </w:pPr>
            <w:r w:rsidRPr="00BA15EA">
              <w:t>Committee recommendation</w:t>
            </w:r>
          </w:p>
        </w:tc>
        <w:tc>
          <w:tcPr>
            <w:tcW w:w="2551" w:type="dxa"/>
            <w:shd w:val="clear" w:color="auto" w:fill="FFFFFF" w:themeFill="background1"/>
          </w:tcPr>
          <w:p w14:paraId="23500743" w14:textId="77777777" w:rsidR="00B640B0" w:rsidRPr="00BA15EA" w:rsidRDefault="00B640B0" w:rsidP="00D818DC">
            <w:pPr>
              <w:pStyle w:val="01Tableheaderrow"/>
            </w:pPr>
            <w:r w:rsidRPr="00BA15EA">
              <w:t>What would be different</w:t>
            </w:r>
          </w:p>
        </w:tc>
        <w:tc>
          <w:tcPr>
            <w:tcW w:w="4644" w:type="dxa"/>
            <w:shd w:val="clear" w:color="auto" w:fill="FFFFFF" w:themeFill="background1"/>
          </w:tcPr>
          <w:p w14:paraId="5033563A" w14:textId="77777777" w:rsidR="00B640B0" w:rsidRPr="00BA15EA" w:rsidRDefault="00B640B0" w:rsidP="00D818DC">
            <w:pPr>
              <w:pStyle w:val="01Tableheaderrow"/>
            </w:pPr>
            <w:r w:rsidRPr="00BA15EA">
              <w:t>Why</w:t>
            </w:r>
          </w:p>
        </w:tc>
      </w:tr>
      <w:tr w:rsidR="00B640B0" w:rsidRPr="00BA15EA" w14:paraId="66E9C55A" w14:textId="77777777" w:rsidTr="00A611CF">
        <w:tc>
          <w:tcPr>
            <w:tcW w:w="817" w:type="dxa"/>
          </w:tcPr>
          <w:p w14:paraId="2F061067" w14:textId="181E272E" w:rsidR="00B640B0" w:rsidRPr="000B210D" w:rsidRDefault="00B640B0" w:rsidP="000B210D">
            <w:pPr>
              <w:pStyle w:val="02Tabletext"/>
              <w:spacing w:before="0" w:after="0"/>
            </w:pPr>
            <w:r w:rsidRPr="000B210D">
              <w:t>15303–153</w:t>
            </w:r>
            <w:r w:rsidR="000B210D" w:rsidRPr="000B210D">
              <w:t>5</w:t>
            </w:r>
            <w:r w:rsidR="00186172" w:rsidRPr="000B210D">
              <w:t>7</w:t>
            </w:r>
            <w:r w:rsidRPr="000B210D">
              <w:t xml:space="preserve">, </w:t>
            </w:r>
          </w:p>
          <w:p w14:paraId="091375C5" w14:textId="77777777" w:rsidR="000B210D" w:rsidRPr="000B210D" w:rsidRDefault="000B210D" w:rsidP="000B210D">
            <w:pPr>
              <w:spacing w:before="0" w:after="0"/>
              <w:rPr>
                <w:rFonts w:ascii="Arial" w:hAnsi="Arial" w:cs="Arial"/>
                <w:sz w:val="18"/>
                <w:szCs w:val="18"/>
                <w:lang w:eastAsia="en-US"/>
              </w:rPr>
            </w:pPr>
          </w:p>
          <w:p w14:paraId="1F166EBC" w14:textId="49A63A32" w:rsidR="00B640B0" w:rsidRDefault="000B210D" w:rsidP="000B210D">
            <w:pPr>
              <w:pStyle w:val="02Tabletext"/>
              <w:spacing w:before="0" w:after="0"/>
            </w:pPr>
            <w:r w:rsidRPr="000B210D">
              <w:t>15513</w:t>
            </w:r>
          </w:p>
          <w:p w14:paraId="2D019C6C" w14:textId="77777777" w:rsidR="000B210D" w:rsidRPr="000B210D" w:rsidRDefault="000B210D" w:rsidP="000B210D">
            <w:pPr>
              <w:spacing w:before="0" w:after="0"/>
              <w:rPr>
                <w:lang w:eastAsia="en-US"/>
              </w:rPr>
            </w:pPr>
          </w:p>
          <w:p w14:paraId="692115CD" w14:textId="07315407" w:rsidR="000B210D" w:rsidRPr="000B210D" w:rsidRDefault="000B210D" w:rsidP="000B210D">
            <w:pPr>
              <w:spacing w:before="0" w:after="0"/>
              <w:rPr>
                <w:rFonts w:ascii="Arial" w:hAnsi="Arial" w:cs="Arial"/>
                <w:sz w:val="18"/>
                <w:szCs w:val="18"/>
                <w:lang w:eastAsia="en-US"/>
              </w:rPr>
            </w:pPr>
            <w:r w:rsidRPr="000B210D">
              <w:rPr>
                <w:rFonts w:ascii="Arial" w:hAnsi="Arial" w:cs="Arial"/>
                <w:sz w:val="18"/>
                <w:szCs w:val="18"/>
                <w:lang w:eastAsia="en-US"/>
              </w:rPr>
              <w:t>15536</w:t>
            </w:r>
            <w:r w:rsidRPr="000B210D">
              <w:rPr>
                <w:rFonts w:ascii="Arial" w:hAnsi="Arial" w:cs="Arial"/>
                <w:sz w:val="18"/>
                <w:szCs w:val="18"/>
              </w:rPr>
              <w:t>–</w:t>
            </w:r>
            <w:r w:rsidRPr="000B210D">
              <w:rPr>
                <w:rFonts w:ascii="Arial" w:hAnsi="Arial" w:cs="Arial"/>
                <w:sz w:val="18"/>
                <w:szCs w:val="18"/>
                <w:lang w:eastAsia="en-US"/>
              </w:rPr>
              <w:t>15539,</w:t>
            </w:r>
          </w:p>
          <w:p w14:paraId="354E4E49" w14:textId="77777777" w:rsidR="000B210D" w:rsidRPr="000B210D" w:rsidRDefault="000B210D" w:rsidP="000B210D">
            <w:pPr>
              <w:spacing w:before="0" w:after="0"/>
              <w:rPr>
                <w:rFonts w:ascii="Arial" w:hAnsi="Arial" w:cs="Arial"/>
                <w:sz w:val="18"/>
                <w:szCs w:val="18"/>
                <w:lang w:eastAsia="en-US"/>
              </w:rPr>
            </w:pPr>
          </w:p>
          <w:p w14:paraId="3AA2DF70" w14:textId="77777777" w:rsidR="00B640B0" w:rsidRPr="000B210D" w:rsidRDefault="00B640B0" w:rsidP="000B210D">
            <w:pPr>
              <w:pStyle w:val="02Tabletext"/>
              <w:spacing w:before="0" w:after="0"/>
            </w:pPr>
            <w:r w:rsidRPr="000B210D">
              <w:t>15800–15850</w:t>
            </w:r>
          </w:p>
        </w:tc>
        <w:tc>
          <w:tcPr>
            <w:tcW w:w="3328" w:type="dxa"/>
          </w:tcPr>
          <w:p w14:paraId="1562ADEC" w14:textId="77777777" w:rsidR="00B640B0" w:rsidRDefault="00B640B0" w:rsidP="004055F7">
            <w:pPr>
              <w:pStyle w:val="02Tabletext"/>
              <w:spacing w:before="0" w:after="0"/>
            </w:pPr>
            <w:r w:rsidRPr="000B210D">
              <w:t>‘Brachytherapy’ is a set of therapeutic procedures to treat cancer, relating to the use of a radioactive source either implanted directly into the body (15303–15339, 15513, 15536–15539, 15800-15850) or applied to the body using a mould (15342–15357).</w:t>
            </w:r>
          </w:p>
          <w:p w14:paraId="7CAC33C3" w14:textId="77777777" w:rsidR="004055F7" w:rsidRPr="004055F7" w:rsidRDefault="004055F7" w:rsidP="004055F7">
            <w:pPr>
              <w:spacing w:before="0" w:after="0"/>
              <w:rPr>
                <w:lang w:eastAsia="en-US"/>
              </w:rPr>
            </w:pPr>
          </w:p>
          <w:p w14:paraId="069F0F92" w14:textId="77777777" w:rsidR="00841358" w:rsidRDefault="00B640B0" w:rsidP="004055F7">
            <w:pPr>
              <w:pStyle w:val="02Tabletext"/>
              <w:spacing w:before="0" w:after="0"/>
            </w:pPr>
            <w:r w:rsidRPr="000B210D">
              <w:t xml:space="preserve">The radioactive source can be inserted into the prostate (15338), uterus (15303–15308), vagina (15311–15316), both the uterus and vagina (15319–15324), or other areas (15329—5328 if requiring surgical exposure; otherwise 15331–15336). </w:t>
            </w:r>
          </w:p>
          <w:p w14:paraId="4E64A9C4" w14:textId="77777777" w:rsidR="004055F7" w:rsidRPr="004055F7" w:rsidRDefault="004055F7" w:rsidP="004055F7">
            <w:pPr>
              <w:spacing w:before="0" w:after="0"/>
              <w:rPr>
                <w:lang w:eastAsia="en-US"/>
              </w:rPr>
            </w:pPr>
          </w:p>
          <w:p w14:paraId="05B6EF3C" w14:textId="37B0190D" w:rsidR="00B640B0" w:rsidRPr="000B210D" w:rsidRDefault="00B640B0" w:rsidP="004055F7">
            <w:pPr>
              <w:pStyle w:val="02Tabletext"/>
              <w:spacing w:before="0" w:after="0"/>
            </w:pPr>
            <w:r w:rsidRPr="000B210D">
              <w:t xml:space="preserve">These sets of items </w:t>
            </w:r>
            <w:r w:rsidR="004055F7">
              <w:t xml:space="preserve">currently </w:t>
            </w:r>
            <w:r w:rsidRPr="000B210D">
              <w:t xml:space="preserve">differ </w:t>
            </w:r>
            <w:r w:rsidR="004055F7">
              <w:t xml:space="preserve">unnecessarily </w:t>
            </w:r>
            <w:r w:rsidRPr="000B210D">
              <w:t>depending on whether manual or automatic after-loading is used, and whether the radioactive source has a short half-life (less than 115 days) or long half-life (greater than 115 days).</w:t>
            </w:r>
          </w:p>
          <w:p w14:paraId="560482A0" w14:textId="79BDEAB3" w:rsidR="00B640B0" w:rsidRPr="000B210D" w:rsidRDefault="00B640B0" w:rsidP="00D818DC">
            <w:pPr>
              <w:pStyle w:val="02Tabletext"/>
              <w:spacing w:before="120"/>
            </w:pPr>
          </w:p>
        </w:tc>
        <w:tc>
          <w:tcPr>
            <w:tcW w:w="2835" w:type="dxa"/>
          </w:tcPr>
          <w:p w14:paraId="7EB5FCB7" w14:textId="4679A00F" w:rsidR="004055F7" w:rsidRPr="004055F7" w:rsidRDefault="004055F7" w:rsidP="004055F7">
            <w:pPr>
              <w:pStyle w:val="01squarebullet"/>
              <w:numPr>
                <w:ilvl w:val="0"/>
                <w:numId w:val="0"/>
              </w:numPr>
              <w:spacing w:before="0" w:after="0"/>
              <w:rPr>
                <w:rFonts w:ascii="Arial" w:hAnsi="Arial" w:cs="Arial"/>
                <w:sz w:val="18"/>
                <w:szCs w:val="18"/>
                <w:lang w:val="en-GB"/>
              </w:rPr>
            </w:pPr>
            <w:r w:rsidRPr="004055F7">
              <w:rPr>
                <w:rFonts w:ascii="Arial" w:hAnsi="Arial" w:cs="Arial"/>
                <w:sz w:val="18"/>
                <w:szCs w:val="18"/>
                <w:lang w:val="en-GB"/>
              </w:rPr>
              <w:t xml:space="preserve">Delete the following items, recognising that </w:t>
            </w:r>
            <w:r w:rsidR="00621E7E">
              <w:rPr>
                <w:rFonts w:ascii="Arial" w:hAnsi="Arial" w:cs="Arial"/>
                <w:sz w:val="18"/>
                <w:szCs w:val="18"/>
                <w:lang w:val="en-GB"/>
              </w:rPr>
              <w:t xml:space="preserve">use of </w:t>
            </w:r>
            <w:r w:rsidRPr="004055F7">
              <w:rPr>
                <w:rFonts w:ascii="Arial" w:hAnsi="Arial" w:cs="Arial"/>
                <w:sz w:val="18"/>
                <w:szCs w:val="18"/>
                <w:lang w:val="en-GB"/>
              </w:rPr>
              <w:t xml:space="preserve">radioactive sealed sources with a half-life greater than 115 days </w:t>
            </w:r>
            <w:r w:rsidR="00621E7E">
              <w:rPr>
                <w:rFonts w:ascii="Arial" w:hAnsi="Arial" w:cs="Arial"/>
                <w:sz w:val="18"/>
                <w:szCs w:val="18"/>
                <w:lang w:val="en-GB"/>
              </w:rPr>
              <w:t>are no longer best practice in modern radiotherapy</w:t>
            </w:r>
            <w:r w:rsidRPr="004055F7">
              <w:rPr>
                <w:rFonts w:ascii="Arial" w:hAnsi="Arial" w:cs="Arial"/>
                <w:sz w:val="18"/>
                <w:szCs w:val="18"/>
                <w:lang w:val="en-GB"/>
              </w:rPr>
              <w:t>:</w:t>
            </w:r>
          </w:p>
          <w:p w14:paraId="26ACE820"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Items 15303 and 15304 (intrauterine brachytherapy).</w:t>
            </w:r>
          </w:p>
          <w:p w14:paraId="5251DFD4"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Items 15311 and 15312 (intravaginal brachytherapy).</w:t>
            </w:r>
          </w:p>
          <w:p w14:paraId="2A049771"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Items 15319 and 15320 (combined brachytherapy).</w:t>
            </w:r>
          </w:p>
          <w:p w14:paraId="0D329236"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 15342 (construction and application or intracavity, intraoral or intranasal radioactive mould).</w:t>
            </w:r>
          </w:p>
          <w:p w14:paraId="410235E0" w14:textId="77777777" w:rsidR="008A7D44" w:rsidRDefault="008A7D44" w:rsidP="004055F7">
            <w:pPr>
              <w:pStyle w:val="01squarebullet"/>
              <w:numPr>
                <w:ilvl w:val="0"/>
                <w:numId w:val="0"/>
              </w:numPr>
              <w:spacing w:before="0" w:after="0"/>
              <w:rPr>
                <w:rFonts w:ascii="Arial" w:hAnsi="Arial" w:cs="Arial"/>
                <w:bCs/>
                <w:sz w:val="18"/>
                <w:szCs w:val="18"/>
                <w:lang w:val="en-GB"/>
              </w:rPr>
            </w:pPr>
          </w:p>
          <w:p w14:paraId="681FD205" w14:textId="3ACF71BF" w:rsidR="004055F7" w:rsidRPr="004055F7" w:rsidRDefault="004055F7" w:rsidP="004055F7">
            <w:pPr>
              <w:pStyle w:val="01squarebullet"/>
              <w:numPr>
                <w:ilvl w:val="0"/>
                <w:numId w:val="0"/>
              </w:numPr>
              <w:spacing w:before="0" w:after="0"/>
              <w:rPr>
                <w:rFonts w:ascii="Arial" w:hAnsi="Arial" w:cs="Arial"/>
                <w:sz w:val="18"/>
                <w:szCs w:val="18"/>
                <w:lang w:val="en-GB"/>
              </w:rPr>
            </w:pPr>
            <w:r w:rsidRPr="004055F7">
              <w:rPr>
                <w:rFonts w:ascii="Arial" w:hAnsi="Arial" w:cs="Arial"/>
                <w:bCs/>
                <w:sz w:val="18"/>
                <w:szCs w:val="18"/>
                <w:lang w:val="en-GB"/>
              </w:rPr>
              <w:t xml:space="preserve">Consolidate the following items </w:t>
            </w:r>
            <w:r w:rsidRPr="004055F7">
              <w:rPr>
                <w:rFonts w:ascii="Arial" w:hAnsi="Arial" w:cs="Arial"/>
                <w:sz w:val="18"/>
                <w:szCs w:val="18"/>
                <w:lang w:val="en-GB"/>
              </w:rPr>
              <w:t>to remove the unnecessary</w:t>
            </w:r>
            <w:r w:rsidR="00621E7E">
              <w:rPr>
                <w:rFonts w:ascii="Arial" w:hAnsi="Arial" w:cs="Arial"/>
                <w:sz w:val="18"/>
                <w:szCs w:val="18"/>
                <w:lang w:val="en-GB"/>
              </w:rPr>
              <w:t xml:space="preserve"> distinction between manual and automatic</w:t>
            </w:r>
            <w:r w:rsidRPr="004055F7">
              <w:rPr>
                <w:rFonts w:ascii="Arial" w:hAnsi="Arial" w:cs="Arial"/>
                <w:sz w:val="18"/>
                <w:szCs w:val="18"/>
                <w:lang w:val="en-GB"/>
              </w:rPr>
              <w:t xml:space="preserve"> technique</w:t>
            </w:r>
            <w:r w:rsidR="00621E7E">
              <w:rPr>
                <w:rFonts w:ascii="Arial" w:hAnsi="Arial" w:cs="Arial"/>
                <w:sz w:val="18"/>
                <w:szCs w:val="18"/>
                <w:lang w:val="en-GB"/>
              </w:rPr>
              <w:t xml:space="preserve"> for loading radioactive materials</w:t>
            </w:r>
            <w:r w:rsidRPr="004055F7">
              <w:rPr>
                <w:rFonts w:ascii="Arial" w:hAnsi="Arial" w:cs="Arial"/>
                <w:sz w:val="18"/>
                <w:szCs w:val="18"/>
                <w:lang w:val="en-GB"/>
              </w:rPr>
              <w:t>:</w:t>
            </w:r>
          </w:p>
          <w:p w14:paraId="27C8F0B2"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 15307 into 15308 (intrauterine brachytherapy).</w:t>
            </w:r>
          </w:p>
          <w:p w14:paraId="62C69F33"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 15315 into 15316 (intravaginal brachytherapy).</w:t>
            </w:r>
          </w:p>
          <w:p w14:paraId="78D64CC1"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 15323 into 15324 (combined brachytherapy).</w:t>
            </w:r>
          </w:p>
          <w:p w14:paraId="504B7129"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t>Item 15327 into 15328 (other site, surgical exposure).</w:t>
            </w:r>
          </w:p>
          <w:p w14:paraId="7941250E" w14:textId="77777777" w:rsidR="004055F7" w:rsidRPr="004055F7" w:rsidRDefault="004055F7" w:rsidP="004055F7">
            <w:pPr>
              <w:pStyle w:val="01squarebullet"/>
              <w:spacing w:before="0" w:after="0"/>
              <w:rPr>
                <w:rFonts w:ascii="Arial" w:hAnsi="Arial" w:cs="Arial"/>
                <w:sz w:val="18"/>
                <w:szCs w:val="18"/>
                <w:lang w:val="en-GB"/>
              </w:rPr>
            </w:pPr>
            <w:r w:rsidRPr="004055F7">
              <w:rPr>
                <w:rFonts w:ascii="Arial" w:hAnsi="Arial" w:cs="Arial"/>
                <w:sz w:val="18"/>
                <w:szCs w:val="18"/>
                <w:lang w:val="en-GB"/>
              </w:rPr>
              <w:lastRenderedPageBreak/>
              <w:t>Item 15331 into 15332 (other site, multiplane non-surgical exposure).</w:t>
            </w:r>
          </w:p>
          <w:p w14:paraId="10BD9C82" w14:textId="53379141" w:rsidR="00B640B0" w:rsidRPr="00BA15EA" w:rsidRDefault="004055F7" w:rsidP="004055F7">
            <w:pPr>
              <w:pStyle w:val="01squarebullet"/>
              <w:spacing w:before="0" w:after="0"/>
              <w:rPr>
                <w:rFonts w:ascii="Arial" w:hAnsi="Arial" w:cs="Arial"/>
                <w:sz w:val="18"/>
                <w:szCs w:val="18"/>
              </w:rPr>
            </w:pPr>
            <w:r w:rsidRPr="004055F7">
              <w:rPr>
                <w:rFonts w:ascii="Arial" w:hAnsi="Arial" w:cs="Arial"/>
                <w:bCs/>
                <w:sz w:val="18"/>
                <w:szCs w:val="18"/>
                <w:lang w:val="en-GB"/>
              </w:rPr>
              <w:t>Remove half-life references from all brachytherapy items that remain in the MBS after the above deletions and consolidations have been implemented:</w:t>
            </w:r>
            <w:r w:rsidRPr="004055F7">
              <w:rPr>
                <w:rFonts w:ascii="Arial" w:hAnsi="Arial" w:cs="Arial"/>
                <w:sz w:val="18"/>
                <w:szCs w:val="18"/>
                <w:lang w:val="en-GB"/>
              </w:rPr>
              <w:t xml:space="preserve"> items 15308, 15316, 15324, 15328, 15332, 15335, 15336 and 15345.</w:t>
            </w:r>
          </w:p>
        </w:tc>
        <w:tc>
          <w:tcPr>
            <w:tcW w:w="2551" w:type="dxa"/>
          </w:tcPr>
          <w:p w14:paraId="2A524FAF" w14:textId="6AE3B43A" w:rsidR="00B640B0" w:rsidRPr="00BA15EA" w:rsidRDefault="00B640B0" w:rsidP="0008365A">
            <w:pPr>
              <w:pStyle w:val="02Tabletext"/>
            </w:pPr>
            <w:r w:rsidRPr="00BA15EA">
              <w:lastRenderedPageBreak/>
              <w:t>There will no longer be separate items referring to the clinical practices of using radioactive sources with long half-lives or manual after-loading technique</w:t>
            </w:r>
            <w:r w:rsidR="0008365A">
              <w:t>s, which are no longer best practice in modern radiotherapy.</w:t>
            </w:r>
          </w:p>
        </w:tc>
        <w:tc>
          <w:tcPr>
            <w:tcW w:w="4644" w:type="dxa"/>
          </w:tcPr>
          <w:p w14:paraId="32C7C4D7" w14:textId="011B50A6" w:rsidR="00B640B0" w:rsidRPr="00BA15EA" w:rsidRDefault="00B640B0" w:rsidP="00D818DC">
            <w:pPr>
              <w:pStyle w:val="01squarebullet"/>
              <w:numPr>
                <w:ilvl w:val="0"/>
                <w:numId w:val="0"/>
              </w:numPr>
              <w:spacing w:before="0"/>
              <w:rPr>
                <w:rFonts w:ascii="Arial" w:hAnsi="Arial" w:cs="Arial"/>
                <w:sz w:val="18"/>
                <w:szCs w:val="18"/>
                <w:lang w:val="en-GB"/>
              </w:rPr>
            </w:pPr>
            <w:r w:rsidRPr="00BA15EA">
              <w:rPr>
                <w:rFonts w:ascii="Arial" w:hAnsi="Arial" w:cs="Arial"/>
                <w:sz w:val="18"/>
                <w:szCs w:val="18"/>
                <w:lang w:val="en-GB"/>
              </w:rPr>
              <w:t xml:space="preserve">Radioactive sources with long half-lives (such as radium) are </w:t>
            </w:r>
            <w:r w:rsidR="005B6EC0">
              <w:rPr>
                <w:rFonts w:ascii="Arial" w:hAnsi="Arial" w:cs="Arial"/>
                <w:sz w:val="18"/>
                <w:szCs w:val="18"/>
                <w:lang w:val="en-GB"/>
              </w:rPr>
              <w:t>no longer best practice in modern radiotherapy</w:t>
            </w:r>
            <w:r w:rsidRPr="00BA15EA">
              <w:rPr>
                <w:rFonts w:ascii="Arial" w:hAnsi="Arial" w:cs="Arial"/>
                <w:sz w:val="18"/>
                <w:szCs w:val="18"/>
                <w:lang w:val="en-GB"/>
              </w:rPr>
              <w:t xml:space="preserve">, </w:t>
            </w:r>
            <w:r w:rsidR="005B6EC0">
              <w:rPr>
                <w:rFonts w:ascii="Arial" w:hAnsi="Arial" w:cs="Arial"/>
                <w:sz w:val="18"/>
                <w:szCs w:val="18"/>
                <w:lang w:val="en-GB"/>
              </w:rPr>
              <w:t xml:space="preserve">and are </w:t>
            </w:r>
            <w:r w:rsidRPr="00BA15EA">
              <w:rPr>
                <w:rFonts w:ascii="Arial" w:hAnsi="Arial" w:cs="Arial"/>
                <w:sz w:val="18"/>
                <w:szCs w:val="18"/>
                <w:lang w:val="en-GB"/>
              </w:rPr>
              <w:t>more difficult to source and more difficult to appropriately dispose of, in comparison to short half-life sources. The items are rarely used.</w:t>
            </w:r>
          </w:p>
          <w:p w14:paraId="34D744E6" w14:textId="06A5CAF3" w:rsidR="00B640B0" w:rsidRPr="00BA15EA" w:rsidRDefault="00B640B0" w:rsidP="00D818DC">
            <w:pPr>
              <w:pStyle w:val="01squarebullet"/>
              <w:numPr>
                <w:ilvl w:val="0"/>
                <w:numId w:val="0"/>
              </w:numPr>
              <w:rPr>
                <w:rFonts w:ascii="Arial" w:hAnsi="Arial" w:cs="Arial"/>
                <w:sz w:val="18"/>
                <w:szCs w:val="18"/>
                <w:lang w:val="en-GB"/>
              </w:rPr>
            </w:pPr>
            <w:r w:rsidRPr="00BA15EA">
              <w:rPr>
                <w:rFonts w:ascii="Arial" w:hAnsi="Arial" w:cs="Arial"/>
                <w:sz w:val="18"/>
                <w:szCs w:val="18"/>
                <w:lang w:val="en-GB"/>
              </w:rPr>
              <w:t xml:space="preserve">Manual </w:t>
            </w:r>
            <w:r w:rsidR="006935F1">
              <w:rPr>
                <w:rFonts w:ascii="Arial" w:hAnsi="Arial" w:cs="Arial"/>
                <w:sz w:val="18"/>
                <w:szCs w:val="18"/>
                <w:lang w:val="en-GB"/>
              </w:rPr>
              <w:t>loading of radioactive materials is</w:t>
            </w:r>
            <w:r w:rsidRPr="00BA15EA">
              <w:rPr>
                <w:rFonts w:ascii="Arial" w:hAnsi="Arial" w:cs="Arial"/>
                <w:sz w:val="18"/>
                <w:szCs w:val="18"/>
                <w:lang w:val="en-GB"/>
              </w:rPr>
              <w:t xml:space="preserve"> rarely used in modern clinical practice. Furthermore, the distinction between manual and automatic loading is unnecessary (noting that the MBS items have identical sc</w:t>
            </w:r>
            <w:r w:rsidR="0023209C">
              <w:rPr>
                <w:rFonts w:ascii="Arial" w:hAnsi="Arial" w:cs="Arial"/>
                <w:sz w:val="18"/>
                <w:szCs w:val="18"/>
                <w:lang w:val="en-GB"/>
              </w:rPr>
              <w:t xml:space="preserve">hedule fees). None of the manual loading items were used </w:t>
            </w:r>
            <w:r w:rsidR="00841358">
              <w:rPr>
                <w:rFonts w:ascii="Arial" w:hAnsi="Arial" w:cs="Arial"/>
                <w:sz w:val="18"/>
                <w:szCs w:val="18"/>
                <w:lang w:val="en-GB"/>
              </w:rPr>
              <w:t>in financial year 2</w:t>
            </w:r>
            <w:r w:rsidRPr="00BA15EA">
              <w:rPr>
                <w:rFonts w:ascii="Arial" w:hAnsi="Arial" w:cs="Arial"/>
                <w:sz w:val="18"/>
                <w:szCs w:val="18"/>
                <w:lang w:val="en-GB"/>
              </w:rPr>
              <w:t>014</w:t>
            </w:r>
            <w:r w:rsidR="00841358">
              <w:rPr>
                <w:rFonts w:ascii="Arial" w:hAnsi="Arial" w:cs="Arial"/>
                <w:sz w:val="18"/>
                <w:szCs w:val="18"/>
                <w:lang w:val="en-GB"/>
              </w:rPr>
              <w:t>-2015</w:t>
            </w:r>
            <w:r w:rsidRPr="00BA15EA">
              <w:rPr>
                <w:rFonts w:ascii="Arial" w:hAnsi="Arial" w:cs="Arial"/>
                <w:sz w:val="18"/>
                <w:szCs w:val="18"/>
                <w:lang w:val="en-GB"/>
              </w:rPr>
              <w:t>.</w:t>
            </w:r>
          </w:p>
          <w:p w14:paraId="6BAD001A" w14:textId="2449E2FD" w:rsidR="00B640B0" w:rsidRPr="00BA15EA" w:rsidRDefault="00B640B0" w:rsidP="007B0326">
            <w:pPr>
              <w:pStyle w:val="01squarebullet"/>
              <w:numPr>
                <w:ilvl w:val="0"/>
                <w:numId w:val="0"/>
              </w:numPr>
              <w:rPr>
                <w:rFonts w:ascii="Arial" w:hAnsi="Arial" w:cs="Arial"/>
                <w:sz w:val="18"/>
                <w:szCs w:val="18"/>
                <w:lang w:val="en-GB"/>
              </w:rPr>
            </w:pPr>
          </w:p>
        </w:tc>
      </w:tr>
    </w:tbl>
    <w:p w14:paraId="5ECD8BB7" w14:textId="77777777" w:rsidR="00186172" w:rsidRDefault="00186172">
      <w:pPr>
        <w:spacing w:before="0" w:after="0"/>
        <w:rPr>
          <w:b/>
        </w:rPr>
      </w:pPr>
    </w:p>
    <w:p w14:paraId="5AA363FB" w14:textId="77777777" w:rsidR="00186172" w:rsidRDefault="00186172">
      <w:pPr>
        <w:spacing w:before="0" w:after="0"/>
        <w:rPr>
          <w:b/>
        </w:rPr>
      </w:pPr>
      <w:r>
        <w:rPr>
          <w:b/>
        </w:rPr>
        <w:br w:type="page"/>
      </w:r>
    </w:p>
    <w:p w14:paraId="493F7C09" w14:textId="6BEEEDBF" w:rsidR="00186172" w:rsidRPr="002A1690" w:rsidRDefault="004417D7" w:rsidP="004417D7">
      <w:pPr>
        <w:pStyle w:val="Boldhdg"/>
      </w:pPr>
      <w:r>
        <w:lastRenderedPageBreak/>
        <w:fldChar w:fldCharType="begin"/>
      </w:r>
      <w:r>
        <w:instrText xml:space="preserve"> REF _Ref474802775 \h </w:instrText>
      </w:r>
      <w:r>
        <w:fldChar w:fldCharType="separate"/>
      </w:r>
      <w:r w:rsidR="003274EF">
        <w:t xml:space="preserve">Recommendation </w:t>
      </w:r>
      <w:r w:rsidR="003274EF">
        <w:rPr>
          <w:noProof/>
        </w:rPr>
        <w:t>7</w:t>
      </w:r>
      <w:r>
        <w:fldChar w:fldCharType="end"/>
      </w:r>
      <w:r>
        <w:t>: restructure brachytherapy items (end-state recommendation)</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817"/>
        <w:gridCol w:w="2761"/>
        <w:gridCol w:w="3685"/>
        <w:gridCol w:w="2177"/>
        <w:gridCol w:w="4574"/>
      </w:tblGrid>
      <w:tr w:rsidR="00186172" w:rsidRPr="00BA15EA" w14:paraId="23F66D9C" w14:textId="77777777" w:rsidTr="008A7D44">
        <w:trPr>
          <w:cantSplit/>
          <w:tblHeader/>
        </w:trPr>
        <w:tc>
          <w:tcPr>
            <w:tcW w:w="817" w:type="dxa"/>
            <w:shd w:val="clear" w:color="auto" w:fill="FFFFFF" w:themeFill="background1"/>
          </w:tcPr>
          <w:p w14:paraId="238635AB" w14:textId="4F81A8BE" w:rsidR="00186172" w:rsidRPr="00BA15EA" w:rsidRDefault="00AD58A4" w:rsidP="00D818DC">
            <w:pPr>
              <w:pStyle w:val="01Tableheaderrow"/>
            </w:pPr>
            <w:r>
              <w:t xml:space="preserve">MBS </w:t>
            </w:r>
            <w:r w:rsidR="00186172" w:rsidRPr="00BA15EA">
              <w:t>Item(s)</w:t>
            </w:r>
          </w:p>
        </w:tc>
        <w:tc>
          <w:tcPr>
            <w:tcW w:w="2761" w:type="dxa"/>
            <w:shd w:val="clear" w:color="auto" w:fill="FFFFFF" w:themeFill="background1"/>
          </w:tcPr>
          <w:p w14:paraId="6EC5B723" w14:textId="77777777" w:rsidR="00186172" w:rsidRPr="00BA15EA" w:rsidRDefault="00186172" w:rsidP="00D818DC">
            <w:pPr>
              <w:pStyle w:val="01Tableheaderrow"/>
            </w:pPr>
            <w:r w:rsidRPr="00BA15EA">
              <w:t xml:space="preserve">What it does </w:t>
            </w:r>
          </w:p>
        </w:tc>
        <w:tc>
          <w:tcPr>
            <w:tcW w:w="3685" w:type="dxa"/>
            <w:shd w:val="clear" w:color="auto" w:fill="FFFFFF" w:themeFill="background1"/>
          </w:tcPr>
          <w:p w14:paraId="320FA7A3" w14:textId="77777777" w:rsidR="00186172" w:rsidRPr="00BA15EA" w:rsidRDefault="00186172" w:rsidP="00D818DC">
            <w:pPr>
              <w:pStyle w:val="01Tableheaderrow"/>
            </w:pPr>
            <w:r w:rsidRPr="00BA15EA">
              <w:t>Committee recommendation</w:t>
            </w:r>
          </w:p>
        </w:tc>
        <w:tc>
          <w:tcPr>
            <w:tcW w:w="2177" w:type="dxa"/>
            <w:shd w:val="clear" w:color="auto" w:fill="FFFFFF" w:themeFill="background1"/>
          </w:tcPr>
          <w:p w14:paraId="1D9EDDAD" w14:textId="77777777" w:rsidR="00186172" w:rsidRPr="00BA15EA" w:rsidRDefault="00186172" w:rsidP="00D818DC">
            <w:pPr>
              <w:pStyle w:val="01Tableheaderrow"/>
            </w:pPr>
            <w:r w:rsidRPr="00BA15EA">
              <w:t>What would be different</w:t>
            </w:r>
          </w:p>
        </w:tc>
        <w:tc>
          <w:tcPr>
            <w:tcW w:w="4574" w:type="dxa"/>
            <w:shd w:val="clear" w:color="auto" w:fill="FFFFFF" w:themeFill="background1"/>
          </w:tcPr>
          <w:p w14:paraId="72AAF7EF" w14:textId="77777777" w:rsidR="00186172" w:rsidRPr="00BA15EA" w:rsidRDefault="00186172" w:rsidP="00D818DC">
            <w:pPr>
              <w:pStyle w:val="01Tableheaderrow"/>
            </w:pPr>
            <w:r w:rsidRPr="00BA15EA">
              <w:t>Why</w:t>
            </w:r>
          </w:p>
        </w:tc>
      </w:tr>
      <w:tr w:rsidR="00186172" w:rsidRPr="00BA15EA" w14:paraId="5AC4764C" w14:textId="77777777" w:rsidTr="008A7D44">
        <w:tc>
          <w:tcPr>
            <w:tcW w:w="817" w:type="dxa"/>
          </w:tcPr>
          <w:p w14:paraId="3FD7AECC" w14:textId="77777777" w:rsidR="00186172" w:rsidRPr="00BA15EA" w:rsidRDefault="00186172" w:rsidP="007B0326">
            <w:pPr>
              <w:pStyle w:val="02Tabletext"/>
              <w:spacing w:before="0" w:after="0"/>
            </w:pPr>
            <w:r w:rsidRPr="00BA15EA">
              <w:t xml:space="preserve">15303–15357, </w:t>
            </w:r>
          </w:p>
          <w:p w14:paraId="505999A1" w14:textId="77777777" w:rsidR="00186172" w:rsidRPr="00BA15EA" w:rsidRDefault="00186172" w:rsidP="007B0326">
            <w:pPr>
              <w:pStyle w:val="02Tabletext"/>
              <w:spacing w:before="0" w:after="0"/>
            </w:pPr>
          </w:p>
          <w:p w14:paraId="1867A74F" w14:textId="77777777" w:rsidR="00186172" w:rsidRPr="00BA15EA" w:rsidRDefault="00186172" w:rsidP="007B0326">
            <w:pPr>
              <w:pStyle w:val="02Tabletext"/>
              <w:spacing w:before="0" w:after="0"/>
            </w:pPr>
            <w:r w:rsidRPr="00BA15EA">
              <w:t xml:space="preserve">15513, </w:t>
            </w:r>
          </w:p>
          <w:p w14:paraId="5B8A31CD" w14:textId="77777777" w:rsidR="00186172" w:rsidRPr="00BA15EA" w:rsidRDefault="00186172" w:rsidP="007B0326">
            <w:pPr>
              <w:pStyle w:val="02Tabletext"/>
              <w:spacing w:before="0" w:after="0"/>
            </w:pPr>
          </w:p>
          <w:p w14:paraId="5FA576D6" w14:textId="77777777" w:rsidR="00186172" w:rsidRPr="00BA15EA" w:rsidRDefault="00186172" w:rsidP="007B0326">
            <w:pPr>
              <w:pStyle w:val="02Tabletext"/>
              <w:spacing w:before="0" w:after="0"/>
            </w:pPr>
            <w:r w:rsidRPr="00BA15EA">
              <w:t xml:space="preserve">15536–15539, </w:t>
            </w:r>
          </w:p>
          <w:p w14:paraId="69CCE920" w14:textId="77777777" w:rsidR="00186172" w:rsidRPr="00BA15EA" w:rsidRDefault="00186172" w:rsidP="007B0326">
            <w:pPr>
              <w:pStyle w:val="02Tabletext"/>
              <w:spacing w:before="0" w:after="0"/>
            </w:pPr>
          </w:p>
          <w:p w14:paraId="7518545A" w14:textId="77777777" w:rsidR="00186172" w:rsidRPr="00BA15EA" w:rsidRDefault="00186172" w:rsidP="007B0326">
            <w:pPr>
              <w:pStyle w:val="02Tabletext"/>
              <w:spacing w:before="0" w:after="0"/>
            </w:pPr>
            <w:r w:rsidRPr="00BA15EA">
              <w:t>15800–15850</w:t>
            </w:r>
          </w:p>
        </w:tc>
        <w:tc>
          <w:tcPr>
            <w:tcW w:w="2761" w:type="dxa"/>
          </w:tcPr>
          <w:p w14:paraId="4168F7D5" w14:textId="77777777" w:rsidR="00186172" w:rsidRDefault="00186172" w:rsidP="00190A61">
            <w:pPr>
              <w:pStyle w:val="02Tabletext"/>
              <w:spacing w:before="0" w:after="120"/>
            </w:pPr>
            <w:r w:rsidRPr="00BA15EA">
              <w:t>‘Brachytherapy’ is a set of therapeutic procedures to treat cancer, relating to the use of a radioactive source either implanted directly into the body (15303–15339, 15513, 15536–15539, 15800-15850) or applied to the body using a mould (15342–15357).</w:t>
            </w:r>
          </w:p>
          <w:p w14:paraId="2EB97A5C" w14:textId="77777777" w:rsidR="007B0326" w:rsidRDefault="00186172" w:rsidP="00190A61">
            <w:pPr>
              <w:pStyle w:val="02Tabletext"/>
              <w:spacing w:before="0" w:after="120"/>
            </w:pPr>
            <w:r w:rsidRPr="00BA15EA">
              <w:t xml:space="preserve">The radioactive source can be inserted into the prostate (15338), uterus (15303–15308), vagina (15311–15316), both the uterus and vagina (15319–15324), or other areas (15329—5328 if requiring surgical exposure; otherwise 15331–15336). </w:t>
            </w:r>
          </w:p>
          <w:p w14:paraId="414202B1" w14:textId="2E2BFC86" w:rsidR="00186172" w:rsidRPr="00BA15EA" w:rsidRDefault="00186172" w:rsidP="007B0326">
            <w:pPr>
              <w:pStyle w:val="02Tabletext"/>
              <w:spacing w:before="0" w:after="0"/>
            </w:pPr>
          </w:p>
        </w:tc>
        <w:tc>
          <w:tcPr>
            <w:tcW w:w="3685" w:type="dxa"/>
          </w:tcPr>
          <w:p w14:paraId="1FC0CACF" w14:textId="0E87B107" w:rsidR="008869E1" w:rsidRDefault="008869E1" w:rsidP="00190A61">
            <w:pPr>
              <w:pStyle w:val="02Tabletext"/>
              <w:spacing w:before="0" w:after="120"/>
            </w:pPr>
            <w:r>
              <w:t>Restructure brachytherapy items (15303–15357, 15513, 15536–15539, 15800–15850) into four items:</w:t>
            </w:r>
          </w:p>
          <w:p w14:paraId="423119B3" w14:textId="20F18D79" w:rsidR="008869E1" w:rsidRDefault="00841358" w:rsidP="003105B7">
            <w:pPr>
              <w:pStyle w:val="02Tabletext"/>
              <w:numPr>
                <w:ilvl w:val="0"/>
                <w:numId w:val="41"/>
              </w:numPr>
              <w:spacing w:before="0" w:after="120"/>
              <w:ind w:left="425"/>
            </w:pPr>
            <w:r>
              <w:t>t</w:t>
            </w:r>
            <w:r w:rsidR="008869E1">
              <w:t>iered by three levels of complexity:</w:t>
            </w:r>
          </w:p>
          <w:p w14:paraId="70B3D233" w14:textId="78DE6468" w:rsidR="008869E1" w:rsidRDefault="008869E1" w:rsidP="003105B7">
            <w:pPr>
              <w:pStyle w:val="02Tabletext"/>
              <w:numPr>
                <w:ilvl w:val="0"/>
                <w:numId w:val="42"/>
              </w:numPr>
              <w:spacing w:before="0" w:after="120"/>
              <w:ind w:left="850"/>
            </w:pPr>
            <w:r>
              <w:t>Level 1 – Simple Complexity, High-Dose Rate Brachytherapy.</w:t>
            </w:r>
          </w:p>
          <w:p w14:paraId="3D93D721" w14:textId="25C7C1F7" w:rsidR="008869E1" w:rsidRDefault="008869E1" w:rsidP="003105B7">
            <w:pPr>
              <w:pStyle w:val="02Tabletext"/>
              <w:numPr>
                <w:ilvl w:val="0"/>
                <w:numId w:val="42"/>
              </w:numPr>
              <w:spacing w:before="0" w:after="120"/>
              <w:ind w:left="850"/>
            </w:pPr>
            <w:r>
              <w:t>Level 2 – Intermediate Complexity, High-Dose Rate or Temporary Eye Plaques (Choroidal Melanoma) Brachytherapy.</w:t>
            </w:r>
          </w:p>
          <w:p w14:paraId="6BB0D657" w14:textId="7B68E6C9" w:rsidR="008869E1" w:rsidRDefault="008869E1" w:rsidP="003105B7">
            <w:pPr>
              <w:pStyle w:val="02Tabletext"/>
              <w:numPr>
                <w:ilvl w:val="0"/>
                <w:numId w:val="42"/>
              </w:numPr>
              <w:spacing w:before="0" w:after="120"/>
              <w:ind w:left="850"/>
            </w:pPr>
            <w:r>
              <w:t>Level 3 – High Complexity, High-Dose Rate Brachytherapy.</w:t>
            </w:r>
          </w:p>
          <w:p w14:paraId="7A1BC123" w14:textId="026AA6DB" w:rsidR="008869E1" w:rsidRDefault="008869E1" w:rsidP="003105B7">
            <w:pPr>
              <w:pStyle w:val="02Tabletext"/>
              <w:numPr>
                <w:ilvl w:val="0"/>
                <w:numId w:val="42"/>
              </w:numPr>
              <w:spacing w:before="0" w:after="120"/>
              <w:ind w:left="850"/>
            </w:pPr>
            <w:r>
              <w:t>Level 3 – High Complexity, Low-Dose Rate Permanent Seed Implant Brachytherapy.</w:t>
            </w:r>
          </w:p>
          <w:p w14:paraId="52391241" w14:textId="0AEC9962" w:rsidR="00186172" w:rsidRPr="00841358" w:rsidRDefault="00841358" w:rsidP="003105B7">
            <w:pPr>
              <w:pStyle w:val="02Tabletext"/>
              <w:numPr>
                <w:ilvl w:val="0"/>
                <w:numId w:val="41"/>
              </w:numPr>
              <w:spacing w:before="0" w:after="120"/>
              <w:ind w:left="425"/>
            </w:pPr>
            <w:r>
              <w:t>c</w:t>
            </w:r>
            <w:r w:rsidR="008869E1">
              <w:t>overing the previously separate items for radiation source localisation, planning, treatment/insertion, treatment verification and removal.</w:t>
            </w:r>
            <w:r w:rsidR="007B0326">
              <w:t xml:space="preserve"> </w:t>
            </w:r>
          </w:p>
        </w:tc>
        <w:tc>
          <w:tcPr>
            <w:tcW w:w="2177" w:type="dxa"/>
          </w:tcPr>
          <w:p w14:paraId="727E2C04" w14:textId="77777777" w:rsidR="00186172" w:rsidRDefault="00186172" w:rsidP="007B0326">
            <w:pPr>
              <w:pStyle w:val="02Tabletext"/>
              <w:spacing w:before="0" w:after="0"/>
            </w:pPr>
            <w:r w:rsidRPr="0012071F">
              <w:t xml:space="preserve">Patients will receive </w:t>
            </w:r>
            <w:r>
              <w:t>bills with a simpler set of MBS items that more accurately reflect the service provided, and the level of MBS benefit will more consistently match the complexity of the service provided.</w:t>
            </w:r>
          </w:p>
          <w:p w14:paraId="6D6B7E93" w14:textId="77777777" w:rsidR="00186172" w:rsidRDefault="00186172" w:rsidP="007B0326">
            <w:pPr>
              <w:pStyle w:val="02Tabletext"/>
              <w:spacing w:before="0" w:after="0"/>
            </w:pPr>
          </w:p>
          <w:p w14:paraId="4FE3C79C" w14:textId="68835BF2" w:rsidR="00186172" w:rsidRPr="00BA15EA" w:rsidRDefault="00186172" w:rsidP="007B0326">
            <w:pPr>
              <w:pStyle w:val="02Tabletext"/>
              <w:spacing w:before="0" w:after="0"/>
            </w:pPr>
          </w:p>
        </w:tc>
        <w:tc>
          <w:tcPr>
            <w:tcW w:w="4574" w:type="dxa"/>
          </w:tcPr>
          <w:p w14:paraId="7AF189EC" w14:textId="77777777" w:rsidR="00186172" w:rsidRPr="00BA15EA" w:rsidRDefault="00186172" w:rsidP="007B0326">
            <w:pPr>
              <w:pStyle w:val="01squarebullet"/>
              <w:numPr>
                <w:ilvl w:val="0"/>
                <w:numId w:val="0"/>
              </w:numPr>
              <w:spacing w:before="0" w:after="0"/>
              <w:rPr>
                <w:rFonts w:ascii="Arial" w:hAnsi="Arial" w:cs="Arial"/>
                <w:sz w:val="18"/>
                <w:szCs w:val="18"/>
                <w:lang w:val="en-GB"/>
              </w:rPr>
            </w:pPr>
            <w:r w:rsidRPr="00BA15EA">
              <w:rPr>
                <w:rFonts w:ascii="Arial" w:hAnsi="Arial" w:cs="Arial"/>
                <w:sz w:val="18"/>
                <w:szCs w:val="18"/>
                <w:lang w:val="en-GB"/>
              </w:rPr>
              <w:t>This recommendation focuses on bringing item structure and descriptors in line with the modern delivery of brachytherapy and on simplifying the MBS. It is based on the following observations.</w:t>
            </w:r>
          </w:p>
          <w:p w14:paraId="1F45105B" w14:textId="4D215287" w:rsidR="00186172" w:rsidRPr="00BA15EA" w:rsidRDefault="00186172" w:rsidP="00190A61">
            <w:pPr>
              <w:pStyle w:val="01squarebullet"/>
              <w:numPr>
                <w:ilvl w:val="0"/>
                <w:numId w:val="15"/>
              </w:numPr>
              <w:spacing w:before="0" w:after="120"/>
              <w:rPr>
                <w:rFonts w:ascii="Arial" w:hAnsi="Arial" w:cs="Arial"/>
                <w:sz w:val="18"/>
                <w:szCs w:val="18"/>
              </w:rPr>
            </w:pPr>
            <w:r w:rsidRPr="00BA15EA">
              <w:rPr>
                <w:rFonts w:ascii="Arial" w:hAnsi="Arial" w:cs="Arial"/>
                <w:sz w:val="18"/>
                <w:szCs w:val="18"/>
                <w:lang w:val="en-GB"/>
              </w:rPr>
              <w:t xml:space="preserve">The complexity levels described above reflect the </w:t>
            </w:r>
            <w:r w:rsidR="00A87E4F">
              <w:rPr>
                <w:rFonts w:ascii="Arial" w:hAnsi="Arial" w:cs="Arial"/>
                <w:sz w:val="18"/>
                <w:szCs w:val="18"/>
                <w:lang w:val="en-GB"/>
              </w:rPr>
              <w:t xml:space="preserve">main factors the determine the level </w:t>
            </w:r>
            <w:r w:rsidR="00A87E4F" w:rsidRPr="00A87E4F">
              <w:rPr>
                <w:rFonts w:ascii="Arial" w:hAnsi="Arial" w:cs="Arial"/>
                <w:sz w:val="18"/>
                <w:szCs w:val="18"/>
              </w:rPr>
              <w:t>of pr</w:t>
            </w:r>
            <w:r w:rsidR="00A87E4F">
              <w:rPr>
                <w:rFonts w:ascii="Arial" w:hAnsi="Arial" w:cs="Arial"/>
                <w:sz w:val="18"/>
                <w:szCs w:val="18"/>
              </w:rPr>
              <w:t>ofessional involvement required</w:t>
            </w:r>
            <w:r w:rsidR="007B0326">
              <w:rPr>
                <w:rFonts w:ascii="Arial" w:hAnsi="Arial" w:cs="Arial"/>
                <w:sz w:val="18"/>
                <w:szCs w:val="18"/>
                <w:lang w:val="en-GB"/>
              </w:rPr>
              <w:t xml:space="preserve"> due to patient complexity, such</w:t>
            </w:r>
            <w:r w:rsidRPr="00BA15EA">
              <w:rPr>
                <w:rFonts w:ascii="Arial" w:hAnsi="Arial" w:cs="Arial"/>
                <w:sz w:val="18"/>
                <w:szCs w:val="18"/>
              </w:rPr>
              <w:t xml:space="preserve"> as whether the volume is 2D or 3D, whether </w:t>
            </w:r>
            <w:r w:rsidR="00281523">
              <w:rPr>
                <w:rFonts w:ascii="Arial" w:hAnsi="Arial" w:cs="Arial"/>
                <w:sz w:val="18"/>
                <w:szCs w:val="18"/>
              </w:rPr>
              <w:t xml:space="preserve">different doses are required </w:t>
            </w:r>
            <w:r w:rsidRPr="00BA15EA">
              <w:rPr>
                <w:rFonts w:ascii="Arial" w:hAnsi="Arial" w:cs="Arial"/>
                <w:sz w:val="18"/>
                <w:szCs w:val="18"/>
              </w:rPr>
              <w:t>between the target tissue and other tissue, and the complexity of dose calculations. The previous separation of items primarily by target organ (</w:t>
            </w:r>
            <w:r>
              <w:rPr>
                <w:rFonts w:ascii="Arial" w:hAnsi="Arial" w:cs="Arial"/>
                <w:sz w:val="18"/>
                <w:szCs w:val="18"/>
              </w:rPr>
              <w:t>for example</w:t>
            </w:r>
            <w:r w:rsidRPr="00BA15EA">
              <w:rPr>
                <w:rFonts w:ascii="Arial" w:hAnsi="Arial" w:cs="Arial"/>
                <w:sz w:val="18"/>
                <w:szCs w:val="18"/>
              </w:rPr>
              <w:t xml:space="preserve">, intrauterine versus intravaginal) is not a sufficiently accurate predictor of complexity in modern practice. </w:t>
            </w:r>
          </w:p>
          <w:p w14:paraId="37914302" w14:textId="2026B1FD" w:rsidR="00C64A49" w:rsidRPr="00BA15EA" w:rsidRDefault="00186172" w:rsidP="00190A61">
            <w:pPr>
              <w:pStyle w:val="01squarebullet"/>
              <w:numPr>
                <w:ilvl w:val="0"/>
                <w:numId w:val="0"/>
              </w:numPr>
              <w:spacing w:before="0" w:after="120"/>
              <w:rPr>
                <w:rFonts w:ascii="Arial" w:hAnsi="Arial" w:cs="Arial"/>
                <w:sz w:val="18"/>
                <w:szCs w:val="18"/>
                <w:lang w:val="en-GB"/>
              </w:rPr>
            </w:pPr>
            <w:r w:rsidRPr="00BA15EA">
              <w:rPr>
                <w:rFonts w:ascii="Arial" w:hAnsi="Arial" w:cs="Arial"/>
                <w:sz w:val="18"/>
                <w:szCs w:val="18"/>
                <w:lang w:val="en-GB"/>
              </w:rPr>
              <w:t xml:space="preserve">The recommended items </w:t>
            </w:r>
            <w:r w:rsidRPr="00BA15EA">
              <w:rPr>
                <w:rFonts w:ascii="Arial" w:hAnsi="Arial" w:cs="Arial"/>
                <w:bCs/>
                <w:sz w:val="18"/>
                <w:szCs w:val="18"/>
                <w:lang w:val="en-GB"/>
              </w:rPr>
              <w:t xml:space="preserve">simplify the MBS schedule by reducing the large number of existing items to four items. These items </w:t>
            </w:r>
            <w:r w:rsidR="00C64A49">
              <w:rPr>
                <w:rFonts w:ascii="Arial" w:hAnsi="Arial" w:cs="Arial"/>
                <w:bCs/>
                <w:sz w:val="18"/>
                <w:szCs w:val="18"/>
                <w:lang w:val="en-GB"/>
              </w:rPr>
              <w:t xml:space="preserve">will be clear (and therefore their use will be auditable by Medicare), and reflect real differences in the </w:t>
            </w:r>
            <w:r w:rsidRPr="00BA15EA">
              <w:rPr>
                <w:rFonts w:ascii="Arial" w:hAnsi="Arial" w:cs="Arial"/>
                <w:sz w:val="18"/>
                <w:szCs w:val="18"/>
                <w:lang w:val="en-GB"/>
              </w:rPr>
              <w:t xml:space="preserve">technique </w:t>
            </w:r>
            <w:r w:rsidR="00C64A49">
              <w:rPr>
                <w:rFonts w:ascii="Arial" w:hAnsi="Arial" w:cs="Arial"/>
                <w:sz w:val="18"/>
                <w:szCs w:val="18"/>
                <w:lang w:val="en-GB"/>
              </w:rPr>
              <w:t>used</w:t>
            </w:r>
            <w:r w:rsidRPr="00BA15EA">
              <w:rPr>
                <w:rFonts w:ascii="Arial" w:hAnsi="Arial" w:cs="Arial"/>
                <w:sz w:val="18"/>
                <w:szCs w:val="18"/>
                <w:lang w:val="en-GB"/>
              </w:rPr>
              <w:t xml:space="preserve"> to deliver radiotherapy.</w:t>
            </w:r>
          </w:p>
        </w:tc>
      </w:tr>
    </w:tbl>
    <w:p w14:paraId="315FD714" w14:textId="0E75DCC7" w:rsidR="00B640B0" w:rsidRDefault="00B640B0">
      <w:pPr>
        <w:spacing w:before="0" w:after="0"/>
        <w:rPr>
          <w:b/>
        </w:rPr>
      </w:pPr>
      <w:r>
        <w:rPr>
          <w:b/>
        </w:rPr>
        <w:br w:type="page"/>
      </w:r>
    </w:p>
    <w:p w14:paraId="29E5E3DB" w14:textId="68752E02" w:rsidR="00642294" w:rsidRPr="002A1690" w:rsidRDefault="003141C7" w:rsidP="004417D7">
      <w:pPr>
        <w:pStyle w:val="Boldhdg"/>
      </w:pPr>
      <w:r>
        <w:lastRenderedPageBreak/>
        <w:fldChar w:fldCharType="begin"/>
      </w:r>
      <w:r>
        <w:instrText xml:space="preserve"> REF _Ref474802972 \h </w:instrText>
      </w:r>
      <w:r>
        <w:fldChar w:fldCharType="separate"/>
      </w:r>
      <w:r w:rsidR="003274EF">
        <w:t xml:space="preserve">Recommendation </w:t>
      </w:r>
      <w:r w:rsidR="003274EF">
        <w:rPr>
          <w:noProof/>
        </w:rPr>
        <w:t>8</w:t>
      </w:r>
      <w:r>
        <w:fldChar w:fldCharType="end"/>
      </w:r>
      <w:r w:rsidR="004417D7">
        <w:t>: delete obsolete cobalt and caesium radiation therapy items</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817"/>
        <w:gridCol w:w="3285"/>
        <w:gridCol w:w="2813"/>
        <w:gridCol w:w="2520"/>
        <w:gridCol w:w="4579"/>
      </w:tblGrid>
      <w:tr w:rsidR="00642294" w:rsidRPr="00BA15EA" w14:paraId="572A5E5B" w14:textId="77777777" w:rsidTr="00A611CF">
        <w:trPr>
          <w:cantSplit/>
          <w:tblHeader/>
        </w:trPr>
        <w:tc>
          <w:tcPr>
            <w:tcW w:w="817" w:type="dxa"/>
            <w:shd w:val="clear" w:color="auto" w:fill="FFFFFF" w:themeFill="background1"/>
          </w:tcPr>
          <w:p w14:paraId="73631CDA" w14:textId="164F1493" w:rsidR="00642294" w:rsidRPr="00BA15EA" w:rsidRDefault="00AD58A4" w:rsidP="00D818DC">
            <w:pPr>
              <w:pStyle w:val="01Tableheaderrow"/>
            </w:pPr>
            <w:r>
              <w:t xml:space="preserve">MBS </w:t>
            </w:r>
            <w:r w:rsidR="00642294" w:rsidRPr="00BA15EA">
              <w:t>Item(s)</w:t>
            </w:r>
          </w:p>
        </w:tc>
        <w:tc>
          <w:tcPr>
            <w:tcW w:w="3328" w:type="dxa"/>
            <w:shd w:val="clear" w:color="auto" w:fill="FFFFFF" w:themeFill="background1"/>
          </w:tcPr>
          <w:p w14:paraId="3C56BE4C" w14:textId="77777777" w:rsidR="00642294" w:rsidRPr="00BA15EA" w:rsidRDefault="00642294" w:rsidP="00D818DC">
            <w:pPr>
              <w:pStyle w:val="01Tableheaderrow"/>
            </w:pPr>
            <w:r w:rsidRPr="00BA15EA">
              <w:t xml:space="preserve">What it does </w:t>
            </w:r>
          </w:p>
        </w:tc>
        <w:tc>
          <w:tcPr>
            <w:tcW w:w="2835" w:type="dxa"/>
            <w:shd w:val="clear" w:color="auto" w:fill="FFFFFF" w:themeFill="background1"/>
          </w:tcPr>
          <w:p w14:paraId="66CF410C" w14:textId="77777777" w:rsidR="00642294" w:rsidRPr="00BA15EA" w:rsidRDefault="00642294" w:rsidP="00D818DC">
            <w:pPr>
              <w:pStyle w:val="01Tableheaderrow"/>
            </w:pPr>
            <w:r w:rsidRPr="00BA15EA">
              <w:t>Committee recommendation</w:t>
            </w:r>
          </w:p>
        </w:tc>
        <w:tc>
          <w:tcPr>
            <w:tcW w:w="2551" w:type="dxa"/>
            <w:shd w:val="clear" w:color="auto" w:fill="FFFFFF" w:themeFill="background1"/>
          </w:tcPr>
          <w:p w14:paraId="37FF6897" w14:textId="77777777" w:rsidR="00642294" w:rsidRPr="00BA15EA" w:rsidRDefault="00642294" w:rsidP="00D818DC">
            <w:pPr>
              <w:pStyle w:val="01Tableheaderrow"/>
            </w:pPr>
            <w:r w:rsidRPr="00BA15EA">
              <w:t>What would be different</w:t>
            </w:r>
          </w:p>
        </w:tc>
        <w:tc>
          <w:tcPr>
            <w:tcW w:w="4644" w:type="dxa"/>
            <w:shd w:val="clear" w:color="auto" w:fill="FFFFFF" w:themeFill="background1"/>
          </w:tcPr>
          <w:p w14:paraId="5C5C2CAA" w14:textId="77777777" w:rsidR="00642294" w:rsidRPr="00BA15EA" w:rsidRDefault="00642294" w:rsidP="00D818DC">
            <w:pPr>
              <w:pStyle w:val="01Tableheaderrow"/>
            </w:pPr>
            <w:r w:rsidRPr="00BA15EA">
              <w:t>Why</w:t>
            </w:r>
          </w:p>
        </w:tc>
      </w:tr>
      <w:tr w:rsidR="00642294" w:rsidRPr="00BA15EA" w14:paraId="6C0B93C4" w14:textId="77777777" w:rsidTr="00A611CF">
        <w:tc>
          <w:tcPr>
            <w:tcW w:w="817" w:type="dxa"/>
          </w:tcPr>
          <w:p w14:paraId="454E0364" w14:textId="77777777" w:rsidR="00642294" w:rsidRPr="00BA15EA" w:rsidRDefault="00642294" w:rsidP="00D818DC">
            <w:pPr>
              <w:pStyle w:val="02Tabletext"/>
            </w:pPr>
            <w:r w:rsidRPr="00BA15EA">
              <w:t>152</w:t>
            </w:r>
            <w:r>
              <w:t>1</w:t>
            </w:r>
            <w:r w:rsidRPr="00BA15EA">
              <w:t>1–15214</w:t>
            </w:r>
          </w:p>
        </w:tc>
        <w:tc>
          <w:tcPr>
            <w:tcW w:w="3328" w:type="dxa"/>
          </w:tcPr>
          <w:p w14:paraId="5CE4F39C" w14:textId="77777777" w:rsidR="00642294" w:rsidRPr="00BA15EA" w:rsidRDefault="00642294" w:rsidP="00D818DC">
            <w:pPr>
              <w:pStyle w:val="02Tabletext"/>
            </w:pPr>
            <w:r w:rsidRPr="00BA15EA">
              <w:t>‘Cobalt and caesium radiation therapy’ is a therapeutic procedure to treat cancer, where radiation is delivered using cobalt or caesium as radioactive sources.</w:t>
            </w:r>
          </w:p>
        </w:tc>
        <w:tc>
          <w:tcPr>
            <w:tcW w:w="2835" w:type="dxa"/>
          </w:tcPr>
          <w:p w14:paraId="5662912B" w14:textId="77777777" w:rsidR="00642294" w:rsidRPr="00BA15EA" w:rsidRDefault="00642294" w:rsidP="00D818DC">
            <w:pPr>
              <w:pStyle w:val="02Tabletext"/>
            </w:pPr>
            <w:r w:rsidRPr="00BA15EA">
              <w:t>Delete these items from the MBS.</w:t>
            </w:r>
          </w:p>
        </w:tc>
        <w:tc>
          <w:tcPr>
            <w:tcW w:w="2551" w:type="dxa"/>
          </w:tcPr>
          <w:p w14:paraId="1E68153C" w14:textId="77777777" w:rsidR="00642294" w:rsidRPr="00BA15EA" w:rsidRDefault="00642294" w:rsidP="00D818DC">
            <w:pPr>
              <w:pStyle w:val="02Tabletext"/>
            </w:pPr>
            <w:r w:rsidRPr="00BA15EA">
              <w:t>The service will no longer attract an MBS rebate.</w:t>
            </w:r>
          </w:p>
        </w:tc>
        <w:tc>
          <w:tcPr>
            <w:tcW w:w="4644" w:type="dxa"/>
          </w:tcPr>
          <w:p w14:paraId="1A0366E1" w14:textId="77777777" w:rsidR="00642294" w:rsidRPr="00BA15EA" w:rsidRDefault="00642294" w:rsidP="00D818DC">
            <w:pPr>
              <w:pStyle w:val="02Tabletext"/>
            </w:pPr>
            <w:r w:rsidRPr="00BA15EA">
              <w:t>These items are no longer used because clinical best practice has replaced cobalt and caesium radiotherapy with more effective types of radiation therapy.</w:t>
            </w:r>
          </w:p>
          <w:p w14:paraId="0F8E958A" w14:textId="77777777" w:rsidR="00642294" w:rsidRPr="00BA15EA" w:rsidRDefault="00642294" w:rsidP="00D818DC">
            <w:pPr>
              <w:pStyle w:val="02Tabletext"/>
            </w:pPr>
            <w:r w:rsidRPr="00BA15EA">
              <w:t xml:space="preserve">Cobalt and caesium sources are no longer available in Australia. </w:t>
            </w:r>
          </w:p>
        </w:tc>
      </w:tr>
    </w:tbl>
    <w:p w14:paraId="5CA0BDA0" w14:textId="4113D85A" w:rsidR="00BF4BE9" w:rsidRDefault="00BF4BE9">
      <w:pPr>
        <w:rPr>
          <w:b/>
        </w:rPr>
      </w:pPr>
      <w:r>
        <w:rPr>
          <w:b/>
        </w:rPr>
        <w:br w:type="page"/>
      </w:r>
    </w:p>
    <w:p w14:paraId="1E73B388" w14:textId="333E7EF1" w:rsidR="00F521C1" w:rsidRDefault="00F521C1" w:rsidP="00760520">
      <w:pPr>
        <w:pStyle w:val="Boldhdg"/>
      </w:pPr>
      <w:r>
        <w:lastRenderedPageBreak/>
        <w:t xml:space="preserve">Section </w:t>
      </w:r>
      <w:r>
        <w:fldChar w:fldCharType="begin"/>
      </w:r>
      <w:r>
        <w:instrText xml:space="preserve"> REF _Ref474805242 \r \h </w:instrText>
      </w:r>
      <w:r>
        <w:fldChar w:fldCharType="separate"/>
      </w:r>
      <w:r w:rsidR="003274EF">
        <w:t>6</w:t>
      </w:r>
      <w:r>
        <w:fldChar w:fldCharType="end"/>
      </w:r>
      <w:r>
        <w:t xml:space="preserve">: </w:t>
      </w:r>
      <w:r>
        <w:fldChar w:fldCharType="begin"/>
      </w:r>
      <w:r>
        <w:instrText xml:space="preserve"> REF _Ref474805232 \h </w:instrText>
      </w:r>
      <w:r>
        <w:fldChar w:fldCharType="separate"/>
      </w:r>
      <w:r w:rsidR="003274EF">
        <w:rPr>
          <w:lang w:val="en-GB"/>
        </w:rPr>
        <w:t>Surgical and paediatric oncology recommendations</w:t>
      </w:r>
      <w:r>
        <w:fldChar w:fldCharType="end"/>
      </w:r>
    </w:p>
    <w:p w14:paraId="1DDF5B20" w14:textId="72D6331C" w:rsidR="009D4CA2" w:rsidRPr="00760520" w:rsidRDefault="00760520" w:rsidP="00760520">
      <w:pPr>
        <w:pStyle w:val="Boldhdg"/>
      </w:pPr>
      <w:r w:rsidRPr="00760520">
        <w:fldChar w:fldCharType="begin"/>
      </w:r>
      <w:r w:rsidRPr="00760520">
        <w:instrText xml:space="preserve"> REF _Ref474803078 \h  \* MERGEFORMAT </w:instrText>
      </w:r>
      <w:r w:rsidRPr="00760520">
        <w:fldChar w:fldCharType="separate"/>
      </w:r>
      <w:r w:rsidR="003274EF">
        <w:t>Recommendation 9</w:t>
      </w:r>
      <w:r w:rsidRPr="00760520">
        <w:fldChar w:fldCharType="end"/>
      </w:r>
      <w:r w:rsidRPr="00760520">
        <w:t>: consolidate sentinel lymph node biopsy items</w:t>
      </w:r>
    </w:p>
    <w:tbl>
      <w:tblPr>
        <w:tblStyle w:val="TableGrid"/>
        <w:tblW w:w="1417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027"/>
        <w:gridCol w:w="3368"/>
        <w:gridCol w:w="2976"/>
        <w:gridCol w:w="2977"/>
        <w:gridCol w:w="3827"/>
      </w:tblGrid>
      <w:tr w:rsidR="00DC706D" w:rsidRPr="00DC706D" w14:paraId="5710F90E" w14:textId="77777777" w:rsidTr="007835BA">
        <w:trPr>
          <w:tblHeader/>
        </w:trPr>
        <w:tc>
          <w:tcPr>
            <w:tcW w:w="1027" w:type="dxa"/>
            <w:shd w:val="clear" w:color="auto" w:fill="FFFFFF" w:themeFill="background1"/>
          </w:tcPr>
          <w:p w14:paraId="003C1BE2" w14:textId="2F2ABE67" w:rsidR="00DC706D" w:rsidRPr="00DC706D" w:rsidRDefault="00AD58A4" w:rsidP="00DC706D">
            <w:pPr>
              <w:pStyle w:val="01Tableheaderrow"/>
            </w:pPr>
            <w:r>
              <w:t xml:space="preserve">MBS </w:t>
            </w:r>
            <w:r w:rsidR="00DC706D" w:rsidRPr="00DC706D">
              <w:t>Item(s)</w:t>
            </w:r>
          </w:p>
        </w:tc>
        <w:tc>
          <w:tcPr>
            <w:tcW w:w="3368" w:type="dxa"/>
            <w:shd w:val="clear" w:color="auto" w:fill="FFFFFF" w:themeFill="background1"/>
          </w:tcPr>
          <w:p w14:paraId="1D064C59" w14:textId="08FB33AA" w:rsidR="00DC706D" w:rsidRPr="00DC706D" w:rsidRDefault="00DC706D" w:rsidP="00DC706D">
            <w:pPr>
              <w:pStyle w:val="01Tableheaderrow"/>
            </w:pPr>
            <w:r w:rsidRPr="00DC706D">
              <w:t xml:space="preserve">What it does </w:t>
            </w:r>
          </w:p>
        </w:tc>
        <w:tc>
          <w:tcPr>
            <w:tcW w:w="2976" w:type="dxa"/>
            <w:shd w:val="clear" w:color="auto" w:fill="FFFFFF" w:themeFill="background1"/>
          </w:tcPr>
          <w:p w14:paraId="15ABC25C" w14:textId="30F759CF" w:rsidR="00DC706D" w:rsidRPr="00DC706D" w:rsidRDefault="00DC706D" w:rsidP="00DC706D">
            <w:pPr>
              <w:pStyle w:val="01Tableheaderrow"/>
            </w:pPr>
            <w:r w:rsidRPr="00DC706D">
              <w:t>Committee  Recommendation</w:t>
            </w:r>
          </w:p>
        </w:tc>
        <w:tc>
          <w:tcPr>
            <w:tcW w:w="2977" w:type="dxa"/>
            <w:shd w:val="clear" w:color="auto" w:fill="FFFFFF" w:themeFill="background1"/>
          </w:tcPr>
          <w:p w14:paraId="794C04FB" w14:textId="6EB546D5" w:rsidR="00DC706D" w:rsidRPr="00DC706D" w:rsidRDefault="00DC706D" w:rsidP="00DC706D">
            <w:pPr>
              <w:pStyle w:val="01Tableheaderrow"/>
            </w:pPr>
            <w:r w:rsidRPr="00DC706D">
              <w:t>What would be different</w:t>
            </w:r>
          </w:p>
        </w:tc>
        <w:tc>
          <w:tcPr>
            <w:tcW w:w="3827" w:type="dxa"/>
            <w:shd w:val="clear" w:color="auto" w:fill="FFFFFF" w:themeFill="background1"/>
          </w:tcPr>
          <w:p w14:paraId="74680EE9" w14:textId="2119124A" w:rsidR="00DC706D" w:rsidRPr="00DC706D" w:rsidRDefault="00DC706D" w:rsidP="00DC706D">
            <w:pPr>
              <w:pStyle w:val="01Tableheaderrow"/>
            </w:pPr>
            <w:r w:rsidRPr="00DC706D">
              <w:t>Why</w:t>
            </w:r>
          </w:p>
        </w:tc>
      </w:tr>
      <w:tr w:rsidR="00DC706D" w:rsidRPr="002836EB" w14:paraId="0D4242AF" w14:textId="77777777" w:rsidTr="007835BA">
        <w:tc>
          <w:tcPr>
            <w:tcW w:w="1027" w:type="dxa"/>
          </w:tcPr>
          <w:p w14:paraId="412F6407" w14:textId="689734E0" w:rsidR="00DC706D" w:rsidRPr="002836EB" w:rsidRDefault="00DC706D" w:rsidP="00DC706D">
            <w:pPr>
              <w:pStyle w:val="02Tabletext"/>
            </w:pPr>
            <w:r w:rsidRPr="002836EB">
              <w:t>30299</w:t>
            </w:r>
            <w:r>
              <w:t>–</w:t>
            </w:r>
            <w:r w:rsidRPr="002836EB">
              <w:t>30303</w:t>
            </w:r>
          </w:p>
        </w:tc>
        <w:tc>
          <w:tcPr>
            <w:tcW w:w="3368" w:type="dxa"/>
          </w:tcPr>
          <w:p w14:paraId="3C00B1B7" w14:textId="598388D8" w:rsidR="00E553FA" w:rsidRPr="00E553FA" w:rsidRDefault="00DC706D" w:rsidP="00190A61">
            <w:pPr>
              <w:pStyle w:val="02Tabletext"/>
              <w:spacing w:before="0" w:after="120"/>
              <w:ind w:right="33"/>
            </w:pPr>
            <w:r>
              <w:t>‘Sentinel lymph node biopsy for breast cancer’ is a</w:t>
            </w:r>
            <w:r w:rsidRPr="002836EB">
              <w:t xml:space="preserve"> surgical procedure for diagnostic purposes, where the main lymph nodes into which a potentially cancerous breast drains (sentinel lymph nodes) are identified visually using an injected dye (30302 and 30303)</w:t>
            </w:r>
            <w:r>
              <w:t>,</w:t>
            </w:r>
            <w:r w:rsidRPr="002836EB">
              <w:t xml:space="preserve"> or using an injected dye and by detection of radiation from an injected radioactive tracer (30299 and 30300). This may be undertaken in the axilla (arm pit) in lymph nodes up to the lower border of the pectoralis minor muscle (30299 and 30302) or abov</w:t>
            </w:r>
            <w:r w:rsidR="006A7569">
              <w:t>e that level (30300 and 30303).</w:t>
            </w:r>
          </w:p>
          <w:p w14:paraId="5166FACE" w14:textId="435DDBAC" w:rsidR="00E553FA" w:rsidRDefault="00E553FA" w:rsidP="00190A61">
            <w:pPr>
              <w:pStyle w:val="02Tabletext"/>
              <w:spacing w:before="0" w:after="120"/>
              <w:ind w:right="777"/>
            </w:pPr>
            <w:r w:rsidRPr="00E553FA">
              <w:t>This method allows earlier detection of cancer recurrence (coming back), rather than relying on the noticeable symptoms. It has fewer side effects than the older method, which</w:t>
            </w:r>
            <w:r w:rsidR="00190A61">
              <w:t xml:space="preserve"> was to remove </w:t>
            </w:r>
            <w:r w:rsidR="00AF702D">
              <w:t xml:space="preserve">many or </w:t>
            </w:r>
            <w:r w:rsidR="00190A61">
              <w:t>all lymph nodes (‘axillary dissection’</w:t>
            </w:r>
            <w:r w:rsidR="00AF702D">
              <w:t xml:space="preserve"> or ‘axillary clearance’</w:t>
            </w:r>
            <w:r w:rsidR="00190A61">
              <w:t>).</w:t>
            </w:r>
          </w:p>
          <w:p w14:paraId="3E2220B0" w14:textId="1D2743F0" w:rsidR="00E553FA" w:rsidRPr="00E553FA" w:rsidRDefault="00E553FA" w:rsidP="0045108E">
            <w:pPr>
              <w:pStyle w:val="02Tabletext"/>
              <w:ind w:right="777"/>
            </w:pPr>
          </w:p>
        </w:tc>
        <w:tc>
          <w:tcPr>
            <w:tcW w:w="2976" w:type="dxa"/>
          </w:tcPr>
          <w:p w14:paraId="14ADADAA" w14:textId="77777777" w:rsidR="00DC706D" w:rsidRDefault="00DC706D" w:rsidP="00190A61">
            <w:pPr>
              <w:pStyle w:val="02Tabletext"/>
              <w:spacing w:before="0" w:after="120"/>
              <w:ind w:right="919"/>
            </w:pPr>
            <w:r w:rsidRPr="002836EB">
              <w:t>Retain MBS listing for sentinel lymph node biopsy in breast cancer.</w:t>
            </w:r>
          </w:p>
          <w:p w14:paraId="5DCF826A" w14:textId="77777777" w:rsidR="00DC706D" w:rsidRDefault="00DC706D" w:rsidP="00190A61">
            <w:pPr>
              <w:pStyle w:val="02Tabletext"/>
              <w:spacing w:before="0" w:after="120"/>
            </w:pPr>
            <w:r w:rsidRPr="002836EB">
              <w:t xml:space="preserve">Consolidate the four items into a single item </w:t>
            </w:r>
            <w:r>
              <w:t xml:space="preserve">that may be used </w:t>
            </w:r>
            <w:r w:rsidRPr="002836EB">
              <w:t xml:space="preserve">in any part of the axilla, </w:t>
            </w:r>
            <w:r>
              <w:t xml:space="preserve">and </w:t>
            </w:r>
            <w:r w:rsidRPr="002836EB">
              <w:t xml:space="preserve">whether </w:t>
            </w:r>
            <w:r>
              <w:t xml:space="preserve">either or </w:t>
            </w:r>
            <w:r w:rsidRPr="002836EB">
              <w:t xml:space="preserve">both dye and radioactive tracers </w:t>
            </w:r>
            <w:r>
              <w:t>are</w:t>
            </w:r>
            <w:r w:rsidRPr="002836EB">
              <w:t xml:space="preserve"> used.</w:t>
            </w:r>
          </w:p>
          <w:p w14:paraId="3E4CC300" w14:textId="7D9BD8C8" w:rsidR="0045108E" w:rsidRPr="0045108E" w:rsidRDefault="0045108E" w:rsidP="00190A61">
            <w:pPr>
              <w:pStyle w:val="02Tabletext"/>
              <w:spacing w:before="0" w:after="120"/>
              <w:ind w:right="777"/>
            </w:pPr>
            <w:r w:rsidRPr="00E553FA">
              <w:t>There is good clinical evidence for the use of this procedure in breast cancer and in intermediate to high-risk melanoma. MBS items for breast cancer are currently listed on a temporary basis following the MSAC recommendation from application reference 1065 in May 2005. The Committee’s recommendation is that it now be listed on a permanent basis.</w:t>
            </w:r>
          </w:p>
        </w:tc>
        <w:tc>
          <w:tcPr>
            <w:tcW w:w="2977" w:type="dxa"/>
          </w:tcPr>
          <w:p w14:paraId="3A9535DF" w14:textId="77777777" w:rsidR="00DC706D" w:rsidRDefault="00DC706D" w:rsidP="00DC706D">
            <w:pPr>
              <w:pStyle w:val="02Tabletext"/>
              <w:spacing w:before="0" w:after="120"/>
              <w:ind w:left="-108"/>
            </w:pPr>
            <w:r w:rsidRPr="002836EB">
              <w:t xml:space="preserve">Consolidate the four items MBS items for this service will no longer be listed on an </w:t>
            </w:r>
            <w:r>
              <w:t>“</w:t>
            </w:r>
            <w:r w:rsidRPr="002836EB">
              <w:t>interim</w:t>
            </w:r>
            <w:r>
              <w:t>”</w:t>
            </w:r>
            <w:r w:rsidRPr="002836EB">
              <w:t xml:space="preserve"> basis.</w:t>
            </w:r>
          </w:p>
          <w:p w14:paraId="21E1A048" w14:textId="09407106" w:rsidR="00DC706D" w:rsidRPr="002836EB" w:rsidRDefault="00DC706D" w:rsidP="00190A61">
            <w:pPr>
              <w:pStyle w:val="02Tabletext"/>
              <w:ind w:left="-108"/>
            </w:pPr>
            <w:r w:rsidRPr="002836EB">
              <w:t>The same MBS item will be used regardless of which part of the axilla the procedure is performed on, and regardless of whether</w:t>
            </w:r>
            <w:r>
              <w:t xml:space="preserve"> either/both</w:t>
            </w:r>
            <w:r w:rsidRPr="002836EB">
              <w:t xml:space="preserve"> dye and radioactive tracers </w:t>
            </w:r>
            <w:r>
              <w:t>are</w:t>
            </w:r>
            <w:r w:rsidRPr="002836EB">
              <w:t xml:space="preserve"> used.</w:t>
            </w:r>
          </w:p>
        </w:tc>
        <w:tc>
          <w:tcPr>
            <w:tcW w:w="3827" w:type="dxa"/>
          </w:tcPr>
          <w:p w14:paraId="083CB1D3" w14:textId="7B599300" w:rsidR="00DC706D" w:rsidRPr="002836EB" w:rsidRDefault="00DC706D" w:rsidP="00190A61">
            <w:pPr>
              <w:pStyle w:val="02Tabletext"/>
              <w:spacing w:before="0" w:after="120"/>
              <w:ind w:right="1526"/>
            </w:pPr>
            <w:r w:rsidRPr="002836EB">
              <w:t xml:space="preserve">There is now sufficient evidence that the service is safe and effective, with </w:t>
            </w:r>
            <w:r>
              <w:t>fewer</w:t>
            </w:r>
            <w:r w:rsidRPr="002836EB">
              <w:t xml:space="preserve"> side effects than the alternative of removing </w:t>
            </w:r>
            <w:r w:rsidR="00B24551">
              <w:t xml:space="preserve">many or </w:t>
            </w:r>
            <w:r w:rsidRPr="002836EB">
              <w:t>all lymph nodes.</w:t>
            </w:r>
          </w:p>
          <w:p w14:paraId="1B7E9970" w14:textId="202D6BFC" w:rsidR="00DC706D" w:rsidRPr="002836EB" w:rsidRDefault="00DC706D" w:rsidP="00190A61">
            <w:pPr>
              <w:spacing w:before="0" w:after="120"/>
              <w:ind w:right="959"/>
              <w:rPr>
                <w:rFonts w:ascii="Arial" w:hAnsi="Arial" w:cs="Arial"/>
                <w:sz w:val="18"/>
                <w:szCs w:val="18"/>
                <w:lang w:eastAsia="en-US"/>
              </w:rPr>
            </w:pPr>
            <w:r w:rsidRPr="002836EB">
              <w:rPr>
                <w:rFonts w:ascii="Arial" w:hAnsi="Arial" w:cs="Arial"/>
                <w:sz w:val="18"/>
                <w:szCs w:val="18"/>
                <w:lang w:eastAsia="en-US"/>
              </w:rPr>
              <w:t>While use of bo</w:t>
            </w:r>
            <w:r w:rsidR="00B24551">
              <w:rPr>
                <w:rFonts w:ascii="Arial" w:hAnsi="Arial" w:cs="Arial"/>
                <w:sz w:val="18"/>
                <w:szCs w:val="18"/>
                <w:lang w:eastAsia="en-US"/>
              </w:rPr>
              <w:t>th dye and radioactive tracers together</w:t>
            </w:r>
            <w:r w:rsidRPr="002836EB">
              <w:rPr>
                <w:rFonts w:ascii="Arial" w:hAnsi="Arial" w:cs="Arial"/>
                <w:sz w:val="18"/>
                <w:szCs w:val="18"/>
                <w:lang w:eastAsia="en-US"/>
              </w:rPr>
              <w:t xml:space="preserve"> more accurate, there are circumstances where this may not be appropriate (</w:t>
            </w:r>
            <w:r>
              <w:rPr>
                <w:rFonts w:ascii="Arial" w:hAnsi="Arial" w:cs="Arial"/>
                <w:sz w:val="18"/>
                <w:szCs w:val="18"/>
                <w:lang w:eastAsia="en-US"/>
              </w:rPr>
              <w:t>for example,</w:t>
            </w:r>
            <w:r w:rsidRPr="002836EB">
              <w:rPr>
                <w:rFonts w:ascii="Arial" w:hAnsi="Arial" w:cs="Arial"/>
                <w:sz w:val="18"/>
                <w:szCs w:val="18"/>
                <w:lang w:eastAsia="en-US"/>
              </w:rPr>
              <w:t xml:space="preserve"> where </w:t>
            </w:r>
            <w:r w:rsidR="00B24551">
              <w:rPr>
                <w:rFonts w:ascii="Arial" w:hAnsi="Arial" w:cs="Arial"/>
                <w:sz w:val="18"/>
                <w:szCs w:val="18"/>
                <w:lang w:eastAsia="en-US"/>
              </w:rPr>
              <w:t xml:space="preserve">a patient has </w:t>
            </w:r>
            <w:r w:rsidRPr="002836EB">
              <w:rPr>
                <w:rFonts w:ascii="Arial" w:hAnsi="Arial" w:cs="Arial"/>
                <w:sz w:val="18"/>
                <w:szCs w:val="18"/>
                <w:lang w:eastAsia="en-US"/>
              </w:rPr>
              <w:t xml:space="preserve">an allergy). </w:t>
            </w:r>
          </w:p>
          <w:p w14:paraId="4E116AFD" w14:textId="23FD174F" w:rsidR="00DC706D" w:rsidRPr="002836EB" w:rsidRDefault="00DC706D" w:rsidP="00E33151">
            <w:pPr>
              <w:pStyle w:val="02Tabletext"/>
              <w:spacing w:before="0" w:after="120"/>
              <w:rPr>
                <w:highlight w:val="yellow"/>
              </w:rPr>
            </w:pPr>
            <w:r>
              <w:t>Although</w:t>
            </w:r>
            <w:r w:rsidRPr="002836EB">
              <w:t xml:space="preserve"> the surgical complexity of the procedure differs depending</w:t>
            </w:r>
            <w:r>
              <w:t xml:space="preserve"> on</w:t>
            </w:r>
            <w:r w:rsidRPr="002836EB">
              <w:t xml:space="preserve"> which part of the axilla is involved, these differences are likely to be averaged over a provider’s </w:t>
            </w:r>
            <w:r w:rsidR="00E33151">
              <w:t>patients.</w:t>
            </w:r>
          </w:p>
        </w:tc>
      </w:tr>
    </w:tbl>
    <w:p w14:paraId="1A2C85CB" w14:textId="4DA64F46" w:rsidR="009D4CA2" w:rsidRDefault="009D4CA2">
      <w:pPr>
        <w:spacing w:before="0" w:after="0"/>
      </w:pPr>
    </w:p>
    <w:p w14:paraId="23BA7656" w14:textId="77777777" w:rsidR="00190A61" w:rsidRDefault="00190A61">
      <w:pPr>
        <w:spacing w:before="0" w:after="0"/>
        <w:rPr>
          <w:rFonts w:eastAsiaTheme="minorHAnsi" w:cs="Arial"/>
          <w:b/>
          <w:szCs w:val="22"/>
          <w:lang w:val="en-US" w:eastAsia="en-US"/>
        </w:rPr>
      </w:pPr>
      <w:r>
        <w:br w:type="page"/>
      </w:r>
    </w:p>
    <w:p w14:paraId="1B414DB7" w14:textId="4AD9E1DB" w:rsidR="003D4218" w:rsidRPr="0098123B" w:rsidRDefault="00760520" w:rsidP="0098123B">
      <w:pPr>
        <w:pStyle w:val="Boldhdg"/>
      </w:pPr>
      <w:r>
        <w:lastRenderedPageBreak/>
        <w:fldChar w:fldCharType="begin"/>
      </w:r>
      <w:r>
        <w:instrText xml:space="preserve"> REF _Ref474803101 \h </w:instrText>
      </w:r>
      <w:r>
        <w:fldChar w:fldCharType="separate"/>
      </w:r>
      <w:r w:rsidR="003274EF">
        <w:t xml:space="preserve">Recommendation </w:t>
      </w:r>
      <w:r w:rsidR="003274EF">
        <w:rPr>
          <w:noProof/>
        </w:rPr>
        <w:t>10</w:t>
      </w:r>
      <w:r>
        <w:fldChar w:fldCharType="end"/>
      </w:r>
      <w:r>
        <w:t>: consider introduction of MBS items for sentinel lymph node biopsy for melanoma</w:t>
      </w:r>
    </w:p>
    <w:tbl>
      <w:tblPr>
        <w:tblStyle w:val="TableGrid"/>
        <w:tblW w:w="1417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027"/>
        <w:gridCol w:w="3368"/>
        <w:gridCol w:w="2976"/>
        <w:gridCol w:w="2977"/>
        <w:gridCol w:w="3827"/>
      </w:tblGrid>
      <w:tr w:rsidR="000F70F4" w:rsidRPr="002836EB" w14:paraId="3DCFE68B" w14:textId="77777777" w:rsidTr="000F70F4">
        <w:trPr>
          <w:tblHeader/>
        </w:trPr>
        <w:tc>
          <w:tcPr>
            <w:tcW w:w="1027" w:type="dxa"/>
            <w:shd w:val="clear" w:color="auto" w:fill="FFFFFF" w:themeFill="background1"/>
          </w:tcPr>
          <w:p w14:paraId="334F31C2" w14:textId="15D74658" w:rsidR="003D4218" w:rsidRPr="002836EB" w:rsidRDefault="00AD58A4" w:rsidP="00D818DC">
            <w:pPr>
              <w:pStyle w:val="01Tableheaderrow"/>
            </w:pPr>
            <w:r>
              <w:t xml:space="preserve">MBS </w:t>
            </w:r>
            <w:r w:rsidR="003D4218" w:rsidRPr="002836EB">
              <w:t>Item(s)</w:t>
            </w:r>
          </w:p>
        </w:tc>
        <w:tc>
          <w:tcPr>
            <w:tcW w:w="3368" w:type="dxa"/>
            <w:shd w:val="clear" w:color="auto" w:fill="FFFFFF" w:themeFill="background1"/>
          </w:tcPr>
          <w:p w14:paraId="0034B5E0" w14:textId="77777777" w:rsidR="003D4218" w:rsidRPr="002836EB" w:rsidRDefault="003D4218" w:rsidP="00D818DC">
            <w:pPr>
              <w:pStyle w:val="01Tableheaderrow"/>
            </w:pPr>
            <w:r w:rsidRPr="002836EB">
              <w:t xml:space="preserve">What it does </w:t>
            </w:r>
          </w:p>
        </w:tc>
        <w:tc>
          <w:tcPr>
            <w:tcW w:w="2976" w:type="dxa"/>
            <w:shd w:val="clear" w:color="auto" w:fill="FFFFFF" w:themeFill="background1"/>
          </w:tcPr>
          <w:p w14:paraId="0131F00D" w14:textId="77777777" w:rsidR="003D4218" w:rsidRPr="002836EB" w:rsidRDefault="003D4218" w:rsidP="00D818DC">
            <w:pPr>
              <w:pStyle w:val="01Tableheaderrow"/>
            </w:pPr>
            <w:r w:rsidRPr="002836EB">
              <w:t>Committee recommendation</w:t>
            </w:r>
          </w:p>
        </w:tc>
        <w:tc>
          <w:tcPr>
            <w:tcW w:w="2977" w:type="dxa"/>
            <w:shd w:val="clear" w:color="auto" w:fill="FFFFFF" w:themeFill="background1"/>
          </w:tcPr>
          <w:p w14:paraId="73D2D380" w14:textId="77777777" w:rsidR="003D4218" w:rsidRPr="002836EB" w:rsidRDefault="003D4218" w:rsidP="00D818DC">
            <w:pPr>
              <w:pStyle w:val="01Tableheaderrow"/>
            </w:pPr>
            <w:r w:rsidRPr="002836EB">
              <w:t>What would be different</w:t>
            </w:r>
          </w:p>
        </w:tc>
        <w:tc>
          <w:tcPr>
            <w:tcW w:w="3827" w:type="dxa"/>
            <w:shd w:val="clear" w:color="auto" w:fill="FFFFFF" w:themeFill="background1"/>
          </w:tcPr>
          <w:p w14:paraId="7A08C73A" w14:textId="77777777" w:rsidR="003D4218" w:rsidRPr="002836EB" w:rsidRDefault="003D4218" w:rsidP="00D818DC">
            <w:pPr>
              <w:pStyle w:val="01Tableheaderrow"/>
            </w:pPr>
            <w:r w:rsidRPr="002836EB">
              <w:t>Why</w:t>
            </w:r>
          </w:p>
        </w:tc>
      </w:tr>
      <w:tr w:rsidR="0075270A" w:rsidRPr="002836EB" w14:paraId="272D5C7E" w14:textId="77777777" w:rsidTr="000F70F4">
        <w:tc>
          <w:tcPr>
            <w:tcW w:w="1027" w:type="dxa"/>
          </w:tcPr>
          <w:p w14:paraId="6BCC40AE" w14:textId="24F6D4CD" w:rsidR="0075270A" w:rsidRPr="002836EB" w:rsidRDefault="0075270A" w:rsidP="0075270A">
            <w:pPr>
              <w:pStyle w:val="02Tabletext"/>
            </w:pPr>
            <w:r w:rsidRPr="002836EB">
              <w:t>N</w:t>
            </w:r>
            <w:r>
              <w:t>ot applicable</w:t>
            </w:r>
          </w:p>
        </w:tc>
        <w:tc>
          <w:tcPr>
            <w:tcW w:w="3368" w:type="dxa"/>
          </w:tcPr>
          <w:p w14:paraId="79027F8B" w14:textId="77777777" w:rsidR="0075270A" w:rsidRPr="002836EB" w:rsidRDefault="0075270A" w:rsidP="0075270A">
            <w:pPr>
              <w:pStyle w:val="02Tabletext"/>
            </w:pPr>
            <w:r>
              <w:t>‘Sentinel lymph node biopsy for melanoma’ a</w:t>
            </w:r>
            <w:r w:rsidRPr="002836EB">
              <w:t xml:space="preserve"> surgical procedure for diagnostic purposes in patients with intermediate to high-risk melanoma, where the main lymph nodes into which a potentially cancerous anatomical region drains (sentinel lymph nodes) are identified visually using an injected dye</w:t>
            </w:r>
            <w:r>
              <w:t>,</w:t>
            </w:r>
            <w:r w:rsidRPr="002836EB">
              <w:t xml:space="preserve"> or using both an injected dye and detection of radiation from an injected radioactive tracer. </w:t>
            </w:r>
          </w:p>
          <w:p w14:paraId="6FE400C3" w14:textId="77777777" w:rsidR="0075270A" w:rsidRPr="002836EB" w:rsidRDefault="0075270A" w:rsidP="0075270A">
            <w:pPr>
              <w:pStyle w:val="02Tabletext"/>
            </w:pPr>
          </w:p>
          <w:p w14:paraId="0279C50B" w14:textId="18FE300E" w:rsidR="0075270A" w:rsidRPr="002836EB" w:rsidRDefault="0075270A" w:rsidP="0075270A">
            <w:pPr>
              <w:pStyle w:val="02Tabletext"/>
              <w:ind w:right="777"/>
            </w:pPr>
            <w:r w:rsidRPr="002836EB">
              <w:t xml:space="preserve">The procedure may </w:t>
            </w:r>
            <w:r>
              <w:t xml:space="preserve">allow earlier </w:t>
            </w:r>
            <w:r w:rsidRPr="002836EB">
              <w:t>detect</w:t>
            </w:r>
            <w:r>
              <w:t>ion of</w:t>
            </w:r>
            <w:r w:rsidRPr="002836EB">
              <w:t xml:space="preserve"> cancer relapse than relying on development of symptoms</w:t>
            </w:r>
            <w:r>
              <w:t>. It has fewer</w:t>
            </w:r>
            <w:r w:rsidRPr="002836EB">
              <w:t xml:space="preserve"> side effects than the older method of removing all lymph nodes.</w:t>
            </w:r>
          </w:p>
        </w:tc>
        <w:tc>
          <w:tcPr>
            <w:tcW w:w="2976" w:type="dxa"/>
          </w:tcPr>
          <w:p w14:paraId="1488F650" w14:textId="47C8F6ED" w:rsidR="0075270A" w:rsidRPr="002836EB" w:rsidRDefault="0075270A" w:rsidP="0075270A">
            <w:pPr>
              <w:pStyle w:val="02Tabletext"/>
            </w:pPr>
            <w:r w:rsidRPr="002836EB">
              <w:t xml:space="preserve">Consider an expedited </w:t>
            </w:r>
            <w:r w:rsidR="000513EC">
              <w:t xml:space="preserve">(rapid) </w:t>
            </w:r>
            <w:r w:rsidRPr="002836EB">
              <w:t>MSAC assessment for introducing MBS items for this service.</w:t>
            </w:r>
          </w:p>
        </w:tc>
        <w:tc>
          <w:tcPr>
            <w:tcW w:w="2977" w:type="dxa"/>
          </w:tcPr>
          <w:p w14:paraId="655E2132" w14:textId="679BA999" w:rsidR="0075270A" w:rsidRPr="002836EB" w:rsidRDefault="0075270A" w:rsidP="0075270A">
            <w:pPr>
              <w:pStyle w:val="02Tabletext"/>
            </w:pPr>
            <w:r w:rsidRPr="002836EB">
              <w:t>The MBS would offer greater benefits for sentinel lymph node biopsy for patients with melanoma, improving access to this best</w:t>
            </w:r>
            <w:r>
              <w:t>-</w:t>
            </w:r>
            <w:r w:rsidRPr="002836EB">
              <w:t>practice health service.</w:t>
            </w:r>
          </w:p>
        </w:tc>
        <w:tc>
          <w:tcPr>
            <w:tcW w:w="3827" w:type="dxa"/>
          </w:tcPr>
          <w:p w14:paraId="59C652C8" w14:textId="77777777" w:rsidR="0075270A" w:rsidRPr="002836EB" w:rsidRDefault="0075270A" w:rsidP="0075270A">
            <w:pPr>
              <w:pStyle w:val="02Tabletext"/>
            </w:pPr>
            <w:r w:rsidRPr="002836EB">
              <w:t xml:space="preserve">There is now sufficient evidence that the service provides better prediction of disease course, better control of disease, and improved disease-free survival compared to the alternative of waiting for symptoms to appear. </w:t>
            </w:r>
          </w:p>
          <w:p w14:paraId="33C85338" w14:textId="63C386CD" w:rsidR="0075270A" w:rsidRPr="00A15041" w:rsidRDefault="0075270A" w:rsidP="00E7499B">
            <w:pPr>
              <w:rPr>
                <w:rFonts w:ascii="Arial" w:hAnsi="Arial" w:cs="Arial"/>
                <w:sz w:val="18"/>
                <w:szCs w:val="18"/>
                <w:lang w:eastAsia="en-US"/>
              </w:rPr>
            </w:pPr>
            <w:r w:rsidRPr="00E7499B">
              <w:rPr>
                <w:rFonts w:ascii="Arial" w:hAnsi="Arial" w:cs="Arial"/>
                <w:sz w:val="18"/>
                <w:szCs w:val="18"/>
                <w:lang w:eastAsia="en-US"/>
              </w:rPr>
              <w:t>Many patients who could benefit from the service do not receive it</w:t>
            </w:r>
            <w:r w:rsidR="004A545D" w:rsidRPr="00E7499B">
              <w:rPr>
                <w:rFonts w:ascii="Arial" w:hAnsi="Arial" w:cs="Arial"/>
                <w:sz w:val="18"/>
                <w:szCs w:val="18"/>
                <w:lang w:eastAsia="en-US"/>
              </w:rPr>
              <w:t xml:space="preserve">, as the service currently attracts only </w:t>
            </w:r>
            <w:r w:rsidR="00E7499B" w:rsidRPr="00E7499B">
              <w:rPr>
                <w:rFonts w:ascii="Arial" w:hAnsi="Arial" w:cs="Arial"/>
                <w:sz w:val="18"/>
                <w:szCs w:val="18"/>
                <w:lang w:eastAsia="en-US"/>
              </w:rPr>
              <w:t xml:space="preserve">limited </w:t>
            </w:r>
            <w:r w:rsidR="004A545D" w:rsidRPr="00E7499B">
              <w:rPr>
                <w:rFonts w:ascii="Arial" w:hAnsi="Arial" w:cs="Arial"/>
                <w:sz w:val="18"/>
                <w:szCs w:val="18"/>
                <w:lang w:eastAsia="en-US"/>
              </w:rPr>
              <w:t>MBS benefits</w:t>
            </w:r>
            <w:r w:rsidR="004A545D">
              <w:rPr>
                <w:rFonts w:ascii="Arial" w:hAnsi="Arial" w:cs="Arial"/>
                <w:sz w:val="18"/>
                <w:szCs w:val="18"/>
                <w:lang w:eastAsia="en-US"/>
              </w:rPr>
              <w:t xml:space="preserve"> </w:t>
            </w:r>
          </w:p>
        </w:tc>
      </w:tr>
    </w:tbl>
    <w:p w14:paraId="12421CC0" w14:textId="77777777" w:rsidR="003D4218" w:rsidRDefault="003D4218" w:rsidP="003D4218">
      <w:pPr>
        <w:spacing w:before="0" w:after="0"/>
      </w:pPr>
    </w:p>
    <w:p w14:paraId="4AB91743" w14:textId="2C4E7532" w:rsidR="003D4218" w:rsidRDefault="003D4218">
      <w:pPr>
        <w:spacing w:before="0" w:after="0"/>
      </w:pPr>
      <w:r>
        <w:br w:type="page"/>
      </w:r>
    </w:p>
    <w:p w14:paraId="0B52318B" w14:textId="514A3C2E" w:rsidR="003D4218" w:rsidRPr="003D4218" w:rsidRDefault="0098123B" w:rsidP="0098123B">
      <w:pPr>
        <w:pStyle w:val="Boldhdg"/>
      </w:pPr>
      <w:r>
        <w:lastRenderedPageBreak/>
        <w:fldChar w:fldCharType="begin"/>
      </w:r>
      <w:r>
        <w:instrText xml:space="preserve"> REF _Ref474803147 \h </w:instrText>
      </w:r>
      <w:r>
        <w:fldChar w:fldCharType="separate"/>
      </w:r>
      <w:r w:rsidR="003274EF">
        <w:t xml:space="preserve">Recommendation </w:t>
      </w:r>
      <w:r w:rsidR="003274EF">
        <w:rPr>
          <w:noProof/>
        </w:rPr>
        <w:t>11</w:t>
      </w:r>
      <w:r>
        <w:fldChar w:fldCharType="end"/>
      </w:r>
      <w:r>
        <w:t xml:space="preserve">: no </w:t>
      </w:r>
      <w:r w:rsidR="00220D43">
        <w:t>specific changes to medical and radiation oncology items for paediatric patients</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shd w:val="clear" w:color="auto" w:fill="FFFFFF" w:themeFill="background1"/>
        <w:tblLook w:val="04A0" w:firstRow="1" w:lastRow="0" w:firstColumn="1" w:lastColumn="0" w:noHBand="0" w:noVBand="1"/>
        <w:tblDescription w:val="Appendix B is a table summary for consumers. There are 5 columns: column 1. List of items, column 2. What it does, column 3. Committee recommendation, column 4. What would be different, column 5. Why"/>
      </w:tblPr>
      <w:tblGrid>
        <w:gridCol w:w="1027"/>
        <w:gridCol w:w="3271"/>
        <w:gridCol w:w="2801"/>
        <w:gridCol w:w="2525"/>
        <w:gridCol w:w="4390"/>
      </w:tblGrid>
      <w:tr w:rsidR="005A4932" w:rsidRPr="00BA15EA" w14:paraId="2ECF138D" w14:textId="77777777" w:rsidTr="003D4218">
        <w:trPr>
          <w:cantSplit/>
          <w:tblHeader/>
        </w:trPr>
        <w:tc>
          <w:tcPr>
            <w:tcW w:w="1027" w:type="dxa"/>
            <w:shd w:val="clear" w:color="auto" w:fill="FFFFFF" w:themeFill="background1"/>
          </w:tcPr>
          <w:p w14:paraId="09E02ACF" w14:textId="243E87D3" w:rsidR="001A3B97" w:rsidRPr="00BA15EA" w:rsidRDefault="00AD58A4" w:rsidP="00D818DC">
            <w:pPr>
              <w:pStyle w:val="01Tableheaderrow"/>
            </w:pPr>
            <w:r>
              <w:t xml:space="preserve">MBS </w:t>
            </w:r>
            <w:r w:rsidR="001A3B97" w:rsidRPr="00BA15EA">
              <w:t>Item(s)</w:t>
            </w:r>
          </w:p>
        </w:tc>
        <w:tc>
          <w:tcPr>
            <w:tcW w:w="3328" w:type="dxa"/>
            <w:shd w:val="clear" w:color="auto" w:fill="FFFFFF" w:themeFill="background1"/>
          </w:tcPr>
          <w:p w14:paraId="77D705C3" w14:textId="77777777" w:rsidR="001A3B97" w:rsidRPr="00BA15EA" w:rsidRDefault="001A3B97" w:rsidP="00D818DC">
            <w:pPr>
              <w:pStyle w:val="01Tableheaderrow"/>
            </w:pPr>
            <w:r w:rsidRPr="00BA15EA">
              <w:t xml:space="preserve">What it does </w:t>
            </w:r>
          </w:p>
        </w:tc>
        <w:tc>
          <w:tcPr>
            <w:tcW w:w="2835" w:type="dxa"/>
            <w:shd w:val="clear" w:color="auto" w:fill="FFFFFF" w:themeFill="background1"/>
          </w:tcPr>
          <w:p w14:paraId="0F04FD62" w14:textId="77777777" w:rsidR="001A3B97" w:rsidRPr="00BA15EA" w:rsidRDefault="001A3B97" w:rsidP="00D818DC">
            <w:pPr>
              <w:pStyle w:val="01Tableheaderrow"/>
            </w:pPr>
            <w:r w:rsidRPr="00BA15EA">
              <w:t>Committee recommendation</w:t>
            </w:r>
          </w:p>
        </w:tc>
        <w:tc>
          <w:tcPr>
            <w:tcW w:w="2551" w:type="dxa"/>
            <w:shd w:val="clear" w:color="auto" w:fill="FFFFFF" w:themeFill="background1"/>
          </w:tcPr>
          <w:p w14:paraId="4D794F86" w14:textId="77777777" w:rsidR="001A3B97" w:rsidRPr="00BA15EA" w:rsidRDefault="001A3B97" w:rsidP="00D818DC">
            <w:pPr>
              <w:pStyle w:val="01Tableheaderrow"/>
            </w:pPr>
            <w:r w:rsidRPr="00BA15EA">
              <w:t>What would be different</w:t>
            </w:r>
          </w:p>
        </w:tc>
        <w:tc>
          <w:tcPr>
            <w:tcW w:w="4483" w:type="dxa"/>
            <w:shd w:val="clear" w:color="auto" w:fill="FFFFFF" w:themeFill="background1"/>
          </w:tcPr>
          <w:p w14:paraId="41ECA6FD" w14:textId="77777777" w:rsidR="001A3B97" w:rsidRPr="00BA15EA" w:rsidRDefault="001A3B97" w:rsidP="00D818DC">
            <w:pPr>
              <w:pStyle w:val="01Tableheaderrow"/>
            </w:pPr>
            <w:r w:rsidRPr="00BA15EA">
              <w:t>Why</w:t>
            </w:r>
          </w:p>
        </w:tc>
      </w:tr>
      <w:tr w:rsidR="005A4932" w:rsidRPr="003D4218" w14:paraId="73045A9D" w14:textId="77777777" w:rsidTr="003D4218">
        <w:trPr>
          <w:cantSplit/>
          <w:tblHeader/>
        </w:trPr>
        <w:tc>
          <w:tcPr>
            <w:tcW w:w="1027" w:type="dxa"/>
            <w:shd w:val="clear" w:color="auto" w:fill="FFFFFF" w:themeFill="background1"/>
          </w:tcPr>
          <w:p w14:paraId="11AE2F9C" w14:textId="0D2AD761" w:rsidR="003D4218" w:rsidRPr="003D4218" w:rsidRDefault="003D4218" w:rsidP="00D818DC">
            <w:pPr>
              <w:pStyle w:val="01Tableheaderrow"/>
              <w:rPr>
                <w:b w:val="0"/>
              </w:rPr>
            </w:pPr>
            <w:r w:rsidRPr="003D4218">
              <w:rPr>
                <w:b w:val="0"/>
              </w:rPr>
              <w:t xml:space="preserve">Not </w:t>
            </w:r>
            <w:r>
              <w:rPr>
                <w:b w:val="0"/>
              </w:rPr>
              <w:t>applicable</w:t>
            </w:r>
          </w:p>
        </w:tc>
        <w:tc>
          <w:tcPr>
            <w:tcW w:w="3328" w:type="dxa"/>
            <w:shd w:val="clear" w:color="auto" w:fill="FFFFFF" w:themeFill="background1"/>
          </w:tcPr>
          <w:p w14:paraId="626534EF" w14:textId="1A0DEE9C" w:rsidR="003D4218" w:rsidRPr="003D4218" w:rsidRDefault="000F70F4" w:rsidP="00F854D9">
            <w:pPr>
              <w:pStyle w:val="01Tableheaderrow"/>
              <w:rPr>
                <w:b w:val="0"/>
              </w:rPr>
            </w:pPr>
            <w:r>
              <w:rPr>
                <w:b w:val="0"/>
              </w:rPr>
              <w:t xml:space="preserve">Approximately </w:t>
            </w:r>
            <w:r w:rsidR="00F854D9">
              <w:rPr>
                <w:b w:val="0"/>
              </w:rPr>
              <w:t>one</w:t>
            </w:r>
            <w:r>
              <w:rPr>
                <w:b w:val="0"/>
              </w:rPr>
              <w:t xml:space="preserve"> per cent of oncology services apply to paediatric patients </w:t>
            </w:r>
            <w:r w:rsidR="00E7499B">
              <w:rPr>
                <w:b w:val="0"/>
              </w:rPr>
              <w:t xml:space="preserve">(children under the age of 18???) </w:t>
            </w:r>
            <w:r>
              <w:rPr>
                <w:b w:val="0"/>
              </w:rPr>
              <w:t>using the existing medical and radiation oncology therapy items</w:t>
            </w:r>
            <w:r w:rsidR="00FC3709">
              <w:rPr>
                <w:b w:val="0"/>
              </w:rPr>
              <w:t>. There are no specific items for paediatric medical and radiation oncology.</w:t>
            </w:r>
            <w:r>
              <w:rPr>
                <w:b w:val="0"/>
              </w:rPr>
              <w:t xml:space="preserve"> </w:t>
            </w:r>
          </w:p>
        </w:tc>
        <w:tc>
          <w:tcPr>
            <w:tcW w:w="2835" w:type="dxa"/>
            <w:shd w:val="clear" w:color="auto" w:fill="FFFFFF" w:themeFill="background1"/>
          </w:tcPr>
          <w:p w14:paraId="5FAC96AE" w14:textId="040496DC" w:rsidR="003D4218" w:rsidRPr="003D4218" w:rsidRDefault="000F70F4" w:rsidP="00D818DC">
            <w:pPr>
              <w:pStyle w:val="01Tableheaderrow"/>
              <w:rPr>
                <w:b w:val="0"/>
              </w:rPr>
            </w:pPr>
            <w:r>
              <w:rPr>
                <w:b w:val="0"/>
              </w:rPr>
              <w:t>No specific changes</w:t>
            </w:r>
          </w:p>
        </w:tc>
        <w:tc>
          <w:tcPr>
            <w:tcW w:w="2551" w:type="dxa"/>
            <w:shd w:val="clear" w:color="auto" w:fill="FFFFFF" w:themeFill="background1"/>
          </w:tcPr>
          <w:p w14:paraId="7B1D7397" w14:textId="21A2916D" w:rsidR="003D4218" w:rsidRPr="003D4218" w:rsidRDefault="005A4932" w:rsidP="00D818DC">
            <w:pPr>
              <w:pStyle w:val="01Tableheaderrow"/>
              <w:rPr>
                <w:b w:val="0"/>
              </w:rPr>
            </w:pPr>
            <w:r>
              <w:rPr>
                <w:b w:val="0"/>
              </w:rPr>
              <w:t>The above recommendations will apply equally to adult and paediatric patients.</w:t>
            </w:r>
          </w:p>
        </w:tc>
        <w:tc>
          <w:tcPr>
            <w:tcW w:w="4483" w:type="dxa"/>
            <w:shd w:val="clear" w:color="auto" w:fill="FFFFFF" w:themeFill="background1"/>
          </w:tcPr>
          <w:p w14:paraId="49C4179C" w14:textId="4D1C6E38" w:rsidR="00AF11B9" w:rsidRDefault="00AF11B9" w:rsidP="00D818DC">
            <w:pPr>
              <w:pStyle w:val="01Tableheaderrow"/>
              <w:rPr>
                <w:b w:val="0"/>
              </w:rPr>
            </w:pPr>
            <w:r w:rsidRPr="00AF11B9">
              <w:rPr>
                <w:b w:val="0"/>
              </w:rPr>
              <w:t xml:space="preserve">Paediatric cancer services are concentrated in the public system, </w:t>
            </w:r>
            <w:r w:rsidR="00443104">
              <w:rPr>
                <w:b w:val="0"/>
              </w:rPr>
              <w:t>which do not attract</w:t>
            </w:r>
            <w:r w:rsidRPr="00AF11B9">
              <w:rPr>
                <w:b w:val="0"/>
              </w:rPr>
              <w:t xml:space="preserve"> MBS-</w:t>
            </w:r>
            <w:r w:rsidR="00443104">
              <w:rPr>
                <w:b w:val="0"/>
              </w:rPr>
              <w:t>benefit</w:t>
            </w:r>
            <w:r w:rsidRPr="00AF11B9">
              <w:rPr>
                <w:b w:val="0"/>
              </w:rPr>
              <w:t>s. Issues of concern to the Committee are common to both adult and paediatric patients.</w:t>
            </w:r>
          </w:p>
          <w:p w14:paraId="02CAA6D3" w14:textId="77777777" w:rsidR="00AF11B9" w:rsidRDefault="00AF11B9" w:rsidP="00D818DC">
            <w:pPr>
              <w:pStyle w:val="01Tableheaderrow"/>
              <w:rPr>
                <w:b w:val="0"/>
              </w:rPr>
            </w:pPr>
          </w:p>
          <w:p w14:paraId="33E854A7" w14:textId="4FD1FA7F" w:rsidR="003D4218" w:rsidRPr="003D4218" w:rsidRDefault="00F854D9" w:rsidP="00D818DC">
            <w:pPr>
              <w:pStyle w:val="01Tableheaderrow"/>
              <w:rPr>
                <w:b w:val="0"/>
              </w:rPr>
            </w:pPr>
            <w:r>
              <w:rPr>
                <w:b w:val="0"/>
              </w:rPr>
              <w:t>The Committee’s restructure of megavoltage radiation therapy items include consideration of age extremes when determining the complexity of the service.</w:t>
            </w:r>
          </w:p>
        </w:tc>
      </w:tr>
    </w:tbl>
    <w:p w14:paraId="1F22DEB6" w14:textId="77777777" w:rsidR="0013441A" w:rsidRPr="002836EB" w:rsidRDefault="0013441A" w:rsidP="00984BD0">
      <w:pPr>
        <w:spacing w:before="60"/>
        <w:contextualSpacing/>
        <w:sectPr w:rsidR="0013441A" w:rsidRPr="002836EB" w:rsidSect="00D913B7">
          <w:pgSz w:w="16838" w:h="11906" w:orient="landscape" w:code="9"/>
          <w:pgMar w:top="1077" w:right="1440" w:bottom="624" w:left="1276" w:header="720" w:footer="720" w:gutter="0"/>
          <w:paperSrc w:first="2" w:other="2"/>
          <w:cols w:space="720"/>
          <w:docGrid w:linePitch="326"/>
        </w:sectPr>
      </w:pPr>
    </w:p>
    <w:p w14:paraId="37905FE9" w14:textId="77777777" w:rsidR="0039305A" w:rsidRPr="002836EB" w:rsidRDefault="0039305A" w:rsidP="00134AE6">
      <w:pPr>
        <w:pStyle w:val="AppendixStyle1"/>
        <w:rPr>
          <w:lang w:val="en-GB"/>
        </w:rPr>
      </w:pPr>
      <w:bookmarkStart w:id="264" w:name="_Toc456045468"/>
      <w:bookmarkStart w:id="265" w:name="_Toc468647498"/>
      <w:bookmarkStart w:id="266" w:name="_Toc479082801"/>
      <w:bookmarkStart w:id="267" w:name="Glossary"/>
      <w:r w:rsidRPr="002836EB">
        <w:rPr>
          <w:lang w:val="en-GB"/>
        </w:rPr>
        <w:lastRenderedPageBreak/>
        <w:t>Glossary</w:t>
      </w:r>
      <w:bookmarkEnd w:id="264"/>
      <w:bookmarkEnd w:id="265"/>
      <w:bookmarkEnd w:id="266"/>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Glossary table contains two heading columns: terms and their descriptions."/>
      </w:tblPr>
      <w:tblGrid>
        <w:gridCol w:w="2124"/>
        <w:gridCol w:w="6892"/>
      </w:tblGrid>
      <w:tr w:rsidR="0039305A" w:rsidRPr="002836EB" w14:paraId="433B4601" w14:textId="77777777" w:rsidTr="00CD1821">
        <w:trPr>
          <w:cnfStyle w:val="100000000000" w:firstRow="1" w:lastRow="0" w:firstColumn="0" w:lastColumn="0" w:oddVBand="0" w:evenVBand="0" w:oddHBand="0" w:evenHBand="0" w:firstRowFirstColumn="0" w:firstRowLastColumn="0" w:lastRowFirstColumn="0" w:lastRowLastColumn="0"/>
          <w:tblHeader/>
        </w:trPr>
        <w:tc>
          <w:tcPr>
            <w:tcW w:w="2138" w:type="dxa"/>
            <w:shd w:val="clear" w:color="auto" w:fill="F2F2F2" w:themeFill="background1" w:themeFillShade="F2"/>
            <w:vAlign w:val="bottom"/>
          </w:tcPr>
          <w:bookmarkEnd w:id="267"/>
          <w:p w14:paraId="38BC508D" w14:textId="77777777" w:rsidR="0039305A" w:rsidRPr="002836EB" w:rsidRDefault="0039305A" w:rsidP="0039305A">
            <w:pPr>
              <w:pStyle w:val="01Tableheaderrow"/>
              <w:rPr>
                <w:b/>
              </w:rPr>
            </w:pPr>
            <w:r w:rsidRPr="002836EB">
              <w:t>Term</w:t>
            </w:r>
          </w:p>
        </w:tc>
        <w:tc>
          <w:tcPr>
            <w:tcW w:w="6944" w:type="dxa"/>
            <w:shd w:val="clear" w:color="auto" w:fill="F2F2F2" w:themeFill="background1" w:themeFillShade="F2"/>
            <w:vAlign w:val="bottom"/>
          </w:tcPr>
          <w:p w14:paraId="2B6B0212" w14:textId="77777777" w:rsidR="0039305A" w:rsidRPr="002836EB" w:rsidRDefault="0039305A" w:rsidP="0039305A">
            <w:pPr>
              <w:pStyle w:val="01Tableheaderrow"/>
              <w:rPr>
                <w:b/>
              </w:rPr>
            </w:pPr>
            <w:r w:rsidRPr="002836EB">
              <w:t>Description</w:t>
            </w:r>
          </w:p>
        </w:tc>
      </w:tr>
    </w:tbl>
    <w:tbl>
      <w:tblPr>
        <w:tblW w:w="5000" w:type="pct"/>
        <w:tblCellMar>
          <w:left w:w="0" w:type="dxa"/>
          <w:right w:w="0" w:type="dxa"/>
        </w:tblCellMar>
        <w:tblLook w:val="04A0" w:firstRow="1" w:lastRow="0" w:firstColumn="1" w:lastColumn="0" w:noHBand="0" w:noVBand="1"/>
        <w:tblDescription w:val="Glossary table contains two heading columns: terms and their descriptions."/>
      </w:tblPr>
      <w:tblGrid>
        <w:gridCol w:w="2132"/>
        <w:gridCol w:w="6874"/>
      </w:tblGrid>
      <w:tr w:rsidR="00F642EF" w:rsidRPr="002836EB" w14:paraId="07433BDA"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60BD1C20" w14:textId="77777777" w:rsidR="00F642EF" w:rsidRPr="002836EB" w:rsidRDefault="00F642EF">
            <w:pPr>
              <w:pStyle w:val="02Tabletext"/>
              <w:rPr>
                <w:sz w:val="20"/>
                <w:szCs w:val="20"/>
              </w:rPr>
            </w:pPr>
            <w:r w:rsidRPr="002836EB">
              <w:t>ABS</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51ECDF66" w14:textId="3965BE73" w:rsidR="00F642EF" w:rsidRPr="002836EB" w:rsidRDefault="00F642EF">
            <w:pPr>
              <w:pStyle w:val="02Tabletext"/>
            </w:pPr>
            <w:r w:rsidRPr="002836EB">
              <w:t>Australian Bureau of Statistics</w:t>
            </w:r>
            <w:r w:rsidR="00A92E09">
              <w:t>.</w:t>
            </w:r>
          </w:p>
        </w:tc>
      </w:tr>
      <w:tr w:rsidR="004347E0" w:rsidRPr="002836EB" w14:paraId="73EB4BB8"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B0F83A7" w14:textId="24C4C84F" w:rsidR="004347E0" w:rsidRPr="002836EB" w:rsidRDefault="004347E0">
            <w:pPr>
              <w:pStyle w:val="02Tabletext"/>
            </w:pPr>
            <w:r>
              <w:t>ANZCHOG</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6D3A62C0" w14:textId="0BC952E9" w:rsidR="004347E0" w:rsidRPr="002836EB" w:rsidRDefault="00DC0BF1">
            <w:pPr>
              <w:pStyle w:val="02Tabletext"/>
            </w:pPr>
            <w:r w:rsidRPr="00335892">
              <w:t>Australian and New Zealand Children’s Haematology/Oncology Group</w:t>
            </w:r>
            <w:r w:rsidR="00A92E09">
              <w:t>.</w:t>
            </w:r>
          </w:p>
        </w:tc>
      </w:tr>
      <w:tr w:rsidR="00DB280A" w:rsidRPr="002836EB" w14:paraId="58A401B2"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A2107E7" w14:textId="26E1F124" w:rsidR="00DB280A" w:rsidRDefault="00DB280A">
            <w:pPr>
              <w:pStyle w:val="02Tabletext"/>
            </w:pPr>
            <w:r>
              <w:t>Brachytherapy</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7039133D" w14:textId="56BD42DE" w:rsidR="00DB280A" w:rsidRPr="00335892" w:rsidRDefault="00DB280A" w:rsidP="00DB280A">
            <w:pPr>
              <w:pStyle w:val="02Tabletext"/>
            </w:pPr>
            <w:r w:rsidRPr="00DB280A">
              <w:t xml:space="preserve">Brachytherapy treatment involves inserting radioactive material into </w:t>
            </w:r>
            <w:r>
              <w:t xml:space="preserve">the </w:t>
            </w:r>
            <w:r w:rsidRPr="00DB280A">
              <w:t>body near the cancer.</w:t>
            </w:r>
            <w:r>
              <w:t xml:space="preserve"> The material may be left in place permanently or </w:t>
            </w:r>
            <w:r w:rsidR="007206DE">
              <w:t>temporarily,</w:t>
            </w:r>
            <w:r>
              <w:t xml:space="preserve"> and can be used alone or in conjunction with external radiation treatment.</w:t>
            </w:r>
          </w:p>
        </w:tc>
      </w:tr>
      <w:tr w:rsidR="00F642EF" w:rsidRPr="002836EB" w14:paraId="2E2EAC7C"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95BCDF9" w14:textId="77777777" w:rsidR="00F642EF" w:rsidRPr="002836EB" w:rsidRDefault="00F642EF">
            <w:pPr>
              <w:pStyle w:val="02Tabletext"/>
            </w:pPr>
            <w:r w:rsidRPr="002836EB">
              <w:t>CAGR</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11F990A4" w14:textId="77777777" w:rsidR="00F642EF" w:rsidRPr="002836EB" w:rsidRDefault="00F642EF">
            <w:pPr>
              <w:pStyle w:val="02Tabletext"/>
            </w:pPr>
            <w:r w:rsidRPr="002836EB">
              <w:t xml:space="preserve">Compound annual growth rate, or the average annual growth rate over a specified time period. </w:t>
            </w:r>
          </w:p>
        </w:tc>
      </w:tr>
      <w:tr w:rsidR="00F642EF" w:rsidRPr="002836EB" w14:paraId="7AE4B8DD"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F9BE0C5" w14:textId="77777777" w:rsidR="00F642EF" w:rsidRPr="002836EB" w:rsidRDefault="00F642EF">
            <w:pPr>
              <w:pStyle w:val="02Tabletext"/>
            </w:pPr>
            <w:r w:rsidRPr="002836EB">
              <w:t>Change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2A0AC999" w14:textId="0FA07900" w:rsidR="00F642EF" w:rsidRPr="002836EB" w:rsidRDefault="00F642EF">
            <w:pPr>
              <w:pStyle w:val="02Tabletext"/>
            </w:pPr>
            <w:r w:rsidRPr="002836EB">
              <w:t xml:space="preserve">When referring to an item, </w:t>
            </w:r>
            <w:r w:rsidR="00F660F4">
              <w:t xml:space="preserve">‘change’ </w:t>
            </w:r>
            <w:r w:rsidRPr="002836EB">
              <w:t>describes when the item and/or its services will be affected by the recommendations. This could result from a range of recommendations, such as: (i) specific recommendations that affect the services provided by changing item descriptors or explanatory notes</w:t>
            </w:r>
            <w:r w:rsidR="00D50570">
              <w:t>;</w:t>
            </w:r>
            <w:r w:rsidRPr="002836EB">
              <w:t xml:space="preserve"> (ii) the consolidation of item numbers</w:t>
            </w:r>
            <w:r w:rsidR="00F90B11">
              <w:t>;</w:t>
            </w:r>
            <w:r w:rsidRPr="002836EB">
              <w:t xml:space="preserve"> and (iii) splitting item numbers (</w:t>
            </w:r>
            <w:r w:rsidR="0013614F">
              <w:t>for example</w:t>
            </w:r>
            <w:r w:rsidRPr="002836EB">
              <w:t>, splitting the current services provided across two or more items).</w:t>
            </w:r>
          </w:p>
        </w:tc>
      </w:tr>
      <w:tr w:rsidR="001F7D08" w:rsidRPr="002836EB" w14:paraId="5A005FFE"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819C282" w14:textId="5B6F8922" w:rsidR="001F7D08" w:rsidRPr="002836EB" w:rsidRDefault="001F7D08">
            <w:pPr>
              <w:pStyle w:val="02Tabletext"/>
            </w:pPr>
            <w:r>
              <w:t xml:space="preserve">Chemotherapy </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5F47A135" w14:textId="74A1D345" w:rsidR="001F7D08" w:rsidRPr="002836EB" w:rsidRDefault="001F7D08">
            <w:pPr>
              <w:pStyle w:val="02Tabletext"/>
            </w:pPr>
            <w:r>
              <w:t>T</w:t>
            </w:r>
            <w:r w:rsidRPr="001F7D08">
              <w:t>he treatment of disease by the use of chemical substances, especially the treatment of cancer by cytotoxic and other drugs</w:t>
            </w:r>
            <w:r>
              <w:t>.</w:t>
            </w:r>
          </w:p>
        </w:tc>
      </w:tr>
      <w:tr w:rsidR="00493BE7" w:rsidRPr="002836EB" w14:paraId="1A424144"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6FB4352" w14:textId="7ACE8A64" w:rsidR="00493BE7" w:rsidRPr="002836EB" w:rsidRDefault="00493BE7">
            <w:pPr>
              <w:pStyle w:val="02Tabletext"/>
            </w:pPr>
            <w:r>
              <w:t>CMS</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20528EF0" w14:textId="12C57D23" w:rsidR="00493BE7" w:rsidRPr="002836EB" w:rsidRDefault="00493BE7">
            <w:pPr>
              <w:pStyle w:val="02Tabletext"/>
            </w:pPr>
            <w:r w:rsidRPr="00C309D6">
              <w:t>The Centers for Medicare &amp; Medicaid Services</w:t>
            </w:r>
            <w:r w:rsidR="00A92E09">
              <w:t>.</w:t>
            </w:r>
          </w:p>
        </w:tc>
      </w:tr>
      <w:tr w:rsidR="008A651C" w:rsidRPr="002836EB" w14:paraId="37870AB0"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0DCBC9D" w14:textId="52B1E358" w:rsidR="008A651C" w:rsidRPr="002836EB" w:rsidRDefault="008A651C">
            <w:pPr>
              <w:pStyle w:val="02Tabletext"/>
            </w:pPr>
            <w:r>
              <w:t>CT</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5F3CB8B6" w14:textId="3D5E5007" w:rsidR="008A651C" w:rsidRPr="002836EB" w:rsidRDefault="008A651C">
            <w:pPr>
              <w:pStyle w:val="02Tabletext"/>
            </w:pPr>
            <w:r>
              <w:t>Computed tomography</w:t>
            </w:r>
            <w:r w:rsidR="009F5D1D">
              <w:t>, a medical imaging modality</w:t>
            </w:r>
            <w:r w:rsidR="00A92E09">
              <w:t>.</w:t>
            </w:r>
          </w:p>
        </w:tc>
      </w:tr>
      <w:tr w:rsidR="00923A49" w:rsidRPr="002836EB" w14:paraId="66C25228"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C9CE152" w14:textId="47D6C849" w:rsidR="00923A49" w:rsidRDefault="00923A49">
            <w:pPr>
              <w:pStyle w:val="02Tabletext"/>
            </w:pPr>
            <w:r>
              <w:t>DCAT</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197CE0A1" w14:textId="6630EBBD" w:rsidR="00923A49" w:rsidRPr="00923A49" w:rsidRDefault="00923A49" w:rsidP="00923A49">
            <w:pPr>
              <w:pStyle w:val="02Tabletext"/>
            </w:pPr>
            <w:r>
              <w:t>Dynamic conformal arc therapy</w:t>
            </w:r>
            <w:r w:rsidR="00A92E09">
              <w:t>.</w:t>
            </w:r>
          </w:p>
        </w:tc>
      </w:tr>
      <w:tr w:rsidR="00F642EF" w:rsidRPr="002836EB" w14:paraId="2C92B4A9"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394DEA9" w14:textId="77777777" w:rsidR="00F642EF" w:rsidRPr="002836EB" w:rsidRDefault="00F642EF">
            <w:pPr>
              <w:pStyle w:val="02Tabletext"/>
            </w:pPr>
            <w:r w:rsidRPr="002836EB">
              <w:t>Delete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712ED448" w14:textId="77777777" w:rsidR="00F642EF" w:rsidRPr="002836EB" w:rsidRDefault="00F642EF">
            <w:pPr>
              <w:pStyle w:val="02Tabletext"/>
            </w:pPr>
            <w:r w:rsidRPr="002836EB">
              <w:rPr>
                <w:color w:val="000000"/>
              </w:rPr>
              <w:t>Describes when an item is recommended for removal from the MBS and its services will no longer be provided under the MBS.</w:t>
            </w:r>
          </w:p>
        </w:tc>
      </w:tr>
      <w:tr w:rsidR="00F642EF" w:rsidRPr="002836EB" w14:paraId="60D7ADD9"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3297D75" w14:textId="77777777" w:rsidR="00F642EF" w:rsidRPr="002836EB" w:rsidRDefault="00F642EF">
            <w:pPr>
              <w:pStyle w:val="02Tabletext"/>
            </w:pPr>
            <w:r w:rsidRPr="002836EB">
              <w:t>Department, The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39BE9E9D" w14:textId="7DD0B1A2" w:rsidR="00F642EF" w:rsidRPr="002836EB" w:rsidRDefault="00F642EF">
            <w:pPr>
              <w:pStyle w:val="02Tabletext"/>
            </w:pPr>
            <w:r w:rsidRPr="002836EB">
              <w:t>Australian Government Department of Health</w:t>
            </w:r>
            <w:r w:rsidR="00A92E09">
              <w:t>.</w:t>
            </w:r>
          </w:p>
        </w:tc>
      </w:tr>
      <w:tr w:rsidR="00F642EF" w:rsidRPr="002836EB" w14:paraId="6AD27A40"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D353C3E" w14:textId="77777777" w:rsidR="00F642EF" w:rsidRPr="002836EB" w:rsidRDefault="00F642EF">
            <w:pPr>
              <w:pStyle w:val="02Tabletext"/>
            </w:pPr>
            <w:r w:rsidRPr="002836EB">
              <w:t>DHS</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0E54EB45" w14:textId="4A3B9D58" w:rsidR="00F642EF" w:rsidRPr="002836EB" w:rsidRDefault="00F642EF">
            <w:pPr>
              <w:pStyle w:val="02Tabletext"/>
            </w:pPr>
            <w:r w:rsidRPr="002836EB">
              <w:t>Australian Government Department of Human Services</w:t>
            </w:r>
            <w:r w:rsidR="00A92E09">
              <w:t>.</w:t>
            </w:r>
          </w:p>
        </w:tc>
      </w:tr>
      <w:tr w:rsidR="00493BE7" w:rsidRPr="002836EB" w14:paraId="7DDC085F" w14:textId="77777777" w:rsidTr="004347E0">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28E4C52" w14:textId="7D3A12BA" w:rsidR="00493BE7" w:rsidRPr="002836EB" w:rsidRDefault="00493BE7">
            <w:pPr>
              <w:pStyle w:val="02Tabletext"/>
            </w:pPr>
            <w:r>
              <w:t>DICC</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7812A1F4" w14:textId="6C101ECB" w:rsidR="00493BE7" w:rsidRPr="002836EB" w:rsidRDefault="00493BE7">
            <w:pPr>
              <w:pStyle w:val="02Tabletext"/>
            </w:pPr>
            <w:r w:rsidRPr="00B66EB3">
              <w:t>Diagnostic Imaging Clinical Committee</w:t>
            </w:r>
            <w:r w:rsidR="00A92E09">
              <w:t>.</w:t>
            </w:r>
          </w:p>
        </w:tc>
      </w:tr>
      <w:tr w:rsidR="002552B4" w:rsidRPr="002836EB" w14:paraId="778F31D7"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F360052" w14:textId="4B77ECBB" w:rsidR="002552B4" w:rsidRPr="002836EB" w:rsidRDefault="002552B4">
            <w:pPr>
              <w:pStyle w:val="02Tabletext"/>
            </w:pPr>
            <w:r>
              <w:t>DIST</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25B6F985" w14:textId="417A4C2E" w:rsidR="002552B4" w:rsidRPr="002836EB" w:rsidRDefault="002552B4">
            <w:pPr>
              <w:pStyle w:val="02Tabletext"/>
            </w:pPr>
            <w:r w:rsidRPr="002836EB">
              <w:t>Diagnostic Imaging Services Table</w:t>
            </w:r>
            <w:r w:rsidR="00A92E09">
              <w:t>.</w:t>
            </w:r>
          </w:p>
        </w:tc>
      </w:tr>
      <w:tr w:rsidR="00DB280A" w:rsidRPr="002836EB" w14:paraId="7C3401C6"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F2FA40D" w14:textId="7234F413" w:rsidR="00DB280A" w:rsidRDefault="00DB280A">
            <w:pPr>
              <w:pStyle w:val="02Tabletext"/>
            </w:pPr>
            <w:r>
              <w:t>Dosimetry</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11B58821" w14:textId="50096070" w:rsidR="00DB280A" w:rsidRPr="002836EB" w:rsidRDefault="00DB280A" w:rsidP="00A92E09">
            <w:pPr>
              <w:pStyle w:val="02Tabletext"/>
            </w:pPr>
            <w:r>
              <w:t xml:space="preserve">Dosimetry is used to </w:t>
            </w:r>
            <w:r w:rsidR="00A92E09">
              <w:t>calculate and assess</w:t>
            </w:r>
            <w:r>
              <w:t xml:space="preserve"> the </w:t>
            </w:r>
            <w:r w:rsidR="00A92E09">
              <w:t xml:space="preserve">radiation </w:t>
            </w:r>
            <w:r>
              <w:t xml:space="preserve">dose </w:t>
            </w:r>
            <w:r w:rsidR="00A92E09">
              <w:t xml:space="preserve">to be </w:t>
            </w:r>
            <w:r>
              <w:t>delivered</w:t>
            </w:r>
            <w:r w:rsidR="00A92E09">
              <w:t>.</w:t>
            </w:r>
          </w:p>
        </w:tc>
      </w:tr>
      <w:tr w:rsidR="008A651C" w:rsidRPr="002836EB" w14:paraId="30D1FA98"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855272B" w14:textId="028771DD" w:rsidR="008A651C" w:rsidRDefault="008A651C">
            <w:pPr>
              <w:pStyle w:val="02Tabletext"/>
            </w:pPr>
            <w:r>
              <w:t>FDG</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25CC7C86" w14:textId="1EEB8DBC" w:rsidR="008A651C" w:rsidRPr="002836EB" w:rsidRDefault="008A651C" w:rsidP="00B87BF4">
            <w:pPr>
              <w:pStyle w:val="02Tabletext"/>
            </w:pPr>
            <w:r>
              <w:t>Fludeoxyglucose</w:t>
            </w:r>
            <w:r w:rsidR="00B87BF4">
              <w:t>, a radiopharmaceutical used in PET</w:t>
            </w:r>
            <w:r w:rsidR="00A92E09">
              <w:t>.</w:t>
            </w:r>
          </w:p>
        </w:tc>
      </w:tr>
      <w:tr w:rsidR="00F0048A" w:rsidRPr="002836EB" w14:paraId="2F4A2E0B" w14:textId="77777777" w:rsidTr="00AF2C08">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619072B" w14:textId="4BD52A85" w:rsidR="00F0048A" w:rsidRPr="002836EB" w:rsidRDefault="00F0048A">
            <w:pPr>
              <w:pStyle w:val="02Tabletext"/>
            </w:pPr>
            <w:r>
              <w:t>FRO</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6934F28E" w14:textId="255BAD16" w:rsidR="00F0048A" w:rsidRPr="002836EB" w:rsidRDefault="00865EDC">
            <w:pPr>
              <w:pStyle w:val="02Tabletext"/>
            </w:pPr>
            <w:r w:rsidRPr="00335892">
              <w:t>RANZCR Faculty of Radiation Oncology</w:t>
            </w:r>
            <w:r w:rsidR="00A92E09">
              <w:t>.</w:t>
            </w:r>
          </w:p>
        </w:tc>
      </w:tr>
      <w:tr w:rsidR="00F642EF" w:rsidRPr="002836EB" w14:paraId="2FCBA067"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7A8CE55" w14:textId="77777777" w:rsidR="00F642EF" w:rsidRPr="002836EB" w:rsidRDefault="00F642EF">
            <w:pPr>
              <w:pStyle w:val="02Tabletext"/>
            </w:pPr>
            <w:r w:rsidRPr="002836EB">
              <w:t>FY</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120047B5" w14:textId="490BE043" w:rsidR="00F642EF" w:rsidRPr="002836EB" w:rsidRDefault="00F642EF">
            <w:pPr>
              <w:pStyle w:val="02Tabletext"/>
            </w:pPr>
            <w:r w:rsidRPr="002836EB">
              <w:t>Financial year</w:t>
            </w:r>
            <w:r w:rsidR="00A92E09">
              <w:t>.</w:t>
            </w:r>
          </w:p>
        </w:tc>
      </w:tr>
      <w:tr w:rsidR="00F642EF" w:rsidRPr="002836EB" w14:paraId="7146307C"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F529F91" w14:textId="77777777" w:rsidR="00F642EF" w:rsidRPr="002836EB" w:rsidRDefault="00F642EF">
            <w:pPr>
              <w:pStyle w:val="02Tabletext"/>
            </w:pPr>
            <w:r w:rsidRPr="002836EB">
              <w:t>GP</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5FC059E9" w14:textId="67A737D0" w:rsidR="00F642EF" w:rsidRPr="002836EB" w:rsidRDefault="009A368B">
            <w:pPr>
              <w:pStyle w:val="02Tabletext"/>
            </w:pPr>
            <w:r w:rsidRPr="002836EB">
              <w:t>General Practitioner</w:t>
            </w:r>
            <w:r w:rsidR="00A92E09">
              <w:t>.</w:t>
            </w:r>
          </w:p>
        </w:tc>
      </w:tr>
      <w:tr w:rsidR="00F642EF" w:rsidRPr="002836EB" w14:paraId="162FA925"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CBEF404" w14:textId="77777777" w:rsidR="00F642EF" w:rsidRPr="002836EB" w:rsidRDefault="00F642EF">
            <w:pPr>
              <w:pStyle w:val="02Tabletext"/>
            </w:pPr>
            <w:r w:rsidRPr="002836EB">
              <w:t>High-value care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34A417BE" w14:textId="77777777" w:rsidR="00F642EF" w:rsidRPr="002836EB" w:rsidRDefault="00F642EF">
            <w:pPr>
              <w:pStyle w:val="02Tabletext"/>
            </w:pPr>
            <w:r w:rsidRPr="002836EB">
              <w:t>Services of proven efficacy reflecting current best medical practice, or for which the potential benefit to consumers exceeds the risk and costs.</w:t>
            </w:r>
          </w:p>
        </w:tc>
      </w:tr>
      <w:tr w:rsidR="001F394A" w:rsidRPr="002836EB" w14:paraId="0557ABDE"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C11BE04" w14:textId="0F69176D" w:rsidR="001F394A" w:rsidRPr="002836EB" w:rsidRDefault="001F394A">
            <w:pPr>
              <w:pStyle w:val="02Tabletext"/>
            </w:pPr>
            <w:r>
              <w:t>IA</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5FB3873A" w14:textId="15151FB9" w:rsidR="001F394A" w:rsidRPr="002836EB" w:rsidRDefault="00913C83">
            <w:pPr>
              <w:pStyle w:val="02Tabletext"/>
            </w:pPr>
            <w:r>
              <w:t>I</w:t>
            </w:r>
            <w:r w:rsidRPr="00F16441">
              <w:t>ntra</w:t>
            </w:r>
            <w:r>
              <w:t>-</w:t>
            </w:r>
            <w:r w:rsidRPr="00F16441">
              <w:t>arterial</w:t>
            </w:r>
            <w:r w:rsidR="00A92E09">
              <w:t>.</w:t>
            </w:r>
          </w:p>
        </w:tc>
      </w:tr>
      <w:tr w:rsidR="007B0BE9" w:rsidRPr="002836EB" w14:paraId="7DFD6E62"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AA1C69D" w14:textId="7E809AC9" w:rsidR="007B0BE9" w:rsidRDefault="007B0BE9">
            <w:pPr>
              <w:pStyle w:val="02Tabletext"/>
            </w:pPr>
            <w:r>
              <w:t>IGRT</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1B4D4283" w14:textId="78296165" w:rsidR="007B0BE9" w:rsidRDefault="007B0BE9" w:rsidP="00584B54">
            <w:pPr>
              <w:pStyle w:val="02Tabletext"/>
            </w:pPr>
            <w:r>
              <w:t xml:space="preserve">Image-guided radiation </w:t>
            </w:r>
            <w:r w:rsidRPr="00584B54">
              <w:t>therapy</w:t>
            </w:r>
            <w:r w:rsidR="00584B54" w:rsidRPr="00584B54">
              <w:t xml:space="preserve"> is the </w:t>
            </w:r>
            <w:r w:rsidR="00584B54" w:rsidRPr="00584B54">
              <w:rPr>
                <w:rStyle w:val="tgc"/>
                <w:color w:val="222222"/>
              </w:rPr>
              <w:t xml:space="preserve">process of frequent two and three-dimensional </w:t>
            </w:r>
            <w:r w:rsidR="00584B54" w:rsidRPr="00584B54">
              <w:rPr>
                <w:rStyle w:val="tgc"/>
                <w:bCs/>
                <w:color w:val="222222"/>
              </w:rPr>
              <w:t>imaging</w:t>
            </w:r>
            <w:r w:rsidR="00584B54" w:rsidRPr="00584B54">
              <w:rPr>
                <w:rStyle w:val="tgc"/>
                <w:color w:val="222222"/>
              </w:rPr>
              <w:t xml:space="preserve">, during a course of </w:t>
            </w:r>
            <w:r w:rsidR="00584B54" w:rsidRPr="00584B54">
              <w:rPr>
                <w:rStyle w:val="tgc"/>
                <w:bCs/>
                <w:color w:val="222222"/>
              </w:rPr>
              <w:t>radiation treatment</w:t>
            </w:r>
            <w:r w:rsidR="00584B54" w:rsidRPr="00584B54">
              <w:rPr>
                <w:rStyle w:val="tgc"/>
                <w:color w:val="222222"/>
              </w:rPr>
              <w:t xml:space="preserve">, used to direct </w:t>
            </w:r>
            <w:r w:rsidR="00584B54" w:rsidRPr="00584B54">
              <w:rPr>
                <w:rStyle w:val="tgc"/>
                <w:bCs/>
                <w:color w:val="222222"/>
              </w:rPr>
              <w:t>radiation therapy</w:t>
            </w:r>
            <w:r w:rsidR="00584B54" w:rsidRPr="00584B54">
              <w:rPr>
                <w:rStyle w:val="tgc"/>
                <w:color w:val="222222"/>
              </w:rPr>
              <w:t xml:space="preserve"> utili</w:t>
            </w:r>
            <w:r w:rsidR="00584B54">
              <w:rPr>
                <w:rStyle w:val="tgc"/>
                <w:color w:val="222222"/>
              </w:rPr>
              <w:t>s</w:t>
            </w:r>
            <w:r w:rsidR="00584B54" w:rsidRPr="00584B54">
              <w:rPr>
                <w:rStyle w:val="tgc"/>
                <w:color w:val="222222"/>
              </w:rPr>
              <w:t xml:space="preserve">ing the </w:t>
            </w:r>
            <w:r w:rsidR="00584B54" w:rsidRPr="00584B54">
              <w:rPr>
                <w:rStyle w:val="tgc"/>
                <w:bCs/>
                <w:color w:val="222222"/>
              </w:rPr>
              <w:t>imaging</w:t>
            </w:r>
            <w:r w:rsidR="00584B54" w:rsidRPr="00584B54">
              <w:rPr>
                <w:rStyle w:val="tgc"/>
                <w:color w:val="222222"/>
              </w:rPr>
              <w:t xml:space="preserve"> coordinates of the actual </w:t>
            </w:r>
            <w:r w:rsidR="00584B54" w:rsidRPr="00584B54">
              <w:rPr>
                <w:rStyle w:val="tgc"/>
                <w:bCs/>
                <w:color w:val="222222"/>
              </w:rPr>
              <w:t>radiation treatment</w:t>
            </w:r>
            <w:r w:rsidR="00584B54" w:rsidRPr="00584B54">
              <w:rPr>
                <w:rStyle w:val="tgc"/>
                <w:color w:val="222222"/>
              </w:rPr>
              <w:t xml:space="preserve"> plan</w:t>
            </w:r>
            <w:r w:rsidR="00584B54">
              <w:rPr>
                <w:rStyle w:val="tgc"/>
                <w:color w:val="222222"/>
              </w:rPr>
              <w:t>.</w:t>
            </w:r>
          </w:p>
        </w:tc>
      </w:tr>
      <w:tr w:rsidR="00C51544" w:rsidRPr="002836EB" w14:paraId="5F424A4B"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3BF6EC30" w14:textId="0D28FEEF" w:rsidR="00C51544" w:rsidRDefault="00C51544">
            <w:pPr>
              <w:pStyle w:val="02Tabletext"/>
            </w:pPr>
            <w:r>
              <w:t>IMRT</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0ACFC196" w14:textId="46FD8940" w:rsidR="00C51544" w:rsidRDefault="00C51544" w:rsidP="00A92E09">
            <w:pPr>
              <w:pStyle w:val="02Tabletext"/>
            </w:pPr>
            <w:r>
              <w:t>Intensity-modulated radiation therapy</w:t>
            </w:r>
            <w:r w:rsidR="00A92E09">
              <w:t xml:space="preserve"> </w:t>
            </w:r>
            <w:r w:rsidR="00A92E09" w:rsidRPr="00A92E09">
              <w:t>is a radiotherapy technique that allows radiation to be more closely shaped to fit the tumour and spare nearby critical normal tissue.</w:t>
            </w:r>
          </w:p>
        </w:tc>
      </w:tr>
      <w:tr w:rsidR="00F642EF" w:rsidRPr="002836EB" w14:paraId="5E4F8C24"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D78B11B" w14:textId="77777777" w:rsidR="00F642EF" w:rsidRPr="002836EB" w:rsidRDefault="00F642EF">
            <w:pPr>
              <w:pStyle w:val="02Tabletext"/>
            </w:pPr>
            <w:r w:rsidRPr="002836EB">
              <w:t>Inappropriate use / misuse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5A2F2948" w14:textId="77777777" w:rsidR="00F642EF" w:rsidRPr="002836EB" w:rsidRDefault="00F642EF">
            <w:pPr>
              <w:pStyle w:val="02Tabletext"/>
            </w:pPr>
            <w:r w:rsidRPr="002836EB">
              <w:t>The use of MBS services for purposes other than those intended. This includes a range of behaviours, from failing to adhere to particular item descriptors or rules through to deliberate fraud.</w:t>
            </w:r>
          </w:p>
        </w:tc>
      </w:tr>
      <w:tr w:rsidR="001F394A" w:rsidRPr="002836EB" w14:paraId="10BD545B"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8DBA059" w14:textId="4A59F0F0" w:rsidR="001F394A" w:rsidRPr="002836EB" w:rsidRDefault="001F394A">
            <w:pPr>
              <w:pStyle w:val="02Tabletext"/>
            </w:pPr>
            <w:r>
              <w:t>IV</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2CA3533F" w14:textId="3366AA5F" w:rsidR="001F394A" w:rsidRPr="002836EB" w:rsidRDefault="009A6D02">
            <w:pPr>
              <w:pStyle w:val="02Tabletext"/>
            </w:pPr>
            <w:r>
              <w:t>I</w:t>
            </w:r>
            <w:r w:rsidRPr="00F16441">
              <w:t>ntravenous</w:t>
            </w:r>
            <w:r w:rsidR="00A92E09">
              <w:t>.</w:t>
            </w:r>
          </w:p>
        </w:tc>
      </w:tr>
      <w:tr w:rsidR="005E3841" w:rsidRPr="002836EB" w14:paraId="2A901989"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F193F2A" w14:textId="032D36BD" w:rsidR="005E3841" w:rsidRDefault="00796E52">
            <w:pPr>
              <w:pStyle w:val="02Tabletext"/>
            </w:pPr>
            <w:r>
              <w:t>LINAC</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36991A3B" w14:textId="4D652F65" w:rsidR="005E3841" w:rsidRDefault="00A92E09" w:rsidP="0088752D">
            <w:pPr>
              <w:pStyle w:val="02Tabletext"/>
            </w:pPr>
            <w:r>
              <w:t>A l</w:t>
            </w:r>
            <w:r w:rsidR="002B3833">
              <w:t>inear accelerator</w:t>
            </w:r>
            <w:r w:rsidR="0088752D">
              <w:t xml:space="preserve"> produces megavoltage x-rays. It accelerates</w:t>
            </w:r>
            <w:r w:rsidRPr="00A92E09">
              <w:t xml:space="preserve"> charged particles in a straight line by successive impulses from a series of electric fields</w:t>
            </w:r>
            <w:r>
              <w:t>.</w:t>
            </w:r>
          </w:p>
        </w:tc>
      </w:tr>
      <w:tr w:rsidR="00F642EF" w:rsidRPr="002836EB" w14:paraId="39744919"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CC02AE1" w14:textId="77777777" w:rsidR="00F642EF" w:rsidRPr="002836EB" w:rsidRDefault="00F642EF">
            <w:pPr>
              <w:pStyle w:val="02Tabletext"/>
            </w:pPr>
            <w:r w:rsidRPr="002836EB">
              <w:t>Low-value care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6339BF7F" w14:textId="77777777" w:rsidR="00F642EF" w:rsidRPr="002836EB" w:rsidRDefault="00F642EF">
            <w:pPr>
              <w:pStyle w:val="02Tabletext"/>
            </w:pPr>
            <w:r w:rsidRPr="002836EB">
              <w:t>Services that evidence suggests confer no or very little benefit to consumers; or for which the risk of harm exceeds the likely benefit; or, more broadly, where the added costs of services do not provide proportional added benefits.</w:t>
            </w:r>
          </w:p>
        </w:tc>
      </w:tr>
      <w:tr w:rsidR="00F642EF" w:rsidRPr="002836EB" w14:paraId="12C91FA3"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D251561" w14:textId="77777777" w:rsidR="00F642EF" w:rsidRPr="002836EB" w:rsidRDefault="00F642EF">
            <w:pPr>
              <w:pStyle w:val="02Tabletext"/>
            </w:pPr>
            <w:r w:rsidRPr="002836EB">
              <w:t>MBS</w:t>
            </w:r>
          </w:p>
        </w:tc>
        <w:tc>
          <w:tcPr>
            <w:tcW w:w="6938"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52B20726" w14:textId="1632916D" w:rsidR="00F642EF" w:rsidRPr="002836EB" w:rsidRDefault="00F642EF" w:rsidP="00584B54">
            <w:pPr>
              <w:pStyle w:val="02Tabletext"/>
            </w:pPr>
            <w:r w:rsidRPr="002836EB">
              <w:t>Medicare Benefits Schedule</w:t>
            </w:r>
            <w:r w:rsidR="00A92E09">
              <w:t>.</w:t>
            </w:r>
          </w:p>
        </w:tc>
      </w:tr>
      <w:tr w:rsidR="00F642EF" w:rsidRPr="002836EB" w14:paraId="3F902D28"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8CF7A18" w14:textId="77777777" w:rsidR="00F642EF" w:rsidRPr="002836EB" w:rsidRDefault="00F642EF">
            <w:pPr>
              <w:pStyle w:val="02Tabletext"/>
            </w:pPr>
            <w:r w:rsidRPr="002836EB">
              <w:t>MBS item</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5A8BC84E" w14:textId="77777777" w:rsidR="00F642EF" w:rsidRPr="002836EB" w:rsidRDefault="00F642EF">
            <w:pPr>
              <w:pStyle w:val="02Tabletext"/>
            </w:pPr>
            <w:r w:rsidRPr="002836EB">
              <w:t>An administrative object listed in the MBS and used for the purposes of claiming and paying Medicare benefits, consisting of an item number, service descriptor and supporting information, schedule fee and Medicare benefits.</w:t>
            </w:r>
          </w:p>
        </w:tc>
      </w:tr>
      <w:tr w:rsidR="00F642EF" w:rsidRPr="002836EB" w14:paraId="554F60E5"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92122B0" w14:textId="77777777" w:rsidR="00F642EF" w:rsidRPr="002836EB" w:rsidRDefault="00F642EF">
            <w:pPr>
              <w:pStyle w:val="02Tabletext"/>
            </w:pPr>
            <w:r w:rsidRPr="002836EB">
              <w:lastRenderedPageBreak/>
              <w:t>MBS service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273C7489" w14:textId="77777777" w:rsidR="00F642EF" w:rsidRPr="002836EB" w:rsidRDefault="00F642EF">
            <w:pPr>
              <w:pStyle w:val="02Tabletext"/>
            </w:pPr>
            <w:r w:rsidRPr="002836EB">
              <w:t>The actual medical consultation, procedure or test to which the relevant MBS item refers.</w:t>
            </w:r>
          </w:p>
        </w:tc>
      </w:tr>
      <w:tr w:rsidR="0088752D" w:rsidRPr="002836EB" w14:paraId="738D51B5"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6F87B1B" w14:textId="0F84779B" w:rsidR="0088752D" w:rsidRPr="002836EB" w:rsidRDefault="0088752D">
            <w:pPr>
              <w:pStyle w:val="02Tabletext"/>
            </w:pPr>
            <w:r>
              <w:t>Megavoltage</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15979720" w14:textId="67ED2988" w:rsidR="0088752D" w:rsidRPr="002836EB" w:rsidRDefault="0088752D">
            <w:pPr>
              <w:pStyle w:val="02Tabletext"/>
            </w:pPr>
            <w:r>
              <w:t>Deep x-rays used to treat deep seated tumours, eg bladder, bowel, prostrate, lung or brain.</w:t>
            </w:r>
          </w:p>
        </w:tc>
      </w:tr>
      <w:tr w:rsidR="00F642EF" w:rsidRPr="002836EB" w14:paraId="409F344B" w14:textId="77777777" w:rsidTr="00C1031E">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614502B6" w14:textId="77777777" w:rsidR="00F642EF" w:rsidRPr="002836EB" w:rsidRDefault="00F642EF">
            <w:pPr>
              <w:pStyle w:val="02Tabletext"/>
            </w:pPr>
            <w:r w:rsidRPr="002836EB">
              <w:t>Misuse (of MBS item)</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2F85F1EF" w14:textId="77777777" w:rsidR="00F642EF" w:rsidRPr="002836EB" w:rsidRDefault="00F642EF">
            <w:pPr>
              <w:pStyle w:val="02Tabletext"/>
            </w:pPr>
            <w:r w:rsidRPr="002836EB">
              <w:t>The use of MBS services for purposes other than those intended. This includes a range of behaviours, from failing to adhere to particular item descriptors or rules through to deliberate fraud.</w:t>
            </w:r>
          </w:p>
        </w:tc>
      </w:tr>
      <w:tr w:rsidR="00B66055" w:rsidRPr="002836EB" w14:paraId="4570AF0E"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FFA66AF" w14:textId="6E1453D4" w:rsidR="00B66055" w:rsidRPr="002836EB" w:rsidRDefault="00B66055">
            <w:pPr>
              <w:pStyle w:val="02Tabletext"/>
            </w:pPr>
            <w:r w:rsidRPr="002836EB">
              <w:t>MOWG</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1442101C" w14:textId="12963E88" w:rsidR="00B66055" w:rsidRPr="002836EB" w:rsidRDefault="00B66055">
            <w:pPr>
              <w:pStyle w:val="02Tabletext"/>
            </w:pPr>
            <w:r w:rsidRPr="002836EB">
              <w:t>Medical Oncology Working Group of the Oncology Clinical Committee</w:t>
            </w:r>
            <w:r w:rsidR="00584B54">
              <w:t>.</w:t>
            </w:r>
          </w:p>
        </w:tc>
      </w:tr>
      <w:tr w:rsidR="008A651C" w:rsidRPr="002836EB" w14:paraId="0AEEF1EB"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3B69D038" w14:textId="642479A6" w:rsidR="008A651C" w:rsidRPr="002836EB" w:rsidRDefault="008A651C">
            <w:pPr>
              <w:pStyle w:val="02Tabletext"/>
            </w:pPr>
            <w:r>
              <w:t>MRI</w:t>
            </w:r>
          </w:p>
        </w:tc>
        <w:tc>
          <w:tcPr>
            <w:tcW w:w="6938" w:type="dxa"/>
            <w:tcBorders>
              <w:top w:val="nil"/>
              <w:left w:val="nil"/>
              <w:bottom w:val="single" w:sz="8" w:space="0" w:color="BFBFBF"/>
              <w:right w:val="single" w:sz="8" w:space="0" w:color="BFBFBF"/>
            </w:tcBorders>
            <w:tcMar>
              <w:top w:w="28" w:type="dxa"/>
              <w:left w:w="28" w:type="dxa"/>
              <w:bottom w:w="28" w:type="dxa"/>
              <w:right w:w="28" w:type="dxa"/>
            </w:tcMar>
          </w:tcPr>
          <w:p w14:paraId="6565BC20" w14:textId="755BCD50" w:rsidR="008A651C" w:rsidRPr="002836EB" w:rsidRDefault="008A651C" w:rsidP="00584B54">
            <w:pPr>
              <w:pStyle w:val="02Tabletext"/>
            </w:pPr>
            <w:r>
              <w:t>Magnetic resonance imaging</w:t>
            </w:r>
            <w:r w:rsidR="009F5D1D">
              <w:t>, a medical imaging modality</w:t>
            </w:r>
            <w:r w:rsidR="00584B54">
              <w:t xml:space="preserve"> that uses a</w:t>
            </w:r>
            <w:r w:rsidR="00584B54" w:rsidRPr="00584B54">
              <w:t xml:space="preserve"> magnetic field </w:t>
            </w:r>
            <w:r w:rsidR="00584B54">
              <w:t>to temporarily realign</w:t>
            </w:r>
            <w:r w:rsidR="00584B54" w:rsidRPr="00584B54">
              <w:t xml:space="preserve"> hydrogen atoms</w:t>
            </w:r>
            <w:r w:rsidR="00584B54">
              <w:t xml:space="preserve"> and </w:t>
            </w:r>
            <w:r w:rsidR="00584B54" w:rsidRPr="00584B54">
              <w:t xml:space="preserve">create detailed images of the organs and tissues in </w:t>
            </w:r>
            <w:r w:rsidR="00584B54">
              <w:t>the</w:t>
            </w:r>
            <w:r w:rsidR="00584B54" w:rsidRPr="00584B54">
              <w:t xml:space="preserve"> body</w:t>
            </w:r>
            <w:r w:rsidR="00584B54">
              <w:t xml:space="preserve">, </w:t>
            </w:r>
          </w:p>
        </w:tc>
      </w:tr>
      <w:tr w:rsidR="00F642EF" w:rsidRPr="002836EB" w14:paraId="33857DBA" w14:textId="77777777" w:rsidTr="00F0048A">
        <w:tc>
          <w:tcPr>
            <w:tcW w:w="2144"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66BE5D1" w14:textId="77777777" w:rsidR="00F642EF" w:rsidRPr="002836EB" w:rsidRDefault="00F642EF">
            <w:pPr>
              <w:pStyle w:val="02Tabletext"/>
            </w:pPr>
            <w:r w:rsidRPr="002836EB">
              <w:t>MSAC</w:t>
            </w:r>
          </w:p>
        </w:tc>
        <w:tc>
          <w:tcPr>
            <w:tcW w:w="6938" w:type="dxa"/>
            <w:tcBorders>
              <w:top w:val="nil"/>
              <w:left w:val="nil"/>
              <w:bottom w:val="single" w:sz="8" w:space="0" w:color="BFBFBF"/>
              <w:right w:val="single" w:sz="8" w:space="0" w:color="BFBFBF"/>
            </w:tcBorders>
            <w:tcMar>
              <w:top w:w="28" w:type="dxa"/>
              <w:left w:w="28" w:type="dxa"/>
              <w:bottom w:w="28" w:type="dxa"/>
              <w:right w:w="28" w:type="dxa"/>
            </w:tcMar>
            <w:hideMark/>
          </w:tcPr>
          <w:p w14:paraId="145C49BC" w14:textId="37A3DC08" w:rsidR="00F642EF" w:rsidRPr="002836EB" w:rsidRDefault="00F642EF">
            <w:pPr>
              <w:pStyle w:val="02Tabletext"/>
            </w:pPr>
            <w:r w:rsidRPr="002836EB">
              <w:t>Medical Services Advisory Committee</w:t>
            </w:r>
            <w:r w:rsidR="00584B54">
              <w:t>.</w:t>
            </w:r>
          </w:p>
        </w:tc>
      </w:tr>
      <w:tr w:rsidR="00F642EF" w:rsidRPr="002836EB" w14:paraId="2FF936FD"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335068A" w14:textId="77777777" w:rsidR="00F642EF" w:rsidRPr="002836EB" w:rsidRDefault="00F642EF">
            <w:pPr>
              <w:pStyle w:val="02Tabletext"/>
            </w:pPr>
            <w:r w:rsidRPr="002836EB">
              <w:t xml:space="preserve">New service </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444897ED" w14:textId="40C523D0" w:rsidR="00F642EF" w:rsidRPr="002836EB" w:rsidRDefault="00F642EF" w:rsidP="00BE2ED7">
            <w:pPr>
              <w:pStyle w:val="02Tabletext"/>
            </w:pPr>
            <w:r w:rsidRPr="002836EB">
              <w:rPr>
                <w:color w:val="000000"/>
              </w:rPr>
              <w:t xml:space="preserve">Describes when a new service has been recommended, with a new item number. In most circumstances, these will need to go through </w:t>
            </w:r>
            <w:r w:rsidR="009721A9">
              <w:rPr>
                <w:color w:val="000000"/>
              </w:rPr>
              <w:t xml:space="preserve">the </w:t>
            </w:r>
            <w:r w:rsidRPr="002836EB">
              <w:rPr>
                <w:color w:val="000000"/>
              </w:rPr>
              <w:t xml:space="preserve">MSAC. It is worth noting that implementation of the recommendation may result in more or fewer item numbers than specifically stated. </w:t>
            </w:r>
          </w:p>
        </w:tc>
      </w:tr>
      <w:tr w:rsidR="002552B4" w:rsidRPr="002836EB" w14:paraId="0D045D27"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83532A2" w14:textId="7B765C95" w:rsidR="002552B4" w:rsidRPr="002836EB" w:rsidRDefault="002552B4">
            <w:pPr>
              <w:pStyle w:val="02Tabletext"/>
            </w:pPr>
            <w:r>
              <w:t>NHMRC</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4BE4364F" w14:textId="243D00C4" w:rsidR="002552B4" w:rsidRPr="002836EB" w:rsidRDefault="001A7A7C">
            <w:pPr>
              <w:pStyle w:val="02Tabletext"/>
              <w:rPr>
                <w:color w:val="000000"/>
              </w:rPr>
            </w:pPr>
            <w:r w:rsidRPr="00335892">
              <w:t>National Health and Medical Research Council</w:t>
            </w:r>
            <w:r w:rsidR="00584B54">
              <w:t>.</w:t>
            </w:r>
          </w:p>
        </w:tc>
      </w:tr>
      <w:tr w:rsidR="00A06311" w:rsidRPr="002836EB" w14:paraId="4F73732A"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222BB44" w14:textId="1B15FF5B" w:rsidR="00A06311" w:rsidRDefault="00A06311">
            <w:pPr>
              <w:pStyle w:val="02Tabletext"/>
            </w:pPr>
            <w:r>
              <w:t>NICE</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2976D91A" w14:textId="53531B38" w:rsidR="00A06311" w:rsidRPr="00335892" w:rsidRDefault="00A06311">
            <w:pPr>
              <w:pStyle w:val="02Tabletext"/>
            </w:pPr>
            <w:r w:rsidRPr="00C309D6">
              <w:t>The National Institute for Health and Care Excellence</w:t>
            </w:r>
            <w:r w:rsidR="00584B54">
              <w:t>.</w:t>
            </w:r>
          </w:p>
        </w:tc>
      </w:tr>
      <w:tr w:rsidR="00F642EF" w:rsidRPr="002836EB" w14:paraId="5296B304"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6BF643A" w14:textId="77777777" w:rsidR="00F642EF" w:rsidRPr="002836EB" w:rsidRDefault="00F642EF">
            <w:pPr>
              <w:pStyle w:val="02Tabletext"/>
            </w:pPr>
            <w:r w:rsidRPr="002836EB">
              <w:t xml:space="preserve">No change or unchanged </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7774B027" w14:textId="581AB10D" w:rsidR="00F642EF" w:rsidRPr="002836EB" w:rsidRDefault="00F642EF">
            <w:pPr>
              <w:pStyle w:val="02Tabletext"/>
            </w:pPr>
            <w:r w:rsidRPr="002836EB">
              <w:rPr>
                <w:color w:val="000000"/>
              </w:rPr>
              <w:t>Describes when the services provided under these items will not be changed or affected by the recommendations. This does not rule out small changes in item descriptors (</w:t>
            </w:r>
            <w:r w:rsidR="0013614F">
              <w:rPr>
                <w:color w:val="000000"/>
              </w:rPr>
              <w:t>for example</w:t>
            </w:r>
            <w:r w:rsidRPr="002836EB">
              <w:rPr>
                <w:color w:val="000000"/>
              </w:rPr>
              <w:t>, references to other items, which may have changed as a result of the MBS Review or prior reviews).</w:t>
            </w:r>
          </w:p>
        </w:tc>
      </w:tr>
      <w:tr w:rsidR="00777C83" w:rsidRPr="002836EB" w14:paraId="0A8DE79A"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7A5E7B30" w14:textId="77777777" w:rsidR="00777C83" w:rsidRPr="002836EB" w:rsidRDefault="00777C83" w:rsidP="00777C83">
            <w:pPr>
              <w:pStyle w:val="02Tabletext"/>
            </w:pPr>
            <w:r w:rsidRPr="002836EB">
              <w:t>Obsolete services / items</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15A8DF5E" w14:textId="77777777" w:rsidR="00777C83" w:rsidRPr="002836EB" w:rsidRDefault="00777C83" w:rsidP="00777C83">
            <w:pPr>
              <w:pStyle w:val="02Tabletext"/>
            </w:pPr>
            <w:r w:rsidRPr="002836EB">
              <w:rPr>
                <w:color w:val="000000"/>
              </w:rPr>
              <w:t>Services that should no longer be performed as they do not represent current clinical best practice and have been superseded by superior tests or procedures.</w:t>
            </w:r>
          </w:p>
        </w:tc>
      </w:tr>
      <w:tr w:rsidR="00D73BB3" w:rsidRPr="002836EB" w14:paraId="17528723"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9645E71" w14:textId="54171863" w:rsidR="00D73BB3" w:rsidRPr="002836EB" w:rsidRDefault="00D73BB3" w:rsidP="00777C83">
            <w:pPr>
              <w:pStyle w:val="02Tabletext"/>
            </w:pPr>
            <w:r>
              <w:t>Orthovoltage</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0A87D066" w14:textId="59507449" w:rsidR="00D73BB3" w:rsidRPr="002836EB" w:rsidRDefault="0088752D" w:rsidP="0088752D">
            <w:pPr>
              <w:pStyle w:val="02Tabletext"/>
              <w:rPr>
                <w:color w:val="000000"/>
              </w:rPr>
            </w:pPr>
            <w:r>
              <w:rPr>
                <w:color w:val="000000"/>
              </w:rPr>
              <w:t xml:space="preserve">Superficial x-rays used for treating skin cancer and superficial structures. </w:t>
            </w:r>
          </w:p>
        </w:tc>
      </w:tr>
      <w:tr w:rsidR="00777C83" w:rsidRPr="002836EB" w14:paraId="1E0003BA"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0FAB93E" w14:textId="77777777" w:rsidR="00777C83" w:rsidRPr="002836EB" w:rsidRDefault="00777C83" w:rsidP="00777C83">
            <w:pPr>
              <w:pStyle w:val="02Tabletext"/>
            </w:pPr>
            <w:r w:rsidRPr="002836EB">
              <w:t>PBS</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2DA13F24" w14:textId="36482024" w:rsidR="00777C83" w:rsidRPr="002836EB" w:rsidRDefault="00777C83" w:rsidP="00777C83">
            <w:pPr>
              <w:pStyle w:val="02Tabletext"/>
            </w:pPr>
            <w:r w:rsidRPr="002836EB">
              <w:t>Pharmaceutical Benefits Scheme</w:t>
            </w:r>
            <w:r w:rsidR="00584B54">
              <w:t>.</w:t>
            </w:r>
          </w:p>
        </w:tc>
      </w:tr>
      <w:tr w:rsidR="008A651C" w:rsidRPr="002836EB" w14:paraId="2552609F"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4BE0190" w14:textId="25481A6D" w:rsidR="008A651C" w:rsidRPr="002836EB" w:rsidRDefault="008A651C" w:rsidP="00777C83">
            <w:pPr>
              <w:pStyle w:val="02Tabletext"/>
            </w:pPr>
            <w:r>
              <w:t>PET</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184EE275" w14:textId="2042DA81" w:rsidR="008A651C" w:rsidRPr="002836EB" w:rsidRDefault="008A651C" w:rsidP="0000669A">
            <w:pPr>
              <w:pStyle w:val="02Tabletext"/>
            </w:pPr>
            <w:r>
              <w:t>Positron emission tomography</w:t>
            </w:r>
            <w:r w:rsidR="00B87BF4">
              <w:t xml:space="preserve">, a </w:t>
            </w:r>
            <w:r w:rsidR="0000669A">
              <w:t xml:space="preserve">nuclear </w:t>
            </w:r>
            <w:r w:rsidR="00B87BF4">
              <w:t>medical imaging modality</w:t>
            </w:r>
            <w:r w:rsidR="00584B54">
              <w:t>.</w:t>
            </w:r>
          </w:p>
        </w:tc>
      </w:tr>
      <w:tr w:rsidR="00455FDD" w:rsidRPr="002836EB" w14:paraId="59A1F03F"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F7254C5" w14:textId="479767B6" w:rsidR="00455FDD" w:rsidRPr="002836EB" w:rsidRDefault="00455FDD" w:rsidP="00777C83">
            <w:pPr>
              <w:pStyle w:val="02Tabletext"/>
            </w:pPr>
            <w:r>
              <w:t>PICC</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102AEBBA" w14:textId="62CA401D" w:rsidR="00455FDD" w:rsidRPr="002836EB" w:rsidRDefault="009D3BBC" w:rsidP="00777C83">
            <w:pPr>
              <w:pStyle w:val="02Tabletext"/>
            </w:pPr>
            <w:r>
              <w:t>P</w:t>
            </w:r>
            <w:r w:rsidRPr="002C3DC9">
              <w:t>eripherally inserted central catheter</w:t>
            </w:r>
            <w:r w:rsidR="00584B54">
              <w:t>.</w:t>
            </w:r>
          </w:p>
        </w:tc>
      </w:tr>
      <w:tr w:rsidR="00874DC9" w:rsidRPr="002836EB" w14:paraId="77E3D7D5"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A7C4C27" w14:textId="7ADBF066" w:rsidR="00874DC9" w:rsidRDefault="00874DC9" w:rsidP="00777C83">
            <w:pPr>
              <w:pStyle w:val="02Tabletext"/>
            </w:pPr>
            <w:r>
              <w:t>QA</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2D82397A" w14:textId="040A78D2" w:rsidR="00874DC9" w:rsidRDefault="00874DC9" w:rsidP="00777C83">
            <w:pPr>
              <w:pStyle w:val="02Tabletext"/>
            </w:pPr>
            <w:r>
              <w:t xml:space="preserve">Quality </w:t>
            </w:r>
            <w:r w:rsidR="001A5228">
              <w:t>a</w:t>
            </w:r>
            <w:r>
              <w:t>ssurance</w:t>
            </w:r>
            <w:r w:rsidR="00584B54">
              <w:t>.</w:t>
            </w:r>
          </w:p>
        </w:tc>
      </w:tr>
      <w:tr w:rsidR="00F0048A" w:rsidRPr="002836EB" w14:paraId="5E6A7D3F"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8C52A29" w14:textId="3653D2D2" w:rsidR="00F0048A" w:rsidRDefault="00F0048A" w:rsidP="00777C83">
            <w:pPr>
              <w:pStyle w:val="02Tabletext"/>
            </w:pPr>
            <w:r>
              <w:t>RACGP</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1EEF53B1" w14:textId="20C9D36D" w:rsidR="00F0048A" w:rsidRPr="002836EB" w:rsidRDefault="007B24CB" w:rsidP="00777C83">
            <w:pPr>
              <w:pStyle w:val="02Tabletext"/>
            </w:pPr>
            <w:r w:rsidRPr="00335892">
              <w:t xml:space="preserve">Royal Australian College of </w:t>
            </w:r>
            <w:r>
              <w:t>General Practitioner</w:t>
            </w:r>
            <w:r w:rsidRPr="00335892">
              <w:t>s</w:t>
            </w:r>
            <w:r w:rsidR="00584B54">
              <w:t>.</w:t>
            </w:r>
          </w:p>
        </w:tc>
      </w:tr>
      <w:tr w:rsidR="00F0048A" w:rsidRPr="002836EB" w14:paraId="1388E7C6"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46779E5" w14:textId="06305905" w:rsidR="00F0048A" w:rsidRDefault="00F0048A" w:rsidP="00777C83">
            <w:pPr>
              <w:pStyle w:val="02Tabletext"/>
            </w:pPr>
            <w:r>
              <w:t>RANZCR</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10BBE690" w14:textId="79C0CCD8" w:rsidR="00F0048A" w:rsidRPr="002836EB" w:rsidRDefault="0088305A" w:rsidP="00777C83">
            <w:pPr>
              <w:pStyle w:val="02Tabletext"/>
            </w:pPr>
            <w:r w:rsidRPr="00335892">
              <w:t>Royal Australian and New Zealand College of Radiologists</w:t>
            </w:r>
            <w:r w:rsidR="00584B54">
              <w:t>.</w:t>
            </w:r>
          </w:p>
        </w:tc>
      </w:tr>
      <w:tr w:rsidR="00F0048A" w:rsidRPr="002836EB" w14:paraId="3FC55147"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5EE5C1E" w14:textId="0FCBEE02" w:rsidR="00F0048A" w:rsidRPr="002836EB" w:rsidRDefault="00F0048A" w:rsidP="00777C83">
            <w:pPr>
              <w:pStyle w:val="02Tabletext"/>
            </w:pPr>
            <w:r>
              <w:t>RCPA</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5450EDF2" w14:textId="747F68E9" w:rsidR="00F0048A" w:rsidRPr="002836EB" w:rsidRDefault="00414A5D" w:rsidP="00777C83">
            <w:pPr>
              <w:pStyle w:val="02Tabletext"/>
            </w:pPr>
            <w:r w:rsidRPr="00335892">
              <w:t>Royal College of Pathologists of Australia</w:t>
            </w:r>
            <w:r w:rsidR="00584B54">
              <w:t>.</w:t>
            </w:r>
          </w:p>
        </w:tc>
      </w:tr>
      <w:tr w:rsidR="003C2AF6" w:rsidRPr="002836EB" w14:paraId="04C3AE89"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53A7888" w14:textId="620B5F7C" w:rsidR="003C2AF6" w:rsidRPr="002836EB" w:rsidRDefault="003C2AF6" w:rsidP="00777C83">
            <w:pPr>
              <w:pStyle w:val="02Tabletext"/>
            </w:pPr>
            <w:r>
              <w:t>ROJIG</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3F2EE2E8" w14:textId="56E8A8CE" w:rsidR="003C2AF6" w:rsidRPr="002836EB" w:rsidRDefault="00414A5D" w:rsidP="00777C83">
            <w:pPr>
              <w:pStyle w:val="02Tabletext"/>
            </w:pPr>
            <w:r w:rsidRPr="00335892">
              <w:t>Radiation Oncology Jurisdictional Implementation Group</w:t>
            </w:r>
            <w:r w:rsidR="00584B54">
              <w:t>.</w:t>
            </w:r>
          </w:p>
        </w:tc>
      </w:tr>
      <w:tr w:rsidR="00777C83" w:rsidRPr="002836EB" w14:paraId="518293B8"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19C67FC" w14:textId="1969D21D" w:rsidR="00777C83" w:rsidRPr="002836EB" w:rsidRDefault="00777C83" w:rsidP="00777C83">
            <w:pPr>
              <w:pStyle w:val="02Tabletext"/>
            </w:pPr>
            <w:r w:rsidRPr="002836EB">
              <w:t>ROWG</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284DF37C" w14:textId="36A0D1E9" w:rsidR="00777C83" w:rsidRPr="002836EB" w:rsidRDefault="00777C83" w:rsidP="00777C83">
            <w:pPr>
              <w:pStyle w:val="02Tabletext"/>
            </w:pPr>
            <w:r w:rsidRPr="002836EB">
              <w:t>Radiation Oncology Working Group of the Oncology Clinical Committee</w:t>
            </w:r>
            <w:r w:rsidR="00584B54">
              <w:t>.</w:t>
            </w:r>
          </w:p>
        </w:tc>
      </w:tr>
      <w:tr w:rsidR="00777C83" w:rsidRPr="002836EB" w14:paraId="6D74B9B1"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19BA5AB" w14:textId="77777777" w:rsidR="00777C83" w:rsidRPr="002836EB" w:rsidRDefault="00777C83" w:rsidP="00777C83">
            <w:pPr>
              <w:pStyle w:val="02Tabletext"/>
            </w:pPr>
            <w:r w:rsidRPr="002836EB">
              <w:t>Services average annual growth</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4B2F3799" w14:textId="77777777" w:rsidR="00777C83" w:rsidRPr="002836EB" w:rsidRDefault="00777C83" w:rsidP="00777C83">
            <w:pPr>
              <w:pStyle w:val="02Tabletext"/>
            </w:pPr>
            <w:r w:rsidRPr="002836EB">
              <w:t>The average growth per year, over five years to 2014/15, in utilisation of services. Also known as the compound annual growth rate (CAGR).</w:t>
            </w:r>
          </w:p>
        </w:tc>
      </w:tr>
      <w:tr w:rsidR="002552B4" w:rsidRPr="002836EB" w14:paraId="64393E49"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25CA5BC" w14:textId="03176172" w:rsidR="002552B4" w:rsidRPr="002836EB" w:rsidRDefault="002552B4" w:rsidP="00777C83">
            <w:pPr>
              <w:pStyle w:val="02Tabletext"/>
            </w:pPr>
            <w:r>
              <w:t>STaR</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374EC71C" w14:textId="52A1A0C6" w:rsidR="002552B4" w:rsidRPr="002836EB" w:rsidRDefault="003E28C7" w:rsidP="00777C83">
            <w:pPr>
              <w:pStyle w:val="02Tabletext"/>
            </w:pPr>
            <w:r w:rsidRPr="00335892">
              <w:t>Cancer Australia’s Staging Treatment and Recurrence</w:t>
            </w:r>
            <w:r>
              <w:t xml:space="preserve"> Committee</w:t>
            </w:r>
            <w:r w:rsidR="00584B54">
              <w:t>.</w:t>
            </w:r>
          </w:p>
        </w:tc>
      </w:tr>
      <w:tr w:rsidR="00923A49" w:rsidRPr="002836EB" w14:paraId="23CC33DE"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793FE47" w14:textId="6BEE85CA" w:rsidR="00923A49" w:rsidRDefault="00923A49" w:rsidP="00777C83">
            <w:pPr>
              <w:pStyle w:val="02Tabletext"/>
            </w:pPr>
            <w:r>
              <w:t>SRT</w:t>
            </w:r>
          </w:p>
        </w:tc>
        <w:tc>
          <w:tcPr>
            <w:tcW w:w="6874" w:type="dxa"/>
            <w:tcBorders>
              <w:top w:val="nil"/>
              <w:left w:val="nil"/>
              <w:bottom w:val="single" w:sz="8" w:space="0" w:color="BFBFBF"/>
              <w:right w:val="single" w:sz="8" w:space="0" w:color="BFBFBF"/>
            </w:tcBorders>
            <w:tcMar>
              <w:top w:w="28" w:type="dxa"/>
              <w:left w:w="28" w:type="dxa"/>
              <w:bottom w:w="28" w:type="dxa"/>
              <w:right w:w="28" w:type="dxa"/>
            </w:tcMar>
          </w:tcPr>
          <w:p w14:paraId="538EAE94" w14:textId="1DA1B090" w:rsidR="00923A49" w:rsidRPr="00335892" w:rsidRDefault="00923A49" w:rsidP="00777C83">
            <w:pPr>
              <w:pStyle w:val="02Tabletext"/>
            </w:pPr>
            <w:r>
              <w:t>S</w:t>
            </w:r>
            <w:r w:rsidRPr="004B5781">
              <w:t>tereot</w:t>
            </w:r>
            <w:r>
              <w:t>actic radiation therapy</w:t>
            </w:r>
            <w:r w:rsidR="00584B54">
              <w:t>.</w:t>
            </w:r>
          </w:p>
        </w:tc>
      </w:tr>
      <w:tr w:rsidR="00777C83" w:rsidRPr="002836EB" w14:paraId="5F5E462C"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204A57A" w14:textId="77777777" w:rsidR="00777C83" w:rsidRPr="002836EB" w:rsidRDefault="00777C83" w:rsidP="00777C83">
            <w:pPr>
              <w:pStyle w:val="02Tabletext"/>
            </w:pPr>
            <w:r w:rsidRPr="002836EB">
              <w:t xml:space="preserve">The Committee </w:t>
            </w:r>
          </w:p>
        </w:tc>
        <w:tc>
          <w:tcPr>
            <w:tcW w:w="6874"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774CFBA1" w14:textId="5EFF359D" w:rsidR="00777C83" w:rsidRPr="002836EB" w:rsidRDefault="00777C83" w:rsidP="00777C83">
            <w:pPr>
              <w:pStyle w:val="02Tabletext"/>
            </w:pPr>
            <w:r w:rsidRPr="002836EB">
              <w:t>The Oncology Clinical Committee of the MBS Review</w:t>
            </w:r>
            <w:r w:rsidR="00584B54">
              <w:t>.</w:t>
            </w:r>
          </w:p>
        </w:tc>
      </w:tr>
      <w:tr w:rsidR="00777C83" w:rsidRPr="002836EB" w14:paraId="394E484E"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EB6FB66" w14:textId="77777777" w:rsidR="00777C83" w:rsidRPr="002836EB" w:rsidRDefault="00777C83" w:rsidP="00777C83">
            <w:pPr>
              <w:pStyle w:val="02Tabletext"/>
            </w:pPr>
            <w:r w:rsidRPr="002836EB">
              <w:t xml:space="preserve">The Taskforce </w:t>
            </w:r>
          </w:p>
        </w:tc>
        <w:tc>
          <w:tcPr>
            <w:tcW w:w="6874"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0CD743BC" w14:textId="0558DD46" w:rsidR="00777C83" w:rsidRPr="002836EB" w:rsidRDefault="00777C83" w:rsidP="00777C83">
            <w:pPr>
              <w:pStyle w:val="02Tabletext"/>
            </w:pPr>
            <w:r w:rsidRPr="002836EB">
              <w:t>The MBS Review Taskforce</w:t>
            </w:r>
          </w:p>
        </w:tc>
      </w:tr>
      <w:tr w:rsidR="008762A4" w:rsidRPr="002836EB" w14:paraId="43FD2CD1"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tcPr>
          <w:p w14:paraId="089F79A3" w14:textId="578C2DE2" w:rsidR="008762A4" w:rsidRPr="002836EB" w:rsidRDefault="008762A4" w:rsidP="00777C83">
            <w:pPr>
              <w:pStyle w:val="02Tabletext"/>
            </w:pPr>
            <w:r w:rsidRPr="002836EB">
              <w:t>Total benefits</w:t>
            </w:r>
          </w:p>
        </w:tc>
        <w:tc>
          <w:tcPr>
            <w:tcW w:w="6874" w:type="dxa"/>
            <w:tcBorders>
              <w:top w:val="nil"/>
              <w:left w:val="nil"/>
              <w:bottom w:val="single" w:sz="8" w:space="0" w:color="BFBFBF"/>
              <w:right w:val="single" w:sz="8" w:space="0" w:color="BFBFBF"/>
            </w:tcBorders>
            <w:tcMar>
              <w:top w:w="28" w:type="dxa"/>
              <w:left w:w="28" w:type="dxa"/>
              <w:bottom w:w="28" w:type="dxa"/>
              <w:right w:w="28" w:type="dxa"/>
            </w:tcMar>
            <w:vAlign w:val="center"/>
          </w:tcPr>
          <w:p w14:paraId="690A1CBB" w14:textId="530C319D" w:rsidR="008762A4" w:rsidRPr="002836EB" w:rsidRDefault="008762A4" w:rsidP="00777C83">
            <w:pPr>
              <w:pStyle w:val="02Tabletext"/>
            </w:pPr>
            <w:r w:rsidRPr="002836EB">
              <w:t>Total benefits paid in 2014/15 unless otherwise specified.</w:t>
            </w:r>
          </w:p>
        </w:tc>
      </w:tr>
      <w:tr w:rsidR="008762A4" w:rsidRPr="002836EB" w14:paraId="2202850D"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tcPr>
          <w:p w14:paraId="05F94FE4" w14:textId="15D844A8" w:rsidR="008762A4" w:rsidRPr="002836EB" w:rsidRDefault="008762A4" w:rsidP="00777C83">
            <w:pPr>
              <w:pStyle w:val="02Tabletext"/>
            </w:pPr>
            <w:r>
              <w:t>VMO</w:t>
            </w:r>
          </w:p>
        </w:tc>
        <w:tc>
          <w:tcPr>
            <w:tcW w:w="6874" w:type="dxa"/>
            <w:tcBorders>
              <w:top w:val="nil"/>
              <w:left w:val="nil"/>
              <w:bottom w:val="single" w:sz="8" w:space="0" w:color="BFBFBF"/>
              <w:right w:val="single" w:sz="8" w:space="0" w:color="BFBFBF"/>
            </w:tcBorders>
            <w:tcMar>
              <w:top w:w="28" w:type="dxa"/>
              <w:left w:w="28" w:type="dxa"/>
              <w:bottom w:w="28" w:type="dxa"/>
              <w:right w:w="28" w:type="dxa"/>
            </w:tcMar>
            <w:vAlign w:val="center"/>
          </w:tcPr>
          <w:p w14:paraId="487A9713" w14:textId="6C237DA5" w:rsidR="008762A4" w:rsidRPr="002836EB" w:rsidRDefault="00D642CC" w:rsidP="00777C83">
            <w:pPr>
              <w:pStyle w:val="02Tabletext"/>
            </w:pPr>
            <w:r>
              <w:t>V</w:t>
            </w:r>
            <w:r w:rsidRPr="00361C5F">
              <w:t>isiting medical officer</w:t>
            </w:r>
            <w:r w:rsidR="00584B54">
              <w:t>.</w:t>
            </w:r>
          </w:p>
        </w:tc>
      </w:tr>
      <w:tr w:rsidR="00777C83" w:rsidRPr="002836EB" w14:paraId="00724CEB" w14:textId="77777777" w:rsidTr="00CD1821">
        <w:tc>
          <w:tcPr>
            <w:tcW w:w="2132"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B38BD58" w14:textId="65FBC29E" w:rsidR="00777C83" w:rsidRPr="002836EB" w:rsidRDefault="008762A4" w:rsidP="00777C83">
            <w:pPr>
              <w:pStyle w:val="02Tabletext"/>
            </w:pPr>
            <w:r>
              <w:t>WHO</w:t>
            </w:r>
          </w:p>
        </w:tc>
        <w:tc>
          <w:tcPr>
            <w:tcW w:w="6874" w:type="dxa"/>
            <w:tcBorders>
              <w:top w:val="nil"/>
              <w:left w:val="nil"/>
              <w:bottom w:val="single" w:sz="8" w:space="0" w:color="BFBFBF"/>
              <w:right w:val="single" w:sz="8" w:space="0" w:color="BFBFBF"/>
            </w:tcBorders>
            <w:tcMar>
              <w:top w:w="28" w:type="dxa"/>
              <w:left w:w="28" w:type="dxa"/>
              <w:bottom w:w="28" w:type="dxa"/>
              <w:right w:w="28" w:type="dxa"/>
            </w:tcMar>
            <w:hideMark/>
          </w:tcPr>
          <w:p w14:paraId="1AC486C1" w14:textId="5A961F98" w:rsidR="00777C83" w:rsidRPr="002836EB" w:rsidRDefault="005319E5" w:rsidP="00777C83">
            <w:pPr>
              <w:pStyle w:val="02Tabletext"/>
            </w:pPr>
            <w:r w:rsidRPr="00335892">
              <w:t>World Health Organisation</w:t>
            </w:r>
            <w:r w:rsidR="00584B54">
              <w:t>.</w:t>
            </w:r>
          </w:p>
        </w:tc>
      </w:tr>
    </w:tbl>
    <w:p w14:paraId="36DE9D4B" w14:textId="6BB61360" w:rsidR="0039305A" w:rsidRPr="002836EB" w:rsidRDefault="0039305A" w:rsidP="0039305A">
      <w:pPr>
        <w:spacing w:before="0" w:after="0"/>
        <w:rPr>
          <w:rFonts w:eastAsiaTheme="minorHAnsi" w:cs="Arial"/>
          <w:b/>
          <w:bCs/>
          <w:color w:val="01653F"/>
          <w:kern w:val="32"/>
          <w:sz w:val="32"/>
          <w:szCs w:val="28"/>
          <w:lang w:eastAsia="en-US"/>
        </w:rPr>
      </w:pPr>
    </w:p>
    <w:p w14:paraId="03295BD8" w14:textId="209B8DB5" w:rsidR="007F3F5C" w:rsidRDefault="007F3F5C">
      <w:pPr>
        <w:spacing w:before="0" w:after="0"/>
      </w:pPr>
      <w:r>
        <w:br w:type="page"/>
      </w:r>
    </w:p>
    <w:p w14:paraId="7A2CB461" w14:textId="1AC922A8" w:rsidR="00FB4C0E" w:rsidRDefault="009E2C9F" w:rsidP="00FB4C0E">
      <w:pPr>
        <w:pStyle w:val="AppendixStyle1"/>
        <w:rPr>
          <w:lang w:val="en-GB"/>
        </w:rPr>
      </w:pPr>
      <w:bookmarkStart w:id="268" w:name="_Toc479082802"/>
      <w:bookmarkStart w:id="269" w:name="_Ref474805713"/>
      <w:bookmarkStart w:id="270" w:name="_Ref474805716"/>
      <w:r>
        <w:rPr>
          <w:lang w:val="en-GB"/>
        </w:rPr>
        <w:lastRenderedPageBreak/>
        <w:t>I</w:t>
      </w:r>
      <w:r w:rsidR="00FB4C0E">
        <w:rPr>
          <w:lang w:val="en-GB"/>
        </w:rPr>
        <w:t xml:space="preserve">tem </w:t>
      </w:r>
      <w:r>
        <w:rPr>
          <w:lang w:val="en-GB"/>
        </w:rPr>
        <w:t>statistics for financial year 2015/</w:t>
      </w:r>
      <w:r w:rsidR="00FB4C0E">
        <w:rPr>
          <w:lang w:val="en-GB"/>
        </w:rPr>
        <w:t>16</w:t>
      </w:r>
      <w:bookmarkEnd w:id="268"/>
    </w:p>
    <w:p w14:paraId="2B23F7D9" w14:textId="4871112B" w:rsidR="000A0A6D" w:rsidRDefault="000A0A6D" w:rsidP="000A0A6D">
      <w:r>
        <w:t>At the time t</w:t>
      </w:r>
      <w:r w:rsidRPr="002836EB" w:rsidDel="00453302">
        <w:t>he Oncology Clinical Committee</w:t>
      </w:r>
      <w:r>
        <w:t xml:space="preserve"> </w:t>
      </w:r>
      <w:r w:rsidRPr="002836EB" w:rsidDel="00453302">
        <w:t>was established in April 2016</w:t>
      </w:r>
      <w:r>
        <w:t>, item statistics for financial year 2015/16 were not available</w:t>
      </w:r>
      <w:r w:rsidR="00C80022">
        <w:t xml:space="preserve"> to the Commi</w:t>
      </w:r>
      <w:r w:rsidR="00822FD3">
        <w:t>t</w:t>
      </w:r>
      <w:r w:rsidR="00C80022">
        <w:t xml:space="preserve">tee. </w:t>
      </w:r>
      <w:r>
        <w:t>These statistics are provided below for reference.</w:t>
      </w:r>
    </w:p>
    <w:p w14:paraId="40585166" w14:textId="4AEF677E" w:rsidR="00FB4C0E" w:rsidRDefault="00FB4C0E" w:rsidP="00FB4C0E">
      <w:pPr>
        <w:pStyle w:val="Caption"/>
      </w:pPr>
      <w:bookmarkStart w:id="271" w:name="_Toc479082818"/>
      <w:r>
        <w:t xml:space="preserve">Table </w:t>
      </w:r>
      <w:r>
        <w:fldChar w:fldCharType="begin"/>
      </w:r>
      <w:r>
        <w:instrText xml:space="preserve"> SEQ Table \* ARABIC </w:instrText>
      </w:r>
      <w:r>
        <w:fldChar w:fldCharType="separate"/>
      </w:r>
      <w:r w:rsidR="003274EF">
        <w:rPr>
          <w:noProof/>
        </w:rPr>
        <w:t>11</w:t>
      </w:r>
      <w:r>
        <w:fldChar w:fldCharType="end"/>
      </w:r>
      <w:r w:rsidR="00ED0DCC">
        <w:t>:</w:t>
      </w:r>
      <w:r>
        <w:t xml:space="preserve"> </w:t>
      </w:r>
      <w:r w:rsidRPr="00FB4C0E">
        <w:t xml:space="preserve">Chemotherapy items statistics for </w:t>
      </w:r>
      <w:r w:rsidR="009E2C9F">
        <w:t>financial year</w:t>
      </w:r>
      <w:r w:rsidRPr="00FB4C0E">
        <w:t xml:space="preserve"> </w:t>
      </w:r>
      <w:r w:rsidR="009E2C9F">
        <w:t xml:space="preserve">2015/16 </w:t>
      </w:r>
      <w:r w:rsidRPr="00FB4C0E">
        <w:t>by date of processing</w:t>
      </w:r>
      <w:bookmarkEnd w:id="271"/>
    </w:p>
    <w:tbl>
      <w:tblPr>
        <w:tblStyle w:val="TableGrid"/>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shows the item introduction table for Cancer care case conference item numbers 871 and 872. There are 6 columns: Column 1. List of items, Column 2. Descriptor, column 3. Schedule fee, column 4. Services for financial year 2014-15, column 5. Total benefits for FY 2014-15, and column 6. Percentage of the services average 5-year annual growth."/>
      </w:tblPr>
      <w:tblGrid>
        <w:gridCol w:w="1575"/>
        <w:gridCol w:w="2213"/>
        <w:gridCol w:w="2394"/>
        <w:gridCol w:w="2639"/>
      </w:tblGrid>
      <w:tr w:rsidR="00ED0DCC" w:rsidRPr="002836EB" w14:paraId="45F0E915" w14:textId="77777777" w:rsidTr="00ED0DCC">
        <w:trPr>
          <w:trHeight w:val="497"/>
          <w:tblHeader/>
        </w:trPr>
        <w:tc>
          <w:tcPr>
            <w:tcW w:w="1575" w:type="dxa"/>
            <w:shd w:val="clear" w:color="auto" w:fill="F2F2F2" w:themeFill="background1" w:themeFillShade="F2"/>
            <w:vAlign w:val="bottom"/>
          </w:tcPr>
          <w:p w14:paraId="78268C96" w14:textId="77777777" w:rsidR="00ED0DCC" w:rsidRPr="00ED0DCC" w:rsidRDefault="00ED0DCC" w:rsidP="00FB4C0E">
            <w:pPr>
              <w:pStyle w:val="02Tabletext"/>
              <w:rPr>
                <w:b/>
              </w:rPr>
            </w:pPr>
            <w:r w:rsidRPr="00ED0DCC">
              <w:rPr>
                <w:b/>
              </w:rPr>
              <w:t>Item</w:t>
            </w:r>
          </w:p>
        </w:tc>
        <w:tc>
          <w:tcPr>
            <w:tcW w:w="2213" w:type="dxa"/>
            <w:shd w:val="clear" w:color="auto" w:fill="F2F2F2" w:themeFill="background1" w:themeFillShade="F2"/>
            <w:vAlign w:val="bottom"/>
          </w:tcPr>
          <w:p w14:paraId="251DC57C" w14:textId="67E9BBE9" w:rsidR="00ED0DCC" w:rsidRPr="00ED0DCC" w:rsidRDefault="00ED0DCC" w:rsidP="00ED0DCC">
            <w:pPr>
              <w:pStyle w:val="02Tabletext"/>
              <w:jc w:val="center"/>
              <w:rPr>
                <w:b/>
              </w:rPr>
            </w:pPr>
            <w:r>
              <w:rPr>
                <w:b/>
              </w:rPr>
              <w:t>Volume of services FY2015</w:t>
            </w:r>
            <w:r w:rsidRPr="00ED0DCC">
              <w:rPr>
                <w:b/>
              </w:rPr>
              <w:t>/1</w:t>
            </w:r>
            <w:r>
              <w:rPr>
                <w:b/>
              </w:rPr>
              <w:t>6</w:t>
            </w:r>
          </w:p>
        </w:tc>
        <w:tc>
          <w:tcPr>
            <w:tcW w:w="2394" w:type="dxa"/>
            <w:shd w:val="clear" w:color="auto" w:fill="F2F2F2" w:themeFill="background1" w:themeFillShade="F2"/>
            <w:vAlign w:val="bottom"/>
          </w:tcPr>
          <w:p w14:paraId="022DF0D4" w14:textId="61E8482F" w:rsidR="00ED0DCC" w:rsidRPr="00ED0DCC" w:rsidRDefault="00ED0DCC" w:rsidP="00ED0DCC">
            <w:pPr>
              <w:pStyle w:val="02Tabletext"/>
              <w:jc w:val="center"/>
              <w:rPr>
                <w:b/>
              </w:rPr>
            </w:pPr>
            <w:r>
              <w:rPr>
                <w:b/>
              </w:rPr>
              <w:t>Total benefits FY2015</w:t>
            </w:r>
            <w:r w:rsidRPr="00ED0DCC">
              <w:rPr>
                <w:b/>
              </w:rPr>
              <w:t>/1</w:t>
            </w:r>
            <w:r>
              <w:rPr>
                <w:b/>
              </w:rPr>
              <w:t>6</w:t>
            </w:r>
          </w:p>
        </w:tc>
        <w:tc>
          <w:tcPr>
            <w:tcW w:w="2639" w:type="dxa"/>
            <w:shd w:val="clear" w:color="auto" w:fill="F2F2F2" w:themeFill="background1" w:themeFillShade="F2"/>
            <w:vAlign w:val="bottom"/>
          </w:tcPr>
          <w:p w14:paraId="377CB322" w14:textId="77777777" w:rsidR="00ED0DCC" w:rsidRPr="00ED0DCC" w:rsidRDefault="00ED0DCC" w:rsidP="00ED0DCC">
            <w:pPr>
              <w:pStyle w:val="02Tabletext"/>
              <w:jc w:val="center"/>
              <w:rPr>
                <w:b/>
              </w:rPr>
            </w:pPr>
            <w:r w:rsidRPr="00ED0DCC">
              <w:rPr>
                <w:b/>
              </w:rPr>
              <w:t>Services 5-year-average annual growth</w:t>
            </w:r>
          </w:p>
        </w:tc>
      </w:tr>
      <w:tr w:rsidR="00ED0DCC" w:rsidRPr="002836EB" w14:paraId="74D2F260" w14:textId="77777777" w:rsidTr="00ED0DCC">
        <w:trPr>
          <w:trHeight w:val="222"/>
        </w:trPr>
        <w:tc>
          <w:tcPr>
            <w:tcW w:w="1575" w:type="dxa"/>
            <w:vAlign w:val="bottom"/>
          </w:tcPr>
          <w:p w14:paraId="462AB148" w14:textId="507F4310" w:rsidR="00ED0DCC" w:rsidRPr="00ED0DCC" w:rsidRDefault="00ED0DCC" w:rsidP="00ED0DCC">
            <w:pPr>
              <w:pStyle w:val="02Tabletext"/>
            </w:pPr>
            <w:r w:rsidRPr="00ED0DCC">
              <w:rPr>
                <w:lang w:val="en-AU"/>
              </w:rPr>
              <w:t>13915</w:t>
            </w:r>
          </w:p>
        </w:tc>
        <w:tc>
          <w:tcPr>
            <w:tcW w:w="2213" w:type="dxa"/>
            <w:vAlign w:val="bottom"/>
          </w:tcPr>
          <w:p w14:paraId="6861C49D" w14:textId="24DA8AC3" w:rsidR="00ED0DCC" w:rsidRPr="00ED0DCC" w:rsidRDefault="00ED0DCC" w:rsidP="00ED0DCC">
            <w:pPr>
              <w:pStyle w:val="02Tabletext"/>
              <w:jc w:val="center"/>
            </w:pPr>
            <w:r w:rsidRPr="00ED0DCC">
              <w:rPr>
                <w:lang w:val="en-AU"/>
              </w:rPr>
              <w:t>113,196</w:t>
            </w:r>
          </w:p>
        </w:tc>
        <w:tc>
          <w:tcPr>
            <w:tcW w:w="2394" w:type="dxa"/>
            <w:vAlign w:val="bottom"/>
          </w:tcPr>
          <w:p w14:paraId="09C0B8C5" w14:textId="36836663" w:rsidR="00ED0DCC" w:rsidRPr="00ED0DCC" w:rsidRDefault="00ED0DCC" w:rsidP="00ED0DCC">
            <w:pPr>
              <w:pStyle w:val="02Tabletext"/>
              <w:jc w:val="center"/>
            </w:pPr>
            <w:r w:rsidRPr="00ED0DCC">
              <w:rPr>
                <w:lang w:val="en-AU"/>
              </w:rPr>
              <w:t>$5,894,381</w:t>
            </w:r>
          </w:p>
        </w:tc>
        <w:tc>
          <w:tcPr>
            <w:tcW w:w="2639" w:type="dxa"/>
            <w:vAlign w:val="bottom"/>
          </w:tcPr>
          <w:p w14:paraId="417D091A" w14:textId="425B126C" w:rsidR="00ED0DCC" w:rsidRPr="00ED0DCC" w:rsidRDefault="00ED0DCC" w:rsidP="00ED0DCC">
            <w:pPr>
              <w:pStyle w:val="02Tabletext"/>
              <w:jc w:val="center"/>
            </w:pPr>
            <w:r w:rsidRPr="00ED0DCC">
              <w:rPr>
                <w:lang w:val="en-AU"/>
              </w:rPr>
              <w:t>5.6%</w:t>
            </w:r>
          </w:p>
        </w:tc>
      </w:tr>
      <w:tr w:rsidR="00ED0DCC" w:rsidRPr="002836EB" w14:paraId="17D5E0AE" w14:textId="77777777" w:rsidTr="00ED0DCC">
        <w:trPr>
          <w:trHeight w:val="222"/>
        </w:trPr>
        <w:tc>
          <w:tcPr>
            <w:tcW w:w="1575" w:type="dxa"/>
            <w:vAlign w:val="bottom"/>
          </w:tcPr>
          <w:p w14:paraId="5BA93519" w14:textId="3D3C9621" w:rsidR="00ED0DCC" w:rsidRPr="00ED0DCC" w:rsidRDefault="00ED0DCC" w:rsidP="00ED0DCC">
            <w:pPr>
              <w:pStyle w:val="02Tabletext"/>
            </w:pPr>
            <w:r w:rsidRPr="00ED0DCC">
              <w:rPr>
                <w:lang w:val="en-AU"/>
              </w:rPr>
              <w:t>13918</w:t>
            </w:r>
          </w:p>
        </w:tc>
        <w:tc>
          <w:tcPr>
            <w:tcW w:w="2213" w:type="dxa"/>
            <w:vAlign w:val="bottom"/>
          </w:tcPr>
          <w:p w14:paraId="2B1185FF" w14:textId="6F0A337A" w:rsidR="00ED0DCC" w:rsidRPr="00ED0DCC" w:rsidRDefault="00ED0DCC" w:rsidP="00ED0DCC">
            <w:pPr>
              <w:pStyle w:val="02Tabletext"/>
              <w:jc w:val="center"/>
            </w:pPr>
            <w:r w:rsidRPr="00ED0DCC">
              <w:rPr>
                <w:lang w:val="en-AU"/>
              </w:rPr>
              <w:t>314,746</w:t>
            </w:r>
          </w:p>
        </w:tc>
        <w:tc>
          <w:tcPr>
            <w:tcW w:w="2394" w:type="dxa"/>
            <w:vAlign w:val="bottom"/>
          </w:tcPr>
          <w:p w14:paraId="5A4E6226" w14:textId="69FBB0EA" w:rsidR="00ED0DCC" w:rsidRPr="00ED0DCC" w:rsidRDefault="00ED0DCC" w:rsidP="00ED0DCC">
            <w:pPr>
              <w:pStyle w:val="02Tabletext"/>
              <w:jc w:val="center"/>
            </w:pPr>
            <w:r w:rsidRPr="00ED0DCC">
              <w:rPr>
                <w:lang w:val="en-AU"/>
              </w:rPr>
              <w:t>$24,399,337</w:t>
            </w:r>
          </w:p>
        </w:tc>
        <w:tc>
          <w:tcPr>
            <w:tcW w:w="2639" w:type="dxa"/>
            <w:vAlign w:val="bottom"/>
          </w:tcPr>
          <w:p w14:paraId="0C1835D5" w14:textId="3ADEA236" w:rsidR="00ED0DCC" w:rsidRPr="00ED0DCC" w:rsidRDefault="00ED0DCC" w:rsidP="00ED0DCC">
            <w:pPr>
              <w:pStyle w:val="02Tabletext"/>
              <w:jc w:val="center"/>
              <w:rPr>
                <w:shd w:val="clear" w:color="auto" w:fill="FBFBFB"/>
              </w:rPr>
            </w:pPr>
            <w:r w:rsidRPr="00ED0DCC">
              <w:rPr>
                <w:lang w:val="en-AU"/>
              </w:rPr>
              <w:t>6.2%</w:t>
            </w:r>
          </w:p>
        </w:tc>
      </w:tr>
      <w:tr w:rsidR="00ED0DCC" w:rsidRPr="002836EB" w14:paraId="250F56FA" w14:textId="77777777" w:rsidTr="00ED0DCC">
        <w:trPr>
          <w:trHeight w:val="234"/>
        </w:trPr>
        <w:tc>
          <w:tcPr>
            <w:tcW w:w="1575" w:type="dxa"/>
            <w:vAlign w:val="bottom"/>
          </w:tcPr>
          <w:p w14:paraId="77FA27B4" w14:textId="5858373E" w:rsidR="00ED0DCC" w:rsidRPr="00ED0DCC" w:rsidRDefault="00ED0DCC" w:rsidP="00ED0DCC">
            <w:pPr>
              <w:pStyle w:val="02Tabletext"/>
            </w:pPr>
            <w:r w:rsidRPr="00ED0DCC">
              <w:rPr>
                <w:lang w:val="en-AU"/>
              </w:rPr>
              <w:t>13921</w:t>
            </w:r>
          </w:p>
        </w:tc>
        <w:tc>
          <w:tcPr>
            <w:tcW w:w="2213" w:type="dxa"/>
            <w:vAlign w:val="bottom"/>
          </w:tcPr>
          <w:p w14:paraId="52D2147C" w14:textId="7565CAF3" w:rsidR="00ED0DCC" w:rsidRPr="00ED0DCC" w:rsidRDefault="00ED0DCC" w:rsidP="00ED0DCC">
            <w:pPr>
              <w:pStyle w:val="02Tabletext"/>
              <w:jc w:val="center"/>
            </w:pPr>
            <w:r w:rsidRPr="00ED0DCC">
              <w:rPr>
                <w:lang w:val="en-AU"/>
              </w:rPr>
              <w:t>33,410</w:t>
            </w:r>
          </w:p>
        </w:tc>
        <w:tc>
          <w:tcPr>
            <w:tcW w:w="2394" w:type="dxa"/>
            <w:vAlign w:val="bottom"/>
          </w:tcPr>
          <w:p w14:paraId="6068A8B2" w14:textId="77BEEFC0" w:rsidR="00ED0DCC" w:rsidRPr="00ED0DCC" w:rsidRDefault="00ED0DCC" w:rsidP="00ED0DCC">
            <w:pPr>
              <w:pStyle w:val="02Tabletext"/>
              <w:jc w:val="center"/>
            </w:pPr>
            <w:r w:rsidRPr="00ED0DCC">
              <w:rPr>
                <w:lang w:val="en-AU"/>
              </w:rPr>
              <w:t>$2,868,412</w:t>
            </w:r>
          </w:p>
        </w:tc>
        <w:tc>
          <w:tcPr>
            <w:tcW w:w="2639" w:type="dxa"/>
            <w:vAlign w:val="bottom"/>
          </w:tcPr>
          <w:p w14:paraId="2A1C91BA" w14:textId="0A01B774" w:rsidR="00ED0DCC" w:rsidRPr="00ED0DCC" w:rsidRDefault="00ED0DCC" w:rsidP="00ED0DCC">
            <w:pPr>
              <w:pStyle w:val="02Tabletext"/>
              <w:jc w:val="center"/>
              <w:rPr>
                <w:shd w:val="clear" w:color="auto" w:fill="FBFBFB"/>
              </w:rPr>
            </w:pPr>
            <w:r w:rsidRPr="00ED0DCC">
              <w:rPr>
                <w:lang w:val="en-AU"/>
              </w:rPr>
              <w:t>0.8%</w:t>
            </w:r>
          </w:p>
        </w:tc>
      </w:tr>
      <w:tr w:rsidR="00ED0DCC" w:rsidRPr="002836EB" w14:paraId="151C8DE8" w14:textId="77777777" w:rsidTr="00ED0DCC">
        <w:trPr>
          <w:trHeight w:val="222"/>
        </w:trPr>
        <w:tc>
          <w:tcPr>
            <w:tcW w:w="1575" w:type="dxa"/>
            <w:vAlign w:val="bottom"/>
          </w:tcPr>
          <w:p w14:paraId="7DE7097B" w14:textId="4B4C3BC3" w:rsidR="00ED0DCC" w:rsidRPr="00ED0DCC" w:rsidRDefault="00ED0DCC" w:rsidP="00ED0DCC">
            <w:pPr>
              <w:pStyle w:val="02Tabletext"/>
            </w:pPr>
            <w:r w:rsidRPr="00ED0DCC">
              <w:rPr>
                <w:lang w:val="en-AU"/>
              </w:rPr>
              <w:t>13924</w:t>
            </w:r>
          </w:p>
        </w:tc>
        <w:tc>
          <w:tcPr>
            <w:tcW w:w="2213" w:type="dxa"/>
            <w:vAlign w:val="bottom"/>
          </w:tcPr>
          <w:p w14:paraId="2363B8AF" w14:textId="5D27C164" w:rsidR="00ED0DCC" w:rsidRPr="00ED0DCC" w:rsidRDefault="00ED0DCC" w:rsidP="00ED0DCC">
            <w:pPr>
              <w:pStyle w:val="02Tabletext"/>
              <w:jc w:val="center"/>
            </w:pPr>
            <w:r w:rsidRPr="00ED0DCC">
              <w:rPr>
                <w:lang w:val="en-AU"/>
              </w:rPr>
              <w:t>66,115</w:t>
            </w:r>
          </w:p>
        </w:tc>
        <w:tc>
          <w:tcPr>
            <w:tcW w:w="2394" w:type="dxa"/>
            <w:vAlign w:val="bottom"/>
          </w:tcPr>
          <w:p w14:paraId="43B0D4EF" w14:textId="7300846B" w:rsidR="00ED0DCC" w:rsidRPr="00ED0DCC" w:rsidRDefault="00ED0DCC" w:rsidP="00ED0DCC">
            <w:pPr>
              <w:pStyle w:val="02Tabletext"/>
              <w:jc w:val="center"/>
            </w:pPr>
            <w:r w:rsidRPr="00ED0DCC">
              <w:rPr>
                <w:lang w:val="en-AU"/>
              </w:rPr>
              <w:t>$3,524,590</w:t>
            </w:r>
          </w:p>
        </w:tc>
        <w:tc>
          <w:tcPr>
            <w:tcW w:w="2639" w:type="dxa"/>
            <w:vAlign w:val="bottom"/>
          </w:tcPr>
          <w:p w14:paraId="71E5B9FA" w14:textId="7EE79BB4" w:rsidR="00ED0DCC" w:rsidRPr="00ED0DCC" w:rsidRDefault="00ED0DCC" w:rsidP="00ED0DCC">
            <w:pPr>
              <w:pStyle w:val="02Tabletext"/>
              <w:jc w:val="center"/>
              <w:rPr>
                <w:shd w:val="clear" w:color="auto" w:fill="FBFBFB"/>
              </w:rPr>
            </w:pPr>
            <w:r w:rsidRPr="00ED0DCC">
              <w:rPr>
                <w:lang w:val="en-AU"/>
              </w:rPr>
              <w:t>0.9%</w:t>
            </w:r>
          </w:p>
        </w:tc>
      </w:tr>
      <w:tr w:rsidR="00ED0DCC" w:rsidRPr="002836EB" w14:paraId="187B6107" w14:textId="77777777" w:rsidTr="00ED0DCC">
        <w:trPr>
          <w:trHeight w:val="222"/>
        </w:trPr>
        <w:tc>
          <w:tcPr>
            <w:tcW w:w="1575" w:type="dxa"/>
            <w:vAlign w:val="bottom"/>
          </w:tcPr>
          <w:p w14:paraId="3F5B65B0" w14:textId="469D7371" w:rsidR="00ED0DCC" w:rsidRPr="00ED0DCC" w:rsidRDefault="00ED0DCC" w:rsidP="00ED0DCC">
            <w:pPr>
              <w:pStyle w:val="02Tabletext"/>
            </w:pPr>
            <w:r w:rsidRPr="00ED0DCC">
              <w:rPr>
                <w:lang w:val="en-AU"/>
              </w:rPr>
              <w:t>13927</w:t>
            </w:r>
          </w:p>
        </w:tc>
        <w:tc>
          <w:tcPr>
            <w:tcW w:w="2213" w:type="dxa"/>
            <w:vAlign w:val="bottom"/>
          </w:tcPr>
          <w:p w14:paraId="3058F964" w14:textId="5932EF92" w:rsidR="00ED0DCC" w:rsidRPr="00ED0DCC" w:rsidRDefault="00ED0DCC" w:rsidP="00ED0DCC">
            <w:pPr>
              <w:pStyle w:val="02Tabletext"/>
              <w:jc w:val="center"/>
            </w:pPr>
            <w:r w:rsidRPr="00ED0DCC">
              <w:rPr>
                <w:lang w:val="en-AU"/>
              </w:rPr>
              <w:t>136</w:t>
            </w:r>
          </w:p>
        </w:tc>
        <w:tc>
          <w:tcPr>
            <w:tcW w:w="2394" w:type="dxa"/>
            <w:vAlign w:val="bottom"/>
          </w:tcPr>
          <w:p w14:paraId="60642CBF" w14:textId="75E4FDD2" w:rsidR="00ED0DCC" w:rsidRPr="00ED0DCC" w:rsidRDefault="00ED0DCC" w:rsidP="00ED0DCC">
            <w:pPr>
              <w:pStyle w:val="02Tabletext"/>
              <w:jc w:val="center"/>
            </w:pPr>
            <w:r w:rsidRPr="00ED0DCC">
              <w:rPr>
                <w:lang w:val="en-AU"/>
              </w:rPr>
              <w:t>$8,938</w:t>
            </w:r>
          </w:p>
        </w:tc>
        <w:tc>
          <w:tcPr>
            <w:tcW w:w="2639" w:type="dxa"/>
            <w:vAlign w:val="bottom"/>
          </w:tcPr>
          <w:p w14:paraId="7E1576CC" w14:textId="164D3BEF" w:rsidR="00ED0DCC" w:rsidRPr="00ED0DCC" w:rsidRDefault="00ED0DCC" w:rsidP="00ED0DCC">
            <w:pPr>
              <w:pStyle w:val="02Tabletext"/>
              <w:jc w:val="center"/>
              <w:rPr>
                <w:shd w:val="clear" w:color="auto" w:fill="FBFBFB"/>
              </w:rPr>
            </w:pPr>
            <w:r w:rsidRPr="00ED0DCC">
              <w:rPr>
                <w:lang w:val="en-AU"/>
              </w:rPr>
              <w:t>-13.1%</w:t>
            </w:r>
          </w:p>
        </w:tc>
      </w:tr>
      <w:tr w:rsidR="00ED0DCC" w:rsidRPr="002836EB" w14:paraId="51B9A08D" w14:textId="77777777" w:rsidTr="00ED0DCC">
        <w:trPr>
          <w:trHeight w:val="234"/>
        </w:trPr>
        <w:tc>
          <w:tcPr>
            <w:tcW w:w="1575" w:type="dxa"/>
            <w:vAlign w:val="bottom"/>
          </w:tcPr>
          <w:p w14:paraId="29A13586" w14:textId="21629A75" w:rsidR="00ED0DCC" w:rsidRPr="00ED0DCC" w:rsidRDefault="00ED0DCC" w:rsidP="00ED0DCC">
            <w:pPr>
              <w:pStyle w:val="02Tabletext"/>
            </w:pPr>
            <w:r w:rsidRPr="00ED0DCC">
              <w:rPr>
                <w:lang w:val="en-AU"/>
              </w:rPr>
              <w:t>13930</w:t>
            </w:r>
          </w:p>
        </w:tc>
        <w:tc>
          <w:tcPr>
            <w:tcW w:w="2213" w:type="dxa"/>
            <w:vAlign w:val="bottom"/>
          </w:tcPr>
          <w:p w14:paraId="288F2375" w14:textId="121D9081" w:rsidR="00ED0DCC" w:rsidRPr="00ED0DCC" w:rsidRDefault="00ED0DCC" w:rsidP="00ED0DCC">
            <w:pPr>
              <w:pStyle w:val="02Tabletext"/>
              <w:jc w:val="center"/>
            </w:pPr>
            <w:r w:rsidRPr="00ED0DCC">
              <w:rPr>
                <w:lang w:val="en-AU"/>
              </w:rPr>
              <w:t>151</w:t>
            </w:r>
          </w:p>
        </w:tc>
        <w:tc>
          <w:tcPr>
            <w:tcW w:w="2394" w:type="dxa"/>
            <w:vAlign w:val="bottom"/>
          </w:tcPr>
          <w:p w14:paraId="165007D0" w14:textId="6CEA525A" w:rsidR="00ED0DCC" w:rsidRPr="00ED0DCC" w:rsidRDefault="00ED0DCC" w:rsidP="00ED0DCC">
            <w:pPr>
              <w:pStyle w:val="02Tabletext"/>
              <w:jc w:val="center"/>
            </w:pPr>
            <w:r w:rsidRPr="00ED0DCC">
              <w:rPr>
                <w:lang w:val="en-AU"/>
              </w:rPr>
              <w:t>$15,052</w:t>
            </w:r>
          </w:p>
        </w:tc>
        <w:tc>
          <w:tcPr>
            <w:tcW w:w="2639" w:type="dxa"/>
            <w:vAlign w:val="bottom"/>
          </w:tcPr>
          <w:p w14:paraId="174874E8" w14:textId="2C00F6E6" w:rsidR="00ED0DCC" w:rsidRPr="00ED0DCC" w:rsidRDefault="00ED0DCC" w:rsidP="00ED0DCC">
            <w:pPr>
              <w:pStyle w:val="02Tabletext"/>
              <w:jc w:val="center"/>
              <w:rPr>
                <w:shd w:val="clear" w:color="auto" w:fill="FBFBFB"/>
              </w:rPr>
            </w:pPr>
            <w:r w:rsidRPr="00ED0DCC">
              <w:rPr>
                <w:lang w:val="en-AU"/>
              </w:rPr>
              <w:t>-7.9%</w:t>
            </w:r>
          </w:p>
        </w:tc>
      </w:tr>
      <w:tr w:rsidR="00ED0DCC" w:rsidRPr="002836EB" w14:paraId="7603B0D3" w14:textId="77777777" w:rsidTr="00ED0DCC">
        <w:trPr>
          <w:trHeight w:val="222"/>
        </w:trPr>
        <w:tc>
          <w:tcPr>
            <w:tcW w:w="1575" w:type="dxa"/>
            <w:vAlign w:val="bottom"/>
          </w:tcPr>
          <w:p w14:paraId="0E00599F" w14:textId="5ECC3D43" w:rsidR="00ED0DCC" w:rsidRPr="00ED0DCC" w:rsidRDefault="00ED0DCC" w:rsidP="00ED0DCC">
            <w:pPr>
              <w:pStyle w:val="02Tabletext"/>
            </w:pPr>
            <w:r w:rsidRPr="00ED0DCC">
              <w:rPr>
                <w:lang w:val="en-AU"/>
              </w:rPr>
              <w:t>13933</w:t>
            </w:r>
          </w:p>
        </w:tc>
        <w:tc>
          <w:tcPr>
            <w:tcW w:w="2213" w:type="dxa"/>
            <w:vAlign w:val="bottom"/>
          </w:tcPr>
          <w:p w14:paraId="3E7AE814" w14:textId="133D5DE3" w:rsidR="00ED0DCC" w:rsidRPr="00ED0DCC" w:rsidRDefault="00ED0DCC" w:rsidP="00ED0DCC">
            <w:pPr>
              <w:pStyle w:val="02Tabletext"/>
              <w:jc w:val="center"/>
            </w:pPr>
            <w:r w:rsidRPr="00ED0DCC">
              <w:rPr>
                <w:lang w:val="en-AU"/>
              </w:rPr>
              <w:t>6</w:t>
            </w:r>
          </w:p>
        </w:tc>
        <w:tc>
          <w:tcPr>
            <w:tcW w:w="2394" w:type="dxa"/>
            <w:vAlign w:val="bottom"/>
          </w:tcPr>
          <w:p w14:paraId="0C260D67" w14:textId="74664AA4" w:rsidR="00ED0DCC" w:rsidRPr="00ED0DCC" w:rsidRDefault="00ED0DCC" w:rsidP="00ED0DCC">
            <w:pPr>
              <w:pStyle w:val="02Tabletext"/>
              <w:jc w:val="center"/>
            </w:pPr>
            <w:r w:rsidRPr="00ED0DCC">
              <w:rPr>
                <w:lang w:val="en-AU"/>
              </w:rPr>
              <w:t>$614</w:t>
            </w:r>
          </w:p>
        </w:tc>
        <w:tc>
          <w:tcPr>
            <w:tcW w:w="2639" w:type="dxa"/>
            <w:vAlign w:val="bottom"/>
          </w:tcPr>
          <w:p w14:paraId="2ADCDC7F" w14:textId="3C0C9C70" w:rsidR="00ED0DCC" w:rsidRPr="00ED0DCC" w:rsidRDefault="00ED0DCC" w:rsidP="00ED0DCC">
            <w:pPr>
              <w:pStyle w:val="02Tabletext"/>
              <w:jc w:val="center"/>
              <w:rPr>
                <w:shd w:val="clear" w:color="auto" w:fill="FBFBFB"/>
              </w:rPr>
            </w:pPr>
            <w:r w:rsidRPr="00ED0DCC">
              <w:rPr>
                <w:lang w:val="en-AU"/>
              </w:rPr>
              <w:t>-51.3%</w:t>
            </w:r>
          </w:p>
        </w:tc>
      </w:tr>
      <w:tr w:rsidR="00ED0DCC" w:rsidRPr="002836EB" w14:paraId="5D964FCF" w14:textId="77777777" w:rsidTr="00ED0DCC">
        <w:trPr>
          <w:trHeight w:val="222"/>
        </w:trPr>
        <w:tc>
          <w:tcPr>
            <w:tcW w:w="1575" w:type="dxa"/>
            <w:vAlign w:val="bottom"/>
          </w:tcPr>
          <w:p w14:paraId="63F9E30C" w14:textId="5C572D79" w:rsidR="00ED0DCC" w:rsidRPr="00ED0DCC" w:rsidRDefault="00ED0DCC" w:rsidP="00ED0DCC">
            <w:pPr>
              <w:pStyle w:val="02Tabletext"/>
            </w:pPr>
            <w:r w:rsidRPr="00ED0DCC">
              <w:rPr>
                <w:lang w:val="en-AU"/>
              </w:rPr>
              <w:t>13936</w:t>
            </w:r>
          </w:p>
        </w:tc>
        <w:tc>
          <w:tcPr>
            <w:tcW w:w="2213" w:type="dxa"/>
            <w:vAlign w:val="bottom"/>
          </w:tcPr>
          <w:p w14:paraId="048820F3" w14:textId="344789B5" w:rsidR="00ED0DCC" w:rsidRPr="00ED0DCC" w:rsidRDefault="00ED0DCC" w:rsidP="00ED0DCC">
            <w:pPr>
              <w:pStyle w:val="02Tabletext"/>
              <w:jc w:val="center"/>
            </w:pPr>
            <w:r w:rsidRPr="00ED0DCC">
              <w:rPr>
                <w:lang w:val="en-AU"/>
              </w:rPr>
              <w:t>54</w:t>
            </w:r>
          </w:p>
        </w:tc>
        <w:tc>
          <w:tcPr>
            <w:tcW w:w="2394" w:type="dxa"/>
            <w:vAlign w:val="bottom"/>
          </w:tcPr>
          <w:p w14:paraId="7564B8BB" w14:textId="134A70D7" w:rsidR="00ED0DCC" w:rsidRPr="00ED0DCC" w:rsidRDefault="00ED0DCC" w:rsidP="00ED0DCC">
            <w:pPr>
              <w:pStyle w:val="02Tabletext"/>
              <w:jc w:val="center"/>
            </w:pPr>
            <w:r w:rsidRPr="00ED0DCC">
              <w:rPr>
                <w:lang w:val="en-AU"/>
              </w:rPr>
              <w:t>$3,772</w:t>
            </w:r>
          </w:p>
        </w:tc>
        <w:tc>
          <w:tcPr>
            <w:tcW w:w="2639" w:type="dxa"/>
            <w:vAlign w:val="bottom"/>
          </w:tcPr>
          <w:p w14:paraId="340FCF73" w14:textId="4ADA4815" w:rsidR="00ED0DCC" w:rsidRPr="00ED0DCC" w:rsidRDefault="00ED0DCC" w:rsidP="00ED0DCC">
            <w:pPr>
              <w:pStyle w:val="02Tabletext"/>
              <w:jc w:val="center"/>
              <w:rPr>
                <w:shd w:val="clear" w:color="auto" w:fill="FBFBFB"/>
              </w:rPr>
            </w:pPr>
            <w:r w:rsidRPr="00ED0DCC">
              <w:rPr>
                <w:lang w:val="en-AU"/>
              </w:rPr>
              <w:t>-7.1%</w:t>
            </w:r>
          </w:p>
        </w:tc>
      </w:tr>
      <w:tr w:rsidR="00ED0DCC" w:rsidRPr="002836EB" w14:paraId="3F9AB15B" w14:textId="77777777" w:rsidTr="00ED0DCC">
        <w:trPr>
          <w:trHeight w:val="234"/>
        </w:trPr>
        <w:tc>
          <w:tcPr>
            <w:tcW w:w="1575" w:type="dxa"/>
            <w:vAlign w:val="bottom"/>
          </w:tcPr>
          <w:p w14:paraId="7E8E4E4B" w14:textId="177857A5" w:rsidR="00ED0DCC" w:rsidRPr="00ED0DCC" w:rsidRDefault="00ED0DCC" w:rsidP="00ED0DCC">
            <w:pPr>
              <w:pStyle w:val="02Tabletext"/>
            </w:pPr>
            <w:r w:rsidRPr="00ED0DCC">
              <w:rPr>
                <w:lang w:val="en-AU"/>
              </w:rPr>
              <w:t>13939</w:t>
            </w:r>
          </w:p>
        </w:tc>
        <w:tc>
          <w:tcPr>
            <w:tcW w:w="2213" w:type="dxa"/>
            <w:vAlign w:val="bottom"/>
          </w:tcPr>
          <w:p w14:paraId="345E8E81" w14:textId="377AC018" w:rsidR="00ED0DCC" w:rsidRPr="00ED0DCC" w:rsidRDefault="00ED0DCC" w:rsidP="00ED0DCC">
            <w:pPr>
              <w:pStyle w:val="02Tabletext"/>
              <w:jc w:val="center"/>
            </w:pPr>
            <w:r w:rsidRPr="00ED0DCC">
              <w:rPr>
                <w:lang w:val="en-AU"/>
              </w:rPr>
              <w:t>307</w:t>
            </w:r>
          </w:p>
        </w:tc>
        <w:tc>
          <w:tcPr>
            <w:tcW w:w="2394" w:type="dxa"/>
            <w:vAlign w:val="bottom"/>
          </w:tcPr>
          <w:p w14:paraId="2A8DBD10" w14:textId="29D793F1" w:rsidR="00ED0DCC" w:rsidRPr="00ED0DCC" w:rsidRDefault="00ED0DCC" w:rsidP="00ED0DCC">
            <w:pPr>
              <w:pStyle w:val="02Tabletext"/>
              <w:jc w:val="center"/>
            </w:pPr>
            <w:r w:rsidRPr="00ED0DCC">
              <w:rPr>
                <w:lang w:val="en-AU"/>
              </w:rPr>
              <w:t>$24,892</w:t>
            </w:r>
          </w:p>
        </w:tc>
        <w:tc>
          <w:tcPr>
            <w:tcW w:w="2639" w:type="dxa"/>
            <w:vAlign w:val="bottom"/>
          </w:tcPr>
          <w:p w14:paraId="1A9ACC42" w14:textId="330C2DD7" w:rsidR="00ED0DCC" w:rsidRPr="00ED0DCC" w:rsidRDefault="00ED0DCC" w:rsidP="00ED0DCC">
            <w:pPr>
              <w:pStyle w:val="02Tabletext"/>
              <w:jc w:val="center"/>
              <w:rPr>
                <w:shd w:val="clear" w:color="auto" w:fill="FBFBFB"/>
              </w:rPr>
            </w:pPr>
            <w:r w:rsidRPr="00ED0DCC">
              <w:rPr>
                <w:lang w:val="en-AU"/>
              </w:rPr>
              <w:t>-8.0%</w:t>
            </w:r>
          </w:p>
        </w:tc>
      </w:tr>
      <w:tr w:rsidR="00ED0DCC" w:rsidRPr="002836EB" w14:paraId="52C74E60" w14:textId="77777777" w:rsidTr="00ED0DCC">
        <w:trPr>
          <w:trHeight w:val="222"/>
        </w:trPr>
        <w:tc>
          <w:tcPr>
            <w:tcW w:w="1575" w:type="dxa"/>
            <w:vAlign w:val="bottom"/>
          </w:tcPr>
          <w:p w14:paraId="5D05F617" w14:textId="7EC722DD" w:rsidR="00ED0DCC" w:rsidRPr="00ED0DCC" w:rsidRDefault="00ED0DCC" w:rsidP="00ED0DCC">
            <w:pPr>
              <w:pStyle w:val="02Tabletext"/>
            </w:pPr>
            <w:r w:rsidRPr="00ED0DCC">
              <w:rPr>
                <w:lang w:val="en-AU"/>
              </w:rPr>
              <w:t>13942</w:t>
            </w:r>
          </w:p>
        </w:tc>
        <w:tc>
          <w:tcPr>
            <w:tcW w:w="2213" w:type="dxa"/>
            <w:vAlign w:val="bottom"/>
          </w:tcPr>
          <w:p w14:paraId="48BEAA1F" w14:textId="7B281C4D" w:rsidR="00ED0DCC" w:rsidRPr="00ED0DCC" w:rsidRDefault="00ED0DCC" w:rsidP="00ED0DCC">
            <w:pPr>
              <w:pStyle w:val="02Tabletext"/>
              <w:jc w:val="center"/>
            </w:pPr>
            <w:r w:rsidRPr="00ED0DCC">
              <w:rPr>
                <w:lang w:val="en-AU"/>
              </w:rPr>
              <w:t>9,572</w:t>
            </w:r>
          </w:p>
        </w:tc>
        <w:tc>
          <w:tcPr>
            <w:tcW w:w="2394" w:type="dxa"/>
            <w:vAlign w:val="bottom"/>
          </w:tcPr>
          <w:p w14:paraId="559131F7" w14:textId="4E5341FE" w:rsidR="00ED0DCC" w:rsidRPr="00ED0DCC" w:rsidRDefault="00ED0DCC" w:rsidP="00ED0DCC">
            <w:pPr>
              <w:pStyle w:val="02Tabletext"/>
              <w:jc w:val="center"/>
            </w:pPr>
            <w:r w:rsidRPr="00ED0DCC">
              <w:rPr>
                <w:lang w:val="en-AU"/>
              </w:rPr>
              <w:t>$516,677</w:t>
            </w:r>
          </w:p>
        </w:tc>
        <w:tc>
          <w:tcPr>
            <w:tcW w:w="2639" w:type="dxa"/>
            <w:vAlign w:val="bottom"/>
          </w:tcPr>
          <w:p w14:paraId="3E36AE3E" w14:textId="75474D45" w:rsidR="00ED0DCC" w:rsidRPr="00ED0DCC" w:rsidRDefault="00ED0DCC" w:rsidP="00ED0DCC">
            <w:pPr>
              <w:pStyle w:val="02Tabletext"/>
              <w:jc w:val="center"/>
              <w:rPr>
                <w:shd w:val="clear" w:color="auto" w:fill="FBFBFB"/>
              </w:rPr>
            </w:pPr>
            <w:r w:rsidRPr="00ED0DCC">
              <w:rPr>
                <w:lang w:val="en-AU"/>
              </w:rPr>
              <w:t>6.8%</w:t>
            </w:r>
          </w:p>
        </w:tc>
      </w:tr>
      <w:tr w:rsidR="00ED0DCC" w:rsidRPr="002836EB" w14:paraId="74690797" w14:textId="77777777" w:rsidTr="00ED0DCC">
        <w:trPr>
          <w:trHeight w:val="222"/>
        </w:trPr>
        <w:tc>
          <w:tcPr>
            <w:tcW w:w="1575" w:type="dxa"/>
            <w:vAlign w:val="bottom"/>
          </w:tcPr>
          <w:p w14:paraId="2E931826" w14:textId="389174E4" w:rsidR="00ED0DCC" w:rsidRPr="00ED0DCC" w:rsidRDefault="00ED0DCC" w:rsidP="00ED0DCC">
            <w:pPr>
              <w:pStyle w:val="02Tabletext"/>
            </w:pPr>
            <w:r w:rsidRPr="00ED0DCC">
              <w:rPr>
                <w:lang w:val="en-AU"/>
              </w:rPr>
              <w:t>13945</w:t>
            </w:r>
          </w:p>
        </w:tc>
        <w:tc>
          <w:tcPr>
            <w:tcW w:w="2213" w:type="dxa"/>
            <w:vAlign w:val="bottom"/>
          </w:tcPr>
          <w:p w14:paraId="5C12328F" w14:textId="4CD2B008" w:rsidR="00ED0DCC" w:rsidRPr="00ED0DCC" w:rsidRDefault="00ED0DCC" w:rsidP="00ED0DCC">
            <w:pPr>
              <w:pStyle w:val="02Tabletext"/>
              <w:jc w:val="center"/>
            </w:pPr>
            <w:r w:rsidRPr="00ED0DCC">
              <w:rPr>
                <w:lang w:val="en-AU"/>
              </w:rPr>
              <w:t>204,537</w:t>
            </w:r>
          </w:p>
        </w:tc>
        <w:tc>
          <w:tcPr>
            <w:tcW w:w="2394" w:type="dxa"/>
            <w:vAlign w:val="bottom"/>
          </w:tcPr>
          <w:p w14:paraId="412A801A" w14:textId="6B178503" w:rsidR="00ED0DCC" w:rsidRPr="00ED0DCC" w:rsidRDefault="00ED0DCC" w:rsidP="00ED0DCC">
            <w:pPr>
              <w:pStyle w:val="02Tabletext"/>
              <w:jc w:val="center"/>
            </w:pPr>
            <w:r w:rsidRPr="00ED0DCC">
              <w:rPr>
                <w:lang w:val="en-AU"/>
              </w:rPr>
              <w:t>$8,421,543</w:t>
            </w:r>
          </w:p>
        </w:tc>
        <w:tc>
          <w:tcPr>
            <w:tcW w:w="2639" w:type="dxa"/>
            <w:vAlign w:val="bottom"/>
          </w:tcPr>
          <w:p w14:paraId="16812B5B" w14:textId="4B6C4ACC" w:rsidR="00ED0DCC" w:rsidRPr="00ED0DCC" w:rsidRDefault="00ED0DCC" w:rsidP="00ED0DCC">
            <w:pPr>
              <w:pStyle w:val="02Tabletext"/>
              <w:jc w:val="center"/>
              <w:rPr>
                <w:shd w:val="clear" w:color="auto" w:fill="FBFBFB"/>
              </w:rPr>
            </w:pPr>
            <w:r w:rsidRPr="00ED0DCC">
              <w:rPr>
                <w:lang w:val="en-AU"/>
              </w:rPr>
              <w:t>6.7%</w:t>
            </w:r>
          </w:p>
        </w:tc>
      </w:tr>
      <w:tr w:rsidR="00ED0DCC" w:rsidRPr="002836EB" w14:paraId="76A7F44E" w14:textId="77777777" w:rsidTr="00ED0DCC">
        <w:trPr>
          <w:trHeight w:val="234"/>
        </w:trPr>
        <w:tc>
          <w:tcPr>
            <w:tcW w:w="1575" w:type="dxa"/>
            <w:vAlign w:val="bottom"/>
          </w:tcPr>
          <w:p w14:paraId="7CCD9762" w14:textId="3F3E2B5D" w:rsidR="00ED0DCC" w:rsidRPr="00ED0DCC" w:rsidRDefault="00ED0DCC" w:rsidP="00ED0DCC">
            <w:pPr>
              <w:pStyle w:val="02Tabletext"/>
            </w:pPr>
            <w:r w:rsidRPr="00ED0DCC">
              <w:rPr>
                <w:lang w:val="en-AU"/>
              </w:rPr>
              <w:t>13948</w:t>
            </w:r>
          </w:p>
        </w:tc>
        <w:tc>
          <w:tcPr>
            <w:tcW w:w="2213" w:type="dxa"/>
            <w:vAlign w:val="bottom"/>
          </w:tcPr>
          <w:p w14:paraId="7635766C" w14:textId="49B7F8B3" w:rsidR="00ED0DCC" w:rsidRPr="00ED0DCC" w:rsidRDefault="00ED0DCC" w:rsidP="00ED0DCC">
            <w:pPr>
              <w:pStyle w:val="02Tabletext"/>
              <w:jc w:val="center"/>
            </w:pPr>
            <w:r w:rsidRPr="00ED0DCC">
              <w:rPr>
                <w:lang w:val="en-AU"/>
              </w:rPr>
              <w:t>8,943</w:t>
            </w:r>
          </w:p>
        </w:tc>
        <w:tc>
          <w:tcPr>
            <w:tcW w:w="2394" w:type="dxa"/>
            <w:vAlign w:val="bottom"/>
          </w:tcPr>
          <w:p w14:paraId="7C0CF5C2" w14:textId="0056B8D5" w:rsidR="00ED0DCC" w:rsidRPr="00ED0DCC" w:rsidRDefault="00ED0DCC" w:rsidP="00ED0DCC">
            <w:pPr>
              <w:pStyle w:val="02Tabletext"/>
              <w:jc w:val="center"/>
            </w:pPr>
            <w:r w:rsidRPr="00ED0DCC">
              <w:rPr>
                <w:lang w:val="en-AU"/>
              </w:rPr>
              <w:t>$487,737</w:t>
            </w:r>
          </w:p>
        </w:tc>
        <w:tc>
          <w:tcPr>
            <w:tcW w:w="2639" w:type="dxa"/>
            <w:vAlign w:val="bottom"/>
          </w:tcPr>
          <w:p w14:paraId="183CFC4E" w14:textId="147E6255" w:rsidR="00ED0DCC" w:rsidRPr="00ED0DCC" w:rsidRDefault="00ED0DCC" w:rsidP="00ED0DCC">
            <w:pPr>
              <w:pStyle w:val="02Tabletext"/>
              <w:jc w:val="center"/>
              <w:rPr>
                <w:shd w:val="clear" w:color="auto" w:fill="FBFBFB"/>
              </w:rPr>
            </w:pPr>
            <w:r w:rsidRPr="00ED0DCC">
              <w:rPr>
                <w:lang w:val="en-AU"/>
              </w:rPr>
              <w:t>5.5%</w:t>
            </w:r>
          </w:p>
        </w:tc>
      </w:tr>
    </w:tbl>
    <w:p w14:paraId="445405BE" w14:textId="0E94C4E7" w:rsidR="00FB4C0E" w:rsidRPr="00ED0DCC" w:rsidRDefault="00ED0DCC" w:rsidP="00ED0DCC">
      <w:pPr>
        <w:spacing w:before="0"/>
        <w:rPr>
          <w:rFonts w:eastAsiaTheme="minorHAnsi"/>
          <w:sz w:val="18"/>
          <w:szCs w:val="18"/>
          <w:lang w:eastAsia="en-US"/>
        </w:rPr>
      </w:pPr>
      <w:r w:rsidRPr="00ED0DCC">
        <w:rPr>
          <w:rFonts w:eastAsiaTheme="minorHAnsi"/>
          <w:sz w:val="18"/>
          <w:szCs w:val="18"/>
          <w:lang w:eastAsia="en-US"/>
        </w:rPr>
        <w:t>Note: The data is available from the Department of Human Services website.</w:t>
      </w:r>
    </w:p>
    <w:p w14:paraId="58D20E7C" w14:textId="77777777" w:rsidR="00ED0DCC" w:rsidRPr="00ED0DCC" w:rsidRDefault="00ED0DCC" w:rsidP="00ED0DCC">
      <w:pPr>
        <w:rPr>
          <w:rFonts w:eastAsiaTheme="minorHAnsi"/>
          <w:lang w:eastAsia="en-US"/>
        </w:rPr>
      </w:pPr>
      <w:r w:rsidRPr="00ED0DCC">
        <w:rPr>
          <w:rFonts w:eastAsiaTheme="minorHAnsi"/>
          <w:lang w:eastAsia="en-US"/>
        </w:rPr>
        <w:t>The total benefits paid for chemotherapy services increased by 1.91% between 2013-14 and 2015-16.</w:t>
      </w:r>
    </w:p>
    <w:p w14:paraId="0D829D77" w14:textId="77777777" w:rsidR="00ED0DCC" w:rsidRPr="00ED0DCC" w:rsidRDefault="00ED0DCC" w:rsidP="00ED0DCC">
      <w:pPr>
        <w:rPr>
          <w:rFonts w:eastAsiaTheme="minorHAnsi"/>
          <w:lang w:eastAsia="en-US"/>
        </w:rPr>
      </w:pPr>
      <w:r w:rsidRPr="00ED0DCC">
        <w:rPr>
          <w:rFonts w:eastAsiaTheme="minorHAnsi"/>
          <w:lang w:eastAsia="en-US"/>
        </w:rPr>
        <w:t>The total number of chemotherapy services increased by 2.09% between 2013-14 and 2015-16.</w:t>
      </w:r>
    </w:p>
    <w:p w14:paraId="130374AA" w14:textId="675B1494" w:rsidR="00ED0DCC" w:rsidRPr="00ED0DCC" w:rsidRDefault="00ED0DCC" w:rsidP="00ED0DCC">
      <w:pPr>
        <w:pStyle w:val="Caption"/>
      </w:pPr>
      <w:bookmarkStart w:id="272" w:name="_Toc479082819"/>
      <w:r>
        <w:t xml:space="preserve">Table </w:t>
      </w:r>
      <w:r>
        <w:fldChar w:fldCharType="begin"/>
      </w:r>
      <w:r>
        <w:instrText xml:space="preserve"> SEQ Table \* ARABIC </w:instrText>
      </w:r>
      <w:r>
        <w:fldChar w:fldCharType="separate"/>
      </w:r>
      <w:r w:rsidR="003274EF">
        <w:rPr>
          <w:noProof/>
        </w:rPr>
        <w:t>12</w:t>
      </w:r>
      <w:r>
        <w:fldChar w:fldCharType="end"/>
      </w:r>
      <w:r>
        <w:t xml:space="preserve">: </w:t>
      </w:r>
      <w:r w:rsidR="009E2C9F">
        <w:t>Megavoltage and kilovoltage radiation therapy</w:t>
      </w:r>
      <w:r w:rsidRPr="00ED0DCC">
        <w:t xml:space="preserve"> </w:t>
      </w:r>
      <w:r w:rsidR="009E2C9F" w:rsidRPr="00FB4C0E">
        <w:t xml:space="preserve">items statistics for </w:t>
      </w:r>
      <w:r w:rsidR="009E2C9F">
        <w:t>financial year</w:t>
      </w:r>
      <w:r w:rsidR="009E2C9F" w:rsidRPr="00FB4C0E">
        <w:t xml:space="preserve"> </w:t>
      </w:r>
      <w:r w:rsidR="009E2C9F">
        <w:t xml:space="preserve">2015/16 </w:t>
      </w:r>
      <w:r w:rsidR="009E2C9F" w:rsidRPr="00FB4C0E">
        <w:t>by date of processing</w:t>
      </w:r>
      <w:bookmarkEnd w:id="272"/>
    </w:p>
    <w:tbl>
      <w:tblPr>
        <w:tblStyle w:val="TableGrid"/>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shows the item introduction table for Cancer care case conference item numbers 871 and 872. There are 6 columns: Column 1. List of items, Column 2. Descriptor, column 3. Schedule fee, column 4. Services for financial year 2014-15, column 5. Total benefits for FY 2014-15, and column 6. Percentage of the services average 5-year annual growth."/>
      </w:tblPr>
      <w:tblGrid>
        <w:gridCol w:w="1575"/>
        <w:gridCol w:w="2213"/>
        <w:gridCol w:w="2394"/>
        <w:gridCol w:w="2639"/>
      </w:tblGrid>
      <w:tr w:rsidR="00ED0DCC" w:rsidRPr="002836EB" w14:paraId="7A4D4C63" w14:textId="77777777" w:rsidTr="007206DE">
        <w:trPr>
          <w:trHeight w:val="497"/>
          <w:tblHeader/>
        </w:trPr>
        <w:tc>
          <w:tcPr>
            <w:tcW w:w="1575" w:type="dxa"/>
            <w:shd w:val="clear" w:color="auto" w:fill="F2F2F2" w:themeFill="background1" w:themeFillShade="F2"/>
            <w:vAlign w:val="bottom"/>
          </w:tcPr>
          <w:p w14:paraId="0E9D920A" w14:textId="2C8D02E7" w:rsidR="00ED0DCC" w:rsidRPr="00ED0DCC" w:rsidRDefault="00ED0DCC" w:rsidP="00ED0DCC">
            <w:pPr>
              <w:pStyle w:val="02Tabletext"/>
              <w:rPr>
                <w:b/>
              </w:rPr>
            </w:pPr>
            <w:r w:rsidRPr="00ED0DCC">
              <w:rPr>
                <w:b/>
              </w:rPr>
              <w:t>Item</w:t>
            </w:r>
          </w:p>
        </w:tc>
        <w:tc>
          <w:tcPr>
            <w:tcW w:w="2213" w:type="dxa"/>
            <w:shd w:val="clear" w:color="auto" w:fill="F2F2F2" w:themeFill="background1" w:themeFillShade="F2"/>
            <w:vAlign w:val="bottom"/>
          </w:tcPr>
          <w:p w14:paraId="4DF84E91" w14:textId="17F84B89" w:rsidR="00ED0DCC" w:rsidRPr="00ED0DCC" w:rsidRDefault="00ED0DCC" w:rsidP="00ED0DCC">
            <w:pPr>
              <w:pStyle w:val="02Tabletext"/>
              <w:jc w:val="center"/>
              <w:rPr>
                <w:b/>
              </w:rPr>
            </w:pPr>
            <w:r>
              <w:rPr>
                <w:b/>
              </w:rPr>
              <w:t>Volume of services FY2015</w:t>
            </w:r>
            <w:r w:rsidRPr="00ED0DCC">
              <w:rPr>
                <w:b/>
              </w:rPr>
              <w:t>/1</w:t>
            </w:r>
            <w:r>
              <w:rPr>
                <w:b/>
              </w:rPr>
              <w:t>6</w:t>
            </w:r>
          </w:p>
        </w:tc>
        <w:tc>
          <w:tcPr>
            <w:tcW w:w="2394" w:type="dxa"/>
            <w:shd w:val="clear" w:color="auto" w:fill="F2F2F2" w:themeFill="background1" w:themeFillShade="F2"/>
            <w:vAlign w:val="bottom"/>
          </w:tcPr>
          <w:p w14:paraId="49EAEEB6" w14:textId="7AACDB06" w:rsidR="00ED0DCC" w:rsidRPr="00ED0DCC" w:rsidRDefault="00ED0DCC" w:rsidP="00ED0DCC">
            <w:pPr>
              <w:pStyle w:val="02Tabletext"/>
              <w:jc w:val="center"/>
              <w:rPr>
                <w:b/>
              </w:rPr>
            </w:pPr>
            <w:r>
              <w:rPr>
                <w:b/>
              </w:rPr>
              <w:t>Total benefits FY2015</w:t>
            </w:r>
            <w:r w:rsidRPr="00ED0DCC">
              <w:rPr>
                <w:b/>
              </w:rPr>
              <w:t>/1</w:t>
            </w:r>
            <w:r>
              <w:rPr>
                <w:b/>
              </w:rPr>
              <w:t>6</w:t>
            </w:r>
          </w:p>
        </w:tc>
        <w:tc>
          <w:tcPr>
            <w:tcW w:w="2639" w:type="dxa"/>
            <w:shd w:val="clear" w:color="auto" w:fill="F2F2F2" w:themeFill="background1" w:themeFillShade="F2"/>
            <w:vAlign w:val="bottom"/>
          </w:tcPr>
          <w:p w14:paraId="54D49462" w14:textId="50042CC4" w:rsidR="00ED0DCC" w:rsidRPr="00ED0DCC" w:rsidRDefault="00ED0DCC" w:rsidP="00ED0DCC">
            <w:pPr>
              <w:pStyle w:val="02Tabletext"/>
              <w:jc w:val="center"/>
              <w:rPr>
                <w:b/>
              </w:rPr>
            </w:pPr>
            <w:r w:rsidRPr="00ED0DCC">
              <w:rPr>
                <w:b/>
              </w:rPr>
              <w:t>Services 5-year-average annual growth</w:t>
            </w:r>
          </w:p>
        </w:tc>
      </w:tr>
      <w:tr w:rsidR="00ED0DCC" w:rsidRPr="002836EB" w14:paraId="3D74723A" w14:textId="77777777" w:rsidTr="007206DE">
        <w:trPr>
          <w:trHeight w:val="222"/>
        </w:trPr>
        <w:tc>
          <w:tcPr>
            <w:tcW w:w="1575" w:type="dxa"/>
            <w:vAlign w:val="bottom"/>
          </w:tcPr>
          <w:p w14:paraId="02787B8A" w14:textId="22CB4367" w:rsidR="00ED0DCC" w:rsidRPr="00ED0DCC" w:rsidRDefault="00ED0DCC" w:rsidP="00ED0DCC">
            <w:pPr>
              <w:pStyle w:val="02Tabletext"/>
            </w:pPr>
            <w:r w:rsidRPr="007B0318">
              <w:rPr>
                <w:rFonts w:ascii="Calibri" w:hAnsi="Calibri"/>
                <w:szCs w:val="22"/>
                <w:lang w:val="en-AU"/>
              </w:rPr>
              <w:t>15000</w:t>
            </w:r>
          </w:p>
        </w:tc>
        <w:tc>
          <w:tcPr>
            <w:tcW w:w="2213" w:type="dxa"/>
            <w:vAlign w:val="bottom"/>
          </w:tcPr>
          <w:p w14:paraId="6327FD20" w14:textId="6AE57DB6" w:rsidR="00ED0DCC" w:rsidRPr="00ED0DCC" w:rsidRDefault="00ED0DCC" w:rsidP="00ED0DCC">
            <w:pPr>
              <w:pStyle w:val="02Tabletext"/>
              <w:jc w:val="center"/>
            </w:pPr>
            <w:r w:rsidRPr="007B0318">
              <w:rPr>
                <w:rFonts w:ascii="Calibri" w:hAnsi="Calibri"/>
                <w:szCs w:val="22"/>
                <w:lang w:val="en-AU"/>
              </w:rPr>
              <w:t>$914,761</w:t>
            </w:r>
          </w:p>
        </w:tc>
        <w:tc>
          <w:tcPr>
            <w:tcW w:w="2394" w:type="dxa"/>
            <w:vAlign w:val="bottom"/>
          </w:tcPr>
          <w:p w14:paraId="1026A3F9" w14:textId="0114B146" w:rsidR="00ED0DCC" w:rsidRPr="00ED0DCC" w:rsidRDefault="00ED0DCC" w:rsidP="00ED0DCC">
            <w:pPr>
              <w:pStyle w:val="02Tabletext"/>
              <w:jc w:val="center"/>
            </w:pPr>
            <w:r w:rsidRPr="007B0318">
              <w:rPr>
                <w:rFonts w:ascii="Calibri" w:hAnsi="Calibri"/>
                <w:szCs w:val="22"/>
                <w:lang w:val="en-AU"/>
              </w:rPr>
              <w:t>24,104</w:t>
            </w:r>
          </w:p>
        </w:tc>
        <w:tc>
          <w:tcPr>
            <w:tcW w:w="2639" w:type="dxa"/>
            <w:vAlign w:val="bottom"/>
          </w:tcPr>
          <w:p w14:paraId="356D4ECA" w14:textId="11E16B2D" w:rsidR="00ED0DCC" w:rsidRPr="00ED0DCC" w:rsidRDefault="00ED0DCC" w:rsidP="00ED0DCC">
            <w:pPr>
              <w:pStyle w:val="02Tabletext"/>
              <w:jc w:val="center"/>
            </w:pPr>
            <w:r w:rsidRPr="007B0318">
              <w:rPr>
                <w:rFonts w:ascii="Calibri" w:hAnsi="Calibri"/>
                <w:szCs w:val="22"/>
                <w:lang w:val="en-AU"/>
              </w:rPr>
              <w:t>9.9%</w:t>
            </w:r>
          </w:p>
        </w:tc>
      </w:tr>
      <w:tr w:rsidR="00ED0DCC" w:rsidRPr="002836EB" w14:paraId="1E05E285" w14:textId="77777777" w:rsidTr="007206DE">
        <w:trPr>
          <w:trHeight w:val="222"/>
        </w:trPr>
        <w:tc>
          <w:tcPr>
            <w:tcW w:w="1575" w:type="dxa"/>
            <w:vAlign w:val="bottom"/>
          </w:tcPr>
          <w:p w14:paraId="374EE28E" w14:textId="0FD95F4A" w:rsidR="00ED0DCC" w:rsidRPr="00ED0DCC" w:rsidRDefault="00ED0DCC" w:rsidP="00ED0DCC">
            <w:pPr>
              <w:pStyle w:val="02Tabletext"/>
            </w:pPr>
            <w:r w:rsidRPr="007B0318">
              <w:rPr>
                <w:rFonts w:ascii="Calibri" w:hAnsi="Calibri"/>
                <w:szCs w:val="22"/>
                <w:lang w:val="en-AU"/>
              </w:rPr>
              <w:t>15003</w:t>
            </w:r>
          </w:p>
        </w:tc>
        <w:tc>
          <w:tcPr>
            <w:tcW w:w="2213" w:type="dxa"/>
            <w:vAlign w:val="bottom"/>
          </w:tcPr>
          <w:p w14:paraId="68562000" w14:textId="212952DE" w:rsidR="00ED0DCC" w:rsidRPr="00ED0DCC" w:rsidRDefault="00ED0DCC" w:rsidP="00ED0DCC">
            <w:pPr>
              <w:pStyle w:val="02Tabletext"/>
              <w:jc w:val="center"/>
            </w:pPr>
            <w:r w:rsidRPr="007B0318">
              <w:rPr>
                <w:rFonts w:ascii="Calibri" w:hAnsi="Calibri"/>
                <w:szCs w:val="22"/>
                <w:lang w:val="en-AU"/>
              </w:rPr>
              <w:t>$419,094</w:t>
            </w:r>
          </w:p>
        </w:tc>
        <w:tc>
          <w:tcPr>
            <w:tcW w:w="2394" w:type="dxa"/>
            <w:vAlign w:val="bottom"/>
          </w:tcPr>
          <w:p w14:paraId="4B16859A" w14:textId="495CDA97" w:rsidR="00ED0DCC" w:rsidRPr="00ED0DCC" w:rsidRDefault="00ED0DCC" w:rsidP="00ED0DCC">
            <w:pPr>
              <w:pStyle w:val="02Tabletext"/>
              <w:jc w:val="center"/>
            </w:pPr>
            <w:r w:rsidRPr="007B0318">
              <w:rPr>
                <w:rFonts w:ascii="Calibri" w:hAnsi="Calibri"/>
                <w:szCs w:val="22"/>
                <w:lang w:val="en-AU"/>
              </w:rPr>
              <w:t>6,111</w:t>
            </w:r>
          </w:p>
        </w:tc>
        <w:tc>
          <w:tcPr>
            <w:tcW w:w="2639" w:type="dxa"/>
            <w:vAlign w:val="bottom"/>
          </w:tcPr>
          <w:p w14:paraId="3A104A79" w14:textId="0A3A9D13" w:rsidR="00ED0DCC" w:rsidRPr="00ED0DCC" w:rsidRDefault="00ED0DCC" w:rsidP="00ED0DCC">
            <w:pPr>
              <w:pStyle w:val="02Tabletext"/>
              <w:jc w:val="center"/>
              <w:rPr>
                <w:shd w:val="clear" w:color="auto" w:fill="FBFBFB"/>
              </w:rPr>
            </w:pPr>
            <w:r w:rsidRPr="007B0318">
              <w:rPr>
                <w:rFonts w:ascii="Calibri" w:hAnsi="Calibri"/>
                <w:szCs w:val="22"/>
                <w:lang w:val="en-AU"/>
              </w:rPr>
              <w:t>4.3%</w:t>
            </w:r>
          </w:p>
        </w:tc>
      </w:tr>
      <w:tr w:rsidR="00ED0DCC" w:rsidRPr="002836EB" w14:paraId="557E91F8" w14:textId="77777777" w:rsidTr="007206DE">
        <w:trPr>
          <w:trHeight w:val="234"/>
        </w:trPr>
        <w:tc>
          <w:tcPr>
            <w:tcW w:w="1575" w:type="dxa"/>
            <w:vAlign w:val="bottom"/>
          </w:tcPr>
          <w:p w14:paraId="62CFC4A2" w14:textId="05A8A557" w:rsidR="00ED0DCC" w:rsidRPr="00ED0DCC" w:rsidRDefault="00ED0DCC" w:rsidP="00ED0DCC">
            <w:pPr>
              <w:pStyle w:val="02Tabletext"/>
            </w:pPr>
            <w:r w:rsidRPr="007B0318">
              <w:rPr>
                <w:rFonts w:ascii="Calibri" w:hAnsi="Calibri"/>
                <w:szCs w:val="22"/>
                <w:lang w:val="en-AU"/>
              </w:rPr>
              <w:t>15006</w:t>
            </w:r>
          </w:p>
        </w:tc>
        <w:tc>
          <w:tcPr>
            <w:tcW w:w="2213" w:type="dxa"/>
            <w:vAlign w:val="bottom"/>
          </w:tcPr>
          <w:p w14:paraId="57B75D28" w14:textId="31DBC05D" w:rsidR="00ED0DCC" w:rsidRPr="00ED0DCC" w:rsidRDefault="00ED0DCC" w:rsidP="00ED0DCC">
            <w:pPr>
              <w:pStyle w:val="02Tabletext"/>
              <w:jc w:val="center"/>
            </w:pPr>
            <w:r w:rsidRPr="007B0318">
              <w:rPr>
                <w:rFonts w:ascii="Calibri" w:hAnsi="Calibri"/>
                <w:szCs w:val="22"/>
                <w:lang w:val="en-AU"/>
              </w:rPr>
              <w:t>$12,705</w:t>
            </w:r>
          </w:p>
        </w:tc>
        <w:tc>
          <w:tcPr>
            <w:tcW w:w="2394" w:type="dxa"/>
            <w:vAlign w:val="bottom"/>
          </w:tcPr>
          <w:p w14:paraId="307DAD5C" w14:textId="566F8DBF" w:rsidR="00ED0DCC" w:rsidRPr="00ED0DCC" w:rsidRDefault="00ED0DCC" w:rsidP="00ED0DCC">
            <w:pPr>
              <w:pStyle w:val="02Tabletext"/>
              <w:jc w:val="center"/>
            </w:pPr>
            <w:r w:rsidRPr="007B0318">
              <w:rPr>
                <w:rFonts w:ascii="Calibri" w:hAnsi="Calibri"/>
                <w:szCs w:val="22"/>
                <w:lang w:val="en-AU"/>
              </w:rPr>
              <w:t>161</w:t>
            </w:r>
          </w:p>
        </w:tc>
        <w:tc>
          <w:tcPr>
            <w:tcW w:w="2639" w:type="dxa"/>
            <w:vAlign w:val="bottom"/>
          </w:tcPr>
          <w:p w14:paraId="6070767D" w14:textId="109DA9B0" w:rsidR="00ED0DCC" w:rsidRPr="00ED0DCC" w:rsidRDefault="00ED0DCC" w:rsidP="00ED0DCC">
            <w:pPr>
              <w:pStyle w:val="02Tabletext"/>
              <w:jc w:val="center"/>
              <w:rPr>
                <w:shd w:val="clear" w:color="auto" w:fill="FBFBFB"/>
              </w:rPr>
            </w:pPr>
            <w:r w:rsidRPr="007B0318">
              <w:rPr>
                <w:rFonts w:ascii="Calibri" w:hAnsi="Calibri"/>
                <w:szCs w:val="22"/>
                <w:lang w:val="en-AU"/>
              </w:rPr>
              <w:t>-7.1%</w:t>
            </w:r>
          </w:p>
        </w:tc>
      </w:tr>
      <w:tr w:rsidR="00ED0DCC" w:rsidRPr="002836EB" w14:paraId="579D38C9" w14:textId="77777777" w:rsidTr="007206DE">
        <w:trPr>
          <w:trHeight w:val="222"/>
        </w:trPr>
        <w:tc>
          <w:tcPr>
            <w:tcW w:w="1575" w:type="dxa"/>
            <w:vAlign w:val="bottom"/>
          </w:tcPr>
          <w:p w14:paraId="73B2BAE5" w14:textId="0B837B7D" w:rsidR="00ED0DCC" w:rsidRPr="00ED0DCC" w:rsidRDefault="00ED0DCC" w:rsidP="00ED0DCC">
            <w:pPr>
              <w:pStyle w:val="02Tabletext"/>
            </w:pPr>
            <w:r w:rsidRPr="007B0318">
              <w:rPr>
                <w:rFonts w:ascii="Calibri" w:hAnsi="Calibri"/>
                <w:szCs w:val="22"/>
                <w:lang w:val="en-AU"/>
              </w:rPr>
              <w:t>15009</w:t>
            </w:r>
          </w:p>
        </w:tc>
        <w:tc>
          <w:tcPr>
            <w:tcW w:w="2213" w:type="dxa"/>
            <w:vAlign w:val="bottom"/>
          </w:tcPr>
          <w:p w14:paraId="2AB8E14C" w14:textId="4E2526E0" w:rsidR="00ED0DCC" w:rsidRPr="00ED0DCC" w:rsidRDefault="00ED0DCC" w:rsidP="00ED0DCC">
            <w:pPr>
              <w:pStyle w:val="02Tabletext"/>
              <w:jc w:val="center"/>
            </w:pPr>
            <w:r w:rsidRPr="007B0318">
              <w:rPr>
                <w:rFonts w:ascii="Calibri" w:hAnsi="Calibri"/>
                <w:szCs w:val="22"/>
                <w:lang w:val="en-AU"/>
              </w:rPr>
              <w:t>$3,995</w:t>
            </w:r>
          </w:p>
        </w:tc>
        <w:tc>
          <w:tcPr>
            <w:tcW w:w="2394" w:type="dxa"/>
            <w:vAlign w:val="bottom"/>
          </w:tcPr>
          <w:p w14:paraId="11A7EF10" w14:textId="02514F9F" w:rsidR="00ED0DCC" w:rsidRPr="00ED0DCC" w:rsidRDefault="00ED0DCC" w:rsidP="00ED0DCC">
            <w:pPr>
              <w:pStyle w:val="02Tabletext"/>
              <w:jc w:val="center"/>
            </w:pPr>
            <w:r w:rsidRPr="007B0318">
              <w:rPr>
                <w:rFonts w:ascii="Calibri" w:hAnsi="Calibri"/>
                <w:szCs w:val="22"/>
                <w:lang w:val="en-AU"/>
              </w:rPr>
              <w:t>38</w:t>
            </w:r>
          </w:p>
        </w:tc>
        <w:tc>
          <w:tcPr>
            <w:tcW w:w="2639" w:type="dxa"/>
            <w:vAlign w:val="bottom"/>
          </w:tcPr>
          <w:p w14:paraId="728AF31B" w14:textId="04683DFD" w:rsidR="00ED0DCC" w:rsidRPr="00ED0DCC" w:rsidRDefault="00ED0DCC" w:rsidP="00ED0DCC">
            <w:pPr>
              <w:pStyle w:val="02Tabletext"/>
              <w:jc w:val="center"/>
              <w:rPr>
                <w:shd w:val="clear" w:color="auto" w:fill="FBFBFB"/>
              </w:rPr>
            </w:pPr>
            <w:r w:rsidRPr="007B0318">
              <w:rPr>
                <w:rFonts w:ascii="Calibri" w:hAnsi="Calibri"/>
                <w:szCs w:val="22"/>
                <w:lang w:val="en-AU"/>
              </w:rPr>
              <w:t>2.9%</w:t>
            </w:r>
          </w:p>
        </w:tc>
      </w:tr>
      <w:tr w:rsidR="00ED0DCC" w:rsidRPr="002836EB" w14:paraId="3CD36C70" w14:textId="77777777" w:rsidTr="007206DE">
        <w:trPr>
          <w:trHeight w:val="222"/>
        </w:trPr>
        <w:tc>
          <w:tcPr>
            <w:tcW w:w="1575" w:type="dxa"/>
            <w:vAlign w:val="bottom"/>
          </w:tcPr>
          <w:p w14:paraId="4598591A" w14:textId="2E1EC15F" w:rsidR="00ED0DCC" w:rsidRPr="00ED0DCC" w:rsidRDefault="00ED0DCC" w:rsidP="00ED0DCC">
            <w:pPr>
              <w:pStyle w:val="02Tabletext"/>
            </w:pPr>
            <w:r w:rsidRPr="007B0318">
              <w:rPr>
                <w:rFonts w:ascii="Calibri" w:hAnsi="Calibri"/>
                <w:szCs w:val="22"/>
                <w:lang w:val="en-AU"/>
              </w:rPr>
              <w:t>15012</w:t>
            </w:r>
          </w:p>
        </w:tc>
        <w:tc>
          <w:tcPr>
            <w:tcW w:w="2213" w:type="dxa"/>
            <w:vAlign w:val="bottom"/>
          </w:tcPr>
          <w:p w14:paraId="009F0B5F" w14:textId="6CED154B" w:rsidR="00ED0DCC" w:rsidRPr="00ED0DCC" w:rsidRDefault="00ED0DCC" w:rsidP="00ED0DCC">
            <w:pPr>
              <w:pStyle w:val="02Tabletext"/>
              <w:jc w:val="center"/>
            </w:pPr>
            <w:r w:rsidRPr="007B0318">
              <w:rPr>
                <w:rFonts w:ascii="Calibri" w:hAnsi="Calibri"/>
                <w:szCs w:val="22"/>
                <w:lang w:val="en-AU"/>
              </w:rPr>
              <w:t>$12,633</w:t>
            </w:r>
          </w:p>
        </w:tc>
        <w:tc>
          <w:tcPr>
            <w:tcW w:w="2394" w:type="dxa"/>
            <w:vAlign w:val="bottom"/>
          </w:tcPr>
          <w:p w14:paraId="7083F594" w14:textId="5E56CD40" w:rsidR="00ED0DCC" w:rsidRPr="00ED0DCC" w:rsidRDefault="00ED0DCC" w:rsidP="00ED0DCC">
            <w:pPr>
              <w:pStyle w:val="02Tabletext"/>
              <w:jc w:val="center"/>
            </w:pPr>
            <w:r w:rsidRPr="007B0318">
              <w:rPr>
                <w:rFonts w:ascii="Calibri" w:hAnsi="Calibri"/>
                <w:szCs w:val="22"/>
                <w:lang w:val="en-AU"/>
              </w:rPr>
              <w:t>278</w:t>
            </w:r>
          </w:p>
        </w:tc>
        <w:tc>
          <w:tcPr>
            <w:tcW w:w="2639" w:type="dxa"/>
            <w:vAlign w:val="bottom"/>
          </w:tcPr>
          <w:p w14:paraId="11712635" w14:textId="430D012B" w:rsidR="00ED0DCC" w:rsidRPr="00ED0DCC" w:rsidRDefault="00ED0DCC" w:rsidP="00ED0DCC">
            <w:pPr>
              <w:pStyle w:val="02Tabletext"/>
              <w:jc w:val="center"/>
              <w:rPr>
                <w:shd w:val="clear" w:color="auto" w:fill="FBFBFB"/>
              </w:rPr>
            </w:pPr>
            <w:r w:rsidRPr="007B0318">
              <w:rPr>
                <w:rFonts w:ascii="Calibri" w:hAnsi="Calibri"/>
                <w:szCs w:val="22"/>
                <w:lang w:val="en-AU"/>
              </w:rPr>
              <w:t>-5.8%</w:t>
            </w:r>
          </w:p>
        </w:tc>
      </w:tr>
      <w:tr w:rsidR="00ED0DCC" w:rsidRPr="002836EB" w14:paraId="29EA8C10" w14:textId="77777777" w:rsidTr="007206DE">
        <w:trPr>
          <w:trHeight w:val="234"/>
        </w:trPr>
        <w:tc>
          <w:tcPr>
            <w:tcW w:w="1575" w:type="dxa"/>
            <w:vAlign w:val="bottom"/>
          </w:tcPr>
          <w:p w14:paraId="15F3CC79" w14:textId="64F29E31" w:rsidR="00ED0DCC" w:rsidRPr="00ED0DCC" w:rsidRDefault="00ED0DCC" w:rsidP="00ED0DCC">
            <w:pPr>
              <w:pStyle w:val="02Tabletext"/>
            </w:pPr>
            <w:r w:rsidRPr="007B0318">
              <w:rPr>
                <w:rFonts w:ascii="Calibri" w:hAnsi="Calibri"/>
                <w:szCs w:val="22"/>
                <w:lang w:val="en-AU"/>
              </w:rPr>
              <w:t>15100</w:t>
            </w:r>
          </w:p>
        </w:tc>
        <w:tc>
          <w:tcPr>
            <w:tcW w:w="2213" w:type="dxa"/>
            <w:vAlign w:val="bottom"/>
          </w:tcPr>
          <w:p w14:paraId="44F7F1E2" w14:textId="4AABBA42" w:rsidR="00ED0DCC" w:rsidRPr="00ED0DCC" w:rsidRDefault="00ED0DCC" w:rsidP="00ED0DCC">
            <w:pPr>
              <w:pStyle w:val="02Tabletext"/>
              <w:jc w:val="center"/>
            </w:pPr>
            <w:r w:rsidRPr="007B0318">
              <w:rPr>
                <w:rFonts w:ascii="Calibri" w:hAnsi="Calibri"/>
                <w:szCs w:val="22"/>
                <w:lang w:val="en-AU"/>
              </w:rPr>
              <w:t>$189,939</w:t>
            </w:r>
          </w:p>
        </w:tc>
        <w:tc>
          <w:tcPr>
            <w:tcW w:w="2394" w:type="dxa"/>
            <w:vAlign w:val="bottom"/>
          </w:tcPr>
          <w:p w14:paraId="77074038" w14:textId="39154481" w:rsidR="00ED0DCC" w:rsidRPr="00ED0DCC" w:rsidRDefault="00ED0DCC" w:rsidP="00ED0DCC">
            <w:pPr>
              <w:pStyle w:val="02Tabletext"/>
              <w:jc w:val="center"/>
            </w:pPr>
            <w:r w:rsidRPr="007B0318">
              <w:rPr>
                <w:rFonts w:ascii="Calibri" w:hAnsi="Calibri"/>
                <w:szCs w:val="22"/>
                <w:lang w:val="en-AU"/>
              </w:rPr>
              <w:t>4,687</w:t>
            </w:r>
          </w:p>
        </w:tc>
        <w:tc>
          <w:tcPr>
            <w:tcW w:w="2639" w:type="dxa"/>
            <w:vAlign w:val="bottom"/>
          </w:tcPr>
          <w:p w14:paraId="6C378B5E" w14:textId="7FF1CA1F" w:rsidR="00ED0DCC" w:rsidRPr="00ED0DCC" w:rsidRDefault="00ED0DCC" w:rsidP="00ED0DCC">
            <w:pPr>
              <w:pStyle w:val="02Tabletext"/>
              <w:jc w:val="center"/>
              <w:rPr>
                <w:shd w:val="clear" w:color="auto" w:fill="FBFBFB"/>
              </w:rPr>
            </w:pPr>
            <w:r w:rsidRPr="007B0318">
              <w:rPr>
                <w:rFonts w:ascii="Calibri" w:hAnsi="Calibri"/>
                <w:szCs w:val="22"/>
                <w:lang w:val="en-AU"/>
              </w:rPr>
              <w:t>-1.2%</w:t>
            </w:r>
          </w:p>
        </w:tc>
      </w:tr>
      <w:tr w:rsidR="00ED0DCC" w:rsidRPr="002836EB" w14:paraId="437AC04C" w14:textId="77777777" w:rsidTr="007206DE">
        <w:trPr>
          <w:trHeight w:val="222"/>
        </w:trPr>
        <w:tc>
          <w:tcPr>
            <w:tcW w:w="1575" w:type="dxa"/>
            <w:vAlign w:val="bottom"/>
          </w:tcPr>
          <w:p w14:paraId="260BFF7B" w14:textId="79E40F7A" w:rsidR="00ED0DCC" w:rsidRPr="00ED0DCC" w:rsidRDefault="00ED0DCC" w:rsidP="00ED0DCC">
            <w:pPr>
              <w:pStyle w:val="02Tabletext"/>
            </w:pPr>
            <w:r w:rsidRPr="007B0318">
              <w:rPr>
                <w:rFonts w:ascii="Calibri" w:hAnsi="Calibri"/>
                <w:szCs w:val="22"/>
                <w:lang w:val="en-AU"/>
              </w:rPr>
              <w:t>15103</w:t>
            </w:r>
          </w:p>
        </w:tc>
        <w:tc>
          <w:tcPr>
            <w:tcW w:w="2213" w:type="dxa"/>
            <w:vAlign w:val="bottom"/>
          </w:tcPr>
          <w:p w14:paraId="3554D7F8" w14:textId="3D32C437" w:rsidR="00ED0DCC" w:rsidRPr="00ED0DCC" w:rsidRDefault="00ED0DCC" w:rsidP="00ED0DCC">
            <w:pPr>
              <w:pStyle w:val="02Tabletext"/>
              <w:jc w:val="center"/>
            </w:pPr>
            <w:r w:rsidRPr="007B0318">
              <w:rPr>
                <w:rFonts w:ascii="Calibri" w:hAnsi="Calibri"/>
                <w:szCs w:val="22"/>
                <w:lang w:val="en-AU"/>
              </w:rPr>
              <w:t>$16,007</w:t>
            </w:r>
          </w:p>
        </w:tc>
        <w:tc>
          <w:tcPr>
            <w:tcW w:w="2394" w:type="dxa"/>
            <w:vAlign w:val="bottom"/>
          </w:tcPr>
          <w:p w14:paraId="12EE071C" w14:textId="5F9E466C" w:rsidR="00ED0DCC" w:rsidRPr="00ED0DCC" w:rsidRDefault="00ED0DCC" w:rsidP="00ED0DCC">
            <w:pPr>
              <w:pStyle w:val="02Tabletext"/>
              <w:jc w:val="center"/>
            </w:pPr>
            <w:r w:rsidRPr="007B0318">
              <w:rPr>
                <w:rFonts w:ascii="Calibri" w:hAnsi="Calibri"/>
                <w:szCs w:val="22"/>
                <w:lang w:val="en-AU"/>
              </w:rPr>
              <w:t>264</w:t>
            </w:r>
          </w:p>
        </w:tc>
        <w:tc>
          <w:tcPr>
            <w:tcW w:w="2639" w:type="dxa"/>
            <w:vAlign w:val="bottom"/>
          </w:tcPr>
          <w:p w14:paraId="5093719F" w14:textId="56009245" w:rsidR="00ED0DCC" w:rsidRPr="00ED0DCC" w:rsidRDefault="00ED0DCC" w:rsidP="00ED0DCC">
            <w:pPr>
              <w:pStyle w:val="02Tabletext"/>
              <w:jc w:val="center"/>
              <w:rPr>
                <w:shd w:val="clear" w:color="auto" w:fill="FBFBFB"/>
              </w:rPr>
            </w:pPr>
            <w:r w:rsidRPr="007B0318">
              <w:rPr>
                <w:rFonts w:ascii="Calibri" w:hAnsi="Calibri"/>
                <w:szCs w:val="22"/>
                <w:lang w:val="en-AU"/>
              </w:rPr>
              <w:t>-12.8%</w:t>
            </w:r>
          </w:p>
        </w:tc>
      </w:tr>
      <w:tr w:rsidR="00ED0DCC" w:rsidRPr="002836EB" w14:paraId="640BAA76" w14:textId="77777777" w:rsidTr="007206DE">
        <w:trPr>
          <w:trHeight w:val="222"/>
        </w:trPr>
        <w:tc>
          <w:tcPr>
            <w:tcW w:w="1575" w:type="dxa"/>
            <w:vAlign w:val="bottom"/>
          </w:tcPr>
          <w:p w14:paraId="572FEDCA" w14:textId="6EF856A0" w:rsidR="00ED0DCC" w:rsidRPr="00ED0DCC" w:rsidRDefault="00ED0DCC" w:rsidP="00ED0DCC">
            <w:pPr>
              <w:pStyle w:val="02Tabletext"/>
            </w:pPr>
            <w:r w:rsidRPr="007B0318">
              <w:rPr>
                <w:rFonts w:ascii="Calibri" w:hAnsi="Calibri"/>
                <w:szCs w:val="22"/>
                <w:lang w:val="en-AU"/>
              </w:rPr>
              <w:t>15106</w:t>
            </w:r>
          </w:p>
        </w:tc>
        <w:tc>
          <w:tcPr>
            <w:tcW w:w="2213" w:type="dxa"/>
            <w:vAlign w:val="bottom"/>
          </w:tcPr>
          <w:p w14:paraId="64C2317A" w14:textId="4820381A" w:rsidR="00ED0DCC" w:rsidRPr="00ED0DCC" w:rsidRDefault="00ED0DCC" w:rsidP="00ED0DCC">
            <w:pPr>
              <w:pStyle w:val="02Tabletext"/>
              <w:jc w:val="center"/>
            </w:pPr>
            <w:r w:rsidRPr="007B0318">
              <w:rPr>
                <w:rFonts w:ascii="Calibri" w:hAnsi="Calibri"/>
                <w:szCs w:val="22"/>
                <w:lang w:val="en-AU"/>
              </w:rPr>
              <w:t>$7,343</w:t>
            </w:r>
          </w:p>
        </w:tc>
        <w:tc>
          <w:tcPr>
            <w:tcW w:w="2394" w:type="dxa"/>
            <w:vAlign w:val="bottom"/>
          </w:tcPr>
          <w:p w14:paraId="08F10006" w14:textId="17152094" w:rsidR="00ED0DCC" w:rsidRPr="00ED0DCC" w:rsidRDefault="00ED0DCC" w:rsidP="00ED0DCC">
            <w:pPr>
              <w:pStyle w:val="02Tabletext"/>
              <w:jc w:val="center"/>
            </w:pPr>
            <w:r w:rsidRPr="007B0318">
              <w:rPr>
                <w:rFonts w:ascii="Calibri" w:hAnsi="Calibri"/>
                <w:szCs w:val="22"/>
                <w:lang w:val="en-AU"/>
              </w:rPr>
              <w:t>154</w:t>
            </w:r>
          </w:p>
        </w:tc>
        <w:tc>
          <w:tcPr>
            <w:tcW w:w="2639" w:type="dxa"/>
            <w:vAlign w:val="bottom"/>
          </w:tcPr>
          <w:p w14:paraId="209A8C78" w14:textId="208F8D28" w:rsidR="00ED0DCC" w:rsidRPr="00ED0DCC" w:rsidRDefault="00ED0DCC" w:rsidP="00ED0DCC">
            <w:pPr>
              <w:pStyle w:val="02Tabletext"/>
              <w:jc w:val="center"/>
              <w:rPr>
                <w:shd w:val="clear" w:color="auto" w:fill="FBFBFB"/>
              </w:rPr>
            </w:pPr>
            <w:r w:rsidRPr="007B0318">
              <w:rPr>
                <w:rFonts w:ascii="Calibri" w:hAnsi="Calibri"/>
                <w:szCs w:val="22"/>
                <w:lang w:val="en-AU"/>
              </w:rPr>
              <w:t>25.2%</w:t>
            </w:r>
          </w:p>
        </w:tc>
      </w:tr>
      <w:tr w:rsidR="00ED0DCC" w:rsidRPr="002836EB" w14:paraId="0DC88579" w14:textId="77777777" w:rsidTr="007206DE">
        <w:trPr>
          <w:trHeight w:val="234"/>
        </w:trPr>
        <w:tc>
          <w:tcPr>
            <w:tcW w:w="1575" w:type="dxa"/>
            <w:vAlign w:val="bottom"/>
          </w:tcPr>
          <w:p w14:paraId="2E976D06" w14:textId="3E2704A2" w:rsidR="00ED0DCC" w:rsidRPr="00ED0DCC" w:rsidRDefault="00ED0DCC" w:rsidP="00ED0DCC">
            <w:pPr>
              <w:pStyle w:val="02Tabletext"/>
            </w:pPr>
            <w:r w:rsidRPr="007B0318">
              <w:rPr>
                <w:rFonts w:ascii="Calibri" w:hAnsi="Calibri"/>
                <w:szCs w:val="22"/>
                <w:lang w:val="en-AU"/>
              </w:rPr>
              <w:t>15109</w:t>
            </w:r>
          </w:p>
        </w:tc>
        <w:tc>
          <w:tcPr>
            <w:tcW w:w="2213" w:type="dxa"/>
            <w:vAlign w:val="bottom"/>
          </w:tcPr>
          <w:p w14:paraId="023E5833" w14:textId="79E9912A" w:rsidR="00ED0DCC" w:rsidRPr="00ED0DCC" w:rsidRDefault="00ED0DCC" w:rsidP="00ED0DCC">
            <w:pPr>
              <w:pStyle w:val="02Tabletext"/>
              <w:jc w:val="center"/>
            </w:pPr>
            <w:r w:rsidRPr="007B0318">
              <w:rPr>
                <w:rFonts w:ascii="Calibri" w:hAnsi="Calibri"/>
                <w:szCs w:val="22"/>
                <w:lang w:val="en-AU"/>
              </w:rPr>
              <w:t>$3,963</w:t>
            </w:r>
          </w:p>
        </w:tc>
        <w:tc>
          <w:tcPr>
            <w:tcW w:w="2394" w:type="dxa"/>
            <w:vAlign w:val="bottom"/>
          </w:tcPr>
          <w:p w14:paraId="2CCA47EA" w14:textId="1073020E" w:rsidR="00ED0DCC" w:rsidRPr="00ED0DCC" w:rsidRDefault="00ED0DCC" w:rsidP="00ED0DCC">
            <w:pPr>
              <w:pStyle w:val="02Tabletext"/>
              <w:jc w:val="center"/>
            </w:pPr>
            <w:r w:rsidRPr="007B0318">
              <w:rPr>
                <w:rFonts w:ascii="Calibri" w:hAnsi="Calibri"/>
                <w:szCs w:val="22"/>
                <w:lang w:val="en-AU"/>
              </w:rPr>
              <w:t>55</w:t>
            </w:r>
          </w:p>
        </w:tc>
        <w:tc>
          <w:tcPr>
            <w:tcW w:w="2639" w:type="dxa"/>
            <w:vAlign w:val="bottom"/>
          </w:tcPr>
          <w:p w14:paraId="67359601" w14:textId="27228810" w:rsidR="00ED0DCC" w:rsidRPr="00ED0DCC" w:rsidRDefault="00ED0DCC" w:rsidP="00ED0DCC">
            <w:pPr>
              <w:pStyle w:val="02Tabletext"/>
              <w:jc w:val="center"/>
              <w:rPr>
                <w:shd w:val="clear" w:color="auto" w:fill="FBFBFB"/>
              </w:rPr>
            </w:pPr>
            <w:r w:rsidRPr="007B0318">
              <w:rPr>
                <w:rFonts w:ascii="Calibri" w:hAnsi="Calibri"/>
                <w:szCs w:val="22"/>
                <w:lang w:val="en-AU"/>
              </w:rPr>
              <w:t>22.4%</w:t>
            </w:r>
          </w:p>
        </w:tc>
      </w:tr>
      <w:tr w:rsidR="00ED0DCC" w:rsidRPr="002836EB" w14:paraId="46BE5512" w14:textId="77777777" w:rsidTr="007206DE">
        <w:trPr>
          <w:trHeight w:val="222"/>
        </w:trPr>
        <w:tc>
          <w:tcPr>
            <w:tcW w:w="1575" w:type="dxa"/>
            <w:vAlign w:val="bottom"/>
          </w:tcPr>
          <w:p w14:paraId="60B53604" w14:textId="72CA9165" w:rsidR="00ED0DCC" w:rsidRPr="00ED0DCC" w:rsidRDefault="00ED0DCC" w:rsidP="00ED0DCC">
            <w:pPr>
              <w:pStyle w:val="02Tabletext"/>
            </w:pPr>
            <w:r w:rsidRPr="007B0318">
              <w:rPr>
                <w:rFonts w:ascii="Calibri" w:hAnsi="Calibri"/>
                <w:szCs w:val="22"/>
                <w:lang w:val="en-AU"/>
              </w:rPr>
              <w:t>15112</w:t>
            </w:r>
          </w:p>
        </w:tc>
        <w:tc>
          <w:tcPr>
            <w:tcW w:w="2213" w:type="dxa"/>
            <w:vAlign w:val="bottom"/>
          </w:tcPr>
          <w:p w14:paraId="22E62719" w14:textId="6038C9BF" w:rsidR="00ED0DCC" w:rsidRPr="00ED0DCC" w:rsidRDefault="00ED0DCC" w:rsidP="00ED0DCC">
            <w:pPr>
              <w:pStyle w:val="02Tabletext"/>
              <w:jc w:val="center"/>
            </w:pPr>
            <w:r w:rsidRPr="007B0318">
              <w:rPr>
                <w:rFonts w:ascii="Calibri" w:hAnsi="Calibri"/>
                <w:szCs w:val="22"/>
                <w:lang w:val="en-AU"/>
              </w:rPr>
              <w:t>$8,848</w:t>
            </w:r>
          </w:p>
        </w:tc>
        <w:tc>
          <w:tcPr>
            <w:tcW w:w="2394" w:type="dxa"/>
            <w:vAlign w:val="bottom"/>
          </w:tcPr>
          <w:p w14:paraId="7276B648" w14:textId="7DA0A08A" w:rsidR="00ED0DCC" w:rsidRPr="00ED0DCC" w:rsidRDefault="00ED0DCC" w:rsidP="00ED0DCC">
            <w:pPr>
              <w:pStyle w:val="02Tabletext"/>
              <w:jc w:val="center"/>
            </w:pPr>
            <w:r w:rsidRPr="007B0318">
              <w:rPr>
                <w:rFonts w:ascii="Calibri" w:hAnsi="Calibri"/>
                <w:szCs w:val="22"/>
                <w:lang w:val="en-AU"/>
              </w:rPr>
              <w:t>87</w:t>
            </w:r>
          </w:p>
        </w:tc>
        <w:tc>
          <w:tcPr>
            <w:tcW w:w="2639" w:type="dxa"/>
            <w:vAlign w:val="bottom"/>
          </w:tcPr>
          <w:p w14:paraId="4F3BDDF1" w14:textId="163BCD84" w:rsidR="00ED0DCC" w:rsidRPr="00ED0DCC" w:rsidRDefault="00ED0DCC" w:rsidP="00ED0DCC">
            <w:pPr>
              <w:pStyle w:val="02Tabletext"/>
              <w:jc w:val="center"/>
              <w:rPr>
                <w:shd w:val="clear" w:color="auto" w:fill="FBFBFB"/>
              </w:rPr>
            </w:pPr>
            <w:r w:rsidRPr="007B0318">
              <w:rPr>
                <w:rFonts w:ascii="Calibri" w:hAnsi="Calibri"/>
                <w:szCs w:val="22"/>
                <w:lang w:val="en-AU"/>
              </w:rPr>
              <w:t>-5.9%</w:t>
            </w:r>
          </w:p>
        </w:tc>
      </w:tr>
      <w:tr w:rsidR="00ED0DCC" w:rsidRPr="002836EB" w14:paraId="48FF23C3" w14:textId="77777777" w:rsidTr="007206DE">
        <w:trPr>
          <w:trHeight w:val="222"/>
        </w:trPr>
        <w:tc>
          <w:tcPr>
            <w:tcW w:w="1575" w:type="dxa"/>
            <w:vAlign w:val="bottom"/>
          </w:tcPr>
          <w:p w14:paraId="0ED26A4F" w14:textId="0F47EC57" w:rsidR="00ED0DCC" w:rsidRPr="00ED0DCC" w:rsidRDefault="00ED0DCC" w:rsidP="00ED0DCC">
            <w:pPr>
              <w:pStyle w:val="02Tabletext"/>
            </w:pPr>
            <w:r w:rsidRPr="007B0318">
              <w:rPr>
                <w:rFonts w:ascii="Calibri" w:hAnsi="Calibri"/>
                <w:szCs w:val="22"/>
                <w:lang w:val="en-AU"/>
              </w:rPr>
              <w:t>15115</w:t>
            </w:r>
          </w:p>
        </w:tc>
        <w:tc>
          <w:tcPr>
            <w:tcW w:w="2213" w:type="dxa"/>
            <w:vAlign w:val="bottom"/>
          </w:tcPr>
          <w:p w14:paraId="39451937" w14:textId="55427F99" w:rsidR="00ED0DCC" w:rsidRPr="00ED0DCC" w:rsidRDefault="00ED0DCC" w:rsidP="00ED0DCC">
            <w:pPr>
              <w:pStyle w:val="02Tabletext"/>
              <w:jc w:val="center"/>
            </w:pPr>
            <w:r w:rsidRPr="007B0318">
              <w:rPr>
                <w:rFonts w:ascii="Calibri" w:hAnsi="Calibri"/>
                <w:szCs w:val="22"/>
                <w:lang w:val="en-AU"/>
              </w:rPr>
              <w:t>$2,805</w:t>
            </w:r>
          </w:p>
        </w:tc>
        <w:tc>
          <w:tcPr>
            <w:tcW w:w="2394" w:type="dxa"/>
            <w:vAlign w:val="bottom"/>
          </w:tcPr>
          <w:p w14:paraId="2AE51585" w14:textId="7326010C" w:rsidR="00ED0DCC" w:rsidRPr="00ED0DCC" w:rsidRDefault="00ED0DCC" w:rsidP="00ED0DCC">
            <w:pPr>
              <w:pStyle w:val="02Tabletext"/>
              <w:jc w:val="center"/>
            </w:pPr>
            <w:r w:rsidRPr="007B0318">
              <w:rPr>
                <w:rFonts w:ascii="Calibri" w:hAnsi="Calibri"/>
                <w:szCs w:val="22"/>
                <w:lang w:val="en-AU"/>
              </w:rPr>
              <w:t>18</w:t>
            </w:r>
          </w:p>
        </w:tc>
        <w:tc>
          <w:tcPr>
            <w:tcW w:w="2639" w:type="dxa"/>
            <w:vAlign w:val="bottom"/>
          </w:tcPr>
          <w:p w14:paraId="31774E2F" w14:textId="14031BDA" w:rsidR="00ED0DCC" w:rsidRPr="00ED0DCC" w:rsidRDefault="00ED0DCC" w:rsidP="00ED0DCC">
            <w:pPr>
              <w:pStyle w:val="02Tabletext"/>
              <w:jc w:val="center"/>
              <w:rPr>
                <w:shd w:val="clear" w:color="auto" w:fill="FBFBFB"/>
              </w:rPr>
            </w:pPr>
            <w:r w:rsidRPr="007B0318">
              <w:rPr>
                <w:rFonts w:ascii="Calibri" w:hAnsi="Calibri"/>
                <w:szCs w:val="22"/>
                <w:lang w:val="en-AU"/>
              </w:rPr>
              <w:t>-3.9%</w:t>
            </w:r>
          </w:p>
        </w:tc>
      </w:tr>
      <w:tr w:rsidR="00ED0DCC" w:rsidRPr="002836EB" w14:paraId="7286A3EE" w14:textId="77777777" w:rsidTr="007206DE">
        <w:trPr>
          <w:trHeight w:val="234"/>
        </w:trPr>
        <w:tc>
          <w:tcPr>
            <w:tcW w:w="1575" w:type="dxa"/>
            <w:vAlign w:val="bottom"/>
          </w:tcPr>
          <w:p w14:paraId="7F0BBCA3" w14:textId="565042A6" w:rsidR="00ED0DCC" w:rsidRPr="00ED0DCC" w:rsidRDefault="00ED0DCC" w:rsidP="00ED0DCC">
            <w:pPr>
              <w:pStyle w:val="02Tabletext"/>
            </w:pPr>
            <w:r w:rsidRPr="007B0318">
              <w:rPr>
                <w:rFonts w:ascii="Calibri" w:hAnsi="Calibri"/>
                <w:szCs w:val="22"/>
                <w:lang w:val="en-AU"/>
              </w:rPr>
              <w:t>15211</w:t>
            </w:r>
          </w:p>
        </w:tc>
        <w:tc>
          <w:tcPr>
            <w:tcW w:w="2213" w:type="dxa"/>
            <w:vAlign w:val="bottom"/>
          </w:tcPr>
          <w:p w14:paraId="0050C064" w14:textId="6019CCF1" w:rsidR="00ED0DCC" w:rsidRPr="00ED0DCC" w:rsidRDefault="00ED0DCC" w:rsidP="00ED0DCC">
            <w:pPr>
              <w:pStyle w:val="02Tabletext"/>
              <w:jc w:val="center"/>
            </w:pPr>
            <w:r w:rsidRPr="007B0318">
              <w:rPr>
                <w:rFonts w:ascii="Calibri" w:hAnsi="Calibri"/>
                <w:szCs w:val="22"/>
                <w:lang w:val="en-AU"/>
              </w:rPr>
              <w:t>$0</w:t>
            </w:r>
          </w:p>
        </w:tc>
        <w:tc>
          <w:tcPr>
            <w:tcW w:w="2394" w:type="dxa"/>
            <w:vAlign w:val="bottom"/>
          </w:tcPr>
          <w:p w14:paraId="34F16384" w14:textId="58D8364E" w:rsidR="00ED0DCC" w:rsidRPr="00ED0DCC" w:rsidRDefault="00ED0DCC" w:rsidP="00ED0DCC">
            <w:pPr>
              <w:pStyle w:val="02Tabletext"/>
              <w:jc w:val="center"/>
            </w:pPr>
            <w:r w:rsidRPr="007B0318">
              <w:rPr>
                <w:rFonts w:ascii="Calibri" w:hAnsi="Calibri"/>
                <w:szCs w:val="22"/>
                <w:lang w:val="en-AU"/>
              </w:rPr>
              <w:t>0</w:t>
            </w:r>
          </w:p>
        </w:tc>
        <w:tc>
          <w:tcPr>
            <w:tcW w:w="2639" w:type="dxa"/>
            <w:vAlign w:val="bottom"/>
          </w:tcPr>
          <w:p w14:paraId="2B8398B8" w14:textId="79A838BB" w:rsidR="00ED0DCC" w:rsidRPr="00ED0DCC" w:rsidRDefault="00ED0DCC" w:rsidP="00ED0DCC">
            <w:pPr>
              <w:pStyle w:val="02Tabletext"/>
              <w:jc w:val="center"/>
              <w:rPr>
                <w:shd w:val="clear" w:color="auto" w:fill="FBFBFB"/>
              </w:rPr>
            </w:pPr>
            <w:r w:rsidRPr="007B0318">
              <w:rPr>
                <w:rFonts w:ascii="Calibri" w:hAnsi="Calibri"/>
                <w:szCs w:val="22"/>
                <w:lang w:val="en-AU"/>
              </w:rPr>
              <w:t>/0</w:t>
            </w:r>
          </w:p>
        </w:tc>
      </w:tr>
      <w:tr w:rsidR="00ED0DCC" w:rsidRPr="002836EB" w14:paraId="0D92DCA4" w14:textId="77777777" w:rsidTr="007206DE">
        <w:trPr>
          <w:trHeight w:val="234"/>
        </w:trPr>
        <w:tc>
          <w:tcPr>
            <w:tcW w:w="1575" w:type="dxa"/>
            <w:vAlign w:val="bottom"/>
          </w:tcPr>
          <w:p w14:paraId="3AB44531" w14:textId="56273873" w:rsidR="00ED0DCC" w:rsidRPr="007B0318" w:rsidRDefault="00ED0DCC" w:rsidP="00ED0DCC">
            <w:pPr>
              <w:pStyle w:val="02Tabletext"/>
              <w:rPr>
                <w:rFonts w:ascii="Calibri" w:hAnsi="Calibri"/>
                <w:szCs w:val="22"/>
                <w:lang w:val="en-AU"/>
              </w:rPr>
            </w:pPr>
            <w:r w:rsidRPr="007B0318">
              <w:rPr>
                <w:rFonts w:ascii="Calibri" w:hAnsi="Calibri"/>
                <w:szCs w:val="22"/>
                <w:lang w:val="en-AU"/>
              </w:rPr>
              <w:t>15214</w:t>
            </w:r>
          </w:p>
        </w:tc>
        <w:tc>
          <w:tcPr>
            <w:tcW w:w="2213" w:type="dxa"/>
            <w:vAlign w:val="bottom"/>
          </w:tcPr>
          <w:p w14:paraId="30CF3E25" w14:textId="39AD687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198FE703" w14:textId="4C8CC0F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409E2233" w14:textId="4ED4B97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5E852E13" w14:textId="77777777" w:rsidTr="007206DE">
        <w:trPr>
          <w:trHeight w:val="234"/>
        </w:trPr>
        <w:tc>
          <w:tcPr>
            <w:tcW w:w="1575" w:type="dxa"/>
            <w:vAlign w:val="bottom"/>
          </w:tcPr>
          <w:p w14:paraId="7BC451AB" w14:textId="36457E66" w:rsidR="00ED0DCC" w:rsidRPr="007B0318" w:rsidRDefault="00ED0DCC" w:rsidP="00ED0DCC">
            <w:pPr>
              <w:pStyle w:val="02Tabletext"/>
              <w:rPr>
                <w:rFonts w:ascii="Calibri" w:hAnsi="Calibri"/>
                <w:szCs w:val="22"/>
                <w:lang w:val="en-AU"/>
              </w:rPr>
            </w:pPr>
            <w:r w:rsidRPr="007B0318">
              <w:rPr>
                <w:rFonts w:ascii="Calibri" w:hAnsi="Calibri"/>
                <w:szCs w:val="22"/>
                <w:lang w:val="en-AU"/>
              </w:rPr>
              <w:t>15215</w:t>
            </w:r>
          </w:p>
        </w:tc>
        <w:tc>
          <w:tcPr>
            <w:tcW w:w="2213" w:type="dxa"/>
            <w:vAlign w:val="bottom"/>
          </w:tcPr>
          <w:p w14:paraId="357E14BE" w14:textId="230ECD5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$406</w:t>
            </w:r>
          </w:p>
        </w:tc>
        <w:tc>
          <w:tcPr>
            <w:tcW w:w="2394" w:type="dxa"/>
            <w:vAlign w:val="bottom"/>
          </w:tcPr>
          <w:p w14:paraId="40EE8E2C" w14:textId="09E79A7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w:t>
            </w:r>
          </w:p>
        </w:tc>
        <w:tc>
          <w:tcPr>
            <w:tcW w:w="2639" w:type="dxa"/>
            <w:vAlign w:val="bottom"/>
          </w:tcPr>
          <w:p w14:paraId="1AD0FCF6" w14:textId="151D41E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-48.3%</w:t>
            </w:r>
          </w:p>
        </w:tc>
      </w:tr>
      <w:tr w:rsidR="00ED0DCC" w:rsidRPr="002836EB" w14:paraId="6C1646B1" w14:textId="77777777" w:rsidTr="007206DE">
        <w:trPr>
          <w:trHeight w:val="234"/>
        </w:trPr>
        <w:tc>
          <w:tcPr>
            <w:tcW w:w="1575" w:type="dxa"/>
            <w:vAlign w:val="bottom"/>
          </w:tcPr>
          <w:p w14:paraId="0CFF5F7E" w14:textId="2DA2E36C" w:rsidR="00ED0DCC" w:rsidRPr="007B0318" w:rsidRDefault="00ED0DCC" w:rsidP="00ED0DCC">
            <w:pPr>
              <w:pStyle w:val="02Tabletext"/>
              <w:rPr>
                <w:rFonts w:ascii="Calibri" w:hAnsi="Calibri"/>
                <w:szCs w:val="22"/>
                <w:lang w:val="en-AU"/>
              </w:rPr>
            </w:pPr>
            <w:r w:rsidRPr="007B0318">
              <w:rPr>
                <w:rFonts w:ascii="Calibri" w:hAnsi="Calibri"/>
                <w:szCs w:val="22"/>
                <w:lang w:val="en-AU"/>
              </w:rPr>
              <w:t>15218</w:t>
            </w:r>
          </w:p>
        </w:tc>
        <w:tc>
          <w:tcPr>
            <w:tcW w:w="2213" w:type="dxa"/>
            <w:vAlign w:val="bottom"/>
          </w:tcPr>
          <w:p w14:paraId="3BFF1ED8" w14:textId="5CFB681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$259</w:t>
            </w:r>
          </w:p>
        </w:tc>
        <w:tc>
          <w:tcPr>
            <w:tcW w:w="2394" w:type="dxa"/>
            <w:vAlign w:val="bottom"/>
          </w:tcPr>
          <w:p w14:paraId="454F158B" w14:textId="33D553F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w:t>
            </w:r>
          </w:p>
        </w:tc>
        <w:tc>
          <w:tcPr>
            <w:tcW w:w="2639" w:type="dxa"/>
            <w:vAlign w:val="bottom"/>
          </w:tcPr>
          <w:p w14:paraId="05FA3D82" w14:textId="1A02C5C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6AF5F9ED" w14:textId="77777777" w:rsidTr="007206DE">
        <w:trPr>
          <w:trHeight w:val="234"/>
        </w:trPr>
        <w:tc>
          <w:tcPr>
            <w:tcW w:w="1575" w:type="dxa"/>
            <w:vAlign w:val="bottom"/>
          </w:tcPr>
          <w:p w14:paraId="4645CE76" w14:textId="7981E9DD" w:rsidR="00ED0DCC" w:rsidRPr="007B0318" w:rsidRDefault="00ED0DCC" w:rsidP="00ED0DCC">
            <w:pPr>
              <w:pStyle w:val="02Tabletext"/>
              <w:rPr>
                <w:rFonts w:ascii="Calibri" w:hAnsi="Calibri"/>
                <w:szCs w:val="22"/>
                <w:lang w:val="en-AU"/>
              </w:rPr>
            </w:pPr>
            <w:r w:rsidRPr="007B0318">
              <w:rPr>
                <w:rFonts w:ascii="Calibri" w:hAnsi="Calibri"/>
                <w:szCs w:val="22"/>
                <w:lang w:val="en-AU"/>
              </w:rPr>
              <w:t>15221</w:t>
            </w:r>
          </w:p>
        </w:tc>
        <w:tc>
          <w:tcPr>
            <w:tcW w:w="2213" w:type="dxa"/>
            <w:vAlign w:val="bottom"/>
          </w:tcPr>
          <w:p w14:paraId="7F0E6958" w14:textId="07F5AB5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$10,606</w:t>
            </w:r>
          </w:p>
        </w:tc>
        <w:tc>
          <w:tcPr>
            <w:tcW w:w="2394" w:type="dxa"/>
            <w:vAlign w:val="bottom"/>
          </w:tcPr>
          <w:p w14:paraId="66EC450F" w14:textId="76BBCDC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203</w:t>
            </w:r>
          </w:p>
        </w:tc>
        <w:tc>
          <w:tcPr>
            <w:tcW w:w="2639" w:type="dxa"/>
            <w:vAlign w:val="bottom"/>
          </w:tcPr>
          <w:p w14:paraId="11224677" w14:textId="1DD3021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-23.3%</w:t>
            </w:r>
          </w:p>
        </w:tc>
      </w:tr>
      <w:tr w:rsidR="00ED0DCC" w:rsidRPr="002836EB" w14:paraId="1AB71C44" w14:textId="77777777" w:rsidTr="007206DE">
        <w:trPr>
          <w:trHeight w:val="234"/>
        </w:trPr>
        <w:tc>
          <w:tcPr>
            <w:tcW w:w="1575" w:type="dxa"/>
            <w:vAlign w:val="bottom"/>
          </w:tcPr>
          <w:p w14:paraId="2D4A0894" w14:textId="7DC41AE4" w:rsidR="00ED0DCC" w:rsidRPr="007B0318" w:rsidRDefault="00ED0DCC" w:rsidP="00ED0DCC">
            <w:pPr>
              <w:pStyle w:val="02Tabletext"/>
              <w:rPr>
                <w:rFonts w:ascii="Calibri" w:hAnsi="Calibri"/>
                <w:szCs w:val="22"/>
                <w:lang w:val="en-AU"/>
              </w:rPr>
            </w:pPr>
            <w:r w:rsidRPr="007B0318">
              <w:rPr>
                <w:rFonts w:ascii="Calibri" w:hAnsi="Calibri"/>
                <w:szCs w:val="22"/>
                <w:lang w:val="en-AU"/>
              </w:rPr>
              <w:t>15224</w:t>
            </w:r>
          </w:p>
        </w:tc>
        <w:tc>
          <w:tcPr>
            <w:tcW w:w="2213" w:type="dxa"/>
            <w:vAlign w:val="bottom"/>
          </w:tcPr>
          <w:p w14:paraId="0C37D010" w14:textId="674893E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$33,030</w:t>
            </w:r>
          </w:p>
        </w:tc>
        <w:tc>
          <w:tcPr>
            <w:tcW w:w="2394" w:type="dxa"/>
            <w:vAlign w:val="bottom"/>
          </w:tcPr>
          <w:p w14:paraId="5435B56D" w14:textId="665E5D6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651</w:t>
            </w:r>
          </w:p>
        </w:tc>
        <w:tc>
          <w:tcPr>
            <w:tcW w:w="2639" w:type="dxa"/>
            <w:vAlign w:val="bottom"/>
          </w:tcPr>
          <w:p w14:paraId="2B7DF89B" w14:textId="4D33295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-12.4%</w:t>
            </w:r>
          </w:p>
        </w:tc>
      </w:tr>
      <w:tr w:rsidR="00ED0DCC" w:rsidRPr="002836EB" w14:paraId="0BFCB5CF" w14:textId="77777777" w:rsidTr="007206DE">
        <w:trPr>
          <w:trHeight w:val="234"/>
        </w:trPr>
        <w:tc>
          <w:tcPr>
            <w:tcW w:w="1575" w:type="dxa"/>
            <w:vAlign w:val="bottom"/>
          </w:tcPr>
          <w:p w14:paraId="3CF6DE99" w14:textId="78D789C8" w:rsidR="00ED0DCC" w:rsidRPr="007B0318" w:rsidRDefault="00ED0DCC" w:rsidP="00ED0DCC">
            <w:pPr>
              <w:pStyle w:val="02Tabletext"/>
              <w:rPr>
                <w:rFonts w:ascii="Calibri" w:hAnsi="Calibri"/>
                <w:szCs w:val="22"/>
                <w:lang w:val="en-AU"/>
              </w:rPr>
            </w:pPr>
            <w:r w:rsidRPr="007B0318">
              <w:rPr>
                <w:rFonts w:ascii="Calibri" w:hAnsi="Calibri"/>
                <w:szCs w:val="22"/>
                <w:lang w:val="en-AU"/>
              </w:rPr>
              <w:t>15227</w:t>
            </w:r>
          </w:p>
        </w:tc>
        <w:tc>
          <w:tcPr>
            <w:tcW w:w="2213" w:type="dxa"/>
            <w:vAlign w:val="bottom"/>
          </w:tcPr>
          <w:p w14:paraId="65C6700B" w14:textId="7FCDB7B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$22,139</w:t>
            </w:r>
          </w:p>
        </w:tc>
        <w:tc>
          <w:tcPr>
            <w:tcW w:w="2394" w:type="dxa"/>
            <w:vAlign w:val="bottom"/>
          </w:tcPr>
          <w:p w14:paraId="08C53562" w14:textId="120DBD4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412</w:t>
            </w:r>
          </w:p>
        </w:tc>
        <w:tc>
          <w:tcPr>
            <w:tcW w:w="2639" w:type="dxa"/>
            <w:vAlign w:val="bottom"/>
          </w:tcPr>
          <w:p w14:paraId="109DACD9" w14:textId="3422FF8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-26.8%</w:t>
            </w:r>
          </w:p>
        </w:tc>
      </w:tr>
      <w:tr w:rsidR="00ED0DCC" w:rsidRPr="002836EB" w14:paraId="187F719E" w14:textId="77777777" w:rsidTr="007206DE">
        <w:trPr>
          <w:trHeight w:val="234"/>
        </w:trPr>
        <w:tc>
          <w:tcPr>
            <w:tcW w:w="1575" w:type="dxa"/>
            <w:vAlign w:val="bottom"/>
          </w:tcPr>
          <w:p w14:paraId="35DD43D2" w14:textId="6C366C13" w:rsidR="00ED0DCC" w:rsidRPr="007B0318" w:rsidRDefault="00ED0DCC" w:rsidP="00ED0DCC">
            <w:pPr>
              <w:pStyle w:val="02Tabletext"/>
              <w:rPr>
                <w:rFonts w:ascii="Calibri" w:hAnsi="Calibri"/>
                <w:szCs w:val="22"/>
                <w:lang w:val="en-AU"/>
              </w:rPr>
            </w:pPr>
            <w:r w:rsidRPr="007B0318">
              <w:rPr>
                <w:rFonts w:ascii="Calibri" w:hAnsi="Calibri"/>
                <w:szCs w:val="22"/>
                <w:lang w:val="en-AU"/>
              </w:rPr>
              <w:lastRenderedPageBreak/>
              <w:t>15230</w:t>
            </w:r>
          </w:p>
        </w:tc>
        <w:tc>
          <w:tcPr>
            <w:tcW w:w="2213" w:type="dxa"/>
            <w:vAlign w:val="bottom"/>
          </w:tcPr>
          <w:p w14:paraId="047F9D71" w14:textId="7EDCFF2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$537,786</w:t>
            </w:r>
          </w:p>
        </w:tc>
        <w:tc>
          <w:tcPr>
            <w:tcW w:w="2394" w:type="dxa"/>
            <w:vAlign w:val="bottom"/>
          </w:tcPr>
          <w:p w14:paraId="2EC7BCD6" w14:textId="7F35448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2,665</w:t>
            </w:r>
          </w:p>
        </w:tc>
        <w:tc>
          <w:tcPr>
            <w:tcW w:w="2639" w:type="dxa"/>
            <w:vAlign w:val="bottom"/>
          </w:tcPr>
          <w:p w14:paraId="3FA42DD7" w14:textId="39929BE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-7.0%</w:t>
            </w:r>
          </w:p>
        </w:tc>
      </w:tr>
      <w:tr w:rsidR="00ED0DCC" w:rsidRPr="002836EB" w14:paraId="1518329B" w14:textId="77777777" w:rsidTr="007206DE">
        <w:trPr>
          <w:trHeight w:val="234"/>
        </w:trPr>
        <w:tc>
          <w:tcPr>
            <w:tcW w:w="1575" w:type="dxa"/>
            <w:vAlign w:val="bottom"/>
          </w:tcPr>
          <w:p w14:paraId="3855EDBD" w14:textId="5C5A1DC7" w:rsidR="00ED0DCC" w:rsidRPr="007B0318" w:rsidRDefault="00ED0DCC" w:rsidP="00ED0DCC">
            <w:pPr>
              <w:pStyle w:val="02Tabletext"/>
              <w:rPr>
                <w:rFonts w:ascii="Calibri" w:hAnsi="Calibri"/>
                <w:szCs w:val="22"/>
                <w:lang w:val="en-AU"/>
              </w:rPr>
            </w:pPr>
            <w:r w:rsidRPr="007B0318">
              <w:rPr>
                <w:rFonts w:ascii="Calibri" w:hAnsi="Calibri"/>
                <w:szCs w:val="22"/>
                <w:lang w:val="en-AU"/>
              </w:rPr>
              <w:t>15233</w:t>
            </w:r>
          </w:p>
        </w:tc>
        <w:tc>
          <w:tcPr>
            <w:tcW w:w="2213" w:type="dxa"/>
            <w:vAlign w:val="bottom"/>
          </w:tcPr>
          <w:p w14:paraId="538E3803" w14:textId="0835415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$1,240,240</w:t>
            </w:r>
          </w:p>
        </w:tc>
        <w:tc>
          <w:tcPr>
            <w:tcW w:w="2394" w:type="dxa"/>
            <w:vAlign w:val="bottom"/>
          </w:tcPr>
          <w:p w14:paraId="1207A874" w14:textId="7E18B5F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3,838</w:t>
            </w:r>
          </w:p>
        </w:tc>
        <w:tc>
          <w:tcPr>
            <w:tcW w:w="2639" w:type="dxa"/>
            <w:vAlign w:val="bottom"/>
          </w:tcPr>
          <w:p w14:paraId="4AD62A0E" w14:textId="1508CAC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-2.0%</w:t>
            </w:r>
          </w:p>
        </w:tc>
      </w:tr>
      <w:tr w:rsidR="00ED0DCC" w:rsidRPr="002836EB" w14:paraId="6D826DFA" w14:textId="77777777" w:rsidTr="007206DE">
        <w:trPr>
          <w:trHeight w:val="234"/>
        </w:trPr>
        <w:tc>
          <w:tcPr>
            <w:tcW w:w="1575" w:type="dxa"/>
            <w:vAlign w:val="bottom"/>
          </w:tcPr>
          <w:p w14:paraId="3FAE21A9" w14:textId="3FC2065B" w:rsidR="00ED0DCC" w:rsidRPr="007B0318" w:rsidRDefault="00ED0DCC" w:rsidP="00ED0DCC">
            <w:pPr>
              <w:pStyle w:val="02Tabletext"/>
              <w:rPr>
                <w:rFonts w:ascii="Calibri" w:hAnsi="Calibri"/>
                <w:szCs w:val="22"/>
                <w:lang w:val="en-AU"/>
              </w:rPr>
            </w:pPr>
            <w:r w:rsidRPr="007B0318">
              <w:rPr>
                <w:rFonts w:ascii="Calibri" w:hAnsi="Calibri"/>
                <w:szCs w:val="22"/>
                <w:lang w:val="en-AU"/>
              </w:rPr>
              <w:t>15236</w:t>
            </w:r>
          </w:p>
        </w:tc>
        <w:tc>
          <w:tcPr>
            <w:tcW w:w="2213" w:type="dxa"/>
            <w:vAlign w:val="bottom"/>
          </w:tcPr>
          <w:p w14:paraId="164E2FDB" w14:textId="117AB8B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$3,196,934</w:t>
            </w:r>
          </w:p>
        </w:tc>
        <w:tc>
          <w:tcPr>
            <w:tcW w:w="2394" w:type="dxa"/>
            <w:vAlign w:val="bottom"/>
          </w:tcPr>
          <w:p w14:paraId="508EA7C5" w14:textId="2C0BF36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14,926</w:t>
            </w:r>
          </w:p>
        </w:tc>
        <w:tc>
          <w:tcPr>
            <w:tcW w:w="2639" w:type="dxa"/>
            <w:vAlign w:val="bottom"/>
          </w:tcPr>
          <w:p w14:paraId="0BC707C9" w14:textId="6186A55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-8.1%</w:t>
            </w:r>
          </w:p>
        </w:tc>
      </w:tr>
      <w:tr w:rsidR="00ED0DCC" w:rsidRPr="002836EB" w14:paraId="2D62AAF9" w14:textId="77777777" w:rsidTr="007206DE">
        <w:trPr>
          <w:trHeight w:val="234"/>
        </w:trPr>
        <w:tc>
          <w:tcPr>
            <w:tcW w:w="1575" w:type="dxa"/>
            <w:vAlign w:val="bottom"/>
          </w:tcPr>
          <w:p w14:paraId="6001761F" w14:textId="3D45D49F" w:rsidR="00ED0DCC" w:rsidRPr="007B0318" w:rsidRDefault="00ED0DCC" w:rsidP="00ED0DCC">
            <w:pPr>
              <w:pStyle w:val="02Tabletext"/>
              <w:rPr>
                <w:rFonts w:ascii="Calibri" w:hAnsi="Calibri"/>
                <w:szCs w:val="22"/>
                <w:lang w:val="en-AU"/>
              </w:rPr>
            </w:pPr>
            <w:r w:rsidRPr="007B0318">
              <w:rPr>
                <w:rFonts w:ascii="Calibri" w:hAnsi="Calibri"/>
                <w:szCs w:val="22"/>
                <w:lang w:val="en-AU"/>
              </w:rPr>
              <w:t>15239</w:t>
            </w:r>
          </w:p>
        </w:tc>
        <w:tc>
          <w:tcPr>
            <w:tcW w:w="2213" w:type="dxa"/>
            <w:vAlign w:val="bottom"/>
          </w:tcPr>
          <w:p w14:paraId="331D79E0" w14:textId="3AFA9A2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$2,625,231</w:t>
            </w:r>
          </w:p>
        </w:tc>
        <w:tc>
          <w:tcPr>
            <w:tcW w:w="2394" w:type="dxa"/>
            <w:vAlign w:val="bottom"/>
          </w:tcPr>
          <w:p w14:paraId="0CD94E76" w14:textId="3AF87B1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16,034</w:t>
            </w:r>
          </w:p>
        </w:tc>
        <w:tc>
          <w:tcPr>
            <w:tcW w:w="2639" w:type="dxa"/>
            <w:vAlign w:val="bottom"/>
          </w:tcPr>
          <w:p w14:paraId="07A3AE4E" w14:textId="6997390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-5.3%</w:t>
            </w:r>
          </w:p>
        </w:tc>
      </w:tr>
      <w:tr w:rsidR="00ED0DCC" w:rsidRPr="002836EB" w14:paraId="0C5EE337" w14:textId="77777777" w:rsidTr="007206DE">
        <w:trPr>
          <w:trHeight w:val="234"/>
        </w:trPr>
        <w:tc>
          <w:tcPr>
            <w:tcW w:w="1575" w:type="dxa"/>
            <w:vAlign w:val="bottom"/>
          </w:tcPr>
          <w:p w14:paraId="3E27B7FA" w14:textId="2F3F5E91" w:rsidR="00ED0DCC" w:rsidRPr="007B0318" w:rsidRDefault="00ED0DCC" w:rsidP="00ED0DCC">
            <w:pPr>
              <w:pStyle w:val="02Tabletext"/>
              <w:rPr>
                <w:rFonts w:ascii="Calibri" w:hAnsi="Calibri"/>
                <w:szCs w:val="22"/>
                <w:lang w:val="en-AU"/>
              </w:rPr>
            </w:pPr>
            <w:r w:rsidRPr="007B0318">
              <w:rPr>
                <w:rFonts w:ascii="Calibri" w:hAnsi="Calibri"/>
                <w:szCs w:val="22"/>
                <w:lang w:val="en-AU"/>
              </w:rPr>
              <w:t>15242</w:t>
            </w:r>
          </w:p>
        </w:tc>
        <w:tc>
          <w:tcPr>
            <w:tcW w:w="2213" w:type="dxa"/>
            <w:vAlign w:val="bottom"/>
          </w:tcPr>
          <w:p w14:paraId="14C9D973" w14:textId="2D1BB34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$1,134,909</w:t>
            </w:r>
          </w:p>
        </w:tc>
        <w:tc>
          <w:tcPr>
            <w:tcW w:w="2394" w:type="dxa"/>
            <w:vAlign w:val="bottom"/>
          </w:tcPr>
          <w:p w14:paraId="1EA7CC46" w14:textId="1AB8582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5,907</w:t>
            </w:r>
          </w:p>
        </w:tc>
        <w:tc>
          <w:tcPr>
            <w:tcW w:w="2639" w:type="dxa"/>
            <w:vAlign w:val="bottom"/>
          </w:tcPr>
          <w:p w14:paraId="26545573" w14:textId="2D1B531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-5.4%</w:t>
            </w:r>
          </w:p>
        </w:tc>
      </w:tr>
      <w:tr w:rsidR="00ED0DCC" w:rsidRPr="002836EB" w14:paraId="6F8044A7" w14:textId="77777777" w:rsidTr="007206DE">
        <w:trPr>
          <w:trHeight w:val="234"/>
        </w:trPr>
        <w:tc>
          <w:tcPr>
            <w:tcW w:w="1575" w:type="dxa"/>
            <w:vAlign w:val="bottom"/>
          </w:tcPr>
          <w:p w14:paraId="10D4B0B2" w14:textId="26D6A298" w:rsidR="00ED0DCC" w:rsidRPr="007B0318" w:rsidRDefault="00ED0DCC" w:rsidP="00ED0DCC">
            <w:pPr>
              <w:pStyle w:val="02Tabletext"/>
              <w:rPr>
                <w:rFonts w:ascii="Calibri" w:hAnsi="Calibri"/>
                <w:szCs w:val="22"/>
                <w:lang w:val="en-AU"/>
              </w:rPr>
            </w:pPr>
            <w:r w:rsidRPr="007B0318">
              <w:rPr>
                <w:rFonts w:ascii="Calibri" w:hAnsi="Calibri"/>
                <w:szCs w:val="22"/>
                <w:lang w:val="en-AU"/>
              </w:rPr>
              <w:t>15245</w:t>
            </w:r>
          </w:p>
        </w:tc>
        <w:tc>
          <w:tcPr>
            <w:tcW w:w="2213" w:type="dxa"/>
            <w:vAlign w:val="bottom"/>
          </w:tcPr>
          <w:p w14:paraId="4A8B5F0D" w14:textId="132878A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$13,493</w:t>
            </w:r>
          </w:p>
        </w:tc>
        <w:tc>
          <w:tcPr>
            <w:tcW w:w="2394" w:type="dxa"/>
            <w:vAlign w:val="bottom"/>
          </w:tcPr>
          <w:p w14:paraId="5FCA4D03" w14:textId="12A9C44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218</w:t>
            </w:r>
          </w:p>
        </w:tc>
        <w:tc>
          <w:tcPr>
            <w:tcW w:w="2639" w:type="dxa"/>
            <w:vAlign w:val="bottom"/>
          </w:tcPr>
          <w:p w14:paraId="6EF95D61" w14:textId="15DB022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w:t>
            </w:r>
          </w:p>
        </w:tc>
      </w:tr>
      <w:tr w:rsidR="00ED0DCC" w:rsidRPr="002836EB" w14:paraId="1AC80943" w14:textId="77777777" w:rsidTr="007206DE">
        <w:trPr>
          <w:trHeight w:val="234"/>
        </w:trPr>
        <w:tc>
          <w:tcPr>
            <w:tcW w:w="1575" w:type="dxa"/>
            <w:vAlign w:val="bottom"/>
          </w:tcPr>
          <w:p w14:paraId="76C64918" w14:textId="07180F19" w:rsidR="00ED0DCC" w:rsidRPr="007B0318" w:rsidRDefault="00ED0DCC" w:rsidP="00ED0DCC">
            <w:pPr>
              <w:pStyle w:val="02Tabletext"/>
              <w:rPr>
                <w:rFonts w:ascii="Calibri" w:hAnsi="Calibri"/>
                <w:szCs w:val="22"/>
                <w:lang w:val="en-AU"/>
              </w:rPr>
            </w:pPr>
            <w:r w:rsidRPr="007B0318">
              <w:rPr>
                <w:rFonts w:ascii="Calibri" w:hAnsi="Calibri"/>
                <w:szCs w:val="22"/>
                <w:lang w:val="en-AU"/>
              </w:rPr>
              <w:t>15248</w:t>
            </w:r>
          </w:p>
        </w:tc>
        <w:tc>
          <w:tcPr>
            <w:tcW w:w="2213" w:type="dxa"/>
            <w:vAlign w:val="bottom"/>
          </w:tcPr>
          <w:p w14:paraId="2FEF1754" w14:textId="4107EC6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$19,521</w:t>
            </w:r>
          </w:p>
        </w:tc>
        <w:tc>
          <w:tcPr>
            <w:tcW w:w="2394" w:type="dxa"/>
            <w:vAlign w:val="bottom"/>
          </w:tcPr>
          <w:p w14:paraId="025EC3DE" w14:textId="680574C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375</w:t>
            </w:r>
          </w:p>
        </w:tc>
        <w:tc>
          <w:tcPr>
            <w:tcW w:w="2639" w:type="dxa"/>
            <w:vAlign w:val="bottom"/>
          </w:tcPr>
          <w:p w14:paraId="088CC0AB" w14:textId="345E361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-8.6%</w:t>
            </w:r>
          </w:p>
        </w:tc>
      </w:tr>
      <w:tr w:rsidR="00ED0DCC" w:rsidRPr="002836EB" w14:paraId="7C677B37" w14:textId="77777777" w:rsidTr="007206DE">
        <w:trPr>
          <w:trHeight w:val="234"/>
        </w:trPr>
        <w:tc>
          <w:tcPr>
            <w:tcW w:w="1575" w:type="dxa"/>
            <w:vAlign w:val="bottom"/>
          </w:tcPr>
          <w:p w14:paraId="3DD73005" w14:textId="28EEE04C" w:rsidR="00ED0DCC" w:rsidRPr="007B0318" w:rsidRDefault="00ED0DCC" w:rsidP="00ED0DCC">
            <w:pPr>
              <w:pStyle w:val="02Tabletext"/>
              <w:rPr>
                <w:rFonts w:ascii="Calibri" w:hAnsi="Calibri"/>
                <w:szCs w:val="22"/>
                <w:lang w:val="en-AU"/>
              </w:rPr>
            </w:pPr>
            <w:r w:rsidRPr="007B0318">
              <w:rPr>
                <w:rFonts w:ascii="Calibri" w:hAnsi="Calibri"/>
                <w:szCs w:val="22"/>
                <w:lang w:val="en-AU"/>
              </w:rPr>
              <w:t>15251</w:t>
            </w:r>
          </w:p>
        </w:tc>
        <w:tc>
          <w:tcPr>
            <w:tcW w:w="2213" w:type="dxa"/>
            <w:vAlign w:val="bottom"/>
          </w:tcPr>
          <w:p w14:paraId="0359F7AD" w14:textId="6F1F8C1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$1,178,085</w:t>
            </w:r>
          </w:p>
        </w:tc>
        <w:tc>
          <w:tcPr>
            <w:tcW w:w="2394" w:type="dxa"/>
            <w:vAlign w:val="bottom"/>
          </w:tcPr>
          <w:p w14:paraId="2D7F62BE" w14:textId="284D347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16,999</w:t>
            </w:r>
          </w:p>
        </w:tc>
        <w:tc>
          <w:tcPr>
            <w:tcW w:w="2639" w:type="dxa"/>
            <w:vAlign w:val="bottom"/>
          </w:tcPr>
          <w:p w14:paraId="0AFBE406" w14:textId="34E21CA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-6.0%</w:t>
            </w:r>
          </w:p>
        </w:tc>
      </w:tr>
      <w:tr w:rsidR="00ED0DCC" w:rsidRPr="002836EB" w14:paraId="58C6D551" w14:textId="77777777" w:rsidTr="007206DE">
        <w:trPr>
          <w:trHeight w:val="234"/>
        </w:trPr>
        <w:tc>
          <w:tcPr>
            <w:tcW w:w="1575" w:type="dxa"/>
            <w:vAlign w:val="bottom"/>
          </w:tcPr>
          <w:p w14:paraId="6836647D" w14:textId="5EF25D84" w:rsidR="00ED0DCC" w:rsidRPr="007B0318" w:rsidRDefault="00ED0DCC" w:rsidP="00ED0DCC">
            <w:pPr>
              <w:pStyle w:val="02Tabletext"/>
              <w:rPr>
                <w:rFonts w:ascii="Calibri" w:hAnsi="Calibri"/>
                <w:szCs w:val="22"/>
                <w:lang w:val="en-AU"/>
              </w:rPr>
            </w:pPr>
            <w:r w:rsidRPr="007B0318">
              <w:rPr>
                <w:rFonts w:ascii="Calibri" w:hAnsi="Calibri"/>
                <w:szCs w:val="22"/>
                <w:lang w:val="en-AU"/>
              </w:rPr>
              <w:t>15254</w:t>
            </w:r>
          </w:p>
        </w:tc>
        <w:tc>
          <w:tcPr>
            <w:tcW w:w="2213" w:type="dxa"/>
            <w:vAlign w:val="bottom"/>
          </w:tcPr>
          <w:p w14:paraId="09BA10F7" w14:textId="12FA69A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$2,829,229</w:t>
            </w:r>
          </w:p>
        </w:tc>
        <w:tc>
          <w:tcPr>
            <w:tcW w:w="2394" w:type="dxa"/>
            <w:vAlign w:val="bottom"/>
          </w:tcPr>
          <w:p w14:paraId="42298961" w14:textId="2BB4A15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43,478</w:t>
            </w:r>
          </w:p>
        </w:tc>
        <w:tc>
          <w:tcPr>
            <w:tcW w:w="2639" w:type="dxa"/>
            <w:vAlign w:val="bottom"/>
          </w:tcPr>
          <w:p w14:paraId="4E882A2D" w14:textId="4B9F10E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6.1%</w:t>
            </w:r>
          </w:p>
        </w:tc>
      </w:tr>
      <w:tr w:rsidR="00ED0DCC" w:rsidRPr="002836EB" w14:paraId="5F19FFCD" w14:textId="77777777" w:rsidTr="007206DE">
        <w:trPr>
          <w:trHeight w:val="234"/>
        </w:trPr>
        <w:tc>
          <w:tcPr>
            <w:tcW w:w="1575" w:type="dxa"/>
            <w:vAlign w:val="bottom"/>
          </w:tcPr>
          <w:p w14:paraId="32047336" w14:textId="037742F4" w:rsidR="00ED0DCC" w:rsidRPr="007B0318" w:rsidRDefault="00ED0DCC" w:rsidP="00ED0DCC">
            <w:pPr>
              <w:pStyle w:val="02Tabletext"/>
              <w:rPr>
                <w:rFonts w:ascii="Calibri" w:hAnsi="Calibri"/>
                <w:szCs w:val="22"/>
                <w:lang w:val="en-AU"/>
              </w:rPr>
            </w:pPr>
            <w:r w:rsidRPr="007B0318">
              <w:rPr>
                <w:rFonts w:ascii="Calibri" w:hAnsi="Calibri"/>
                <w:szCs w:val="22"/>
                <w:lang w:val="en-AU"/>
              </w:rPr>
              <w:t>15257</w:t>
            </w:r>
          </w:p>
        </w:tc>
        <w:tc>
          <w:tcPr>
            <w:tcW w:w="2213" w:type="dxa"/>
            <w:vAlign w:val="bottom"/>
          </w:tcPr>
          <w:p w14:paraId="6FC4BF1F" w14:textId="1150383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$560,726</w:t>
            </w:r>
          </w:p>
        </w:tc>
        <w:tc>
          <w:tcPr>
            <w:tcW w:w="2394" w:type="dxa"/>
            <w:vAlign w:val="bottom"/>
          </w:tcPr>
          <w:p w14:paraId="69E506AA" w14:textId="4D88C0C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10,070</w:t>
            </w:r>
          </w:p>
        </w:tc>
        <w:tc>
          <w:tcPr>
            <w:tcW w:w="2639" w:type="dxa"/>
            <w:vAlign w:val="bottom"/>
          </w:tcPr>
          <w:p w14:paraId="123D9216" w14:textId="1258CB1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-3.0%</w:t>
            </w:r>
          </w:p>
        </w:tc>
      </w:tr>
      <w:tr w:rsidR="00ED0DCC" w:rsidRPr="002836EB" w14:paraId="6D4A4F9F" w14:textId="77777777" w:rsidTr="007206DE">
        <w:trPr>
          <w:trHeight w:val="234"/>
        </w:trPr>
        <w:tc>
          <w:tcPr>
            <w:tcW w:w="1575" w:type="dxa"/>
            <w:vAlign w:val="bottom"/>
          </w:tcPr>
          <w:p w14:paraId="3BDA2AF1" w14:textId="56DD6D90" w:rsidR="00ED0DCC" w:rsidRPr="007B0318" w:rsidRDefault="00ED0DCC" w:rsidP="00ED0DCC">
            <w:pPr>
              <w:pStyle w:val="02Tabletext"/>
              <w:rPr>
                <w:rFonts w:ascii="Calibri" w:hAnsi="Calibri"/>
                <w:szCs w:val="22"/>
                <w:lang w:val="en-AU"/>
              </w:rPr>
            </w:pPr>
            <w:r w:rsidRPr="007B0318">
              <w:rPr>
                <w:rFonts w:ascii="Calibri" w:hAnsi="Calibri"/>
                <w:szCs w:val="22"/>
                <w:lang w:val="en-AU"/>
              </w:rPr>
              <w:t>15260</w:t>
            </w:r>
          </w:p>
        </w:tc>
        <w:tc>
          <w:tcPr>
            <w:tcW w:w="2213" w:type="dxa"/>
            <w:vAlign w:val="bottom"/>
          </w:tcPr>
          <w:p w14:paraId="3BAE3B43" w14:textId="07C10F3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$8,775,821</w:t>
            </w:r>
          </w:p>
        </w:tc>
        <w:tc>
          <w:tcPr>
            <w:tcW w:w="2394" w:type="dxa"/>
            <w:vAlign w:val="bottom"/>
          </w:tcPr>
          <w:p w14:paraId="26245FC5" w14:textId="1472A6E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50,173</w:t>
            </w:r>
          </w:p>
        </w:tc>
        <w:tc>
          <w:tcPr>
            <w:tcW w:w="2639" w:type="dxa"/>
            <w:vAlign w:val="bottom"/>
          </w:tcPr>
          <w:p w14:paraId="5C7AC7A8" w14:textId="0D78A1B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5.0%</w:t>
            </w:r>
          </w:p>
        </w:tc>
      </w:tr>
      <w:tr w:rsidR="00ED0DCC" w:rsidRPr="002836EB" w14:paraId="120D9F41" w14:textId="77777777" w:rsidTr="007206DE">
        <w:trPr>
          <w:trHeight w:val="234"/>
        </w:trPr>
        <w:tc>
          <w:tcPr>
            <w:tcW w:w="1575" w:type="dxa"/>
            <w:vAlign w:val="bottom"/>
          </w:tcPr>
          <w:p w14:paraId="0B17C04E" w14:textId="2FA34B78" w:rsidR="00ED0DCC" w:rsidRPr="007B0318" w:rsidRDefault="00ED0DCC" w:rsidP="00ED0DCC">
            <w:pPr>
              <w:pStyle w:val="02Tabletext"/>
              <w:rPr>
                <w:rFonts w:ascii="Calibri" w:hAnsi="Calibri"/>
                <w:szCs w:val="22"/>
                <w:lang w:val="en-AU"/>
              </w:rPr>
            </w:pPr>
            <w:r w:rsidRPr="007B0318">
              <w:rPr>
                <w:rFonts w:ascii="Calibri" w:hAnsi="Calibri"/>
                <w:szCs w:val="22"/>
                <w:lang w:val="en-AU"/>
              </w:rPr>
              <w:t>15263</w:t>
            </w:r>
          </w:p>
        </w:tc>
        <w:tc>
          <w:tcPr>
            <w:tcW w:w="2213" w:type="dxa"/>
            <w:vAlign w:val="bottom"/>
          </w:tcPr>
          <w:p w14:paraId="29391E1E" w14:textId="2692FFA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$29,158,243</w:t>
            </w:r>
          </w:p>
        </w:tc>
        <w:tc>
          <w:tcPr>
            <w:tcW w:w="2394" w:type="dxa"/>
            <w:vAlign w:val="bottom"/>
          </w:tcPr>
          <w:p w14:paraId="0F453E11" w14:textId="70677BD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134,217</w:t>
            </w:r>
          </w:p>
        </w:tc>
        <w:tc>
          <w:tcPr>
            <w:tcW w:w="2639" w:type="dxa"/>
            <w:vAlign w:val="bottom"/>
          </w:tcPr>
          <w:p w14:paraId="6E6ACB7E" w14:textId="4D05F75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-7.2%</w:t>
            </w:r>
          </w:p>
        </w:tc>
      </w:tr>
      <w:tr w:rsidR="00ED0DCC" w:rsidRPr="002836EB" w14:paraId="359637B1" w14:textId="77777777" w:rsidTr="007206DE">
        <w:trPr>
          <w:trHeight w:val="234"/>
        </w:trPr>
        <w:tc>
          <w:tcPr>
            <w:tcW w:w="1575" w:type="dxa"/>
            <w:vAlign w:val="bottom"/>
          </w:tcPr>
          <w:p w14:paraId="0A65D399" w14:textId="5EE34C74" w:rsidR="00ED0DCC" w:rsidRPr="007B0318" w:rsidRDefault="00ED0DCC" w:rsidP="00ED0DCC">
            <w:pPr>
              <w:pStyle w:val="02Tabletext"/>
              <w:rPr>
                <w:rFonts w:ascii="Calibri" w:hAnsi="Calibri"/>
                <w:szCs w:val="22"/>
                <w:lang w:val="en-AU"/>
              </w:rPr>
            </w:pPr>
            <w:r w:rsidRPr="007B0318">
              <w:rPr>
                <w:rFonts w:ascii="Calibri" w:hAnsi="Calibri"/>
                <w:szCs w:val="22"/>
                <w:lang w:val="en-AU"/>
              </w:rPr>
              <w:t>15266</w:t>
            </w:r>
          </w:p>
        </w:tc>
        <w:tc>
          <w:tcPr>
            <w:tcW w:w="2213" w:type="dxa"/>
            <w:vAlign w:val="bottom"/>
          </w:tcPr>
          <w:p w14:paraId="7F7340A3" w14:textId="50F8DF1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$49,288,451</w:t>
            </w:r>
          </w:p>
        </w:tc>
        <w:tc>
          <w:tcPr>
            <w:tcW w:w="2394" w:type="dxa"/>
            <w:vAlign w:val="bottom"/>
          </w:tcPr>
          <w:p w14:paraId="0383A5EE" w14:textId="76939D9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246,092</w:t>
            </w:r>
          </w:p>
        </w:tc>
        <w:tc>
          <w:tcPr>
            <w:tcW w:w="2639" w:type="dxa"/>
            <w:vAlign w:val="bottom"/>
          </w:tcPr>
          <w:p w14:paraId="6C81408C" w14:textId="1810BB9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3.3%</w:t>
            </w:r>
          </w:p>
        </w:tc>
      </w:tr>
      <w:tr w:rsidR="00ED0DCC" w:rsidRPr="002836EB" w14:paraId="42B8E8C5" w14:textId="77777777" w:rsidTr="007206DE">
        <w:trPr>
          <w:trHeight w:val="234"/>
        </w:trPr>
        <w:tc>
          <w:tcPr>
            <w:tcW w:w="1575" w:type="dxa"/>
            <w:vAlign w:val="bottom"/>
          </w:tcPr>
          <w:p w14:paraId="545185B1" w14:textId="4AC69D84" w:rsidR="00ED0DCC" w:rsidRPr="007B0318" w:rsidRDefault="00ED0DCC" w:rsidP="00ED0DCC">
            <w:pPr>
              <w:pStyle w:val="02Tabletext"/>
              <w:rPr>
                <w:rFonts w:ascii="Calibri" w:hAnsi="Calibri"/>
                <w:szCs w:val="22"/>
                <w:lang w:val="en-AU"/>
              </w:rPr>
            </w:pPr>
            <w:r w:rsidRPr="007B0318">
              <w:rPr>
                <w:rFonts w:ascii="Calibri" w:hAnsi="Calibri"/>
                <w:szCs w:val="22"/>
                <w:lang w:val="en-AU"/>
              </w:rPr>
              <w:t>15269</w:t>
            </w:r>
          </w:p>
        </w:tc>
        <w:tc>
          <w:tcPr>
            <w:tcW w:w="2213" w:type="dxa"/>
            <w:vAlign w:val="bottom"/>
          </w:tcPr>
          <w:p w14:paraId="5682A813" w14:textId="4095A38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$48,933,563</w:t>
            </w:r>
          </w:p>
        </w:tc>
        <w:tc>
          <w:tcPr>
            <w:tcW w:w="2394" w:type="dxa"/>
            <w:vAlign w:val="bottom"/>
          </w:tcPr>
          <w:p w14:paraId="6D76B365" w14:textId="47AF2BF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277,308</w:t>
            </w:r>
          </w:p>
        </w:tc>
        <w:tc>
          <w:tcPr>
            <w:tcW w:w="2639" w:type="dxa"/>
            <w:vAlign w:val="bottom"/>
          </w:tcPr>
          <w:p w14:paraId="7DCD295E" w14:textId="263665D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-0.2%</w:t>
            </w:r>
          </w:p>
        </w:tc>
      </w:tr>
      <w:tr w:rsidR="00ED0DCC" w:rsidRPr="002836EB" w14:paraId="0C9B241F" w14:textId="77777777" w:rsidTr="007206DE">
        <w:trPr>
          <w:trHeight w:val="234"/>
        </w:trPr>
        <w:tc>
          <w:tcPr>
            <w:tcW w:w="1575" w:type="dxa"/>
            <w:vAlign w:val="bottom"/>
          </w:tcPr>
          <w:p w14:paraId="4D7B4F84" w14:textId="36C5773A" w:rsidR="00ED0DCC" w:rsidRPr="007B0318" w:rsidRDefault="00ED0DCC" w:rsidP="00ED0DCC">
            <w:pPr>
              <w:pStyle w:val="02Tabletext"/>
              <w:rPr>
                <w:rFonts w:ascii="Calibri" w:hAnsi="Calibri"/>
                <w:szCs w:val="22"/>
                <w:lang w:val="en-AU"/>
              </w:rPr>
            </w:pPr>
            <w:r w:rsidRPr="007B0318">
              <w:rPr>
                <w:rFonts w:ascii="Calibri" w:hAnsi="Calibri"/>
                <w:szCs w:val="22"/>
                <w:lang w:val="en-AU"/>
              </w:rPr>
              <w:t>15272</w:t>
            </w:r>
          </w:p>
        </w:tc>
        <w:tc>
          <w:tcPr>
            <w:tcW w:w="2213" w:type="dxa"/>
            <w:vAlign w:val="bottom"/>
          </w:tcPr>
          <w:p w14:paraId="0EA663C8" w14:textId="507BCE3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$13,026,530</w:t>
            </w:r>
          </w:p>
        </w:tc>
        <w:tc>
          <w:tcPr>
            <w:tcW w:w="2394" w:type="dxa"/>
            <w:vAlign w:val="bottom"/>
          </w:tcPr>
          <w:p w14:paraId="204EA78E" w14:textId="38A35EF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91,656</w:t>
            </w:r>
          </w:p>
        </w:tc>
        <w:tc>
          <w:tcPr>
            <w:tcW w:w="2639" w:type="dxa"/>
            <w:vAlign w:val="bottom"/>
          </w:tcPr>
          <w:p w14:paraId="047EB966" w14:textId="6E7EDFA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5.8%</w:t>
            </w:r>
          </w:p>
        </w:tc>
      </w:tr>
      <w:tr w:rsidR="00ED0DCC" w:rsidRPr="002836EB" w14:paraId="041A4210" w14:textId="77777777" w:rsidTr="007206DE">
        <w:trPr>
          <w:trHeight w:val="234"/>
        </w:trPr>
        <w:tc>
          <w:tcPr>
            <w:tcW w:w="1575" w:type="dxa"/>
            <w:vAlign w:val="bottom"/>
          </w:tcPr>
          <w:p w14:paraId="7AC29B2F" w14:textId="7E6503C6" w:rsidR="00ED0DCC" w:rsidRPr="007B0318" w:rsidRDefault="00ED0DCC" w:rsidP="00ED0DCC">
            <w:pPr>
              <w:pStyle w:val="02Tabletext"/>
              <w:rPr>
                <w:rFonts w:ascii="Calibri" w:hAnsi="Calibri"/>
                <w:szCs w:val="22"/>
                <w:lang w:val="en-AU"/>
              </w:rPr>
            </w:pPr>
            <w:r w:rsidRPr="007B0318">
              <w:rPr>
                <w:rFonts w:ascii="Calibri" w:hAnsi="Calibri"/>
                <w:szCs w:val="22"/>
                <w:lang w:val="en-AU"/>
              </w:rPr>
              <w:t>15303</w:t>
            </w:r>
          </w:p>
        </w:tc>
        <w:tc>
          <w:tcPr>
            <w:tcW w:w="2213" w:type="dxa"/>
            <w:vAlign w:val="bottom"/>
          </w:tcPr>
          <w:p w14:paraId="16C84EE4" w14:textId="044ECA5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1D873B33" w14:textId="5DB4B4A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67F6DA1C" w14:textId="788471F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10BC9D90" w14:textId="77777777" w:rsidTr="007206DE">
        <w:trPr>
          <w:trHeight w:val="234"/>
        </w:trPr>
        <w:tc>
          <w:tcPr>
            <w:tcW w:w="1575" w:type="dxa"/>
            <w:vAlign w:val="bottom"/>
          </w:tcPr>
          <w:p w14:paraId="29DF962C" w14:textId="2EF55283" w:rsidR="00ED0DCC" w:rsidRPr="007B0318" w:rsidRDefault="00ED0DCC" w:rsidP="00ED0DCC">
            <w:pPr>
              <w:pStyle w:val="02Tabletext"/>
              <w:rPr>
                <w:rFonts w:ascii="Calibri" w:hAnsi="Calibri"/>
                <w:szCs w:val="22"/>
                <w:lang w:val="en-AU"/>
              </w:rPr>
            </w:pPr>
            <w:r w:rsidRPr="007B0318">
              <w:rPr>
                <w:rFonts w:ascii="Calibri" w:hAnsi="Calibri"/>
                <w:szCs w:val="22"/>
                <w:lang w:val="en-AU"/>
              </w:rPr>
              <w:t>15304</w:t>
            </w:r>
          </w:p>
        </w:tc>
        <w:tc>
          <w:tcPr>
            <w:tcW w:w="2213" w:type="dxa"/>
            <w:vAlign w:val="bottom"/>
          </w:tcPr>
          <w:p w14:paraId="0190DDD8" w14:textId="146B441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2D9B625D" w14:textId="721FA0F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3D195AC9" w14:textId="426ED43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58ACC35C" w14:textId="77777777" w:rsidTr="007206DE">
        <w:trPr>
          <w:trHeight w:val="234"/>
        </w:trPr>
        <w:tc>
          <w:tcPr>
            <w:tcW w:w="1575" w:type="dxa"/>
            <w:vAlign w:val="bottom"/>
          </w:tcPr>
          <w:p w14:paraId="35B0802F" w14:textId="76CF7A42" w:rsidR="00ED0DCC" w:rsidRPr="007B0318" w:rsidRDefault="00ED0DCC" w:rsidP="00ED0DCC">
            <w:pPr>
              <w:pStyle w:val="02Tabletext"/>
              <w:rPr>
                <w:rFonts w:ascii="Calibri" w:hAnsi="Calibri"/>
                <w:szCs w:val="22"/>
                <w:lang w:val="en-AU"/>
              </w:rPr>
            </w:pPr>
            <w:r w:rsidRPr="007B0318">
              <w:rPr>
                <w:rFonts w:ascii="Calibri" w:hAnsi="Calibri"/>
                <w:szCs w:val="22"/>
                <w:lang w:val="en-AU"/>
              </w:rPr>
              <w:t>15307</w:t>
            </w:r>
          </w:p>
        </w:tc>
        <w:tc>
          <w:tcPr>
            <w:tcW w:w="2213" w:type="dxa"/>
            <w:vAlign w:val="bottom"/>
          </w:tcPr>
          <w:p w14:paraId="4F32649D" w14:textId="10922E0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5B4AB732" w14:textId="52FC02A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5C62E309" w14:textId="28FDB6A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5F4B046D" w14:textId="77777777" w:rsidTr="007206DE">
        <w:trPr>
          <w:trHeight w:val="234"/>
        </w:trPr>
        <w:tc>
          <w:tcPr>
            <w:tcW w:w="1575" w:type="dxa"/>
            <w:vAlign w:val="bottom"/>
          </w:tcPr>
          <w:p w14:paraId="4A23B0DF" w14:textId="5BF5C47B" w:rsidR="00ED0DCC" w:rsidRPr="007B0318" w:rsidRDefault="00ED0DCC" w:rsidP="00ED0DCC">
            <w:pPr>
              <w:pStyle w:val="02Tabletext"/>
              <w:rPr>
                <w:rFonts w:ascii="Calibri" w:hAnsi="Calibri"/>
                <w:szCs w:val="22"/>
                <w:lang w:val="en-AU"/>
              </w:rPr>
            </w:pPr>
            <w:r w:rsidRPr="007B0318">
              <w:rPr>
                <w:rFonts w:ascii="Calibri" w:hAnsi="Calibri"/>
                <w:szCs w:val="22"/>
                <w:lang w:val="en-AU"/>
              </w:rPr>
              <w:t>15308</w:t>
            </w:r>
          </w:p>
        </w:tc>
        <w:tc>
          <w:tcPr>
            <w:tcW w:w="2213" w:type="dxa"/>
            <w:vAlign w:val="bottom"/>
          </w:tcPr>
          <w:p w14:paraId="5645293C" w14:textId="7E7F785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$38,083</w:t>
            </w:r>
          </w:p>
        </w:tc>
        <w:tc>
          <w:tcPr>
            <w:tcW w:w="2394" w:type="dxa"/>
            <w:vAlign w:val="bottom"/>
          </w:tcPr>
          <w:p w14:paraId="364BD4EA" w14:textId="7B37F99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64</w:t>
            </w:r>
          </w:p>
        </w:tc>
        <w:tc>
          <w:tcPr>
            <w:tcW w:w="2639" w:type="dxa"/>
            <w:vAlign w:val="bottom"/>
          </w:tcPr>
          <w:p w14:paraId="1633E0FD" w14:textId="2D6F165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11.6%</w:t>
            </w:r>
          </w:p>
        </w:tc>
      </w:tr>
      <w:tr w:rsidR="00ED0DCC" w:rsidRPr="002836EB" w14:paraId="05D2C6A6" w14:textId="77777777" w:rsidTr="007206DE">
        <w:trPr>
          <w:trHeight w:val="234"/>
        </w:trPr>
        <w:tc>
          <w:tcPr>
            <w:tcW w:w="1575" w:type="dxa"/>
            <w:vAlign w:val="bottom"/>
          </w:tcPr>
          <w:p w14:paraId="76D527C1" w14:textId="021B94AB" w:rsidR="00ED0DCC" w:rsidRPr="007B0318" w:rsidRDefault="00ED0DCC" w:rsidP="00ED0DCC">
            <w:pPr>
              <w:pStyle w:val="02Tabletext"/>
              <w:rPr>
                <w:rFonts w:ascii="Calibri" w:hAnsi="Calibri"/>
                <w:szCs w:val="22"/>
                <w:lang w:val="en-AU"/>
              </w:rPr>
            </w:pPr>
            <w:r w:rsidRPr="007B0318">
              <w:rPr>
                <w:rFonts w:ascii="Calibri" w:hAnsi="Calibri"/>
                <w:szCs w:val="22"/>
                <w:lang w:val="en-AU"/>
              </w:rPr>
              <w:t>15311</w:t>
            </w:r>
          </w:p>
        </w:tc>
        <w:tc>
          <w:tcPr>
            <w:tcW w:w="2213" w:type="dxa"/>
            <w:vAlign w:val="bottom"/>
          </w:tcPr>
          <w:p w14:paraId="6A630D20" w14:textId="772306B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74FB61C2" w14:textId="15C6575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6AE24736" w14:textId="75120E9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77349E9D" w14:textId="77777777" w:rsidTr="007206DE">
        <w:trPr>
          <w:trHeight w:val="234"/>
        </w:trPr>
        <w:tc>
          <w:tcPr>
            <w:tcW w:w="1575" w:type="dxa"/>
            <w:vAlign w:val="bottom"/>
          </w:tcPr>
          <w:p w14:paraId="220D34F1" w14:textId="38B5ECCA" w:rsidR="00ED0DCC" w:rsidRPr="007B0318" w:rsidRDefault="00ED0DCC" w:rsidP="00ED0DCC">
            <w:pPr>
              <w:pStyle w:val="02Tabletext"/>
              <w:rPr>
                <w:rFonts w:ascii="Calibri" w:hAnsi="Calibri"/>
                <w:szCs w:val="22"/>
                <w:lang w:val="en-AU"/>
              </w:rPr>
            </w:pPr>
            <w:r w:rsidRPr="007B0318">
              <w:rPr>
                <w:rFonts w:ascii="Calibri" w:hAnsi="Calibri"/>
                <w:szCs w:val="22"/>
                <w:lang w:val="en-AU"/>
              </w:rPr>
              <w:t>15312</w:t>
            </w:r>
          </w:p>
        </w:tc>
        <w:tc>
          <w:tcPr>
            <w:tcW w:w="2213" w:type="dxa"/>
            <w:vAlign w:val="bottom"/>
          </w:tcPr>
          <w:p w14:paraId="6FB4D94A" w14:textId="3649CFA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$1,406</w:t>
            </w:r>
          </w:p>
        </w:tc>
        <w:tc>
          <w:tcPr>
            <w:tcW w:w="2394" w:type="dxa"/>
            <w:vAlign w:val="bottom"/>
          </w:tcPr>
          <w:p w14:paraId="0800E0A0" w14:textId="48B13F4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w:t>
            </w:r>
          </w:p>
        </w:tc>
        <w:tc>
          <w:tcPr>
            <w:tcW w:w="2639" w:type="dxa"/>
            <w:vAlign w:val="bottom"/>
          </w:tcPr>
          <w:p w14:paraId="24B60D9A" w14:textId="52D60E7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10.8%</w:t>
            </w:r>
          </w:p>
        </w:tc>
      </w:tr>
      <w:tr w:rsidR="00ED0DCC" w:rsidRPr="002836EB" w14:paraId="772682E2" w14:textId="77777777" w:rsidTr="007206DE">
        <w:trPr>
          <w:trHeight w:val="234"/>
        </w:trPr>
        <w:tc>
          <w:tcPr>
            <w:tcW w:w="1575" w:type="dxa"/>
            <w:vAlign w:val="bottom"/>
          </w:tcPr>
          <w:p w14:paraId="1CFE23D1" w14:textId="1B77FE75" w:rsidR="00ED0DCC" w:rsidRPr="007B0318" w:rsidRDefault="00ED0DCC" w:rsidP="00ED0DCC">
            <w:pPr>
              <w:pStyle w:val="02Tabletext"/>
              <w:rPr>
                <w:rFonts w:ascii="Calibri" w:hAnsi="Calibri"/>
                <w:szCs w:val="22"/>
                <w:lang w:val="en-AU"/>
              </w:rPr>
            </w:pPr>
            <w:r w:rsidRPr="007B0318">
              <w:rPr>
                <w:rFonts w:ascii="Calibri" w:hAnsi="Calibri"/>
                <w:szCs w:val="22"/>
                <w:lang w:val="en-AU"/>
              </w:rPr>
              <w:t>15315</w:t>
            </w:r>
          </w:p>
        </w:tc>
        <w:tc>
          <w:tcPr>
            <w:tcW w:w="2213" w:type="dxa"/>
            <w:vAlign w:val="bottom"/>
          </w:tcPr>
          <w:p w14:paraId="5CB0CE9C" w14:textId="656986C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05F30DAB" w14:textId="1C64439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5860082D" w14:textId="4D8162F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-100.0%</w:t>
            </w:r>
          </w:p>
        </w:tc>
      </w:tr>
      <w:tr w:rsidR="00ED0DCC" w:rsidRPr="002836EB" w14:paraId="794281F5" w14:textId="77777777" w:rsidTr="007206DE">
        <w:trPr>
          <w:trHeight w:val="234"/>
        </w:trPr>
        <w:tc>
          <w:tcPr>
            <w:tcW w:w="1575" w:type="dxa"/>
            <w:vAlign w:val="bottom"/>
          </w:tcPr>
          <w:p w14:paraId="1D65F0F8" w14:textId="07807A96" w:rsidR="00ED0DCC" w:rsidRPr="007B0318" w:rsidRDefault="00ED0DCC" w:rsidP="00ED0DCC">
            <w:pPr>
              <w:pStyle w:val="02Tabletext"/>
              <w:rPr>
                <w:rFonts w:ascii="Calibri" w:hAnsi="Calibri"/>
                <w:szCs w:val="22"/>
                <w:lang w:val="en-AU"/>
              </w:rPr>
            </w:pPr>
            <w:r w:rsidRPr="007B0318">
              <w:rPr>
                <w:rFonts w:ascii="Calibri" w:hAnsi="Calibri"/>
                <w:szCs w:val="22"/>
                <w:lang w:val="en-AU"/>
              </w:rPr>
              <w:t>15316</w:t>
            </w:r>
          </w:p>
        </w:tc>
        <w:tc>
          <w:tcPr>
            <w:tcW w:w="2213" w:type="dxa"/>
            <w:vAlign w:val="bottom"/>
          </w:tcPr>
          <w:p w14:paraId="6ADA0E8B" w14:textId="66EB733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$1,057,788</w:t>
            </w:r>
          </w:p>
        </w:tc>
        <w:tc>
          <w:tcPr>
            <w:tcW w:w="2394" w:type="dxa"/>
            <w:vAlign w:val="bottom"/>
          </w:tcPr>
          <w:p w14:paraId="4A6CCA08" w14:textId="71B074C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1,665</w:t>
            </w:r>
          </w:p>
        </w:tc>
        <w:tc>
          <w:tcPr>
            <w:tcW w:w="2639" w:type="dxa"/>
            <w:vAlign w:val="bottom"/>
          </w:tcPr>
          <w:p w14:paraId="4A8F5F29" w14:textId="197BCD2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8.9%</w:t>
            </w:r>
          </w:p>
        </w:tc>
      </w:tr>
      <w:tr w:rsidR="00ED0DCC" w:rsidRPr="002836EB" w14:paraId="5D00B000" w14:textId="77777777" w:rsidTr="007206DE">
        <w:trPr>
          <w:trHeight w:val="234"/>
        </w:trPr>
        <w:tc>
          <w:tcPr>
            <w:tcW w:w="1575" w:type="dxa"/>
            <w:vAlign w:val="bottom"/>
          </w:tcPr>
          <w:p w14:paraId="59F73731" w14:textId="7E6CD12E" w:rsidR="00ED0DCC" w:rsidRPr="007B0318" w:rsidRDefault="00ED0DCC" w:rsidP="00ED0DCC">
            <w:pPr>
              <w:pStyle w:val="02Tabletext"/>
              <w:rPr>
                <w:rFonts w:ascii="Calibri" w:hAnsi="Calibri"/>
                <w:szCs w:val="22"/>
                <w:lang w:val="en-AU"/>
              </w:rPr>
            </w:pPr>
            <w:r w:rsidRPr="007B0318">
              <w:rPr>
                <w:rFonts w:ascii="Calibri" w:hAnsi="Calibri"/>
                <w:szCs w:val="22"/>
                <w:lang w:val="en-AU"/>
              </w:rPr>
              <w:t>15319</w:t>
            </w:r>
          </w:p>
        </w:tc>
        <w:tc>
          <w:tcPr>
            <w:tcW w:w="2213" w:type="dxa"/>
            <w:vAlign w:val="bottom"/>
          </w:tcPr>
          <w:p w14:paraId="7C0D28BD" w14:textId="2FA1C21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1FE0E7FA" w14:textId="6BA04AF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12302B7A" w14:textId="7F68D8A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64475AE6" w14:textId="77777777" w:rsidTr="007206DE">
        <w:trPr>
          <w:trHeight w:val="234"/>
        </w:trPr>
        <w:tc>
          <w:tcPr>
            <w:tcW w:w="1575" w:type="dxa"/>
            <w:vAlign w:val="bottom"/>
          </w:tcPr>
          <w:p w14:paraId="41E67DA8" w14:textId="20771887" w:rsidR="00ED0DCC" w:rsidRPr="007B0318" w:rsidRDefault="00ED0DCC" w:rsidP="00ED0DCC">
            <w:pPr>
              <w:pStyle w:val="02Tabletext"/>
              <w:rPr>
                <w:rFonts w:ascii="Calibri" w:hAnsi="Calibri"/>
                <w:szCs w:val="22"/>
                <w:lang w:val="en-AU"/>
              </w:rPr>
            </w:pPr>
            <w:r w:rsidRPr="007B0318">
              <w:rPr>
                <w:rFonts w:ascii="Calibri" w:hAnsi="Calibri"/>
                <w:szCs w:val="22"/>
                <w:lang w:val="en-AU"/>
              </w:rPr>
              <w:t>15320</w:t>
            </w:r>
          </w:p>
        </w:tc>
        <w:tc>
          <w:tcPr>
            <w:tcW w:w="2213" w:type="dxa"/>
            <w:vAlign w:val="bottom"/>
          </w:tcPr>
          <w:p w14:paraId="426F7EA2" w14:textId="13F4A6E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4A59D635" w14:textId="2BB36D5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737B826C" w14:textId="1D768DC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5A0AC275" w14:textId="77777777" w:rsidTr="007206DE">
        <w:trPr>
          <w:trHeight w:val="234"/>
        </w:trPr>
        <w:tc>
          <w:tcPr>
            <w:tcW w:w="1575" w:type="dxa"/>
            <w:vAlign w:val="bottom"/>
          </w:tcPr>
          <w:p w14:paraId="033341EF" w14:textId="69D2D872" w:rsidR="00ED0DCC" w:rsidRPr="007B0318" w:rsidRDefault="00ED0DCC" w:rsidP="00ED0DCC">
            <w:pPr>
              <w:pStyle w:val="02Tabletext"/>
              <w:rPr>
                <w:rFonts w:ascii="Calibri" w:hAnsi="Calibri"/>
                <w:szCs w:val="22"/>
                <w:lang w:val="en-AU"/>
              </w:rPr>
            </w:pPr>
            <w:r w:rsidRPr="007B0318">
              <w:rPr>
                <w:rFonts w:ascii="Calibri" w:hAnsi="Calibri"/>
                <w:szCs w:val="22"/>
                <w:lang w:val="en-AU"/>
              </w:rPr>
              <w:t>15323</w:t>
            </w:r>
          </w:p>
        </w:tc>
        <w:tc>
          <w:tcPr>
            <w:tcW w:w="2213" w:type="dxa"/>
            <w:vAlign w:val="bottom"/>
          </w:tcPr>
          <w:p w14:paraId="6075330E" w14:textId="58C6745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0B349A00" w14:textId="506B03A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7C04AA6B" w14:textId="3477FEC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57710850" w14:textId="77777777" w:rsidTr="007206DE">
        <w:trPr>
          <w:trHeight w:val="234"/>
        </w:trPr>
        <w:tc>
          <w:tcPr>
            <w:tcW w:w="1575" w:type="dxa"/>
            <w:vAlign w:val="bottom"/>
          </w:tcPr>
          <w:p w14:paraId="11D7BE37" w14:textId="2658CE6A" w:rsidR="00ED0DCC" w:rsidRPr="007B0318" w:rsidRDefault="00ED0DCC" w:rsidP="00ED0DCC">
            <w:pPr>
              <w:pStyle w:val="02Tabletext"/>
              <w:rPr>
                <w:rFonts w:ascii="Calibri" w:hAnsi="Calibri"/>
                <w:szCs w:val="22"/>
                <w:lang w:val="en-AU"/>
              </w:rPr>
            </w:pPr>
            <w:r w:rsidRPr="007B0318">
              <w:rPr>
                <w:rFonts w:ascii="Calibri" w:hAnsi="Calibri"/>
                <w:szCs w:val="22"/>
                <w:lang w:val="en-AU"/>
              </w:rPr>
              <w:t>15324</w:t>
            </w:r>
          </w:p>
        </w:tc>
        <w:tc>
          <w:tcPr>
            <w:tcW w:w="2213" w:type="dxa"/>
            <w:vAlign w:val="bottom"/>
          </w:tcPr>
          <w:p w14:paraId="1CA90313" w14:textId="37F37AD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$168,431</w:t>
            </w:r>
          </w:p>
        </w:tc>
        <w:tc>
          <w:tcPr>
            <w:tcW w:w="2394" w:type="dxa"/>
            <w:vAlign w:val="bottom"/>
          </w:tcPr>
          <w:p w14:paraId="1AE7A122" w14:textId="12BB9A9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270</w:t>
            </w:r>
          </w:p>
        </w:tc>
        <w:tc>
          <w:tcPr>
            <w:tcW w:w="2639" w:type="dxa"/>
            <w:vAlign w:val="bottom"/>
          </w:tcPr>
          <w:p w14:paraId="431D55CA" w14:textId="4227481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6.2%</w:t>
            </w:r>
          </w:p>
        </w:tc>
      </w:tr>
      <w:tr w:rsidR="00ED0DCC" w:rsidRPr="002836EB" w14:paraId="03FECAA8" w14:textId="77777777" w:rsidTr="007206DE">
        <w:trPr>
          <w:trHeight w:val="234"/>
        </w:trPr>
        <w:tc>
          <w:tcPr>
            <w:tcW w:w="1575" w:type="dxa"/>
            <w:vAlign w:val="bottom"/>
          </w:tcPr>
          <w:p w14:paraId="65A3D59D" w14:textId="60B144E7" w:rsidR="00ED0DCC" w:rsidRPr="007B0318" w:rsidRDefault="00ED0DCC" w:rsidP="00ED0DCC">
            <w:pPr>
              <w:pStyle w:val="02Tabletext"/>
              <w:rPr>
                <w:rFonts w:ascii="Calibri" w:hAnsi="Calibri"/>
                <w:szCs w:val="22"/>
                <w:lang w:val="en-AU"/>
              </w:rPr>
            </w:pPr>
            <w:r w:rsidRPr="007B0318">
              <w:rPr>
                <w:rFonts w:ascii="Calibri" w:hAnsi="Calibri"/>
                <w:szCs w:val="22"/>
                <w:lang w:val="en-AU"/>
              </w:rPr>
              <w:t>15327</w:t>
            </w:r>
          </w:p>
        </w:tc>
        <w:tc>
          <w:tcPr>
            <w:tcW w:w="2213" w:type="dxa"/>
            <w:vAlign w:val="bottom"/>
          </w:tcPr>
          <w:p w14:paraId="5946C3F9" w14:textId="0BAD42C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0AD8FC6E" w14:textId="10E6FB73"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4158BAB0" w14:textId="08491EA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4714814D" w14:textId="77777777" w:rsidTr="007206DE">
        <w:trPr>
          <w:trHeight w:val="234"/>
        </w:trPr>
        <w:tc>
          <w:tcPr>
            <w:tcW w:w="1575" w:type="dxa"/>
            <w:vAlign w:val="bottom"/>
          </w:tcPr>
          <w:p w14:paraId="12FED57F" w14:textId="78B154BD" w:rsidR="00ED0DCC" w:rsidRPr="007B0318" w:rsidRDefault="00ED0DCC" w:rsidP="00ED0DCC">
            <w:pPr>
              <w:pStyle w:val="02Tabletext"/>
              <w:rPr>
                <w:rFonts w:ascii="Calibri" w:hAnsi="Calibri"/>
                <w:szCs w:val="22"/>
                <w:lang w:val="en-AU"/>
              </w:rPr>
            </w:pPr>
            <w:r w:rsidRPr="007B0318">
              <w:rPr>
                <w:rFonts w:ascii="Calibri" w:hAnsi="Calibri"/>
                <w:szCs w:val="22"/>
                <w:lang w:val="en-AU"/>
              </w:rPr>
              <w:t>15328</w:t>
            </w:r>
          </w:p>
        </w:tc>
        <w:tc>
          <w:tcPr>
            <w:tcW w:w="2213" w:type="dxa"/>
            <w:vAlign w:val="bottom"/>
          </w:tcPr>
          <w:p w14:paraId="55512DD8" w14:textId="460CDAD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$33,829</w:t>
            </w:r>
          </w:p>
        </w:tc>
        <w:tc>
          <w:tcPr>
            <w:tcW w:w="2394" w:type="dxa"/>
            <w:vAlign w:val="bottom"/>
          </w:tcPr>
          <w:p w14:paraId="2658A6F7" w14:textId="7634071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51</w:t>
            </w:r>
          </w:p>
        </w:tc>
        <w:tc>
          <w:tcPr>
            <w:tcW w:w="2639" w:type="dxa"/>
            <w:vAlign w:val="bottom"/>
          </w:tcPr>
          <w:p w14:paraId="320A0FFF" w14:textId="4501559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-18.6%</w:t>
            </w:r>
          </w:p>
        </w:tc>
      </w:tr>
      <w:tr w:rsidR="00ED0DCC" w:rsidRPr="002836EB" w14:paraId="00AA2DA3" w14:textId="77777777" w:rsidTr="007206DE">
        <w:trPr>
          <w:trHeight w:val="234"/>
        </w:trPr>
        <w:tc>
          <w:tcPr>
            <w:tcW w:w="1575" w:type="dxa"/>
            <w:vAlign w:val="bottom"/>
          </w:tcPr>
          <w:p w14:paraId="7A4C7C32" w14:textId="1BA586CE" w:rsidR="00ED0DCC" w:rsidRPr="007B0318" w:rsidRDefault="00ED0DCC" w:rsidP="00ED0DCC">
            <w:pPr>
              <w:pStyle w:val="02Tabletext"/>
              <w:rPr>
                <w:rFonts w:ascii="Calibri" w:hAnsi="Calibri"/>
                <w:szCs w:val="22"/>
                <w:lang w:val="en-AU"/>
              </w:rPr>
            </w:pPr>
            <w:r w:rsidRPr="007B0318">
              <w:rPr>
                <w:rFonts w:ascii="Calibri" w:hAnsi="Calibri"/>
                <w:szCs w:val="22"/>
                <w:lang w:val="en-AU"/>
              </w:rPr>
              <w:t>15331</w:t>
            </w:r>
          </w:p>
        </w:tc>
        <w:tc>
          <w:tcPr>
            <w:tcW w:w="2213" w:type="dxa"/>
            <w:vAlign w:val="bottom"/>
          </w:tcPr>
          <w:p w14:paraId="63457682" w14:textId="3831565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7AE04C3D" w14:textId="57CA343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09D9B966" w14:textId="0341F3A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-100.0%</w:t>
            </w:r>
          </w:p>
        </w:tc>
      </w:tr>
      <w:tr w:rsidR="00ED0DCC" w:rsidRPr="002836EB" w14:paraId="404E3155" w14:textId="77777777" w:rsidTr="007206DE">
        <w:trPr>
          <w:trHeight w:val="234"/>
        </w:trPr>
        <w:tc>
          <w:tcPr>
            <w:tcW w:w="1575" w:type="dxa"/>
            <w:vAlign w:val="bottom"/>
          </w:tcPr>
          <w:p w14:paraId="3C02CE20" w14:textId="12C76658" w:rsidR="00ED0DCC" w:rsidRPr="007B0318" w:rsidRDefault="00ED0DCC" w:rsidP="00ED0DCC">
            <w:pPr>
              <w:pStyle w:val="02Tabletext"/>
              <w:rPr>
                <w:rFonts w:ascii="Calibri" w:hAnsi="Calibri"/>
                <w:szCs w:val="22"/>
                <w:lang w:val="en-AU"/>
              </w:rPr>
            </w:pPr>
            <w:r w:rsidRPr="007B0318">
              <w:rPr>
                <w:rFonts w:ascii="Calibri" w:hAnsi="Calibri"/>
                <w:szCs w:val="22"/>
                <w:lang w:val="en-AU"/>
              </w:rPr>
              <w:t>15332</w:t>
            </w:r>
          </w:p>
        </w:tc>
        <w:tc>
          <w:tcPr>
            <w:tcW w:w="2213" w:type="dxa"/>
            <w:vAlign w:val="bottom"/>
          </w:tcPr>
          <w:p w14:paraId="52AA7D09" w14:textId="06ADF6F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$198,310</w:t>
            </w:r>
          </w:p>
        </w:tc>
        <w:tc>
          <w:tcPr>
            <w:tcW w:w="2394" w:type="dxa"/>
            <w:vAlign w:val="bottom"/>
          </w:tcPr>
          <w:p w14:paraId="718BB32F" w14:textId="5AE92A8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328</w:t>
            </w:r>
          </w:p>
        </w:tc>
        <w:tc>
          <w:tcPr>
            <w:tcW w:w="2639" w:type="dxa"/>
            <w:vAlign w:val="bottom"/>
          </w:tcPr>
          <w:p w14:paraId="17660804" w14:textId="3E10E54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-14.8%</w:t>
            </w:r>
          </w:p>
        </w:tc>
      </w:tr>
      <w:tr w:rsidR="00ED0DCC" w:rsidRPr="002836EB" w14:paraId="64340CE3" w14:textId="77777777" w:rsidTr="007206DE">
        <w:trPr>
          <w:trHeight w:val="234"/>
        </w:trPr>
        <w:tc>
          <w:tcPr>
            <w:tcW w:w="1575" w:type="dxa"/>
            <w:vAlign w:val="bottom"/>
          </w:tcPr>
          <w:p w14:paraId="413F2611" w14:textId="3BDF4C36" w:rsidR="00ED0DCC" w:rsidRPr="007B0318" w:rsidRDefault="00ED0DCC" w:rsidP="00ED0DCC">
            <w:pPr>
              <w:pStyle w:val="02Tabletext"/>
              <w:rPr>
                <w:rFonts w:ascii="Calibri" w:hAnsi="Calibri"/>
                <w:szCs w:val="22"/>
                <w:lang w:val="en-AU"/>
              </w:rPr>
            </w:pPr>
            <w:r w:rsidRPr="007B0318">
              <w:rPr>
                <w:rFonts w:ascii="Calibri" w:hAnsi="Calibri"/>
                <w:szCs w:val="22"/>
                <w:lang w:val="en-AU"/>
              </w:rPr>
              <w:t>15335</w:t>
            </w:r>
          </w:p>
        </w:tc>
        <w:tc>
          <w:tcPr>
            <w:tcW w:w="2213" w:type="dxa"/>
            <w:vAlign w:val="bottom"/>
          </w:tcPr>
          <w:p w14:paraId="2EA43A2A" w14:textId="007B951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$126,720</w:t>
            </w:r>
          </w:p>
        </w:tc>
        <w:tc>
          <w:tcPr>
            <w:tcW w:w="2394" w:type="dxa"/>
            <w:vAlign w:val="bottom"/>
          </w:tcPr>
          <w:p w14:paraId="6D581B85" w14:textId="2013C5F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212</w:t>
            </w:r>
          </w:p>
        </w:tc>
        <w:tc>
          <w:tcPr>
            <w:tcW w:w="2639" w:type="dxa"/>
            <w:vAlign w:val="bottom"/>
          </w:tcPr>
          <w:p w14:paraId="6824BB58" w14:textId="319F2F9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-0.1%</w:t>
            </w:r>
          </w:p>
        </w:tc>
      </w:tr>
      <w:tr w:rsidR="00ED0DCC" w:rsidRPr="002836EB" w14:paraId="56DEB4AA" w14:textId="77777777" w:rsidTr="007206DE">
        <w:trPr>
          <w:trHeight w:val="234"/>
        </w:trPr>
        <w:tc>
          <w:tcPr>
            <w:tcW w:w="1575" w:type="dxa"/>
            <w:vAlign w:val="bottom"/>
          </w:tcPr>
          <w:p w14:paraId="150D2140" w14:textId="38C5CBFA" w:rsidR="00ED0DCC" w:rsidRPr="007B0318" w:rsidRDefault="00ED0DCC" w:rsidP="00ED0DCC">
            <w:pPr>
              <w:pStyle w:val="02Tabletext"/>
              <w:rPr>
                <w:rFonts w:ascii="Calibri" w:hAnsi="Calibri"/>
                <w:szCs w:val="22"/>
                <w:lang w:val="en-AU"/>
              </w:rPr>
            </w:pPr>
            <w:r w:rsidRPr="007B0318">
              <w:rPr>
                <w:rFonts w:ascii="Calibri" w:hAnsi="Calibri"/>
                <w:szCs w:val="22"/>
                <w:lang w:val="en-AU"/>
              </w:rPr>
              <w:t>15336</w:t>
            </w:r>
          </w:p>
        </w:tc>
        <w:tc>
          <w:tcPr>
            <w:tcW w:w="2213" w:type="dxa"/>
            <w:vAlign w:val="bottom"/>
          </w:tcPr>
          <w:p w14:paraId="33C148A0" w14:textId="172F171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$18,443</w:t>
            </w:r>
          </w:p>
        </w:tc>
        <w:tc>
          <w:tcPr>
            <w:tcW w:w="2394" w:type="dxa"/>
            <w:vAlign w:val="bottom"/>
          </w:tcPr>
          <w:p w14:paraId="190BFAB1" w14:textId="04952B4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31</w:t>
            </w:r>
          </w:p>
        </w:tc>
        <w:tc>
          <w:tcPr>
            <w:tcW w:w="2639" w:type="dxa"/>
            <w:vAlign w:val="bottom"/>
          </w:tcPr>
          <w:p w14:paraId="7B9D2699" w14:textId="69A990B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-29.5%</w:t>
            </w:r>
          </w:p>
        </w:tc>
      </w:tr>
      <w:tr w:rsidR="00ED0DCC" w:rsidRPr="002836EB" w14:paraId="09A84431" w14:textId="77777777" w:rsidTr="007206DE">
        <w:trPr>
          <w:trHeight w:val="234"/>
        </w:trPr>
        <w:tc>
          <w:tcPr>
            <w:tcW w:w="1575" w:type="dxa"/>
            <w:vAlign w:val="bottom"/>
          </w:tcPr>
          <w:p w14:paraId="33317CA8" w14:textId="174CB0D1" w:rsidR="00ED0DCC" w:rsidRPr="007B0318" w:rsidRDefault="00ED0DCC" w:rsidP="00ED0DCC">
            <w:pPr>
              <w:pStyle w:val="02Tabletext"/>
              <w:rPr>
                <w:rFonts w:ascii="Calibri" w:hAnsi="Calibri"/>
                <w:szCs w:val="22"/>
                <w:lang w:val="en-AU"/>
              </w:rPr>
            </w:pPr>
            <w:r w:rsidRPr="007B0318">
              <w:rPr>
                <w:rFonts w:ascii="Calibri" w:hAnsi="Calibri"/>
                <w:szCs w:val="22"/>
                <w:lang w:val="en-AU"/>
              </w:rPr>
              <w:t>15338</w:t>
            </w:r>
          </w:p>
        </w:tc>
        <w:tc>
          <w:tcPr>
            <w:tcW w:w="2213" w:type="dxa"/>
            <w:vAlign w:val="bottom"/>
          </w:tcPr>
          <w:p w14:paraId="0C8813B3" w14:textId="7428116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$272,420</w:t>
            </w:r>
          </w:p>
        </w:tc>
        <w:tc>
          <w:tcPr>
            <w:tcW w:w="2394" w:type="dxa"/>
            <w:vAlign w:val="bottom"/>
          </w:tcPr>
          <w:p w14:paraId="5B686542" w14:textId="403151B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380</w:t>
            </w:r>
          </w:p>
        </w:tc>
        <w:tc>
          <w:tcPr>
            <w:tcW w:w="2639" w:type="dxa"/>
            <w:vAlign w:val="bottom"/>
          </w:tcPr>
          <w:p w14:paraId="4F018DC3" w14:textId="3F18F8D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-10.9%</w:t>
            </w:r>
          </w:p>
        </w:tc>
      </w:tr>
      <w:tr w:rsidR="00ED0DCC" w:rsidRPr="002836EB" w14:paraId="1F12A444" w14:textId="77777777" w:rsidTr="007206DE">
        <w:trPr>
          <w:trHeight w:val="234"/>
        </w:trPr>
        <w:tc>
          <w:tcPr>
            <w:tcW w:w="1575" w:type="dxa"/>
            <w:vAlign w:val="bottom"/>
          </w:tcPr>
          <w:p w14:paraId="1158B92C" w14:textId="29349614" w:rsidR="00ED0DCC" w:rsidRPr="007B0318" w:rsidRDefault="00ED0DCC" w:rsidP="00ED0DCC">
            <w:pPr>
              <w:pStyle w:val="02Tabletext"/>
              <w:rPr>
                <w:rFonts w:ascii="Calibri" w:hAnsi="Calibri"/>
                <w:szCs w:val="22"/>
                <w:lang w:val="en-AU"/>
              </w:rPr>
            </w:pPr>
            <w:r w:rsidRPr="007B0318">
              <w:rPr>
                <w:rFonts w:ascii="Calibri" w:hAnsi="Calibri"/>
                <w:szCs w:val="22"/>
                <w:lang w:val="en-AU"/>
              </w:rPr>
              <w:t>15339</w:t>
            </w:r>
          </w:p>
        </w:tc>
        <w:tc>
          <w:tcPr>
            <w:tcW w:w="2213" w:type="dxa"/>
            <w:vAlign w:val="bottom"/>
          </w:tcPr>
          <w:p w14:paraId="13C49A77" w14:textId="616E3AC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$4,504</w:t>
            </w:r>
          </w:p>
        </w:tc>
        <w:tc>
          <w:tcPr>
            <w:tcW w:w="2394" w:type="dxa"/>
            <w:vAlign w:val="bottom"/>
          </w:tcPr>
          <w:p w14:paraId="786673A9" w14:textId="5CD1E95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74</w:t>
            </w:r>
          </w:p>
        </w:tc>
        <w:tc>
          <w:tcPr>
            <w:tcW w:w="2639" w:type="dxa"/>
            <w:vAlign w:val="bottom"/>
          </w:tcPr>
          <w:p w14:paraId="0D700F96" w14:textId="7BF2856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-2.7%</w:t>
            </w:r>
          </w:p>
        </w:tc>
      </w:tr>
      <w:tr w:rsidR="00ED0DCC" w:rsidRPr="002836EB" w14:paraId="1778CD03" w14:textId="77777777" w:rsidTr="007206DE">
        <w:trPr>
          <w:trHeight w:val="234"/>
        </w:trPr>
        <w:tc>
          <w:tcPr>
            <w:tcW w:w="1575" w:type="dxa"/>
            <w:vAlign w:val="bottom"/>
          </w:tcPr>
          <w:p w14:paraId="76D1F317" w14:textId="105DA1E4" w:rsidR="00ED0DCC" w:rsidRPr="007B0318" w:rsidRDefault="00ED0DCC" w:rsidP="00ED0DCC">
            <w:pPr>
              <w:pStyle w:val="02Tabletext"/>
              <w:rPr>
                <w:rFonts w:ascii="Calibri" w:hAnsi="Calibri"/>
                <w:szCs w:val="22"/>
                <w:lang w:val="en-AU"/>
              </w:rPr>
            </w:pPr>
            <w:r w:rsidRPr="007B0318">
              <w:rPr>
                <w:rFonts w:ascii="Calibri" w:hAnsi="Calibri"/>
                <w:szCs w:val="22"/>
                <w:lang w:val="en-AU"/>
              </w:rPr>
              <w:t>15342</w:t>
            </w:r>
          </w:p>
        </w:tc>
        <w:tc>
          <w:tcPr>
            <w:tcW w:w="2213" w:type="dxa"/>
            <w:vAlign w:val="bottom"/>
          </w:tcPr>
          <w:p w14:paraId="6F67B390" w14:textId="73186B5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78607F0A" w14:textId="0ADAB55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28F699D8" w14:textId="036B57B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r>
      <w:tr w:rsidR="00ED0DCC" w:rsidRPr="002836EB" w14:paraId="1C856986" w14:textId="77777777" w:rsidTr="007206DE">
        <w:trPr>
          <w:trHeight w:val="234"/>
        </w:trPr>
        <w:tc>
          <w:tcPr>
            <w:tcW w:w="1575" w:type="dxa"/>
            <w:vAlign w:val="bottom"/>
          </w:tcPr>
          <w:p w14:paraId="33374A59" w14:textId="452DED75" w:rsidR="00ED0DCC" w:rsidRPr="007B0318" w:rsidRDefault="00ED0DCC" w:rsidP="00ED0DCC">
            <w:pPr>
              <w:pStyle w:val="02Tabletext"/>
              <w:rPr>
                <w:rFonts w:ascii="Calibri" w:hAnsi="Calibri"/>
                <w:szCs w:val="22"/>
                <w:lang w:val="en-AU"/>
              </w:rPr>
            </w:pPr>
            <w:r w:rsidRPr="007B0318">
              <w:rPr>
                <w:rFonts w:ascii="Calibri" w:hAnsi="Calibri"/>
                <w:szCs w:val="22"/>
                <w:lang w:val="en-AU"/>
              </w:rPr>
              <w:t>15345</w:t>
            </w:r>
          </w:p>
        </w:tc>
        <w:tc>
          <w:tcPr>
            <w:tcW w:w="2213" w:type="dxa"/>
            <w:vAlign w:val="bottom"/>
          </w:tcPr>
          <w:p w14:paraId="6B2C1936" w14:textId="0DFB68B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$34,145</w:t>
            </w:r>
          </w:p>
        </w:tc>
        <w:tc>
          <w:tcPr>
            <w:tcW w:w="2394" w:type="dxa"/>
            <w:vAlign w:val="bottom"/>
          </w:tcPr>
          <w:p w14:paraId="15D02781" w14:textId="00EBF0D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59</w:t>
            </w:r>
          </w:p>
        </w:tc>
        <w:tc>
          <w:tcPr>
            <w:tcW w:w="2639" w:type="dxa"/>
            <w:vAlign w:val="bottom"/>
          </w:tcPr>
          <w:p w14:paraId="6D882F24" w14:textId="76835E3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-20.7%</w:t>
            </w:r>
          </w:p>
        </w:tc>
      </w:tr>
      <w:tr w:rsidR="00ED0DCC" w:rsidRPr="002836EB" w14:paraId="69710A26" w14:textId="77777777" w:rsidTr="007206DE">
        <w:trPr>
          <w:trHeight w:val="234"/>
        </w:trPr>
        <w:tc>
          <w:tcPr>
            <w:tcW w:w="1575" w:type="dxa"/>
            <w:vAlign w:val="bottom"/>
          </w:tcPr>
          <w:p w14:paraId="5B96D133" w14:textId="309F4313" w:rsidR="00ED0DCC" w:rsidRPr="007B0318" w:rsidRDefault="00ED0DCC" w:rsidP="00ED0DCC">
            <w:pPr>
              <w:pStyle w:val="02Tabletext"/>
              <w:rPr>
                <w:rFonts w:ascii="Calibri" w:hAnsi="Calibri"/>
                <w:szCs w:val="22"/>
                <w:lang w:val="en-AU"/>
              </w:rPr>
            </w:pPr>
            <w:r w:rsidRPr="007B0318">
              <w:rPr>
                <w:rFonts w:ascii="Calibri" w:hAnsi="Calibri"/>
                <w:szCs w:val="22"/>
                <w:lang w:val="en-AU"/>
              </w:rPr>
              <w:t>15348</w:t>
            </w:r>
          </w:p>
        </w:tc>
        <w:tc>
          <w:tcPr>
            <w:tcW w:w="2213" w:type="dxa"/>
            <w:vAlign w:val="bottom"/>
          </w:tcPr>
          <w:p w14:paraId="43E4794E" w14:textId="68DCFFA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$7,146</w:t>
            </w:r>
          </w:p>
        </w:tc>
        <w:tc>
          <w:tcPr>
            <w:tcW w:w="2394" w:type="dxa"/>
            <w:vAlign w:val="bottom"/>
          </w:tcPr>
          <w:p w14:paraId="2F0E6EC4" w14:textId="0147812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83</w:t>
            </w:r>
          </w:p>
        </w:tc>
        <w:tc>
          <w:tcPr>
            <w:tcW w:w="2639" w:type="dxa"/>
            <w:vAlign w:val="bottom"/>
          </w:tcPr>
          <w:p w14:paraId="57BC2F57" w14:textId="2F32A1D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21.8%</w:t>
            </w:r>
          </w:p>
        </w:tc>
      </w:tr>
      <w:tr w:rsidR="00ED0DCC" w:rsidRPr="002836EB" w14:paraId="4ACB7AF8" w14:textId="77777777" w:rsidTr="007206DE">
        <w:trPr>
          <w:trHeight w:val="234"/>
        </w:trPr>
        <w:tc>
          <w:tcPr>
            <w:tcW w:w="1575" w:type="dxa"/>
            <w:vAlign w:val="bottom"/>
          </w:tcPr>
          <w:p w14:paraId="64EE4DA0" w14:textId="7B39539B" w:rsidR="00ED0DCC" w:rsidRPr="007B0318" w:rsidRDefault="00ED0DCC" w:rsidP="00ED0DCC">
            <w:pPr>
              <w:pStyle w:val="02Tabletext"/>
              <w:rPr>
                <w:rFonts w:ascii="Calibri" w:hAnsi="Calibri"/>
                <w:szCs w:val="22"/>
                <w:lang w:val="en-AU"/>
              </w:rPr>
            </w:pPr>
            <w:r w:rsidRPr="007B0318">
              <w:rPr>
                <w:rFonts w:ascii="Calibri" w:hAnsi="Calibri"/>
                <w:szCs w:val="22"/>
                <w:lang w:val="en-AU"/>
              </w:rPr>
              <w:t>15351</w:t>
            </w:r>
          </w:p>
        </w:tc>
        <w:tc>
          <w:tcPr>
            <w:tcW w:w="2213" w:type="dxa"/>
            <w:vAlign w:val="bottom"/>
          </w:tcPr>
          <w:p w14:paraId="2524E11F" w14:textId="6149678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$14,281</w:t>
            </w:r>
          </w:p>
        </w:tc>
        <w:tc>
          <w:tcPr>
            <w:tcW w:w="2394" w:type="dxa"/>
            <w:vAlign w:val="bottom"/>
          </w:tcPr>
          <w:p w14:paraId="12DD2E9E" w14:textId="5814A5F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134</w:t>
            </w:r>
          </w:p>
        </w:tc>
        <w:tc>
          <w:tcPr>
            <w:tcW w:w="2639" w:type="dxa"/>
            <w:vAlign w:val="bottom"/>
          </w:tcPr>
          <w:p w14:paraId="4A521A65" w14:textId="2B30CAD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49.4%</w:t>
            </w:r>
          </w:p>
        </w:tc>
      </w:tr>
      <w:tr w:rsidR="00ED0DCC" w:rsidRPr="002836EB" w14:paraId="0B4564ED" w14:textId="77777777" w:rsidTr="007206DE">
        <w:trPr>
          <w:trHeight w:val="234"/>
        </w:trPr>
        <w:tc>
          <w:tcPr>
            <w:tcW w:w="1575" w:type="dxa"/>
            <w:vAlign w:val="bottom"/>
          </w:tcPr>
          <w:p w14:paraId="26876429" w14:textId="003D84AF" w:rsidR="00ED0DCC" w:rsidRPr="007B0318" w:rsidRDefault="00ED0DCC" w:rsidP="00ED0DCC">
            <w:pPr>
              <w:pStyle w:val="02Tabletext"/>
              <w:rPr>
                <w:rFonts w:ascii="Calibri" w:hAnsi="Calibri"/>
                <w:szCs w:val="22"/>
                <w:lang w:val="en-AU"/>
              </w:rPr>
            </w:pPr>
            <w:r w:rsidRPr="007B0318">
              <w:rPr>
                <w:rFonts w:ascii="Calibri" w:hAnsi="Calibri"/>
                <w:szCs w:val="22"/>
                <w:lang w:val="en-AU"/>
              </w:rPr>
              <w:t>15354</w:t>
            </w:r>
          </w:p>
        </w:tc>
        <w:tc>
          <w:tcPr>
            <w:tcW w:w="2213" w:type="dxa"/>
            <w:vAlign w:val="bottom"/>
          </w:tcPr>
          <w:p w14:paraId="331A3391" w14:textId="5317E3F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$2,353</w:t>
            </w:r>
          </w:p>
        </w:tc>
        <w:tc>
          <w:tcPr>
            <w:tcW w:w="2394" w:type="dxa"/>
            <w:vAlign w:val="bottom"/>
          </w:tcPr>
          <w:p w14:paraId="0F38FDC6" w14:textId="56919C5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19</w:t>
            </w:r>
          </w:p>
        </w:tc>
        <w:tc>
          <w:tcPr>
            <w:tcW w:w="2639" w:type="dxa"/>
            <w:vAlign w:val="bottom"/>
          </w:tcPr>
          <w:p w14:paraId="186C3BF8" w14:textId="2B28093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44.7%</w:t>
            </w:r>
          </w:p>
        </w:tc>
      </w:tr>
      <w:tr w:rsidR="00ED0DCC" w:rsidRPr="002836EB" w14:paraId="7D35FFE1" w14:textId="77777777" w:rsidTr="007206DE">
        <w:trPr>
          <w:trHeight w:val="234"/>
        </w:trPr>
        <w:tc>
          <w:tcPr>
            <w:tcW w:w="1575" w:type="dxa"/>
            <w:vAlign w:val="bottom"/>
          </w:tcPr>
          <w:p w14:paraId="60EE2C82" w14:textId="1BA65194" w:rsidR="00ED0DCC" w:rsidRPr="007B0318" w:rsidRDefault="00ED0DCC" w:rsidP="00ED0DCC">
            <w:pPr>
              <w:pStyle w:val="02Tabletext"/>
              <w:rPr>
                <w:rFonts w:ascii="Calibri" w:hAnsi="Calibri"/>
                <w:szCs w:val="22"/>
                <w:lang w:val="en-AU"/>
              </w:rPr>
            </w:pPr>
            <w:r w:rsidRPr="007B0318">
              <w:rPr>
                <w:rFonts w:ascii="Calibri" w:hAnsi="Calibri"/>
                <w:szCs w:val="22"/>
                <w:lang w:val="en-AU"/>
              </w:rPr>
              <w:t>15357</w:t>
            </w:r>
          </w:p>
        </w:tc>
        <w:tc>
          <w:tcPr>
            <w:tcW w:w="2213" w:type="dxa"/>
            <w:vAlign w:val="bottom"/>
          </w:tcPr>
          <w:p w14:paraId="2C2E655F" w14:textId="5694518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$38,931</w:t>
            </w:r>
          </w:p>
        </w:tc>
        <w:tc>
          <w:tcPr>
            <w:tcW w:w="2394" w:type="dxa"/>
            <w:vAlign w:val="bottom"/>
          </w:tcPr>
          <w:p w14:paraId="0AF3C7CE" w14:textId="1308EC8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756</w:t>
            </w:r>
          </w:p>
        </w:tc>
        <w:tc>
          <w:tcPr>
            <w:tcW w:w="2639" w:type="dxa"/>
            <w:vAlign w:val="bottom"/>
          </w:tcPr>
          <w:p w14:paraId="4544D897" w14:textId="5865F4B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16.5%</w:t>
            </w:r>
          </w:p>
        </w:tc>
      </w:tr>
      <w:tr w:rsidR="00ED0DCC" w:rsidRPr="002836EB" w14:paraId="5105D645" w14:textId="77777777" w:rsidTr="007206DE">
        <w:trPr>
          <w:trHeight w:val="234"/>
        </w:trPr>
        <w:tc>
          <w:tcPr>
            <w:tcW w:w="1575" w:type="dxa"/>
            <w:vAlign w:val="bottom"/>
          </w:tcPr>
          <w:p w14:paraId="2BF1731C" w14:textId="67FA017C" w:rsidR="00ED0DCC" w:rsidRPr="007B0318" w:rsidRDefault="00ED0DCC" w:rsidP="00ED0DCC">
            <w:pPr>
              <w:pStyle w:val="02Tabletext"/>
              <w:rPr>
                <w:rFonts w:ascii="Calibri" w:hAnsi="Calibri"/>
                <w:szCs w:val="22"/>
                <w:lang w:val="en-AU"/>
              </w:rPr>
            </w:pPr>
            <w:r w:rsidRPr="007B0318">
              <w:rPr>
                <w:rFonts w:ascii="Calibri" w:hAnsi="Calibri"/>
                <w:szCs w:val="22"/>
                <w:lang w:val="en-AU"/>
              </w:rPr>
              <w:lastRenderedPageBreak/>
              <w:t>15500</w:t>
            </w:r>
          </w:p>
        </w:tc>
        <w:tc>
          <w:tcPr>
            <w:tcW w:w="2213" w:type="dxa"/>
            <w:vAlign w:val="bottom"/>
          </w:tcPr>
          <w:p w14:paraId="68D9C885" w14:textId="7D17EBE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$719,203</w:t>
            </w:r>
          </w:p>
        </w:tc>
        <w:tc>
          <w:tcPr>
            <w:tcW w:w="2394" w:type="dxa"/>
            <w:vAlign w:val="bottom"/>
          </w:tcPr>
          <w:p w14:paraId="05EE7DDF" w14:textId="19C0FDE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3,215</w:t>
            </w:r>
          </w:p>
        </w:tc>
        <w:tc>
          <w:tcPr>
            <w:tcW w:w="2639" w:type="dxa"/>
            <w:vAlign w:val="bottom"/>
          </w:tcPr>
          <w:p w14:paraId="295F888A" w14:textId="1BD9D87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-11.1%</w:t>
            </w:r>
          </w:p>
        </w:tc>
      </w:tr>
      <w:tr w:rsidR="00ED0DCC" w:rsidRPr="002836EB" w14:paraId="1A92231C" w14:textId="77777777" w:rsidTr="007206DE">
        <w:trPr>
          <w:trHeight w:val="234"/>
        </w:trPr>
        <w:tc>
          <w:tcPr>
            <w:tcW w:w="1575" w:type="dxa"/>
            <w:vAlign w:val="bottom"/>
          </w:tcPr>
          <w:p w14:paraId="3CDAA519" w14:textId="7359B838" w:rsidR="00ED0DCC" w:rsidRPr="007B0318" w:rsidRDefault="00ED0DCC" w:rsidP="00ED0DCC">
            <w:pPr>
              <w:pStyle w:val="02Tabletext"/>
              <w:rPr>
                <w:rFonts w:ascii="Calibri" w:hAnsi="Calibri"/>
                <w:szCs w:val="22"/>
                <w:lang w:val="en-AU"/>
              </w:rPr>
            </w:pPr>
            <w:r w:rsidRPr="007B0318">
              <w:rPr>
                <w:rFonts w:ascii="Calibri" w:hAnsi="Calibri"/>
                <w:szCs w:val="22"/>
                <w:lang w:val="en-AU"/>
              </w:rPr>
              <w:t>15503</w:t>
            </w:r>
          </w:p>
        </w:tc>
        <w:tc>
          <w:tcPr>
            <w:tcW w:w="2213" w:type="dxa"/>
            <w:vAlign w:val="bottom"/>
          </w:tcPr>
          <w:p w14:paraId="2AFC9204" w14:textId="53FD2E6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$230,124</w:t>
            </w:r>
          </w:p>
        </w:tc>
        <w:tc>
          <w:tcPr>
            <w:tcW w:w="2394" w:type="dxa"/>
            <w:vAlign w:val="bottom"/>
          </w:tcPr>
          <w:p w14:paraId="367A6671" w14:textId="32E9512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779</w:t>
            </w:r>
          </w:p>
        </w:tc>
        <w:tc>
          <w:tcPr>
            <w:tcW w:w="2639" w:type="dxa"/>
            <w:vAlign w:val="bottom"/>
          </w:tcPr>
          <w:p w14:paraId="10B8BF5E" w14:textId="3BDA053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-17.6%</w:t>
            </w:r>
          </w:p>
        </w:tc>
      </w:tr>
      <w:tr w:rsidR="00ED0DCC" w:rsidRPr="002836EB" w14:paraId="3AF4A0C9" w14:textId="77777777" w:rsidTr="007206DE">
        <w:trPr>
          <w:trHeight w:val="234"/>
        </w:trPr>
        <w:tc>
          <w:tcPr>
            <w:tcW w:w="1575" w:type="dxa"/>
            <w:vAlign w:val="bottom"/>
          </w:tcPr>
          <w:p w14:paraId="20FC2EBC" w14:textId="55C9084C" w:rsidR="00ED0DCC" w:rsidRPr="007B0318" w:rsidRDefault="00ED0DCC" w:rsidP="00ED0DCC">
            <w:pPr>
              <w:pStyle w:val="02Tabletext"/>
              <w:rPr>
                <w:rFonts w:ascii="Calibri" w:hAnsi="Calibri"/>
                <w:szCs w:val="22"/>
                <w:lang w:val="en-AU"/>
              </w:rPr>
            </w:pPr>
            <w:r w:rsidRPr="007B0318">
              <w:rPr>
                <w:rFonts w:ascii="Calibri" w:hAnsi="Calibri"/>
                <w:szCs w:val="22"/>
                <w:lang w:val="en-AU"/>
              </w:rPr>
              <w:t>15506</w:t>
            </w:r>
          </w:p>
        </w:tc>
        <w:tc>
          <w:tcPr>
            <w:tcW w:w="2213" w:type="dxa"/>
            <w:vAlign w:val="bottom"/>
          </w:tcPr>
          <w:p w14:paraId="0599AA88" w14:textId="1C503E2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$2,547,964</w:t>
            </w:r>
          </w:p>
        </w:tc>
        <w:tc>
          <w:tcPr>
            <w:tcW w:w="2394" w:type="dxa"/>
            <w:vAlign w:val="bottom"/>
          </w:tcPr>
          <w:p w14:paraId="732FDAC7" w14:textId="4D6E13C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6,170</w:t>
            </w:r>
          </w:p>
        </w:tc>
        <w:tc>
          <w:tcPr>
            <w:tcW w:w="2639" w:type="dxa"/>
            <w:vAlign w:val="bottom"/>
          </w:tcPr>
          <w:p w14:paraId="0DE8E70D" w14:textId="12F95B1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-8.9%</w:t>
            </w:r>
          </w:p>
        </w:tc>
      </w:tr>
      <w:tr w:rsidR="00ED0DCC" w:rsidRPr="002836EB" w14:paraId="6BB904D1" w14:textId="77777777" w:rsidTr="007206DE">
        <w:trPr>
          <w:trHeight w:val="234"/>
        </w:trPr>
        <w:tc>
          <w:tcPr>
            <w:tcW w:w="1575" w:type="dxa"/>
            <w:vAlign w:val="bottom"/>
          </w:tcPr>
          <w:p w14:paraId="52391DC2" w14:textId="33FAB2A6" w:rsidR="00ED0DCC" w:rsidRPr="007B0318" w:rsidRDefault="00ED0DCC" w:rsidP="00ED0DCC">
            <w:pPr>
              <w:pStyle w:val="02Tabletext"/>
              <w:rPr>
                <w:rFonts w:ascii="Calibri" w:hAnsi="Calibri"/>
                <w:szCs w:val="22"/>
                <w:lang w:val="en-AU"/>
              </w:rPr>
            </w:pPr>
            <w:r w:rsidRPr="007B0318">
              <w:rPr>
                <w:rFonts w:ascii="Calibri" w:hAnsi="Calibri"/>
                <w:szCs w:val="22"/>
                <w:lang w:val="en-AU"/>
              </w:rPr>
              <w:t>15509</w:t>
            </w:r>
          </w:p>
        </w:tc>
        <w:tc>
          <w:tcPr>
            <w:tcW w:w="2213" w:type="dxa"/>
            <w:vAlign w:val="bottom"/>
          </w:tcPr>
          <w:p w14:paraId="74378F76" w14:textId="33A4535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$288,941</w:t>
            </w:r>
          </w:p>
        </w:tc>
        <w:tc>
          <w:tcPr>
            <w:tcW w:w="2394" w:type="dxa"/>
            <w:vAlign w:val="bottom"/>
          </w:tcPr>
          <w:p w14:paraId="1287A8F7" w14:textId="421ECE1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1,616</w:t>
            </w:r>
          </w:p>
        </w:tc>
        <w:tc>
          <w:tcPr>
            <w:tcW w:w="2639" w:type="dxa"/>
            <w:vAlign w:val="bottom"/>
          </w:tcPr>
          <w:p w14:paraId="7969D262" w14:textId="32D4D76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18.7%</w:t>
            </w:r>
          </w:p>
        </w:tc>
      </w:tr>
      <w:tr w:rsidR="00ED0DCC" w:rsidRPr="002836EB" w14:paraId="75C8C2E0" w14:textId="77777777" w:rsidTr="007206DE">
        <w:trPr>
          <w:trHeight w:val="234"/>
        </w:trPr>
        <w:tc>
          <w:tcPr>
            <w:tcW w:w="1575" w:type="dxa"/>
            <w:vAlign w:val="bottom"/>
          </w:tcPr>
          <w:p w14:paraId="231C80AC" w14:textId="31E91193" w:rsidR="00ED0DCC" w:rsidRPr="007B0318" w:rsidRDefault="00ED0DCC" w:rsidP="00ED0DCC">
            <w:pPr>
              <w:pStyle w:val="02Tabletext"/>
              <w:rPr>
                <w:rFonts w:ascii="Calibri" w:hAnsi="Calibri"/>
                <w:szCs w:val="22"/>
                <w:lang w:val="en-AU"/>
              </w:rPr>
            </w:pPr>
            <w:r w:rsidRPr="007B0318">
              <w:rPr>
                <w:rFonts w:ascii="Calibri" w:hAnsi="Calibri"/>
                <w:szCs w:val="22"/>
                <w:lang w:val="en-AU"/>
              </w:rPr>
              <w:t>15512</w:t>
            </w:r>
          </w:p>
        </w:tc>
        <w:tc>
          <w:tcPr>
            <w:tcW w:w="2213" w:type="dxa"/>
            <w:vAlign w:val="bottom"/>
          </w:tcPr>
          <w:p w14:paraId="1780FBFC" w14:textId="5553F42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$51,851</w:t>
            </w:r>
          </w:p>
        </w:tc>
        <w:tc>
          <w:tcPr>
            <w:tcW w:w="2394" w:type="dxa"/>
            <w:vAlign w:val="bottom"/>
          </w:tcPr>
          <w:p w14:paraId="4A4FC08C" w14:textId="10CADF3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225</w:t>
            </w:r>
          </w:p>
        </w:tc>
        <w:tc>
          <w:tcPr>
            <w:tcW w:w="2639" w:type="dxa"/>
            <w:vAlign w:val="bottom"/>
          </w:tcPr>
          <w:p w14:paraId="709A9811" w14:textId="51E18F9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-0.8%</w:t>
            </w:r>
          </w:p>
        </w:tc>
      </w:tr>
      <w:tr w:rsidR="00ED0DCC" w:rsidRPr="002836EB" w14:paraId="2EB611E7" w14:textId="77777777" w:rsidTr="007206DE">
        <w:trPr>
          <w:trHeight w:val="234"/>
        </w:trPr>
        <w:tc>
          <w:tcPr>
            <w:tcW w:w="1575" w:type="dxa"/>
            <w:vAlign w:val="bottom"/>
          </w:tcPr>
          <w:p w14:paraId="4DEB6940" w14:textId="19D9A390" w:rsidR="00ED0DCC" w:rsidRPr="007B0318" w:rsidRDefault="00ED0DCC" w:rsidP="00ED0DCC">
            <w:pPr>
              <w:pStyle w:val="02Tabletext"/>
              <w:rPr>
                <w:rFonts w:ascii="Calibri" w:hAnsi="Calibri"/>
                <w:szCs w:val="22"/>
                <w:lang w:val="en-AU"/>
              </w:rPr>
            </w:pPr>
            <w:r w:rsidRPr="007B0318">
              <w:rPr>
                <w:rFonts w:ascii="Calibri" w:hAnsi="Calibri"/>
                <w:szCs w:val="22"/>
                <w:lang w:val="en-AU"/>
              </w:rPr>
              <w:t>15513</w:t>
            </w:r>
          </w:p>
        </w:tc>
        <w:tc>
          <w:tcPr>
            <w:tcW w:w="2213" w:type="dxa"/>
            <w:vAlign w:val="bottom"/>
          </w:tcPr>
          <w:p w14:paraId="5B31A7C5" w14:textId="4D647A3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$149,247</w:t>
            </w:r>
          </w:p>
        </w:tc>
        <w:tc>
          <w:tcPr>
            <w:tcW w:w="2394" w:type="dxa"/>
            <w:vAlign w:val="bottom"/>
          </w:tcPr>
          <w:p w14:paraId="1AFE2382" w14:textId="22B184F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332</w:t>
            </w:r>
          </w:p>
        </w:tc>
        <w:tc>
          <w:tcPr>
            <w:tcW w:w="2639" w:type="dxa"/>
            <w:vAlign w:val="bottom"/>
          </w:tcPr>
          <w:p w14:paraId="22A4FE22" w14:textId="0F46002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-9.2%</w:t>
            </w:r>
          </w:p>
        </w:tc>
      </w:tr>
      <w:tr w:rsidR="00ED0DCC" w:rsidRPr="002836EB" w14:paraId="6025E431" w14:textId="77777777" w:rsidTr="007206DE">
        <w:trPr>
          <w:trHeight w:val="234"/>
        </w:trPr>
        <w:tc>
          <w:tcPr>
            <w:tcW w:w="1575" w:type="dxa"/>
            <w:vAlign w:val="bottom"/>
          </w:tcPr>
          <w:p w14:paraId="1292B5AC" w14:textId="28B0118E" w:rsidR="00ED0DCC" w:rsidRPr="007B0318" w:rsidRDefault="00ED0DCC" w:rsidP="00ED0DCC">
            <w:pPr>
              <w:pStyle w:val="02Tabletext"/>
              <w:rPr>
                <w:rFonts w:ascii="Calibri" w:hAnsi="Calibri"/>
                <w:szCs w:val="22"/>
                <w:lang w:val="en-AU"/>
              </w:rPr>
            </w:pPr>
            <w:r w:rsidRPr="007B0318">
              <w:rPr>
                <w:rFonts w:ascii="Calibri" w:hAnsi="Calibri"/>
                <w:szCs w:val="22"/>
                <w:lang w:val="en-AU"/>
              </w:rPr>
              <w:t>15515</w:t>
            </w:r>
          </w:p>
        </w:tc>
        <w:tc>
          <w:tcPr>
            <w:tcW w:w="2213" w:type="dxa"/>
            <w:vAlign w:val="bottom"/>
          </w:tcPr>
          <w:p w14:paraId="21502FCC" w14:textId="059E41B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394" w:type="dxa"/>
            <w:vAlign w:val="bottom"/>
          </w:tcPr>
          <w:p w14:paraId="1C467450" w14:textId="234AD34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w:t>
            </w:r>
          </w:p>
        </w:tc>
        <w:tc>
          <w:tcPr>
            <w:tcW w:w="2639" w:type="dxa"/>
            <w:vAlign w:val="bottom"/>
          </w:tcPr>
          <w:p w14:paraId="55E8D450" w14:textId="0897480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-100.0%</w:t>
            </w:r>
          </w:p>
        </w:tc>
      </w:tr>
      <w:tr w:rsidR="00ED0DCC" w:rsidRPr="002836EB" w14:paraId="63355A0F" w14:textId="77777777" w:rsidTr="007206DE">
        <w:trPr>
          <w:trHeight w:val="234"/>
        </w:trPr>
        <w:tc>
          <w:tcPr>
            <w:tcW w:w="1575" w:type="dxa"/>
            <w:vAlign w:val="bottom"/>
          </w:tcPr>
          <w:p w14:paraId="7D376A6B" w14:textId="10CCD568" w:rsidR="00ED0DCC" w:rsidRPr="007B0318" w:rsidRDefault="00ED0DCC" w:rsidP="00ED0DCC">
            <w:pPr>
              <w:pStyle w:val="02Tabletext"/>
              <w:rPr>
                <w:rFonts w:ascii="Calibri" w:hAnsi="Calibri"/>
                <w:szCs w:val="22"/>
                <w:lang w:val="en-AU"/>
              </w:rPr>
            </w:pPr>
            <w:r w:rsidRPr="007B0318">
              <w:rPr>
                <w:rFonts w:ascii="Calibri" w:hAnsi="Calibri"/>
                <w:szCs w:val="22"/>
                <w:lang w:val="en-AU"/>
              </w:rPr>
              <w:t>15518</w:t>
            </w:r>
          </w:p>
        </w:tc>
        <w:tc>
          <w:tcPr>
            <w:tcW w:w="2213" w:type="dxa"/>
            <w:vAlign w:val="bottom"/>
          </w:tcPr>
          <w:p w14:paraId="51FA7558" w14:textId="1D23B61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$204,058</w:t>
            </w:r>
          </w:p>
        </w:tc>
        <w:tc>
          <w:tcPr>
            <w:tcW w:w="2394" w:type="dxa"/>
            <w:vAlign w:val="bottom"/>
          </w:tcPr>
          <w:p w14:paraId="10748F28" w14:textId="7E0DA33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2,837</w:t>
            </w:r>
          </w:p>
        </w:tc>
        <w:tc>
          <w:tcPr>
            <w:tcW w:w="2639" w:type="dxa"/>
            <w:vAlign w:val="bottom"/>
          </w:tcPr>
          <w:p w14:paraId="62A4B15E" w14:textId="6C3B4F6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-9.3%</w:t>
            </w:r>
          </w:p>
        </w:tc>
      </w:tr>
      <w:tr w:rsidR="00ED0DCC" w:rsidRPr="002836EB" w14:paraId="1A169DF6" w14:textId="77777777" w:rsidTr="007206DE">
        <w:trPr>
          <w:trHeight w:val="234"/>
        </w:trPr>
        <w:tc>
          <w:tcPr>
            <w:tcW w:w="1575" w:type="dxa"/>
            <w:vAlign w:val="bottom"/>
          </w:tcPr>
          <w:p w14:paraId="500723FC" w14:textId="70B69E56" w:rsidR="00ED0DCC" w:rsidRPr="007B0318" w:rsidRDefault="00ED0DCC" w:rsidP="00ED0DCC">
            <w:pPr>
              <w:pStyle w:val="02Tabletext"/>
              <w:rPr>
                <w:rFonts w:ascii="Calibri" w:hAnsi="Calibri"/>
                <w:szCs w:val="22"/>
                <w:lang w:val="en-AU"/>
              </w:rPr>
            </w:pPr>
            <w:r w:rsidRPr="007B0318">
              <w:rPr>
                <w:rFonts w:ascii="Calibri" w:hAnsi="Calibri"/>
                <w:szCs w:val="22"/>
                <w:lang w:val="en-AU"/>
              </w:rPr>
              <w:t>15521</w:t>
            </w:r>
          </w:p>
        </w:tc>
        <w:tc>
          <w:tcPr>
            <w:tcW w:w="2213" w:type="dxa"/>
            <w:vAlign w:val="bottom"/>
          </w:tcPr>
          <w:p w14:paraId="3CFC4A32" w14:textId="28E53D6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$290,667</w:t>
            </w:r>
          </w:p>
        </w:tc>
        <w:tc>
          <w:tcPr>
            <w:tcW w:w="2394" w:type="dxa"/>
            <w:vAlign w:val="bottom"/>
          </w:tcPr>
          <w:p w14:paraId="35B73D3A" w14:textId="7D70A10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904</w:t>
            </w:r>
          </w:p>
        </w:tc>
        <w:tc>
          <w:tcPr>
            <w:tcW w:w="2639" w:type="dxa"/>
            <w:vAlign w:val="bottom"/>
          </w:tcPr>
          <w:p w14:paraId="51B4A479" w14:textId="64DF88B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-8.3%</w:t>
            </w:r>
          </w:p>
        </w:tc>
      </w:tr>
      <w:tr w:rsidR="00ED0DCC" w:rsidRPr="002836EB" w14:paraId="23B060AA" w14:textId="77777777" w:rsidTr="007206DE">
        <w:trPr>
          <w:trHeight w:val="234"/>
        </w:trPr>
        <w:tc>
          <w:tcPr>
            <w:tcW w:w="1575" w:type="dxa"/>
            <w:vAlign w:val="bottom"/>
          </w:tcPr>
          <w:p w14:paraId="1C85A3F8" w14:textId="407931E0" w:rsidR="00ED0DCC" w:rsidRPr="007B0318" w:rsidRDefault="00ED0DCC" w:rsidP="00ED0DCC">
            <w:pPr>
              <w:pStyle w:val="02Tabletext"/>
              <w:rPr>
                <w:rFonts w:ascii="Calibri" w:hAnsi="Calibri"/>
                <w:szCs w:val="22"/>
                <w:lang w:val="en-AU"/>
              </w:rPr>
            </w:pPr>
            <w:r w:rsidRPr="007B0318">
              <w:rPr>
                <w:rFonts w:ascii="Calibri" w:hAnsi="Calibri"/>
                <w:szCs w:val="22"/>
                <w:lang w:val="en-AU"/>
              </w:rPr>
              <w:t>15524</w:t>
            </w:r>
          </w:p>
        </w:tc>
        <w:tc>
          <w:tcPr>
            <w:tcW w:w="2213" w:type="dxa"/>
            <w:vAlign w:val="bottom"/>
          </w:tcPr>
          <w:p w14:paraId="4DF01FBC" w14:textId="047B293B"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$4,252,602</w:t>
            </w:r>
          </w:p>
        </w:tc>
        <w:tc>
          <w:tcPr>
            <w:tcW w:w="2394" w:type="dxa"/>
            <w:vAlign w:val="bottom"/>
          </w:tcPr>
          <w:p w14:paraId="0FFE4372" w14:textId="03E9818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7,320</w:t>
            </w:r>
          </w:p>
        </w:tc>
        <w:tc>
          <w:tcPr>
            <w:tcW w:w="2639" w:type="dxa"/>
            <w:vAlign w:val="bottom"/>
          </w:tcPr>
          <w:p w14:paraId="286E1F38" w14:textId="301A90E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-7.6%</w:t>
            </w:r>
          </w:p>
        </w:tc>
      </w:tr>
      <w:tr w:rsidR="00ED0DCC" w:rsidRPr="002836EB" w14:paraId="1AE396A9" w14:textId="77777777" w:rsidTr="007206DE">
        <w:trPr>
          <w:trHeight w:val="234"/>
        </w:trPr>
        <w:tc>
          <w:tcPr>
            <w:tcW w:w="1575" w:type="dxa"/>
            <w:vAlign w:val="bottom"/>
          </w:tcPr>
          <w:p w14:paraId="04AB6A0B" w14:textId="2817A0E5" w:rsidR="00ED0DCC" w:rsidRPr="007B0318" w:rsidRDefault="00ED0DCC" w:rsidP="00ED0DCC">
            <w:pPr>
              <w:pStyle w:val="02Tabletext"/>
              <w:rPr>
                <w:rFonts w:ascii="Calibri" w:hAnsi="Calibri"/>
                <w:szCs w:val="22"/>
                <w:lang w:val="en-AU"/>
              </w:rPr>
            </w:pPr>
            <w:r w:rsidRPr="007B0318">
              <w:rPr>
                <w:rFonts w:ascii="Calibri" w:hAnsi="Calibri"/>
                <w:szCs w:val="22"/>
                <w:lang w:val="en-AU"/>
              </w:rPr>
              <w:t>15527</w:t>
            </w:r>
          </w:p>
        </w:tc>
        <w:tc>
          <w:tcPr>
            <w:tcW w:w="2213" w:type="dxa"/>
            <w:vAlign w:val="bottom"/>
          </w:tcPr>
          <w:p w14:paraId="3F0FD33B" w14:textId="2D84405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$132,722</w:t>
            </w:r>
          </w:p>
        </w:tc>
        <w:tc>
          <w:tcPr>
            <w:tcW w:w="2394" w:type="dxa"/>
            <w:vAlign w:val="bottom"/>
          </w:tcPr>
          <w:p w14:paraId="5D2750DA" w14:textId="45A4361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1,858</w:t>
            </w:r>
          </w:p>
        </w:tc>
        <w:tc>
          <w:tcPr>
            <w:tcW w:w="2639" w:type="dxa"/>
            <w:vAlign w:val="bottom"/>
          </w:tcPr>
          <w:p w14:paraId="4855B3E8" w14:textId="47BB37C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w:t>
            </w:r>
          </w:p>
        </w:tc>
      </w:tr>
      <w:tr w:rsidR="00ED0DCC" w:rsidRPr="002836EB" w14:paraId="64ACDA0B" w14:textId="77777777" w:rsidTr="007206DE">
        <w:trPr>
          <w:trHeight w:val="234"/>
        </w:trPr>
        <w:tc>
          <w:tcPr>
            <w:tcW w:w="1575" w:type="dxa"/>
            <w:vAlign w:val="bottom"/>
          </w:tcPr>
          <w:p w14:paraId="473314EE" w14:textId="5635BBE0" w:rsidR="00ED0DCC" w:rsidRPr="007B0318" w:rsidRDefault="00ED0DCC" w:rsidP="00ED0DCC">
            <w:pPr>
              <w:pStyle w:val="02Tabletext"/>
              <w:rPr>
                <w:rFonts w:ascii="Calibri" w:hAnsi="Calibri"/>
                <w:szCs w:val="22"/>
                <w:lang w:val="en-AU"/>
              </w:rPr>
            </w:pPr>
            <w:r w:rsidRPr="007B0318">
              <w:rPr>
                <w:rFonts w:ascii="Calibri" w:hAnsi="Calibri"/>
                <w:szCs w:val="22"/>
                <w:lang w:val="en-AU"/>
              </w:rPr>
              <w:t>15530</w:t>
            </w:r>
          </w:p>
        </w:tc>
        <w:tc>
          <w:tcPr>
            <w:tcW w:w="2213" w:type="dxa"/>
            <w:vAlign w:val="bottom"/>
          </w:tcPr>
          <w:p w14:paraId="0DB6C143" w14:textId="66756A8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$29,608</w:t>
            </w:r>
          </w:p>
        </w:tc>
        <w:tc>
          <w:tcPr>
            <w:tcW w:w="2394" w:type="dxa"/>
            <w:vAlign w:val="bottom"/>
          </w:tcPr>
          <w:p w14:paraId="3720CFCD" w14:textId="4185657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94</w:t>
            </w:r>
          </w:p>
        </w:tc>
        <w:tc>
          <w:tcPr>
            <w:tcW w:w="2639" w:type="dxa"/>
            <w:vAlign w:val="bottom"/>
          </w:tcPr>
          <w:p w14:paraId="00D0C89D" w14:textId="3592293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-13.9%</w:t>
            </w:r>
          </w:p>
        </w:tc>
      </w:tr>
      <w:tr w:rsidR="00ED0DCC" w:rsidRPr="002836EB" w14:paraId="676B4176" w14:textId="77777777" w:rsidTr="007206DE">
        <w:trPr>
          <w:trHeight w:val="234"/>
        </w:trPr>
        <w:tc>
          <w:tcPr>
            <w:tcW w:w="1575" w:type="dxa"/>
            <w:vAlign w:val="bottom"/>
          </w:tcPr>
          <w:p w14:paraId="4E40CE27" w14:textId="18BB47BA" w:rsidR="00ED0DCC" w:rsidRPr="007B0318" w:rsidRDefault="00ED0DCC" w:rsidP="00ED0DCC">
            <w:pPr>
              <w:pStyle w:val="02Tabletext"/>
              <w:rPr>
                <w:rFonts w:ascii="Calibri" w:hAnsi="Calibri"/>
                <w:szCs w:val="22"/>
                <w:lang w:val="en-AU"/>
              </w:rPr>
            </w:pPr>
            <w:r w:rsidRPr="007B0318">
              <w:rPr>
                <w:rFonts w:ascii="Calibri" w:hAnsi="Calibri"/>
                <w:szCs w:val="22"/>
                <w:lang w:val="en-AU"/>
              </w:rPr>
              <w:t>15533</w:t>
            </w:r>
          </w:p>
        </w:tc>
        <w:tc>
          <w:tcPr>
            <w:tcW w:w="2213" w:type="dxa"/>
            <w:vAlign w:val="bottom"/>
          </w:tcPr>
          <w:p w14:paraId="273198F1" w14:textId="63BB67B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$148,473</w:t>
            </w:r>
          </w:p>
        </w:tc>
        <w:tc>
          <w:tcPr>
            <w:tcW w:w="2394" w:type="dxa"/>
            <w:vAlign w:val="bottom"/>
          </w:tcPr>
          <w:p w14:paraId="34C5292C" w14:textId="2786935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243</w:t>
            </w:r>
          </w:p>
        </w:tc>
        <w:tc>
          <w:tcPr>
            <w:tcW w:w="2639" w:type="dxa"/>
            <w:vAlign w:val="bottom"/>
          </w:tcPr>
          <w:p w14:paraId="0AC94BBD" w14:textId="70CF9C30"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-17.8%</w:t>
            </w:r>
          </w:p>
        </w:tc>
      </w:tr>
      <w:tr w:rsidR="00ED0DCC" w:rsidRPr="002836EB" w14:paraId="5EB775EF" w14:textId="77777777" w:rsidTr="007206DE">
        <w:trPr>
          <w:trHeight w:val="234"/>
        </w:trPr>
        <w:tc>
          <w:tcPr>
            <w:tcW w:w="1575" w:type="dxa"/>
            <w:vAlign w:val="bottom"/>
          </w:tcPr>
          <w:p w14:paraId="22870BAD" w14:textId="3F344118" w:rsidR="00ED0DCC" w:rsidRPr="007B0318" w:rsidRDefault="00ED0DCC" w:rsidP="00ED0DCC">
            <w:pPr>
              <w:pStyle w:val="02Tabletext"/>
              <w:rPr>
                <w:rFonts w:ascii="Calibri" w:hAnsi="Calibri"/>
                <w:szCs w:val="22"/>
                <w:lang w:val="en-AU"/>
              </w:rPr>
            </w:pPr>
            <w:r w:rsidRPr="007B0318">
              <w:rPr>
                <w:rFonts w:ascii="Calibri" w:hAnsi="Calibri"/>
                <w:szCs w:val="22"/>
                <w:lang w:val="en-AU"/>
              </w:rPr>
              <w:t>15536</w:t>
            </w:r>
          </w:p>
        </w:tc>
        <w:tc>
          <w:tcPr>
            <w:tcW w:w="2213" w:type="dxa"/>
            <w:vAlign w:val="bottom"/>
          </w:tcPr>
          <w:p w14:paraId="31D7AD43" w14:textId="52B2057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$182,280</w:t>
            </w:r>
          </w:p>
        </w:tc>
        <w:tc>
          <w:tcPr>
            <w:tcW w:w="2394" w:type="dxa"/>
            <w:vAlign w:val="bottom"/>
          </w:tcPr>
          <w:p w14:paraId="3A1EACC5" w14:textId="1287A41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766</w:t>
            </w:r>
          </w:p>
        </w:tc>
        <w:tc>
          <w:tcPr>
            <w:tcW w:w="2639" w:type="dxa"/>
            <w:vAlign w:val="bottom"/>
          </w:tcPr>
          <w:p w14:paraId="45D6DBB5" w14:textId="78AE7FE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w:t>
            </w:r>
          </w:p>
        </w:tc>
      </w:tr>
      <w:tr w:rsidR="00ED0DCC" w:rsidRPr="002836EB" w14:paraId="2DA46B84" w14:textId="77777777" w:rsidTr="007206DE">
        <w:trPr>
          <w:trHeight w:val="234"/>
        </w:trPr>
        <w:tc>
          <w:tcPr>
            <w:tcW w:w="1575" w:type="dxa"/>
            <w:vAlign w:val="bottom"/>
          </w:tcPr>
          <w:p w14:paraId="31E0B4B9" w14:textId="17BD84FE" w:rsidR="00ED0DCC" w:rsidRPr="007B0318" w:rsidRDefault="00ED0DCC" w:rsidP="00ED0DCC">
            <w:pPr>
              <w:pStyle w:val="02Tabletext"/>
              <w:rPr>
                <w:rFonts w:ascii="Calibri" w:hAnsi="Calibri"/>
                <w:szCs w:val="22"/>
                <w:lang w:val="en-AU"/>
              </w:rPr>
            </w:pPr>
            <w:r w:rsidRPr="007B0318">
              <w:rPr>
                <w:rFonts w:ascii="Calibri" w:hAnsi="Calibri"/>
                <w:szCs w:val="22"/>
                <w:lang w:val="en-AU"/>
              </w:rPr>
              <w:t>15539</w:t>
            </w:r>
          </w:p>
        </w:tc>
        <w:tc>
          <w:tcPr>
            <w:tcW w:w="2213" w:type="dxa"/>
            <w:vAlign w:val="bottom"/>
          </w:tcPr>
          <w:p w14:paraId="1481DE2C" w14:textId="5CA3B62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$528,515</w:t>
            </w:r>
          </w:p>
        </w:tc>
        <w:tc>
          <w:tcPr>
            <w:tcW w:w="2394" w:type="dxa"/>
            <w:vAlign w:val="bottom"/>
          </w:tcPr>
          <w:p w14:paraId="553503F7" w14:textId="0F90B52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588</w:t>
            </w:r>
          </w:p>
        </w:tc>
        <w:tc>
          <w:tcPr>
            <w:tcW w:w="2639" w:type="dxa"/>
            <w:vAlign w:val="bottom"/>
          </w:tcPr>
          <w:p w14:paraId="6DE60D98" w14:textId="3D81E2EC"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-8.3%</w:t>
            </w:r>
          </w:p>
        </w:tc>
      </w:tr>
      <w:tr w:rsidR="00ED0DCC" w:rsidRPr="002836EB" w14:paraId="2A4B633D" w14:textId="77777777" w:rsidTr="007206DE">
        <w:trPr>
          <w:trHeight w:val="234"/>
        </w:trPr>
        <w:tc>
          <w:tcPr>
            <w:tcW w:w="1575" w:type="dxa"/>
            <w:vAlign w:val="bottom"/>
          </w:tcPr>
          <w:p w14:paraId="70CC30A4" w14:textId="292AD648" w:rsidR="00ED0DCC" w:rsidRPr="007B0318" w:rsidRDefault="00ED0DCC" w:rsidP="00ED0DCC">
            <w:pPr>
              <w:pStyle w:val="02Tabletext"/>
              <w:rPr>
                <w:rFonts w:ascii="Calibri" w:hAnsi="Calibri"/>
                <w:szCs w:val="22"/>
                <w:lang w:val="en-AU"/>
              </w:rPr>
            </w:pPr>
            <w:r w:rsidRPr="007B0318">
              <w:rPr>
                <w:rFonts w:ascii="Calibri" w:hAnsi="Calibri"/>
                <w:szCs w:val="22"/>
                <w:lang w:val="en-AU"/>
              </w:rPr>
              <w:t>15550</w:t>
            </w:r>
          </w:p>
        </w:tc>
        <w:tc>
          <w:tcPr>
            <w:tcW w:w="2213" w:type="dxa"/>
            <w:vAlign w:val="bottom"/>
          </w:tcPr>
          <w:p w14:paraId="6472E44F" w14:textId="6B6B47B1"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$25,212,353</w:t>
            </w:r>
          </w:p>
        </w:tc>
        <w:tc>
          <w:tcPr>
            <w:tcW w:w="2394" w:type="dxa"/>
            <w:vAlign w:val="bottom"/>
          </w:tcPr>
          <w:p w14:paraId="26AD97B9" w14:textId="0DAA52B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37,155</w:t>
            </w:r>
          </w:p>
        </w:tc>
        <w:tc>
          <w:tcPr>
            <w:tcW w:w="2639" w:type="dxa"/>
            <w:vAlign w:val="bottom"/>
          </w:tcPr>
          <w:p w14:paraId="6CA252B2" w14:textId="5A33918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7.0%</w:t>
            </w:r>
          </w:p>
        </w:tc>
      </w:tr>
      <w:tr w:rsidR="00ED0DCC" w:rsidRPr="002836EB" w14:paraId="573EC478" w14:textId="77777777" w:rsidTr="007206DE">
        <w:trPr>
          <w:trHeight w:val="234"/>
        </w:trPr>
        <w:tc>
          <w:tcPr>
            <w:tcW w:w="1575" w:type="dxa"/>
            <w:vAlign w:val="bottom"/>
          </w:tcPr>
          <w:p w14:paraId="0165133A" w14:textId="1E0415CC" w:rsidR="00ED0DCC" w:rsidRPr="007B0318" w:rsidRDefault="00ED0DCC" w:rsidP="00ED0DCC">
            <w:pPr>
              <w:pStyle w:val="02Tabletext"/>
              <w:rPr>
                <w:rFonts w:ascii="Calibri" w:hAnsi="Calibri"/>
                <w:szCs w:val="22"/>
                <w:lang w:val="en-AU"/>
              </w:rPr>
            </w:pPr>
            <w:r w:rsidRPr="007B0318">
              <w:rPr>
                <w:rFonts w:ascii="Calibri" w:hAnsi="Calibri"/>
                <w:szCs w:val="22"/>
                <w:lang w:val="en-AU"/>
              </w:rPr>
              <w:t>15553</w:t>
            </w:r>
          </w:p>
        </w:tc>
        <w:tc>
          <w:tcPr>
            <w:tcW w:w="2213" w:type="dxa"/>
            <w:vAlign w:val="bottom"/>
          </w:tcPr>
          <w:p w14:paraId="1D9F3AEA" w14:textId="1DC503A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$1,185,187</w:t>
            </w:r>
          </w:p>
        </w:tc>
        <w:tc>
          <w:tcPr>
            <w:tcW w:w="2394" w:type="dxa"/>
            <w:vAlign w:val="bottom"/>
          </w:tcPr>
          <w:p w14:paraId="00A3E83F" w14:textId="2A2A27F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1,865</w:t>
            </w:r>
          </w:p>
        </w:tc>
        <w:tc>
          <w:tcPr>
            <w:tcW w:w="2639" w:type="dxa"/>
            <w:vAlign w:val="bottom"/>
          </w:tcPr>
          <w:p w14:paraId="2B117192" w14:textId="2E4CD43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-0.5%</w:t>
            </w:r>
          </w:p>
        </w:tc>
      </w:tr>
      <w:tr w:rsidR="00ED0DCC" w:rsidRPr="002836EB" w14:paraId="73C02821" w14:textId="77777777" w:rsidTr="007206DE">
        <w:trPr>
          <w:trHeight w:val="234"/>
        </w:trPr>
        <w:tc>
          <w:tcPr>
            <w:tcW w:w="1575" w:type="dxa"/>
            <w:vAlign w:val="bottom"/>
          </w:tcPr>
          <w:p w14:paraId="230177E0" w14:textId="2DD0636A" w:rsidR="00ED0DCC" w:rsidRPr="007B0318" w:rsidRDefault="00ED0DCC" w:rsidP="00ED0DCC">
            <w:pPr>
              <w:pStyle w:val="02Tabletext"/>
              <w:rPr>
                <w:rFonts w:ascii="Calibri" w:hAnsi="Calibri"/>
                <w:szCs w:val="22"/>
                <w:lang w:val="en-AU"/>
              </w:rPr>
            </w:pPr>
            <w:r w:rsidRPr="007B0318">
              <w:rPr>
                <w:rFonts w:ascii="Calibri" w:hAnsi="Calibri"/>
                <w:szCs w:val="22"/>
                <w:lang w:val="en-AU"/>
              </w:rPr>
              <w:t>15556</w:t>
            </w:r>
          </w:p>
        </w:tc>
        <w:tc>
          <w:tcPr>
            <w:tcW w:w="2213" w:type="dxa"/>
            <w:vAlign w:val="bottom"/>
          </w:tcPr>
          <w:p w14:paraId="0A60A252" w14:textId="2E82A2DD"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$3,113,981</w:t>
            </w:r>
          </w:p>
        </w:tc>
        <w:tc>
          <w:tcPr>
            <w:tcW w:w="2394" w:type="dxa"/>
            <w:vAlign w:val="bottom"/>
          </w:tcPr>
          <w:p w14:paraId="383FE461" w14:textId="64AECB7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4,653</w:t>
            </w:r>
          </w:p>
        </w:tc>
        <w:tc>
          <w:tcPr>
            <w:tcW w:w="2639" w:type="dxa"/>
            <w:vAlign w:val="bottom"/>
          </w:tcPr>
          <w:p w14:paraId="062926BF" w14:textId="20C012C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w:t>
            </w:r>
          </w:p>
        </w:tc>
      </w:tr>
      <w:tr w:rsidR="00ED0DCC" w:rsidRPr="002836EB" w14:paraId="1B04EF20" w14:textId="77777777" w:rsidTr="007206DE">
        <w:trPr>
          <w:trHeight w:val="234"/>
        </w:trPr>
        <w:tc>
          <w:tcPr>
            <w:tcW w:w="1575" w:type="dxa"/>
            <w:vAlign w:val="bottom"/>
          </w:tcPr>
          <w:p w14:paraId="6C0E7F5D" w14:textId="275655B3" w:rsidR="00ED0DCC" w:rsidRPr="007B0318" w:rsidRDefault="00ED0DCC" w:rsidP="00ED0DCC">
            <w:pPr>
              <w:pStyle w:val="02Tabletext"/>
              <w:rPr>
                <w:rFonts w:ascii="Calibri" w:hAnsi="Calibri"/>
                <w:szCs w:val="22"/>
                <w:lang w:val="en-AU"/>
              </w:rPr>
            </w:pPr>
            <w:r w:rsidRPr="007B0318">
              <w:rPr>
                <w:rFonts w:ascii="Calibri" w:hAnsi="Calibri"/>
                <w:szCs w:val="22"/>
                <w:lang w:val="en-AU"/>
              </w:rPr>
              <w:t>15559</w:t>
            </w:r>
          </w:p>
        </w:tc>
        <w:tc>
          <w:tcPr>
            <w:tcW w:w="2213" w:type="dxa"/>
            <w:vAlign w:val="bottom"/>
          </w:tcPr>
          <w:p w14:paraId="0338FFA9" w14:textId="36227AE9"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$3,984,304</w:t>
            </w:r>
          </w:p>
        </w:tc>
        <w:tc>
          <w:tcPr>
            <w:tcW w:w="2394" w:type="dxa"/>
            <w:vAlign w:val="bottom"/>
          </w:tcPr>
          <w:p w14:paraId="3CB4A706" w14:textId="63D2100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4,568</w:t>
            </w:r>
          </w:p>
        </w:tc>
        <w:tc>
          <w:tcPr>
            <w:tcW w:w="2639" w:type="dxa"/>
            <w:vAlign w:val="bottom"/>
          </w:tcPr>
          <w:p w14:paraId="79786699" w14:textId="0CBE2FD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-7.3%</w:t>
            </w:r>
          </w:p>
        </w:tc>
      </w:tr>
      <w:tr w:rsidR="00ED0DCC" w:rsidRPr="002836EB" w14:paraId="20E9BFA2" w14:textId="77777777" w:rsidTr="007206DE">
        <w:trPr>
          <w:trHeight w:val="234"/>
        </w:trPr>
        <w:tc>
          <w:tcPr>
            <w:tcW w:w="1575" w:type="dxa"/>
            <w:vAlign w:val="bottom"/>
          </w:tcPr>
          <w:p w14:paraId="1F9C40DB" w14:textId="42695BE7" w:rsidR="00ED0DCC" w:rsidRPr="007B0318" w:rsidRDefault="00ED0DCC" w:rsidP="00ED0DCC">
            <w:pPr>
              <w:pStyle w:val="02Tabletext"/>
              <w:rPr>
                <w:rFonts w:ascii="Calibri" w:hAnsi="Calibri"/>
                <w:szCs w:val="22"/>
                <w:lang w:val="en-AU"/>
              </w:rPr>
            </w:pPr>
            <w:r w:rsidRPr="007B0318">
              <w:rPr>
                <w:rFonts w:ascii="Calibri" w:hAnsi="Calibri"/>
                <w:szCs w:val="22"/>
                <w:lang w:val="en-AU"/>
              </w:rPr>
              <w:t>15562</w:t>
            </w:r>
          </w:p>
        </w:tc>
        <w:tc>
          <w:tcPr>
            <w:tcW w:w="2213" w:type="dxa"/>
            <w:vAlign w:val="bottom"/>
          </w:tcPr>
          <w:p w14:paraId="4870D299" w14:textId="5EF793A5"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$36,755,343</w:t>
            </w:r>
          </w:p>
        </w:tc>
        <w:tc>
          <w:tcPr>
            <w:tcW w:w="2394" w:type="dxa"/>
            <w:vAlign w:val="bottom"/>
          </w:tcPr>
          <w:p w14:paraId="2B4C1009" w14:textId="5AE7FBE7"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29,076</w:t>
            </w:r>
          </w:p>
        </w:tc>
        <w:tc>
          <w:tcPr>
            <w:tcW w:w="2639" w:type="dxa"/>
            <w:vAlign w:val="bottom"/>
          </w:tcPr>
          <w:p w14:paraId="20100057" w14:textId="10B7BA6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14.1%</w:t>
            </w:r>
          </w:p>
        </w:tc>
      </w:tr>
      <w:tr w:rsidR="00ED0DCC" w:rsidRPr="002836EB" w14:paraId="7EABF61C" w14:textId="77777777" w:rsidTr="007206DE">
        <w:trPr>
          <w:trHeight w:val="234"/>
        </w:trPr>
        <w:tc>
          <w:tcPr>
            <w:tcW w:w="1575" w:type="dxa"/>
            <w:vAlign w:val="bottom"/>
          </w:tcPr>
          <w:p w14:paraId="56A2B1FC" w14:textId="260D9AF1" w:rsidR="00ED0DCC" w:rsidRPr="007B0318" w:rsidRDefault="00ED0DCC" w:rsidP="00ED0DCC">
            <w:pPr>
              <w:pStyle w:val="02Tabletext"/>
              <w:rPr>
                <w:rFonts w:ascii="Calibri" w:hAnsi="Calibri"/>
                <w:szCs w:val="22"/>
                <w:lang w:val="en-AU"/>
              </w:rPr>
            </w:pPr>
            <w:r w:rsidRPr="007B0318">
              <w:rPr>
                <w:rFonts w:ascii="Calibri" w:hAnsi="Calibri"/>
                <w:szCs w:val="22"/>
                <w:lang w:val="en-AU"/>
              </w:rPr>
              <w:t>15600</w:t>
            </w:r>
          </w:p>
        </w:tc>
        <w:tc>
          <w:tcPr>
            <w:tcW w:w="2213" w:type="dxa"/>
            <w:vAlign w:val="bottom"/>
          </w:tcPr>
          <w:p w14:paraId="3A92E9DD" w14:textId="72FDD24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$1,728,488</w:t>
            </w:r>
          </w:p>
        </w:tc>
        <w:tc>
          <w:tcPr>
            <w:tcW w:w="2394" w:type="dxa"/>
            <w:vAlign w:val="bottom"/>
          </w:tcPr>
          <w:p w14:paraId="31228A8B" w14:textId="0E7A1AD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529</w:t>
            </w:r>
          </w:p>
        </w:tc>
        <w:tc>
          <w:tcPr>
            <w:tcW w:w="2639" w:type="dxa"/>
            <w:vAlign w:val="bottom"/>
          </w:tcPr>
          <w:p w14:paraId="1529C65F" w14:textId="7D643A36"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17.4%</w:t>
            </w:r>
          </w:p>
        </w:tc>
      </w:tr>
      <w:tr w:rsidR="00ED0DCC" w:rsidRPr="002836EB" w14:paraId="5ABB97B2" w14:textId="77777777" w:rsidTr="007206DE">
        <w:trPr>
          <w:trHeight w:val="234"/>
        </w:trPr>
        <w:tc>
          <w:tcPr>
            <w:tcW w:w="1575" w:type="dxa"/>
            <w:vAlign w:val="bottom"/>
          </w:tcPr>
          <w:p w14:paraId="22534884" w14:textId="69B7804C" w:rsidR="00ED0DCC" w:rsidRPr="007B0318" w:rsidRDefault="00ED0DCC" w:rsidP="00ED0DCC">
            <w:pPr>
              <w:pStyle w:val="02Tabletext"/>
              <w:rPr>
                <w:rFonts w:ascii="Calibri" w:hAnsi="Calibri"/>
                <w:szCs w:val="22"/>
                <w:lang w:val="en-AU"/>
              </w:rPr>
            </w:pPr>
            <w:r w:rsidRPr="007B0318">
              <w:rPr>
                <w:rFonts w:ascii="Calibri" w:hAnsi="Calibri"/>
                <w:szCs w:val="22"/>
                <w:lang w:val="en-AU"/>
              </w:rPr>
              <w:t>15700</w:t>
            </w:r>
          </w:p>
        </w:tc>
        <w:tc>
          <w:tcPr>
            <w:tcW w:w="2213" w:type="dxa"/>
            <w:vAlign w:val="bottom"/>
          </w:tcPr>
          <w:p w14:paraId="7011A1A1" w14:textId="3FC1CE6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$4,961,207</w:t>
            </w:r>
          </w:p>
        </w:tc>
        <w:tc>
          <w:tcPr>
            <w:tcW w:w="2394" w:type="dxa"/>
            <w:vAlign w:val="bottom"/>
          </w:tcPr>
          <w:p w14:paraId="6F7287BC" w14:textId="0917593A"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114,173</w:t>
            </w:r>
          </w:p>
        </w:tc>
        <w:tc>
          <w:tcPr>
            <w:tcW w:w="2639" w:type="dxa"/>
            <w:vAlign w:val="bottom"/>
          </w:tcPr>
          <w:p w14:paraId="17CE2705" w14:textId="5FC6AE74"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2.9%</w:t>
            </w:r>
          </w:p>
        </w:tc>
      </w:tr>
      <w:tr w:rsidR="00ED0DCC" w:rsidRPr="002836EB" w14:paraId="0343D7AE" w14:textId="77777777" w:rsidTr="007206DE">
        <w:trPr>
          <w:trHeight w:val="234"/>
        </w:trPr>
        <w:tc>
          <w:tcPr>
            <w:tcW w:w="1575" w:type="dxa"/>
            <w:vAlign w:val="bottom"/>
          </w:tcPr>
          <w:p w14:paraId="46A1DD76" w14:textId="5CB5D459" w:rsidR="00ED0DCC" w:rsidRPr="007B0318" w:rsidRDefault="00ED0DCC" w:rsidP="00ED0DCC">
            <w:pPr>
              <w:pStyle w:val="02Tabletext"/>
              <w:rPr>
                <w:rFonts w:ascii="Calibri" w:hAnsi="Calibri"/>
                <w:szCs w:val="22"/>
                <w:lang w:val="en-AU"/>
              </w:rPr>
            </w:pPr>
            <w:r w:rsidRPr="007B0318">
              <w:rPr>
                <w:rFonts w:ascii="Calibri" w:hAnsi="Calibri"/>
                <w:szCs w:val="22"/>
                <w:lang w:val="en-AU"/>
              </w:rPr>
              <w:t>15705</w:t>
            </w:r>
          </w:p>
        </w:tc>
        <w:tc>
          <w:tcPr>
            <w:tcW w:w="2213" w:type="dxa"/>
            <w:vAlign w:val="bottom"/>
          </w:tcPr>
          <w:p w14:paraId="4AB9D00F" w14:textId="46A045A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$21,106,007</w:t>
            </w:r>
          </w:p>
        </w:tc>
        <w:tc>
          <w:tcPr>
            <w:tcW w:w="2394" w:type="dxa"/>
            <w:vAlign w:val="bottom"/>
          </w:tcPr>
          <w:p w14:paraId="556FA145" w14:textId="0D9C2688"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282,757</w:t>
            </w:r>
          </w:p>
        </w:tc>
        <w:tc>
          <w:tcPr>
            <w:tcW w:w="2639" w:type="dxa"/>
            <w:vAlign w:val="bottom"/>
          </w:tcPr>
          <w:p w14:paraId="368ABB65" w14:textId="3A7ED83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4.2%</w:t>
            </w:r>
          </w:p>
        </w:tc>
      </w:tr>
      <w:tr w:rsidR="00ED0DCC" w:rsidRPr="002836EB" w14:paraId="7CE06754" w14:textId="77777777" w:rsidTr="007206DE">
        <w:trPr>
          <w:trHeight w:val="234"/>
        </w:trPr>
        <w:tc>
          <w:tcPr>
            <w:tcW w:w="1575" w:type="dxa"/>
            <w:vAlign w:val="bottom"/>
          </w:tcPr>
          <w:p w14:paraId="225A9B43" w14:textId="47E900F8" w:rsidR="00ED0DCC" w:rsidRPr="007B0318" w:rsidRDefault="00ED0DCC" w:rsidP="00ED0DCC">
            <w:pPr>
              <w:pStyle w:val="02Tabletext"/>
              <w:rPr>
                <w:rFonts w:ascii="Calibri" w:hAnsi="Calibri"/>
                <w:szCs w:val="22"/>
                <w:lang w:val="en-AU"/>
              </w:rPr>
            </w:pPr>
            <w:r w:rsidRPr="007B0318">
              <w:rPr>
                <w:rFonts w:ascii="Calibri" w:hAnsi="Calibri"/>
                <w:szCs w:val="22"/>
                <w:lang w:val="en-AU"/>
              </w:rPr>
              <w:t>15710</w:t>
            </w:r>
          </w:p>
        </w:tc>
        <w:tc>
          <w:tcPr>
            <w:tcW w:w="2213" w:type="dxa"/>
            <w:vAlign w:val="bottom"/>
          </w:tcPr>
          <w:p w14:paraId="09030E2B" w14:textId="50D702E2"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$16,400,203</w:t>
            </w:r>
          </w:p>
        </w:tc>
        <w:tc>
          <w:tcPr>
            <w:tcW w:w="2394" w:type="dxa"/>
            <w:vAlign w:val="bottom"/>
          </w:tcPr>
          <w:p w14:paraId="55433D45" w14:textId="63967B4E"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211,986</w:t>
            </w:r>
          </w:p>
        </w:tc>
        <w:tc>
          <w:tcPr>
            <w:tcW w:w="2639" w:type="dxa"/>
            <w:vAlign w:val="bottom"/>
          </w:tcPr>
          <w:p w14:paraId="0F925C02" w14:textId="1F054C0F" w:rsidR="00ED0DCC" w:rsidRPr="007B0318" w:rsidRDefault="00ED0DCC" w:rsidP="00ED0DCC">
            <w:pPr>
              <w:pStyle w:val="02Tabletext"/>
              <w:jc w:val="center"/>
              <w:rPr>
                <w:rFonts w:ascii="Calibri" w:hAnsi="Calibri"/>
                <w:szCs w:val="22"/>
                <w:lang w:val="en-AU"/>
              </w:rPr>
            </w:pPr>
            <w:r w:rsidRPr="007B0318">
              <w:rPr>
                <w:rFonts w:ascii="Calibri" w:hAnsi="Calibri"/>
                <w:szCs w:val="22"/>
                <w:lang w:val="en-AU"/>
              </w:rPr>
              <w:t>37.4%</w:t>
            </w:r>
          </w:p>
        </w:tc>
      </w:tr>
    </w:tbl>
    <w:p w14:paraId="324BE08A" w14:textId="77777777" w:rsidR="00ED0DCC" w:rsidRPr="00ED0DCC" w:rsidRDefault="00ED0DCC" w:rsidP="00ED0DCC">
      <w:pPr>
        <w:spacing w:before="0"/>
        <w:rPr>
          <w:rFonts w:eastAsiaTheme="minorHAnsi"/>
          <w:sz w:val="18"/>
          <w:szCs w:val="18"/>
          <w:lang w:eastAsia="en-US"/>
        </w:rPr>
      </w:pPr>
      <w:r w:rsidRPr="00ED0DCC">
        <w:rPr>
          <w:rFonts w:eastAsiaTheme="minorHAnsi"/>
          <w:sz w:val="18"/>
          <w:szCs w:val="18"/>
          <w:lang w:eastAsia="en-US"/>
        </w:rPr>
        <w:t>Note: The data is available from the Department of Human Services website.</w:t>
      </w:r>
    </w:p>
    <w:p w14:paraId="7C7E1325" w14:textId="77777777" w:rsidR="00ED0DCC" w:rsidRPr="00ED0DCC" w:rsidRDefault="00ED0DCC" w:rsidP="00ED0DCC">
      <w:pPr>
        <w:rPr>
          <w:rFonts w:eastAsiaTheme="minorHAnsi"/>
          <w:lang w:eastAsia="en-US"/>
        </w:rPr>
      </w:pPr>
      <w:r w:rsidRPr="00ED0DCC">
        <w:rPr>
          <w:rFonts w:eastAsiaTheme="minorHAnsi"/>
          <w:lang w:eastAsia="en-US"/>
        </w:rPr>
        <w:t>The total benefits paid for radiotherapy services included in this review decreased by 3.17% between 2013-14 and 2015-16.</w:t>
      </w:r>
    </w:p>
    <w:p w14:paraId="0BB15F8A" w14:textId="77777777" w:rsidR="00ED0DCC" w:rsidRPr="00ED0DCC" w:rsidRDefault="00ED0DCC" w:rsidP="00ED0DCC">
      <w:pPr>
        <w:rPr>
          <w:rFonts w:eastAsiaTheme="minorHAnsi"/>
          <w:lang w:eastAsia="en-US"/>
        </w:rPr>
      </w:pPr>
      <w:r w:rsidRPr="00ED0DCC">
        <w:rPr>
          <w:rFonts w:eastAsiaTheme="minorHAnsi"/>
          <w:lang w:eastAsia="en-US"/>
        </w:rPr>
        <w:t>The total number of radiotherapy services included in this review decreased by 5.76% between 2013-14 and 2015-16.</w:t>
      </w:r>
    </w:p>
    <w:p w14:paraId="2EAAF698" w14:textId="77777777" w:rsidR="00ED0DCC" w:rsidRPr="00ED0DCC" w:rsidRDefault="00ED0DCC" w:rsidP="00ED0DCC">
      <w:pPr>
        <w:rPr>
          <w:rFonts w:eastAsiaTheme="minorHAnsi"/>
          <w:lang w:val="en-AU" w:eastAsia="en-US"/>
        </w:rPr>
      </w:pPr>
      <w:r w:rsidRPr="00ED0DCC">
        <w:rPr>
          <w:rFonts w:eastAsiaTheme="minorHAnsi"/>
          <w:lang w:val="en-AU" w:eastAsia="en-US"/>
        </w:rPr>
        <w:t>In 2015-16 a total of 1,663,214 radiotherapy services were rendered, totalling $287,520,580.74 in benefits of which 15.6 per cent was paid through Medicare safety nets. Note that this excludes the new radiotherapy items introduced on 1 January 2016 which were not included in the review.</w:t>
      </w:r>
    </w:p>
    <w:p w14:paraId="78FAE881" w14:textId="30D89623" w:rsidR="00ED0DCC" w:rsidRPr="00ED0DCC" w:rsidRDefault="00ED0DCC" w:rsidP="00ED0DCC">
      <w:pPr>
        <w:pStyle w:val="Caption"/>
      </w:pPr>
      <w:bookmarkStart w:id="273" w:name="_Toc479082820"/>
      <w:r>
        <w:t xml:space="preserve">Table </w:t>
      </w:r>
      <w:r>
        <w:fldChar w:fldCharType="begin"/>
      </w:r>
      <w:r>
        <w:instrText xml:space="preserve"> SEQ Table \* ARABIC </w:instrText>
      </w:r>
      <w:r>
        <w:fldChar w:fldCharType="separate"/>
      </w:r>
      <w:r w:rsidR="003274EF">
        <w:rPr>
          <w:noProof/>
        </w:rPr>
        <w:t>13</w:t>
      </w:r>
      <w:r>
        <w:fldChar w:fldCharType="end"/>
      </w:r>
      <w:r>
        <w:t xml:space="preserve">: </w:t>
      </w:r>
      <w:r w:rsidRPr="00ED0DCC">
        <w:t xml:space="preserve">Brachytherapy </w:t>
      </w:r>
      <w:r w:rsidR="009E2C9F" w:rsidRPr="00FB4C0E">
        <w:t xml:space="preserve">items statistics for </w:t>
      </w:r>
      <w:r w:rsidR="009E2C9F">
        <w:t>financial year</w:t>
      </w:r>
      <w:r w:rsidR="009E2C9F" w:rsidRPr="00FB4C0E">
        <w:t xml:space="preserve"> </w:t>
      </w:r>
      <w:r w:rsidR="009E2C9F">
        <w:t xml:space="preserve">2015/16 </w:t>
      </w:r>
      <w:r w:rsidR="009E2C9F" w:rsidRPr="00FB4C0E">
        <w:t>by date of processing</w:t>
      </w:r>
      <w:bookmarkEnd w:id="273"/>
    </w:p>
    <w:tbl>
      <w:tblPr>
        <w:tblStyle w:val="TableGrid"/>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shows the item introduction table for Cancer care case conference item numbers 871 and 872. There are 6 columns: Column 1. List of items, Column 2. Descriptor, column 3. Schedule fee, column 4. Services for financial year 2014-15, column 5. Total benefits for FY 2014-15, and column 6. Percentage of the services average 5-year annual growth."/>
      </w:tblPr>
      <w:tblGrid>
        <w:gridCol w:w="1575"/>
        <w:gridCol w:w="2213"/>
        <w:gridCol w:w="2394"/>
        <w:gridCol w:w="2639"/>
      </w:tblGrid>
      <w:tr w:rsidR="00ED0DCC" w:rsidRPr="002836EB" w14:paraId="323253EC" w14:textId="77777777" w:rsidTr="007206DE">
        <w:trPr>
          <w:trHeight w:val="497"/>
          <w:tblHeader/>
        </w:trPr>
        <w:tc>
          <w:tcPr>
            <w:tcW w:w="1575" w:type="dxa"/>
            <w:shd w:val="clear" w:color="auto" w:fill="F2F2F2" w:themeFill="background1" w:themeFillShade="F2"/>
            <w:vAlign w:val="bottom"/>
          </w:tcPr>
          <w:p w14:paraId="2C4A96F8" w14:textId="77777777" w:rsidR="00ED0DCC" w:rsidRPr="00ED0DCC" w:rsidRDefault="00ED0DCC" w:rsidP="007206DE">
            <w:pPr>
              <w:pStyle w:val="02Tabletext"/>
              <w:rPr>
                <w:b/>
              </w:rPr>
            </w:pPr>
            <w:r w:rsidRPr="00ED0DCC">
              <w:rPr>
                <w:b/>
              </w:rPr>
              <w:t>Item</w:t>
            </w:r>
          </w:p>
        </w:tc>
        <w:tc>
          <w:tcPr>
            <w:tcW w:w="2213" w:type="dxa"/>
            <w:shd w:val="clear" w:color="auto" w:fill="F2F2F2" w:themeFill="background1" w:themeFillShade="F2"/>
            <w:vAlign w:val="bottom"/>
          </w:tcPr>
          <w:p w14:paraId="448E7891" w14:textId="77777777" w:rsidR="00ED0DCC" w:rsidRPr="00ED0DCC" w:rsidRDefault="00ED0DCC" w:rsidP="007206DE">
            <w:pPr>
              <w:pStyle w:val="02Tabletext"/>
              <w:jc w:val="center"/>
              <w:rPr>
                <w:b/>
              </w:rPr>
            </w:pPr>
            <w:r>
              <w:rPr>
                <w:b/>
              </w:rPr>
              <w:t>Volume of services FY2015</w:t>
            </w:r>
            <w:r w:rsidRPr="00ED0DCC">
              <w:rPr>
                <w:b/>
              </w:rPr>
              <w:t>/1</w:t>
            </w:r>
            <w:r>
              <w:rPr>
                <w:b/>
              </w:rPr>
              <w:t>6</w:t>
            </w:r>
          </w:p>
        </w:tc>
        <w:tc>
          <w:tcPr>
            <w:tcW w:w="2394" w:type="dxa"/>
            <w:shd w:val="clear" w:color="auto" w:fill="F2F2F2" w:themeFill="background1" w:themeFillShade="F2"/>
            <w:vAlign w:val="bottom"/>
          </w:tcPr>
          <w:p w14:paraId="28B42FAA" w14:textId="77777777" w:rsidR="00ED0DCC" w:rsidRPr="00ED0DCC" w:rsidRDefault="00ED0DCC" w:rsidP="007206DE">
            <w:pPr>
              <w:pStyle w:val="02Tabletext"/>
              <w:jc w:val="center"/>
              <w:rPr>
                <w:b/>
              </w:rPr>
            </w:pPr>
            <w:r>
              <w:rPr>
                <w:b/>
              </w:rPr>
              <w:t>Total benefits FY2015</w:t>
            </w:r>
            <w:r w:rsidRPr="00ED0DCC">
              <w:rPr>
                <w:b/>
              </w:rPr>
              <w:t>/1</w:t>
            </w:r>
            <w:r>
              <w:rPr>
                <w:b/>
              </w:rPr>
              <w:t>6</w:t>
            </w:r>
          </w:p>
        </w:tc>
        <w:tc>
          <w:tcPr>
            <w:tcW w:w="2639" w:type="dxa"/>
            <w:shd w:val="clear" w:color="auto" w:fill="F2F2F2" w:themeFill="background1" w:themeFillShade="F2"/>
            <w:vAlign w:val="bottom"/>
          </w:tcPr>
          <w:p w14:paraId="23955032" w14:textId="77777777" w:rsidR="00ED0DCC" w:rsidRPr="00ED0DCC" w:rsidRDefault="00ED0DCC" w:rsidP="007206DE">
            <w:pPr>
              <w:pStyle w:val="02Tabletext"/>
              <w:jc w:val="center"/>
              <w:rPr>
                <w:b/>
              </w:rPr>
            </w:pPr>
            <w:r w:rsidRPr="00ED0DCC">
              <w:rPr>
                <w:b/>
              </w:rPr>
              <w:t>Services 5-year-average annual growth</w:t>
            </w:r>
          </w:p>
        </w:tc>
      </w:tr>
      <w:tr w:rsidR="00ED0DCC" w:rsidRPr="002836EB" w14:paraId="0106EF02" w14:textId="77777777" w:rsidTr="007206DE">
        <w:trPr>
          <w:trHeight w:val="222"/>
        </w:trPr>
        <w:tc>
          <w:tcPr>
            <w:tcW w:w="1575" w:type="dxa"/>
            <w:vAlign w:val="bottom"/>
          </w:tcPr>
          <w:p w14:paraId="4FCA62B2" w14:textId="427145E5" w:rsidR="00ED0DCC" w:rsidRPr="00ED0DCC" w:rsidRDefault="00ED0DCC" w:rsidP="00ED0DCC">
            <w:pPr>
              <w:pStyle w:val="02Tabletext"/>
            </w:pPr>
            <w:r w:rsidRPr="007373DB">
              <w:rPr>
                <w:szCs w:val="22"/>
                <w:lang w:val="en-AU"/>
              </w:rPr>
              <w:t>15303</w:t>
            </w:r>
          </w:p>
        </w:tc>
        <w:tc>
          <w:tcPr>
            <w:tcW w:w="2213" w:type="dxa"/>
            <w:vAlign w:val="bottom"/>
          </w:tcPr>
          <w:p w14:paraId="223917F7" w14:textId="436F99B0" w:rsidR="00ED0DCC" w:rsidRPr="00ED0DCC" w:rsidRDefault="00ED0DCC" w:rsidP="00ED0DCC">
            <w:pPr>
              <w:pStyle w:val="02Tabletext"/>
              <w:jc w:val="center"/>
            </w:pPr>
            <w:r w:rsidRPr="007373DB">
              <w:rPr>
                <w:szCs w:val="22"/>
                <w:lang w:val="en-AU"/>
              </w:rPr>
              <w:t>$0</w:t>
            </w:r>
          </w:p>
        </w:tc>
        <w:tc>
          <w:tcPr>
            <w:tcW w:w="2394" w:type="dxa"/>
            <w:vAlign w:val="bottom"/>
          </w:tcPr>
          <w:p w14:paraId="03591548" w14:textId="484F1BA5" w:rsidR="00ED0DCC" w:rsidRPr="00ED0DCC" w:rsidRDefault="00ED0DCC" w:rsidP="00ED0DCC">
            <w:pPr>
              <w:pStyle w:val="02Tabletext"/>
              <w:jc w:val="center"/>
            </w:pPr>
            <w:r w:rsidRPr="007373DB">
              <w:rPr>
                <w:szCs w:val="22"/>
                <w:lang w:val="en-AU"/>
              </w:rPr>
              <w:t>0</w:t>
            </w:r>
          </w:p>
        </w:tc>
        <w:tc>
          <w:tcPr>
            <w:tcW w:w="2639" w:type="dxa"/>
            <w:vAlign w:val="bottom"/>
          </w:tcPr>
          <w:p w14:paraId="0B9227A0" w14:textId="5FE4AAD9" w:rsidR="00ED0DCC" w:rsidRPr="00ED0DCC" w:rsidRDefault="00ED0DCC" w:rsidP="00ED0DCC">
            <w:pPr>
              <w:pStyle w:val="02Tabletext"/>
              <w:jc w:val="center"/>
            </w:pPr>
            <w:r w:rsidRPr="007373DB">
              <w:rPr>
                <w:szCs w:val="22"/>
                <w:lang w:val="en-AU"/>
              </w:rPr>
              <w:t>/0</w:t>
            </w:r>
          </w:p>
        </w:tc>
      </w:tr>
      <w:tr w:rsidR="00ED0DCC" w:rsidRPr="002836EB" w14:paraId="55A5BE8F" w14:textId="77777777" w:rsidTr="007206DE">
        <w:trPr>
          <w:trHeight w:val="222"/>
        </w:trPr>
        <w:tc>
          <w:tcPr>
            <w:tcW w:w="1575" w:type="dxa"/>
            <w:vAlign w:val="bottom"/>
          </w:tcPr>
          <w:p w14:paraId="020BD6F4" w14:textId="2D612174" w:rsidR="00ED0DCC" w:rsidRPr="00ED0DCC" w:rsidRDefault="00ED0DCC" w:rsidP="00ED0DCC">
            <w:pPr>
              <w:pStyle w:val="02Tabletext"/>
            </w:pPr>
            <w:r w:rsidRPr="007373DB">
              <w:rPr>
                <w:szCs w:val="22"/>
                <w:lang w:val="en-AU"/>
              </w:rPr>
              <w:t>15304</w:t>
            </w:r>
          </w:p>
        </w:tc>
        <w:tc>
          <w:tcPr>
            <w:tcW w:w="2213" w:type="dxa"/>
            <w:vAlign w:val="bottom"/>
          </w:tcPr>
          <w:p w14:paraId="1B41FD1A" w14:textId="64F7C4BA" w:rsidR="00ED0DCC" w:rsidRPr="00ED0DCC" w:rsidRDefault="00ED0DCC" w:rsidP="00ED0DCC">
            <w:pPr>
              <w:pStyle w:val="02Tabletext"/>
              <w:jc w:val="center"/>
            </w:pPr>
            <w:r w:rsidRPr="007373DB">
              <w:rPr>
                <w:szCs w:val="22"/>
                <w:lang w:val="en-AU"/>
              </w:rPr>
              <w:t>$0</w:t>
            </w:r>
          </w:p>
        </w:tc>
        <w:tc>
          <w:tcPr>
            <w:tcW w:w="2394" w:type="dxa"/>
            <w:vAlign w:val="bottom"/>
          </w:tcPr>
          <w:p w14:paraId="4D977EBC" w14:textId="773828AA" w:rsidR="00ED0DCC" w:rsidRPr="00ED0DCC" w:rsidRDefault="00ED0DCC" w:rsidP="00ED0DCC">
            <w:pPr>
              <w:pStyle w:val="02Tabletext"/>
              <w:jc w:val="center"/>
            </w:pPr>
            <w:r w:rsidRPr="007373DB">
              <w:rPr>
                <w:szCs w:val="22"/>
                <w:lang w:val="en-AU"/>
              </w:rPr>
              <w:t>0</w:t>
            </w:r>
          </w:p>
        </w:tc>
        <w:tc>
          <w:tcPr>
            <w:tcW w:w="2639" w:type="dxa"/>
            <w:vAlign w:val="bottom"/>
          </w:tcPr>
          <w:p w14:paraId="47E5CAE6" w14:textId="1476A680"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0EAC2692" w14:textId="77777777" w:rsidTr="007206DE">
        <w:trPr>
          <w:trHeight w:val="234"/>
        </w:trPr>
        <w:tc>
          <w:tcPr>
            <w:tcW w:w="1575" w:type="dxa"/>
            <w:vAlign w:val="bottom"/>
          </w:tcPr>
          <w:p w14:paraId="528C4818" w14:textId="355EF5EF" w:rsidR="00ED0DCC" w:rsidRPr="00ED0DCC" w:rsidRDefault="00ED0DCC" w:rsidP="00ED0DCC">
            <w:pPr>
              <w:pStyle w:val="02Tabletext"/>
            </w:pPr>
            <w:r w:rsidRPr="007373DB">
              <w:rPr>
                <w:szCs w:val="22"/>
                <w:lang w:val="en-AU"/>
              </w:rPr>
              <w:t>15307</w:t>
            </w:r>
          </w:p>
        </w:tc>
        <w:tc>
          <w:tcPr>
            <w:tcW w:w="2213" w:type="dxa"/>
            <w:vAlign w:val="bottom"/>
          </w:tcPr>
          <w:p w14:paraId="6AB699E2" w14:textId="7EDEF433" w:rsidR="00ED0DCC" w:rsidRPr="00ED0DCC" w:rsidRDefault="00ED0DCC" w:rsidP="00ED0DCC">
            <w:pPr>
              <w:pStyle w:val="02Tabletext"/>
              <w:jc w:val="center"/>
            </w:pPr>
            <w:r w:rsidRPr="007373DB">
              <w:rPr>
                <w:szCs w:val="22"/>
                <w:lang w:val="en-AU"/>
              </w:rPr>
              <w:t>$0</w:t>
            </w:r>
          </w:p>
        </w:tc>
        <w:tc>
          <w:tcPr>
            <w:tcW w:w="2394" w:type="dxa"/>
            <w:vAlign w:val="bottom"/>
          </w:tcPr>
          <w:p w14:paraId="7A3A52C8" w14:textId="43633494" w:rsidR="00ED0DCC" w:rsidRPr="00ED0DCC" w:rsidRDefault="00ED0DCC" w:rsidP="00ED0DCC">
            <w:pPr>
              <w:pStyle w:val="02Tabletext"/>
              <w:jc w:val="center"/>
            </w:pPr>
            <w:r w:rsidRPr="007373DB">
              <w:rPr>
                <w:szCs w:val="22"/>
                <w:lang w:val="en-AU"/>
              </w:rPr>
              <w:t>0</w:t>
            </w:r>
          </w:p>
        </w:tc>
        <w:tc>
          <w:tcPr>
            <w:tcW w:w="2639" w:type="dxa"/>
            <w:vAlign w:val="bottom"/>
          </w:tcPr>
          <w:p w14:paraId="2A86C123" w14:textId="1A272264"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3D03F612" w14:textId="77777777" w:rsidTr="007206DE">
        <w:trPr>
          <w:trHeight w:val="222"/>
        </w:trPr>
        <w:tc>
          <w:tcPr>
            <w:tcW w:w="1575" w:type="dxa"/>
            <w:vAlign w:val="bottom"/>
          </w:tcPr>
          <w:p w14:paraId="7D50741F" w14:textId="5D8338ED" w:rsidR="00ED0DCC" w:rsidRPr="00ED0DCC" w:rsidRDefault="00ED0DCC" w:rsidP="00ED0DCC">
            <w:pPr>
              <w:pStyle w:val="02Tabletext"/>
            </w:pPr>
            <w:r w:rsidRPr="007373DB">
              <w:rPr>
                <w:szCs w:val="22"/>
                <w:lang w:val="en-AU"/>
              </w:rPr>
              <w:t>15308</w:t>
            </w:r>
          </w:p>
        </w:tc>
        <w:tc>
          <w:tcPr>
            <w:tcW w:w="2213" w:type="dxa"/>
            <w:vAlign w:val="bottom"/>
          </w:tcPr>
          <w:p w14:paraId="1283B53D" w14:textId="3F5C996F" w:rsidR="00ED0DCC" w:rsidRPr="00ED0DCC" w:rsidRDefault="00ED0DCC" w:rsidP="00ED0DCC">
            <w:pPr>
              <w:pStyle w:val="02Tabletext"/>
              <w:jc w:val="center"/>
            </w:pPr>
            <w:r w:rsidRPr="007373DB">
              <w:rPr>
                <w:szCs w:val="22"/>
                <w:lang w:val="en-AU"/>
              </w:rPr>
              <w:t>$38,083</w:t>
            </w:r>
          </w:p>
        </w:tc>
        <w:tc>
          <w:tcPr>
            <w:tcW w:w="2394" w:type="dxa"/>
            <w:vAlign w:val="bottom"/>
          </w:tcPr>
          <w:p w14:paraId="61CC8EE5" w14:textId="1AD7130B" w:rsidR="00ED0DCC" w:rsidRPr="00ED0DCC" w:rsidRDefault="00ED0DCC" w:rsidP="00ED0DCC">
            <w:pPr>
              <w:pStyle w:val="02Tabletext"/>
              <w:jc w:val="center"/>
            </w:pPr>
            <w:r w:rsidRPr="007373DB">
              <w:rPr>
                <w:szCs w:val="22"/>
                <w:lang w:val="en-AU"/>
              </w:rPr>
              <w:t>64</w:t>
            </w:r>
          </w:p>
        </w:tc>
        <w:tc>
          <w:tcPr>
            <w:tcW w:w="2639" w:type="dxa"/>
            <w:vAlign w:val="bottom"/>
          </w:tcPr>
          <w:p w14:paraId="7F92C7B2" w14:textId="194AD550" w:rsidR="00ED0DCC" w:rsidRPr="00ED0DCC" w:rsidRDefault="00ED0DCC" w:rsidP="00ED0DCC">
            <w:pPr>
              <w:pStyle w:val="02Tabletext"/>
              <w:jc w:val="center"/>
              <w:rPr>
                <w:shd w:val="clear" w:color="auto" w:fill="FBFBFB"/>
              </w:rPr>
            </w:pPr>
            <w:r w:rsidRPr="007373DB">
              <w:rPr>
                <w:szCs w:val="22"/>
                <w:lang w:val="en-AU"/>
              </w:rPr>
              <w:t>11.6%</w:t>
            </w:r>
          </w:p>
        </w:tc>
      </w:tr>
      <w:tr w:rsidR="00ED0DCC" w:rsidRPr="002836EB" w14:paraId="57FE0724" w14:textId="77777777" w:rsidTr="007206DE">
        <w:trPr>
          <w:trHeight w:val="222"/>
        </w:trPr>
        <w:tc>
          <w:tcPr>
            <w:tcW w:w="1575" w:type="dxa"/>
            <w:vAlign w:val="bottom"/>
          </w:tcPr>
          <w:p w14:paraId="5C03D47F" w14:textId="2571F354" w:rsidR="00ED0DCC" w:rsidRPr="00ED0DCC" w:rsidRDefault="00ED0DCC" w:rsidP="00ED0DCC">
            <w:pPr>
              <w:pStyle w:val="02Tabletext"/>
            </w:pPr>
            <w:r w:rsidRPr="007373DB">
              <w:rPr>
                <w:szCs w:val="22"/>
                <w:lang w:val="en-AU"/>
              </w:rPr>
              <w:t>15311</w:t>
            </w:r>
          </w:p>
        </w:tc>
        <w:tc>
          <w:tcPr>
            <w:tcW w:w="2213" w:type="dxa"/>
            <w:vAlign w:val="bottom"/>
          </w:tcPr>
          <w:p w14:paraId="19FC02AD" w14:textId="0CD71B3E" w:rsidR="00ED0DCC" w:rsidRPr="00ED0DCC" w:rsidRDefault="00ED0DCC" w:rsidP="00ED0DCC">
            <w:pPr>
              <w:pStyle w:val="02Tabletext"/>
              <w:jc w:val="center"/>
            </w:pPr>
            <w:r w:rsidRPr="007373DB">
              <w:rPr>
                <w:szCs w:val="22"/>
                <w:lang w:val="en-AU"/>
              </w:rPr>
              <w:t>$0</w:t>
            </w:r>
          </w:p>
        </w:tc>
        <w:tc>
          <w:tcPr>
            <w:tcW w:w="2394" w:type="dxa"/>
            <w:vAlign w:val="bottom"/>
          </w:tcPr>
          <w:p w14:paraId="73FF67F5" w14:textId="41B90655" w:rsidR="00ED0DCC" w:rsidRPr="00ED0DCC" w:rsidRDefault="00ED0DCC" w:rsidP="00ED0DCC">
            <w:pPr>
              <w:pStyle w:val="02Tabletext"/>
              <w:jc w:val="center"/>
            </w:pPr>
            <w:r w:rsidRPr="007373DB">
              <w:rPr>
                <w:szCs w:val="22"/>
                <w:lang w:val="en-AU"/>
              </w:rPr>
              <w:t>0</w:t>
            </w:r>
          </w:p>
        </w:tc>
        <w:tc>
          <w:tcPr>
            <w:tcW w:w="2639" w:type="dxa"/>
            <w:vAlign w:val="bottom"/>
          </w:tcPr>
          <w:p w14:paraId="28441C4A" w14:textId="6C494593"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7C672337" w14:textId="77777777" w:rsidTr="007206DE">
        <w:trPr>
          <w:trHeight w:val="234"/>
        </w:trPr>
        <w:tc>
          <w:tcPr>
            <w:tcW w:w="1575" w:type="dxa"/>
            <w:vAlign w:val="bottom"/>
          </w:tcPr>
          <w:p w14:paraId="4764DC20" w14:textId="41740EA9" w:rsidR="00ED0DCC" w:rsidRPr="00ED0DCC" w:rsidRDefault="00ED0DCC" w:rsidP="00ED0DCC">
            <w:pPr>
              <w:pStyle w:val="02Tabletext"/>
            </w:pPr>
            <w:r w:rsidRPr="007373DB">
              <w:rPr>
                <w:szCs w:val="22"/>
                <w:lang w:val="en-AU"/>
              </w:rPr>
              <w:t>15312</w:t>
            </w:r>
          </w:p>
        </w:tc>
        <w:tc>
          <w:tcPr>
            <w:tcW w:w="2213" w:type="dxa"/>
            <w:vAlign w:val="bottom"/>
          </w:tcPr>
          <w:p w14:paraId="035D8E9F" w14:textId="26F787E5" w:rsidR="00ED0DCC" w:rsidRPr="00ED0DCC" w:rsidRDefault="00ED0DCC" w:rsidP="00ED0DCC">
            <w:pPr>
              <w:pStyle w:val="02Tabletext"/>
              <w:jc w:val="center"/>
            </w:pPr>
            <w:r w:rsidRPr="007373DB">
              <w:rPr>
                <w:szCs w:val="22"/>
                <w:lang w:val="en-AU"/>
              </w:rPr>
              <w:t>$1,406</w:t>
            </w:r>
          </w:p>
        </w:tc>
        <w:tc>
          <w:tcPr>
            <w:tcW w:w="2394" w:type="dxa"/>
            <w:vAlign w:val="bottom"/>
          </w:tcPr>
          <w:p w14:paraId="373518D1" w14:textId="06D0F98C" w:rsidR="00ED0DCC" w:rsidRPr="00ED0DCC" w:rsidRDefault="00ED0DCC" w:rsidP="00ED0DCC">
            <w:pPr>
              <w:pStyle w:val="02Tabletext"/>
              <w:jc w:val="center"/>
            </w:pPr>
            <w:r w:rsidRPr="007373DB">
              <w:rPr>
                <w:szCs w:val="22"/>
                <w:lang w:val="en-AU"/>
              </w:rPr>
              <w:t>5</w:t>
            </w:r>
          </w:p>
        </w:tc>
        <w:tc>
          <w:tcPr>
            <w:tcW w:w="2639" w:type="dxa"/>
            <w:vAlign w:val="bottom"/>
          </w:tcPr>
          <w:p w14:paraId="0B05E677" w14:textId="5D046F15" w:rsidR="00ED0DCC" w:rsidRPr="00ED0DCC" w:rsidRDefault="00ED0DCC" w:rsidP="00ED0DCC">
            <w:pPr>
              <w:pStyle w:val="02Tabletext"/>
              <w:jc w:val="center"/>
              <w:rPr>
                <w:shd w:val="clear" w:color="auto" w:fill="FBFBFB"/>
              </w:rPr>
            </w:pPr>
            <w:r w:rsidRPr="007373DB">
              <w:rPr>
                <w:szCs w:val="22"/>
                <w:lang w:val="en-AU"/>
              </w:rPr>
              <w:t>10.8%</w:t>
            </w:r>
          </w:p>
        </w:tc>
      </w:tr>
      <w:tr w:rsidR="00ED0DCC" w:rsidRPr="002836EB" w14:paraId="5F80DC26" w14:textId="77777777" w:rsidTr="007206DE">
        <w:trPr>
          <w:trHeight w:val="222"/>
        </w:trPr>
        <w:tc>
          <w:tcPr>
            <w:tcW w:w="1575" w:type="dxa"/>
            <w:vAlign w:val="bottom"/>
          </w:tcPr>
          <w:p w14:paraId="1BBEF9D5" w14:textId="6F60455A" w:rsidR="00ED0DCC" w:rsidRPr="00ED0DCC" w:rsidRDefault="00ED0DCC" w:rsidP="00ED0DCC">
            <w:pPr>
              <w:pStyle w:val="02Tabletext"/>
            </w:pPr>
            <w:r w:rsidRPr="007373DB">
              <w:rPr>
                <w:szCs w:val="22"/>
                <w:lang w:val="en-AU"/>
              </w:rPr>
              <w:t>15315</w:t>
            </w:r>
          </w:p>
        </w:tc>
        <w:tc>
          <w:tcPr>
            <w:tcW w:w="2213" w:type="dxa"/>
            <w:vAlign w:val="bottom"/>
          </w:tcPr>
          <w:p w14:paraId="088315CE" w14:textId="5EF1EE03" w:rsidR="00ED0DCC" w:rsidRPr="00ED0DCC" w:rsidRDefault="00ED0DCC" w:rsidP="00ED0DCC">
            <w:pPr>
              <w:pStyle w:val="02Tabletext"/>
              <w:jc w:val="center"/>
            </w:pPr>
            <w:r w:rsidRPr="007373DB">
              <w:rPr>
                <w:szCs w:val="22"/>
                <w:lang w:val="en-AU"/>
              </w:rPr>
              <w:t>$0</w:t>
            </w:r>
          </w:p>
        </w:tc>
        <w:tc>
          <w:tcPr>
            <w:tcW w:w="2394" w:type="dxa"/>
            <w:vAlign w:val="bottom"/>
          </w:tcPr>
          <w:p w14:paraId="27E846DF" w14:textId="25B73673" w:rsidR="00ED0DCC" w:rsidRPr="00ED0DCC" w:rsidRDefault="00ED0DCC" w:rsidP="00ED0DCC">
            <w:pPr>
              <w:pStyle w:val="02Tabletext"/>
              <w:jc w:val="center"/>
            </w:pPr>
            <w:r w:rsidRPr="007373DB">
              <w:rPr>
                <w:szCs w:val="22"/>
                <w:lang w:val="en-AU"/>
              </w:rPr>
              <w:t>0</w:t>
            </w:r>
          </w:p>
        </w:tc>
        <w:tc>
          <w:tcPr>
            <w:tcW w:w="2639" w:type="dxa"/>
            <w:vAlign w:val="bottom"/>
          </w:tcPr>
          <w:p w14:paraId="14F393FC" w14:textId="1401D2EF" w:rsidR="00ED0DCC" w:rsidRPr="00ED0DCC" w:rsidRDefault="00ED0DCC" w:rsidP="00ED0DCC">
            <w:pPr>
              <w:pStyle w:val="02Tabletext"/>
              <w:jc w:val="center"/>
              <w:rPr>
                <w:shd w:val="clear" w:color="auto" w:fill="FBFBFB"/>
              </w:rPr>
            </w:pPr>
            <w:r w:rsidRPr="007373DB">
              <w:rPr>
                <w:szCs w:val="22"/>
                <w:lang w:val="en-AU"/>
              </w:rPr>
              <w:t>-100.0%</w:t>
            </w:r>
          </w:p>
        </w:tc>
      </w:tr>
      <w:tr w:rsidR="00ED0DCC" w:rsidRPr="002836EB" w14:paraId="46D03FC5" w14:textId="77777777" w:rsidTr="007206DE">
        <w:trPr>
          <w:trHeight w:val="222"/>
        </w:trPr>
        <w:tc>
          <w:tcPr>
            <w:tcW w:w="1575" w:type="dxa"/>
            <w:vAlign w:val="bottom"/>
          </w:tcPr>
          <w:p w14:paraId="6D8A8115" w14:textId="6A3E435A" w:rsidR="00ED0DCC" w:rsidRPr="00ED0DCC" w:rsidRDefault="00ED0DCC" w:rsidP="00ED0DCC">
            <w:pPr>
              <w:pStyle w:val="02Tabletext"/>
            </w:pPr>
            <w:r w:rsidRPr="007373DB">
              <w:rPr>
                <w:szCs w:val="22"/>
                <w:lang w:val="en-AU"/>
              </w:rPr>
              <w:lastRenderedPageBreak/>
              <w:t>15316</w:t>
            </w:r>
          </w:p>
        </w:tc>
        <w:tc>
          <w:tcPr>
            <w:tcW w:w="2213" w:type="dxa"/>
            <w:vAlign w:val="bottom"/>
          </w:tcPr>
          <w:p w14:paraId="7586F651" w14:textId="3ED6DFA0" w:rsidR="00ED0DCC" w:rsidRPr="00ED0DCC" w:rsidRDefault="00ED0DCC" w:rsidP="00ED0DCC">
            <w:pPr>
              <w:pStyle w:val="02Tabletext"/>
              <w:jc w:val="center"/>
            </w:pPr>
            <w:r w:rsidRPr="007373DB">
              <w:rPr>
                <w:szCs w:val="22"/>
                <w:lang w:val="en-AU"/>
              </w:rPr>
              <w:t>$1,057,788</w:t>
            </w:r>
          </w:p>
        </w:tc>
        <w:tc>
          <w:tcPr>
            <w:tcW w:w="2394" w:type="dxa"/>
            <w:vAlign w:val="bottom"/>
          </w:tcPr>
          <w:p w14:paraId="55A46CA6" w14:textId="4A000A9C" w:rsidR="00ED0DCC" w:rsidRPr="00ED0DCC" w:rsidRDefault="00ED0DCC" w:rsidP="00ED0DCC">
            <w:pPr>
              <w:pStyle w:val="02Tabletext"/>
              <w:jc w:val="center"/>
            </w:pPr>
            <w:r w:rsidRPr="007373DB">
              <w:rPr>
                <w:szCs w:val="22"/>
                <w:lang w:val="en-AU"/>
              </w:rPr>
              <w:t>1,665</w:t>
            </w:r>
          </w:p>
        </w:tc>
        <w:tc>
          <w:tcPr>
            <w:tcW w:w="2639" w:type="dxa"/>
            <w:vAlign w:val="bottom"/>
          </w:tcPr>
          <w:p w14:paraId="1FE8F373" w14:textId="6D7DB436" w:rsidR="00ED0DCC" w:rsidRPr="00ED0DCC" w:rsidRDefault="00ED0DCC" w:rsidP="00ED0DCC">
            <w:pPr>
              <w:pStyle w:val="02Tabletext"/>
              <w:jc w:val="center"/>
              <w:rPr>
                <w:shd w:val="clear" w:color="auto" w:fill="FBFBFB"/>
              </w:rPr>
            </w:pPr>
            <w:r w:rsidRPr="007373DB">
              <w:rPr>
                <w:szCs w:val="22"/>
                <w:lang w:val="en-AU"/>
              </w:rPr>
              <w:t>8.9%</w:t>
            </w:r>
          </w:p>
        </w:tc>
      </w:tr>
      <w:tr w:rsidR="00ED0DCC" w:rsidRPr="002836EB" w14:paraId="1FDF1C4D" w14:textId="77777777" w:rsidTr="007206DE">
        <w:trPr>
          <w:trHeight w:val="234"/>
        </w:trPr>
        <w:tc>
          <w:tcPr>
            <w:tcW w:w="1575" w:type="dxa"/>
            <w:vAlign w:val="bottom"/>
          </w:tcPr>
          <w:p w14:paraId="3E2B3CDC" w14:textId="21552163" w:rsidR="00ED0DCC" w:rsidRPr="00ED0DCC" w:rsidRDefault="00ED0DCC" w:rsidP="00ED0DCC">
            <w:pPr>
              <w:pStyle w:val="02Tabletext"/>
            </w:pPr>
            <w:r w:rsidRPr="007373DB">
              <w:rPr>
                <w:szCs w:val="22"/>
                <w:lang w:val="en-AU"/>
              </w:rPr>
              <w:t>15319</w:t>
            </w:r>
          </w:p>
        </w:tc>
        <w:tc>
          <w:tcPr>
            <w:tcW w:w="2213" w:type="dxa"/>
            <w:vAlign w:val="bottom"/>
          </w:tcPr>
          <w:p w14:paraId="1BCAAB07" w14:textId="32996155" w:rsidR="00ED0DCC" w:rsidRPr="00ED0DCC" w:rsidRDefault="00ED0DCC" w:rsidP="00ED0DCC">
            <w:pPr>
              <w:pStyle w:val="02Tabletext"/>
              <w:jc w:val="center"/>
            </w:pPr>
            <w:r w:rsidRPr="007373DB">
              <w:rPr>
                <w:szCs w:val="22"/>
                <w:lang w:val="en-AU"/>
              </w:rPr>
              <w:t>$0</w:t>
            </w:r>
          </w:p>
        </w:tc>
        <w:tc>
          <w:tcPr>
            <w:tcW w:w="2394" w:type="dxa"/>
            <w:vAlign w:val="bottom"/>
          </w:tcPr>
          <w:p w14:paraId="490FDC9F" w14:textId="11A31AFB" w:rsidR="00ED0DCC" w:rsidRPr="00ED0DCC" w:rsidRDefault="00ED0DCC" w:rsidP="00ED0DCC">
            <w:pPr>
              <w:pStyle w:val="02Tabletext"/>
              <w:jc w:val="center"/>
            </w:pPr>
            <w:r w:rsidRPr="007373DB">
              <w:rPr>
                <w:szCs w:val="22"/>
                <w:lang w:val="en-AU"/>
              </w:rPr>
              <w:t>0</w:t>
            </w:r>
          </w:p>
        </w:tc>
        <w:tc>
          <w:tcPr>
            <w:tcW w:w="2639" w:type="dxa"/>
            <w:vAlign w:val="bottom"/>
          </w:tcPr>
          <w:p w14:paraId="008F98A2" w14:textId="1FED23C8"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1CFFB26D" w14:textId="77777777" w:rsidTr="007206DE">
        <w:trPr>
          <w:trHeight w:val="222"/>
        </w:trPr>
        <w:tc>
          <w:tcPr>
            <w:tcW w:w="1575" w:type="dxa"/>
            <w:vAlign w:val="bottom"/>
          </w:tcPr>
          <w:p w14:paraId="4D4D7836" w14:textId="11FC2BB0" w:rsidR="00ED0DCC" w:rsidRPr="00ED0DCC" w:rsidRDefault="00ED0DCC" w:rsidP="00ED0DCC">
            <w:pPr>
              <w:pStyle w:val="02Tabletext"/>
            </w:pPr>
            <w:r w:rsidRPr="007373DB">
              <w:rPr>
                <w:szCs w:val="22"/>
                <w:lang w:val="en-AU"/>
              </w:rPr>
              <w:t>15320</w:t>
            </w:r>
          </w:p>
        </w:tc>
        <w:tc>
          <w:tcPr>
            <w:tcW w:w="2213" w:type="dxa"/>
            <w:vAlign w:val="bottom"/>
          </w:tcPr>
          <w:p w14:paraId="3009847A" w14:textId="26616CB9" w:rsidR="00ED0DCC" w:rsidRPr="00ED0DCC" w:rsidRDefault="00ED0DCC" w:rsidP="00ED0DCC">
            <w:pPr>
              <w:pStyle w:val="02Tabletext"/>
              <w:jc w:val="center"/>
            </w:pPr>
            <w:r w:rsidRPr="007373DB">
              <w:rPr>
                <w:szCs w:val="22"/>
                <w:lang w:val="en-AU"/>
              </w:rPr>
              <w:t>$0</w:t>
            </w:r>
          </w:p>
        </w:tc>
        <w:tc>
          <w:tcPr>
            <w:tcW w:w="2394" w:type="dxa"/>
            <w:vAlign w:val="bottom"/>
          </w:tcPr>
          <w:p w14:paraId="782BF7CF" w14:textId="1EE3D30C" w:rsidR="00ED0DCC" w:rsidRPr="00ED0DCC" w:rsidRDefault="00ED0DCC" w:rsidP="00ED0DCC">
            <w:pPr>
              <w:pStyle w:val="02Tabletext"/>
              <w:jc w:val="center"/>
            </w:pPr>
            <w:r w:rsidRPr="007373DB">
              <w:rPr>
                <w:szCs w:val="22"/>
                <w:lang w:val="en-AU"/>
              </w:rPr>
              <w:t>0</w:t>
            </w:r>
          </w:p>
        </w:tc>
        <w:tc>
          <w:tcPr>
            <w:tcW w:w="2639" w:type="dxa"/>
            <w:vAlign w:val="bottom"/>
          </w:tcPr>
          <w:p w14:paraId="49CEC8F1" w14:textId="78545882"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7E7E56E4" w14:textId="77777777" w:rsidTr="007206DE">
        <w:trPr>
          <w:trHeight w:val="222"/>
        </w:trPr>
        <w:tc>
          <w:tcPr>
            <w:tcW w:w="1575" w:type="dxa"/>
            <w:vAlign w:val="bottom"/>
          </w:tcPr>
          <w:p w14:paraId="186CB027" w14:textId="2CB6B33B" w:rsidR="00ED0DCC" w:rsidRPr="00ED0DCC" w:rsidRDefault="00ED0DCC" w:rsidP="00ED0DCC">
            <w:pPr>
              <w:pStyle w:val="02Tabletext"/>
            </w:pPr>
            <w:r w:rsidRPr="007373DB">
              <w:rPr>
                <w:szCs w:val="22"/>
                <w:lang w:val="en-AU"/>
              </w:rPr>
              <w:t>15323</w:t>
            </w:r>
          </w:p>
        </w:tc>
        <w:tc>
          <w:tcPr>
            <w:tcW w:w="2213" w:type="dxa"/>
            <w:vAlign w:val="bottom"/>
          </w:tcPr>
          <w:p w14:paraId="1CAE969F" w14:textId="3217E6CA" w:rsidR="00ED0DCC" w:rsidRPr="00ED0DCC" w:rsidRDefault="00ED0DCC" w:rsidP="00ED0DCC">
            <w:pPr>
              <w:pStyle w:val="02Tabletext"/>
              <w:jc w:val="center"/>
            </w:pPr>
            <w:r w:rsidRPr="007373DB">
              <w:rPr>
                <w:szCs w:val="22"/>
                <w:lang w:val="en-AU"/>
              </w:rPr>
              <w:t>$0</w:t>
            </w:r>
          </w:p>
        </w:tc>
        <w:tc>
          <w:tcPr>
            <w:tcW w:w="2394" w:type="dxa"/>
            <w:vAlign w:val="bottom"/>
          </w:tcPr>
          <w:p w14:paraId="70D50C0E" w14:textId="6FF1A328" w:rsidR="00ED0DCC" w:rsidRPr="00ED0DCC" w:rsidRDefault="00ED0DCC" w:rsidP="00ED0DCC">
            <w:pPr>
              <w:pStyle w:val="02Tabletext"/>
              <w:jc w:val="center"/>
            </w:pPr>
            <w:r w:rsidRPr="007373DB">
              <w:rPr>
                <w:szCs w:val="22"/>
                <w:lang w:val="en-AU"/>
              </w:rPr>
              <w:t>0</w:t>
            </w:r>
          </w:p>
        </w:tc>
        <w:tc>
          <w:tcPr>
            <w:tcW w:w="2639" w:type="dxa"/>
            <w:vAlign w:val="bottom"/>
          </w:tcPr>
          <w:p w14:paraId="383C5B10" w14:textId="29EA3E03" w:rsidR="00ED0DCC" w:rsidRPr="00ED0DCC" w:rsidRDefault="00ED0DCC" w:rsidP="00ED0DCC">
            <w:pPr>
              <w:pStyle w:val="02Tabletext"/>
              <w:jc w:val="center"/>
              <w:rPr>
                <w:shd w:val="clear" w:color="auto" w:fill="FBFBFB"/>
              </w:rPr>
            </w:pPr>
            <w:r w:rsidRPr="007373DB">
              <w:rPr>
                <w:szCs w:val="22"/>
                <w:lang w:val="en-AU"/>
              </w:rPr>
              <w:t>/0</w:t>
            </w:r>
          </w:p>
        </w:tc>
      </w:tr>
      <w:tr w:rsidR="00ED0DCC" w:rsidRPr="002836EB" w14:paraId="32802952" w14:textId="77777777" w:rsidTr="007206DE">
        <w:trPr>
          <w:trHeight w:val="234"/>
        </w:trPr>
        <w:tc>
          <w:tcPr>
            <w:tcW w:w="1575" w:type="dxa"/>
            <w:vAlign w:val="bottom"/>
          </w:tcPr>
          <w:p w14:paraId="4FD8601D" w14:textId="7F0713C8" w:rsidR="00ED0DCC" w:rsidRPr="00ED0DCC" w:rsidRDefault="00ED0DCC" w:rsidP="00ED0DCC">
            <w:pPr>
              <w:pStyle w:val="02Tabletext"/>
            </w:pPr>
            <w:r w:rsidRPr="007373DB">
              <w:rPr>
                <w:szCs w:val="22"/>
                <w:lang w:val="en-AU"/>
              </w:rPr>
              <w:t>15324</w:t>
            </w:r>
          </w:p>
        </w:tc>
        <w:tc>
          <w:tcPr>
            <w:tcW w:w="2213" w:type="dxa"/>
            <w:vAlign w:val="bottom"/>
          </w:tcPr>
          <w:p w14:paraId="3AEC18F8" w14:textId="7CA7B2AB" w:rsidR="00ED0DCC" w:rsidRPr="00ED0DCC" w:rsidRDefault="00ED0DCC" w:rsidP="00ED0DCC">
            <w:pPr>
              <w:pStyle w:val="02Tabletext"/>
              <w:jc w:val="center"/>
            </w:pPr>
            <w:r w:rsidRPr="007373DB">
              <w:rPr>
                <w:szCs w:val="22"/>
                <w:lang w:val="en-AU"/>
              </w:rPr>
              <w:t>$168,431</w:t>
            </w:r>
          </w:p>
        </w:tc>
        <w:tc>
          <w:tcPr>
            <w:tcW w:w="2394" w:type="dxa"/>
            <w:vAlign w:val="bottom"/>
          </w:tcPr>
          <w:p w14:paraId="0E86B32B" w14:textId="302CC185" w:rsidR="00ED0DCC" w:rsidRPr="00ED0DCC" w:rsidRDefault="00ED0DCC" w:rsidP="00ED0DCC">
            <w:pPr>
              <w:pStyle w:val="02Tabletext"/>
              <w:jc w:val="center"/>
            </w:pPr>
            <w:r w:rsidRPr="007373DB">
              <w:rPr>
                <w:szCs w:val="22"/>
                <w:lang w:val="en-AU"/>
              </w:rPr>
              <w:t>270</w:t>
            </w:r>
          </w:p>
        </w:tc>
        <w:tc>
          <w:tcPr>
            <w:tcW w:w="2639" w:type="dxa"/>
            <w:vAlign w:val="bottom"/>
          </w:tcPr>
          <w:p w14:paraId="609440A0" w14:textId="2C554EDB" w:rsidR="00ED0DCC" w:rsidRPr="00ED0DCC" w:rsidRDefault="00ED0DCC" w:rsidP="00ED0DCC">
            <w:pPr>
              <w:pStyle w:val="02Tabletext"/>
              <w:jc w:val="center"/>
              <w:rPr>
                <w:shd w:val="clear" w:color="auto" w:fill="FBFBFB"/>
              </w:rPr>
            </w:pPr>
            <w:r w:rsidRPr="007373DB">
              <w:rPr>
                <w:szCs w:val="22"/>
                <w:lang w:val="en-AU"/>
              </w:rPr>
              <w:t>6.2%</w:t>
            </w:r>
          </w:p>
        </w:tc>
      </w:tr>
      <w:tr w:rsidR="00ED0DCC" w:rsidRPr="002836EB" w14:paraId="2BC08514" w14:textId="77777777" w:rsidTr="007206DE">
        <w:trPr>
          <w:trHeight w:val="234"/>
        </w:trPr>
        <w:tc>
          <w:tcPr>
            <w:tcW w:w="1575" w:type="dxa"/>
            <w:vAlign w:val="bottom"/>
          </w:tcPr>
          <w:p w14:paraId="5D0CF2A1" w14:textId="13BE0924" w:rsidR="00ED0DCC" w:rsidRPr="007373DB" w:rsidRDefault="00ED0DCC" w:rsidP="00ED0DCC">
            <w:pPr>
              <w:pStyle w:val="02Tabletext"/>
              <w:rPr>
                <w:szCs w:val="22"/>
                <w:lang w:val="en-AU"/>
              </w:rPr>
            </w:pPr>
            <w:r w:rsidRPr="007373DB">
              <w:rPr>
                <w:szCs w:val="22"/>
                <w:lang w:val="en-AU"/>
              </w:rPr>
              <w:t>15327</w:t>
            </w:r>
          </w:p>
        </w:tc>
        <w:tc>
          <w:tcPr>
            <w:tcW w:w="2213" w:type="dxa"/>
            <w:vAlign w:val="bottom"/>
          </w:tcPr>
          <w:p w14:paraId="54C4DFD5" w14:textId="7C715861" w:rsidR="00ED0DCC" w:rsidRPr="007373DB" w:rsidRDefault="00ED0DCC" w:rsidP="00ED0DCC">
            <w:pPr>
              <w:pStyle w:val="02Tabletext"/>
              <w:jc w:val="center"/>
              <w:rPr>
                <w:szCs w:val="22"/>
                <w:lang w:val="en-AU"/>
              </w:rPr>
            </w:pPr>
            <w:r w:rsidRPr="007373DB">
              <w:rPr>
                <w:szCs w:val="22"/>
                <w:lang w:val="en-AU"/>
              </w:rPr>
              <w:t>$0</w:t>
            </w:r>
          </w:p>
        </w:tc>
        <w:tc>
          <w:tcPr>
            <w:tcW w:w="2394" w:type="dxa"/>
            <w:vAlign w:val="bottom"/>
          </w:tcPr>
          <w:p w14:paraId="1FCBC3F3" w14:textId="23588B2F" w:rsidR="00ED0DCC" w:rsidRPr="007373DB" w:rsidRDefault="00ED0DCC" w:rsidP="00ED0DCC">
            <w:pPr>
              <w:pStyle w:val="02Tabletext"/>
              <w:jc w:val="center"/>
              <w:rPr>
                <w:szCs w:val="22"/>
                <w:lang w:val="en-AU"/>
              </w:rPr>
            </w:pPr>
            <w:r w:rsidRPr="007373DB">
              <w:rPr>
                <w:szCs w:val="22"/>
                <w:lang w:val="en-AU"/>
              </w:rPr>
              <w:t>0</w:t>
            </w:r>
          </w:p>
        </w:tc>
        <w:tc>
          <w:tcPr>
            <w:tcW w:w="2639" w:type="dxa"/>
            <w:vAlign w:val="bottom"/>
          </w:tcPr>
          <w:p w14:paraId="67290563" w14:textId="16E04CFD" w:rsidR="00ED0DCC" w:rsidRPr="007373DB" w:rsidRDefault="00ED0DCC" w:rsidP="00ED0DCC">
            <w:pPr>
              <w:pStyle w:val="02Tabletext"/>
              <w:jc w:val="center"/>
              <w:rPr>
                <w:szCs w:val="22"/>
                <w:lang w:val="en-AU"/>
              </w:rPr>
            </w:pPr>
            <w:r w:rsidRPr="007373DB">
              <w:rPr>
                <w:szCs w:val="22"/>
                <w:lang w:val="en-AU"/>
              </w:rPr>
              <w:t>/0</w:t>
            </w:r>
          </w:p>
        </w:tc>
      </w:tr>
      <w:tr w:rsidR="00ED0DCC" w:rsidRPr="002836EB" w14:paraId="13795BB3" w14:textId="77777777" w:rsidTr="007206DE">
        <w:trPr>
          <w:trHeight w:val="234"/>
        </w:trPr>
        <w:tc>
          <w:tcPr>
            <w:tcW w:w="1575" w:type="dxa"/>
            <w:vAlign w:val="bottom"/>
          </w:tcPr>
          <w:p w14:paraId="1D485358" w14:textId="31BFACBB" w:rsidR="00ED0DCC" w:rsidRPr="007373DB" w:rsidRDefault="00ED0DCC" w:rsidP="00ED0DCC">
            <w:pPr>
              <w:pStyle w:val="02Tabletext"/>
              <w:rPr>
                <w:szCs w:val="22"/>
                <w:lang w:val="en-AU"/>
              </w:rPr>
            </w:pPr>
            <w:r w:rsidRPr="007373DB">
              <w:rPr>
                <w:szCs w:val="22"/>
                <w:lang w:val="en-AU"/>
              </w:rPr>
              <w:t>15328</w:t>
            </w:r>
          </w:p>
        </w:tc>
        <w:tc>
          <w:tcPr>
            <w:tcW w:w="2213" w:type="dxa"/>
            <w:vAlign w:val="bottom"/>
          </w:tcPr>
          <w:p w14:paraId="7AB21AB3" w14:textId="21525F72" w:rsidR="00ED0DCC" w:rsidRPr="007373DB" w:rsidRDefault="00ED0DCC" w:rsidP="00ED0DCC">
            <w:pPr>
              <w:pStyle w:val="02Tabletext"/>
              <w:jc w:val="center"/>
              <w:rPr>
                <w:szCs w:val="22"/>
                <w:lang w:val="en-AU"/>
              </w:rPr>
            </w:pPr>
            <w:r w:rsidRPr="007373DB">
              <w:rPr>
                <w:szCs w:val="22"/>
                <w:lang w:val="en-AU"/>
              </w:rPr>
              <w:t>$33,829</w:t>
            </w:r>
          </w:p>
        </w:tc>
        <w:tc>
          <w:tcPr>
            <w:tcW w:w="2394" w:type="dxa"/>
            <w:vAlign w:val="bottom"/>
          </w:tcPr>
          <w:p w14:paraId="1DB74D06" w14:textId="70246643" w:rsidR="00ED0DCC" w:rsidRPr="007373DB" w:rsidRDefault="00ED0DCC" w:rsidP="00ED0DCC">
            <w:pPr>
              <w:pStyle w:val="02Tabletext"/>
              <w:jc w:val="center"/>
              <w:rPr>
                <w:szCs w:val="22"/>
                <w:lang w:val="en-AU"/>
              </w:rPr>
            </w:pPr>
            <w:r w:rsidRPr="007373DB">
              <w:rPr>
                <w:szCs w:val="22"/>
                <w:lang w:val="en-AU"/>
              </w:rPr>
              <w:t>51</w:t>
            </w:r>
          </w:p>
        </w:tc>
        <w:tc>
          <w:tcPr>
            <w:tcW w:w="2639" w:type="dxa"/>
            <w:vAlign w:val="bottom"/>
          </w:tcPr>
          <w:p w14:paraId="1C12ACBC" w14:textId="3F740DFA" w:rsidR="00ED0DCC" w:rsidRPr="007373DB" w:rsidRDefault="00ED0DCC" w:rsidP="00ED0DCC">
            <w:pPr>
              <w:pStyle w:val="02Tabletext"/>
              <w:jc w:val="center"/>
              <w:rPr>
                <w:szCs w:val="22"/>
                <w:lang w:val="en-AU"/>
              </w:rPr>
            </w:pPr>
            <w:r w:rsidRPr="007373DB">
              <w:rPr>
                <w:szCs w:val="22"/>
                <w:lang w:val="en-AU"/>
              </w:rPr>
              <w:t>-18.6%</w:t>
            </w:r>
          </w:p>
        </w:tc>
      </w:tr>
      <w:tr w:rsidR="00ED0DCC" w:rsidRPr="002836EB" w14:paraId="7246E4FA" w14:textId="77777777" w:rsidTr="007206DE">
        <w:trPr>
          <w:trHeight w:val="234"/>
        </w:trPr>
        <w:tc>
          <w:tcPr>
            <w:tcW w:w="1575" w:type="dxa"/>
            <w:vAlign w:val="bottom"/>
          </w:tcPr>
          <w:p w14:paraId="0445969F" w14:textId="24CB49D3" w:rsidR="00ED0DCC" w:rsidRPr="007373DB" w:rsidRDefault="00ED0DCC" w:rsidP="00ED0DCC">
            <w:pPr>
              <w:pStyle w:val="02Tabletext"/>
              <w:rPr>
                <w:szCs w:val="22"/>
                <w:lang w:val="en-AU"/>
              </w:rPr>
            </w:pPr>
            <w:r w:rsidRPr="007373DB">
              <w:rPr>
                <w:szCs w:val="22"/>
                <w:lang w:val="en-AU"/>
              </w:rPr>
              <w:t>15331</w:t>
            </w:r>
          </w:p>
        </w:tc>
        <w:tc>
          <w:tcPr>
            <w:tcW w:w="2213" w:type="dxa"/>
            <w:vAlign w:val="bottom"/>
          </w:tcPr>
          <w:p w14:paraId="7CB00DDA" w14:textId="25DBF8FF" w:rsidR="00ED0DCC" w:rsidRPr="007373DB" w:rsidRDefault="00ED0DCC" w:rsidP="00ED0DCC">
            <w:pPr>
              <w:pStyle w:val="02Tabletext"/>
              <w:jc w:val="center"/>
              <w:rPr>
                <w:szCs w:val="22"/>
                <w:lang w:val="en-AU"/>
              </w:rPr>
            </w:pPr>
            <w:r w:rsidRPr="007373DB">
              <w:rPr>
                <w:szCs w:val="22"/>
                <w:lang w:val="en-AU"/>
              </w:rPr>
              <w:t>$0</w:t>
            </w:r>
          </w:p>
        </w:tc>
        <w:tc>
          <w:tcPr>
            <w:tcW w:w="2394" w:type="dxa"/>
            <w:vAlign w:val="bottom"/>
          </w:tcPr>
          <w:p w14:paraId="091057F7" w14:textId="02EC2435" w:rsidR="00ED0DCC" w:rsidRPr="007373DB" w:rsidRDefault="00ED0DCC" w:rsidP="00ED0DCC">
            <w:pPr>
              <w:pStyle w:val="02Tabletext"/>
              <w:jc w:val="center"/>
              <w:rPr>
                <w:szCs w:val="22"/>
                <w:lang w:val="en-AU"/>
              </w:rPr>
            </w:pPr>
            <w:r w:rsidRPr="007373DB">
              <w:rPr>
                <w:szCs w:val="22"/>
                <w:lang w:val="en-AU"/>
              </w:rPr>
              <w:t>0</w:t>
            </w:r>
          </w:p>
        </w:tc>
        <w:tc>
          <w:tcPr>
            <w:tcW w:w="2639" w:type="dxa"/>
            <w:vAlign w:val="bottom"/>
          </w:tcPr>
          <w:p w14:paraId="530B4445" w14:textId="3835C95D" w:rsidR="00ED0DCC" w:rsidRPr="007373DB" w:rsidRDefault="00ED0DCC" w:rsidP="00ED0DCC">
            <w:pPr>
              <w:pStyle w:val="02Tabletext"/>
              <w:jc w:val="center"/>
              <w:rPr>
                <w:szCs w:val="22"/>
                <w:lang w:val="en-AU"/>
              </w:rPr>
            </w:pPr>
            <w:r w:rsidRPr="007373DB">
              <w:rPr>
                <w:szCs w:val="22"/>
                <w:lang w:val="en-AU"/>
              </w:rPr>
              <w:t>-100.0%</w:t>
            </w:r>
          </w:p>
        </w:tc>
      </w:tr>
      <w:tr w:rsidR="00ED0DCC" w:rsidRPr="002836EB" w14:paraId="145B7D33" w14:textId="77777777" w:rsidTr="007206DE">
        <w:trPr>
          <w:trHeight w:val="234"/>
        </w:trPr>
        <w:tc>
          <w:tcPr>
            <w:tcW w:w="1575" w:type="dxa"/>
            <w:vAlign w:val="bottom"/>
          </w:tcPr>
          <w:p w14:paraId="257FF9E7" w14:textId="14DEC341" w:rsidR="00ED0DCC" w:rsidRPr="007373DB" w:rsidRDefault="00ED0DCC" w:rsidP="00ED0DCC">
            <w:pPr>
              <w:pStyle w:val="02Tabletext"/>
              <w:rPr>
                <w:szCs w:val="22"/>
                <w:lang w:val="en-AU"/>
              </w:rPr>
            </w:pPr>
            <w:r w:rsidRPr="007373DB">
              <w:rPr>
                <w:szCs w:val="22"/>
                <w:lang w:val="en-AU"/>
              </w:rPr>
              <w:t>15332</w:t>
            </w:r>
          </w:p>
        </w:tc>
        <w:tc>
          <w:tcPr>
            <w:tcW w:w="2213" w:type="dxa"/>
            <w:vAlign w:val="bottom"/>
          </w:tcPr>
          <w:p w14:paraId="39A2E783" w14:textId="40F55128" w:rsidR="00ED0DCC" w:rsidRPr="007373DB" w:rsidRDefault="00ED0DCC" w:rsidP="00ED0DCC">
            <w:pPr>
              <w:pStyle w:val="02Tabletext"/>
              <w:jc w:val="center"/>
              <w:rPr>
                <w:szCs w:val="22"/>
                <w:lang w:val="en-AU"/>
              </w:rPr>
            </w:pPr>
            <w:r w:rsidRPr="007373DB">
              <w:rPr>
                <w:szCs w:val="22"/>
                <w:lang w:val="en-AU"/>
              </w:rPr>
              <w:t>$198,310</w:t>
            </w:r>
          </w:p>
        </w:tc>
        <w:tc>
          <w:tcPr>
            <w:tcW w:w="2394" w:type="dxa"/>
            <w:vAlign w:val="bottom"/>
          </w:tcPr>
          <w:p w14:paraId="39986934" w14:textId="1E373C62" w:rsidR="00ED0DCC" w:rsidRPr="007373DB" w:rsidRDefault="00ED0DCC" w:rsidP="00ED0DCC">
            <w:pPr>
              <w:pStyle w:val="02Tabletext"/>
              <w:jc w:val="center"/>
              <w:rPr>
                <w:szCs w:val="22"/>
                <w:lang w:val="en-AU"/>
              </w:rPr>
            </w:pPr>
            <w:r w:rsidRPr="007373DB">
              <w:rPr>
                <w:szCs w:val="22"/>
                <w:lang w:val="en-AU"/>
              </w:rPr>
              <w:t>328</w:t>
            </w:r>
          </w:p>
        </w:tc>
        <w:tc>
          <w:tcPr>
            <w:tcW w:w="2639" w:type="dxa"/>
            <w:vAlign w:val="bottom"/>
          </w:tcPr>
          <w:p w14:paraId="2708B6D9" w14:textId="48142EB4" w:rsidR="00ED0DCC" w:rsidRPr="007373DB" w:rsidRDefault="00ED0DCC" w:rsidP="00ED0DCC">
            <w:pPr>
              <w:pStyle w:val="02Tabletext"/>
              <w:jc w:val="center"/>
              <w:rPr>
                <w:szCs w:val="22"/>
                <w:lang w:val="en-AU"/>
              </w:rPr>
            </w:pPr>
            <w:r w:rsidRPr="007373DB">
              <w:rPr>
                <w:szCs w:val="22"/>
                <w:lang w:val="en-AU"/>
              </w:rPr>
              <w:t>-14.8%</w:t>
            </w:r>
          </w:p>
        </w:tc>
      </w:tr>
      <w:tr w:rsidR="00ED0DCC" w:rsidRPr="002836EB" w14:paraId="717E3310" w14:textId="77777777" w:rsidTr="007206DE">
        <w:trPr>
          <w:trHeight w:val="234"/>
        </w:trPr>
        <w:tc>
          <w:tcPr>
            <w:tcW w:w="1575" w:type="dxa"/>
            <w:vAlign w:val="bottom"/>
          </w:tcPr>
          <w:p w14:paraId="1436EBFE" w14:textId="1179D903" w:rsidR="00ED0DCC" w:rsidRPr="007373DB" w:rsidRDefault="00ED0DCC" w:rsidP="00ED0DCC">
            <w:pPr>
              <w:pStyle w:val="02Tabletext"/>
              <w:rPr>
                <w:szCs w:val="22"/>
                <w:lang w:val="en-AU"/>
              </w:rPr>
            </w:pPr>
            <w:r w:rsidRPr="007373DB">
              <w:rPr>
                <w:szCs w:val="22"/>
                <w:lang w:val="en-AU"/>
              </w:rPr>
              <w:t>15335</w:t>
            </w:r>
          </w:p>
        </w:tc>
        <w:tc>
          <w:tcPr>
            <w:tcW w:w="2213" w:type="dxa"/>
            <w:vAlign w:val="bottom"/>
          </w:tcPr>
          <w:p w14:paraId="1A08206E" w14:textId="0A8706A9" w:rsidR="00ED0DCC" w:rsidRPr="007373DB" w:rsidRDefault="00ED0DCC" w:rsidP="00ED0DCC">
            <w:pPr>
              <w:pStyle w:val="02Tabletext"/>
              <w:jc w:val="center"/>
              <w:rPr>
                <w:szCs w:val="22"/>
                <w:lang w:val="en-AU"/>
              </w:rPr>
            </w:pPr>
            <w:r w:rsidRPr="007373DB">
              <w:rPr>
                <w:szCs w:val="22"/>
                <w:lang w:val="en-AU"/>
              </w:rPr>
              <w:t>$126,720</w:t>
            </w:r>
          </w:p>
        </w:tc>
        <w:tc>
          <w:tcPr>
            <w:tcW w:w="2394" w:type="dxa"/>
            <w:vAlign w:val="bottom"/>
          </w:tcPr>
          <w:p w14:paraId="44D0D56E" w14:textId="79172834" w:rsidR="00ED0DCC" w:rsidRPr="007373DB" w:rsidRDefault="00ED0DCC" w:rsidP="00ED0DCC">
            <w:pPr>
              <w:pStyle w:val="02Tabletext"/>
              <w:jc w:val="center"/>
              <w:rPr>
                <w:szCs w:val="22"/>
                <w:lang w:val="en-AU"/>
              </w:rPr>
            </w:pPr>
            <w:r w:rsidRPr="007373DB">
              <w:rPr>
                <w:szCs w:val="22"/>
                <w:lang w:val="en-AU"/>
              </w:rPr>
              <w:t>212</w:t>
            </w:r>
          </w:p>
        </w:tc>
        <w:tc>
          <w:tcPr>
            <w:tcW w:w="2639" w:type="dxa"/>
            <w:vAlign w:val="bottom"/>
          </w:tcPr>
          <w:p w14:paraId="1A98C304" w14:textId="086E568B" w:rsidR="00ED0DCC" w:rsidRPr="007373DB" w:rsidRDefault="00ED0DCC" w:rsidP="00ED0DCC">
            <w:pPr>
              <w:pStyle w:val="02Tabletext"/>
              <w:jc w:val="center"/>
              <w:rPr>
                <w:szCs w:val="22"/>
                <w:lang w:val="en-AU"/>
              </w:rPr>
            </w:pPr>
            <w:r w:rsidRPr="007373DB">
              <w:rPr>
                <w:szCs w:val="22"/>
                <w:lang w:val="en-AU"/>
              </w:rPr>
              <w:t>-0.1%</w:t>
            </w:r>
          </w:p>
        </w:tc>
      </w:tr>
      <w:tr w:rsidR="00ED0DCC" w:rsidRPr="002836EB" w14:paraId="1336CB37" w14:textId="77777777" w:rsidTr="007206DE">
        <w:trPr>
          <w:trHeight w:val="234"/>
        </w:trPr>
        <w:tc>
          <w:tcPr>
            <w:tcW w:w="1575" w:type="dxa"/>
            <w:vAlign w:val="bottom"/>
          </w:tcPr>
          <w:p w14:paraId="4BD55F4A" w14:textId="381EB22E" w:rsidR="00ED0DCC" w:rsidRPr="007373DB" w:rsidRDefault="00ED0DCC" w:rsidP="00ED0DCC">
            <w:pPr>
              <w:pStyle w:val="02Tabletext"/>
              <w:rPr>
                <w:szCs w:val="22"/>
                <w:lang w:val="en-AU"/>
              </w:rPr>
            </w:pPr>
            <w:r w:rsidRPr="007373DB">
              <w:rPr>
                <w:szCs w:val="22"/>
                <w:lang w:val="en-AU"/>
              </w:rPr>
              <w:t>15336</w:t>
            </w:r>
          </w:p>
        </w:tc>
        <w:tc>
          <w:tcPr>
            <w:tcW w:w="2213" w:type="dxa"/>
            <w:vAlign w:val="bottom"/>
          </w:tcPr>
          <w:p w14:paraId="53B56F9A" w14:textId="0CA66734" w:rsidR="00ED0DCC" w:rsidRPr="007373DB" w:rsidRDefault="00ED0DCC" w:rsidP="00ED0DCC">
            <w:pPr>
              <w:pStyle w:val="02Tabletext"/>
              <w:jc w:val="center"/>
              <w:rPr>
                <w:szCs w:val="22"/>
                <w:lang w:val="en-AU"/>
              </w:rPr>
            </w:pPr>
            <w:r w:rsidRPr="007373DB">
              <w:rPr>
                <w:szCs w:val="22"/>
                <w:lang w:val="en-AU"/>
              </w:rPr>
              <w:t>$18,443</w:t>
            </w:r>
          </w:p>
        </w:tc>
        <w:tc>
          <w:tcPr>
            <w:tcW w:w="2394" w:type="dxa"/>
            <w:vAlign w:val="bottom"/>
          </w:tcPr>
          <w:p w14:paraId="728738FD" w14:textId="66D1FD38" w:rsidR="00ED0DCC" w:rsidRPr="007373DB" w:rsidRDefault="00ED0DCC" w:rsidP="00ED0DCC">
            <w:pPr>
              <w:pStyle w:val="02Tabletext"/>
              <w:jc w:val="center"/>
              <w:rPr>
                <w:szCs w:val="22"/>
                <w:lang w:val="en-AU"/>
              </w:rPr>
            </w:pPr>
            <w:r w:rsidRPr="007373DB">
              <w:rPr>
                <w:szCs w:val="22"/>
                <w:lang w:val="en-AU"/>
              </w:rPr>
              <w:t>31</w:t>
            </w:r>
          </w:p>
        </w:tc>
        <w:tc>
          <w:tcPr>
            <w:tcW w:w="2639" w:type="dxa"/>
            <w:vAlign w:val="bottom"/>
          </w:tcPr>
          <w:p w14:paraId="48A23E24" w14:textId="20EC4A8D" w:rsidR="00ED0DCC" w:rsidRPr="007373DB" w:rsidRDefault="00ED0DCC" w:rsidP="00ED0DCC">
            <w:pPr>
              <w:pStyle w:val="02Tabletext"/>
              <w:jc w:val="center"/>
              <w:rPr>
                <w:szCs w:val="22"/>
                <w:lang w:val="en-AU"/>
              </w:rPr>
            </w:pPr>
            <w:r w:rsidRPr="007373DB">
              <w:rPr>
                <w:szCs w:val="22"/>
                <w:lang w:val="en-AU"/>
              </w:rPr>
              <w:t>-29.5%</w:t>
            </w:r>
          </w:p>
        </w:tc>
      </w:tr>
      <w:tr w:rsidR="00ED0DCC" w:rsidRPr="002836EB" w14:paraId="4FCBCE1B" w14:textId="77777777" w:rsidTr="007206DE">
        <w:trPr>
          <w:trHeight w:val="234"/>
        </w:trPr>
        <w:tc>
          <w:tcPr>
            <w:tcW w:w="1575" w:type="dxa"/>
            <w:vAlign w:val="bottom"/>
          </w:tcPr>
          <w:p w14:paraId="524026DB" w14:textId="58AED38C" w:rsidR="00ED0DCC" w:rsidRPr="007373DB" w:rsidRDefault="00ED0DCC" w:rsidP="00ED0DCC">
            <w:pPr>
              <w:pStyle w:val="02Tabletext"/>
              <w:rPr>
                <w:szCs w:val="22"/>
                <w:lang w:val="en-AU"/>
              </w:rPr>
            </w:pPr>
            <w:r w:rsidRPr="007373DB">
              <w:rPr>
                <w:szCs w:val="22"/>
                <w:lang w:val="en-AU"/>
              </w:rPr>
              <w:t>15338</w:t>
            </w:r>
          </w:p>
        </w:tc>
        <w:tc>
          <w:tcPr>
            <w:tcW w:w="2213" w:type="dxa"/>
            <w:vAlign w:val="bottom"/>
          </w:tcPr>
          <w:p w14:paraId="021F90E4" w14:textId="45F697B9" w:rsidR="00ED0DCC" w:rsidRPr="007373DB" w:rsidRDefault="00ED0DCC" w:rsidP="00ED0DCC">
            <w:pPr>
              <w:pStyle w:val="02Tabletext"/>
              <w:jc w:val="center"/>
              <w:rPr>
                <w:szCs w:val="22"/>
                <w:lang w:val="en-AU"/>
              </w:rPr>
            </w:pPr>
            <w:r w:rsidRPr="007373DB">
              <w:rPr>
                <w:szCs w:val="22"/>
                <w:lang w:val="en-AU"/>
              </w:rPr>
              <w:t>$272,420</w:t>
            </w:r>
          </w:p>
        </w:tc>
        <w:tc>
          <w:tcPr>
            <w:tcW w:w="2394" w:type="dxa"/>
            <w:vAlign w:val="bottom"/>
          </w:tcPr>
          <w:p w14:paraId="10063739" w14:textId="20276355" w:rsidR="00ED0DCC" w:rsidRPr="007373DB" w:rsidRDefault="00ED0DCC" w:rsidP="00ED0DCC">
            <w:pPr>
              <w:pStyle w:val="02Tabletext"/>
              <w:jc w:val="center"/>
              <w:rPr>
                <w:szCs w:val="22"/>
                <w:lang w:val="en-AU"/>
              </w:rPr>
            </w:pPr>
            <w:r w:rsidRPr="007373DB">
              <w:rPr>
                <w:szCs w:val="22"/>
                <w:lang w:val="en-AU"/>
              </w:rPr>
              <w:t>380</w:t>
            </w:r>
          </w:p>
        </w:tc>
        <w:tc>
          <w:tcPr>
            <w:tcW w:w="2639" w:type="dxa"/>
            <w:vAlign w:val="bottom"/>
          </w:tcPr>
          <w:p w14:paraId="5981489E" w14:textId="221A8687" w:rsidR="00ED0DCC" w:rsidRPr="007373DB" w:rsidRDefault="00ED0DCC" w:rsidP="00ED0DCC">
            <w:pPr>
              <w:pStyle w:val="02Tabletext"/>
              <w:jc w:val="center"/>
              <w:rPr>
                <w:szCs w:val="22"/>
                <w:lang w:val="en-AU"/>
              </w:rPr>
            </w:pPr>
            <w:r w:rsidRPr="007373DB">
              <w:rPr>
                <w:szCs w:val="22"/>
                <w:lang w:val="en-AU"/>
              </w:rPr>
              <w:t>-10.9%</w:t>
            </w:r>
          </w:p>
        </w:tc>
      </w:tr>
      <w:tr w:rsidR="00ED0DCC" w:rsidRPr="002836EB" w14:paraId="7E172A3C" w14:textId="77777777" w:rsidTr="007206DE">
        <w:trPr>
          <w:trHeight w:val="234"/>
        </w:trPr>
        <w:tc>
          <w:tcPr>
            <w:tcW w:w="1575" w:type="dxa"/>
            <w:vAlign w:val="bottom"/>
          </w:tcPr>
          <w:p w14:paraId="43019B39" w14:textId="59BC3702" w:rsidR="00ED0DCC" w:rsidRPr="007373DB" w:rsidRDefault="00ED0DCC" w:rsidP="00ED0DCC">
            <w:pPr>
              <w:pStyle w:val="02Tabletext"/>
              <w:rPr>
                <w:szCs w:val="22"/>
                <w:lang w:val="en-AU"/>
              </w:rPr>
            </w:pPr>
            <w:r w:rsidRPr="007373DB">
              <w:rPr>
                <w:szCs w:val="22"/>
                <w:lang w:val="en-AU"/>
              </w:rPr>
              <w:t>15339</w:t>
            </w:r>
          </w:p>
        </w:tc>
        <w:tc>
          <w:tcPr>
            <w:tcW w:w="2213" w:type="dxa"/>
            <w:vAlign w:val="bottom"/>
          </w:tcPr>
          <w:p w14:paraId="2FACA0AA" w14:textId="24972145" w:rsidR="00ED0DCC" w:rsidRPr="007373DB" w:rsidRDefault="00ED0DCC" w:rsidP="00ED0DCC">
            <w:pPr>
              <w:pStyle w:val="02Tabletext"/>
              <w:jc w:val="center"/>
              <w:rPr>
                <w:szCs w:val="22"/>
                <w:lang w:val="en-AU"/>
              </w:rPr>
            </w:pPr>
            <w:r w:rsidRPr="007373DB">
              <w:rPr>
                <w:szCs w:val="22"/>
                <w:lang w:val="en-AU"/>
              </w:rPr>
              <w:t>$4,504</w:t>
            </w:r>
          </w:p>
        </w:tc>
        <w:tc>
          <w:tcPr>
            <w:tcW w:w="2394" w:type="dxa"/>
            <w:vAlign w:val="bottom"/>
          </w:tcPr>
          <w:p w14:paraId="0C9C7420" w14:textId="54E409DD" w:rsidR="00ED0DCC" w:rsidRPr="007373DB" w:rsidRDefault="00ED0DCC" w:rsidP="00ED0DCC">
            <w:pPr>
              <w:pStyle w:val="02Tabletext"/>
              <w:jc w:val="center"/>
              <w:rPr>
                <w:szCs w:val="22"/>
                <w:lang w:val="en-AU"/>
              </w:rPr>
            </w:pPr>
            <w:r w:rsidRPr="007373DB">
              <w:rPr>
                <w:szCs w:val="22"/>
                <w:lang w:val="en-AU"/>
              </w:rPr>
              <w:t>74</w:t>
            </w:r>
          </w:p>
        </w:tc>
        <w:tc>
          <w:tcPr>
            <w:tcW w:w="2639" w:type="dxa"/>
            <w:vAlign w:val="bottom"/>
          </w:tcPr>
          <w:p w14:paraId="691FA559" w14:textId="4B5B4D29" w:rsidR="00ED0DCC" w:rsidRPr="007373DB" w:rsidRDefault="00ED0DCC" w:rsidP="00ED0DCC">
            <w:pPr>
              <w:pStyle w:val="02Tabletext"/>
              <w:jc w:val="center"/>
              <w:rPr>
                <w:szCs w:val="22"/>
                <w:lang w:val="en-AU"/>
              </w:rPr>
            </w:pPr>
            <w:r w:rsidRPr="007373DB">
              <w:rPr>
                <w:szCs w:val="22"/>
                <w:lang w:val="en-AU"/>
              </w:rPr>
              <w:t>-2.7%</w:t>
            </w:r>
          </w:p>
        </w:tc>
      </w:tr>
      <w:tr w:rsidR="00ED0DCC" w:rsidRPr="002836EB" w14:paraId="38131B0A" w14:textId="77777777" w:rsidTr="007206DE">
        <w:trPr>
          <w:trHeight w:val="234"/>
        </w:trPr>
        <w:tc>
          <w:tcPr>
            <w:tcW w:w="1575" w:type="dxa"/>
            <w:vAlign w:val="bottom"/>
          </w:tcPr>
          <w:p w14:paraId="52F2F99B" w14:textId="50012446" w:rsidR="00ED0DCC" w:rsidRPr="007373DB" w:rsidRDefault="00ED0DCC" w:rsidP="00ED0DCC">
            <w:pPr>
              <w:pStyle w:val="02Tabletext"/>
              <w:rPr>
                <w:szCs w:val="22"/>
                <w:lang w:val="en-AU"/>
              </w:rPr>
            </w:pPr>
            <w:r w:rsidRPr="007373DB">
              <w:rPr>
                <w:szCs w:val="22"/>
                <w:lang w:val="en-AU"/>
              </w:rPr>
              <w:t>15342</w:t>
            </w:r>
          </w:p>
        </w:tc>
        <w:tc>
          <w:tcPr>
            <w:tcW w:w="2213" w:type="dxa"/>
            <w:vAlign w:val="bottom"/>
          </w:tcPr>
          <w:p w14:paraId="4E5EA16D" w14:textId="56D982DF" w:rsidR="00ED0DCC" w:rsidRPr="007373DB" w:rsidRDefault="00ED0DCC" w:rsidP="00ED0DCC">
            <w:pPr>
              <w:pStyle w:val="02Tabletext"/>
              <w:jc w:val="center"/>
              <w:rPr>
                <w:szCs w:val="22"/>
                <w:lang w:val="en-AU"/>
              </w:rPr>
            </w:pPr>
            <w:r w:rsidRPr="007373DB">
              <w:rPr>
                <w:szCs w:val="22"/>
                <w:lang w:val="en-AU"/>
              </w:rPr>
              <w:t>$0</w:t>
            </w:r>
          </w:p>
        </w:tc>
        <w:tc>
          <w:tcPr>
            <w:tcW w:w="2394" w:type="dxa"/>
            <w:vAlign w:val="bottom"/>
          </w:tcPr>
          <w:p w14:paraId="1F639E94" w14:textId="717E7EFF" w:rsidR="00ED0DCC" w:rsidRPr="007373DB" w:rsidRDefault="00ED0DCC" w:rsidP="00ED0DCC">
            <w:pPr>
              <w:pStyle w:val="02Tabletext"/>
              <w:jc w:val="center"/>
              <w:rPr>
                <w:szCs w:val="22"/>
                <w:lang w:val="en-AU"/>
              </w:rPr>
            </w:pPr>
            <w:r w:rsidRPr="007373DB">
              <w:rPr>
                <w:szCs w:val="22"/>
                <w:lang w:val="en-AU"/>
              </w:rPr>
              <w:t>0</w:t>
            </w:r>
          </w:p>
        </w:tc>
        <w:tc>
          <w:tcPr>
            <w:tcW w:w="2639" w:type="dxa"/>
            <w:vAlign w:val="bottom"/>
          </w:tcPr>
          <w:p w14:paraId="4BC74E49" w14:textId="1CDB029C" w:rsidR="00ED0DCC" w:rsidRPr="007373DB" w:rsidRDefault="00ED0DCC" w:rsidP="00ED0DCC">
            <w:pPr>
              <w:pStyle w:val="02Tabletext"/>
              <w:jc w:val="center"/>
              <w:rPr>
                <w:szCs w:val="22"/>
                <w:lang w:val="en-AU"/>
              </w:rPr>
            </w:pPr>
            <w:r w:rsidRPr="007373DB">
              <w:rPr>
                <w:szCs w:val="22"/>
                <w:lang w:val="en-AU"/>
              </w:rPr>
              <w:t>/0</w:t>
            </w:r>
          </w:p>
        </w:tc>
      </w:tr>
      <w:tr w:rsidR="00ED0DCC" w:rsidRPr="002836EB" w14:paraId="75114276" w14:textId="77777777" w:rsidTr="007206DE">
        <w:trPr>
          <w:trHeight w:val="234"/>
        </w:trPr>
        <w:tc>
          <w:tcPr>
            <w:tcW w:w="1575" w:type="dxa"/>
            <w:vAlign w:val="bottom"/>
          </w:tcPr>
          <w:p w14:paraId="1DAA0BD9" w14:textId="322FB0DD" w:rsidR="00ED0DCC" w:rsidRPr="007373DB" w:rsidRDefault="00ED0DCC" w:rsidP="00ED0DCC">
            <w:pPr>
              <w:pStyle w:val="02Tabletext"/>
              <w:rPr>
                <w:szCs w:val="22"/>
                <w:lang w:val="en-AU"/>
              </w:rPr>
            </w:pPr>
            <w:r w:rsidRPr="007373DB">
              <w:rPr>
                <w:szCs w:val="22"/>
                <w:lang w:val="en-AU"/>
              </w:rPr>
              <w:t>15345</w:t>
            </w:r>
          </w:p>
        </w:tc>
        <w:tc>
          <w:tcPr>
            <w:tcW w:w="2213" w:type="dxa"/>
            <w:vAlign w:val="bottom"/>
          </w:tcPr>
          <w:p w14:paraId="1F953536" w14:textId="6AA0DBD5" w:rsidR="00ED0DCC" w:rsidRPr="007373DB" w:rsidRDefault="00ED0DCC" w:rsidP="00ED0DCC">
            <w:pPr>
              <w:pStyle w:val="02Tabletext"/>
              <w:jc w:val="center"/>
              <w:rPr>
                <w:szCs w:val="22"/>
                <w:lang w:val="en-AU"/>
              </w:rPr>
            </w:pPr>
            <w:r w:rsidRPr="007373DB">
              <w:rPr>
                <w:szCs w:val="22"/>
                <w:lang w:val="en-AU"/>
              </w:rPr>
              <w:t>$34,145</w:t>
            </w:r>
          </w:p>
        </w:tc>
        <w:tc>
          <w:tcPr>
            <w:tcW w:w="2394" w:type="dxa"/>
            <w:vAlign w:val="bottom"/>
          </w:tcPr>
          <w:p w14:paraId="3A2726FE" w14:textId="381E7A82" w:rsidR="00ED0DCC" w:rsidRPr="007373DB" w:rsidRDefault="00ED0DCC" w:rsidP="00ED0DCC">
            <w:pPr>
              <w:pStyle w:val="02Tabletext"/>
              <w:jc w:val="center"/>
              <w:rPr>
                <w:szCs w:val="22"/>
                <w:lang w:val="en-AU"/>
              </w:rPr>
            </w:pPr>
            <w:r w:rsidRPr="007373DB">
              <w:rPr>
                <w:szCs w:val="22"/>
                <w:lang w:val="en-AU"/>
              </w:rPr>
              <w:t>59</w:t>
            </w:r>
          </w:p>
        </w:tc>
        <w:tc>
          <w:tcPr>
            <w:tcW w:w="2639" w:type="dxa"/>
            <w:vAlign w:val="bottom"/>
          </w:tcPr>
          <w:p w14:paraId="0B0FB7F7" w14:textId="044E97EF" w:rsidR="00ED0DCC" w:rsidRPr="007373DB" w:rsidRDefault="00ED0DCC" w:rsidP="00ED0DCC">
            <w:pPr>
              <w:pStyle w:val="02Tabletext"/>
              <w:jc w:val="center"/>
              <w:rPr>
                <w:szCs w:val="22"/>
                <w:lang w:val="en-AU"/>
              </w:rPr>
            </w:pPr>
            <w:r w:rsidRPr="007373DB">
              <w:rPr>
                <w:szCs w:val="22"/>
                <w:lang w:val="en-AU"/>
              </w:rPr>
              <w:t>-20.7%</w:t>
            </w:r>
          </w:p>
        </w:tc>
      </w:tr>
      <w:tr w:rsidR="00ED0DCC" w:rsidRPr="002836EB" w14:paraId="73C3A7F1" w14:textId="77777777" w:rsidTr="007206DE">
        <w:trPr>
          <w:trHeight w:val="234"/>
        </w:trPr>
        <w:tc>
          <w:tcPr>
            <w:tcW w:w="1575" w:type="dxa"/>
            <w:vAlign w:val="bottom"/>
          </w:tcPr>
          <w:p w14:paraId="5ABA50A4" w14:textId="340EC41C" w:rsidR="00ED0DCC" w:rsidRPr="007373DB" w:rsidRDefault="00ED0DCC" w:rsidP="00ED0DCC">
            <w:pPr>
              <w:pStyle w:val="02Tabletext"/>
              <w:rPr>
                <w:szCs w:val="22"/>
                <w:lang w:val="en-AU"/>
              </w:rPr>
            </w:pPr>
            <w:r w:rsidRPr="007373DB">
              <w:rPr>
                <w:szCs w:val="22"/>
                <w:lang w:val="en-AU"/>
              </w:rPr>
              <w:t>15348</w:t>
            </w:r>
          </w:p>
        </w:tc>
        <w:tc>
          <w:tcPr>
            <w:tcW w:w="2213" w:type="dxa"/>
            <w:vAlign w:val="bottom"/>
          </w:tcPr>
          <w:p w14:paraId="38B489B5" w14:textId="35862DE1" w:rsidR="00ED0DCC" w:rsidRPr="007373DB" w:rsidRDefault="00ED0DCC" w:rsidP="00ED0DCC">
            <w:pPr>
              <w:pStyle w:val="02Tabletext"/>
              <w:jc w:val="center"/>
              <w:rPr>
                <w:szCs w:val="22"/>
                <w:lang w:val="en-AU"/>
              </w:rPr>
            </w:pPr>
            <w:r w:rsidRPr="007373DB">
              <w:rPr>
                <w:szCs w:val="22"/>
                <w:lang w:val="en-AU"/>
              </w:rPr>
              <w:t>$7,146</w:t>
            </w:r>
          </w:p>
        </w:tc>
        <w:tc>
          <w:tcPr>
            <w:tcW w:w="2394" w:type="dxa"/>
            <w:vAlign w:val="bottom"/>
          </w:tcPr>
          <w:p w14:paraId="0113AE56" w14:textId="779AE40E" w:rsidR="00ED0DCC" w:rsidRPr="007373DB" w:rsidRDefault="00ED0DCC" w:rsidP="00ED0DCC">
            <w:pPr>
              <w:pStyle w:val="02Tabletext"/>
              <w:jc w:val="center"/>
              <w:rPr>
                <w:szCs w:val="22"/>
                <w:lang w:val="en-AU"/>
              </w:rPr>
            </w:pPr>
            <w:r w:rsidRPr="007373DB">
              <w:rPr>
                <w:szCs w:val="22"/>
                <w:lang w:val="en-AU"/>
              </w:rPr>
              <w:t>83</w:t>
            </w:r>
          </w:p>
        </w:tc>
        <w:tc>
          <w:tcPr>
            <w:tcW w:w="2639" w:type="dxa"/>
            <w:vAlign w:val="bottom"/>
          </w:tcPr>
          <w:p w14:paraId="6B13DAF4" w14:textId="0C2BECB1" w:rsidR="00ED0DCC" w:rsidRPr="007373DB" w:rsidRDefault="00ED0DCC" w:rsidP="00ED0DCC">
            <w:pPr>
              <w:pStyle w:val="02Tabletext"/>
              <w:jc w:val="center"/>
              <w:rPr>
                <w:szCs w:val="22"/>
                <w:lang w:val="en-AU"/>
              </w:rPr>
            </w:pPr>
            <w:r w:rsidRPr="007373DB">
              <w:rPr>
                <w:szCs w:val="22"/>
                <w:lang w:val="en-AU"/>
              </w:rPr>
              <w:t>21.8%</w:t>
            </w:r>
          </w:p>
        </w:tc>
      </w:tr>
      <w:tr w:rsidR="00ED0DCC" w:rsidRPr="002836EB" w14:paraId="51A1A3CD" w14:textId="77777777" w:rsidTr="007206DE">
        <w:trPr>
          <w:trHeight w:val="234"/>
        </w:trPr>
        <w:tc>
          <w:tcPr>
            <w:tcW w:w="1575" w:type="dxa"/>
            <w:vAlign w:val="bottom"/>
          </w:tcPr>
          <w:p w14:paraId="3A03BAA1" w14:textId="4115E09D" w:rsidR="00ED0DCC" w:rsidRPr="007373DB" w:rsidRDefault="00ED0DCC" w:rsidP="00ED0DCC">
            <w:pPr>
              <w:pStyle w:val="02Tabletext"/>
              <w:rPr>
                <w:szCs w:val="22"/>
                <w:lang w:val="en-AU"/>
              </w:rPr>
            </w:pPr>
            <w:r w:rsidRPr="007373DB">
              <w:rPr>
                <w:szCs w:val="22"/>
                <w:lang w:val="en-AU"/>
              </w:rPr>
              <w:t>15351</w:t>
            </w:r>
          </w:p>
        </w:tc>
        <w:tc>
          <w:tcPr>
            <w:tcW w:w="2213" w:type="dxa"/>
            <w:vAlign w:val="bottom"/>
          </w:tcPr>
          <w:p w14:paraId="3C1B9625" w14:textId="7F56CB83" w:rsidR="00ED0DCC" w:rsidRPr="007373DB" w:rsidRDefault="00ED0DCC" w:rsidP="00ED0DCC">
            <w:pPr>
              <w:pStyle w:val="02Tabletext"/>
              <w:jc w:val="center"/>
              <w:rPr>
                <w:szCs w:val="22"/>
                <w:lang w:val="en-AU"/>
              </w:rPr>
            </w:pPr>
            <w:r w:rsidRPr="007373DB">
              <w:rPr>
                <w:szCs w:val="22"/>
                <w:lang w:val="en-AU"/>
              </w:rPr>
              <w:t>$14,281</w:t>
            </w:r>
          </w:p>
        </w:tc>
        <w:tc>
          <w:tcPr>
            <w:tcW w:w="2394" w:type="dxa"/>
            <w:vAlign w:val="bottom"/>
          </w:tcPr>
          <w:p w14:paraId="095BD340" w14:textId="3FCA50AF" w:rsidR="00ED0DCC" w:rsidRPr="007373DB" w:rsidRDefault="00ED0DCC" w:rsidP="00ED0DCC">
            <w:pPr>
              <w:pStyle w:val="02Tabletext"/>
              <w:jc w:val="center"/>
              <w:rPr>
                <w:szCs w:val="22"/>
                <w:lang w:val="en-AU"/>
              </w:rPr>
            </w:pPr>
            <w:r w:rsidRPr="007373DB">
              <w:rPr>
                <w:szCs w:val="22"/>
                <w:lang w:val="en-AU"/>
              </w:rPr>
              <w:t>134</w:t>
            </w:r>
          </w:p>
        </w:tc>
        <w:tc>
          <w:tcPr>
            <w:tcW w:w="2639" w:type="dxa"/>
            <w:vAlign w:val="bottom"/>
          </w:tcPr>
          <w:p w14:paraId="22C3EE82" w14:textId="4F861939" w:rsidR="00ED0DCC" w:rsidRPr="007373DB" w:rsidRDefault="00ED0DCC" w:rsidP="00ED0DCC">
            <w:pPr>
              <w:pStyle w:val="02Tabletext"/>
              <w:jc w:val="center"/>
              <w:rPr>
                <w:szCs w:val="22"/>
                <w:lang w:val="en-AU"/>
              </w:rPr>
            </w:pPr>
            <w:r w:rsidRPr="007373DB">
              <w:rPr>
                <w:szCs w:val="22"/>
                <w:lang w:val="en-AU"/>
              </w:rPr>
              <w:t>49.4%</w:t>
            </w:r>
          </w:p>
        </w:tc>
      </w:tr>
      <w:tr w:rsidR="00ED0DCC" w:rsidRPr="002836EB" w14:paraId="49EDEEC7" w14:textId="77777777" w:rsidTr="007206DE">
        <w:trPr>
          <w:trHeight w:val="234"/>
        </w:trPr>
        <w:tc>
          <w:tcPr>
            <w:tcW w:w="1575" w:type="dxa"/>
            <w:vAlign w:val="bottom"/>
          </w:tcPr>
          <w:p w14:paraId="04450ADE" w14:textId="47EE267A" w:rsidR="00ED0DCC" w:rsidRPr="007373DB" w:rsidRDefault="00ED0DCC" w:rsidP="00ED0DCC">
            <w:pPr>
              <w:pStyle w:val="02Tabletext"/>
              <w:rPr>
                <w:szCs w:val="22"/>
                <w:lang w:val="en-AU"/>
              </w:rPr>
            </w:pPr>
            <w:r w:rsidRPr="007373DB">
              <w:rPr>
                <w:szCs w:val="22"/>
                <w:lang w:val="en-AU"/>
              </w:rPr>
              <w:t>15354</w:t>
            </w:r>
          </w:p>
        </w:tc>
        <w:tc>
          <w:tcPr>
            <w:tcW w:w="2213" w:type="dxa"/>
            <w:vAlign w:val="bottom"/>
          </w:tcPr>
          <w:p w14:paraId="67BE8897" w14:textId="1646FC86" w:rsidR="00ED0DCC" w:rsidRPr="007373DB" w:rsidRDefault="00ED0DCC" w:rsidP="00ED0DCC">
            <w:pPr>
              <w:pStyle w:val="02Tabletext"/>
              <w:jc w:val="center"/>
              <w:rPr>
                <w:szCs w:val="22"/>
                <w:lang w:val="en-AU"/>
              </w:rPr>
            </w:pPr>
            <w:r w:rsidRPr="007373DB">
              <w:rPr>
                <w:szCs w:val="22"/>
                <w:lang w:val="en-AU"/>
              </w:rPr>
              <w:t>$2,353</w:t>
            </w:r>
          </w:p>
        </w:tc>
        <w:tc>
          <w:tcPr>
            <w:tcW w:w="2394" w:type="dxa"/>
            <w:vAlign w:val="bottom"/>
          </w:tcPr>
          <w:p w14:paraId="138AED90" w14:textId="3C52713A" w:rsidR="00ED0DCC" w:rsidRPr="007373DB" w:rsidRDefault="00ED0DCC" w:rsidP="00ED0DCC">
            <w:pPr>
              <w:pStyle w:val="02Tabletext"/>
              <w:jc w:val="center"/>
              <w:rPr>
                <w:szCs w:val="22"/>
                <w:lang w:val="en-AU"/>
              </w:rPr>
            </w:pPr>
            <w:r w:rsidRPr="007373DB">
              <w:rPr>
                <w:szCs w:val="22"/>
                <w:lang w:val="en-AU"/>
              </w:rPr>
              <w:t>19</w:t>
            </w:r>
          </w:p>
        </w:tc>
        <w:tc>
          <w:tcPr>
            <w:tcW w:w="2639" w:type="dxa"/>
            <w:vAlign w:val="bottom"/>
          </w:tcPr>
          <w:p w14:paraId="53C86595" w14:textId="41CEA206" w:rsidR="00ED0DCC" w:rsidRPr="007373DB" w:rsidRDefault="00ED0DCC" w:rsidP="00ED0DCC">
            <w:pPr>
              <w:pStyle w:val="02Tabletext"/>
              <w:jc w:val="center"/>
              <w:rPr>
                <w:szCs w:val="22"/>
                <w:lang w:val="en-AU"/>
              </w:rPr>
            </w:pPr>
            <w:r w:rsidRPr="007373DB">
              <w:rPr>
                <w:szCs w:val="22"/>
                <w:lang w:val="en-AU"/>
              </w:rPr>
              <w:t>44.7%</w:t>
            </w:r>
          </w:p>
        </w:tc>
      </w:tr>
      <w:tr w:rsidR="00ED0DCC" w:rsidRPr="002836EB" w14:paraId="39DF8D7F" w14:textId="77777777" w:rsidTr="007206DE">
        <w:trPr>
          <w:trHeight w:val="234"/>
        </w:trPr>
        <w:tc>
          <w:tcPr>
            <w:tcW w:w="1575" w:type="dxa"/>
            <w:vAlign w:val="bottom"/>
          </w:tcPr>
          <w:p w14:paraId="1878FC15" w14:textId="50441E20" w:rsidR="00ED0DCC" w:rsidRPr="007373DB" w:rsidRDefault="00ED0DCC" w:rsidP="00ED0DCC">
            <w:pPr>
              <w:pStyle w:val="02Tabletext"/>
              <w:rPr>
                <w:szCs w:val="22"/>
                <w:lang w:val="en-AU"/>
              </w:rPr>
            </w:pPr>
            <w:r w:rsidRPr="007373DB">
              <w:rPr>
                <w:szCs w:val="22"/>
                <w:lang w:val="en-AU"/>
              </w:rPr>
              <w:t>15357</w:t>
            </w:r>
          </w:p>
        </w:tc>
        <w:tc>
          <w:tcPr>
            <w:tcW w:w="2213" w:type="dxa"/>
            <w:vAlign w:val="bottom"/>
          </w:tcPr>
          <w:p w14:paraId="746B82D9" w14:textId="60448086" w:rsidR="00ED0DCC" w:rsidRPr="007373DB" w:rsidRDefault="00ED0DCC" w:rsidP="00ED0DCC">
            <w:pPr>
              <w:pStyle w:val="02Tabletext"/>
              <w:jc w:val="center"/>
              <w:rPr>
                <w:szCs w:val="22"/>
                <w:lang w:val="en-AU"/>
              </w:rPr>
            </w:pPr>
            <w:r w:rsidRPr="007373DB">
              <w:rPr>
                <w:szCs w:val="22"/>
                <w:lang w:val="en-AU"/>
              </w:rPr>
              <w:t>$38,931</w:t>
            </w:r>
          </w:p>
        </w:tc>
        <w:tc>
          <w:tcPr>
            <w:tcW w:w="2394" w:type="dxa"/>
            <w:vAlign w:val="bottom"/>
          </w:tcPr>
          <w:p w14:paraId="5B87BB23" w14:textId="3F0378C9" w:rsidR="00ED0DCC" w:rsidRPr="007373DB" w:rsidRDefault="00ED0DCC" w:rsidP="00ED0DCC">
            <w:pPr>
              <w:pStyle w:val="02Tabletext"/>
              <w:jc w:val="center"/>
              <w:rPr>
                <w:szCs w:val="22"/>
                <w:lang w:val="en-AU"/>
              </w:rPr>
            </w:pPr>
            <w:r w:rsidRPr="007373DB">
              <w:rPr>
                <w:szCs w:val="22"/>
                <w:lang w:val="en-AU"/>
              </w:rPr>
              <w:t>756</w:t>
            </w:r>
          </w:p>
        </w:tc>
        <w:tc>
          <w:tcPr>
            <w:tcW w:w="2639" w:type="dxa"/>
            <w:vAlign w:val="bottom"/>
          </w:tcPr>
          <w:p w14:paraId="012314BF" w14:textId="033D8446" w:rsidR="00ED0DCC" w:rsidRPr="007373DB" w:rsidRDefault="00ED0DCC" w:rsidP="00ED0DCC">
            <w:pPr>
              <w:pStyle w:val="02Tabletext"/>
              <w:jc w:val="center"/>
              <w:rPr>
                <w:szCs w:val="22"/>
                <w:lang w:val="en-AU"/>
              </w:rPr>
            </w:pPr>
            <w:r w:rsidRPr="007373DB">
              <w:rPr>
                <w:szCs w:val="22"/>
                <w:lang w:val="en-AU"/>
              </w:rPr>
              <w:t>16.5%</w:t>
            </w:r>
          </w:p>
        </w:tc>
      </w:tr>
      <w:tr w:rsidR="00ED0DCC" w:rsidRPr="002836EB" w14:paraId="3D48EFCC" w14:textId="77777777" w:rsidTr="007206DE">
        <w:trPr>
          <w:trHeight w:val="234"/>
        </w:trPr>
        <w:tc>
          <w:tcPr>
            <w:tcW w:w="1575" w:type="dxa"/>
            <w:vAlign w:val="bottom"/>
          </w:tcPr>
          <w:p w14:paraId="2099B4D5" w14:textId="32243F2D" w:rsidR="00ED0DCC" w:rsidRPr="007373DB" w:rsidRDefault="00ED0DCC" w:rsidP="00ED0DCC">
            <w:pPr>
              <w:pStyle w:val="02Tabletext"/>
              <w:rPr>
                <w:szCs w:val="22"/>
                <w:lang w:val="en-AU"/>
              </w:rPr>
            </w:pPr>
            <w:r w:rsidRPr="005569CA">
              <w:rPr>
                <w:szCs w:val="22"/>
                <w:lang w:val="en-AU"/>
              </w:rPr>
              <w:t>15800</w:t>
            </w:r>
          </w:p>
        </w:tc>
        <w:tc>
          <w:tcPr>
            <w:tcW w:w="2213" w:type="dxa"/>
            <w:vAlign w:val="bottom"/>
          </w:tcPr>
          <w:p w14:paraId="43BB0208" w14:textId="33986190" w:rsidR="00ED0DCC" w:rsidRPr="007373DB" w:rsidRDefault="00ED0DCC" w:rsidP="00ED0DCC">
            <w:pPr>
              <w:pStyle w:val="02Tabletext"/>
              <w:jc w:val="center"/>
              <w:rPr>
                <w:szCs w:val="22"/>
                <w:lang w:val="en-AU"/>
              </w:rPr>
            </w:pPr>
            <w:r w:rsidRPr="005569CA">
              <w:rPr>
                <w:szCs w:val="22"/>
                <w:lang w:val="en-AU"/>
              </w:rPr>
              <w:t>$33,764</w:t>
            </w:r>
          </w:p>
        </w:tc>
        <w:tc>
          <w:tcPr>
            <w:tcW w:w="2394" w:type="dxa"/>
            <w:vAlign w:val="bottom"/>
          </w:tcPr>
          <w:p w14:paraId="7849BEA6" w14:textId="77E39E56" w:rsidR="00ED0DCC" w:rsidRPr="007373DB" w:rsidRDefault="00ED0DCC" w:rsidP="00ED0DCC">
            <w:pPr>
              <w:pStyle w:val="02Tabletext"/>
              <w:jc w:val="center"/>
              <w:rPr>
                <w:szCs w:val="22"/>
                <w:lang w:val="en-AU"/>
              </w:rPr>
            </w:pPr>
            <w:r w:rsidRPr="005569CA">
              <w:rPr>
                <w:szCs w:val="22"/>
                <w:lang w:val="en-AU"/>
              </w:rPr>
              <w:t>452</w:t>
            </w:r>
          </w:p>
        </w:tc>
        <w:tc>
          <w:tcPr>
            <w:tcW w:w="2639" w:type="dxa"/>
            <w:vAlign w:val="bottom"/>
          </w:tcPr>
          <w:p w14:paraId="4023ED07" w14:textId="723E3EF4" w:rsidR="00ED0DCC" w:rsidRPr="007373DB" w:rsidRDefault="00ED0DCC" w:rsidP="00ED0DCC">
            <w:pPr>
              <w:pStyle w:val="02Tabletext"/>
              <w:jc w:val="center"/>
              <w:rPr>
                <w:szCs w:val="22"/>
                <w:lang w:val="en-AU"/>
              </w:rPr>
            </w:pPr>
            <w:r w:rsidRPr="005569CA">
              <w:rPr>
                <w:szCs w:val="22"/>
                <w:lang w:val="en-AU"/>
              </w:rPr>
              <w:t>-8.1%</w:t>
            </w:r>
          </w:p>
        </w:tc>
      </w:tr>
      <w:tr w:rsidR="00ED0DCC" w:rsidRPr="002836EB" w14:paraId="58C8613E" w14:textId="77777777" w:rsidTr="007206DE">
        <w:trPr>
          <w:trHeight w:val="234"/>
        </w:trPr>
        <w:tc>
          <w:tcPr>
            <w:tcW w:w="1575" w:type="dxa"/>
            <w:vAlign w:val="bottom"/>
          </w:tcPr>
          <w:p w14:paraId="2E723C37" w14:textId="1A4779CB" w:rsidR="00ED0DCC" w:rsidRPr="005569CA" w:rsidRDefault="00ED0DCC" w:rsidP="00ED0DCC">
            <w:pPr>
              <w:pStyle w:val="02Tabletext"/>
              <w:rPr>
                <w:szCs w:val="22"/>
                <w:lang w:val="en-AU"/>
              </w:rPr>
            </w:pPr>
            <w:r w:rsidRPr="005569CA">
              <w:rPr>
                <w:szCs w:val="22"/>
                <w:lang w:val="en-AU"/>
              </w:rPr>
              <w:t>15850</w:t>
            </w:r>
          </w:p>
        </w:tc>
        <w:tc>
          <w:tcPr>
            <w:tcW w:w="2213" w:type="dxa"/>
            <w:vAlign w:val="bottom"/>
          </w:tcPr>
          <w:p w14:paraId="6F7CD907" w14:textId="4318144C" w:rsidR="00ED0DCC" w:rsidRPr="005569CA" w:rsidRDefault="00ED0DCC" w:rsidP="00ED0DCC">
            <w:pPr>
              <w:pStyle w:val="02Tabletext"/>
              <w:jc w:val="center"/>
              <w:rPr>
                <w:szCs w:val="22"/>
                <w:lang w:val="en-AU"/>
              </w:rPr>
            </w:pPr>
            <w:r w:rsidRPr="005569CA">
              <w:rPr>
                <w:szCs w:val="22"/>
                <w:lang w:val="en-AU"/>
              </w:rPr>
              <w:t>$81,585</w:t>
            </w:r>
          </w:p>
        </w:tc>
        <w:tc>
          <w:tcPr>
            <w:tcW w:w="2394" w:type="dxa"/>
            <w:vAlign w:val="bottom"/>
          </w:tcPr>
          <w:p w14:paraId="239ED396" w14:textId="0DCF8041" w:rsidR="00ED0DCC" w:rsidRPr="005569CA" w:rsidRDefault="00ED0DCC" w:rsidP="00ED0DCC">
            <w:pPr>
              <w:pStyle w:val="02Tabletext"/>
              <w:jc w:val="center"/>
              <w:rPr>
                <w:szCs w:val="22"/>
                <w:lang w:val="en-AU"/>
              </w:rPr>
            </w:pPr>
            <w:r w:rsidRPr="005569CA">
              <w:rPr>
                <w:szCs w:val="22"/>
                <w:lang w:val="en-AU"/>
              </w:rPr>
              <w:t>462</w:t>
            </w:r>
          </w:p>
        </w:tc>
        <w:tc>
          <w:tcPr>
            <w:tcW w:w="2639" w:type="dxa"/>
            <w:vAlign w:val="bottom"/>
          </w:tcPr>
          <w:p w14:paraId="1F27E6A7" w14:textId="6C77EC84" w:rsidR="00ED0DCC" w:rsidRPr="005569CA" w:rsidRDefault="00ED0DCC" w:rsidP="00ED0DCC">
            <w:pPr>
              <w:pStyle w:val="02Tabletext"/>
              <w:jc w:val="center"/>
              <w:rPr>
                <w:szCs w:val="22"/>
                <w:lang w:val="en-AU"/>
              </w:rPr>
            </w:pPr>
            <w:r w:rsidRPr="005569CA">
              <w:rPr>
                <w:szCs w:val="22"/>
                <w:lang w:val="en-AU"/>
              </w:rPr>
              <w:t>-5.0%</w:t>
            </w:r>
          </w:p>
        </w:tc>
      </w:tr>
    </w:tbl>
    <w:p w14:paraId="6B340F6B" w14:textId="77777777" w:rsidR="00ED3E0A" w:rsidRPr="00ED0DCC" w:rsidRDefault="00ED3E0A" w:rsidP="00ED3E0A">
      <w:pPr>
        <w:spacing w:before="0"/>
        <w:rPr>
          <w:rFonts w:eastAsiaTheme="minorHAnsi"/>
          <w:sz w:val="18"/>
          <w:szCs w:val="18"/>
          <w:lang w:eastAsia="en-US"/>
        </w:rPr>
      </w:pPr>
      <w:r w:rsidRPr="00ED0DCC">
        <w:rPr>
          <w:rFonts w:eastAsiaTheme="minorHAnsi"/>
          <w:sz w:val="18"/>
          <w:szCs w:val="18"/>
          <w:lang w:eastAsia="en-US"/>
        </w:rPr>
        <w:t>Note: The data is available from the Department of Human Services website.</w:t>
      </w:r>
    </w:p>
    <w:p w14:paraId="63B21CCC" w14:textId="77777777" w:rsidR="00ED0DCC" w:rsidRPr="00ED0DCC" w:rsidRDefault="00ED0DCC" w:rsidP="00ED0DCC">
      <w:pPr>
        <w:rPr>
          <w:rFonts w:eastAsiaTheme="minorHAnsi"/>
          <w:lang w:eastAsia="en-US"/>
        </w:rPr>
      </w:pPr>
      <w:r w:rsidRPr="00ED0DCC">
        <w:rPr>
          <w:rFonts w:eastAsiaTheme="minorHAnsi"/>
          <w:lang w:eastAsia="en-US"/>
        </w:rPr>
        <w:t>The total benefits paid for brachytherapy services decreased by 5.71% between 2013-14 and 2015-16.</w:t>
      </w:r>
    </w:p>
    <w:p w14:paraId="4307988C" w14:textId="77777777" w:rsidR="00ED0DCC" w:rsidRPr="00ED0DCC" w:rsidRDefault="00ED0DCC" w:rsidP="00ED0DCC">
      <w:pPr>
        <w:rPr>
          <w:rFonts w:eastAsiaTheme="minorHAnsi"/>
          <w:lang w:eastAsia="en-US"/>
        </w:rPr>
      </w:pPr>
      <w:r w:rsidRPr="00ED0DCC">
        <w:rPr>
          <w:rFonts w:eastAsiaTheme="minorHAnsi"/>
          <w:lang w:eastAsia="en-US"/>
        </w:rPr>
        <w:t>The total number of brachytherapy services increased by 2.14% between 2013-14 and 2015-16.</w:t>
      </w:r>
    </w:p>
    <w:p w14:paraId="596BEDF2" w14:textId="1E8EE30F" w:rsidR="00ED0DCC" w:rsidRPr="00ED0DCC" w:rsidRDefault="00ED0DCC" w:rsidP="00ED0DCC">
      <w:pPr>
        <w:pStyle w:val="Caption"/>
      </w:pPr>
      <w:bookmarkStart w:id="274" w:name="_Toc479082821"/>
      <w:r>
        <w:t xml:space="preserve">Table </w:t>
      </w:r>
      <w:r>
        <w:fldChar w:fldCharType="begin"/>
      </w:r>
      <w:r>
        <w:instrText xml:space="preserve"> SEQ Table \* ARABIC </w:instrText>
      </w:r>
      <w:r>
        <w:fldChar w:fldCharType="separate"/>
      </w:r>
      <w:r w:rsidR="003274EF">
        <w:rPr>
          <w:noProof/>
        </w:rPr>
        <w:t>14</w:t>
      </w:r>
      <w:r>
        <w:fldChar w:fldCharType="end"/>
      </w:r>
      <w:r>
        <w:t xml:space="preserve">: </w:t>
      </w:r>
      <w:r w:rsidR="00BE4AC5" w:rsidRPr="00BE4AC5">
        <w:t>Sentinel lymph node biopsy items statistics for the 2015 to 2016 financial year by date of processing</w:t>
      </w:r>
      <w:bookmarkEnd w:id="274"/>
    </w:p>
    <w:tbl>
      <w:tblPr>
        <w:tblStyle w:val="TableGrid"/>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shows the item introduction table for Cancer care case conference item numbers 871 and 872. There are 6 columns: Column 1. List of items, Column 2. Descriptor, column 3. Schedule fee, column 4. Services for financial year 2014-15, column 5. Total benefits for FY 2014-15, and column 6. Percentage of the services average 5-year annual growth."/>
      </w:tblPr>
      <w:tblGrid>
        <w:gridCol w:w="1575"/>
        <w:gridCol w:w="2213"/>
        <w:gridCol w:w="2394"/>
        <w:gridCol w:w="2639"/>
      </w:tblGrid>
      <w:tr w:rsidR="00ED0DCC" w:rsidRPr="002836EB" w14:paraId="02121B37" w14:textId="77777777" w:rsidTr="007206DE">
        <w:trPr>
          <w:trHeight w:val="497"/>
          <w:tblHeader/>
        </w:trPr>
        <w:tc>
          <w:tcPr>
            <w:tcW w:w="1575" w:type="dxa"/>
            <w:shd w:val="clear" w:color="auto" w:fill="F2F2F2" w:themeFill="background1" w:themeFillShade="F2"/>
            <w:vAlign w:val="bottom"/>
          </w:tcPr>
          <w:p w14:paraId="1C9432B6" w14:textId="77777777" w:rsidR="00ED0DCC" w:rsidRPr="00ED0DCC" w:rsidRDefault="00ED0DCC" w:rsidP="007206DE">
            <w:pPr>
              <w:pStyle w:val="02Tabletext"/>
              <w:rPr>
                <w:b/>
              </w:rPr>
            </w:pPr>
            <w:r w:rsidRPr="00ED0DCC">
              <w:rPr>
                <w:b/>
              </w:rPr>
              <w:t>Item</w:t>
            </w:r>
          </w:p>
        </w:tc>
        <w:tc>
          <w:tcPr>
            <w:tcW w:w="2213" w:type="dxa"/>
            <w:shd w:val="clear" w:color="auto" w:fill="F2F2F2" w:themeFill="background1" w:themeFillShade="F2"/>
            <w:vAlign w:val="bottom"/>
          </w:tcPr>
          <w:p w14:paraId="7C6A22C4" w14:textId="77777777" w:rsidR="00ED0DCC" w:rsidRPr="00ED0DCC" w:rsidRDefault="00ED0DCC" w:rsidP="007206DE">
            <w:pPr>
              <w:pStyle w:val="02Tabletext"/>
              <w:jc w:val="center"/>
              <w:rPr>
                <w:b/>
              </w:rPr>
            </w:pPr>
            <w:r>
              <w:rPr>
                <w:b/>
              </w:rPr>
              <w:t>Volume of services FY2015</w:t>
            </w:r>
            <w:r w:rsidRPr="00ED0DCC">
              <w:rPr>
                <w:b/>
              </w:rPr>
              <w:t>/1</w:t>
            </w:r>
            <w:r>
              <w:rPr>
                <w:b/>
              </w:rPr>
              <w:t>6</w:t>
            </w:r>
          </w:p>
        </w:tc>
        <w:tc>
          <w:tcPr>
            <w:tcW w:w="2394" w:type="dxa"/>
            <w:shd w:val="clear" w:color="auto" w:fill="F2F2F2" w:themeFill="background1" w:themeFillShade="F2"/>
            <w:vAlign w:val="bottom"/>
          </w:tcPr>
          <w:p w14:paraId="0EC4B151" w14:textId="77777777" w:rsidR="00ED0DCC" w:rsidRPr="00ED0DCC" w:rsidRDefault="00ED0DCC" w:rsidP="007206DE">
            <w:pPr>
              <w:pStyle w:val="02Tabletext"/>
              <w:jc w:val="center"/>
              <w:rPr>
                <w:b/>
              </w:rPr>
            </w:pPr>
            <w:r>
              <w:rPr>
                <w:b/>
              </w:rPr>
              <w:t>Total benefits FY2015</w:t>
            </w:r>
            <w:r w:rsidRPr="00ED0DCC">
              <w:rPr>
                <w:b/>
              </w:rPr>
              <w:t>/1</w:t>
            </w:r>
            <w:r>
              <w:rPr>
                <w:b/>
              </w:rPr>
              <w:t>6</w:t>
            </w:r>
          </w:p>
        </w:tc>
        <w:tc>
          <w:tcPr>
            <w:tcW w:w="2639" w:type="dxa"/>
            <w:shd w:val="clear" w:color="auto" w:fill="F2F2F2" w:themeFill="background1" w:themeFillShade="F2"/>
            <w:vAlign w:val="bottom"/>
          </w:tcPr>
          <w:p w14:paraId="2AD32A7F" w14:textId="77777777" w:rsidR="00ED0DCC" w:rsidRPr="00ED0DCC" w:rsidRDefault="00ED0DCC" w:rsidP="007206DE">
            <w:pPr>
              <w:pStyle w:val="02Tabletext"/>
              <w:jc w:val="center"/>
              <w:rPr>
                <w:b/>
              </w:rPr>
            </w:pPr>
            <w:r w:rsidRPr="00ED0DCC">
              <w:rPr>
                <w:b/>
              </w:rPr>
              <w:t>Services 5-year-average annual growth</w:t>
            </w:r>
          </w:p>
        </w:tc>
      </w:tr>
      <w:tr w:rsidR="00ED0DCC" w:rsidRPr="002836EB" w14:paraId="226AD28B" w14:textId="77777777" w:rsidTr="007206DE">
        <w:trPr>
          <w:trHeight w:val="222"/>
        </w:trPr>
        <w:tc>
          <w:tcPr>
            <w:tcW w:w="1575" w:type="dxa"/>
            <w:vAlign w:val="bottom"/>
          </w:tcPr>
          <w:p w14:paraId="0BAAAEA0" w14:textId="20735376" w:rsidR="00ED0DCC" w:rsidRPr="00ED0DCC" w:rsidRDefault="00ED0DCC" w:rsidP="00ED0DCC">
            <w:pPr>
              <w:pStyle w:val="02Tabletext"/>
            </w:pPr>
            <w:r w:rsidRPr="007373DB">
              <w:rPr>
                <w:lang w:val="en-AU"/>
              </w:rPr>
              <w:t>30299</w:t>
            </w:r>
          </w:p>
        </w:tc>
        <w:tc>
          <w:tcPr>
            <w:tcW w:w="2213" w:type="dxa"/>
            <w:vAlign w:val="bottom"/>
          </w:tcPr>
          <w:p w14:paraId="2DF9F8F6" w14:textId="06938357" w:rsidR="00ED0DCC" w:rsidRPr="00ED0DCC" w:rsidRDefault="00ED0DCC" w:rsidP="00ED0DCC">
            <w:pPr>
              <w:pStyle w:val="02Tabletext"/>
              <w:jc w:val="center"/>
            </w:pPr>
            <w:r w:rsidRPr="007373DB">
              <w:rPr>
                <w:lang w:val="en-AU"/>
              </w:rPr>
              <w:t>$743,450</w:t>
            </w:r>
          </w:p>
        </w:tc>
        <w:tc>
          <w:tcPr>
            <w:tcW w:w="2394" w:type="dxa"/>
            <w:vAlign w:val="bottom"/>
          </w:tcPr>
          <w:p w14:paraId="69D0AEC0" w14:textId="120F31AD" w:rsidR="00ED0DCC" w:rsidRPr="00ED0DCC" w:rsidRDefault="00ED0DCC" w:rsidP="00ED0DCC">
            <w:pPr>
              <w:pStyle w:val="02Tabletext"/>
              <w:jc w:val="center"/>
            </w:pPr>
            <w:r w:rsidRPr="007373DB">
              <w:rPr>
                <w:lang w:val="en-AU"/>
              </w:rPr>
              <w:t>3,212</w:t>
            </w:r>
          </w:p>
        </w:tc>
        <w:tc>
          <w:tcPr>
            <w:tcW w:w="2639" w:type="dxa"/>
            <w:vAlign w:val="bottom"/>
          </w:tcPr>
          <w:p w14:paraId="05CCF1F4" w14:textId="2B4614EF" w:rsidR="00ED0DCC" w:rsidRPr="00ED0DCC" w:rsidRDefault="00ED0DCC" w:rsidP="00ED0DCC">
            <w:pPr>
              <w:pStyle w:val="02Tabletext"/>
              <w:jc w:val="center"/>
            </w:pPr>
            <w:r w:rsidRPr="007373DB">
              <w:rPr>
                <w:lang w:val="en-AU"/>
              </w:rPr>
              <w:t>3.1%</w:t>
            </w:r>
          </w:p>
        </w:tc>
      </w:tr>
      <w:tr w:rsidR="00ED0DCC" w:rsidRPr="002836EB" w14:paraId="4BCCA414" w14:textId="77777777" w:rsidTr="007206DE">
        <w:trPr>
          <w:trHeight w:val="222"/>
        </w:trPr>
        <w:tc>
          <w:tcPr>
            <w:tcW w:w="1575" w:type="dxa"/>
            <w:vAlign w:val="bottom"/>
          </w:tcPr>
          <w:p w14:paraId="771BDB1C" w14:textId="5510E180" w:rsidR="00ED0DCC" w:rsidRPr="00ED0DCC" w:rsidRDefault="00ED0DCC" w:rsidP="00ED0DCC">
            <w:pPr>
              <w:pStyle w:val="02Tabletext"/>
            </w:pPr>
            <w:r w:rsidRPr="007373DB">
              <w:rPr>
                <w:lang w:val="en-AU"/>
              </w:rPr>
              <w:t>30300</w:t>
            </w:r>
          </w:p>
        </w:tc>
        <w:tc>
          <w:tcPr>
            <w:tcW w:w="2213" w:type="dxa"/>
            <w:vAlign w:val="bottom"/>
          </w:tcPr>
          <w:p w14:paraId="02B1BF5B" w14:textId="59E802A2" w:rsidR="00ED0DCC" w:rsidRPr="00ED0DCC" w:rsidRDefault="00ED0DCC" w:rsidP="00ED0DCC">
            <w:pPr>
              <w:pStyle w:val="02Tabletext"/>
              <w:jc w:val="center"/>
            </w:pPr>
            <w:r w:rsidRPr="007373DB">
              <w:rPr>
                <w:lang w:val="en-AU"/>
              </w:rPr>
              <w:t>$2,582,570</w:t>
            </w:r>
          </w:p>
        </w:tc>
        <w:tc>
          <w:tcPr>
            <w:tcW w:w="2394" w:type="dxa"/>
            <w:vAlign w:val="bottom"/>
          </w:tcPr>
          <w:p w14:paraId="7806B509" w14:textId="5B51EF97" w:rsidR="00ED0DCC" w:rsidRPr="00ED0DCC" w:rsidRDefault="00ED0DCC" w:rsidP="00ED0DCC">
            <w:pPr>
              <w:pStyle w:val="02Tabletext"/>
              <w:jc w:val="center"/>
            </w:pPr>
            <w:r w:rsidRPr="007373DB">
              <w:rPr>
                <w:lang w:val="en-AU"/>
              </w:rPr>
              <w:t>5,071</w:t>
            </w:r>
          </w:p>
        </w:tc>
        <w:tc>
          <w:tcPr>
            <w:tcW w:w="2639" w:type="dxa"/>
            <w:vAlign w:val="bottom"/>
          </w:tcPr>
          <w:p w14:paraId="345C1634" w14:textId="3D5BB26C" w:rsidR="00ED0DCC" w:rsidRPr="00ED0DCC" w:rsidRDefault="00ED0DCC" w:rsidP="00ED0DCC">
            <w:pPr>
              <w:pStyle w:val="02Tabletext"/>
              <w:jc w:val="center"/>
              <w:rPr>
                <w:shd w:val="clear" w:color="auto" w:fill="FBFBFB"/>
              </w:rPr>
            </w:pPr>
            <w:r w:rsidRPr="007373DB">
              <w:rPr>
                <w:lang w:val="en-AU"/>
              </w:rPr>
              <w:t>7.5%</w:t>
            </w:r>
          </w:p>
        </w:tc>
      </w:tr>
      <w:tr w:rsidR="00ED0DCC" w:rsidRPr="002836EB" w14:paraId="7E9AA470" w14:textId="77777777" w:rsidTr="007206DE">
        <w:trPr>
          <w:trHeight w:val="234"/>
        </w:trPr>
        <w:tc>
          <w:tcPr>
            <w:tcW w:w="1575" w:type="dxa"/>
            <w:vAlign w:val="bottom"/>
          </w:tcPr>
          <w:p w14:paraId="04BF6F48" w14:textId="70D0B7C7" w:rsidR="00ED0DCC" w:rsidRPr="00ED0DCC" w:rsidRDefault="00ED0DCC" w:rsidP="00ED0DCC">
            <w:pPr>
              <w:pStyle w:val="02Tabletext"/>
            </w:pPr>
            <w:r w:rsidRPr="007373DB">
              <w:rPr>
                <w:lang w:val="en-AU"/>
              </w:rPr>
              <w:t>30302</w:t>
            </w:r>
          </w:p>
        </w:tc>
        <w:tc>
          <w:tcPr>
            <w:tcW w:w="2213" w:type="dxa"/>
            <w:vAlign w:val="bottom"/>
          </w:tcPr>
          <w:p w14:paraId="3F1CD2BB" w14:textId="09A9A03F" w:rsidR="00ED0DCC" w:rsidRPr="00ED0DCC" w:rsidRDefault="00ED0DCC" w:rsidP="00ED0DCC">
            <w:pPr>
              <w:pStyle w:val="02Tabletext"/>
              <w:jc w:val="center"/>
            </w:pPr>
            <w:r w:rsidRPr="007373DB">
              <w:rPr>
                <w:lang w:val="en-AU"/>
              </w:rPr>
              <w:t>$61,620</w:t>
            </w:r>
          </w:p>
        </w:tc>
        <w:tc>
          <w:tcPr>
            <w:tcW w:w="2394" w:type="dxa"/>
            <w:vAlign w:val="bottom"/>
          </w:tcPr>
          <w:p w14:paraId="4FCD24E7" w14:textId="6BAA2284" w:rsidR="00ED0DCC" w:rsidRPr="00ED0DCC" w:rsidRDefault="00ED0DCC" w:rsidP="00ED0DCC">
            <w:pPr>
              <w:pStyle w:val="02Tabletext"/>
              <w:jc w:val="center"/>
            </w:pPr>
            <w:r w:rsidRPr="007373DB">
              <w:rPr>
                <w:lang w:val="en-AU"/>
              </w:rPr>
              <w:t>355</w:t>
            </w:r>
          </w:p>
        </w:tc>
        <w:tc>
          <w:tcPr>
            <w:tcW w:w="2639" w:type="dxa"/>
            <w:vAlign w:val="bottom"/>
          </w:tcPr>
          <w:p w14:paraId="0C0D8B03" w14:textId="546B94F0" w:rsidR="00ED0DCC" w:rsidRPr="00ED0DCC" w:rsidRDefault="00ED0DCC" w:rsidP="00ED0DCC">
            <w:pPr>
              <w:pStyle w:val="02Tabletext"/>
              <w:jc w:val="center"/>
              <w:rPr>
                <w:shd w:val="clear" w:color="auto" w:fill="FBFBFB"/>
              </w:rPr>
            </w:pPr>
            <w:r w:rsidRPr="007373DB">
              <w:rPr>
                <w:lang w:val="en-AU"/>
              </w:rPr>
              <w:t>-0.2%</w:t>
            </w:r>
          </w:p>
        </w:tc>
      </w:tr>
      <w:tr w:rsidR="00ED0DCC" w:rsidRPr="002836EB" w14:paraId="42FA1CD9" w14:textId="77777777" w:rsidTr="007206DE">
        <w:trPr>
          <w:trHeight w:val="222"/>
        </w:trPr>
        <w:tc>
          <w:tcPr>
            <w:tcW w:w="1575" w:type="dxa"/>
            <w:vAlign w:val="bottom"/>
          </w:tcPr>
          <w:p w14:paraId="0DA35F4A" w14:textId="5B01056C" w:rsidR="00ED0DCC" w:rsidRPr="00ED0DCC" w:rsidRDefault="00ED0DCC" w:rsidP="00ED0DCC">
            <w:pPr>
              <w:pStyle w:val="02Tabletext"/>
            </w:pPr>
            <w:r w:rsidRPr="007373DB">
              <w:rPr>
                <w:lang w:val="en-AU"/>
              </w:rPr>
              <w:t>30303</w:t>
            </w:r>
          </w:p>
        </w:tc>
        <w:tc>
          <w:tcPr>
            <w:tcW w:w="2213" w:type="dxa"/>
            <w:vAlign w:val="bottom"/>
          </w:tcPr>
          <w:p w14:paraId="4F8B6470" w14:textId="34449301" w:rsidR="00ED0DCC" w:rsidRPr="00ED0DCC" w:rsidRDefault="00ED0DCC" w:rsidP="00ED0DCC">
            <w:pPr>
              <w:pStyle w:val="02Tabletext"/>
              <w:jc w:val="center"/>
            </w:pPr>
            <w:r w:rsidRPr="007373DB">
              <w:rPr>
                <w:lang w:val="en-AU"/>
              </w:rPr>
              <w:t>$28,340</w:t>
            </w:r>
          </w:p>
        </w:tc>
        <w:tc>
          <w:tcPr>
            <w:tcW w:w="2394" w:type="dxa"/>
            <w:vAlign w:val="bottom"/>
          </w:tcPr>
          <w:p w14:paraId="3198EC43" w14:textId="346584FA" w:rsidR="00ED0DCC" w:rsidRPr="00ED0DCC" w:rsidRDefault="00ED0DCC" w:rsidP="00ED0DCC">
            <w:pPr>
              <w:pStyle w:val="02Tabletext"/>
              <w:jc w:val="center"/>
            </w:pPr>
            <w:r w:rsidRPr="007373DB">
              <w:rPr>
                <w:lang w:val="en-AU"/>
              </w:rPr>
              <w:t>135</w:t>
            </w:r>
          </w:p>
        </w:tc>
        <w:tc>
          <w:tcPr>
            <w:tcW w:w="2639" w:type="dxa"/>
            <w:vAlign w:val="bottom"/>
          </w:tcPr>
          <w:p w14:paraId="52AC9C6E" w14:textId="058A23AD" w:rsidR="00ED0DCC" w:rsidRPr="00ED0DCC" w:rsidRDefault="00ED0DCC" w:rsidP="00ED0DCC">
            <w:pPr>
              <w:pStyle w:val="02Tabletext"/>
              <w:jc w:val="center"/>
              <w:rPr>
                <w:shd w:val="clear" w:color="auto" w:fill="FBFBFB"/>
              </w:rPr>
            </w:pPr>
            <w:r w:rsidRPr="007373DB">
              <w:rPr>
                <w:lang w:val="en-AU"/>
              </w:rPr>
              <w:t>-3.5%</w:t>
            </w:r>
          </w:p>
        </w:tc>
      </w:tr>
      <w:tr w:rsidR="00ED0DCC" w:rsidRPr="002836EB" w14:paraId="56AC8504" w14:textId="77777777" w:rsidTr="007206DE">
        <w:trPr>
          <w:trHeight w:val="222"/>
        </w:trPr>
        <w:tc>
          <w:tcPr>
            <w:tcW w:w="1575" w:type="dxa"/>
            <w:vAlign w:val="bottom"/>
          </w:tcPr>
          <w:p w14:paraId="10319876" w14:textId="2502EA47" w:rsidR="00ED0DCC" w:rsidRPr="00ED0DCC" w:rsidRDefault="00ED0DCC" w:rsidP="00ED0DCC">
            <w:pPr>
              <w:pStyle w:val="02Tabletext"/>
            </w:pPr>
            <w:r w:rsidRPr="007373DB">
              <w:rPr>
                <w:lang w:val="en-AU"/>
              </w:rPr>
              <w:t>14221</w:t>
            </w:r>
          </w:p>
        </w:tc>
        <w:tc>
          <w:tcPr>
            <w:tcW w:w="2213" w:type="dxa"/>
            <w:vAlign w:val="bottom"/>
          </w:tcPr>
          <w:p w14:paraId="59B2A25C" w14:textId="36733322" w:rsidR="00ED0DCC" w:rsidRPr="00ED0DCC" w:rsidRDefault="00ED0DCC" w:rsidP="00ED0DCC">
            <w:pPr>
              <w:pStyle w:val="02Tabletext"/>
              <w:jc w:val="center"/>
            </w:pPr>
            <w:r w:rsidRPr="007373DB">
              <w:rPr>
                <w:lang w:val="en-AU"/>
              </w:rPr>
              <w:t>$5,437,457</w:t>
            </w:r>
          </w:p>
        </w:tc>
        <w:tc>
          <w:tcPr>
            <w:tcW w:w="2394" w:type="dxa"/>
            <w:vAlign w:val="bottom"/>
          </w:tcPr>
          <w:p w14:paraId="350B85CE" w14:textId="75A79292" w:rsidR="00ED0DCC" w:rsidRPr="00ED0DCC" w:rsidRDefault="00ED0DCC" w:rsidP="00ED0DCC">
            <w:pPr>
              <w:pStyle w:val="02Tabletext"/>
              <w:jc w:val="center"/>
            </w:pPr>
            <w:r w:rsidRPr="007373DB">
              <w:rPr>
                <w:lang w:val="en-AU"/>
              </w:rPr>
              <w:t>131,459</w:t>
            </w:r>
          </w:p>
        </w:tc>
        <w:tc>
          <w:tcPr>
            <w:tcW w:w="2639" w:type="dxa"/>
            <w:vAlign w:val="bottom"/>
          </w:tcPr>
          <w:p w14:paraId="1618F645" w14:textId="2A247408" w:rsidR="00ED0DCC" w:rsidRPr="00ED0DCC" w:rsidRDefault="00ED0DCC" w:rsidP="00ED0DCC">
            <w:pPr>
              <w:pStyle w:val="02Tabletext"/>
              <w:jc w:val="center"/>
              <w:rPr>
                <w:shd w:val="clear" w:color="auto" w:fill="FBFBFB"/>
              </w:rPr>
            </w:pPr>
            <w:r w:rsidRPr="007373DB">
              <w:rPr>
                <w:lang w:val="en-AU"/>
              </w:rPr>
              <w:t>10.2%</w:t>
            </w:r>
          </w:p>
        </w:tc>
      </w:tr>
    </w:tbl>
    <w:p w14:paraId="57388B1B" w14:textId="77777777" w:rsidR="00ED0DCC" w:rsidRPr="00ED0DCC" w:rsidRDefault="00ED0DCC" w:rsidP="00ED0DCC">
      <w:pPr>
        <w:spacing w:before="0"/>
        <w:rPr>
          <w:rFonts w:eastAsiaTheme="minorHAnsi"/>
          <w:sz w:val="18"/>
          <w:szCs w:val="18"/>
          <w:lang w:eastAsia="en-US"/>
        </w:rPr>
      </w:pPr>
      <w:r w:rsidRPr="00ED0DCC">
        <w:rPr>
          <w:rFonts w:eastAsiaTheme="minorHAnsi"/>
          <w:sz w:val="18"/>
          <w:szCs w:val="18"/>
          <w:lang w:eastAsia="en-US"/>
        </w:rPr>
        <w:t>Note: The data is available from the Department of Human Services website.</w:t>
      </w:r>
    </w:p>
    <w:p w14:paraId="44B4CA42" w14:textId="77777777" w:rsidR="00ED0DCC" w:rsidRPr="00ED0DCC" w:rsidRDefault="00ED0DCC" w:rsidP="00ED0DCC">
      <w:pPr>
        <w:rPr>
          <w:rFonts w:eastAsiaTheme="minorHAnsi"/>
          <w:lang w:eastAsia="en-US"/>
        </w:rPr>
      </w:pPr>
      <w:r w:rsidRPr="00ED0DCC">
        <w:rPr>
          <w:rFonts w:eastAsiaTheme="minorHAnsi"/>
          <w:lang w:eastAsia="en-US"/>
        </w:rPr>
        <w:t>The total benefits paid for sentinel lymph node biopsy services increased by 9.25% between 2013-14 and 2015-16.</w:t>
      </w:r>
    </w:p>
    <w:p w14:paraId="66C02582" w14:textId="77777777" w:rsidR="00ED0DCC" w:rsidRPr="00ED0DCC" w:rsidRDefault="00ED0DCC" w:rsidP="00ED0DCC">
      <w:pPr>
        <w:rPr>
          <w:rFonts w:eastAsiaTheme="minorHAnsi"/>
          <w:lang w:eastAsia="en-US"/>
        </w:rPr>
      </w:pPr>
      <w:r w:rsidRPr="00ED0DCC">
        <w:rPr>
          <w:rFonts w:eastAsiaTheme="minorHAnsi"/>
          <w:lang w:eastAsia="en-US"/>
        </w:rPr>
        <w:t>The total number of sentinel lymph node biopsy services increased by 11.81% between 2013-14 and 2015-16.</w:t>
      </w:r>
    </w:p>
    <w:p w14:paraId="2FF65459" w14:textId="77777777" w:rsidR="007874CE" w:rsidRDefault="007874CE" w:rsidP="007874CE">
      <w:pPr>
        <w:spacing w:before="0" w:after="0"/>
      </w:pPr>
    </w:p>
    <w:p w14:paraId="07C8DB94" w14:textId="77777777" w:rsidR="007874CE" w:rsidRDefault="007874CE">
      <w:pPr>
        <w:spacing w:before="0" w:after="0"/>
        <w:rPr>
          <w:b/>
          <w:color w:val="01653F"/>
          <w:sz w:val="32"/>
          <w:lang w:eastAsia="en-US"/>
        </w:rPr>
      </w:pPr>
      <w:r>
        <w:br w:type="page"/>
      </w:r>
    </w:p>
    <w:p w14:paraId="180EAC75" w14:textId="4B588E56" w:rsidR="007874CE" w:rsidRDefault="00B8040B" w:rsidP="00B8040B">
      <w:pPr>
        <w:pStyle w:val="AppendixStyle1"/>
        <w:rPr>
          <w:lang w:val="en-GB"/>
        </w:rPr>
      </w:pPr>
      <w:bookmarkStart w:id="275" w:name="_Ref478311154"/>
      <w:bookmarkStart w:id="276" w:name="_Toc479082803"/>
      <w:r w:rsidRPr="00B8040B">
        <w:rPr>
          <w:lang w:val="en-GB"/>
        </w:rPr>
        <w:lastRenderedPageBreak/>
        <w:t>Relationship between the proposed changes to medical oncology items and private health insurance arrangements</w:t>
      </w:r>
      <w:bookmarkEnd w:id="275"/>
      <w:bookmarkEnd w:id="276"/>
    </w:p>
    <w:p w14:paraId="44B4454C" w14:textId="3251F987" w:rsidR="00B8040B" w:rsidRDefault="00B8040B" w:rsidP="00FB4C0E">
      <w:r w:rsidRPr="00B8040B">
        <w:t>The first recommendation of the Oncology Clinical Committee may have some implications for the payment of private health insurance benefits.  This issue, and some potential remedies are outlined below.</w:t>
      </w:r>
    </w:p>
    <w:p w14:paraId="55E1402C" w14:textId="77777777" w:rsidR="0063560F" w:rsidRPr="0063560F" w:rsidRDefault="0063560F" w:rsidP="0063560F">
      <w:pPr>
        <w:pStyle w:val="Boldhdg"/>
      </w:pPr>
      <w:r w:rsidRPr="0063560F">
        <w:t xml:space="preserve">Background </w:t>
      </w:r>
    </w:p>
    <w:p w14:paraId="3D67CC93" w14:textId="77777777" w:rsidR="0063560F" w:rsidRPr="0063560F" w:rsidRDefault="0063560F" w:rsidP="0063560F">
      <w:r w:rsidRPr="0063560F">
        <w:t>MBS and private health insurance payments for private hospital services</w:t>
      </w:r>
    </w:p>
    <w:p w14:paraId="521FEF27" w14:textId="77777777" w:rsidR="0063560F" w:rsidRPr="0063560F" w:rsidRDefault="0063560F" w:rsidP="0063560F">
      <w:pPr>
        <w:pStyle w:val="01squarebullet"/>
      </w:pPr>
      <w:r w:rsidRPr="0063560F">
        <w:t>As a general principle, the MBS provides rebates for medical professional services.  MBS rebates do not cover the cost of other components of a hospital provided service (nursing services, accommodation, consumables etc) which, in the private sector, are generally funded through private health insurance benefits.</w:t>
      </w:r>
    </w:p>
    <w:p w14:paraId="2E269D83" w14:textId="77777777" w:rsidR="0063560F" w:rsidRPr="0063560F" w:rsidRDefault="0063560F" w:rsidP="0063560F">
      <w:pPr>
        <w:pStyle w:val="01squarebullet"/>
      </w:pPr>
      <w:r w:rsidRPr="0063560F">
        <w:t xml:space="preserve">Historically, a large proportion of chemotherapy administration occurs within a hospital or day surgery setting which means that private health insurance benefits are payable.    </w:t>
      </w:r>
    </w:p>
    <w:p w14:paraId="1A75651D" w14:textId="77777777" w:rsidR="0063560F" w:rsidRPr="0063560F" w:rsidRDefault="0063560F" w:rsidP="0063560F">
      <w:pPr>
        <w:pStyle w:val="01squarebullet"/>
      </w:pPr>
      <w:r w:rsidRPr="0063560F">
        <w:t xml:space="preserve">Health insurers and hospitals negotiate their own agreements on how these hospital costs are to be reimbursed.  The Commonwealth is not party to these agreements and therefore has no visibility of the contract between each hospital and each insurer.  </w:t>
      </w:r>
    </w:p>
    <w:p w14:paraId="24B4B7B1" w14:textId="77777777" w:rsidR="0063560F" w:rsidRPr="0063560F" w:rsidRDefault="0063560F" w:rsidP="0063560F">
      <w:pPr>
        <w:pStyle w:val="01squarebullet"/>
      </w:pPr>
      <w:r w:rsidRPr="0063560F">
        <w:t xml:space="preserve">In some cases, the payment of a Medicare rebate for a specific hospital service (in this case chemotherapy administration) directly ‘triggers’ a private health insurance payment.  In other circumstances the negotiated agreements between the health fund and the hospital are paid based on a claim submitted by the hospital to the insurer which is not directly related to the specific Medicare claim.  However, even in these circumstances the Medicare claim can be a useful reference or audit check that a service was provided on that particular day. </w:t>
      </w:r>
    </w:p>
    <w:p w14:paraId="43F7D6F2" w14:textId="77777777" w:rsidR="0063560F" w:rsidRPr="0063560F" w:rsidRDefault="0063560F" w:rsidP="0063560F">
      <w:r w:rsidRPr="0063560F">
        <w:t>Administration of Intravenous Chemotherapy:</w:t>
      </w:r>
    </w:p>
    <w:p w14:paraId="15FDCCFF" w14:textId="77777777" w:rsidR="0063560F" w:rsidRPr="0063560F" w:rsidRDefault="0063560F" w:rsidP="0063560F">
      <w:pPr>
        <w:pStyle w:val="01squarebullet"/>
      </w:pPr>
      <w:r w:rsidRPr="0063560F">
        <w:t xml:space="preserve">Current MBS items provide for the administration of chemotherapy and have different fees/rebates depending on the duration of IV administration. The administration is performed by nursing staff under the supervision of a medical oncologist.  During a session of chemotherapy a patient may see their medical oncologist at the start for their assessment and ‘prescription’ and then at scheduled times during and at the end of their course of chemotherapy. The medical oncologist is not required to be in attendance while the chemotherapy is administered and may not see the patient on a particular day when chemotherapy is administered. However, during the course of the chemotherapy the medical oncologist will check and monitor blood tests and other test results and take responsibility for the overall care of the patient.  </w:t>
      </w:r>
    </w:p>
    <w:p w14:paraId="44AE0643" w14:textId="77777777" w:rsidR="0063560F" w:rsidRPr="0063560F" w:rsidRDefault="0063560F" w:rsidP="0063560F">
      <w:r w:rsidRPr="0063560F">
        <w:t>Issues with the current structure for MBS funded chemotherapy services:</w:t>
      </w:r>
    </w:p>
    <w:p w14:paraId="633317F2" w14:textId="77777777" w:rsidR="0063560F" w:rsidRPr="0063560F" w:rsidRDefault="0063560F" w:rsidP="0063560F">
      <w:pPr>
        <w:pStyle w:val="01squarebullet"/>
      </w:pPr>
      <w:r w:rsidRPr="0063560F">
        <w:t xml:space="preserve">The MBS items for IV chemotherapy administration are currently determined by the time taken for the infusion, and are paid per treatment.  This may provide perverse incentives for longer chemotherapy treatments and for intravenous administration when other administration routes (subcutaneous or oral) may be a reasonable option.  While the hospital costs may be related to the frequency and length of the chemotherapy treatment (as the nurse is providing the care), the inputs of the medical oncologist are not.  </w:t>
      </w:r>
    </w:p>
    <w:p w14:paraId="3A2A966D" w14:textId="77777777" w:rsidR="0063560F" w:rsidRPr="0063560F" w:rsidRDefault="0063560F" w:rsidP="0063560F">
      <w:r w:rsidRPr="0063560F">
        <w:t>Oncology Clinical Committee review of MBS item structure:</w:t>
      </w:r>
    </w:p>
    <w:p w14:paraId="0ED9A293" w14:textId="77777777" w:rsidR="0063560F" w:rsidRPr="0063560F" w:rsidRDefault="0063560F" w:rsidP="0063560F">
      <w:pPr>
        <w:pStyle w:val="01squarebullet"/>
      </w:pPr>
      <w:r w:rsidRPr="0063560F">
        <w:t xml:space="preserve">The Oncology Clinical Committee reviewed the evidence and current clinical practice and came to the view that the MBS rebate should be related to the professional input of the Medical </w:t>
      </w:r>
      <w:r w:rsidRPr="0063560F">
        <w:lastRenderedPageBreak/>
        <w:t xml:space="preserve">Oncologist, which is for the supervision and management of patients undergoing courses of chemotherapy, rather than administration of chemotherapy per se which is a hospital rather than a medical professional service. </w:t>
      </w:r>
    </w:p>
    <w:p w14:paraId="4E3EA61C" w14:textId="77777777" w:rsidR="0063560F" w:rsidRPr="0063560F" w:rsidRDefault="0063560F" w:rsidP="0063560F">
      <w:pPr>
        <w:pStyle w:val="01squarebullet"/>
      </w:pPr>
      <w:r w:rsidRPr="0063560F">
        <w:t xml:space="preserve">The Oncology Clinical Committee also recommended a range of other changes which would reduce the variability in billing between practices. </w:t>
      </w:r>
    </w:p>
    <w:p w14:paraId="54776FAA" w14:textId="77777777" w:rsidR="0063560F" w:rsidRPr="0063560F" w:rsidRDefault="0063560F" w:rsidP="0063560F">
      <w:pPr>
        <w:pStyle w:val="Boldhdg"/>
      </w:pPr>
      <w:r w:rsidRPr="0063560F">
        <w:t>Oncology Clinical Committee Recommendation 1</w:t>
      </w:r>
    </w:p>
    <w:p w14:paraId="0503B164" w14:textId="77777777" w:rsidR="0063560F" w:rsidRPr="0063560F" w:rsidRDefault="0063560F" w:rsidP="0063560F">
      <w:pPr>
        <w:rPr>
          <w:lang w:val="en-AU"/>
        </w:rPr>
      </w:pPr>
      <w:r w:rsidRPr="0063560F">
        <w:rPr>
          <w:lang w:val="en-AU"/>
        </w:rPr>
        <w:t>Replace chemotherapy administration items (13915–13942 and 13948) with a set of three items for the medical management of anticancer therapy that:</w:t>
      </w:r>
    </w:p>
    <w:p w14:paraId="79B8FAA1" w14:textId="77777777" w:rsidR="0063560F" w:rsidRPr="0063560F" w:rsidRDefault="0063560F" w:rsidP="0063560F">
      <w:pPr>
        <w:pStyle w:val="01squarebullet"/>
      </w:pPr>
      <w:r w:rsidRPr="0063560F">
        <w:t>Covers professional involvement in elements of care beyond that which occurs in physical attendances.</w:t>
      </w:r>
    </w:p>
    <w:p w14:paraId="4873E042" w14:textId="77777777" w:rsidR="0063560F" w:rsidRPr="0063560F" w:rsidRDefault="0063560F" w:rsidP="0063560F">
      <w:pPr>
        <w:pStyle w:val="01squarebullet"/>
      </w:pPr>
      <w:r w:rsidRPr="0063560F">
        <w:t>Is applicable regardless of the chosen route of administration (i.e., including both parenteral and oral therapies).</w:t>
      </w:r>
    </w:p>
    <w:p w14:paraId="206F21DD" w14:textId="77777777" w:rsidR="0063560F" w:rsidRPr="0063560F" w:rsidRDefault="0063560F" w:rsidP="0063560F">
      <w:pPr>
        <w:pStyle w:val="01squarebullet"/>
      </w:pPr>
      <w:r w:rsidRPr="0063560F">
        <w:t>Excludes hormonal therapy and bisphosphonate therapy.</w:t>
      </w:r>
    </w:p>
    <w:p w14:paraId="6272E59D" w14:textId="77777777" w:rsidR="0063560F" w:rsidRPr="0063560F" w:rsidRDefault="0063560F" w:rsidP="0063560F">
      <w:r w:rsidRPr="0063560F">
        <w:rPr>
          <w:lang w:val="en-AU"/>
        </w:rPr>
        <w:t>The three proposed items differ by the duration of medical management covered, to facilitate the administration of the billing process, being two, three or four weeks (where the applicable MBS benefit per week is the same for all items).</w:t>
      </w:r>
    </w:p>
    <w:p w14:paraId="6CDF9911" w14:textId="77777777" w:rsidR="0063560F" w:rsidRPr="0063560F" w:rsidRDefault="0063560F" w:rsidP="0063560F">
      <w:pPr>
        <w:pStyle w:val="Boldhdg"/>
      </w:pPr>
      <w:r w:rsidRPr="0063560F">
        <w:t>Concerns about impact of proposal on hospital and private health insurance arrangements.</w:t>
      </w:r>
    </w:p>
    <w:p w14:paraId="590003A1" w14:textId="77777777" w:rsidR="0063560F" w:rsidRPr="0063560F" w:rsidRDefault="0063560F" w:rsidP="0063560F">
      <w:pPr>
        <w:pStyle w:val="01squarebullet"/>
      </w:pPr>
      <w:r w:rsidRPr="0063560F">
        <w:t xml:space="preserve">Concerns have been raised about the potential impact of the new model on the payment of private health insurance benefits for hospital provided chemotherapy administration. For many hospital services there should be no direct impact as the contractual arrangements are not currently based on the MBS items claimed.  However, in some cases the arrangements are tied to the billing of the current items and hence there appears to be an administrative impediment to the continued payment of private health insurance benefits.   </w:t>
      </w:r>
    </w:p>
    <w:p w14:paraId="70982B66" w14:textId="77777777" w:rsidR="0063560F" w:rsidRPr="0063560F" w:rsidRDefault="0063560F" w:rsidP="0063560F">
      <w:pPr>
        <w:pStyle w:val="01squarebullet"/>
      </w:pPr>
      <w:r w:rsidRPr="0063560F">
        <w:t xml:space="preserve">The contracts between hospitals and insurers are negotiated periodically.  Given that some payments would not be affected by a reform of the medical oncology items it would be possible that this model could be applied to the other contracts as they are re-negotiated. </w:t>
      </w:r>
    </w:p>
    <w:p w14:paraId="18C5E82F" w14:textId="77777777" w:rsidR="0063560F" w:rsidRPr="0063560F" w:rsidRDefault="0063560F" w:rsidP="0063560F">
      <w:pPr>
        <w:pStyle w:val="01squarebullet"/>
      </w:pPr>
      <w:r w:rsidRPr="0063560F">
        <w:t>In addition these changes might provide impetus to the use of “hospital substitute” provisions in private health insurance arrangement that enable private health insurers to fund some out of hospital care.</w:t>
      </w:r>
    </w:p>
    <w:p w14:paraId="7B691DED" w14:textId="77777777" w:rsidR="0063560F" w:rsidRPr="0063560F" w:rsidRDefault="0063560F" w:rsidP="0063560F">
      <w:pPr>
        <w:pStyle w:val="Boldhdg"/>
      </w:pPr>
      <w:r w:rsidRPr="0063560F">
        <w:t>Implementation considerations:</w:t>
      </w:r>
    </w:p>
    <w:p w14:paraId="0AADF88C" w14:textId="77777777" w:rsidR="0063560F" w:rsidRPr="0063560F" w:rsidRDefault="0063560F" w:rsidP="0063560F">
      <w:pPr>
        <w:pStyle w:val="01squarebullet"/>
      </w:pPr>
      <w:r w:rsidRPr="0063560F">
        <w:t>In consultation with providers, insurers and hospitals, system changes would need to be developed to avoid unintentional consequences for patients accessing current treatments.</w:t>
      </w:r>
    </w:p>
    <w:p w14:paraId="4F24D89E" w14:textId="77777777" w:rsidR="0063560F" w:rsidRPr="0063560F" w:rsidRDefault="0063560F" w:rsidP="0063560F">
      <w:pPr>
        <w:pStyle w:val="01squarebullet"/>
      </w:pPr>
      <w:r w:rsidRPr="0063560F">
        <w:t>Implementation could be phased, with an interim phase followed by the full solution.</w:t>
      </w:r>
    </w:p>
    <w:p w14:paraId="5397035C" w14:textId="77777777" w:rsidR="0063560F" w:rsidRPr="0063560F" w:rsidRDefault="0063560F" w:rsidP="0063560F">
      <w:pPr>
        <w:pStyle w:val="01squarebullet"/>
      </w:pPr>
      <w:r w:rsidRPr="0063560F">
        <w:t>Pending the full solution, interim options could include:</w:t>
      </w:r>
    </w:p>
    <w:p w14:paraId="6368B1B8" w14:textId="77777777" w:rsidR="0063560F" w:rsidRPr="0063560F" w:rsidRDefault="0063560F" w:rsidP="0063560F">
      <w:pPr>
        <w:pStyle w:val="02dash"/>
      </w:pPr>
      <w:r w:rsidRPr="0063560F">
        <w:t xml:space="preserve">the investigation of hospital system changes to track and trigger the hospital treatment component, not involving an MBS item; </w:t>
      </w:r>
    </w:p>
    <w:p w14:paraId="42A8022D" w14:textId="00AB35B8" w:rsidR="0063560F" w:rsidRPr="007874CE" w:rsidRDefault="0063560F" w:rsidP="00FB4C0E">
      <w:pPr>
        <w:pStyle w:val="02dash"/>
      </w:pPr>
      <w:r w:rsidRPr="0063560F">
        <w:t xml:space="preserve">retention of a single IV  chemotherapy administration MBS item (with a low fee/rebate) that could be billed during a hospital admission - to trigger  the payment of private health insurance benefits where those payments  are contingent upon linking  a MBS service to the  hospital treatment .However retaining these items works against one of the drivers for </w:t>
      </w:r>
      <w:r w:rsidRPr="0063560F">
        <w:lastRenderedPageBreak/>
        <w:t xml:space="preserve">change which is the concern that some patients are receiving inpatient IV administered chemotherapy when other out of  hospital options (including  oral therapy) are available. </w:t>
      </w:r>
    </w:p>
    <w:p w14:paraId="09821DC5" w14:textId="38661C4C" w:rsidR="007F3F5C" w:rsidRDefault="00011ED5" w:rsidP="00011ED5">
      <w:pPr>
        <w:pStyle w:val="Heading1"/>
        <w:numPr>
          <w:ilvl w:val="0"/>
          <w:numId w:val="0"/>
        </w:numPr>
        <w:ind w:left="431" w:hanging="431"/>
        <w:rPr>
          <w:lang w:val="en-GB"/>
        </w:rPr>
      </w:pPr>
      <w:bookmarkStart w:id="277" w:name="_Toc479082804"/>
      <w:r>
        <w:rPr>
          <w:lang w:val="en-GB"/>
        </w:rPr>
        <w:lastRenderedPageBreak/>
        <w:t xml:space="preserve">ATTACHMENT A - </w:t>
      </w:r>
      <w:r w:rsidR="007F3F5C">
        <w:rPr>
          <w:lang w:val="en-GB"/>
        </w:rPr>
        <w:t xml:space="preserve">Requests to other Clinical </w:t>
      </w:r>
      <w:bookmarkEnd w:id="269"/>
      <w:bookmarkEnd w:id="270"/>
      <w:r>
        <w:rPr>
          <w:lang w:val="en-GB"/>
        </w:rPr>
        <w:t xml:space="preserve">Committees </w:t>
      </w:r>
      <w:r>
        <w:rPr>
          <w:lang w:val="en-GB"/>
        </w:rPr>
        <w:br/>
        <w:t>[NOT FOR PUBLIC CONSULTATION]</w:t>
      </w:r>
      <w:bookmarkEnd w:id="277"/>
    </w:p>
    <w:p w14:paraId="5FBCCBC8" w14:textId="364F6F7E" w:rsidR="007F3F5C" w:rsidRPr="002836EB" w:rsidRDefault="00011ED5" w:rsidP="00011ED5">
      <w:pPr>
        <w:pStyle w:val="Heading2"/>
        <w:numPr>
          <w:ilvl w:val="0"/>
          <w:numId w:val="0"/>
        </w:numPr>
        <w:ind w:left="851" w:hanging="851"/>
        <w:rPr>
          <w:lang w:val="en-GB"/>
        </w:rPr>
      </w:pPr>
      <w:bookmarkStart w:id="278" w:name="_Ref464486537"/>
      <w:bookmarkStart w:id="279" w:name="_Toc468647490"/>
      <w:bookmarkStart w:id="280" w:name="_Toc479082805"/>
      <w:r>
        <w:rPr>
          <w:lang w:val="en-GB"/>
        </w:rPr>
        <w:t xml:space="preserve">A. </w:t>
      </w:r>
      <w:r w:rsidR="007F3F5C" w:rsidRPr="002836EB">
        <w:rPr>
          <w:lang w:val="en-GB"/>
        </w:rPr>
        <w:t>Cancer care case conferences</w:t>
      </w:r>
      <w:bookmarkEnd w:id="278"/>
      <w:bookmarkEnd w:id="279"/>
      <w:bookmarkEnd w:id="280"/>
    </w:p>
    <w:p w14:paraId="68E2A0DA" w14:textId="2ACFB7C2" w:rsidR="007F3F5C" w:rsidRPr="002836EB" w:rsidRDefault="007F3F5C" w:rsidP="007F3F5C">
      <w:pPr>
        <w:pStyle w:val="Caption"/>
      </w:pPr>
      <w:bookmarkStart w:id="281" w:name="_Toc468647512"/>
      <w:bookmarkStart w:id="282" w:name="_Toc479082822"/>
      <w:r w:rsidRPr="002836EB">
        <w:t xml:space="preserve">Table </w:t>
      </w:r>
      <w:r w:rsidRPr="002836EB">
        <w:fldChar w:fldCharType="begin"/>
      </w:r>
      <w:r w:rsidRPr="002836EB">
        <w:instrText xml:space="preserve"> SEQ Table \* ARABIC </w:instrText>
      </w:r>
      <w:r w:rsidRPr="002836EB">
        <w:fldChar w:fldCharType="separate"/>
      </w:r>
      <w:r w:rsidR="003274EF">
        <w:rPr>
          <w:noProof/>
        </w:rPr>
        <w:t>15</w:t>
      </w:r>
      <w:r w:rsidRPr="002836EB">
        <w:fldChar w:fldCharType="end"/>
      </w:r>
      <w:r w:rsidRPr="002836EB">
        <w:t>: Item introduction table for items 871 and 872</w:t>
      </w:r>
      <w:bookmarkEnd w:id="281"/>
      <w:bookmarkEnd w:id="282"/>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shows the item introduction table for Cancer care case conference item numbers 871 and 872. There are 6 columns: Column 1. List of items, Column 2. Descriptor, column 3. Schedule fee, column 4. Services for financial year 2014-15, column 5. Total benefits for FY 2014-15, and column 6. Percentage of the services average 5-year annual growth."/>
      </w:tblPr>
      <w:tblGrid>
        <w:gridCol w:w="714"/>
        <w:gridCol w:w="4095"/>
        <w:gridCol w:w="923"/>
        <w:gridCol w:w="1003"/>
        <w:gridCol w:w="1085"/>
        <w:gridCol w:w="1196"/>
      </w:tblGrid>
      <w:tr w:rsidR="007F3F5C" w:rsidRPr="002836EB" w14:paraId="07DC3198" w14:textId="77777777" w:rsidTr="001475DE">
        <w:trPr>
          <w:tblHeader/>
        </w:trPr>
        <w:tc>
          <w:tcPr>
            <w:tcW w:w="714" w:type="dxa"/>
            <w:shd w:val="clear" w:color="auto" w:fill="F2F2F2" w:themeFill="background1" w:themeFillShade="F2"/>
            <w:vAlign w:val="bottom"/>
          </w:tcPr>
          <w:p w14:paraId="5941CC4C" w14:textId="77777777" w:rsidR="007F3F5C" w:rsidRPr="002836EB" w:rsidRDefault="007F3F5C" w:rsidP="001475DE">
            <w:pPr>
              <w:pStyle w:val="02Tabletext"/>
              <w:rPr>
                <w:b/>
              </w:rPr>
            </w:pPr>
            <w:r w:rsidRPr="002836EB">
              <w:rPr>
                <w:b/>
              </w:rPr>
              <w:t>Item</w:t>
            </w:r>
          </w:p>
        </w:tc>
        <w:tc>
          <w:tcPr>
            <w:tcW w:w="4095" w:type="dxa"/>
            <w:shd w:val="clear" w:color="auto" w:fill="F2F2F2" w:themeFill="background1" w:themeFillShade="F2"/>
            <w:vAlign w:val="bottom"/>
          </w:tcPr>
          <w:p w14:paraId="4C47582D" w14:textId="77777777" w:rsidR="007F3F5C" w:rsidRPr="002836EB" w:rsidRDefault="007F3F5C" w:rsidP="001475DE">
            <w:pPr>
              <w:pStyle w:val="02Tabletext"/>
              <w:rPr>
                <w:b/>
              </w:rPr>
            </w:pPr>
            <w:r w:rsidRPr="002836EB">
              <w:rPr>
                <w:b/>
              </w:rPr>
              <w:t>Descriptor</w:t>
            </w:r>
          </w:p>
        </w:tc>
        <w:tc>
          <w:tcPr>
            <w:tcW w:w="923" w:type="dxa"/>
            <w:shd w:val="clear" w:color="auto" w:fill="F2F2F2" w:themeFill="background1" w:themeFillShade="F2"/>
            <w:vAlign w:val="bottom"/>
          </w:tcPr>
          <w:p w14:paraId="680E84A5" w14:textId="77777777" w:rsidR="007F3F5C" w:rsidRPr="002836EB" w:rsidRDefault="007F3F5C" w:rsidP="001475DE">
            <w:pPr>
              <w:pStyle w:val="02Tabletext"/>
              <w:rPr>
                <w:b/>
              </w:rPr>
            </w:pPr>
            <w:r w:rsidRPr="002836EB">
              <w:rPr>
                <w:b/>
              </w:rPr>
              <w:t>Schedule</w:t>
            </w:r>
          </w:p>
          <w:p w14:paraId="1003A707" w14:textId="77777777" w:rsidR="007F3F5C" w:rsidRPr="002836EB" w:rsidRDefault="007F3F5C" w:rsidP="001475DE">
            <w:pPr>
              <w:pStyle w:val="02Tabletext"/>
              <w:rPr>
                <w:b/>
              </w:rPr>
            </w:pPr>
            <w:r w:rsidRPr="002836EB">
              <w:rPr>
                <w:b/>
              </w:rPr>
              <w:t>fee</w:t>
            </w:r>
          </w:p>
        </w:tc>
        <w:tc>
          <w:tcPr>
            <w:tcW w:w="1003" w:type="dxa"/>
            <w:shd w:val="clear" w:color="auto" w:fill="F2F2F2" w:themeFill="background1" w:themeFillShade="F2"/>
            <w:vAlign w:val="bottom"/>
          </w:tcPr>
          <w:p w14:paraId="772B7F65" w14:textId="77777777" w:rsidR="007F3F5C" w:rsidRPr="002836EB" w:rsidRDefault="007F3F5C" w:rsidP="001475DE">
            <w:pPr>
              <w:pStyle w:val="02Tabletext"/>
              <w:rPr>
                <w:b/>
              </w:rPr>
            </w:pPr>
            <w:r w:rsidRPr="002836EB">
              <w:rPr>
                <w:b/>
              </w:rPr>
              <w:t>Volume of services FY2014/15</w:t>
            </w:r>
          </w:p>
        </w:tc>
        <w:tc>
          <w:tcPr>
            <w:tcW w:w="1085" w:type="dxa"/>
            <w:shd w:val="clear" w:color="auto" w:fill="F2F2F2" w:themeFill="background1" w:themeFillShade="F2"/>
            <w:vAlign w:val="bottom"/>
          </w:tcPr>
          <w:p w14:paraId="5AC34D4F" w14:textId="77777777" w:rsidR="007F3F5C" w:rsidRPr="002836EB" w:rsidRDefault="007F3F5C" w:rsidP="001475DE">
            <w:pPr>
              <w:pStyle w:val="02Tabletext"/>
              <w:rPr>
                <w:b/>
              </w:rPr>
            </w:pPr>
            <w:r w:rsidRPr="002836EB">
              <w:rPr>
                <w:b/>
              </w:rPr>
              <w:t>Total benefits FY2014/15</w:t>
            </w:r>
          </w:p>
        </w:tc>
        <w:tc>
          <w:tcPr>
            <w:tcW w:w="1196" w:type="dxa"/>
            <w:shd w:val="clear" w:color="auto" w:fill="F2F2F2" w:themeFill="background1" w:themeFillShade="F2"/>
            <w:vAlign w:val="bottom"/>
          </w:tcPr>
          <w:p w14:paraId="1179C737" w14:textId="77777777" w:rsidR="007F3F5C" w:rsidRPr="002836EB" w:rsidRDefault="007F3F5C" w:rsidP="001475DE">
            <w:pPr>
              <w:pStyle w:val="02Tabletext"/>
              <w:rPr>
                <w:b/>
              </w:rPr>
            </w:pPr>
            <w:r w:rsidRPr="002836EB">
              <w:rPr>
                <w:b/>
              </w:rPr>
              <w:t>Services 5-year-average annual growth</w:t>
            </w:r>
          </w:p>
        </w:tc>
      </w:tr>
      <w:tr w:rsidR="007F3F5C" w:rsidRPr="002836EB" w14:paraId="45D51FEF" w14:textId="77777777" w:rsidTr="001475DE">
        <w:tc>
          <w:tcPr>
            <w:tcW w:w="721" w:type="dxa"/>
          </w:tcPr>
          <w:p w14:paraId="256758EE" w14:textId="77777777" w:rsidR="007F3F5C" w:rsidRPr="002836EB" w:rsidRDefault="007F3F5C" w:rsidP="001475DE">
            <w:pPr>
              <w:pStyle w:val="02Tabletext"/>
            </w:pPr>
            <w:r w:rsidRPr="002836EB">
              <w:t>871</w:t>
            </w:r>
          </w:p>
        </w:tc>
        <w:tc>
          <w:tcPr>
            <w:tcW w:w="4141" w:type="dxa"/>
          </w:tcPr>
          <w:p w14:paraId="08CB6B98" w14:textId="77777777" w:rsidR="007F3F5C" w:rsidRPr="002836EB" w:rsidRDefault="007F3F5C" w:rsidP="001475DE">
            <w:pPr>
              <w:pStyle w:val="02Tabletext"/>
            </w:pPr>
            <w:r w:rsidRPr="002836EB">
              <w:rPr>
                <w:shd w:val="clear" w:color="auto" w:fill="FBFBFB"/>
              </w:rPr>
              <w:t>Attendance by a Medical Practitioner (including a specialist or consultant physician in the practice of his or her specialty or a General Practitioner), as a member of a case conference team, to LEAD AND COORDINATE A MULTIDISCIPLINARY CASE CONFERENCE ON A PATIENT WITH CANCER TO DEVELOP A MULTIDISCIPLINARY TREATMENT PLAN, where the case conference is of at least 10 minutes, with a multidisciplinary team of at least three other Medical Practitioners from different areas of medical practice (which may include general practice), and, in addition, allied health providers.</w:t>
            </w:r>
          </w:p>
        </w:tc>
        <w:tc>
          <w:tcPr>
            <w:tcW w:w="924" w:type="dxa"/>
          </w:tcPr>
          <w:p w14:paraId="7EEB647B" w14:textId="77777777" w:rsidR="007F3F5C" w:rsidRPr="002836EB" w:rsidRDefault="007F3F5C" w:rsidP="001475DE">
            <w:pPr>
              <w:pStyle w:val="02Tabletext"/>
              <w:jc w:val="center"/>
            </w:pPr>
            <w:r w:rsidRPr="002836EB">
              <w:t>$80.30</w:t>
            </w:r>
          </w:p>
        </w:tc>
        <w:tc>
          <w:tcPr>
            <w:tcW w:w="1004" w:type="dxa"/>
          </w:tcPr>
          <w:p w14:paraId="277AC0B7" w14:textId="77777777" w:rsidR="007F3F5C" w:rsidRPr="002836EB" w:rsidRDefault="007F3F5C" w:rsidP="001475DE">
            <w:pPr>
              <w:pStyle w:val="02Tabletext"/>
              <w:jc w:val="center"/>
            </w:pPr>
            <w:r w:rsidRPr="008A5A00">
              <w:t>31,825</w:t>
            </w:r>
          </w:p>
        </w:tc>
        <w:tc>
          <w:tcPr>
            <w:tcW w:w="1088" w:type="dxa"/>
          </w:tcPr>
          <w:p w14:paraId="2B3FF40A" w14:textId="77777777" w:rsidR="007F3F5C" w:rsidRPr="002836EB" w:rsidRDefault="007F3F5C" w:rsidP="001475DE">
            <w:pPr>
              <w:pStyle w:val="02Tabletext"/>
              <w:jc w:val="center"/>
            </w:pPr>
            <w:r w:rsidRPr="008A5A00">
              <w:t>$2,165,645</w:t>
            </w:r>
          </w:p>
        </w:tc>
        <w:tc>
          <w:tcPr>
            <w:tcW w:w="1204" w:type="dxa"/>
          </w:tcPr>
          <w:p w14:paraId="4F81E904" w14:textId="77777777" w:rsidR="007F3F5C" w:rsidRPr="002836EB" w:rsidRDefault="007F3F5C" w:rsidP="001475DE">
            <w:pPr>
              <w:pStyle w:val="02Tabletext"/>
              <w:jc w:val="center"/>
            </w:pPr>
            <w:r w:rsidRPr="008A5A00">
              <w:t>27.1%</w:t>
            </w:r>
          </w:p>
        </w:tc>
      </w:tr>
      <w:tr w:rsidR="007F3F5C" w:rsidRPr="002836EB" w14:paraId="67A936B6" w14:textId="77777777" w:rsidTr="001475DE">
        <w:tc>
          <w:tcPr>
            <w:tcW w:w="714" w:type="dxa"/>
          </w:tcPr>
          <w:p w14:paraId="1C36F9BB" w14:textId="77777777" w:rsidR="007F3F5C" w:rsidRPr="002836EB" w:rsidRDefault="007F3F5C" w:rsidP="001475DE">
            <w:pPr>
              <w:pStyle w:val="02Tabletext"/>
            </w:pPr>
            <w:r w:rsidRPr="002836EB">
              <w:t>872</w:t>
            </w:r>
          </w:p>
        </w:tc>
        <w:tc>
          <w:tcPr>
            <w:tcW w:w="4095" w:type="dxa"/>
          </w:tcPr>
          <w:p w14:paraId="04172F9D" w14:textId="77777777" w:rsidR="007F3F5C" w:rsidRPr="002836EB" w:rsidRDefault="007F3F5C" w:rsidP="001475DE">
            <w:pPr>
              <w:pStyle w:val="02Tabletext"/>
              <w:rPr>
                <w:shd w:val="clear" w:color="auto" w:fill="FBFBFB"/>
              </w:rPr>
            </w:pPr>
            <w:r w:rsidRPr="002836EB">
              <w:rPr>
                <w:shd w:val="clear" w:color="auto" w:fill="FBFBFB"/>
              </w:rPr>
              <w:t>Attendance by a Medical Practitioner (including a specialist or consultant physician in the practice of his or her specialty or a General Practitioner), as a member of a case conference team, to PARTICIPATE IN A MULTIDISCIPLINARY CASE CONFERENCE ON A PATIENT WITH CANCER TO DEVELOP A MULTIDISCIPLINARY TREATMENT PLAN, where the case conference is of at least 10 minutes, with a multidisciplinary team of at least three other Medical Practitioners from different areas of medical practice (which may include general practice), and, in addition, allied health providers.</w:t>
            </w:r>
          </w:p>
        </w:tc>
        <w:tc>
          <w:tcPr>
            <w:tcW w:w="923" w:type="dxa"/>
          </w:tcPr>
          <w:p w14:paraId="088A41C0" w14:textId="77777777" w:rsidR="007F3F5C" w:rsidRPr="002836EB" w:rsidRDefault="007F3F5C" w:rsidP="001475DE">
            <w:pPr>
              <w:pStyle w:val="02Tabletext"/>
              <w:jc w:val="center"/>
            </w:pPr>
            <w:r w:rsidRPr="002836EB">
              <w:t>$37.40</w:t>
            </w:r>
          </w:p>
        </w:tc>
        <w:tc>
          <w:tcPr>
            <w:tcW w:w="1003" w:type="dxa"/>
          </w:tcPr>
          <w:p w14:paraId="3B092091" w14:textId="77777777" w:rsidR="007F3F5C" w:rsidRPr="002836EB" w:rsidRDefault="007F3F5C" w:rsidP="001475DE">
            <w:pPr>
              <w:pStyle w:val="02Tabletext"/>
              <w:jc w:val="center"/>
            </w:pPr>
            <w:r w:rsidRPr="008A5A00">
              <w:t>53,331</w:t>
            </w:r>
          </w:p>
        </w:tc>
        <w:tc>
          <w:tcPr>
            <w:tcW w:w="1085" w:type="dxa"/>
          </w:tcPr>
          <w:p w14:paraId="68332EE5" w14:textId="77777777" w:rsidR="007F3F5C" w:rsidRPr="002836EB" w:rsidRDefault="007F3F5C" w:rsidP="001475DE">
            <w:pPr>
              <w:pStyle w:val="02Tabletext"/>
              <w:jc w:val="center"/>
            </w:pPr>
            <w:r w:rsidRPr="008A5A00">
              <w:t>$1,692,549</w:t>
            </w:r>
          </w:p>
        </w:tc>
        <w:tc>
          <w:tcPr>
            <w:tcW w:w="1196" w:type="dxa"/>
          </w:tcPr>
          <w:p w14:paraId="0E9AE754" w14:textId="77777777" w:rsidR="007F3F5C" w:rsidRPr="002836EB" w:rsidRDefault="007F3F5C" w:rsidP="001475DE">
            <w:pPr>
              <w:pStyle w:val="02Tabletext"/>
              <w:jc w:val="center"/>
              <w:rPr>
                <w:shd w:val="clear" w:color="auto" w:fill="FBFBFB"/>
              </w:rPr>
            </w:pPr>
            <w:r w:rsidRPr="008A5A00">
              <w:t>41.4%</w:t>
            </w:r>
          </w:p>
        </w:tc>
      </w:tr>
    </w:tbl>
    <w:p w14:paraId="61A4E2F8" w14:textId="77777777" w:rsidR="007F3F5C" w:rsidRDefault="007F3F5C" w:rsidP="007F3F5C">
      <w:pPr>
        <w:pStyle w:val="TableUnderLast"/>
        <w:spacing w:after="0"/>
      </w:pPr>
      <w:r w:rsidRPr="00D818DC">
        <w:t>Unpublished data</w:t>
      </w:r>
      <w:r>
        <w:t>, extract based on date of processing</w:t>
      </w:r>
      <w:r w:rsidRPr="00D818DC">
        <w:t xml:space="preserve"> (Department of Health)</w:t>
      </w:r>
      <w:r>
        <w:t>.</w:t>
      </w:r>
    </w:p>
    <w:p w14:paraId="0DA431CB" w14:textId="77777777" w:rsidR="007F3F5C" w:rsidRPr="002836EB" w:rsidRDefault="007F3F5C" w:rsidP="007F3F5C">
      <w:pPr>
        <w:pStyle w:val="Boldhdg"/>
        <w:rPr>
          <w:lang w:val="en-GB"/>
        </w:rPr>
      </w:pPr>
      <w:r>
        <w:t>Discussion and letter to the Principles and Rules Committee</w:t>
      </w:r>
    </w:p>
    <w:p w14:paraId="6F16E939" w14:textId="77777777" w:rsidR="007F3F5C" w:rsidRPr="002836EB" w:rsidRDefault="007F3F5C" w:rsidP="007F3F5C">
      <w:pPr>
        <w:pStyle w:val="01squarebullet"/>
        <w:rPr>
          <w:lang w:val="en-GB"/>
        </w:rPr>
      </w:pPr>
      <w:r w:rsidRPr="002836EB">
        <w:rPr>
          <w:lang w:val="en-GB"/>
        </w:rPr>
        <w:t xml:space="preserve">The Committee requests that the Principles and Rules Committee of the MBS Review convenes a multidisciplinary </w:t>
      </w:r>
      <w:r>
        <w:rPr>
          <w:lang w:val="en-GB"/>
        </w:rPr>
        <w:t>W</w:t>
      </w:r>
      <w:r w:rsidRPr="002836EB">
        <w:rPr>
          <w:lang w:val="en-GB"/>
        </w:rPr>
        <w:t xml:space="preserve">orking </w:t>
      </w:r>
      <w:r>
        <w:rPr>
          <w:lang w:val="en-GB"/>
        </w:rPr>
        <w:t>G</w:t>
      </w:r>
      <w:r w:rsidRPr="002836EB">
        <w:rPr>
          <w:lang w:val="en-GB"/>
        </w:rPr>
        <w:t xml:space="preserve">roup to develop recommendations to improve the way in which the MBS funds multidisciplinary meetings, such as cancer care case conferences. </w:t>
      </w:r>
    </w:p>
    <w:p w14:paraId="5CFE1D8D" w14:textId="77777777" w:rsidR="007F3F5C" w:rsidRPr="002836EB" w:rsidRDefault="007F3F5C" w:rsidP="007F3F5C">
      <w:pPr>
        <w:pStyle w:val="01squarebullet"/>
        <w:numPr>
          <w:ilvl w:val="1"/>
          <w:numId w:val="16"/>
        </w:numPr>
        <w:rPr>
          <w:lang w:val="en-GB"/>
        </w:rPr>
      </w:pPr>
      <w:r w:rsidRPr="002836EB">
        <w:rPr>
          <w:lang w:val="en-GB"/>
        </w:rPr>
        <w:t>For cancer care case conference items, this would include input from relevant medical specialists in diagnostic imaging, pathology, medical oncology, radiation oncology, surgica</w:t>
      </w:r>
      <w:r>
        <w:rPr>
          <w:lang w:val="en-GB"/>
        </w:rPr>
        <w:t xml:space="preserve">l oncology, palliative medicine, </w:t>
      </w:r>
      <w:r w:rsidRPr="002836EB">
        <w:rPr>
          <w:lang w:val="en-GB"/>
        </w:rPr>
        <w:t>pain medicine</w:t>
      </w:r>
      <w:r>
        <w:rPr>
          <w:lang w:val="en-GB"/>
        </w:rPr>
        <w:t xml:space="preserve"> and</w:t>
      </w:r>
      <w:r w:rsidRPr="002836EB">
        <w:rPr>
          <w:lang w:val="en-GB"/>
        </w:rPr>
        <w:t xml:space="preserve"> </w:t>
      </w:r>
      <w:r>
        <w:rPr>
          <w:lang w:val="en-GB"/>
        </w:rPr>
        <w:t xml:space="preserve">general practice, </w:t>
      </w:r>
      <w:r w:rsidRPr="002836EB">
        <w:rPr>
          <w:lang w:val="en-GB"/>
        </w:rPr>
        <w:t>as well as allied health specialists.</w:t>
      </w:r>
    </w:p>
    <w:p w14:paraId="1BC08F27" w14:textId="77777777" w:rsidR="007F3F5C" w:rsidRPr="002836EB" w:rsidRDefault="007F3F5C" w:rsidP="007F3F5C">
      <w:pPr>
        <w:pStyle w:val="01squarebullet"/>
        <w:numPr>
          <w:ilvl w:val="1"/>
          <w:numId w:val="16"/>
        </w:numPr>
        <w:rPr>
          <w:lang w:val="en-GB"/>
        </w:rPr>
      </w:pPr>
      <w:r w:rsidRPr="002836EB">
        <w:rPr>
          <w:lang w:val="en-GB"/>
        </w:rPr>
        <w:t>Specifically, the Committee recommends considering whether alternative funding models are desirable and feasible (for example, items to reimburse facilities or clinical teams, rather than individual practitioners).</w:t>
      </w:r>
    </w:p>
    <w:p w14:paraId="45409858" w14:textId="77777777" w:rsidR="007F3F5C" w:rsidRPr="002836EB" w:rsidRDefault="007F3F5C" w:rsidP="007F3F5C">
      <w:pPr>
        <w:pStyle w:val="Boldhdg"/>
        <w:rPr>
          <w:lang w:val="en-GB"/>
        </w:rPr>
      </w:pPr>
      <w:r w:rsidRPr="002836EB">
        <w:rPr>
          <w:lang w:val="en-GB"/>
        </w:rPr>
        <w:t>Rationale</w:t>
      </w:r>
    </w:p>
    <w:p w14:paraId="5A214541" w14:textId="77777777" w:rsidR="007F3F5C" w:rsidRPr="002836EB" w:rsidRDefault="007F3F5C" w:rsidP="007F3F5C">
      <w:r w:rsidRPr="002836EB">
        <w:t xml:space="preserve">This </w:t>
      </w:r>
      <w:r>
        <w:t>request</w:t>
      </w:r>
      <w:r w:rsidRPr="002836EB">
        <w:t xml:space="preserve"> reflects the Committee’s concern that cancer care case conference items (871 and 872) do not function as intended. It focuses on improving affordable and universal access to best-practice health services and is based on the following observations.</w:t>
      </w:r>
    </w:p>
    <w:p w14:paraId="496AADEC" w14:textId="77777777" w:rsidR="007F3F5C" w:rsidRPr="007A6E3D" w:rsidRDefault="007F3F5C" w:rsidP="007F3F5C">
      <w:pPr>
        <w:pStyle w:val="01squarebullet"/>
        <w:numPr>
          <w:ilvl w:val="0"/>
          <w:numId w:val="15"/>
        </w:numPr>
        <w:rPr>
          <w:vertAlign w:val="superscript"/>
          <w:lang w:val="en-GB"/>
        </w:rPr>
      </w:pPr>
      <w:r w:rsidRPr="002836EB">
        <w:rPr>
          <w:lang w:val="en-GB"/>
        </w:rPr>
        <w:lastRenderedPageBreak/>
        <w:t>Items 871 and 872 (and the service they represent) are inconsistently used and underutilised. A 2009 review of the items by Cancer Institute NSW found that 96 per cent of respondents did not use the available MBS items, and that 93 per cent of those who did use them stated that the items’ availability “makes no difference to [their] attendance” at cancer care case conferences.</w:t>
      </w:r>
      <w:r w:rsidRPr="007A6E3D">
        <w:rPr>
          <w:vertAlign w:val="superscript"/>
          <w:lang w:val="en-GB"/>
        </w:rPr>
        <w:fldChar w:fldCharType="begin" w:fldLock="1"/>
      </w:r>
      <w:r w:rsidRPr="007A6E3D">
        <w:rPr>
          <w:vertAlign w:val="superscript"/>
          <w:lang w:val="en-GB"/>
        </w:rPr>
        <w:instrText>ADDIN CSL_CITATION { "citationItems" : [ { "id" : "ITEM-1", "itemData" : { "author" : [ { "dropping-particle" : "", "family" : "Cancer Institute NSW", "given" : "", "non-dropping-particle" : "", "parse-names" : false, "suffix" : "" } ], "id" : "ITEM-1", "issued" : { "date-parts" : [ [ "2009" ] ] }, "title" : "Multidisciplinary teams and the use of the Medicare Benefits Schedule", "type" : "webpage" }, "uris" : [ "http://www.mendeley.com/documents/?uuid=3e4d0241-ea89-4a2a-854e-64f20bf75817", "http://www.mendeley.com/documents/?uuid=49cffaae-463e-4d89-be06-ed5e723d69a9" ] } ], "mendeley" : { "formattedCitation" : "(8)", "plainTextFormattedCitation" : "(8)", "previouslyFormattedCitation" : "(8)" }, "properties" : { "noteIndex" : 0 }, "schema" : "https://github.com/citation-style-language/schema/raw/master/csl-citation.json" }</w:instrText>
      </w:r>
      <w:r w:rsidRPr="007A6E3D">
        <w:rPr>
          <w:vertAlign w:val="superscript"/>
          <w:lang w:val="en-GB"/>
        </w:rPr>
        <w:fldChar w:fldCharType="separate"/>
      </w:r>
      <w:r w:rsidRPr="007A6E3D">
        <w:rPr>
          <w:noProof/>
          <w:vertAlign w:val="superscript"/>
          <w:lang w:val="en-GB"/>
        </w:rPr>
        <w:t>(8)</w:t>
      </w:r>
      <w:r w:rsidRPr="007A6E3D">
        <w:rPr>
          <w:vertAlign w:val="superscript"/>
          <w:lang w:val="en-GB"/>
        </w:rPr>
        <w:fldChar w:fldCharType="end"/>
      </w:r>
    </w:p>
    <w:p w14:paraId="1C9F1260" w14:textId="77777777" w:rsidR="007F3F5C" w:rsidRPr="002836EB" w:rsidRDefault="007F3F5C" w:rsidP="007F3F5C">
      <w:pPr>
        <w:pStyle w:val="01squarebullet"/>
        <w:rPr>
          <w:lang w:val="en-GB"/>
        </w:rPr>
      </w:pPr>
      <w:r w:rsidRPr="002836EB">
        <w:rPr>
          <w:lang w:val="en-GB"/>
        </w:rPr>
        <w:t>MBS per-capita service volumes for these items vary considerably</w:t>
      </w:r>
      <w:r>
        <w:rPr>
          <w:lang w:val="en-GB"/>
        </w:rPr>
        <w:t>.</w:t>
      </w:r>
      <w:r w:rsidRPr="002836EB">
        <w:rPr>
          <w:lang w:val="en-GB"/>
        </w:rPr>
        <w:t xml:space="preserve"> (</w:t>
      </w:r>
      <w:r>
        <w:rPr>
          <w:lang w:val="en-GB"/>
        </w:rPr>
        <w:t>For example</w:t>
      </w:r>
      <w:r w:rsidRPr="002836EB">
        <w:rPr>
          <w:lang w:val="en-GB"/>
        </w:rPr>
        <w:t xml:space="preserve">, </w:t>
      </w:r>
      <w:r>
        <w:rPr>
          <w:lang w:val="en-GB"/>
        </w:rPr>
        <w:t xml:space="preserve">there is </w:t>
      </w:r>
      <w:r w:rsidRPr="002836EB">
        <w:rPr>
          <w:lang w:val="en-GB"/>
        </w:rPr>
        <w:t xml:space="preserve">more than a </w:t>
      </w:r>
      <w:r>
        <w:rPr>
          <w:lang w:val="en-GB"/>
        </w:rPr>
        <w:t>10</w:t>
      </w:r>
      <w:r w:rsidRPr="002836EB">
        <w:rPr>
          <w:lang w:val="en-GB"/>
        </w:rPr>
        <w:t xml:space="preserve">-fold difference between Tasmania and Victoria; </w:t>
      </w:r>
      <w:r w:rsidRPr="002836EB">
        <w:rPr>
          <w:lang w:val="en-GB"/>
        </w:rPr>
        <w:fldChar w:fldCharType="begin"/>
      </w:r>
      <w:r w:rsidRPr="002836EB">
        <w:rPr>
          <w:lang w:val="en-GB"/>
        </w:rPr>
        <w:instrText xml:space="preserve"> REF _Ref464023024 \h </w:instrText>
      </w:r>
      <w:r w:rsidRPr="002836EB">
        <w:rPr>
          <w:lang w:val="en-GB"/>
        </w:rPr>
      </w:r>
      <w:r w:rsidRPr="002836EB">
        <w:rPr>
          <w:lang w:val="en-GB"/>
        </w:rPr>
        <w:fldChar w:fldCharType="separate"/>
      </w:r>
      <w:r w:rsidR="003274EF" w:rsidRPr="002836EB">
        <w:t xml:space="preserve">Figure </w:t>
      </w:r>
      <w:r w:rsidR="003274EF">
        <w:rPr>
          <w:noProof/>
        </w:rPr>
        <w:t>8</w:t>
      </w:r>
      <w:r w:rsidRPr="002836EB">
        <w:rPr>
          <w:lang w:val="en-GB"/>
        </w:rPr>
        <w:fldChar w:fldCharType="end"/>
      </w:r>
      <w:r>
        <w:rPr>
          <w:lang w:val="en-GB"/>
        </w:rPr>
        <w:t>.</w:t>
      </w:r>
      <w:r w:rsidRPr="002836EB">
        <w:rPr>
          <w:lang w:val="en-GB"/>
        </w:rPr>
        <w:t xml:space="preserve">) Although this is partly due to variation between MBS-funded and non-MBS-funded patients, there is also likely to be significant variation due to reasons unrelated to clinical need. </w:t>
      </w:r>
    </w:p>
    <w:p w14:paraId="1D90A5F9" w14:textId="77777777" w:rsidR="007F3F5C" w:rsidRPr="00CF3606" w:rsidRDefault="007F3F5C" w:rsidP="007F3F5C">
      <w:pPr>
        <w:pStyle w:val="01squarebullet"/>
        <w:numPr>
          <w:ilvl w:val="1"/>
          <w:numId w:val="16"/>
        </w:numPr>
        <w:rPr>
          <w:vertAlign w:val="superscript"/>
          <w:lang w:val="en-GB"/>
        </w:rPr>
      </w:pPr>
      <w:r w:rsidRPr="002836EB">
        <w:rPr>
          <w:lang w:val="en-GB"/>
        </w:rPr>
        <w:t>Firstly, not all cancer cases receive cancer care case conferences.</w:t>
      </w:r>
      <w:r>
        <w:rPr>
          <w:lang w:val="en-GB"/>
        </w:rPr>
        <w:t xml:space="preserve"> For example, approximately 5 per cent of private patients and 42 per cent of public patients in Queensland are reviewed by a multidisciplinary team.</w:t>
      </w:r>
      <w:r w:rsidRPr="00CF3606">
        <w:rPr>
          <w:vertAlign w:val="superscript"/>
          <w:lang w:val="en-GB"/>
        </w:rPr>
        <w:fldChar w:fldCharType="begin" w:fldLock="1"/>
      </w:r>
      <w:r w:rsidRPr="00CF3606">
        <w:rPr>
          <w:vertAlign w:val="superscript"/>
          <w:lang w:val="en-GB"/>
        </w:rPr>
        <w:instrText>ADDIN CSL_CITATION { "citationItems" : [ { "id" : "ITEM-1", "itemData" : { "author" : [ { "dropping-particle" : "", "family" : "Queensland Cancer Control Analysis Team &amp; Queensland Cancer Control Safety and Quality Partnership", "given" : "", "non-dropping-particle" : "", "parse-names" : false, "suffix" : "" } ], "id" : "ITEM-1", "issue" : "October", "issued" : { "date-parts" : [ [ "2016" ] ] }, "number-of-pages" : "1-2", "title" : "Multidisciplinary Team (MDT) review in Queensland [unpublished data]", "type" : "report" }, "uris" : [ "http://www.mendeley.com/documents/?uuid=89858a6a-a5a1-4d01-9448-aebfc2ff15b3", "http://www.mendeley.com/documents/?uuid=28ec2f71-5403-4398-8dd2-0fe360e7c6ba" ] } ], "mendeley" : { "formattedCitation" : "(9)", "plainTextFormattedCitation" : "(9)", "previouslyFormattedCitation" : "(9)" }, "properties" : { "noteIndex" : 0 }, "schema" : "https://github.com/citation-style-language/schema/raw/master/csl-citation.json" }</w:instrText>
      </w:r>
      <w:r w:rsidRPr="00CF3606">
        <w:rPr>
          <w:vertAlign w:val="superscript"/>
          <w:lang w:val="en-GB"/>
        </w:rPr>
        <w:fldChar w:fldCharType="separate"/>
      </w:r>
      <w:r w:rsidRPr="00CF3606">
        <w:rPr>
          <w:noProof/>
          <w:vertAlign w:val="superscript"/>
          <w:lang w:val="en-GB"/>
        </w:rPr>
        <w:t>(9)</w:t>
      </w:r>
      <w:r w:rsidRPr="00CF3606">
        <w:rPr>
          <w:vertAlign w:val="superscript"/>
          <w:lang w:val="en-GB"/>
        </w:rPr>
        <w:fldChar w:fldCharType="end"/>
      </w:r>
    </w:p>
    <w:p w14:paraId="513C04AB" w14:textId="77777777" w:rsidR="007F3F5C" w:rsidRPr="002836EB" w:rsidRDefault="007F3F5C" w:rsidP="007F3F5C">
      <w:pPr>
        <w:pStyle w:val="01squarebullet"/>
        <w:numPr>
          <w:ilvl w:val="1"/>
          <w:numId w:val="16"/>
        </w:numPr>
        <w:rPr>
          <w:lang w:val="en-GB"/>
        </w:rPr>
      </w:pPr>
      <w:r w:rsidRPr="002836EB">
        <w:rPr>
          <w:lang w:val="en-GB"/>
        </w:rPr>
        <w:t>Secondly, where such conferences occur, involvement of particular provider types is insufficient and/or inconsistent—for example, palliative medicine and pain medicine (</w:t>
      </w:r>
      <w:r w:rsidRPr="002836EB">
        <w:rPr>
          <w:lang w:val="en-GB"/>
        </w:rPr>
        <w:fldChar w:fldCharType="begin"/>
      </w:r>
      <w:r w:rsidRPr="002836EB">
        <w:rPr>
          <w:lang w:val="en-GB"/>
        </w:rPr>
        <w:instrText xml:space="preserve"> REF _Ref464023582 \h </w:instrText>
      </w:r>
      <w:r w:rsidRPr="002836EB">
        <w:rPr>
          <w:lang w:val="en-GB"/>
        </w:rPr>
      </w:r>
      <w:r w:rsidRPr="002836EB">
        <w:rPr>
          <w:lang w:val="en-GB"/>
        </w:rPr>
        <w:fldChar w:fldCharType="separate"/>
      </w:r>
      <w:r w:rsidR="003274EF" w:rsidRPr="002836EB">
        <w:t xml:space="preserve">Figure </w:t>
      </w:r>
      <w:r w:rsidR="003274EF">
        <w:rPr>
          <w:noProof/>
        </w:rPr>
        <w:t>9</w:t>
      </w:r>
      <w:r w:rsidRPr="002836EB">
        <w:rPr>
          <w:lang w:val="en-GB"/>
        </w:rPr>
        <w:fldChar w:fldCharType="end"/>
      </w:r>
      <w:r w:rsidRPr="002836EB">
        <w:rPr>
          <w:lang w:val="en-GB"/>
        </w:rPr>
        <w:t>).</w:t>
      </w:r>
    </w:p>
    <w:p w14:paraId="068BEB57" w14:textId="77777777" w:rsidR="007F3F5C" w:rsidRPr="002836EB" w:rsidRDefault="007F3F5C" w:rsidP="007F3F5C">
      <w:pPr>
        <w:pStyle w:val="01squarebullet"/>
        <w:numPr>
          <w:ilvl w:val="1"/>
          <w:numId w:val="16"/>
        </w:numPr>
        <w:rPr>
          <w:lang w:val="en-GB"/>
        </w:rPr>
      </w:pPr>
      <w:r w:rsidRPr="002836EB">
        <w:rPr>
          <w:lang w:val="en-GB"/>
        </w:rPr>
        <w:t>Lastly,</w:t>
      </w:r>
      <w:r>
        <w:rPr>
          <w:lang w:val="en-GB"/>
        </w:rPr>
        <w:t xml:space="preserve"> where a cancer care case conference occurs, </w:t>
      </w:r>
      <w:r w:rsidRPr="002836EB">
        <w:rPr>
          <w:lang w:val="en-GB"/>
        </w:rPr>
        <w:t>not all providers participat</w:t>
      </w:r>
      <w:r>
        <w:rPr>
          <w:lang w:val="en-GB"/>
        </w:rPr>
        <w:t>ing</w:t>
      </w:r>
      <w:r w:rsidRPr="002836EB">
        <w:rPr>
          <w:lang w:val="en-GB"/>
        </w:rPr>
        <w:t xml:space="preserve"> in </w:t>
      </w:r>
      <w:r>
        <w:rPr>
          <w:lang w:val="en-GB"/>
        </w:rPr>
        <w:t>the conference</w:t>
      </w:r>
      <w:r w:rsidRPr="002836EB">
        <w:rPr>
          <w:lang w:val="en-GB"/>
        </w:rPr>
        <w:t xml:space="preserve"> bill</w:t>
      </w:r>
      <w:r>
        <w:rPr>
          <w:lang w:val="en-GB"/>
        </w:rPr>
        <w:t xml:space="preserve"> </w:t>
      </w:r>
      <w:r w:rsidRPr="002836EB">
        <w:rPr>
          <w:lang w:val="en-GB"/>
        </w:rPr>
        <w:t xml:space="preserve">this service to the MBS. For example, although a </w:t>
      </w:r>
      <w:r>
        <w:rPr>
          <w:lang w:val="en-GB"/>
        </w:rPr>
        <w:t>P</w:t>
      </w:r>
      <w:r w:rsidRPr="002836EB">
        <w:rPr>
          <w:lang w:val="en-GB"/>
        </w:rPr>
        <w:t xml:space="preserve">athologist and a </w:t>
      </w:r>
      <w:r>
        <w:rPr>
          <w:lang w:val="en-GB"/>
        </w:rPr>
        <w:t>R</w:t>
      </w:r>
      <w:r w:rsidRPr="002836EB">
        <w:rPr>
          <w:lang w:val="en-GB"/>
        </w:rPr>
        <w:t>adiologist</w:t>
      </w:r>
      <w:r>
        <w:rPr>
          <w:lang w:val="en-GB"/>
        </w:rPr>
        <w:t>/Nuclear Medicine Physician</w:t>
      </w:r>
      <w:r w:rsidRPr="002836EB">
        <w:rPr>
          <w:lang w:val="en-GB"/>
        </w:rPr>
        <w:t xml:space="preserve"> are typically present for all cancer care case conferences, only 9,100 </w:t>
      </w:r>
      <w:r>
        <w:rPr>
          <w:lang w:val="en-GB"/>
        </w:rPr>
        <w:t xml:space="preserve">or fewer </w:t>
      </w:r>
      <w:r w:rsidRPr="002836EB">
        <w:rPr>
          <w:lang w:val="en-GB"/>
        </w:rPr>
        <w:t xml:space="preserve">MBS </w:t>
      </w:r>
      <w:r>
        <w:rPr>
          <w:lang w:val="en-GB"/>
        </w:rPr>
        <w:t xml:space="preserve">or less </w:t>
      </w:r>
      <w:r w:rsidRPr="002836EB">
        <w:rPr>
          <w:lang w:val="en-GB"/>
        </w:rPr>
        <w:t>services were billed for each of these specialties in FY2014</w:t>
      </w:r>
      <w:r>
        <w:rPr>
          <w:lang w:val="en-GB"/>
        </w:rPr>
        <w:t>/</w:t>
      </w:r>
      <w:r w:rsidRPr="002836EB">
        <w:rPr>
          <w:lang w:val="en-GB"/>
        </w:rPr>
        <w:t xml:space="preserve">15, compared </w:t>
      </w:r>
      <w:r>
        <w:rPr>
          <w:lang w:val="en-GB"/>
        </w:rPr>
        <w:t>with</w:t>
      </w:r>
      <w:r w:rsidRPr="002836EB">
        <w:rPr>
          <w:lang w:val="en-GB"/>
        </w:rPr>
        <w:t xml:space="preserve"> 23,400 for </w:t>
      </w:r>
      <w:r>
        <w:rPr>
          <w:lang w:val="en-GB"/>
        </w:rPr>
        <w:t>Surgeon</w:t>
      </w:r>
      <w:r w:rsidRPr="002836EB">
        <w:rPr>
          <w:lang w:val="en-GB"/>
        </w:rPr>
        <w:t>s (</w:t>
      </w:r>
      <w:r w:rsidRPr="002836EB">
        <w:rPr>
          <w:lang w:val="en-GB"/>
        </w:rPr>
        <w:fldChar w:fldCharType="begin"/>
      </w:r>
      <w:r w:rsidRPr="002836EB">
        <w:rPr>
          <w:lang w:val="en-GB"/>
        </w:rPr>
        <w:instrText xml:space="preserve"> REF _Ref464023582 \h </w:instrText>
      </w:r>
      <w:r w:rsidRPr="002836EB">
        <w:rPr>
          <w:lang w:val="en-GB"/>
        </w:rPr>
      </w:r>
      <w:r w:rsidRPr="002836EB">
        <w:rPr>
          <w:lang w:val="en-GB"/>
        </w:rPr>
        <w:fldChar w:fldCharType="separate"/>
      </w:r>
      <w:r w:rsidR="003274EF" w:rsidRPr="002836EB">
        <w:t xml:space="preserve">Figure </w:t>
      </w:r>
      <w:r w:rsidR="003274EF">
        <w:rPr>
          <w:noProof/>
        </w:rPr>
        <w:t>9</w:t>
      </w:r>
      <w:r w:rsidRPr="002836EB">
        <w:rPr>
          <w:lang w:val="en-GB"/>
        </w:rPr>
        <w:fldChar w:fldCharType="end"/>
      </w:r>
      <w:r w:rsidRPr="002836EB">
        <w:rPr>
          <w:lang w:val="en-GB"/>
        </w:rPr>
        <w:t xml:space="preserve">). This indicates that at least half of the cancer care case conferences attended by </w:t>
      </w:r>
      <w:r>
        <w:rPr>
          <w:lang w:val="en-GB"/>
        </w:rPr>
        <w:t>P</w:t>
      </w:r>
      <w:r w:rsidRPr="002836EB">
        <w:rPr>
          <w:lang w:val="en-GB"/>
        </w:rPr>
        <w:t xml:space="preserve">athologists and </w:t>
      </w:r>
      <w:r>
        <w:rPr>
          <w:lang w:val="en-GB"/>
        </w:rPr>
        <w:t>R</w:t>
      </w:r>
      <w:r w:rsidRPr="002836EB">
        <w:rPr>
          <w:lang w:val="en-GB"/>
        </w:rPr>
        <w:t>adiologist</w:t>
      </w:r>
      <w:r>
        <w:rPr>
          <w:lang w:val="en-GB"/>
        </w:rPr>
        <w:t>s/Nuclear Medicine Physicians</w:t>
      </w:r>
      <w:r w:rsidRPr="002836EB">
        <w:rPr>
          <w:lang w:val="en-GB"/>
        </w:rPr>
        <w:t xml:space="preserve"> were not billed to the MBS. </w:t>
      </w:r>
    </w:p>
    <w:p w14:paraId="40D02C91" w14:textId="77777777" w:rsidR="007F3F5C" w:rsidRPr="002836EB" w:rsidRDefault="007F3F5C" w:rsidP="007F3F5C">
      <w:pPr>
        <w:pStyle w:val="01squarebullet"/>
        <w:rPr>
          <w:lang w:val="en-GB"/>
        </w:rPr>
      </w:pPr>
      <w:r w:rsidRPr="002836EB">
        <w:rPr>
          <w:lang w:val="en-GB"/>
        </w:rPr>
        <w:t>These issues are believed to be due to inadequate and burdensome MBS funding arrangements for both the patient and provider</w:t>
      </w:r>
      <w:r>
        <w:rPr>
          <w:lang w:val="en-GB"/>
        </w:rPr>
        <w:t>s</w:t>
      </w:r>
      <w:r w:rsidRPr="002836EB">
        <w:rPr>
          <w:lang w:val="en-GB"/>
        </w:rPr>
        <w:t xml:space="preserve">. </w:t>
      </w:r>
    </w:p>
    <w:p w14:paraId="0D4A86DA" w14:textId="77777777" w:rsidR="007F3F5C" w:rsidRPr="002836EB" w:rsidRDefault="007F3F5C" w:rsidP="007F3F5C">
      <w:pPr>
        <w:pStyle w:val="01squarebullet"/>
        <w:numPr>
          <w:ilvl w:val="1"/>
          <w:numId w:val="16"/>
        </w:numPr>
        <w:rPr>
          <w:lang w:val="en-GB"/>
        </w:rPr>
      </w:pPr>
      <w:r w:rsidRPr="002836EB">
        <w:rPr>
          <w:lang w:val="en-GB"/>
        </w:rPr>
        <w:t xml:space="preserve">Firstly, </w:t>
      </w:r>
      <w:r>
        <w:rPr>
          <w:lang w:val="en-GB"/>
        </w:rPr>
        <w:t>the MBS benefit</w:t>
      </w:r>
      <w:r w:rsidRPr="002836EB">
        <w:rPr>
          <w:lang w:val="en-GB"/>
        </w:rPr>
        <w:t xml:space="preserve"> has become inadequate due to increases in the amount of preparation required for case conferences, reflecting increasing patient complexity over time. This is particularly the case for </w:t>
      </w:r>
      <w:r>
        <w:rPr>
          <w:lang w:val="en-GB"/>
        </w:rPr>
        <w:t>P</w:t>
      </w:r>
      <w:r w:rsidRPr="002836EB">
        <w:rPr>
          <w:lang w:val="en-GB"/>
        </w:rPr>
        <w:t xml:space="preserve">athologists and </w:t>
      </w:r>
      <w:r>
        <w:rPr>
          <w:lang w:val="en-GB"/>
        </w:rPr>
        <w:t>R</w:t>
      </w:r>
      <w:r w:rsidRPr="002836EB">
        <w:rPr>
          <w:lang w:val="en-GB"/>
        </w:rPr>
        <w:t>adiologists</w:t>
      </w:r>
      <w:r>
        <w:rPr>
          <w:lang w:val="en-GB"/>
        </w:rPr>
        <w:t>/Nuclear Medicine Physicians</w:t>
      </w:r>
      <w:r w:rsidRPr="002836EB">
        <w:rPr>
          <w:lang w:val="en-GB"/>
        </w:rPr>
        <w:t>, who are typically unfamiliar with the patient prior to the meeting</w:t>
      </w:r>
      <w:r>
        <w:rPr>
          <w:lang w:val="en-GB"/>
        </w:rPr>
        <w:t xml:space="preserve"> and must spend considerable time reviewing clinical material in advance of the meeting</w:t>
      </w:r>
      <w:r w:rsidRPr="002836EB">
        <w:rPr>
          <w:lang w:val="en-GB"/>
        </w:rPr>
        <w:t xml:space="preserve"> (i.e., the meeting is akin to an initial rather than a subsequent consultation). </w:t>
      </w:r>
    </w:p>
    <w:p w14:paraId="7F241A4E" w14:textId="77777777" w:rsidR="007F3F5C" w:rsidRPr="002836EB" w:rsidRDefault="007F3F5C" w:rsidP="007F3F5C">
      <w:pPr>
        <w:pStyle w:val="01squarebullet"/>
        <w:numPr>
          <w:ilvl w:val="1"/>
          <w:numId w:val="16"/>
        </w:numPr>
        <w:rPr>
          <w:lang w:val="en-GB"/>
        </w:rPr>
      </w:pPr>
      <w:r w:rsidRPr="002836EB">
        <w:rPr>
          <w:lang w:val="en-GB"/>
        </w:rPr>
        <w:t>Secondly, the item descriptions are too restrictive. For example, the item stipulates a minimum 10-minute duration for the case conference, but it does not recognise the preparatory time required to ensure the efficient use of clinician time at the case conference itself (including where preparation involves preliminary or clarifying discussions between participants).</w:t>
      </w:r>
      <w:r>
        <w:rPr>
          <w:lang w:val="en-GB"/>
        </w:rPr>
        <w:t xml:space="preserve"> This is especially true for Pathologists and Radiologists/Nuclear Medicine Physicians.</w:t>
      </w:r>
    </w:p>
    <w:p w14:paraId="27121C9F" w14:textId="77777777" w:rsidR="007F3F5C" w:rsidRPr="002836EB" w:rsidRDefault="007F3F5C" w:rsidP="007F3F5C">
      <w:pPr>
        <w:pStyle w:val="01squarebullet"/>
        <w:numPr>
          <w:ilvl w:val="1"/>
          <w:numId w:val="16"/>
        </w:numPr>
        <w:rPr>
          <w:lang w:val="en-GB"/>
        </w:rPr>
      </w:pPr>
      <w:r w:rsidRPr="002836EB">
        <w:rPr>
          <w:lang w:val="en-GB"/>
        </w:rPr>
        <w:t>Lastly, the billing arrangements are burdensome and confusing for patients, as each provider bills separately for his or her involvement in the case conference. The Committee noted that</w:t>
      </w:r>
      <w:r>
        <w:rPr>
          <w:lang w:val="en-GB"/>
        </w:rPr>
        <w:t xml:space="preserve"> this could lead to funding inefficiencies in instances </w:t>
      </w:r>
      <w:r w:rsidRPr="002836EB">
        <w:rPr>
          <w:lang w:val="en-GB"/>
        </w:rPr>
        <w:t xml:space="preserve">where these arrangements conflict with other funding arrangements. For example, a visiting medical officer (VMO) at a public hospital could be paid for a three-hour session of cancer care case conferences involving public patients, but could also bill separately via the MBS for private patients who </w:t>
      </w:r>
      <w:r>
        <w:rPr>
          <w:lang w:val="en-GB"/>
        </w:rPr>
        <w:t>were</w:t>
      </w:r>
      <w:r w:rsidRPr="002836EB">
        <w:rPr>
          <w:lang w:val="en-GB"/>
        </w:rPr>
        <w:t xml:space="preserve"> discussed during the same session.</w:t>
      </w:r>
    </w:p>
    <w:p w14:paraId="7CE0C405" w14:textId="77777777" w:rsidR="007F3F5C" w:rsidRDefault="007F3F5C" w:rsidP="007F3F5C">
      <w:pPr>
        <w:pStyle w:val="01squarebullet"/>
        <w:rPr>
          <w:lang w:val="en-GB"/>
        </w:rPr>
      </w:pPr>
      <w:r w:rsidRPr="002836EB">
        <w:rPr>
          <w:lang w:val="en-GB"/>
        </w:rPr>
        <w:t xml:space="preserve">Suggestions for improving the billing arrangements for these items include making </w:t>
      </w:r>
      <w:r>
        <w:rPr>
          <w:lang w:val="en-GB"/>
        </w:rPr>
        <w:t xml:space="preserve">MBS benefits payable for services by a </w:t>
      </w:r>
      <w:r w:rsidRPr="002836EB">
        <w:rPr>
          <w:lang w:val="en-GB"/>
        </w:rPr>
        <w:t>facility</w:t>
      </w:r>
      <w:r>
        <w:rPr>
          <w:lang w:val="en-GB"/>
        </w:rPr>
        <w:t xml:space="preserve"> </w:t>
      </w:r>
      <w:r w:rsidRPr="002836EB">
        <w:rPr>
          <w:lang w:val="en-GB"/>
        </w:rPr>
        <w:t>or a t</w:t>
      </w:r>
      <w:r>
        <w:rPr>
          <w:lang w:val="en-GB"/>
        </w:rPr>
        <w:t xml:space="preserve">eam of clinicians collectively, </w:t>
      </w:r>
      <w:r w:rsidRPr="002836EB">
        <w:rPr>
          <w:lang w:val="en-GB"/>
        </w:rPr>
        <w:t>rather than individual clinician</w:t>
      </w:r>
      <w:r>
        <w:rPr>
          <w:lang w:val="en-GB"/>
        </w:rPr>
        <w:t>s, in order to reflect the preparatory work required by each team.</w:t>
      </w:r>
    </w:p>
    <w:p w14:paraId="55CCDFDD" w14:textId="77777777" w:rsidR="007F3F5C" w:rsidRDefault="007F3F5C" w:rsidP="007F3F5C">
      <w:pPr>
        <w:pStyle w:val="01squarebullet"/>
        <w:rPr>
          <w:lang w:val="en-GB"/>
        </w:rPr>
      </w:pPr>
      <w:r w:rsidRPr="002836EB">
        <w:rPr>
          <w:lang w:val="en-GB"/>
        </w:rPr>
        <w:lastRenderedPageBreak/>
        <w:t xml:space="preserve">Noting the breadth of specialties that need to be taken into account, the likelihood that similar issues must be addressed for other multidisciplinary team meetings, and </w:t>
      </w:r>
      <w:r>
        <w:rPr>
          <w:lang w:val="en-GB"/>
        </w:rPr>
        <w:t>the fact that</w:t>
      </w:r>
      <w:r w:rsidRPr="002836EB">
        <w:rPr>
          <w:lang w:val="en-GB"/>
        </w:rPr>
        <w:t xml:space="preserve"> solutions such as making payments to the facility (rather than individual clinicians) would represent a substantive change to existing principles, the Committee referred the issue to the Principles and Rules Committee for further consideration.</w:t>
      </w:r>
    </w:p>
    <w:p w14:paraId="2FB4F86E" w14:textId="77777777" w:rsidR="007F3F5C" w:rsidRPr="001827B8" w:rsidRDefault="007F3F5C" w:rsidP="007F3F5C">
      <w:pPr>
        <w:pStyle w:val="01squarebullet"/>
        <w:rPr>
          <w:lang w:val="en-GB"/>
        </w:rPr>
      </w:pPr>
      <w:r w:rsidRPr="001827B8">
        <w:rPr>
          <w:lang w:val="en-GB"/>
        </w:rPr>
        <w:t xml:space="preserve">Any resultant revision to cancer care case conference items should support integrated care. For example, decisions made at such case conferences should be made available to the patient’s </w:t>
      </w:r>
      <w:r>
        <w:rPr>
          <w:lang w:val="en-GB"/>
        </w:rPr>
        <w:t>GP</w:t>
      </w:r>
      <w:r w:rsidRPr="001827B8">
        <w:rPr>
          <w:lang w:val="en-GB"/>
        </w:rPr>
        <w:t xml:space="preserve"> in a timely manner to support ongoing patient-centred care co-ordination.</w:t>
      </w:r>
    </w:p>
    <w:p w14:paraId="4CAB50F4" w14:textId="77777777" w:rsidR="007F3F5C" w:rsidRPr="002836EB" w:rsidRDefault="007F3F5C" w:rsidP="007F3F5C">
      <w:pPr>
        <w:pStyle w:val="Caption"/>
        <w:pBdr>
          <w:bottom w:val="single" w:sz="4" w:space="1" w:color="auto"/>
        </w:pBdr>
      </w:pPr>
      <w:bookmarkStart w:id="283" w:name="_Ref464023024"/>
      <w:bookmarkStart w:id="284" w:name="_Toc468647520"/>
      <w:bookmarkStart w:id="285" w:name="_Toc479082830"/>
      <w:r w:rsidRPr="002836EB">
        <w:t xml:space="preserve">Figure </w:t>
      </w:r>
      <w:r w:rsidRPr="002836EB">
        <w:fldChar w:fldCharType="begin"/>
      </w:r>
      <w:r w:rsidRPr="002836EB">
        <w:instrText xml:space="preserve"> SEQ Figure \* ARABIC </w:instrText>
      </w:r>
      <w:r w:rsidRPr="002836EB">
        <w:fldChar w:fldCharType="separate"/>
      </w:r>
      <w:r w:rsidR="003274EF">
        <w:rPr>
          <w:noProof/>
        </w:rPr>
        <w:t>8</w:t>
      </w:r>
      <w:r w:rsidRPr="002836EB">
        <w:fldChar w:fldCharType="end"/>
      </w:r>
      <w:bookmarkEnd w:id="283"/>
      <w:r w:rsidRPr="002836EB">
        <w:t>: MBS services per capita for cancer care case conference items 871 and 872 by state/territory</w:t>
      </w:r>
      <w:bookmarkEnd w:id="284"/>
      <w:bookmarkEnd w:id="285"/>
      <w:r w:rsidRPr="002836EB">
        <w:t xml:space="preserve"> </w:t>
      </w:r>
    </w:p>
    <w:p w14:paraId="634D74EF" w14:textId="77777777" w:rsidR="007F3F5C" w:rsidRDefault="007F3F5C" w:rsidP="007F3F5C">
      <w:pPr>
        <w:jc w:val="center"/>
        <w:rPr>
          <w:lang w:eastAsia="en-US"/>
        </w:rPr>
      </w:pPr>
      <w:r w:rsidRPr="002836EB">
        <w:rPr>
          <w:noProof/>
          <w:lang w:val="en-AU"/>
        </w:rPr>
        <w:drawing>
          <wp:inline distT="0" distB="0" distL="0" distR="0" wp14:anchorId="5C0F64D4" wp14:editId="559C0835">
            <wp:extent cx="4486275" cy="3158067"/>
            <wp:effectExtent l="0" t="0" r="0" b="4445"/>
            <wp:docPr id="4" name="Picture 4" descr="Figure 8 is a stacked bar graph which shows the MBS services per capita for cancer care case conference items 871 and 872 by state or territory, in the 2014-15 financial year. &#10;&#10;Victoria has the highest services per 1000 population, at 5.4, followed by New South Wales at 4.6, South Australia at 2.8 Western Australia at 2.1, Queensland at 1.4, Northern Territory at 1.0, Australian Capital Territory at 0.9, Tasmania at 0.5, for an Australian total of 3.6 services per 1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6075"/>
                    <a:stretch/>
                  </pic:blipFill>
                  <pic:spPr bwMode="auto">
                    <a:xfrm>
                      <a:off x="0" y="0"/>
                      <a:ext cx="4486901" cy="3158508"/>
                    </a:xfrm>
                    <a:prstGeom prst="rect">
                      <a:avLst/>
                    </a:prstGeom>
                    <a:ln>
                      <a:noFill/>
                    </a:ln>
                    <a:extLst>
                      <a:ext uri="{53640926-AAD7-44D8-BBD7-CCE9431645EC}">
                        <a14:shadowObscured xmlns:a14="http://schemas.microsoft.com/office/drawing/2010/main"/>
                      </a:ext>
                    </a:extLst>
                  </pic:spPr>
                </pic:pic>
              </a:graphicData>
            </a:graphic>
          </wp:inline>
        </w:drawing>
      </w:r>
    </w:p>
    <w:p w14:paraId="2D8BDBED" w14:textId="77777777" w:rsidR="007F3F5C" w:rsidRPr="00D818DC" w:rsidRDefault="007F3F5C" w:rsidP="007F3F5C">
      <w:pPr>
        <w:pStyle w:val="TableUnderLast"/>
        <w:pBdr>
          <w:bottom w:val="single" w:sz="4" w:space="1" w:color="auto"/>
        </w:pBdr>
      </w:pPr>
      <w:r w:rsidRPr="00D818DC">
        <w:t>Unpublished data</w:t>
      </w:r>
      <w:r>
        <w:t>, extract based on date of service</w:t>
      </w:r>
      <w:r w:rsidRPr="00D818DC">
        <w:t xml:space="preserve"> (Department of Health)</w:t>
      </w:r>
    </w:p>
    <w:p w14:paraId="6980EA89" w14:textId="77777777" w:rsidR="007F3F5C" w:rsidRPr="002836EB" w:rsidRDefault="007F3F5C" w:rsidP="007F3F5C">
      <w:pPr>
        <w:rPr>
          <w:lang w:eastAsia="en-US"/>
        </w:rPr>
      </w:pPr>
    </w:p>
    <w:p w14:paraId="11B28900" w14:textId="77777777" w:rsidR="007F3F5C" w:rsidRPr="002836EB" w:rsidRDefault="007F3F5C" w:rsidP="007F3F5C">
      <w:pPr>
        <w:pStyle w:val="Caption"/>
        <w:pBdr>
          <w:bottom w:val="single" w:sz="4" w:space="1" w:color="auto"/>
        </w:pBdr>
      </w:pPr>
      <w:bookmarkStart w:id="286" w:name="_Ref464023582"/>
      <w:bookmarkStart w:id="287" w:name="_Toc468647521"/>
      <w:bookmarkStart w:id="288" w:name="_Toc479082831"/>
      <w:r w:rsidRPr="002836EB">
        <w:lastRenderedPageBreak/>
        <w:t xml:space="preserve">Figure </w:t>
      </w:r>
      <w:r w:rsidRPr="002836EB">
        <w:fldChar w:fldCharType="begin"/>
      </w:r>
      <w:r w:rsidRPr="002836EB">
        <w:instrText xml:space="preserve"> SEQ Figure \* ARABIC </w:instrText>
      </w:r>
      <w:r w:rsidRPr="002836EB">
        <w:fldChar w:fldCharType="separate"/>
      </w:r>
      <w:r w:rsidR="003274EF">
        <w:rPr>
          <w:noProof/>
        </w:rPr>
        <w:t>9</w:t>
      </w:r>
      <w:r w:rsidRPr="002836EB">
        <w:fldChar w:fldCharType="end"/>
      </w:r>
      <w:bookmarkEnd w:id="286"/>
      <w:r w:rsidRPr="002836EB">
        <w:t>: MBS services for cancer care case conference items 871 and 872 by provider specialty</w:t>
      </w:r>
      <w:bookmarkEnd w:id="287"/>
      <w:bookmarkEnd w:id="288"/>
    </w:p>
    <w:p w14:paraId="093E88D0" w14:textId="77777777" w:rsidR="007F3F5C" w:rsidRDefault="007F3F5C" w:rsidP="007F3F5C">
      <w:pPr>
        <w:jc w:val="center"/>
        <w:rPr>
          <w:lang w:eastAsia="en-US"/>
        </w:rPr>
      </w:pPr>
      <w:r w:rsidRPr="002836EB">
        <w:rPr>
          <w:noProof/>
          <w:lang w:val="en-AU"/>
        </w:rPr>
        <w:drawing>
          <wp:inline distT="0" distB="0" distL="0" distR="0" wp14:anchorId="5DF3C85F" wp14:editId="6C5ACCA9">
            <wp:extent cx="4486901" cy="3362794"/>
            <wp:effectExtent l="0" t="0" r="9525" b="9525"/>
            <wp:docPr id="7" name="Picture 7" descr="Figure 5 is a stacked bar graph which shows the MBS services for cancer care conference items 871 and 872 by provider specialty for the financial year 2014-15. &#10;&#10;Radiation and Medical Oncologists (combined) account for the plurality of services, at 24.3 thousand, followed by surgery at 23.4 thousand. Diagnostic radiology and pathology each account for 9.1 thousand, with much smaller service counts for remaining specialities. &#10;&#10;In thousands of services, obstetrics and gynaecology account for 3.7, 2.7 for internal medicine, 2.3 for nuclear medicine, 2.0 for respiratory and sleep medicine, 2.0 for ear, nose and throat (ENT), 1.5 for VR GPs, 1.4 for haematology, 1.0 for gastroenterology and hepatology. No other specialities accounted for more than one thousand services in 2014-15 (including Palliative Medicine and Rehabilitatio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6901" cy="3362794"/>
                    </a:xfrm>
                    <a:prstGeom prst="rect">
                      <a:avLst/>
                    </a:prstGeom>
                  </pic:spPr>
                </pic:pic>
              </a:graphicData>
            </a:graphic>
          </wp:inline>
        </w:drawing>
      </w:r>
    </w:p>
    <w:p w14:paraId="3F1355CD" w14:textId="77777777" w:rsidR="007F3F5C" w:rsidRPr="00D818DC" w:rsidRDefault="007F3F5C" w:rsidP="007F3F5C">
      <w:pPr>
        <w:pStyle w:val="TableUnderLast"/>
        <w:pBdr>
          <w:bottom w:val="single" w:sz="4" w:space="1" w:color="auto"/>
        </w:pBdr>
      </w:pPr>
      <w:r w:rsidRPr="00D818DC">
        <w:t>Unpublished data</w:t>
      </w:r>
      <w:r>
        <w:t>, extract based on date of service</w:t>
      </w:r>
      <w:r w:rsidRPr="00D818DC">
        <w:t xml:space="preserve"> (Department of Health)</w:t>
      </w:r>
    </w:p>
    <w:p w14:paraId="63CF62D3" w14:textId="05E39382" w:rsidR="007F3F5C" w:rsidRPr="002836EB" w:rsidRDefault="00C66435" w:rsidP="00C66435">
      <w:pPr>
        <w:pStyle w:val="Heading2"/>
        <w:numPr>
          <w:ilvl w:val="0"/>
          <w:numId w:val="0"/>
        </w:numPr>
        <w:ind w:left="851" w:hanging="851"/>
        <w:rPr>
          <w:lang w:val="en-GB"/>
        </w:rPr>
      </w:pPr>
      <w:bookmarkStart w:id="289" w:name="_Ref464486552"/>
      <w:bookmarkStart w:id="290" w:name="_Toc468647491"/>
      <w:bookmarkStart w:id="291" w:name="_Toc479082806"/>
      <w:r>
        <w:rPr>
          <w:lang w:val="en-GB"/>
        </w:rPr>
        <w:t xml:space="preserve">B. </w:t>
      </w:r>
      <w:r w:rsidR="007F3F5C" w:rsidRPr="002836EB">
        <w:rPr>
          <w:lang w:val="en-GB"/>
        </w:rPr>
        <w:t>Pathology for rare cancer</w:t>
      </w:r>
      <w:bookmarkEnd w:id="289"/>
      <w:bookmarkEnd w:id="290"/>
      <w:bookmarkEnd w:id="291"/>
    </w:p>
    <w:p w14:paraId="260F3230" w14:textId="77777777" w:rsidR="007F3F5C" w:rsidRDefault="007F3F5C" w:rsidP="007F3F5C">
      <w:pPr>
        <w:pStyle w:val="Boldhdg"/>
      </w:pPr>
      <w:r>
        <w:t>Discussion about pathology for rare cancer</w:t>
      </w:r>
    </w:p>
    <w:p w14:paraId="300526BE" w14:textId="77777777" w:rsidR="007F3F5C" w:rsidRPr="002836EB" w:rsidRDefault="007F3F5C" w:rsidP="007F3F5C">
      <w:pPr>
        <w:pStyle w:val="01squarebullet"/>
        <w:rPr>
          <w:lang w:val="en-GB"/>
        </w:rPr>
      </w:pPr>
      <w:r w:rsidRPr="002836EB">
        <w:rPr>
          <w:lang w:val="en-GB"/>
        </w:rPr>
        <w:t>The Committee requests that the Pathology Clinical Committee considers recommendations relating to molecular testing for patients with cancer, particularly recommendations to enable rapid MBS listing of tests relating to molecular analysis of tumours, and recommendations to improve</w:t>
      </w:r>
      <w:r>
        <w:rPr>
          <w:lang w:val="en-GB"/>
        </w:rPr>
        <w:t xml:space="preserve"> </w:t>
      </w:r>
      <w:r w:rsidRPr="002836EB">
        <w:rPr>
          <w:lang w:val="en-GB"/>
        </w:rPr>
        <w:t>access to archival tissue for molecular testing. This request has been communicated via letter to the Pathology Clinical Committee</w:t>
      </w:r>
      <w:r>
        <w:rPr>
          <w:lang w:val="en-GB"/>
        </w:rPr>
        <w:t>.</w:t>
      </w:r>
    </w:p>
    <w:p w14:paraId="50AC0F8E" w14:textId="77777777" w:rsidR="007F3F5C" w:rsidRPr="002836EB" w:rsidRDefault="007F3F5C" w:rsidP="007F3F5C">
      <w:pPr>
        <w:pStyle w:val="Boldhdg"/>
        <w:rPr>
          <w:lang w:val="en-GB"/>
        </w:rPr>
      </w:pPr>
      <w:r w:rsidRPr="002836EB">
        <w:rPr>
          <w:lang w:val="en-GB"/>
        </w:rPr>
        <w:t>Rationale</w:t>
      </w:r>
    </w:p>
    <w:p w14:paraId="73DD8DD4" w14:textId="77777777" w:rsidR="007F3F5C" w:rsidRPr="002836EB" w:rsidRDefault="007F3F5C" w:rsidP="007F3F5C">
      <w:r w:rsidRPr="002836EB">
        <w:t xml:space="preserve">This </w:t>
      </w:r>
      <w:r>
        <w:t>request</w:t>
      </w:r>
      <w:r w:rsidRPr="002836EB">
        <w:t xml:space="preserve"> focuses on providing affordable and universal access to best-practice health services and is based on the following observations.</w:t>
      </w:r>
    </w:p>
    <w:p w14:paraId="1596F6A7" w14:textId="77777777" w:rsidR="007F3F5C" w:rsidRPr="002836EB" w:rsidRDefault="007F3F5C" w:rsidP="007F3F5C">
      <w:pPr>
        <w:pStyle w:val="01squarebullet"/>
        <w:rPr>
          <w:lang w:val="en-GB"/>
        </w:rPr>
      </w:pPr>
      <w:r w:rsidRPr="002836EB">
        <w:rPr>
          <w:lang w:val="en-GB"/>
        </w:rPr>
        <w:t xml:space="preserve">The Committee recognised that there are pending MSAC applications regarding molecular and biomarker testing, and that the </w:t>
      </w:r>
      <w:r>
        <w:rPr>
          <w:lang w:val="en-GB"/>
        </w:rPr>
        <w:t>Royal College of Pathologists of Australia (</w:t>
      </w:r>
      <w:r w:rsidRPr="002836EB">
        <w:rPr>
          <w:lang w:val="en-GB"/>
        </w:rPr>
        <w:t>RCPA</w:t>
      </w:r>
      <w:r>
        <w:rPr>
          <w:lang w:val="en-GB"/>
        </w:rPr>
        <w:t>)</w:t>
      </w:r>
      <w:r w:rsidRPr="002836EB">
        <w:rPr>
          <w:lang w:val="en-GB"/>
        </w:rPr>
        <w:t xml:space="preserve"> supports these applications. The Committee supports the clinical imperative of these applications and the necessity of streamlining the process for listing new and important tests.</w:t>
      </w:r>
    </w:p>
    <w:p w14:paraId="5B81293A" w14:textId="77777777" w:rsidR="007F3F5C" w:rsidRPr="002836EB" w:rsidRDefault="007F3F5C" w:rsidP="007F3F5C">
      <w:pPr>
        <w:pStyle w:val="01squarebullet"/>
        <w:rPr>
          <w:lang w:val="en-GB"/>
        </w:rPr>
      </w:pPr>
      <w:r w:rsidRPr="002836EB">
        <w:rPr>
          <w:lang w:val="en-GB"/>
        </w:rPr>
        <w:t xml:space="preserve">In relation to its recommendation to enable rapid MBS listing of tests relating to molecular analysis of tumours, the Committee noted that the range of tumours that require molecular analysis is increasing. </w:t>
      </w:r>
    </w:p>
    <w:p w14:paraId="051777A2" w14:textId="77777777" w:rsidR="007F3F5C" w:rsidRPr="002836EB" w:rsidRDefault="007F3F5C" w:rsidP="007F3F5C">
      <w:pPr>
        <w:pStyle w:val="01squarebullet"/>
        <w:numPr>
          <w:ilvl w:val="1"/>
          <w:numId w:val="16"/>
        </w:numPr>
        <w:rPr>
          <w:lang w:val="en-GB"/>
        </w:rPr>
      </w:pPr>
      <w:r w:rsidRPr="002836EB">
        <w:rPr>
          <w:lang w:val="en-GB"/>
        </w:rPr>
        <w:t>For many cancer types, molecular genetic analysis has become standard and the relevant test is recognised by Medicare with an appropriate item and associated rebate. These molecular tests provide significant diagnostic and prognostic information and, more importantly, direct clinical management and the use of targeting drugs. Examples include HER-2 status and the use of Herceptin in breast cancer, RAS mutant status and the use of cetuximab in colorectal cancer, and CD20 expression and the use of Rituximab in NHL.</w:t>
      </w:r>
    </w:p>
    <w:p w14:paraId="705521FE" w14:textId="77777777" w:rsidR="007F3F5C" w:rsidRPr="002836EB" w:rsidRDefault="007F3F5C" w:rsidP="007F3F5C">
      <w:pPr>
        <w:pStyle w:val="01squarebullet"/>
        <w:numPr>
          <w:ilvl w:val="1"/>
          <w:numId w:val="16"/>
        </w:numPr>
        <w:rPr>
          <w:lang w:val="en-GB"/>
        </w:rPr>
      </w:pPr>
      <w:r w:rsidRPr="002836EB">
        <w:rPr>
          <w:lang w:val="en-GB"/>
        </w:rPr>
        <w:lastRenderedPageBreak/>
        <w:t>In neuro-oncology, two genetic tests are now considered standard and they directly affect management decisions. Indeed, the 2016 World Health Organisation (WHO) diagnostic classification of central nervous system tumours now requires as a minimum:</w:t>
      </w:r>
      <w:r w:rsidRPr="00570A1C">
        <w:rPr>
          <w:vertAlign w:val="superscript"/>
          <w:lang w:val="en-GB"/>
        </w:rPr>
        <w:fldChar w:fldCharType="begin" w:fldLock="1"/>
      </w:r>
      <w:r w:rsidRPr="00570A1C">
        <w:rPr>
          <w:vertAlign w:val="superscript"/>
          <w:lang w:val="en-GB"/>
        </w:rPr>
        <w:instrText>ADDIN CSL_CITATION { "citationItems" : [ { "id" : "ITEM-1", "itemData" : { "DOI" : "10.1007/s00401-016-1545-1", "ISSN" : "1432-0533", "PMID" : "27157931", "abstract" : "The 2016 World Health Organization Classification of Tumors of the Central Nervous System is both a conceptual and practical advance over its 2007 predecessor. For the first time, the WHO classification of CNS tumors uses molecular parameters in addition to histology to define many tumor entities, thus formulating a concept for how CNS tumor diagnoses should be structured in the molecular era. As such, the 2016 CNS WHO presents major restructuring of the diffuse gliomas, medulloblastomas and other embryonal tumors, and incorporates new entities that are defined by both histology and molecular features, including glioblastoma, IDH-wildtype and glioblastoma, IDH-mutant; diffuse midline glioma, H3 K27M-mutant; RELA fusion-positive ependymoma; medulloblastoma, WNT-activated and medulloblastoma, SHH-activated; and embryonal tumour with multilayered rosettes, C19MC-altered. The 2016 edition has added newly recognized neoplasms, and has deleted some entities, variants and patterns that no longer have diagnostic and/or biological relevance. Other notable changes include the addition of brain invasion as a criterion for atypical meningioma and the introduction of a soft tissue-type grading system for the now combined entity of solitary fibrous tumor / hemangiopericytoma-a departure from the manner by which other CNS tumors are graded. Overall, it is hoped that the 2016 CNS WHO will facilitate clinical, experimental and epidemiological studies that will lead to improvements in the lives of patients with brain tumors.", "author" : [ { "dropping-particle" : "", "family" : "Louis", "given" : "David N", "non-dropping-particle" : "", "parse-names" : false, "suffix" : "" }, { "dropping-particle" : "", "family" : "Perry", "given" : "Arie", "non-dropping-particle" : "", "parse-names" : false, "suffix" : "" }, { "dropping-particle" : "", "family" : "Reifenberger", "given" : "Guido", "non-dropping-particle" : "", "parse-names" : false, "suffix" : "" }, { "dropping-particle" : "", "family" : "Deimling", "given" : "Andreas", "non-dropping-particle" : "von", "parse-names" : false, "suffix" : "" }, { "dropping-particle" : "", "family" : "Figarella-Branger", "given" : "Dominique", "non-dropping-particle" : "", "parse-names" : false, "suffix" : "" }, { "dropping-particle" : "", "family" : "Cavenee", "given" : "Webster K", "non-dropping-particle" : "", "parse-names" : false, "suffix" : "" }, { "dropping-particle" : "", "family" : "Ohgaki", "given" : "Hiroko", "non-dropping-particle" : "", "parse-names" : false, "suffix" : "" }, { "dropping-particle" : "", "family" : "Wiestler", "given" : "Otmar D", "non-dropping-particle" : "", "parse-names" : false, "suffix" : "" }, { "dropping-particle" : "", "family" : "Kleihues", "given" : "Paul", "non-dropping-particle" : "", "parse-names" : false, "suffix" : "" }, { "dropping-particle" : "", "family" : "Ellison", "given" : "David W", "non-dropping-particle" : "", "parse-names" : false, "suffix" : "" } ], "container-title" : "Acta neuropathologica", "id" : "ITEM-1", "issue" : "6", "issued" : { "date-parts" : [ [ "2016", "6" ] ] }, "page" : "803-20", "title" : "The 2016 World Health Organization Classification of Tumors of the Central Nervous System: a summary.", "type" : "article-journal", "volume" : "131" }, "uris" : [ "http://www.mendeley.com/documents/?uuid=dfd74934-5668-3bad-93d8-fb46555b45dd" ] } ], "mendeley" : { "formattedCitation" : "(10)", "plainTextFormattedCitation" : "(10)", "previouslyFormattedCitation" : "(10)" }, "properties" : { "noteIndex" : 0 }, "schema" : "https://github.com/citation-style-language/schema/raw/master/csl-citation.json" }</w:instrText>
      </w:r>
      <w:r w:rsidRPr="00570A1C">
        <w:rPr>
          <w:vertAlign w:val="superscript"/>
          <w:lang w:val="en-GB"/>
        </w:rPr>
        <w:fldChar w:fldCharType="separate"/>
      </w:r>
      <w:r w:rsidRPr="00570A1C">
        <w:rPr>
          <w:noProof/>
          <w:vertAlign w:val="superscript"/>
          <w:lang w:val="en-GB"/>
        </w:rPr>
        <w:t>(10)</w:t>
      </w:r>
      <w:r w:rsidRPr="00570A1C">
        <w:rPr>
          <w:vertAlign w:val="superscript"/>
          <w:lang w:val="en-GB"/>
        </w:rPr>
        <w:fldChar w:fldCharType="end"/>
      </w:r>
    </w:p>
    <w:p w14:paraId="0D060A8F" w14:textId="77777777" w:rsidR="007F3F5C" w:rsidRPr="009A2FEB" w:rsidRDefault="007F3F5C" w:rsidP="007F3F5C">
      <w:pPr>
        <w:pStyle w:val="Bullet3"/>
        <w:rPr>
          <w:lang w:val="en-GB"/>
        </w:rPr>
      </w:pPr>
      <w:r w:rsidRPr="009A2FEB">
        <w:rPr>
          <w:lang w:val="en-GB"/>
        </w:rPr>
        <w:t>IDH-1 and IDH-2 mutant status in Grade 2–4 gliomas.</w:t>
      </w:r>
    </w:p>
    <w:p w14:paraId="3BCFB809" w14:textId="77777777" w:rsidR="007F3F5C" w:rsidRPr="002836EB" w:rsidRDefault="007F3F5C" w:rsidP="007F3F5C">
      <w:pPr>
        <w:pStyle w:val="Bullet3"/>
        <w:rPr>
          <w:lang w:val="en-GB"/>
        </w:rPr>
      </w:pPr>
      <w:r w:rsidRPr="009A2FEB">
        <w:rPr>
          <w:lang w:val="en-GB"/>
        </w:rPr>
        <w:t>1p19q</w:t>
      </w:r>
      <w:r w:rsidRPr="002836EB">
        <w:rPr>
          <w:lang w:val="en-GB"/>
        </w:rPr>
        <w:t xml:space="preserve"> deletion status in Grade 2–3 gliomas.</w:t>
      </w:r>
    </w:p>
    <w:p w14:paraId="2AD411EE" w14:textId="77777777" w:rsidR="007F3F5C" w:rsidRPr="002836EB" w:rsidRDefault="007F3F5C" w:rsidP="007F3F5C">
      <w:pPr>
        <w:pStyle w:val="02dash"/>
        <w:numPr>
          <w:ilvl w:val="0"/>
          <w:numId w:val="0"/>
        </w:numPr>
        <w:ind w:left="644"/>
        <w:rPr>
          <w:lang w:val="en-GB"/>
        </w:rPr>
      </w:pPr>
      <w:r w:rsidRPr="002836EB">
        <w:rPr>
          <w:lang w:val="en-GB"/>
        </w:rPr>
        <w:t>Large phase III randomised trials have demonstrated that these tests affect the timing, type and aggressiveness of treatment for an individual patient.</w:t>
      </w:r>
      <w:r w:rsidRPr="00570A1C">
        <w:rPr>
          <w:vertAlign w:val="superscript"/>
          <w:lang w:val="en-GB"/>
        </w:rPr>
        <w:fldChar w:fldCharType="begin" w:fldLock="1"/>
      </w:r>
      <w:r w:rsidRPr="00570A1C">
        <w:rPr>
          <w:vertAlign w:val="superscript"/>
          <w:lang w:val="en-GB"/>
        </w:rPr>
        <w:instrText>ADDIN CSL_CITATION { "citationItems" : [ { "id" : "ITEM-1", "itemData" : { "DOI" : "10.1200/JCO.2005.04.3414", "ISBN" : "1527-7755 (Electronic)\\r0732-183X (Linking)", "ISSN" : "0732183X", "PMID" : "16782910", "abstract" : "PURPOSE: Anaplastic oligodendroglioma (AO) and anaplastic oligoastrocytoma (AOA) are treated with surgery and radiotherapy (RT) at diagnosis, but they also respond to procarbazine, lomustine, and vincristine (PCV), raising the possibility that early chemotherapy will improve survival. Furthermore, better outcomes in AO have been associated with 1p and 19q allelic loss. PATIENTS AND METHODS: Patients with AO and AOA were randomly assigned to PCV chemotherapy followed by RT versus postoperative RT alone. The primary end point was overall survival. The status of 1p and 19q alleles was assessed by fluorescence in situ hybridization. RESULTS: Two hundred eighty-nine eligible patients were randomly assigned to either PCV plus RT (n = 147) or RT alone (n = 142). At progression, 80% of patients randomly assigned to RT had chemotherapy. With 3-year follow-up on most patients, the median survival times were similar (4.9 years after PCV plus RT v 4.7 years after RT alone; hazard ratio [HR] = 0.90; 95% CI, 0.66 to 1.24; P = .26). Progression-free survival time favored PCV plus RT (2.6 years v 1.7 years for RT alone; HR = 0.69; 95% CI, 0.52 to 0.91; P = .004), but 65% of patients experienced grade 3 or 4 toxicity, and one patient died. Patients with tumors lacking 1p and 19q (46%) compared with tumors not lacking 1p and 19q had longer median survival times (&gt; 7 v 2.8 years, respectively; P &lt; or = .001); longer progression-free survival was most apparent in this subset. CONCLUSION: For patients with AO and AOA, PCV plus RT does not prolong survival. Longer progression-free survival after PCV plus RT is associated with significant toxicity. Tumors lacking 1p and 19q alleles are less aggressive or more responsive or both.", "author" : [ { "dropping-particle" : "", "family" : "Cairncross", "given" : "Gregory", "non-dropping-particle" : "", "parse-names" : false, "suffix" : "" }, { "dropping-particle" : "", "family" : "Berkey", "given" : "Brian", "non-dropping-particle" : "", "parse-names" : false, "suffix" : "" }, { "dropping-particle" : "", "family" : "Shaw", "given" : "Edward", "non-dropping-particle" : "", "parse-names" : false, "suffix" : "" }, { "dropping-particle" : "", "family" : "Jenkins", "given" : "Robert", "non-dropping-particle" : "", "parse-names" : false, "suffix" : "" }, { "dropping-particle" : "", "family" : "Scheithauer", "given" : "Bernd", "non-dropping-particle" : "", "parse-names" : false, "suffix" : "" }, { "dropping-particle" : "", "family" : "Brachman", "given" : "David", "non-dropping-particle" : "", "parse-names" : false, "suffix" : "" }, { "dropping-particle" : "", "family" : "Buckner", "given" : "Jan", "non-dropping-particle" : "", "parse-names" : false, "suffix" : "" }, { "dropping-particle" : "", "family" : "Fink", "given" : "Karen", "non-dropping-particle" : "", "parse-names" : false, "suffix" : "" }, { "dropping-particle" : "", "family" : "Souhami", "given" : "Luis", "non-dropping-particle" : "", "parse-names" : false, "suffix" : "" }, { "dropping-particle" : "", "family" : "Laperierre", "given" : "Normand", "non-dropping-particle" : "", "parse-names" : false, "suffix" : "" }, { "dropping-particle" : "", "family" : "Mehta", "given" : "Minesh", "non-dropping-particle" : "", "parse-names" : false, "suffix" : "" }, { "dropping-particle" : "", "family" : "Curran", "given" : "Walter", "non-dropping-particle" : "", "parse-names" : false, "suffix" : "" } ], "container-title" : "Journal of Clinical Oncology", "id" : "ITEM-1", "issue" : "18", "issued" : { "date-parts" : [ [ "2006" ] ] }, "page" : "2707-2714", "title" : "Phase III trial of chemotherapy plus radiotherapy compared with radiotherapy alone for pure and mixed anaplastic oligodendroglioma: Intergroup Radiation Therapy Oncology Group trial 9402", "type" : "article-journal", "volume" : "24" }, "uris" : [ "http://www.mendeley.com/documents/?uuid=07b696bd-2726-49de-8fde-c04339ff7840", "http://www.mendeley.com/documents/?uuid=9ae3bdee-4013-4049-baf6-c4f95b2a92bc" ] }, { "id" : "ITEM-2", "itemData" : { "DOI" : "10.1200/JCO.2012.43.2229", "ISBN" : "1527-7755 (Electronic)\\r0732-183X (Linking)", "ISSN" : "0732183X", "PMID" : "23071237", "abstract" : "PURPOSE: Anaplastic oligodendroglioma are chemotherapy-sensitive tumors. We now present the long-term follow-up findings of a randomized phase III study on the addition of six cycles of procarbazine, lomustine, and vincristine (PCV) chemotherapy to radiotherapy (RT). PATIENTS AND METHODS: Adult patients with newly diagnosed anaplastic oligodendroglial tumors were randomly assigned to either 59.4 Gy of RT or the same RT followed by six cycles of adjuvant PCV. An exploratory analysis of the correlation between 1p/19q status and survival was part of the study. Retrospectively, the methylation status of the methyl-guanine methyl transferase gene promoter and the mutational status of the isocitrate dehydrogenase (IDH) gene were determined. The primary end points were overall survival (OS) and progression-free survival based on intent-to-treat analysis. RESULTS: A total of 368 patients were enrolled. With a median follow-up of 140 months, OS in the RT/PCV arm was significantly longer (42.3 v 30.6 months in the RT arm, hazard ratio [HR], 0.75; 95% CI, 0.60 to 0.95). In the 80 patients with a 1p/19q codeletion, OS was increased, with a trend toward more benefit from adjuvant PCV (OS not reached in the RT/PCV group v 112 months in the RT group; HR, 0.56; 95% CI, 0.31 to 1.03). IDH mutational status was also of prognostic significance. CONCLUSION: The addition of six cycles of PCV after 59.4 Gy of RT increases both OS and PFS in anaplastic oligodendroglial tumors. 1p/19q-codeleted tumors derive more benefit from adjuvant PCV compared with non-1p/19q-deleted tumors.", "author" : [ { "dropping-particle" : "", "family" : "Bent", "given" : "Martin J.", "non-dropping-particle" : "Van Den", "parse-names" : false, "suffix" : "" }, { "dropping-particle" : "", "family" : "Brandes", "given" : "Alba A.", "non-dropping-particle" : "", "parse-names" : false, "suffix" : "" }, { "dropping-particle" : "", "family" : "Taphoorn", "given" : "Martin J B", "non-dropping-particle" : "", "parse-names" : false, "suffix" : "" }, { "dropping-particle" : "", "family" : "Kros", "given" : "Johan M.", "non-dropping-particle" : "", "parse-names" : false, "suffix" : "" }, { "dropping-particle" : "", "family" : "Kouwenhoven", "given" : "Mathilde C M", "non-dropping-particle" : "", "parse-names" : false, "suffix" : "" }, { "dropping-particle" : "", "family" : "Delattre", "given" : "Jean Yves", "non-dropping-particle" : "", "parse-names" : false, "suffix" : "" }, { "dropping-particle" : "", "family" : "Bernsen", "given" : "Hans J J A", "non-dropping-particle" : "", "parse-names" : false, "suffix" : "" }, { "dropping-particle" : "", "family" : "Frenay", "given" : "Marc", "non-dropping-particle" : "", "parse-names" : false, "suffix" : "" }, { "dropping-particle" : "", "family" : "Tijssen", "given" : "Cees C.", "non-dropping-particle" : "", "parse-names" : false, "suffix" : "" }, { "dropping-particle" : "", "family" : "Grisold", "given" : "Wolfgang", "non-dropping-particle" : "", "parse-names" : false, "suffix" : "" }, { "dropping-particle" : "", "family" : "Sipos", "given" : "L\u00e1szl\u00f3", "non-dropping-particle" : "", "parse-names" : false, "suffix" : "" }, { "dropping-particle" : "", "family" : "Enting", "given" : "Roelien H.", "non-dropping-particle" : "", "parse-names" : false, "suffix" : "" }, { "dropping-particle" : "", "family" : "French", "given" : "Pim J.", "non-dropping-particle" : "", "parse-names" : false, "suffix" : "" }, { "dropping-particle" : "", "family" : "Dinjens", "given" : "Winand N M", "non-dropping-particle" : "", "parse-names" : false, "suffix" : "" }, { "dropping-particle" : "", "family" : "Vecht", "given" : "Charles J.", "non-dropping-particle" : "", "parse-names" : false, "suffix" : "" }, { "dropping-particle" : "", "family" : "Allgeier", "given" : "Anouk", "non-dropping-particle" : "", "parse-names" : false, "suffix" : "" }, { "dropping-particle" : "", "family" : "Lacombe", "given" : "Denis", "non-dropping-particle" : "", "parse-names" : false, "suffix" : "" }, { "dropping-particle" : "", "family" : "Gorlia", "given" : "Thierry", "non-dropping-particle" : "", "parse-names" : false, "suffix" : "" }, { "dropping-particle" : "", "family" : "Hoang-Xuan", "given" : "Kh\u00ea", "non-dropping-particle" : "", "parse-names" : false, "suffix" : "" } ], "container-title" : "Journal of Clinical Oncology", "id" : "ITEM-2", "issue" : "3", "issued" : { "date-parts" : [ [ "2013" ] ] }, "page" : "344-350", "title" : "Adjuvant procarbazine, lomustine, and vincristine chemotherapy in newly diagnosed anaplastic oligodendroglioma: Long-term follow-up of EORTC brain tumor group study 26951", "type" : "article-journal", "volume" : "31" }, "uris" : [ "http://www.mendeley.com/documents/?uuid=05416eba-d533-427b-b57d-7431f1bef5fd", "http://www.mendeley.com/documents/?uuid=1b789933-68d1-4b95-8638-cd2a09633c02" ] } ], "mendeley" : { "formattedCitation" : "(11,12)", "plainTextFormattedCitation" : "(11,12)", "previouslyFormattedCitation" : "(11,12)" }, "properties" : { "noteIndex" : 0 }, "schema" : "https://github.com/citation-style-language/schema/raw/master/csl-citation.json" }</w:instrText>
      </w:r>
      <w:r w:rsidRPr="00570A1C">
        <w:rPr>
          <w:vertAlign w:val="superscript"/>
          <w:lang w:val="en-GB"/>
        </w:rPr>
        <w:fldChar w:fldCharType="separate"/>
      </w:r>
      <w:r w:rsidRPr="00570A1C">
        <w:rPr>
          <w:noProof/>
          <w:vertAlign w:val="superscript"/>
          <w:lang w:val="en-GB"/>
        </w:rPr>
        <w:t>(11,12)</w:t>
      </w:r>
      <w:r w:rsidRPr="00570A1C">
        <w:rPr>
          <w:vertAlign w:val="superscript"/>
          <w:lang w:val="en-GB"/>
        </w:rPr>
        <w:fldChar w:fldCharType="end"/>
      </w:r>
      <w:r w:rsidRPr="002836EB">
        <w:rPr>
          <w:lang w:val="en-GB"/>
        </w:rPr>
        <w:t xml:space="preserve"> The number of Australian patients who require IDH mutation testing is estimated at 1300–1500 per year, and the number requiring 1p/19q testing is estimated at 200–300 per year. These tests are often not available in the public hospital setting, do not attract a Medicare rebate and are not covered by private health insurance. Out-of-pocket expenses for patients are therefore often up to $800, creating a substantial barrier to equitable access. </w:t>
      </w:r>
    </w:p>
    <w:p w14:paraId="24C09714" w14:textId="77777777" w:rsidR="007F3F5C" w:rsidRPr="002836EB" w:rsidRDefault="007F3F5C" w:rsidP="007F3F5C">
      <w:pPr>
        <w:pStyle w:val="01squarebullet"/>
        <w:rPr>
          <w:lang w:val="en-GB"/>
        </w:rPr>
      </w:pPr>
      <w:r w:rsidRPr="002836EB">
        <w:rPr>
          <w:lang w:val="en-GB"/>
        </w:rPr>
        <w:t xml:space="preserve">In relation to its recommendation to improve access to archival tissue for molecular testing, the Committee noted that retrieval of archival tissue for molecular testing may be required to guide treatment, especially for molecular targeted therapies, which are increasingly used based on these markers. Examples include BRAF, EGFR, RAS, c-kit, FGFR and HER-2. Access to such tissue is not always granted, however, creating barriers to patients receiving potentially beneficial treatment. The retrieval of tissue blocks is also time-consuming for medical and technical staff and usually incurs a significant cost. There is currently no mechanism </w:t>
      </w:r>
      <w:r>
        <w:rPr>
          <w:lang w:val="en-GB"/>
        </w:rPr>
        <w:t>for</w:t>
      </w:r>
      <w:r w:rsidRPr="002836EB">
        <w:rPr>
          <w:lang w:val="en-GB"/>
        </w:rPr>
        <w:t xml:space="preserve"> recoup</w:t>
      </w:r>
      <w:r>
        <w:rPr>
          <w:lang w:val="en-GB"/>
        </w:rPr>
        <w:t>ing</w:t>
      </w:r>
      <w:r w:rsidRPr="002836EB">
        <w:rPr>
          <w:lang w:val="en-GB"/>
        </w:rPr>
        <w:t xml:space="preserve"> these costs. </w:t>
      </w:r>
    </w:p>
    <w:p w14:paraId="0B7095E9" w14:textId="57C04352" w:rsidR="007F3F5C" w:rsidRPr="002836EB" w:rsidRDefault="00C66435" w:rsidP="00C66435">
      <w:pPr>
        <w:pStyle w:val="Heading2"/>
        <w:numPr>
          <w:ilvl w:val="0"/>
          <w:numId w:val="0"/>
        </w:numPr>
        <w:ind w:left="851" w:hanging="851"/>
        <w:rPr>
          <w:lang w:val="en-GB"/>
        </w:rPr>
      </w:pPr>
      <w:bookmarkStart w:id="292" w:name="_Ref464486554"/>
      <w:bookmarkStart w:id="293" w:name="_Toc468647492"/>
      <w:bookmarkStart w:id="294" w:name="_Toc479082807"/>
      <w:r>
        <w:rPr>
          <w:lang w:val="en-GB"/>
        </w:rPr>
        <w:t xml:space="preserve">C. </w:t>
      </w:r>
      <w:r w:rsidR="007F3F5C" w:rsidRPr="002836EB">
        <w:rPr>
          <w:lang w:val="en-GB"/>
        </w:rPr>
        <w:t>Diagnostic imaging for cancer</w:t>
      </w:r>
      <w:bookmarkEnd w:id="292"/>
      <w:bookmarkEnd w:id="293"/>
      <w:bookmarkEnd w:id="294"/>
    </w:p>
    <w:p w14:paraId="7933D598" w14:textId="77777777" w:rsidR="007F3F5C" w:rsidRPr="002836EB" w:rsidRDefault="007F3F5C" w:rsidP="007F3F5C">
      <w:pPr>
        <w:pStyle w:val="Boldhdg"/>
        <w:rPr>
          <w:highlight w:val="yellow"/>
          <w:lang w:val="en-GB"/>
        </w:rPr>
      </w:pPr>
      <w:bookmarkStart w:id="295" w:name="_Ref467446609"/>
      <w:r>
        <w:t xml:space="preserve">Discussion about diagnostic imaging </w:t>
      </w:r>
    </w:p>
    <w:bookmarkEnd w:id="295"/>
    <w:p w14:paraId="54963323" w14:textId="77777777" w:rsidR="007F3F5C" w:rsidRPr="00531EF6" w:rsidRDefault="007F3F5C" w:rsidP="007F3F5C">
      <w:pPr>
        <w:pStyle w:val="01squarebullet"/>
      </w:pPr>
      <w:r w:rsidRPr="00531EF6">
        <w:t>The Committee requests that the Diagnostic Imaging Clinical Committee (DICC) considers recommendations to improve access to positron emission tomography (PET)/computed tomography (CT) and magnetic resonance imaging (MRI) for patients with cancer. In particular, it requests consideration of recommendations to revise and/or consolidate the current MBS items relevant to MRI and PET/CT in oncology into clinical indications covering diagnosis, staging and restaging of patients with malignancies undergoing active therapy.</w:t>
      </w:r>
    </w:p>
    <w:p w14:paraId="21349691" w14:textId="77777777" w:rsidR="007F3F5C" w:rsidRPr="00B66EB3" w:rsidRDefault="007F3F5C" w:rsidP="007F3F5C">
      <w:pPr>
        <w:pStyle w:val="01squarebullet"/>
        <w:rPr>
          <w:lang w:val="en-GB"/>
        </w:rPr>
      </w:pPr>
      <w:r w:rsidRPr="00C309D6">
        <w:t xml:space="preserve">The specifics of the MBS item descriptors pertaining to oncology imaging </w:t>
      </w:r>
      <w:r>
        <w:t>are</w:t>
      </w:r>
      <w:r w:rsidRPr="00C309D6">
        <w:t xml:space="preserve"> not within the brief of the </w:t>
      </w:r>
      <w:r>
        <w:t>Committee,</w:t>
      </w:r>
      <w:r w:rsidRPr="00C309D6">
        <w:t xml:space="preserve"> but </w:t>
      </w:r>
      <w:r>
        <w:t>it would like to make the following suggestions for consideration by the DICC</w:t>
      </w:r>
      <w:r w:rsidRPr="00C309D6">
        <w:t>.</w:t>
      </w:r>
    </w:p>
    <w:p w14:paraId="7980EBC6" w14:textId="77777777" w:rsidR="007F3F5C" w:rsidRPr="00657069" w:rsidRDefault="007F3F5C" w:rsidP="007F3F5C">
      <w:pPr>
        <w:pStyle w:val="01squarebullet"/>
        <w:numPr>
          <w:ilvl w:val="1"/>
          <w:numId w:val="16"/>
        </w:numPr>
        <w:rPr>
          <w:lang w:val="en-GB"/>
        </w:rPr>
      </w:pPr>
      <w:r w:rsidRPr="00E96AF2">
        <w:rPr>
          <w:lang w:val="en-GB"/>
        </w:rPr>
        <w:t>Consider recommendations to improve</w:t>
      </w:r>
      <w:r w:rsidRPr="00657069">
        <w:rPr>
          <w:lang w:val="en-GB"/>
        </w:rPr>
        <w:t xml:space="preserve"> access to MRI for indications that are not currently covered but are part of the standard of care in the United Kingdom, the United States and elsewhere in the world. These include (but are not limited to): MRI of the liver with liver-specific agents, such as gadoxetate disodium (for example, Primovist) and ultrasmall superparamagnetic iron oxide (USPIO); head and neck malignancy; breasts in patients at higher risk not currently covered, with multifocal disease, or for initial staging where mammography and ultrasound are inconclusive or not concordant with clinical findings that suggest more extensive disease; ovarian masses where further characterisation is required; MRI rectum for restaging after neoadjuvant treatment; and whole body MRI for children and myeloma.</w:t>
      </w:r>
    </w:p>
    <w:p w14:paraId="61E2067C" w14:textId="77777777" w:rsidR="007F3F5C" w:rsidRPr="00E96AF2" w:rsidRDefault="007F3F5C" w:rsidP="007F3F5C">
      <w:pPr>
        <w:pStyle w:val="01squarebullet"/>
        <w:numPr>
          <w:ilvl w:val="1"/>
          <w:numId w:val="16"/>
        </w:numPr>
        <w:rPr>
          <w:lang w:val="en-GB"/>
        </w:rPr>
      </w:pPr>
      <w:r w:rsidRPr="00E96AF2">
        <w:rPr>
          <w:lang w:val="en-GB"/>
        </w:rPr>
        <w:t xml:space="preserve">Consolidate the current 19 MBS items for </w:t>
      </w:r>
      <w:r>
        <w:t>fludeoxyglucose</w:t>
      </w:r>
      <w:r w:rsidRPr="00C309D6">
        <w:t xml:space="preserve"> </w:t>
      </w:r>
      <w:r>
        <w:t>(</w:t>
      </w:r>
      <w:r w:rsidRPr="00C309D6">
        <w:t>FDG</w:t>
      </w:r>
      <w:r>
        <w:t xml:space="preserve">) </w:t>
      </w:r>
      <w:r w:rsidRPr="00E96AF2">
        <w:rPr>
          <w:lang w:val="en-GB"/>
        </w:rPr>
        <w:t>PET into four items</w:t>
      </w:r>
      <w:r>
        <w:rPr>
          <w:lang w:val="en-GB"/>
        </w:rPr>
        <w:t xml:space="preserve">, </w:t>
      </w:r>
      <w:r w:rsidRPr="00E96AF2">
        <w:rPr>
          <w:lang w:val="en-GB"/>
        </w:rPr>
        <w:t>based on clinical indication.</w:t>
      </w:r>
    </w:p>
    <w:p w14:paraId="371FB11E" w14:textId="77777777" w:rsidR="007F3F5C" w:rsidRDefault="007F3F5C" w:rsidP="007F3F5C">
      <w:pPr>
        <w:pStyle w:val="01squarebullet"/>
        <w:numPr>
          <w:ilvl w:val="0"/>
          <w:numId w:val="0"/>
        </w:numPr>
        <w:ind w:left="644"/>
        <w:rPr>
          <w:lang w:val="en-GB"/>
        </w:rPr>
      </w:pPr>
      <w:r>
        <w:rPr>
          <w:lang w:val="en-GB"/>
        </w:rPr>
        <w:t>Potential</w:t>
      </w:r>
      <w:r w:rsidRPr="00B66EB3">
        <w:rPr>
          <w:lang w:val="en-GB"/>
        </w:rPr>
        <w:t xml:space="preserve"> item descriptors and explanatory notes</w:t>
      </w:r>
      <w:r>
        <w:rPr>
          <w:lang w:val="en-GB"/>
        </w:rPr>
        <w:t xml:space="preserve"> for these four items</w:t>
      </w:r>
      <w:r w:rsidRPr="00B66EB3">
        <w:rPr>
          <w:lang w:val="en-GB"/>
        </w:rPr>
        <w:t xml:space="preserve"> are outlined below.</w:t>
      </w:r>
    </w:p>
    <w:p w14:paraId="55DA9F38" w14:textId="77777777" w:rsidR="007F3F5C" w:rsidRPr="008E0B68" w:rsidRDefault="007F3F5C" w:rsidP="007F3F5C">
      <w:pPr>
        <w:pStyle w:val="01squarebullet"/>
        <w:rPr>
          <w:lang w:val="en-GB"/>
        </w:rPr>
      </w:pPr>
      <w:r w:rsidRPr="00E46768">
        <w:rPr>
          <w:lang w:val="en-GB"/>
        </w:rPr>
        <w:lastRenderedPageBreak/>
        <w:t>This request has been</w:t>
      </w:r>
      <w:r>
        <w:rPr>
          <w:lang w:val="en-GB"/>
        </w:rPr>
        <w:t xml:space="preserve"> detailed and</w:t>
      </w:r>
      <w:r w:rsidRPr="00E46768">
        <w:rPr>
          <w:lang w:val="en-GB"/>
        </w:rPr>
        <w:t xml:space="preserve"> communicated via letter to the </w:t>
      </w:r>
      <w:r>
        <w:rPr>
          <w:lang w:val="en-GB"/>
        </w:rPr>
        <w:t>DICC.</w:t>
      </w:r>
    </w:p>
    <w:p w14:paraId="3F1B0095" w14:textId="77777777" w:rsidR="007F3F5C" w:rsidRDefault="007F3F5C" w:rsidP="007F3F5C">
      <w:pPr>
        <w:pStyle w:val="Item"/>
      </w:pPr>
      <w:r>
        <w:t>61XX1</w:t>
      </w:r>
    </w:p>
    <w:p w14:paraId="09F23AC9" w14:textId="77777777" w:rsidR="007F3F5C" w:rsidRPr="00714801" w:rsidRDefault="007F3F5C" w:rsidP="007F3F5C">
      <w:r w:rsidRPr="00714801">
        <w:t>Non-invasive characteri</w:t>
      </w:r>
      <w:r>
        <w:t>s</w:t>
      </w:r>
      <w:r w:rsidRPr="00714801">
        <w:t xml:space="preserve">ation of mass lesions, not readily amenable to biopsy, or where biopsy attempts have failed, for likelihood of malignancy. </w:t>
      </w:r>
    </w:p>
    <w:p w14:paraId="2CC5DEA7" w14:textId="77777777" w:rsidR="007F3F5C" w:rsidRPr="00714801" w:rsidRDefault="007F3F5C" w:rsidP="007F3F5C">
      <w:r>
        <w:t>[Consolidating e</w:t>
      </w:r>
      <w:r w:rsidRPr="00714801">
        <w:t>xisting item numbers 61523</w:t>
      </w:r>
      <w:r>
        <w:t xml:space="preserve"> and</w:t>
      </w:r>
      <w:r w:rsidRPr="00714801">
        <w:t xml:space="preserve"> 61640</w:t>
      </w:r>
      <w:r>
        <w:t>.]</w:t>
      </w:r>
    </w:p>
    <w:p w14:paraId="3DFB77E5" w14:textId="77777777" w:rsidR="007F3F5C" w:rsidRDefault="007F3F5C" w:rsidP="007F3F5C">
      <w:pPr>
        <w:pStyle w:val="Item"/>
      </w:pPr>
      <w:r>
        <w:t>61XX2</w:t>
      </w:r>
    </w:p>
    <w:p w14:paraId="7333741D" w14:textId="77777777" w:rsidR="007F3F5C" w:rsidRPr="00714801" w:rsidRDefault="007F3F5C" w:rsidP="007F3F5C">
      <w:r w:rsidRPr="00714801">
        <w:t>Staging of malignancy prior to treatment or radiotherapy where there is a high risk of metastatic disease and when accurate determination of disease extent is critical to treatment selection.</w:t>
      </w:r>
    </w:p>
    <w:p w14:paraId="17FA7A45" w14:textId="77777777" w:rsidR="007F3F5C" w:rsidRDefault="007F3F5C" w:rsidP="007F3F5C">
      <w:r>
        <w:t>[Consolidating e</w:t>
      </w:r>
      <w:r w:rsidRPr="00714801">
        <w:t>xisting item numbers 61529, 61571, 61577, 61598, 61610, 61616</w:t>
      </w:r>
      <w:r>
        <w:t xml:space="preserve"> and</w:t>
      </w:r>
      <w:r w:rsidRPr="00714801">
        <w:t xml:space="preserve"> 61620</w:t>
      </w:r>
      <w:r>
        <w:t>.]</w:t>
      </w:r>
    </w:p>
    <w:p w14:paraId="7F3154BF" w14:textId="77777777" w:rsidR="007F3F5C" w:rsidRPr="00714801" w:rsidRDefault="007F3F5C" w:rsidP="007F3F5C">
      <w:pPr>
        <w:pStyle w:val="Item"/>
      </w:pPr>
      <w:r>
        <w:t>61XX3</w:t>
      </w:r>
    </w:p>
    <w:p w14:paraId="228D1F9F" w14:textId="77777777" w:rsidR="007F3F5C" w:rsidRPr="00714801" w:rsidRDefault="007F3F5C" w:rsidP="007F3F5C">
      <w:r w:rsidRPr="00714801">
        <w:t xml:space="preserve">Assessment of therapeutic response in oncological diseases with a significant likelihood of treatment failure but for which early demonstration of treatment failure will result in a change in management plan. </w:t>
      </w:r>
    </w:p>
    <w:p w14:paraId="1B02D089" w14:textId="77777777" w:rsidR="007F3F5C" w:rsidRPr="00714801" w:rsidRDefault="007F3F5C" w:rsidP="007F3F5C">
      <w:r>
        <w:t>[Consolidating e</w:t>
      </w:r>
      <w:r w:rsidRPr="00714801">
        <w:t>xisting item numbers 61538, 61622</w:t>
      </w:r>
      <w:r>
        <w:t xml:space="preserve"> and</w:t>
      </w:r>
      <w:r w:rsidRPr="00714801">
        <w:t xml:space="preserve"> 6163</w:t>
      </w:r>
      <w:r>
        <w:t>.]</w:t>
      </w:r>
    </w:p>
    <w:p w14:paraId="5606CCF8" w14:textId="77777777" w:rsidR="007F3F5C" w:rsidRDefault="007F3F5C" w:rsidP="007F3F5C">
      <w:pPr>
        <w:pStyle w:val="Item"/>
      </w:pPr>
      <w:r>
        <w:t>61XX4</w:t>
      </w:r>
    </w:p>
    <w:p w14:paraId="5DF21E95" w14:textId="77777777" w:rsidR="007F3F5C" w:rsidRPr="00714801" w:rsidRDefault="007F3F5C" w:rsidP="007F3F5C">
      <w:r w:rsidRPr="00714801">
        <w:t xml:space="preserve">Evaluation of suspected residual or recurrent malignancy where curative-intent salvage therapy is planned. </w:t>
      </w:r>
    </w:p>
    <w:p w14:paraId="2C8C27D3" w14:textId="77777777" w:rsidR="007F3F5C" w:rsidRPr="00714801" w:rsidRDefault="007F3F5C" w:rsidP="007F3F5C">
      <w:r>
        <w:t>[Consolidating e</w:t>
      </w:r>
      <w:r w:rsidRPr="00714801">
        <w:t>xisting item numbers 61538, 61541, 61553, 61565, 61575, 61604, 61628</w:t>
      </w:r>
      <w:r>
        <w:t xml:space="preserve"> and</w:t>
      </w:r>
      <w:r w:rsidRPr="00714801">
        <w:t xml:space="preserve"> 61646</w:t>
      </w:r>
      <w:r>
        <w:t>.]</w:t>
      </w:r>
    </w:p>
    <w:p w14:paraId="17E0A07F" w14:textId="77777777" w:rsidR="007F3F5C" w:rsidRPr="0052267B" w:rsidRDefault="007F3F5C" w:rsidP="007F3F5C">
      <w:pPr>
        <w:pStyle w:val="Boldhdg"/>
      </w:pPr>
      <w:r w:rsidRPr="0052267B">
        <w:t>Rationale</w:t>
      </w:r>
    </w:p>
    <w:p w14:paraId="1F79EF9F" w14:textId="77777777" w:rsidR="007F3F5C" w:rsidRPr="002836EB" w:rsidRDefault="007F3F5C" w:rsidP="007F3F5C">
      <w:r w:rsidRPr="002836EB">
        <w:t xml:space="preserve">This </w:t>
      </w:r>
      <w:r>
        <w:t>request</w:t>
      </w:r>
      <w:r w:rsidRPr="002836EB">
        <w:t xml:space="preserve"> focuses on providing affordable and universal access to best-practice health services and is based on the following observations.</w:t>
      </w:r>
    </w:p>
    <w:p w14:paraId="23EA652E" w14:textId="77777777" w:rsidR="007F3F5C" w:rsidRDefault="007F3F5C" w:rsidP="007F3F5C">
      <w:pPr>
        <w:pStyle w:val="01squarebullet"/>
      </w:pPr>
      <w:r>
        <w:t>A</w:t>
      </w:r>
      <w:r w:rsidRPr="00C309D6">
        <w:t xml:space="preserve"> combination of imaging techniques </w:t>
      </w:r>
      <w:r>
        <w:t xml:space="preserve">is often required </w:t>
      </w:r>
      <w:r w:rsidRPr="00C309D6">
        <w:t>to accurately diagnose, stage and/or restage a patient with a malignancy</w:t>
      </w:r>
      <w:r>
        <w:t>.</w:t>
      </w:r>
      <w:r w:rsidRPr="00C309D6">
        <w:t xml:space="preserve"> </w:t>
      </w:r>
      <w:r>
        <w:t>T</w:t>
      </w:r>
      <w:r w:rsidRPr="00C309D6">
        <w:t>he exact combination depends on the nature of the tumour and patient-specific factors such as age and comorbidities.</w:t>
      </w:r>
    </w:p>
    <w:p w14:paraId="723854F3" w14:textId="77777777" w:rsidR="007F3F5C" w:rsidRDefault="007F3F5C" w:rsidP="007F3F5C">
      <w:pPr>
        <w:pStyle w:val="01squarebullet"/>
        <w:numPr>
          <w:ilvl w:val="1"/>
          <w:numId w:val="16"/>
        </w:numPr>
      </w:pPr>
      <w:r w:rsidRPr="00C309D6">
        <w:t>PET/CT is more accurate for the staging and restaging of some malignancies in oncology patients and results in management change in up to 40</w:t>
      </w:r>
      <w:r>
        <w:t xml:space="preserve"> per cent</w:t>
      </w:r>
      <w:r w:rsidRPr="00C309D6">
        <w:t xml:space="preserve"> of these patients. </w:t>
      </w:r>
    </w:p>
    <w:p w14:paraId="761FD3CD" w14:textId="77777777" w:rsidR="007F3F5C" w:rsidRPr="00C309D6" w:rsidRDefault="007F3F5C" w:rsidP="007F3F5C">
      <w:pPr>
        <w:pStyle w:val="01squarebullet"/>
        <w:numPr>
          <w:ilvl w:val="1"/>
          <w:numId w:val="16"/>
        </w:numPr>
      </w:pPr>
      <w:r w:rsidRPr="00C309D6">
        <w:t>MRI is more accurate than other imaging modalities in the diagnosis, staging and restaging of several malignancies. Accurate diagnosis results in a decrease in more invasive diagnostic investigations</w:t>
      </w:r>
      <w:r>
        <w:t>,</w:t>
      </w:r>
      <w:r w:rsidRPr="00C309D6">
        <w:t xml:space="preserve"> and accurate staging leads to </w:t>
      </w:r>
      <w:r>
        <w:t xml:space="preserve">the selection of </w:t>
      </w:r>
      <w:r w:rsidRPr="00C309D6">
        <w:t>the most appropriate therapies</w:t>
      </w:r>
      <w:r>
        <w:t xml:space="preserve"> for patients,</w:t>
      </w:r>
      <w:r w:rsidRPr="00C309D6">
        <w:t xml:space="preserve"> avoiding futile surgical procedures and/or expensive, ineffective systemic therapy. </w:t>
      </w:r>
    </w:p>
    <w:p w14:paraId="3E0D6479" w14:textId="77777777" w:rsidR="007F3F5C" w:rsidRDefault="007F3F5C" w:rsidP="007F3F5C">
      <w:pPr>
        <w:pStyle w:val="01squarebullet"/>
      </w:pPr>
      <w:r>
        <w:t>T</w:t>
      </w:r>
      <w:r w:rsidRPr="00C309D6">
        <w:t>he</w:t>
      </w:r>
      <w:r>
        <w:t xml:space="preserve"> </w:t>
      </w:r>
      <w:r w:rsidRPr="00C309D6">
        <w:t>MBS lags far behind both the U</w:t>
      </w:r>
      <w:r>
        <w:t xml:space="preserve">nited </w:t>
      </w:r>
      <w:r w:rsidRPr="00C309D6">
        <w:t>K</w:t>
      </w:r>
      <w:r>
        <w:t>ingdom</w:t>
      </w:r>
      <w:r w:rsidRPr="00C309D6">
        <w:t xml:space="preserve"> and</w:t>
      </w:r>
      <w:r>
        <w:t xml:space="preserve"> the</w:t>
      </w:r>
      <w:r w:rsidRPr="00C309D6">
        <w:t xml:space="preserve"> U</w:t>
      </w:r>
      <w:r>
        <w:t xml:space="preserve">nited </w:t>
      </w:r>
      <w:r w:rsidRPr="00C309D6">
        <w:t>S</w:t>
      </w:r>
      <w:r>
        <w:t>tates</w:t>
      </w:r>
      <w:r w:rsidRPr="00C309D6">
        <w:t xml:space="preserve"> in the funding of MRI, FDG PET/CT and PET/CT </w:t>
      </w:r>
      <w:r>
        <w:t>with other tracers in oncology.</w:t>
      </w:r>
    </w:p>
    <w:p w14:paraId="22D43952" w14:textId="69FEDABC" w:rsidR="007F3F5C" w:rsidRPr="00C309D6" w:rsidRDefault="007F3F5C" w:rsidP="007F3F5C">
      <w:pPr>
        <w:pStyle w:val="01squarebullet"/>
        <w:numPr>
          <w:ilvl w:val="1"/>
          <w:numId w:val="16"/>
        </w:numPr>
      </w:pPr>
      <w:r w:rsidRPr="00C309D6">
        <w:t xml:space="preserve">The </w:t>
      </w:r>
      <w:r>
        <w:t>third</w:t>
      </w:r>
      <w:r w:rsidRPr="00C309D6">
        <w:t xml:space="preserve"> revision of </w:t>
      </w:r>
      <w:r w:rsidRPr="00095225">
        <w:rPr>
          <w:i/>
        </w:rPr>
        <w:t>Evidence-</w:t>
      </w:r>
      <w:r>
        <w:rPr>
          <w:i/>
        </w:rPr>
        <w:t>B</w:t>
      </w:r>
      <w:r w:rsidRPr="00095225">
        <w:rPr>
          <w:i/>
        </w:rPr>
        <w:t xml:space="preserve">ased </w:t>
      </w:r>
      <w:r>
        <w:rPr>
          <w:i/>
        </w:rPr>
        <w:t>I</w:t>
      </w:r>
      <w:r w:rsidRPr="00095225">
        <w:rPr>
          <w:i/>
        </w:rPr>
        <w:t xml:space="preserve">ndications for the </w:t>
      </w:r>
      <w:r>
        <w:rPr>
          <w:i/>
        </w:rPr>
        <w:t>U</w:t>
      </w:r>
      <w:r w:rsidRPr="00095225">
        <w:rPr>
          <w:i/>
        </w:rPr>
        <w:t>se of PET/CT in the United Kingdom 2016</w:t>
      </w:r>
      <w:r w:rsidRPr="00C309D6">
        <w:t xml:space="preserve"> has recently been published and provides an up-to-date contemporary summary of the current evidence-based applications of PET/CT in oncology and non-oncologic disease.</w:t>
      </w:r>
      <w:r w:rsidRPr="00F823C3">
        <w:rPr>
          <w:vertAlign w:val="superscript"/>
        </w:rPr>
        <w:fldChar w:fldCharType="begin" w:fldLock="1"/>
      </w:r>
      <w:r w:rsidRPr="00F823C3">
        <w:rPr>
          <w:vertAlign w:val="superscript"/>
        </w:rPr>
        <w:instrText>ADDIN CSL_CITATION { "citationItems" : [ { "id" : "ITEM-1", "itemData" : { "DOI" : "10.1016/j.crad.2016.05.001", "ISSN" : "1365229X", "PMID" : "27207376", "abstract" : "This guidance comprises an up-to-date summary of relevant indications for the use of PET-CT, where there is good evidence that patients will benefit from improved disease assessment resulting in altered management and improved outcomes. This document supersedes the previous Indications for PET-CT guidance published by the Royal College of Radiologists in November 2010. New indications are highlighted in dark blue for ease of identification. The document will be updated annually by the RCP/RCR Intercollegiate Standing Committee on Nuclear Medicine.", "author" : [ { "dropping-particle" : "", "family" : "Nuclear", "given" : "British", "non-dropping-particle" : "", "parse-names" : false, "suffix" : "" }, { "dropping-particle" : "", "family" : "Society", "given" : "Medicine", "non-dropping-particle" : "", "parse-names" : false, "suffix" : "" } ], "container-title" : "Clinical Radiology", "id" : "ITEM-1", "issued" : { "date-parts" : [ [ "2016" ] ] }, "title" : "Evidence-based indications for the use of PET-CT in the United Kingdom 2016", "type" : "article-journal" }, "uris" : [ "http://www.mendeley.com/documents/?uuid=feea5fb6-0ec1-4edb-9bed-5e0efb904846", "http://www.mendeley.com/documents/?uuid=0b4cda45-261b-43a7-a12c-0e7706f765e4" ] } ], "mendeley" : { "formattedCitation" : "(13)", "plainTextFormattedCitation" : "(13)", "previouslyFormattedCitation" : "(13)" }, "properties" : { "noteIndex" : 0 }, "schema" : "https://github.com/citation-style-language/schema/raw/master/csl-citation.json" }</w:instrText>
      </w:r>
      <w:r w:rsidRPr="00F823C3">
        <w:rPr>
          <w:vertAlign w:val="superscript"/>
        </w:rPr>
        <w:fldChar w:fldCharType="separate"/>
      </w:r>
      <w:r w:rsidRPr="00F823C3">
        <w:rPr>
          <w:noProof/>
          <w:vertAlign w:val="superscript"/>
        </w:rPr>
        <w:t>(13)</w:t>
      </w:r>
      <w:r w:rsidRPr="00F823C3">
        <w:rPr>
          <w:vertAlign w:val="superscript"/>
        </w:rPr>
        <w:fldChar w:fldCharType="end"/>
      </w:r>
      <w:r w:rsidRPr="00C309D6">
        <w:t xml:space="preserve"> This document details the tumours and clinical scenarios </w:t>
      </w:r>
      <w:r>
        <w:t>in which</w:t>
      </w:r>
      <w:r w:rsidRPr="00C309D6">
        <w:t xml:space="preserve"> PET/CT plays an important rol</w:t>
      </w:r>
      <w:r w:rsidR="00E74387">
        <w:t>e in guiding patient management, and is an update to the 2013 revision previously commissioned by NHS England.</w:t>
      </w:r>
      <w:r w:rsidR="006C3F14" w:rsidRPr="00CF5505">
        <w:rPr>
          <w:vertAlign w:val="superscript"/>
        </w:rPr>
        <w:fldChar w:fldCharType="begin" w:fldLock="1"/>
      </w:r>
      <w:r w:rsidR="00137035" w:rsidRPr="00CF5505">
        <w:rPr>
          <w:vertAlign w:val="superscript"/>
        </w:rPr>
        <w:instrText>ADDIN CSL_CITATION { "citationItems" : [ { "id" : "ITEM-1", "itemData" : { "author" : [ { "dropping-particle" : "", "family" : "NHS England", "given" : "", "non-dropping-particle" : "", "parse-names" : false, "suffix" : "" } ], "id" : "ITEM-1", "issued" : { "date-parts" : [ [ "2015" ] ] }, "title" : "NHS Commissioning Board Clinical Commissioning Policy Statement: Positron Emission Tomography Computed Tomography (PET-CT) Guidelines (All Ages)", "type" : "article-journal" }, "uris" : [ "http://www.mendeley.com/documents/?uuid=ab66b5f6-cdc0-47bf-a7b1-862278c75a27" ] } ], "mendeley" : { "formattedCitation" : "(14)", "plainTextFormattedCitation" : "(14)", "previouslyFormattedCitation" : "(14)" }, "properties" : { "noteIndex" : 0 }, "schema" : "https://github.com/citation-style-language/schema/raw/master/csl-citation.json" }</w:instrText>
      </w:r>
      <w:r w:rsidR="006C3F14" w:rsidRPr="00CF5505">
        <w:rPr>
          <w:vertAlign w:val="superscript"/>
        </w:rPr>
        <w:fldChar w:fldCharType="separate"/>
      </w:r>
      <w:r w:rsidR="006C3F14" w:rsidRPr="00CF5505">
        <w:rPr>
          <w:noProof/>
          <w:vertAlign w:val="superscript"/>
        </w:rPr>
        <w:t>(14)</w:t>
      </w:r>
      <w:r w:rsidR="006C3F14" w:rsidRPr="00CF5505">
        <w:rPr>
          <w:vertAlign w:val="superscript"/>
        </w:rPr>
        <w:fldChar w:fldCharType="end"/>
      </w:r>
    </w:p>
    <w:p w14:paraId="42A7BD94" w14:textId="43D729E6" w:rsidR="007F3F5C" w:rsidRPr="00304F5C" w:rsidRDefault="007F3F5C" w:rsidP="007F3F5C">
      <w:pPr>
        <w:pStyle w:val="01squarebullet"/>
        <w:numPr>
          <w:ilvl w:val="1"/>
          <w:numId w:val="16"/>
        </w:numPr>
      </w:pPr>
      <w:r w:rsidRPr="00C309D6">
        <w:lastRenderedPageBreak/>
        <w:t>The Centers for Medicare &amp; Medicaid Services (CMS) in the U</w:t>
      </w:r>
      <w:r>
        <w:t xml:space="preserve">nited </w:t>
      </w:r>
      <w:r w:rsidRPr="00C309D6">
        <w:t>S</w:t>
      </w:r>
      <w:r>
        <w:t>tates</w:t>
      </w:r>
      <w:r w:rsidRPr="00C309D6">
        <w:t xml:space="preserve"> </w:t>
      </w:r>
      <w:r>
        <w:t>also</w:t>
      </w:r>
      <w:r w:rsidRPr="00C309D6">
        <w:t xml:space="preserve"> now provide coverage for FDG PET, PET/</w:t>
      </w:r>
      <w:r w:rsidRPr="00304F5C">
        <w:t>CT and PET/MRI for all oncologic indications.</w:t>
      </w:r>
      <w:r w:rsidRPr="00CF5505">
        <w:fldChar w:fldCharType="begin" w:fldLock="1"/>
      </w:r>
      <w:r w:rsidR="00137035" w:rsidRPr="00CF5505">
        <w:instrText>ADDIN CSL_CITATION { "citationItems" : [ { "id" : "ITEM-1", "itemData" : { "abstract" : "MLN Matters\u00ae Articles Index: Have you ever tried to search MLN Matters\u00ae articles for information regarding a certain issue, but you did not know what year it was published? To assist you next time in your search, try the CMS article indexes that are published at http://www.cms.gov/outreach-and-education/medicare-learning-network-mln/MLNMattersArticles/ on the CMS website. These indexes resemble the index in the back of a book and contain keywords found in the articles, including HCPCS codes and modifiers. These are published every month. Just search on a keyword(s) and you will find articles that contained those word(s). Then just click on one of the related article numbers and it will open that document. Give it a try. -CWF development/testing, FISS requirement development; October 6, 2014 -CWF, FISS, MCS Shared System Edits Fluorodeoxyglucose (FDG) Positron Emission Tomography (PET) for Solid Tumors (This Change Request (CR) rescinds and fully replaces MM 8468, dated February 6, 2014.) Note: This article was revised on January 12, 2015, to reflect the revised CR8739 issued on January 8. In the article, reference to an attachment at the bottom of page 2 has been replaced with a Web link to the list of appropriate diagnosis codes. Note that 793.11 has been added to that list. Also, the CR release date, transmittal number, and the Web address for accessing the CR are revised. All other information remains the same. This MLN Matters\u00ae Article is intended for physicians, providers and suppliers submitting claims to Medicare Administrative Contractors (MACs) for services to Medicare beneficiaries. Provider Action Needed This article is based on Change Request (CR) 8739, which advises MACs, effective for dates of service on or after June 11, 2013, to cover three FDG PET scans when used to guide subsequent management of anti-tumor treatment strategy after completion of initial anti-cancer therapy for the same cancer diagnosis. Coverage of any additional FDG PET scans (that is, beyond three) used to guide subsequent management of anti-tumor treatment strategy after completion of initial anti-cancer therapy for the same diagnosis will be determined by your MAC. Make sure your billing staffs are aware of these changes. Background", "author" : [ { "dropping-particle" : "", "family" : "CMS", "given" : "", "non-dropping-particle" : "", "parse-names" : false, "suffix" : "" } ], "id" : "ITEM-1", "issued" : { "date-parts" : [ [ "2015" ] ] }, "page" : "1-5", "title" : "Fluorodeoxyglucose (FDG) Positron Emission Tomography (PET) for Solid Tumors (This Change Request (CR) rescinds and fully replaces MM 8468, dated February 6, 2014.)", "type" : "article-journal" }, "uris" : [ "http://www.mendeley.com/documents/?uuid=e4c21169-f1cc-4057-a79d-87bda9f30a77", "http://www.mendeley.com/documents/?uuid=eb5fd1e7-a6b5-487b-8a84-81447b345eb8" ] } ], "mendeley" : { "formattedCitation" : "(15)", "plainTextFormattedCitation" : "(15)", "previouslyFormattedCitation" : "(15)" }, "properties" : { "noteIndex" : 0 }, "schema" : "https://github.com/citation-style-language/schema/raw/master/csl-citation.json" }</w:instrText>
      </w:r>
      <w:r w:rsidRPr="00CF5505">
        <w:fldChar w:fldCharType="separate"/>
      </w:r>
      <w:r w:rsidR="006C3F14" w:rsidRPr="00CF5505">
        <w:rPr>
          <w:noProof/>
        </w:rPr>
        <w:t>(15)</w:t>
      </w:r>
      <w:r w:rsidRPr="00CF5505">
        <w:fldChar w:fldCharType="end"/>
      </w:r>
    </w:p>
    <w:p w14:paraId="3820B8D9" w14:textId="12C6AEEA" w:rsidR="007F3F5C" w:rsidRPr="00193398" w:rsidRDefault="007F3F5C" w:rsidP="007F3F5C">
      <w:pPr>
        <w:pStyle w:val="01squarebullet"/>
        <w:numPr>
          <w:ilvl w:val="1"/>
          <w:numId w:val="16"/>
        </w:numPr>
        <w:rPr>
          <w:vertAlign w:val="superscript"/>
        </w:rPr>
      </w:pPr>
      <w:r w:rsidRPr="00304F5C">
        <w:t xml:space="preserve">The Royal College of Radiologists’ </w:t>
      </w:r>
      <w:r w:rsidRPr="00095225">
        <w:rPr>
          <w:i/>
        </w:rPr>
        <w:t>Recommendations for Cross-Sectional Imaging in Cancer Management</w:t>
      </w:r>
      <w:r>
        <w:t xml:space="preserve"> (</w:t>
      </w:r>
      <w:r w:rsidRPr="00304F5C">
        <w:t>second edition</w:t>
      </w:r>
      <w:r>
        <w:t>)</w:t>
      </w:r>
      <w:r w:rsidRPr="00304F5C">
        <w:t xml:space="preserve"> provides a comprehensive description of best-practice and evidence-based imaging in oncology.</w:t>
      </w:r>
      <w:r w:rsidRPr="00CF5505">
        <w:rPr>
          <w:vertAlign w:val="superscript"/>
        </w:rPr>
        <w:fldChar w:fldCharType="begin" w:fldLock="1"/>
      </w:r>
      <w:r w:rsidR="00137035" w:rsidRPr="00CF5505">
        <w:rPr>
          <w:vertAlign w:val="superscript"/>
        </w:rPr>
        <w:instrText>ADDIN CSL_CITATION { "citationItems" : [ { "id" : "ITEM-1", "itemData" : { "author" : [ { "dropping-particle" : "", "family" : "Faculty of Clinical Radiology", "given" : "", "non-dropping-particle" : "", "parse-names" : false, "suffix" : "" } ], "container-title" : "Clinical Radiology", "id" : "ITEM-1", "issued" : { "date-parts" : [ [ "2014" ] ] }, "title" : "Recommendations for cross-sectional imaging in cancer management, Second edition", "type" : "article-journal" }, "uris" : [ "http://www.mendeley.com/documents/?uuid=cb4b1f0d-a939-45b2-a54e-93ad762710ad", "http://www.mendeley.com/documents/?uuid=806d20d3-61e2-4749-a1b9-5f0432e1b6a0" ] } ], "mendeley" : { "formattedCitation" : "(16)", "plainTextFormattedCitation" : "(16)", "previouslyFormattedCitation" : "(16)" }, "properties" : { "noteIndex" : 0 }, "schema" : "https://github.com/citation-style-language/schema/raw/master/csl-citation.json" }</w:instrText>
      </w:r>
      <w:r w:rsidRPr="00CF5505">
        <w:rPr>
          <w:vertAlign w:val="superscript"/>
        </w:rPr>
        <w:fldChar w:fldCharType="separate"/>
      </w:r>
      <w:r w:rsidR="006C3F14" w:rsidRPr="00CF5505">
        <w:rPr>
          <w:noProof/>
          <w:vertAlign w:val="superscript"/>
        </w:rPr>
        <w:t>(16)</w:t>
      </w:r>
      <w:r w:rsidRPr="00CF5505">
        <w:rPr>
          <w:vertAlign w:val="superscript"/>
        </w:rPr>
        <w:fldChar w:fldCharType="end"/>
      </w:r>
      <w:r w:rsidRPr="00CF5505">
        <w:rPr>
          <w:vertAlign w:val="superscript"/>
        </w:rPr>
        <w:t xml:space="preserve"> </w:t>
      </w:r>
    </w:p>
    <w:p w14:paraId="5A602DC1" w14:textId="4F4CB626" w:rsidR="007F3F5C" w:rsidRPr="00C309D6" w:rsidRDefault="007F3F5C" w:rsidP="007F3F5C">
      <w:pPr>
        <w:pStyle w:val="01squarebullet"/>
        <w:numPr>
          <w:ilvl w:val="1"/>
          <w:numId w:val="16"/>
        </w:numPr>
      </w:pPr>
      <w:r w:rsidRPr="00304F5C">
        <w:t>NICE also includes</w:t>
      </w:r>
      <w:r>
        <w:t xml:space="preserve"> several </w:t>
      </w:r>
      <w:r w:rsidRPr="00304F5C">
        <w:t>recommendations for MRI in oncology. Many of the indications are</w:t>
      </w:r>
      <w:r w:rsidRPr="00C309D6">
        <w:t xml:space="preserve"> for investigations not currently funded in Australia</w:t>
      </w:r>
      <w:r>
        <w:t>.</w:t>
      </w:r>
      <w:r w:rsidRPr="00C309D6">
        <w:t xml:space="preserve"> </w:t>
      </w:r>
      <w:r>
        <w:t>T</w:t>
      </w:r>
      <w:r w:rsidRPr="00C309D6">
        <w:t>hese include MRI pelvis for indeterminate ovarian masses, whole body MRI for young patients (≤24 years old) with melanoma</w:t>
      </w:r>
      <w:r>
        <w:t>,</w:t>
      </w:r>
      <w:r w:rsidRPr="00C309D6">
        <w:t xml:space="preserve"> and whole body MRI in myeloma. The </w:t>
      </w:r>
      <w:r>
        <w:t>latter also reflects</w:t>
      </w:r>
      <w:r w:rsidRPr="00C309D6">
        <w:t xml:space="preserve"> the consensus position of the International Myeloma Working Group.</w:t>
      </w:r>
      <w:r w:rsidRPr="00CF5505">
        <w:rPr>
          <w:vertAlign w:val="superscript"/>
        </w:rPr>
        <w:fldChar w:fldCharType="begin" w:fldLock="1"/>
      </w:r>
      <w:r w:rsidR="00137035" w:rsidRPr="00CF5505">
        <w:rPr>
          <w:vertAlign w:val="superscript"/>
        </w:rPr>
        <w:instrText>ADDIN CSL_CITATION { "citationItems" : [ { "id" : "ITEM-1", "itemData" : { "DOI" : "10.1038/leu.2009.89", "ISBN" : "1476-5551 (Electronic)\\r0887-6924 (Linking)", "ISSN" : "1476-5551", "PMID" : "19421229", "abstract" : "Several imaging technologies are used for the diagnosis and management of patients with multiple myeloma (MM). Conventional radiography, computed tomography (CT), magnetic resonance imaging (MRI) and nuclear medicine imaging are all used in an attempt to better clarify the extent of bone disease and soft tissue disease in MM. This review summarizes all available data in the literature and provides recommendations for the use of each of the technologies. Conventional radiography still remains the 'gold standard' of the staging procedure of newly diagnosed and relapsed myeloma patients. MRI gives information complementary to skeletal survey and is recommended in MM patients with normal conventional radiography and in all patients with an apparently solitary plasmacytoma of bone. Urgent MRI or CT (if MRI is not available) is the diagnostic procedure of choice to assess suspected cord compression. Bone scintigraphy has no place in the routine staging of myeloma, whereas sequential dual-energy X-ray absorptiometry scans are not recommended. Positron emission tomography/CT or MIBI imaging are also not recommended for routine use in the management of myeloma patients, although both techniques may be useful in selected cases that warrant clarification of previous imaging findings, but such an approach should ideally be made within the context of a clinical trial.", "author" : [ { "dropping-particle" : "", "family" : "Dimopoulos", "given" : "M", "non-dropping-particle" : "", "parse-names" : false, "suffix" : "" }, { "dropping-particle" : "", "family" : "Terpos", "given" : "E", "non-dropping-particle" : "", "parse-names" : false, "suffix" : "" }, { "dropping-particle" : "", "family" : "Comenzo", "given" : "R L", "non-dropping-particle" : "", "parse-names" : false, "suffix" : "" }, { "dropping-particle" : "", "family" : "Tosi", "given" : "P", "non-dropping-particle" : "", "parse-names" : false, "suffix" : "" }, { "dropping-particle" : "", "family" : "Beksac", "given" : "M", "non-dropping-particle" : "", "parse-names" : false, "suffix" : "" }, { "dropping-particle" : "", "family" : "Sezer", "given" : "O", "non-dropping-particle" : "", "parse-names" : false, "suffix" : "" }, { "dropping-particle" : "", "family" : "Siegel", "given" : "D", "non-dropping-particle" : "", "parse-names" : false, "suffix" : "" }, { "dropping-particle" : "", "family" : "Lokhorst", "given" : "H", "non-dropping-particle" : "", "parse-names" : false, "suffix" : "" }, { "dropping-particle" : "", "family" : "Kumar", "given" : "S", "non-dropping-particle" : "", "parse-names" : false, "suffix" : "" }, { "dropping-particle" : "V", "family" : "Rajkumar", "given" : "S", "non-dropping-particle" : "", "parse-names" : false, "suffix" : "" }, { "dropping-particle" : "", "family" : "Niesvizky", "given" : "R", "non-dropping-particle" : "", "parse-names" : false, "suffix" : "" }, { "dropping-particle" : "", "family" : "Moulopoulos", "given" : "L A", "non-dropping-particle" : "", "parse-names" : false, "suffix" : "" }, { "dropping-particle" : "", "family" : "Durie", "given" : "B G M", "non-dropping-particle" : "", "parse-names" : false, "suffix" : "" } ], "container-title" : "Leukemia", "id" : "ITEM-1", "issue" : "9", "issued" : { "date-parts" : [ [ "2009" ] ] }, "page" : "1545-56", "title" : "International myeloma working group consensus statement and guidelines regarding the current role of imaging techniques in the diagnosis and monitoring of multiple Myeloma.", "type" : "article-journal", "volume" : "23" }, "uris" : [ "http://www.mendeley.com/documents/?uuid=4f4999c9-e1ca-4e8d-8bc6-56a8185fdb18", "http://www.mendeley.com/documents/?uuid=2c502536-112d-4e53-b4ed-6f930a2b4694" ] } ], "mendeley" : { "formattedCitation" : "(17)", "plainTextFormattedCitation" : "(17)", "previouslyFormattedCitation" : "(17)" }, "properties" : { "noteIndex" : 0 }, "schema" : "https://github.com/citation-style-language/schema/raw/master/csl-citation.json" }</w:instrText>
      </w:r>
      <w:r w:rsidRPr="00CF5505">
        <w:rPr>
          <w:vertAlign w:val="superscript"/>
        </w:rPr>
        <w:fldChar w:fldCharType="separate"/>
      </w:r>
      <w:r w:rsidR="006C3F14" w:rsidRPr="00CF5505">
        <w:rPr>
          <w:noProof/>
          <w:vertAlign w:val="superscript"/>
        </w:rPr>
        <w:t>(17)</w:t>
      </w:r>
      <w:r w:rsidRPr="00CF5505">
        <w:rPr>
          <w:vertAlign w:val="superscript"/>
        </w:rPr>
        <w:fldChar w:fldCharType="end"/>
      </w:r>
      <w:r w:rsidRPr="00C309D6">
        <w:t xml:space="preserve"> MRI has the added advantages of high spatial and contrast resolution and no ionising radiation</w:t>
      </w:r>
      <w:r>
        <w:t>—</w:t>
      </w:r>
      <w:r w:rsidRPr="00C309D6">
        <w:t>an especially important consideration when imaging children or patients where cure is anticipated and long</w:t>
      </w:r>
      <w:r>
        <w:t>-</w:t>
      </w:r>
      <w:r w:rsidRPr="00C309D6">
        <w:t>term follow up will be indicat</w:t>
      </w:r>
      <w:r>
        <w:t>ed.</w:t>
      </w:r>
    </w:p>
    <w:p w14:paraId="734C2EDF" w14:textId="6B7F8C32" w:rsidR="001475DE" w:rsidRDefault="007F3F5C" w:rsidP="001475DE">
      <w:pPr>
        <w:pStyle w:val="01squarebullet"/>
      </w:pPr>
      <w:bookmarkStart w:id="296" w:name="_Paediatric_cancer"/>
      <w:bookmarkEnd w:id="296"/>
      <w:r w:rsidRPr="00714801">
        <w:t xml:space="preserve">There are currently 19 MBS item numbers for FDG PET in oncology. These are subject to significant indication fragmentation. In each of the clinical scenarios </w:t>
      </w:r>
      <w:r>
        <w:t>described in the recommended four consolidated items</w:t>
      </w:r>
      <w:r w:rsidRPr="00714801">
        <w:t xml:space="preserve">, the utility of FDG PET/CT may prevent futile attempts at curative interventions by detecting otherwise occult distant metastatic disease, reducing therapeutic costs and allowing more rational allocation of scarce or expensive therapies. </w:t>
      </w:r>
    </w:p>
    <w:p w14:paraId="4CAF05B7" w14:textId="4DAFAC91" w:rsidR="001475DE" w:rsidRDefault="001475DE" w:rsidP="001475DE">
      <w:pPr>
        <w:pStyle w:val="Heading2Report"/>
      </w:pPr>
      <w:r>
        <w:t>D. References for Attachment A</w:t>
      </w:r>
    </w:p>
    <w:p w14:paraId="4262B663" w14:textId="77777777" w:rsidR="00137035" w:rsidRPr="00137035" w:rsidRDefault="00137035">
      <w:pPr>
        <w:widowControl w:val="0"/>
        <w:autoSpaceDE w:val="0"/>
        <w:autoSpaceDN w:val="0"/>
        <w:adjustRightInd w:val="0"/>
        <w:spacing w:after="140" w:line="288" w:lineRule="auto"/>
        <w:ind w:left="640" w:hanging="640"/>
        <w:rPr>
          <w:szCs w:val="22"/>
        </w:rPr>
      </w:pPr>
      <w:bookmarkStart w:id="297" w:name="_Ref472003900"/>
      <w:r w:rsidRPr="00137035">
        <w:rPr>
          <w:szCs w:val="22"/>
        </w:rPr>
        <w:t xml:space="preserve">8. </w:t>
      </w:r>
      <w:r w:rsidRPr="00137035">
        <w:rPr>
          <w:szCs w:val="22"/>
        </w:rPr>
        <w:tab/>
        <w:t xml:space="preserve">Cancer Institute NSW. Multidisciplinary teams and the use of the Medicare Benefits Schedule. 2009. </w:t>
      </w:r>
    </w:p>
    <w:p w14:paraId="5FFBBE84"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9. </w:t>
      </w:r>
      <w:r w:rsidRPr="00137035">
        <w:rPr>
          <w:szCs w:val="22"/>
        </w:rPr>
        <w:tab/>
        <w:t xml:space="preserve">Queensland Cancer Control Analysis Team &amp; Queensland Cancer Control Safety and Quality Partnership. Multidisciplinary Team (MDT) review in Queensland [unpublished data]. 2016. </w:t>
      </w:r>
    </w:p>
    <w:p w14:paraId="57C8C3E4"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10. </w:t>
      </w:r>
      <w:r w:rsidRPr="00137035">
        <w:rPr>
          <w:szCs w:val="22"/>
        </w:rPr>
        <w:tab/>
        <w:t>Louis DN, Perry A, Reifenberger G, von Deimling A, Figarella-Branger D, Cavenee WK, et al. The 2016 World Health Organization Classification of Tumors of the Central Nervous System: a summary. Acta Neuropathol [Internet]. 2016 Jun [cited 2016 Oct 20];131(6):803–20. Available from: http://www.ncbi.nlm.nih.gov/pubmed/27157931</w:t>
      </w:r>
    </w:p>
    <w:p w14:paraId="4C0FD7EC"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11. </w:t>
      </w:r>
      <w:r w:rsidRPr="00137035">
        <w:rPr>
          <w:szCs w:val="22"/>
        </w:rPr>
        <w:tab/>
        <w:t xml:space="preserve">Cairncross G, Berkey B, Shaw E, Jenkins R, Scheithauer B, Brachman D, et al. Phase III trial of chemotherapy plus radiotherapy compared with radiotherapy alone for pure and mixed anaplastic oligodendroglioma: Intergroup Radiation Therapy Oncology Group trial 9402. J Clin Oncol. 2006;24(18):2707–14. </w:t>
      </w:r>
    </w:p>
    <w:p w14:paraId="16DB4743"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12. </w:t>
      </w:r>
      <w:r w:rsidRPr="00137035">
        <w:rPr>
          <w:szCs w:val="22"/>
        </w:rPr>
        <w:tab/>
        <w:t xml:space="preserve">Van Den Bent MJ, Brandes AA, Taphoorn MJB, Kros JM, Kouwenhoven MCM, Delattre JY, et al. Adjuvant procarbazine, lomustine, and vincristine chemotherapy in newly diagnosed anaplastic oligodendroglioma: Long-term follow-up of EORTC brain tumor group study 26951. J Clin Oncol. 2013;31(3):344–50. </w:t>
      </w:r>
    </w:p>
    <w:p w14:paraId="75499699"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13. </w:t>
      </w:r>
      <w:r w:rsidRPr="00137035">
        <w:rPr>
          <w:szCs w:val="22"/>
        </w:rPr>
        <w:tab/>
        <w:t xml:space="preserve">Nuclear B, Society M. Evidence-based indications for the use of PET-CT in the United Kingdom 2016. Clin Radiol. 2016; </w:t>
      </w:r>
    </w:p>
    <w:p w14:paraId="232373CE" w14:textId="78125F03"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14. </w:t>
      </w:r>
      <w:r w:rsidRPr="00137035">
        <w:rPr>
          <w:szCs w:val="22"/>
        </w:rPr>
        <w:tab/>
        <w:t>NHS England. NHS Commissioning Board Clinical Commissioning Policy Statement: Positron Emission Tomography Computed Tomography (PET-C</w:t>
      </w:r>
      <w:r w:rsidR="0056555E">
        <w:rPr>
          <w:szCs w:val="22"/>
        </w:rPr>
        <w:t>T) Guidelines (All Ages). 2015.</w:t>
      </w:r>
    </w:p>
    <w:p w14:paraId="221E6201"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15. </w:t>
      </w:r>
      <w:r w:rsidRPr="00137035">
        <w:rPr>
          <w:szCs w:val="22"/>
        </w:rPr>
        <w:tab/>
        <w:t xml:space="preserve">CMS. Fluorodeoxyglucose (FDG) Positron Emission Tomography (PET) for Solid Tumors (This </w:t>
      </w:r>
      <w:r w:rsidRPr="00137035">
        <w:rPr>
          <w:szCs w:val="22"/>
        </w:rPr>
        <w:lastRenderedPageBreak/>
        <w:t xml:space="preserve">Change Request (CR) rescinds and fully replaces MM 8468, dated February 6, 2014.). 2015;1–5. </w:t>
      </w:r>
    </w:p>
    <w:p w14:paraId="02A294BD"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16. </w:t>
      </w:r>
      <w:r w:rsidRPr="00137035">
        <w:rPr>
          <w:szCs w:val="22"/>
        </w:rPr>
        <w:tab/>
        <w:t xml:space="preserve">Faculty of Clinical Radiology. Recommendations for cross-sectional imaging in cancer management, Second edition. Clin Radiol. 2014; </w:t>
      </w:r>
    </w:p>
    <w:p w14:paraId="3230B801" w14:textId="77777777" w:rsidR="00137035" w:rsidRPr="00137035" w:rsidRDefault="00137035">
      <w:pPr>
        <w:widowControl w:val="0"/>
        <w:autoSpaceDE w:val="0"/>
        <w:autoSpaceDN w:val="0"/>
        <w:adjustRightInd w:val="0"/>
        <w:spacing w:after="140" w:line="288" w:lineRule="auto"/>
        <w:ind w:left="640" w:hanging="640"/>
        <w:rPr>
          <w:szCs w:val="22"/>
        </w:rPr>
      </w:pPr>
      <w:r w:rsidRPr="00137035">
        <w:rPr>
          <w:szCs w:val="22"/>
        </w:rPr>
        <w:t xml:space="preserve">17. </w:t>
      </w:r>
      <w:r w:rsidRPr="00137035">
        <w:rPr>
          <w:szCs w:val="22"/>
        </w:rPr>
        <w:tab/>
        <w:t xml:space="preserve">Dimopoulos M, Terpos E, Comenzo RL, Tosi P, Beksac M, Sezer O, et al. International myeloma working group consensus statement and guidelines regarding the current role of imaging techniques in the diagnosis and monitoring of multiple Myeloma. Leukemia. 2009;23(9):1545–56. </w:t>
      </w:r>
    </w:p>
    <w:bookmarkEnd w:id="297"/>
    <w:p w14:paraId="717B1C1D" w14:textId="77777777" w:rsidR="001475DE" w:rsidRPr="00C1031E" w:rsidRDefault="001475DE" w:rsidP="001475DE">
      <w:pPr>
        <w:pStyle w:val="01squarebullet"/>
        <w:numPr>
          <w:ilvl w:val="0"/>
          <w:numId w:val="0"/>
        </w:numPr>
        <w:ind w:left="360" w:hanging="360"/>
      </w:pPr>
    </w:p>
    <w:sectPr w:rsidR="001475DE" w:rsidRPr="00C1031E" w:rsidSect="00D913B7">
      <w:headerReference w:type="even" r:id="rId25"/>
      <w:headerReference w:type="default" r:id="rId26"/>
      <w:footerReference w:type="even" r:id="rId27"/>
      <w:headerReference w:type="first" r:id="rId28"/>
      <w:footerReference w:type="first" r:id="rId29"/>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B218" w14:textId="77777777" w:rsidR="00E33A2E" w:rsidRDefault="00E33A2E" w:rsidP="00082595">
      <w:r>
        <w:separator/>
      </w:r>
    </w:p>
  </w:endnote>
  <w:endnote w:type="continuationSeparator" w:id="0">
    <w:p w14:paraId="33CA9A4B" w14:textId="77777777" w:rsidR="00E33A2E" w:rsidRDefault="00E33A2E" w:rsidP="00082595">
      <w:r>
        <w:continuationSeparator/>
      </w:r>
    </w:p>
  </w:endnote>
  <w:endnote w:type="continuationNotice" w:id="1">
    <w:p w14:paraId="27A97D91" w14:textId="77777777" w:rsidR="00E33A2E" w:rsidRDefault="00E33A2E" w:rsidP="000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DD62" w14:textId="1E2FFC12" w:rsidR="006C3F14" w:rsidRPr="008460E3" w:rsidRDefault="006C3F14" w:rsidP="008460E3">
    <w:pPr>
      <w:pStyle w:val="Footer"/>
      <w:pBdr>
        <w:top w:val="single" w:sz="4" w:space="1" w:color="B66113"/>
      </w:pBdr>
      <w:tabs>
        <w:tab w:val="clear" w:pos="4513"/>
      </w:tabs>
      <w:rPr>
        <w:color w:val="01653F"/>
      </w:rPr>
    </w:pPr>
    <w:r w:rsidRPr="008460E3">
      <w:rPr>
        <w:color w:val="01653F"/>
      </w:rPr>
      <w:t xml:space="preserve">Report from the </w:t>
    </w:r>
    <w:r>
      <w:rPr>
        <w:color w:val="01653F"/>
      </w:rPr>
      <w:t xml:space="preserve">Oncology </w:t>
    </w:r>
    <w:r w:rsidRPr="008460E3">
      <w:rPr>
        <w:color w:val="01653F"/>
      </w:rPr>
      <w:t>Clinical Committee – 201</w:t>
    </w:r>
    <w:r>
      <w:rPr>
        <w:color w:val="01653F"/>
      </w:rPr>
      <w:t>7</w:t>
    </w:r>
    <w:r w:rsidRPr="003B1222">
      <w:tab/>
    </w:r>
    <w:r w:rsidRPr="00396184">
      <w:rPr>
        <w:color w:val="01653F"/>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2239" w14:textId="230DF645" w:rsidR="006C3F14" w:rsidRPr="0032001D" w:rsidRDefault="006C3F14" w:rsidP="0032001D">
    <w:pPr>
      <w:pStyle w:val="Footer"/>
      <w:pBdr>
        <w:top w:val="single" w:sz="4" w:space="1" w:color="F79646" w:themeColor="accent6"/>
      </w:pBdr>
      <w:tabs>
        <w:tab w:val="left" w:pos="6705"/>
      </w:tabs>
      <w:rPr>
        <w:rFonts w:asciiTheme="majorHAnsi" w:eastAsiaTheme="majorEastAsia" w:hAnsiTheme="majorHAnsi" w:cstheme="majorBidi"/>
      </w:rPr>
    </w:pPr>
    <w:r w:rsidRPr="008460E3">
      <w:rPr>
        <w:color w:val="01653F"/>
      </w:rPr>
      <w:t xml:space="preserve">Report from the </w:t>
    </w:r>
    <w:r>
      <w:rPr>
        <w:color w:val="01653F"/>
      </w:rPr>
      <w:t>Oncology</w:t>
    </w:r>
    <w:r w:rsidRPr="008460E3">
      <w:rPr>
        <w:color w:val="01653F"/>
      </w:rPr>
      <w:t xml:space="preserve"> Clinical Committee –</w:t>
    </w:r>
    <w:r>
      <w:rPr>
        <w:color w:val="01653F"/>
      </w:rPr>
      <w:t xml:space="preserve"> </w:t>
    </w:r>
    <w:r w:rsidRPr="008460E3">
      <w:rPr>
        <w:color w:val="01653F"/>
      </w:rPr>
      <w:t>201</w:t>
    </w:r>
    <w:r>
      <w:rPr>
        <w:color w:val="01653F"/>
      </w:rPr>
      <w:t>7</w:t>
    </w:r>
    <w:r w:rsidRPr="003B1222">
      <w:tab/>
    </w:r>
    <w:r>
      <w:tab/>
    </w:r>
    <w:r w:rsidRPr="008460E3">
      <w:rPr>
        <w:color w:val="01653F"/>
      </w:rPr>
      <w:t xml:space="preserve">Page </w:t>
    </w:r>
    <w:r>
      <w:rPr>
        <w:color w:val="01653F"/>
      </w:rPr>
      <w:fldChar w:fldCharType="begin"/>
    </w:r>
    <w:r>
      <w:rPr>
        <w:color w:val="01653F"/>
      </w:rPr>
      <w:instrText xml:space="preserve"> PAGE   \* MERGEFORMAT </w:instrText>
    </w:r>
    <w:r>
      <w:rPr>
        <w:color w:val="01653F"/>
      </w:rPr>
      <w:fldChar w:fldCharType="separate"/>
    </w:r>
    <w:r w:rsidR="00CA599F">
      <w:rPr>
        <w:noProof/>
        <w:color w:val="01653F"/>
      </w:rPr>
      <w:t>2</w:t>
    </w:r>
    <w:r>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1FD2" w14:textId="6B8EBA08" w:rsidR="006C3F14" w:rsidRPr="00533111" w:rsidRDefault="006C3F14" w:rsidP="00533111">
    <w:pPr>
      <w:pStyle w:val="Footer"/>
      <w:pBdr>
        <w:top w:val="single" w:sz="4" w:space="1" w:color="F79646" w:themeColor="accent6"/>
      </w:pBdr>
      <w:tabs>
        <w:tab w:val="left" w:pos="6705"/>
      </w:tabs>
      <w:rPr>
        <w:rFonts w:asciiTheme="majorHAnsi" w:eastAsiaTheme="majorEastAsia" w:hAnsiTheme="majorHAnsi" w:cstheme="majorBidi"/>
      </w:rPr>
    </w:pPr>
    <w:r w:rsidRPr="008460E3">
      <w:rPr>
        <w:color w:val="01653F"/>
      </w:rPr>
      <w:t xml:space="preserve">Report from the </w:t>
    </w:r>
    <w:r>
      <w:rPr>
        <w:color w:val="01653F"/>
      </w:rPr>
      <w:t>Oncology</w:t>
    </w:r>
    <w:r w:rsidRPr="008460E3">
      <w:rPr>
        <w:color w:val="01653F"/>
      </w:rPr>
      <w:t xml:space="preserve"> Clinical Committee –</w:t>
    </w:r>
    <w:r>
      <w:rPr>
        <w:color w:val="01653F"/>
      </w:rPr>
      <w:t xml:space="preserve"> </w:t>
    </w:r>
    <w:r w:rsidRPr="008460E3">
      <w:rPr>
        <w:color w:val="01653F"/>
      </w:rPr>
      <w:t>201</w:t>
    </w:r>
    <w:r>
      <w:rPr>
        <w:color w:val="01653F"/>
      </w:rPr>
      <w:t>7</w:t>
    </w:r>
    <w:r w:rsidRPr="003B1222">
      <w:tab/>
    </w:r>
    <w:r>
      <w:tab/>
    </w:r>
    <w:r w:rsidRPr="008460E3">
      <w:rPr>
        <w:color w:val="01653F"/>
      </w:rPr>
      <w:t xml:space="preserve">Page </w:t>
    </w:r>
    <w:r>
      <w:rPr>
        <w:color w:val="01653F"/>
      </w:rPr>
      <w:fldChar w:fldCharType="begin"/>
    </w:r>
    <w:r w:rsidRPr="009F699E">
      <w:rPr>
        <w:color w:val="01653F"/>
      </w:rPr>
      <w:instrText xml:space="preserve"> PAGE   \* MERGEFORMAT </w:instrText>
    </w:r>
    <w:r>
      <w:rPr>
        <w:color w:val="01653F"/>
      </w:rPr>
      <w:fldChar w:fldCharType="separate"/>
    </w:r>
    <w:r w:rsidR="00CA599F">
      <w:rPr>
        <w:noProof/>
        <w:color w:val="01653F"/>
      </w:rPr>
      <w:t>21</w:t>
    </w:r>
    <w:r>
      <w:rPr>
        <w:color w:val="01653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F387" w14:textId="77777777" w:rsidR="006C3F14" w:rsidRDefault="006C3F14" w:rsidP="000825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D4FC" w14:textId="77777777" w:rsidR="006C3F14" w:rsidRDefault="006C3F14"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A1E0" w14:textId="77777777" w:rsidR="00E33A2E" w:rsidRDefault="00E33A2E" w:rsidP="00082595">
      <w:r>
        <w:separator/>
      </w:r>
    </w:p>
  </w:footnote>
  <w:footnote w:type="continuationSeparator" w:id="0">
    <w:p w14:paraId="11EE8C6C" w14:textId="77777777" w:rsidR="00E33A2E" w:rsidRDefault="00E33A2E" w:rsidP="00082595">
      <w:r>
        <w:continuationSeparator/>
      </w:r>
    </w:p>
  </w:footnote>
  <w:footnote w:type="continuationNotice" w:id="1">
    <w:p w14:paraId="62CBE9F2" w14:textId="77777777" w:rsidR="00E33A2E" w:rsidRDefault="00E33A2E" w:rsidP="00082595"/>
  </w:footnote>
  <w:footnote w:id="2">
    <w:p w14:paraId="45279F43" w14:textId="1424EB64" w:rsidR="006C3F14" w:rsidRPr="000B4C94" w:rsidRDefault="006C3F14">
      <w:pPr>
        <w:pStyle w:val="FootnoteText"/>
        <w:rPr>
          <w:lang w:val="en-AU"/>
        </w:rPr>
      </w:pPr>
      <w:r>
        <w:rPr>
          <w:rStyle w:val="FootnoteReference"/>
        </w:rPr>
        <w:footnoteRef/>
      </w:r>
      <w:r>
        <w:t xml:space="preserve"> </w:t>
      </w:r>
      <w:r w:rsidRPr="000B4C94">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p>
  </w:footnote>
  <w:footnote w:id="3">
    <w:p w14:paraId="6FDABC10" w14:textId="1F2D294F" w:rsidR="006C3F14" w:rsidRPr="00190976" w:rsidRDefault="006C3F14">
      <w:pPr>
        <w:pStyle w:val="FootnoteText"/>
        <w:rPr>
          <w:lang w:val="en-AU"/>
        </w:rPr>
      </w:pPr>
      <w:r>
        <w:rPr>
          <w:rStyle w:val="FootnoteReference"/>
        </w:rPr>
        <w:footnoteRef/>
      </w:r>
      <w:r>
        <w:t xml:space="preserve"> </w:t>
      </w:r>
      <w:r w:rsidRPr="000B4C94">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p>
  </w:footnote>
  <w:footnote w:id="4">
    <w:p w14:paraId="3F4F184E" w14:textId="77777777" w:rsidR="006C3F14" w:rsidRDefault="006C3F14" w:rsidP="00082595">
      <w:pPr>
        <w:pStyle w:val="FootnoteText"/>
      </w:pPr>
      <w:r>
        <w:rPr>
          <w:rStyle w:val="FootnoteReference"/>
        </w:rPr>
        <w:footnoteRef/>
      </w:r>
      <w:r>
        <w:t xml:space="preserve"> </w:t>
      </w:r>
      <w:r w:rsidRPr="0077562D">
        <w:t xml:space="preserve">The use of an intervention </w:t>
      </w:r>
      <w:r>
        <w:t>that</w:t>
      </w:r>
      <w:r w:rsidRPr="0077562D">
        <w:t xml:space="preserve"> evidence suggests confers no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5">
    <w:p w14:paraId="586434D6" w14:textId="77777777" w:rsidR="006C3F14" w:rsidRDefault="006C3F14" w:rsidP="00082595">
      <w:pPr>
        <w:pStyle w:val="FootnoteText"/>
      </w:pPr>
      <w:r>
        <w:rPr>
          <w:rStyle w:val="FootnoteReference"/>
        </w:rPr>
        <w:footnoteRef/>
      </w:r>
      <w:r>
        <w:t xml:space="preserve"> </w:t>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 w:id="6">
    <w:p w14:paraId="66DB3E9F" w14:textId="77777777" w:rsidR="006C3F14" w:rsidRPr="00F91DFD" w:rsidRDefault="006C3F14" w:rsidP="00F86FE5">
      <w:pPr>
        <w:pStyle w:val="FootnoteText"/>
        <w:ind w:left="142" w:hanging="142"/>
        <w:rPr>
          <w:lang w:val="en-AU"/>
        </w:rPr>
      </w:pPr>
      <w:r>
        <w:rPr>
          <w:rStyle w:val="FootnoteReference"/>
        </w:rPr>
        <w:footnoteRef/>
      </w:r>
      <w:r>
        <w:t xml:space="preserve"> </w:t>
      </w:r>
      <w:r>
        <w:rPr>
          <w:lang w:val="en-AU"/>
        </w:rPr>
        <w:t xml:space="preserve">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 </w:t>
      </w:r>
    </w:p>
  </w:footnote>
  <w:footnote w:id="7">
    <w:p w14:paraId="0A80E2E7" w14:textId="77777777" w:rsidR="006C3F14" w:rsidRPr="00F91DFD" w:rsidRDefault="006C3F14" w:rsidP="008C6A7D">
      <w:pPr>
        <w:pStyle w:val="FootnoteText"/>
        <w:ind w:left="142" w:hanging="142"/>
        <w:rPr>
          <w:lang w:val="en-AU"/>
        </w:rPr>
      </w:pPr>
      <w:r>
        <w:rPr>
          <w:rStyle w:val="FootnoteReference"/>
        </w:rPr>
        <w:footnoteRef/>
      </w:r>
      <w:r>
        <w:t xml:space="preserve"> </w:t>
      </w:r>
      <w:r>
        <w:rPr>
          <w:lang w:val="en-AU"/>
        </w:rPr>
        <w:t xml:space="preserve">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FF53" w14:textId="77777777" w:rsidR="006C3F14" w:rsidRDefault="006C3F14" w:rsidP="0008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B0AF" w14:textId="77777777" w:rsidR="006C3F14" w:rsidRDefault="006C3F14" w:rsidP="0008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6B67" w14:textId="77777777" w:rsidR="006C3F14" w:rsidRDefault="006C3F14"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pStyle w:val="Itembulletlevel3"/>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723834"/>
    <w:multiLevelType w:val="multilevel"/>
    <w:tmpl w:val="CF3478DC"/>
    <w:lvl w:ilvl="0">
      <w:start w:val="1"/>
      <w:numFmt w:val="upperLetter"/>
      <w:pStyle w:val="AppendixStyle1"/>
      <w:lvlText w:val="Appendix %1 "/>
      <w:lvlJc w:val="left"/>
      <w:pPr>
        <w:ind w:left="2694" w:hanging="170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24742B66"/>
    <w:multiLevelType w:val="hybridMultilevel"/>
    <w:tmpl w:val="4EF46102"/>
    <w:lvl w:ilvl="0" w:tplc="0C090001">
      <w:start w:val="1"/>
      <w:numFmt w:val="bullet"/>
      <w:pStyle w:val="Style3"/>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F11481"/>
    <w:multiLevelType w:val="multilevel"/>
    <w:tmpl w:val="37567186"/>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7"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500B7354"/>
    <w:multiLevelType w:val="hybridMultilevel"/>
    <w:tmpl w:val="57D879C8"/>
    <w:lvl w:ilvl="0" w:tplc="58087DC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34C74"/>
    <w:multiLevelType w:val="hybridMultilevel"/>
    <w:tmpl w:val="E18EB71C"/>
    <w:lvl w:ilvl="0" w:tplc="E95E75C6">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312F4"/>
    <w:multiLevelType w:val="multilevel"/>
    <w:tmpl w:val="81841A36"/>
    <w:styleLink w:val="Style41"/>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15:restartNumberingAfterBreak="0">
    <w:nsid w:val="5C574A11"/>
    <w:multiLevelType w:val="multilevel"/>
    <w:tmpl w:val="8DB4AC64"/>
    <w:numStyleLink w:val="Style2"/>
  </w:abstractNum>
  <w:abstractNum w:abstractNumId="16" w15:restartNumberingAfterBreak="0">
    <w:nsid w:val="5CA60A6D"/>
    <w:multiLevelType w:val="multilevel"/>
    <w:tmpl w:val="5454B5CA"/>
    <w:lvl w:ilvl="0">
      <w:start w:val="1"/>
      <w:numFmt w:val="lowerLetter"/>
      <w:lvlText w:val="(%1)"/>
      <w:lvlJc w:val="left"/>
      <w:pPr>
        <w:ind w:left="360" w:hanging="360"/>
      </w:pPr>
      <w:rPr>
        <w:rFonts w:hint="default"/>
        <w:color w:val="auto"/>
        <w:sz w:val="18"/>
        <w:szCs w:val="18"/>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8"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15:restartNumberingAfterBreak="0">
    <w:nsid w:val="7B8E557E"/>
    <w:multiLevelType w:val="multilevel"/>
    <w:tmpl w:val="C1B842D2"/>
    <w:lvl w:ilvl="0">
      <w:start w:val="1"/>
      <w:numFmt w:val="decimal"/>
      <w:pStyle w:val="05number1"/>
      <w:lvlText w:val="%1."/>
      <w:lvlJc w:val="left"/>
      <w:pPr>
        <w:ind w:left="360" w:hanging="360"/>
      </w:pPr>
      <w:rPr>
        <w:rFonts w:asciiTheme="minorHAnsi" w:hAnsiTheme="minorHAnsi" w:hint="default"/>
        <w:color w:val="auto"/>
        <w:sz w:val="18"/>
        <w:szCs w:val="18"/>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EDB59BA"/>
    <w:multiLevelType w:val="multilevel"/>
    <w:tmpl w:val="8DB4AC64"/>
    <w:numStyleLink w:val="Style2"/>
  </w:abstractNum>
  <w:num w:numId="1">
    <w:abstractNumId w:val="10"/>
  </w:num>
  <w:num w:numId="2">
    <w:abstractNumId w:val="5"/>
  </w:num>
  <w:num w:numId="3">
    <w:abstractNumId w:val="8"/>
  </w:num>
  <w:num w:numId="4">
    <w:abstractNumId w:val="4"/>
  </w:num>
  <w:num w:numId="5">
    <w:abstractNumId w:val="2"/>
  </w:num>
  <w:num w:numId="6">
    <w:abstractNumId w:val="15"/>
    <w:lvlOverride w:ilvl="1">
      <w:lvl w:ilvl="1">
        <w:start w:val="1"/>
        <w:numFmt w:val="bullet"/>
        <w:pStyle w:val="02dash"/>
        <w:lvlText w:val="–"/>
        <w:lvlJc w:val="left"/>
        <w:pPr>
          <w:tabs>
            <w:tab w:val="num" w:pos="646"/>
          </w:tabs>
          <w:ind w:left="644" w:hanging="284"/>
        </w:pPr>
        <w:rPr>
          <w:rFonts w:ascii="Arial" w:hAnsi="Arial" w:hint="default"/>
          <w:color w:val="auto"/>
          <w:sz w:val="24"/>
        </w:rPr>
      </w:lvl>
    </w:lvlOverride>
  </w:num>
  <w:num w:numId="7">
    <w:abstractNumId w:val="21"/>
  </w:num>
  <w:num w:numId="8">
    <w:abstractNumId w:val="14"/>
  </w:num>
  <w:num w:numId="9">
    <w:abstractNumId w:val="20"/>
  </w:num>
  <w:num w:numId="10">
    <w:abstractNumId w:val="6"/>
  </w:num>
  <w:num w:numId="11">
    <w:abstractNumId w:val="19"/>
  </w:num>
  <w:num w:numId="12">
    <w:abstractNumId w:val="17"/>
  </w:num>
  <w:num w:numId="13">
    <w:abstractNumId w:val="9"/>
  </w:num>
  <w:num w:numId="14">
    <w:abstractNumId w:val="18"/>
  </w:num>
  <w:num w:numId="15">
    <w:abstractNumId w:val="3"/>
  </w:num>
  <w:num w:numId="16">
    <w:abstractNumId w:val="22"/>
    <w:lvlOverride w:ilvl="0">
      <w:lvl w:ilvl="0">
        <w:start w:val="1"/>
        <w:numFmt w:val="bullet"/>
        <w:pStyle w:val="01squarebullet"/>
        <w:lvlText w:val="Δ"/>
        <w:lvlJc w:val="left"/>
        <w:pPr>
          <w:ind w:left="360" w:hanging="360"/>
        </w:pPr>
        <w:rPr>
          <w:rFonts w:ascii="Calibri" w:hAnsi="Calibri" w:cs="Times New Roman" w:hint="default"/>
          <w:color w:val="B66113"/>
          <w:sz w:val="24"/>
        </w:rPr>
      </w:lvl>
    </w:lvlOverride>
  </w:num>
  <w:num w:numId="17">
    <w:abstractNumId w:val="13"/>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num>
  <w:num w:numId="24">
    <w:abstractNumId w:val="0"/>
    <w:lvlOverride w:ilvl="0">
      <w:startOverride w:val="1"/>
    </w:lvlOverride>
  </w:num>
  <w:num w:numId="25">
    <w:abstractNumId w:val="16"/>
  </w:num>
  <w:num w:numId="26">
    <w:abstractNumId w:val="1"/>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7"/>
  </w:num>
  <w:num w:numId="41">
    <w:abstractNumId w:val="12"/>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0B3"/>
    <w:rsid w:val="000003AF"/>
    <w:rsid w:val="000005DB"/>
    <w:rsid w:val="000006E3"/>
    <w:rsid w:val="00000940"/>
    <w:rsid w:val="000009FE"/>
    <w:rsid w:val="00000A1D"/>
    <w:rsid w:val="00000B44"/>
    <w:rsid w:val="00000C05"/>
    <w:rsid w:val="00000C16"/>
    <w:rsid w:val="00000EF0"/>
    <w:rsid w:val="00001159"/>
    <w:rsid w:val="000012D6"/>
    <w:rsid w:val="00001785"/>
    <w:rsid w:val="000017F9"/>
    <w:rsid w:val="0000185E"/>
    <w:rsid w:val="00001B0E"/>
    <w:rsid w:val="00001F7B"/>
    <w:rsid w:val="0000215D"/>
    <w:rsid w:val="000021A9"/>
    <w:rsid w:val="00002230"/>
    <w:rsid w:val="0000223A"/>
    <w:rsid w:val="00002243"/>
    <w:rsid w:val="00002477"/>
    <w:rsid w:val="00002678"/>
    <w:rsid w:val="0000270B"/>
    <w:rsid w:val="00002F66"/>
    <w:rsid w:val="00002FBF"/>
    <w:rsid w:val="000032BC"/>
    <w:rsid w:val="00003312"/>
    <w:rsid w:val="000037FE"/>
    <w:rsid w:val="00003831"/>
    <w:rsid w:val="00003B93"/>
    <w:rsid w:val="000041AB"/>
    <w:rsid w:val="000044AE"/>
    <w:rsid w:val="000044E9"/>
    <w:rsid w:val="00004920"/>
    <w:rsid w:val="00004C17"/>
    <w:rsid w:val="00004CCA"/>
    <w:rsid w:val="00005114"/>
    <w:rsid w:val="0000566B"/>
    <w:rsid w:val="00005B28"/>
    <w:rsid w:val="00005D04"/>
    <w:rsid w:val="00006020"/>
    <w:rsid w:val="000060B8"/>
    <w:rsid w:val="0000669A"/>
    <w:rsid w:val="00006876"/>
    <w:rsid w:val="00006915"/>
    <w:rsid w:val="00006AE9"/>
    <w:rsid w:val="00006B66"/>
    <w:rsid w:val="000070CD"/>
    <w:rsid w:val="00007490"/>
    <w:rsid w:val="00007542"/>
    <w:rsid w:val="000075D7"/>
    <w:rsid w:val="00007CFB"/>
    <w:rsid w:val="00007E33"/>
    <w:rsid w:val="00010095"/>
    <w:rsid w:val="00010565"/>
    <w:rsid w:val="000107B3"/>
    <w:rsid w:val="0001084A"/>
    <w:rsid w:val="000112AB"/>
    <w:rsid w:val="00011334"/>
    <w:rsid w:val="00011611"/>
    <w:rsid w:val="000116CB"/>
    <w:rsid w:val="00011987"/>
    <w:rsid w:val="000119B6"/>
    <w:rsid w:val="00011ED5"/>
    <w:rsid w:val="000124AC"/>
    <w:rsid w:val="000125BE"/>
    <w:rsid w:val="000126EA"/>
    <w:rsid w:val="00012D11"/>
    <w:rsid w:val="00013117"/>
    <w:rsid w:val="00013306"/>
    <w:rsid w:val="0001353E"/>
    <w:rsid w:val="00013662"/>
    <w:rsid w:val="00013771"/>
    <w:rsid w:val="0001377D"/>
    <w:rsid w:val="00013881"/>
    <w:rsid w:val="0001393A"/>
    <w:rsid w:val="00013F9B"/>
    <w:rsid w:val="000140C8"/>
    <w:rsid w:val="00014281"/>
    <w:rsid w:val="00014305"/>
    <w:rsid w:val="0001442E"/>
    <w:rsid w:val="00014518"/>
    <w:rsid w:val="000146FC"/>
    <w:rsid w:val="00014712"/>
    <w:rsid w:val="0001480F"/>
    <w:rsid w:val="000149D2"/>
    <w:rsid w:val="00014C5A"/>
    <w:rsid w:val="00014FB8"/>
    <w:rsid w:val="000150D7"/>
    <w:rsid w:val="0001513D"/>
    <w:rsid w:val="000152FC"/>
    <w:rsid w:val="0001545C"/>
    <w:rsid w:val="000155CE"/>
    <w:rsid w:val="00015973"/>
    <w:rsid w:val="00015A0E"/>
    <w:rsid w:val="00015BEE"/>
    <w:rsid w:val="00015D0F"/>
    <w:rsid w:val="00015D51"/>
    <w:rsid w:val="00015DF8"/>
    <w:rsid w:val="00015E01"/>
    <w:rsid w:val="000163FB"/>
    <w:rsid w:val="000169B4"/>
    <w:rsid w:val="00016E1B"/>
    <w:rsid w:val="0001710B"/>
    <w:rsid w:val="000171FF"/>
    <w:rsid w:val="00017407"/>
    <w:rsid w:val="00017509"/>
    <w:rsid w:val="00017721"/>
    <w:rsid w:val="00017CDC"/>
    <w:rsid w:val="00017D59"/>
    <w:rsid w:val="00020196"/>
    <w:rsid w:val="000202A1"/>
    <w:rsid w:val="000202DB"/>
    <w:rsid w:val="00020431"/>
    <w:rsid w:val="000205C1"/>
    <w:rsid w:val="000206BB"/>
    <w:rsid w:val="000208B5"/>
    <w:rsid w:val="00020D13"/>
    <w:rsid w:val="0002100A"/>
    <w:rsid w:val="00021450"/>
    <w:rsid w:val="00021A9A"/>
    <w:rsid w:val="00021BEE"/>
    <w:rsid w:val="00022183"/>
    <w:rsid w:val="00022376"/>
    <w:rsid w:val="0002237C"/>
    <w:rsid w:val="000223DF"/>
    <w:rsid w:val="00022678"/>
    <w:rsid w:val="00022A10"/>
    <w:rsid w:val="00022D14"/>
    <w:rsid w:val="00022E87"/>
    <w:rsid w:val="00022FC4"/>
    <w:rsid w:val="0002353D"/>
    <w:rsid w:val="00023597"/>
    <w:rsid w:val="00023693"/>
    <w:rsid w:val="000237EE"/>
    <w:rsid w:val="00023948"/>
    <w:rsid w:val="00023C89"/>
    <w:rsid w:val="00023E5B"/>
    <w:rsid w:val="00023F55"/>
    <w:rsid w:val="00023F5D"/>
    <w:rsid w:val="00024197"/>
    <w:rsid w:val="000246F7"/>
    <w:rsid w:val="000248EC"/>
    <w:rsid w:val="00024CD2"/>
    <w:rsid w:val="00024FB5"/>
    <w:rsid w:val="00024FE0"/>
    <w:rsid w:val="0002528B"/>
    <w:rsid w:val="00025332"/>
    <w:rsid w:val="000253EC"/>
    <w:rsid w:val="00025668"/>
    <w:rsid w:val="00025928"/>
    <w:rsid w:val="00026021"/>
    <w:rsid w:val="000262DD"/>
    <w:rsid w:val="000263A0"/>
    <w:rsid w:val="00026792"/>
    <w:rsid w:val="00026891"/>
    <w:rsid w:val="00026A09"/>
    <w:rsid w:val="00026BA7"/>
    <w:rsid w:val="00026C4F"/>
    <w:rsid w:val="00026C6C"/>
    <w:rsid w:val="00026CC9"/>
    <w:rsid w:val="0002722A"/>
    <w:rsid w:val="000275E7"/>
    <w:rsid w:val="000278CF"/>
    <w:rsid w:val="000278FE"/>
    <w:rsid w:val="00027D1B"/>
    <w:rsid w:val="0003004C"/>
    <w:rsid w:val="00030067"/>
    <w:rsid w:val="0003006D"/>
    <w:rsid w:val="000302B7"/>
    <w:rsid w:val="0003057B"/>
    <w:rsid w:val="000307DA"/>
    <w:rsid w:val="00030904"/>
    <w:rsid w:val="000309CE"/>
    <w:rsid w:val="00030DEA"/>
    <w:rsid w:val="00030F0B"/>
    <w:rsid w:val="00031095"/>
    <w:rsid w:val="000310C6"/>
    <w:rsid w:val="00031871"/>
    <w:rsid w:val="00031A2F"/>
    <w:rsid w:val="00031A63"/>
    <w:rsid w:val="00031ADE"/>
    <w:rsid w:val="00031BC5"/>
    <w:rsid w:val="00031CF4"/>
    <w:rsid w:val="00031E84"/>
    <w:rsid w:val="000320F4"/>
    <w:rsid w:val="00032108"/>
    <w:rsid w:val="000322B2"/>
    <w:rsid w:val="000326A2"/>
    <w:rsid w:val="0003277E"/>
    <w:rsid w:val="000327FF"/>
    <w:rsid w:val="00032E12"/>
    <w:rsid w:val="00032F2F"/>
    <w:rsid w:val="00033156"/>
    <w:rsid w:val="00033488"/>
    <w:rsid w:val="000334A2"/>
    <w:rsid w:val="000337EF"/>
    <w:rsid w:val="000338EC"/>
    <w:rsid w:val="00033DA4"/>
    <w:rsid w:val="00033EBC"/>
    <w:rsid w:val="000340F9"/>
    <w:rsid w:val="000345CB"/>
    <w:rsid w:val="00034B3D"/>
    <w:rsid w:val="000353AA"/>
    <w:rsid w:val="000354AB"/>
    <w:rsid w:val="0003550F"/>
    <w:rsid w:val="00035797"/>
    <w:rsid w:val="000357F6"/>
    <w:rsid w:val="000358E8"/>
    <w:rsid w:val="00036133"/>
    <w:rsid w:val="000364A0"/>
    <w:rsid w:val="000367EB"/>
    <w:rsid w:val="00036C0E"/>
    <w:rsid w:val="00036D7C"/>
    <w:rsid w:val="00036E95"/>
    <w:rsid w:val="0003762C"/>
    <w:rsid w:val="00037E0B"/>
    <w:rsid w:val="00037FF5"/>
    <w:rsid w:val="0004017A"/>
    <w:rsid w:val="00040418"/>
    <w:rsid w:val="000404DD"/>
    <w:rsid w:val="000404EF"/>
    <w:rsid w:val="0004069C"/>
    <w:rsid w:val="00040716"/>
    <w:rsid w:val="00040957"/>
    <w:rsid w:val="00040EAC"/>
    <w:rsid w:val="0004104F"/>
    <w:rsid w:val="000411A7"/>
    <w:rsid w:val="0004124F"/>
    <w:rsid w:val="0004140C"/>
    <w:rsid w:val="0004143D"/>
    <w:rsid w:val="000415DA"/>
    <w:rsid w:val="000418D5"/>
    <w:rsid w:val="00041A7A"/>
    <w:rsid w:val="00041A9D"/>
    <w:rsid w:val="00041F35"/>
    <w:rsid w:val="00042044"/>
    <w:rsid w:val="000422EE"/>
    <w:rsid w:val="0004246F"/>
    <w:rsid w:val="000428A5"/>
    <w:rsid w:val="00042A17"/>
    <w:rsid w:val="00042C25"/>
    <w:rsid w:val="00042EB4"/>
    <w:rsid w:val="00042ED2"/>
    <w:rsid w:val="00043742"/>
    <w:rsid w:val="00043AA3"/>
    <w:rsid w:val="00043DE7"/>
    <w:rsid w:val="0004408A"/>
    <w:rsid w:val="0004432C"/>
    <w:rsid w:val="0004434C"/>
    <w:rsid w:val="0004465B"/>
    <w:rsid w:val="00044787"/>
    <w:rsid w:val="00044AA2"/>
    <w:rsid w:val="00044C42"/>
    <w:rsid w:val="00045066"/>
    <w:rsid w:val="000452BA"/>
    <w:rsid w:val="00045495"/>
    <w:rsid w:val="000459AD"/>
    <w:rsid w:val="00045A9D"/>
    <w:rsid w:val="00045C6A"/>
    <w:rsid w:val="00045F6B"/>
    <w:rsid w:val="00045FE6"/>
    <w:rsid w:val="00046491"/>
    <w:rsid w:val="00046AB1"/>
    <w:rsid w:val="00046AF0"/>
    <w:rsid w:val="00046C9C"/>
    <w:rsid w:val="00046CE5"/>
    <w:rsid w:val="00046D02"/>
    <w:rsid w:val="00047145"/>
    <w:rsid w:val="00047333"/>
    <w:rsid w:val="0004738E"/>
    <w:rsid w:val="000475CC"/>
    <w:rsid w:val="000476D6"/>
    <w:rsid w:val="000478EE"/>
    <w:rsid w:val="00047BB8"/>
    <w:rsid w:val="00047FB5"/>
    <w:rsid w:val="000500F7"/>
    <w:rsid w:val="000501C9"/>
    <w:rsid w:val="00050417"/>
    <w:rsid w:val="00050514"/>
    <w:rsid w:val="000507BA"/>
    <w:rsid w:val="000508E2"/>
    <w:rsid w:val="000508E6"/>
    <w:rsid w:val="00050ED2"/>
    <w:rsid w:val="00050EF0"/>
    <w:rsid w:val="00051250"/>
    <w:rsid w:val="00051366"/>
    <w:rsid w:val="000513EC"/>
    <w:rsid w:val="00051496"/>
    <w:rsid w:val="000514E8"/>
    <w:rsid w:val="00051569"/>
    <w:rsid w:val="00051583"/>
    <w:rsid w:val="0005181B"/>
    <w:rsid w:val="00051874"/>
    <w:rsid w:val="00051A50"/>
    <w:rsid w:val="00051D6D"/>
    <w:rsid w:val="000529EA"/>
    <w:rsid w:val="00052A7E"/>
    <w:rsid w:val="00052D17"/>
    <w:rsid w:val="00052E9E"/>
    <w:rsid w:val="00053128"/>
    <w:rsid w:val="00053253"/>
    <w:rsid w:val="000532A7"/>
    <w:rsid w:val="000535A5"/>
    <w:rsid w:val="000535A7"/>
    <w:rsid w:val="000537C0"/>
    <w:rsid w:val="00053800"/>
    <w:rsid w:val="00053C73"/>
    <w:rsid w:val="00053EF5"/>
    <w:rsid w:val="00054036"/>
    <w:rsid w:val="00054178"/>
    <w:rsid w:val="000541DA"/>
    <w:rsid w:val="000544E8"/>
    <w:rsid w:val="00054B95"/>
    <w:rsid w:val="00054CC1"/>
    <w:rsid w:val="00054D23"/>
    <w:rsid w:val="00054D4C"/>
    <w:rsid w:val="0005501C"/>
    <w:rsid w:val="000551CF"/>
    <w:rsid w:val="0005522D"/>
    <w:rsid w:val="000552A5"/>
    <w:rsid w:val="000554D5"/>
    <w:rsid w:val="0005557F"/>
    <w:rsid w:val="000556D5"/>
    <w:rsid w:val="000558E5"/>
    <w:rsid w:val="000559AF"/>
    <w:rsid w:val="00055E14"/>
    <w:rsid w:val="00055F39"/>
    <w:rsid w:val="00056412"/>
    <w:rsid w:val="00056426"/>
    <w:rsid w:val="00056482"/>
    <w:rsid w:val="00056545"/>
    <w:rsid w:val="00056CF7"/>
    <w:rsid w:val="00056D16"/>
    <w:rsid w:val="00056E27"/>
    <w:rsid w:val="0005707D"/>
    <w:rsid w:val="000576DC"/>
    <w:rsid w:val="0005795F"/>
    <w:rsid w:val="00057AB0"/>
    <w:rsid w:val="00057B1B"/>
    <w:rsid w:val="00057F0D"/>
    <w:rsid w:val="00060288"/>
    <w:rsid w:val="000607B6"/>
    <w:rsid w:val="000607EE"/>
    <w:rsid w:val="000608B1"/>
    <w:rsid w:val="000609B4"/>
    <w:rsid w:val="00060B54"/>
    <w:rsid w:val="00060C76"/>
    <w:rsid w:val="0006106A"/>
    <w:rsid w:val="000611A1"/>
    <w:rsid w:val="000612B9"/>
    <w:rsid w:val="0006140B"/>
    <w:rsid w:val="00061567"/>
    <w:rsid w:val="00061600"/>
    <w:rsid w:val="0006172E"/>
    <w:rsid w:val="00061B11"/>
    <w:rsid w:val="00061B23"/>
    <w:rsid w:val="00061F1B"/>
    <w:rsid w:val="0006228D"/>
    <w:rsid w:val="00062455"/>
    <w:rsid w:val="00062488"/>
    <w:rsid w:val="000629DA"/>
    <w:rsid w:val="000629EC"/>
    <w:rsid w:val="00062ADD"/>
    <w:rsid w:val="00062AEF"/>
    <w:rsid w:val="00062B16"/>
    <w:rsid w:val="00062CAA"/>
    <w:rsid w:val="0006309D"/>
    <w:rsid w:val="00063587"/>
    <w:rsid w:val="000636E5"/>
    <w:rsid w:val="00063B43"/>
    <w:rsid w:val="00064465"/>
    <w:rsid w:val="00064685"/>
    <w:rsid w:val="00064B26"/>
    <w:rsid w:val="00064B9C"/>
    <w:rsid w:val="00064CA8"/>
    <w:rsid w:val="00065121"/>
    <w:rsid w:val="000651C6"/>
    <w:rsid w:val="000653C1"/>
    <w:rsid w:val="000653DF"/>
    <w:rsid w:val="000655C1"/>
    <w:rsid w:val="00065ADB"/>
    <w:rsid w:val="00065CD7"/>
    <w:rsid w:val="00065CEE"/>
    <w:rsid w:val="00066040"/>
    <w:rsid w:val="00066573"/>
    <w:rsid w:val="0006691D"/>
    <w:rsid w:val="00066AF2"/>
    <w:rsid w:val="000671CD"/>
    <w:rsid w:val="00067615"/>
    <w:rsid w:val="000676CB"/>
    <w:rsid w:val="0006780F"/>
    <w:rsid w:val="00067B9E"/>
    <w:rsid w:val="00067BEC"/>
    <w:rsid w:val="00067C17"/>
    <w:rsid w:val="000700B6"/>
    <w:rsid w:val="00070210"/>
    <w:rsid w:val="00070222"/>
    <w:rsid w:val="00070239"/>
    <w:rsid w:val="00070316"/>
    <w:rsid w:val="000703EC"/>
    <w:rsid w:val="000704B7"/>
    <w:rsid w:val="00070689"/>
    <w:rsid w:val="000707D3"/>
    <w:rsid w:val="000709F9"/>
    <w:rsid w:val="00070C53"/>
    <w:rsid w:val="00070CC0"/>
    <w:rsid w:val="00070CD8"/>
    <w:rsid w:val="00070EC3"/>
    <w:rsid w:val="00070F43"/>
    <w:rsid w:val="0007101E"/>
    <w:rsid w:val="0007125F"/>
    <w:rsid w:val="00071561"/>
    <w:rsid w:val="00071836"/>
    <w:rsid w:val="0007194A"/>
    <w:rsid w:val="00071EB7"/>
    <w:rsid w:val="0007261D"/>
    <w:rsid w:val="00072697"/>
    <w:rsid w:val="00072B98"/>
    <w:rsid w:val="00072D68"/>
    <w:rsid w:val="00072F16"/>
    <w:rsid w:val="000733AA"/>
    <w:rsid w:val="00073640"/>
    <w:rsid w:val="00073660"/>
    <w:rsid w:val="000739C1"/>
    <w:rsid w:val="00073A98"/>
    <w:rsid w:val="00073B40"/>
    <w:rsid w:val="00073B8F"/>
    <w:rsid w:val="00073D68"/>
    <w:rsid w:val="00074357"/>
    <w:rsid w:val="000743C2"/>
    <w:rsid w:val="00074443"/>
    <w:rsid w:val="000744E0"/>
    <w:rsid w:val="00074720"/>
    <w:rsid w:val="000749BA"/>
    <w:rsid w:val="00074BB2"/>
    <w:rsid w:val="00074C33"/>
    <w:rsid w:val="00074FB6"/>
    <w:rsid w:val="0007506F"/>
    <w:rsid w:val="00075123"/>
    <w:rsid w:val="00075436"/>
    <w:rsid w:val="00075A6C"/>
    <w:rsid w:val="00075BF9"/>
    <w:rsid w:val="00075E2B"/>
    <w:rsid w:val="000761F0"/>
    <w:rsid w:val="0007623D"/>
    <w:rsid w:val="000765ED"/>
    <w:rsid w:val="00076717"/>
    <w:rsid w:val="000767D9"/>
    <w:rsid w:val="00076AB6"/>
    <w:rsid w:val="00076CD4"/>
    <w:rsid w:val="00076D08"/>
    <w:rsid w:val="00077225"/>
    <w:rsid w:val="000772B9"/>
    <w:rsid w:val="00077726"/>
    <w:rsid w:val="00077C76"/>
    <w:rsid w:val="00077D61"/>
    <w:rsid w:val="00080238"/>
    <w:rsid w:val="000802AE"/>
    <w:rsid w:val="00080DA4"/>
    <w:rsid w:val="000811CF"/>
    <w:rsid w:val="000812CF"/>
    <w:rsid w:val="00081320"/>
    <w:rsid w:val="00081811"/>
    <w:rsid w:val="0008185B"/>
    <w:rsid w:val="00081875"/>
    <w:rsid w:val="00081E6A"/>
    <w:rsid w:val="00081F8E"/>
    <w:rsid w:val="00082595"/>
    <w:rsid w:val="0008291D"/>
    <w:rsid w:val="00082B2E"/>
    <w:rsid w:val="00082C5C"/>
    <w:rsid w:val="00082F98"/>
    <w:rsid w:val="0008304E"/>
    <w:rsid w:val="000831B4"/>
    <w:rsid w:val="000831DB"/>
    <w:rsid w:val="000831FF"/>
    <w:rsid w:val="0008365A"/>
    <w:rsid w:val="00083893"/>
    <w:rsid w:val="000838B7"/>
    <w:rsid w:val="00083985"/>
    <w:rsid w:val="00083B09"/>
    <w:rsid w:val="00083B47"/>
    <w:rsid w:val="00083DF1"/>
    <w:rsid w:val="00083E2A"/>
    <w:rsid w:val="00083F66"/>
    <w:rsid w:val="00084131"/>
    <w:rsid w:val="000841E1"/>
    <w:rsid w:val="0008446C"/>
    <w:rsid w:val="0008448B"/>
    <w:rsid w:val="000848EC"/>
    <w:rsid w:val="00084B53"/>
    <w:rsid w:val="00084EEE"/>
    <w:rsid w:val="00084F7A"/>
    <w:rsid w:val="0008521E"/>
    <w:rsid w:val="00085550"/>
    <w:rsid w:val="000855C1"/>
    <w:rsid w:val="00085AD3"/>
    <w:rsid w:val="00085C89"/>
    <w:rsid w:val="00085E25"/>
    <w:rsid w:val="00085E2D"/>
    <w:rsid w:val="00085E52"/>
    <w:rsid w:val="00085E97"/>
    <w:rsid w:val="00085F2B"/>
    <w:rsid w:val="00086AFF"/>
    <w:rsid w:val="00086C40"/>
    <w:rsid w:val="00086E14"/>
    <w:rsid w:val="00086E38"/>
    <w:rsid w:val="00086FD0"/>
    <w:rsid w:val="0008734A"/>
    <w:rsid w:val="00087366"/>
    <w:rsid w:val="00087390"/>
    <w:rsid w:val="0008778F"/>
    <w:rsid w:val="00087975"/>
    <w:rsid w:val="00087D51"/>
    <w:rsid w:val="00087E2F"/>
    <w:rsid w:val="00087FDA"/>
    <w:rsid w:val="00090196"/>
    <w:rsid w:val="000901D2"/>
    <w:rsid w:val="0009028D"/>
    <w:rsid w:val="000902CF"/>
    <w:rsid w:val="000903CB"/>
    <w:rsid w:val="00090445"/>
    <w:rsid w:val="000904C0"/>
    <w:rsid w:val="000909C7"/>
    <w:rsid w:val="00090C6A"/>
    <w:rsid w:val="00090CF1"/>
    <w:rsid w:val="00090D74"/>
    <w:rsid w:val="000910B8"/>
    <w:rsid w:val="00091252"/>
    <w:rsid w:val="00091354"/>
    <w:rsid w:val="0009183B"/>
    <w:rsid w:val="000918EC"/>
    <w:rsid w:val="000919D8"/>
    <w:rsid w:val="00091BAB"/>
    <w:rsid w:val="000920FE"/>
    <w:rsid w:val="00092271"/>
    <w:rsid w:val="000923EA"/>
    <w:rsid w:val="00092463"/>
    <w:rsid w:val="000926F0"/>
    <w:rsid w:val="00092723"/>
    <w:rsid w:val="00092834"/>
    <w:rsid w:val="0009284F"/>
    <w:rsid w:val="00092967"/>
    <w:rsid w:val="00092AB5"/>
    <w:rsid w:val="00093329"/>
    <w:rsid w:val="00093404"/>
    <w:rsid w:val="00093558"/>
    <w:rsid w:val="000938D4"/>
    <w:rsid w:val="000939C5"/>
    <w:rsid w:val="000939EB"/>
    <w:rsid w:val="00093EA0"/>
    <w:rsid w:val="00093FBE"/>
    <w:rsid w:val="00094058"/>
    <w:rsid w:val="00094411"/>
    <w:rsid w:val="0009456D"/>
    <w:rsid w:val="000946D0"/>
    <w:rsid w:val="00094A1E"/>
    <w:rsid w:val="00094A75"/>
    <w:rsid w:val="00094B29"/>
    <w:rsid w:val="00094B40"/>
    <w:rsid w:val="00094F63"/>
    <w:rsid w:val="00095225"/>
    <w:rsid w:val="000956EF"/>
    <w:rsid w:val="0009577D"/>
    <w:rsid w:val="0009625E"/>
    <w:rsid w:val="000967E6"/>
    <w:rsid w:val="000968E5"/>
    <w:rsid w:val="000968E7"/>
    <w:rsid w:val="00096E7F"/>
    <w:rsid w:val="000972CF"/>
    <w:rsid w:val="00097372"/>
    <w:rsid w:val="00097537"/>
    <w:rsid w:val="00097599"/>
    <w:rsid w:val="000976DE"/>
    <w:rsid w:val="00097A82"/>
    <w:rsid w:val="000A014A"/>
    <w:rsid w:val="000A03F5"/>
    <w:rsid w:val="000A03FC"/>
    <w:rsid w:val="000A0939"/>
    <w:rsid w:val="000A0A6D"/>
    <w:rsid w:val="000A0C01"/>
    <w:rsid w:val="000A0F27"/>
    <w:rsid w:val="000A0FF8"/>
    <w:rsid w:val="000A10D8"/>
    <w:rsid w:val="000A10E3"/>
    <w:rsid w:val="000A126D"/>
    <w:rsid w:val="000A17AA"/>
    <w:rsid w:val="000A17D0"/>
    <w:rsid w:val="000A1910"/>
    <w:rsid w:val="000A1996"/>
    <w:rsid w:val="000A1BAE"/>
    <w:rsid w:val="000A1C0D"/>
    <w:rsid w:val="000A1C21"/>
    <w:rsid w:val="000A1CC2"/>
    <w:rsid w:val="000A1E59"/>
    <w:rsid w:val="000A226B"/>
    <w:rsid w:val="000A228C"/>
    <w:rsid w:val="000A23EE"/>
    <w:rsid w:val="000A251A"/>
    <w:rsid w:val="000A2BDC"/>
    <w:rsid w:val="000A2C3B"/>
    <w:rsid w:val="000A2FDF"/>
    <w:rsid w:val="000A33A1"/>
    <w:rsid w:val="000A3729"/>
    <w:rsid w:val="000A375D"/>
    <w:rsid w:val="000A388B"/>
    <w:rsid w:val="000A38E3"/>
    <w:rsid w:val="000A3C55"/>
    <w:rsid w:val="000A3C95"/>
    <w:rsid w:val="000A3CE0"/>
    <w:rsid w:val="000A3E5E"/>
    <w:rsid w:val="000A3F84"/>
    <w:rsid w:val="000A3FBE"/>
    <w:rsid w:val="000A403A"/>
    <w:rsid w:val="000A43A8"/>
    <w:rsid w:val="000A43FB"/>
    <w:rsid w:val="000A467B"/>
    <w:rsid w:val="000A473B"/>
    <w:rsid w:val="000A4A72"/>
    <w:rsid w:val="000A4B9E"/>
    <w:rsid w:val="000A4D4C"/>
    <w:rsid w:val="000A4EF9"/>
    <w:rsid w:val="000A5242"/>
    <w:rsid w:val="000A5376"/>
    <w:rsid w:val="000A57BA"/>
    <w:rsid w:val="000A5956"/>
    <w:rsid w:val="000A5C41"/>
    <w:rsid w:val="000A5E11"/>
    <w:rsid w:val="000A5F08"/>
    <w:rsid w:val="000A5F47"/>
    <w:rsid w:val="000A63F8"/>
    <w:rsid w:val="000A66A4"/>
    <w:rsid w:val="000A67FD"/>
    <w:rsid w:val="000A69A9"/>
    <w:rsid w:val="000A69D4"/>
    <w:rsid w:val="000A6AD6"/>
    <w:rsid w:val="000A6ADC"/>
    <w:rsid w:val="000A6DFE"/>
    <w:rsid w:val="000A705B"/>
    <w:rsid w:val="000A752E"/>
    <w:rsid w:val="000A7921"/>
    <w:rsid w:val="000A7D9E"/>
    <w:rsid w:val="000A7FD0"/>
    <w:rsid w:val="000B03A0"/>
    <w:rsid w:val="000B07AA"/>
    <w:rsid w:val="000B0A2E"/>
    <w:rsid w:val="000B0BBD"/>
    <w:rsid w:val="000B0DD7"/>
    <w:rsid w:val="000B0E8F"/>
    <w:rsid w:val="000B0EC8"/>
    <w:rsid w:val="000B0F22"/>
    <w:rsid w:val="000B0F77"/>
    <w:rsid w:val="000B0FB3"/>
    <w:rsid w:val="000B10DD"/>
    <w:rsid w:val="000B15FB"/>
    <w:rsid w:val="000B167F"/>
    <w:rsid w:val="000B18B2"/>
    <w:rsid w:val="000B1908"/>
    <w:rsid w:val="000B197F"/>
    <w:rsid w:val="000B1E05"/>
    <w:rsid w:val="000B1E53"/>
    <w:rsid w:val="000B1F44"/>
    <w:rsid w:val="000B1F9F"/>
    <w:rsid w:val="000B210D"/>
    <w:rsid w:val="000B214E"/>
    <w:rsid w:val="000B2534"/>
    <w:rsid w:val="000B2545"/>
    <w:rsid w:val="000B2550"/>
    <w:rsid w:val="000B29C7"/>
    <w:rsid w:val="000B2AD4"/>
    <w:rsid w:val="000B2C11"/>
    <w:rsid w:val="000B2C1F"/>
    <w:rsid w:val="000B30AF"/>
    <w:rsid w:val="000B328A"/>
    <w:rsid w:val="000B3470"/>
    <w:rsid w:val="000B34A7"/>
    <w:rsid w:val="000B375B"/>
    <w:rsid w:val="000B3A6B"/>
    <w:rsid w:val="000B3AEB"/>
    <w:rsid w:val="000B3C1A"/>
    <w:rsid w:val="000B3D44"/>
    <w:rsid w:val="000B3F49"/>
    <w:rsid w:val="000B4105"/>
    <w:rsid w:val="000B4115"/>
    <w:rsid w:val="000B44A0"/>
    <w:rsid w:val="000B4557"/>
    <w:rsid w:val="000B46DA"/>
    <w:rsid w:val="000B4726"/>
    <w:rsid w:val="000B47B1"/>
    <w:rsid w:val="000B48CE"/>
    <w:rsid w:val="000B48DB"/>
    <w:rsid w:val="000B4B1F"/>
    <w:rsid w:val="000B4BA7"/>
    <w:rsid w:val="000B4C94"/>
    <w:rsid w:val="000B4CE8"/>
    <w:rsid w:val="000B4D14"/>
    <w:rsid w:val="000B4EB8"/>
    <w:rsid w:val="000B4FE7"/>
    <w:rsid w:val="000B5054"/>
    <w:rsid w:val="000B5106"/>
    <w:rsid w:val="000B52C9"/>
    <w:rsid w:val="000B5506"/>
    <w:rsid w:val="000B560B"/>
    <w:rsid w:val="000B57B2"/>
    <w:rsid w:val="000B5AEE"/>
    <w:rsid w:val="000B64FE"/>
    <w:rsid w:val="000B710A"/>
    <w:rsid w:val="000B7216"/>
    <w:rsid w:val="000B7434"/>
    <w:rsid w:val="000B7473"/>
    <w:rsid w:val="000B76F2"/>
    <w:rsid w:val="000B7A70"/>
    <w:rsid w:val="000B7A8E"/>
    <w:rsid w:val="000B7B7D"/>
    <w:rsid w:val="000B7E60"/>
    <w:rsid w:val="000C01B2"/>
    <w:rsid w:val="000C021B"/>
    <w:rsid w:val="000C0BF2"/>
    <w:rsid w:val="000C0D1C"/>
    <w:rsid w:val="000C10BE"/>
    <w:rsid w:val="000C133C"/>
    <w:rsid w:val="000C1841"/>
    <w:rsid w:val="000C1DD2"/>
    <w:rsid w:val="000C207C"/>
    <w:rsid w:val="000C2086"/>
    <w:rsid w:val="000C2463"/>
    <w:rsid w:val="000C2699"/>
    <w:rsid w:val="000C2768"/>
    <w:rsid w:val="000C27AB"/>
    <w:rsid w:val="000C2CC4"/>
    <w:rsid w:val="000C2DEA"/>
    <w:rsid w:val="000C2E10"/>
    <w:rsid w:val="000C2F94"/>
    <w:rsid w:val="000C3060"/>
    <w:rsid w:val="000C32B1"/>
    <w:rsid w:val="000C32E6"/>
    <w:rsid w:val="000C366C"/>
    <w:rsid w:val="000C4035"/>
    <w:rsid w:val="000C41CB"/>
    <w:rsid w:val="000C421B"/>
    <w:rsid w:val="000C45A3"/>
    <w:rsid w:val="000C4884"/>
    <w:rsid w:val="000C498A"/>
    <w:rsid w:val="000C49E8"/>
    <w:rsid w:val="000C4AA4"/>
    <w:rsid w:val="000C4BE9"/>
    <w:rsid w:val="000C4C1B"/>
    <w:rsid w:val="000C5088"/>
    <w:rsid w:val="000C542A"/>
    <w:rsid w:val="000C548F"/>
    <w:rsid w:val="000C54E8"/>
    <w:rsid w:val="000C55A3"/>
    <w:rsid w:val="000C565E"/>
    <w:rsid w:val="000C565F"/>
    <w:rsid w:val="000C5664"/>
    <w:rsid w:val="000C5825"/>
    <w:rsid w:val="000C59D5"/>
    <w:rsid w:val="000C5A2C"/>
    <w:rsid w:val="000C5EC0"/>
    <w:rsid w:val="000C5F18"/>
    <w:rsid w:val="000C6161"/>
    <w:rsid w:val="000C674E"/>
    <w:rsid w:val="000C675A"/>
    <w:rsid w:val="000C694D"/>
    <w:rsid w:val="000C6A0D"/>
    <w:rsid w:val="000C6C05"/>
    <w:rsid w:val="000C70F5"/>
    <w:rsid w:val="000C73D0"/>
    <w:rsid w:val="000C7419"/>
    <w:rsid w:val="000C7588"/>
    <w:rsid w:val="000C794F"/>
    <w:rsid w:val="000C7A37"/>
    <w:rsid w:val="000C7AE4"/>
    <w:rsid w:val="000C7C41"/>
    <w:rsid w:val="000D00A7"/>
    <w:rsid w:val="000D00C6"/>
    <w:rsid w:val="000D03DB"/>
    <w:rsid w:val="000D0765"/>
    <w:rsid w:val="000D077D"/>
    <w:rsid w:val="000D0C10"/>
    <w:rsid w:val="000D0F10"/>
    <w:rsid w:val="000D0F39"/>
    <w:rsid w:val="000D0FA4"/>
    <w:rsid w:val="000D1176"/>
    <w:rsid w:val="000D14E3"/>
    <w:rsid w:val="000D15BA"/>
    <w:rsid w:val="000D171F"/>
    <w:rsid w:val="000D1905"/>
    <w:rsid w:val="000D1AF9"/>
    <w:rsid w:val="000D1C08"/>
    <w:rsid w:val="000D1CF6"/>
    <w:rsid w:val="000D1F38"/>
    <w:rsid w:val="000D22C2"/>
    <w:rsid w:val="000D2368"/>
    <w:rsid w:val="000D23B9"/>
    <w:rsid w:val="000D2AED"/>
    <w:rsid w:val="000D2B65"/>
    <w:rsid w:val="000D2CA3"/>
    <w:rsid w:val="000D2E58"/>
    <w:rsid w:val="000D2E96"/>
    <w:rsid w:val="000D2EBE"/>
    <w:rsid w:val="000D32FF"/>
    <w:rsid w:val="000D37B1"/>
    <w:rsid w:val="000D3986"/>
    <w:rsid w:val="000D3A5C"/>
    <w:rsid w:val="000D3D0C"/>
    <w:rsid w:val="000D3D16"/>
    <w:rsid w:val="000D3DE1"/>
    <w:rsid w:val="000D41C0"/>
    <w:rsid w:val="000D429F"/>
    <w:rsid w:val="000D4345"/>
    <w:rsid w:val="000D4490"/>
    <w:rsid w:val="000D4571"/>
    <w:rsid w:val="000D4780"/>
    <w:rsid w:val="000D4B9F"/>
    <w:rsid w:val="000D4DA5"/>
    <w:rsid w:val="000D4DC9"/>
    <w:rsid w:val="000D4F6D"/>
    <w:rsid w:val="000D5093"/>
    <w:rsid w:val="000D5132"/>
    <w:rsid w:val="000D532B"/>
    <w:rsid w:val="000D544F"/>
    <w:rsid w:val="000D54A0"/>
    <w:rsid w:val="000D5698"/>
    <w:rsid w:val="000D597B"/>
    <w:rsid w:val="000D5A39"/>
    <w:rsid w:val="000D5AEE"/>
    <w:rsid w:val="000D5E90"/>
    <w:rsid w:val="000D663C"/>
    <w:rsid w:val="000D677B"/>
    <w:rsid w:val="000D67C0"/>
    <w:rsid w:val="000D67CB"/>
    <w:rsid w:val="000D68B2"/>
    <w:rsid w:val="000D6912"/>
    <w:rsid w:val="000D69A0"/>
    <w:rsid w:val="000D6C33"/>
    <w:rsid w:val="000D6DF0"/>
    <w:rsid w:val="000D709D"/>
    <w:rsid w:val="000D73DF"/>
    <w:rsid w:val="000D76D7"/>
    <w:rsid w:val="000D7716"/>
    <w:rsid w:val="000D7C5C"/>
    <w:rsid w:val="000D7DF9"/>
    <w:rsid w:val="000D7F4F"/>
    <w:rsid w:val="000E0017"/>
    <w:rsid w:val="000E015A"/>
    <w:rsid w:val="000E02A4"/>
    <w:rsid w:val="000E03E7"/>
    <w:rsid w:val="000E0690"/>
    <w:rsid w:val="000E0950"/>
    <w:rsid w:val="000E0A8A"/>
    <w:rsid w:val="000E11AE"/>
    <w:rsid w:val="000E13E8"/>
    <w:rsid w:val="000E1446"/>
    <w:rsid w:val="000E169C"/>
    <w:rsid w:val="000E181E"/>
    <w:rsid w:val="000E1860"/>
    <w:rsid w:val="000E1934"/>
    <w:rsid w:val="000E1B03"/>
    <w:rsid w:val="000E2087"/>
    <w:rsid w:val="000E29A8"/>
    <w:rsid w:val="000E29CC"/>
    <w:rsid w:val="000E2BA4"/>
    <w:rsid w:val="000E2F64"/>
    <w:rsid w:val="000E2FF7"/>
    <w:rsid w:val="000E3004"/>
    <w:rsid w:val="000E311C"/>
    <w:rsid w:val="000E3A72"/>
    <w:rsid w:val="000E3BF6"/>
    <w:rsid w:val="000E3E29"/>
    <w:rsid w:val="000E3EBD"/>
    <w:rsid w:val="000E4369"/>
    <w:rsid w:val="000E446D"/>
    <w:rsid w:val="000E44CD"/>
    <w:rsid w:val="000E4962"/>
    <w:rsid w:val="000E4A79"/>
    <w:rsid w:val="000E5204"/>
    <w:rsid w:val="000E5530"/>
    <w:rsid w:val="000E55F2"/>
    <w:rsid w:val="000E599B"/>
    <w:rsid w:val="000E5F1A"/>
    <w:rsid w:val="000E6901"/>
    <w:rsid w:val="000E6B0A"/>
    <w:rsid w:val="000E6B3D"/>
    <w:rsid w:val="000E6C56"/>
    <w:rsid w:val="000E6D28"/>
    <w:rsid w:val="000E70E3"/>
    <w:rsid w:val="000E71CA"/>
    <w:rsid w:val="000E74E5"/>
    <w:rsid w:val="000E7502"/>
    <w:rsid w:val="000E762C"/>
    <w:rsid w:val="000E7650"/>
    <w:rsid w:val="000E76BF"/>
    <w:rsid w:val="000E7727"/>
    <w:rsid w:val="000E7749"/>
    <w:rsid w:val="000E7C30"/>
    <w:rsid w:val="000E7CEA"/>
    <w:rsid w:val="000E7DCC"/>
    <w:rsid w:val="000F0005"/>
    <w:rsid w:val="000F0295"/>
    <w:rsid w:val="000F0301"/>
    <w:rsid w:val="000F0472"/>
    <w:rsid w:val="000F08C5"/>
    <w:rsid w:val="000F08D3"/>
    <w:rsid w:val="000F09E2"/>
    <w:rsid w:val="000F0B7D"/>
    <w:rsid w:val="000F0F68"/>
    <w:rsid w:val="000F0F7F"/>
    <w:rsid w:val="000F1002"/>
    <w:rsid w:val="000F12AA"/>
    <w:rsid w:val="000F12E5"/>
    <w:rsid w:val="000F148B"/>
    <w:rsid w:val="000F15D2"/>
    <w:rsid w:val="000F163E"/>
    <w:rsid w:val="000F1E67"/>
    <w:rsid w:val="000F261A"/>
    <w:rsid w:val="000F289E"/>
    <w:rsid w:val="000F2A8A"/>
    <w:rsid w:val="000F2CDA"/>
    <w:rsid w:val="000F2E2B"/>
    <w:rsid w:val="000F2E9B"/>
    <w:rsid w:val="000F301D"/>
    <w:rsid w:val="000F3F4F"/>
    <w:rsid w:val="000F402D"/>
    <w:rsid w:val="000F41CC"/>
    <w:rsid w:val="000F47BC"/>
    <w:rsid w:val="000F4B86"/>
    <w:rsid w:val="000F4CD4"/>
    <w:rsid w:val="000F4DB6"/>
    <w:rsid w:val="000F50D2"/>
    <w:rsid w:val="000F5115"/>
    <w:rsid w:val="000F55C2"/>
    <w:rsid w:val="000F5852"/>
    <w:rsid w:val="000F5928"/>
    <w:rsid w:val="000F5ABE"/>
    <w:rsid w:val="000F5AFB"/>
    <w:rsid w:val="000F5C09"/>
    <w:rsid w:val="000F5EC8"/>
    <w:rsid w:val="000F6083"/>
    <w:rsid w:val="000F67AE"/>
    <w:rsid w:val="000F6B59"/>
    <w:rsid w:val="000F6E7C"/>
    <w:rsid w:val="000F705F"/>
    <w:rsid w:val="000F70C4"/>
    <w:rsid w:val="000F70F4"/>
    <w:rsid w:val="000F7122"/>
    <w:rsid w:val="000F713C"/>
    <w:rsid w:val="000F72BF"/>
    <w:rsid w:val="000F7566"/>
    <w:rsid w:val="000F7838"/>
    <w:rsid w:val="000F7930"/>
    <w:rsid w:val="000F7D1F"/>
    <w:rsid w:val="000F7D4A"/>
    <w:rsid w:val="000F7EA9"/>
    <w:rsid w:val="0010003C"/>
    <w:rsid w:val="00100084"/>
    <w:rsid w:val="0010008F"/>
    <w:rsid w:val="00100538"/>
    <w:rsid w:val="00100640"/>
    <w:rsid w:val="00100956"/>
    <w:rsid w:val="00100A89"/>
    <w:rsid w:val="00101268"/>
    <w:rsid w:val="0010143D"/>
    <w:rsid w:val="00101452"/>
    <w:rsid w:val="00101948"/>
    <w:rsid w:val="00101C56"/>
    <w:rsid w:val="00101DE4"/>
    <w:rsid w:val="00101E36"/>
    <w:rsid w:val="00101E86"/>
    <w:rsid w:val="00101FBD"/>
    <w:rsid w:val="001021AA"/>
    <w:rsid w:val="001024BA"/>
    <w:rsid w:val="001025AD"/>
    <w:rsid w:val="001025BF"/>
    <w:rsid w:val="001025D1"/>
    <w:rsid w:val="0010275F"/>
    <w:rsid w:val="001027E9"/>
    <w:rsid w:val="00102993"/>
    <w:rsid w:val="00102A9E"/>
    <w:rsid w:val="00102ADA"/>
    <w:rsid w:val="00102C44"/>
    <w:rsid w:val="00102ED0"/>
    <w:rsid w:val="0010330F"/>
    <w:rsid w:val="001033F0"/>
    <w:rsid w:val="00103669"/>
    <w:rsid w:val="00103857"/>
    <w:rsid w:val="00103C7A"/>
    <w:rsid w:val="00103D41"/>
    <w:rsid w:val="00103DA5"/>
    <w:rsid w:val="00104311"/>
    <w:rsid w:val="00104467"/>
    <w:rsid w:val="00104788"/>
    <w:rsid w:val="001047A3"/>
    <w:rsid w:val="00104871"/>
    <w:rsid w:val="00104A6F"/>
    <w:rsid w:val="00104A86"/>
    <w:rsid w:val="00104D7B"/>
    <w:rsid w:val="00104DBA"/>
    <w:rsid w:val="00104E61"/>
    <w:rsid w:val="00105108"/>
    <w:rsid w:val="00105207"/>
    <w:rsid w:val="00105291"/>
    <w:rsid w:val="0010529D"/>
    <w:rsid w:val="0010532D"/>
    <w:rsid w:val="0010546E"/>
    <w:rsid w:val="00105901"/>
    <w:rsid w:val="00105A50"/>
    <w:rsid w:val="00105C46"/>
    <w:rsid w:val="00105EB2"/>
    <w:rsid w:val="00105EEB"/>
    <w:rsid w:val="00106078"/>
    <w:rsid w:val="001060DD"/>
    <w:rsid w:val="001062C9"/>
    <w:rsid w:val="00106524"/>
    <w:rsid w:val="0010664E"/>
    <w:rsid w:val="00106729"/>
    <w:rsid w:val="00106795"/>
    <w:rsid w:val="00106872"/>
    <w:rsid w:val="00106E81"/>
    <w:rsid w:val="00106F77"/>
    <w:rsid w:val="0010728B"/>
    <w:rsid w:val="001073BB"/>
    <w:rsid w:val="001078C8"/>
    <w:rsid w:val="00107911"/>
    <w:rsid w:val="00107B15"/>
    <w:rsid w:val="00107CCA"/>
    <w:rsid w:val="00107EEA"/>
    <w:rsid w:val="00107F6E"/>
    <w:rsid w:val="00110065"/>
    <w:rsid w:val="0011017F"/>
    <w:rsid w:val="00110431"/>
    <w:rsid w:val="001104FA"/>
    <w:rsid w:val="00110541"/>
    <w:rsid w:val="00110604"/>
    <w:rsid w:val="001109D8"/>
    <w:rsid w:val="00110FAC"/>
    <w:rsid w:val="001112B8"/>
    <w:rsid w:val="0011133E"/>
    <w:rsid w:val="0011158E"/>
    <w:rsid w:val="001116F0"/>
    <w:rsid w:val="0011199C"/>
    <w:rsid w:val="00111A0E"/>
    <w:rsid w:val="00111A50"/>
    <w:rsid w:val="00111CBB"/>
    <w:rsid w:val="00111FF8"/>
    <w:rsid w:val="001121E7"/>
    <w:rsid w:val="001122B9"/>
    <w:rsid w:val="00112306"/>
    <w:rsid w:val="0011259D"/>
    <w:rsid w:val="00112769"/>
    <w:rsid w:val="001129F6"/>
    <w:rsid w:val="00112A74"/>
    <w:rsid w:val="00112C49"/>
    <w:rsid w:val="00112D03"/>
    <w:rsid w:val="00112F58"/>
    <w:rsid w:val="0011326F"/>
    <w:rsid w:val="001136B9"/>
    <w:rsid w:val="00113725"/>
    <w:rsid w:val="00113907"/>
    <w:rsid w:val="00113A3A"/>
    <w:rsid w:val="00113A97"/>
    <w:rsid w:val="00113E87"/>
    <w:rsid w:val="001140A7"/>
    <w:rsid w:val="001141BB"/>
    <w:rsid w:val="001143E8"/>
    <w:rsid w:val="0011445B"/>
    <w:rsid w:val="001144DA"/>
    <w:rsid w:val="001145BE"/>
    <w:rsid w:val="00114719"/>
    <w:rsid w:val="00114BDF"/>
    <w:rsid w:val="00114E0F"/>
    <w:rsid w:val="00114EA5"/>
    <w:rsid w:val="00115052"/>
    <w:rsid w:val="00115189"/>
    <w:rsid w:val="001151D1"/>
    <w:rsid w:val="00115492"/>
    <w:rsid w:val="001156AF"/>
    <w:rsid w:val="001156CB"/>
    <w:rsid w:val="00115759"/>
    <w:rsid w:val="001159F8"/>
    <w:rsid w:val="00115A3B"/>
    <w:rsid w:val="00115F6A"/>
    <w:rsid w:val="00115FE4"/>
    <w:rsid w:val="00116136"/>
    <w:rsid w:val="001161C6"/>
    <w:rsid w:val="00116A27"/>
    <w:rsid w:val="00116B82"/>
    <w:rsid w:val="00116B83"/>
    <w:rsid w:val="00116BB6"/>
    <w:rsid w:val="001172B8"/>
    <w:rsid w:val="001173BE"/>
    <w:rsid w:val="00117702"/>
    <w:rsid w:val="0011770F"/>
    <w:rsid w:val="001177E6"/>
    <w:rsid w:val="00117C52"/>
    <w:rsid w:val="00117DBF"/>
    <w:rsid w:val="00117EB6"/>
    <w:rsid w:val="001201D4"/>
    <w:rsid w:val="00120318"/>
    <w:rsid w:val="00120389"/>
    <w:rsid w:val="001205D6"/>
    <w:rsid w:val="001206D7"/>
    <w:rsid w:val="0012071F"/>
    <w:rsid w:val="00120C04"/>
    <w:rsid w:val="00120E25"/>
    <w:rsid w:val="00121562"/>
    <w:rsid w:val="001215A6"/>
    <w:rsid w:val="00121A1C"/>
    <w:rsid w:val="00121D6C"/>
    <w:rsid w:val="00121F0D"/>
    <w:rsid w:val="0012200C"/>
    <w:rsid w:val="00122506"/>
    <w:rsid w:val="00122816"/>
    <w:rsid w:val="00122BFE"/>
    <w:rsid w:val="00122F79"/>
    <w:rsid w:val="00123147"/>
    <w:rsid w:val="001233B2"/>
    <w:rsid w:val="00123A42"/>
    <w:rsid w:val="00123BBD"/>
    <w:rsid w:val="00123C2F"/>
    <w:rsid w:val="00123D3B"/>
    <w:rsid w:val="00124A29"/>
    <w:rsid w:val="00124D7A"/>
    <w:rsid w:val="00124F32"/>
    <w:rsid w:val="00124FA4"/>
    <w:rsid w:val="00125187"/>
    <w:rsid w:val="00125568"/>
    <w:rsid w:val="001255DC"/>
    <w:rsid w:val="0012562D"/>
    <w:rsid w:val="00125F0E"/>
    <w:rsid w:val="00126082"/>
    <w:rsid w:val="00126100"/>
    <w:rsid w:val="001261FB"/>
    <w:rsid w:val="00126243"/>
    <w:rsid w:val="0012677A"/>
    <w:rsid w:val="00126E67"/>
    <w:rsid w:val="00127291"/>
    <w:rsid w:val="0012752E"/>
    <w:rsid w:val="001279C3"/>
    <w:rsid w:val="00127A2B"/>
    <w:rsid w:val="00127BD9"/>
    <w:rsid w:val="001303B0"/>
    <w:rsid w:val="001303FB"/>
    <w:rsid w:val="0013057B"/>
    <w:rsid w:val="00130590"/>
    <w:rsid w:val="00130B82"/>
    <w:rsid w:val="00130E34"/>
    <w:rsid w:val="00130F9E"/>
    <w:rsid w:val="0013100E"/>
    <w:rsid w:val="001313C0"/>
    <w:rsid w:val="00131466"/>
    <w:rsid w:val="00131578"/>
    <w:rsid w:val="00131789"/>
    <w:rsid w:val="0013182E"/>
    <w:rsid w:val="00131902"/>
    <w:rsid w:val="001319F0"/>
    <w:rsid w:val="00131B46"/>
    <w:rsid w:val="00131F22"/>
    <w:rsid w:val="00131FE3"/>
    <w:rsid w:val="001320E3"/>
    <w:rsid w:val="001323D5"/>
    <w:rsid w:val="001324A8"/>
    <w:rsid w:val="0013258D"/>
    <w:rsid w:val="001325AF"/>
    <w:rsid w:val="001329BB"/>
    <w:rsid w:val="00132AB1"/>
    <w:rsid w:val="00132EE7"/>
    <w:rsid w:val="00132F58"/>
    <w:rsid w:val="00132F8C"/>
    <w:rsid w:val="00133077"/>
    <w:rsid w:val="0013309E"/>
    <w:rsid w:val="00133476"/>
    <w:rsid w:val="001334E5"/>
    <w:rsid w:val="00133790"/>
    <w:rsid w:val="001338F8"/>
    <w:rsid w:val="00133D3A"/>
    <w:rsid w:val="00133F28"/>
    <w:rsid w:val="00133F82"/>
    <w:rsid w:val="00134245"/>
    <w:rsid w:val="0013441A"/>
    <w:rsid w:val="00134608"/>
    <w:rsid w:val="00134967"/>
    <w:rsid w:val="00134AE6"/>
    <w:rsid w:val="00134CA2"/>
    <w:rsid w:val="00134CE7"/>
    <w:rsid w:val="00134D00"/>
    <w:rsid w:val="00135448"/>
    <w:rsid w:val="00135484"/>
    <w:rsid w:val="00135512"/>
    <w:rsid w:val="00135745"/>
    <w:rsid w:val="00135824"/>
    <w:rsid w:val="00135D05"/>
    <w:rsid w:val="00135D45"/>
    <w:rsid w:val="0013614F"/>
    <w:rsid w:val="0013619D"/>
    <w:rsid w:val="0013638A"/>
    <w:rsid w:val="0013650C"/>
    <w:rsid w:val="001368D1"/>
    <w:rsid w:val="001368FA"/>
    <w:rsid w:val="0013691D"/>
    <w:rsid w:val="00136A96"/>
    <w:rsid w:val="00136B5C"/>
    <w:rsid w:val="00136C3E"/>
    <w:rsid w:val="00136CBF"/>
    <w:rsid w:val="00137035"/>
    <w:rsid w:val="001371A3"/>
    <w:rsid w:val="001371BF"/>
    <w:rsid w:val="00137EE5"/>
    <w:rsid w:val="00137F0D"/>
    <w:rsid w:val="001402EA"/>
    <w:rsid w:val="0014042C"/>
    <w:rsid w:val="00140656"/>
    <w:rsid w:val="0014092E"/>
    <w:rsid w:val="00140B5A"/>
    <w:rsid w:val="00140E0F"/>
    <w:rsid w:val="0014121A"/>
    <w:rsid w:val="001412D1"/>
    <w:rsid w:val="00141A12"/>
    <w:rsid w:val="00141E3D"/>
    <w:rsid w:val="00141E71"/>
    <w:rsid w:val="00141FCB"/>
    <w:rsid w:val="0014215F"/>
    <w:rsid w:val="00142B07"/>
    <w:rsid w:val="00142B80"/>
    <w:rsid w:val="00142C57"/>
    <w:rsid w:val="00142CBD"/>
    <w:rsid w:val="0014315F"/>
    <w:rsid w:val="001434C2"/>
    <w:rsid w:val="00143804"/>
    <w:rsid w:val="00143948"/>
    <w:rsid w:val="001445B2"/>
    <w:rsid w:val="001446B8"/>
    <w:rsid w:val="00144B85"/>
    <w:rsid w:val="00144EF7"/>
    <w:rsid w:val="00144F76"/>
    <w:rsid w:val="00145358"/>
    <w:rsid w:val="001453BB"/>
    <w:rsid w:val="0014571E"/>
    <w:rsid w:val="00145A0F"/>
    <w:rsid w:val="00145A1D"/>
    <w:rsid w:val="00146161"/>
    <w:rsid w:val="001461E2"/>
    <w:rsid w:val="001461F3"/>
    <w:rsid w:val="00146203"/>
    <w:rsid w:val="00146280"/>
    <w:rsid w:val="0014637C"/>
    <w:rsid w:val="00146641"/>
    <w:rsid w:val="0014694A"/>
    <w:rsid w:val="00146AC4"/>
    <w:rsid w:val="00146C99"/>
    <w:rsid w:val="00146FC8"/>
    <w:rsid w:val="001470F1"/>
    <w:rsid w:val="00147284"/>
    <w:rsid w:val="001472FA"/>
    <w:rsid w:val="00147383"/>
    <w:rsid w:val="00147408"/>
    <w:rsid w:val="001475DE"/>
    <w:rsid w:val="00147BEE"/>
    <w:rsid w:val="001500B2"/>
    <w:rsid w:val="001503A0"/>
    <w:rsid w:val="001504C7"/>
    <w:rsid w:val="0015052B"/>
    <w:rsid w:val="00150703"/>
    <w:rsid w:val="001507B8"/>
    <w:rsid w:val="00150C38"/>
    <w:rsid w:val="00150E67"/>
    <w:rsid w:val="00151193"/>
    <w:rsid w:val="001511AA"/>
    <w:rsid w:val="001511F3"/>
    <w:rsid w:val="001513D3"/>
    <w:rsid w:val="0015141E"/>
    <w:rsid w:val="001514D7"/>
    <w:rsid w:val="0015156C"/>
    <w:rsid w:val="00151660"/>
    <w:rsid w:val="001516F4"/>
    <w:rsid w:val="001518DA"/>
    <w:rsid w:val="00151AAE"/>
    <w:rsid w:val="00151B2E"/>
    <w:rsid w:val="00151BE7"/>
    <w:rsid w:val="00151F01"/>
    <w:rsid w:val="00152062"/>
    <w:rsid w:val="00152999"/>
    <w:rsid w:val="001529FF"/>
    <w:rsid w:val="00152AC0"/>
    <w:rsid w:val="00152C81"/>
    <w:rsid w:val="00152C99"/>
    <w:rsid w:val="00152E55"/>
    <w:rsid w:val="00153217"/>
    <w:rsid w:val="001533A2"/>
    <w:rsid w:val="001533A4"/>
    <w:rsid w:val="00153458"/>
    <w:rsid w:val="00153816"/>
    <w:rsid w:val="00153E30"/>
    <w:rsid w:val="00153E61"/>
    <w:rsid w:val="00153FB2"/>
    <w:rsid w:val="00153FD8"/>
    <w:rsid w:val="001545AB"/>
    <w:rsid w:val="001548FB"/>
    <w:rsid w:val="00154BFA"/>
    <w:rsid w:val="00154E27"/>
    <w:rsid w:val="00154E3B"/>
    <w:rsid w:val="00155045"/>
    <w:rsid w:val="0015505E"/>
    <w:rsid w:val="001551D6"/>
    <w:rsid w:val="00155320"/>
    <w:rsid w:val="00155529"/>
    <w:rsid w:val="00155994"/>
    <w:rsid w:val="00155B26"/>
    <w:rsid w:val="00155BCB"/>
    <w:rsid w:val="00155E28"/>
    <w:rsid w:val="00155F81"/>
    <w:rsid w:val="00155FA6"/>
    <w:rsid w:val="001560A1"/>
    <w:rsid w:val="001560F9"/>
    <w:rsid w:val="00156408"/>
    <w:rsid w:val="00156461"/>
    <w:rsid w:val="001565EA"/>
    <w:rsid w:val="001567C6"/>
    <w:rsid w:val="0015695C"/>
    <w:rsid w:val="00156CF3"/>
    <w:rsid w:val="00157102"/>
    <w:rsid w:val="00157337"/>
    <w:rsid w:val="00157417"/>
    <w:rsid w:val="0015789A"/>
    <w:rsid w:val="0015796C"/>
    <w:rsid w:val="00157A34"/>
    <w:rsid w:val="00157E0E"/>
    <w:rsid w:val="00157F85"/>
    <w:rsid w:val="00157FA9"/>
    <w:rsid w:val="00157FDB"/>
    <w:rsid w:val="001603E9"/>
    <w:rsid w:val="00160523"/>
    <w:rsid w:val="00160601"/>
    <w:rsid w:val="00160629"/>
    <w:rsid w:val="00160A9F"/>
    <w:rsid w:val="00160CB6"/>
    <w:rsid w:val="00161214"/>
    <w:rsid w:val="00161385"/>
    <w:rsid w:val="0016141C"/>
    <w:rsid w:val="001614A0"/>
    <w:rsid w:val="001615B7"/>
    <w:rsid w:val="001616E2"/>
    <w:rsid w:val="0016181B"/>
    <w:rsid w:val="00161871"/>
    <w:rsid w:val="00161998"/>
    <w:rsid w:val="0016207A"/>
    <w:rsid w:val="0016215E"/>
    <w:rsid w:val="001621B8"/>
    <w:rsid w:val="00162244"/>
    <w:rsid w:val="0016243D"/>
    <w:rsid w:val="001627C9"/>
    <w:rsid w:val="00162C24"/>
    <w:rsid w:val="00162C5A"/>
    <w:rsid w:val="00162CC7"/>
    <w:rsid w:val="00163123"/>
    <w:rsid w:val="001631CB"/>
    <w:rsid w:val="00163223"/>
    <w:rsid w:val="00163259"/>
    <w:rsid w:val="00163874"/>
    <w:rsid w:val="001639C0"/>
    <w:rsid w:val="00163AA0"/>
    <w:rsid w:val="00163CED"/>
    <w:rsid w:val="00164257"/>
    <w:rsid w:val="00164278"/>
    <w:rsid w:val="001643F5"/>
    <w:rsid w:val="00164423"/>
    <w:rsid w:val="00164487"/>
    <w:rsid w:val="0016574D"/>
    <w:rsid w:val="00165B7D"/>
    <w:rsid w:val="00165F37"/>
    <w:rsid w:val="00166418"/>
    <w:rsid w:val="00166430"/>
    <w:rsid w:val="00166697"/>
    <w:rsid w:val="001667B2"/>
    <w:rsid w:val="0016694A"/>
    <w:rsid w:val="00166C1D"/>
    <w:rsid w:val="00166CAF"/>
    <w:rsid w:val="00166D14"/>
    <w:rsid w:val="00166D25"/>
    <w:rsid w:val="00166E01"/>
    <w:rsid w:val="00167047"/>
    <w:rsid w:val="001670C4"/>
    <w:rsid w:val="00167150"/>
    <w:rsid w:val="001672F2"/>
    <w:rsid w:val="0016743B"/>
    <w:rsid w:val="001676D5"/>
    <w:rsid w:val="001677A8"/>
    <w:rsid w:val="00167B21"/>
    <w:rsid w:val="00167C2E"/>
    <w:rsid w:val="00167DB5"/>
    <w:rsid w:val="00167F5B"/>
    <w:rsid w:val="0017044E"/>
    <w:rsid w:val="001704D2"/>
    <w:rsid w:val="00170685"/>
    <w:rsid w:val="0017098E"/>
    <w:rsid w:val="00170A19"/>
    <w:rsid w:val="00170C97"/>
    <w:rsid w:val="00170CD5"/>
    <w:rsid w:val="00171193"/>
    <w:rsid w:val="00171382"/>
    <w:rsid w:val="00171462"/>
    <w:rsid w:val="00171521"/>
    <w:rsid w:val="0017166A"/>
    <w:rsid w:val="001717AC"/>
    <w:rsid w:val="001717C6"/>
    <w:rsid w:val="00171B46"/>
    <w:rsid w:val="00171B90"/>
    <w:rsid w:val="00171BA8"/>
    <w:rsid w:val="00171EF0"/>
    <w:rsid w:val="001720B7"/>
    <w:rsid w:val="001722C6"/>
    <w:rsid w:val="00172430"/>
    <w:rsid w:val="001725C8"/>
    <w:rsid w:val="0017270D"/>
    <w:rsid w:val="001727E3"/>
    <w:rsid w:val="001728D7"/>
    <w:rsid w:val="00172A0E"/>
    <w:rsid w:val="00172D6B"/>
    <w:rsid w:val="00173100"/>
    <w:rsid w:val="001732EB"/>
    <w:rsid w:val="00173445"/>
    <w:rsid w:val="001734CE"/>
    <w:rsid w:val="001737AF"/>
    <w:rsid w:val="00173944"/>
    <w:rsid w:val="00173EAF"/>
    <w:rsid w:val="00174316"/>
    <w:rsid w:val="00174822"/>
    <w:rsid w:val="00174940"/>
    <w:rsid w:val="00174BD7"/>
    <w:rsid w:val="00174BE1"/>
    <w:rsid w:val="00174BFF"/>
    <w:rsid w:val="00174D10"/>
    <w:rsid w:val="00174E59"/>
    <w:rsid w:val="00174EFC"/>
    <w:rsid w:val="00174FDC"/>
    <w:rsid w:val="00175189"/>
    <w:rsid w:val="00175194"/>
    <w:rsid w:val="001752AC"/>
    <w:rsid w:val="0017546E"/>
    <w:rsid w:val="0017558D"/>
    <w:rsid w:val="001756FB"/>
    <w:rsid w:val="0017587C"/>
    <w:rsid w:val="00175A28"/>
    <w:rsid w:val="00175B8C"/>
    <w:rsid w:val="00176080"/>
    <w:rsid w:val="00176168"/>
    <w:rsid w:val="001761F2"/>
    <w:rsid w:val="001765CA"/>
    <w:rsid w:val="001768C1"/>
    <w:rsid w:val="001769AA"/>
    <w:rsid w:val="00176AFD"/>
    <w:rsid w:val="00176B1F"/>
    <w:rsid w:val="00176D21"/>
    <w:rsid w:val="00176E59"/>
    <w:rsid w:val="00176F32"/>
    <w:rsid w:val="001771CF"/>
    <w:rsid w:val="00177542"/>
    <w:rsid w:val="0017769E"/>
    <w:rsid w:val="0017776D"/>
    <w:rsid w:val="00177D34"/>
    <w:rsid w:val="00177E5A"/>
    <w:rsid w:val="00177E9F"/>
    <w:rsid w:val="00177F8C"/>
    <w:rsid w:val="001800D9"/>
    <w:rsid w:val="001801F9"/>
    <w:rsid w:val="00180645"/>
    <w:rsid w:val="0018075E"/>
    <w:rsid w:val="0018076C"/>
    <w:rsid w:val="001807AC"/>
    <w:rsid w:val="001807ED"/>
    <w:rsid w:val="0018094C"/>
    <w:rsid w:val="00180959"/>
    <w:rsid w:val="00180B85"/>
    <w:rsid w:val="00180D61"/>
    <w:rsid w:val="00180F07"/>
    <w:rsid w:val="00181145"/>
    <w:rsid w:val="0018172B"/>
    <w:rsid w:val="001817A2"/>
    <w:rsid w:val="001819E2"/>
    <w:rsid w:val="00181C45"/>
    <w:rsid w:val="00181C5E"/>
    <w:rsid w:val="00181D63"/>
    <w:rsid w:val="00181E64"/>
    <w:rsid w:val="00181F0F"/>
    <w:rsid w:val="001827B8"/>
    <w:rsid w:val="00182A9B"/>
    <w:rsid w:val="00182E26"/>
    <w:rsid w:val="00182F3C"/>
    <w:rsid w:val="001830DA"/>
    <w:rsid w:val="00183251"/>
    <w:rsid w:val="00183267"/>
    <w:rsid w:val="001833A6"/>
    <w:rsid w:val="00183619"/>
    <w:rsid w:val="0018364B"/>
    <w:rsid w:val="001836DC"/>
    <w:rsid w:val="0018384D"/>
    <w:rsid w:val="0018389D"/>
    <w:rsid w:val="00183985"/>
    <w:rsid w:val="001839F9"/>
    <w:rsid w:val="001840FB"/>
    <w:rsid w:val="001842C4"/>
    <w:rsid w:val="00184437"/>
    <w:rsid w:val="0018460D"/>
    <w:rsid w:val="0018465F"/>
    <w:rsid w:val="00184957"/>
    <w:rsid w:val="001849D5"/>
    <w:rsid w:val="00184B00"/>
    <w:rsid w:val="00184CBF"/>
    <w:rsid w:val="00184ECD"/>
    <w:rsid w:val="00184EF1"/>
    <w:rsid w:val="001850C8"/>
    <w:rsid w:val="001853FB"/>
    <w:rsid w:val="0018541A"/>
    <w:rsid w:val="001855FC"/>
    <w:rsid w:val="00186065"/>
    <w:rsid w:val="00186172"/>
    <w:rsid w:val="001865BA"/>
    <w:rsid w:val="00186643"/>
    <w:rsid w:val="00186CD0"/>
    <w:rsid w:val="00187050"/>
    <w:rsid w:val="001871A8"/>
    <w:rsid w:val="00187333"/>
    <w:rsid w:val="00187428"/>
    <w:rsid w:val="00187564"/>
    <w:rsid w:val="001879F3"/>
    <w:rsid w:val="00187A24"/>
    <w:rsid w:val="00187A9D"/>
    <w:rsid w:val="00187AC7"/>
    <w:rsid w:val="00187B3A"/>
    <w:rsid w:val="00187F36"/>
    <w:rsid w:val="00190347"/>
    <w:rsid w:val="00190595"/>
    <w:rsid w:val="001906B0"/>
    <w:rsid w:val="00190976"/>
    <w:rsid w:val="00190A61"/>
    <w:rsid w:val="00190AA2"/>
    <w:rsid w:val="00190B25"/>
    <w:rsid w:val="00190CDD"/>
    <w:rsid w:val="00191078"/>
    <w:rsid w:val="0019117E"/>
    <w:rsid w:val="001911BC"/>
    <w:rsid w:val="001911BE"/>
    <w:rsid w:val="0019146C"/>
    <w:rsid w:val="0019172B"/>
    <w:rsid w:val="00191B06"/>
    <w:rsid w:val="00191FF2"/>
    <w:rsid w:val="00192413"/>
    <w:rsid w:val="00192436"/>
    <w:rsid w:val="001925E8"/>
    <w:rsid w:val="001926F4"/>
    <w:rsid w:val="001928A2"/>
    <w:rsid w:val="00192997"/>
    <w:rsid w:val="001929B9"/>
    <w:rsid w:val="00192C6B"/>
    <w:rsid w:val="00192F97"/>
    <w:rsid w:val="00192FBB"/>
    <w:rsid w:val="00192FF3"/>
    <w:rsid w:val="0019315B"/>
    <w:rsid w:val="00193398"/>
    <w:rsid w:val="00193498"/>
    <w:rsid w:val="001937BB"/>
    <w:rsid w:val="001937DB"/>
    <w:rsid w:val="00193881"/>
    <w:rsid w:val="001938B2"/>
    <w:rsid w:val="001938F8"/>
    <w:rsid w:val="00193946"/>
    <w:rsid w:val="00193B3D"/>
    <w:rsid w:val="00193D49"/>
    <w:rsid w:val="00193D62"/>
    <w:rsid w:val="00193F68"/>
    <w:rsid w:val="001942EB"/>
    <w:rsid w:val="00194745"/>
    <w:rsid w:val="00194DCD"/>
    <w:rsid w:val="00195110"/>
    <w:rsid w:val="00195152"/>
    <w:rsid w:val="001951F7"/>
    <w:rsid w:val="00195552"/>
    <w:rsid w:val="00195D92"/>
    <w:rsid w:val="00195E80"/>
    <w:rsid w:val="00196256"/>
    <w:rsid w:val="0019666C"/>
    <w:rsid w:val="00196685"/>
    <w:rsid w:val="001967A6"/>
    <w:rsid w:val="00196AA8"/>
    <w:rsid w:val="00196B30"/>
    <w:rsid w:val="00196EF6"/>
    <w:rsid w:val="00196F67"/>
    <w:rsid w:val="001970BA"/>
    <w:rsid w:val="001970FD"/>
    <w:rsid w:val="00197190"/>
    <w:rsid w:val="00197283"/>
    <w:rsid w:val="001972AA"/>
    <w:rsid w:val="00197347"/>
    <w:rsid w:val="00197387"/>
    <w:rsid w:val="0019747D"/>
    <w:rsid w:val="00197696"/>
    <w:rsid w:val="00197A62"/>
    <w:rsid w:val="00197F7F"/>
    <w:rsid w:val="00197FA2"/>
    <w:rsid w:val="001A025B"/>
    <w:rsid w:val="001A05A7"/>
    <w:rsid w:val="001A05DF"/>
    <w:rsid w:val="001A0A2F"/>
    <w:rsid w:val="001A0BE6"/>
    <w:rsid w:val="001A0D45"/>
    <w:rsid w:val="001A0DEE"/>
    <w:rsid w:val="001A0E1F"/>
    <w:rsid w:val="001A0EF4"/>
    <w:rsid w:val="001A0F22"/>
    <w:rsid w:val="001A10D5"/>
    <w:rsid w:val="001A12A1"/>
    <w:rsid w:val="001A1B51"/>
    <w:rsid w:val="001A1D53"/>
    <w:rsid w:val="001A24E7"/>
    <w:rsid w:val="001A2772"/>
    <w:rsid w:val="001A2D23"/>
    <w:rsid w:val="001A2F4C"/>
    <w:rsid w:val="001A3164"/>
    <w:rsid w:val="001A31BE"/>
    <w:rsid w:val="001A3B97"/>
    <w:rsid w:val="001A3BCE"/>
    <w:rsid w:val="001A3D86"/>
    <w:rsid w:val="001A3E10"/>
    <w:rsid w:val="001A4144"/>
    <w:rsid w:val="001A437B"/>
    <w:rsid w:val="001A442C"/>
    <w:rsid w:val="001A4574"/>
    <w:rsid w:val="001A4604"/>
    <w:rsid w:val="001A49FD"/>
    <w:rsid w:val="001A4AD4"/>
    <w:rsid w:val="001A5017"/>
    <w:rsid w:val="001A5228"/>
    <w:rsid w:val="001A5297"/>
    <w:rsid w:val="001A53FA"/>
    <w:rsid w:val="001A5634"/>
    <w:rsid w:val="001A5639"/>
    <w:rsid w:val="001A5D4B"/>
    <w:rsid w:val="001A5E3A"/>
    <w:rsid w:val="001A5E5F"/>
    <w:rsid w:val="001A63D2"/>
    <w:rsid w:val="001A6577"/>
    <w:rsid w:val="001A6E94"/>
    <w:rsid w:val="001A6EA0"/>
    <w:rsid w:val="001A7234"/>
    <w:rsid w:val="001A758D"/>
    <w:rsid w:val="001A7644"/>
    <w:rsid w:val="001A7A7C"/>
    <w:rsid w:val="001B00B0"/>
    <w:rsid w:val="001B0195"/>
    <w:rsid w:val="001B01E4"/>
    <w:rsid w:val="001B0261"/>
    <w:rsid w:val="001B05A3"/>
    <w:rsid w:val="001B05C2"/>
    <w:rsid w:val="001B0CCC"/>
    <w:rsid w:val="001B0D75"/>
    <w:rsid w:val="001B0EFC"/>
    <w:rsid w:val="001B1477"/>
    <w:rsid w:val="001B1521"/>
    <w:rsid w:val="001B1603"/>
    <w:rsid w:val="001B166C"/>
    <w:rsid w:val="001B17E7"/>
    <w:rsid w:val="001B1AB7"/>
    <w:rsid w:val="001B1F72"/>
    <w:rsid w:val="001B2003"/>
    <w:rsid w:val="001B21CA"/>
    <w:rsid w:val="001B2320"/>
    <w:rsid w:val="001B2AD5"/>
    <w:rsid w:val="001B2F10"/>
    <w:rsid w:val="001B3014"/>
    <w:rsid w:val="001B33C7"/>
    <w:rsid w:val="001B3443"/>
    <w:rsid w:val="001B3589"/>
    <w:rsid w:val="001B3AC8"/>
    <w:rsid w:val="001B3B27"/>
    <w:rsid w:val="001B3B53"/>
    <w:rsid w:val="001B43E1"/>
    <w:rsid w:val="001B44C3"/>
    <w:rsid w:val="001B4762"/>
    <w:rsid w:val="001B498D"/>
    <w:rsid w:val="001B49CC"/>
    <w:rsid w:val="001B513A"/>
    <w:rsid w:val="001B5198"/>
    <w:rsid w:val="001B5332"/>
    <w:rsid w:val="001B53EB"/>
    <w:rsid w:val="001B5993"/>
    <w:rsid w:val="001B5A64"/>
    <w:rsid w:val="001B5AF1"/>
    <w:rsid w:val="001B5B16"/>
    <w:rsid w:val="001B5B46"/>
    <w:rsid w:val="001B5EBB"/>
    <w:rsid w:val="001B5EEF"/>
    <w:rsid w:val="001B6674"/>
    <w:rsid w:val="001B68ED"/>
    <w:rsid w:val="001B6C9E"/>
    <w:rsid w:val="001B6E74"/>
    <w:rsid w:val="001B6EB7"/>
    <w:rsid w:val="001B6F9B"/>
    <w:rsid w:val="001B717E"/>
    <w:rsid w:val="001B759C"/>
    <w:rsid w:val="001B7A86"/>
    <w:rsid w:val="001B7D4C"/>
    <w:rsid w:val="001B7D8D"/>
    <w:rsid w:val="001B7DCA"/>
    <w:rsid w:val="001C013C"/>
    <w:rsid w:val="001C032F"/>
    <w:rsid w:val="001C0648"/>
    <w:rsid w:val="001C067D"/>
    <w:rsid w:val="001C0828"/>
    <w:rsid w:val="001C0A50"/>
    <w:rsid w:val="001C0B83"/>
    <w:rsid w:val="001C0C8C"/>
    <w:rsid w:val="001C0D63"/>
    <w:rsid w:val="001C0DE4"/>
    <w:rsid w:val="001C0EB9"/>
    <w:rsid w:val="001C0FDE"/>
    <w:rsid w:val="001C102A"/>
    <w:rsid w:val="001C1095"/>
    <w:rsid w:val="001C14A7"/>
    <w:rsid w:val="001C152C"/>
    <w:rsid w:val="001C1650"/>
    <w:rsid w:val="001C172A"/>
    <w:rsid w:val="001C18AA"/>
    <w:rsid w:val="001C1BDF"/>
    <w:rsid w:val="001C1EB6"/>
    <w:rsid w:val="001C2003"/>
    <w:rsid w:val="001C263F"/>
    <w:rsid w:val="001C26CD"/>
    <w:rsid w:val="001C2780"/>
    <w:rsid w:val="001C28C4"/>
    <w:rsid w:val="001C2AA1"/>
    <w:rsid w:val="001C2CAA"/>
    <w:rsid w:val="001C2D99"/>
    <w:rsid w:val="001C2EB2"/>
    <w:rsid w:val="001C2FE0"/>
    <w:rsid w:val="001C35E1"/>
    <w:rsid w:val="001C3753"/>
    <w:rsid w:val="001C37C5"/>
    <w:rsid w:val="001C3BB7"/>
    <w:rsid w:val="001C3ECE"/>
    <w:rsid w:val="001C3F15"/>
    <w:rsid w:val="001C3F3D"/>
    <w:rsid w:val="001C4151"/>
    <w:rsid w:val="001C41B9"/>
    <w:rsid w:val="001C4E51"/>
    <w:rsid w:val="001C5558"/>
    <w:rsid w:val="001C560A"/>
    <w:rsid w:val="001C5618"/>
    <w:rsid w:val="001C5746"/>
    <w:rsid w:val="001C588B"/>
    <w:rsid w:val="001C5B94"/>
    <w:rsid w:val="001C5E2F"/>
    <w:rsid w:val="001C5F82"/>
    <w:rsid w:val="001C610D"/>
    <w:rsid w:val="001C6519"/>
    <w:rsid w:val="001C67A5"/>
    <w:rsid w:val="001C6842"/>
    <w:rsid w:val="001C68E5"/>
    <w:rsid w:val="001C69B4"/>
    <w:rsid w:val="001C7142"/>
    <w:rsid w:val="001C7214"/>
    <w:rsid w:val="001C729D"/>
    <w:rsid w:val="001C751F"/>
    <w:rsid w:val="001C7801"/>
    <w:rsid w:val="001C79A8"/>
    <w:rsid w:val="001C7A4A"/>
    <w:rsid w:val="001C7E3E"/>
    <w:rsid w:val="001D00EB"/>
    <w:rsid w:val="001D01C2"/>
    <w:rsid w:val="001D033D"/>
    <w:rsid w:val="001D0AE4"/>
    <w:rsid w:val="001D0AEF"/>
    <w:rsid w:val="001D0B68"/>
    <w:rsid w:val="001D0C07"/>
    <w:rsid w:val="001D0CB5"/>
    <w:rsid w:val="001D0D1A"/>
    <w:rsid w:val="001D0DB8"/>
    <w:rsid w:val="001D0EE7"/>
    <w:rsid w:val="001D1622"/>
    <w:rsid w:val="001D17CD"/>
    <w:rsid w:val="001D1B84"/>
    <w:rsid w:val="001D209A"/>
    <w:rsid w:val="001D226A"/>
    <w:rsid w:val="001D2787"/>
    <w:rsid w:val="001D2AF1"/>
    <w:rsid w:val="001D2CBA"/>
    <w:rsid w:val="001D3587"/>
    <w:rsid w:val="001D3701"/>
    <w:rsid w:val="001D3A8A"/>
    <w:rsid w:val="001D3AA1"/>
    <w:rsid w:val="001D3EA2"/>
    <w:rsid w:val="001D4756"/>
    <w:rsid w:val="001D4835"/>
    <w:rsid w:val="001D4AAA"/>
    <w:rsid w:val="001D4B72"/>
    <w:rsid w:val="001D4F5E"/>
    <w:rsid w:val="001D4FE5"/>
    <w:rsid w:val="001D507E"/>
    <w:rsid w:val="001D5551"/>
    <w:rsid w:val="001D5778"/>
    <w:rsid w:val="001D593B"/>
    <w:rsid w:val="001D5A0B"/>
    <w:rsid w:val="001D5BAB"/>
    <w:rsid w:val="001D5C9F"/>
    <w:rsid w:val="001D6272"/>
    <w:rsid w:val="001D63D6"/>
    <w:rsid w:val="001D658B"/>
    <w:rsid w:val="001D674F"/>
    <w:rsid w:val="001D67D0"/>
    <w:rsid w:val="001D67F7"/>
    <w:rsid w:val="001D69CA"/>
    <w:rsid w:val="001D6B33"/>
    <w:rsid w:val="001D6C05"/>
    <w:rsid w:val="001D6C8F"/>
    <w:rsid w:val="001D6D3D"/>
    <w:rsid w:val="001D70AF"/>
    <w:rsid w:val="001D711C"/>
    <w:rsid w:val="001D73E5"/>
    <w:rsid w:val="001D7846"/>
    <w:rsid w:val="001D7927"/>
    <w:rsid w:val="001D7C3C"/>
    <w:rsid w:val="001D7C4E"/>
    <w:rsid w:val="001D7CC7"/>
    <w:rsid w:val="001D7EB6"/>
    <w:rsid w:val="001D7F51"/>
    <w:rsid w:val="001E0043"/>
    <w:rsid w:val="001E034F"/>
    <w:rsid w:val="001E03B5"/>
    <w:rsid w:val="001E05FB"/>
    <w:rsid w:val="001E0646"/>
    <w:rsid w:val="001E07E8"/>
    <w:rsid w:val="001E0ACA"/>
    <w:rsid w:val="001E0D3D"/>
    <w:rsid w:val="001E1015"/>
    <w:rsid w:val="001E113F"/>
    <w:rsid w:val="001E1192"/>
    <w:rsid w:val="001E123A"/>
    <w:rsid w:val="001E1440"/>
    <w:rsid w:val="001E146E"/>
    <w:rsid w:val="001E1953"/>
    <w:rsid w:val="001E19E1"/>
    <w:rsid w:val="001E19F4"/>
    <w:rsid w:val="001E1EC9"/>
    <w:rsid w:val="001E234B"/>
    <w:rsid w:val="001E2467"/>
    <w:rsid w:val="001E24F4"/>
    <w:rsid w:val="001E2602"/>
    <w:rsid w:val="001E26B2"/>
    <w:rsid w:val="001E2778"/>
    <w:rsid w:val="001E2A66"/>
    <w:rsid w:val="001E2D81"/>
    <w:rsid w:val="001E2DC1"/>
    <w:rsid w:val="001E2E7D"/>
    <w:rsid w:val="001E2FA6"/>
    <w:rsid w:val="001E31B4"/>
    <w:rsid w:val="001E3207"/>
    <w:rsid w:val="001E3546"/>
    <w:rsid w:val="001E35DC"/>
    <w:rsid w:val="001E36E2"/>
    <w:rsid w:val="001E37EA"/>
    <w:rsid w:val="001E3B00"/>
    <w:rsid w:val="001E3E00"/>
    <w:rsid w:val="001E3E01"/>
    <w:rsid w:val="001E3E66"/>
    <w:rsid w:val="001E3E7E"/>
    <w:rsid w:val="001E4588"/>
    <w:rsid w:val="001E4706"/>
    <w:rsid w:val="001E4BE7"/>
    <w:rsid w:val="001E557F"/>
    <w:rsid w:val="001E5812"/>
    <w:rsid w:val="001E59A7"/>
    <w:rsid w:val="001E5B79"/>
    <w:rsid w:val="001E6051"/>
    <w:rsid w:val="001E67FF"/>
    <w:rsid w:val="001E68C9"/>
    <w:rsid w:val="001E6E1A"/>
    <w:rsid w:val="001E6EB8"/>
    <w:rsid w:val="001E72BC"/>
    <w:rsid w:val="001E79F7"/>
    <w:rsid w:val="001E7BD7"/>
    <w:rsid w:val="001E7D6C"/>
    <w:rsid w:val="001E7E30"/>
    <w:rsid w:val="001E7EA1"/>
    <w:rsid w:val="001F0189"/>
    <w:rsid w:val="001F03AD"/>
    <w:rsid w:val="001F051E"/>
    <w:rsid w:val="001F0814"/>
    <w:rsid w:val="001F0889"/>
    <w:rsid w:val="001F0B52"/>
    <w:rsid w:val="001F0CC0"/>
    <w:rsid w:val="001F0CDF"/>
    <w:rsid w:val="001F0F5B"/>
    <w:rsid w:val="001F0F85"/>
    <w:rsid w:val="001F10F2"/>
    <w:rsid w:val="001F1571"/>
    <w:rsid w:val="001F15EA"/>
    <w:rsid w:val="001F16E6"/>
    <w:rsid w:val="001F170C"/>
    <w:rsid w:val="001F1810"/>
    <w:rsid w:val="001F1C87"/>
    <w:rsid w:val="001F1CF6"/>
    <w:rsid w:val="001F1D9A"/>
    <w:rsid w:val="001F2138"/>
    <w:rsid w:val="001F21C6"/>
    <w:rsid w:val="001F229A"/>
    <w:rsid w:val="001F2730"/>
    <w:rsid w:val="001F276C"/>
    <w:rsid w:val="001F28B7"/>
    <w:rsid w:val="001F2F65"/>
    <w:rsid w:val="001F300E"/>
    <w:rsid w:val="001F3053"/>
    <w:rsid w:val="001F35D5"/>
    <w:rsid w:val="001F38C2"/>
    <w:rsid w:val="001F38E8"/>
    <w:rsid w:val="001F394A"/>
    <w:rsid w:val="001F400D"/>
    <w:rsid w:val="001F43BD"/>
    <w:rsid w:val="001F45A9"/>
    <w:rsid w:val="001F4665"/>
    <w:rsid w:val="001F4706"/>
    <w:rsid w:val="001F4AB2"/>
    <w:rsid w:val="001F4B20"/>
    <w:rsid w:val="001F4DF5"/>
    <w:rsid w:val="001F4E8E"/>
    <w:rsid w:val="001F4FA2"/>
    <w:rsid w:val="001F502B"/>
    <w:rsid w:val="001F50C1"/>
    <w:rsid w:val="001F50F6"/>
    <w:rsid w:val="001F569D"/>
    <w:rsid w:val="001F5BC2"/>
    <w:rsid w:val="001F6269"/>
    <w:rsid w:val="001F63BB"/>
    <w:rsid w:val="001F65EA"/>
    <w:rsid w:val="001F6667"/>
    <w:rsid w:val="001F6858"/>
    <w:rsid w:val="001F75B8"/>
    <w:rsid w:val="001F7873"/>
    <w:rsid w:val="001F7AA6"/>
    <w:rsid w:val="001F7B85"/>
    <w:rsid w:val="001F7CBD"/>
    <w:rsid w:val="001F7D08"/>
    <w:rsid w:val="001F7D9B"/>
    <w:rsid w:val="0020010B"/>
    <w:rsid w:val="00200324"/>
    <w:rsid w:val="0020083B"/>
    <w:rsid w:val="002009CD"/>
    <w:rsid w:val="00200B49"/>
    <w:rsid w:val="00200D7E"/>
    <w:rsid w:val="00200F16"/>
    <w:rsid w:val="00200F45"/>
    <w:rsid w:val="00201011"/>
    <w:rsid w:val="00201125"/>
    <w:rsid w:val="00201439"/>
    <w:rsid w:val="00201644"/>
    <w:rsid w:val="0020170A"/>
    <w:rsid w:val="0020199E"/>
    <w:rsid w:val="00201B64"/>
    <w:rsid w:val="0020200D"/>
    <w:rsid w:val="00202031"/>
    <w:rsid w:val="002020DE"/>
    <w:rsid w:val="0020226D"/>
    <w:rsid w:val="002026D8"/>
    <w:rsid w:val="00202A4F"/>
    <w:rsid w:val="00202AD5"/>
    <w:rsid w:val="00202BC7"/>
    <w:rsid w:val="00202C6F"/>
    <w:rsid w:val="00202DB4"/>
    <w:rsid w:val="00202E80"/>
    <w:rsid w:val="00203107"/>
    <w:rsid w:val="00203110"/>
    <w:rsid w:val="00203311"/>
    <w:rsid w:val="0020339A"/>
    <w:rsid w:val="002036D3"/>
    <w:rsid w:val="00203768"/>
    <w:rsid w:val="00203AA8"/>
    <w:rsid w:val="00203CF8"/>
    <w:rsid w:val="00203F14"/>
    <w:rsid w:val="00203FD5"/>
    <w:rsid w:val="0020403F"/>
    <w:rsid w:val="002041BF"/>
    <w:rsid w:val="00204229"/>
    <w:rsid w:val="002042E8"/>
    <w:rsid w:val="00204519"/>
    <w:rsid w:val="00204534"/>
    <w:rsid w:val="002045E0"/>
    <w:rsid w:val="00204BEE"/>
    <w:rsid w:val="00204F5E"/>
    <w:rsid w:val="002051EA"/>
    <w:rsid w:val="0020555B"/>
    <w:rsid w:val="002055C6"/>
    <w:rsid w:val="00205BC3"/>
    <w:rsid w:val="00205BCE"/>
    <w:rsid w:val="00205C46"/>
    <w:rsid w:val="00205D20"/>
    <w:rsid w:val="00205F91"/>
    <w:rsid w:val="00206161"/>
    <w:rsid w:val="002061EB"/>
    <w:rsid w:val="002061F4"/>
    <w:rsid w:val="0020642C"/>
    <w:rsid w:val="002067A8"/>
    <w:rsid w:val="00206B71"/>
    <w:rsid w:val="00206C37"/>
    <w:rsid w:val="00206D05"/>
    <w:rsid w:val="00206E1A"/>
    <w:rsid w:val="00206EB2"/>
    <w:rsid w:val="00206F6E"/>
    <w:rsid w:val="00206FF1"/>
    <w:rsid w:val="00207450"/>
    <w:rsid w:val="002074CE"/>
    <w:rsid w:val="0020761E"/>
    <w:rsid w:val="002076B7"/>
    <w:rsid w:val="0020796B"/>
    <w:rsid w:val="00207C65"/>
    <w:rsid w:val="00207EFB"/>
    <w:rsid w:val="00210310"/>
    <w:rsid w:val="002103FA"/>
    <w:rsid w:val="002105F7"/>
    <w:rsid w:val="00210601"/>
    <w:rsid w:val="0021082A"/>
    <w:rsid w:val="0021097C"/>
    <w:rsid w:val="00210A7C"/>
    <w:rsid w:val="00210DF3"/>
    <w:rsid w:val="0021100E"/>
    <w:rsid w:val="002110E7"/>
    <w:rsid w:val="002113FD"/>
    <w:rsid w:val="002115C0"/>
    <w:rsid w:val="0021169E"/>
    <w:rsid w:val="0021171A"/>
    <w:rsid w:val="00211A73"/>
    <w:rsid w:val="002121AB"/>
    <w:rsid w:val="00212250"/>
    <w:rsid w:val="00212514"/>
    <w:rsid w:val="00212634"/>
    <w:rsid w:val="00212975"/>
    <w:rsid w:val="002129AE"/>
    <w:rsid w:val="00212A38"/>
    <w:rsid w:val="00212AF8"/>
    <w:rsid w:val="00212BB5"/>
    <w:rsid w:val="00212BEA"/>
    <w:rsid w:val="00212CF5"/>
    <w:rsid w:val="00212E0F"/>
    <w:rsid w:val="00212F79"/>
    <w:rsid w:val="002132C5"/>
    <w:rsid w:val="00213442"/>
    <w:rsid w:val="00213592"/>
    <w:rsid w:val="002138DC"/>
    <w:rsid w:val="00213B59"/>
    <w:rsid w:val="00213C22"/>
    <w:rsid w:val="00213DA0"/>
    <w:rsid w:val="00213EB4"/>
    <w:rsid w:val="00213F0B"/>
    <w:rsid w:val="00214099"/>
    <w:rsid w:val="00214107"/>
    <w:rsid w:val="00214496"/>
    <w:rsid w:val="002144C0"/>
    <w:rsid w:val="002145B7"/>
    <w:rsid w:val="002145D3"/>
    <w:rsid w:val="00214773"/>
    <w:rsid w:val="002147B7"/>
    <w:rsid w:val="00214F47"/>
    <w:rsid w:val="00215011"/>
    <w:rsid w:val="0021526E"/>
    <w:rsid w:val="002155D3"/>
    <w:rsid w:val="00215607"/>
    <w:rsid w:val="00215C29"/>
    <w:rsid w:val="00215CDD"/>
    <w:rsid w:val="002161AE"/>
    <w:rsid w:val="002162A1"/>
    <w:rsid w:val="00216340"/>
    <w:rsid w:val="00216633"/>
    <w:rsid w:val="0021682D"/>
    <w:rsid w:val="00216B4E"/>
    <w:rsid w:val="00216DD6"/>
    <w:rsid w:val="00216DDD"/>
    <w:rsid w:val="00216F22"/>
    <w:rsid w:val="002173D9"/>
    <w:rsid w:val="00217462"/>
    <w:rsid w:val="002175F5"/>
    <w:rsid w:val="0021772A"/>
    <w:rsid w:val="002178FE"/>
    <w:rsid w:val="00217B1F"/>
    <w:rsid w:val="00217F38"/>
    <w:rsid w:val="0022044A"/>
    <w:rsid w:val="0022058C"/>
    <w:rsid w:val="0022058D"/>
    <w:rsid w:val="00220D21"/>
    <w:rsid w:val="00220D43"/>
    <w:rsid w:val="00220DC3"/>
    <w:rsid w:val="00220E30"/>
    <w:rsid w:val="00220F37"/>
    <w:rsid w:val="00221296"/>
    <w:rsid w:val="0022153B"/>
    <w:rsid w:val="00221664"/>
    <w:rsid w:val="00221D5D"/>
    <w:rsid w:val="00221EE3"/>
    <w:rsid w:val="00222017"/>
    <w:rsid w:val="0022219C"/>
    <w:rsid w:val="002221B8"/>
    <w:rsid w:val="00222609"/>
    <w:rsid w:val="002227B6"/>
    <w:rsid w:val="002229DB"/>
    <w:rsid w:val="00222AC8"/>
    <w:rsid w:val="00222C7B"/>
    <w:rsid w:val="00222E15"/>
    <w:rsid w:val="00222E2F"/>
    <w:rsid w:val="00222F46"/>
    <w:rsid w:val="00222FF0"/>
    <w:rsid w:val="00223139"/>
    <w:rsid w:val="0022331C"/>
    <w:rsid w:val="00223701"/>
    <w:rsid w:val="00223899"/>
    <w:rsid w:val="00223D6B"/>
    <w:rsid w:val="00224135"/>
    <w:rsid w:val="002247F1"/>
    <w:rsid w:val="00224A1D"/>
    <w:rsid w:val="00224AC8"/>
    <w:rsid w:val="00224E6F"/>
    <w:rsid w:val="00225235"/>
    <w:rsid w:val="00225887"/>
    <w:rsid w:val="00225896"/>
    <w:rsid w:val="002258D9"/>
    <w:rsid w:val="00225B78"/>
    <w:rsid w:val="00225D80"/>
    <w:rsid w:val="00225E0E"/>
    <w:rsid w:val="00225F66"/>
    <w:rsid w:val="00226178"/>
    <w:rsid w:val="002262DB"/>
    <w:rsid w:val="002265AF"/>
    <w:rsid w:val="002266BB"/>
    <w:rsid w:val="002266D7"/>
    <w:rsid w:val="002267F4"/>
    <w:rsid w:val="0022695A"/>
    <w:rsid w:val="00226CA6"/>
    <w:rsid w:val="00226E3F"/>
    <w:rsid w:val="0022729C"/>
    <w:rsid w:val="00227514"/>
    <w:rsid w:val="002279E5"/>
    <w:rsid w:val="002279FE"/>
    <w:rsid w:val="00227D03"/>
    <w:rsid w:val="00227ED4"/>
    <w:rsid w:val="00230048"/>
    <w:rsid w:val="002301EA"/>
    <w:rsid w:val="002305C9"/>
    <w:rsid w:val="00230619"/>
    <w:rsid w:val="002308DA"/>
    <w:rsid w:val="002310D1"/>
    <w:rsid w:val="002310DB"/>
    <w:rsid w:val="002310E9"/>
    <w:rsid w:val="0023138C"/>
    <w:rsid w:val="002316CD"/>
    <w:rsid w:val="00231CE9"/>
    <w:rsid w:val="00231E16"/>
    <w:rsid w:val="0023209C"/>
    <w:rsid w:val="0023233A"/>
    <w:rsid w:val="002323DB"/>
    <w:rsid w:val="0023255A"/>
    <w:rsid w:val="00232675"/>
    <w:rsid w:val="00232BC2"/>
    <w:rsid w:val="00232D75"/>
    <w:rsid w:val="00232DEF"/>
    <w:rsid w:val="00232E7A"/>
    <w:rsid w:val="00232F8E"/>
    <w:rsid w:val="00232FC7"/>
    <w:rsid w:val="00233074"/>
    <w:rsid w:val="002336C9"/>
    <w:rsid w:val="0023371A"/>
    <w:rsid w:val="0023372D"/>
    <w:rsid w:val="0023390D"/>
    <w:rsid w:val="00233A55"/>
    <w:rsid w:val="00233F05"/>
    <w:rsid w:val="0023457C"/>
    <w:rsid w:val="0023461C"/>
    <w:rsid w:val="002348B7"/>
    <w:rsid w:val="002349CB"/>
    <w:rsid w:val="00234A2C"/>
    <w:rsid w:val="00234A93"/>
    <w:rsid w:val="00234D3D"/>
    <w:rsid w:val="00234FC0"/>
    <w:rsid w:val="00235069"/>
    <w:rsid w:val="00235482"/>
    <w:rsid w:val="002354DE"/>
    <w:rsid w:val="002355B4"/>
    <w:rsid w:val="00235840"/>
    <w:rsid w:val="002358DE"/>
    <w:rsid w:val="00235975"/>
    <w:rsid w:val="00235B15"/>
    <w:rsid w:val="00235DD0"/>
    <w:rsid w:val="002362E8"/>
    <w:rsid w:val="002363D4"/>
    <w:rsid w:val="0023662A"/>
    <w:rsid w:val="0023668C"/>
    <w:rsid w:val="002366BA"/>
    <w:rsid w:val="00236BB7"/>
    <w:rsid w:val="00236D3A"/>
    <w:rsid w:val="00236FB1"/>
    <w:rsid w:val="00237274"/>
    <w:rsid w:val="00237403"/>
    <w:rsid w:val="00237606"/>
    <w:rsid w:val="002376D4"/>
    <w:rsid w:val="002377C7"/>
    <w:rsid w:val="002378DB"/>
    <w:rsid w:val="00237B55"/>
    <w:rsid w:val="00237BA5"/>
    <w:rsid w:val="00237E73"/>
    <w:rsid w:val="00237ECB"/>
    <w:rsid w:val="00237EDF"/>
    <w:rsid w:val="00237F29"/>
    <w:rsid w:val="00240099"/>
    <w:rsid w:val="002400C9"/>
    <w:rsid w:val="002400EB"/>
    <w:rsid w:val="002406FB"/>
    <w:rsid w:val="002407CB"/>
    <w:rsid w:val="00240A81"/>
    <w:rsid w:val="00240D01"/>
    <w:rsid w:val="00240ECC"/>
    <w:rsid w:val="0024112F"/>
    <w:rsid w:val="002411E0"/>
    <w:rsid w:val="0024124E"/>
    <w:rsid w:val="00241429"/>
    <w:rsid w:val="00241724"/>
    <w:rsid w:val="00241905"/>
    <w:rsid w:val="00241BF4"/>
    <w:rsid w:val="00241D60"/>
    <w:rsid w:val="00241D98"/>
    <w:rsid w:val="00241E3C"/>
    <w:rsid w:val="002420CB"/>
    <w:rsid w:val="00242398"/>
    <w:rsid w:val="00242805"/>
    <w:rsid w:val="002429D9"/>
    <w:rsid w:val="00242BA2"/>
    <w:rsid w:val="00242BA3"/>
    <w:rsid w:val="00243202"/>
    <w:rsid w:val="0024325A"/>
    <w:rsid w:val="00243416"/>
    <w:rsid w:val="00243438"/>
    <w:rsid w:val="002438B5"/>
    <w:rsid w:val="00243A06"/>
    <w:rsid w:val="00243BE2"/>
    <w:rsid w:val="00244081"/>
    <w:rsid w:val="002441E7"/>
    <w:rsid w:val="0024432B"/>
    <w:rsid w:val="0024493E"/>
    <w:rsid w:val="00244A37"/>
    <w:rsid w:val="00244CFB"/>
    <w:rsid w:val="002451E7"/>
    <w:rsid w:val="00245345"/>
    <w:rsid w:val="002454FD"/>
    <w:rsid w:val="002455A2"/>
    <w:rsid w:val="002457A5"/>
    <w:rsid w:val="00245C0E"/>
    <w:rsid w:val="00246087"/>
    <w:rsid w:val="0024629F"/>
    <w:rsid w:val="002467CB"/>
    <w:rsid w:val="002470EA"/>
    <w:rsid w:val="0024713F"/>
    <w:rsid w:val="0024742B"/>
    <w:rsid w:val="00247585"/>
    <w:rsid w:val="002477A3"/>
    <w:rsid w:val="00247FBB"/>
    <w:rsid w:val="00250133"/>
    <w:rsid w:val="00250524"/>
    <w:rsid w:val="002505A8"/>
    <w:rsid w:val="002505F7"/>
    <w:rsid w:val="0025069D"/>
    <w:rsid w:val="00250749"/>
    <w:rsid w:val="002507EE"/>
    <w:rsid w:val="00250804"/>
    <w:rsid w:val="00250831"/>
    <w:rsid w:val="002508EB"/>
    <w:rsid w:val="0025096F"/>
    <w:rsid w:val="00250CCE"/>
    <w:rsid w:val="00250D91"/>
    <w:rsid w:val="00250E64"/>
    <w:rsid w:val="00250E9C"/>
    <w:rsid w:val="00250F1A"/>
    <w:rsid w:val="002513BD"/>
    <w:rsid w:val="002513F9"/>
    <w:rsid w:val="00251451"/>
    <w:rsid w:val="002514E8"/>
    <w:rsid w:val="00251931"/>
    <w:rsid w:val="00251B9C"/>
    <w:rsid w:val="00251EEE"/>
    <w:rsid w:val="00251FF0"/>
    <w:rsid w:val="002523C1"/>
    <w:rsid w:val="00252972"/>
    <w:rsid w:val="00252ACF"/>
    <w:rsid w:val="00252BBC"/>
    <w:rsid w:val="00252C0E"/>
    <w:rsid w:val="00252DFB"/>
    <w:rsid w:val="00252F92"/>
    <w:rsid w:val="00252FEA"/>
    <w:rsid w:val="0025322B"/>
    <w:rsid w:val="00253414"/>
    <w:rsid w:val="00253495"/>
    <w:rsid w:val="00253577"/>
    <w:rsid w:val="00253660"/>
    <w:rsid w:val="00253728"/>
    <w:rsid w:val="00253780"/>
    <w:rsid w:val="00253C23"/>
    <w:rsid w:val="00253C9A"/>
    <w:rsid w:val="00253EE4"/>
    <w:rsid w:val="00254557"/>
    <w:rsid w:val="00254B83"/>
    <w:rsid w:val="00254BE8"/>
    <w:rsid w:val="00254D9A"/>
    <w:rsid w:val="00254F59"/>
    <w:rsid w:val="00254FB2"/>
    <w:rsid w:val="002552B4"/>
    <w:rsid w:val="002552B6"/>
    <w:rsid w:val="002552E4"/>
    <w:rsid w:val="002554C6"/>
    <w:rsid w:val="00255AD3"/>
    <w:rsid w:val="00255CBF"/>
    <w:rsid w:val="00255D68"/>
    <w:rsid w:val="00255DCA"/>
    <w:rsid w:val="00255E89"/>
    <w:rsid w:val="00255F57"/>
    <w:rsid w:val="002569BB"/>
    <w:rsid w:val="002569F4"/>
    <w:rsid w:val="00256A30"/>
    <w:rsid w:val="00256AEF"/>
    <w:rsid w:val="00256BAB"/>
    <w:rsid w:val="00256DE4"/>
    <w:rsid w:val="00256FEA"/>
    <w:rsid w:val="00257032"/>
    <w:rsid w:val="0025722C"/>
    <w:rsid w:val="0025730A"/>
    <w:rsid w:val="0025740C"/>
    <w:rsid w:val="002575B0"/>
    <w:rsid w:val="002575CA"/>
    <w:rsid w:val="0025760D"/>
    <w:rsid w:val="002576DF"/>
    <w:rsid w:val="0025772B"/>
    <w:rsid w:val="00257C02"/>
    <w:rsid w:val="00257CB6"/>
    <w:rsid w:val="00257D79"/>
    <w:rsid w:val="0026010C"/>
    <w:rsid w:val="00260182"/>
    <w:rsid w:val="002601E6"/>
    <w:rsid w:val="002602B0"/>
    <w:rsid w:val="00260771"/>
    <w:rsid w:val="00260795"/>
    <w:rsid w:val="00260A12"/>
    <w:rsid w:val="00260B5D"/>
    <w:rsid w:val="00260B76"/>
    <w:rsid w:val="002616FB"/>
    <w:rsid w:val="00261798"/>
    <w:rsid w:val="00261E61"/>
    <w:rsid w:val="00261F55"/>
    <w:rsid w:val="00262127"/>
    <w:rsid w:val="00263961"/>
    <w:rsid w:val="00263AE4"/>
    <w:rsid w:val="00263EA4"/>
    <w:rsid w:val="002640C0"/>
    <w:rsid w:val="00264359"/>
    <w:rsid w:val="00264364"/>
    <w:rsid w:val="002647E1"/>
    <w:rsid w:val="00264866"/>
    <w:rsid w:val="00264D67"/>
    <w:rsid w:val="00265123"/>
    <w:rsid w:val="0026515B"/>
    <w:rsid w:val="0026515D"/>
    <w:rsid w:val="00265238"/>
    <w:rsid w:val="00265446"/>
    <w:rsid w:val="0026545F"/>
    <w:rsid w:val="00265821"/>
    <w:rsid w:val="00265A52"/>
    <w:rsid w:val="00265A5A"/>
    <w:rsid w:val="00265C66"/>
    <w:rsid w:val="00265DC7"/>
    <w:rsid w:val="002661D2"/>
    <w:rsid w:val="00266262"/>
    <w:rsid w:val="00266270"/>
    <w:rsid w:val="002663BE"/>
    <w:rsid w:val="002663F8"/>
    <w:rsid w:val="00266516"/>
    <w:rsid w:val="0026678E"/>
    <w:rsid w:val="00266968"/>
    <w:rsid w:val="00266B0E"/>
    <w:rsid w:val="00267116"/>
    <w:rsid w:val="002672C9"/>
    <w:rsid w:val="0026763D"/>
    <w:rsid w:val="002676F6"/>
    <w:rsid w:val="00267E18"/>
    <w:rsid w:val="002701BD"/>
    <w:rsid w:val="00270322"/>
    <w:rsid w:val="002703C5"/>
    <w:rsid w:val="00270615"/>
    <w:rsid w:val="0027084B"/>
    <w:rsid w:val="00270866"/>
    <w:rsid w:val="00270B7E"/>
    <w:rsid w:val="00270CEF"/>
    <w:rsid w:val="00270DA4"/>
    <w:rsid w:val="00270E97"/>
    <w:rsid w:val="00270F66"/>
    <w:rsid w:val="00270FD5"/>
    <w:rsid w:val="0027116F"/>
    <w:rsid w:val="00271384"/>
    <w:rsid w:val="00271679"/>
    <w:rsid w:val="0027191B"/>
    <w:rsid w:val="00271B85"/>
    <w:rsid w:val="00272200"/>
    <w:rsid w:val="0027239F"/>
    <w:rsid w:val="00272500"/>
    <w:rsid w:val="00272695"/>
    <w:rsid w:val="00272707"/>
    <w:rsid w:val="00272C71"/>
    <w:rsid w:val="00273158"/>
    <w:rsid w:val="00273AAE"/>
    <w:rsid w:val="00273B42"/>
    <w:rsid w:val="00273B81"/>
    <w:rsid w:val="00273B92"/>
    <w:rsid w:val="002741EF"/>
    <w:rsid w:val="00274203"/>
    <w:rsid w:val="002744BB"/>
    <w:rsid w:val="0027474C"/>
    <w:rsid w:val="002747CE"/>
    <w:rsid w:val="002747DE"/>
    <w:rsid w:val="00274829"/>
    <w:rsid w:val="00274AA1"/>
    <w:rsid w:val="00274AD0"/>
    <w:rsid w:val="00274F77"/>
    <w:rsid w:val="002754F7"/>
    <w:rsid w:val="002755AF"/>
    <w:rsid w:val="0027580A"/>
    <w:rsid w:val="00275F82"/>
    <w:rsid w:val="002761A8"/>
    <w:rsid w:val="00276208"/>
    <w:rsid w:val="002764A6"/>
    <w:rsid w:val="002768F1"/>
    <w:rsid w:val="00276A36"/>
    <w:rsid w:val="00276BC5"/>
    <w:rsid w:val="00277038"/>
    <w:rsid w:val="00277043"/>
    <w:rsid w:val="002777CC"/>
    <w:rsid w:val="00277920"/>
    <w:rsid w:val="00277D46"/>
    <w:rsid w:val="002802E0"/>
    <w:rsid w:val="002803F5"/>
    <w:rsid w:val="002805E4"/>
    <w:rsid w:val="00280629"/>
    <w:rsid w:val="0028078E"/>
    <w:rsid w:val="00280C7D"/>
    <w:rsid w:val="00280DA1"/>
    <w:rsid w:val="00281372"/>
    <w:rsid w:val="002813B5"/>
    <w:rsid w:val="00281508"/>
    <w:rsid w:val="00281523"/>
    <w:rsid w:val="0028172C"/>
    <w:rsid w:val="0028184C"/>
    <w:rsid w:val="00281A36"/>
    <w:rsid w:val="00281D9F"/>
    <w:rsid w:val="002825E2"/>
    <w:rsid w:val="0028263A"/>
    <w:rsid w:val="0028334F"/>
    <w:rsid w:val="0028345C"/>
    <w:rsid w:val="002836EB"/>
    <w:rsid w:val="00283C35"/>
    <w:rsid w:val="00283D49"/>
    <w:rsid w:val="00283E7D"/>
    <w:rsid w:val="0028432A"/>
    <w:rsid w:val="002843C6"/>
    <w:rsid w:val="00284544"/>
    <w:rsid w:val="00284B0B"/>
    <w:rsid w:val="00284E84"/>
    <w:rsid w:val="00284F1C"/>
    <w:rsid w:val="00284F8C"/>
    <w:rsid w:val="00284F8E"/>
    <w:rsid w:val="002853F7"/>
    <w:rsid w:val="00285A25"/>
    <w:rsid w:val="00285A4C"/>
    <w:rsid w:val="00285E03"/>
    <w:rsid w:val="00285EF2"/>
    <w:rsid w:val="00285F3E"/>
    <w:rsid w:val="00286136"/>
    <w:rsid w:val="002861B2"/>
    <w:rsid w:val="002863FB"/>
    <w:rsid w:val="002866D5"/>
    <w:rsid w:val="0028692B"/>
    <w:rsid w:val="00286BA9"/>
    <w:rsid w:val="00286DBC"/>
    <w:rsid w:val="00286E9D"/>
    <w:rsid w:val="00286E9F"/>
    <w:rsid w:val="00286F03"/>
    <w:rsid w:val="0028714D"/>
    <w:rsid w:val="00287571"/>
    <w:rsid w:val="00287649"/>
    <w:rsid w:val="00287D20"/>
    <w:rsid w:val="00287F0D"/>
    <w:rsid w:val="00287F22"/>
    <w:rsid w:val="00290517"/>
    <w:rsid w:val="002907A8"/>
    <w:rsid w:val="0029093D"/>
    <w:rsid w:val="002909FB"/>
    <w:rsid w:val="00290BF2"/>
    <w:rsid w:val="00290C65"/>
    <w:rsid w:val="002911ED"/>
    <w:rsid w:val="00291291"/>
    <w:rsid w:val="002912D9"/>
    <w:rsid w:val="00291680"/>
    <w:rsid w:val="00291A31"/>
    <w:rsid w:val="00291AC7"/>
    <w:rsid w:val="00291BA0"/>
    <w:rsid w:val="00291BD8"/>
    <w:rsid w:val="00291BF6"/>
    <w:rsid w:val="0029222F"/>
    <w:rsid w:val="00292235"/>
    <w:rsid w:val="002923B0"/>
    <w:rsid w:val="002923EE"/>
    <w:rsid w:val="002926F0"/>
    <w:rsid w:val="00292C71"/>
    <w:rsid w:val="00292C7A"/>
    <w:rsid w:val="00293428"/>
    <w:rsid w:val="0029349B"/>
    <w:rsid w:val="0029355A"/>
    <w:rsid w:val="0029368F"/>
    <w:rsid w:val="002937DA"/>
    <w:rsid w:val="002937FE"/>
    <w:rsid w:val="00293B69"/>
    <w:rsid w:val="00293C64"/>
    <w:rsid w:val="00293EC3"/>
    <w:rsid w:val="00294241"/>
    <w:rsid w:val="0029451D"/>
    <w:rsid w:val="002945B4"/>
    <w:rsid w:val="002945E1"/>
    <w:rsid w:val="00294772"/>
    <w:rsid w:val="00294895"/>
    <w:rsid w:val="00294C86"/>
    <w:rsid w:val="00294E66"/>
    <w:rsid w:val="00295167"/>
    <w:rsid w:val="00295954"/>
    <w:rsid w:val="00295AD2"/>
    <w:rsid w:val="00295AF0"/>
    <w:rsid w:val="00295B40"/>
    <w:rsid w:val="00295C3E"/>
    <w:rsid w:val="00295F84"/>
    <w:rsid w:val="00296034"/>
    <w:rsid w:val="002960FB"/>
    <w:rsid w:val="00296289"/>
    <w:rsid w:val="00296439"/>
    <w:rsid w:val="00296534"/>
    <w:rsid w:val="00296635"/>
    <w:rsid w:val="00296779"/>
    <w:rsid w:val="00296797"/>
    <w:rsid w:val="00296C96"/>
    <w:rsid w:val="00296C99"/>
    <w:rsid w:val="00296F8E"/>
    <w:rsid w:val="00296FD3"/>
    <w:rsid w:val="0029745A"/>
    <w:rsid w:val="00297A90"/>
    <w:rsid w:val="00297CD3"/>
    <w:rsid w:val="002A01A0"/>
    <w:rsid w:val="002A0A51"/>
    <w:rsid w:val="002A0BB5"/>
    <w:rsid w:val="002A0BF1"/>
    <w:rsid w:val="002A1292"/>
    <w:rsid w:val="002A1546"/>
    <w:rsid w:val="002A1690"/>
    <w:rsid w:val="002A1756"/>
    <w:rsid w:val="002A18A4"/>
    <w:rsid w:val="002A191C"/>
    <w:rsid w:val="002A1B1B"/>
    <w:rsid w:val="002A1E86"/>
    <w:rsid w:val="002A20A7"/>
    <w:rsid w:val="002A2166"/>
    <w:rsid w:val="002A282E"/>
    <w:rsid w:val="002A293E"/>
    <w:rsid w:val="002A2A91"/>
    <w:rsid w:val="002A2EA3"/>
    <w:rsid w:val="002A30E1"/>
    <w:rsid w:val="002A3203"/>
    <w:rsid w:val="002A320D"/>
    <w:rsid w:val="002A32AD"/>
    <w:rsid w:val="002A34FE"/>
    <w:rsid w:val="002A35DD"/>
    <w:rsid w:val="002A3863"/>
    <w:rsid w:val="002A389E"/>
    <w:rsid w:val="002A3A81"/>
    <w:rsid w:val="002A3B13"/>
    <w:rsid w:val="002A3C45"/>
    <w:rsid w:val="002A3F53"/>
    <w:rsid w:val="002A413A"/>
    <w:rsid w:val="002A438C"/>
    <w:rsid w:val="002A4590"/>
    <w:rsid w:val="002A49B9"/>
    <w:rsid w:val="002A53CD"/>
    <w:rsid w:val="002A5506"/>
    <w:rsid w:val="002A571B"/>
    <w:rsid w:val="002A5BC9"/>
    <w:rsid w:val="002A5BCB"/>
    <w:rsid w:val="002A5C75"/>
    <w:rsid w:val="002A5E16"/>
    <w:rsid w:val="002A5FC7"/>
    <w:rsid w:val="002A614A"/>
    <w:rsid w:val="002A62B0"/>
    <w:rsid w:val="002A64C0"/>
    <w:rsid w:val="002A652E"/>
    <w:rsid w:val="002A6642"/>
    <w:rsid w:val="002A7406"/>
    <w:rsid w:val="002A749B"/>
    <w:rsid w:val="002A7AFC"/>
    <w:rsid w:val="002A7C5E"/>
    <w:rsid w:val="002A7D0E"/>
    <w:rsid w:val="002B003D"/>
    <w:rsid w:val="002B03B0"/>
    <w:rsid w:val="002B0585"/>
    <w:rsid w:val="002B0616"/>
    <w:rsid w:val="002B06DD"/>
    <w:rsid w:val="002B0F86"/>
    <w:rsid w:val="002B1040"/>
    <w:rsid w:val="002B11A3"/>
    <w:rsid w:val="002B12B0"/>
    <w:rsid w:val="002B137D"/>
    <w:rsid w:val="002B145C"/>
    <w:rsid w:val="002B158C"/>
    <w:rsid w:val="002B1911"/>
    <w:rsid w:val="002B1AE5"/>
    <w:rsid w:val="002B1B42"/>
    <w:rsid w:val="002B1D8A"/>
    <w:rsid w:val="002B23F2"/>
    <w:rsid w:val="002B24BF"/>
    <w:rsid w:val="002B276D"/>
    <w:rsid w:val="002B2866"/>
    <w:rsid w:val="002B288A"/>
    <w:rsid w:val="002B2910"/>
    <w:rsid w:val="002B2A6C"/>
    <w:rsid w:val="002B2AAD"/>
    <w:rsid w:val="002B2C08"/>
    <w:rsid w:val="002B2D5B"/>
    <w:rsid w:val="002B2D9F"/>
    <w:rsid w:val="002B2E9C"/>
    <w:rsid w:val="002B3247"/>
    <w:rsid w:val="002B3286"/>
    <w:rsid w:val="002B357B"/>
    <w:rsid w:val="002B35E8"/>
    <w:rsid w:val="002B3737"/>
    <w:rsid w:val="002B3833"/>
    <w:rsid w:val="002B3C3D"/>
    <w:rsid w:val="002B3D62"/>
    <w:rsid w:val="002B3D6C"/>
    <w:rsid w:val="002B3FAB"/>
    <w:rsid w:val="002B413C"/>
    <w:rsid w:val="002B4226"/>
    <w:rsid w:val="002B462B"/>
    <w:rsid w:val="002B46DF"/>
    <w:rsid w:val="002B46ED"/>
    <w:rsid w:val="002B485F"/>
    <w:rsid w:val="002B4BA8"/>
    <w:rsid w:val="002B4EB3"/>
    <w:rsid w:val="002B4F7B"/>
    <w:rsid w:val="002B51FB"/>
    <w:rsid w:val="002B5522"/>
    <w:rsid w:val="002B57FA"/>
    <w:rsid w:val="002B59E5"/>
    <w:rsid w:val="002B5AA0"/>
    <w:rsid w:val="002B5C09"/>
    <w:rsid w:val="002B5E78"/>
    <w:rsid w:val="002B5EDE"/>
    <w:rsid w:val="002B6765"/>
    <w:rsid w:val="002B67AA"/>
    <w:rsid w:val="002B67DA"/>
    <w:rsid w:val="002B6AC6"/>
    <w:rsid w:val="002B6BCD"/>
    <w:rsid w:val="002B6C7A"/>
    <w:rsid w:val="002B71F5"/>
    <w:rsid w:val="002B7255"/>
    <w:rsid w:val="002B74A9"/>
    <w:rsid w:val="002B74CF"/>
    <w:rsid w:val="002B7568"/>
    <w:rsid w:val="002B78D7"/>
    <w:rsid w:val="002B7B21"/>
    <w:rsid w:val="002B7C6B"/>
    <w:rsid w:val="002C0391"/>
    <w:rsid w:val="002C039B"/>
    <w:rsid w:val="002C088E"/>
    <w:rsid w:val="002C0AC6"/>
    <w:rsid w:val="002C0E5E"/>
    <w:rsid w:val="002C1814"/>
    <w:rsid w:val="002C18C1"/>
    <w:rsid w:val="002C195E"/>
    <w:rsid w:val="002C1AC4"/>
    <w:rsid w:val="002C1E6B"/>
    <w:rsid w:val="002C2016"/>
    <w:rsid w:val="002C216A"/>
    <w:rsid w:val="002C25DF"/>
    <w:rsid w:val="002C2638"/>
    <w:rsid w:val="002C268B"/>
    <w:rsid w:val="002C2805"/>
    <w:rsid w:val="002C2879"/>
    <w:rsid w:val="002C2A74"/>
    <w:rsid w:val="002C3085"/>
    <w:rsid w:val="002C30D5"/>
    <w:rsid w:val="002C30FB"/>
    <w:rsid w:val="002C323E"/>
    <w:rsid w:val="002C3468"/>
    <w:rsid w:val="002C34D9"/>
    <w:rsid w:val="002C39CE"/>
    <w:rsid w:val="002C3AA9"/>
    <w:rsid w:val="002C3B71"/>
    <w:rsid w:val="002C3DC9"/>
    <w:rsid w:val="002C3E4D"/>
    <w:rsid w:val="002C4061"/>
    <w:rsid w:val="002C411E"/>
    <w:rsid w:val="002C43C3"/>
    <w:rsid w:val="002C450D"/>
    <w:rsid w:val="002C4624"/>
    <w:rsid w:val="002C4900"/>
    <w:rsid w:val="002C4BB5"/>
    <w:rsid w:val="002C4BDA"/>
    <w:rsid w:val="002C4DCE"/>
    <w:rsid w:val="002C53A3"/>
    <w:rsid w:val="002C5616"/>
    <w:rsid w:val="002C5905"/>
    <w:rsid w:val="002C5916"/>
    <w:rsid w:val="002C5B4C"/>
    <w:rsid w:val="002C5CD9"/>
    <w:rsid w:val="002C6004"/>
    <w:rsid w:val="002C604B"/>
    <w:rsid w:val="002C633E"/>
    <w:rsid w:val="002C635C"/>
    <w:rsid w:val="002C63B6"/>
    <w:rsid w:val="002C6CB0"/>
    <w:rsid w:val="002C6F9F"/>
    <w:rsid w:val="002C72CF"/>
    <w:rsid w:val="002C7562"/>
    <w:rsid w:val="002C7BB9"/>
    <w:rsid w:val="002C7C8F"/>
    <w:rsid w:val="002D01DC"/>
    <w:rsid w:val="002D051A"/>
    <w:rsid w:val="002D0656"/>
    <w:rsid w:val="002D0BF2"/>
    <w:rsid w:val="002D124B"/>
    <w:rsid w:val="002D1275"/>
    <w:rsid w:val="002D12B1"/>
    <w:rsid w:val="002D12ED"/>
    <w:rsid w:val="002D16D3"/>
    <w:rsid w:val="002D1949"/>
    <w:rsid w:val="002D19FB"/>
    <w:rsid w:val="002D1FD6"/>
    <w:rsid w:val="002D1FF3"/>
    <w:rsid w:val="002D2021"/>
    <w:rsid w:val="002D2075"/>
    <w:rsid w:val="002D2428"/>
    <w:rsid w:val="002D253A"/>
    <w:rsid w:val="002D2F76"/>
    <w:rsid w:val="002D2FD2"/>
    <w:rsid w:val="002D2FE1"/>
    <w:rsid w:val="002D3019"/>
    <w:rsid w:val="002D31D0"/>
    <w:rsid w:val="002D3243"/>
    <w:rsid w:val="002D3287"/>
    <w:rsid w:val="002D3642"/>
    <w:rsid w:val="002D39E3"/>
    <w:rsid w:val="002D3A2B"/>
    <w:rsid w:val="002D3AA5"/>
    <w:rsid w:val="002D3E8C"/>
    <w:rsid w:val="002D4147"/>
    <w:rsid w:val="002D4220"/>
    <w:rsid w:val="002D4358"/>
    <w:rsid w:val="002D4395"/>
    <w:rsid w:val="002D4480"/>
    <w:rsid w:val="002D458B"/>
    <w:rsid w:val="002D4906"/>
    <w:rsid w:val="002D4A6E"/>
    <w:rsid w:val="002D4CC6"/>
    <w:rsid w:val="002D5199"/>
    <w:rsid w:val="002D5258"/>
    <w:rsid w:val="002D5488"/>
    <w:rsid w:val="002D554E"/>
    <w:rsid w:val="002D57DE"/>
    <w:rsid w:val="002D580C"/>
    <w:rsid w:val="002D5833"/>
    <w:rsid w:val="002D5A6B"/>
    <w:rsid w:val="002D5AA5"/>
    <w:rsid w:val="002D5F37"/>
    <w:rsid w:val="002D5F62"/>
    <w:rsid w:val="002D60CE"/>
    <w:rsid w:val="002D6286"/>
    <w:rsid w:val="002D63AE"/>
    <w:rsid w:val="002D661F"/>
    <w:rsid w:val="002D6B03"/>
    <w:rsid w:val="002D6C01"/>
    <w:rsid w:val="002D6DC7"/>
    <w:rsid w:val="002D6EE9"/>
    <w:rsid w:val="002D6FCA"/>
    <w:rsid w:val="002D72FF"/>
    <w:rsid w:val="002D7322"/>
    <w:rsid w:val="002D76B2"/>
    <w:rsid w:val="002D7912"/>
    <w:rsid w:val="002E0572"/>
    <w:rsid w:val="002E0767"/>
    <w:rsid w:val="002E0927"/>
    <w:rsid w:val="002E1273"/>
    <w:rsid w:val="002E1306"/>
    <w:rsid w:val="002E1474"/>
    <w:rsid w:val="002E1B06"/>
    <w:rsid w:val="002E1BC5"/>
    <w:rsid w:val="002E1D07"/>
    <w:rsid w:val="002E2038"/>
    <w:rsid w:val="002E2198"/>
    <w:rsid w:val="002E2233"/>
    <w:rsid w:val="002E28FD"/>
    <w:rsid w:val="002E2C0D"/>
    <w:rsid w:val="002E2E01"/>
    <w:rsid w:val="002E2E6C"/>
    <w:rsid w:val="002E2F45"/>
    <w:rsid w:val="002E2FA1"/>
    <w:rsid w:val="002E3388"/>
    <w:rsid w:val="002E3398"/>
    <w:rsid w:val="002E3539"/>
    <w:rsid w:val="002E372E"/>
    <w:rsid w:val="002E3B35"/>
    <w:rsid w:val="002E3CBA"/>
    <w:rsid w:val="002E3F72"/>
    <w:rsid w:val="002E406E"/>
    <w:rsid w:val="002E40CD"/>
    <w:rsid w:val="002E4168"/>
    <w:rsid w:val="002E417B"/>
    <w:rsid w:val="002E4185"/>
    <w:rsid w:val="002E4513"/>
    <w:rsid w:val="002E454D"/>
    <w:rsid w:val="002E4985"/>
    <w:rsid w:val="002E4C01"/>
    <w:rsid w:val="002E52DF"/>
    <w:rsid w:val="002E531B"/>
    <w:rsid w:val="002E53BA"/>
    <w:rsid w:val="002E5406"/>
    <w:rsid w:val="002E5508"/>
    <w:rsid w:val="002E5561"/>
    <w:rsid w:val="002E564A"/>
    <w:rsid w:val="002E5CDA"/>
    <w:rsid w:val="002E5EDD"/>
    <w:rsid w:val="002E6474"/>
    <w:rsid w:val="002E64D2"/>
    <w:rsid w:val="002E669B"/>
    <w:rsid w:val="002E67BE"/>
    <w:rsid w:val="002E68DB"/>
    <w:rsid w:val="002E6946"/>
    <w:rsid w:val="002E6957"/>
    <w:rsid w:val="002E69D2"/>
    <w:rsid w:val="002E6A11"/>
    <w:rsid w:val="002E6AB2"/>
    <w:rsid w:val="002E6B46"/>
    <w:rsid w:val="002E6C2C"/>
    <w:rsid w:val="002E6F57"/>
    <w:rsid w:val="002E73EE"/>
    <w:rsid w:val="002E74A9"/>
    <w:rsid w:val="002E79A1"/>
    <w:rsid w:val="002E79F6"/>
    <w:rsid w:val="002E7A91"/>
    <w:rsid w:val="002E7E7C"/>
    <w:rsid w:val="002E7EAE"/>
    <w:rsid w:val="002E7EDE"/>
    <w:rsid w:val="002E7EFD"/>
    <w:rsid w:val="002E7F34"/>
    <w:rsid w:val="002F0021"/>
    <w:rsid w:val="002F0441"/>
    <w:rsid w:val="002F0CCD"/>
    <w:rsid w:val="002F1467"/>
    <w:rsid w:val="002F158F"/>
    <w:rsid w:val="002F1747"/>
    <w:rsid w:val="002F1750"/>
    <w:rsid w:val="002F199A"/>
    <w:rsid w:val="002F199D"/>
    <w:rsid w:val="002F1A24"/>
    <w:rsid w:val="002F1CA5"/>
    <w:rsid w:val="002F1D29"/>
    <w:rsid w:val="002F1E12"/>
    <w:rsid w:val="002F1F7A"/>
    <w:rsid w:val="002F201E"/>
    <w:rsid w:val="002F22ED"/>
    <w:rsid w:val="002F237B"/>
    <w:rsid w:val="002F2465"/>
    <w:rsid w:val="002F246F"/>
    <w:rsid w:val="002F24B5"/>
    <w:rsid w:val="002F25CF"/>
    <w:rsid w:val="002F264B"/>
    <w:rsid w:val="002F2AC4"/>
    <w:rsid w:val="002F2C8D"/>
    <w:rsid w:val="002F2D5C"/>
    <w:rsid w:val="002F2E34"/>
    <w:rsid w:val="002F2E3D"/>
    <w:rsid w:val="002F2FC0"/>
    <w:rsid w:val="002F300D"/>
    <w:rsid w:val="002F328C"/>
    <w:rsid w:val="002F32CB"/>
    <w:rsid w:val="002F39E1"/>
    <w:rsid w:val="002F3A20"/>
    <w:rsid w:val="002F3B09"/>
    <w:rsid w:val="002F3C01"/>
    <w:rsid w:val="002F3E29"/>
    <w:rsid w:val="002F3FA4"/>
    <w:rsid w:val="002F3FC8"/>
    <w:rsid w:val="002F404E"/>
    <w:rsid w:val="002F4075"/>
    <w:rsid w:val="002F4265"/>
    <w:rsid w:val="002F43B8"/>
    <w:rsid w:val="002F4477"/>
    <w:rsid w:val="002F4569"/>
    <w:rsid w:val="002F4734"/>
    <w:rsid w:val="002F492D"/>
    <w:rsid w:val="002F4C87"/>
    <w:rsid w:val="002F4FE5"/>
    <w:rsid w:val="002F50C4"/>
    <w:rsid w:val="002F54D3"/>
    <w:rsid w:val="002F5A3E"/>
    <w:rsid w:val="002F5A7A"/>
    <w:rsid w:val="002F5BB4"/>
    <w:rsid w:val="002F5C71"/>
    <w:rsid w:val="002F5CAB"/>
    <w:rsid w:val="002F5F27"/>
    <w:rsid w:val="002F624B"/>
    <w:rsid w:val="002F67A0"/>
    <w:rsid w:val="002F6827"/>
    <w:rsid w:val="002F698E"/>
    <w:rsid w:val="002F69AF"/>
    <w:rsid w:val="002F6ADA"/>
    <w:rsid w:val="002F6B38"/>
    <w:rsid w:val="002F6B7C"/>
    <w:rsid w:val="002F702A"/>
    <w:rsid w:val="002F734A"/>
    <w:rsid w:val="002F75F3"/>
    <w:rsid w:val="002F7AA2"/>
    <w:rsid w:val="002F7AD4"/>
    <w:rsid w:val="002F7B1C"/>
    <w:rsid w:val="002F7C26"/>
    <w:rsid w:val="002F7F32"/>
    <w:rsid w:val="00300007"/>
    <w:rsid w:val="0030013B"/>
    <w:rsid w:val="00300404"/>
    <w:rsid w:val="00300694"/>
    <w:rsid w:val="003006F5"/>
    <w:rsid w:val="003008EB"/>
    <w:rsid w:val="00300D77"/>
    <w:rsid w:val="0030116A"/>
    <w:rsid w:val="003012F3"/>
    <w:rsid w:val="003013A9"/>
    <w:rsid w:val="003013F7"/>
    <w:rsid w:val="00301524"/>
    <w:rsid w:val="0030170F"/>
    <w:rsid w:val="0030174E"/>
    <w:rsid w:val="00301A8D"/>
    <w:rsid w:val="00301B6C"/>
    <w:rsid w:val="00301C06"/>
    <w:rsid w:val="00301CAE"/>
    <w:rsid w:val="00301CCF"/>
    <w:rsid w:val="00302318"/>
    <w:rsid w:val="00302AEE"/>
    <w:rsid w:val="00302B95"/>
    <w:rsid w:val="00302BDD"/>
    <w:rsid w:val="00302CB6"/>
    <w:rsid w:val="00302F55"/>
    <w:rsid w:val="0030320F"/>
    <w:rsid w:val="0030361B"/>
    <w:rsid w:val="0030370D"/>
    <w:rsid w:val="00303CD6"/>
    <w:rsid w:val="00304158"/>
    <w:rsid w:val="0030454E"/>
    <w:rsid w:val="003046C6"/>
    <w:rsid w:val="00304769"/>
    <w:rsid w:val="0030493D"/>
    <w:rsid w:val="00304A10"/>
    <w:rsid w:val="00304F5C"/>
    <w:rsid w:val="00305184"/>
    <w:rsid w:val="003051C1"/>
    <w:rsid w:val="0030521F"/>
    <w:rsid w:val="00305457"/>
    <w:rsid w:val="0030562B"/>
    <w:rsid w:val="00305651"/>
    <w:rsid w:val="003056C4"/>
    <w:rsid w:val="00305745"/>
    <w:rsid w:val="0030579C"/>
    <w:rsid w:val="00305958"/>
    <w:rsid w:val="00305F6B"/>
    <w:rsid w:val="00306697"/>
    <w:rsid w:val="003067E4"/>
    <w:rsid w:val="0030696F"/>
    <w:rsid w:val="00306A2E"/>
    <w:rsid w:val="00306AC2"/>
    <w:rsid w:val="00306CC9"/>
    <w:rsid w:val="00306D5B"/>
    <w:rsid w:val="00306EF2"/>
    <w:rsid w:val="00306FEE"/>
    <w:rsid w:val="00307251"/>
    <w:rsid w:val="003072CD"/>
    <w:rsid w:val="0030740B"/>
    <w:rsid w:val="0030786C"/>
    <w:rsid w:val="0030796F"/>
    <w:rsid w:val="00307A32"/>
    <w:rsid w:val="00307ABC"/>
    <w:rsid w:val="00307B0B"/>
    <w:rsid w:val="0031002A"/>
    <w:rsid w:val="0031021E"/>
    <w:rsid w:val="00310254"/>
    <w:rsid w:val="0031036B"/>
    <w:rsid w:val="0031054C"/>
    <w:rsid w:val="003105B2"/>
    <w:rsid w:val="003105B7"/>
    <w:rsid w:val="00310945"/>
    <w:rsid w:val="00310A01"/>
    <w:rsid w:val="00310BCE"/>
    <w:rsid w:val="00310DC6"/>
    <w:rsid w:val="00311502"/>
    <w:rsid w:val="00311707"/>
    <w:rsid w:val="00311A9F"/>
    <w:rsid w:val="00311AC9"/>
    <w:rsid w:val="00311C76"/>
    <w:rsid w:val="00311E43"/>
    <w:rsid w:val="003120E1"/>
    <w:rsid w:val="00312166"/>
    <w:rsid w:val="00312209"/>
    <w:rsid w:val="003124E9"/>
    <w:rsid w:val="003126DB"/>
    <w:rsid w:val="00312873"/>
    <w:rsid w:val="00312C6B"/>
    <w:rsid w:val="00312CA7"/>
    <w:rsid w:val="00312E7B"/>
    <w:rsid w:val="0031308D"/>
    <w:rsid w:val="003130BB"/>
    <w:rsid w:val="0031317F"/>
    <w:rsid w:val="003133FE"/>
    <w:rsid w:val="00313587"/>
    <w:rsid w:val="003136F2"/>
    <w:rsid w:val="003141C7"/>
    <w:rsid w:val="003143E4"/>
    <w:rsid w:val="00314557"/>
    <w:rsid w:val="00314823"/>
    <w:rsid w:val="00314CBF"/>
    <w:rsid w:val="00314F0F"/>
    <w:rsid w:val="00314F69"/>
    <w:rsid w:val="003150C2"/>
    <w:rsid w:val="0031520F"/>
    <w:rsid w:val="00315319"/>
    <w:rsid w:val="00315382"/>
    <w:rsid w:val="00315865"/>
    <w:rsid w:val="003159C9"/>
    <w:rsid w:val="003159D6"/>
    <w:rsid w:val="00315A3E"/>
    <w:rsid w:val="00315B01"/>
    <w:rsid w:val="00316081"/>
    <w:rsid w:val="003166B4"/>
    <w:rsid w:val="00316C74"/>
    <w:rsid w:val="00316D5D"/>
    <w:rsid w:val="00316EB6"/>
    <w:rsid w:val="00316FFE"/>
    <w:rsid w:val="00317195"/>
    <w:rsid w:val="003174CF"/>
    <w:rsid w:val="0031755A"/>
    <w:rsid w:val="0031799A"/>
    <w:rsid w:val="00317AC9"/>
    <w:rsid w:val="0032001D"/>
    <w:rsid w:val="003200BC"/>
    <w:rsid w:val="00320226"/>
    <w:rsid w:val="00320291"/>
    <w:rsid w:val="003202F4"/>
    <w:rsid w:val="0032056A"/>
    <w:rsid w:val="0032056B"/>
    <w:rsid w:val="00320710"/>
    <w:rsid w:val="0032076A"/>
    <w:rsid w:val="00320857"/>
    <w:rsid w:val="00320881"/>
    <w:rsid w:val="00320A25"/>
    <w:rsid w:val="00320E3C"/>
    <w:rsid w:val="00320EFB"/>
    <w:rsid w:val="003210A6"/>
    <w:rsid w:val="003211CD"/>
    <w:rsid w:val="0032127B"/>
    <w:rsid w:val="003212AB"/>
    <w:rsid w:val="003216B7"/>
    <w:rsid w:val="00321B01"/>
    <w:rsid w:val="00321E01"/>
    <w:rsid w:val="0032221D"/>
    <w:rsid w:val="00322262"/>
    <w:rsid w:val="00322369"/>
    <w:rsid w:val="00322403"/>
    <w:rsid w:val="00322410"/>
    <w:rsid w:val="00322482"/>
    <w:rsid w:val="00322CE6"/>
    <w:rsid w:val="00322F7D"/>
    <w:rsid w:val="0032320C"/>
    <w:rsid w:val="00323267"/>
    <w:rsid w:val="00323AE8"/>
    <w:rsid w:val="00323B09"/>
    <w:rsid w:val="00324066"/>
    <w:rsid w:val="00324415"/>
    <w:rsid w:val="003246CB"/>
    <w:rsid w:val="0032471A"/>
    <w:rsid w:val="00324818"/>
    <w:rsid w:val="00324883"/>
    <w:rsid w:val="00324AA4"/>
    <w:rsid w:val="00324AC4"/>
    <w:rsid w:val="00324BE4"/>
    <w:rsid w:val="00324C0D"/>
    <w:rsid w:val="00324CF1"/>
    <w:rsid w:val="00324D22"/>
    <w:rsid w:val="00324D37"/>
    <w:rsid w:val="003253A9"/>
    <w:rsid w:val="003254A5"/>
    <w:rsid w:val="0032555E"/>
    <w:rsid w:val="0032559C"/>
    <w:rsid w:val="00325A53"/>
    <w:rsid w:val="00325C88"/>
    <w:rsid w:val="00326206"/>
    <w:rsid w:val="00326665"/>
    <w:rsid w:val="00326750"/>
    <w:rsid w:val="00326DCB"/>
    <w:rsid w:val="00326F38"/>
    <w:rsid w:val="0032717F"/>
    <w:rsid w:val="0032742C"/>
    <w:rsid w:val="003274EF"/>
    <w:rsid w:val="00327594"/>
    <w:rsid w:val="003275A5"/>
    <w:rsid w:val="003277A8"/>
    <w:rsid w:val="003279B5"/>
    <w:rsid w:val="00327B1F"/>
    <w:rsid w:val="003302A7"/>
    <w:rsid w:val="00330509"/>
    <w:rsid w:val="00330FC6"/>
    <w:rsid w:val="00331404"/>
    <w:rsid w:val="00331674"/>
    <w:rsid w:val="00331676"/>
    <w:rsid w:val="00331B30"/>
    <w:rsid w:val="00331C91"/>
    <w:rsid w:val="0033218F"/>
    <w:rsid w:val="0033224B"/>
    <w:rsid w:val="0033241C"/>
    <w:rsid w:val="00332A99"/>
    <w:rsid w:val="00332CD3"/>
    <w:rsid w:val="00332E9E"/>
    <w:rsid w:val="0033342A"/>
    <w:rsid w:val="0033370F"/>
    <w:rsid w:val="00333764"/>
    <w:rsid w:val="00333890"/>
    <w:rsid w:val="00333A40"/>
    <w:rsid w:val="00333A56"/>
    <w:rsid w:val="00333F46"/>
    <w:rsid w:val="00334000"/>
    <w:rsid w:val="0033422D"/>
    <w:rsid w:val="00334550"/>
    <w:rsid w:val="0033471B"/>
    <w:rsid w:val="00334752"/>
    <w:rsid w:val="0033492F"/>
    <w:rsid w:val="00334938"/>
    <w:rsid w:val="00334A4B"/>
    <w:rsid w:val="00334C4F"/>
    <w:rsid w:val="00334F88"/>
    <w:rsid w:val="00334FFC"/>
    <w:rsid w:val="00335000"/>
    <w:rsid w:val="00335277"/>
    <w:rsid w:val="0033535A"/>
    <w:rsid w:val="0033576F"/>
    <w:rsid w:val="00335892"/>
    <w:rsid w:val="00335B50"/>
    <w:rsid w:val="003362BA"/>
    <w:rsid w:val="00336386"/>
    <w:rsid w:val="00336391"/>
    <w:rsid w:val="00336499"/>
    <w:rsid w:val="00336996"/>
    <w:rsid w:val="00336BC3"/>
    <w:rsid w:val="00336BD9"/>
    <w:rsid w:val="00336E63"/>
    <w:rsid w:val="0034005E"/>
    <w:rsid w:val="00340234"/>
    <w:rsid w:val="003403FA"/>
    <w:rsid w:val="00340434"/>
    <w:rsid w:val="0034083E"/>
    <w:rsid w:val="00340885"/>
    <w:rsid w:val="00340AB0"/>
    <w:rsid w:val="00340BB4"/>
    <w:rsid w:val="00340BCE"/>
    <w:rsid w:val="00341734"/>
    <w:rsid w:val="00341948"/>
    <w:rsid w:val="00341969"/>
    <w:rsid w:val="00341A20"/>
    <w:rsid w:val="00341C8D"/>
    <w:rsid w:val="003420BD"/>
    <w:rsid w:val="0034219F"/>
    <w:rsid w:val="0034240E"/>
    <w:rsid w:val="00342A82"/>
    <w:rsid w:val="00342BDD"/>
    <w:rsid w:val="00342CD9"/>
    <w:rsid w:val="00342D5D"/>
    <w:rsid w:val="00342D62"/>
    <w:rsid w:val="00342D9D"/>
    <w:rsid w:val="00342F35"/>
    <w:rsid w:val="00342F4B"/>
    <w:rsid w:val="00343030"/>
    <w:rsid w:val="003431BA"/>
    <w:rsid w:val="00343331"/>
    <w:rsid w:val="003437B7"/>
    <w:rsid w:val="003439C9"/>
    <w:rsid w:val="00343AF7"/>
    <w:rsid w:val="00343CD8"/>
    <w:rsid w:val="0034437F"/>
    <w:rsid w:val="003444D2"/>
    <w:rsid w:val="003444EC"/>
    <w:rsid w:val="003446BE"/>
    <w:rsid w:val="00344975"/>
    <w:rsid w:val="00344A70"/>
    <w:rsid w:val="003457B2"/>
    <w:rsid w:val="003457C0"/>
    <w:rsid w:val="00345AE5"/>
    <w:rsid w:val="00345BAD"/>
    <w:rsid w:val="00345C9E"/>
    <w:rsid w:val="00346060"/>
    <w:rsid w:val="003465B1"/>
    <w:rsid w:val="003465F1"/>
    <w:rsid w:val="0034674B"/>
    <w:rsid w:val="00346CC3"/>
    <w:rsid w:val="00346E10"/>
    <w:rsid w:val="00346F24"/>
    <w:rsid w:val="00346FA4"/>
    <w:rsid w:val="00347260"/>
    <w:rsid w:val="0034733D"/>
    <w:rsid w:val="0034736B"/>
    <w:rsid w:val="00347757"/>
    <w:rsid w:val="00347812"/>
    <w:rsid w:val="00347BA6"/>
    <w:rsid w:val="00347C34"/>
    <w:rsid w:val="00347C4F"/>
    <w:rsid w:val="00347D50"/>
    <w:rsid w:val="00347F89"/>
    <w:rsid w:val="003500BD"/>
    <w:rsid w:val="00350453"/>
    <w:rsid w:val="00350641"/>
    <w:rsid w:val="00350813"/>
    <w:rsid w:val="00350891"/>
    <w:rsid w:val="00350D59"/>
    <w:rsid w:val="003510F9"/>
    <w:rsid w:val="00351109"/>
    <w:rsid w:val="00351217"/>
    <w:rsid w:val="0035168B"/>
    <w:rsid w:val="0035187A"/>
    <w:rsid w:val="00351916"/>
    <w:rsid w:val="00351D5B"/>
    <w:rsid w:val="00351E43"/>
    <w:rsid w:val="0035212D"/>
    <w:rsid w:val="00352872"/>
    <w:rsid w:val="00352999"/>
    <w:rsid w:val="003529B8"/>
    <w:rsid w:val="00352A55"/>
    <w:rsid w:val="0035317F"/>
    <w:rsid w:val="00353206"/>
    <w:rsid w:val="0035331E"/>
    <w:rsid w:val="003536A1"/>
    <w:rsid w:val="00353986"/>
    <w:rsid w:val="00353AD7"/>
    <w:rsid w:val="00353B94"/>
    <w:rsid w:val="00353C4B"/>
    <w:rsid w:val="00353D97"/>
    <w:rsid w:val="00353DCB"/>
    <w:rsid w:val="00354755"/>
    <w:rsid w:val="003549AB"/>
    <w:rsid w:val="003549E1"/>
    <w:rsid w:val="00354AC7"/>
    <w:rsid w:val="00354CD3"/>
    <w:rsid w:val="00354D79"/>
    <w:rsid w:val="00355075"/>
    <w:rsid w:val="00355106"/>
    <w:rsid w:val="003554B5"/>
    <w:rsid w:val="00355663"/>
    <w:rsid w:val="00355977"/>
    <w:rsid w:val="00355A13"/>
    <w:rsid w:val="00355AF5"/>
    <w:rsid w:val="00355BAB"/>
    <w:rsid w:val="00355D10"/>
    <w:rsid w:val="00355E4D"/>
    <w:rsid w:val="00355EB2"/>
    <w:rsid w:val="003562BD"/>
    <w:rsid w:val="00356ACA"/>
    <w:rsid w:val="00356EC8"/>
    <w:rsid w:val="00356FAF"/>
    <w:rsid w:val="00357085"/>
    <w:rsid w:val="003576F5"/>
    <w:rsid w:val="0035779D"/>
    <w:rsid w:val="003579CE"/>
    <w:rsid w:val="00357C73"/>
    <w:rsid w:val="00357F04"/>
    <w:rsid w:val="00357F14"/>
    <w:rsid w:val="00357FE4"/>
    <w:rsid w:val="0036052D"/>
    <w:rsid w:val="003607B2"/>
    <w:rsid w:val="003609D4"/>
    <w:rsid w:val="00360B7A"/>
    <w:rsid w:val="00360BDB"/>
    <w:rsid w:val="00360CB9"/>
    <w:rsid w:val="003610BB"/>
    <w:rsid w:val="003618FB"/>
    <w:rsid w:val="0036194D"/>
    <w:rsid w:val="00361A55"/>
    <w:rsid w:val="00361B6B"/>
    <w:rsid w:val="00361C5F"/>
    <w:rsid w:val="00361E39"/>
    <w:rsid w:val="00361E52"/>
    <w:rsid w:val="00361FF1"/>
    <w:rsid w:val="003622C5"/>
    <w:rsid w:val="0036237D"/>
    <w:rsid w:val="003624F5"/>
    <w:rsid w:val="00362687"/>
    <w:rsid w:val="00362715"/>
    <w:rsid w:val="003627A4"/>
    <w:rsid w:val="003628D2"/>
    <w:rsid w:val="00362D8A"/>
    <w:rsid w:val="00363653"/>
    <w:rsid w:val="00363BF6"/>
    <w:rsid w:val="00364016"/>
    <w:rsid w:val="00364196"/>
    <w:rsid w:val="00364411"/>
    <w:rsid w:val="00364838"/>
    <w:rsid w:val="00364BB7"/>
    <w:rsid w:val="0036500C"/>
    <w:rsid w:val="0036539B"/>
    <w:rsid w:val="00365763"/>
    <w:rsid w:val="00365991"/>
    <w:rsid w:val="00365A92"/>
    <w:rsid w:val="00365E3D"/>
    <w:rsid w:val="00365F7F"/>
    <w:rsid w:val="0036655C"/>
    <w:rsid w:val="00366606"/>
    <w:rsid w:val="00366697"/>
    <w:rsid w:val="00366D0C"/>
    <w:rsid w:val="00367080"/>
    <w:rsid w:val="0036730B"/>
    <w:rsid w:val="00367454"/>
    <w:rsid w:val="00367456"/>
    <w:rsid w:val="0036753C"/>
    <w:rsid w:val="003675D1"/>
    <w:rsid w:val="00367794"/>
    <w:rsid w:val="003678AE"/>
    <w:rsid w:val="00367D50"/>
    <w:rsid w:val="003700CD"/>
    <w:rsid w:val="00370126"/>
    <w:rsid w:val="003701B2"/>
    <w:rsid w:val="003703C9"/>
    <w:rsid w:val="0037062C"/>
    <w:rsid w:val="003706DF"/>
    <w:rsid w:val="00370A24"/>
    <w:rsid w:val="00370C97"/>
    <w:rsid w:val="00370DEF"/>
    <w:rsid w:val="00370ED6"/>
    <w:rsid w:val="003711BA"/>
    <w:rsid w:val="003711BF"/>
    <w:rsid w:val="003711CC"/>
    <w:rsid w:val="00371573"/>
    <w:rsid w:val="003716E1"/>
    <w:rsid w:val="0037172D"/>
    <w:rsid w:val="0037183B"/>
    <w:rsid w:val="0037185E"/>
    <w:rsid w:val="00371B8B"/>
    <w:rsid w:val="00371DD4"/>
    <w:rsid w:val="00371E38"/>
    <w:rsid w:val="00372072"/>
    <w:rsid w:val="003720F0"/>
    <w:rsid w:val="00372460"/>
    <w:rsid w:val="00372601"/>
    <w:rsid w:val="00372719"/>
    <w:rsid w:val="003727E9"/>
    <w:rsid w:val="003727F4"/>
    <w:rsid w:val="00372946"/>
    <w:rsid w:val="00372A48"/>
    <w:rsid w:val="00372AFE"/>
    <w:rsid w:val="00372BF0"/>
    <w:rsid w:val="00372E34"/>
    <w:rsid w:val="00372E66"/>
    <w:rsid w:val="0037305C"/>
    <w:rsid w:val="00373256"/>
    <w:rsid w:val="00373391"/>
    <w:rsid w:val="00373476"/>
    <w:rsid w:val="0037348F"/>
    <w:rsid w:val="00373AA2"/>
    <w:rsid w:val="00373BFD"/>
    <w:rsid w:val="00373E4B"/>
    <w:rsid w:val="00374439"/>
    <w:rsid w:val="003744D6"/>
    <w:rsid w:val="0037459C"/>
    <w:rsid w:val="00374BC3"/>
    <w:rsid w:val="00374D9F"/>
    <w:rsid w:val="00374DE6"/>
    <w:rsid w:val="0037522D"/>
    <w:rsid w:val="0037588F"/>
    <w:rsid w:val="0037592D"/>
    <w:rsid w:val="00375BAB"/>
    <w:rsid w:val="00375C0D"/>
    <w:rsid w:val="00375FAE"/>
    <w:rsid w:val="003765ED"/>
    <w:rsid w:val="00376C3C"/>
    <w:rsid w:val="00376F4E"/>
    <w:rsid w:val="003770F0"/>
    <w:rsid w:val="00377186"/>
    <w:rsid w:val="0037721E"/>
    <w:rsid w:val="00377277"/>
    <w:rsid w:val="0037736F"/>
    <w:rsid w:val="00377539"/>
    <w:rsid w:val="00377D9A"/>
    <w:rsid w:val="00377E4B"/>
    <w:rsid w:val="00377FCB"/>
    <w:rsid w:val="003802F0"/>
    <w:rsid w:val="00380443"/>
    <w:rsid w:val="00380966"/>
    <w:rsid w:val="00380A78"/>
    <w:rsid w:val="00380E39"/>
    <w:rsid w:val="003810FC"/>
    <w:rsid w:val="003812CD"/>
    <w:rsid w:val="0038151C"/>
    <w:rsid w:val="003815AE"/>
    <w:rsid w:val="003816E3"/>
    <w:rsid w:val="00381785"/>
    <w:rsid w:val="00381AA0"/>
    <w:rsid w:val="00381C68"/>
    <w:rsid w:val="00381C6E"/>
    <w:rsid w:val="00382813"/>
    <w:rsid w:val="00382A6A"/>
    <w:rsid w:val="00382B12"/>
    <w:rsid w:val="00382C96"/>
    <w:rsid w:val="00382CC5"/>
    <w:rsid w:val="00382EC7"/>
    <w:rsid w:val="00382FC2"/>
    <w:rsid w:val="00383202"/>
    <w:rsid w:val="00383220"/>
    <w:rsid w:val="0038354D"/>
    <w:rsid w:val="00383590"/>
    <w:rsid w:val="003837AF"/>
    <w:rsid w:val="00383B9C"/>
    <w:rsid w:val="00383FA4"/>
    <w:rsid w:val="00384429"/>
    <w:rsid w:val="003844FA"/>
    <w:rsid w:val="003847D3"/>
    <w:rsid w:val="0038491B"/>
    <w:rsid w:val="00384A6E"/>
    <w:rsid w:val="00384C23"/>
    <w:rsid w:val="00384CB0"/>
    <w:rsid w:val="00384CD9"/>
    <w:rsid w:val="00384D08"/>
    <w:rsid w:val="00384DD0"/>
    <w:rsid w:val="0038508D"/>
    <w:rsid w:val="003854A9"/>
    <w:rsid w:val="003855BE"/>
    <w:rsid w:val="003856A8"/>
    <w:rsid w:val="003856EA"/>
    <w:rsid w:val="00385953"/>
    <w:rsid w:val="00385ADC"/>
    <w:rsid w:val="00385B85"/>
    <w:rsid w:val="00385DA8"/>
    <w:rsid w:val="00385FDB"/>
    <w:rsid w:val="00386155"/>
    <w:rsid w:val="00386480"/>
    <w:rsid w:val="0038674C"/>
    <w:rsid w:val="003867B2"/>
    <w:rsid w:val="00386942"/>
    <w:rsid w:val="00386A9C"/>
    <w:rsid w:val="00386BC5"/>
    <w:rsid w:val="00386D66"/>
    <w:rsid w:val="00386F7A"/>
    <w:rsid w:val="003870AA"/>
    <w:rsid w:val="003871FC"/>
    <w:rsid w:val="00387321"/>
    <w:rsid w:val="003873A0"/>
    <w:rsid w:val="003877AB"/>
    <w:rsid w:val="00387974"/>
    <w:rsid w:val="00387A63"/>
    <w:rsid w:val="00387EA9"/>
    <w:rsid w:val="00390073"/>
    <w:rsid w:val="0039008B"/>
    <w:rsid w:val="0039010D"/>
    <w:rsid w:val="00390213"/>
    <w:rsid w:val="00390242"/>
    <w:rsid w:val="0039032A"/>
    <w:rsid w:val="00390750"/>
    <w:rsid w:val="00390A67"/>
    <w:rsid w:val="00390BD4"/>
    <w:rsid w:val="00390C3D"/>
    <w:rsid w:val="00390F02"/>
    <w:rsid w:val="00390F34"/>
    <w:rsid w:val="00391B39"/>
    <w:rsid w:val="00391B78"/>
    <w:rsid w:val="00391B9B"/>
    <w:rsid w:val="00391DB3"/>
    <w:rsid w:val="00391EAA"/>
    <w:rsid w:val="003922A8"/>
    <w:rsid w:val="00392464"/>
    <w:rsid w:val="00392777"/>
    <w:rsid w:val="00392A02"/>
    <w:rsid w:val="00392BCD"/>
    <w:rsid w:val="00392E4F"/>
    <w:rsid w:val="00392FA7"/>
    <w:rsid w:val="0039305A"/>
    <w:rsid w:val="00393123"/>
    <w:rsid w:val="00393180"/>
    <w:rsid w:val="00393276"/>
    <w:rsid w:val="00393647"/>
    <w:rsid w:val="003938D3"/>
    <w:rsid w:val="00393A1C"/>
    <w:rsid w:val="00393D14"/>
    <w:rsid w:val="00394438"/>
    <w:rsid w:val="003947A3"/>
    <w:rsid w:val="003949C0"/>
    <w:rsid w:val="00394AE3"/>
    <w:rsid w:val="00394AF9"/>
    <w:rsid w:val="00394D35"/>
    <w:rsid w:val="00394EAE"/>
    <w:rsid w:val="00394F20"/>
    <w:rsid w:val="003954DF"/>
    <w:rsid w:val="003955A7"/>
    <w:rsid w:val="003955D7"/>
    <w:rsid w:val="00395687"/>
    <w:rsid w:val="0039568A"/>
    <w:rsid w:val="0039572B"/>
    <w:rsid w:val="00395A26"/>
    <w:rsid w:val="00395AD3"/>
    <w:rsid w:val="00395B97"/>
    <w:rsid w:val="00395CB6"/>
    <w:rsid w:val="00395D3B"/>
    <w:rsid w:val="00395F24"/>
    <w:rsid w:val="00395F78"/>
    <w:rsid w:val="00396184"/>
    <w:rsid w:val="00396376"/>
    <w:rsid w:val="00396737"/>
    <w:rsid w:val="003967D3"/>
    <w:rsid w:val="00396B69"/>
    <w:rsid w:val="00396E7E"/>
    <w:rsid w:val="003970A7"/>
    <w:rsid w:val="00397141"/>
    <w:rsid w:val="003971FE"/>
    <w:rsid w:val="00397C68"/>
    <w:rsid w:val="00397D9D"/>
    <w:rsid w:val="003A0046"/>
    <w:rsid w:val="003A024C"/>
    <w:rsid w:val="003A02CF"/>
    <w:rsid w:val="003A031F"/>
    <w:rsid w:val="003A088E"/>
    <w:rsid w:val="003A0C79"/>
    <w:rsid w:val="003A0D43"/>
    <w:rsid w:val="003A0E76"/>
    <w:rsid w:val="003A0F85"/>
    <w:rsid w:val="003A11A0"/>
    <w:rsid w:val="003A121A"/>
    <w:rsid w:val="003A130B"/>
    <w:rsid w:val="003A138B"/>
    <w:rsid w:val="003A1900"/>
    <w:rsid w:val="003A191F"/>
    <w:rsid w:val="003A1AED"/>
    <w:rsid w:val="003A1C71"/>
    <w:rsid w:val="003A1CC2"/>
    <w:rsid w:val="003A1D2A"/>
    <w:rsid w:val="003A2259"/>
    <w:rsid w:val="003A22D4"/>
    <w:rsid w:val="003A2359"/>
    <w:rsid w:val="003A2586"/>
    <w:rsid w:val="003A2D6E"/>
    <w:rsid w:val="003A2FD6"/>
    <w:rsid w:val="003A3368"/>
    <w:rsid w:val="003A337E"/>
    <w:rsid w:val="003A355E"/>
    <w:rsid w:val="003A38B3"/>
    <w:rsid w:val="003A3930"/>
    <w:rsid w:val="003A3AED"/>
    <w:rsid w:val="003A3BF9"/>
    <w:rsid w:val="003A418B"/>
    <w:rsid w:val="003A438C"/>
    <w:rsid w:val="003A468D"/>
    <w:rsid w:val="003A46D1"/>
    <w:rsid w:val="003A477D"/>
    <w:rsid w:val="003A48EB"/>
    <w:rsid w:val="003A4C61"/>
    <w:rsid w:val="003A4CF9"/>
    <w:rsid w:val="003A4D85"/>
    <w:rsid w:val="003A4E06"/>
    <w:rsid w:val="003A500A"/>
    <w:rsid w:val="003A54C4"/>
    <w:rsid w:val="003A5665"/>
    <w:rsid w:val="003A5728"/>
    <w:rsid w:val="003A57F6"/>
    <w:rsid w:val="003A5A46"/>
    <w:rsid w:val="003A5D54"/>
    <w:rsid w:val="003A623D"/>
    <w:rsid w:val="003A6715"/>
    <w:rsid w:val="003A67B2"/>
    <w:rsid w:val="003A69A7"/>
    <w:rsid w:val="003A6B4E"/>
    <w:rsid w:val="003A6CF7"/>
    <w:rsid w:val="003A6E1E"/>
    <w:rsid w:val="003A6E84"/>
    <w:rsid w:val="003A718E"/>
    <w:rsid w:val="003A7413"/>
    <w:rsid w:val="003A7C5B"/>
    <w:rsid w:val="003A7CD5"/>
    <w:rsid w:val="003A7D3F"/>
    <w:rsid w:val="003A7EAB"/>
    <w:rsid w:val="003B00FD"/>
    <w:rsid w:val="003B029A"/>
    <w:rsid w:val="003B04C3"/>
    <w:rsid w:val="003B0AAD"/>
    <w:rsid w:val="003B0B47"/>
    <w:rsid w:val="003B0BF7"/>
    <w:rsid w:val="003B1590"/>
    <w:rsid w:val="003B1764"/>
    <w:rsid w:val="003B1900"/>
    <w:rsid w:val="003B1958"/>
    <w:rsid w:val="003B21A2"/>
    <w:rsid w:val="003B21A6"/>
    <w:rsid w:val="003B23E5"/>
    <w:rsid w:val="003B23FD"/>
    <w:rsid w:val="003B2456"/>
    <w:rsid w:val="003B2589"/>
    <w:rsid w:val="003B25AE"/>
    <w:rsid w:val="003B2657"/>
    <w:rsid w:val="003B266D"/>
    <w:rsid w:val="003B2972"/>
    <w:rsid w:val="003B2A3B"/>
    <w:rsid w:val="003B2C42"/>
    <w:rsid w:val="003B2E5C"/>
    <w:rsid w:val="003B30E4"/>
    <w:rsid w:val="003B3509"/>
    <w:rsid w:val="003B367B"/>
    <w:rsid w:val="003B3C7F"/>
    <w:rsid w:val="003B3CE9"/>
    <w:rsid w:val="003B3E87"/>
    <w:rsid w:val="003B3FB5"/>
    <w:rsid w:val="003B438B"/>
    <w:rsid w:val="003B43BC"/>
    <w:rsid w:val="003B44E3"/>
    <w:rsid w:val="003B46E0"/>
    <w:rsid w:val="003B47EC"/>
    <w:rsid w:val="003B4838"/>
    <w:rsid w:val="003B497A"/>
    <w:rsid w:val="003B4A28"/>
    <w:rsid w:val="003B4F62"/>
    <w:rsid w:val="003B512C"/>
    <w:rsid w:val="003B5375"/>
    <w:rsid w:val="003B54BC"/>
    <w:rsid w:val="003B5627"/>
    <w:rsid w:val="003B576A"/>
    <w:rsid w:val="003B589C"/>
    <w:rsid w:val="003B58D9"/>
    <w:rsid w:val="003B59C4"/>
    <w:rsid w:val="003B5AB1"/>
    <w:rsid w:val="003B5AC1"/>
    <w:rsid w:val="003B5C40"/>
    <w:rsid w:val="003B5D71"/>
    <w:rsid w:val="003B5F3C"/>
    <w:rsid w:val="003B5FFE"/>
    <w:rsid w:val="003B6012"/>
    <w:rsid w:val="003B60A7"/>
    <w:rsid w:val="003B628A"/>
    <w:rsid w:val="003B6301"/>
    <w:rsid w:val="003B6416"/>
    <w:rsid w:val="003B6806"/>
    <w:rsid w:val="003B694D"/>
    <w:rsid w:val="003B6D91"/>
    <w:rsid w:val="003B6EB7"/>
    <w:rsid w:val="003B6ED5"/>
    <w:rsid w:val="003B7573"/>
    <w:rsid w:val="003B779C"/>
    <w:rsid w:val="003B797C"/>
    <w:rsid w:val="003B7E74"/>
    <w:rsid w:val="003B7F56"/>
    <w:rsid w:val="003C051D"/>
    <w:rsid w:val="003C07B3"/>
    <w:rsid w:val="003C0856"/>
    <w:rsid w:val="003C0974"/>
    <w:rsid w:val="003C09BA"/>
    <w:rsid w:val="003C0A83"/>
    <w:rsid w:val="003C0B62"/>
    <w:rsid w:val="003C0B95"/>
    <w:rsid w:val="003C0DB1"/>
    <w:rsid w:val="003C1644"/>
    <w:rsid w:val="003C1B0C"/>
    <w:rsid w:val="003C1B32"/>
    <w:rsid w:val="003C1B5A"/>
    <w:rsid w:val="003C1C4F"/>
    <w:rsid w:val="003C1DD5"/>
    <w:rsid w:val="003C1E3D"/>
    <w:rsid w:val="003C20C5"/>
    <w:rsid w:val="003C257E"/>
    <w:rsid w:val="003C25D5"/>
    <w:rsid w:val="003C2787"/>
    <w:rsid w:val="003C28DB"/>
    <w:rsid w:val="003C299F"/>
    <w:rsid w:val="003C2A1B"/>
    <w:rsid w:val="003C2AF6"/>
    <w:rsid w:val="003C2B5B"/>
    <w:rsid w:val="003C2F8E"/>
    <w:rsid w:val="003C36FF"/>
    <w:rsid w:val="003C378C"/>
    <w:rsid w:val="003C3E2A"/>
    <w:rsid w:val="003C40B5"/>
    <w:rsid w:val="003C4F6B"/>
    <w:rsid w:val="003C4F97"/>
    <w:rsid w:val="003C502B"/>
    <w:rsid w:val="003C51B9"/>
    <w:rsid w:val="003C5289"/>
    <w:rsid w:val="003C5423"/>
    <w:rsid w:val="003C574E"/>
    <w:rsid w:val="003C60A1"/>
    <w:rsid w:val="003C6180"/>
    <w:rsid w:val="003C69AE"/>
    <w:rsid w:val="003C6A06"/>
    <w:rsid w:val="003C6A20"/>
    <w:rsid w:val="003C6C1E"/>
    <w:rsid w:val="003C729B"/>
    <w:rsid w:val="003C736D"/>
    <w:rsid w:val="003C747D"/>
    <w:rsid w:val="003C7513"/>
    <w:rsid w:val="003C7602"/>
    <w:rsid w:val="003C7B4A"/>
    <w:rsid w:val="003C7C0B"/>
    <w:rsid w:val="003C7DAF"/>
    <w:rsid w:val="003D0276"/>
    <w:rsid w:val="003D02F1"/>
    <w:rsid w:val="003D093E"/>
    <w:rsid w:val="003D0AA3"/>
    <w:rsid w:val="003D0BA7"/>
    <w:rsid w:val="003D0D16"/>
    <w:rsid w:val="003D0D1C"/>
    <w:rsid w:val="003D0D5C"/>
    <w:rsid w:val="003D0E02"/>
    <w:rsid w:val="003D0F70"/>
    <w:rsid w:val="003D1132"/>
    <w:rsid w:val="003D1381"/>
    <w:rsid w:val="003D15F8"/>
    <w:rsid w:val="003D1693"/>
    <w:rsid w:val="003D1801"/>
    <w:rsid w:val="003D1F57"/>
    <w:rsid w:val="003D2047"/>
    <w:rsid w:val="003D2728"/>
    <w:rsid w:val="003D29A3"/>
    <w:rsid w:val="003D2B3E"/>
    <w:rsid w:val="003D2D2D"/>
    <w:rsid w:val="003D2F8F"/>
    <w:rsid w:val="003D3218"/>
    <w:rsid w:val="003D34DE"/>
    <w:rsid w:val="003D371A"/>
    <w:rsid w:val="003D394A"/>
    <w:rsid w:val="003D3A98"/>
    <w:rsid w:val="003D3E15"/>
    <w:rsid w:val="003D3F28"/>
    <w:rsid w:val="003D3F31"/>
    <w:rsid w:val="003D3F97"/>
    <w:rsid w:val="003D4218"/>
    <w:rsid w:val="003D4306"/>
    <w:rsid w:val="003D43A0"/>
    <w:rsid w:val="003D4512"/>
    <w:rsid w:val="003D453E"/>
    <w:rsid w:val="003D4665"/>
    <w:rsid w:val="003D499D"/>
    <w:rsid w:val="003D49F0"/>
    <w:rsid w:val="003D4C82"/>
    <w:rsid w:val="003D5371"/>
    <w:rsid w:val="003D53B7"/>
    <w:rsid w:val="003D5C80"/>
    <w:rsid w:val="003D5E45"/>
    <w:rsid w:val="003D5F62"/>
    <w:rsid w:val="003D60F4"/>
    <w:rsid w:val="003D616D"/>
    <w:rsid w:val="003D6171"/>
    <w:rsid w:val="003D6236"/>
    <w:rsid w:val="003D635F"/>
    <w:rsid w:val="003D64D2"/>
    <w:rsid w:val="003D673C"/>
    <w:rsid w:val="003D6BEE"/>
    <w:rsid w:val="003D6C63"/>
    <w:rsid w:val="003D71A7"/>
    <w:rsid w:val="003D72F9"/>
    <w:rsid w:val="003D73F1"/>
    <w:rsid w:val="003D79B8"/>
    <w:rsid w:val="003D7C41"/>
    <w:rsid w:val="003E01C7"/>
    <w:rsid w:val="003E044F"/>
    <w:rsid w:val="003E065A"/>
    <w:rsid w:val="003E06AE"/>
    <w:rsid w:val="003E076C"/>
    <w:rsid w:val="003E0876"/>
    <w:rsid w:val="003E08BB"/>
    <w:rsid w:val="003E0F8B"/>
    <w:rsid w:val="003E1077"/>
    <w:rsid w:val="003E11C6"/>
    <w:rsid w:val="003E1403"/>
    <w:rsid w:val="003E1753"/>
    <w:rsid w:val="003E1A47"/>
    <w:rsid w:val="003E1AF0"/>
    <w:rsid w:val="003E1B9F"/>
    <w:rsid w:val="003E209C"/>
    <w:rsid w:val="003E21DE"/>
    <w:rsid w:val="003E2379"/>
    <w:rsid w:val="003E2471"/>
    <w:rsid w:val="003E24D3"/>
    <w:rsid w:val="003E28C7"/>
    <w:rsid w:val="003E2954"/>
    <w:rsid w:val="003E2AFB"/>
    <w:rsid w:val="003E2CA4"/>
    <w:rsid w:val="003E3129"/>
    <w:rsid w:val="003E3189"/>
    <w:rsid w:val="003E329C"/>
    <w:rsid w:val="003E34C2"/>
    <w:rsid w:val="003E34F9"/>
    <w:rsid w:val="003E363C"/>
    <w:rsid w:val="003E36C5"/>
    <w:rsid w:val="003E3901"/>
    <w:rsid w:val="003E3986"/>
    <w:rsid w:val="003E39C7"/>
    <w:rsid w:val="003E3A00"/>
    <w:rsid w:val="003E3B7F"/>
    <w:rsid w:val="003E3BEF"/>
    <w:rsid w:val="003E3DC3"/>
    <w:rsid w:val="003E3E8E"/>
    <w:rsid w:val="003E41B7"/>
    <w:rsid w:val="003E41C7"/>
    <w:rsid w:val="003E43F4"/>
    <w:rsid w:val="003E4622"/>
    <w:rsid w:val="003E4651"/>
    <w:rsid w:val="003E4670"/>
    <w:rsid w:val="003E488A"/>
    <w:rsid w:val="003E4902"/>
    <w:rsid w:val="003E494C"/>
    <w:rsid w:val="003E4B50"/>
    <w:rsid w:val="003E4D39"/>
    <w:rsid w:val="003E4E71"/>
    <w:rsid w:val="003E4E81"/>
    <w:rsid w:val="003E4EDB"/>
    <w:rsid w:val="003E5288"/>
    <w:rsid w:val="003E5938"/>
    <w:rsid w:val="003E5BCB"/>
    <w:rsid w:val="003E5C71"/>
    <w:rsid w:val="003E5DBB"/>
    <w:rsid w:val="003E603B"/>
    <w:rsid w:val="003E61AC"/>
    <w:rsid w:val="003E63E6"/>
    <w:rsid w:val="003E6781"/>
    <w:rsid w:val="003E6B4C"/>
    <w:rsid w:val="003E6CE4"/>
    <w:rsid w:val="003E6DDF"/>
    <w:rsid w:val="003E6E2B"/>
    <w:rsid w:val="003E703E"/>
    <w:rsid w:val="003E7460"/>
    <w:rsid w:val="003E7506"/>
    <w:rsid w:val="003E76A2"/>
    <w:rsid w:val="003E7A39"/>
    <w:rsid w:val="003E7AB4"/>
    <w:rsid w:val="003E7ADD"/>
    <w:rsid w:val="003E7B72"/>
    <w:rsid w:val="003E7C78"/>
    <w:rsid w:val="003F012B"/>
    <w:rsid w:val="003F0290"/>
    <w:rsid w:val="003F0369"/>
    <w:rsid w:val="003F03D0"/>
    <w:rsid w:val="003F0670"/>
    <w:rsid w:val="003F06B0"/>
    <w:rsid w:val="003F0897"/>
    <w:rsid w:val="003F09FF"/>
    <w:rsid w:val="003F1038"/>
    <w:rsid w:val="003F15D4"/>
    <w:rsid w:val="003F19D4"/>
    <w:rsid w:val="003F1D70"/>
    <w:rsid w:val="003F1F10"/>
    <w:rsid w:val="003F1FBB"/>
    <w:rsid w:val="003F21C5"/>
    <w:rsid w:val="003F23B7"/>
    <w:rsid w:val="003F248B"/>
    <w:rsid w:val="003F2676"/>
    <w:rsid w:val="003F288C"/>
    <w:rsid w:val="003F2981"/>
    <w:rsid w:val="003F2A8D"/>
    <w:rsid w:val="003F2CD7"/>
    <w:rsid w:val="003F2D11"/>
    <w:rsid w:val="003F315A"/>
    <w:rsid w:val="003F332F"/>
    <w:rsid w:val="003F33E4"/>
    <w:rsid w:val="003F35FA"/>
    <w:rsid w:val="003F36C2"/>
    <w:rsid w:val="003F37C3"/>
    <w:rsid w:val="003F3AF7"/>
    <w:rsid w:val="003F3F88"/>
    <w:rsid w:val="003F3FEF"/>
    <w:rsid w:val="003F40FC"/>
    <w:rsid w:val="003F41CA"/>
    <w:rsid w:val="003F427E"/>
    <w:rsid w:val="003F42FA"/>
    <w:rsid w:val="003F485A"/>
    <w:rsid w:val="003F499C"/>
    <w:rsid w:val="003F49BF"/>
    <w:rsid w:val="003F4AAA"/>
    <w:rsid w:val="003F4B21"/>
    <w:rsid w:val="003F4CF2"/>
    <w:rsid w:val="003F4E26"/>
    <w:rsid w:val="003F4F2C"/>
    <w:rsid w:val="003F516E"/>
    <w:rsid w:val="003F535E"/>
    <w:rsid w:val="003F54E2"/>
    <w:rsid w:val="003F5779"/>
    <w:rsid w:val="003F5919"/>
    <w:rsid w:val="003F6163"/>
    <w:rsid w:val="003F6289"/>
    <w:rsid w:val="003F62AA"/>
    <w:rsid w:val="003F6464"/>
    <w:rsid w:val="003F677B"/>
    <w:rsid w:val="003F67E6"/>
    <w:rsid w:val="003F6AF0"/>
    <w:rsid w:val="003F6E62"/>
    <w:rsid w:val="003F7030"/>
    <w:rsid w:val="003F74CC"/>
    <w:rsid w:val="003F7746"/>
    <w:rsid w:val="003F777B"/>
    <w:rsid w:val="003F7882"/>
    <w:rsid w:val="003F7A46"/>
    <w:rsid w:val="003F7A83"/>
    <w:rsid w:val="003F7B1E"/>
    <w:rsid w:val="003F7DF2"/>
    <w:rsid w:val="003F7F62"/>
    <w:rsid w:val="00400017"/>
    <w:rsid w:val="00400345"/>
    <w:rsid w:val="004004BF"/>
    <w:rsid w:val="0040054F"/>
    <w:rsid w:val="00400569"/>
    <w:rsid w:val="004006F7"/>
    <w:rsid w:val="004007EC"/>
    <w:rsid w:val="00400A97"/>
    <w:rsid w:val="00400D39"/>
    <w:rsid w:val="00400FB2"/>
    <w:rsid w:val="004010A4"/>
    <w:rsid w:val="0040123C"/>
    <w:rsid w:val="004013E8"/>
    <w:rsid w:val="004015A6"/>
    <w:rsid w:val="0040164D"/>
    <w:rsid w:val="0040174E"/>
    <w:rsid w:val="0040199F"/>
    <w:rsid w:val="00401AE1"/>
    <w:rsid w:val="00401BBE"/>
    <w:rsid w:val="00401BD7"/>
    <w:rsid w:val="00401CBA"/>
    <w:rsid w:val="00401D0C"/>
    <w:rsid w:val="00401DF3"/>
    <w:rsid w:val="00401E59"/>
    <w:rsid w:val="00401E80"/>
    <w:rsid w:val="0040228E"/>
    <w:rsid w:val="004022CD"/>
    <w:rsid w:val="0040252E"/>
    <w:rsid w:val="004025C9"/>
    <w:rsid w:val="00402696"/>
    <w:rsid w:val="00402D30"/>
    <w:rsid w:val="00402DAF"/>
    <w:rsid w:val="004030E1"/>
    <w:rsid w:val="0040334D"/>
    <w:rsid w:val="00403488"/>
    <w:rsid w:val="0040354A"/>
    <w:rsid w:val="004037F2"/>
    <w:rsid w:val="0040380C"/>
    <w:rsid w:val="00403A2B"/>
    <w:rsid w:val="00403C76"/>
    <w:rsid w:val="00403CCD"/>
    <w:rsid w:val="00403D36"/>
    <w:rsid w:val="00403D8A"/>
    <w:rsid w:val="00403DFE"/>
    <w:rsid w:val="00403E1A"/>
    <w:rsid w:val="00403ECA"/>
    <w:rsid w:val="0040407D"/>
    <w:rsid w:val="004040B4"/>
    <w:rsid w:val="0040422E"/>
    <w:rsid w:val="00404394"/>
    <w:rsid w:val="00404471"/>
    <w:rsid w:val="00404475"/>
    <w:rsid w:val="00404599"/>
    <w:rsid w:val="0040464E"/>
    <w:rsid w:val="004047F9"/>
    <w:rsid w:val="0040492A"/>
    <w:rsid w:val="00404DF8"/>
    <w:rsid w:val="00404E18"/>
    <w:rsid w:val="00404EBC"/>
    <w:rsid w:val="00405269"/>
    <w:rsid w:val="0040555F"/>
    <w:rsid w:val="004055F7"/>
    <w:rsid w:val="00405625"/>
    <w:rsid w:val="00405996"/>
    <w:rsid w:val="00406024"/>
    <w:rsid w:val="0040604D"/>
    <w:rsid w:val="0040606B"/>
    <w:rsid w:val="0040619C"/>
    <w:rsid w:val="004063BB"/>
    <w:rsid w:val="0040643B"/>
    <w:rsid w:val="0040657D"/>
    <w:rsid w:val="004069AD"/>
    <w:rsid w:val="00406AA5"/>
    <w:rsid w:val="00406B7B"/>
    <w:rsid w:val="00406DCB"/>
    <w:rsid w:val="00406E39"/>
    <w:rsid w:val="00406ED1"/>
    <w:rsid w:val="004070CB"/>
    <w:rsid w:val="004072A8"/>
    <w:rsid w:val="00407317"/>
    <w:rsid w:val="0040732C"/>
    <w:rsid w:val="0040749C"/>
    <w:rsid w:val="004074E1"/>
    <w:rsid w:val="00407505"/>
    <w:rsid w:val="004079BD"/>
    <w:rsid w:val="004103E3"/>
    <w:rsid w:val="0041093C"/>
    <w:rsid w:val="00410B0F"/>
    <w:rsid w:val="00410E3C"/>
    <w:rsid w:val="00410EF8"/>
    <w:rsid w:val="004110A5"/>
    <w:rsid w:val="00411506"/>
    <w:rsid w:val="004115AD"/>
    <w:rsid w:val="00411892"/>
    <w:rsid w:val="0041199C"/>
    <w:rsid w:val="00411B3F"/>
    <w:rsid w:val="00412005"/>
    <w:rsid w:val="00412122"/>
    <w:rsid w:val="00412335"/>
    <w:rsid w:val="00412607"/>
    <w:rsid w:val="00412723"/>
    <w:rsid w:val="004129DD"/>
    <w:rsid w:val="00412A94"/>
    <w:rsid w:val="00412B95"/>
    <w:rsid w:val="00412DF5"/>
    <w:rsid w:val="00413087"/>
    <w:rsid w:val="0041322A"/>
    <w:rsid w:val="004133B1"/>
    <w:rsid w:val="004134F7"/>
    <w:rsid w:val="00413597"/>
    <w:rsid w:val="00414276"/>
    <w:rsid w:val="004142B7"/>
    <w:rsid w:val="00414593"/>
    <w:rsid w:val="0041468C"/>
    <w:rsid w:val="00414838"/>
    <w:rsid w:val="00414954"/>
    <w:rsid w:val="00414A40"/>
    <w:rsid w:val="00414A5D"/>
    <w:rsid w:val="00414EF3"/>
    <w:rsid w:val="004151A8"/>
    <w:rsid w:val="00415220"/>
    <w:rsid w:val="00415553"/>
    <w:rsid w:val="004158B1"/>
    <w:rsid w:val="00415C14"/>
    <w:rsid w:val="00415E42"/>
    <w:rsid w:val="00416114"/>
    <w:rsid w:val="00416279"/>
    <w:rsid w:val="00416354"/>
    <w:rsid w:val="00416622"/>
    <w:rsid w:val="004167C6"/>
    <w:rsid w:val="004167D1"/>
    <w:rsid w:val="004168B3"/>
    <w:rsid w:val="0041699A"/>
    <w:rsid w:val="00416B93"/>
    <w:rsid w:val="00416C03"/>
    <w:rsid w:val="00416DBB"/>
    <w:rsid w:val="004174FD"/>
    <w:rsid w:val="004177E1"/>
    <w:rsid w:val="0041794A"/>
    <w:rsid w:val="00417AB1"/>
    <w:rsid w:val="00417B3F"/>
    <w:rsid w:val="00417C34"/>
    <w:rsid w:val="00417E61"/>
    <w:rsid w:val="00420316"/>
    <w:rsid w:val="0042033B"/>
    <w:rsid w:val="00420391"/>
    <w:rsid w:val="00420553"/>
    <w:rsid w:val="0042057E"/>
    <w:rsid w:val="0042071B"/>
    <w:rsid w:val="004208CB"/>
    <w:rsid w:val="00420937"/>
    <w:rsid w:val="00420A01"/>
    <w:rsid w:val="00420AFB"/>
    <w:rsid w:val="00420DB6"/>
    <w:rsid w:val="00420E1A"/>
    <w:rsid w:val="00420F8E"/>
    <w:rsid w:val="0042110C"/>
    <w:rsid w:val="0042131D"/>
    <w:rsid w:val="00421649"/>
    <w:rsid w:val="00421B81"/>
    <w:rsid w:val="00421B86"/>
    <w:rsid w:val="00421C73"/>
    <w:rsid w:val="00421E71"/>
    <w:rsid w:val="00421EBE"/>
    <w:rsid w:val="004220FD"/>
    <w:rsid w:val="0042227C"/>
    <w:rsid w:val="00422436"/>
    <w:rsid w:val="00422829"/>
    <w:rsid w:val="004228F1"/>
    <w:rsid w:val="004229CD"/>
    <w:rsid w:val="00422B09"/>
    <w:rsid w:val="00422DDA"/>
    <w:rsid w:val="00423173"/>
    <w:rsid w:val="00423225"/>
    <w:rsid w:val="00423483"/>
    <w:rsid w:val="00423680"/>
    <w:rsid w:val="004236FC"/>
    <w:rsid w:val="00423928"/>
    <w:rsid w:val="00423A5B"/>
    <w:rsid w:val="00423AB9"/>
    <w:rsid w:val="00423C4D"/>
    <w:rsid w:val="00423D9D"/>
    <w:rsid w:val="00423EB6"/>
    <w:rsid w:val="004240F9"/>
    <w:rsid w:val="004241CF"/>
    <w:rsid w:val="004243FC"/>
    <w:rsid w:val="00424DB2"/>
    <w:rsid w:val="004250DB"/>
    <w:rsid w:val="0042540B"/>
    <w:rsid w:val="00425708"/>
    <w:rsid w:val="004257BF"/>
    <w:rsid w:val="00425942"/>
    <w:rsid w:val="00425BED"/>
    <w:rsid w:val="00425C54"/>
    <w:rsid w:val="00425CAC"/>
    <w:rsid w:val="00426018"/>
    <w:rsid w:val="0042614A"/>
    <w:rsid w:val="00426299"/>
    <w:rsid w:val="0042692C"/>
    <w:rsid w:val="00426964"/>
    <w:rsid w:val="0042696C"/>
    <w:rsid w:val="00426A3A"/>
    <w:rsid w:val="00427022"/>
    <w:rsid w:val="00427383"/>
    <w:rsid w:val="0042744A"/>
    <w:rsid w:val="0042752C"/>
    <w:rsid w:val="0042753C"/>
    <w:rsid w:val="00427657"/>
    <w:rsid w:val="00427779"/>
    <w:rsid w:val="0042791B"/>
    <w:rsid w:val="00427E59"/>
    <w:rsid w:val="00430099"/>
    <w:rsid w:val="00430663"/>
    <w:rsid w:val="004307C5"/>
    <w:rsid w:val="00430AEA"/>
    <w:rsid w:val="00430D5B"/>
    <w:rsid w:val="00430E42"/>
    <w:rsid w:val="00430EC1"/>
    <w:rsid w:val="00430ED0"/>
    <w:rsid w:val="00430F4C"/>
    <w:rsid w:val="0043134E"/>
    <w:rsid w:val="00431518"/>
    <w:rsid w:val="00431B22"/>
    <w:rsid w:val="00431E45"/>
    <w:rsid w:val="00431EC4"/>
    <w:rsid w:val="00432023"/>
    <w:rsid w:val="0043227A"/>
    <w:rsid w:val="004325DB"/>
    <w:rsid w:val="004325E6"/>
    <w:rsid w:val="00432A4E"/>
    <w:rsid w:val="00432A68"/>
    <w:rsid w:val="00432A8F"/>
    <w:rsid w:val="00432EEE"/>
    <w:rsid w:val="0043303C"/>
    <w:rsid w:val="00433237"/>
    <w:rsid w:val="004333AA"/>
    <w:rsid w:val="00433484"/>
    <w:rsid w:val="0043359F"/>
    <w:rsid w:val="00433680"/>
    <w:rsid w:val="00433762"/>
    <w:rsid w:val="004338EB"/>
    <w:rsid w:val="00433B07"/>
    <w:rsid w:val="00433B1A"/>
    <w:rsid w:val="00433DA7"/>
    <w:rsid w:val="00433FBA"/>
    <w:rsid w:val="004347E0"/>
    <w:rsid w:val="0043495D"/>
    <w:rsid w:val="00434AF3"/>
    <w:rsid w:val="00434D9D"/>
    <w:rsid w:val="00434E43"/>
    <w:rsid w:val="0043510F"/>
    <w:rsid w:val="00435357"/>
    <w:rsid w:val="00435432"/>
    <w:rsid w:val="00435694"/>
    <w:rsid w:val="00435810"/>
    <w:rsid w:val="00435A5F"/>
    <w:rsid w:val="00435B4A"/>
    <w:rsid w:val="00435B83"/>
    <w:rsid w:val="0043623E"/>
    <w:rsid w:val="0043636D"/>
    <w:rsid w:val="00436A03"/>
    <w:rsid w:val="00436A36"/>
    <w:rsid w:val="00436C63"/>
    <w:rsid w:val="0043706C"/>
    <w:rsid w:val="004370A0"/>
    <w:rsid w:val="0043710E"/>
    <w:rsid w:val="00437620"/>
    <w:rsid w:val="004378E1"/>
    <w:rsid w:val="00437DD3"/>
    <w:rsid w:val="00437E4D"/>
    <w:rsid w:val="00437FF2"/>
    <w:rsid w:val="004406A0"/>
    <w:rsid w:val="00440714"/>
    <w:rsid w:val="00440B29"/>
    <w:rsid w:val="00440C07"/>
    <w:rsid w:val="00440C1A"/>
    <w:rsid w:val="0044135F"/>
    <w:rsid w:val="00441550"/>
    <w:rsid w:val="00441750"/>
    <w:rsid w:val="004417D7"/>
    <w:rsid w:val="0044189D"/>
    <w:rsid w:val="004418DD"/>
    <w:rsid w:val="004418DF"/>
    <w:rsid w:val="00441909"/>
    <w:rsid w:val="00441A02"/>
    <w:rsid w:val="00441A22"/>
    <w:rsid w:val="00441D98"/>
    <w:rsid w:val="00441FC2"/>
    <w:rsid w:val="0044202D"/>
    <w:rsid w:val="00442163"/>
    <w:rsid w:val="0044224F"/>
    <w:rsid w:val="0044256A"/>
    <w:rsid w:val="004425A1"/>
    <w:rsid w:val="004425D4"/>
    <w:rsid w:val="00442605"/>
    <w:rsid w:val="0044263B"/>
    <w:rsid w:val="004428D7"/>
    <w:rsid w:val="0044292D"/>
    <w:rsid w:val="00442A68"/>
    <w:rsid w:val="00442B6A"/>
    <w:rsid w:val="00442E35"/>
    <w:rsid w:val="00442F2E"/>
    <w:rsid w:val="00443104"/>
    <w:rsid w:val="00443144"/>
    <w:rsid w:val="0044318A"/>
    <w:rsid w:val="00443623"/>
    <w:rsid w:val="00443E87"/>
    <w:rsid w:val="00444173"/>
    <w:rsid w:val="00444B95"/>
    <w:rsid w:val="00444CA9"/>
    <w:rsid w:val="00444E5A"/>
    <w:rsid w:val="00444E72"/>
    <w:rsid w:val="004457B5"/>
    <w:rsid w:val="00445BA2"/>
    <w:rsid w:val="00445CC7"/>
    <w:rsid w:val="004460A8"/>
    <w:rsid w:val="00446560"/>
    <w:rsid w:val="004465C8"/>
    <w:rsid w:val="0044671D"/>
    <w:rsid w:val="00446AF5"/>
    <w:rsid w:val="00446B17"/>
    <w:rsid w:val="00446B3B"/>
    <w:rsid w:val="00446CE4"/>
    <w:rsid w:val="0044768D"/>
    <w:rsid w:val="004477BE"/>
    <w:rsid w:val="00447CFC"/>
    <w:rsid w:val="0045029A"/>
    <w:rsid w:val="004503A6"/>
    <w:rsid w:val="00450414"/>
    <w:rsid w:val="0045067A"/>
    <w:rsid w:val="004506B5"/>
    <w:rsid w:val="00450873"/>
    <w:rsid w:val="00450A25"/>
    <w:rsid w:val="00450F8C"/>
    <w:rsid w:val="00450FDF"/>
    <w:rsid w:val="00451065"/>
    <w:rsid w:val="0045108E"/>
    <w:rsid w:val="004511D1"/>
    <w:rsid w:val="00451214"/>
    <w:rsid w:val="00451311"/>
    <w:rsid w:val="00451372"/>
    <w:rsid w:val="00451402"/>
    <w:rsid w:val="0045145D"/>
    <w:rsid w:val="0045155B"/>
    <w:rsid w:val="0045165F"/>
    <w:rsid w:val="004516D8"/>
    <w:rsid w:val="004517C4"/>
    <w:rsid w:val="00451934"/>
    <w:rsid w:val="00451CA2"/>
    <w:rsid w:val="004520E6"/>
    <w:rsid w:val="00452152"/>
    <w:rsid w:val="004523D3"/>
    <w:rsid w:val="0045251E"/>
    <w:rsid w:val="00452642"/>
    <w:rsid w:val="004532D8"/>
    <w:rsid w:val="00453302"/>
    <w:rsid w:val="00453501"/>
    <w:rsid w:val="00453BB4"/>
    <w:rsid w:val="00453BE4"/>
    <w:rsid w:val="00453E38"/>
    <w:rsid w:val="00454176"/>
    <w:rsid w:val="0045435E"/>
    <w:rsid w:val="00454443"/>
    <w:rsid w:val="00454565"/>
    <w:rsid w:val="00454A2E"/>
    <w:rsid w:val="00454CAC"/>
    <w:rsid w:val="00454FE1"/>
    <w:rsid w:val="004555A9"/>
    <w:rsid w:val="004555D8"/>
    <w:rsid w:val="0045575F"/>
    <w:rsid w:val="00455849"/>
    <w:rsid w:val="00455A95"/>
    <w:rsid w:val="00455BF5"/>
    <w:rsid w:val="00455FDD"/>
    <w:rsid w:val="0045623D"/>
    <w:rsid w:val="0045647A"/>
    <w:rsid w:val="00456ABF"/>
    <w:rsid w:val="00456B1C"/>
    <w:rsid w:val="00456EA8"/>
    <w:rsid w:val="00456EEC"/>
    <w:rsid w:val="00456FE3"/>
    <w:rsid w:val="00457029"/>
    <w:rsid w:val="00457286"/>
    <w:rsid w:val="004575B0"/>
    <w:rsid w:val="004575EE"/>
    <w:rsid w:val="00457661"/>
    <w:rsid w:val="00457693"/>
    <w:rsid w:val="00457858"/>
    <w:rsid w:val="00457A12"/>
    <w:rsid w:val="00457B2A"/>
    <w:rsid w:val="00457B92"/>
    <w:rsid w:val="00460073"/>
    <w:rsid w:val="004602B6"/>
    <w:rsid w:val="004606FB"/>
    <w:rsid w:val="004608AF"/>
    <w:rsid w:val="00460A32"/>
    <w:rsid w:val="00460C41"/>
    <w:rsid w:val="00460EDB"/>
    <w:rsid w:val="00460EF6"/>
    <w:rsid w:val="00461008"/>
    <w:rsid w:val="0046120F"/>
    <w:rsid w:val="0046142B"/>
    <w:rsid w:val="0046159B"/>
    <w:rsid w:val="004618CA"/>
    <w:rsid w:val="0046198B"/>
    <w:rsid w:val="0046208D"/>
    <w:rsid w:val="004620C9"/>
    <w:rsid w:val="0046249A"/>
    <w:rsid w:val="004625B5"/>
    <w:rsid w:val="00462C69"/>
    <w:rsid w:val="00462C86"/>
    <w:rsid w:val="00462CB1"/>
    <w:rsid w:val="00463683"/>
    <w:rsid w:val="0046370A"/>
    <w:rsid w:val="00463792"/>
    <w:rsid w:val="0046382C"/>
    <w:rsid w:val="00463B1C"/>
    <w:rsid w:val="00463CE2"/>
    <w:rsid w:val="00463D59"/>
    <w:rsid w:val="00463D7B"/>
    <w:rsid w:val="00463EF7"/>
    <w:rsid w:val="004642D5"/>
    <w:rsid w:val="00464464"/>
    <w:rsid w:val="004644F9"/>
    <w:rsid w:val="004646D2"/>
    <w:rsid w:val="004646D5"/>
    <w:rsid w:val="004649EE"/>
    <w:rsid w:val="00464AB7"/>
    <w:rsid w:val="00464D2D"/>
    <w:rsid w:val="00464F57"/>
    <w:rsid w:val="0046512B"/>
    <w:rsid w:val="00465A51"/>
    <w:rsid w:val="00465EF4"/>
    <w:rsid w:val="004660E8"/>
    <w:rsid w:val="00466807"/>
    <w:rsid w:val="00466953"/>
    <w:rsid w:val="00467035"/>
    <w:rsid w:val="004670F3"/>
    <w:rsid w:val="00467112"/>
    <w:rsid w:val="004672AB"/>
    <w:rsid w:val="0046735B"/>
    <w:rsid w:val="0046737D"/>
    <w:rsid w:val="00467409"/>
    <w:rsid w:val="00467813"/>
    <w:rsid w:val="00467985"/>
    <w:rsid w:val="00467C9A"/>
    <w:rsid w:val="00467F36"/>
    <w:rsid w:val="00470033"/>
    <w:rsid w:val="00470138"/>
    <w:rsid w:val="004704C4"/>
    <w:rsid w:val="004706BA"/>
    <w:rsid w:val="0047098A"/>
    <w:rsid w:val="00470B37"/>
    <w:rsid w:val="00470CDE"/>
    <w:rsid w:val="00470D69"/>
    <w:rsid w:val="00470E39"/>
    <w:rsid w:val="00470EFB"/>
    <w:rsid w:val="00471170"/>
    <w:rsid w:val="0047128C"/>
    <w:rsid w:val="004718E3"/>
    <w:rsid w:val="004719F9"/>
    <w:rsid w:val="00471E34"/>
    <w:rsid w:val="00471FC0"/>
    <w:rsid w:val="004720F0"/>
    <w:rsid w:val="004723C4"/>
    <w:rsid w:val="00472534"/>
    <w:rsid w:val="0047256D"/>
    <w:rsid w:val="00472647"/>
    <w:rsid w:val="00472743"/>
    <w:rsid w:val="004729E2"/>
    <w:rsid w:val="00472A4B"/>
    <w:rsid w:val="00472A9D"/>
    <w:rsid w:val="00472BEA"/>
    <w:rsid w:val="00472C53"/>
    <w:rsid w:val="00472C91"/>
    <w:rsid w:val="0047319E"/>
    <w:rsid w:val="00473200"/>
    <w:rsid w:val="004737DB"/>
    <w:rsid w:val="00473E68"/>
    <w:rsid w:val="00474607"/>
    <w:rsid w:val="00474686"/>
    <w:rsid w:val="0047494C"/>
    <w:rsid w:val="004749C7"/>
    <w:rsid w:val="004749E9"/>
    <w:rsid w:val="00474BB2"/>
    <w:rsid w:val="00474C1E"/>
    <w:rsid w:val="00474DAD"/>
    <w:rsid w:val="00474FA1"/>
    <w:rsid w:val="004756B0"/>
    <w:rsid w:val="00475785"/>
    <w:rsid w:val="004757D1"/>
    <w:rsid w:val="004757FA"/>
    <w:rsid w:val="004758C4"/>
    <w:rsid w:val="00475940"/>
    <w:rsid w:val="00475EE7"/>
    <w:rsid w:val="00475FB5"/>
    <w:rsid w:val="00475FBC"/>
    <w:rsid w:val="00476270"/>
    <w:rsid w:val="004762BF"/>
    <w:rsid w:val="004763A3"/>
    <w:rsid w:val="0047654A"/>
    <w:rsid w:val="004769A1"/>
    <w:rsid w:val="00476C07"/>
    <w:rsid w:val="00476D65"/>
    <w:rsid w:val="00476E68"/>
    <w:rsid w:val="00476FE9"/>
    <w:rsid w:val="00477345"/>
    <w:rsid w:val="004773C0"/>
    <w:rsid w:val="00477437"/>
    <w:rsid w:val="004775B0"/>
    <w:rsid w:val="004777F8"/>
    <w:rsid w:val="00477831"/>
    <w:rsid w:val="004778A6"/>
    <w:rsid w:val="004778AB"/>
    <w:rsid w:val="00477D76"/>
    <w:rsid w:val="00477E5B"/>
    <w:rsid w:val="00477ED9"/>
    <w:rsid w:val="004802AB"/>
    <w:rsid w:val="00480367"/>
    <w:rsid w:val="004808EF"/>
    <w:rsid w:val="0048093A"/>
    <w:rsid w:val="00480ADC"/>
    <w:rsid w:val="00480C32"/>
    <w:rsid w:val="00480EF5"/>
    <w:rsid w:val="0048117E"/>
    <w:rsid w:val="00481242"/>
    <w:rsid w:val="0048125A"/>
    <w:rsid w:val="00481269"/>
    <w:rsid w:val="00481418"/>
    <w:rsid w:val="0048144C"/>
    <w:rsid w:val="00481726"/>
    <w:rsid w:val="00481C28"/>
    <w:rsid w:val="00481EB5"/>
    <w:rsid w:val="00481FDB"/>
    <w:rsid w:val="00482932"/>
    <w:rsid w:val="00482A86"/>
    <w:rsid w:val="00482EC1"/>
    <w:rsid w:val="00482EF5"/>
    <w:rsid w:val="00483158"/>
    <w:rsid w:val="0048317B"/>
    <w:rsid w:val="0048322F"/>
    <w:rsid w:val="004835A2"/>
    <w:rsid w:val="004835DD"/>
    <w:rsid w:val="0048386A"/>
    <w:rsid w:val="0048395D"/>
    <w:rsid w:val="00483A9F"/>
    <w:rsid w:val="00483CC7"/>
    <w:rsid w:val="00483D00"/>
    <w:rsid w:val="00483F21"/>
    <w:rsid w:val="00484218"/>
    <w:rsid w:val="004842F2"/>
    <w:rsid w:val="00484526"/>
    <w:rsid w:val="004845DA"/>
    <w:rsid w:val="0048476C"/>
    <w:rsid w:val="004847A2"/>
    <w:rsid w:val="004847E3"/>
    <w:rsid w:val="004848E5"/>
    <w:rsid w:val="00484A23"/>
    <w:rsid w:val="00484BF2"/>
    <w:rsid w:val="00484D3B"/>
    <w:rsid w:val="00484F30"/>
    <w:rsid w:val="00484FFD"/>
    <w:rsid w:val="0048503D"/>
    <w:rsid w:val="0048553C"/>
    <w:rsid w:val="00485629"/>
    <w:rsid w:val="0048563C"/>
    <w:rsid w:val="004856CE"/>
    <w:rsid w:val="0048599D"/>
    <w:rsid w:val="004859A5"/>
    <w:rsid w:val="004859DF"/>
    <w:rsid w:val="00485A0F"/>
    <w:rsid w:val="00485D21"/>
    <w:rsid w:val="004862D3"/>
    <w:rsid w:val="004863F4"/>
    <w:rsid w:val="00486581"/>
    <w:rsid w:val="00486721"/>
    <w:rsid w:val="0048676A"/>
    <w:rsid w:val="004867E2"/>
    <w:rsid w:val="004869D4"/>
    <w:rsid w:val="00486A7D"/>
    <w:rsid w:val="004871C8"/>
    <w:rsid w:val="00487A37"/>
    <w:rsid w:val="00487DE0"/>
    <w:rsid w:val="004902E0"/>
    <w:rsid w:val="00490B91"/>
    <w:rsid w:val="004912AE"/>
    <w:rsid w:val="0049158C"/>
    <w:rsid w:val="00491C25"/>
    <w:rsid w:val="00491DAF"/>
    <w:rsid w:val="00491F70"/>
    <w:rsid w:val="00491F7C"/>
    <w:rsid w:val="00491FD7"/>
    <w:rsid w:val="004920E9"/>
    <w:rsid w:val="004921C5"/>
    <w:rsid w:val="0049229B"/>
    <w:rsid w:val="0049247B"/>
    <w:rsid w:val="0049272D"/>
    <w:rsid w:val="00492A9C"/>
    <w:rsid w:val="00492AA7"/>
    <w:rsid w:val="00492DDA"/>
    <w:rsid w:val="004931AA"/>
    <w:rsid w:val="00493317"/>
    <w:rsid w:val="0049389A"/>
    <w:rsid w:val="00493A8A"/>
    <w:rsid w:val="00493BE7"/>
    <w:rsid w:val="00493F43"/>
    <w:rsid w:val="00493FD2"/>
    <w:rsid w:val="00494065"/>
    <w:rsid w:val="00494154"/>
    <w:rsid w:val="0049448F"/>
    <w:rsid w:val="00494584"/>
    <w:rsid w:val="004946D8"/>
    <w:rsid w:val="0049498F"/>
    <w:rsid w:val="00494B98"/>
    <w:rsid w:val="00494F71"/>
    <w:rsid w:val="00494FD4"/>
    <w:rsid w:val="0049544E"/>
    <w:rsid w:val="00495468"/>
    <w:rsid w:val="0049557C"/>
    <w:rsid w:val="004955C8"/>
    <w:rsid w:val="004956C1"/>
    <w:rsid w:val="00495F20"/>
    <w:rsid w:val="00496099"/>
    <w:rsid w:val="004963B8"/>
    <w:rsid w:val="00496426"/>
    <w:rsid w:val="00496478"/>
    <w:rsid w:val="00496705"/>
    <w:rsid w:val="00496B56"/>
    <w:rsid w:val="00496CD3"/>
    <w:rsid w:val="00496D3B"/>
    <w:rsid w:val="00496F37"/>
    <w:rsid w:val="00497603"/>
    <w:rsid w:val="0049767A"/>
    <w:rsid w:val="00497729"/>
    <w:rsid w:val="00497BD4"/>
    <w:rsid w:val="00497EF4"/>
    <w:rsid w:val="00497F9F"/>
    <w:rsid w:val="004A01E9"/>
    <w:rsid w:val="004A02AA"/>
    <w:rsid w:val="004A0618"/>
    <w:rsid w:val="004A0A1C"/>
    <w:rsid w:val="004A0BD2"/>
    <w:rsid w:val="004A1035"/>
    <w:rsid w:val="004A1730"/>
    <w:rsid w:val="004A1D0D"/>
    <w:rsid w:val="004A20CD"/>
    <w:rsid w:val="004A2105"/>
    <w:rsid w:val="004A23CC"/>
    <w:rsid w:val="004A251E"/>
    <w:rsid w:val="004A253B"/>
    <w:rsid w:val="004A2682"/>
    <w:rsid w:val="004A26A8"/>
    <w:rsid w:val="004A2967"/>
    <w:rsid w:val="004A29C3"/>
    <w:rsid w:val="004A2A51"/>
    <w:rsid w:val="004A2BAD"/>
    <w:rsid w:val="004A2C4C"/>
    <w:rsid w:val="004A2F14"/>
    <w:rsid w:val="004A301B"/>
    <w:rsid w:val="004A336A"/>
    <w:rsid w:val="004A36AC"/>
    <w:rsid w:val="004A38AA"/>
    <w:rsid w:val="004A3C76"/>
    <w:rsid w:val="004A3D8F"/>
    <w:rsid w:val="004A3E36"/>
    <w:rsid w:val="004A3E71"/>
    <w:rsid w:val="004A40A5"/>
    <w:rsid w:val="004A42F0"/>
    <w:rsid w:val="004A43BE"/>
    <w:rsid w:val="004A43F3"/>
    <w:rsid w:val="004A44A6"/>
    <w:rsid w:val="004A46B8"/>
    <w:rsid w:val="004A4868"/>
    <w:rsid w:val="004A4A0F"/>
    <w:rsid w:val="004A4B39"/>
    <w:rsid w:val="004A4DFD"/>
    <w:rsid w:val="004A4E9D"/>
    <w:rsid w:val="004A4F8A"/>
    <w:rsid w:val="004A5204"/>
    <w:rsid w:val="004A545D"/>
    <w:rsid w:val="004A5491"/>
    <w:rsid w:val="004A54C1"/>
    <w:rsid w:val="004A556B"/>
    <w:rsid w:val="004A5B14"/>
    <w:rsid w:val="004A5B7F"/>
    <w:rsid w:val="004A5C30"/>
    <w:rsid w:val="004A61BE"/>
    <w:rsid w:val="004A62F6"/>
    <w:rsid w:val="004A6351"/>
    <w:rsid w:val="004A6E95"/>
    <w:rsid w:val="004A6F18"/>
    <w:rsid w:val="004A7174"/>
    <w:rsid w:val="004A790E"/>
    <w:rsid w:val="004A79F0"/>
    <w:rsid w:val="004A7D26"/>
    <w:rsid w:val="004B0285"/>
    <w:rsid w:val="004B0455"/>
    <w:rsid w:val="004B074F"/>
    <w:rsid w:val="004B0928"/>
    <w:rsid w:val="004B0C65"/>
    <w:rsid w:val="004B0D95"/>
    <w:rsid w:val="004B0DAE"/>
    <w:rsid w:val="004B0F53"/>
    <w:rsid w:val="004B1124"/>
    <w:rsid w:val="004B119B"/>
    <w:rsid w:val="004B12E1"/>
    <w:rsid w:val="004B1A13"/>
    <w:rsid w:val="004B1A21"/>
    <w:rsid w:val="004B1DFA"/>
    <w:rsid w:val="004B25A7"/>
    <w:rsid w:val="004B2987"/>
    <w:rsid w:val="004B29F9"/>
    <w:rsid w:val="004B2C60"/>
    <w:rsid w:val="004B2EE8"/>
    <w:rsid w:val="004B2F46"/>
    <w:rsid w:val="004B33CF"/>
    <w:rsid w:val="004B3450"/>
    <w:rsid w:val="004B380F"/>
    <w:rsid w:val="004B38A1"/>
    <w:rsid w:val="004B395A"/>
    <w:rsid w:val="004B3993"/>
    <w:rsid w:val="004B3B13"/>
    <w:rsid w:val="004B3CA7"/>
    <w:rsid w:val="004B3E4C"/>
    <w:rsid w:val="004B3E79"/>
    <w:rsid w:val="004B418C"/>
    <w:rsid w:val="004B43A4"/>
    <w:rsid w:val="004B4440"/>
    <w:rsid w:val="004B448C"/>
    <w:rsid w:val="004B4971"/>
    <w:rsid w:val="004B4C1A"/>
    <w:rsid w:val="004B4D10"/>
    <w:rsid w:val="004B56BE"/>
    <w:rsid w:val="004B5781"/>
    <w:rsid w:val="004B5954"/>
    <w:rsid w:val="004B5CF1"/>
    <w:rsid w:val="004B5ED1"/>
    <w:rsid w:val="004B6382"/>
    <w:rsid w:val="004B68C6"/>
    <w:rsid w:val="004B6910"/>
    <w:rsid w:val="004B6F11"/>
    <w:rsid w:val="004B6FE9"/>
    <w:rsid w:val="004B702F"/>
    <w:rsid w:val="004B7213"/>
    <w:rsid w:val="004B7242"/>
    <w:rsid w:val="004B78AC"/>
    <w:rsid w:val="004B7B01"/>
    <w:rsid w:val="004C0614"/>
    <w:rsid w:val="004C07FC"/>
    <w:rsid w:val="004C08BA"/>
    <w:rsid w:val="004C0D86"/>
    <w:rsid w:val="004C0DCB"/>
    <w:rsid w:val="004C0F48"/>
    <w:rsid w:val="004C10DA"/>
    <w:rsid w:val="004C11F4"/>
    <w:rsid w:val="004C137B"/>
    <w:rsid w:val="004C13B1"/>
    <w:rsid w:val="004C14CB"/>
    <w:rsid w:val="004C1C9E"/>
    <w:rsid w:val="004C1EA8"/>
    <w:rsid w:val="004C1F50"/>
    <w:rsid w:val="004C22CD"/>
    <w:rsid w:val="004C26FC"/>
    <w:rsid w:val="004C2904"/>
    <w:rsid w:val="004C2D11"/>
    <w:rsid w:val="004C2D73"/>
    <w:rsid w:val="004C2E09"/>
    <w:rsid w:val="004C2F79"/>
    <w:rsid w:val="004C34B8"/>
    <w:rsid w:val="004C358C"/>
    <w:rsid w:val="004C36AA"/>
    <w:rsid w:val="004C3CF9"/>
    <w:rsid w:val="004C471E"/>
    <w:rsid w:val="004C48D5"/>
    <w:rsid w:val="004C4951"/>
    <w:rsid w:val="004C4B88"/>
    <w:rsid w:val="004C4CAD"/>
    <w:rsid w:val="004C529C"/>
    <w:rsid w:val="004C5E9C"/>
    <w:rsid w:val="004C5F73"/>
    <w:rsid w:val="004C61CC"/>
    <w:rsid w:val="004C6288"/>
    <w:rsid w:val="004C6596"/>
    <w:rsid w:val="004C66D5"/>
    <w:rsid w:val="004C688F"/>
    <w:rsid w:val="004C68C3"/>
    <w:rsid w:val="004C6985"/>
    <w:rsid w:val="004C724D"/>
    <w:rsid w:val="004C72E6"/>
    <w:rsid w:val="004C7681"/>
    <w:rsid w:val="004C7E37"/>
    <w:rsid w:val="004C7EEF"/>
    <w:rsid w:val="004D09F0"/>
    <w:rsid w:val="004D0A22"/>
    <w:rsid w:val="004D0AC3"/>
    <w:rsid w:val="004D0C50"/>
    <w:rsid w:val="004D0EC0"/>
    <w:rsid w:val="004D0FBC"/>
    <w:rsid w:val="004D121F"/>
    <w:rsid w:val="004D136B"/>
    <w:rsid w:val="004D151B"/>
    <w:rsid w:val="004D1FB6"/>
    <w:rsid w:val="004D2078"/>
    <w:rsid w:val="004D22EE"/>
    <w:rsid w:val="004D2602"/>
    <w:rsid w:val="004D2685"/>
    <w:rsid w:val="004D2927"/>
    <w:rsid w:val="004D2C42"/>
    <w:rsid w:val="004D2D47"/>
    <w:rsid w:val="004D2F61"/>
    <w:rsid w:val="004D331D"/>
    <w:rsid w:val="004D33D4"/>
    <w:rsid w:val="004D34A0"/>
    <w:rsid w:val="004D354D"/>
    <w:rsid w:val="004D3654"/>
    <w:rsid w:val="004D3720"/>
    <w:rsid w:val="004D37C9"/>
    <w:rsid w:val="004D3F32"/>
    <w:rsid w:val="004D4088"/>
    <w:rsid w:val="004D43DE"/>
    <w:rsid w:val="004D4525"/>
    <w:rsid w:val="004D482B"/>
    <w:rsid w:val="004D4859"/>
    <w:rsid w:val="004D4A42"/>
    <w:rsid w:val="004D4CA5"/>
    <w:rsid w:val="004D5156"/>
    <w:rsid w:val="004D5325"/>
    <w:rsid w:val="004D536A"/>
    <w:rsid w:val="004D5655"/>
    <w:rsid w:val="004D567F"/>
    <w:rsid w:val="004D57AE"/>
    <w:rsid w:val="004D584F"/>
    <w:rsid w:val="004D5909"/>
    <w:rsid w:val="004D5A08"/>
    <w:rsid w:val="004D5AC7"/>
    <w:rsid w:val="004D5E0D"/>
    <w:rsid w:val="004D5EB2"/>
    <w:rsid w:val="004D6088"/>
    <w:rsid w:val="004D6163"/>
    <w:rsid w:val="004D628D"/>
    <w:rsid w:val="004D6453"/>
    <w:rsid w:val="004D64B8"/>
    <w:rsid w:val="004D6570"/>
    <w:rsid w:val="004D67AF"/>
    <w:rsid w:val="004D6832"/>
    <w:rsid w:val="004D68DE"/>
    <w:rsid w:val="004D69BB"/>
    <w:rsid w:val="004D6B5E"/>
    <w:rsid w:val="004D6C6A"/>
    <w:rsid w:val="004D6FB9"/>
    <w:rsid w:val="004D705A"/>
    <w:rsid w:val="004D7280"/>
    <w:rsid w:val="004D781D"/>
    <w:rsid w:val="004D78E0"/>
    <w:rsid w:val="004E0021"/>
    <w:rsid w:val="004E002E"/>
    <w:rsid w:val="004E004F"/>
    <w:rsid w:val="004E02B3"/>
    <w:rsid w:val="004E0725"/>
    <w:rsid w:val="004E113D"/>
    <w:rsid w:val="004E1180"/>
    <w:rsid w:val="004E118E"/>
    <w:rsid w:val="004E145C"/>
    <w:rsid w:val="004E14A4"/>
    <w:rsid w:val="004E170D"/>
    <w:rsid w:val="004E1896"/>
    <w:rsid w:val="004E1AC0"/>
    <w:rsid w:val="004E1F3F"/>
    <w:rsid w:val="004E21F8"/>
    <w:rsid w:val="004E28E0"/>
    <w:rsid w:val="004E29A1"/>
    <w:rsid w:val="004E2D78"/>
    <w:rsid w:val="004E2DF7"/>
    <w:rsid w:val="004E3092"/>
    <w:rsid w:val="004E38A8"/>
    <w:rsid w:val="004E3BB2"/>
    <w:rsid w:val="004E3DAA"/>
    <w:rsid w:val="004E4187"/>
    <w:rsid w:val="004E41A9"/>
    <w:rsid w:val="004E4471"/>
    <w:rsid w:val="004E49EA"/>
    <w:rsid w:val="004E4DDE"/>
    <w:rsid w:val="004E507C"/>
    <w:rsid w:val="004E51A4"/>
    <w:rsid w:val="004E5291"/>
    <w:rsid w:val="004E5393"/>
    <w:rsid w:val="004E56A3"/>
    <w:rsid w:val="004E5C08"/>
    <w:rsid w:val="004E5C17"/>
    <w:rsid w:val="004E5D11"/>
    <w:rsid w:val="004E6019"/>
    <w:rsid w:val="004E60E9"/>
    <w:rsid w:val="004E6162"/>
    <w:rsid w:val="004E6528"/>
    <w:rsid w:val="004E67C3"/>
    <w:rsid w:val="004E6D1A"/>
    <w:rsid w:val="004E6DA5"/>
    <w:rsid w:val="004E705F"/>
    <w:rsid w:val="004E72CB"/>
    <w:rsid w:val="004E72CC"/>
    <w:rsid w:val="004E7303"/>
    <w:rsid w:val="004E734A"/>
    <w:rsid w:val="004E744C"/>
    <w:rsid w:val="004E74FC"/>
    <w:rsid w:val="004E7548"/>
    <w:rsid w:val="004E781E"/>
    <w:rsid w:val="004E7B08"/>
    <w:rsid w:val="004F0236"/>
    <w:rsid w:val="004F0267"/>
    <w:rsid w:val="004F05EF"/>
    <w:rsid w:val="004F079A"/>
    <w:rsid w:val="004F089A"/>
    <w:rsid w:val="004F0CAE"/>
    <w:rsid w:val="004F0CC7"/>
    <w:rsid w:val="004F0DF3"/>
    <w:rsid w:val="004F18C0"/>
    <w:rsid w:val="004F208D"/>
    <w:rsid w:val="004F21FB"/>
    <w:rsid w:val="004F2671"/>
    <w:rsid w:val="004F2AE4"/>
    <w:rsid w:val="004F2EE6"/>
    <w:rsid w:val="004F3508"/>
    <w:rsid w:val="004F3607"/>
    <w:rsid w:val="004F3775"/>
    <w:rsid w:val="004F38F0"/>
    <w:rsid w:val="004F39C0"/>
    <w:rsid w:val="004F3F09"/>
    <w:rsid w:val="004F4366"/>
    <w:rsid w:val="004F4614"/>
    <w:rsid w:val="004F4D5F"/>
    <w:rsid w:val="004F4E0D"/>
    <w:rsid w:val="004F519E"/>
    <w:rsid w:val="004F5307"/>
    <w:rsid w:val="004F56EF"/>
    <w:rsid w:val="004F571C"/>
    <w:rsid w:val="004F5B5C"/>
    <w:rsid w:val="004F5EF6"/>
    <w:rsid w:val="004F63B7"/>
    <w:rsid w:val="004F67C8"/>
    <w:rsid w:val="004F6D06"/>
    <w:rsid w:val="004F6D63"/>
    <w:rsid w:val="004F7254"/>
    <w:rsid w:val="004F779D"/>
    <w:rsid w:val="004F7B93"/>
    <w:rsid w:val="004F7F48"/>
    <w:rsid w:val="00500088"/>
    <w:rsid w:val="005001C8"/>
    <w:rsid w:val="00500270"/>
    <w:rsid w:val="005004EB"/>
    <w:rsid w:val="00500ACB"/>
    <w:rsid w:val="00500B1C"/>
    <w:rsid w:val="00500ECE"/>
    <w:rsid w:val="00501393"/>
    <w:rsid w:val="00501422"/>
    <w:rsid w:val="005014B9"/>
    <w:rsid w:val="00501811"/>
    <w:rsid w:val="00501A51"/>
    <w:rsid w:val="00501BDE"/>
    <w:rsid w:val="00501C45"/>
    <w:rsid w:val="00501F3D"/>
    <w:rsid w:val="00502006"/>
    <w:rsid w:val="00502741"/>
    <w:rsid w:val="005027FD"/>
    <w:rsid w:val="00502A2A"/>
    <w:rsid w:val="00502A38"/>
    <w:rsid w:val="00502D0E"/>
    <w:rsid w:val="00502DDB"/>
    <w:rsid w:val="00502EF4"/>
    <w:rsid w:val="00503235"/>
    <w:rsid w:val="00503477"/>
    <w:rsid w:val="0050382D"/>
    <w:rsid w:val="005038B4"/>
    <w:rsid w:val="00503986"/>
    <w:rsid w:val="00503B15"/>
    <w:rsid w:val="00503B5F"/>
    <w:rsid w:val="00503EAB"/>
    <w:rsid w:val="005040B7"/>
    <w:rsid w:val="005042C5"/>
    <w:rsid w:val="00504457"/>
    <w:rsid w:val="005045A0"/>
    <w:rsid w:val="00504623"/>
    <w:rsid w:val="00504812"/>
    <w:rsid w:val="0050484E"/>
    <w:rsid w:val="005048F7"/>
    <w:rsid w:val="00504944"/>
    <w:rsid w:val="005049DD"/>
    <w:rsid w:val="00504ABB"/>
    <w:rsid w:val="00504CA8"/>
    <w:rsid w:val="00504E32"/>
    <w:rsid w:val="00505119"/>
    <w:rsid w:val="005051FD"/>
    <w:rsid w:val="00505694"/>
    <w:rsid w:val="005057EB"/>
    <w:rsid w:val="00505CC7"/>
    <w:rsid w:val="00505F08"/>
    <w:rsid w:val="0050616B"/>
    <w:rsid w:val="00506596"/>
    <w:rsid w:val="0050672A"/>
    <w:rsid w:val="0050676F"/>
    <w:rsid w:val="00506ADC"/>
    <w:rsid w:val="00506B36"/>
    <w:rsid w:val="00506EB4"/>
    <w:rsid w:val="00506F73"/>
    <w:rsid w:val="00507152"/>
    <w:rsid w:val="00507402"/>
    <w:rsid w:val="00507582"/>
    <w:rsid w:val="005076E4"/>
    <w:rsid w:val="005077B6"/>
    <w:rsid w:val="005078A4"/>
    <w:rsid w:val="00507993"/>
    <w:rsid w:val="00507F8F"/>
    <w:rsid w:val="005100CE"/>
    <w:rsid w:val="0051010D"/>
    <w:rsid w:val="00510249"/>
    <w:rsid w:val="00510445"/>
    <w:rsid w:val="00510A98"/>
    <w:rsid w:val="005110E5"/>
    <w:rsid w:val="00511214"/>
    <w:rsid w:val="00511282"/>
    <w:rsid w:val="00511BCE"/>
    <w:rsid w:val="00511EBF"/>
    <w:rsid w:val="005120DB"/>
    <w:rsid w:val="0051228C"/>
    <w:rsid w:val="0051250F"/>
    <w:rsid w:val="005127FD"/>
    <w:rsid w:val="00512996"/>
    <w:rsid w:val="00512AA9"/>
    <w:rsid w:val="00512CC4"/>
    <w:rsid w:val="00512CF8"/>
    <w:rsid w:val="00512DE7"/>
    <w:rsid w:val="00512F2C"/>
    <w:rsid w:val="00512FAF"/>
    <w:rsid w:val="005130A6"/>
    <w:rsid w:val="005134C4"/>
    <w:rsid w:val="00513528"/>
    <w:rsid w:val="0051359A"/>
    <w:rsid w:val="00513CD2"/>
    <w:rsid w:val="00514088"/>
    <w:rsid w:val="005146A9"/>
    <w:rsid w:val="005149E5"/>
    <w:rsid w:val="005149F5"/>
    <w:rsid w:val="00514A06"/>
    <w:rsid w:val="00514A21"/>
    <w:rsid w:val="00514D8A"/>
    <w:rsid w:val="00514FC5"/>
    <w:rsid w:val="00514FEF"/>
    <w:rsid w:val="00515111"/>
    <w:rsid w:val="00515565"/>
    <w:rsid w:val="005156B6"/>
    <w:rsid w:val="005156D6"/>
    <w:rsid w:val="00515974"/>
    <w:rsid w:val="00515C8C"/>
    <w:rsid w:val="00515CC1"/>
    <w:rsid w:val="00515D13"/>
    <w:rsid w:val="00515E46"/>
    <w:rsid w:val="00515F58"/>
    <w:rsid w:val="00516025"/>
    <w:rsid w:val="005160F0"/>
    <w:rsid w:val="00516298"/>
    <w:rsid w:val="0051650E"/>
    <w:rsid w:val="005168DD"/>
    <w:rsid w:val="00516A61"/>
    <w:rsid w:val="00516B26"/>
    <w:rsid w:val="00516C90"/>
    <w:rsid w:val="00516CCF"/>
    <w:rsid w:val="00516D32"/>
    <w:rsid w:val="00516F16"/>
    <w:rsid w:val="00516FC2"/>
    <w:rsid w:val="00517291"/>
    <w:rsid w:val="0051735A"/>
    <w:rsid w:val="00517383"/>
    <w:rsid w:val="005173EC"/>
    <w:rsid w:val="00517656"/>
    <w:rsid w:val="005176CD"/>
    <w:rsid w:val="00517749"/>
    <w:rsid w:val="00517BC2"/>
    <w:rsid w:val="00517CB2"/>
    <w:rsid w:val="00517CB8"/>
    <w:rsid w:val="00517D09"/>
    <w:rsid w:val="00517D3C"/>
    <w:rsid w:val="005201BC"/>
    <w:rsid w:val="00520413"/>
    <w:rsid w:val="00520594"/>
    <w:rsid w:val="00520710"/>
    <w:rsid w:val="00520785"/>
    <w:rsid w:val="00520846"/>
    <w:rsid w:val="005208DC"/>
    <w:rsid w:val="00520ADD"/>
    <w:rsid w:val="00520B39"/>
    <w:rsid w:val="00520C1D"/>
    <w:rsid w:val="0052100A"/>
    <w:rsid w:val="005210CB"/>
    <w:rsid w:val="0052142D"/>
    <w:rsid w:val="00521A61"/>
    <w:rsid w:val="00521E36"/>
    <w:rsid w:val="00522491"/>
    <w:rsid w:val="005224D4"/>
    <w:rsid w:val="0052267B"/>
    <w:rsid w:val="00522B51"/>
    <w:rsid w:val="00522CAF"/>
    <w:rsid w:val="00522CC6"/>
    <w:rsid w:val="0052343E"/>
    <w:rsid w:val="005234DF"/>
    <w:rsid w:val="00523536"/>
    <w:rsid w:val="00523BE9"/>
    <w:rsid w:val="00524001"/>
    <w:rsid w:val="0052418D"/>
    <w:rsid w:val="005248C8"/>
    <w:rsid w:val="00524996"/>
    <w:rsid w:val="00524ACF"/>
    <w:rsid w:val="00524C4D"/>
    <w:rsid w:val="00525139"/>
    <w:rsid w:val="005257A9"/>
    <w:rsid w:val="00525A00"/>
    <w:rsid w:val="00525B3F"/>
    <w:rsid w:val="00525FF1"/>
    <w:rsid w:val="005262C3"/>
    <w:rsid w:val="0052646B"/>
    <w:rsid w:val="005266EC"/>
    <w:rsid w:val="00526803"/>
    <w:rsid w:val="00526832"/>
    <w:rsid w:val="005269F1"/>
    <w:rsid w:val="00526B07"/>
    <w:rsid w:val="00526DC8"/>
    <w:rsid w:val="00526E63"/>
    <w:rsid w:val="00526E8F"/>
    <w:rsid w:val="0052702B"/>
    <w:rsid w:val="00527034"/>
    <w:rsid w:val="0052710F"/>
    <w:rsid w:val="00527348"/>
    <w:rsid w:val="00527805"/>
    <w:rsid w:val="00527826"/>
    <w:rsid w:val="00527A9A"/>
    <w:rsid w:val="00527C65"/>
    <w:rsid w:val="00527EC9"/>
    <w:rsid w:val="00530450"/>
    <w:rsid w:val="0053053F"/>
    <w:rsid w:val="0053054B"/>
    <w:rsid w:val="005307BB"/>
    <w:rsid w:val="00530876"/>
    <w:rsid w:val="005308C5"/>
    <w:rsid w:val="00530920"/>
    <w:rsid w:val="005309D5"/>
    <w:rsid w:val="00530A90"/>
    <w:rsid w:val="00530D8F"/>
    <w:rsid w:val="00530ED3"/>
    <w:rsid w:val="00530EE2"/>
    <w:rsid w:val="00531348"/>
    <w:rsid w:val="0053146B"/>
    <w:rsid w:val="005319E5"/>
    <w:rsid w:val="00531BEE"/>
    <w:rsid w:val="00531E5E"/>
    <w:rsid w:val="00531EF6"/>
    <w:rsid w:val="00531F09"/>
    <w:rsid w:val="00532027"/>
    <w:rsid w:val="00532074"/>
    <w:rsid w:val="005325F0"/>
    <w:rsid w:val="00532D8C"/>
    <w:rsid w:val="00533111"/>
    <w:rsid w:val="00533160"/>
    <w:rsid w:val="005332A5"/>
    <w:rsid w:val="005335D2"/>
    <w:rsid w:val="005338CE"/>
    <w:rsid w:val="00533992"/>
    <w:rsid w:val="00533B94"/>
    <w:rsid w:val="00533BA1"/>
    <w:rsid w:val="00533CFE"/>
    <w:rsid w:val="00533E5D"/>
    <w:rsid w:val="005340C9"/>
    <w:rsid w:val="0053414F"/>
    <w:rsid w:val="00534211"/>
    <w:rsid w:val="0053425D"/>
    <w:rsid w:val="00534431"/>
    <w:rsid w:val="00534577"/>
    <w:rsid w:val="00534A5D"/>
    <w:rsid w:val="00534B2F"/>
    <w:rsid w:val="00534C4A"/>
    <w:rsid w:val="00534E47"/>
    <w:rsid w:val="0053507E"/>
    <w:rsid w:val="005350C6"/>
    <w:rsid w:val="005350F5"/>
    <w:rsid w:val="0053562D"/>
    <w:rsid w:val="005357A7"/>
    <w:rsid w:val="00535AF2"/>
    <w:rsid w:val="00535E22"/>
    <w:rsid w:val="00536379"/>
    <w:rsid w:val="005364D9"/>
    <w:rsid w:val="0053659D"/>
    <w:rsid w:val="005366A2"/>
    <w:rsid w:val="0053694B"/>
    <w:rsid w:val="00536982"/>
    <w:rsid w:val="00536A4D"/>
    <w:rsid w:val="00536E34"/>
    <w:rsid w:val="00536EB8"/>
    <w:rsid w:val="00537011"/>
    <w:rsid w:val="00537147"/>
    <w:rsid w:val="005371E7"/>
    <w:rsid w:val="00537582"/>
    <w:rsid w:val="005375BE"/>
    <w:rsid w:val="005375FC"/>
    <w:rsid w:val="0053791D"/>
    <w:rsid w:val="00537CC8"/>
    <w:rsid w:val="00537E03"/>
    <w:rsid w:val="00537E53"/>
    <w:rsid w:val="00540018"/>
    <w:rsid w:val="00540326"/>
    <w:rsid w:val="005404A8"/>
    <w:rsid w:val="005407A0"/>
    <w:rsid w:val="00540BA7"/>
    <w:rsid w:val="00540E98"/>
    <w:rsid w:val="00541729"/>
    <w:rsid w:val="00541A71"/>
    <w:rsid w:val="00541D72"/>
    <w:rsid w:val="00541E6E"/>
    <w:rsid w:val="00542564"/>
    <w:rsid w:val="00542886"/>
    <w:rsid w:val="00542896"/>
    <w:rsid w:val="00542990"/>
    <w:rsid w:val="00542AD2"/>
    <w:rsid w:val="00543579"/>
    <w:rsid w:val="0054369E"/>
    <w:rsid w:val="00543D07"/>
    <w:rsid w:val="00543D11"/>
    <w:rsid w:val="00543ED6"/>
    <w:rsid w:val="005440E9"/>
    <w:rsid w:val="005442A5"/>
    <w:rsid w:val="0054443F"/>
    <w:rsid w:val="0054452B"/>
    <w:rsid w:val="00544701"/>
    <w:rsid w:val="00544798"/>
    <w:rsid w:val="00544C04"/>
    <w:rsid w:val="00544CC7"/>
    <w:rsid w:val="0054528F"/>
    <w:rsid w:val="0054559B"/>
    <w:rsid w:val="00545805"/>
    <w:rsid w:val="00545A2F"/>
    <w:rsid w:val="00545ABF"/>
    <w:rsid w:val="00545C9C"/>
    <w:rsid w:val="00545D75"/>
    <w:rsid w:val="00545D9B"/>
    <w:rsid w:val="0054606A"/>
    <w:rsid w:val="00546175"/>
    <w:rsid w:val="005462CF"/>
    <w:rsid w:val="00546658"/>
    <w:rsid w:val="00546B92"/>
    <w:rsid w:val="00546C8D"/>
    <w:rsid w:val="00546F55"/>
    <w:rsid w:val="00546FED"/>
    <w:rsid w:val="00547427"/>
    <w:rsid w:val="00547BFB"/>
    <w:rsid w:val="00547BFD"/>
    <w:rsid w:val="00547E05"/>
    <w:rsid w:val="00547F19"/>
    <w:rsid w:val="00547F29"/>
    <w:rsid w:val="00550364"/>
    <w:rsid w:val="00550612"/>
    <w:rsid w:val="005508C7"/>
    <w:rsid w:val="00550A9E"/>
    <w:rsid w:val="00550C3A"/>
    <w:rsid w:val="00550E23"/>
    <w:rsid w:val="0055146D"/>
    <w:rsid w:val="005517AA"/>
    <w:rsid w:val="00551A6C"/>
    <w:rsid w:val="00551FA9"/>
    <w:rsid w:val="005521AC"/>
    <w:rsid w:val="005521F7"/>
    <w:rsid w:val="0055265C"/>
    <w:rsid w:val="00552820"/>
    <w:rsid w:val="00552854"/>
    <w:rsid w:val="0055285B"/>
    <w:rsid w:val="00552935"/>
    <w:rsid w:val="00552A56"/>
    <w:rsid w:val="00552AF6"/>
    <w:rsid w:val="00552C69"/>
    <w:rsid w:val="00552F9E"/>
    <w:rsid w:val="0055338F"/>
    <w:rsid w:val="0055358B"/>
    <w:rsid w:val="00553F4A"/>
    <w:rsid w:val="00554076"/>
    <w:rsid w:val="005541B4"/>
    <w:rsid w:val="005541D3"/>
    <w:rsid w:val="0055458C"/>
    <w:rsid w:val="005554B4"/>
    <w:rsid w:val="0055550E"/>
    <w:rsid w:val="005556AA"/>
    <w:rsid w:val="00555B1F"/>
    <w:rsid w:val="00555B5B"/>
    <w:rsid w:val="00555BA9"/>
    <w:rsid w:val="005563E0"/>
    <w:rsid w:val="005563F9"/>
    <w:rsid w:val="005563FE"/>
    <w:rsid w:val="0055643B"/>
    <w:rsid w:val="005564C9"/>
    <w:rsid w:val="005564ED"/>
    <w:rsid w:val="00556519"/>
    <w:rsid w:val="005566B7"/>
    <w:rsid w:val="00556BE5"/>
    <w:rsid w:val="00556CE4"/>
    <w:rsid w:val="0055759B"/>
    <w:rsid w:val="00557801"/>
    <w:rsid w:val="0055787D"/>
    <w:rsid w:val="00557AF2"/>
    <w:rsid w:val="00557D61"/>
    <w:rsid w:val="00557E8B"/>
    <w:rsid w:val="005600D9"/>
    <w:rsid w:val="00560180"/>
    <w:rsid w:val="005603FD"/>
    <w:rsid w:val="0056057C"/>
    <w:rsid w:val="00560BC9"/>
    <w:rsid w:val="0056120F"/>
    <w:rsid w:val="00561614"/>
    <w:rsid w:val="005617E6"/>
    <w:rsid w:val="00561839"/>
    <w:rsid w:val="0056191C"/>
    <w:rsid w:val="00561B05"/>
    <w:rsid w:val="00561E60"/>
    <w:rsid w:val="0056237F"/>
    <w:rsid w:val="0056250D"/>
    <w:rsid w:val="00562533"/>
    <w:rsid w:val="005629CE"/>
    <w:rsid w:val="00562E2F"/>
    <w:rsid w:val="00563284"/>
    <w:rsid w:val="005632AB"/>
    <w:rsid w:val="00563783"/>
    <w:rsid w:val="00563C3F"/>
    <w:rsid w:val="00563CCC"/>
    <w:rsid w:val="00563F57"/>
    <w:rsid w:val="00563FF9"/>
    <w:rsid w:val="00564311"/>
    <w:rsid w:val="0056435C"/>
    <w:rsid w:val="00564549"/>
    <w:rsid w:val="00564567"/>
    <w:rsid w:val="00564595"/>
    <w:rsid w:val="005647B5"/>
    <w:rsid w:val="00564B54"/>
    <w:rsid w:val="00564D5A"/>
    <w:rsid w:val="00564DA4"/>
    <w:rsid w:val="00564EDA"/>
    <w:rsid w:val="00564F96"/>
    <w:rsid w:val="00564F9E"/>
    <w:rsid w:val="00565048"/>
    <w:rsid w:val="00565178"/>
    <w:rsid w:val="00565224"/>
    <w:rsid w:val="0056522B"/>
    <w:rsid w:val="005652A3"/>
    <w:rsid w:val="0056555E"/>
    <w:rsid w:val="0056562E"/>
    <w:rsid w:val="0056581D"/>
    <w:rsid w:val="0056584F"/>
    <w:rsid w:val="00565B9E"/>
    <w:rsid w:val="00565E22"/>
    <w:rsid w:val="00566467"/>
    <w:rsid w:val="005665F4"/>
    <w:rsid w:val="00566645"/>
    <w:rsid w:val="005668AF"/>
    <w:rsid w:val="00566B22"/>
    <w:rsid w:val="00566B38"/>
    <w:rsid w:val="00566B4A"/>
    <w:rsid w:val="00566CE0"/>
    <w:rsid w:val="00567672"/>
    <w:rsid w:val="005677F5"/>
    <w:rsid w:val="00567815"/>
    <w:rsid w:val="00567A33"/>
    <w:rsid w:val="00567AC9"/>
    <w:rsid w:val="005703A3"/>
    <w:rsid w:val="005703ED"/>
    <w:rsid w:val="005707CB"/>
    <w:rsid w:val="00570845"/>
    <w:rsid w:val="00570A1C"/>
    <w:rsid w:val="00570A1E"/>
    <w:rsid w:val="00570BA5"/>
    <w:rsid w:val="00571062"/>
    <w:rsid w:val="005717BB"/>
    <w:rsid w:val="005719DA"/>
    <w:rsid w:val="00571E63"/>
    <w:rsid w:val="00572838"/>
    <w:rsid w:val="00572B5D"/>
    <w:rsid w:val="00572D65"/>
    <w:rsid w:val="00572E93"/>
    <w:rsid w:val="00572F3A"/>
    <w:rsid w:val="00572F93"/>
    <w:rsid w:val="005733E2"/>
    <w:rsid w:val="00573432"/>
    <w:rsid w:val="005735AD"/>
    <w:rsid w:val="0057394F"/>
    <w:rsid w:val="00573B7B"/>
    <w:rsid w:val="00573D95"/>
    <w:rsid w:val="005744C4"/>
    <w:rsid w:val="00574630"/>
    <w:rsid w:val="00574669"/>
    <w:rsid w:val="00574733"/>
    <w:rsid w:val="005749DC"/>
    <w:rsid w:val="00574BA2"/>
    <w:rsid w:val="00574C8B"/>
    <w:rsid w:val="00574CCF"/>
    <w:rsid w:val="00574DF2"/>
    <w:rsid w:val="00574E78"/>
    <w:rsid w:val="00574E84"/>
    <w:rsid w:val="00574F27"/>
    <w:rsid w:val="005755AF"/>
    <w:rsid w:val="005755D2"/>
    <w:rsid w:val="00575AF0"/>
    <w:rsid w:val="00575C2E"/>
    <w:rsid w:val="00575D02"/>
    <w:rsid w:val="0057605A"/>
    <w:rsid w:val="0057609C"/>
    <w:rsid w:val="00576232"/>
    <w:rsid w:val="00576A52"/>
    <w:rsid w:val="00576BDE"/>
    <w:rsid w:val="00576DE2"/>
    <w:rsid w:val="00576F75"/>
    <w:rsid w:val="005770B6"/>
    <w:rsid w:val="00577251"/>
    <w:rsid w:val="00577390"/>
    <w:rsid w:val="00577783"/>
    <w:rsid w:val="00577B84"/>
    <w:rsid w:val="00577DFC"/>
    <w:rsid w:val="005801CC"/>
    <w:rsid w:val="00580207"/>
    <w:rsid w:val="00580263"/>
    <w:rsid w:val="005804AB"/>
    <w:rsid w:val="00580605"/>
    <w:rsid w:val="00580729"/>
    <w:rsid w:val="00580B3D"/>
    <w:rsid w:val="00580D79"/>
    <w:rsid w:val="00580EA6"/>
    <w:rsid w:val="0058144D"/>
    <w:rsid w:val="0058177E"/>
    <w:rsid w:val="00581812"/>
    <w:rsid w:val="0058196D"/>
    <w:rsid w:val="00581A12"/>
    <w:rsid w:val="00581ABC"/>
    <w:rsid w:val="00581B78"/>
    <w:rsid w:val="00581CB6"/>
    <w:rsid w:val="005822EB"/>
    <w:rsid w:val="005825D0"/>
    <w:rsid w:val="005826FB"/>
    <w:rsid w:val="00582947"/>
    <w:rsid w:val="0058296E"/>
    <w:rsid w:val="00582D34"/>
    <w:rsid w:val="00582F4D"/>
    <w:rsid w:val="00583C98"/>
    <w:rsid w:val="0058439D"/>
    <w:rsid w:val="0058463C"/>
    <w:rsid w:val="0058494E"/>
    <w:rsid w:val="00584AFC"/>
    <w:rsid w:val="00584B54"/>
    <w:rsid w:val="00584C97"/>
    <w:rsid w:val="00584DA6"/>
    <w:rsid w:val="00584DB9"/>
    <w:rsid w:val="00584F46"/>
    <w:rsid w:val="00585760"/>
    <w:rsid w:val="00585871"/>
    <w:rsid w:val="00585992"/>
    <w:rsid w:val="00585A1A"/>
    <w:rsid w:val="00585AE4"/>
    <w:rsid w:val="00585C90"/>
    <w:rsid w:val="00585F54"/>
    <w:rsid w:val="00586078"/>
    <w:rsid w:val="005866B7"/>
    <w:rsid w:val="00586B8E"/>
    <w:rsid w:val="005870BA"/>
    <w:rsid w:val="00587227"/>
    <w:rsid w:val="005874F7"/>
    <w:rsid w:val="005875BD"/>
    <w:rsid w:val="005877B4"/>
    <w:rsid w:val="00587825"/>
    <w:rsid w:val="00587C5E"/>
    <w:rsid w:val="00590133"/>
    <w:rsid w:val="005901F2"/>
    <w:rsid w:val="00590A7C"/>
    <w:rsid w:val="00590A88"/>
    <w:rsid w:val="0059110A"/>
    <w:rsid w:val="0059135F"/>
    <w:rsid w:val="005913C4"/>
    <w:rsid w:val="005913C5"/>
    <w:rsid w:val="00591EB8"/>
    <w:rsid w:val="005921B6"/>
    <w:rsid w:val="0059223F"/>
    <w:rsid w:val="0059230C"/>
    <w:rsid w:val="00592326"/>
    <w:rsid w:val="005924AD"/>
    <w:rsid w:val="00592501"/>
    <w:rsid w:val="005927BE"/>
    <w:rsid w:val="00592B6D"/>
    <w:rsid w:val="00592F93"/>
    <w:rsid w:val="00593113"/>
    <w:rsid w:val="00593142"/>
    <w:rsid w:val="0059381B"/>
    <w:rsid w:val="00593BB7"/>
    <w:rsid w:val="005941B1"/>
    <w:rsid w:val="005941E7"/>
    <w:rsid w:val="00594411"/>
    <w:rsid w:val="00594439"/>
    <w:rsid w:val="00594456"/>
    <w:rsid w:val="0059476A"/>
    <w:rsid w:val="0059489D"/>
    <w:rsid w:val="0059491E"/>
    <w:rsid w:val="0059498E"/>
    <w:rsid w:val="00594C7A"/>
    <w:rsid w:val="00595322"/>
    <w:rsid w:val="005953AE"/>
    <w:rsid w:val="005955C5"/>
    <w:rsid w:val="00595811"/>
    <w:rsid w:val="00595949"/>
    <w:rsid w:val="00595AB3"/>
    <w:rsid w:val="00595B34"/>
    <w:rsid w:val="00595B9E"/>
    <w:rsid w:val="00595DCC"/>
    <w:rsid w:val="00595F41"/>
    <w:rsid w:val="00595F78"/>
    <w:rsid w:val="00596029"/>
    <w:rsid w:val="0059628F"/>
    <w:rsid w:val="005964CD"/>
    <w:rsid w:val="00596516"/>
    <w:rsid w:val="00596633"/>
    <w:rsid w:val="00596725"/>
    <w:rsid w:val="00596777"/>
    <w:rsid w:val="00596C7C"/>
    <w:rsid w:val="00596EAD"/>
    <w:rsid w:val="00596FDA"/>
    <w:rsid w:val="005974D2"/>
    <w:rsid w:val="0059780F"/>
    <w:rsid w:val="0059790E"/>
    <w:rsid w:val="00597B00"/>
    <w:rsid w:val="00597D7B"/>
    <w:rsid w:val="005A0683"/>
    <w:rsid w:val="005A0A8A"/>
    <w:rsid w:val="005A0F42"/>
    <w:rsid w:val="005A0F99"/>
    <w:rsid w:val="005A0FDB"/>
    <w:rsid w:val="005A1285"/>
    <w:rsid w:val="005A1625"/>
    <w:rsid w:val="005A16BB"/>
    <w:rsid w:val="005A1902"/>
    <w:rsid w:val="005A1A12"/>
    <w:rsid w:val="005A1B32"/>
    <w:rsid w:val="005A2153"/>
    <w:rsid w:val="005A245F"/>
    <w:rsid w:val="005A25E8"/>
    <w:rsid w:val="005A2C3F"/>
    <w:rsid w:val="005A33B9"/>
    <w:rsid w:val="005A36E5"/>
    <w:rsid w:val="005A3759"/>
    <w:rsid w:val="005A39E7"/>
    <w:rsid w:val="005A3FB8"/>
    <w:rsid w:val="005A41AC"/>
    <w:rsid w:val="005A4485"/>
    <w:rsid w:val="005A4563"/>
    <w:rsid w:val="005A4603"/>
    <w:rsid w:val="005A462A"/>
    <w:rsid w:val="005A46A8"/>
    <w:rsid w:val="005A47E9"/>
    <w:rsid w:val="005A4932"/>
    <w:rsid w:val="005A4BEE"/>
    <w:rsid w:val="005A4D74"/>
    <w:rsid w:val="005A52F2"/>
    <w:rsid w:val="005A5391"/>
    <w:rsid w:val="005A5416"/>
    <w:rsid w:val="005A54A5"/>
    <w:rsid w:val="005A5551"/>
    <w:rsid w:val="005A5640"/>
    <w:rsid w:val="005A5772"/>
    <w:rsid w:val="005A58DE"/>
    <w:rsid w:val="005A5936"/>
    <w:rsid w:val="005A5BCB"/>
    <w:rsid w:val="005A5C85"/>
    <w:rsid w:val="005A600D"/>
    <w:rsid w:val="005A623E"/>
    <w:rsid w:val="005A6369"/>
    <w:rsid w:val="005A66E8"/>
    <w:rsid w:val="005A683B"/>
    <w:rsid w:val="005A6B6A"/>
    <w:rsid w:val="005A6C8E"/>
    <w:rsid w:val="005A6CAC"/>
    <w:rsid w:val="005A6D6D"/>
    <w:rsid w:val="005A6EAF"/>
    <w:rsid w:val="005A706C"/>
    <w:rsid w:val="005A7366"/>
    <w:rsid w:val="005A7AE5"/>
    <w:rsid w:val="005A7C2B"/>
    <w:rsid w:val="005A7F4B"/>
    <w:rsid w:val="005B0053"/>
    <w:rsid w:val="005B006C"/>
    <w:rsid w:val="005B02C0"/>
    <w:rsid w:val="005B0504"/>
    <w:rsid w:val="005B0536"/>
    <w:rsid w:val="005B061A"/>
    <w:rsid w:val="005B0F4D"/>
    <w:rsid w:val="005B11F6"/>
    <w:rsid w:val="005B1355"/>
    <w:rsid w:val="005B1365"/>
    <w:rsid w:val="005B13A8"/>
    <w:rsid w:val="005B1D0B"/>
    <w:rsid w:val="005B1DA0"/>
    <w:rsid w:val="005B235D"/>
    <w:rsid w:val="005B25FC"/>
    <w:rsid w:val="005B2AE7"/>
    <w:rsid w:val="005B2BC3"/>
    <w:rsid w:val="005B2C2C"/>
    <w:rsid w:val="005B2C31"/>
    <w:rsid w:val="005B2C4D"/>
    <w:rsid w:val="005B2CB0"/>
    <w:rsid w:val="005B2E79"/>
    <w:rsid w:val="005B2F78"/>
    <w:rsid w:val="005B2F7C"/>
    <w:rsid w:val="005B30CA"/>
    <w:rsid w:val="005B30E9"/>
    <w:rsid w:val="005B3495"/>
    <w:rsid w:val="005B3597"/>
    <w:rsid w:val="005B3874"/>
    <w:rsid w:val="005B39F7"/>
    <w:rsid w:val="005B3D3B"/>
    <w:rsid w:val="005B3DE3"/>
    <w:rsid w:val="005B3F4F"/>
    <w:rsid w:val="005B4393"/>
    <w:rsid w:val="005B43ED"/>
    <w:rsid w:val="005B4507"/>
    <w:rsid w:val="005B455F"/>
    <w:rsid w:val="005B491C"/>
    <w:rsid w:val="005B497A"/>
    <w:rsid w:val="005B4A13"/>
    <w:rsid w:val="005B4B7D"/>
    <w:rsid w:val="005B4CBA"/>
    <w:rsid w:val="005B552C"/>
    <w:rsid w:val="005B5E06"/>
    <w:rsid w:val="005B6939"/>
    <w:rsid w:val="005B6C9B"/>
    <w:rsid w:val="005B6EC0"/>
    <w:rsid w:val="005B731B"/>
    <w:rsid w:val="005B73C9"/>
    <w:rsid w:val="005B73D0"/>
    <w:rsid w:val="005B7467"/>
    <w:rsid w:val="005B7582"/>
    <w:rsid w:val="005B7D85"/>
    <w:rsid w:val="005B7F9B"/>
    <w:rsid w:val="005C0054"/>
    <w:rsid w:val="005C00B4"/>
    <w:rsid w:val="005C0181"/>
    <w:rsid w:val="005C02A3"/>
    <w:rsid w:val="005C02B5"/>
    <w:rsid w:val="005C07E0"/>
    <w:rsid w:val="005C0899"/>
    <w:rsid w:val="005C0A67"/>
    <w:rsid w:val="005C0B14"/>
    <w:rsid w:val="005C0D1C"/>
    <w:rsid w:val="005C0DA9"/>
    <w:rsid w:val="005C0F3D"/>
    <w:rsid w:val="005C1053"/>
    <w:rsid w:val="005C1139"/>
    <w:rsid w:val="005C11B4"/>
    <w:rsid w:val="005C14C4"/>
    <w:rsid w:val="005C1519"/>
    <w:rsid w:val="005C1558"/>
    <w:rsid w:val="005C15A6"/>
    <w:rsid w:val="005C16FD"/>
    <w:rsid w:val="005C1A64"/>
    <w:rsid w:val="005C1A97"/>
    <w:rsid w:val="005C1AF8"/>
    <w:rsid w:val="005C1B8E"/>
    <w:rsid w:val="005C1EF8"/>
    <w:rsid w:val="005C1FDF"/>
    <w:rsid w:val="005C1FFB"/>
    <w:rsid w:val="005C2737"/>
    <w:rsid w:val="005C2800"/>
    <w:rsid w:val="005C2E2F"/>
    <w:rsid w:val="005C2EDD"/>
    <w:rsid w:val="005C2F8D"/>
    <w:rsid w:val="005C2FCD"/>
    <w:rsid w:val="005C350A"/>
    <w:rsid w:val="005C36CE"/>
    <w:rsid w:val="005C3AD6"/>
    <w:rsid w:val="005C3B2D"/>
    <w:rsid w:val="005C43A3"/>
    <w:rsid w:val="005C43D8"/>
    <w:rsid w:val="005C4DFD"/>
    <w:rsid w:val="005C4ED0"/>
    <w:rsid w:val="005C515C"/>
    <w:rsid w:val="005C517D"/>
    <w:rsid w:val="005C5291"/>
    <w:rsid w:val="005C5474"/>
    <w:rsid w:val="005C5596"/>
    <w:rsid w:val="005C5894"/>
    <w:rsid w:val="005C5C4A"/>
    <w:rsid w:val="005C5C96"/>
    <w:rsid w:val="005C5E24"/>
    <w:rsid w:val="005C6637"/>
    <w:rsid w:val="005C691A"/>
    <w:rsid w:val="005C6E1B"/>
    <w:rsid w:val="005C6E27"/>
    <w:rsid w:val="005C6FFC"/>
    <w:rsid w:val="005C7721"/>
    <w:rsid w:val="005C791A"/>
    <w:rsid w:val="005C7AE2"/>
    <w:rsid w:val="005D0181"/>
    <w:rsid w:val="005D037D"/>
    <w:rsid w:val="005D0441"/>
    <w:rsid w:val="005D04ED"/>
    <w:rsid w:val="005D0658"/>
    <w:rsid w:val="005D07E0"/>
    <w:rsid w:val="005D100D"/>
    <w:rsid w:val="005D1148"/>
    <w:rsid w:val="005D1190"/>
    <w:rsid w:val="005D11EC"/>
    <w:rsid w:val="005D1515"/>
    <w:rsid w:val="005D165E"/>
    <w:rsid w:val="005D18C0"/>
    <w:rsid w:val="005D1AED"/>
    <w:rsid w:val="005D1B05"/>
    <w:rsid w:val="005D1BD5"/>
    <w:rsid w:val="005D205B"/>
    <w:rsid w:val="005D24EC"/>
    <w:rsid w:val="005D2543"/>
    <w:rsid w:val="005D2AE6"/>
    <w:rsid w:val="005D2C6E"/>
    <w:rsid w:val="005D2E12"/>
    <w:rsid w:val="005D2FF1"/>
    <w:rsid w:val="005D31B3"/>
    <w:rsid w:val="005D32A3"/>
    <w:rsid w:val="005D398A"/>
    <w:rsid w:val="005D3B21"/>
    <w:rsid w:val="005D3D11"/>
    <w:rsid w:val="005D3D6B"/>
    <w:rsid w:val="005D41CC"/>
    <w:rsid w:val="005D41DE"/>
    <w:rsid w:val="005D46C6"/>
    <w:rsid w:val="005D490C"/>
    <w:rsid w:val="005D4A4C"/>
    <w:rsid w:val="005D4B89"/>
    <w:rsid w:val="005D4BE1"/>
    <w:rsid w:val="005D4CF7"/>
    <w:rsid w:val="005D4F97"/>
    <w:rsid w:val="005D50D5"/>
    <w:rsid w:val="005D53F3"/>
    <w:rsid w:val="005D551C"/>
    <w:rsid w:val="005D591C"/>
    <w:rsid w:val="005D5DD3"/>
    <w:rsid w:val="005D624F"/>
    <w:rsid w:val="005D6831"/>
    <w:rsid w:val="005D6874"/>
    <w:rsid w:val="005D6A97"/>
    <w:rsid w:val="005D6EFE"/>
    <w:rsid w:val="005D6F59"/>
    <w:rsid w:val="005D7270"/>
    <w:rsid w:val="005D7B19"/>
    <w:rsid w:val="005D7C7B"/>
    <w:rsid w:val="005E008F"/>
    <w:rsid w:val="005E0460"/>
    <w:rsid w:val="005E06D0"/>
    <w:rsid w:val="005E07DD"/>
    <w:rsid w:val="005E08CE"/>
    <w:rsid w:val="005E1111"/>
    <w:rsid w:val="005E142A"/>
    <w:rsid w:val="005E1695"/>
    <w:rsid w:val="005E1809"/>
    <w:rsid w:val="005E1836"/>
    <w:rsid w:val="005E18FB"/>
    <w:rsid w:val="005E1BDA"/>
    <w:rsid w:val="005E1BF0"/>
    <w:rsid w:val="005E1ED6"/>
    <w:rsid w:val="005E2160"/>
    <w:rsid w:val="005E29C5"/>
    <w:rsid w:val="005E2CF2"/>
    <w:rsid w:val="005E2D5A"/>
    <w:rsid w:val="005E363E"/>
    <w:rsid w:val="005E3726"/>
    <w:rsid w:val="005E373B"/>
    <w:rsid w:val="005E379F"/>
    <w:rsid w:val="005E37D3"/>
    <w:rsid w:val="005E37D4"/>
    <w:rsid w:val="005E3841"/>
    <w:rsid w:val="005E3A30"/>
    <w:rsid w:val="005E3AD4"/>
    <w:rsid w:val="005E3D90"/>
    <w:rsid w:val="005E3EA4"/>
    <w:rsid w:val="005E418A"/>
    <w:rsid w:val="005E41CE"/>
    <w:rsid w:val="005E4286"/>
    <w:rsid w:val="005E4471"/>
    <w:rsid w:val="005E44CE"/>
    <w:rsid w:val="005E47DB"/>
    <w:rsid w:val="005E4BE8"/>
    <w:rsid w:val="005E4D1A"/>
    <w:rsid w:val="005E4DDD"/>
    <w:rsid w:val="005E4E94"/>
    <w:rsid w:val="005E5468"/>
    <w:rsid w:val="005E55C2"/>
    <w:rsid w:val="005E5898"/>
    <w:rsid w:val="005E5A21"/>
    <w:rsid w:val="005E5BBD"/>
    <w:rsid w:val="005E5C29"/>
    <w:rsid w:val="005E5C54"/>
    <w:rsid w:val="005E60C0"/>
    <w:rsid w:val="005E60DE"/>
    <w:rsid w:val="005E6436"/>
    <w:rsid w:val="005E660D"/>
    <w:rsid w:val="005E67FE"/>
    <w:rsid w:val="005E6F21"/>
    <w:rsid w:val="005E6FDB"/>
    <w:rsid w:val="005E78AE"/>
    <w:rsid w:val="005E7C3D"/>
    <w:rsid w:val="005E7CE3"/>
    <w:rsid w:val="005E7DB7"/>
    <w:rsid w:val="005E7DCC"/>
    <w:rsid w:val="005E7DDE"/>
    <w:rsid w:val="005E7F27"/>
    <w:rsid w:val="005E7FA2"/>
    <w:rsid w:val="005F0181"/>
    <w:rsid w:val="005F0224"/>
    <w:rsid w:val="005F02E3"/>
    <w:rsid w:val="005F079D"/>
    <w:rsid w:val="005F104C"/>
    <w:rsid w:val="005F1194"/>
    <w:rsid w:val="005F12E1"/>
    <w:rsid w:val="005F15C5"/>
    <w:rsid w:val="005F16AA"/>
    <w:rsid w:val="005F1760"/>
    <w:rsid w:val="005F176A"/>
    <w:rsid w:val="005F1818"/>
    <w:rsid w:val="005F1B52"/>
    <w:rsid w:val="005F1C7C"/>
    <w:rsid w:val="005F1F23"/>
    <w:rsid w:val="005F1FE4"/>
    <w:rsid w:val="005F1FE6"/>
    <w:rsid w:val="005F20BA"/>
    <w:rsid w:val="005F25A9"/>
    <w:rsid w:val="005F29B7"/>
    <w:rsid w:val="005F2D6B"/>
    <w:rsid w:val="005F2DD9"/>
    <w:rsid w:val="005F30E0"/>
    <w:rsid w:val="005F30F9"/>
    <w:rsid w:val="005F32D8"/>
    <w:rsid w:val="005F34FE"/>
    <w:rsid w:val="005F36B4"/>
    <w:rsid w:val="005F3C2A"/>
    <w:rsid w:val="005F3C7E"/>
    <w:rsid w:val="005F453E"/>
    <w:rsid w:val="005F460A"/>
    <w:rsid w:val="005F46F2"/>
    <w:rsid w:val="005F4777"/>
    <w:rsid w:val="005F4B34"/>
    <w:rsid w:val="005F4B59"/>
    <w:rsid w:val="005F4FB3"/>
    <w:rsid w:val="005F501D"/>
    <w:rsid w:val="005F5744"/>
    <w:rsid w:val="005F57D1"/>
    <w:rsid w:val="005F5A7E"/>
    <w:rsid w:val="005F5BBC"/>
    <w:rsid w:val="005F5F69"/>
    <w:rsid w:val="005F6548"/>
    <w:rsid w:val="005F6683"/>
    <w:rsid w:val="005F6699"/>
    <w:rsid w:val="005F671B"/>
    <w:rsid w:val="005F69AC"/>
    <w:rsid w:val="005F6C25"/>
    <w:rsid w:val="005F6DE4"/>
    <w:rsid w:val="005F70FA"/>
    <w:rsid w:val="005F76ED"/>
    <w:rsid w:val="005F7C4B"/>
    <w:rsid w:val="006000A7"/>
    <w:rsid w:val="006000B5"/>
    <w:rsid w:val="00600115"/>
    <w:rsid w:val="006004FA"/>
    <w:rsid w:val="0060075E"/>
    <w:rsid w:val="006008FE"/>
    <w:rsid w:val="00600921"/>
    <w:rsid w:val="00600CBA"/>
    <w:rsid w:val="006010BC"/>
    <w:rsid w:val="00601253"/>
    <w:rsid w:val="00601290"/>
    <w:rsid w:val="006013D2"/>
    <w:rsid w:val="006013F1"/>
    <w:rsid w:val="00601415"/>
    <w:rsid w:val="00601744"/>
    <w:rsid w:val="00601931"/>
    <w:rsid w:val="00601C45"/>
    <w:rsid w:val="00601C7E"/>
    <w:rsid w:val="00601DA4"/>
    <w:rsid w:val="00601FA1"/>
    <w:rsid w:val="00602074"/>
    <w:rsid w:val="006020F4"/>
    <w:rsid w:val="00602344"/>
    <w:rsid w:val="0060245F"/>
    <w:rsid w:val="00602566"/>
    <w:rsid w:val="00602596"/>
    <w:rsid w:val="006028C3"/>
    <w:rsid w:val="00602969"/>
    <w:rsid w:val="00602B9D"/>
    <w:rsid w:val="00602CD7"/>
    <w:rsid w:val="00602D78"/>
    <w:rsid w:val="00602E86"/>
    <w:rsid w:val="00602F77"/>
    <w:rsid w:val="00602FAF"/>
    <w:rsid w:val="00603395"/>
    <w:rsid w:val="006035ED"/>
    <w:rsid w:val="006036AF"/>
    <w:rsid w:val="00603758"/>
    <w:rsid w:val="006039AC"/>
    <w:rsid w:val="00603A33"/>
    <w:rsid w:val="00603A4A"/>
    <w:rsid w:val="00603A66"/>
    <w:rsid w:val="00603B6F"/>
    <w:rsid w:val="00604176"/>
    <w:rsid w:val="00604451"/>
    <w:rsid w:val="006048AD"/>
    <w:rsid w:val="00604ABC"/>
    <w:rsid w:val="00604DE0"/>
    <w:rsid w:val="00604E97"/>
    <w:rsid w:val="00605090"/>
    <w:rsid w:val="0060537E"/>
    <w:rsid w:val="006054B1"/>
    <w:rsid w:val="00605796"/>
    <w:rsid w:val="00605812"/>
    <w:rsid w:val="00605959"/>
    <w:rsid w:val="00605AD9"/>
    <w:rsid w:val="00605B07"/>
    <w:rsid w:val="00605CDC"/>
    <w:rsid w:val="00605D6D"/>
    <w:rsid w:val="00605DF3"/>
    <w:rsid w:val="00605E25"/>
    <w:rsid w:val="00606653"/>
    <w:rsid w:val="00606A6D"/>
    <w:rsid w:val="00606C6E"/>
    <w:rsid w:val="00606CB9"/>
    <w:rsid w:val="006074FC"/>
    <w:rsid w:val="00607F1C"/>
    <w:rsid w:val="006100FD"/>
    <w:rsid w:val="0061043D"/>
    <w:rsid w:val="0061081C"/>
    <w:rsid w:val="00610B0D"/>
    <w:rsid w:val="00610C77"/>
    <w:rsid w:val="006111F0"/>
    <w:rsid w:val="006112AE"/>
    <w:rsid w:val="0061138C"/>
    <w:rsid w:val="0061164D"/>
    <w:rsid w:val="00611D22"/>
    <w:rsid w:val="00611D2C"/>
    <w:rsid w:val="00611EC0"/>
    <w:rsid w:val="00611FFB"/>
    <w:rsid w:val="0061220A"/>
    <w:rsid w:val="0061248A"/>
    <w:rsid w:val="0061254D"/>
    <w:rsid w:val="00612710"/>
    <w:rsid w:val="0061295E"/>
    <w:rsid w:val="00612B81"/>
    <w:rsid w:val="00612DEB"/>
    <w:rsid w:val="00612E28"/>
    <w:rsid w:val="00612ECD"/>
    <w:rsid w:val="00612F87"/>
    <w:rsid w:val="00613143"/>
    <w:rsid w:val="00613533"/>
    <w:rsid w:val="00613901"/>
    <w:rsid w:val="006139BC"/>
    <w:rsid w:val="006140DC"/>
    <w:rsid w:val="00614121"/>
    <w:rsid w:val="00614699"/>
    <w:rsid w:val="00614736"/>
    <w:rsid w:val="0061487F"/>
    <w:rsid w:val="00614889"/>
    <w:rsid w:val="00614A82"/>
    <w:rsid w:val="00615102"/>
    <w:rsid w:val="00615320"/>
    <w:rsid w:val="006153B8"/>
    <w:rsid w:val="006153C7"/>
    <w:rsid w:val="00615525"/>
    <w:rsid w:val="006156A0"/>
    <w:rsid w:val="00615A1D"/>
    <w:rsid w:val="00615B3D"/>
    <w:rsid w:val="00615BE1"/>
    <w:rsid w:val="00615EF2"/>
    <w:rsid w:val="0061612A"/>
    <w:rsid w:val="00616151"/>
    <w:rsid w:val="006161C7"/>
    <w:rsid w:val="006163D8"/>
    <w:rsid w:val="00616D3D"/>
    <w:rsid w:val="00616F3A"/>
    <w:rsid w:val="00616FF3"/>
    <w:rsid w:val="0061710B"/>
    <w:rsid w:val="006172AD"/>
    <w:rsid w:val="006178AA"/>
    <w:rsid w:val="00617EC8"/>
    <w:rsid w:val="00617F7B"/>
    <w:rsid w:val="00617F9E"/>
    <w:rsid w:val="00617FA9"/>
    <w:rsid w:val="00620176"/>
    <w:rsid w:val="00620277"/>
    <w:rsid w:val="006202D5"/>
    <w:rsid w:val="00620449"/>
    <w:rsid w:val="00620503"/>
    <w:rsid w:val="00620A24"/>
    <w:rsid w:val="00620C33"/>
    <w:rsid w:val="00620C76"/>
    <w:rsid w:val="00620F24"/>
    <w:rsid w:val="0062111C"/>
    <w:rsid w:val="00621312"/>
    <w:rsid w:val="006214EF"/>
    <w:rsid w:val="006217F7"/>
    <w:rsid w:val="00621E7E"/>
    <w:rsid w:val="00622058"/>
    <w:rsid w:val="006224A3"/>
    <w:rsid w:val="00622642"/>
    <w:rsid w:val="0062268B"/>
    <w:rsid w:val="0062269E"/>
    <w:rsid w:val="00622F52"/>
    <w:rsid w:val="0062331D"/>
    <w:rsid w:val="006237E2"/>
    <w:rsid w:val="00623BC4"/>
    <w:rsid w:val="00624552"/>
    <w:rsid w:val="00624653"/>
    <w:rsid w:val="00624664"/>
    <w:rsid w:val="006249D6"/>
    <w:rsid w:val="00624ABA"/>
    <w:rsid w:val="00624AE3"/>
    <w:rsid w:val="00624CB1"/>
    <w:rsid w:val="00625156"/>
    <w:rsid w:val="00625801"/>
    <w:rsid w:val="00625AAB"/>
    <w:rsid w:val="00625E32"/>
    <w:rsid w:val="00625F27"/>
    <w:rsid w:val="00625FC4"/>
    <w:rsid w:val="00626152"/>
    <w:rsid w:val="00626B2F"/>
    <w:rsid w:val="0062708A"/>
    <w:rsid w:val="00627091"/>
    <w:rsid w:val="00627341"/>
    <w:rsid w:val="0062757C"/>
    <w:rsid w:val="00627DC8"/>
    <w:rsid w:val="00627E19"/>
    <w:rsid w:val="00630391"/>
    <w:rsid w:val="006304FC"/>
    <w:rsid w:val="00630653"/>
    <w:rsid w:val="00630D65"/>
    <w:rsid w:val="00630E7C"/>
    <w:rsid w:val="0063103E"/>
    <w:rsid w:val="00631268"/>
    <w:rsid w:val="00631C18"/>
    <w:rsid w:val="00631C72"/>
    <w:rsid w:val="00632263"/>
    <w:rsid w:val="006324EE"/>
    <w:rsid w:val="00632549"/>
    <w:rsid w:val="00632C47"/>
    <w:rsid w:val="00632D4A"/>
    <w:rsid w:val="00633089"/>
    <w:rsid w:val="006332FD"/>
    <w:rsid w:val="00633420"/>
    <w:rsid w:val="00633424"/>
    <w:rsid w:val="006334E9"/>
    <w:rsid w:val="006335A7"/>
    <w:rsid w:val="0063394A"/>
    <w:rsid w:val="00633B73"/>
    <w:rsid w:val="00633D04"/>
    <w:rsid w:val="00634077"/>
    <w:rsid w:val="00634472"/>
    <w:rsid w:val="0063478C"/>
    <w:rsid w:val="0063478F"/>
    <w:rsid w:val="006347B6"/>
    <w:rsid w:val="0063494C"/>
    <w:rsid w:val="00634A4F"/>
    <w:rsid w:val="00634E32"/>
    <w:rsid w:val="00634FA3"/>
    <w:rsid w:val="006351E8"/>
    <w:rsid w:val="006355F9"/>
    <w:rsid w:val="0063560F"/>
    <w:rsid w:val="00635957"/>
    <w:rsid w:val="00635AA9"/>
    <w:rsid w:val="00635B9B"/>
    <w:rsid w:val="00635D9A"/>
    <w:rsid w:val="006361A4"/>
    <w:rsid w:val="00636221"/>
    <w:rsid w:val="00636725"/>
    <w:rsid w:val="00636BE4"/>
    <w:rsid w:val="00636C75"/>
    <w:rsid w:val="00636C93"/>
    <w:rsid w:val="00636D95"/>
    <w:rsid w:val="00636DBA"/>
    <w:rsid w:val="00636EE9"/>
    <w:rsid w:val="00636F7B"/>
    <w:rsid w:val="00636F95"/>
    <w:rsid w:val="006372AA"/>
    <w:rsid w:val="006373AA"/>
    <w:rsid w:val="006377C0"/>
    <w:rsid w:val="00637BB1"/>
    <w:rsid w:val="00637FE2"/>
    <w:rsid w:val="00637FFB"/>
    <w:rsid w:val="00640207"/>
    <w:rsid w:val="006408F4"/>
    <w:rsid w:val="00640945"/>
    <w:rsid w:val="006409BB"/>
    <w:rsid w:val="00640BCE"/>
    <w:rsid w:val="00640DC1"/>
    <w:rsid w:val="00640EF8"/>
    <w:rsid w:val="00640F74"/>
    <w:rsid w:val="00640F91"/>
    <w:rsid w:val="006413B4"/>
    <w:rsid w:val="00641440"/>
    <w:rsid w:val="006417DC"/>
    <w:rsid w:val="00641CAF"/>
    <w:rsid w:val="00641FD1"/>
    <w:rsid w:val="00642050"/>
    <w:rsid w:val="006420CA"/>
    <w:rsid w:val="00642115"/>
    <w:rsid w:val="00642210"/>
    <w:rsid w:val="00642294"/>
    <w:rsid w:val="0064272D"/>
    <w:rsid w:val="00642835"/>
    <w:rsid w:val="00642AAE"/>
    <w:rsid w:val="00642C43"/>
    <w:rsid w:val="00642D6A"/>
    <w:rsid w:val="00643356"/>
    <w:rsid w:val="0064336A"/>
    <w:rsid w:val="0064344E"/>
    <w:rsid w:val="00643535"/>
    <w:rsid w:val="0064358F"/>
    <w:rsid w:val="0064373A"/>
    <w:rsid w:val="0064469F"/>
    <w:rsid w:val="006448CC"/>
    <w:rsid w:val="00644B60"/>
    <w:rsid w:val="00644D64"/>
    <w:rsid w:val="00644DC3"/>
    <w:rsid w:val="0064562F"/>
    <w:rsid w:val="006456C0"/>
    <w:rsid w:val="006458E6"/>
    <w:rsid w:val="00645949"/>
    <w:rsid w:val="00645ED4"/>
    <w:rsid w:val="0064606D"/>
    <w:rsid w:val="006466E2"/>
    <w:rsid w:val="00646A51"/>
    <w:rsid w:val="00646F6F"/>
    <w:rsid w:val="0064700C"/>
    <w:rsid w:val="006470B7"/>
    <w:rsid w:val="0064759B"/>
    <w:rsid w:val="006475A8"/>
    <w:rsid w:val="00647810"/>
    <w:rsid w:val="006478D2"/>
    <w:rsid w:val="00647973"/>
    <w:rsid w:val="00647E58"/>
    <w:rsid w:val="00647EFA"/>
    <w:rsid w:val="006502CF"/>
    <w:rsid w:val="00650517"/>
    <w:rsid w:val="00650662"/>
    <w:rsid w:val="0065067D"/>
    <w:rsid w:val="006506F6"/>
    <w:rsid w:val="00650725"/>
    <w:rsid w:val="00650794"/>
    <w:rsid w:val="00650915"/>
    <w:rsid w:val="00650961"/>
    <w:rsid w:val="0065099B"/>
    <w:rsid w:val="00650DDA"/>
    <w:rsid w:val="0065107B"/>
    <w:rsid w:val="00651111"/>
    <w:rsid w:val="006511D0"/>
    <w:rsid w:val="006514AB"/>
    <w:rsid w:val="006518AA"/>
    <w:rsid w:val="006519CA"/>
    <w:rsid w:val="00651AB6"/>
    <w:rsid w:val="00651CB3"/>
    <w:rsid w:val="006523A8"/>
    <w:rsid w:val="0065245F"/>
    <w:rsid w:val="006524A9"/>
    <w:rsid w:val="0065280C"/>
    <w:rsid w:val="00652B3B"/>
    <w:rsid w:val="00652C56"/>
    <w:rsid w:val="0065312B"/>
    <w:rsid w:val="006531DD"/>
    <w:rsid w:val="0065323A"/>
    <w:rsid w:val="0065351B"/>
    <w:rsid w:val="0065355D"/>
    <w:rsid w:val="00653785"/>
    <w:rsid w:val="00653E95"/>
    <w:rsid w:val="00654573"/>
    <w:rsid w:val="00654625"/>
    <w:rsid w:val="006547E0"/>
    <w:rsid w:val="0065496D"/>
    <w:rsid w:val="00655054"/>
    <w:rsid w:val="006551B4"/>
    <w:rsid w:val="00655586"/>
    <w:rsid w:val="00655870"/>
    <w:rsid w:val="00655A8A"/>
    <w:rsid w:val="00655BD2"/>
    <w:rsid w:val="006563BE"/>
    <w:rsid w:val="0065655E"/>
    <w:rsid w:val="00656663"/>
    <w:rsid w:val="0065693A"/>
    <w:rsid w:val="0065703C"/>
    <w:rsid w:val="00657069"/>
    <w:rsid w:val="0065729E"/>
    <w:rsid w:val="0065759F"/>
    <w:rsid w:val="0065760C"/>
    <w:rsid w:val="00657808"/>
    <w:rsid w:val="0065793E"/>
    <w:rsid w:val="00657BB2"/>
    <w:rsid w:val="00657C74"/>
    <w:rsid w:val="00657C97"/>
    <w:rsid w:val="00660142"/>
    <w:rsid w:val="006602BA"/>
    <w:rsid w:val="006604FB"/>
    <w:rsid w:val="006609F5"/>
    <w:rsid w:val="00660A83"/>
    <w:rsid w:val="00660C59"/>
    <w:rsid w:val="00661223"/>
    <w:rsid w:val="0066152E"/>
    <w:rsid w:val="00661749"/>
    <w:rsid w:val="00662719"/>
    <w:rsid w:val="00662AF3"/>
    <w:rsid w:val="00662B08"/>
    <w:rsid w:val="00662CE3"/>
    <w:rsid w:val="00662D4A"/>
    <w:rsid w:val="00662E28"/>
    <w:rsid w:val="00662E9B"/>
    <w:rsid w:val="006630A2"/>
    <w:rsid w:val="0066317B"/>
    <w:rsid w:val="00663229"/>
    <w:rsid w:val="006637C7"/>
    <w:rsid w:val="0066386A"/>
    <w:rsid w:val="00663B39"/>
    <w:rsid w:val="00663C72"/>
    <w:rsid w:val="00663CA3"/>
    <w:rsid w:val="00663D59"/>
    <w:rsid w:val="00663D65"/>
    <w:rsid w:val="006641F0"/>
    <w:rsid w:val="006646CB"/>
    <w:rsid w:val="00664AA6"/>
    <w:rsid w:val="00664ED7"/>
    <w:rsid w:val="00665176"/>
    <w:rsid w:val="00665290"/>
    <w:rsid w:val="006655BE"/>
    <w:rsid w:val="006655DE"/>
    <w:rsid w:val="0066564B"/>
    <w:rsid w:val="006657C4"/>
    <w:rsid w:val="006658D2"/>
    <w:rsid w:val="00665A9B"/>
    <w:rsid w:val="00665CF8"/>
    <w:rsid w:val="00665D48"/>
    <w:rsid w:val="00665FAC"/>
    <w:rsid w:val="0066603E"/>
    <w:rsid w:val="00666241"/>
    <w:rsid w:val="006673E0"/>
    <w:rsid w:val="0066752F"/>
    <w:rsid w:val="006676CF"/>
    <w:rsid w:val="006678A0"/>
    <w:rsid w:val="00667A5F"/>
    <w:rsid w:val="00667E0B"/>
    <w:rsid w:val="00667E3F"/>
    <w:rsid w:val="006702A8"/>
    <w:rsid w:val="00670376"/>
    <w:rsid w:val="00670465"/>
    <w:rsid w:val="00670579"/>
    <w:rsid w:val="00670A2F"/>
    <w:rsid w:val="00670AC0"/>
    <w:rsid w:val="00670B27"/>
    <w:rsid w:val="00670B42"/>
    <w:rsid w:val="00670C77"/>
    <w:rsid w:val="00670E3C"/>
    <w:rsid w:val="00670ED1"/>
    <w:rsid w:val="0067173F"/>
    <w:rsid w:val="006717CC"/>
    <w:rsid w:val="00671E86"/>
    <w:rsid w:val="0067213C"/>
    <w:rsid w:val="0067232E"/>
    <w:rsid w:val="00672333"/>
    <w:rsid w:val="00672540"/>
    <w:rsid w:val="006726D4"/>
    <w:rsid w:val="0067299F"/>
    <w:rsid w:val="006729E5"/>
    <w:rsid w:val="00672B2A"/>
    <w:rsid w:val="00672E5D"/>
    <w:rsid w:val="00672F6A"/>
    <w:rsid w:val="006734A7"/>
    <w:rsid w:val="00673799"/>
    <w:rsid w:val="0067380B"/>
    <w:rsid w:val="006738E5"/>
    <w:rsid w:val="00673AC5"/>
    <w:rsid w:val="00673BDD"/>
    <w:rsid w:val="00673FCB"/>
    <w:rsid w:val="0067436A"/>
    <w:rsid w:val="006745E6"/>
    <w:rsid w:val="0067479B"/>
    <w:rsid w:val="006748B5"/>
    <w:rsid w:val="00674AAD"/>
    <w:rsid w:val="00674DA3"/>
    <w:rsid w:val="00675138"/>
    <w:rsid w:val="006752E7"/>
    <w:rsid w:val="00675304"/>
    <w:rsid w:val="006753E2"/>
    <w:rsid w:val="006754FF"/>
    <w:rsid w:val="00675C1D"/>
    <w:rsid w:val="00675F01"/>
    <w:rsid w:val="00675F17"/>
    <w:rsid w:val="0067600D"/>
    <w:rsid w:val="006765EE"/>
    <w:rsid w:val="00676617"/>
    <w:rsid w:val="00676AC5"/>
    <w:rsid w:val="00676DA9"/>
    <w:rsid w:val="006770A0"/>
    <w:rsid w:val="00677155"/>
    <w:rsid w:val="006771AD"/>
    <w:rsid w:val="00677251"/>
    <w:rsid w:val="0067763B"/>
    <w:rsid w:val="006776FE"/>
    <w:rsid w:val="00677818"/>
    <w:rsid w:val="00677A18"/>
    <w:rsid w:val="00677D05"/>
    <w:rsid w:val="00677E12"/>
    <w:rsid w:val="00677E7E"/>
    <w:rsid w:val="00677E98"/>
    <w:rsid w:val="00677EBB"/>
    <w:rsid w:val="00680006"/>
    <w:rsid w:val="00680028"/>
    <w:rsid w:val="00680035"/>
    <w:rsid w:val="0068069D"/>
    <w:rsid w:val="00680753"/>
    <w:rsid w:val="00680960"/>
    <w:rsid w:val="00681112"/>
    <w:rsid w:val="006811FC"/>
    <w:rsid w:val="0068129A"/>
    <w:rsid w:val="0068137D"/>
    <w:rsid w:val="00681433"/>
    <w:rsid w:val="00681503"/>
    <w:rsid w:val="006816E6"/>
    <w:rsid w:val="00681D98"/>
    <w:rsid w:val="00682348"/>
    <w:rsid w:val="006825BB"/>
    <w:rsid w:val="006825D1"/>
    <w:rsid w:val="00682A9D"/>
    <w:rsid w:val="00682C10"/>
    <w:rsid w:val="00682D14"/>
    <w:rsid w:val="00682D40"/>
    <w:rsid w:val="0068387C"/>
    <w:rsid w:val="00683966"/>
    <w:rsid w:val="00683B78"/>
    <w:rsid w:val="00683D6F"/>
    <w:rsid w:val="00683DCD"/>
    <w:rsid w:val="00683EB5"/>
    <w:rsid w:val="00683EF7"/>
    <w:rsid w:val="0068473F"/>
    <w:rsid w:val="00684A3B"/>
    <w:rsid w:val="00684A59"/>
    <w:rsid w:val="00684BF4"/>
    <w:rsid w:val="00684E75"/>
    <w:rsid w:val="00684FE9"/>
    <w:rsid w:val="006856FC"/>
    <w:rsid w:val="00685A00"/>
    <w:rsid w:val="00685CE3"/>
    <w:rsid w:val="00685D6C"/>
    <w:rsid w:val="00685E41"/>
    <w:rsid w:val="00686517"/>
    <w:rsid w:val="0068672B"/>
    <w:rsid w:val="00686778"/>
    <w:rsid w:val="006868AC"/>
    <w:rsid w:val="0068694B"/>
    <w:rsid w:val="00686B92"/>
    <w:rsid w:val="00686D44"/>
    <w:rsid w:val="00686E80"/>
    <w:rsid w:val="00686F10"/>
    <w:rsid w:val="00686FA0"/>
    <w:rsid w:val="0068727D"/>
    <w:rsid w:val="0068731C"/>
    <w:rsid w:val="006877D3"/>
    <w:rsid w:val="00687D52"/>
    <w:rsid w:val="00687F81"/>
    <w:rsid w:val="0069000E"/>
    <w:rsid w:val="0069008C"/>
    <w:rsid w:val="006901E8"/>
    <w:rsid w:val="00690662"/>
    <w:rsid w:val="00690C2B"/>
    <w:rsid w:val="00690CEF"/>
    <w:rsid w:val="00690EE8"/>
    <w:rsid w:val="0069187F"/>
    <w:rsid w:val="00691B59"/>
    <w:rsid w:val="00691BF3"/>
    <w:rsid w:val="00691C5B"/>
    <w:rsid w:val="00692057"/>
    <w:rsid w:val="00692233"/>
    <w:rsid w:val="0069228C"/>
    <w:rsid w:val="0069240F"/>
    <w:rsid w:val="00692903"/>
    <w:rsid w:val="0069299B"/>
    <w:rsid w:val="00692AC9"/>
    <w:rsid w:val="00692DFA"/>
    <w:rsid w:val="0069342F"/>
    <w:rsid w:val="0069355E"/>
    <w:rsid w:val="006935F1"/>
    <w:rsid w:val="006937C9"/>
    <w:rsid w:val="00693A3C"/>
    <w:rsid w:val="006946AB"/>
    <w:rsid w:val="00694717"/>
    <w:rsid w:val="0069485B"/>
    <w:rsid w:val="00694AB7"/>
    <w:rsid w:val="006957F7"/>
    <w:rsid w:val="00695B1A"/>
    <w:rsid w:val="00695D01"/>
    <w:rsid w:val="00696295"/>
    <w:rsid w:val="006962A2"/>
    <w:rsid w:val="006962B5"/>
    <w:rsid w:val="00696581"/>
    <w:rsid w:val="00696631"/>
    <w:rsid w:val="0069663A"/>
    <w:rsid w:val="0069677B"/>
    <w:rsid w:val="00696869"/>
    <w:rsid w:val="006968A2"/>
    <w:rsid w:val="00696AEF"/>
    <w:rsid w:val="0069737A"/>
    <w:rsid w:val="006976AE"/>
    <w:rsid w:val="006976B8"/>
    <w:rsid w:val="006979C0"/>
    <w:rsid w:val="00697AAB"/>
    <w:rsid w:val="00697B14"/>
    <w:rsid w:val="00697D67"/>
    <w:rsid w:val="00697EAF"/>
    <w:rsid w:val="00697F76"/>
    <w:rsid w:val="00697FDC"/>
    <w:rsid w:val="006A036A"/>
    <w:rsid w:val="006A117E"/>
    <w:rsid w:val="006A12BD"/>
    <w:rsid w:val="006A1A24"/>
    <w:rsid w:val="006A1CAF"/>
    <w:rsid w:val="006A1E52"/>
    <w:rsid w:val="006A247A"/>
    <w:rsid w:val="006A24C9"/>
    <w:rsid w:val="006A2606"/>
    <w:rsid w:val="006A26B8"/>
    <w:rsid w:val="006A272F"/>
    <w:rsid w:val="006A2815"/>
    <w:rsid w:val="006A2BC3"/>
    <w:rsid w:val="006A2C40"/>
    <w:rsid w:val="006A32F7"/>
    <w:rsid w:val="006A34DA"/>
    <w:rsid w:val="006A3507"/>
    <w:rsid w:val="006A371E"/>
    <w:rsid w:val="006A373A"/>
    <w:rsid w:val="006A387A"/>
    <w:rsid w:val="006A3A98"/>
    <w:rsid w:val="006A3BF1"/>
    <w:rsid w:val="006A400D"/>
    <w:rsid w:val="006A48FC"/>
    <w:rsid w:val="006A4935"/>
    <w:rsid w:val="006A4BB7"/>
    <w:rsid w:val="006A4F92"/>
    <w:rsid w:val="006A52C0"/>
    <w:rsid w:val="006A581C"/>
    <w:rsid w:val="006A58B1"/>
    <w:rsid w:val="006A6034"/>
    <w:rsid w:val="006A62CF"/>
    <w:rsid w:val="006A668A"/>
    <w:rsid w:val="006A679B"/>
    <w:rsid w:val="006A6B0E"/>
    <w:rsid w:val="006A6EE2"/>
    <w:rsid w:val="006A6FB6"/>
    <w:rsid w:val="006A70A5"/>
    <w:rsid w:val="006A7406"/>
    <w:rsid w:val="006A740A"/>
    <w:rsid w:val="006A7468"/>
    <w:rsid w:val="006A74C6"/>
    <w:rsid w:val="006A7569"/>
    <w:rsid w:val="006A75CE"/>
    <w:rsid w:val="006A768C"/>
    <w:rsid w:val="006A7738"/>
    <w:rsid w:val="006A77C7"/>
    <w:rsid w:val="006A7956"/>
    <w:rsid w:val="006A7AB2"/>
    <w:rsid w:val="006A7FF3"/>
    <w:rsid w:val="006B00C1"/>
    <w:rsid w:val="006B034B"/>
    <w:rsid w:val="006B0469"/>
    <w:rsid w:val="006B08AF"/>
    <w:rsid w:val="006B0B1D"/>
    <w:rsid w:val="006B0BFA"/>
    <w:rsid w:val="006B0C5A"/>
    <w:rsid w:val="006B0D12"/>
    <w:rsid w:val="006B0D15"/>
    <w:rsid w:val="006B153F"/>
    <w:rsid w:val="006B15BC"/>
    <w:rsid w:val="006B160E"/>
    <w:rsid w:val="006B16BF"/>
    <w:rsid w:val="006B18E9"/>
    <w:rsid w:val="006B1CA0"/>
    <w:rsid w:val="006B27B7"/>
    <w:rsid w:val="006B2917"/>
    <w:rsid w:val="006B2974"/>
    <w:rsid w:val="006B2BF4"/>
    <w:rsid w:val="006B2E4A"/>
    <w:rsid w:val="006B2E99"/>
    <w:rsid w:val="006B2F8D"/>
    <w:rsid w:val="006B2FDB"/>
    <w:rsid w:val="006B3189"/>
    <w:rsid w:val="006B31A8"/>
    <w:rsid w:val="006B34AE"/>
    <w:rsid w:val="006B383C"/>
    <w:rsid w:val="006B3A80"/>
    <w:rsid w:val="006B3B65"/>
    <w:rsid w:val="006B3C13"/>
    <w:rsid w:val="006B3D16"/>
    <w:rsid w:val="006B3D63"/>
    <w:rsid w:val="006B4430"/>
    <w:rsid w:val="006B4591"/>
    <w:rsid w:val="006B47F6"/>
    <w:rsid w:val="006B4DDC"/>
    <w:rsid w:val="006B4DF1"/>
    <w:rsid w:val="006B4E5E"/>
    <w:rsid w:val="006B4EA4"/>
    <w:rsid w:val="006B504B"/>
    <w:rsid w:val="006B523D"/>
    <w:rsid w:val="006B5552"/>
    <w:rsid w:val="006B55D2"/>
    <w:rsid w:val="006B5617"/>
    <w:rsid w:val="006B57CB"/>
    <w:rsid w:val="006B5F43"/>
    <w:rsid w:val="006B6031"/>
    <w:rsid w:val="006B629B"/>
    <w:rsid w:val="006B63F3"/>
    <w:rsid w:val="006B672A"/>
    <w:rsid w:val="006B6787"/>
    <w:rsid w:val="006B6C0E"/>
    <w:rsid w:val="006B6D45"/>
    <w:rsid w:val="006B6DBF"/>
    <w:rsid w:val="006B6E0E"/>
    <w:rsid w:val="006B6EE1"/>
    <w:rsid w:val="006B6F82"/>
    <w:rsid w:val="006B74FD"/>
    <w:rsid w:val="006B781C"/>
    <w:rsid w:val="006C0049"/>
    <w:rsid w:val="006C026D"/>
    <w:rsid w:val="006C02B8"/>
    <w:rsid w:val="006C04FE"/>
    <w:rsid w:val="006C0C72"/>
    <w:rsid w:val="006C0F13"/>
    <w:rsid w:val="006C10D4"/>
    <w:rsid w:val="006C170F"/>
    <w:rsid w:val="006C1762"/>
    <w:rsid w:val="006C1A56"/>
    <w:rsid w:val="006C1CC7"/>
    <w:rsid w:val="006C1EA2"/>
    <w:rsid w:val="006C1FA2"/>
    <w:rsid w:val="006C1FAC"/>
    <w:rsid w:val="006C226F"/>
    <w:rsid w:val="006C2333"/>
    <w:rsid w:val="006C2409"/>
    <w:rsid w:val="006C266A"/>
    <w:rsid w:val="006C2C37"/>
    <w:rsid w:val="006C2E5A"/>
    <w:rsid w:val="006C2F4F"/>
    <w:rsid w:val="006C30E9"/>
    <w:rsid w:val="006C310B"/>
    <w:rsid w:val="006C3338"/>
    <w:rsid w:val="006C34AD"/>
    <w:rsid w:val="006C3698"/>
    <w:rsid w:val="006C38C5"/>
    <w:rsid w:val="006C3F14"/>
    <w:rsid w:val="006C3F52"/>
    <w:rsid w:val="006C4070"/>
    <w:rsid w:val="006C4252"/>
    <w:rsid w:val="006C4B6A"/>
    <w:rsid w:val="006C509C"/>
    <w:rsid w:val="006C5359"/>
    <w:rsid w:val="006C53CD"/>
    <w:rsid w:val="006C56B2"/>
    <w:rsid w:val="006C587C"/>
    <w:rsid w:val="006C5B5E"/>
    <w:rsid w:val="006C5BC4"/>
    <w:rsid w:val="006C609C"/>
    <w:rsid w:val="006C6364"/>
    <w:rsid w:val="006C6758"/>
    <w:rsid w:val="006C67AE"/>
    <w:rsid w:val="006C688E"/>
    <w:rsid w:val="006C68D1"/>
    <w:rsid w:val="006C6963"/>
    <w:rsid w:val="006C7089"/>
    <w:rsid w:val="006C72DF"/>
    <w:rsid w:val="006C751B"/>
    <w:rsid w:val="006C7635"/>
    <w:rsid w:val="006C7D68"/>
    <w:rsid w:val="006C7D74"/>
    <w:rsid w:val="006C7EAF"/>
    <w:rsid w:val="006C7EEB"/>
    <w:rsid w:val="006C7FE8"/>
    <w:rsid w:val="006D0012"/>
    <w:rsid w:val="006D0041"/>
    <w:rsid w:val="006D02FF"/>
    <w:rsid w:val="006D03A4"/>
    <w:rsid w:val="006D040A"/>
    <w:rsid w:val="006D0491"/>
    <w:rsid w:val="006D0519"/>
    <w:rsid w:val="006D0A8B"/>
    <w:rsid w:val="006D0BEA"/>
    <w:rsid w:val="006D0C82"/>
    <w:rsid w:val="006D0D61"/>
    <w:rsid w:val="006D0DAE"/>
    <w:rsid w:val="006D0FF8"/>
    <w:rsid w:val="006D11F9"/>
    <w:rsid w:val="006D176A"/>
    <w:rsid w:val="006D18B2"/>
    <w:rsid w:val="006D1C4F"/>
    <w:rsid w:val="006D1D8A"/>
    <w:rsid w:val="006D1E01"/>
    <w:rsid w:val="006D1EEA"/>
    <w:rsid w:val="006D218D"/>
    <w:rsid w:val="006D244B"/>
    <w:rsid w:val="006D2A92"/>
    <w:rsid w:val="006D2B7B"/>
    <w:rsid w:val="006D2FC6"/>
    <w:rsid w:val="006D3040"/>
    <w:rsid w:val="006D306A"/>
    <w:rsid w:val="006D3389"/>
    <w:rsid w:val="006D3560"/>
    <w:rsid w:val="006D364C"/>
    <w:rsid w:val="006D3DA8"/>
    <w:rsid w:val="006D3E8F"/>
    <w:rsid w:val="006D46C2"/>
    <w:rsid w:val="006D4747"/>
    <w:rsid w:val="006D4902"/>
    <w:rsid w:val="006D492A"/>
    <w:rsid w:val="006D4BBC"/>
    <w:rsid w:val="006D4EEF"/>
    <w:rsid w:val="006D4FA4"/>
    <w:rsid w:val="006D5462"/>
    <w:rsid w:val="006D5581"/>
    <w:rsid w:val="006D572C"/>
    <w:rsid w:val="006D57E8"/>
    <w:rsid w:val="006D57F0"/>
    <w:rsid w:val="006D5995"/>
    <w:rsid w:val="006D5B9D"/>
    <w:rsid w:val="006D5BA9"/>
    <w:rsid w:val="006D6061"/>
    <w:rsid w:val="006D60D2"/>
    <w:rsid w:val="006D624B"/>
    <w:rsid w:val="006D65A1"/>
    <w:rsid w:val="006D65DF"/>
    <w:rsid w:val="006D686D"/>
    <w:rsid w:val="006D6992"/>
    <w:rsid w:val="006D6A5D"/>
    <w:rsid w:val="006D6C98"/>
    <w:rsid w:val="006D71FF"/>
    <w:rsid w:val="006D7342"/>
    <w:rsid w:val="006D7350"/>
    <w:rsid w:val="006D7BEE"/>
    <w:rsid w:val="006D7C49"/>
    <w:rsid w:val="006D7C4B"/>
    <w:rsid w:val="006D7C75"/>
    <w:rsid w:val="006D7DD2"/>
    <w:rsid w:val="006E01CA"/>
    <w:rsid w:val="006E0588"/>
    <w:rsid w:val="006E08C4"/>
    <w:rsid w:val="006E0B39"/>
    <w:rsid w:val="006E0BC5"/>
    <w:rsid w:val="006E0D20"/>
    <w:rsid w:val="006E0D8A"/>
    <w:rsid w:val="006E0DC3"/>
    <w:rsid w:val="006E0F99"/>
    <w:rsid w:val="006E1140"/>
    <w:rsid w:val="006E168D"/>
    <w:rsid w:val="006E186B"/>
    <w:rsid w:val="006E1919"/>
    <w:rsid w:val="006E1969"/>
    <w:rsid w:val="006E1CA6"/>
    <w:rsid w:val="006E1CEE"/>
    <w:rsid w:val="006E2011"/>
    <w:rsid w:val="006E254D"/>
    <w:rsid w:val="006E2642"/>
    <w:rsid w:val="006E275A"/>
    <w:rsid w:val="006E2919"/>
    <w:rsid w:val="006E2A82"/>
    <w:rsid w:val="006E2B84"/>
    <w:rsid w:val="006E2C4B"/>
    <w:rsid w:val="006E2F52"/>
    <w:rsid w:val="006E312A"/>
    <w:rsid w:val="006E3504"/>
    <w:rsid w:val="006E3AB1"/>
    <w:rsid w:val="006E3C1D"/>
    <w:rsid w:val="006E3EAB"/>
    <w:rsid w:val="006E3F0E"/>
    <w:rsid w:val="006E4553"/>
    <w:rsid w:val="006E474E"/>
    <w:rsid w:val="006E489F"/>
    <w:rsid w:val="006E4AD8"/>
    <w:rsid w:val="006E4BDB"/>
    <w:rsid w:val="006E55D7"/>
    <w:rsid w:val="006E55E3"/>
    <w:rsid w:val="006E5821"/>
    <w:rsid w:val="006E59D8"/>
    <w:rsid w:val="006E5E5D"/>
    <w:rsid w:val="006E5F93"/>
    <w:rsid w:val="006E6165"/>
    <w:rsid w:val="006E627D"/>
    <w:rsid w:val="006E6547"/>
    <w:rsid w:val="006E6869"/>
    <w:rsid w:val="006E69DB"/>
    <w:rsid w:val="006E6C19"/>
    <w:rsid w:val="006E6C33"/>
    <w:rsid w:val="006E6E01"/>
    <w:rsid w:val="006E741B"/>
    <w:rsid w:val="006E7685"/>
    <w:rsid w:val="006E799D"/>
    <w:rsid w:val="006E7B86"/>
    <w:rsid w:val="006E7CCF"/>
    <w:rsid w:val="006F0082"/>
    <w:rsid w:val="006F0159"/>
    <w:rsid w:val="006F02A9"/>
    <w:rsid w:val="006F042B"/>
    <w:rsid w:val="006F04EE"/>
    <w:rsid w:val="006F05BD"/>
    <w:rsid w:val="006F07CC"/>
    <w:rsid w:val="006F09F8"/>
    <w:rsid w:val="006F0B96"/>
    <w:rsid w:val="006F0D75"/>
    <w:rsid w:val="006F14C6"/>
    <w:rsid w:val="006F15BF"/>
    <w:rsid w:val="006F1702"/>
    <w:rsid w:val="006F1BD6"/>
    <w:rsid w:val="006F1D93"/>
    <w:rsid w:val="006F217F"/>
    <w:rsid w:val="006F25B5"/>
    <w:rsid w:val="006F26D4"/>
    <w:rsid w:val="006F2792"/>
    <w:rsid w:val="006F2A16"/>
    <w:rsid w:val="006F2D44"/>
    <w:rsid w:val="006F330C"/>
    <w:rsid w:val="006F3354"/>
    <w:rsid w:val="006F37DF"/>
    <w:rsid w:val="006F3A28"/>
    <w:rsid w:val="006F3F38"/>
    <w:rsid w:val="006F3F98"/>
    <w:rsid w:val="006F43FC"/>
    <w:rsid w:val="006F476C"/>
    <w:rsid w:val="006F47C1"/>
    <w:rsid w:val="006F491C"/>
    <w:rsid w:val="006F49C1"/>
    <w:rsid w:val="006F4EC1"/>
    <w:rsid w:val="006F4F74"/>
    <w:rsid w:val="006F5015"/>
    <w:rsid w:val="006F5050"/>
    <w:rsid w:val="006F519E"/>
    <w:rsid w:val="006F55E1"/>
    <w:rsid w:val="006F57E6"/>
    <w:rsid w:val="006F5813"/>
    <w:rsid w:val="006F5F27"/>
    <w:rsid w:val="006F6007"/>
    <w:rsid w:val="006F61CF"/>
    <w:rsid w:val="006F6592"/>
    <w:rsid w:val="006F6A94"/>
    <w:rsid w:val="006F6B91"/>
    <w:rsid w:val="006F6BA7"/>
    <w:rsid w:val="006F6C58"/>
    <w:rsid w:val="006F6F5B"/>
    <w:rsid w:val="006F7276"/>
    <w:rsid w:val="006F740B"/>
    <w:rsid w:val="006F7C28"/>
    <w:rsid w:val="006F7E2D"/>
    <w:rsid w:val="00700056"/>
    <w:rsid w:val="007000CA"/>
    <w:rsid w:val="007000DA"/>
    <w:rsid w:val="007005BD"/>
    <w:rsid w:val="00700765"/>
    <w:rsid w:val="007007C5"/>
    <w:rsid w:val="00700A03"/>
    <w:rsid w:val="00700B9A"/>
    <w:rsid w:val="00700F5D"/>
    <w:rsid w:val="00700F6D"/>
    <w:rsid w:val="007010F8"/>
    <w:rsid w:val="00701122"/>
    <w:rsid w:val="00701422"/>
    <w:rsid w:val="007017F1"/>
    <w:rsid w:val="00701B64"/>
    <w:rsid w:val="00701F36"/>
    <w:rsid w:val="00702843"/>
    <w:rsid w:val="00702A24"/>
    <w:rsid w:val="00702E8E"/>
    <w:rsid w:val="00703600"/>
    <w:rsid w:val="007039BB"/>
    <w:rsid w:val="00703B63"/>
    <w:rsid w:val="00703E59"/>
    <w:rsid w:val="00703FEB"/>
    <w:rsid w:val="00704402"/>
    <w:rsid w:val="00704C63"/>
    <w:rsid w:val="00704C6C"/>
    <w:rsid w:val="00704E29"/>
    <w:rsid w:val="00704E32"/>
    <w:rsid w:val="0070515D"/>
    <w:rsid w:val="00705256"/>
    <w:rsid w:val="007058EE"/>
    <w:rsid w:val="00705FDF"/>
    <w:rsid w:val="007060DA"/>
    <w:rsid w:val="007060E1"/>
    <w:rsid w:val="007061D2"/>
    <w:rsid w:val="007064A1"/>
    <w:rsid w:val="00706876"/>
    <w:rsid w:val="0070687A"/>
    <w:rsid w:val="007068FC"/>
    <w:rsid w:val="007068FE"/>
    <w:rsid w:val="00706AFF"/>
    <w:rsid w:val="00706E8E"/>
    <w:rsid w:val="00707574"/>
    <w:rsid w:val="00707616"/>
    <w:rsid w:val="007079E6"/>
    <w:rsid w:val="00707AE3"/>
    <w:rsid w:val="00710078"/>
    <w:rsid w:val="00710394"/>
    <w:rsid w:val="00710C57"/>
    <w:rsid w:val="00710E4D"/>
    <w:rsid w:val="00710E65"/>
    <w:rsid w:val="0071113F"/>
    <w:rsid w:val="007115F8"/>
    <w:rsid w:val="0071160A"/>
    <w:rsid w:val="007119D0"/>
    <w:rsid w:val="00711C89"/>
    <w:rsid w:val="00711DC1"/>
    <w:rsid w:val="00711E39"/>
    <w:rsid w:val="00711E47"/>
    <w:rsid w:val="0071213A"/>
    <w:rsid w:val="007122C0"/>
    <w:rsid w:val="007124F8"/>
    <w:rsid w:val="007127ED"/>
    <w:rsid w:val="007128EB"/>
    <w:rsid w:val="00712CB1"/>
    <w:rsid w:val="007131DD"/>
    <w:rsid w:val="00713594"/>
    <w:rsid w:val="007135B7"/>
    <w:rsid w:val="00713662"/>
    <w:rsid w:val="00713942"/>
    <w:rsid w:val="00713C43"/>
    <w:rsid w:val="00714558"/>
    <w:rsid w:val="0071479D"/>
    <w:rsid w:val="00714801"/>
    <w:rsid w:val="0071481F"/>
    <w:rsid w:val="00714A98"/>
    <w:rsid w:val="00714C81"/>
    <w:rsid w:val="00714D9B"/>
    <w:rsid w:val="00714DBD"/>
    <w:rsid w:val="00714E7D"/>
    <w:rsid w:val="0071509B"/>
    <w:rsid w:val="007153F2"/>
    <w:rsid w:val="007154F5"/>
    <w:rsid w:val="0071573A"/>
    <w:rsid w:val="00715783"/>
    <w:rsid w:val="00715996"/>
    <w:rsid w:val="00715CA7"/>
    <w:rsid w:val="00715CC2"/>
    <w:rsid w:val="00715FC6"/>
    <w:rsid w:val="00716414"/>
    <w:rsid w:val="00716510"/>
    <w:rsid w:val="00716A19"/>
    <w:rsid w:val="00716AA2"/>
    <w:rsid w:val="00716C8D"/>
    <w:rsid w:val="00716D22"/>
    <w:rsid w:val="00716DC7"/>
    <w:rsid w:val="007170E2"/>
    <w:rsid w:val="00717139"/>
    <w:rsid w:val="007171C5"/>
    <w:rsid w:val="007171C6"/>
    <w:rsid w:val="007173B6"/>
    <w:rsid w:val="0071786D"/>
    <w:rsid w:val="00717BE9"/>
    <w:rsid w:val="0072016D"/>
    <w:rsid w:val="007203D1"/>
    <w:rsid w:val="00720442"/>
    <w:rsid w:val="007205DF"/>
    <w:rsid w:val="007206DE"/>
    <w:rsid w:val="00720733"/>
    <w:rsid w:val="00720CE9"/>
    <w:rsid w:val="007211C8"/>
    <w:rsid w:val="007211F8"/>
    <w:rsid w:val="007214DF"/>
    <w:rsid w:val="00721742"/>
    <w:rsid w:val="007217F9"/>
    <w:rsid w:val="007219F0"/>
    <w:rsid w:val="00721D29"/>
    <w:rsid w:val="00721E23"/>
    <w:rsid w:val="00721F78"/>
    <w:rsid w:val="007220D9"/>
    <w:rsid w:val="007220EA"/>
    <w:rsid w:val="007222C4"/>
    <w:rsid w:val="00722674"/>
    <w:rsid w:val="00722AF9"/>
    <w:rsid w:val="00722FDA"/>
    <w:rsid w:val="007236F1"/>
    <w:rsid w:val="007237A9"/>
    <w:rsid w:val="007238B8"/>
    <w:rsid w:val="00723932"/>
    <w:rsid w:val="00723B48"/>
    <w:rsid w:val="00723D59"/>
    <w:rsid w:val="00723F8E"/>
    <w:rsid w:val="0072400C"/>
    <w:rsid w:val="00724174"/>
    <w:rsid w:val="007245FE"/>
    <w:rsid w:val="0072466B"/>
    <w:rsid w:val="007249B2"/>
    <w:rsid w:val="00724B90"/>
    <w:rsid w:val="00724E90"/>
    <w:rsid w:val="00725046"/>
    <w:rsid w:val="007255B2"/>
    <w:rsid w:val="00725679"/>
    <w:rsid w:val="00725955"/>
    <w:rsid w:val="00725D11"/>
    <w:rsid w:val="00725DAC"/>
    <w:rsid w:val="00725E74"/>
    <w:rsid w:val="007260AE"/>
    <w:rsid w:val="00726344"/>
    <w:rsid w:val="0072641C"/>
    <w:rsid w:val="00726549"/>
    <w:rsid w:val="0072660E"/>
    <w:rsid w:val="007266CB"/>
    <w:rsid w:val="00726820"/>
    <w:rsid w:val="0072689F"/>
    <w:rsid w:val="00726B7D"/>
    <w:rsid w:val="00726FF9"/>
    <w:rsid w:val="00727064"/>
    <w:rsid w:val="0072706B"/>
    <w:rsid w:val="007274A9"/>
    <w:rsid w:val="007275FA"/>
    <w:rsid w:val="0072781E"/>
    <w:rsid w:val="007300EA"/>
    <w:rsid w:val="00730409"/>
    <w:rsid w:val="00730545"/>
    <w:rsid w:val="00730A4B"/>
    <w:rsid w:val="00730BD2"/>
    <w:rsid w:val="00730C7B"/>
    <w:rsid w:val="00731268"/>
    <w:rsid w:val="00731445"/>
    <w:rsid w:val="0073177E"/>
    <w:rsid w:val="00731C88"/>
    <w:rsid w:val="007327A7"/>
    <w:rsid w:val="00732EDC"/>
    <w:rsid w:val="00733070"/>
    <w:rsid w:val="0073310A"/>
    <w:rsid w:val="007332E4"/>
    <w:rsid w:val="00733562"/>
    <w:rsid w:val="00733595"/>
    <w:rsid w:val="007336B7"/>
    <w:rsid w:val="007336BD"/>
    <w:rsid w:val="0073374D"/>
    <w:rsid w:val="007337A5"/>
    <w:rsid w:val="00733A69"/>
    <w:rsid w:val="00733A8B"/>
    <w:rsid w:val="00733F41"/>
    <w:rsid w:val="007342BE"/>
    <w:rsid w:val="0073461E"/>
    <w:rsid w:val="0073467F"/>
    <w:rsid w:val="00734908"/>
    <w:rsid w:val="007350C0"/>
    <w:rsid w:val="0073518D"/>
    <w:rsid w:val="00735230"/>
    <w:rsid w:val="00735366"/>
    <w:rsid w:val="0073559B"/>
    <w:rsid w:val="00735A1F"/>
    <w:rsid w:val="0073614C"/>
    <w:rsid w:val="0073657C"/>
    <w:rsid w:val="00736654"/>
    <w:rsid w:val="007367B4"/>
    <w:rsid w:val="00736964"/>
    <w:rsid w:val="007369A0"/>
    <w:rsid w:val="00736A9D"/>
    <w:rsid w:val="00736E42"/>
    <w:rsid w:val="00737147"/>
    <w:rsid w:val="00737491"/>
    <w:rsid w:val="00737AEE"/>
    <w:rsid w:val="00737B23"/>
    <w:rsid w:val="00737D35"/>
    <w:rsid w:val="00737F66"/>
    <w:rsid w:val="0074005E"/>
    <w:rsid w:val="00740204"/>
    <w:rsid w:val="007403E7"/>
    <w:rsid w:val="007405AB"/>
    <w:rsid w:val="00740758"/>
    <w:rsid w:val="00740A48"/>
    <w:rsid w:val="00740ACC"/>
    <w:rsid w:val="00740CC7"/>
    <w:rsid w:val="00740D87"/>
    <w:rsid w:val="0074117E"/>
    <w:rsid w:val="007411EF"/>
    <w:rsid w:val="007412FE"/>
    <w:rsid w:val="0074171E"/>
    <w:rsid w:val="00741914"/>
    <w:rsid w:val="00741959"/>
    <w:rsid w:val="00741C5B"/>
    <w:rsid w:val="00741F06"/>
    <w:rsid w:val="007427F3"/>
    <w:rsid w:val="00742A19"/>
    <w:rsid w:val="00742A44"/>
    <w:rsid w:val="00742EAD"/>
    <w:rsid w:val="00743091"/>
    <w:rsid w:val="007432FE"/>
    <w:rsid w:val="00743330"/>
    <w:rsid w:val="007436D4"/>
    <w:rsid w:val="00743A2E"/>
    <w:rsid w:val="00743C71"/>
    <w:rsid w:val="00743D9C"/>
    <w:rsid w:val="00743F09"/>
    <w:rsid w:val="00743F50"/>
    <w:rsid w:val="007440BC"/>
    <w:rsid w:val="0074431C"/>
    <w:rsid w:val="00744949"/>
    <w:rsid w:val="00744FBE"/>
    <w:rsid w:val="00745138"/>
    <w:rsid w:val="007452C7"/>
    <w:rsid w:val="0074538E"/>
    <w:rsid w:val="007454B3"/>
    <w:rsid w:val="007455FD"/>
    <w:rsid w:val="007457F2"/>
    <w:rsid w:val="007459AF"/>
    <w:rsid w:val="00745ABC"/>
    <w:rsid w:val="00745D71"/>
    <w:rsid w:val="00745FEF"/>
    <w:rsid w:val="00746338"/>
    <w:rsid w:val="00746466"/>
    <w:rsid w:val="007469BF"/>
    <w:rsid w:val="00746AF2"/>
    <w:rsid w:val="00746B8E"/>
    <w:rsid w:val="00746BA0"/>
    <w:rsid w:val="00746E5F"/>
    <w:rsid w:val="00746E7D"/>
    <w:rsid w:val="007470DC"/>
    <w:rsid w:val="0074754E"/>
    <w:rsid w:val="00747A5F"/>
    <w:rsid w:val="00747DB4"/>
    <w:rsid w:val="0075020A"/>
    <w:rsid w:val="007502D6"/>
    <w:rsid w:val="0075036E"/>
    <w:rsid w:val="0075038A"/>
    <w:rsid w:val="007505CC"/>
    <w:rsid w:val="00750714"/>
    <w:rsid w:val="007507D5"/>
    <w:rsid w:val="0075098E"/>
    <w:rsid w:val="00750D2A"/>
    <w:rsid w:val="00751021"/>
    <w:rsid w:val="007511AD"/>
    <w:rsid w:val="007512B4"/>
    <w:rsid w:val="007512FB"/>
    <w:rsid w:val="007514FE"/>
    <w:rsid w:val="00751A27"/>
    <w:rsid w:val="00751AAC"/>
    <w:rsid w:val="00751D72"/>
    <w:rsid w:val="00751D9A"/>
    <w:rsid w:val="00752036"/>
    <w:rsid w:val="007520E1"/>
    <w:rsid w:val="00752230"/>
    <w:rsid w:val="00752334"/>
    <w:rsid w:val="00752432"/>
    <w:rsid w:val="007524C0"/>
    <w:rsid w:val="0075270A"/>
    <w:rsid w:val="00752830"/>
    <w:rsid w:val="00752B30"/>
    <w:rsid w:val="00752B5E"/>
    <w:rsid w:val="007530C3"/>
    <w:rsid w:val="0075372F"/>
    <w:rsid w:val="00753928"/>
    <w:rsid w:val="00753B3C"/>
    <w:rsid w:val="00753D7C"/>
    <w:rsid w:val="00753E62"/>
    <w:rsid w:val="00754147"/>
    <w:rsid w:val="00754383"/>
    <w:rsid w:val="00754C6F"/>
    <w:rsid w:val="00754E13"/>
    <w:rsid w:val="0075527C"/>
    <w:rsid w:val="007553CC"/>
    <w:rsid w:val="00755618"/>
    <w:rsid w:val="00755971"/>
    <w:rsid w:val="00755C04"/>
    <w:rsid w:val="00755D55"/>
    <w:rsid w:val="00755DF7"/>
    <w:rsid w:val="00755FE9"/>
    <w:rsid w:val="00756090"/>
    <w:rsid w:val="0075647A"/>
    <w:rsid w:val="0075652C"/>
    <w:rsid w:val="007566EB"/>
    <w:rsid w:val="00756B41"/>
    <w:rsid w:val="00756B96"/>
    <w:rsid w:val="007572FD"/>
    <w:rsid w:val="00757589"/>
    <w:rsid w:val="00757791"/>
    <w:rsid w:val="007577F7"/>
    <w:rsid w:val="0075794E"/>
    <w:rsid w:val="00757A45"/>
    <w:rsid w:val="00757B89"/>
    <w:rsid w:val="00757C05"/>
    <w:rsid w:val="00757DA0"/>
    <w:rsid w:val="00757EB4"/>
    <w:rsid w:val="00760502"/>
    <w:rsid w:val="00760520"/>
    <w:rsid w:val="00760757"/>
    <w:rsid w:val="007609EB"/>
    <w:rsid w:val="00760B14"/>
    <w:rsid w:val="00760BB9"/>
    <w:rsid w:val="00760CE1"/>
    <w:rsid w:val="00761797"/>
    <w:rsid w:val="00761FB3"/>
    <w:rsid w:val="0076223E"/>
    <w:rsid w:val="007623ED"/>
    <w:rsid w:val="00762482"/>
    <w:rsid w:val="007626B7"/>
    <w:rsid w:val="007627E0"/>
    <w:rsid w:val="00762848"/>
    <w:rsid w:val="00762AF0"/>
    <w:rsid w:val="00762D5B"/>
    <w:rsid w:val="0076302F"/>
    <w:rsid w:val="007630B3"/>
    <w:rsid w:val="007632B5"/>
    <w:rsid w:val="0076349B"/>
    <w:rsid w:val="007639BB"/>
    <w:rsid w:val="00763CD7"/>
    <w:rsid w:val="00763DA4"/>
    <w:rsid w:val="00763EDC"/>
    <w:rsid w:val="00763F9E"/>
    <w:rsid w:val="007640D6"/>
    <w:rsid w:val="00764295"/>
    <w:rsid w:val="0076434F"/>
    <w:rsid w:val="007648E5"/>
    <w:rsid w:val="00764A1D"/>
    <w:rsid w:val="00764AC0"/>
    <w:rsid w:val="00764D3D"/>
    <w:rsid w:val="00764D6C"/>
    <w:rsid w:val="0076511E"/>
    <w:rsid w:val="007651D0"/>
    <w:rsid w:val="00765421"/>
    <w:rsid w:val="00765452"/>
    <w:rsid w:val="00765536"/>
    <w:rsid w:val="007655EC"/>
    <w:rsid w:val="00765996"/>
    <w:rsid w:val="00765B09"/>
    <w:rsid w:val="00765E19"/>
    <w:rsid w:val="00766089"/>
    <w:rsid w:val="0076609A"/>
    <w:rsid w:val="007660C1"/>
    <w:rsid w:val="0076619C"/>
    <w:rsid w:val="007664F8"/>
    <w:rsid w:val="00766594"/>
    <w:rsid w:val="007668FB"/>
    <w:rsid w:val="00766C07"/>
    <w:rsid w:val="007674C9"/>
    <w:rsid w:val="00767868"/>
    <w:rsid w:val="00767A42"/>
    <w:rsid w:val="00767C3E"/>
    <w:rsid w:val="0077017B"/>
    <w:rsid w:val="007707A7"/>
    <w:rsid w:val="00770D01"/>
    <w:rsid w:val="00771010"/>
    <w:rsid w:val="007710D8"/>
    <w:rsid w:val="007710FA"/>
    <w:rsid w:val="007712A9"/>
    <w:rsid w:val="007713F3"/>
    <w:rsid w:val="007714B1"/>
    <w:rsid w:val="00771531"/>
    <w:rsid w:val="007716D6"/>
    <w:rsid w:val="007716E7"/>
    <w:rsid w:val="007717A5"/>
    <w:rsid w:val="00771969"/>
    <w:rsid w:val="00771FCC"/>
    <w:rsid w:val="0077228B"/>
    <w:rsid w:val="0077247A"/>
    <w:rsid w:val="0077269E"/>
    <w:rsid w:val="007728EB"/>
    <w:rsid w:val="00772CF7"/>
    <w:rsid w:val="00772D7F"/>
    <w:rsid w:val="00772F57"/>
    <w:rsid w:val="007731F5"/>
    <w:rsid w:val="0077348D"/>
    <w:rsid w:val="00773721"/>
    <w:rsid w:val="00773C6F"/>
    <w:rsid w:val="00774262"/>
    <w:rsid w:val="007745C4"/>
    <w:rsid w:val="0077479E"/>
    <w:rsid w:val="007749EE"/>
    <w:rsid w:val="00774A64"/>
    <w:rsid w:val="00774B0C"/>
    <w:rsid w:val="00774B99"/>
    <w:rsid w:val="00774D10"/>
    <w:rsid w:val="00774E2A"/>
    <w:rsid w:val="00775241"/>
    <w:rsid w:val="00775525"/>
    <w:rsid w:val="00775B54"/>
    <w:rsid w:val="00775BF0"/>
    <w:rsid w:val="00775F16"/>
    <w:rsid w:val="007760A6"/>
    <w:rsid w:val="00776256"/>
    <w:rsid w:val="007764DD"/>
    <w:rsid w:val="007765A7"/>
    <w:rsid w:val="0077677D"/>
    <w:rsid w:val="00776967"/>
    <w:rsid w:val="00776AC3"/>
    <w:rsid w:val="00776ADA"/>
    <w:rsid w:val="00776E7F"/>
    <w:rsid w:val="00776F82"/>
    <w:rsid w:val="007770D9"/>
    <w:rsid w:val="0077741D"/>
    <w:rsid w:val="00777701"/>
    <w:rsid w:val="007777EE"/>
    <w:rsid w:val="0077781F"/>
    <w:rsid w:val="00777A22"/>
    <w:rsid w:val="00777C83"/>
    <w:rsid w:val="00777D29"/>
    <w:rsid w:val="00777D66"/>
    <w:rsid w:val="00777DB4"/>
    <w:rsid w:val="00777F5B"/>
    <w:rsid w:val="00777FB4"/>
    <w:rsid w:val="00780004"/>
    <w:rsid w:val="00780A53"/>
    <w:rsid w:val="00780CBF"/>
    <w:rsid w:val="00780D02"/>
    <w:rsid w:val="00780E75"/>
    <w:rsid w:val="00781003"/>
    <w:rsid w:val="00781EF9"/>
    <w:rsid w:val="00781FD9"/>
    <w:rsid w:val="007820BE"/>
    <w:rsid w:val="00782107"/>
    <w:rsid w:val="00782B8F"/>
    <w:rsid w:val="00782D14"/>
    <w:rsid w:val="00782D21"/>
    <w:rsid w:val="00782D36"/>
    <w:rsid w:val="00782DF5"/>
    <w:rsid w:val="00782FD8"/>
    <w:rsid w:val="00783284"/>
    <w:rsid w:val="00783285"/>
    <w:rsid w:val="007835BA"/>
    <w:rsid w:val="00783AC3"/>
    <w:rsid w:val="00783F83"/>
    <w:rsid w:val="00784055"/>
    <w:rsid w:val="007840FF"/>
    <w:rsid w:val="00784534"/>
    <w:rsid w:val="00784604"/>
    <w:rsid w:val="00784B22"/>
    <w:rsid w:val="00784E75"/>
    <w:rsid w:val="00784EAE"/>
    <w:rsid w:val="00784F34"/>
    <w:rsid w:val="00785098"/>
    <w:rsid w:val="007851E8"/>
    <w:rsid w:val="00785229"/>
    <w:rsid w:val="00785236"/>
    <w:rsid w:val="007852AF"/>
    <w:rsid w:val="007852DC"/>
    <w:rsid w:val="0078564D"/>
    <w:rsid w:val="007858B3"/>
    <w:rsid w:val="00785C6E"/>
    <w:rsid w:val="00785FF2"/>
    <w:rsid w:val="007860A0"/>
    <w:rsid w:val="00786487"/>
    <w:rsid w:val="007864BA"/>
    <w:rsid w:val="00786860"/>
    <w:rsid w:val="007869A5"/>
    <w:rsid w:val="00786D34"/>
    <w:rsid w:val="007870A6"/>
    <w:rsid w:val="007872A4"/>
    <w:rsid w:val="007874CE"/>
    <w:rsid w:val="007876E9"/>
    <w:rsid w:val="0078775B"/>
    <w:rsid w:val="00787E16"/>
    <w:rsid w:val="00790044"/>
    <w:rsid w:val="00790198"/>
    <w:rsid w:val="007901E3"/>
    <w:rsid w:val="00790499"/>
    <w:rsid w:val="0079056A"/>
    <w:rsid w:val="007905D8"/>
    <w:rsid w:val="00790C75"/>
    <w:rsid w:val="00790C76"/>
    <w:rsid w:val="00790CA7"/>
    <w:rsid w:val="00790CDF"/>
    <w:rsid w:val="00790E6C"/>
    <w:rsid w:val="00791154"/>
    <w:rsid w:val="007911CF"/>
    <w:rsid w:val="0079169C"/>
    <w:rsid w:val="00791764"/>
    <w:rsid w:val="0079179E"/>
    <w:rsid w:val="00791900"/>
    <w:rsid w:val="00791974"/>
    <w:rsid w:val="007919C5"/>
    <w:rsid w:val="00791AD3"/>
    <w:rsid w:val="00791B88"/>
    <w:rsid w:val="00791CA7"/>
    <w:rsid w:val="00791DA4"/>
    <w:rsid w:val="00791E30"/>
    <w:rsid w:val="00791ECC"/>
    <w:rsid w:val="00791F30"/>
    <w:rsid w:val="0079203B"/>
    <w:rsid w:val="00792217"/>
    <w:rsid w:val="0079233B"/>
    <w:rsid w:val="00792521"/>
    <w:rsid w:val="00792914"/>
    <w:rsid w:val="007929E6"/>
    <w:rsid w:val="00792A2F"/>
    <w:rsid w:val="00792BE6"/>
    <w:rsid w:val="00792F98"/>
    <w:rsid w:val="00793061"/>
    <w:rsid w:val="0079346C"/>
    <w:rsid w:val="007934A4"/>
    <w:rsid w:val="007934E1"/>
    <w:rsid w:val="00793651"/>
    <w:rsid w:val="007937FC"/>
    <w:rsid w:val="00793B71"/>
    <w:rsid w:val="00793DA1"/>
    <w:rsid w:val="00794132"/>
    <w:rsid w:val="007941BF"/>
    <w:rsid w:val="007943C2"/>
    <w:rsid w:val="0079470B"/>
    <w:rsid w:val="00794741"/>
    <w:rsid w:val="007947DD"/>
    <w:rsid w:val="00794CCB"/>
    <w:rsid w:val="00794D5C"/>
    <w:rsid w:val="00794F09"/>
    <w:rsid w:val="00795060"/>
    <w:rsid w:val="00795132"/>
    <w:rsid w:val="0079522E"/>
    <w:rsid w:val="007952F2"/>
    <w:rsid w:val="00795398"/>
    <w:rsid w:val="00795620"/>
    <w:rsid w:val="00795678"/>
    <w:rsid w:val="00795881"/>
    <w:rsid w:val="00795937"/>
    <w:rsid w:val="00795BE6"/>
    <w:rsid w:val="00795D27"/>
    <w:rsid w:val="0079603E"/>
    <w:rsid w:val="007960FC"/>
    <w:rsid w:val="007961BE"/>
    <w:rsid w:val="007961F1"/>
    <w:rsid w:val="0079631F"/>
    <w:rsid w:val="00796A16"/>
    <w:rsid w:val="00796DD4"/>
    <w:rsid w:val="00796E26"/>
    <w:rsid w:val="00796E52"/>
    <w:rsid w:val="007974C3"/>
    <w:rsid w:val="007976D7"/>
    <w:rsid w:val="00797801"/>
    <w:rsid w:val="00797A02"/>
    <w:rsid w:val="00797A60"/>
    <w:rsid w:val="007A002F"/>
    <w:rsid w:val="007A025D"/>
    <w:rsid w:val="007A03A0"/>
    <w:rsid w:val="007A06D9"/>
    <w:rsid w:val="007A07AC"/>
    <w:rsid w:val="007A0938"/>
    <w:rsid w:val="007A127D"/>
    <w:rsid w:val="007A1389"/>
    <w:rsid w:val="007A13C0"/>
    <w:rsid w:val="007A1647"/>
    <w:rsid w:val="007A1654"/>
    <w:rsid w:val="007A1A79"/>
    <w:rsid w:val="007A1B8D"/>
    <w:rsid w:val="007A2041"/>
    <w:rsid w:val="007A2143"/>
    <w:rsid w:val="007A2209"/>
    <w:rsid w:val="007A24BE"/>
    <w:rsid w:val="007A287F"/>
    <w:rsid w:val="007A2927"/>
    <w:rsid w:val="007A2B72"/>
    <w:rsid w:val="007A2F27"/>
    <w:rsid w:val="007A3124"/>
    <w:rsid w:val="007A31D0"/>
    <w:rsid w:val="007A3207"/>
    <w:rsid w:val="007A3432"/>
    <w:rsid w:val="007A350E"/>
    <w:rsid w:val="007A362F"/>
    <w:rsid w:val="007A382D"/>
    <w:rsid w:val="007A3831"/>
    <w:rsid w:val="007A3C01"/>
    <w:rsid w:val="007A41A7"/>
    <w:rsid w:val="007A4703"/>
    <w:rsid w:val="007A4810"/>
    <w:rsid w:val="007A4896"/>
    <w:rsid w:val="007A48C9"/>
    <w:rsid w:val="007A48D0"/>
    <w:rsid w:val="007A4CEE"/>
    <w:rsid w:val="007A4F39"/>
    <w:rsid w:val="007A51C2"/>
    <w:rsid w:val="007A52F9"/>
    <w:rsid w:val="007A5491"/>
    <w:rsid w:val="007A5BC1"/>
    <w:rsid w:val="007A5DBD"/>
    <w:rsid w:val="007A6017"/>
    <w:rsid w:val="007A6270"/>
    <w:rsid w:val="007A64FB"/>
    <w:rsid w:val="007A658E"/>
    <w:rsid w:val="007A673E"/>
    <w:rsid w:val="007A674E"/>
    <w:rsid w:val="007A6B19"/>
    <w:rsid w:val="007A6E3D"/>
    <w:rsid w:val="007A6EAD"/>
    <w:rsid w:val="007A6F5B"/>
    <w:rsid w:val="007A72BB"/>
    <w:rsid w:val="007A73EE"/>
    <w:rsid w:val="007A74BD"/>
    <w:rsid w:val="007A7CC8"/>
    <w:rsid w:val="007A7D3A"/>
    <w:rsid w:val="007A7E64"/>
    <w:rsid w:val="007B023F"/>
    <w:rsid w:val="007B0326"/>
    <w:rsid w:val="007B04A9"/>
    <w:rsid w:val="007B04F6"/>
    <w:rsid w:val="007B068D"/>
    <w:rsid w:val="007B09A4"/>
    <w:rsid w:val="007B0B8F"/>
    <w:rsid w:val="007B0BE9"/>
    <w:rsid w:val="007B0CE2"/>
    <w:rsid w:val="007B0D15"/>
    <w:rsid w:val="007B0F5D"/>
    <w:rsid w:val="007B1013"/>
    <w:rsid w:val="007B1049"/>
    <w:rsid w:val="007B1E5A"/>
    <w:rsid w:val="007B1E97"/>
    <w:rsid w:val="007B2375"/>
    <w:rsid w:val="007B24CB"/>
    <w:rsid w:val="007B25B3"/>
    <w:rsid w:val="007B280D"/>
    <w:rsid w:val="007B2E34"/>
    <w:rsid w:val="007B2EFE"/>
    <w:rsid w:val="007B31A4"/>
    <w:rsid w:val="007B31CC"/>
    <w:rsid w:val="007B3280"/>
    <w:rsid w:val="007B336B"/>
    <w:rsid w:val="007B3382"/>
    <w:rsid w:val="007B3452"/>
    <w:rsid w:val="007B37D2"/>
    <w:rsid w:val="007B38C4"/>
    <w:rsid w:val="007B3B73"/>
    <w:rsid w:val="007B3C5F"/>
    <w:rsid w:val="007B3C8D"/>
    <w:rsid w:val="007B3F91"/>
    <w:rsid w:val="007B40F4"/>
    <w:rsid w:val="007B410B"/>
    <w:rsid w:val="007B4508"/>
    <w:rsid w:val="007B46F5"/>
    <w:rsid w:val="007B48CE"/>
    <w:rsid w:val="007B4918"/>
    <w:rsid w:val="007B4AF0"/>
    <w:rsid w:val="007B4B4C"/>
    <w:rsid w:val="007B4BD1"/>
    <w:rsid w:val="007B4C06"/>
    <w:rsid w:val="007B4C1D"/>
    <w:rsid w:val="007B4FA2"/>
    <w:rsid w:val="007B5034"/>
    <w:rsid w:val="007B5131"/>
    <w:rsid w:val="007B52B0"/>
    <w:rsid w:val="007B5474"/>
    <w:rsid w:val="007B5481"/>
    <w:rsid w:val="007B57A1"/>
    <w:rsid w:val="007B5DF3"/>
    <w:rsid w:val="007B5EF6"/>
    <w:rsid w:val="007B6241"/>
    <w:rsid w:val="007B712D"/>
    <w:rsid w:val="007B71E4"/>
    <w:rsid w:val="007B7421"/>
    <w:rsid w:val="007B75B5"/>
    <w:rsid w:val="007B7FF5"/>
    <w:rsid w:val="007C0175"/>
    <w:rsid w:val="007C02DC"/>
    <w:rsid w:val="007C0467"/>
    <w:rsid w:val="007C046C"/>
    <w:rsid w:val="007C0A8D"/>
    <w:rsid w:val="007C0B33"/>
    <w:rsid w:val="007C0C22"/>
    <w:rsid w:val="007C0E18"/>
    <w:rsid w:val="007C1256"/>
    <w:rsid w:val="007C1298"/>
    <w:rsid w:val="007C1360"/>
    <w:rsid w:val="007C138C"/>
    <w:rsid w:val="007C1951"/>
    <w:rsid w:val="007C1A3C"/>
    <w:rsid w:val="007C1C37"/>
    <w:rsid w:val="007C1F0E"/>
    <w:rsid w:val="007C2007"/>
    <w:rsid w:val="007C2064"/>
    <w:rsid w:val="007C231F"/>
    <w:rsid w:val="007C2345"/>
    <w:rsid w:val="007C29D0"/>
    <w:rsid w:val="007C2A11"/>
    <w:rsid w:val="007C2E00"/>
    <w:rsid w:val="007C2E52"/>
    <w:rsid w:val="007C2F92"/>
    <w:rsid w:val="007C3AAE"/>
    <w:rsid w:val="007C453B"/>
    <w:rsid w:val="007C476B"/>
    <w:rsid w:val="007C4FFC"/>
    <w:rsid w:val="007C507E"/>
    <w:rsid w:val="007C50B1"/>
    <w:rsid w:val="007C52F4"/>
    <w:rsid w:val="007C5D43"/>
    <w:rsid w:val="007C5DFA"/>
    <w:rsid w:val="007C5EE2"/>
    <w:rsid w:val="007C671F"/>
    <w:rsid w:val="007C6782"/>
    <w:rsid w:val="007C6DAF"/>
    <w:rsid w:val="007C6DD5"/>
    <w:rsid w:val="007C7016"/>
    <w:rsid w:val="007C72DC"/>
    <w:rsid w:val="007C7517"/>
    <w:rsid w:val="007C787B"/>
    <w:rsid w:val="007C7C41"/>
    <w:rsid w:val="007D01B5"/>
    <w:rsid w:val="007D03B6"/>
    <w:rsid w:val="007D03FD"/>
    <w:rsid w:val="007D05FF"/>
    <w:rsid w:val="007D0654"/>
    <w:rsid w:val="007D0881"/>
    <w:rsid w:val="007D0A41"/>
    <w:rsid w:val="007D0FC2"/>
    <w:rsid w:val="007D15E0"/>
    <w:rsid w:val="007D1668"/>
    <w:rsid w:val="007D1762"/>
    <w:rsid w:val="007D1D01"/>
    <w:rsid w:val="007D206D"/>
    <w:rsid w:val="007D2213"/>
    <w:rsid w:val="007D245F"/>
    <w:rsid w:val="007D25C0"/>
    <w:rsid w:val="007D2992"/>
    <w:rsid w:val="007D29E5"/>
    <w:rsid w:val="007D2B53"/>
    <w:rsid w:val="007D2F6A"/>
    <w:rsid w:val="007D2FC9"/>
    <w:rsid w:val="007D3080"/>
    <w:rsid w:val="007D3156"/>
    <w:rsid w:val="007D36B9"/>
    <w:rsid w:val="007D37CC"/>
    <w:rsid w:val="007D383E"/>
    <w:rsid w:val="007D38D8"/>
    <w:rsid w:val="007D3935"/>
    <w:rsid w:val="007D39D6"/>
    <w:rsid w:val="007D39D7"/>
    <w:rsid w:val="007D3EFB"/>
    <w:rsid w:val="007D4032"/>
    <w:rsid w:val="007D4373"/>
    <w:rsid w:val="007D46AA"/>
    <w:rsid w:val="007D49F1"/>
    <w:rsid w:val="007D4A4C"/>
    <w:rsid w:val="007D4BA4"/>
    <w:rsid w:val="007D4C8E"/>
    <w:rsid w:val="007D4E6E"/>
    <w:rsid w:val="007D5155"/>
    <w:rsid w:val="007D51FF"/>
    <w:rsid w:val="007D54C4"/>
    <w:rsid w:val="007D5606"/>
    <w:rsid w:val="007D568A"/>
    <w:rsid w:val="007D597B"/>
    <w:rsid w:val="007D5E4B"/>
    <w:rsid w:val="007D5E57"/>
    <w:rsid w:val="007D606F"/>
    <w:rsid w:val="007D60C4"/>
    <w:rsid w:val="007D633B"/>
    <w:rsid w:val="007D642B"/>
    <w:rsid w:val="007D669C"/>
    <w:rsid w:val="007D66EE"/>
    <w:rsid w:val="007D6B45"/>
    <w:rsid w:val="007D6D3F"/>
    <w:rsid w:val="007D6DEA"/>
    <w:rsid w:val="007D7046"/>
    <w:rsid w:val="007D7083"/>
    <w:rsid w:val="007D7206"/>
    <w:rsid w:val="007D7252"/>
    <w:rsid w:val="007D7322"/>
    <w:rsid w:val="007D757D"/>
    <w:rsid w:val="007D764A"/>
    <w:rsid w:val="007D7A7C"/>
    <w:rsid w:val="007D7AE8"/>
    <w:rsid w:val="007D7CED"/>
    <w:rsid w:val="007D7E91"/>
    <w:rsid w:val="007E0177"/>
    <w:rsid w:val="007E038E"/>
    <w:rsid w:val="007E0577"/>
    <w:rsid w:val="007E0634"/>
    <w:rsid w:val="007E0750"/>
    <w:rsid w:val="007E082D"/>
    <w:rsid w:val="007E0D68"/>
    <w:rsid w:val="007E0F3D"/>
    <w:rsid w:val="007E1027"/>
    <w:rsid w:val="007E1388"/>
    <w:rsid w:val="007E14F6"/>
    <w:rsid w:val="007E18F6"/>
    <w:rsid w:val="007E1A00"/>
    <w:rsid w:val="007E1E25"/>
    <w:rsid w:val="007E2194"/>
    <w:rsid w:val="007E2535"/>
    <w:rsid w:val="007E2615"/>
    <w:rsid w:val="007E268A"/>
    <w:rsid w:val="007E26EF"/>
    <w:rsid w:val="007E28AA"/>
    <w:rsid w:val="007E29BA"/>
    <w:rsid w:val="007E2B6C"/>
    <w:rsid w:val="007E2BD5"/>
    <w:rsid w:val="007E320A"/>
    <w:rsid w:val="007E32B7"/>
    <w:rsid w:val="007E356A"/>
    <w:rsid w:val="007E3573"/>
    <w:rsid w:val="007E3798"/>
    <w:rsid w:val="007E3F23"/>
    <w:rsid w:val="007E4154"/>
    <w:rsid w:val="007E47EF"/>
    <w:rsid w:val="007E495C"/>
    <w:rsid w:val="007E4BBC"/>
    <w:rsid w:val="007E4C43"/>
    <w:rsid w:val="007E4FBC"/>
    <w:rsid w:val="007E525A"/>
    <w:rsid w:val="007E588A"/>
    <w:rsid w:val="007E5B36"/>
    <w:rsid w:val="007E5B5B"/>
    <w:rsid w:val="007E5B5F"/>
    <w:rsid w:val="007E5CF8"/>
    <w:rsid w:val="007E605D"/>
    <w:rsid w:val="007E6243"/>
    <w:rsid w:val="007E62F7"/>
    <w:rsid w:val="007E68E9"/>
    <w:rsid w:val="007E69FC"/>
    <w:rsid w:val="007E6B98"/>
    <w:rsid w:val="007E6E59"/>
    <w:rsid w:val="007E6F2C"/>
    <w:rsid w:val="007E70AA"/>
    <w:rsid w:val="007E737A"/>
    <w:rsid w:val="007E74DC"/>
    <w:rsid w:val="007E7974"/>
    <w:rsid w:val="007E79CE"/>
    <w:rsid w:val="007E7BB1"/>
    <w:rsid w:val="007E7CCD"/>
    <w:rsid w:val="007E7ED5"/>
    <w:rsid w:val="007E7FC8"/>
    <w:rsid w:val="007F0099"/>
    <w:rsid w:val="007F00FB"/>
    <w:rsid w:val="007F052C"/>
    <w:rsid w:val="007F0579"/>
    <w:rsid w:val="007F0B1F"/>
    <w:rsid w:val="007F0DD3"/>
    <w:rsid w:val="007F0DDB"/>
    <w:rsid w:val="007F0E73"/>
    <w:rsid w:val="007F0FCA"/>
    <w:rsid w:val="007F0FF3"/>
    <w:rsid w:val="007F1258"/>
    <w:rsid w:val="007F136B"/>
    <w:rsid w:val="007F1472"/>
    <w:rsid w:val="007F1641"/>
    <w:rsid w:val="007F1707"/>
    <w:rsid w:val="007F178F"/>
    <w:rsid w:val="007F17CC"/>
    <w:rsid w:val="007F181F"/>
    <w:rsid w:val="007F1A56"/>
    <w:rsid w:val="007F1DE3"/>
    <w:rsid w:val="007F29B4"/>
    <w:rsid w:val="007F2A82"/>
    <w:rsid w:val="007F2E88"/>
    <w:rsid w:val="007F3401"/>
    <w:rsid w:val="007F35DA"/>
    <w:rsid w:val="007F38CE"/>
    <w:rsid w:val="007F3926"/>
    <w:rsid w:val="007F3959"/>
    <w:rsid w:val="007F3F5C"/>
    <w:rsid w:val="007F4195"/>
    <w:rsid w:val="007F4677"/>
    <w:rsid w:val="007F4A74"/>
    <w:rsid w:val="007F4D33"/>
    <w:rsid w:val="007F4F5F"/>
    <w:rsid w:val="007F4FBC"/>
    <w:rsid w:val="007F5528"/>
    <w:rsid w:val="007F57E5"/>
    <w:rsid w:val="007F59A2"/>
    <w:rsid w:val="007F5DF3"/>
    <w:rsid w:val="007F5EC5"/>
    <w:rsid w:val="007F5F81"/>
    <w:rsid w:val="007F5F99"/>
    <w:rsid w:val="007F609F"/>
    <w:rsid w:val="007F60DE"/>
    <w:rsid w:val="007F637C"/>
    <w:rsid w:val="007F6562"/>
    <w:rsid w:val="007F65AE"/>
    <w:rsid w:val="007F6814"/>
    <w:rsid w:val="007F69F3"/>
    <w:rsid w:val="007F70DE"/>
    <w:rsid w:val="007F722B"/>
    <w:rsid w:val="007F76B7"/>
    <w:rsid w:val="007F7802"/>
    <w:rsid w:val="007F7976"/>
    <w:rsid w:val="007F7D72"/>
    <w:rsid w:val="0080000B"/>
    <w:rsid w:val="008007DF"/>
    <w:rsid w:val="008008FE"/>
    <w:rsid w:val="00800C83"/>
    <w:rsid w:val="00800D73"/>
    <w:rsid w:val="00800F09"/>
    <w:rsid w:val="00800F46"/>
    <w:rsid w:val="00800FA4"/>
    <w:rsid w:val="00801413"/>
    <w:rsid w:val="0080160D"/>
    <w:rsid w:val="00801763"/>
    <w:rsid w:val="008018E4"/>
    <w:rsid w:val="0080191D"/>
    <w:rsid w:val="00801B4A"/>
    <w:rsid w:val="00801E38"/>
    <w:rsid w:val="00801E5A"/>
    <w:rsid w:val="00802112"/>
    <w:rsid w:val="00802177"/>
    <w:rsid w:val="008022B8"/>
    <w:rsid w:val="0080260C"/>
    <w:rsid w:val="008028FB"/>
    <w:rsid w:val="00802903"/>
    <w:rsid w:val="00802A91"/>
    <w:rsid w:val="00802AB0"/>
    <w:rsid w:val="00802AC8"/>
    <w:rsid w:val="0080323B"/>
    <w:rsid w:val="0080348B"/>
    <w:rsid w:val="008034AA"/>
    <w:rsid w:val="008037C5"/>
    <w:rsid w:val="008037F6"/>
    <w:rsid w:val="0080398F"/>
    <w:rsid w:val="00803B43"/>
    <w:rsid w:val="00803CBB"/>
    <w:rsid w:val="00803DA5"/>
    <w:rsid w:val="00803F6F"/>
    <w:rsid w:val="0080416E"/>
    <w:rsid w:val="00804A14"/>
    <w:rsid w:val="00804BC5"/>
    <w:rsid w:val="00804EE3"/>
    <w:rsid w:val="0080525F"/>
    <w:rsid w:val="0080543C"/>
    <w:rsid w:val="00805802"/>
    <w:rsid w:val="008058BD"/>
    <w:rsid w:val="008059EE"/>
    <w:rsid w:val="008059FC"/>
    <w:rsid w:val="00805EA5"/>
    <w:rsid w:val="00805EBD"/>
    <w:rsid w:val="00806043"/>
    <w:rsid w:val="008060A5"/>
    <w:rsid w:val="008060D3"/>
    <w:rsid w:val="00806391"/>
    <w:rsid w:val="00806599"/>
    <w:rsid w:val="008066EC"/>
    <w:rsid w:val="008066FB"/>
    <w:rsid w:val="00806728"/>
    <w:rsid w:val="00806755"/>
    <w:rsid w:val="008068CC"/>
    <w:rsid w:val="00806915"/>
    <w:rsid w:val="00806A53"/>
    <w:rsid w:val="00806B5F"/>
    <w:rsid w:val="00806EBA"/>
    <w:rsid w:val="0080700E"/>
    <w:rsid w:val="0080708A"/>
    <w:rsid w:val="0080751D"/>
    <w:rsid w:val="0080776F"/>
    <w:rsid w:val="00807924"/>
    <w:rsid w:val="00807A12"/>
    <w:rsid w:val="00807DBB"/>
    <w:rsid w:val="00807E7B"/>
    <w:rsid w:val="00807E82"/>
    <w:rsid w:val="0081002D"/>
    <w:rsid w:val="008101C2"/>
    <w:rsid w:val="008106C4"/>
    <w:rsid w:val="008108AA"/>
    <w:rsid w:val="008108CB"/>
    <w:rsid w:val="0081092A"/>
    <w:rsid w:val="00810D2C"/>
    <w:rsid w:val="008111D6"/>
    <w:rsid w:val="00811587"/>
    <w:rsid w:val="008118A5"/>
    <w:rsid w:val="00811D62"/>
    <w:rsid w:val="00811DDF"/>
    <w:rsid w:val="00811E19"/>
    <w:rsid w:val="00811E9A"/>
    <w:rsid w:val="008123AB"/>
    <w:rsid w:val="008123D8"/>
    <w:rsid w:val="00812732"/>
    <w:rsid w:val="00812986"/>
    <w:rsid w:val="00812CC5"/>
    <w:rsid w:val="00812DD2"/>
    <w:rsid w:val="00813108"/>
    <w:rsid w:val="008131DB"/>
    <w:rsid w:val="008133D8"/>
    <w:rsid w:val="008133E9"/>
    <w:rsid w:val="0081340F"/>
    <w:rsid w:val="00813A40"/>
    <w:rsid w:val="00813B35"/>
    <w:rsid w:val="00813B4F"/>
    <w:rsid w:val="00814002"/>
    <w:rsid w:val="00814891"/>
    <w:rsid w:val="008148F5"/>
    <w:rsid w:val="00814BDD"/>
    <w:rsid w:val="00814F3A"/>
    <w:rsid w:val="0081509A"/>
    <w:rsid w:val="008152FC"/>
    <w:rsid w:val="00815635"/>
    <w:rsid w:val="0081586A"/>
    <w:rsid w:val="00815F84"/>
    <w:rsid w:val="0081619D"/>
    <w:rsid w:val="0081648A"/>
    <w:rsid w:val="008166E2"/>
    <w:rsid w:val="0081679A"/>
    <w:rsid w:val="008167B7"/>
    <w:rsid w:val="00816B43"/>
    <w:rsid w:val="00816E5B"/>
    <w:rsid w:val="008173DB"/>
    <w:rsid w:val="00817616"/>
    <w:rsid w:val="00817A04"/>
    <w:rsid w:val="00817AD0"/>
    <w:rsid w:val="00817CBB"/>
    <w:rsid w:val="00817E9E"/>
    <w:rsid w:val="00817F15"/>
    <w:rsid w:val="00820238"/>
    <w:rsid w:val="008203FB"/>
    <w:rsid w:val="00820496"/>
    <w:rsid w:val="008204EF"/>
    <w:rsid w:val="00820A20"/>
    <w:rsid w:val="00820B9C"/>
    <w:rsid w:val="00820C48"/>
    <w:rsid w:val="00820CBE"/>
    <w:rsid w:val="00820DAF"/>
    <w:rsid w:val="00820FC4"/>
    <w:rsid w:val="00821575"/>
    <w:rsid w:val="0082158E"/>
    <w:rsid w:val="0082180C"/>
    <w:rsid w:val="00821A99"/>
    <w:rsid w:val="008225FF"/>
    <w:rsid w:val="00822756"/>
    <w:rsid w:val="00822A21"/>
    <w:rsid w:val="00822BCC"/>
    <w:rsid w:val="00822F3B"/>
    <w:rsid w:val="00822FD3"/>
    <w:rsid w:val="00823299"/>
    <w:rsid w:val="008237FD"/>
    <w:rsid w:val="0082386F"/>
    <w:rsid w:val="00823873"/>
    <w:rsid w:val="00823A9D"/>
    <w:rsid w:val="00823D4A"/>
    <w:rsid w:val="00823D80"/>
    <w:rsid w:val="00823E55"/>
    <w:rsid w:val="00823F1E"/>
    <w:rsid w:val="00824132"/>
    <w:rsid w:val="00824513"/>
    <w:rsid w:val="0082464B"/>
    <w:rsid w:val="00824809"/>
    <w:rsid w:val="00824893"/>
    <w:rsid w:val="00824C50"/>
    <w:rsid w:val="00824CB7"/>
    <w:rsid w:val="00824D9D"/>
    <w:rsid w:val="00825088"/>
    <w:rsid w:val="008250AD"/>
    <w:rsid w:val="008252FA"/>
    <w:rsid w:val="00825525"/>
    <w:rsid w:val="00825803"/>
    <w:rsid w:val="008258F4"/>
    <w:rsid w:val="00825953"/>
    <w:rsid w:val="00825A48"/>
    <w:rsid w:val="00825F02"/>
    <w:rsid w:val="00825F98"/>
    <w:rsid w:val="00825FBD"/>
    <w:rsid w:val="008260EA"/>
    <w:rsid w:val="0082621F"/>
    <w:rsid w:val="00826241"/>
    <w:rsid w:val="0082638A"/>
    <w:rsid w:val="008264EB"/>
    <w:rsid w:val="00826677"/>
    <w:rsid w:val="0082672C"/>
    <w:rsid w:val="00826C8F"/>
    <w:rsid w:val="00826CB3"/>
    <w:rsid w:val="0082700D"/>
    <w:rsid w:val="00827069"/>
    <w:rsid w:val="008273D2"/>
    <w:rsid w:val="00827622"/>
    <w:rsid w:val="0082780B"/>
    <w:rsid w:val="0082788A"/>
    <w:rsid w:val="008279BC"/>
    <w:rsid w:val="00827F65"/>
    <w:rsid w:val="00830150"/>
    <w:rsid w:val="008302A0"/>
    <w:rsid w:val="008305F8"/>
    <w:rsid w:val="0083078C"/>
    <w:rsid w:val="00830811"/>
    <w:rsid w:val="008309AF"/>
    <w:rsid w:val="00830C05"/>
    <w:rsid w:val="008311AA"/>
    <w:rsid w:val="008311AF"/>
    <w:rsid w:val="00831390"/>
    <w:rsid w:val="008314E9"/>
    <w:rsid w:val="008317D7"/>
    <w:rsid w:val="00831A41"/>
    <w:rsid w:val="00831A98"/>
    <w:rsid w:val="00831EE3"/>
    <w:rsid w:val="00831F1D"/>
    <w:rsid w:val="00832045"/>
    <w:rsid w:val="00832315"/>
    <w:rsid w:val="008324EF"/>
    <w:rsid w:val="00832529"/>
    <w:rsid w:val="008327BF"/>
    <w:rsid w:val="00832B56"/>
    <w:rsid w:val="00832C0E"/>
    <w:rsid w:val="00832E26"/>
    <w:rsid w:val="008335B3"/>
    <w:rsid w:val="00833917"/>
    <w:rsid w:val="0083395E"/>
    <w:rsid w:val="00833B19"/>
    <w:rsid w:val="00833C60"/>
    <w:rsid w:val="00833CE1"/>
    <w:rsid w:val="00834114"/>
    <w:rsid w:val="008342B2"/>
    <w:rsid w:val="00834300"/>
    <w:rsid w:val="0083444B"/>
    <w:rsid w:val="00834905"/>
    <w:rsid w:val="00834C0F"/>
    <w:rsid w:val="00835456"/>
    <w:rsid w:val="00835593"/>
    <w:rsid w:val="008356EF"/>
    <w:rsid w:val="00835CB3"/>
    <w:rsid w:val="00835D4A"/>
    <w:rsid w:val="00835D9F"/>
    <w:rsid w:val="00835F78"/>
    <w:rsid w:val="008360E3"/>
    <w:rsid w:val="00836508"/>
    <w:rsid w:val="008365B8"/>
    <w:rsid w:val="00836677"/>
    <w:rsid w:val="00836971"/>
    <w:rsid w:val="00836B2A"/>
    <w:rsid w:val="00836FD2"/>
    <w:rsid w:val="0083755F"/>
    <w:rsid w:val="008376A9"/>
    <w:rsid w:val="00837815"/>
    <w:rsid w:val="0083794C"/>
    <w:rsid w:val="00837B62"/>
    <w:rsid w:val="00837D1E"/>
    <w:rsid w:val="00837D41"/>
    <w:rsid w:val="00837F5C"/>
    <w:rsid w:val="00837F6D"/>
    <w:rsid w:val="0084005E"/>
    <w:rsid w:val="00840163"/>
    <w:rsid w:val="0084016C"/>
    <w:rsid w:val="00840363"/>
    <w:rsid w:val="008403AE"/>
    <w:rsid w:val="0084061A"/>
    <w:rsid w:val="0084080F"/>
    <w:rsid w:val="00840B1E"/>
    <w:rsid w:val="00840B37"/>
    <w:rsid w:val="00840BC2"/>
    <w:rsid w:val="00840C6F"/>
    <w:rsid w:val="00840DE2"/>
    <w:rsid w:val="00840DE3"/>
    <w:rsid w:val="00840EDC"/>
    <w:rsid w:val="00840F32"/>
    <w:rsid w:val="008410EF"/>
    <w:rsid w:val="00841140"/>
    <w:rsid w:val="00841358"/>
    <w:rsid w:val="008413B7"/>
    <w:rsid w:val="008414B8"/>
    <w:rsid w:val="008415A2"/>
    <w:rsid w:val="00841693"/>
    <w:rsid w:val="0084176A"/>
    <w:rsid w:val="00841921"/>
    <w:rsid w:val="00841D33"/>
    <w:rsid w:val="008422E6"/>
    <w:rsid w:val="008424A7"/>
    <w:rsid w:val="0084251D"/>
    <w:rsid w:val="00842537"/>
    <w:rsid w:val="00842646"/>
    <w:rsid w:val="008427FC"/>
    <w:rsid w:val="00842881"/>
    <w:rsid w:val="008429F5"/>
    <w:rsid w:val="00842F13"/>
    <w:rsid w:val="008434C4"/>
    <w:rsid w:val="008435C9"/>
    <w:rsid w:val="008435F7"/>
    <w:rsid w:val="0084368A"/>
    <w:rsid w:val="00843A5D"/>
    <w:rsid w:val="00843BF7"/>
    <w:rsid w:val="00843C62"/>
    <w:rsid w:val="0084423B"/>
    <w:rsid w:val="008442A3"/>
    <w:rsid w:val="008443A8"/>
    <w:rsid w:val="008445E6"/>
    <w:rsid w:val="008445EC"/>
    <w:rsid w:val="00844A69"/>
    <w:rsid w:val="00844B5D"/>
    <w:rsid w:val="00844D66"/>
    <w:rsid w:val="00844DE3"/>
    <w:rsid w:val="00844E24"/>
    <w:rsid w:val="00844F17"/>
    <w:rsid w:val="00845038"/>
    <w:rsid w:val="008452AC"/>
    <w:rsid w:val="0084543E"/>
    <w:rsid w:val="0084553D"/>
    <w:rsid w:val="00845792"/>
    <w:rsid w:val="008459AA"/>
    <w:rsid w:val="00845A91"/>
    <w:rsid w:val="00845ADD"/>
    <w:rsid w:val="00845C16"/>
    <w:rsid w:val="00845FBE"/>
    <w:rsid w:val="008460E3"/>
    <w:rsid w:val="008462C3"/>
    <w:rsid w:val="0084633D"/>
    <w:rsid w:val="0084663A"/>
    <w:rsid w:val="008466BE"/>
    <w:rsid w:val="00846818"/>
    <w:rsid w:val="00846CF4"/>
    <w:rsid w:val="00846D72"/>
    <w:rsid w:val="00846D87"/>
    <w:rsid w:val="00846DBF"/>
    <w:rsid w:val="00846F48"/>
    <w:rsid w:val="00847488"/>
    <w:rsid w:val="00847675"/>
    <w:rsid w:val="00847721"/>
    <w:rsid w:val="0084793A"/>
    <w:rsid w:val="00847A4E"/>
    <w:rsid w:val="00847B72"/>
    <w:rsid w:val="00847D85"/>
    <w:rsid w:val="00850040"/>
    <w:rsid w:val="0085030A"/>
    <w:rsid w:val="00850535"/>
    <w:rsid w:val="00850685"/>
    <w:rsid w:val="00850ACD"/>
    <w:rsid w:val="00850C74"/>
    <w:rsid w:val="00850E21"/>
    <w:rsid w:val="00851353"/>
    <w:rsid w:val="00851538"/>
    <w:rsid w:val="008516C0"/>
    <w:rsid w:val="008518EC"/>
    <w:rsid w:val="008521C7"/>
    <w:rsid w:val="0085231C"/>
    <w:rsid w:val="008523FA"/>
    <w:rsid w:val="00852760"/>
    <w:rsid w:val="008528FE"/>
    <w:rsid w:val="00852925"/>
    <w:rsid w:val="0085299F"/>
    <w:rsid w:val="00852EC6"/>
    <w:rsid w:val="00852ECC"/>
    <w:rsid w:val="00853505"/>
    <w:rsid w:val="008537B4"/>
    <w:rsid w:val="00853D82"/>
    <w:rsid w:val="0085415A"/>
    <w:rsid w:val="008547AD"/>
    <w:rsid w:val="00854A50"/>
    <w:rsid w:val="00854C93"/>
    <w:rsid w:val="00854CD8"/>
    <w:rsid w:val="00854D06"/>
    <w:rsid w:val="00854D24"/>
    <w:rsid w:val="008550B5"/>
    <w:rsid w:val="00855342"/>
    <w:rsid w:val="008554CE"/>
    <w:rsid w:val="0085559A"/>
    <w:rsid w:val="008555D9"/>
    <w:rsid w:val="00855925"/>
    <w:rsid w:val="00855E30"/>
    <w:rsid w:val="00855E41"/>
    <w:rsid w:val="00855EAE"/>
    <w:rsid w:val="0085661D"/>
    <w:rsid w:val="008566CA"/>
    <w:rsid w:val="008568E7"/>
    <w:rsid w:val="00856BF7"/>
    <w:rsid w:val="008572E4"/>
    <w:rsid w:val="00857471"/>
    <w:rsid w:val="0085766E"/>
    <w:rsid w:val="008576F1"/>
    <w:rsid w:val="008576F7"/>
    <w:rsid w:val="00857893"/>
    <w:rsid w:val="00857A32"/>
    <w:rsid w:val="00857B23"/>
    <w:rsid w:val="00857BDF"/>
    <w:rsid w:val="00857BF1"/>
    <w:rsid w:val="00857C5B"/>
    <w:rsid w:val="00857DC1"/>
    <w:rsid w:val="00857FA6"/>
    <w:rsid w:val="00860186"/>
    <w:rsid w:val="00860288"/>
    <w:rsid w:val="0086028B"/>
    <w:rsid w:val="008602E4"/>
    <w:rsid w:val="008603A2"/>
    <w:rsid w:val="008606E8"/>
    <w:rsid w:val="00860ECC"/>
    <w:rsid w:val="00861063"/>
    <w:rsid w:val="008610FA"/>
    <w:rsid w:val="008614FF"/>
    <w:rsid w:val="0086173B"/>
    <w:rsid w:val="00861997"/>
    <w:rsid w:val="00861B60"/>
    <w:rsid w:val="00861DAE"/>
    <w:rsid w:val="008620F9"/>
    <w:rsid w:val="008621B9"/>
    <w:rsid w:val="0086245B"/>
    <w:rsid w:val="008627B6"/>
    <w:rsid w:val="00862972"/>
    <w:rsid w:val="008633EA"/>
    <w:rsid w:val="0086355C"/>
    <w:rsid w:val="00863EB5"/>
    <w:rsid w:val="00864494"/>
    <w:rsid w:val="00864C74"/>
    <w:rsid w:val="0086527A"/>
    <w:rsid w:val="008652FB"/>
    <w:rsid w:val="008653C3"/>
    <w:rsid w:val="00865620"/>
    <w:rsid w:val="00865ADB"/>
    <w:rsid w:val="00865C60"/>
    <w:rsid w:val="00865D4C"/>
    <w:rsid w:val="00865EDC"/>
    <w:rsid w:val="008662B6"/>
    <w:rsid w:val="00866393"/>
    <w:rsid w:val="008664D4"/>
    <w:rsid w:val="00866753"/>
    <w:rsid w:val="008669B0"/>
    <w:rsid w:val="00866A07"/>
    <w:rsid w:val="00866B24"/>
    <w:rsid w:val="00866E1C"/>
    <w:rsid w:val="00867A65"/>
    <w:rsid w:val="00867FB9"/>
    <w:rsid w:val="00870946"/>
    <w:rsid w:val="0087094A"/>
    <w:rsid w:val="00870A5E"/>
    <w:rsid w:val="00870A86"/>
    <w:rsid w:val="00870C02"/>
    <w:rsid w:val="00870D42"/>
    <w:rsid w:val="00871484"/>
    <w:rsid w:val="00872175"/>
    <w:rsid w:val="0087232E"/>
    <w:rsid w:val="008727DA"/>
    <w:rsid w:val="008729B6"/>
    <w:rsid w:val="00872D3E"/>
    <w:rsid w:val="00872D9B"/>
    <w:rsid w:val="00872EE1"/>
    <w:rsid w:val="00872F92"/>
    <w:rsid w:val="00873021"/>
    <w:rsid w:val="008739FA"/>
    <w:rsid w:val="00873AC1"/>
    <w:rsid w:val="00873BFE"/>
    <w:rsid w:val="00873E30"/>
    <w:rsid w:val="00873E88"/>
    <w:rsid w:val="00874159"/>
    <w:rsid w:val="00874222"/>
    <w:rsid w:val="00874576"/>
    <w:rsid w:val="008745D9"/>
    <w:rsid w:val="00874607"/>
    <w:rsid w:val="0087485D"/>
    <w:rsid w:val="00874B79"/>
    <w:rsid w:val="00874C32"/>
    <w:rsid w:val="00874DC9"/>
    <w:rsid w:val="00874E01"/>
    <w:rsid w:val="00874E23"/>
    <w:rsid w:val="00875050"/>
    <w:rsid w:val="00875283"/>
    <w:rsid w:val="00875353"/>
    <w:rsid w:val="00875512"/>
    <w:rsid w:val="0087559E"/>
    <w:rsid w:val="008755FE"/>
    <w:rsid w:val="0087574C"/>
    <w:rsid w:val="00875BB8"/>
    <w:rsid w:val="00876138"/>
    <w:rsid w:val="0087614A"/>
    <w:rsid w:val="0087617E"/>
    <w:rsid w:val="008762A4"/>
    <w:rsid w:val="0087655D"/>
    <w:rsid w:val="008766E0"/>
    <w:rsid w:val="00876981"/>
    <w:rsid w:val="00876BE9"/>
    <w:rsid w:val="00876CD8"/>
    <w:rsid w:val="00876D06"/>
    <w:rsid w:val="00876D42"/>
    <w:rsid w:val="008771CF"/>
    <w:rsid w:val="0087724D"/>
    <w:rsid w:val="00877567"/>
    <w:rsid w:val="008775F2"/>
    <w:rsid w:val="0087775C"/>
    <w:rsid w:val="008777F2"/>
    <w:rsid w:val="0087792A"/>
    <w:rsid w:val="00880178"/>
    <w:rsid w:val="00880272"/>
    <w:rsid w:val="0088028F"/>
    <w:rsid w:val="008803C3"/>
    <w:rsid w:val="00880466"/>
    <w:rsid w:val="00880541"/>
    <w:rsid w:val="00880998"/>
    <w:rsid w:val="00880A10"/>
    <w:rsid w:val="00880A90"/>
    <w:rsid w:val="00880B1E"/>
    <w:rsid w:val="00880B8F"/>
    <w:rsid w:val="00880CE1"/>
    <w:rsid w:val="00880D91"/>
    <w:rsid w:val="008810D4"/>
    <w:rsid w:val="00881249"/>
    <w:rsid w:val="008813C2"/>
    <w:rsid w:val="00881532"/>
    <w:rsid w:val="00881558"/>
    <w:rsid w:val="008816C3"/>
    <w:rsid w:val="008816E8"/>
    <w:rsid w:val="008818B5"/>
    <w:rsid w:val="008818E2"/>
    <w:rsid w:val="008818F0"/>
    <w:rsid w:val="00881B7D"/>
    <w:rsid w:val="00881C07"/>
    <w:rsid w:val="00881FA5"/>
    <w:rsid w:val="00882511"/>
    <w:rsid w:val="00882515"/>
    <w:rsid w:val="00882575"/>
    <w:rsid w:val="008826F0"/>
    <w:rsid w:val="0088292F"/>
    <w:rsid w:val="00882DC7"/>
    <w:rsid w:val="00882EA7"/>
    <w:rsid w:val="00882FB3"/>
    <w:rsid w:val="0088305A"/>
    <w:rsid w:val="00883212"/>
    <w:rsid w:val="008832BC"/>
    <w:rsid w:val="0088373C"/>
    <w:rsid w:val="008839DA"/>
    <w:rsid w:val="00883E4A"/>
    <w:rsid w:val="00883F74"/>
    <w:rsid w:val="008841DD"/>
    <w:rsid w:val="0088479A"/>
    <w:rsid w:val="008849DD"/>
    <w:rsid w:val="008849FD"/>
    <w:rsid w:val="00884AA8"/>
    <w:rsid w:val="00884CC7"/>
    <w:rsid w:val="00884E4F"/>
    <w:rsid w:val="00884E77"/>
    <w:rsid w:val="00885022"/>
    <w:rsid w:val="008850E4"/>
    <w:rsid w:val="00885208"/>
    <w:rsid w:val="00885232"/>
    <w:rsid w:val="0088550A"/>
    <w:rsid w:val="00885579"/>
    <w:rsid w:val="008855E4"/>
    <w:rsid w:val="00885AEE"/>
    <w:rsid w:val="00885D28"/>
    <w:rsid w:val="00885DB4"/>
    <w:rsid w:val="00885E8E"/>
    <w:rsid w:val="00885FA1"/>
    <w:rsid w:val="00886296"/>
    <w:rsid w:val="00886803"/>
    <w:rsid w:val="008869E1"/>
    <w:rsid w:val="00886C34"/>
    <w:rsid w:val="008870A4"/>
    <w:rsid w:val="0088752D"/>
    <w:rsid w:val="00887B51"/>
    <w:rsid w:val="00887EFC"/>
    <w:rsid w:val="00887F5A"/>
    <w:rsid w:val="00890092"/>
    <w:rsid w:val="00890445"/>
    <w:rsid w:val="00890497"/>
    <w:rsid w:val="0089086A"/>
    <w:rsid w:val="0089086E"/>
    <w:rsid w:val="00890920"/>
    <w:rsid w:val="00890B30"/>
    <w:rsid w:val="00890C8B"/>
    <w:rsid w:val="00890CD0"/>
    <w:rsid w:val="00890D1A"/>
    <w:rsid w:val="0089119B"/>
    <w:rsid w:val="008912C3"/>
    <w:rsid w:val="0089135A"/>
    <w:rsid w:val="008915D7"/>
    <w:rsid w:val="00891656"/>
    <w:rsid w:val="008917F8"/>
    <w:rsid w:val="00891863"/>
    <w:rsid w:val="00891894"/>
    <w:rsid w:val="008918E3"/>
    <w:rsid w:val="00891A50"/>
    <w:rsid w:val="00891DF4"/>
    <w:rsid w:val="00891FFD"/>
    <w:rsid w:val="00892359"/>
    <w:rsid w:val="00892493"/>
    <w:rsid w:val="00892851"/>
    <w:rsid w:val="00892950"/>
    <w:rsid w:val="0089302C"/>
    <w:rsid w:val="0089315C"/>
    <w:rsid w:val="00893164"/>
    <w:rsid w:val="00893242"/>
    <w:rsid w:val="0089331C"/>
    <w:rsid w:val="008935AD"/>
    <w:rsid w:val="0089376F"/>
    <w:rsid w:val="00893C62"/>
    <w:rsid w:val="00893D9A"/>
    <w:rsid w:val="00893F8E"/>
    <w:rsid w:val="00894011"/>
    <w:rsid w:val="0089408C"/>
    <w:rsid w:val="008940A6"/>
    <w:rsid w:val="00894133"/>
    <w:rsid w:val="0089413B"/>
    <w:rsid w:val="008943F3"/>
    <w:rsid w:val="00894497"/>
    <w:rsid w:val="008944AD"/>
    <w:rsid w:val="008949F1"/>
    <w:rsid w:val="00894AD8"/>
    <w:rsid w:val="00894B77"/>
    <w:rsid w:val="00894C15"/>
    <w:rsid w:val="00894C95"/>
    <w:rsid w:val="00894EDF"/>
    <w:rsid w:val="00894EF8"/>
    <w:rsid w:val="0089502E"/>
    <w:rsid w:val="00895192"/>
    <w:rsid w:val="0089579D"/>
    <w:rsid w:val="00895867"/>
    <w:rsid w:val="008958D6"/>
    <w:rsid w:val="00895A7D"/>
    <w:rsid w:val="0089600F"/>
    <w:rsid w:val="008962AD"/>
    <w:rsid w:val="008965DA"/>
    <w:rsid w:val="00896BCD"/>
    <w:rsid w:val="00896D58"/>
    <w:rsid w:val="00896E38"/>
    <w:rsid w:val="00896F15"/>
    <w:rsid w:val="00897111"/>
    <w:rsid w:val="008976CA"/>
    <w:rsid w:val="00897961"/>
    <w:rsid w:val="00897E6A"/>
    <w:rsid w:val="00897EBD"/>
    <w:rsid w:val="00897F0B"/>
    <w:rsid w:val="00897F3D"/>
    <w:rsid w:val="008A00F0"/>
    <w:rsid w:val="008A017B"/>
    <w:rsid w:val="008A047D"/>
    <w:rsid w:val="008A0511"/>
    <w:rsid w:val="008A05B8"/>
    <w:rsid w:val="008A06C4"/>
    <w:rsid w:val="008A06D6"/>
    <w:rsid w:val="008A0856"/>
    <w:rsid w:val="008A090D"/>
    <w:rsid w:val="008A0BC2"/>
    <w:rsid w:val="008A0C33"/>
    <w:rsid w:val="008A0C5B"/>
    <w:rsid w:val="008A1401"/>
    <w:rsid w:val="008A15D2"/>
    <w:rsid w:val="008A16D8"/>
    <w:rsid w:val="008A1730"/>
    <w:rsid w:val="008A1914"/>
    <w:rsid w:val="008A1BEF"/>
    <w:rsid w:val="008A1CFC"/>
    <w:rsid w:val="008A1F67"/>
    <w:rsid w:val="008A257E"/>
    <w:rsid w:val="008A2C6F"/>
    <w:rsid w:val="008A2D17"/>
    <w:rsid w:val="008A2E1F"/>
    <w:rsid w:val="008A31B1"/>
    <w:rsid w:val="008A34CC"/>
    <w:rsid w:val="008A34DC"/>
    <w:rsid w:val="008A35AF"/>
    <w:rsid w:val="008A375C"/>
    <w:rsid w:val="008A3C24"/>
    <w:rsid w:val="008A3D6E"/>
    <w:rsid w:val="008A3E3C"/>
    <w:rsid w:val="008A40C6"/>
    <w:rsid w:val="008A442D"/>
    <w:rsid w:val="008A446F"/>
    <w:rsid w:val="008A44F4"/>
    <w:rsid w:val="008A44FF"/>
    <w:rsid w:val="008A4AA9"/>
    <w:rsid w:val="008A4B60"/>
    <w:rsid w:val="008A4D07"/>
    <w:rsid w:val="008A4FA5"/>
    <w:rsid w:val="008A525D"/>
    <w:rsid w:val="008A5318"/>
    <w:rsid w:val="008A5608"/>
    <w:rsid w:val="008A570B"/>
    <w:rsid w:val="008A5745"/>
    <w:rsid w:val="008A5892"/>
    <w:rsid w:val="008A5B18"/>
    <w:rsid w:val="008A5E7B"/>
    <w:rsid w:val="008A5EB4"/>
    <w:rsid w:val="008A5F63"/>
    <w:rsid w:val="008A651C"/>
    <w:rsid w:val="008A6529"/>
    <w:rsid w:val="008A66B0"/>
    <w:rsid w:val="008A68A5"/>
    <w:rsid w:val="008A6A3A"/>
    <w:rsid w:val="008A6B07"/>
    <w:rsid w:val="008A6BBE"/>
    <w:rsid w:val="008A6BE9"/>
    <w:rsid w:val="008A6D63"/>
    <w:rsid w:val="008A6D74"/>
    <w:rsid w:val="008A6F0F"/>
    <w:rsid w:val="008A6FE6"/>
    <w:rsid w:val="008A738A"/>
    <w:rsid w:val="008A74D9"/>
    <w:rsid w:val="008A76DF"/>
    <w:rsid w:val="008A7798"/>
    <w:rsid w:val="008A78E9"/>
    <w:rsid w:val="008A792E"/>
    <w:rsid w:val="008A7D3D"/>
    <w:rsid w:val="008A7D44"/>
    <w:rsid w:val="008A7F46"/>
    <w:rsid w:val="008B0071"/>
    <w:rsid w:val="008B01DE"/>
    <w:rsid w:val="008B02B4"/>
    <w:rsid w:val="008B03AF"/>
    <w:rsid w:val="008B04CF"/>
    <w:rsid w:val="008B0627"/>
    <w:rsid w:val="008B0D8A"/>
    <w:rsid w:val="008B0F1E"/>
    <w:rsid w:val="008B1083"/>
    <w:rsid w:val="008B1293"/>
    <w:rsid w:val="008B153E"/>
    <w:rsid w:val="008B1627"/>
    <w:rsid w:val="008B18DE"/>
    <w:rsid w:val="008B1972"/>
    <w:rsid w:val="008B1A29"/>
    <w:rsid w:val="008B1C46"/>
    <w:rsid w:val="008B1FB3"/>
    <w:rsid w:val="008B227E"/>
    <w:rsid w:val="008B2568"/>
    <w:rsid w:val="008B29D9"/>
    <w:rsid w:val="008B2A88"/>
    <w:rsid w:val="008B2E30"/>
    <w:rsid w:val="008B3187"/>
    <w:rsid w:val="008B3423"/>
    <w:rsid w:val="008B3640"/>
    <w:rsid w:val="008B3A66"/>
    <w:rsid w:val="008B3C3D"/>
    <w:rsid w:val="008B3C57"/>
    <w:rsid w:val="008B415D"/>
    <w:rsid w:val="008B41AE"/>
    <w:rsid w:val="008B425C"/>
    <w:rsid w:val="008B4403"/>
    <w:rsid w:val="008B4479"/>
    <w:rsid w:val="008B465F"/>
    <w:rsid w:val="008B47B6"/>
    <w:rsid w:val="008B4C7C"/>
    <w:rsid w:val="008B51C3"/>
    <w:rsid w:val="008B532F"/>
    <w:rsid w:val="008B536D"/>
    <w:rsid w:val="008B577B"/>
    <w:rsid w:val="008B5A18"/>
    <w:rsid w:val="008B5B32"/>
    <w:rsid w:val="008B5B8D"/>
    <w:rsid w:val="008B6081"/>
    <w:rsid w:val="008B622F"/>
    <w:rsid w:val="008B6476"/>
    <w:rsid w:val="008B66E2"/>
    <w:rsid w:val="008B688D"/>
    <w:rsid w:val="008B6C66"/>
    <w:rsid w:val="008B6D05"/>
    <w:rsid w:val="008B6F35"/>
    <w:rsid w:val="008B6F82"/>
    <w:rsid w:val="008B716A"/>
    <w:rsid w:val="008B728B"/>
    <w:rsid w:val="008B7583"/>
    <w:rsid w:val="008B77B8"/>
    <w:rsid w:val="008B788A"/>
    <w:rsid w:val="008B797D"/>
    <w:rsid w:val="008B7BE0"/>
    <w:rsid w:val="008B7D64"/>
    <w:rsid w:val="008B7ECE"/>
    <w:rsid w:val="008B7F44"/>
    <w:rsid w:val="008C04E4"/>
    <w:rsid w:val="008C07EA"/>
    <w:rsid w:val="008C08E2"/>
    <w:rsid w:val="008C0948"/>
    <w:rsid w:val="008C0BCB"/>
    <w:rsid w:val="008C0CBB"/>
    <w:rsid w:val="008C0D51"/>
    <w:rsid w:val="008C0FE7"/>
    <w:rsid w:val="008C10FD"/>
    <w:rsid w:val="008C130D"/>
    <w:rsid w:val="008C133E"/>
    <w:rsid w:val="008C14EA"/>
    <w:rsid w:val="008C16AB"/>
    <w:rsid w:val="008C19D9"/>
    <w:rsid w:val="008C1C68"/>
    <w:rsid w:val="008C2008"/>
    <w:rsid w:val="008C202B"/>
    <w:rsid w:val="008C2257"/>
    <w:rsid w:val="008C2413"/>
    <w:rsid w:val="008C2519"/>
    <w:rsid w:val="008C298B"/>
    <w:rsid w:val="008C2C3A"/>
    <w:rsid w:val="008C2EE3"/>
    <w:rsid w:val="008C2F80"/>
    <w:rsid w:val="008C3049"/>
    <w:rsid w:val="008C333F"/>
    <w:rsid w:val="008C33DE"/>
    <w:rsid w:val="008C374A"/>
    <w:rsid w:val="008C3830"/>
    <w:rsid w:val="008C3BA6"/>
    <w:rsid w:val="008C3C61"/>
    <w:rsid w:val="008C3ECB"/>
    <w:rsid w:val="008C4277"/>
    <w:rsid w:val="008C43BB"/>
    <w:rsid w:val="008C4496"/>
    <w:rsid w:val="008C455F"/>
    <w:rsid w:val="008C4736"/>
    <w:rsid w:val="008C4AFD"/>
    <w:rsid w:val="008C4B7E"/>
    <w:rsid w:val="008C5746"/>
    <w:rsid w:val="008C5A09"/>
    <w:rsid w:val="008C5BEF"/>
    <w:rsid w:val="008C6042"/>
    <w:rsid w:val="008C6162"/>
    <w:rsid w:val="008C61E6"/>
    <w:rsid w:val="008C6210"/>
    <w:rsid w:val="008C62DB"/>
    <w:rsid w:val="008C63EC"/>
    <w:rsid w:val="008C66FD"/>
    <w:rsid w:val="008C6A7D"/>
    <w:rsid w:val="008C6BBE"/>
    <w:rsid w:val="008C6FB1"/>
    <w:rsid w:val="008C7145"/>
    <w:rsid w:val="008C7346"/>
    <w:rsid w:val="008C7605"/>
    <w:rsid w:val="008C7A6C"/>
    <w:rsid w:val="008C7E45"/>
    <w:rsid w:val="008C7F2E"/>
    <w:rsid w:val="008C7F60"/>
    <w:rsid w:val="008D0086"/>
    <w:rsid w:val="008D0236"/>
    <w:rsid w:val="008D0427"/>
    <w:rsid w:val="008D08C0"/>
    <w:rsid w:val="008D0B7C"/>
    <w:rsid w:val="008D10A0"/>
    <w:rsid w:val="008D158C"/>
    <w:rsid w:val="008D19CC"/>
    <w:rsid w:val="008D1C22"/>
    <w:rsid w:val="008D208D"/>
    <w:rsid w:val="008D217D"/>
    <w:rsid w:val="008D223F"/>
    <w:rsid w:val="008D2255"/>
    <w:rsid w:val="008D2276"/>
    <w:rsid w:val="008D2319"/>
    <w:rsid w:val="008D23F2"/>
    <w:rsid w:val="008D26FD"/>
    <w:rsid w:val="008D27AB"/>
    <w:rsid w:val="008D2A7E"/>
    <w:rsid w:val="008D2BCC"/>
    <w:rsid w:val="008D30D0"/>
    <w:rsid w:val="008D3162"/>
    <w:rsid w:val="008D34DF"/>
    <w:rsid w:val="008D3505"/>
    <w:rsid w:val="008D35CA"/>
    <w:rsid w:val="008D3AA5"/>
    <w:rsid w:val="008D3F08"/>
    <w:rsid w:val="008D4705"/>
    <w:rsid w:val="008D4911"/>
    <w:rsid w:val="008D49F5"/>
    <w:rsid w:val="008D4D1D"/>
    <w:rsid w:val="008D4E11"/>
    <w:rsid w:val="008D4E6E"/>
    <w:rsid w:val="008D4F64"/>
    <w:rsid w:val="008D5138"/>
    <w:rsid w:val="008D51BC"/>
    <w:rsid w:val="008D53E4"/>
    <w:rsid w:val="008D56F2"/>
    <w:rsid w:val="008D5728"/>
    <w:rsid w:val="008D58ED"/>
    <w:rsid w:val="008D5920"/>
    <w:rsid w:val="008D5C6D"/>
    <w:rsid w:val="008D5DC2"/>
    <w:rsid w:val="008D60DA"/>
    <w:rsid w:val="008D62E8"/>
    <w:rsid w:val="008D63D3"/>
    <w:rsid w:val="008D6742"/>
    <w:rsid w:val="008D68DF"/>
    <w:rsid w:val="008D68E6"/>
    <w:rsid w:val="008D6AAF"/>
    <w:rsid w:val="008D6D51"/>
    <w:rsid w:val="008D6EB1"/>
    <w:rsid w:val="008D7208"/>
    <w:rsid w:val="008D76A6"/>
    <w:rsid w:val="008D79EE"/>
    <w:rsid w:val="008D7A59"/>
    <w:rsid w:val="008D7A85"/>
    <w:rsid w:val="008D7C0F"/>
    <w:rsid w:val="008D7DC2"/>
    <w:rsid w:val="008D7E2F"/>
    <w:rsid w:val="008D7E9A"/>
    <w:rsid w:val="008D7ECD"/>
    <w:rsid w:val="008E0019"/>
    <w:rsid w:val="008E0109"/>
    <w:rsid w:val="008E03B1"/>
    <w:rsid w:val="008E0449"/>
    <w:rsid w:val="008E0542"/>
    <w:rsid w:val="008E0B0C"/>
    <w:rsid w:val="008E0B68"/>
    <w:rsid w:val="008E0D45"/>
    <w:rsid w:val="008E0DBE"/>
    <w:rsid w:val="008E111E"/>
    <w:rsid w:val="008E135B"/>
    <w:rsid w:val="008E182B"/>
    <w:rsid w:val="008E1932"/>
    <w:rsid w:val="008E1DFC"/>
    <w:rsid w:val="008E1E1B"/>
    <w:rsid w:val="008E1F67"/>
    <w:rsid w:val="008E24E6"/>
    <w:rsid w:val="008E26B2"/>
    <w:rsid w:val="008E2ADE"/>
    <w:rsid w:val="008E2AFF"/>
    <w:rsid w:val="008E2BA5"/>
    <w:rsid w:val="008E3373"/>
    <w:rsid w:val="008E3992"/>
    <w:rsid w:val="008E3C8C"/>
    <w:rsid w:val="008E3CBB"/>
    <w:rsid w:val="008E3F43"/>
    <w:rsid w:val="008E4227"/>
    <w:rsid w:val="008E4610"/>
    <w:rsid w:val="008E486B"/>
    <w:rsid w:val="008E4CD0"/>
    <w:rsid w:val="008E4FF1"/>
    <w:rsid w:val="008E51D5"/>
    <w:rsid w:val="008E542D"/>
    <w:rsid w:val="008E5BB3"/>
    <w:rsid w:val="008E5CD4"/>
    <w:rsid w:val="008E60A9"/>
    <w:rsid w:val="008E60AF"/>
    <w:rsid w:val="008E61D1"/>
    <w:rsid w:val="008E6251"/>
    <w:rsid w:val="008E6265"/>
    <w:rsid w:val="008E6267"/>
    <w:rsid w:val="008E63F0"/>
    <w:rsid w:val="008E6AA6"/>
    <w:rsid w:val="008E6CCB"/>
    <w:rsid w:val="008E6CD7"/>
    <w:rsid w:val="008E6E7B"/>
    <w:rsid w:val="008E7030"/>
    <w:rsid w:val="008E71C7"/>
    <w:rsid w:val="008E7229"/>
    <w:rsid w:val="008E72DD"/>
    <w:rsid w:val="008E7355"/>
    <w:rsid w:val="008E74E3"/>
    <w:rsid w:val="008E7745"/>
    <w:rsid w:val="008E78D3"/>
    <w:rsid w:val="008E795B"/>
    <w:rsid w:val="008E7B76"/>
    <w:rsid w:val="008E7CF8"/>
    <w:rsid w:val="008E7D97"/>
    <w:rsid w:val="008E7E2D"/>
    <w:rsid w:val="008E7F61"/>
    <w:rsid w:val="008F03DA"/>
    <w:rsid w:val="008F0530"/>
    <w:rsid w:val="008F056E"/>
    <w:rsid w:val="008F061A"/>
    <w:rsid w:val="008F06AF"/>
    <w:rsid w:val="008F0798"/>
    <w:rsid w:val="008F088E"/>
    <w:rsid w:val="008F0B94"/>
    <w:rsid w:val="008F0C06"/>
    <w:rsid w:val="008F0D1A"/>
    <w:rsid w:val="008F0F75"/>
    <w:rsid w:val="008F1030"/>
    <w:rsid w:val="008F1173"/>
    <w:rsid w:val="008F12F0"/>
    <w:rsid w:val="008F1344"/>
    <w:rsid w:val="008F136B"/>
    <w:rsid w:val="008F1D1D"/>
    <w:rsid w:val="008F2067"/>
    <w:rsid w:val="008F25EA"/>
    <w:rsid w:val="008F28B6"/>
    <w:rsid w:val="008F2929"/>
    <w:rsid w:val="008F2B47"/>
    <w:rsid w:val="008F2E56"/>
    <w:rsid w:val="008F2EA0"/>
    <w:rsid w:val="008F30CB"/>
    <w:rsid w:val="008F3293"/>
    <w:rsid w:val="008F330F"/>
    <w:rsid w:val="008F34F6"/>
    <w:rsid w:val="008F383F"/>
    <w:rsid w:val="008F3856"/>
    <w:rsid w:val="008F38FF"/>
    <w:rsid w:val="008F3913"/>
    <w:rsid w:val="008F394F"/>
    <w:rsid w:val="008F3D0C"/>
    <w:rsid w:val="008F3EBA"/>
    <w:rsid w:val="008F4044"/>
    <w:rsid w:val="008F424E"/>
    <w:rsid w:val="008F4346"/>
    <w:rsid w:val="008F4557"/>
    <w:rsid w:val="008F4760"/>
    <w:rsid w:val="008F4ADC"/>
    <w:rsid w:val="008F50C8"/>
    <w:rsid w:val="008F5184"/>
    <w:rsid w:val="008F51ED"/>
    <w:rsid w:val="008F549A"/>
    <w:rsid w:val="008F54ED"/>
    <w:rsid w:val="008F57AF"/>
    <w:rsid w:val="008F5A1E"/>
    <w:rsid w:val="008F6371"/>
    <w:rsid w:val="008F6552"/>
    <w:rsid w:val="008F6A20"/>
    <w:rsid w:val="008F6ACD"/>
    <w:rsid w:val="008F6C85"/>
    <w:rsid w:val="008F6CC6"/>
    <w:rsid w:val="008F6FD0"/>
    <w:rsid w:val="008F7259"/>
    <w:rsid w:val="008F7722"/>
    <w:rsid w:val="008F786A"/>
    <w:rsid w:val="008F7882"/>
    <w:rsid w:val="008F79F1"/>
    <w:rsid w:val="008F7B09"/>
    <w:rsid w:val="008F7C0F"/>
    <w:rsid w:val="008F7C32"/>
    <w:rsid w:val="008F7C4C"/>
    <w:rsid w:val="008F7F39"/>
    <w:rsid w:val="0090026F"/>
    <w:rsid w:val="0090042A"/>
    <w:rsid w:val="009009D6"/>
    <w:rsid w:val="00900B41"/>
    <w:rsid w:val="00900C4F"/>
    <w:rsid w:val="00900D35"/>
    <w:rsid w:val="00900FDA"/>
    <w:rsid w:val="009010AA"/>
    <w:rsid w:val="00901615"/>
    <w:rsid w:val="00901749"/>
    <w:rsid w:val="00901B22"/>
    <w:rsid w:val="00902029"/>
    <w:rsid w:val="009020C9"/>
    <w:rsid w:val="00902726"/>
    <w:rsid w:val="00902771"/>
    <w:rsid w:val="0090299D"/>
    <w:rsid w:val="00902DB1"/>
    <w:rsid w:val="00903158"/>
    <w:rsid w:val="0090333C"/>
    <w:rsid w:val="009035E7"/>
    <w:rsid w:val="00903740"/>
    <w:rsid w:val="009038F8"/>
    <w:rsid w:val="00903A7C"/>
    <w:rsid w:val="00903E32"/>
    <w:rsid w:val="009048A0"/>
    <w:rsid w:val="00904DE1"/>
    <w:rsid w:val="009051BC"/>
    <w:rsid w:val="009054A1"/>
    <w:rsid w:val="009057B1"/>
    <w:rsid w:val="00905988"/>
    <w:rsid w:val="00905D21"/>
    <w:rsid w:val="00905ECE"/>
    <w:rsid w:val="00905EE9"/>
    <w:rsid w:val="00906010"/>
    <w:rsid w:val="0090610F"/>
    <w:rsid w:val="009064FD"/>
    <w:rsid w:val="00906C9C"/>
    <w:rsid w:val="00906DCB"/>
    <w:rsid w:val="00907016"/>
    <w:rsid w:val="00907139"/>
    <w:rsid w:val="009073DE"/>
    <w:rsid w:val="009077C9"/>
    <w:rsid w:val="00907A44"/>
    <w:rsid w:val="00907A6B"/>
    <w:rsid w:val="00907F49"/>
    <w:rsid w:val="00907F6A"/>
    <w:rsid w:val="0091002E"/>
    <w:rsid w:val="0091005D"/>
    <w:rsid w:val="009100C0"/>
    <w:rsid w:val="009105CD"/>
    <w:rsid w:val="00910766"/>
    <w:rsid w:val="00910B00"/>
    <w:rsid w:val="00910B12"/>
    <w:rsid w:val="00910D61"/>
    <w:rsid w:val="00910E3E"/>
    <w:rsid w:val="00910E7D"/>
    <w:rsid w:val="009112EA"/>
    <w:rsid w:val="009121C8"/>
    <w:rsid w:val="009122A9"/>
    <w:rsid w:val="00912410"/>
    <w:rsid w:val="0091247D"/>
    <w:rsid w:val="009124BC"/>
    <w:rsid w:val="00912CB0"/>
    <w:rsid w:val="00912F9E"/>
    <w:rsid w:val="00913141"/>
    <w:rsid w:val="0091316C"/>
    <w:rsid w:val="009134EC"/>
    <w:rsid w:val="00913529"/>
    <w:rsid w:val="00913704"/>
    <w:rsid w:val="009138E7"/>
    <w:rsid w:val="00913B3A"/>
    <w:rsid w:val="00913C83"/>
    <w:rsid w:val="00913D7D"/>
    <w:rsid w:val="0091442D"/>
    <w:rsid w:val="0091448C"/>
    <w:rsid w:val="009147C0"/>
    <w:rsid w:val="009148EB"/>
    <w:rsid w:val="00914BA3"/>
    <w:rsid w:val="00914D12"/>
    <w:rsid w:val="00914F9D"/>
    <w:rsid w:val="00914FAD"/>
    <w:rsid w:val="00915064"/>
    <w:rsid w:val="0091530D"/>
    <w:rsid w:val="0091553C"/>
    <w:rsid w:val="009155BF"/>
    <w:rsid w:val="00915710"/>
    <w:rsid w:val="0091595F"/>
    <w:rsid w:val="00915D28"/>
    <w:rsid w:val="00915FC6"/>
    <w:rsid w:val="009161FF"/>
    <w:rsid w:val="00916266"/>
    <w:rsid w:val="009164DA"/>
    <w:rsid w:val="00916808"/>
    <w:rsid w:val="00916863"/>
    <w:rsid w:val="00916B8A"/>
    <w:rsid w:val="00916CF7"/>
    <w:rsid w:val="00916D6A"/>
    <w:rsid w:val="00916FB9"/>
    <w:rsid w:val="00916FCF"/>
    <w:rsid w:val="009175FB"/>
    <w:rsid w:val="009177E6"/>
    <w:rsid w:val="009179B1"/>
    <w:rsid w:val="00917A4C"/>
    <w:rsid w:val="00917ACE"/>
    <w:rsid w:val="00917F52"/>
    <w:rsid w:val="0092009E"/>
    <w:rsid w:val="009201FC"/>
    <w:rsid w:val="009203F6"/>
    <w:rsid w:val="00920432"/>
    <w:rsid w:val="009205CE"/>
    <w:rsid w:val="0092077E"/>
    <w:rsid w:val="00920814"/>
    <w:rsid w:val="0092084B"/>
    <w:rsid w:val="00920A2C"/>
    <w:rsid w:val="00921189"/>
    <w:rsid w:val="00921343"/>
    <w:rsid w:val="00922405"/>
    <w:rsid w:val="0092243E"/>
    <w:rsid w:val="00922481"/>
    <w:rsid w:val="00922710"/>
    <w:rsid w:val="009227BB"/>
    <w:rsid w:val="00922999"/>
    <w:rsid w:val="0092299E"/>
    <w:rsid w:val="00922B72"/>
    <w:rsid w:val="00922BE5"/>
    <w:rsid w:val="00922C2C"/>
    <w:rsid w:val="009233F0"/>
    <w:rsid w:val="00923829"/>
    <w:rsid w:val="00923868"/>
    <w:rsid w:val="009238AF"/>
    <w:rsid w:val="00923A49"/>
    <w:rsid w:val="00923E47"/>
    <w:rsid w:val="0092439C"/>
    <w:rsid w:val="009249CC"/>
    <w:rsid w:val="00924AC5"/>
    <w:rsid w:val="00924CB9"/>
    <w:rsid w:val="00924E89"/>
    <w:rsid w:val="00924EF2"/>
    <w:rsid w:val="00925097"/>
    <w:rsid w:val="0092542D"/>
    <w:rsid w:val="009255F9"/>
    <w:rsid w:val="00925674"/>
    <w:rsid w:val="009257E1"/>
    <w:rsid w:val="00925928"/>
    <w:rsid w:val="00925BCB"/>
    <w:rsid w:val="00925C84"/>
    <w:rsid w:val="00925E36"/>
    <w:rsid w:val="00925EE2"/>
    <w:rsid w:val="00926260"/>
    <w:rsid w:val="00926688"/>
    <w:rsid w:val="009267B5"/>
    <w:rsid w:val="009269B5"/>
    <w:rsid w:val="00926B3C"/>
    <w:rsid w:val="00926F03"/>
    <w:rsid w:val="00927139"/>
    <w:rsid w:val="00927606"/>
    <w:rsid w:val="00927789"/>
    <w:rsid w:val="009277C6"/>
    <w:rsid w:val="009279D6"/>
    <w:rsid w:val="00927B3A"/>
    <w:rsid w:val="00927C34"/>
    <w:rsid w:val="009300AE"/>
    <w:rsid w:val="009300FF"/>
    <w:rsid w:val="0093038C"/>
    <w:rsid w:val="0093099F"/>
    <w:rsid w:val="00930B54"/>
    <w:rsid w:val="00930E30"/>
    <w:rsid w:val="00930E53"/>
    <w:rsid w:val="00931038"/>
    <w:rsid w:val="0093133F"/>
    <w:rsid w:val="0093186A"/>
    <w:rsid w:val="00931B85"/>
    <w:rsid w:val="00931BAD"/>
    <w:rsid w:val="00931BC4"/>
    <w:rsid w:val="00931CC4"/>
    <w:rsid w:val="009320CA"/>
    <w:rsid w:val="00932618"/>
    <w:rsid w:val="00932687"/>
    <w:rsid w:val="0093282D"/>
    <w:rsid w:val="00932916"/>
    <w:rsid w:val="0093296D"/>
    <w:rsid w:val="0093389D"/>
    <w:rsid w:val="009339B5"/>
    <w:rsid w:val="00933B1A"/>
    <w:rsid w:val="00933B7F"/>
    <w:rsid w:val="00933C6B"/>
    <w:rsid w:val="00933DDF"/>
    <w:rsid w:val="00934174"/>
    <w:rsid w:val="00934779"/>
    <w:rsid w:val="009347C5"/>
    <w:rsid w:val="00934AEA"/>
    <w:rsid w:val="00934CAF"/>
    <w:rsid w:val="00934EAD"/>
    <w:rsid w:val="00935308"/>
    <w:rsid w:val="009358BE"/>
    <w:rsid w:val="00935D47"/>
    <w:rsid w:val="009361D7"/>
    <w:rsid w:val="00936307"/>
    <w:rsid w:val="00936473"/>
    <w:rsid w:val="0093680D"/>
    <w:rsid w:val="009369DC"/>
    <w:rsid w:val="00936B5D"/>
    <w:rsid w:val="00936F83"/>
    <w:rsid w:val="00936FA4"/>
    <w:rsid w:val="0093704D"/>
    <w:rsid w:val="0093778C"/>
    <w:rsid w:val="00937D50"/>
    <w:rsid w:val="00937E7F"/>
    <w:rsid w:val="00937F99"/>
    <w:rsid w:val="0094048B"/>
    <w:rsid w:val="00940494"/>
    <w:rsid w:val="009404F9"/>
    <w:rsid w:val="00940555"/>
    <w:rsid w:val="009405FB"/>
    <w:rsid w:val="00940952"/>
    <w:rsid w:val="00940ABC"/>
    <w:rsid w:val="00940ADD"/>
    <w:rsid w:val="00940D42"/>
    <w:rsid w:val="00940E95"/>
    <w:rsid w:val="00940EF6"/>
    <w:rsid w:val="00940FB1"/>
    <w:rsid w:val="009413D0"/>
    <w:rsid w:val="00941426"/>
    <w:rsid w:val="00941590"/>
    <w:rsid w:val="009416BA"/>
    <w:rsid w:val="00941EF6"/>
    <w:rsid w:val="00942063"/>
    <w:rsid w:val="00942914"/>
    <w:rsid w:val="00942A33"/>
    <w:rsid w:val="00942A79"/>
    <w:rsid w:val="00942EBC"/>
    <w:rsid w:val="0094310C"/>
    <w:rsid w:val="009434D7"/>
    <w:rsid w:val="009436AE"/>
    <w:rsid w:val="00943848"/>
    <w:rsid w:val="009438FF"/>
    <w:rsid w:val="00943A26"/>
    <w:rsid w:val="00943C8C"/>
    <w:rsid w:val="00943CB8"/>
    <w:rsid w:val="00943E4A"/>
    <w:rsid w:val="00943E9E"/>
    <w:rsid w:val="009444CE"/>
    <w:rsid w:val="00944804"/>
    <w:rsid w:val="00944A93"/>
    <w:rsid w:val="00944A96"/>
    <w:rsid w:val="00944D64"/>
    <w:rsid w:val="00945823"/>
    <w:rsid w:val="00945E10"/>
    <w:rsid w:val="00946236"/>
    <w:rsid w:val="00946371"/>
    <w:rsid w:val="009463C7"/>
    <w:rsid w:val="0094689D"/>
    <w:rsid w:val="00946934"/>
    <w:rsid w:val="009469F4"/>
    <w:rsid w:val="00946CBE"/>
    <w:rsid w:val="00946D2F"/>
    <w:rsid w:val="00946E02"/>
    <w:rsid w:val="00946E95"/>
    <w:rsid w:val="00947139"/>
    <w:rsid w:val="0094725B"/>
    <w:rsid w:val="009475D7"/>
    <w:rsid w:val="0094776D"/>
    <w:rsid w:val="00947A5B"/>
    <w:rsid w:val="00947B16"/>
    <w:rsid w:val="00950414"/>
    <w:rsid w:val="009506CB"/>
    <w:rsid w:val="00950B18"/>
    <w:rsid w:val="00950D36"/>
    <w:rsid w:val="0095168C"/>
    <w:rsid w:val="00951752"/>
    <w:rsid w:val="00951C8B"/>
    <w:rsid w:val="00951E33"/>
    <w:rsid w:val="00951E5A"/>
    <w:rsid w:val="009520C1"/>
    <w:rsid w:val="009521D5"/>
    <w:rsid w:val="00952307"/>
    <w:rsid w:val="009526EC"/>
    <w:rsid w:val="00952743"/>
    <w:rsid w:val="0095278D"/>
    <w:rsid w:val="00952B0A"/>
    <w:rsid w:val="00953267"/>
    <w:rsid w:val="00953581"/>
    <w:rsid w:val="009535EC"/>
    <w:rsid w:val="00953815"/>
    <w:rsid w:val="009538BA"/>
    <w:rsid w:val="0095390B"/>
    <w:rsid w:val="009539B4"/>
    <w:rsid w:val="00953CD8"/>
    <w:rsid w:val="009540BE"/>
    <w:rsid w:val="0095414C"/>
    <w:rsid w:val="009541B7"/>
    <w:rsid w:val="00954321"/>
    <w:rsid w:val="0095439D"/>
    <w:rsid w:val="00954643"/>
    <w:rsid w:val="0095472F"/>
    <w:rsid w:val="009548EE"/>
    <w:rsid w:val="0095529E"/>
    <w:rsid w:val="0095559B"/>
    <w:rsid w:val="009555D2"/>
    <w:rsid w:val="00955E9C"/>
    <w:rsid w:val="00955F64"/>
    <w:rsid w:val="0095608F"/>
    <w:rsid w:val="00956517"/>
    <w:rsid w:val="00956696"/>
    <w:rsid w:val="00956E14"/>
    <w:rsid w:val="00956E5E"/>
    <w:rsid w:val="0095713D"/>
    <w:rsid w:val="00957163"/>
    <w:rsid w:val="00957335"/>
    <w:rsid w:val="009573F6"/>
    <w:rsid w:val="009573FE"/>
    <w:rsid w:val="009574FF"/>
    <w:rsid w:val="00957624"/>
    <w:rsid w:val="009577C9"/>
    <w:rsid w:val="00957F67"/>
    <w:rsid w:val="00960013"/>
    <w:rsid w:val="00960153"/>
    <w:rsid w:val="00960863"/>
    <w:rsid w:val="00960B19"/>
    <w:rsid w:val="00960B35"/>
    <w:rsid w:val="00960BFE"/>
    <w:rsid w:val="00961126"/>
    <w:rsid w:val="00961902"/>
    <w:rsid w:val="00961915"/>
    <w:rsid w:val="00961A07"/>
    <w:rsid w:val="00961C5E"/>
    <w:rsid w:val="00961CB1"/>
    <w:rsid w:val="00961CD7"/>
    <w:rsid w:val="00961CF0"/>
    <w:rsid w:val="00961D0F"/>
    <w:rsid w:val="00961DF2"/>
    <w:rsid w:val="00961E92"/>
    <w:rsid w:val="009620AE"/>
    <w:rsid w:val="00962111"/>
    <w:rsid w:val="00962132"/>
    <w:rsid w:val="0096221C"/>
    <w:rsid w:val="00962257"/>
    <w:rsid w:val="009622B9"/>
    <w:rsid w:val="00962432"/>
    <w:rsid w:val="00962599"/>
    <w:rsid w:val="00962D55"/>
    <w:rsid w:val="009632DA"/>
    <w:rsid w:val="00963467"/>
    <w:rsid w:val="0096360D"/>
    <w:rsid w:val="009636EE"/>
    <w:rsid w:val="009636EF"/>
    <w:rsid w:val="009637B3"/>
    <w:rsid w:val="00963F67"/>
    <w:rsid w:val="009641E6"/>
    <w:rsid w:val="0096427B"/>
    <w:rsid w:val="0096444B"/>
    <w:rsid w:val="0096449F"/>
    <w:rsid w:val="0096470E"/>
    <w:rsid w:val="0096472F"/>
    <w:rsid w:val="0096488C"/>
    <w:rsid w:val="0096491C"/>
    <w:rsid w:val="0096496A"/>
    <w:rsid w:val="00965089"/>
    <w:rsid w:val="0096548B"/>
    <w:rsid w:val="0096579B"/>
    <w:rsid w:val="00965A78"/>
    <w:rsid w:val="00965BD1"/>
    <w:rsid w:val="00965C20"/>
    <w:rsid w:val="00965C27"/>
    <w:rsid w:val="00965D51"/>
    <w:rsid w:val="00966173"/>
    <w:rsid w:val="009661E7"/>
    <w:rsid w:val="00966255"/>
    <w:rsid w:val="009667DE"/>
    <w:rsid w:val="0096689B"/>
    <w:rsid w:val="00966933"/>
    <w:rsid w:val="00966951"/>
    <w:rsid w:val="00966D93"/>
    <w:rsid w:val="00966DA8"/>
    <w:rsid w:val="00966DE5"/>
    <w:rsid w:val="00966FBA"/>
    <w:rsid w:val="00967292"/>
    <w:rsid w:val="0096741E"/>
    <w:rsid w:val="009674C6"/>
    <w:rsid w:val="00967884"/>
    <w:rsid w:val="00967A01"/>
    <w:rsid w:val="00967D41"/>
    <w:rsid w:val="00970156"/>
    <w:rsid w:val="009701A4"/>
    <w:rsid w:val="00970213"/>
    <w:rsid w:val="009704B5"/>
    <w:rsid w:val="009707AF"/>
    <w:rsid w:val="009708A2"/>
    <w:rsid w:val="009709AD"/>
    <w:rsid w:val="00970A0C"/>
    <w:rsid w:val="00970E7E"/>
    <w:rsid w:val="0097121F"/>
    <w:rsid w:val="0097141C"/>
    <w:rsid w:val="0097158C"/>
    <w:rsid w:val="009715E7"/>
    <w:rsid w:val="00971680"/>
    <w:rsid w:val="009719AB"/>
    <w:rsid w:val="009719BF"/>
    <w:rsid w:val="00971B61"/>
    <w:rsid w:val="00971C43"/>
    <w:rsid w:val="00971FE0"/>
    <w:rsid w:val="0097210B"/>
    <w:rsid w:val="009721A9"/>
    <w:rsid w:val="009721B6"/>
    <w:rsid w:val="0097248F"/>
    <w:rsid w:val="009724E3"/>
    <w:rsid w:val="00972E0E"/>
    <w:rsid w:val="009730BD"/>
    <w:rsid w:val="00973161"/>
    <w:rsid w:val="00973447"/>
    <w:rsid w:val="00973456"/>
    <w:rsid w:val="009734FD"/>
    <w:rsid w:val="0097355A"/>
    <w:rsid w:val="0097363B"/>
    <w:rsid w:val="009737C5"/>
    <w:rsid w:val="009738E5"/>
    <w:rsid w:val="00973ADC"/>
    <w:rsid w:val="00973B95"/>
    <w:rsid w:val="00973F34"/>
    <w:rsid w:val="00974038"/>
    <w:rsid w:val="00974127"/>
    <w:rsid w:val="00974675"/>
    <w:rsid w:val="009747C7"/>
    <w:rsid w:val="009747EE"/>
    <w:rsid w:val="00974863"/>
    <w:rsid w:val="009748B3"/>
    <w:rsid w:val="00974A76"/>
    <w:rsid w:val="00974AA8"/>
    <w:rsid w:val="00974BFF"/>
    <w:rsid w:val="00974DBB"/>
    <w:rsid w:val="00974E09"/>
    <w:rsid w:val="00975108"/>
    <w:rsid w:val="00975A4C"/>
    <w:rsid w:val="00975A58"/>
    <w:rsid w:val="00975A7A"/>
    <w:rsid w:val="00975DE0"/>
    <w:rsid w:val="00976066"/>
    <w:rsid w:val="00976529"/>
    <w:rsid w:val="009766B3"/>
    <w:rsid w:val="00976AFD"/>
    <w:rsid w:val="00976B21"/>
    <w:rsid w:val="00976DD5"/>
    <w:rsid w:val="00977136"/>
    <w:rsid w:val="00977298"/>
    <w:rsid w:val="0097753D"/>
    <w:rsid w:val="009776F8"/>
    <w:rsid w:val="009778EA"/>
    <w:rsid w:val="00977906"/>
    <w:rsid w:val="00977BF9"/>
    <w:rsid w:val="00977C3B"/>
    <w:rsid w:val="00977C6C"/>
    <w:rsid w:val="00977EF3"/>
    <w:rsid w:val="009808E0"/>
    <w:rsid w:val="00980A79"/>
    <w:rsid w:val="00980C91"/>
    <w:rsid w:val="00980FA7"/>
    <w:rsid w:val="00981051"/>
    <w:rsid w:val="0098123B"/>
    <w:rsid w:val="00981584"/>
    <w:rsid w:val="00981628"/>
    <w:rsid w:val="0098182F"/>
    <w:rsid w:val="00981A23"/>
    <w:rsid w:val="00982290"/>
    <w:rsid w:val="009822BD"/>
    <w:rsid w:val="009823D7"/>
    <w:rsid w:val="009824C6"/>
    <w:rsid w:val="009824CE"/>
    <w:rsid w:val="009825A1"/>
    <w:rsid w:val="00982988"/>
    <w:rsid w:val="00982A94"/>
    <w:rsid w:val="00982BF1"/>
    <w:rsid w:val="009832F7"/>
    <w:rsid w:val="009834B1"/>
    <w:rsid w:val="009837DB"/>
    <w:rsid w:val="00983935"/>
    <w:rsid w:val="00983A87"/>
    <w:rsid w:val="00983BB2"/>
    <w:rsid w:val="00983ED8"/>
    <w:rsid w:val="009842F8"/>
    <w:rsid w:val="00984488"/>
    <w:rsid w:val="00984B9F"/>
    <w:rsid w:val="00984BD0"/>
    <w:rsid w:val="00984BE2"/>
    <w:rsid w:val="00984F36"/>
    <w:rsid w:val="00984FB8"/>
    <w:rsid w:val="009851DF"/>
    <w:rsid w:val="00985302"/>
    <w:rsid w:val="00985419"/>
    <w:rsid w:val="00985640"/>
    <w:rsid w:val="00985910"/>
    <w:rsid w:val="009859A7"/>
    <w:rsid w:val="009859CF"/>
    <w:rsid w:val="00985A65"/>
    <w:rsid w:val="00985B8E"/>
    <w:rsid w:val="00985BE6"/>
    <w:rsid w:val="00985F1E"/>
    <w:rsid w:val="00986067"/>
    <w:rsid w:val="009861DD"/>
    <w:rsid w:val="00986402"/>
    <w:rsid w:val="009864CC"/>
    <w:rsid w:val="009868FE"/>
    <w:rsid w:val="00986C5C"/>
    <w:rsid w:val="00986E9F"/>
    <w:rsid w:val="00987088"/>
    <w:rsid w:val="00987180"/>
    <w:rsid w:val="009872D5"/>
    <w:rsid w:val="0098761F"/>
    <w:rsid w:val="00987687"/>
    <w:rsid w:val="0098783D"/>
    <w:rsid w:val="0098784B"/>
    <w:rsid w:val="00987DB6"/>
    <w:rsid w:val="00987E5E"/>
    <w:rsid w:val="009900C3"/>
    <w:rsid w:val="009904A3"/>
    <w:rsid w:val="00990658"/>
    <w:rsid w:val="0099085F"/>
    <w:rsid w:val="0099094A"/>
    <w:rsid w:val="00990983"/>
    <w:rsid w:val="00990C93"/>
    <w:rsid w:val="00990D79"/>
    <w:rsid w:val="009915CC"/>
    <w:rsid w:val="00991750"/>
    <w:rsid w:val="00991A0A"/>
    <w:rsid w:val="00991B70"/>
    <w:rsid w:val="00991DBF"/>
    <w:rsid w:val="00991E74"/>
    <w:rsid w:val="0099268A"/>
    <w:rsid w:val="009929B0"/>
    <w:rsid w:val="00992C7D"/>
    <w:rsid w:val="00992E2B"/>
    <w:rsid w:val="00993063"/>
    <w:rsid w:val="009930D8"/>
    <w:rsid w:val="00993309"/>
    <w:rsid w:val="009933FD"/>
    <w:rsid w:val="009934DD"/>
    <w:rsid w:val="0099350E"/>
    <w:rsid w:val="009937FB"/>
    <w:rsid w:val="0099392F"/>
    <w:rsid w:val="009939E4"/>
    <w:rsid w:val="00993DDE"/>
    <w:rsid w:val="00993F52"/>
    <w:rsid w:val="0099407C"/>
    <w:rsid w:val="00994121"/>
    <w:rsid w:val="009942AE"/>
    <w:rsid w:val="00994542"/>
    <w:rsid w:val="0099456B"/>
    <w:rsid w:val="00994589"/>
    <w:rsid w:val="00994674"/>
    <w:rsid w:val="00994874"/>
    <w:rsid w:val="00994D41"/>
    <w:rsid w:val="0099510C"/>
    <w:rsid w:val="009951E0"/>
    <w:rsid w:val="00995338"/>
    <w:rsid w:val="00995779"/>
    <w:rsid w:val="00995839"/>
    <w:rsid w:val="00995AD2"/>
    <w:rsid w:val="00995C64"/>
    <w:rsid w:val="00995E28"/>
    <w:rsid w:val="00995F81"/>
    <w:rsid w:val="00996085"/>
    <w:rsid w:val="00996257"/>
    <w:rsid w:val="009964AA"/>
    <w:rsid w:val="00996587"/>
    <w:rsid w:val="0099666E"/>
    <w:rsid w:val="00996980"/>
    <w:rsid w:val="009969D2"/>
    <w:rsid w:val="00996A72"/>
    <w:rsid w:val="00996C06"/>
    <w:rsid w:val="00997029"/>
    <w:rsid w:val="009974FC"/>
    <w:rsid w:val="00997AAC"/>
    <w:rsid w:val="00997B2F"/>
    <w:rsid w:val="00997D2E"/>
    <w:rsid w:val="00997F20"/>
    <w:rsid w:val="00997F8E"/>
    <w:rsid w:val="009A043A"/>
    <w:rsid w:val="009A07C4"/>
    <w:rsid w:val="009A08AF"/>
    <w:rsid w:val="009A0DC4"/>
    <w:rsid w:val="009A1042"/>
    <w:rsid w:val="009A1898"/>
    <w:rsid w:val="009A1BE8"/>
    <w:rsid w:val="009A1F3B"/>
    <w:rsid w:val="009A211B"/>
    <w:rsid w:val="009A2144"/>
    <w:rsid w:val="009A21C1"/>
    <w:rsid w:val="009A2247"/>
    <w:rsid w:val="009A2569"/>
    <w:rsid w:val="009A262E"/>
    <w:rsid w:val="009A269A"/>
    <w:rsid w:val="009A2B4F"/>
    <w:rsid w:val="009A2CBB"/>
    <w:rsid w:val="009A2EDF"/>
    <w:rsid w:val="009A2FEB"/>
    <w:rsid w:val="009A34C4"/>
    <w:rsid w:val="009A3684"/>
    <w:rsid w:val="009A368B"/>
    <w:rsid w:val="009A3C08"/>
    <w:rsid w:val="009A3E35"/>
    <w:rsid w:val="009A3FAC"/>
    <w:rsid w:val="009A408A"/>
    <w:rsid w:val="009A4429"/>
    <w:rsid w:val="009A44BC"/>
    <w:rsid w:val="009A49E6"/>
    <w:rsid w:val="009A4C25"/>
    <w:rsid w:val="009A4C60"/>
    <w:rsid w:val="009A4C8E"/>
    <w:rsid w:val="009A569F"/>
    <w:rsid w:val="009A5A94"/>
    <w:rsid w:val="009A5ACE"/>
    <w:rsid w:val="009A5B4F"/>
    <w:rsid w:val="009A5DB9"/>
    <w:rsid w:val="009A5E50"/>
    <w:rsid w:val="009A622D"/>
    <w:rsid w:val="009A632C"/>
    <w:rsid w:val="009A634D"/>
    <w:rsid w:val="009A641E"/>
    <w:rsid w:val="009A6B4B"/>
    <w:rsid w:val="009A6D02"/>
    <w:rsid w:val="009A6DEA"/>
    <w:rsid w:val="009A6E61"/>
    <w:rsid w:val="009A7234"/>
    <w:rsid w:val="009A76EF"/>
    <w:rsid w:val="009A795D"/>
    <w:rsid w:val="009A7D02"/>
    <w:rsid w:val="009A7EA8"/>
    <w:rsid w:val="009B04B4"/>
    <w:rsid w:val="009B0900"/>
    <w:rsid w:val="009B0C76"/>
    <w:rsid w:val="009B0D7E"/>
    <w:rsid w:val="009B0D88"/>
    <w:rsid w:val="009B0EBB"/>
    <w:rsid w:val="009B0F72"/>
    <w:rsid w:val="009B0FE6"/>
    <w:rsid w:val="009B103F"/>
    <w:rsid w:val="009B10B6"/>
    <w:rsid w:val="009B128D"/>
    <w:rsid w:val="009B1298"/>
    <w:rsid w:val="009B12FB"/>
    <w:rsid w:val="009B156A"/>
    <w:rsid w:val="009B18FE"/>
    <w:rsid w:val="009B193E"/>
    <w:rsid w:val="009B2C53"/>
    <w:rsid w:val="009B2E7D"/>
    <w:rsid w:val="009B2FFD"/>
    <w:rsid w:val="009B312A"/>
    <w:rsid w:val="009B3221"/>
    <w:rsid w:val="009B3342"/>
    <w:rsid w:val="009B33FB"/>
    <w:rsid w:val="009B346F"/>
    <w:rsid w:val="009B34F1"/>
    <w:rsid w:val="009B3555"/>
    <w:rsid w:val="009B35AD"/>
    <w:rsid w:val="009B3678"/>
    <w:rsid w:val="009B38D9"/>
    <w:rsid w:val="009B39A2"/>
    <w:rsid w:val="009B3C70"/>
    <w:rsid w:val="009B3E12"/>
    <w:rsid w:val="009B4050"/>
    <w:rsid w:val="009B4240"/>
    <w:rsid w:val="009B43A8"/>
    <w:rsid w:val="009B48C5"/>
    <w:rsid w:val="009B490C"/>
    <w:rsid w:val="009B4AF1"/>
    <w:rsid w:val="009B4B63"/>
    <w:rsid w:val="009B4CE1"/>
    <w:rsid w:val="009B5010"/>
    <w:rsid w:val="009B5164"/>
    <w:rsid w:val="009B54FC"/>
    <w:rsid w:val="009B5671"/>
    <w:rsid w:val="009B56A2"/>
    <w:rsid w:val="009B5705"/>
    <w:rsid w:val="009B585D"/>
    <w:rsid w:val="009B5963"/>
    <w:rsid w:val="009B5976"/>
    <w:rsid w:val="009B5B61"/>
    <w:rsid w:val="009B5C97"/>
    <w:rsid w:val="009B5CAE"/>
    <w:rsid w:val="009B5FAE"/>
    <w:rsid w:val="009B63F5"/>
    <w:rsid w:val="009B689E"/>
    <w:rsid w:val="009B68C6"/>
    <w:rsid w:val="009B68F2"/>
    <w:rsid w:val="009B69D1"/>
    <w:rsid w:val="009B6BB1"/>
    <w:rsid w:val="009B6CBC"/>
    <w:rsid w:val="009B6CC0"/>
    <w:rsid w:val="009B72B7"/>
    <w:rsid w:val="009B738D"/>
    <w:rsid w:val="009B73FD"/>
    <w:rsid w:val="009B7443"/>
    <w:rsid w:val="009B7570"/>
    <w:rsid w:val="009B75CF"/>
    <w:rsid w:val="009B77C8"/>
    <w:rsid w:val="009B7C58"/>
    <w:rsid w:val="009B7F8C"/>
    <w:rsid w:val="009B7FA7"/>
    <w:rsid w:val="009C02D2"/>
    <w:rsid w:val="009C07C3"/>
    <w:rsid w:val="009C0A2B"/>
    <w:rsid w:val="009C0C19"/>
    <w:rsid w:val="009C0F46"/>
    <w:rsid w:val="009C10DF"/>
    <w:rsid w:val="009C11FC"/>
    <w:rsid w:val="009C137D"/>
    <w:rsid w:val="009C148B"/>
    <w:rsid w:val="009C16A9"/>
    <w:rsid w:val="009C18C8"/>
    <w:rsid w:val="009C1B72"/>
    <w:rsid w:val="009C1E32"/>
    <w:rsid w:val="009C21FC"/>
    <w:rsid w:val="009C2229"/>
    <w:rsid w:val="009C22B8"/>
    <w:rsid w:val="009C22E1"/>
    <w:rsid w:val="009C2407"/>
    <w:rsid w:val="009C2679"/>
    <w:rsid w:val="009C2C86"/>
    <w:rsid w:val="009C2E15"/>
    <w:rsid w:val="009C2E3A"/>
    <w:rsid w:val="009C2E3C"/>
    <w:rsid w:val="009C3086"/>
    <w:rsid w:val="009C30B5"/>
    <w:rsid w:val="009C334C"/>
    <w:rsid w:val="009C3EEE"/>
    <w:rsid w:val="009C4001"/>
    <w:rsid w:val="009C413C"/>
    <w:rsid w:val="009C4197"/>
    <w:rsid w:val="009C4575"/>
    <w:rsid w:val="009C475F"/>
    <w:rsid w:val="009C4808"/>
    <w:rsid w:val="009C492A"/>
    <w:rsid w:val="009C4A74"/>
    <w:rsid w:val="009C4C56"/>
    <w:rsid w:val="009C4D63"/>
    <w:rsid w:val="009C4F3A"/>
    <w:rsid w:val="009C514F"/>
    <w:rsid w:val="009C53BE"/>
    <w:rsid w:val="009C543D"/>
    <w:rsid w:val="009C54F8"/>
    <w:rsid w:val="009C560C"/>
    <w:rsid w:val="009C5685"/>
    <w:rsid w:val="009C575B"/>
    <w:rsid w:val="009C5D84"/>
    <w:rsid w:val="009C5E7B"/>
    <w:rsid w:val="009C5E85"/>
    <w:rsid w:val="009C5FDB"/>
    <w:rsid w:val="009C613E"/>
    <w:rsid w:val="009C617D"/>
    <w:rsid w:val="009C6277"/>
    <w:rsid w:val="009C62F9"/>
    <w:rsid w:val="009C6861"/>
    <w:rsid w:val="009C697D"/>
    <w:rsid w:val="009C78B5"/>
    <w:rsid w:val="009C7A69"/>
    <w:rsid w:val="009C7C91"/>
    <w:rsid w:val="009C7D02"/>
    <w:rsid w:val="009D0370"/>
    <w:rsid w:val="009D04FC"/>
    <w:rsid w:val="009D11A6"/>
    <w:rsid w:val="009D1253"/>
    <w:rsid w:val="009D12EC"/>
    <w:rsid w:val="009D1369"/>
    <w:rsid w:val="009D13E1"/>
    <w:rsid w:val="009D1743"/>
    <w:rsid w:val="009D1B97"/>
    <w:rsid w:val="009D1FEE"/>
    <w:rsid w:val="009D255A"/>
    <w:rsid w:val="009D3224"/>
    <w:rsid w:val="009D36D2"/>
    <w:rsid w:val="009D395B"/>
    <w:rsid w:val="009D3BBC"/>
    <w:rsid w:val="009D3C2A"/>
    <w:rsid w:val="009D419C"/>
    <w:rsid w:val="009D4807"/>
    <w:rsid w:val="009D4966"/>
    <w:rsid w:val="009D496C"/>
    <w:rsid w:val="009D4B37"/>
    <w:rsid w:val="009D4CA2"/>
    <w:rsid w:val="009D51A2"/>
    <w:rsid w:val="009D5236"/>
    <w:rsid w:val="009D5309"/>
    <w:rsid w:val="009D533D"/>
    <w:rsid w:val="009D550C"/>
    <w:rsid w:val="009D56AF"/>
    <w:rsid w:val="009D5894"/>
    <w:rsid w:val="009D58C6"/>
    <w:rsid w:val="009D594E"/>
    <w:rsid w:val="009D59AA"/>
    <w:rsid w:val="009D59F5"/>
    <w:rsid w:val="009D5B74"/>
    <w:rsid w:val="009D5CB7"/>
    <w:rsid w:val="009D5FD0"/>
    <w:rsid w:val="009D63E1"/>
    <w:rsid w:val="009D660C"/>
    <w:rsid w:val="009D6BE5"/>
    <w:rsid w:val="009D6C59"/>
    <w:rsid w:val="009D6E3E"/>
    <w:rsid w:val="009D7303"/>
    <w:rsid w:val="009D743C"/>
    <w:rsid w:val="009D74AB"/>
    <w:rsid w:val="009D751C"/>
    <w:rsid w:val="009D7C92"/>
    <w:rsid w:val="009D7D22"/>
    <w:rsid w:val="009D7D2C"/>
    <w:rsid w:val="009E089E"/>
    <w:rsid w:val="009E0B6B"/>
    <w:rsid w:val="009E0D0B"/>
    <w:rsid w:val="009E104E"/>
    <w:rsid w:val="009E10B3"/>
    <w:rsid w:val="009E10C0"/>
    <w:rsid w:val="009E141E"/>
    <w:rsid w:val="009E14B4"/>
    <w:rsid w:val="009E1543"/>
    <w:rsid w:val="009E1587"/>
    <w:rsid w:val="009E196E"/>
    <w:rsid w:val="009E1BE0"/>
    <w:rsid w:val="009E2091"/>
    <w:rsid w:val="009E23DB"/>
    <w:rsid w:val="009E25E4"/>
    <w:rsid w:val="009E270B"/>
    <w:rsid w:val="009E2845"/>
    <w:rsid w:val="009E2874"/>
    <w:rsid w:val="009E2932"/>
    <w:rsid w:val="009E294F"/>
    <w:rsid w:val="009E2C9F"/>
    <w:rsid w:val="009E2F2B"/>
    <w:rsid w:val="009E347C"/>
    <w:rsid w:val="009E359F"/>
    <w:rsid w:val="009E3A80"/>
    <w:rsid w:val="009E408C"/>
    <w:rsid w:val="009E40E3"/>
    <w:rsid w:val="009E4291"/>
    <w:rsid w:val="009E4430"/>
    <w:rsid w:val="009E4454"/>
    <w:rsid w:val="009E44AC"/>
    <w:rsid w:val="009E498A"/>
    <w:rsid w:val="009E4BB5"/>
    <w:rsid w:val="009E4CB2"/>
    <w:rsid w:val="009E4DA9"/>
    <w:rsid w:val="009E4DCA"/>
    <w:rsid w:val="009E4F19"/>
    <w:rsid w:val="009E5096"/>
    <w:rsid w:val="009E50DD"/>
    <w:rsid w:val="009E54BF"/>
    <w:rsid w:val="009E55D9"/>
    <w:rsid w:val="009E55F6"/>
    <w:rsid w:val="009E56BB"/>
    <w:rsid w:val="009E5907"/>
    <w:rsid w:val="009E59DB"/>
    <w:rsid w:val="009E5C2F"/>
    <w:rsid w:val="009E5CB4"/>
    <w:rsid w:val="009E5DFE"/>
    <w:rsid w:val="009E5E32"/>
    <w:rsid w:val="009E6261"/>
    <w:rsid w:val="009E6414"/>
    <w:rsid w:val="009E6426"/>
    <w:rsid w:val="009E6473"/>
    <w:rsid w:val="009E67F5"/>
    <w:rsid w:val="009E6A54"/>
    <w:rsid w:val="009E6ADD"/>
    <w:rsid w:val="009E6AF3"/>
    <w:rsid w:val="009E6BC2"/>
    <w:rsid w:val="009E6ED5"/>
    <w:rsid w:val="009E6F89"/>
    <w:rsid w:val="009E6FAC"/>
    <w:rsid w:val="009E7164"/>
    <w:rsid w:val="009E76F2"/>
    <w:rsid w:val="009E774A"/>
    <w:rsid w:val="009E7C2C"/>
    <w:rsid w:val="009F0534"/>
    <w:rsid w:val="009F095A"/>
    <w:rsid w:val="009F0BE6"/>
    <w:rsid w:val="009F0E90"/>
    <w:rsid w:val="009F11D8"/>
    <w:rsid w:val="009F1302"/>
    <w:rsid w:val="009F13E4"/>
    <w:rsid w:val="009F1459"/>
    <w:rsid w:val="009F1619"/>
    <w:rsid w:val="009F1665"/>
    <w:rsid w:val="009F1779"/>
    <w:rsid w:val="009F18E5"/>
    <w:rsid w:val="009F1ECE"/>
    <w:rsid w:val="009F20B2"/>
    <w:rsid w:val="009F2552"/>
    <w:rsid w:val="009F28A5"/>
    <w:rsid w:val="009F29CF"/>
    <w:rsid w:val="009F2B86"/>
    <w:rsid w:val="009F2BBC"/>
    <w:rsid w:val="009F3AAA"/>
    <w:rsid w:val="009F3BFF"/>
    <w:rsid w:val="009F3C58"/>
    <w:rsid w:val="009F3C66"/>
    <w:rsid w:val="009F3E64"/>
    <w:rsid w:val="009F410A"/>
    <w:rsid w:val="009F46D0"/>
    <w:rsid w:val="009F47A9"/>
    <w:rsid w:val="009F48B7"/>
    <w:rsid w:val="009F49FC"/>
    <w:rsid w:val="009F4A78"/>
    <w:rsid w:val="009F4CFA"/>
    <w:rsid w:val="009F4FDE"/>
    <w:rsid w:val="009F50FB"/>
    <w:rsid w:val="009F5285"/>
    <w:rsid w:val="009F578C"/>
    <w:rsid w:val="009F5C9B"/>
    <w:rsid w:val="009F5CAB"/>
    <w:rsid w:val="009F5D1D"/>
    <w:rsid w:val="009F5D4A"/>
    <w:rsid w:val="009F5D5D"/>
    <w:rsid w:val="009F5E24"/>
    <w:rsid w:val="009F65FF"/>
    <w:rsid w:val="009F690F"/>
    <w:rsid w:val="009F699E"/>
    <w:rsid w:val="009F69DD"/>
    <w:rsid w:val="009F6AD3"/>
    <w:rsid w:val="009F6FE8"/>
    <w:rsid w:val="009F71A0"/>
    <w:rsid w:val="009F7519"/>
    <w:rsid w:val="009F75DC"/>
    <w:rsid w:val="009F7EBA"/>
    <w:rsid w:val="009F7F00"/>
    <w:rsid w:val="00A00387"/>
    <w:rsid w:val="00A00396"/>
    <w:rsid w:val="00A0058B"/>
    <w:rsid w:val="00A006A9"/>
    <w:rsid w:val="00A00775"/>
    <w:rsid w:val="00A0079F"/>
    <w:rsid w:val="00A00CCF"/>
    <w:rsid w:val="00A00EED"/>
    <w:rsid w:val="00A00FE0"/>
    <w:rsid w:val="00A01478"/>
    <w:rsid w:val="00A014A7"/>
    <w:rsid w:val="00A01532"/>
    <w:rsid w:val="00A01573"/>
    <w:rsid w:val="00A01B61"/>
    <w:rsid w:val="00A01D0E"/>
    <w:rsid w:val="00A01DD0"/>
    <w:rsid w:val="00A020AC"/>
    <w:rsid w:val="00A02134"/>
    <w:rsid w:val="00A02200"/>
    <w:rsid w:val="00A022CB"/>
    <w:rsid w:val="00A023CA"/>
    <w:rsid w:val="00A024AA"/>
    <w:rsid w:val="00A024ED"/>
    <w:rsid w:val="00A025C1"/>
    <w:rsid w:val="00A02AC2"/>
    <w:rsid w:val="00A02B5F"/>
    <w:rsid w:val="00A02D41"/>
    <w:rsid w:val="00A0313E"/>
    <w:rsid w:val="00A032AB"/>
    <w:rsid w:val="00A033C2"/>
    <w:rsid w:val="00A03618"/>
    <w:rsid w:val="00A03663"/>
    <w:rsid w:val="00A036E6"/>
    <w:rsid w:val="00A03AD3"/>
    <w:rsid w:val="00A0431D"/>
    <w:rsid w:val="00A043C3"/>
    <w:rsid w:val="00A04465"/>
    <w:rsid w:val="00A046EA"/>
    <w:rsid w:val="00A05001"/>
    <w:rsid w:val="00A053D3"/>
    <w:rsid w:val="00A0546E"/>
    <w:rsid w:val="00A054C8"/>
    <w:rsid w:val="00A0564B"/>
    <w:rsid w:val="00A057F9"/>
    <w:rsid w:val="00A059A8"/>
    <w:rsid w:val="00A05C35"/>
    <w:rsid w:val="00A05C88"/>
    <w:rsid w:val="00A05E97"/>
    <w:rsid w:val="00A05F04"/>
    <w:rsid w:val="00A05F5A"/>
    <w:rsid w:val="00A0609A"/>
    <w:rsid w:val="00A060B2"/>
    <w:rsid w:val="00A060E2"/>
    <w:rsid w:val="00A06125"/>
    <w:rsid w:val="00A062D7"/>
    <w:rsid w:val="00A06311"/>
    <w:rsid w:val="00A0631E"/>
    <w:rsid w:val="00A06596"/>
    <w:rsid w:val="00A0682B"/>
    <w:rsid w:val="00A0688A"/>
    <w:rsid w:val="00A06900"/>
    <w:rsid w:val="00A06A3C"/>
    <w:rsid w:val="00A06ABB"/>
    <w:rsid w:val="00A06CF6"/>
    <w:rsid w:val="00A06F05"/>
    <w:rsid w:val="00A07061"/>
    <w:rsid w:val="00A0716B"/>
    <w:rsid w:val="00A0729D"/>
    <w:rsid w:val="00A07547"/>
    <w:rsid w:val="00A07684"/>
    <w:rsid w:val="00A07B37"/>
    <w:rsid w:val="00A07BDB"/>
    <w:rsid w:val="00A07E48"/>
    <w:rsid w:val="00A07F2B"/>
    <w:rsid w:val="00A108D4"/>
    <w:rsid w:val="00A10A0E"/>
    <w:rsid w:val="00A10A35"/>
    <w:rsid w:val="00A10CB6"/>
    <w:rsid w:val="00A1121C"/>
    <w:rsid w:val="00A11373"/>
    <w:rsid w:val="00A11418"/>
    <w:rsid w:val="00A116D1"/>
    <w:rsid w:val="00A11782"/>
    <w:rsid w:val="00A11981"/>
    <w:rsid w:val="00A119DB"/>
    <w:rsid w:val="00A119F6"/>
    <w:rsid w:val="00A11A6D"/>
    <w:rsid w:val="00A120A2"/>
    <w:rsid w:val="00A12166"/>
    <w:rsid w:val="00A12228"/>
    <w:rsid w:val="00A123B4"/>
    <w:rsid w:val="00A124A8"/>
    <w:rsid w:val="00A12769"/>
    <w:rsid w:val="00A12952"/>
    <w:rsid w:val="00A12B82"/>
    <w:rsid w:val="00A12B8C"/>
    <w:rsid w:val="00A12D80"/>
    <w:rsid w:val="00A13045"/>
    <w:rsid w:val="00A131B1"/>
    <w:rsid w:val="00A132EF"/>
    <w:rsid w:val="00A134F3"/>
    <w:rsid w:val="00A134FB"/>
    <w:rsid w:val="00A13577"/>
    <w:rsid w:val="00A1359D"/>
    <w:rsid w:val="00A13674"/>
    <w:rsid w:val="00A1381F"/>
    <w:rsid w:val="00A139D1"/>
    <w:rsid w:val="00A13A3C"/>
    <w:rsid w:val="00A13A3D"/>
    <w:rsid w:val="00A13E71"/>
    <w:rsid w:val="00A13F2C"/>
    <w:rsid w:val="00A140C8"/>
    <w:rsid w:val="00A142BC"/>
    <w:rsid w:val="00A143E4"/>
    <w:rsid w:val="00A14BB7"/>
    <w:rsid w:val="00A14DC0"/>
    <w:rsid w:val="00A15041"/>
    <w:rsid w:val="00A1504E"/>
    <w:rsid w:val="00A1515C"/>
    <w:rsid w:val="00A1562B"/>
    <w:rsid w:val="00A1568B"/>
    <w:rsid w:val="00A15CAE"/>
    <w:rsid w:val="00A15F0A"/>
    <w:rsid w:val="00A163A6"/>
    <w:rsid w:val="00A16562"/>
    <w:rsid w:val="00A168D2"/>
    <w:rsid w:val="00A16EE7"/>
    <w:rsid w:val="00A16FFA"/>
    <w:rsid w:val="00A16FFE"/>
    <w:rsid w:val="00A1707A"/>
    <w:rsid w:val="00A17154"/>
    <w:rsid w:val="00A17895"/>
    <w:rsid w:val="00A17AA0"/>
    <w:rsid w:val="00A17AB5"/>
    <w:rsid w:val="00A17B6A"/>
    <w:rsid w:val="00A17D73"/>
    <w:rsid w:val="00A17FA6"/>
    <w:rsid w:val="00A201A3"/>
    <w:rsid w:val="00A2046C"/>
    <w:rsid w:val="00A20ED2"/>
    <w:rsid w:val="00A21222"/>
    <w:rsid w:val="00A21429"/>
    <w:rsid w:val="00A21544"/>
    <w:rsid w:val="00A216BC"/>
    <w:rsid w:val="00A21D3C"/>
    <w:rsid w:val="00A21E10"/>
    <w:rsid w:val="00A220E4"/>
    <w:rsid w:val="00A22237"/>
    <w:rsid w:val="00A22251"/>
    <w:rsid w:val="00A2228A"/>
    <w:rsid w:val="00A2248B"/>
    <w:rsid w:val="00A22494"/>
    <w:rsid w:val="00A22CD3"/>
    <w:rsid w:val="00A22D9E"/>
    <w:rsid w:val="00A23133"/>
    <w:rsid w:val="00A232E7"/>
    <w:rsid w:val="00A238C4"/>
    <w:rsid w:val="00A23BE1"/>
    <w:rsid w:val="00A23EA3"/>
    <w:rsid w:val="00A241BC"/>
    <w:rsid w:val="00A24700"/>
    <w:rsid w:val="00A24BDF"/>
    <w:rsid w:val="00A25194"/>
    <w:rsid w:val="00A251FD"/>
    <w:rsid w:val="00A25439"/>
    <w:rsid w:val="00A258E2"/>
    <w:rsid w:val="00A258F8"/>
    <w:rsid w:val="00A25C05"/>
    <w:rsid w:val="00A25DF0"/>
    <w:rsid w:val="00A26026"/>
    <w:rsid w:val="00A2602A"/>
    <w:rsid w:val="00A264A4"/>
    <w:rsid w:val="00A26517"/>
    <w:rsid w:val="00A26557"/>
    <w:rsid w:val="00A2660F"/>
    <w:rsid w:val="00A26752"/>
    <w:rsid w:val="00A26829"/>
    <w:rsid w:val="00A26EC7"/>
    <w:rsid w:val="00A274EC"/>
    <w:rsid w:val="00A27A45"/>
    <w:rsid w:val="00A27BB5"/>
    <w:rsid w:val="00A27C75"/>
    <w:rsid w:val="00A27DCC"/>
    <w:rsid w:val="00A3045E"/>
    <w:rsid w:val="00A3061A"/>
    <w:rsid w:val="00A30AF7"/>
    <w:rsid w:val="00A30E9A"/>
    <w:rsid w:val="00A31136"/>
    <w:rsid w:val="00A3123E"/>
    <w:rsid w:val="00A31259"/>
    <w:rsid w:val="00A31AF1"/>
    <w:rsid w:val="00A31D9D"/>
    <w:rsid w:val="00A3202C"/>
    <w:rsid w:val="00A32359"/>
    <w:rsid w:val="00A3257B"/>
    <w:rsid w:val="00A326C5"/>
    <w:rsid w:val="00A328C8"/>
    <w:rsid w:val="00A32AC1"/>
    <w:rsid w:val="00A32B6F"/>
    <w:rsid w:val="00A32D5A"/>
    <w:rsid w:val="00A32D73"/>
    <w:rsid w:val="00A33083"/>
    <w:rsid w:val="00A330B2"/>
    <w:rsid w:val="00A33574"/>
    <w:rsid w:val="00A33C45"/>
    <w:rsid w:val="00A3408F"/>
    <w:rsid w:val="00A340C6"/>
    <w:rsid w:val="00A340D9"/>
    <w:rsid w:val="00A341BB"/>
    <w:rsid w:val="00A341D0"/>
    <w:rsid w:val="00A34422"/>
    <w:rsid w:val="00A34489"/>
    <w:rsid w:val="00A3488D"/>
    <w:rsid w:val="00A348EC"/>
    <w:rsid w:val="00A349D1"/>
    <w:rsid w:val="00A34CB9"/>
    <w:rsid w:val="00A35132"/>
    <w:rsid w:val="00A3532E"/>
    <w:rsid w:val="00A357C7"/>
    <w:rsid w:val="00A35E76"/>
    <w:rsid w:val="00A35FDA"/>
    <w:rsid w:val="00A3613D"/>
    <w:rsid w:val="00A361D6"/>
    <w:rsid w:val="00A3644A"/>
    <w:rsid w:val="00A36463"/>
    <w:rsid w:val="00A36D96"/>
    <w:rsid w:val="00A36DBD"/>
    <w:rsid w:val="00A36E34"/>
    <w:rsid w:val="00A370CB"/>
    <w:rsid w:val="00A377CC"/>
    <w:rsid w:val="00A378D0"/>
    <w:rsid w:val="00A37A9F"/>
    <w:rsid w:val="00A37B1C"/>
    <w:rsid w:val="00A37EA4"/>
    <w:rsid w:val="00A40057"/>
    <w:rsid w:val="00A40217"/>
    <w:rsid w:val="00A40548"/>
    <w:rsid w:val="00A408DF"/>
    <w:rsid w:val="00A40942"/>
    <w:rsid w:val="00A40953"/>
    <w:rsid w:val="00A40D36"/>
    <w:rsid w:val="00A40DBB"/>
    <w:rsid w:val="00A414C5"/>
    <w:rsid w:val="00A41618"/>
    <w:rsid w:val="00A417B8"/>
    <w:rsid w:val="00A41A93"/>
    <w:rsid w:val="00A41CB1"/>
    <w:rsid w:val="00A4218F"/>
    <w:rsid w:val="00A421A7"/>
    <w:rsid w:val="00A421AC"/>
    <w:rsid w:val="00A4232F"/>
    <w:rsid w:val="00A423A6"/>
    <w:rsid w:val="00A42637"/>
    <w:rsid w:val="00A4272E"/>
    <w:rsid w:val="00A4288A"/>
    <w:rsid w:val="00A4292D"/>
    <w:rsid w:val="00A42A80"/>
    <w:rsid w:val="00A42FED"/>
    <w:rsid w:val="00A430E2"/>
    <w:rsid w:val="00A431A9"/>
    <w:rsid w:val="00A4345C"/>
    <w:rsid w:val="00A4368F"/>
    <w:rsid w:val="00A436A7"/>
    <w:rsid w:val="00A43C16"/>
    <w:rsid w:val="00A43D5D"/>
    <w:rsid w:val="00A43DC4"/>
    <w:rsid w:val="00A43FF4"/>
    <w:rsid w:val="00A44033"/>
    <w:rsid w:val="00A4430E"/>
    <w:rsid w:val="00A4488B"/>
    <w:rsid w:val="00A44957"/>
    <w:rsid w:val="00A44DD3"/>
    <w:rsid w:val="00A44EDD"/>
    <w:rsid w:val="00A4524D"/>
    <w:rsid w:val="00A452B1"/>
    <w:rsid w:val="00A45874"/>
    <w:rsid w:val="00A4587B"/>
    <w:rsid w:val="00A458A5"/>
    <w:rsid w:val="00A458F0"/>
    <w:rsid w:val="00A46223"/>
    <w:rsid w:val="00A46B2C"/>
    <w:rsid w:val="00A46D26"/>
    <w:rsid w:val="00A46E39"/>
    <w:rsid w:val="00A46E80"/>
    <w:rsid w:val="00A46EB4"/>
    <w:rsid w:val="00A470B9"/>
    <w:rsid w:val="00A47319"/>
    <w:rsid w:val="00A4741B"/>
    <w:rsid w:val="00A474A3"/>
    <w:rsid w:val="00A477B2"/>
    <w:rsid w:val="00A47923"/>
    <w:rsid w:val="00A47B9E"/>
    <w:rsid w:val="00A50292"/>
    <w:rsid w:val="00A5097F"/>
    <w:rsid w:val="00A50B4C"/>
    <w:rsid w:val="00A50D60"/>
    <w:rsid w:val="00A50E42"/>
    <w:rsid w:val="00A50F87"/>
    <w:rsid w:val="00A511F9"/>
    <w:rsid w:val="00A5186F"/>
    <w:rsid w:val="00A51976"/>
    <w:rsid w:val="00A51D46"/>
    <w:rsid w:val="00A51E4D"/>
    <w:rsid w:val="00A51E62"/>
    <w:rsid w:val="00A51EC4"/>
    <w:rsid w:val="00A51F8F"/>
    <w:rsid w:val="00A52DFF"/>
    <w:rsid w:val="00A52F18"/>
    <w:rsid w:val="00A530E7"/>
    <w:rsid w:val="00A532B9"/>
    <w:rsid w:val="00A535EF"/>
    <w:rsid w:val="00A5396C"/>
    <w:rsid w:val="00A539C5"/>
    <w:rsid w:val="00A53E93"/>
    <w:rsid w:val="00A54073"/>
    <w:rsid w:val="00A54219"/>
    <w:rsid w:val="00A54260"/>
    <w:rsid w:val="00A54423"/>
    <w:rsid w:val="00A544EE"/>
    <w:rsid w:val="00A5456B"/>
    <w:rsid w:val="00A545EA"/>
    <w:rsid w:val="00A5493E"/>
    <w:rsid w:val="00A54B21"/>
    <w:rsid w:val="00A54D9E"/>
    <w:rsid w:val="00A54DCA"/>
    <w:rsid w:val="00A55042"/>
    <w:rsid w:val="00A55330"/>
    <w:rsid w:val="00A55400"/>
    <w:rsid w:val="00A55586"/>
    <w:rsid w:val="00A55818"/>
    <w:rsid w:val="00A5591B"/>
    <w:rsid w:val="00A55B60"/>
    <w:rsid w:val="00A55D1F"/>
    <w:rsid w:val="00A55ED2"/>
    <w:rsid w:val="00A569AA"/>
    <w:rsid w:val="00A56ACE"/>
    <w:rsid w:val="00A56ADA"/>
    <w:rsid w:val="00A56CEE"/>
    <w:rsid w:val="00A56FA1"/>
    <w:rsid w:val="00A5747A"/>
    <w:rsid w:val="00A57569"/>
    <w:rsid w:val="00A57655"/>
    <w:rsid w:val="00A57B65"/>
    <w:rsid w:val="00A57D32"/>
    <w:rsid w:val="00A600E9"/>
    <w:rsid w:val="00A601A9"/>
    <w:rsid w:val="00A601E6"/>
    <w:rsid w:val="00A60307"/>
    <w:rsid w:val="00A60476"/>
    <w:rsid w:val="00A60598"/>
    <w:rsid w:val="00A6080D"/>
    <w:rsid w:val="00A60908"/>
    <w:rsid w:val="00A60AE5"/>
    <w:rsid w:val="00A60AF4"/>
    <w:rsid w:val="00A60B9C"/>
    <w:rsid w:val="00A60C7C"/>
    <w:rsid w:val="00A60C83"/>
    <w:rsid w:val="00A60D57"/>
    <w:rsid w:val="00A60FD7"/>
    <w:rsid w:val="00A61061"/>
    <w:rsid w:val="00A610EB"/>
    <w:rsid w:val="00A611CF"/>
    <w:rsid w:val="00A61389"/>
    <w:rsid w:val="00A618FB"/>
    <w:rsid w:val="00A61962"/>
    <w:rsid w:val="00A61C17"/>
    <w:rsid w:val="00A61FEE"/>
    <w:rsid w:val="00A621C9"/>
    <w:rsid w:val="00A625E5"/>
    <w:rsid w:val="00A6286E"/>
    <w:rsid w:val="00A62C01"/>
    <w:rsid w:val="00A62CF0"/>
    <w:rsid w:val="00A62F55"/>
    <w:rsid w:val="00A63075"/>
    <w:rsid w:val="00A6308C"/>
    <w:rsid w:val="00A634FF"/>
    <w:rsid w:val="00A63533"/>
    <w:rsid w:val="00A636D5"/>
    <w:rsid w:val="00A639F3"/>
    <w:rsid w:val="00A63A9F"/>
    <w:rsid w:val="00A63C7F"/>
    <w:rsid w:val="00A63CF2"/>
    <w:rsid w:val="00A64101"/>
    <w:rsid w:val="00A646FC"/>
    <w:rsid w:val="00A64860"/>
    <w:rsid w:val="00A64861"/>
    <w:rsid w:val="00A64A3E"/>
    <w:rsid w:val="00A64DFC"/>
    <w:rsid w:val="00A64E43"/>
    <w:rsid w:val="00A64E99"/>
    <w:rsid w:val="00A65573"/>
    <w:rsid w:val="00A65610"/>
    <w:rsid w:val="00A6597A"/>
    <w:rsid w:val="00A659DC"/>
    <w:rsid w:val="00A659DE"/>
    <w:rsid w:val="00A65A53"/>
    <w:rsid w:val="00A65A89"/>
    <w:rsid w:val="00A65BE2"/>
    <w:rsid w:val="00A65E61"/>
    <w:rsid w:val="00A663F1"/>
    <w:rsid w:val="00A6640D"/>
    <w:rsid w:val="00A66420"/>
    <w:rsid w:val="00A6649C"/>
    <w:rsid w:val="00A66543"/>
    <w:rsid w:val="00A666BB"/>
    <w:rsid w:val="00A667FF"/>
    <w:rsid w:val="00A66802"/>
    <w:rsid w:val="00A66836"/>
    <w:rsid w:val="00A6692E"/>
    <w:rsid w:val="00A66A86"/>
    <w:rsid w:val="00A66B0A"/>
    <w:rsid w:val="00A66B73"/>
    <w:rsid w:val="00A66E16"/>
    <w:rsid w:val="00A66F52"/>
    <w:rsid w:val="00A66F54"/>
    <w:rsid w:val="00A66FDE"/>
    <w:rsid w:val="00A67041"/>
    <w:rsid w:val="00A67058"/>
    <w:rsid w:val="00A671A0"/>
    <w:rsid w:val="00A671AE"/>
    <w:rsid w:val="00A67215"/>
    <w:rsid w:val="00A6754D"/>
    <w:rsid w:val="00A6784B"/>
    <w:rsid w:val="00A6795D"/>
    <w:rsid w:val="00A67CF6"/>
    <w:rsid w:val="00A67DDB"/>
    <w:rsid w:val="00A67E3B"/>
    <w:rsid w:val="00A70305"/>
    <w:rsid w:val="00A7038F"/>
    <w:rsid w:val="00A704C9"/>
    <w:rsid w:val="00A705CE"/>
    <w:rsid w:val="00A708CC"/>
    <w:rsid w:val="00A70AD1"/>
    <w:rsid w:val="00A70B42"/>
    <w:rsid w:val="00A70B7B"/>
    <w:rsid w:val="00A70E88"/>
    <w:rsid w:val="00A71043"/>
    <w:rsid w:val="00A71119"/>
    <w:rsid w:val="00A71797"/>
    <w:rsid w:val="00A71809"/>
    <w:rsid w:val="00A7186C"/>
    <w:rsid w:val="00A71AA7"/>
    <w:rsid w:val="00A720FF"/>
    <w:rsid w:val="00A721D5"/>
    <w:rsid w:val="00A72464"/>
    <w:rsid w:val="00A72564"/>
    <w:rsid w:val="00A7266E"/>
    <w:rsid w:val="00A727DC"/>
    <w:rsid w:val="00A72983"/>
    <w:rsid w:val="00A72C1E"/>
    <w:rsid w:val="00A72CF9"/>
    <w:rsid w:val="00A72F1F"/>
    <w:rsid w:val="00A730B2"/>
    <w:rsid w:val="00A73298"/>
    <w:rsid w:val="00A73789"/>
    <w:rsid w:val="00A73800"/>
    <w:rsid w:val="00A738F5"/>
    <w:rsid w:val="00A73C53"/>
    <w:rsid w:val="00A73F8C"/>
    <w:rsid w:val="00A74016"/>
    <w:rsid w:val="00A7408E"/>
    <w:rsid w:val="00A7421E"/>
    <w:rsid w:val="00A74284"/>
    <w:rsid w:val="00A742E9"/>
    <w:rsid w:val="00A744D4"/>
    <w:rsid w:val="00A7471A"/>
    <w:rsid w:val="00A74766"/>
    <w:rsid w:val="00A74841"/>
    <w:rsid w:val="00A74D6D"/>
    <w:rsid w:val="00A75384"/>
    <w:rsid w:val="00A7569C"/>
    <w:rsid w:val="00A75996"/>
    <w:rsid w:val="00A75A41"/>
    <w:rsid w:val="00A75B33"/>
    <w:rsid w:val="00A75B36"/>
    <w:rsid w:val="00A75C86"/>
    <w:rsid w:val="00A7615D"/>
    <w:rsid w:val="00A76457"/>
    <w:rsid w:val="00A76466"/>
    <w:rsid w:val="00A764EE"/>
    <w:rsid w:val="00A765A8"/>
    <w:rsid w:val="00A765FF"/>
    <w:rsid w:val="00A7663E"/>
    <w:rsid w:val="00A7665D"/>
    <w:rsid w:val="00A768DF"/>
    <w:rsid w:val="00A769A2"/>
    <w:rsid w:val="00A76A8C"/>
    <w:rsid w:val="00A76E4F"/>
    <w:rsid w:val="00A77489"/>
    <w:rsid w:val="00A77660"/>
    <w:rsid w:val="00A776BC"/>
    <w:rsid w:val="00A776E9"/>
    <w:rsid w:val="00A77B0E"/>
    <w:rsid w:val="00A77F79"/>
    <w:rsid w:val="00A80493"/>
    <w:rsid w:val="00A806BA"/>
    <w:rsid w:val="00A8086C"/>
    <w:rsid w:val="00A808A3"/>
    <w:rsid w:val="00A80B6C"/>
    <w:rsid w:val="00A80BD4"/>
    <w:rsid w:val="00A80E18"/>
    <w:rsid w:val="00A81327"/>
    <w:rsid w:val="00A8140A"/>
    <w:rsid w:val="00A81729"/>
    <w:rsid w:val="00A81878"/>
    <w:rsid w:val="00A81BCB"/>
    <w:rsid w:val="00A81F14"/>
    <w:rsid w:val="00A8240C"/>
    <w:rsid w:val="00A824A2"/>
    <w:rsid w:val="00A8283F"/>
    <w:rsid w:val="00A82C1A"/>
    <w:rsid w:val="00A82CB5"/>
    <w:rsid w:val="00A82D0D"/>
    <w:rsid w:val="00A82D1C"/>
    <w:rsid w:val="00A8336B"/>
    <w:rsid w:val="00A8370E"/>
    <w:rsid w:val="00A8397F"/>
    <w:rsid w:val="00A839E9"/>
    <w:rsid w:val="00A83C08"/>
    <w:rsid w:val="00A83D7B"/>
    <w:rsid w:val="00A8404D"/>
    <w:rsid w:val="00A840F6"/>
    <w:rsid w:val="00A84213"/>
    <w:rsid w:val="00A8446B"/>
    <w:rsid w:val="00A84504"/>
    <w:rsid w:val="00A8451A"/>
    <w:rsid w:val="00A846DA"/>
    <w:rsid w:val="00A8488F"/>
    <w:rsid w:val="00A8492E"/>
    <w:rsid w:val="00A849F5"/>
    <w:rsid w:val="00A84C6D"/>
    <w:rsid w:val="00A84CC3"/>
    <w:rsid w:val="00A84E01"/>
    <w:rsid w:val="00A85145"/>
    <w:rsid w:val="00A853A0"/>
    <w:rsid w:val="00A85572"/>
    <w:rsid w:val="00A8574C"/>
    <w:rsid w:val="00A857AD"/>
    <w:rsid w:val="00A8583E"/>
    <w:rsid w:val="00A85946"/>
    <w:rsid w:val="00A85CE0"/>
    <w:rsid w:val="00A85E1B"/>
    <w:rsid w:val="00A86056"/>
    <w:rsid w:val="00A860ED"/>
    <w:rsid w:val="00A865D9"/>
    <w:rsid w:val="00A8683C"/>
    <w:rsid w:val="00A86AE9"/>
    <w:rsid w:val="00A86B37"/>
    <w:rsid w:val="00A86B99"/>
    <w:rsid w:val="00A87319"/>
    <w:rsid w:val="00A874C4"/>
    <w:rsid w:val="00A87A21"/>
    <w:rsid w:val="00A87A70"/>
    <w:rsid w:val="00A87CAA"/>
    <w:rsid w:val="00A87E4F"/>
    <w:rsid w:val="00A87E53"/>
    <w:rsid w:val="00A90301"/>
    <w:rsid w:val="00A904B1"/>
    <w:rsid w:val="00A908EE"/>
    <w:rsid w:val="00A90F1E"/>
    <w:rsid w:val="00A91167"/>
    <w:rsid w:val="00A91427"/>
    <w:rsid w:val="00A91510"/>
    <w:rsid w:val="00A91531"/>
    <w:rsid w:val="00A919FB"/>
    <w:rsid w:val="00A91CA5"/>
    <w:rsid w:val="00A92374"/>
    <w:rsid w:val="00A92658"/>
    <w:rsid w:val="00A9291A"/>
    <w:rsid w:val="00A92AE0"/>
    <w:rsid w:val="00A92B48"/>
    <w:rsid w:val="00A92BE4"/>
    <w:rsid w:val="00A92E09"/>
    <w:rsid w:val="00A932C0"/>
    <w:rsid w:val="00A93549"/>
    <w:rsid w:val="00A93636"/>
    <w:rsid w:val="00A93998"/>
    <w:rsid w:val="00A93CD6"/>
    <w:rsid w:val="00A93DE4"/>
    <w:rsid w:val="00A93E1B"/>
    <w:rsid w:val="00A93E8C"/>
    <w:rsid w:val="00A93FD5"/>
    <w:rsid w:val="00A94341"/>
    <w:rsid w:val="00A9456C"/>
    <w:rsid w:val="00A94B54"/>
    <w:rsid w:val="00A94BC6"/>
    <w:rsid w:val="00A94BF6"/>
    <w:rsid w:val="00A94C9F"/>
    <w:rsid w:val="00A94CA2"/>
    <w:rsid w:val="00A94CAB"/>
    <w:rsid w:val="00A94D08"/>
    <w:rsid w:val="00A94D12"/>
    <w:rsid w:val="00A94F97"/>
    <w:rsid w:val="00A950A1"/>
    <w:rsid w:val="00A9543E"/>
    <w:rsid w:val="00A9559B"/>
    <w:rsid w:val="00A95909"/>
    <w:rsid w:val="00A95BB9"/>
    <w:rsid w:val="00A95D9A"/>
    <w:rsid w:val="00A95F3A"/>
    <w:rsid w:val="00A95F46"/>
    <w:rsid w:val="00A96028"/>
    <w:rsid w:val="00A96132"/>
    <w:rsid w:val="00A961A9"/>
    <w:rsid w:val="00A962F7"/>
    <w:rsid w:val="00A963CA"/>
    <w:rsid w:val="00A96416"/>
    <w:rsid w:val="00A96686"/>
    <w:rsid w:val="00A9675D"/>
    <w:rsid w:val="00A968C7"/>
    <w:rsid w:val="00A96BC1"/>
    <w:rsid w:val="00A96C47"/>
    <w:rsid w:val="00A970B9"/>
    <w:rsid w:val="00A9711F"/>
    <w:rsid w:val="00A97428"/>
    <w:rsid w:val="00A97632"/>
    <w:rsid w:val="00A97EFE"/>
    <w:rsid w:val="00AA05C2"/>
    <w:rsid w:val="00AA0747"/>
    <w:rsid w:val="00AA0A50"/>
    <w:rsid w:val="00AA0AB9"/>
    <w:rsid w:val="00AA0ACC"/>
    <w:rsid w:val="00AA0B1E"/>
    <w:rsid w:val="00AA0BAC"/>
    <w:rsid w:val="00AA0C3A"/>
    <w:rsid w:val="00AA1141"/>
    <w:rsid w:val="00AA116E"/>
    <w:rsid w:val="00AA14FC"/>
    <w:rsid w:val="00AA1864"/>
    <w:rsid w:val="00AA1B88"/>
    <w:rsid w:val="00AA2092"/>
    <w:rsid w:val="00AA2136"/>
    <w:rsid w:val="00AA213E"/>
    <w:rsid w:val="00AA22FA"/>
    <w:rsid w:val="00AA2CA4"/>
    <w:rsid w:val="00AA30EC"/>
    <w:rsid w:val="00AA3234"/>
    <w:rsid w:val="00AA33B9"/>
    <w:rsid w:val="00AA3762"/>
    <w:rsid w:val="00AA37FF"/>
    <w:rsid w:val="00AA3959"/>
    <w:rsid w:val="00AA3968"/>
    <w:rsid w:val="00AA3AD1"/>
    <w:rsid w:val="00AA448A"/>
    <w:rsid w:val="00AA47FF"/>
    <w:rsid w:val="00AA48C2"/>
    <w:rsid w:val="00AA4C33"/>
    <w:rsid w:val="00AA4E89"/>
    <w:rsid w:val="00AA5390"/>
    <w:rsid w:val="00AA5635"/>
    <w:rsid w:val="00AA56FA"/>
    <w:rsid w:val="00AA57AC"/>
    <w:rsid w:val="00AA6053"/>
    <w:rsid w:val="00AA60AA"/>
    <w:rsid w:val="00AA6901"/>
    <w:rsid w:val="00AA732B"/>
    <w:rsid w:val="00AA74F8"/>
    <w:rsid w:val="00AA7A63"/>
    <w:rsid w:val="00AA7CDC"/>
    <w:rsid w:val="00AB046E"/>
    <w:rsid w:val="00AB070F"/>
    <w:rsid w:val="00AB081B"/>
    <w:rsid w:val="00AB08C9"/>
    <w:rsid w:val="00AB0B9A"/>
    <w:rsid w:val="00AB0C0F"/>
    <w:rsid w:val="00AB0CAC"/>
    <w:rsid w:val="00AB0D64"/>
    <w:rsid w:val="00AB10FF"/>
    <w:rsid w:val="00AB140C"/>
    <w:rsid w:val="00AB1460"/>
    <w:rsid w:val="00AB221E"/>
    <w:rsid w:val="00AB2761"/>
    <w:rsid w:val="00AB2784"/>
    <w:rsid w:val="00AB2B66"/>
    <w:rsid w:val="00AB2B80"/>
    <w:rsid w:val="00AB2D13"/>
    <w:rsid w:val="00AB2DAC"/>
    <w:rsid w:val="00AB2E6B"/>
    <w:rsid w:val="00AB3003"/>
    <w:rsid w:val="00AB3CB4"/>
    <w:rsid w:val="00AB3DA7"/>
    <w:rsid w:val="00AB3E90"/>
    <w:rsid w:val="00AB3F16"/>
    <w:rsid w:val="00AB425A"/>
    <w:rsid w:val="00AB4381"/>
    <w:rsid w:val="00AB43AA"/>
    <w:rsid w:val="00AB4A94"/>
    <w:rsid w:val="00AB4B07"/>
    <w:rsid w:val="00AB4CC5"/>
    <w:rsid w:val="00AB4F71"/>
    <w:rsid w:val="00AB50BF"/>
    <w:rsid w:val="00AB5169"/>
    <w:rsid w:val="00AB52B6"/>
    <w:rsid w:val="00AB5599"/>
    <w:rsid w:val="00AB58B6"/>
    <w:rsid w:val="00AB592F"/>
    <w:rsid w:val="00AB5BAA"/>
    <w:rsid w:val="00AB5E37"/>
    <w:rsid w:val="00AB5F5F"/>
    <w:rsid w:val="00AB626B"/>
    <w:rsid w:val="00AB68C9"/>
    <w:rsid w:val="00AB6963"/>
    <w:rsid w:val="00AB6969"/>
    <w:rsid w:val="00AB6ABB"/>
    <w:rsid w:val="00AB6CC0"/>
    <w:rsid w:val="00AB6D34"/>
    <w:rsid w:val="00AB7294"/>
    <w:rsid w:val="00AB74E2"/>
    <w:rsid w:val="00AB752F"/>
    <w:rsid w:val="00AB755D"/>
    <w:rsid w:val="00AC0062"/>
    <w:rsid w:val="00AC01F0"/>
    <w:rsid w:val="00AC0249"/>
    <w:rsid w:val="00AC02A4"/>
    <w:rsid w:val="00AC08BD"/>
    <w:rsid w:val="00AC0E75"/>
    <w:rsid w:val="00AC13C8"/>
    <w:rsid w:val="00AC1913"/>
    <w:rsid w:val="00AC20EB"/>
    <w:rsid w:val="00AC28CF"/>
    <w:rsid w:val="00AC297F"/>
    <w:rsid w:val="00AC2B40"/>
    <w:rsid w:val="00AC2BBA"/>
    <w:rsid w:val="00AC2BD1"/>
    <w:rsid w:val="00AC2D7B"/>
    <w:rsid w:val="00AC2DAE"/>
    <w:rsid w:val="00AC3134"/>
    <w:rsid w:val="00AC33C8"/>
    <w:rsid w:val="00AC3669"/>
    <w:rsid w:val="00AC3979"/>
    <w:rsid w:val="00AC3C6F"/>
    <w:rsid w:val="00AC3D53"/>
    <w:rsid w:val="00AC3DB9"/>
    <w:rsid w:val="00AC4464"/>
    <w:rsid w:val="00AC493D"/>
    <w:rsid w:val="00AC49DB"/>
    <w:rsid w:val="00AC4B17"/>
    <w:rsid w:val="00AC4E7A"/>
    <w:rsid w:val="00AC5989"/>
    <w:rsid w:val="00AC59B2"/>
    <w:rsid w:val="00AC5C32"/>
    <w:rsid w:val="00AC5F93"/>
    <w:rsid w:val="00AC630D"/>
    <w:rsid w:val="00AC63A0"/>
    <w:rsid w:val="00AC66FE"/>
    <w:rsid w:val="00AC6779"/>
    <w:rsid w:val="00AC68AA"/>
    <w:rsid w:val="00AC69A6"/>
    <w:rsid w:val="00AC6C75"/>
    <w:rsid w:val="00AC6DC1"/>
    <w:rsid w:val="00AC6E87"/>
    <w:rsid w:val="00AC6FEC"/>
    <w:rsid w:val="00AC70AF"/>
    <w:rsid w:val="00AC71E4"/>
    <w:rsid w:val="00AC7674"/>
    <w:rsid w:val="00AC7711"/>
    <w:rsid w:val="00AC78FF"/>
    <w:rsid w:val="00AC7A71"/>
    <w:rsid w:val="00AC7B3F"/>
    <w:rsid w:val="00AC7B5E"/>
    <w:rsid w:val="00AC7BA6"/>
    <w:rsid w:val="00AC7BE2"/>
    <w:rsid w:val="00AC7C99"/>
    <w:rsid w:val="00AC7CE1"/>
    <w:rsid w:val="00AC7DE4"/>
    <w:rsid w:val="00AD025D"/>
    <w:rsid w:val="00AD03CA"/>
    <w:rsid w:val="00AD05E5"/>
    <w:rsid w:val="00AD0836"/>
    <w:rsid w:val="00AD08BE"/>
    <w:rsid w:val="00AD08E4"/>
    <w:rsid w:val="00AD0B8A"/>
    <w:rsid w:val="00AD1017"/>
    <w:rsid w:val="00AD135B"/>
    <w:rsid w:val="00AD13D0"/>
    <w:rsid w:val="00AD1817"/>
    <w:rsid w:val="00AD1C8E"/>
    <w:rsid w:val="00AD2139"/>
    <w:rsid w:val="00AD2284"/>
    <w:rsid w:val="00AD231E"/>
    <w:rsid w:val="00AD243D"/>
    <w:rsid w:val="00AD259D"/>
    <w:rsid w:val="00AD273B"/>
    <w:rsid w:val="00AD28B6"/>
    <w:rsid w:val="00AD2D5A"/>
    <w:rsid w:val="00AD2FE0"/>
    <w:rsid w:val="00AD30D7"/>
    <w:rsid w:val="00AD378B"/>
    <w:rsid w:val="00AD3CEF"/>
    <w:rsid w:val="00AD4066"/>
    <w:rsid w:val="00AD4206"/>
    <w:rsid w:val="00AD46A7"/>
    <w:rsid w:val="00AD4727"/>
    <w:rsid w:val="00AD4A36"/>
    <w:rsid w:val="00AD4D65"/>
    <w:rsid w:val="00AD540B"/>
    <w:rsid w:val="00AD5464"/>
    <w:rsid w:val="00AD5634"/>
    <w:rsid w:val="00AD5747"/>
    <w:rsid w:val="00AD57F2"/>
    <w:rsid w:val="00AD58A4"/>
    <w:rsid w:val="00AD59C0"/>
    <w:rsid w:val="00AD5AD7"/>
    <w:rsid w:val="00AD5AD9"/>
    <w:rsid w:val="00AD5B59"/>
    <w:rsid w:val="00AD5BF0"/>
    <w:rsid w:val="00AD5E61"/>
    <w:rsid w:val="00AD614C"/>
    <w:rsid w:val="00AD64D3"/>
    <w:rsid w:val="00AD67D8"/>
    <w:rsid w:val="00AD6A71"/>
    <w:rsid w:val="00AD6C35"/>
    <w:rsid w:val="00AD6D4B"/>
    <w:rsid w:val="00AD6F61"/>
    <w:rsid w:val="00AD71B7"/>
    <w:rsid w:val="00AD78F9"/>
    <w:rsid w:val="00AD7985"/>
    <w:rsid w:val="00AD79E8"/>
    <w:rsid w:val="00AD7B7A"/>
    <w:rsid w:val="00AE0204"/>
    <w:rsid w:val="00AE030A"/>
    <w:rsid w:val="00AE035A"/>
    <w:rsid w:val="00AE066B"/>
    <w:rsid w:val="00AE07D5"/>
    <w:rsid w:val="00AE0B4C"/>
    <w:rsid w:val="00AE0D45"/>
    <w:rsid w:val="00AE112B"/>
    <w:rsid w:val="00AE11BF"/>
    <w:rsid w:val="00AE12E7"/>
    <w:rsid w:val="00AE170E"/>
    <w:rsid w:val="00AE17E9"/>
    <w:rsid w:val="00AE1A40"/>
    <w:rsid w:val="00AE1B07"/>
    <w:rsid w:val="00AE1BE5"/>
    <w:rsid w:val="00AE1E87"/>
    <w:rsid w:val="00AE1E9B"/>
    <w:rsid w:val="00AE2153"/>
    <w:rsid w:val="00AE217E"/>
    <w:rsid w:val="00AE2319"/>
    <w:rsid w:val="00AE2340"/>
    <w:rsid w:val="00AE25BB"/>
    <w:rsid w:val="00AE2637"/>
    <w:rsid w:val="00AE2918"/>
    <w:rsid w:val="00AE29AB"/>
    <w:rsid w:val="00AE29E1"/>
    <w:rsid w:val="00AE2CD1"/>
    <w:rsid w:val="00AE2CDA"/>
    <w:rsid w:val="00AE2DDA"/>
    <w:rsid w:val="00AE2F8A"/>
    <w:rsid w:val="00AE2FD7"/>
    <w:rsid w:val="00AE3040"/>
    <w:rsid w:val="00AE3203"/>
    <w:rsid w:val="00AE339E"/>
    <w:rsid w:val="00AE3566"/>
    <w:rsid w:val="00AE367E"/>
    <w:rsid w:val="00AE385C"/>
    <w:rsid w:val="00AE3CD5"/>
    <w:rsid w:val="00AE3E09"/>
    <w:rsid w:val="00AE3E7C"/>
    <w:rsid w:val="00AE3FB4"/>
    <w:rsid w:val="00AE420E"/>
    <w:rsid w:val="00AE455D"/>
    <w:rsid w:val="00AE4888"/>
    <w:rsid w:val="00AE494E"/>
    <w:rsid w:val="00AE4A66"/>
    <w:rsid w:val="00AE4D10"/>
    <w:rsid w:val="00AE5197"/>
    <w:rsid w:val="00AE5354"/>
    <w:rsid w:val="00AE5725"/>
    <w:rsid w:val="00AE5B95"/>
    <w:rsid w:val="00AE5BA9"/>
    <w:rsid w:val="00AE5D0D"/>
    <w:rsid w:val="00AE5E4C"/>
    <w:rsid w:val="00AE6644"/>
    <w:rsid w:val="00AE69AC"/>
    <w:rsid w:val="00AE6BDE"/>
    <w:rsid w:val="00AE6CBD"/>
    <w:rsid w:val="00AE6E58"/>
    <w:rsid w:val="00AE703D"/>
    <w:rsid w:val="00AE70D8"/>
    <w:rsid w:val="00AE70E3"/>
    <w:rsid w:val="00AE7424"/>
    <w:rsid w:val="00AE745D"/>
    <w:rsid w:val="00AE74CB"/>
    <w:rsid w:val="00AE7983"/>
    <w:rsid w:val="00AE7B9C"/>
    <w:rsid w:val="00AE7D5B"/>
    <w:rsid w:val="00AE7E32"/>
    <w:rsid w:val="00AE7EEC"/>
    <w:rsid w:val="00AF02A6"/>
    <w:rsid w:val="00AF03FD"/>
    <w:rsid w:val="00AF04A8"/>
    <w:rsid w:val="00AF0532"/>
    <w:rsid w:val="00AF07DC"/>
    <w:rsid w:val="00AF0D0C"/>
    <w:rsid w:val="00AF108E"/>
    <w:rsid w:val="00AF11B9"/>
    <w:rsid w:val="00AF11F2"/>
    <w:rsid w:val="00AF1240"/>
    <w:rsid w:val="00AF127F"/>
    <w:rsid w:val="00AF1338"/>
    <w:rsid w:val="00AF147F"/>
    <w:rsid w:val="00AF1799"/>
    <w:rsid w:val="00AF17D2"/>
    <w:rsid w:val="00AF1AD0"/>
    <w:rsid w:val="00AF1CB0"/>
    <w:rsid w:val="00AF1F95"/>
    <w:rsid w:val="00AF2025"/>
    <w:rsid w:val="00AF254D"/>
    <w:rsid w:val="00AF272D"/>
    <w:rsid w:val="00AF27D0"/>
    <w:rsid w:val="00AF2A90"/>
    <w:rsid w:val="00AF2C08"/>
    <w:rsid w:val="00AF2CBF"/>
    <w:rsid w:val="00AF2DB5"/>
    <w:rsid w:val="00AF2EAE"/>
    <w:rsid w:val="00AF2FD2"/>
    <w:rsid w:val="00AF306D"/>
    <w:rsid w:val="00AF3213"/>
    <w:rsid w:val="00AF32B7"/>
    <w:rsid w:val="00AF32DF"/>
    <w:rsid w:val="00AF345C"/>
    <w:rsid w:val="00AF36BF"/>
    <w:rsid w:val="00AF377A"/>
    <w:rsid w:val="00AF38C6"/>
    <w:rsid w:val="00AF3B5D"/>
    <w:rsid w:val="00AF3C0E"/>
    <w:rsid w:val="00AF3ECB"/>
    <w:rsid w:val="00AF4007"/>
    <w:rsid w:val="00AF4012"/>
    <w:rsid w:val="00AF4746"/>
    <w:rsid w:val="00AF4A98"/>
    <w:rsid w:val="00AF4B7A"/>
    <w:rsid w:val="00AF4BE9"/>
    <w:rsid w:val="00AF4E28"/>
    <w:rsid w:val="00AF4E35"/>
    <w:rsid w:val="00AF4F00"/>
    <w:rsid w:val="00AF560A"/>
    <w:rsid w:val="00AF5981"/>
    <w:rsid w:val="00AF59BD"/>
    <w:rsid w:val="00AF62FC"/>
    <w:rsid w:val="00AF63E6"/>
    <w:rsid w:val="00AF643A"/>
    <w:rsid w:val="00AF699A"/>
    <w:rsid w:val="00AF6B24"/>
    <w:rsid w:val="00AF6E90"/>
    <w:rsid w:val="00AF702D"/>
    <w:rsid w:val="00AF73B5"/>
    <w:rsid w:val="00AF73C2"/>
    <w:rsid w:val="00AF78EC"/>
    <w:rsid w:val="00AF7D66"/>
    <w:rsid w:val="00AF7D82"/>
    <w:rsid w:val="00B00138"/>
    <w:rsid w:val="00B001E1"/>
    <w:rsid w:val="00B00331"/>
    <w:rsid w:val="00B006F0"/>
    <w:rsid w:val="00B007E4"/>
    <w:rsid w:val="00B0096F"/>
    <w:rsid w:val="00B009DE"/>
    <w:rsid w:val="00B00B0E"/>
    <w:rsid w:val="00B00C1C"/>
    <w:rsid w:val="00B010CF"/>
    <w:rsid w:val="00B01949"/>
    <w:rsid w:val="00B019AE"/>
    <w:rsid w:val="00B01BCD"/>
    <w:rsid w:val="00B01E15"/>
    <w:rsid w:val="00B01EF7"/>
    <w:rsid w:val="00B0223E"/>
    <w:rsid w:val="00B0275C"/>
    <w:rsid w:val="00B02796"/>
    <w:rsid w:val="00B02A23"/>
    <w:rsid w:val="00B02A29"/>
    <w:rsid w:val="00B02CA2"/>
    <w:rsid w:val="00B03261"/>
    <w:rsid w:val="00B03861"/>
    <w:rsid w:val="00B03886"/>
    <w:rsid w:val="00B03D29"/>
    <w:rsid w:val="00B043BF"/>
    <w:rsid w:val="00B045BE"/>
    <w:rsid w:val="00B04628"/>
    <w:rsid w:val="00B0488C"/>
    <w:rsid w:val="00B04A5D"/>
    <w:rsid w:val="00B04B5F"/>
    <w:rsid w:val="00B04C06"/>
    <w:rsid w:val="00B04DBB"/>
    <w:rsid w:val="00B051D3"/>
    <w:rsid w:val="00B05226"/>
    <w:rsid w:val="00B05459"/>
    <w:rsid w:val="00B056C0"/>
    <w:rsid w:val="00B05A68"/>
    <w:rsid w:val="00B05BC5"/>
    <w:rsid w:val="00B05CDF"/>
    <w:rsid w:val="00B05DE1"/>
    <w:rsid w:val="00B05FC9"/>
    <w:rsid w:val="00B06034"/>
    <w:rsid w:val="00B060B6"/>
    <w:rsid w:val="00B06136"/>
    <w:rsid w:val="00B06138"/>
    <w:rsid w:val="00B06280"/>
    <w:rsid w:val="00B063DE"/>
    <w:rsid w:val="00B065E0"/>
    <w:rsid w:val="00B068BF"/>
    <w:rsid w:val="00B06965"/>
    <w:rsid w:val="00B06970"/>
    <w:rsid w:val="00B069BA"/>
    <w:rsid w:val="00B06AC3"/>
    <w:rsid w:val="00B06D70"/>
    <w:rsid w:val="00B06F3E"/>
    <w:rsid w:val="00B06F73"/>
    <w:rsid w:val="00B07651"/>
    <w:rsid w:val="00B078C6"/>
    <w:rsid w:val="00B079FF"/>
    <w:rsid w:val="00B07BCD"/>
    <w:rsid w:val="00B106BD"/>
    <w:rsid w:val="00B10793"/>
    <w:rsid w:val="00B107AC"/>
    <w:rsid w:val="00B10B07"/>
    <w:rsid w:val="00B10B24"/>
    <w:rsid w:val="00B1122E"/>
    <w:rsid w:val="00B11570"/>
    <w:rsid w:val="00B11D14"/>
    <w:rsid w:val="00B11E33"/>
    <w:rsid w:val="00B11F52"/>
    <w:rsid w:val="00B12094"/>
    <w:rsid w:val="00B12310"/>
    <w:rsid w:val="00B1261F"/>
    <w:rsid w:val="00B12687"/>
    <w:rsid w:val="00B1292B"/>
    <w:rsid w:val="00B12DC3"/>
    <w:rsid w:val="00B12EC5"/>
    <w:rsid w:val="00B12F80"/>
    <w:rsid w:val="00B12F9A"/>
    <w:rsid w:val="00B1300F"/>
    <w:rsid w:val="00B13174"/>
    <w:rsid w:val="00B133E5"/>
    <w:rsid w:val="00B13453"/>
    <w:rsid w:val="00B1347E"/>
    <w:rsid w:val="00B13489"/>
    <w:rsid w:val="00B1365C"/>
    <w:rsid w:val="00B13BC7"/>
    <w:rsid w:val="00B13C7F"/>
    <w:rsid w:val="00B141C8"/>
    <w:rsid w:val="00B14528"/>
    <w:rsid w:val="00B1476E"/>
    <w:rsid w:val="00B14D3B"/>
    <w:rsid w:val="00B1571A"/>
    <w:rsid w:val="00B158C8"/>
    <w:rsid w:val="00B158DB"/>
    <w:rsid w:val="00B15962"/>
    <w:rsid w:val="00B15F35"/>
    <w:rsid w:val="00B16069"/>
    <w:rsid w:val="00B161D5"/>
    <w:rsid w:val="00B16462"/>
    <w:rsid w:val="00B16939"/>
    <w:rsid w:val="00B169F6"/>
    <w:rsid w:val="00B16CF2"/>
    <w:rsid w:val="00B16FA4"/>
    <w:rsid w:val="00B16FF9"/>
    <w:rsid w:val="00B17098"/>
    <w:rsid w:val="00B1710B"/>
    <w:rsid w:val="00B1711D"/>
    <w:rsid w:val="00B1759E"/>
    <w:rsid w:val="00B1768E"/>
    <w:rsid w:val="00B179E9"/>
    <w:rsid w:val="00B200C7"/>
    <w:rsid w:val="00B202EC"/>
    <w:rsid w:val="00B203E3"/>
    <w:rsid w:val="00B204B8"/>
    <w:rsid w:val="00B20821"/>
    <w:rsid w:val="00B20A72"/>
    <w:rsid w:val="00B20B7C"/>
    <w:rsid w:val="00B21046"/>
    <w:rsid w:val="00B211CC"/>
    <w:rsid w:val="00B211D9"/>
    <w:rsid w:val="00B214E2"/>
    <w:rsid w:val="00B214FD"/>
    <w:rsid w:val="00B21668"/>
    <w:rsid w:val="00B2187A"/>
    <w:rsid w:val="00B21A03"/>
    <w:rsid w:val="00B225ED"/>
    <w:rsid w:val="00B2268B"/>
    <w:rsid w:val="00B22A26"/>
    <w:rsid w:val="00B22CEC"/>
    <w:rsid w:val="00B22FF0"/>
    <w:rsid w:val="00B23133"/>
    <w:rsid w:val="00B231DB"/>
    <w:rsid w:val="00B2371F"/>
    <w:rsid w:val="00B2385D"/>
    <w:rsid w:val="00B23A04"/>
    <w:rsid w:val="00B23F69"/>
    <w:rsid w:val="00B24551"/>
    <w:rsid w:val="00B245D9"/>
    <w:rsid w:val="00B2466E"/>
    <w:rsid w:val="00B248C2"/>
    <w:rsid w:val="00B24907"/>
    <w:rsid w:val="00B24D94"/>
    <w:rsid w:val="00B25128"/>
    <w:rsid w:val="00B2517B"/>
    <w:rsid w:val="00B254CD"/>
    <w:rsid w:val="00B255D5"/>
    <w:rsid w:val="00B26012"/>
    <w:rsid w:val="00B26029"/>
    <w:rsid w:val="00B264DB"/>
    <w:rsid w:val="00B26715"/>
    <w:rsid w:val="00B26719"/>
    <w:rsid w:val="00B2696D"/>
    <w:rsid w:val="00B26A38"/>
    <w:rsid w:val="00B26D14"/>
    <w:rsid w:val="00B270E2"/>
    <w:rsid w:val="00B272DA"/>
    <w:rsid w:val="00B272E9"/>
    <w:rsid w:val="00B2737F"/>
    <w:rsid w:val="00B2748D"/>
    <w:rsid w:val="00B2752A"/>
    <w:rsid w:val="00B27A53"/>
    <w:rsid w:val="00B27BBA"/>
    <w:rsid w:val="00B27BC2"/>
    <w:rsid w:val="00B27DDB"/>
    <w:rsid w:val="00B27F35"/>
    <w:rsid w:val="00B3077E"/>
    <w:rsid w:val="00B30AEC"/>
    <w:rsid w:val="00B30C3A"/>
    <w:rsid w:val="00B31A5A"/>
    <w:rsid w:val="00B31AF5"/>
    <w:rsid w:val="00B31F86"/>
    <w:rsid w:val="00B31FD6"/>
    <w:rsid w:val="00B3219C"/>
    <w:rsid w:val="00B321E5"/>
    <w:rsid w:val="00B32323"/>
    <w:rsid w:val="00B323FD"/>
    <w:rsid w:val="00B325D6"/>
    <w:rsid w:val="00B325E6"/>
    <w:rsid w:val="00B326EB"/>
    <w:rsid w:val="00B32924"/>
    <w:rsid w:val="00B32B7D"/>
    <w:rsid w:val="00B32CAB"/>
    <w:rsid w:val="00B33018"/>
    <w:rsid w:val="00B330F5"/>
    <w:rsid w:val="00B33165"/>
    <w:rsid w:val="00B33615"/>
    <w:rsid w:val="00B3373A"/>
    <w:rsid w:val="00B337B2"/>
    <w:rsid w:val="00B337DD"/>
    <w:rsid w:val="00B33AF8"/>
    <w:rsid w:val="00B33B9D"/>
    <w:rsid w:val="00B34008"/>
    <w:rsid w:val="00B3413E"/>
    <w:rsid w:val="00B3414D"/>
    <w:rsid w:val="00B343EC"/>
    <w:rsid w:val="00B34585"/>
    <w:rsid w:val="00B346E9"/>
    <w:rsid w:val="00B3475D"/>
    <w:rsid w:val="00B347B7"/>
    <w:rsid w:val="00B34839"/>
    <w:rsid w:val="00B349EB"/>
    <w:rsid w:val="00B34A7D"/>
    <w:rsid w:val="00B34C66"/>
    <w:rsid w:val="00B34D45"/>
    <w:rsid w:val="00B35707"/>
    <w:rsid w:val="00B3579F"/>
    <w:rsid w:val="00B358A6"/>
    <w:rsid w:val="00B359D8"/>
    <w:rsid w:val="00B35A36"/>
    <w:rsid w:val="00B35D48"/>
    <w:rsid w:val="00B35DCB"/>
    <w:rsid w:val="00B35F3B"/>
    <w:rsid w:val="00B3627E"/>
    <w:rsid w:val="00B36281"/>
    <w:rsid w:val="00B362E5"/>
    <w:rsid w:val="00B3635E"/>
    <w:rsid w:val="00B365F6"/>
    <w:rsid w:val="00B36A97"/>
    <w:rsid w:val="00B36B24"/>
    <w:rsid w:val="00B37054"/>
    <w:rsid w:val="00B37227"/>
    <w:rsid w:val="00B372B4"/>
    <w:rsid w:val="00B37309"/>
    <w:rsid w:val="00B373CC"/>
    <w:rsid w:val="00B37431"/>
    <w:rsid w:val="00B3750A"/>
    <w:rsid w:val="00B37677"/>
    <w:rsid w:val="00B37909"/>
    <w:rsid w:val="00B37A5D"/>
    <w:rsid w:val="00B37C72"/>
    <w:rsid w:val="00B37EB3"/>
    <w:rsid w:val="00B40A92"/>
    <w:rsid w:val="00B40A95"/>
    <w:rsid w:val="00B40D9E"/>
    <w:rsid w:val="00B413C7"/>
    <w:rsid w:val="00B413FF"/>
    <w:rsid w:val="00B414FD"/>
    <w:rsid w:val="00B41537"/>
    <w:rsid w:val="00B41592"/>
    <w:rsid w:val="00B416DD"/>
    <w:rsid w:val="00B4171E"/>
    <w:rsid w:val="00B41781"/>
    <w:rsid w:val="00B4191A"/>
    <w:rsid w:val="00B41960"/>
    <w:rsid w:val="00B41D49"/>
    <w:rsid w:val="00B425A7"/>
    <w:rsid w:val="00B425BE"/>
    <w:rsid w:val="00B42851"/>
    <w:rsid w:val="00B4299E"/>
    <w:rsid w:val="00B42B6E"/>
    <w:rsid w:val="00B42C28"/>
    <w:rsid w:val="00B42C74"/>
    <w:rsid w:val="00B4301F"/>
    <w:rsid w:val="00B431AB"/>
    <w:rsid w:val="00B438B2"/>
    <w:rsid w:val="00B43B92"/>
    <w:rsid w:val="00B4454F"/>
    <w:rsid w:val="00B44726"/>
    <w:rsid w:val="00B44A35"/>
    <w:rsid w:val="00B44E37"/>
    <w:rsid w:val="00B44EF2"/>
    <w:rsid w:val="00B45196"/>
    <w:rsid w:val="00B45237"/>
    <w:rsid w:val="00B45242"/>
    <w:rsid w:val="00B45329"/>
    <w:rsid w:val="00B45339"/>
    <w:rsid w:val="00B455B6"/>
    <w:rsid w:val="00B45844"/>
    <w:rsid w:val="00B4585C"/>
    <w:rsid w:val="00B45C3A"/>
    <w:rsid w:val="00B45CDE"/>
    <w:rsid w:val="00B45DFF"/>
    <w:rsid w:val="00B46BCD"/>
    <w:rsid w:val="00B46CEE"/>
    <w:rsid w:val="00B47192"/>
    <w:rsid w:val="00B4737F"/>
    <w:rsid w:val="00B47421"/>
    <w:rsid w:val="00B47874"/>
    <w:rsid w:val="00B47B94"/>
    <w:rsid w:val="00B50152"/>
    <w:rsid w:val="00B50173"/>
    <w:rsid w:val="00B501F4"/>
    <w:rsid w:val="00B50383"/>
    <w:rsid w:val="00B5073C"/>
    <w:rsid w:val="00B50789"/>
    <w:rsid w:val="00B5092E"/>
    <w:rsid w:val="00B509D7"/>
    <w:rsid w:val="00B50B78"/>
    <w:rsid w:val="00B50E2E"/>
    <w:rsid w:val="00B51604"/>
    <w:rsid w:val="00B5169F"/>
    <w:rsid w:val="00B5174C"/>
    <w:rsid w:val="00B518DD"/>
    <w:rsid w:val="00B51979"/>
    <w:rsid w:val="00B51BE0"/>
    <w:rsid w:val="00B51CF0"/>
    <w:rsid w:val="00B51DC9"/>
    <w:rsid w:val="00B520AD"/>
    <w:rsid w:val="00B52A9D"/>
    <w:rsid w:val="00B52AC5"/>
    <w:rsid w:val="00B52C50"/>
    <w:rsid w:val="00B531AD"/>
    <w:rsid w:val="00B532A0"/>
    <w:rsid w:val="00B53305"/>
    <w:rsid w:val="00B5344C"/>
    <w:rsid w:val="00B53558"/>
    <w:rsid w:val="00B53A33"/>
    <w:rsid w:val="00B53C83"/>
    <w:rsid w:val="00B53FDA"/>
    <w:rsid w:val="00B54141"/>
    <w:rsid w:val="00B54282"/>
    <w:rsid w:val="00B544E4"/>
    <w:rsid w:val="00B54563"/>
    <w:rsid w:val="00B54567"/>
    <w:rsid w:val="00B5488A"/>
    <w:rsid w:val="00B549CF"/>
    <w:rsid w:val="00B54E02"/>
    <w:rsid w:val="00B54E3B"/>
    <w:rsid w:val="00B55000"/>
    <w:rsid w:val="00B552C7"/>
    <w:rsid w:val="00B55360"/>
    <w:rsid w:val="00B554C6"/>
    <w:rsid w:val="00B557C4"/>
    <w:rsid w:val="00B55AA6"/>
    <w:rsid w:val="00B55AF8"/>
    <w:rsid w:val="00B55C85"/>
    <w:rsid w:val="00B55D69"/>
    <w:rsid w:val="00B55D97"/>
    <w:rsid w:val="00B55E63"/>
    <w:rsid w:val="00B560F5"/>
    <w:rsid w:val="00B561B2"/>
    <w:rsid w:val="00B56411"/>
    <w:rsid w:val="00B56612"/>
    <w:rsid w:val="00B5667F"/>
    <w:rsid w:val="00B566BE"/>
    <w:rsid w:val="00B568E7"/>
    <w:rsid w:val="00B56B0C"/>
    <w:rsid w:val="00B56CE3"/>
    <w:rsid w:val="00B56D1C"/>
    <w:rsid w:val="00B56E83"/>
    <w:rsid w:val="00B570CA"/>
    <w:rsid w:val="00B5751B"/>
    <w:rsid w:val="00B57687"/>
    <w:rsid w:val="00B576C7"/>
    <w:rsid w:val="00B57919"/>
    <w:rsid w:val="00B57ABE"/>
    <w:rsid w:val="00B57E9D"/>
    <w:rsid w:val="00B57FBD"/>
    <w:rsid w:val="00B57FD1"/>
    <w:rsid w:val="00B601AE"/>
    <w:rsid w:val="00B602FA"/>
    <w:rsid w:val="00B6036B"/>
    <w:rsid w:val="00B60404"/>
    <w:rsid w:val="00B60457"/>
    <w:rsid w:val="00B607A9"/>
    <w:rsid w:val="00B6091C"/>
    <w:rsid w:val="00B60AE5"/>
    <w:rsid w:val="00B610BB"/>
    <w:rsid w:val="00B611A3"/>
    <w:rsid w:val="00B612EF"/>
    <w:rsid w:val="00B61793"/>
    <w:rsid w:val="00B61799"/>
    <w:rsid w:val="00B618B6"/>
    <w:rsid w:val="00B619D1"/>
    <w:rsid w:val="00B61E3D"/>
    <w:rsid w:val="00B62032"/>
    <w:rsid w:val="00B623DE"/>
    <w:rsid w:val="00B62862"/>
    <w:rsid w:val="00B62AB7"/>
    <w:rsid w:val="00B62CC7"/>
    <w:rsid w:val="00B62E1F"/>
    <w:rsid w:val="00B62EE1"/>
    <w:rsid w:val="00B62FF8"/>
    <w:rsid w:val="00B63044"/>
    <w:rsid w:val="00B632AD"/>
    <w:rsid w:val="00B63371"/>
    <w:rsid w:val="00B63679"/>
    <w:rsid w:val="00B637A1"/>
    <w:rsid w:val="00B637FE"/>
    <w:rsid w:val="00B638FD"/>
    <w:rsid w:val="00B63964"/>
    <w:rsid w:val="00B63ABE"/>
    <w:rsid w:val="00B63B4B"/>
    <w:rsid w:val="00B63B54"/>
    <w:rsid w:val="00B63D9E"/>
    <w:rsid w:val="00B640B0"/>
    <w:rsid w:val="00B64317"/>
    <w:rsid w:val="00B643C4"/>
    <w:rsid w:val="00B644A5"/>
    <w:rsid w:val="00B64518"/>
    <w:rsid w:val="00B6486B"/>
    <w:rsid w:val="00B6492F"/>
    <w:rsid w:val="00B64D62"/>
    <w:rsid w:val="00B64DA6"/>
    <w:rsid w:val="00B64E32"/>
    <w:rsid w:val="00B64ED3"/>
    <w:rsid w:val="00B6569C"/>
    <w:rsid w:val="00B659D3"/>
    <w:rsid w:val="00B65A4B"/>
    <w:rsid w:val="00B65AAE"/>
    <w:rsid w:val="00B65AFE"/>
    <w:rsid w:val="00B65BCE"/>
    <w:rsid w:val="00B65E9D"/>
    <w:rsid w:val="00B66055"/>
    <w:rsid w:val="00B660D9"/>
    <w:rsid w:val="00B66150"/>
    <w:rsid w:val="00B66245"/>
    <w:rsid w:val="00B663BF"/>
    <w:rsid w:val="00B6687E"/>
    <w:rsid w:val="00B66BAF"/>
    <w:rsid w:val="00B66C1A"/>
    <w:rsid w:val="00B66EB2"/>
    <w:rsid w:val="00B66EB3"/>
    <w:rsid w:val="00B66EFD"/>
    <w:rsid w:val="00B67267"/>
    <w:rsid w:val="00B675E1"/>
    <w:rsid w:val="00B67B47"/>
    <w:rsid w:val="00B67C79"/>
    <w:rsid w:val="00B7051C"/>
    <w:rsid w:val="00B70619"/>
    <w:rsid w:val="00B70F7C"/>
    <w:rsid w:val="00B71038"/>
    <w:rsid w:val="00B71732"/>
    <w:rsid w:val="00B71A40"/>
    <w:rsid w:val="00B71A63"/>
    <w:rsid w:val="00B71C49"/>
    <w:rsid w:val="00B71FD3"/>
    <w:rsid w:val="00B72040"/>
    <w:rsid w:val="00B72536"/>
    <w:rsid w:val="00B72836"/>
    <w:rsid w:val="00B73230"/>
    <w:rsid w:val="00B7329E"/>
    <w:rsid w:val="00B733E4"/>
    <w:rsid w:val="00B739A4"/>
    <w:rsid w:val="00B74056"/>
    <w:rsid w:val="00B7414E"/>
    <w:rsid w:val="00B744EB"/>
    <w:rsid w:val="00B7475B"/>
    <w:rsid w:val="00B747A4"/>
    <w:rsid w:val="00B74827"/>
    <w:rsid w:val="00B7489B"/>
    <w:rsid w:val="00B74911"/>
    <w:rsid w:val="00B749C3"/>
    <w:rsid w:val="00B74ED5"/>
    <w:rsid w:val="00B75535"/>
    <w:rsid w:val="00B75853"/>
    <w:rsid w:val="00B759A7"/>
    <w:rsid w:val="00B75B6B"/>
    <w:rsid w:val="00B75D8C"/>
    <w:rsid w:val="00B75E96"/>
    <w:rsid w:val="00B75F1E"/>
    <w:rsid w:val="00B76131"/>
    <w:rsid w:val="00B766A3"/>
    <w:rsid w:val="00B766C6"/>
    <w:rsid w:val="00B76C47"/>
    <w:rsid w:val="00B76D5D"/>
    <w:rsid w:val="00B76DF5"/>
    <w:rsid w:val="00B76EB9"/>
    <w:rsid w:val="00B76F43"/>
    <w:rsid w:val="00B77015"/>
    <w:rsid w:val="00B7716F"/>
    <w:rsid w:val="00B772D6"/>
    <w:rsid w:val="00B773FD"/>
    <w:rsid w:val="00B77743"/>
    <w:rsid w:val="00B77919"/>
    <w:rsid w:val="00B77A34"/>
    <w:rsid w:val="00B77F4A"/>
    <w:rsid w:val="00B800D5"/>
    <w:rsid w:val="00B80135"/>
    <w:rsid w:val="00B80329"/>
    <w:rsid w:val="00B8040B"/>
    <w:rsid w:val="00B80606"/>
    <w:rsid w:val="00B809A0"/>
    <w:rsid w:val="00B80ACF"/>
    <w:rsid w:val="00B80E22"/>
    <w:rsid w:val="00B80F31"/>
    <w:rsid w:val="00B81016"/>
    <w:rsid w:val="00B812A8"/>
    <w:rsid w:val="00B81408"/>
    <w:rsid w:val="00B8160B"/>
    <w:rsid w:val="00B81853"/>
    <w:rsid w:val="00B81937"/>
    <w:rsid w:val="00B819A8"/>
    <w:rsid w:val="00B81A4D"/>
    <w:rsid w:val="00B81C89"/>
    <w:rsid w:val="00B81E93"/>
    <w:rsid w:val="00B81F2E"/>
    <w:rsid w:val="00B81F3B"/>
    <w:rsid w:val="00B8219B"/>
    <w:rsid w:val="00B82278"/>
    <w:rsid w:val="00B825E2"/>
    <w:rsid w:val="00B82BAE"/>
    <w:rsid w:val="00B83537"/>
    <w:rsid w:val="00B83627"/>
    <w:rsid w:val="00B836DA"/>
    <w:rsid w:val="00B83809"/>
    <w:rsid w:val="00B8389D"/>
    <w:rsid w:val="00B838EB"/>
    <w:rsid w:val="00B83AA7"/>
    <w:rsid w:val="00B83E4D"/>
    <w:rsid w:val="00B83FA1"/>
    <w:rsid w:val="00B84144"/>
    <w:rsid w:val="00B84145"/>
    <w:rsid w:val="00B8428D"/>
    <w:rsid w:val="00B84517"/>
    <w:rsid w:val="00B84699"/>
    <w:rsid w:val="00B849D7"/>
    <w:rsid w:val="00B84B08"/>
    <w:rsid w:val="00B84B5F"/>
    <w:rsid w:val="00B84DBA"/>
    <w:rsid w:val="00B84E2A"/>
    <w:rsid w:val="00B850E9"/>
    <w:rsid w:val="00B85432"/>
    <w:rsid w:val="00B855D1"/>
    <w:rsid w:val="00B8562B"/>
    <w:rsid w:val="00B8589A"/>
    <w:rsid w:val="00B85A8C"/>
    <w:rsid w:val="00B85C92"/>
    <w:rsid w:val="00B85CBC"/>
    <w:rsid w:val="00B85D54"/>
    <w:rsid w:val="00B86368"/>
    <w:rsid w:val="00B863CA"/>
    <w:rsid w:val="00B863E7"/>
    <w:rsid w:val="00B8645D"/>
    <w:rsid w:val="00B8658B"/>
    <w:rsid w:val="00B86765"/>
    <w:rsid w:val="00B86C89"/>
    <w:rsid w:val="00B86C91"/>
    <w:rsid w:val="00B86D17"/>
    <w:rsid w:val="00B86D75"/>
    <w:rsid w:val="00B86E92"/>
    <w:rsid w:val="00B86F0E"/>
    <w:rsid w:val="00B86FB9"/>
    <w:rsid w:val="00B87129"/>
    <w:rsid w:val="00B871A5"/>
    <w:rsid w:val="00B8722D"/>
    <w:rsid w:val="00B87716"/>
    <w:rsid w:val="00B87BF4"/>
    <w:rsid w:val="00B87C28"/>
    <w:rsid w:val="00B87C31"/>
    <w:rsid w:val="00B90041"/>
    <w:rsid w:val="00B90313"/>
    <w:rsid w:val="00B90926"/>
    <w:rsid w:val="00B90A48"/>
    <w:rsid w:val="00B90A7E"/>
    <w:rsid w:val="00B90B30"/>
    <w:rsid w:val="00B90C19"/>
    <w:rsid w:val="00B90EEF"/>
    <w:rsid w:val="00B913F6"/>
    <w:rsid w:val="00B914C3"/>
    <w:rsid w:val="00B914CC"/>
    <w:rsid w:val="00B9160A"/>
    <w:rsid w:val="00B9169A"/>
    <w:rsid w:val="00B916E7"/>
    <w:rsid w:val="00B91C70"/>
    <w:rsid w:val="00B91DAE"/>
    <w:rsid w:val="00B92132"/>
    <w:rsid w:val="00B924D8"/>
    <w:rsid w:val="00B92839"/>
    <w:rsid w:val="00B92A5E"/>
    <w:rsid w:val="00B92C98"/>
    <w:rsid w:val="00B92EB0"/>
    <w:rsid w:val="00B92EB8"/>
    <w:rsid w:val="00B93419"/>
    <w:rsid w:val="00B936FE"/>
    <w:rsid w:val="00B93919"/>
    <w:rsid w:val="00B93BAF"/>
    <w:rsid w:val="00B93C0F"/>
    <w:rsid w:val="00B93CDC"/>
    <w:rsid w:val="00B94179"/>
    <w:rsid w:val="00B941C3"/>
    <w:rsid w:val="00B9445F"/>
    <w:rsid w:val="00B945B3"/>
    <w:rsid w:val="00B94650"/>
    <w:rsid w:val="00B94A42"/>
    <w:rsid w:val="00B94B98"/>
    <w:rsid w:val="00B94CCF"/>
    <w:rsid w:val="00B94E91"/>
    <w:rsid w:val="00B952CC"/>
    <w:rsid w:val="00B9558A"/>
    <w:rsid w:val="00B9570C"/>
    <w:rsid w:val="00B9579A"/>
    <w:rsid w:val="00B958EF"/>
    <w:rsid w:val="00B95AD7"/>
    <w:rsid w:val="00B95B4B"/>
    <w:rsid w:val="00B95B87"/>
    <w:rsid w:val="00B95C1B"/>
    <w:rsid w:val="00B95F30"/>
    <w:rsid w:val="00B95FE2"/>
    <w:rsid w:val="00B96092"/>
    <w:rsid w:val="00B960E3"/>
    <w:rsid w:val="00B962EC"/>
    <w:rsid w:val="00B968D5"/>
    <w:rsid w:val="00B96A9F"/>
    <w:rsid w:val="00B96C6F"/>
    <w:rsid w:val="00B96E37"/>
    <w:rsid w:val="00B96FD5"/>
    <w:rsid w:val="00B973BA"/>
    <w:rsid w:val="00B9742A"/>
    <w:rsid w:val="00B97448"/>
    <w:rsid w:val="00B9748C"/>
    <w:rsid w:val="00B9770B"/>
    <w:rsid w:val="00B97B76"/>
    <w:rsid w:val="00B97BFC"/>
    <w:rsid w:val="00B97E18"/>
    <w:rsid w:val="00B97E71"/>
    <w:rsid w:val="00B97ECB"/>
    <w:rsid w:val="00BA00CC"/>
    <w:rsid w:val="00BA075B"/>
    <w:rsid w:val="00BA07CE"/>
    <w:rsid w:val="00BA0A38"/>
    <w:rsid w:val="00BA0AE9"/>
    <w:rsid w:val="00BA0B9A"/>
    <w:rsid w:val="00BA0F7C"/>
    <w:rsid w:val="00BA115E"/>
    <w:rsid w:val="00BA14AD"/>
    <w:rsid w:val="00BA1559"/>
    <w:rsid w:val="00BA15EA"/>
    <w:rsid w:val="00BA1621"/>
    <w:rsid w:val="00BA1723"/>
    <w:rsid w:val="00BA1855"/>
    <w:rsid w:val="00BA189B"/>
    <w:rsid w:val="00BA1E05"/>
    <w:rsid w:val="00BA2488"/>
    <w:rsid w:val="00BA270E"/>
    <w:rsid w:val="00BA2755"/>
    <w:rsid w:val="00BA28B8"/>
    <w:rsid w:val="00BA2BA5"/>
    <w:rsid w:val="00BA2E83"/>
    <w:rsid w:val="00BA3016"/>
    <w:rsid w:val="00BA337C"/>
    <w:rsid w:val="00BA361F"/>
    <w:rsid w:val="00BA3838"/>
    <w:rsid w:val="00BA38D1"/>
    <w:rsid w:val="00BA3AB6"/>
    <w:rsid w:val="00BA3F58"/>
    <w:rsid w:val="00BA3F8B"/>
    <w:rsid w:val="00BA4627"/>
    <w:rsid w:val="00BA4815"/>
    <w:rsid w:val="00BA487B"/>
    <w:rsid w:val="00BA4A46"/>
    <w:rsid w:val="00BA4A55"/>
    <w:rsid w:val="00BA4ACB"/>
    <w:rsid w:val="00BA4AEC"/>
    <w:rsid w:val="00BA4D9B"/>
    <w:rsid w:val="00BA4E11"/>
    <w:rsid w:val="00BA4FDD"/>
    <w:rsid w:val="00BA5561"/>
    <w:rsid w:val="00BA56D6"/>
    <w:rsid w:val="00BA5918"/>
    <w:rsid w:val="00BA5B25"/>
    <w:rsid w:val="00BA5C33"/>
    <w:rsid w:val="00BA5CED"/>
    <w:rsid w:val="00BA5EC9"/>
    <w:rsid w:val="00BA6681"/>
    <w:rsid w:val="00BA66BD"/>
    <w:rsid w:val="00BA68B9"/>
    <w:rsid w:val="00BA6C33"/>
    <w:rsid w:val="00BA6D3C"/>
    <w:rsid w:val="00BA6DE7"/>
    <w:rsid w:val="00BA6EAB"/>
    <w:rsid w:val="00BA6EBF"/>
    <w:rsid w:val="00BA700F"/>
    <w:rsid w:val="00BA72CB"/>
    <w:rsid w:val="00BA72E6"/>
    <w:rsid w:val="00BA735A"/>
    <w:rsid w:val="00BA7415"/>
    <w:rsid w:val="00BA75A1"/>
    <w:rsid w:val="00BA77F1"/>
    <w:rsid w:val="00BA79F6"/>
    <w:rsid w:val="00BA7A90"/>
    <w:rsid w:val="00BA7E18"/>
    <w:rsid w:val="00BB01CC"/>
    <w:rsid w:val="00BB0AC4"/>
    <w:rsid w:val="00BB0CD7"/>
    <w:rsid w:val="00BB0CF6"/>
    <w:rsid w:val="00BB0E0C"/>
    <w:rsid w:val="00BB0F16"/>
    <w:rsid w:val="00BB0F9A"/>
    <w:rsid w:val="00BB13C7"/>
    <w:rsid w:val="00BB1B47"/>
    <w:rsid w:val="00BB1DC5"/>
    <w:rsid w:val="00BB1DE5"/>
    <w:rsid w:val="00BB1EB8"/>
    <w:rsid w:val="00BB1FBB"/>
    <w:rsid w:val="00BB1FDD"/>
    <w:rsid w:val="00BB21A3"/>
    <w:rsid w:val="00BB2271"/>
    <w:rsid w:val="00BB22D8"/>
    <w:rsid w:val="00BB28F1"/>
    <w:rsid w:val="00BB28FE"/>
    <w:rsid w:val="00BB2B5A"/>
    <w:rsid w:val="00BB2B7E"/>
    <w:rsid w:val="00BB2C1B"/>
    <w:rsid w:val="00BB30CF"/>
    <w:rsid w:val="00BB3126"/>
    <w:rsid w:val="00BB3339"/>
    <w:rsid w:val="00BB3414"/>
    <w:rsid w:val="00BB3422"/>
    <w:rsid w:val="00BB34D1"/>
    <w:rsid w:val="00BB37C4"/>
    <w:rsid w:val="00BB38CC"/>
    <w:rsid w:val="00BB3C7D"/>
    <w:rsid w:val="00BB47DC"/>
    <w:rsid w:val="00BB4905"/>
    <w:rsid w:val="00BB4B91"/>
    <w:rsid w:val="00BB4EFA"/>
    <w:rsid w:val="00BB4FF8"/>
    <w:rsid w:val="00BB514E"/>
    <w:rsid w:val="00BB518F"/>
    <w:rsid w:val="00BB51B6"/>
    <w:rsid w:val="00BB5393"/>
    <w:rsid w:val="00BB53D2"/>
    <w:rsid w:val="00BB5415"/>
    <w:rsid w:val="00BB5619"/>
    <w:rsid w:val="00BB56C3"/>
    <w:rsid w:val="00BB57B8"/>
    <w:rsid w:val="00BB5C78"/>
    <w:rsid w:val="00BB5E08"/>
    <w:rsid w:val="00BB5ECA"/>
    <w:rsid w:val="00BB6570"/>
    <w:rsid w:val="00BB69EC"/>
    <w:rsid w:val="00BB6A72"/>
    <w:rsid w:val="00BB6B49"/>
    <w:rsid w:val="00BB6E11"/>
    <w:rsid w:val="00BB6E50"/>
    <w:rsid w:val="00BB6FDC"/>
    <w:rsid w:val="00BB714D"/>
    <w:rsid w:val="00BB7AAD"/>
    <w:rsid w:val="00BB7C94"/>
    <w:rsid w:val="00BC00FD"/>
    <w:rsid w:val="00BC04A6"/>
    <w:rsid w:val="00BC0530"/>
    <w:rsid w:val="00BC07B9"/>
    <w:rsid w:val="00BC0C5B"/>
    <w:rsid w:val="00BC0FE8"/>
    <w:rsid w:val="00BC1241"/>
    <w:rsid w:val="00BC1374"/>
    <w:rsid w:val="00BC1422"/>
    <w:rsid w:val="00BC14DA"/>
    <w:rsid w:val="00BC1747"/>
    <w:rsid w:val="00BC179A"/>
    <w:rsid w:val="00BC1B32"/>
    <w:rsid w:val="00BC1D88"/>
    <w:rsid w:val="00BC223D"/>
    <w:rsid w:val="00BC2377"/>
    <w:rsid w:val="00BC2604"/>
    <w:rsid w:val="00BC284D"/>
    <w:rsid w:val="00BC28E6"/>
    <w:rsid w:val="00BC2920"/>
    <w:rsid w:val="00BC2A48"/>
    <w:rsid w:val="00BC30E7"/>
    <w:rsid w:val="00BC30EC"/>
    <w:rsid w:val="00BC339C"/>
    <w:rsid w:val="00BC339F"/>
    <w:rsid w:val="00BC37F7"/>
    <w:rsid w:val="00BC3D6F"/>
    <w:rsid w:val="00BC3F1F"/>
    <w:rsid w:val="00BC4237"/>
    <w:rsid w:val="00BC4347"/>
    <w:rsid w:val="00BC43F0"/>
    <w:rsid w:val="00BC4409"/>
    <w:rsid w:val="00BC474A"/>
    <w:rsid w:val="00BC4906"/>
    <w:rsid w:val="00BC49CA"/>
    <w:rsid w:val="00BC4A63"/>
    <w:rsid w:val="00BC4FD0"/>
    <w:rsid w:val="00BC5011"/>
    <w:rsid w:val="00BC568E"/>
    <w:rsid w:val="00BC5A5B"/>
    <w:rsid w:val="00BC5AE0"/>
    <w:rsid w:val="00BC5E8C"/>
    <w:rsid w:val="00BC5F1D"/>
    <w:rsid w:val="00BC622F"/>
    <w:rsid w:val="00BC646E"/>
    <w:rsid w:val="00BC6531"/>
    <w:rsid w:val="00BC6561"/>
    <w:rsid w:val="00BC669B"/>
    <w:rsid w:val="00BC6824"/>
    <w:rsid w:val="00BC69A9"/>
    <w:rsid w:val="00BC6EC3"/>
    <w:rsid w:val="00BC715C"/>
    <w:rsid w:val="00BC78E1"/>
    <w:rsid w:val="00BC7952"/>
    <w:rsid w:val="00BC7E0F"/>
    <w:rsid w:val="00BC7F2B"/>
    <w:rsid w:val="00BC7F4F"/>
    <w:rsid w:val="00BD0468"/>
    <w:rsid w:val="00BD0A9B"/>
    <w:rsid w:val="00BD0E56"/>
    <w:rsid w:val="00BD0F4F"/>
    <w:rsid w:val="00BD15D0"/>
    <w:rsid w:val="00BD172F"/>
    <w:rsid w:val="00BD189C"/>
    <w:rsid w:val="00BD1B17"/>
    <w:rsid w:val="00BD1CAC"/>
    <w:rsid w:val="00BD1CF9"/>
    <w:rsid w:val="00BD1ED6"/>
    <w:rsid w:val="00BD2255"/>
    <w:rsid w:val="00BD2B5B"/>
    <w:rsid w:val="00BD2C45"/>
    <w:rsid w:val="00BD2F57"/>
    <w:rsid w:val="00BD32A6"/>
    <w:rsid w:val="00BD341A"/>
    <w:rsid w:val="00BD3B4A"/>
    <w:rsid w:val="00BD3C3A"/>
    <w:rsid w:val="00BD40B0"/>
    <w:rsid w:val="00BD457C"/>
    <w:rsid w:val="00BD4C5C"/>
    <w:rsid w:val="00BD4F37"/>
    <w:rsid w:val="00BD4FEC"/>
    <w:rsid w:val="00BD50B2"/>
    <w:rsid w:val="00BD53AE"/>
    <w:rsid w:val="00BD5456"/>
    <w:rsid w:val="00BD56B6"/>
    <w:rsid w:val="00BD5837"/>
    <w:rsid w:val="00BD5AFD"/>
    <w:rsid w:val="00BD5B35"/>
    <w:rsid w:val="00BD5CDC"/>
    <w:rsid w:val="00BD5D60"/>
    <w:rsid w:val="00BD6061"/>
    <w:rsid w:val="00BD62DB"/>
    <w:rsid w:val="00BD63E5"/>
    <w:rsid w:val="00BD6486"/>
    <w:rsid w:val="00BD67CC"/>
    <w:rsid w:val="00BD6C65"/>
    <w:rsid w:val="00BD6FE5"/>
    <w:rsid w:val="00BD70D0"/>
    <w:rsid w:val="00BD794E"/>
    <w:rsid w:val="00BD7AB1"/>
    <w:rsid w:val="00BD7AF2"/>
    <w:rsid w:val="00BD7D57"/>
    <w:rsid w:val="00BD7EE7"/>
    <w:rsid w:val="00BE00CE"/>
    <w:rsid w:val="00BE0277"/>
    <w:rsid w:val="00BE0679"/>
    <w:rsid w:val="00BE09CD"/>
    <w:rsid w:val="00BE09D6"/>
    <w:rsid w:val="00BE118A"/>
    <w:rsid w:val="00BE13B6"/>
    <w:rsid w:val="00BE1470"/>
    <w:rsid w:val="00BE151A"/>
    <w:rsid w:val="00BE1658"/>
    <w:rsid w:val="00BE168A"/>
    <w:rsid w:val="00BE1958"/>
    <w:rsid w:val="00BE1A47"/>
    <w:rsid w:val="00BE2360"/>
    <w:rsid w:val="00BE2449"/>
    <w:rsid w:val="00BE274D"/>
    <w:rsid w:val="00BE2E6D"/>
    <w:rsid w:val="00BE2ED7"/>
    <w:rsid w:val="00BE3771"/>
    <w:rsid w:val="00BE410E"/>
    <w:rsid w:val="00BE4384"/>
    <w:rsid w:val="00BE47B3"/>
    <w:rsid w:val="00BE47F3"/>
    <w:rsid w:val="00BE4AC5"/>
    <w:rsid w:val="00BE536A"/>
    <w:rsid w:val="00BE5398"/>
    <w:rsid w:val="00BE5B2A"/>
    <w:rsid w:val="00BE5BA3"/>
    <w:rsid w:val="00BE5FCF"/>
    <w:rsid w:val="00BE618F"/>
    <w:rsid w:val="00BE6297"/>
    <w:rsid w:val="00BE62DE"/>
    <w:rsid w:val="00BE639E"/>
    <w:rsid w:val="00BE63C7"/>
    <w:rsid w:val="00BE6440"/>
    <w:rsid w:val="00BE6B6C"/>
    <w:rsid w:val="00BE6D26"/>
    <w:rsid w:val="00BE6DAC"/>
    <w:rsid w:val="00BE6F03"/>
    <w:rsid w:val="00BE712D"/>
    <w:rsid w:val="00BE7133"/>
    <w:rsid w:val="00BE7194"/>
    <w:rsid w:val="00BE7268"/>
    <w:rsid w:val="00BE742A"/>
    <w:rsid w:val="00BE77BF"/>
    <w:rsid w:val="00BE7DEB"/>
    <w:rsid w:val="00BE7E4F"/>
    <w:rsid w:val="00BF00D5"/>
    <w:rsid w:val="00BF03A5"/>
    <w:rsid w:val="00BF03B1"/>
    <w:rsid w:val="00BF061A"/>
    <w:rsid w:val="00BF0D0E"/>
    <w:rsid w:val="00BF0DDD"/>
    <w:rsid w:val="00BF0E4D"/>
    <w:rsid w:val="00BF0F88"/>
    <w:rsid w:val="00BF0F9B"/>
    <w:rsid w:val="00BF11BC"/>
    <w:rsid w:val="00BF120D"/>
    <w:rsid w:val="00BF1254"/>
    <w:rsid w:val="00BF1428"/>
    <w:rsid w:val="00BF1450"/>
    <w:rsid w:val="00BF1493"/>
    <w:rsid w:val="00BF18D3"/>
    <w:rsid w:val="00BF1E43"/>
    <w:rsid w:val="00BF21E1"/>
    <w:rsid w:val="00BF21EB"/>
    <w:rsid w:val="00BF2427"/>
    <w:rsid w:val="00BF29CB"/>
    <w:rsid w:val="00BF2BDC"/>
    <w:rsid w:val="00BF2E0D"/>
    <w:rsid w:val="00BF2E8C"/>
    <w:rsid w:val="00BF38EB"/>
    <w:rsid w:val="00BF3905"/>
    <w:rsid w:val="00BF390A"/>
    <w:rsid w:val="00BF3D48"/>
    <w:rsid w:val="00BF441A"/>
    <w:rsid w:val="00BF4795"/>
    <w:rsid w:val="00BF4A59"/>
    <w:rsid w:val="00BF4AF5"/>
    <w:rsid w:val="00BF4BE9"/>
    <w:rsid w:val="00BF5553"/>
    <w:rsid w:val="00BF5808"/>
    <w:rsid w:val="00BF5852"/>
    <w:rsid w:val="00BF58D5"/>
    <w:rsid w:val="00BF6613"/>
    <w:rsid w:val="00BF682D"/>
    <w:rsid w:val="00BF6996"/>
    <w:rsid w:val="00BF69F6"/>
    <w:rsid w:val="00BF6ABE"/>
    <w:rsid w:val="00BF7113"/>
    <w:rsid w:val="00BF746B"/>
    <w:rsid w:val="00BF7530"/>
    <w:rsid w:val="00BF7885"/>
    <w:rsid w:val="00BF7C0E"/>
    <w:rsid w:val="00BF7C41"/>
    <w:rsid w:val="00BF7F9F"/>
    <w:rsid w:val="00C00185"/>
    <w:rsid w:val="00C001BA"/>
    <w:rsid w:val="00C009D6"/>
    <w:rsid w:val="00C00A05"/>
    <w:rsid w:val="00C00AEF"/>
    <w:rsid w:val="00C00D14"/>
    <w:rsid w:val="00C0118A"/>
    <w:rsid w:val="00C012C1"/>
    <w:rsid w:val="00C01535"/>
    <w:rsid w:val="00C019E8"/>
    <w:rsid w:val="00C01A3D"/>
    <w:rsid w:val="00C01AFC"/>
    <w:rsid w:val="00C01B17"/>
    <w:rsid w:val="00C01BCF"/>
    <w:rsid w:val="00C0203F"/>
    <w:rsid w:val="00C02227"/>
    <w:rsid w:val="00C0230C"/>
    <w:rsid w:val="00C02386"/>
    <w:rsid w:val="00C026B8"/>
    <w:rsid w:val="00C02796"/>
    <w:rsid w:val="00C02A12"/>
    <w:rsid w:val="00C02BBA"/>
    <w:rsid w:val="00C02D8B"/>
    <w:rsid w:val="00C02DC8"/>
    <w:rsid w:val="00C02F23"/>
    <w:rsid w:val="00C030B8"/>
    <w:rsid w:val="00C03168"/>
    <w:rsid w:val="00C0335C"/>
    <w:rsid w:val="00C03482"/>
    <w:rsid w:val="00C03516"/>
    <w:rsid w:val="00C037D3"/>
    <w:rsid w:val="00C03FCC"/>
    <w:rsid w:val="00C03FE5"/>
    <w:rsid w:val="00C040E9"/>
    <w:rsid w:val="00C042C1"/>
    <w:rsid w:val="00C04371"/>
    <w:rsid w:val="00C04920"/>
    <w:rsid w:val="00C0506F"/>
    <w:rsid w:val="00C052A6"/>
    <w:rsid w:val="00C05302"/>
    <w:rsid w:val="00C05459"/>
    <w:rsid w:val="00C054E9"/>
    <w:rsid w:val="00C054FB"/>
    <w:rsid w:val="00C0550A"/>
    <w:rsid w:val="00C058DA"/>
    <w:rsid w:val="00C05954"/>
    <w:rsid w:val="00C06153"/>
    <w:rsid w:val="00C069D4"/>
    <w:rsid w:val="00C06BD8"/>
    <w:rsid w:val="00C06EA3"/>
    <w:rsid w:val="00C07028"/>
    <w:rsid w:val="00C072AB"/>
    <w:rsid w:val="00C0741F"/>
    <w:rsid w:val="00C075B8"/>
    <w:rsid w:val="00C076CA"/>
    <w:rsid w:val="00C07AAE"/>
    <w:rsid w:val="00C07B75"/>
    <w:rsid w:val="00C07E8A"/>
    <w:rsid w:val="00C07EB9"/>
    <w:rsid w:val="00C100FB"/>
    <w:rsid w:val="00C1013F"/>
    <w:rsid w:val="00C1021D"/>
    <w:rsid w:val="00C102A4"/>
    <w:rsid w:val="00C1031E"/>
    <w:rsid w:val="00C104D9"/>
    <w:rsid w:val="00C1059E"/>
    <w:rsid w:val="00C10715"/>
    <w:rsid w:val="00C10CB3"/>
    <w:rsid w:val="00C1114D"/>
    <w:rsid w:val="00C11324"/>
    <w:rsid w:val="00C11469"/>
    <w:rsid w:val="00C115BD"/>
    <w:rsid w:val="00C1170F"/>
    <w:rsid w:val="00C11AD6"/>
    <w:rsid w:val="00C11C11"/>
    <w:rsid w:val="00C11D9F"/>
    <w:rsid w:val="00C11F5A"/>
    <w:rsid w:val="00C120B3"/>
    <w:rsid w:val="00C121D7"/>
    <w:rsid w:val="00C1244A"/>
    <w:rsid w:val="00C127DA"/>
    <w:rsid w:val="00C12838"/>
    <w:rsid w:val="00C1284E"/>
    <w:rsid w:val="00C12862"/>
    <w:rsid w:val="00C128D8"/>
    <w:rsid w:val="00C12B4D"/>
    <w:rsid w:val="00C12B7A"/>
    <w:rsid w:val="00C12CE5"/>
    <w:rsid w:val="00C12DAD"/>
    <w:rsid w:val="00C13348"/>
    <w:rsid w:val="00C13458"/>
    <w:rsid w:val="00C13485"/>
    <w:rsid w:val="00C136F3"/>
    <w:rsid w:val="00C137C8"/>
    <w:rsid w:val="00C13B86"/>
    <w:rsid w:val="00C14067"/>
    <w:rsid w:val="00C14343"/>
    <w:rsid w:val="00C143BE"/>
    <w:rsid w:val="00C1440C"/>
    <w:rsid w:val="00C148FE"/>
    <w:rsid w:val="00C150EE"/>
    <w:rsid w:val="00C15476"/>
    <w:rsid w:val="00C1578E"/>
    <w:rsid w:val="00C15A40"/>
    <w:rsid w:val="00C15CED"/>
    <w:rsid w:val="00C1610A"/>
    <w:rsid w:val="00C162EB"/>
    <w:rsid w:val="00C163D9"/>
    <w:rsid w:val="00C163E2"/>
    <w:rsid w:val="00C16EB9"/>
    <w:rsid w:val="00C1714B"/>
    <w:rsid w:val="00C172DC"/>
    <w:rsid w:val="00C1740E"/>
    <w:rsid w:val="00C17450"/>
    <w:rsid w:val="00C174B4"/>
    <w:rsid w:val="00C1772D"/>
    <w:rsid w:val="00C17978"/>
    <w:rsid w:val="00C17D43"/>
    <w:rsid w:val="00C17E14"/>
    <w:rsid w:val="00C204FA"/>
    <w:rsid w:val="00C20854"/>
    <w:rsid w:val="00C20B71"/>
    <w:rsid w:val="00C20BDA"/>
    <w:rsid w:val="00C20F93"/>
    <w:rsid w:val="00C20F9E"/>
    <w:rsid w:val="00C21202"/>
    <w:rsid w:val="00C21485"/>
    <w:rsid w:val="00C2149D"/>
    <w:rsid w:val="00C2151F"/>
    <w:rsid w:val="00C215E4"/>
    <w:rsid w:val="00C2172D"/>
    <w:rsid w:val="00C2186E"/>
    <w:rsid w:val="00C21A60"/>
    <w:rsid w:val="00C2204A"/>
    <w:rsid w:val="00C22166"/>
    <w:rsid w:val="00C22295"/>
    <w:rsid w:val="00C222A1"/>
    <w:rsid w:val="00C22332"/>
    <w:rsid w:val="00C223B6"/>
    <w:rsid w:val="00C2241E"/>
    <w:rsid w:val="00C225D2"/>
    <w:rsid w:val="00C22709"/>
    <w:rsid w:val="00C22783"/>
    <w:rsid w:val="00C228DC"/>
    <w:rsid w:val="00C22B47"/>
    <w:rsid w:val="00C22C8C"/>
    <w:rsid w:val="00C233FF"/>
    <w:rsid w:val="00C23439"/>
    <w:rsid w:val="00C23570"/>
    <w:rsid w:val="00C238CF"/>
    <w:rsid w:val="00C23C1D"/>
    <w:rsid w:val="00C24060"/>
    <w:rsid w:val="00C24154"/>
    <w:rsid w:val="00C24363"/>
    <w:rsid w:val="00C24807"/>
    <w:rsid w:val="00C24897"/>
    <w:rsid w:val="00C249CA"/>
    <w:rsid w:val="00C24C4E"/>
    <w:rsid w:val="00C24D0F"/>
    <w:rsid w:val="00C251F7"/>
    <w:rsid w:val="00C25432"/>
    <w:rsid w:val="00C25443"/>
    <w:rsid w:val="00C25500"/>
    <w:rsid w:val="00C2563F"/>
    <w:rsid w:val="00C257CF"/>
    <w:rsid w:val="00C25A74"/>
    <w:rsid w:val="00C260E5"/>
    <w:rsid w:val="00C2679D"/>
    <w:rsid w:val="00C26A78"/>
    <w:rsid w:val="00C26FBB"/>
    <w:rsid w:val="00C26FFF"/>
    <w:rsid w:val="00C27241"/>
    <w:rsid w:val="00C273F2"/>
    <w:rsid w:val="00C27417"/>
    <w:rsid w:val="00C2751F"/>
    <w:rsid w:val="00C2764A"/>
    <w:rsid w:val="00C2783C"/>
    <w:rsid w:val="00C27C80"/>
    <w:rsid w:val="00C27DE8"/>
    <w:rsid w:val="00C30180"/>
    <w:rsid w:val="00C30340"/>
    <w:rsid w:val="00C30643"/>
    <w:rsid w:val="00C309C7"/>
    <w:rsid w:val="00C309D6"/>
    <w:rsid w:val="00C30E41"/>
    <w:rsid w:val="00C30FF0"/>
    <w:rsid w:val="00C3104E"/>
    <w:rsid w:val="00C31315"/>
    <w:rsid w:val="00C3133A"/>
    <w:rsid w:val="00C313DD"/>
    <w:rsid w:val="00C31430"/>
    <w:rsid w:val="00C31AF4"/>
    <w:rsid w:val="00C31BC5"/>
    <w:rsid w:val="00C3261C"/>
    <w:rsid w:val="00C327DD"/>
    <w:rsid w:val="00C32B5A"/>
    <w:rsid w:val="00C32C5F"/>
    <w:rsid w:val="00C32F61"/>
    <w:rsid w:val="00C32FB9"/>
    <w:rsid w:val="00C33356"/>
    <w:rsid w:val="00C333DE"/>
    <w:rsid w:val="00C33A00"/>
    <w:rsid w:val="00C33CED"/>
    <w:rsid w:val="00C33D58"/>
    <w:rsid w:val="00C34401"/>
    <w:rsid w:val="00C344C9"/>
    <w:rsid w:val="00C3465D"/>
    <w:rsid w:val="00C3470A"/>
    <w:rsid w:val="00C34E89"/>
    <w:rsid w:val="00C350CE"/>
    <w:rsid w:val="00C351D4"/>
    <w:rsid w:val="00C35426"/>
    <w:rsid w:val="00C356A1"/>
    <w:rsid w:val="00C3574C"/>
    <w:rsid w:val="00C35B83"/>
    <w:rsid w:val="00C35BB3"/>
    <w:rsid w:val="00C35D19"/>
    <w:rsid w:val="00C36058"/>
    <w:rsid w:val="00C3608C"/>
    <w:rsid w:val="00C365BC"/>
    <w:rsid w:val="00C366CB"/>
    <w:rsid w:val="00C36771"/>
    <w:rsid w:val="00C36892"/>
    <w:rsid w:val="00C36A9E"/>
    <w:rsid w:val="00C36FCF"/>
    <w:rsid w:val="00C37227"/>
    <w:rsid w:val="00C374DB"/>
    <w:rsid w:val="00C376DF"/>
    <w:rsid w:val="00C3774F"/>
    <w:rsid w:val="00C37DE8"/>
    <w:rsid w:val="00C37E12"/>
    <w:rsid w:val="00C40520"/>
    <w:rsid w:val="00C407FB"/>
    <w:rsid w:val="00C40A4A"/>
    <w:rsid w:val="00C40BE7"/>
    <w:rsid w:val="00C40D22"/>
    <w:rsid w:val="00C40FB2"/>
    <w:rsid w:val="00C410ED"/>
    <w:rsid w:val="00C41131"/>
    <w:rsid w:val="00C411DE"/>
    <w:rsid w:val="00C4134B"/>
    <w:rsid w:val="00C418AF"/>
    <w:rsid w:val="00C41B6D"/>
    <w:rsid w:val="00C41E3A"/>
    <w:rsid w:val="00C41FB9"/>
    <w:rsid w:val="00C420EA"/>
    <w:rsid w:val="00C42187"/>
    <w:rsid w:val="00C42811"/>
    <w:rsid w:val="00C4330D"/>
    <w:rsid w:val="00C4362D"/>
    <w:rsid w:val="00C437D5"/>
    <w:rsid w:val="00C438DE"/>
    <w:rsid w:val="00C43C26"/>
    <w:rsid w:val="00C43CD8"/>
    <w:rsid w:val="00C43E3C"/>
    <w:rsid w:val="00C43EA6"/>
    <w:rsid w:val="00C440BC"/>
    <w:rsid w:val="00C440C1"/>
    <w:rsid w:val="00C440CD"/>
    <w:rsid w:val="00C443C0"/>
    <w:rsid w:val="00C44417"/>
    <w:rsid w:val="00C449A2"/>
    <w:rsid w:val="00C44A86"/>
    <w:rsid w:val="00C452BC"/>
    <w:rsid w:val="00C452F0"/>
    <w:rsid w:val="00C453B0"/>
    <w:rsid w:val="00C453BD"/>
    <w:rsid w:val="00C4560D"/>
    <w:rsid w:val="00C45B67"/>
    <w:rsid w:val="00C45C29"/>
    <w:rsid w:val="00C45EBB"/>
    <w:rsid w:val="00C4606B"/>
    <w:rsid w:val="00C46AF2"/>
    <w:rsid w:val="00C46D15"/>
    <w:rsid w:val="00C46D69"/>
    <w:rsid w:val="00C47045"/>
    <w:rsid w:val="00C471EF"/>
    <w:rsid w:val="00C477F2"/>
    <w:rsid w:val="00C4781A"/>
    <w:rsid w:val="00C479FB"/>
    <w:rsid w:val="00C47D6C"/>
    <w:rsid w:val="00C47F81"/>
    <w:rsid w:val="00C50029"/>
    <w:rsid w:val="00C501EB"/>
    <w:rsid w:val="00C50864"/>
    <w:rsid w:val="00C50873"/>
    <w:rsid w:val="00C50AC0"/>
    <w:rsid w:val="00C50B0E"/>
    <w:rsid w:val="00C50CB5"/>
    <w:rsid w:val="00C51544"/>
    <w:rsid w:val="00C515B5"/>
    <w:rsid w:val="00C516C6"/>
    <w:rsid w:val="00C51CFF"/>
    <w:rsid w:val="00C51D2F"/>
    <w:rsid w:val="00C51E67"/>
    <w:rsid w:val="00C51F9B"/>
    <w:rsid w:val="00C51FF6"/>
    <w:rsid w:val="00C522A2"/>
    <w:rsid w:val="00C522A8"/>
    <w:rsid w:val="00C52368"/>
    <w:rsid w:val="00C52682"/>
    <w:rsid w:val="00C5273F"/>
    <w:rsid w:val="00C52786"/>
    <w:rsid w:val="00C52CEA"/>
    <w:rsid w:val="00C52D4F"/>
    <w:rsid w:val="00C52DB7"/>
    <w:rsid w:val="00C53218"/>
    <w:rsid w:val="00C533B2"/>
    <w:rsid w:val="00C536F9"/>
    <w:rsid w:val="00C538A6"/>
    <w:rsid w:val="00C53A92"/>
    <w:rsid w:val="00C53A9F"/>
    <w:rsid w:val="00C53E01"/>
    <w:rsid w:val="00C53ECB"/>
    <w:rsid w:val="00C53F26"/>
    <w:rsid w:val="00C54090"/>
    <w:rsid w:val="00C548D0"/>
    <w:rsid w:val="00C54D65"/>
    <w:rsid w:val="00C54F6B"/>
    <w:rsid w:val="00C54F7C"/>
    <w:rsid w:val="00C550FD"/>
    <w:rsid w:val="00C55598"/>
    <w:rsid w:val="00C555A4"/>
    <w:rsid w:val="00C559F9"/>
    <w:rsid w:val="00C55A83"/>
    <w:rsid w:val="00C55B70"/>
    <w:rsid w:val="00C55BBF"/>
    <w:rsid w:val="00C55D22"/>
    <w:rsid w:val="00C56056"/>
    <w:rsid w:val="00C56425"/>
    <w:rsid w:val="00C5642D"/>
    <w:rsid w:val="00C564C7"/>
    <w:rsid w:val="00C56517"/>
    <w:rsid w:val="00C569E2"/>
    <w:rsid w:val="00C56BA6"/>
    <w:rsid w:val="00C56D96"/>
    <w:rsid w:val="00C56DF9"/>
    <w:rsid w:val="00C56EAB"/>
    <w:rsid w:val="00C5779C"/>
    <w:rsid w:val="00C57BCF"/>
    <w:rsid w:val="00C57C2C"/>
    <w:rsid w:val="00C57EB7"/>
    <w:rsid w:val="00C57EDA"/>
    <w:rsid w:val="00C6032E"/>
    <w:rsid w:val="00C603F7"/>
    <w:rsid w:val="00C60427"/>
    <w:rsid w:val="00C60693"/>
    <w:rsid w:val="00C60778"/>
    <w:rsid w:val="00C60857"/>
    <w:rsid w:val="00C60D93"/>
    <w:rsid w:val="00C610D8"/>
    <w:rsid w:val="00C61149"/>
    <w:rsid w:val="00C61192"/>
    <w:rsid w:val="00C6181C"/>
    <w:rsid w:val="00C61AFF"/>
    <w:rsid w:val="00C61C05"/>
    <w:rsid w:val="00C61F4E"/>
    <w:rsid w:val="00C61FE3"/>
    <w:rsid w:val="00C6223E"/>
    <w:rsid w:val="00C6229C"/>
    <w:rsid w:val="00C62E46"/>
    <w:rsid w:val="00C62E7C"/>
    <w:rsid w:val="00C62F0C"/>
    <w:rsid w:val="00C63302"/>
    <w:rsid w:val="00C63336"/>
    <w:rsid w:val="00C63C19"/>
    <w:rsid w:val="00C64174"/>
    <w:rsid w:val="00C642CC"/>
    <w:rsid w:val="00C643C5"/>
    <w:rsid w:val="00C645BE"/>
    <w:rsid w:val="00C64813"/>
    <w:rsid w:val="00C64A49"/>
    <w:rsid w:val="00C65261"/>
    <w:rsid w:val="00C6528F"/>
    <w:rsid w:val="00C65670"/>
    <w:rsid w:val="00C657B7"/>
    <w:rsid w:val="00C65919"/>
    <w:rsid w:val="00C6604C"/>
    <w:rsid w:val="00C66099"/>
    <w:rsid w:val="00C66216"/>
    <w:rsid w:val="00C6642D"/>
    <w:rsid w:val="00C66435"/>
    <w:rsid w:val="00C66441"/>
    <w:rsid w:val="00C6692D"/>
    <w:rsid w:val="00C66BF0"/>
    <w:rsid w:val="00C66E4B"/>
    <w:rsid w:val="00C66FBC"/>
    <w:rsid w:val="00C6713B"/>
    <w:rsid w:val="00C674BA"/>
    <w:rsid w:val="00C67928"/>
    <w:rsid w:val="00C67AC1"/>
    <w:rsid w:val="00C67B07"/>
    <w:rsid w:val="00C67F50"/>
    <w:rsid w:val="00C703E3"/>
    <w:rsid w:val="00C703F6"/>
    <w:rsid w:val="00C7051F"/>
    <w:rsid w:val="00C70845"/>
    <w:rsid w:val="00C70870"/>
    <w:rsid w:val="00C70E55"/>
    <w:rsid w:val="00C71194"/>
    <w:rsid w:val="00C71495"/>
    <w:rsid w:val="00C71890"/>
    <w:rsid w:val="00C7191E"/>
    <w:rsid w:val="00C71B13"/>
    <w:rsid w:val="00C71B6D"/>
    <w:rsid w:val="00C71C59"/>
    <w:rsid w:val="00C71DCD"/>
    <w:rsid w:val="00C722B8"/>
    <w:rsid w:val="00C723A9"/>
    <w:rsid w:val="00C725D3"/>
    <w:rsid w:val="00C725E0"/>
    <w:rsid w:val="00C72843"/>
    <w:rsid w:val="00C72869"/>
    <w:rsid w:val="00C72A27"/>
    <w:rsid w:val="00C72C11"/>
    <w:rsid w:val="00C72F36"/>
    <w:rsid w:val="00C730E4"/>
    <w:rsid w:val="00C73275"/>
    <w:rsid w:val="00C733C8"/>
    <w:rsid w:val="00C73C4E"/>
    <w:rsid w:val="00C73E58"/>
    <w:rsid w:val="00C74084"/>
    <w:rsid w:val="00C7411D"/>
    <w:rsid w:val="00C7412B"/>
    <w:rsid w:val="00C742B6"/>
    <w:rsid w:val="00C7447A"/>
    <w:rsid w:val="00C7457D"/>
    <w:rsid w:val="00C74AD5"/>
    <w:rsid w:val="00C74D2A"/>
    <w:rsid w:val="00C74E1B"/>
    <w:rsid w:val="00C75071"/>
    <w:rsid w:val="00C750F6"/>
    <w:rsid w:val="00C75186"/>
    <w:rsid w:val="00C7569A"/>
    <w:rsid w:val="00C75E68"/>
    <w:rsid w:val="00C760CE"/>
    <w:rsid w:val="00C761C1"/>
    <w:rsid w:val="00C761FE"/>
    <w:rsid w:val="00C762E1"/>
    <w:rsid w:val="00C7635F"/>
    <w:rsid w:val="00C7663A"/>
    <w:rsid w:val="00C766E7"/>
    <w:rsid w:val="00C7683D"/>
    <w:rsid w:val="00C768C9"/>
    <w:rsid w:val="00C76A58"/>
    <w:rsid w:val="00C76B6B"/>
    <w:rsid w:val="00C76B84"/>
    <w:rsid w:val="00C76CDE"/>
    <w:rsid w:val="00C76F89"/>
    <w:rsid w:val="00C76FF7"/>
    <w:rsid w:val="00C77035"/>
    <w:rsid w:val="00C770B6"/>
    <w:rsid w:val="00C770D4"/>
    <w:rsid w:val="00C7736D"/>
    <w:rsid w:val="00C77425"/>
    <w:rsid w:val="00C774D8"/>
    <w:rsid w:val="00C774FD"/>
    <w:rsid w:val="00C775AB"/>
    <w:rsid w:val="00C776B0"/>
    <w:rsid w:val="00C77B07"/>
    <w:rsid w:val="00C77EF8"/>
    <w:rsid w:val="00C80022"/>
    <w:rsid w:val="00C800C4"/>
    <w:rsid w:val="00C8057E"/>
    <w:rsid w:val="00C80CC5"/>
    <w:rsid w:val="00C80DC3"/>
    <w:rsid w:val="00C80E52"/>
    <w:rsid w:val="00C810B9"/>
    <w:rsid w:val="00C812B0"/>
    <w:rsid w:val="00C81C24"/>
    <w:rsid w:val="00C81C79"/>
    <w:rsid w:val="00C81D34"/>
    <w:rsid w:val="00C81DAD"/>
    <w:rsid w:val="00C81FC9"/>
    <w:rsid w:val="00C82065"/>
    <w:rsid w:val="00C82112"/>
    <w:rsid w:val="00C82118"/>
    <w:rsid w:val="00C821A9"/>
    <w:rsid w:val="00C82577"/>
    <w:rsid w:val="00C825CA"/>
    <w:rsid w:val="00C827A6"/>
    <w:rsid w:val="00C827AB"/>
    <w:rsid w:val="00C8293B"/>
    <w:rsid w:val="00C82A37"/>
    <w:rsid w:val="00C82A6E"/>
    <w:rsid w:val="00C82C73"/>
    <w:rsid w:val="00C82D5A"/>
    <w:rsid w:val="00C82E91"/>
    <w:rsid w:val="00C83084"/>
    <w:rsid w:val="00C8387D"/>
    <w:rsid w:val="00C838BE"/>
    <w:rsid w:val="00C838E0"/>
    <w:rsid w:val="00C83A7C"/>
    <w:rsid w:val="00C83DCC"/>
    <w:rsid w:val="00C83DE7"/>
    <w:rsid w:val="00C84297"/>
    <w:rsid w:val="00C84334"/>
    <w:rsid w:val="00C845A3"/>
    <w:rsid w:val="00C8490E"/>
    <w:rsid w:val="00C84ABC"/>
    <w:rsid w:val="00C84D99"/>
    <w:rsid w:val="00C84F08"/>
    <w:rsid w:val="00C850CF"/>
    <w:rsid w:val="00C8560D"/>
    <w:rsid w:val="00C85661"/>
    <w:rsid w:val="00C85DBF"/>
    <w:rsid w:val="00C85DF5"/>
    <w:rsid w:val="00C85E82"/>
    <w:rsid w:val="00C860D0"/>
    <w:rsid w:val="00C862CD"/>
    <w:rsid w:val="00C866E4"/>
    <w:rsid w:val="00C867EE"/>
    <w:rsid w:val="00C86842"/>
    <w:rsid w:val="00C86B40"/>
    <w:rsid w:val="00C86C46"/>
    <w:rsid w:val="00C86E95"/>
    <w:rsid w:val="00C86FCF"/>
    <w:rsid w:val="00C87031"/>
    <w:rsid w:val="00C870E9"/>
    <w:rsid w:val="00C8739B"/>
    <w:rsid w:val="00C87B0F"/>
    <w:rsid w:val="00C87E83"/>
    <w:rsid w:val="00C87F79"/>
    <w:rsid w:val="00C87FD1"/>
    <w:rsid w:val="00C90389"/>
    <w:rsid w:val="00C90CF2"/>
    <w:rsid w:val="00C9109D"/>
    <w:rsid w:val="00C911E2"/>
    <w:rsid w:val="00C912D3"/>
    <w:rsid w:val="00C9194B"/>
    <w:rsid w:val="00C91A31"/>
    <w:rsid w:val="00C91AB0"/>
    <w:rsid w:val="00C91B23"/>
    <w:rsid w:val="00C91DF3"/>
    <w:rsid w:val="00C91E49"/>
    <w:rsid w:val="00C92003"/>
    <w:rsid w:val="00C9206A"/>
    <w:rsid w:val="00C921E8"/>
    <w:rsid w:val="00C92234"/>
    <w:rsid w:val="00C922B1"/>
    <w:rsid w:val="00C92397"/>
    <w:rsid w:val="00C9239F"/>
    <w:rsid w:val="00C925B7"/>
    <w:rsid w:val="00C92894"/>
    <w:rsid w:val="00C92F3D"/>
    <w:rsid w:val="00C932A4"/>
    <w:rsid w:val="00C932E3"/>
    <w:rsid w:val="00C93309"/>
    <w:rsid w:val="00C9389F"/>
    <w:rsid w:val="00C938F1"/>
    <w:rsid w:val="00C939CB"/>
    <w:rsid w:val="00C93A0D"/>
    <w:rsid w:val="00C93A12"/>
    <w:rsid w:val="00C93BFB"/>
    <w:rsid w:val="00C93CEE"/>
    <w:rsid w:val="00C93F0A"/>
    <w:rsid w:val="00C94051"/>
    <w:rsid w:val="00C9406A"/>
    <w:rsid w:val="00C9410D"/>
    <w:rsid w:val="00C9413C"/>
    <w:rsid w:val="00C9435F"/>
    <w:rsid w:val="00C948F8"/>
    <w:rsid w:val="00C95301"/>
    <w:rsid w:val="00C95546"/>
    <w:rsid w:val="00C958D4"/>
    <w:rsid w:val="00C95B3E"/>
    <w:rsid w:val="00C95CBF"/>
    <w:rsid w:val="00C95E18"/>
    <w:rsid w:val="00C95E5C"/>
    <w:rsid w:val="00C9613F"/>
    <w:rsid w:val="00C961E6"/>
    <w:rsid w:val="00C9646E"/>
    <w:rsid w:val="00C96516"/>
    <w:rsid w:val="00C9665C"/>
    <w:rsid w:val="00C968B3"/>
    <w:rsid w:val="00C96B09"/>
    <w:rsid w:val="00C96B5F"/>
    <w:rsid w:val="00C96D9A"/>
    <w:rsid w:val="00C96DA5"/>
    <w:rsid w:val="00C9723C"/>
    <w:rsid w:val="00C9730A"/>
    <w:rsid w:val="00C97385"/>
    <w:rsid w:val="00C9758A"/>
    <w:rsid w:val="00C976DA"/>
    <w:rsid w:val="00C979E1"/>
    <w:rsid w:val="00C97A39"/>
    <w:rsid w:val="00C97D3E"/>
    <w:rsid w:val="00C97D66"/>
    <w:rsid w:val="00CA0125"/>
    <w:rsid w:val="00CA027C"/>
    <w:rsid w:val="00CA03EE"/>
    <w:rsid w:val="00CA053A"/>
    <w:rsid w:val="00CA077E"/>
    <w:rsid w:val="00CA0F23"/>
    <w:rsid w:val="00CA1431"/>
    <w:rsid w:val="00CA17FD"/>
    <w:rsid w:val="00CA1FAF"/>
    <w:rsid w:val="00CA2124"/>
    <w:rsid w:val="00CA25BB"/>
    <w:rsid w:val="00CA26BE"/>
    <w:rsid w:val="00CA287D"/>
    <w:rsid w:val="00CA2A25"/>
    <w:rsid w:val="00CA2ADF"/>
    <w:rsid w:val="00CA2C99"/>
    <w:rsid w:val="00CA2D15"/>
    <w:rsid w:val="00CA2FDC"/>
    <w:rsid w:val="00CA3400"/>
    <w:rsid w:val="00CA3495"/>
    <w:rsid w:val="00CA3500"/>
    <w:rsid w:val="00CA3805"/>
    <w:rsid w:val="00CA3B44"/>
    <w:rsid w:val="00CA4027"/>
    <w:rsid w:val="00CA4508"/>
    <w:rsid w:val="00CA47CB"/>
    <w:rsid w:val="00CA4890"/>
    <w:rsid w:val="00CA4C2B"/>
    <w:rsid w:val="00CA4DB2"/>
    <w:rsid w:val="00CA5011"/>
    <w:rsid w:val="00CA524B"/>
    <w:rsid w:val="00CA52CF"/>
    <w:rsid w:val="00CA5648"/>
    <w:rsid w:val="00CA599F"/>
    <w:rsid w:val="00CA5B2A"/>
    <w:rsid w:val="00CA6121"/>
    <w:rsid w:val="00CA6263"/>
    <w:rsid w:val="00CA6426"/>
    <w:rsid w:val="00CA646F"/>
    <w:rsid w:val="00CA668C"/>
    <w:rsid w:val="00CA6969"/>
    <w:rsid w:val="00CA6BB7"/>
    <w:rsid w:val="00CA706F"/>
    <w:rsid w:val="00CA74B7"/>
    <w:rsid w:val="00CA780C"/>
    <w:rsid w:val="00CA7A06"/>
    <w:rsid w:val="00CA7D48"/>
    <w:rsid w:val="00CB0104"/>
    <w:rsid w:val="00CB03CA"/>
    <w:rsid w:val="00CB06B5"/>
    <w:rsid w:val="00CB078E"/>
    <w:rsid w:val="00CB0A4D"/>
    <w:rsid w:val="00CB0BDC"/>
    <w:rsid w:val="00CB0E15"/>
    <w:rsid w:val="00CB1449"/>
    <w:rsid w:val="00CB146C"/>
    <w:rsid w:val="00CB179F"/>
    <w:rsid w:val="00CB1912"/>
    <w:rsid w:val="00CB1972"/>
    <w:rsid w:val="00CB1BBB"/>
    <w:rsid w:val="00CB1E78"/>
    <w:rsid w:val="00CB2070"/>
    <w:rsid w:val="00CB257F"/>
    <w:rsid w:val="00CB25D6"/>
    <w:rsid w:val="00CB2A03"/>
    <w:rsid w:val="00CB2CD6"/>
    <w:rsid w:val="00CB31EB"/>
    <w:rsid w:val="00CB3444"/>
    <w:rsid w:val="00CB3597"/>
    <w:rsid w:val="00CB3609"/>
    <w:rsid w:val="00CB3643"/>
    <w:rsid w:val="00CB3704"/>
    <w:rsid w:val="00CB370D"/>
    <w:rsid w:val="00CB38C9"/>
    <w:rsid w:val="00CB3B18"/>
    <w:rsid w:val="00CB3BF5"/>
    <w:rsid w:val="00CB44A1"/>
    <w:rsid w:val="00CB462C"/>
    <w:rsid w:val="00CB491E"/>
    <w:rsid w:val="00CB4A71"/>
    <w:rsid w:val="00CB4A83"/>
    <w:rsid w:val="00CB5355"/>
    <w:rsid w:val="00CB56AD"/>
    <w:rsid w:val="00CB5B1A"/>
    <w:rsid w:val="00CB5D00"/>
    <w:rsid w:val="00CB5D48"/>
    <w:rsid w:val="00CB5D61"/>
    <w:rsid w:val="00CB5DE0"/>
    <w:rsid w:val="00CB5ECA"/>
    <w:rsid w:val="00CB5EE3"/>
    <w:rsid w:val="00CB6107"/>
    <w:rsid w:val="00CB65EC"/>
    <w:rsid w:val="00CB684A"/>
    <w:rsid w:val="00CB6AD5"/>
    <w:rsid w:val="00CB6B08"/>
    <w:rsid w:val="00CB6F7B"/>
    <w:rsid w:val="00CB757E"/>
    <w:rsid w:val="00CB7689"/>
    <w:rsid w:val="00CB7739"/>
    <w:rsid w:val="00CB7A1A"/>
    <w:rsid w:val="00CB7AC2"/>
    <w:rsid w:val="00CB7F3C"/>
    <w:rsid w:val="00CC004F"/>
    <w:rsid w:val="00CC007E"/>
    <w:rsid w:val="00CC01A7"/>
    <w:rsid w:val="00CC029C"/>
    <w:rsid w:val="00CC06E7"/>
    <w:rsid w:val="00CC0786"/>
    <w:rsid w:val="00CC08A3"/>
    <w:rsid w:val="00CC0DCF"/>
    <w:rsid w:val="00CC0E23"/>
    <w:rsid w:val="00CC0E88"/>
    <w:rsid w:val="00CC113D"/>
    <w:rsid w:val="00CC1236"/>
    <w:rsid w:val="00CC12BC"/>
    <w:rsid w:val="00CC15CD"/>
    <w:rsid w:val="00CC1B03"/>
    <w:rsid w:val="00CC1B4D"/>
    <w:rsid w:val="00CC1C6A"/>
    <w:rsid w:val="00CC1C86"/>
    <w:rsid w:val="00CC1E0A"/>
    <w:rsid w:val="00CC1F7A"/>
    <w:rsid w:val="00CC218A"/>
    <w:rsid w:val="00CC233E"/>
    <w:rsid w:val="00CC260D"/>
    <w:rsid w:val="00CC2696"/>
    <w:rsid w:val="00CC275D"/>
    <w:rsid w:val="00CC2A09"/>
    <w:rsid w:val="00CC2DCD"/>
    <w:rsid w:val="00CC2EDD"/>
    <w:rsid w:val="00CC33E0"/>
    <w:rsid w:val="00CC3504"/>
    <w:rsid w:val="00CC38A5"/>
    <w:rsid w:val="00CC3ADA"/>
    <w:rsid w:val="00CC3C26"/>
    <w:rsid w:val="00CC42D8"/>
    <w:rsid w:val="00CC42E7"/>
    <w:rsid w:val="00CC4841"/>
    <w:rsid w:val="00CC4842"/>
    <w:rsid w:val="00CC4868"/>
    <w:rsid w:val="00CC4B0F"/>
    <w:rsid w:val="00CC4E66"/>
    <w:rsid w:val="00CC4FF8"/>
    <w:rsid w:val="00CC50DB"/>
    <w:rsid w:val="00CC5163"/>
    <w:rsid w:val="00CC5D3E"/>
    <w:rsid w:val="00CC5D99"/>
    <w:rsid w:val="00CC6054"/>
    <w:rsid w:val="00CC66D5"/>
    <w:rsid w:val="00CC690A"/>
    <w:rsid w:val="00CC69BD"/>
    <w:rsid w:val="00CC6BC9"/>
    <w:rsid w:val="00CC6C64"/>
    <w:rsid w:val="00CC723C"/>
    <w:rsid w:val="00CC77C5"/>
    <w:rsid w:val="00CD049D"/>
    <w:rsid w:val="00CD07B0"/>
    <w:rsid w:val="00CD0B32"/>
    <w:rsid w:val="00CD0C54"/>
    <w:rsid w:val="00CD1177"/>
    <w:rsid w:val="00CD13F0"/>
    <w:rsid w:val="00CD16D1"/>
    <w:rsid w:val="00CD1821"/>
    <w:rsid w:val="00CD19D1"/>
    <w:rsid w:val="00CD1A64"/>
    <w:rsid w:val="00CD1B04"/>
    <w:rsid w:val="00CD1B21"/>
    <w:rsid w:val="00CD1B49"/>
    <w:rsid w:val="00CD1B7F"/>
    <w:rsid w:val="00CD2270"/>
    <w:rsid w:val="00CD237F"/>
    <w:rsid w:val="00CD239F"/>
    <w:rsid w:val="00CD250C"/>
    <w:rsid w:val="00CD2948"/>
    <w:rsid w:val="00CD2964"/>
    <w:rsid w:val="00CD2AD0"/>
    <w:rsid w:val="00CD2B42"/>
    <w:rsid w:val="00CD2BB5"/>
    <w:rsid w:val="00CD2CA4"/>
    <w:rsid w:val="00CD2FE0"/>
    <w:rsid w:val="00CD339E"/>
    <w:rsid w:val="00CD3492"/>
    <w:rsid w:val="00CD353C"/>
    <w:rsid w:val="00CD3822"/>
    <w:rsid w:val="00CD3E5B"/>
    <w:rsid w:val="00CD3EE1"/>
    <w:rsid w:val="00CD3F1A"/>
    <w:rsid w:val="00CD40A2"/>
    <w:rsid w:val="00CD4115"/>
    <w:rsid w:val="00CD412F"/>
    <w:rsid w:val="00CD4146"/>
    <w:rsid w:val="00CD427E"/>
    <w:rsid w:val="00CD47BF"/>
    <w:rsid w:val="00CD490C"/>
    <w:rsid w:val="00CD4AC6"/>
    <w:rsid w:val="00CD4BA9"/>
    <w:rsid w:val="00CD4C4E"/>
    <w:rsid w:val="00CD4D08"/>
    <w:rsid w:val="00CD4EBF"/>
    <w:rsid w:val="00CD4F20"/>
    <w:rsid w:val="00CD4F42"/>
    <w:rsid w:val="00CD5768"/>
    <w:rsid w:val="00CD5F0B"/>
    <w:rsid w:val="00CD5F84"/>
    <w:rsid w:val="00CD648C"/>
    <w:rsid w:val="00CD650F"/>
    <w:rsid w:val="00CD65BA"/>
    <w:rsid w:val="00CD686D"/>
    <w:rsid w:val="00CD6924"/>
    <w:rsid w:val="00CD6E25"/>
    <w:rsid w:val="00CD6F63"/>
    <w:rsid w:val="00CD7104"/>
    <w:rsid w:val="00CD7258"/>
    <w:rsid w:val="00CD75F2"/>
    <w:rsid w:val="00CD75FB"/>
    <w:rsid w:val="00CD7F02"/>
    <w:rsid w:val="00CE0359"/>
    <w:rsid w:val="00CE058D"/>
    <w:rsid w:val="00CE07D1"/>
    <w:rsid w:val="00CE0E0A"/>
    <w:rsid w:val="00CE0E68"/>
    <w:rsid w:val="00CE0F4F"/>
    <w:rsid w:val="00CE1022"/>
    <w:rsid w:val="00CE12AC"/>
    <w:rsid w:val="00CE1453"/>
    <w:rsid w:val="00CE15B5"/>
    <w:rsid w:val="00CE1825"/>
    <w:rsid w:val="00CE1C74"/>
    <w:rsid w:val="00CE1EC3"/>
    <w:rsid w:val="00CE1FAC"/>
    <w:rsid w:val="00CE2039"/>
    <w:rsid w:val="00CE22BA"/>
    <w:rsid w:val="00CE22F2"/>
    <w:rsid w:val="00CE242A"/>
    <w:rsid w:val="00CE284B"/>
    <w:rsid w:val="00CE2BAE"/>
    <w:rsid w:val="00CE2C37"/>
    <w:rsid w:val="00CE30FD"/>
    <w:rsid w:val="00CE31A5"/>
    <w:rsid w:val="00CE3315"/>
    <w:rsid w:val="00CE335D"/>
    <w:rsid w:val="00CE34D2"/>
    <w:rsid w:val="00CE383F"/>
    <w:rsid w:val="00CE3DBF"/>
    <w:rsid w:val="00CE3FEC"/>
    <w:rsid w:val="00CE40BB"/>
    <w:rsid w:val="00CE4491"/>
    <w:rsid w:val="00CE45CA"/>
    <w:rsid w:val="00CE4B31"/>
    <w:rsid w:val="00CE4D00"/>
    <w:rsid w:val="00CE4E0D"/>
    <w:rsid w:val="00CE4E66"/>
    <w:rsid w:val="00CE4F94"/>
    <w:rsid w:val="00CE515D"/>
    <w:rsid w:val="00CE5605"/>
    <w:rsid w:val="00CE5614"/>
    <w:rsid w:val="00CE5886"/>
    <w:rsid w:val="00CE59AE"/>
    <w:rsid w:val="00CE5A3C"/>
    <w:rsid w:val="00CE5AA7"/>
    <w:rsid w:val="00CE5DAA"/>
    <w:rsid w:val="00CE5DBC"/>
    <w:rsid w:val="00CE61EC"/>
    <w:rsid w:val="00CE62A9"/>
    <w:rsid w:val="00CE6373"/>
    <w:rsid w:val="00CE67BA"/>
    <w:rsid w:val="00CE69E5"/>
    <w:rsid w:val="00CE6A77"/>
    <w:rsid w:val="00CE6D1A"/>
    <w:rsid w:val="00CE6E75"/>
    <w:rsid w:val="00CE72C4"/>
    <w:rsid w:val="00CE730E"/>
    <w:rsid w:val="00CE77FC"/>
    <w:rsid w:val="00CE7A79"/>
    <w:rsid w:val="00CE7CC5"/>
    <w:rsid w:val="00CE7E93"/>
    <w:rsid w:val="00CE7EC2"/>
    <w:rsid w:val="00CE7F8E"/>
    <w:rsid w:val="00CF01FA"/>
    <w:rsid w:val="00CF0399"/>
    <w:rsid w:val="00CF06FB"/>
    <w:rsid w:val="00CF0A32"/>
    <w:rsid w:val="00CF0ECF"/>
    <w:rsid w:val="00CF1342"/>
    <w:rsid w:val="00CF1680"/>
    <w:rsid w:val="00CF1A7D"/>
    <w:rsid w:val="00CF1C24"/>
    <w:rsid w:val="00CF1C70"/>
    <w:rsid w:val="00CF1E33"/>
    <w:rsid w:val="00CF1F85"/>
    <w:rsid w:val="00CF23F5"/>
    <w:rsid w:val="00CF2517"/>
    <w:rsid w:val="00CF256F"/>
    <w:rsid w:val="00CF257C"/>
    <w:rsid w:val="00CF25DD"/>
    <w:rsid w:val="00CF27FA"/>
    <w:rsid w:val="00CF287F"/>
    <w:rsid w:val="00CF2A1D"/>
    <w:rsid w:val="00CF3581"/>
    <w:rsid w:val="00CF3606"/>
    <w:rsid w:val="00CF3B17"/>
    <w:rsid w:val="00CF3F85"/>
    <w:rsid w:val="00CF4723"/>
    <w:rsid w:val="00CF4741"/>
    <w:rsid w:val="00CF4A37"/>
    <w:rsid w:val="00CF4E04"/>
    <w:rsid w:val="00CF4E92"/>
    <w:rsid w:val="00CF4E98"/>
    <w:rsid w:val="00CF5121"/>
    <w:rsid w:val="00CF5195"/>
    <w:rsid w:val="00CF522D"/>
    <w:rsid w:val="00CF5505"/>
    <w:rsid w:val="00CF5777"/>
    <w:rsid w:val="00CF5897"/>
    <w:rsid w:val="00CF5BBD"/>
    <w:rsid w:val="00CF5DF6"/>
    <w:rsid w:val="00CF65A1"/>
    <w:rsid w:val="00CF6C45"/>
    <w:rsid w:val="00CF6CDA"/>
    <w:rsid w:val="00CF6F68"/>
    <w:rsid w:val="00CF7668"/>
    <w:rsid w:val="00CF77C5"/>
    <w:rsid w:val="00CF7BE5"/>
    <w:rsid w:val="00CF7CBD"/>
    <w:rsid w:val="00CF7DA5"/>
    <w:rsid w:val="00CF7F88"/>
    <w:rsid w:val="00D000B0"/>
    <w:rsid w:val="00D000CB"/>
    <w:rsid w:val="00D0034E"/>
    <w:rsid w:val="00D00535"/>
    <w:rsid w:val="00D00991"/>
    <w:rsid w:val="00D00EBA"/>
    <w:rsid w:val="00D00FDF"/>
    <w:rsid w:val="00D0124E"/>
    <w:rsid w:val="00D012DA"/>
    <w:rsid w:val="00D014E4"/>
    <w:rsid w:val="00D017A5"/>
    <w:rsid w:val="00D01A2B"/>
    <w:rsid w:val="00D01CAA"/>
    <w:rsid w:val="00D01D53"/>
    <w:rsid w:val="00D01F99"/>
    <w:rsid w:val="00D02431"/>
    <w:rsid w:val="00D02C43"/>
    <w:rsid w:val="00D02D77"/>
    <w:rsid w:val="00D02DB4"/>
    <w:rsid w:val="00D02F4C"/>
    <w:rsid w:val="00D03164"/>
    <w:rsid w:val="00D03695"/>
    <w:rsid w:val="00D0377A"/>
    <w:rsid w:val="00D038A8"/>
    <w:rsid w:val="00D0397D"/>
    <w:rsid w:val="00D03A59"/>
    <w:rsid w:val="00D03AB4"/>
    <w:rsid w:val="00D03E5F"/>
    <w:rsid w:val="00D03EBD"/>
    <w:rsid w:val="00D04226"/>
    <w:rsid w:val="00D04230"/>
    <w:rsid w:val="00D04378"/>
    <w:rsid w:val="00D045EB"/>
    <w:rsid w:val="00D045EC"/>
    <w:rsid w:val="00D049FB"/>
    <w:rsid w:val="00D04AF3"/>
    <w:rsid w:val="00D04B01"/>
    <w:rsid w:val="00D04BDA"/>
    <w:rsid w:val="00D05157"/>
    <w:rsid w:val="00D05608"/>
    <w:rsid w:val="00D05709"/>
    <w:rsid w:val="00D059C0"/>
    <w:rsid w:val="00D059C5"/>
    <w:rsid w:val="00D05C2A"/>
    <w:rsid w:val="00D05F32"/>
    <w:rsid w:val="00D05F81"/>
    <w:rsid w:val="00D06147"/>
    <w:rsid w:val="00D063EB"/>
    <w:rsid w:val="00D065A5"/>
    <w:rsid w:val="00D0661B"/>
    <w:rsid w:val="00D071E1"/>
    <w:rsid w:val="00D07467"/>
    <w:rsid w:val="00D07A3B"/>
    <w:rsid w:val="00D07B60"/>
    <w:rsid w:val="00D07CF7"/>
    <w:rsid w:val="00D07D5F"/>
    <w:rsid w:val="00D10479"/>
    <w:rsid w:val="00D1050B"/>
    <w:rsid w:val="00D1056D"/>
    <w:rsid w:val="00D10A9F"/>
    <w:rsid w:val="00D10B6F"/>
    <w:rsid w:val="00D11018"/>
    <w:rsid w:val="00D11166"/>
    <w:rsid w:val="00D11176"/>
    <w:rsid w:val="00D112D3"/>
    <w:rsid w:val="00D1185B"/>
    <w:rsid w:val="00D11ABF"/>
    <w:rsid w:val="00D11B05"/>
    <w:rsid w:val="00D11CFB"/>
    <w:rsid w:val="00D11D80"/>
    <w:rsid w:val="00D1205D"/>
    <w:rsid w:val="00D1215C"/>
    <w:rsid w:val="00D123D4"/>
    <w:rsid w:val="00D12A0A"/>
    <w:rsid w:val="00D12FD7"/>
    <w:rsid w:val="00D13165"/>
    <w:rsid w:val="00D1321D"/>
    <w:rsid w:val="00D13481"/>
    <w:rsid w:val="00D134D3"/>
    <w:rsid w:val="00D137DB"/>
    <w:rsid w:val="00D138F0"/>
    <w:rsid w:val="00D13A7A"/>
    <w:rsid w:val="00D13B31"/>
    <w:rsid w:val="00D13E31"/>
    <w:rsid w:val="00D1402D"/>
    <w:rsid w:val="00D14110"/>
    <w:rsid w:val="00D14462"/>
    <w:rsid w:val="00D1460F"/>
    <w:rsid w:val="00D14986"/>
    <w:rsid w:val="00D1499E"/>
    <w:rsid w:val="00D14DE3"/>
    <w:rsid w:val="00D14E08"/>
    <w:rsid w:val="00D14E48"/>
    <w:rsid w:val="00D14F5C"/>
    <w:rsid w:val="00D15012"/>
    <w:rsid w:val="00D1529E"/>
    <w:rsid w:val="00D1533F"/>
    <w:rsid w:val="00D15349"/>
    <w:rsid w:val="00D15B75"/>
    <w:rsid w:val="00D15C7D"/>
    <w:rsid w:val="00D15FF8"/>
    <w:rsid w:val="00D16022"/>
    <w:rsid w:val="00D160BB"/>
    <w:rsid w:val="00D16751"/>
    <w:rsid w:val="00D168B6"/>
    <w:rsid w:val="00D16996"/>
    <w:rsid w:val="00D169E5"/>
    <w:rsid w:val="00D16F68"/>
    <w:rsid w:val="00D171BC"/>
    <w:rsid w:val="00D1731A"/>
    <w:rsid w:val="00D174D5"/>
    <w:rsid w:val="00D176E3"/>
    <w:rsid w:val="00D17E44"/>
    <w:rsid w:val="00D20356"/>
    <w:rsid w:val="00D20538"/>
    <w:rsid w:val="00D20840"/>
    <w:rsid w:val="00D20D9A"/>
    <w:rsid w:val="00D20EB1"/>
    <w:rsid w:val="00D20EDD"/>
    <w:rsid w:val="00D20F04"/>
    <w:rsid w:val="00D212CF"/>
    <w:rsid w:val="00D2161A"/>
    <w:rsid w:val="00D21E79"/>
    <w:rsid w:val="00D21EDB"/>
    <w:rsid w:val="00D220C9"/>
    <w:rsid w:val="00D2262D"/>
    <w:rsid w:val="00D23787"/>
    <w:rsid w:val="00D237B1"/>
    <w:rsid w:val="00D237EC"/>
    <w:rsid w:val="00D23D64"/>
    <w:rsid w:val="00D23DCB"/>
    <w:rsid w:val="00D23FEB"/>
    <w:rsid w:val="00D2438C"/>
    <w:rsid w:val="00D2482D"/>
    <w:rsid w:val="00D2496A"/>
    <w:rsid w:val="00D24A61"/>
    <w:rsid w:val="00D24E26"/>
    <w:rsid w:val="00D24E5F"/>
    <w:rsid w:val="00D2523A"/>
    <w:rsid w:val="00D25656"/>
    <w:rsid w:val="00D2578E"/>
    <w:rsid w:val="00D2589C"/>
    <w:rsid w:val="00D2599A"/>
    <w:rsid w:val="00D25D2B"/>
    <w:rsid w:val="00D25E7D"/>
    <w:rsid w:val="00D26009"/>
    <w:rsid w:val="00D266B5"/>
    <w:rsid w:val="00D26C6F"/>
    <w:rsid w:val="00D26F50"/>
    <w:rsid w:val="00D273C8"/>
    <w:rsid w:val="00D274D9"/>
    <w:rsid w:val="00D27978"/>
    <w:rsid w:val="00D27A6D"/>
    <w:rsid w:val="00D27A97"/>
    <w:rsid w:val="00D27AD1"/>
    <w:rsid w:val="00D27D4E"/>
    <w:rsid w:val="00D27EAA"/>
    <w:rsid w:val="00D30168"/>
    <w:rsid w:val="00D30356"/>
    <w:rsid w:val="00D303D4"/>
    <w:rsid w:val="00D303DA"/>
    <w:rsid w:val="00D30F79"/>
    <w:rsid w:val="00D3130B"/>
    <w:rsid w:val="00D3140B"/>
    <w:rsid w:val="00D314C5"/>
    <w:rsid w:val="00D31932"/>
    <w:rsid w:val="00D31939"/>
    <w:rsid w:val="00D31B6B"/>
    <w:rsid w:val="00D31EB9"/>
    <w:rsid w:val="00D3211D"/>
    <w:rsid w:val="00D32309"/>
    <w:rsid w:val="00D3233B"/>
    <w:rsid w:val="00D326EE"/>
    <w:rsid w:val="00D327B2"/>
    <w:rsid w:val="00D328FA"/>
    <w:rsid w:val="00D32B04"/>
    <w:rsid w:val="00D32FFA"/>
    <w:rsid w:val="00D3318B"/>
    <w:rsid w:val="00D3356F"/>
    <w:rsid w:val="00D339CE"/>
    <w:rsid w:val="00D3447F"/>
    <w:rsid w:val="00D34749"/>
    <w:rsid w:val="00D34A64"/>
    <w:rsid w:val="00D34B6D"/>
    <w:rsid w:val="00D34CCD"/>
    <w:rsid w:val="00D3528F"/>
    <w:rsid w:val="00D35458"/>
    <w:rsid w:val="00D355A5"/>
    <w:rsid w:val="00D356D3"/>
    <w:rsid w:val="00D35755"/>
    <w:rsid w:val="00D35A3A"/>
    <w:rsid w:val="00D35A78"/>
    <w:rsid w:val="00D3653A"/>
    <w:rsid w:val="00D36BE7"/>
    <w:rsid w:val="00D36D79"/>
    <w:rsid w:val="00D36EA6"/>
    <w:rsid w:val="00D370DB"/>
    <w:rsid w:val="00D3730E"/>
    <w:rsid w:val="00D3733A"/>
    <w:rsid w:val="00D3771A"/>
    <w:rsid w:val="00D37755"/>
    <w:rsid w:val="00D37A3A"/>
    <w:rsid w:val="00D37E10"/>
    <w:rsid w:val="00D37F2E"/>
    <w:rsid w:val="00D4006C"/>
    <w:rsid w:val="00D402DF"/>
    <w:rsid w:val="00D404BF"/>
    <w:rsid w:val="00D406FC"/>
    <w:rsid w:val="00D40830"/>
    <w:rsid w:val="00D40C7C"/>
    <w:rsid w:val="00D40E8D"/>
    <w:rsid w:val="00D40F3C"/>
    <w:rsid w:val="00D4153D"/>
    <w:rsid w:val="00D41AD0"/>
    <w:rsid w:val="00D41D59"/>
    <w:rsid w:val="00D41DE0"/>
    <w:rsid w:val="00D4207F"/>
    <w:rsid w:val="00D420DC"/>
    <w:rsid w:val="00D4236B"/>
    <w:rsid w:val="00D424EE"/>
    <w:rsid w:val="00D429DB"/>
    <w:rsid w:val="00D433C5"/>
    <w:rsid w:val="00D43403"/>
    <w:rsid w:val="00D434D1"/>
    <w:rsid w:val="00D4365D"/>
    <w:rsid w:val="00D438BA"/>
    <w:rsid w:val="00D4429D"/>
    <w:rsid w:val="00D4447F"/>
    <w:rsid w:val="00D446ED"/>
    <w:rsid w:val="00D44957"/>
    <w:rsid w:val="00D45346"/>
    <w:rsid w:val="00D4536B"/>
    <w:rsid w:val="00D4540E"/>
    <w:rsid w:val="00D45D90"/>
    <w:rsid w:val="00D45DBB"/>
    <w:rsid w:val="00D45F84"/>
    <w:rsid w:val="00D46138"/>
    <w:rsid w:val="00D461A0"/>
    <w:rsid w:val="00D461F1"/>
    <w:rsid w:val="00D46251"/>
    <w:rsid w:val="00D466E5"/>
    <w:rsid w:val="00D46832"/>
    <w:rsid w:val="00D46ED3"/>
    <w:rsid w:val="00D46F09"/>
    <w:rsid w:val="00D46F38"/>
    <w:rsid w:val="00D47076"/>
    <w:rsid w:val="00D47436"/>
    <w:rsid w:val="00D474F9"/>
    <w:rsid w:val="00D4750E"/>
    <w:rsid w:val="00D4773F"/>
    <w:rsid w:val="00D4785C"/>
    <w:rsid w:val="00D47A26"/>
    <w:rsid w:val="00D47D62"/>
    <w:rsid w:val="00D47E23"/>
    <w:rsid w:val="00D47EBE"/>
    <w:rsid w:val="00D50258"/>
    <w:rsid w:val="00D50304"/>
    <w:rsid w:val="00D50570"/>
    <w:rsid w:val="00D505B9"/>
    <w:rsid w:val="00D5077F"/>
    <w:rsid w:val="00D507A9"/>
    <w:rsid w:val="00D50804"/>
    <w:rsid w:val="00D50A70"/>
    <w:rsid w:val="00D50AD1"/>
    <w:rsid w:val="00D50F23"/>
    <w:rsid w:val="00D50F95"/>
    <w:rsid w:val="00D51682"/>
    <w:rsid w:val="00D516E7"/>
    <w:rsid w:val="00D51990"/>
    <w:rsid w:val="00D51A25"/>
    <w:rsid w:val="00D51B73"/>
    <w:rsid w:val="00D51BF3"/>
    <w:rsid w:val="00D51E7F"/>
    <w:rsid w:val="00D51EEE"/>
    <w:rsid w:val="00D520DD"/>
    <w:rsid w:val="00D521F4"/>
    <w:rsid w:val="00D52D49"/>
    <w:rsid w:val="00D52DA5"/>
    <w:rsid w:val="00D52F7A"/>
    <w:rsid w:val="00D530FE"/>
    <w:rsid w:val="00D53152"/>
    <w:rsid w:val="00D531D1"/>
    <w:rsid w:val="00D53386"/>
    <w:rsid w:val="00D5394E"/>
    <w:rsid w:val="00D53A46"/>
    <w:rsid w:val="00D53AF2"/>
    <w:rsid w:val="00D53DFD"/>
    <w:rsid w:val="00D5422C"/>
    <w:rsid w:val="00D54593"/>
    <w:rsid w:val="00D54B09"/>
    <w:rsid w:val="00D54B53"/>
    <w:rsid w:val="00D550ED"/>
    <w:rsid w:val="00D55276"/>
    <w:rsid w:val="00D5535C"/>
    <w:rsid w:val="00D556D5"/>
    <w:rsid w:val="00D5592B"/>
    <w:rsid w:val="00D55BC8"/>
    <w:rsid w:val="00D55D1D"/>
    <w:rsid w:val="00D55DC4"/>
    <w:rsid w:val="00D55E3A"/>
    <w:rsid w:val="00D55FBD"/>
    <w:rsid w:val="00D5617E"/>
    <w:rsid w:val="00D563D7"/>
    <w:rsid w:val="00D5691D"/>
    <w:rsid w:val="00D56A62"/>
    <w:rsid w:val="00D56A71"/>
    <w:rsid w:val="00D56BBF"/>
    <w:rsid w:val="00D56EEB"/>
    <w:rsid w:val="00D57232"/>
    <w:rsid w:val="00D573B8"/>
    <w:rsid w:val="00D57439"/>
    <w:rsid w:val="00D5751F"/>
    <w:rsid w:val="00D575A9"/>
    <w:rsid w:val="00D57604"/>
    <w:rsid w:val="00D57793"/>
    <w:rsid w:val="00D5799B"/>
    <w:rsid w:val="00D57B56"/>
    <w:rsid w:val="00D57F6E"/>
    <w:rsid w:val="00D6010E"/>
    <w:rsid w:val="00D6052F"/>
    <w:rsid w:val="00D60584"/>
    <w:rsid w:val="00D60C01"/>
    <w:rsid w:val="00D60D33"/>
    <w:rsid w:val="00D60DEC"/>
    <w:rsid w:val="00D60F89"/>
    <w:rsid w:val="00D610FF"/>
    <w:rsid w:val="00D6152C"/>
    <w:rsid w:val="00D61C1B"/>
    <w:rsid w:val="00D61FF0"/>
    <w:rsid w:val="00D62060"/>
    <w:rsid w:val="00D62090"/>
    <w:rsid w:val="00D623ED"/>
    <w:rsid w:val="00D62513"/>
    <w:rsid w:val="00D62563"/>
    <w:rsid w:val="00D62E98"/>
    <w:rsid w:val="00D62FDD"/>
    <w:rsid w:val="00D63012"/>
    <w:rsid w:val="00D6307D"/>
    <w:rsid w:val="00D63083"/>
    <w:rsid w:val="00D631FA"/>
    <w:rsid w:val="00D6321D"/>
    <w:rsid w:val="00D632FB"/>
    <w:rsid w:val="00D63483"/>
    <w:rsid w:val="00D63537"/>
    <w:rsid w:val="00D63656"/>
    <w:rsid w:val="00D6399C"/>
    <w:rsid w:val="00D63E08"/>
    <w:rsid w:val="00D63FBF"/>
    <w:rsid w:val="00D64073"/>
    <w:rsid w:val="00D641B6"/>
    <w:rsid w:val="00D642CC"/>
    <w:rsid w:val="00D644B4"/>
    <w:rsid w:val="00D6454B"/>
    <w:rsid w:val="00D645BE"/>
    <w:rsid w:val="00D645CF"/>
    <w:rsid w:val="00D64AB0"/>
    <w:rsid w:val="00D64C6C"/>
    <w:rsid w:val="00D64F4F"/>
    <w:rsid w:val="00D6526B"/>
    <w:rsid w:val="00D65634"/>
    <w:rsid w:val="00D65927"/>
    <w:rsid w:val="00D65960"/>
    <w:rsid w:val="00D65C07"/>
    <w:rsid w:val="00D65CC9"/>
    <w:rsid w:val="00D65D48"/>
    <w:rsid w:val="00D65EFF"/>
    <w:rsid w:val="00D664CB"/>
    <w:rsid w:val="00D665FB"/>
    <w:rsid w:val="00D66BFD"/>
    <w:rsid w:val="00D66CC3"/>
    <w:rsid w:val="00D66FEC"/>
    <w:rsid w:val="00D67332"/>
    <w:rsid w:val="00D67547"/>
    <w:rsid w:val="00D67730"/>
    <w:rsid w:val="00D67825"/>
    <w:rsid w:val="00D67BAD"/>
    <w:rsid w:val="00D67E86"/>
    <w:rsid w:val="00D67F6B"/>
    <w:rsid w:val="00D7021A"/>
    <w:rsid w:val="00D702B5"/>
    <w:rsid w:val="00D70340"/>
    <w:rsid w:val="00D7035F"/>
    <w:rsid w:val="00D705EC"/>
    <w:rsid w:val="00D70E3B"/>
    <w:rsid w:val="00D70F17"/>
    <w:rsid w:val="00D71116"/>
    <w:rsid w:val="00D71175"/>
    <w:rsid w:val="00D718DD"/>
    <w:rsid w:val="00D71BE8"/>
    <w:rsid w:val="00D71D20"/>
    <w:rsid w:val="00D71E2C"/>
    <w:rsid w:val="00D71EB2"/>
    <w:rsid w:val="00D71EE3"/>
    <w:rsid w:val="00D72004"/>
    <w:rsid w:val="00D721CC"/>
    <w:rsid w:val="00D72346"/>
    <w:rsid w:val="00D7250E"/>
    <w:rsid w:val="00D72562"/>
    <w:rsid w:val="00D72A0D"/>
    <w:rsid w:val="00D72AED"/>
    <w:rsid w:val="00D72C70"/>
    <w:rsid w:val="00D72CA9"/>
    <w:rsid w:val="00D72FC5"/>
    <w:rsid w:val="00D731B5"/>
    <w:rsid w:val="00D7325B"/>
    <w:rsid w:val="00D7333E"/>
    <w:rsid w:val="00D7357B"/>
    <w:rsid w:val="00D73589"/>
    <w:rsid w:val="00D73701"/>
    <w:rsid w:val="00D73B85"/>
    <w:rsid w:val="00D73BB3"/>
    <w:rsid w:val="00D73D76"/>
    <w:rsid w:val="00D73EF5"/>
    <w:rsid w:val="00D73FC2"/>
    <w:rsid w:val="00D74105"/>
    <w:rsid w:val="00D74397"/>
    <w:rsid w:val="00D74408"/>
    <w:rsid w:val="00D74415"/>
    <w:rsid w:val="00D74580"/>
    <w:rsid w:val="00D7471E"/>
    <w:rsid w:val="00D7479A"/>
    <w:rsid w:val="00D747FC"/>
    <w:rsid w:val="00D74FE5"/>
    <w:rsid w:val="00D75055"/>
    <w:rsid w:val="00D752B8"/>
    <w:rsid w:val="00D752BF"/>
    <w:rsid w:val="00D753E8"/>
    <w:rsid w:val="00D7543F"/>
    <w:rsid w:val="00D756E4"/>
    <w:rsid w:val="00D75718"/>
    <w:rsid w:val="00D7598E"/>
    <w:rsid w:val="00D759DE"/>
    <w:rsid w:val="00D75D7E"/>
    <w:rsid w:val="00D761D9"/>
    <w:rsid w:val="00D7640A"/>
    <w:rsid w:val="00D764AD"/>
    <w:rsid w:val="00D765A7"/>
    <w:rsid w:val="00D7711C"/>
    <w:rsid w:val="00D77149"/>
    <w:rsid w:val="00D7742C"/>
    <w:rsid w:val="00D77882"/>
    <w:rsid w:val="00D778F9"/>
    <w:rsid w:val="00D77B3F"/>
    <w:rsid w:val="00D800A9"/>
    <w:rsid w:val="00D800B3"/>
    <w:rsid w:val="00D80452"/>
    <w:rsid w:val="00D8078E"/>
    <w:rsid w:val="00D80E78"/>
    <w:rsid w:val="00D80EC6"/>
    <w:rsid w:val="00D8125E"/>
    <w:rsid w:val="00D812D0"/>
    <w:rsid w:val="00D815DE"/>
    <w:rsid w:val="00D817E4"/>
    <w:rsid w:val="00D818DC"/>
    <w:rsid w:val="00D81A79"/>
    <w:rsid w:val="00D81B43"/>
    <w:rsid w:val="00D81DC6"/>
    <w:rsid w:val="00D81E10"/>
    <w:rsid w:val="00D82355"/>
    <w:rsid w:val="00D8261A"/>
    <w:rsid w:val="00D82645"/>
    <w:rsid w:val="00D82769"/>
    <w:rsid w:val="00D828D2"/>
    <w:rsid w:val="00D828D8"/>
    <w:rsid w:val="00D82B0A"/>
    <w:rsid w:val="00D82D2D"/>
    <w:rsid w:val="00D82DB2"/>
    <w:rsid w:val="00D83327"/>
    <w:rsid w:val="00D8332E"/>
    <w:rsid w:val="00D8371C"/>
    <w:rsid w:val="00D83CD5"/>
    <w:rsid w:val="00D83D36"/>
    <w:rsid w:val="00D841B6"/>
    <w:rsid w:val="00D84272"/>
    <w:rsid w:val="00D84387"/>
    <w:rsid w:val="00D84623"/>
    <w:rsid w:val="00D84943"/>
    <w:rsid w:val="00D84B8B"/>
    <w:rsid w:val="00D84C3B"/>
    <w:rsid w:val="00D84F99"/>
    <w:rsid w:val="00D850DF"/>
    <w:rsid w:val="00D8538A"/>
    <w:rsid w:val="00D85401"/>
    <w:rsid w:val="00D85937"/>
    <w:rsid w:val="00D85A37"/>
    <w:rsid w:val="00D85BC0"/>
    <w:rsid w:val="00D85D40"/>
    <w:rsid w:val="00D8605E"/>
    <w:rsid w:val="00D86116"/>
    <w:rsid w:val="00D861C5"/>
    <w:rsid w:val="00D8622A"/>
    <w:rsid w:val="00D86511"/>
    <w:rsid w:val="00D8654A"/>
    <w:rsid w:val="00D86652"/>
    <w:rsid w:val="00D86941"/>
    <w:rsid w:val="00D86A96"/>
    <w:rsid w:val="00D86BEE"/>
    <w:rsid w:val="00D86E32"/>
    <w:rsid w:val="00D8706D"/>
    <w:rsid w:val="00D871F1"/>
    <w:rsid w:val="00D87218"/>
    <w:rsid w:val="00D87247"/>
    <w:rsid w:val="00D874EC"/>
    <w:rsid w:val="00D87714"/>
    <w:rsid w:val="00D877F0"/>
    <w:rsid w:val="00D87A11"/>
    <w:rsid w:val="00D87B34"/>
    <w:rsid w:val="00D87B5B"/>
    <w:rsid w:val="00D87B61"/>
    <w:rsid w:val="00D87CBC"/>
    <w:rsid w:val="00D87D6E"/>
    <w:rsid w:val="00D87ECF"/>
    <w:rsid w:val="00D87ED7"/>
    <w:rsid w:val="00D901DF"/>
    <w:rsid w:val="00D903B7"/>
    <w:rsid w:val="00D907DA"/>
    <w:rsid w:val="00D90823"/>
    <w:rsid w:val="00D90E03"/>
    <w:rsid w:val="00D912AA"/>
    <w:rsid w:val="00D912B8"/>
    <w:rsid w:val="00D9131E"/>
    <w:rsid w:val="00D913B7"/>
    <w:rsid w:val="00D91468"/>
    <w:rsid w:val="00D916A5"/>
    <w:rsid w:val="00D91B45"/>
    <w:rsid w:val="00D91C0F"/>
    <w:rsid w:val="00D91E3A"/>
    <w:rsid w:val="00D91E5B"/>
    <w:rsid w:val="00D9200D"/>
    <w:rsid w:val="00D921CE"/>
    <w:rsid w:val="00D92515"/>
    <w:rsid w:val="00D925A0"/>
    <w:rsid w:val="00D92859"/>
    <w:rsid w:val="00D9286B"/>
    <w:rsid w:val="00D92883"/>
    <w:rsid w:val="00D92BD6"/>
    <w:rsid w:val="00D92E06"/>
    <w:rsid w:val="00D92F91"/>
    <w:rsid w:val="00D9300B"/>
    <w:rsid w:val="00D9343D"/>
    <w:rsid w:val="00D93512"/>
    <w:rsid w:val="00D937FC"/>
    <w:rsid w:val="00D9380C"/>
    <w:rsid w:val="00D93A69"/>
    <w:rsid w:val="00D93B16"/>
    <w:rsid w:val="00D93B66"/>
    <w:rsid w:val="00D93FA5"/>
    <w:rsid w:val="00D94070"/>
    <w:rsid w:val="00D9459E"/>
    <w:rsid w:val="00D9481D"/>
    <w:rsid w:val="00D94A15"/>
    <w:rsid w:val="00D94EB5"/>
    <w:rsid w:val="00D94FA2"/>
    <w:rsid w:val="00D95052"/>
    <w:rsid w:val="00D95089"/>
    <w:rsid w:val="00D9511C"/>
    <w:rsid w:val="00D95278"/>
    <w:rsid w:val="00D9555A"/>
    <w:rsid w:val="00D959B2"/>
    <w:rsid w:val="00D959D0"/>
    <w:rsid w:val="00D95CDD"/>
    <w:rsid w:val="00D9615D"/>
    <w:rsid w:val="00D9616C"/>
    <w:rsid w:val="00D961FD"/>
    <w:rsid w:val="00D9657C"/>
    <w:rsid w:val="00D965BE"/>
    <w:rsid w:val="00D96629"/>
    <w:rsid w:val="00D971A3"/>
    <w:rsid w:val="00D97389"/>
    <w:rsid w:val="00D9754A"/>
    <w:rsid w:val="00D9781C"/>
    <w:rsid w:val="00D97A7A"/>
    <w:rsid w:val="00D97D30"/>
    <w:rsid w:val="00D97D87"/>
    <w:rsid w:val="00DA01F4"/>
    <w:rsid w:val="00DA0337"/>
    <w:rsid w:val="00DA06A2"/>
    <w:rsid w:val="00DA07A8"/>
    <w:rsid w:val="00DA07F9"/>
    <w:rsid w:val="00DA095E"/>
    <w:rsid w:val="00DA0DB3"/>
    <w:rsid w:val="00DA15C9"/>
    <w:rsid w:val="00DA15E8"/>
    <w:rsid w:val="00DA1771"/>
    <w:rsid w:val="00DA191C"/>
    <w:rsid w:val="00DA1AC5"/>
    <w:rsid w:val="00DA1B56"/>
    <w:rsid w:val="00DA20D5"/>
    <w:rsid w:val="00DA2130"/>
    <w:rsid w:val="00DA258F"/>
    <w:rsid w:val="00DA2609"/>
    <w:rsid w:val="00DA2C12"/>
    <w:rsid w:val="00DA3029"/>
    <w:rsid w:val="00DA3183"/>
    <w:rsid w:val="00DA38E3"/>
    <w:rsid w:val="00DA393D"/>
    <w:rsid w:val="00DA3AA8"/>
    <w:rsid w:val="00DA3B0E"/>
    <w:rsid w:val="00DA3C00"/>
    <w:rsid w:val="00DA3DC4"/>
    <w:rsid w:val="00DA3DF8"/>
    <w:rsid w:val="00DA3F26"/>
    <w:rsid w:val="00DA41E7"/>
    <w:rsid w:val="00DA4333"/>
    <w:rsid w:val="00DA49FC"/>
    <w:rsid w:val="00DA4E59"/>
    <w:rsid w:val="00DA4F00"/>
    <w:rsid w:val="00DA5000"/>
    <w:rsid w:val="00DA52C1"/>
    <w:rsid w:val="00DA52F8"/>
    <w:rsid w:val="00DA53D3"/>
    <w:rsid w:val="00DA550A"/>
    <w:rsid w:val="00DA5540"/>
    <w:rsid w:val="00DA55B6"/>
    <w:rsid w:val="00DA57CC"/>
    <w:rsid w:val="00DA59F9"/>
    <w:rsid w:val="00DA5BBC"/>
    <w:rsid w:val="00DA5C11"/>
    <w:rsid w:val="00DA5CF8"/>
    <w:rsid w:val="00DA5E04"/>
    <w:rsid w:val="00DA6236"/>
    <w:rsid w:val="00DA628A"/>
    <w:rsid w:val="00DA62C8"/>
    <w:rsid w:val="00DA6515"/>
    <w:rsid w:val="00DA667B"/>
    <w:rsid w:val="00DA6737"/>
    <w:rsid w:val="00DA6AC8"/>
    <w:rsid w:val="00DA6BFB"/>
    <w:rsid w:val="00DA6E27"/>
    <w:rsid w:val="00DA70A5"/>
    <w:rsid w:val="00DA73BD"/>
    <w:rsid w:val="00DA76F5"/>
    <w:rsid w:val="00DA7A82"/>
    <w:rsid w:val="00DA7B98"/>
    <w:rsid w:val="00DB0052"/>
    <w:rsid w:val="00DB05E3"/>
    <w:rsid w:val="00DB0678"/>
    <w:rsid w:val="00DB08BF"/>
    <w:rsid w:val="00DB0908"/>
    <w:rsid w:val="00DB0AD7"/>
    <w:rsid w:val="00DB0BBF"/>
    <w:rsid w:val="00DB0CA5"/>
    <w:rsid w:val="00DB0D94"/>
    <w:rsid w:val="00DB0EC1"/>
    <w:rsid w:val="00DB0F19"/>
    <w:rsid w:val="00DB10DE"/>
    <w:rsid w:val="00DB1254"/>
    <w:rsid w:val="00DB15BF"/>
    <w:rsid w:val="00DB167A"/>
    <w:rsid w:val="00DB1716"/>
    <w:rsid w:val="00DB1C45"/>
    <w:rsid w:val="00DB1D2B"/>
    <w:rsid w:val="00DB1D89"/>
    <w:rsid w:val="00DB1FB7"/>
    <w:rsid w:val="00DB21BB"/>
    <w:rsid w:val="00DB26FD"/>
    <w:rsid w:val="00DB280A"/>
    <w:rsid w:val="00DB2A75"/>
    <w:rsid w:val="00DB2C9B"/>
    <w:rsid w:val="00DB2DF5"/>
    <w:rsid w:val="00DB2E51"/>
    <w:rsid w:val="00DB2E5A"/>
    <w:rsid w:val="00DB30CF"/>
    <w:rsid w:val="00DB3145"/>
    <w:rsid w:val="00DB325D"/>
    <w:rsid w:val="00DB3500"/>
    <w:rsid w:val="00DB3DC8"/>
    <w:rsid w:val="00DB4086"/>
    <w:rsid w:val="00DB4238"/>
    <w:rsid w:val="00DB4288"/>
    <w:rsid w:val="00DB4609"/>
    <w:rsid w:val="00DB46EF"/>
    <w:rsid w:val="00DB4E01"/>
    <w:rsid w:val="00DB4E05"/>
    <w:rsid w:val="00DB506C"/>
    <w:rsid w:val="00DB512D"/>
    <w:rsid w:val="00DB55A1"/>
    <w:rsid w:val="00DB5D76"/>
    <w:rsid w:val="00DB5E33"/>
    <w:rsid w:val="00DB5F36"/>
    <w:rsid w:val="00DB63ED"/>
    <w:rsid w:val="00DB64F6"/>
    <w:rsid w:val="00DB6E54"/>
    <w:rsid w:val="00DB6FB6"/>
    <w:rsid w:val="00DB72E1"/>
    <w:rsid w:val="00DB7F46"/>
    <w:rsid w:val="00DC031B"/>
    <w:rsid w:val="00DC0BF1"/>
    <w:rsid w:val="00DC0D17"/>
    <w:rsid w:val="00DC0E31"/>
    <w:rsid w:val="00DC0FA6"/>
    <w:rsid w:val="00DC0FB0"/>
    <w:rsid w:val="00DC11AB"/>
    <w:rsid w:val="00DC130C"/>
    <w:rsid w:val="00DC1A87"/>
    <w:rsid w:val="00DC1C7E"/>
    <w:rsid w:val="00DC1DB4"/>
    <w:rsid w:val="00DC1EFF"/>
    <w:rsid w:val="00DC2292"/>
    <w:rsid w:val="00DC2E98"/>
    <w:rsid w:val="00DC30BA"/>
    <w:rsid w:val="00DC311A"/>
    <w:rsid w:val="00DC3231"/>
    <w:rsid w:val="00DC33FF"/>
    <w:rsid w:val="00DC3643"/>
    <w:rsid w:val="00DC3720"/>
    <w:rsid w:val="00DC3725"/>
    <w:rsid w:val="00DC3C0C"/>
    <w:rsid w:val="00DC3DD4"/>
    <w:rsid w:val="00DC3E53"/>
    <w:rsid w:val="00DC41BA"/>
    <w:rsid w:val="00DC4484"/>
    <w:rsid w:val="00DC459C"/>
    <w:rsid w:val="00DC463C"/>
    <w:rsid w:val="00DC46E9"/>
    <w:rsid w:val="00DC4992"/>
    <w:rsid w:val="00DC49EE"/>
    <w:rsid w:val="00DC4BB8"/>
    <w:rsid w:val="00DC4EE2"/>
    <w:rsid w:val="00DC4FE3"/>
    <w:rsid w:val="00DC5073"/>
    <w:rsid w:val="00DC508E"/>
    <w:rsid w:val="00DC5469"/>
    <w:rsid w:val="00DC5487"/>
    <w:rsid w:val="00DC5713"/>
    <w:rsid w:val="00DC5DC9"/>
    <w:rsid w:val="00DC6760"/>
    <w:rsid w:val="00DC67E1"/>
    <w:rsid w:val="00DC68FA"/>
    <w:rsid w:val="00DC6990"/>
    <w:rsid w:val="00DC6B2C"/>
    <w:rsid w:val="00DC6E2A"/>
    <w:rsid w:val="00DC706D"/>
    <w:rsid w:val="00DC70C6"/>
    <w:rsid w:val="00DC714C"/>
    <w:rsid w:val="00DC7159"/>
    <w:rsid w:val="00DC7285"/>
    <w:rsid w:val="00DC72ED"/>
    <w:rsid w:val="00DC7E61"/>
    <w:rsid w:val="00DC7F60"/>
    <w:rsid w:val="00DC7F96"/>
    <w:rsid w:val="00DD0342"/>
    <w:rsid w:val="00DD06BF"/>
    <w:rsid w:val="00DD0737"/>
    <w:rsid w:val="00DD1634"/>
    <w:rsid w:val="00DD1675"/>
    <w:rsid w:val="00DD1747"/>
    <w:rsid w:val="00DD1B76"/>
    <w:rsid w:val="00DD1E85"/>
    <w:rsid w:val="00DD1F77"/>
    <w:rsid w:val="00DD206D"/>
    <w:rsid w:val="00DD2359"/>
    <w:rsid w:val="00DD2636"/>
    <w:rsid w:val="00DD2ABD"/>
    <w:rsid w:val="00DD2D40"/>
    <w:rsid w:val="00DD2E08"/>
    <w:rsid w:val="00DD2F7B"/>
    <w:rsid w:val="00DD3126"/>
    <w:rsid w:val="00DD3363"/>
    <w:rsid w:val="00DD3801"/>
    <w:rsid w:val="00DD38E5"/>
    <w:rsid w:val="00DD3988"/>
    <w:rsid w:val="00DD3B3D"/>
    <w:rsid w:val="00DD42D5"/>
    <w:rsid w:val="00DD46F7"/>
    <w:rsid w:val="00DD4861"/>
    <w:rsid w:val="00DD4A2C"/>
    <w:rsid w:val="00DD4C42"/>
    <w:rsid w:val="00DD4CEA"/>
    <w:rsid w:val="00DD54BB"/>
    <w:rsid w:val="00DD5A13"/>
    <w:rsid w:val="00DD5B36"/>
    <w:rsid w:val="00DD6360"/>
    <w:rsid w:val="00DD665E"/>
    <w:rsid w:val="00DD6687"/>
    <w:rsid w:val="00DD6951"/>
    <w:rsid w:val="00DD69AC"/>
    <w:rsid w:val="00DD6A4B"/>
    <w:rsid w:val="00DD6A85"/>
    <w:rsid w:val="00DD6AAB"/>
    <w:rsid w:val="00DD6B01"/>
    <w:rsid w:val="00DD6BD3"/>
    <w:rsid w:val="00DD6E06"/>
    <w:rsid w:val="00DD6E24"/>
    <w:rsid w:val="00DD6F4A"/>
    <w:rsid w:val="00DD6FE1"/>
    <w:rsid w:val="00DD7099"/>
    <w:rsid w:val="00DD70FB"/>
    <w:rsid w:val="00DD70FD"/>
    <w:rsid w:val="00DD7427"/>
    <w:rsid w:val="00DD78D6"/>
    <w:rsid w:val="00DD7BEC"/>
    <w:rsid w:val="00DD7BF7"/>
    <w:rsid w:val="00DD7C02"/>
    <w:rsid w:val="00DD7C2C"/>
    <w:rsid w:val="00DD7D69"/>
    <w:rsid w:val="00DD7EB9"/>
    <w:rsid w:val="00DE0138"/>
    <w:rsid w:val="00DE0150"/>
    <w:rsid w:val="00DE049C"/>
    <w:rsid w:val="00DE04FA"/>
    <w:rsid w:val="00DE0742"/>
    <w:rsid w:val="00DE0A88"/>
    <w:rsid w:val="00DE0C23"/>
    <w:rsid w:val="00DE0C90"/>
    <w:rsid w:val="00DE138F"/>
    <w:rsid w:val="00DE148A"/>
    <w:rsid w:val="00DE14A2"/>
    <w:rsid w:val="00DE16E1"/>
    <w:rsid w:val="00DE196D"/>
    <w:rsid w:val="00DE1A53"/>
    <w:rsid w:val="00DE2021"/>
    <w:rsid w:val="00DE2057"/>
    <w:rsid w:val="00DE23C8"/>
    <w:rsid w:val="00DE25AF"/>
    <w:rsid w:val="00DE28F8"/>
    <w:rsid w:val="00DE29BA"/>
    <w:rsid w:val="00DE2E74"/>
    <w:rsid w:val="00DE2E79"/>
    <w:rsid w:val="00DE2F5E"/>
    <w:rsid w:val="00DE2FE1"/>
    <w:rsid w:val="00DE3136"/>
    <w:rsid w:val="00DE31BD"/>
    <w:rsid w:val="00DE3207"/>
    <w:rsid w:val="00DE32F9"/>
    <w:rsid w:val="00DE34B7"/>
    <w:rsid w:val="00DE357F"/>
    <w:rsid w:val="00DE370D"/>
    <w:rsid w:val="00DE37BC"/>
    <w:rsid w:val="00DE3893"/>
    <w:rsid w:val="00DE38F1"/>
    <w:rsid w:val="00DE3939"/>
    <w:rsid w:val="00DE3AD4"/>
    <w:rsid w:val="00DE3B79"/>
    <w:rsid w:val="00DE3C87"/>
    <w:rsid w:val="00DE3E13"/>
    <w:rsid w:val="00DE4070"/>
    <w:rsid w:val="00DE418C"/>
    <w:rsid w:val="00DE447C"/>
    <w:rsid w:val="00DE4513"/>
    <w:rsid w:val="00DE4620"/>
    <w:rsid w:val="00DE48CC"/>
    <w:rsid w:val="00DE49B7"/>
    <w:rsid w:val="00DE4B24"/>
    <w:rsid w:val="00DE4BDE"/>
    <w:rsid w:val="00DE4C48"/>
    <w:rsid w:val="00DE4F1C"/>
    <w:rsid w:val="00DE5060"/>
    <w:rsid w:val="00DE52B0"/>
    <w:rsid w:val="00DE54B1"/>
    <w:rsid w:val="00DE54D1"/>
    <w:rsid w:val="00DE5631"/>
    <w:rsid w:val="00DE56D0"/>
    <w:rsid w:val="00DE5720"/>
    <w:rsid w:val="00DE588D"/>
    <w:rsid w:val="00DE5987"/>
    <w:rsid w:val="00DE5B5F"/>
    <w:rsid w:val="00DE5C7B"/>
    <w:rsid w:val="00DE5CD4"/>
    <w:rsid w:val="00DE5E67"/>
    <w:rsid w:val="00DE6007"/>
    <w:rsid w:val="00DE60E6"/>
    <w:rsid w:val="00DE634D"/>
    <w:rsid w:val="00DE6701"/>
    <w:rsid w:val="00DE696C"/>
    <w:rsid w:val="00DE6C8A"/>
    <w:rsid w:val="00DE6F61"/>
    <w:rsid w:val="00DE7110"/>
    <w:rsid w:val="00DE717F"/>
    <w:rsid w:val="00DE732F"/>
    <w:rsid w:val="00DE74B8"/>
    <w:rsid w:val="00DE74D6"/>
    <w:rsid w:val="00DE78B3"/>
    <w:rsid w:val="00DE7BE0"/>
    <w:rsid w:val="00DE7DB8"/>
    <w:rsid w:val="00DE7F07"/>
    <w:rsid w:val="00DE7FE1"/>
    <w:rsid w:val="00DF05A4"/>
    <w:rsid w:val="00DF05E6"/>
    <w:rsid w:val="00DF06CA"/>
    <w:rsid w:val="00DF0A72"/>
    <w:rsid w:val="00DF1303"/>
    <w:rsid w:val="00DF136F"/>
    <w:rsid w:val="00DF1386"/>
    <w:rsid w:val="00DF1623"/>
    <w:rsid w:val="00DF167D"/>
    <w:rsid w:val="00DF16CC"/>
    <w:rsid w:val="00DF17F8"/>
    <w:rsid w:val="00DF1811"/>
    <w:rsid w:val="00DF1C00"/>
    <w:rsid w:val="00DF2070"/>
    <w:rsid w:val="00DF245F"/>
    <w:rsid w:val="00DF24CC"/>
    <w:rsid w:val="00DF254E"/>
    <w:rsid w:val="00DF2D3E"/>
    <w:rsid w:val="00DF2D9E"/>
    <w:rsid w:val="00DF2E88"/>
    <w:rsid w:val="00DF2EE1"/>
    <w:rsid w:val="00DF3163"/>
    <w:rsid w:val="00DF3245"/>
    <w:rsid w:val="00DF34A4"/>
    <w:rsid w:val="00DF363F"/>
    <w:rsid w:val="00DF36FD"/>
    <w:rsid w:val="00DF3A8E"/>
    <w:rsid w:val="00DF3B1D"/>
    <w:rsid w:val="00DF3B63"/>
    <w:rsid w:val="00DF3BB9"/>
    <w:rsid w:val="00DF3F89"/>
    <w:rsid w:val="00DF402B"/>
    <w:rsid w:val="00DF4216"/>
    <w:rsid w:val="00DF44CB"/>
    <w:rsid w:val="00DF46C4"/>
    <w:rsid w:val="00DF4B56"/>
    <w:rsid w:val="00DF4BDE"/>
    <w:rsid w:val="00DF4BED"/>
    <w:rsid w:val="00DF4CB7"/>
    <w:rsid w:val="00DF4E27"/>
    <w:rsid w:val="00DF4E88"/>
    <w:rsid w:val="00DF509C"/>
    <w:rsid w:val="00DF5423"/>
    <w:rsid w:val="00DF5B5F"/>
    <w:rsid w:val="00DF5C7D"/>
    <w:rsid w:val="00DF5E3A"/>
    <w:rsid w:val="00DF6254"/>
    <w:rsid w:val="00DF67F9"/>
    <w:rsid w:val="00DF68A7"/>
    <w:rsid w:val="00DF6D18"/>
    <w:rsid w:val="00DF712F"/>
    <w:rsid w:val="00DF715F"/>
    <w:rsid w:val="00DF7236"/>
    <w:rsid w:val="00DF726A"/>
    <w:rsid w:val="00DF7316"/>
    <w:rsid w:val="00DF77F2"/>
    <w:rsid w:val="00DF7EEC"/>
    <w:rsid w:val="00DF7FF1"/>
    <w:rsid w:val="00E0007B"/>
    <w:rsid w:val="00E00365"/>
    <w:rsid w:val="00E00618"/>
    <w:rsid w:val="00E00897"/>
    <w:rsid w:val="00E00B52"/>
    <w:rsid w:val="00E00B75"/>
    <w:rsid w:val="00E00C58"/>
    <w:rsid w:val="00E00CE5"/>
    <w:rsid w:val="00E0126A"/>
    <w:rsid w:val="00E013C9"/>
    <w:rsid w:val="00E0179A"/>
    <w:rsid w:val="00E019C8"/>
    <w:rsid w:val="00E01D53"/>
    <w:rsid w:val="00E01E4E"/>
    <w:rsid w:val="00E01E69"/>
    <w:rsid w:val="00E0250F"/>
    <w:rsid w:val="00E02660"/>
    <w:rsid w:val="00E027FF"/>
    <w:rsid w:val="00E02B83"/>
    <w:rsid w:val="00E02F56"/>
    <w:rsid w:val="00E02F68"/>
    <w:rsid w:val="00E033E8"/>
    <w:rsid w:val="00E033FA"/>
    <w:rsid w:val="00E038C5"/>
    <w:rsid w:val="00E03E3B"/>
    <w:rsid w:val="00E03FBD"/>
    <w:rsid w:val="00E0430A"/>
    <w:rsid w:val="00E043E0"/>
    <w:rsid w:val="00E0448C"/>
    <w:rsid w:val="00E04589"/>
    <w:rsid w:val="00E04906"/>
    <w:rsid w:val="00E05488"/>
    <w:rsid w:val="00E0589D"/>
    <w:rsid w:val="00E05FDE"/>
    <w:rsid w:val="00E06031"/>
    <w:rsid w:val="00E0614C"/>
    <w:rsid w:val="00E0639E"/>
    <w:rsid w:val="00E06501"/>
    <w:rsid w:val="00E06945"/>
    <w:rsid w:val="00E0699A"/>
    <w:rsid w:val="00E06AC7"/>
    <w:rsid w:val="00E06B38"/>
    <w:rsid w:val="00E07340"/>
    <w:rsid w:val="00E0747D"/>
    <w:rsid w:val="00E0758D"/>
    <w:rsid w:val="00E07597"/>
    <w:rsid w:val="00E07634"/>
    <w:rsid w:val="00E07C64"/>
    <w:rsid w:val="00E07D27"/>
    <w:rsid w:val="00E102E4"/>
    <w:rsid w:val="00E1040F"/>
    <w:rsid w:val="00E10694"/>
    <w:rsid w:val="00E1076B"/>
    <w:rsid w:val="00E10999"/>
    <w:rsid w:val="00E11968"/>
    <w:rsid w:val="00E11A2D"/>
    <w:rsid w:val="00E11D36"/>
    <w:rsid w:val="00E12170"/>
    <w:rsid w:val="00E121B7"/>
    <w:rsid w:val="00E121FB"/>
    <w:rsid w:val="00E12346"/>
    <w:rsid w:val="00E12621"/>
    <w:rsid w:val="00E128D8"/>
    <w:rsid w:val="00E12B13"/>
    <w:rsid w:val="00E12C42"/>
    <w:rsid w:val="00E12D57"/>
    <w:rsid w:val="00E132D9"/>
    <w:rsid w:val="00E13468"/>
    <w:rsid w:val="00E13685"/>
    <w:rsid w:val="00E137B2"/>
    <w:rsid w:val="00E137EC"/>
    <w:rsid w:val="00E1387D"/>
    <w:rsid w:val="00E13E74"/>
    <w:rsid w:val="00E148DE"/>
    <w:rsid w:val="00E14B11"/>
    <w:rsid w:val="00E151FD"/>
    <w:rsid w:val="00E15315"/>
    <w:rsid w:val="00E153C3"/>
    <w:rsid w:val="00E154A3"/>
    <w:rsid w:val="00E155A9"/>
    <w:rsid w:val="00E159F7"/>
    <w:rsid w:val="00E15A50"/>
    <w:rsid w:val="00E15CB0"/>
    <w:rsid w:val="00E15E54"/>
    <w:rsid w:val="00E16438"/>
    <w:rsid w:val="00E165B5"/>
    <w:rsid w:val="00E16653"/>
    <w:rsid w:val="00E16753"/>
    <w:rsid w:val="00E1688A"/>
    <w:rsid w:val="00E16902"/>
    <w:rsid w:val="00E1691A"/>
    <w:rsid w:val="00E16B02"/>
    <w:rsid w:val="00E16DF9"/>
    <w:rsid w:val="00E170B3"/>
    <w:rsid w:val="00E17178"/>
    <w:rsid w:val="00E1728C"/>
    <w:rsid w:val="00E17A0A"/>
    <w:rsid w:val="00E17ED6"/>
    <w:rsid w:val="00E17F0A"/>
    <w:rsid w:val="00E200F0"/>
    <w:rsid w:val="00E20144"/>
    <w:rsid w:val="00E20278"/>
    <w:rsid w:val="00E20A0D"/>
    <w:rsid w:val="00E20B02"/>
    <w:rsid w:val="00E20EEF"/>
    <w:rsid w:val="00E211D7"/>
    <w:rsid w:val="00E211FE"/>
    <w:rsid w:val="00E2134A"/>
    <w:rsid w:val="00E215D5"/>
    <w:rsid w:val="00E2161B"/>
    <w:rsid w:val="00E21726"/>
    <w:rsid w:val="00E217A5"/>
    <w:rsid w:val="00E21952"/>
    <w:rsid w:val="00E21A1B"/>
    <w:rsid w:val="00E21A9F"/>
    <w:rsid w:val="00E22174"/>
    <w:rsid w:val="00E22490"/>
    <w:rsid w:val="00E228AF"/>
    <w:rsid w:val="00E229EB"/>
    <w:rsid w:val="00E22CA2"/>
    <w:rsid w:val="00E22EB3"/>
    <w:rsid w:val="00E232AF"/>
    <w:rsid w:val="00E232BB"/>
    <w:rsid w:val="00E23330"/>
    <w:rsid w:val="00E2333B"/>
    <w:rsid w:val="00E2363D"/>
    <w:rsid w:val="00E2370C"/>
    <w:rsid w:val="00E23756"/>
    <w:rsid w:val="00E23850"/>
    <w:rsid w:val="00E23A54"/>
    <w:rsid w:val="00E23CA4"/>
    <w:rsid w:val="00E24145"/>
    <w:rsid w:val="00E2415D"/>
    <w:rsid w:val="00E24353"/>
    <w:rsid w:val="00E247A9"/>
    <w:rsid w:val="00E2484E"/>
    <w:rsid w:val="00E24D39"/>
    <w:rsid w:val="00E25107"/>
    <w:rsid w:val="00E251ED"/>
    <w:rsid w:val="00E2524C"/>
    <w:rsid w:val="00E25328"/>
    <w:rsid w:val="00E25601"/>
    <w:rsid w:val="00E256F2"/>
    <w:rsid w:val="00E25724"/>
    <w:rsid w:val="00E25996"/>
    <w:rsid w:val="00E25A8F"/>
    <w:rsid w:val="00E25B33"/>
    <w:rsid w:val="00E25B63"/>
    <w:rsid w:val="00E25BF8"/>
    <w:rsid w:val="00E25F16"/>
    <w:rsid w:val="00E26053"/>
    <w:rsid w:val="00E26159"/>
    <w:rsid w:val="00E26343"/>
    <w:rsid w:val="00E265F0"/>
    <w:rsid w:val="00E26665"/>
    <w:rsid w:val="00E26758"/>
    <w:rsid w:val="00E2680B"/>
    <w:rsid w:val="00E26954"/>
    <w:rsid w:val="00E26D4F"/>
    <w:rsid w:val="00E272CB"/>
    <w:rsid w:val="00E2747B"/>
    <w:rsid w:val="00E2758F"/>
    <w:rsid w:val="00E2785E"/>
    <w:rsid w:val="00E27BE2"/>
    <w:rsid w:val="00E27D8E"/>
    <w:rsid w:val="00E27DCF"/>
    <w:rsid w:val="00E300E3"/>
    <w:rsid w:val="00E30104"/>
    <w:rsid w:val="00E3012B"/>
    <w:rsid w:val="00E30176"/>
    <w:rsid w:val="00E301F7"/>
    <w:rsid w:val="00E3034E"/>
    <w:rsid w:val="00E3064E"/>
    <w:rsid w:val="00E3071F"/>
    <w:rsid w:val="00E307BD"/>
    <w:rsid w:val="00E30D9B"/>
    <w:rsid w:val="00E3128A"/>
    <w:rsid w:val="00E31A85"/>
    <w:rsid w:val="00E31EDC"/>
    <w:rsid w:val="00E321DA"/>
    <w:rsid w:val="00E3233D"/>
    <w:rsid w:val="00E32413"/>
    <w:rsid w:val="00E32693"/>
    <w:rsid w:val="00E326EA"/>
    <w:rsid w:val="00E32708"/>
    <w:rsid w:val="00E327E7"/>
    <w:rsid w:val="00E328E5"/>
    <w:rsid w:val="00E329AC"/>
    <w:rsid w:val="00E32AD7"/>
    <w:rsid w:val="00E32B31"/>
    <w:rsid w:val="00E32BC6"/>
    <w:rsid w:val="00E32F09"/>
    <w:rsid w:val="00E330A7"/>
    <w:rsid w:val="00E330DD"/>
    <w:rsid w:val="00E33151"/>
    <w:rsid w:val="00E3315C"/>
    <w:rsid w:val="00E33863"/>
    <w:rsid w:val="00E33A2E"/>
    <w:rsid w:val="00E33D93"/>
    <w:rsid w:val="00E33DA6"/>
    <w:rsid w:val="00E33DC6"/>
    <w:rsid w:val="00E33EFE"/>
    <w:rsid w:val="00E33F20"/>
    <w:rsid w:val="00E34019"/>
    <w:rsid w:val="00E34079"/>
    <w:rsid w:val="00E341AF"/>
    <w:rsid w:val="00E342A8"/>
    <w:rsid w:val="00E346C4"/>
    <w:rsid w:val="00E346DF"/>
    <w:rsid w:val="00E34AA6"/>
    <w:rsid w:val="00E34BBF"/>
    <w:rsid w:val="00E3560E"/>
    <w:rsid w:val="00E3577C"/>
    <w:rsid w:val="00E35B0A"/>
    <w:rsid w:val="00E35DE8"/>
    <w:rsid w:val="00E35ECE"/>
    <w:rsid w:val="00E36124"/>
    <w:rsid w:val="00E36628"/>
    <w:rsid w:val="00E36F28"/>
    <w:rsid w:val="00E3706E"/>
    <w:rsid w:val="00E37140"/>
    <w:rsid w:val="00E37150"/>
    <w:rsid w:val="00E37193"/>
    <w:rsid w:val="00E37719"/>
    <w:rsid w:val="00E37746"/>
    <w:rsid w:val="00E37C44"/>
    <w:rsid w:val="00E37CBC"/>
    <w:rsid w:val="00E37CC1"/>
    <w:rsid w:val="00E37F42"/>
    <w:rsid w:val="00E404C8"/>
    <w:rsid w:val="00E406CB"/>
    <w:rsid w:val="00E409C1"/>
    <w:rsid w:val="00E40B43"/>
    <w:rsid w:val="00E40EAB"/>
    <w:rsid w:val="00E40F5E"/>
    <w:rsid w:val="00E410C2"/>
    <w:rsid w:val="00E41201"/>
    <w:rsid w:val="00E415E8"/>
    <w:rsid w:val="00E41686"/>
    <w:rsid w:val="00E416FC"/>
    <w:rsid w:val="00E4172D"/>
    <w:rsid w:val="00E4174D"/>
    <w:rsid w:val="00E4188E"/>
    <w:rsid w:val="00E418E4"/>
    <w:rsid w:val="00E41D9A"/>
    <w:rsid w:val="00E41EBD"/>
    <w:rsid w:val="00E42214"/>
    <w:rsid w:val="00E422FF"/>
    <w:rsid w:val="00E4252A"/>
    <w:rsid w:val="00E42882"/>
    <w:rsid w:val="00E42CF8"/>
    <w:rsid w:val="00E42F75"/>
    <w:rsid w:val="00E431E6"/>
    <w:rsid w:val="00E43275"/>
    <w:rsid w:val="00E4329F"/>
    <w:rsid w:val="00E432AF"/>
    <w:rsid w:val="00E43931"/>
    <w:rsid w:val="00E43956"/>
    <w:rsid w:val="00E43CA6"/>
    <w:rsid w:val="00E43EC2"/>
    <w:rsid w:val="00E442BE"/>
    <w:rsid w:val="00E44494"/>
    <w:rsid w:val="00E44727"/>
    <w:rsid w:val="00E4477D"/>
    <w:rsid w:val="00E44920"/>
    <w:rsid w:val="00E44BD1"/>
    <w:rsid w:val="00E44FE0"/>
    <w:rsid w:val="00E45154"/>
    <w:rsid w:val="00E454BB"/>
    <w:rsid w:val="00E4590A"/>
    <w:rsid w:val="00E45A67"/>
    <w:rsid w:val="00E45B37"/>
    <w:rsid w:val="00E45B76"/>
    <w:rsid w:val="00E45DFA"/>
    <w:rsid w:val="00E45E26"/>
    <w:rsid w:val="00E45E54"/>
    <w:rsid w:val="00E464C3"/>
    <w:rsid w:val="00E4669C"/>
    <w:rsid w:val="00E46768"/>
    <w:rsid w:val="00E4692F"/>
    <w:rsid w:val="00E46B34"/>
    <w:rsid w:val="00E46B3E"/>
    <w:rsid w:val="00E46FDA"/>
    <w:rsid w:val="00E47078"/>
    <w:rsid w:val="00E47A1E"/>
    <w:rsid w:val="00E47A71"/>
    <w:rsid w:val="00E47EFE"/>
    <w:rsid w:val="00E500D7"/>
    <w:rsid w:val="00E50262"/>
    <w:rsid w:val="00E5057A"/>
    <w:rsid w:val="00E50712"/>
    <w:rsid w:val="00E50895"/>
    <w:rsid w:val="00E508DC"/>
    <w:rsid w:val="00E50A78"/>
    <w:rsid w:val="00E50BE2"/>
    <w:rsid w:val="00E50EA3"/>
    <w:rsid w:val="00E50FB3"/>
    <w:rsid w:val="00E510E9"/>
    <w:rsid w:val="00E5112E"/>
    <w:rsid w:val="00E51432"/>
    <w:rsid w:val="00E5143B"/>
    <w:rsid w:val="00E5168B"/>
    <w:rsid w:val="00E517BC"/>
    <w:rsid w:val="00E517DA"/>
    <w:rsid w:val="00E51AB7"/>
    <w:rsid w:val="00E51C1C"/>
    <w:rsid w:val="00E51CC2"/>
    <w:rsid w:val="00E51F1C"/>
    <w:rsid w:val="00E52214"/>
    <w:rsid w:val="00E52323"/>
    <w:rsid w:val="00E5246F"/>
    <w:rsid w:val="00E525AB"/>
    <w:rsid w:val="00E527D3"/>
    <w:rsid w:val="00E52D3A"/>
    <w:rsid w:val="00E52F52"/>
    <w:rsid w:val="00E52FA6"/>
    <w:rsid w:val="00E52FDF"/>
    <w:rsid w:val="00E530B9"/>
    <w:rsid w:val="00E5327C"/>
    <w:rsid w:val="00E53379"/>
    <w:rsid w:val="00E53481"/>
    <w:rsid w:val="00E5353A"/>
    <w:rsid w:val="00E53F68"/>
    <w:rsid w:val="00E53F9B"/>
    <w:rsid w:val="00E54118"/>
    <w:rsid w:val="00E5452B"/>
    <w:rsid w:val="00E54536"/>
    <w:rsid w:val="00E5461F"/>
    <w:rsid w:val="00E548A5"/>
    <w:rsid w:val="00E54955"/>
    <w:rsid w:val="00E549C0"/>
    <w:rsid w:val="00E54C90"/>
    <w:rsid w:val="00E5514D"/>
    <w:rsid w:val="00E553A5"/>
    <w:rsid w:val="00E553FA"/>
    <w:rsid w:val="00E55615"/>
    <w:rsid w:val="00E557EC"/>
    <w:rsid w:val="00E558CB"/>
    <w:rsid w:val="00E55907"/>
    <w:rsid w:val="00E55966"/>
    <w:rsid w:val="00E559E3"/>
    <w:rsid w:val="00E563F7"/>
    <w:rsid w:val="00E567E1"/>
    <w:rsid w:val="00E5686D"/>
    <w:rsid w:val="00E56AF8"/>
    <w:rsid w:val="00E56B4A"/>
    <w:rsid w:val="00E56E54"/>
    <w:rsid w:val="00E56F49"/>
    <w:rsid w:val="00E570B4"/>
    <w:rsid w:val="00E574BC"/>
    <w:rsid w:val="00E5789E"/>
    <w:rsid w:val="00E57C20"/>
    <w:rsid w:val="00E57EEC"/>
    <w:rsid w:val="00E601E9"/>
    <w:rsid w:val="00E60441"/>
    <w:rsid w:val="00E60646"/>
    <w:rsid w:val="00E608E8"/>
    <w:rsid w:val="00E60AF7"/>
    <w:rsid w:val="00E60BEB"/>
    <w:rsid w:val="00E60F0F"/>
    <w:rsid w:val="00E60F18"/>
    <w:rsid w:val="00E615DE"/>
    <w:rsid w:val="00E61C7B"/>
    <w:rsid w:val="00E61D56"/>
    <w:rsid w:val="00E61D87"/>
    <w:rsid w:val="00E62449"/>
    <w:rsid w:val="00E627B3"/>
    <w:rsid w:val="00E628F2"/>
    <w:rsid w:val="00E62D18"/>
    <w:rsid w:val="00E62D84"/>
    <w:rsid w:val="00E62E41"/>
    <w:rsid w:val="00E63107"/>
    <w:rsid w:val="00E63904"/>
    <w:rsid w:val="00E63BAA"/>
    <w:rsid w:val="00E63C7B"/>
    <w:rsid w:val="00E63FC8"/>
    <w:rsid w:val="00E64099"/>
    <w:rsid w:val="00E64120"/>
    <w:rsid w:val="00E64547"/>
    <w:rsid w:val="00E64864"/>
    <w:rsid w:val="00E64C6E"/>
    <w:rsid w:val="00E64FF9"/>
    <w:rsid w:val="00E6552A"/>
    <w:rsid w:val="00E65545"/>
    <w:rsid w:val="00E655CC"/>
    <w:rsid w:val="00E6579E"/>
    <w:rsid w:val="00E658B1"/>
    <w:rsid w:val="00E65C55"/>
    <w:rsid w:val="00E65C68"/>
    <w:rsid w:val="00E65CF0"/>
    <w:rsid w:val="00E65E1E"/>
    <w:rsid w:val="00E6621A"/>
    <w:rsid w:val="00E665AE"/>
    <w:rsid w:val="00E6676A"/>
    <w:rsid w:val="00E668B8"/>
    <w:rsid w:val="00E66B53"/>
    <w:rsid w:val="00E66D8E"/>
    <w:rsid w:val="00E66FF0"/>
    <w:rsid w:val="00E6732A"/>
    <w:rsid w:val="00E67555"/>
    <w:rsid w:val="00E67982"/>
    <w:rsid w:val="00E700D9"/>
    <w:rsid w:val="00E7019F"/>
    <w:rsid w:val="00E70853"/>
    <w:rsid w:val="00E70C63"/>
    <w:rsid w:val="00E70DEA"/>
    <w:rsid w:val="00E71C85"/>
    <w:rsid w:val="00E71E7D"/>
    <w:rsid w:val="00E71F1D"/>
    <w:rsid w:val="00E72067"/>
    <w:rsid w:val="00E72174"/>
    <w:rsid w:val="00E72612"/>
    <w:rsid w:val="00E72680"/>
    <w:rsid w:val="00E72704"/>
    <w:rsid w:val="00E7281E"/>
    <w:rsid w:val="00E72B34"/>
    <w:rsid w:val="00E72D90"/>
    <w:rsid w:val="00E72F4D"/>
    <w:rsid w:val="00E72F94"/>
    <w:rsid w:val="00E73692"/>
    <w:rsid w:val="00E736CD"/>
    <w:rsid w:val="00E7391A"/>
    <w:rsid w:val="00E73CC4"/>
    <w:rsid w:val="00E73E3A"/>
    <w:rsid w:val="00E73F81"/>
    <w:rsid w:val="00E74150"/>
    <w:rsid w:val="00E74387"/>
    <w:rsid w:val="00E7451D"/>
    <w:rsid w:val="00E745B7"/>
    <w:rsid w:val="00E7490C"/>
    <w:rsid w:val="00E7494F"/>
    <w:rsid w:val="00E7499B"/>
    <w:rsid w:val="00E74A90"/>
    <w:rsid w:val="00E74B2E"/>
    <w:rsid w:val="00E750EC"/>
    <w:rsid w:val="00E753DE"/>
    <w:rsid w:val="00E75499"/>
    <w:rsid w:val="00E756C1"/>
    <w:rsid w:val="00E757A2"/>
    <w:rsid w:val="00E75A44"/>
    <w:rsid w:val="00E76018"/>
    <w:rsid w:val="00E76063"/>
    <w:rsid w:val="00E766A7"/>
    <w:rsid w:val="00E76746"/>
    <w:rsid w:val="00E7680E"/>
    <w:rsid w:val="00E768C2"/>
    <w:rsid w:val="00E7691E"/>
    <w:rsid w:val="00E76DAC"/>
    <w:rsid w:val="00E77196"/>
    <w:rsid w:val="00E77BF5"/>
    <w:rsid w:val="00E77E4D"/>
    <w:rsid w:val="00E77FF3"/>
    <w:rsid w:val="00E80655"/>
    <w:rsid w:val="00E812A9"/>
    <w:rsid w:val="00E81386"/>
    <w:rsid w:val="00E81542"/>
    <w:rsid w:val="00E81A2C"/>
    <w:rsid w:val="00E81A6B"/>
    <w:rsid w:val="00E81A7C"/>
    <w:rsid w:val="00E81D5A"/>
    <w:rsid w:val="00E81D80"/>
    <w:rsid w:val="00E820AE"/>
    <w:rsid w:val="00E822F6"/>
    <w:rsid w:val="00E8264F"/>
    <w:rsid w:val="00E82938"/>
    <w:rsid w:val="00E82DB1"/>
    <w:rsid w:val="00E82ECF"/>
    <w:rsid w:val="00E830A7"/>
    <w:rsid w:val="00E83435"/>
    <w:rsid w:val="00E83442"/>
    <w:rsid w:val="00E834A6"/>
    <w:rsid w:val="00E83584"/>
    <w:rsid w:val="00E835CF"/>
    <w:rsid w:val="00E835F6"/>
    <w:rsid w:val="00E83797"/>
    <w:rsid w:val="00E839AF"/>
    <w:rsid w:val="00E83C2E"/>
    <w:rsid w:val="00E83D6D"/>
    <w:rsid w:val="00E83E52"/>
    <w:rsid w:val="00E83FE9"/>
    <w:rsid w:val="00E842DD"/>
    <w:rsid w:val="00E843D7"/>
    <w:rsid w:val="00E844D0"/>
    <w:rsid w:val="00E8473C"/>
    <w:rsid w:val="00E84C58"/>
    <w:rsid w:val="00E84DA3"/>
    <w:rsid w:val="00E84FC2"/>
    <w:rsid w:val="00E85092"/>
    <w:rsid w:val="00E85451"/>
    <w:rsid w:val="00E85D3B"/>
    <w:rsid w:val="00E85EC9"/>
    <w:rsid w:val="00E85EF5"/>
    <w:rsid w:val="00E85F04"/>
    <w:rsid w:val="00E85F0E"/>
    <w:rsid w:val="00E85FB7"/>
    <w:rsid w:val="00E861C8"/>
    <w:rsid w:val="00E8696D"/>
    <w:rsid w:val="00E86A3F"/>
    <w:rsid w:val="00E86C0D"/>
    <w:rsid w:val="00E86D38"/>
    <w:rsid w:val="00E86FC1"/>
    <w:rsid w:val="00E86FE6"/>
    <w:rsid w:val="00E8700B"/>
    <w:rsid w:val="00E871B1"/>
    <w:rsid w:val="00E87491"/>
    <w:rsid w:val="00E876DE"/>
    <w:rsid w:val="00E877F8"/>
    <w:rsid w:val="00E87824"/>
    <w:rsid w:val="00E87967"/>
    <w:rsid w:val="00E879DB"/>
    <w:rsid w:val="00E87C58"/>
    <w:rsid w:val="00E87FB8"/>
    <w:rsid w:val="00E90059"/>
    <w:rsid w:val="00E903C9"/>
    <w:rsid w:val="00E90605"/>
    <w:rsid w:val="00E907D9"/>
    <w:rsid w:val="00E90999"/>
    <w:rsid w:val="00E90DAF"/>
    <w:rsid w:val="00E90E08"/>
    <w:rsid w:val="00E9147D"/>
    <w:rsid w:val="00E915E0"/>
    <w:rsid w:val="00E91796"/>
    <w:rsid w:val="00E918DD"/>
    <w:rsid w:val="00E91C04"/>
    <w:rsid w:val="00E91C34"/>
    <w:rsid w:val="00E91D13"/>
    <w:rsid w:val="00E91E2D"/>
    <w:rsid w:val="00E9201A"/>
    <w:rsid w:val="00E92326"/>
    <w:rsid w:val="00E9258F"/>
    <w:rsid w:val="00E92633"/>
    <w:rsid w:val="00E92ADD"/>
    <w:rsid w:val="00E92F6A"/>
    <w:rsid w:val="00E93610"/>
    <w:rsid w:val="00E93638"/>
    <w:rsid w:val="00E9398C"/>
    <w:rsid w:val="00E93B0E"/>
    <w:rsid w:val="00E93FC1"/>
    <w:rsid w:val="00E940B0"/>
    <w:rsid w:val="00E94200"/>
    <w:rsid w:val="00E94466"/>
    <w:rsid w:val="00E9472A"/>
    <w:rsid w:val="00E9479E"/>
    <w:rsid w:val="00E94CFB"/>
    <w:rsid w:val="00E94DB2"/>
    <w:rsid w:val="00E9531F"/>
    <w:rsid w:val="00E953DC"/>
    <w:rsid w:val="00E95CD4"/>
    <w:rsid w:val="00E95FA5"/>
    <w:rsid w:val="00E96039"/>
    <w:rsid w:val="00E96AF2"/>
    <w:rsid w:val="00E96B41"/>
    <w:rsid w:val="00E96B47"/>
    <w:rsid w:val="00E96CFC"/>
    <w:rsid w:val="00E96F2E"/>
    <w:rsid w:val="00E96FC3"/>
    <w:rsid w:val="00E971B8"/>
    <w:rsid w:val="00E972A2"/>
    <w:rsid w:val="00E97651"/>
    <w:rsid w:val="00E97749"/>
    <w:rsid w:val="00E9784B"/>
    <w:rsid w:val="00E9791F"/>
    <w:rsid w:val="00E97A19"/>
    <w:rsid w:val="00E97B6F"/>
    <w:rsid w:val="00E97DDD"/>
    <w:rsid w:val="00E97DEC"/>
    <w:rsid w:val="00EA0060"/>
    <w:rsid w:val="00EA00F0"/>
    <w:rsid w:val="00EA078E"/>
    <w:rsid w:val="00EA0918"/>
    <w:rsid w:val="00EA0DE7"/>
    <w:rsid w:val="00EA0F6B"/>
    <w:rsid w:val="00EA1022"/>
    <w:rsid w:val="00EA104A"/>
    <w:rsid w:val="00EA10E0"/>
    <w:rsid w:val="00EA162A"/>
    <w:rsid w:val="00EA16A3"/>
    <w:rsid w:val="00EA1701"/>
    <w:rsid w:val="00EA19DA"/>
    <w:rsid w:val="00EA1B94"/>
    <w:rsid w:val="00EA1CB9"/>
    <w:rsid w:val="00EA1F63"/>
    <w:rsid w:val="00EA22B4"/>
    <w:rsid w:val="00EA25B4"/>
    <w:rsid w:val="00EA2836"/>
    <w:rsid w:val="00EA2BE7"/>
    <w:rsid w:val="00EA2D07"/>
    <w:rsid w:val="00EA2D6F"/>
    <w:rsid w:val="00EA2F4F"/>
    <w:rsid w:val="00EA2F7B"/>
    <w:rsid w:val="00EA2F80"/>
    <w:rsid w:val="00EA3055"/>
    <w:rsid w:val="00EA30E7"/>
    <w:rsid w:val="00EA38E7"/>
    <w:rsid w:val="00EA38FE"/>
    <w:rsid w:val="00EA3AF2"/>
    <w:rsid w:val="00EA3D4E"/>
    <w:rsid w:val="00EA3EC5"/>
    <w:rsid w:val="00EA3F27"/>
    <w:rsid w:val="00EA4238"/>
    <w:rsid w:val="00EA44C0"/>
    <w:rsid w:val="00EA4A29"/>
    <w:rsid w:val="00EA4A2E"/>
    <w:rsid w:val="00EA4B5A"/>
    <w:rsid w:val="00EA4EBE"/>
    <w:rsid w:val="00EA5084"/>
    <w:rsid w:val="00EA57A9"/>
    <w:rsid w:val="00EA5967"/>
    <w:rsid w:val="00EA59D0"/>
    <w:rsid w:val="00EA5B8C"/>
    <w:rsid w:val="00EA5FC2"/>
    <w:rsid w:val="00EA5FEC"/>
    <w:rsid w:val="00EA6089"/>
    <w:rsid w:val="00EA61BE"/>
    <w:rsid w:val="00EA6295"/>
    <w:rsid w:val="00EA641A"/>
    <w:rsid w:val="00EA6523"/>
    <w:rsid w:val="00EA676E"/>
    <w:rsid w:val="00EA6772"/>
    <w:rsid w:val="00EA6908"/>
    <w:rsid w:val="00EA6B05"/>
    <w:rsid w:val="00EA6FBA"/>
    <w:rsid w:val="00EA758C"/>
    <w:rsid w:val="00EA776F"/>
    <w:rsid w:val="00EA7863"/>
    <w:rsid w:val="00EA7928"/>
    <w:rsid w:val="00EA7C92"/>
    <w:rsid w:val="00EB01FC"/>
    <w:rsid w:val="00EB089B"/>
    <w:rsid w:val="00EB0C21"/>
    <w:rsid w:val="00EB0C28"/>
    <w:rsid w:val="00EB0F05"/>
    <w:rsid w:val="00EB0FA7"/>
    <w:rsid w:val="00EB10A3"/>
    <w:rsid w:val="00EB10DB"/>
    <w:rsid w:val="00EB183A"/>
    <w:rsid w:val="00EB1CBB"/>
    <w:rsid w:val="00EB1DE5"/>
    <w:rsid w:val="00EB1EF5"/>
    <w:rsid w:val="00EB1FE7"/>
    <w:rsid w:val="00EB2074"/>
    <w:rsid w:val="00EB22DB"/>
    <w:rsid w:val="00EB238D"/>
    <w:rsid w:val="00EB2602"/>
    <w:rsid w:val="00EB2648"/>
    <w:rsid w:val="00EB2679"/>
    <w:rsid w:val="00EB282F"/>
    <w:rsid w:val="00EB2919"/>
    <w:rsid w:val="00EB2C49"/>
    <w:rsid w:val="00EB325A"/>
    <w:rsid w:val="00EB3AD2"/>
    <w:rsid w:val="00EB4067"/>
    <w:rsid w:val="00EB408E"/>
    <w:rsid w:val="00EB429E"/>
    <w:rsid w:val="00EB42E7"/>
    <w:rsid w:val="00EB4325"/>
    <w:rsid w:val="00EB43AE"/>
    <w:rsid w:val="00EB44B6"/>
    <w:rsid w:val="00EB459E"/>
    <w:rsid w:val="00EB4852"/>
    <w:rsid w:val="00EB50F0"/>
    <w:rsid w:val="00EB5466"/>
    <w:rsid w:val="00EB5489"/>
    <w:rsid w:val="00EB54BE"/>
    <w:rsid w:val="00EB551A"/>
    <w:rsid w:val="00EB59BE"/>
    <w:rsid w:val="00EB5CBD"/>
    <w:rsid w:val="00EB5FB8"/>
    <w:rsid w:val="00EB6111"/>
    <w:rsid w:val="00EB6743"/>
    <w:rsid w:val="00EB6B0F"/>
    <w:rsid w:val="00EB6F8F"/>
    <w:rsid w:val="00EB6F90"/>
    <w:rsid w:val="00EB7188"/>
    <w:rsid w:val="00EB71F8"/>
    <w:rsid w:val="00EB72D7"/>
    <w:rsid w:val="00EB74C2"/>
    <w:rsid w:val="00EB74D6"/>
    <w:rsid w:val="00EB75F7"/>
    <w:rsid w:val="00EB7600"/>
    <w:rsid w:val="00EB76A4"/>
    <w:rsid w:val="00EC028F"/>
    <w:rsid w:val="00EC02F7"/>
    <w:rsid w:val="00EC0337"/>
    <w:rsid w:val="00EC0AF7"/>
    <w:rsid w:val="00EC0F1C"/>
    <w:rsid w:val="00EC145E"/>
    <w:rsid w:val="00EC190D"/>
    <w:rsid w:val="00EC1AAA"/>
    <w:rsid w:val="00EC1C2F"/>
    <w:rsid w:val="00EC1F88"/>
    <w:rsid w:val="00EC2575"/>
    <w:rsid w:val="00EC276B"/>
    <w:rsid w:val="00EC2805"/>
    <w:rsid w:val="00EC2B54"/>
    <w:rsid w:val="00EC2BA5"/>
    <w:rsid w:val="00EC2D57"/>
    <w:rsid w:val="00EC2F3C"/>
    <w:rsid w:val="00EC2FE1"/>
    <w:rsid w:val="00EC3006"/>
    <w:rsid w:val="00EC320A"/>
    <w:rsid w:val="00EC3332"/>
    <w:rsid w:val="00EC38DD"/>
    <w:rsid w:val="00EC3996"/>
    <w:rsid w:val="00EC3998"/>
    <w:rsid w:val="00EC39A9"/>
    <w:rsid w:val="00EC3C61"/>
    <w:rsid w:val="00EC3F4E"/>
    <w:rsid w:val="00EC3F9F"/>
    <w:rsid w:val="00EC4160"/>
    <w:rsid w:val="00EC44FB"/>
    <w:rsid w:val="00EC462B"/>
    <w:rsid w:val="00EC484F"/>
    <w:rsid w:val="00EC49C0"/>
    <w:rsid w:val="00EC4B4E"/>
    <w:rsid w:val="00EC4D71"/>
    <w:rsid w:val="00EC5457"/>
    <w:rsid w:val="00EC5495"/>
    <w:rsid w:val="00EC5587"/>
    <w:rsid w:val="00EC56B6"/>
    <w:rsid w:val="00EC5882"/>
    <w:rsid w:val="00EC5A2C"/>
    <w:rsid w:val="00EC5AAE"/>
    <w:rsid w:val="00EC5B84"/>
    <w:rsid w:val="00EC5C11"/>
    <w:rsid w:val="00EC5D6D"/>
    <w:rsid w:val="00EC620F"/>
    <w:rsid w:val="00EC640B"/>
    <w:rsid w:val="00EC67CA"/>
    <w:rsid w:val="00EC684D"/>
    <w:rsid w:val="00EC686D"/>
    <w:rsid w:val="00EC6905"/>
    <w:rsid w:val="00EC6AF0"/>
    <w:rsid w:val="00EC703D"/>
    <w:rsid w:val="00EC741B"/>
    <w:rsid w:val="00EC74E0"/>
    <w:rsid w:val="00EC7867"/>
    <w:rsid w:val="00EC78C3"/>
    <w:rsid w:val="00EC7CB1"/>
    <w:rsid w:val="00EC7EB9"/>
    <w:rsid w:val="00ED023C"/>
    <w:rsid w:val="00ED04AA"/>
    <w:rsid w:val="00ED0A03"/>
    <w:rsid w:val="00ED0B0D"/>
    <w:rsid w:val="00ED0B2F"/>
    <w:rsid w:val="00ED0DCC"/>
    <w:rsid w:val="00ED1279"/>
    <w:rsid w:val="00ED1285"/>
    <w:rsid w:val="00ED1786"/>
    <w:rsid w:val="00ED1A48"/>
    <w:rsid w:val="00ED1AC3"/>
    <w:rsid w:val="00ED1B11"/>
    <w:rsid w:val="00ED20B9"/>
    <w:rsid w:val="00ED2473"/>
    <w:rsid w:val="00ED277D"/>
    <w:rsid w:val="00ED283F"/>
    <w:rsid w:val="00ED2E48"/>
    <w:rsid w:val="00ED308E"/>
    <w:rsid w:val="00ED323D"/>
    <w:rsid w:val="00ED33E8"/>
    <w:rsid w:val="00ED355A"/>
    <w:rsid w:val="00ED3B9D"/>
    <w:rsid w:val="00ED3C6A"/>
    <w:rsid w:val="00ED3E0A"/>
    <w:rsid w:val="00ED3FCC"/>
    <w:rsid w:val="00ED4319"/>
    <w:rsid w:val="00ED43BA"/>
    <w:rsid w:val="00ED47E3"/>
    <w:rsid w:val="00ED4991"/>
    <w:rsid w:val="00ED4B19"/>
    <w:rsid w:val="00ED4C47"/>
    <w:rsid w:val="00ED4E0B"/>
    <w:rsid w:val="00ED4F75"/>
    <w:rsid w:val="00ED51BD"/>
    <w:rsid w:val="00ED54D8"/>
    <w:rsid w:val="00ED5506"/>
    <w:rsid w:val="00ED5F1E"/>
    <w:rsid w:val="00ED61B9"/>
    <w:rsid w:val="00ED6303"/>
    <w:rsid w:val="00ED6637"/>
    <w:rsid w:val="00ED69D0"/>
    <w:rsid w:val="00ED6CCD"/>
    <w:rsid w:val="00ED6D80"/>
    <w:rsid w:val="00ED6E02"/>
    <w:rsid w:val="00ED6EAB"/>
    <w:rsid w:val="00ED70D4"/>
    <w:rsid w:val="00ED7135"/>
    <w:rsid w:val="00ED7217"/>
    <w:rsid w:val="00ED74F7"/>
    <w:rsid w:val="00ED796C"/>
    <w:rsid w:val="00ED7A6A"/>
    <w:rsid w:val="00ED7BA2"/>
    <w:rsid w:val="00ED7C06"/>
    <w:rsid w:val="00EE0D37"/>
    <w:rsid w:val="00EE0E44"/>
    <w:rsid w:val="00EE1479"/>
    <w:rsid w:val="00EE16AD"/>
    <w:rsid w:val="00EE16E7"/>
    <w:rsid w:val="00EE1739"/>
    <w:rsid w:val="00EE1794"/>
    <w:rsid w:val="00EE1BF2"/>
    <w:rsid w:val="00EE1D4E"/>
    <w:rsid w:val="00EE2251"/>
    <w:rsid w:val="00EE23B0"/>
    <w:rsid w:val="00EE24A9"/>
    <w:rsid w:val="00EE2743"/>
    <w:rsid w:val="00EE2B0F"/>
    <w:rsid w:val="00EE2E20"/>
    <w:rsid w:val="00EE2F90"/>
    <w:rsid w:val="00EE3070"/>
    <w:rsid w:val="00EE3172"/>
    <w:rsid w:val="00EE3513"/>
    <w:rsid w:val="00EE3563"/>
    <w:rsid w:val="00EE3906"/>
    <w:rsid w:val="00EE3964"/>
    <w:rsid w:val="00EE3CA8"/>
    <w:rsid w:val="00EE40DB"/>
    <w:rsid w:val="00EE416F"/>
    <w:rsid w:val="00EE4399"/>
    <w:rsid w:val="00EE45B1"/>
    <w:rsid w:val="00EE479C"/>
    <w:rsid w:val="00EE4AAF"/>
    <w:rsid w:val="00EE4B07"/>
    <w:rsid w:val="00EE4C0A"/>
    <w:rsid w:val="00EE514C"/>
    <w:rsid w:val="00EE5EF1"/>
    <w:rsid w:val="00EE5FA2"/>
    <w:rsid w:val="00EE60AC"/>
    <w:rsid w:val="00EE60CE"/>
    <w:rsid w:val="00EE6882"/>
    <w:rsid w:val="00EE694B"/>
    <w:rsid w:val="00EE69E1"/>
    <w:rsid w:val="00EE6DE2"/>
    <w:rsid w:val="00EE6E84"/>
    <w:rsid w:val="00EE6F77"/>
    <w:rsid w:val="00EE704A"/>
    <w:rsid w:val="00EE733B"/>
    <w:rsid w:val="00EE7714"/>
    <w:rsid w:val="00EF077E"/>
    <w:rsid w:val="00EF09BF"/>
    <w:rsid w:val="00EF0CEB"/>
    <w:rsid w:val="00EF1063"/>
    <w:rsid w:val="00EF148A"/>
    <w:rsid w:val="00EF1576"/>
    <w:rsid w:val="00EF160F"/>
    <w:rsid w:val="00EF1785"/>
    <w:rsid w:val="00EF1BE2"/>
    <w:rsid w:val="00EF20AD"/>
    <w:rsid w:val="00EF2138"/>
    <w:rsid w:val="00EF2140"/>
    <w:rsid w:val="00EF21A7"/>
    <w:rsid w:val="00EF2424"/>
    <w:rsid w:val="00EF2459"/>
    <w:rsid w:val="00EF2483"/>
    <w:rsid w:val="00EF269E"/>
    <w:rsid w:val="00EF29DA"/>
    <w:rsid w:val="00EF2BBC"/>
    <w:rsid w:val="00EF3082"/>
    <w:rsid w:val="00EF30BF"/>
    <w:rsid w:val="00EF323C"/>
    <w:rsid w:val="00EF3335"/>
    <w:rsid w:val="00EF345A"/>
    <w:rsid w:val="00EF37C6"/>
    <w:rsid w:val="00EF386B"/>
    <w:rsid w:val="00EF3C17"/>
    <w:rsid w:val="00EF45C2"/>
    <w:rsid w:val="00EF469D"/>
    <w:rsid w:val="00EF4A69"/>
    <w:rsid w:val="00EF4C6D"/>
    <w:rsid w:val="00EF50DE"/>
    <w:rsid w:val="00EF51D8"/>
    <w:rsid w:val="00EF56F5"/>
    <w:rsid w:val="00EF57D2"/>
    <w:rsid w:val="00EF59A1"/>
    <w:rsid w:val="00EF5A5C"/>
    <w:rsid w:val="00EF5B09"/>
    <w:rsid w:val="00EF5CC4"/>
    <w:rsid w:val="00EF5D03"/>
    <w:rsid w:val="00EF5DEE"/>
    <w:rsid w:val="00EF5E7A"/>
    <w:rsid w:val="00EF6094"/>
    <w:rsid w:val="00EF616C"/>
    <w:rsid w:val="00EF62A3"/>
    <w:rsid w:val="00EF632E"/>
    <w:rsid w:val="00EF64B2"/>
    <w:rsid w:val="00EF6693"/>
    <w:rsid w:val="00EF6A2D"/>
    <w:rsid w:val="00EF6D3F"/>
    <w:rsid w:val="00EF6E40"/>
    <w:rsid w:val="00EF70ED"/>
    <w:rsid w:val="00EF7604"/>
    <w:rsid w:val="00EF7738"/>
    <w:rsid w:val="00EF78A5"/>
    <w:rsid w:val="00EF79EC"/>
    <w:rsid w:val="00EF7A8A"/>
    <w:rsid w:val="00EF7AD5"/>
    <w:rsid w:val="00EF7FE0"/>
    <w:rsid w:val="00F00159"/>
    <w:rsid w:val="00F00391"/>
    <w:rsid w:val="00F0048A"/>
    <w:rsid w:val="00F004F7"/>
    <w:rsid w:val="00F0075F"/>
    <w:rsid w:val="00F008A1"/>
    <w:rsid w:val="00F00C88"/>
    <w:rsid w:val="00F00DEA"/>
    <w:rsid w:val="00F01000"/>
    <w:rsid w:val="00F0106E"/>
    <w:rsid w:val="00F0108F"/>
    <w:rsid w:val="00F01167"/>
    <w:rsid w:val="00F01623"/>
    <w:rsid w:val="00F01694"/>
    <w:rsid w:val="00F019CE"/>
    <w:rsid w:val="00F019EC"/>
    <w:rsid w:val="00F01C4F"/>
    <w:rsid w:val="00F01F38"/>
    <w:rsid w:val="00F020B9"/>
    <w:rsid w:val="00F02681"/>
    <w:rsid w:val="00F027BD"/>
    <w:rsid w:val="00F02A77"/>
    <w:rsid w:val="00F02C3C"/>
    <w:rsid w:val="00F02CE3"/>
    <w:rsid w:val="00F03092"/>
    <w:rsid w:val="00F0322A"/>
    <w:rsid w:val="00F03326"/>
    <w:rsid w:val="00F03353"/>
    <w:rsid w:val="00F036B3"/>
    <w:rsid w:val="00F036DE"/>
    <w:rsid w:val="00F03704"/>
    <w:rsid w:val="00F038FB"/>
    <w:rsid w:val="00F03E64"/>
    <w:rsid w:val="00F04158"/>
    <w:rsid w:val="00F04288"/>
    <w:rsid w:val="00F048A5"/>
    <w:rsid w:val="00F04924"/>
    <w:rsid w:val="00F04D8C"/>
    <w:rsid w:val="00F054C8"/>
    <w:rsid w:val="00F05848"/>
    <w:rsid w:val="00F0594C"/>
    <w:rsid w:val="00F05BF8"/>
    <w:rsid w:val="00F05D2A"/>
    <w:rsid w:val="00F05EBA"/>
    <w:rsid w:val="00F06009"/>
    <w:rsid w:val="00F060B7"/>
    <w:rsid w:val="00F067EC"/>
    <w:rsid w:val="00F06ADB"/>
    <w:rsid w:val="00F06CE3"/>
    <w:rsid w:val="00F06D95"/>
    <w:rsid w:val="00F06DDE"/>
    <w:rsid w:val="00F06F2F"/>
    <w:rsid w:val="00F0765D"/>
    <w:rsid w:val="00F07ABF"/>
    <w:rsid w:val="00F07DBC"/>
    <w:rsid w:val="00F10037"/>
    <w:rsid w:val="00F10340"/>
    <w:rsid w:val="00F10BA9"/>
    <w:rsid w:val="00F10CCD"/>
    <w:rsid w:val="00F10E57"/>
    <w:rsid w:val="00F10E6B"/>
    <w:rsid w:val="00F10E80"/>
    <w:rsid w:val="00F10FC3"/>
    <w:rsid w:val="00F10FE7"/>
    <w:rsid w:val="00F110B3"/>
    <w:rsid w:val="00F11176"/>
    <w:rsid w:val="00F1131E"/>
    <w:rsid w:val="00F1142F"/>
    <w:rsid w:val="00F115D3"/>
    <w:rsid w:val="00F11607"/>
    <w:rsid w:val="00F11A00"/>
    <w:rsid w:val="00F11AB1"/>
    <w:rsid w:val="00F11BEC"/>
    <w:rsid w:val="00F11EEA"/>
    <w:rsid w:val="00F126A0"/>
    <w:rsid w:val="00F126D9"/>
    <w:rsid w:val="00F12760"/>
    <w:rsid w:val="00F127BF"/>
    <w:rsid w:val="00F12927"/>
    <w:rsid w:val="00F12A2A"/>
    <w:rsid w:val="00F12EA2"/>
    <w:rsid w:val="00F13406"/>
    <w:rsid w:val="00F13458"/>
    <w:rsid w:val="00F135CE"/>
    <w:rsid w:val="00F137DC"/>
    <w:rsid w:val="00F13AA4"/>
    <w:rsid w:val="00F13B99"/>
    <w:rsid w:val="00F13BE4"/>
    <w:rsid w:val="00F13C76"/>
    <w:rsid w:val="00F13F3D"/>
    <w:rsid w:val="00F145D2"/>
    <w:rsid w:val="00F146EC"/>
    <w:rsid w:val="00F1477A"/>
    <w:rsid w:val="00F14922"/>
    <w:rsid w:val="00F14A87"/>
    <w:rsid w:val="00F14AE8"/>
    <w:rsid w:val="00F14B85"/>
    <w:rsid w:val="00F14D66"/>
    <w:rsid w:val="00F14E83"/>
    <w:rsid w:val="00F1509D"/>
    <w:rsid w:val="00F15480"/>
    <w:rsid w:val="00F15579"/>
    <w:rsid w:val="00F15602"/>
    <w:rsid w:val="00F1563B"/>
    <w:rsid w:val="00F15AB2"/>
    <w:rsid w:val="00F162D4"/>
    <w:rsid w:val="00F16419"/>
    <w:rsid w:val="00F16441"/>
    <w:rsid w:val="00F1653A"/>
    <w:rsid w:val="00F16568"/>
    <w:rsid w:val="00F165D1"/>
    <w:rsid w:val="00F166C3"/>
    <w:rsid w:val="00F1685C"/>
    <w:rsid w:val="00F16CC3"/>
    <w:rsid w:val="00F16D9A"/>
    <w:rsid w:val="00F16ECB"/>
    <w:rsid w:val="00F170CE"/>
    <w:rsid w:val="00F173F3"/>
    <w:rsid w:val="00F1747C"/>
    <w:rsid w:val="00F175D8"/>
    <w:rsid w:val="00F175FB"/>
    <w:rsid w:val="00F17946"/>
    <w:rsid w:val="00F17955"/>
    <w:rsid w:val="00F17C3A"/>
    <w:rsid w:val="00F17D6F"/>
    <w:rsid w:val="00F17E3B"/>
    <w:rsid w:val="00F17EED"/>
    <w:rsid w:val="00F17F69"/>
    <w:rsid w:val="00F203CB"/>
    <w:rsid w:val="00F20557"/>
    <w:rsid w:val="00F206D1"/>
    <w:rsid w:val="00F20784"/>
    <w:rsid w:val="00F2088D"/>
    <w:rsid w:val="00F209DE"/>
    <w:rsid w:val="00F20B88"/>
    <w:rsid w:val="00F20CC6"/>
    <w:rsid w:val="00F210B5"/>
    <w:rsid w:val="00F219DD"/>
    <w:rsid w:val="00F219F7"/>
    <w:rsid w:val="00F21E2E"/>
    <w:rsid w:val="00F2224C"/>
    <w:rsid w:val="00F22261"/>
    <w:rsid w:val="00F22529"/>
    <w:rsid w:val="00F22590"/>
    <w:rsid w:val="00F225E5"/>
    <w:rsid w:val="00F227B3"/>
    <w:rsid w:val="00F22A84"/>
    <w:rsid w:val="00F22B98"/>
    <w:rsid w:val="00F22D47"/>
    <w:rsid w:val="00F231D6"/>
    <w:rsid w:val="00F2366F"/>
    <w:rsid w:val="00F236A6"/>
    <w:rsid w:val="00F23733"/>
    <w:rsid w:val="00F23B90"/>
    <w:rsid w:val="00F23BB7"/>
    <w:rsid w:val="00F23C3D"/>
    <w:rsid w:val="00F23ECB"/>
    <w:rsid w:val="00F2427F"/>
    <w:rsid w:val="00F242A6"/>
    <w:rsid w:val="00F249F7"/>
    <w:rsid w:val="00F24B69"/>
    <w:rsid w:val="00F24F0D"/>
    <w:rsid w:val="00F250DE"/>
    <w:rsid w:val="00F2524B"/>
    <w:rsid w:val="00F252FE"/>
    <w:rsid w:val="00F253BB"/>
    <w:rsid w:val="00F25745"/>
    <w:rsid w:val="00F257A5"/>
    <w:rsid w:val="00F25A14"/>
    <w:rsid w:val="00F25B21"/>
    <w:rsid w:val="00F25C64"/>
    <w:rsid w:val="00F25EF8"/>
    <w:rsid w:val="00F26056"/>
    <w:rsid w:val="00F2657C"/>
    <w:rsid w:val="00F266AD"/>
    <w:rsid w:val="00F267E4"/>
    <w:rsid w:val="00F26807"/>
    <w:rsid w:val="00F26954"/>
    <w:rsid w:val="00F269EB"/>
    <w:rsid w:val="00F26A56"/>
    <w:rsid w:val="00F26C10"/>
    <w:rsid w:val="00F26C51"/>
    <w:rsid w:val="00F26E66"/>
    <w:rsid w:val="00F26F67"/>
    <w:rsid w:val="00F2708B"/>
    <w:rsid w:val="00F271AC"/>
    <w:rsid w:val="00F27824"/>
    <w:rsid w:val="00F27A40"/>
    <w:rsid w:val="00F3008A"/>
    <w:rsid w:val="00F300E8"/>
    <w:rsid w:val="00F304A5"/>
    <w:rsid w:val="00F30768"/>
    <w:rsid w:val="00F30ABD"/>
    <w:rsid w:val="00F30D6A"/>
    <w:rsid w:val="00F31440"/>
    <w:rsid w:val="00F31778"/>
    <w:rsid w:val="00F31853"/>
    <w:rsid w:val="00F31BA3"/>
    <w:rsid w:val="00F31DF8"/>
    <w:rsid w:val="00F31EC7"/>
    <w:rsid w:val="00F31ED7"/>
    <w:rsid w:val="00F31FF4"/>
    <w:rsid w:val="00F32025"/>
    <w:rsid w:val="00F321FC"/>
    <w:rsid w:val="00F322C3"/>
    <w:rsid w:val="00F324B1"/>
    <w:rsid w:val="00F32BCF"/>
    <w:rsid w:val="00F32BD9"/>
    <w:rsid w:val="00F32C27"/>
    <w:rsid w:val="00F3311A"/>
    <w:rsid w:val="00F331AF"/>
    <w:rsid w:val="00F334B7"/>
    <w:rsid w:val="00F33FCE"/>
    <w:rsid w:val="00F3404A"/>
    <w:rsid w:val="00F341F6"/>
    <w:rsid w:val="00F343A1"/>
    <w:rsid w:val="00F345FB"/>
    <w:rsid w:val="00F347A4"/>
    <w:rsid w:val="00F3485F"/>
    <w:rsid w:val="00F34FF3"/>
    <w:rsid w:val="00F350CA"/>
    <w:rsid w:val="00F352AA"/>
    <w:rsid w:val="00F352EA"/>
    <w:rsid w:val="00F35408"/>
    <w:rsid w:val="00F354AB"/>
    <w:rsid w:val="00F35627"/>
    <w:rsid w:val="00F356AA"/>
    <w:rsid w:val="00F35878"/>
    <w:rsid w:val="00F359B3"/>
    <w:rsid w:val="00F35A7F"/>
    <w:rsid w:val="00F35CCA"/>
    <w:rsid w:val="00F35D75"/>
    <w:rsid w:val="00F35EE5"/>
    <w:rsid w:val="00F36070"/>
    <w:rsid w:val="00F36292"/>
    <w:rsid w:val="00F364A5"/>
    <w:rsid w:val="00F3683A"/>
    <w:rsid w:val="00F36997"/>
    <w:rsid w:val="00F369A6"/>
    <w:rsid w:val="00F36F60"/>
    <w:rsid w:val="00F37139"/>
    <w:rsid w:val="00F3721C"/>
    <w:rsid w:val="00F373FE"/>
    <w:rsid w:val="00F3758F"/>
    <w:rsid w:val="00F37832"/>
    <w:rsid w:val="00F37B26"/>
    <w:rsid w:val="00F37BB4"/>
    <w:rsid w:val="00F4015E"/>
    <w:rsid w:val="00F401D5"/>
    <w:rsid w:val="00F407C3"/>
    <w:rsid w:val="00F40964"/>
    <w:rsid w:val="00F40A5D"/>
    <w:rsid w:val="00F40CB3"/>
    <w:rsid w:val="00F40CD8"/>
    <w:rsid w:val="00F410AA"/>
    <w:rsid w:val="00F4147C"/>
    <w:rsid w:val="00F414AC"/>
    <w:rsid w:val="00F418C2"/>
    <w:rsid w:val="00F41AB2"/>
    <w:rsid w:val="00F41ADB"/>
    <w:rsid w:val="00F41B2B"/>
    <w:rsid w:val="00F41C69"/>
    <w:rsid w:val="00F42336"/>
    <w:rsid w:val="00F425B1"/>
    <w:rsid w:val="00F425B6"/>
    <w:rsid w:val="00F4262A"/>
    <w:rsid w:val="00F42786"/>
    <w:rsid w:val="00F4291C"/>
    <w:rsid w:val="00F42A00"/>
    <w:rsid w:val="00F42A7F"/>
    <w:rsid w:val="00F42D02"/>
    <w:rsid w:val="00F42F65"/>
    <w:rsid w:val="00F42F8D"/>
    <w:rsid w:val="00F42FEE"/>
    <w:rsid w:val="00F43146"/>
    <w:rsid w:val="00F438FE"/>
    <w:rsid w:val="00F43969"/>
    <w:rsid w:val="00F43B21"/>
    <w:rsid w:val="00F43C76"/>
    <w:rsid w:val="00F43DE6"/>
    <w:rsid w:val="00F43E18"/>
    <w:rsid w:val="00F43FCA"/>
    <w:rsid w:val="00F4414E"/>
    <w:rsid w:val="00F4437D"/>
    <w:rsid w:val="00F4450F"/>
    <w:rsid w:val="00F446D3"/>
    <w:rsid w:val="00F446E9"/>
    <w:rsid w:val="00F44806"/>
    <w:rsid w:val="00F44C14"/>
    <w:rsid w:val="00F44EE2"/>
    <w:rsid w:val="00F44F5B"/>
    <w:rsid w:val="00F45065"/>
    <w:rsid w:val="00F45233"/>
    <w:rsid w:val="00F45774"/>
    <w:rsid w:val="00F45889"/>
    <w:rsid w:val="00F45A64"/>
    <w:rsid w:val="00F45ED5"/>
    <w:rsid w:val="00F45F9F"/>
    <w:rsid w:val="00F4620B"/>
    <w:rsid w:val="00F4685D"/>
    <w:rsid w:val="00F46DDE"/>
    <w:rsid w:val="00F4723B"/>
    <w:rsid w:val="00F4725B"/>
    <w:rsid w:val="00F474E2"/>
    <w:rsid w:val="00F47702"/>
    <w:rsid w:val="00F4797D"/>
    <w:rsid w:val="00F479C0"/>
    <w:rsid w:val="00F47E38"/>
    <w:rsid w:val="00F500A0"/>
    <w:rsid w:val="00F504B5"/>
    <w:rsid w:val="00F505C9"/>
    <w:rsid w:val="00F507E4"/>
    <w:rsid w:val="00F5086A"/>
    <w:rsid w:val="00F509B7"/>
    <w:rsid w:val="00F50D2D"/>
    <w:rsid w:val="00F51121"/>
    <w:rsid w:val="00F513BA"/>
    <w:rsid w:val="00F51405"/>
    <w:rsid w:val="00F51706"/>
    <w:rsid w:val="00F519FC"/>
    <w:rsid w:val="00F51CE4"/>
    <w:rsid w:val="00F51D44"/>
    <w:rsid w:val="00F51EF2"/>
    <w:rsid w:val="00F521C1"/>
    <w:rsid w:val="00F52480"/>
    <w:rsid w:val="00F52891"/>
    <w:rsid w:val="00F52FB1"/>
    <w:rsid w:val="00F5336C"/>
    <w:rsid w:val="00F5342F"/>
    <w:rsid w:val="00F5344E"/>
    <w:rsid w:val="00F53599"/>
    <w:rsid w:val="00F53C5C"/>
    <w:rsid w:val="00F53CEE"/>
    <w:rsid w:val="00F53DEC"/>
    <w:rsid w:val="00F53F7E"/>
    <w:rsid w:val="00F5423C"/>
    <w:rsid w:val="00F5447B"/>
    <w:rsid w:val="00F54549"/>
    <w:rsid w:val="00F546D1"/>
    <w:rsid w:val="00F54A69"/>
    <w:rsid w:val="00F54B9D"/>
    <w:rsid w:val="00F54DCB"/>
    <w:rsid w:val="00F54DFC"/>
    <w:rsid w:val="00F54E02"/>
    <w:rsid w:val="00F55497"/>
    <w:rsid w:val="00F55871"/>
    <w:rsid w:val="00F5596D"/>
    <w:rsid w:val="00F55BBC"/>
    <w:rsid w:val="00F56072"/>
    <w:rsid w:val="00F5626C"/>
    <w:rsid w:val="00F56270"/>
    <w:rsid w:val="00F56642"/>
    <w:rsid w:val="00F566D7"/>
    <w:rsid w:val="00F56D5F"/>
    <w:rsid w:val="00F57138"/>
    <w:rsid w:val="00F57493"/>
    <w:rsid w:val="00F57516"/>
    <w:rsid w:val="00F57712"/>
    <w:rsid w:val="00F5774B"/>
    <w:rsid w:val="00F57B9D"/>
    <w:rsid w:val="00F57F6B"/>
    <w:rsid w:val="00F57FEF"/>
    <w:rsid w:val="00F60097"/>
    <w:rsid w:val="00F6025D"/>
    <w:rsid w:val="00F6044E"/>
    <w:rsid w:val="00F6068B"/>
    <w:rsid w:val="00F60875"/>
    <w:rsid w:val="00F60980"/>
    <w:rsid w:val="00F60A4B"/>
    <w:rsid w:val="00F60A6A"/>
    <w:rsid w:val="00F60D42"/>
    <w:rsid w:val="00F61300"/>
    <w:rsid w:val="00F614E5"/>
    <w:rsid w:val="00F61591"/>
    <w:rsid w:val="00F615BF"/>
    <w:rsid w:val="00F61657"/>
    <w:rsid w:val="00F617AD"/>
    <w:rsid w:val="00F619E2"/>
    <w:rsid w:val="00F61A12"/>
    <w:rsid w:val="00F61AAA"/>
    <w:rsid w:val="00F62051"/>
    <w:rsid w:val="00F629E6"/>
    <w:rsid w:val="00F62CB1"/>
    <w:rsid w:val="00F62FAA"/>
    <w:rsid w:val="00F630C5"/>
    <w:rsid w:val="00F6367F"/>
    <w:rsid w:val="00F636CB"/>
    <w:rsid w:val="00F63723"/>
    <w:rsid w:val="00F6386A"/>
    <w:rsid w:val="00F638BF"/>
    <w:rsid w:val="00F63AC5"/>
    <w:rsid w:val="00F63DBB"/>
    <w:rsid w:val="00F63E49"/>
    <w:rsid w:val="00F64150"/>
    <w:rsid w:val="00F642EF"/>
    <w:rsid w:val="00F6457C"/>
    <w:rsid w:val="00F64CBB"/>
    <w:rsid w:val="00F64E17"/>
    <w:rsid w:val="00F64E7A"/>
    <w:rsid w:val="00F65370"/>
    <w:rsid w:val="00F65863"/>
    <w:rsid w:val="00F658D4"/>
    <w:rsid w:val="00F65BFD"/>
    <w:rsid w:val="00F65C29"/>
    <w:rsid w:val="00F65FC0"/>
    <w:rsid w:val="00F660F4"/>
    <w:rsid w:val="00F6641F"/>
    <w:rsid w:val="00F6658D"/>
    <w:rsid w:val="00F66700"/>
    <w:rsid w:val="00F668E9"/>
    <w:rsid w:val="00F66D07"/>
    <w:rsid w:val="00F6710C"/>
    <w:rsid w:val="00F67123"/>
    <w:rsid w:val="00F67702"/>
    <w:rsid w:val="00F678B6"/>
    <w:rsid w:val="00F678CF"/>
    <w:rsid w:val="00F67D16"/>
    <w:rsid w:val="00F67D6B"/>
    <w:rsid w:val="00F67ED8"/>
    <w:rsid w:val="00F67F82"/>
    <w:rsid w:val="00F70259"/>
    <w:rsid w:val="00F7028D"/>
    <w:rsid w:val="00F7055C"/>
    <w:rsid w:val="00F7058B"/>
    <w:rsid w:val="00F70966"/>
    <w:rsid w:val="00F709C7"/>
    <w:rsid w:val="00F70C8D"/>
    <w:rsid w:val="00F70E5F"/>
    <w:rsid w:val="00F714AE"/>
    <w:rsid w:val="00F7150C"/>
    <w:rsid w:val="00F715FB"/>
    <w:rsid w:val="00F71753"/>
    <w:rsid w:val="00F71AEB"/>
    <w:rsid w:val="00F71C85"/>
    <w:rsid w:val="00F71D74"/>
    <w:rsid w:val="00F72502"/>
    <w:rsid w:val="00F72644"/>
    <w:rsid w:val="00F72CD0"/>
    <w:rsid w:val="00F72CE1"/>
    <w:rsid w:val="00F72F4B"/>
    <w:rsid w:val="00F7303D"/>
    <w:rsid w:val="00F735FB"/>
    <w:rsid w:val="00F73773"/>
    <w:rsid w:val="00F73F09"/>
    <w:rsid w:val="00F73F7E"/>
    <w:rsid w:val="00F741A6"/>
    <w:rsid w:val="00F7474E"/>
    <w:rsid w:val="00F74EC3"/>
    <w:rsid w:val="00F750AB"/>
    <w:rsid w:val="00F751E0"/>
    <w:rsid w:val="00F7522D"/>
    <w:rsid w:val="00F753F8"/>
    <w:rsid w:val="00F75546"/>
    <w:rsid w:val="00F75789"/>
    <w:rsid w:val="00F75970"/>
    <w:rsid w:val="00F75C30"/>
    <w:rsid w:val="00F75ED3"/>
    <w:rsid w:val="00F7611E"/>
    <w:rsid w:val="00F762FD"/>
    <w:rsid w:val="00F76364"/>
    <w:rsid w:val="00F76674"/>
    <w:rsid w:val="00F76786"/>
    <w:rsid w:val="00F76A4B"/>
    <w:rsid w:val="00F76E25"/>
    <w:rsid w:val="00F76F3E"/>
    <w:rsid w:val="00F77082"/>
    <w:rsid w:val="00F772EB"/>
    <w:rsid w:val="00F773BE"/>
    <w:rsid w:val="00F77408"/>
    <w:rsid w:val="00F77472"/>
    <w:rsid w:val="00F7755E"/>
    <w:rsid w:val="00F77718"/>
    <w:rsid w:val="00F77D4E"/>
    <w:rsid w:val="00F77DB4"/>
    <w:rsid w:val="00F77E1E"/>
    <w:rsid w:val="00F800B0"/>
    <w:rsid w:val="00F80480"/>
    <w:rsid w:val="00F8048F"/>
    <w:rsid w:val="00F80A45"/>
    <w:rsid w:val="00F80A55"/>
    <w:rsid w:val="00F80D46"/>
    <w:rsid w:val="00F80EB8"/>
    <w:rsid w:val="00F8100D"/>
    <w:rsid w:val="00F81094"/>
    <w:rsid w:val="00F8139F"/>
    <w:rsid w:val="00F8169D"/>
    <w:rsid w:val="00F8195B"/>
    <w:rsid w:val="00F81BAF"/>
    <w:rsid w:val="00F81EC2"/>
    <w:rsid w:val="00F81F02"/>
    <w:rsid w:val="00F81F73"/>
    <w:rsid w:val="00F823C3"/>
    <w:rsid w:val="00F8255D"/>
    <w:rsid w:val="00F82897"/>
    <w:rsid w:val="00F82E9A"/>
    <w:rsid w:val="00F83049"/>
    <w:rsid w:val="00F83410"/>
    <w:rsid w:val="00F835AA"/>
    <w:rsid w:val="00F836C4"/>
    <w:rsid w:val="00F83821"/>
    <w:rsid w:val="00F83854"/>
    <w:rsid w:val="00F838F8"/>
    <w:rsid w:val="00F84600"/>
    <w:rsid w:val="00F84B8C"/>
    <w:rsid w:val="00F84FF1"/>
    <w:rsid w:val="00F85057"/>
    <w:rsid w:val="00F854D9"/>
    <w:rsid w:val="00F8566F"/>
    <w:rsid w:val="00F85766"/>
    <w:rsid w:val="00F8586E"/>
    <w:rsid w:val="00F85CCB"/>
    <w:rsid w:val="00F85DF2"/>
    <w:rsid w:val="00F861AE"/>
    <w:rsid w:val="00F86A75"/>
    <w:rsid w:val="00F86DEC"/>
    <w:rsid w:val="00F86FE5"/>
    <w:rsid w:val="00F871C6"/>
    <w:rsid w:val="00F8731D"/>
    <w:rsid w:val="00F87395"/>
    <w:rsid w:val="00F8775B"/>
    <w:rsid w:val="00F877A2"/>
    <w:rsid w:val="00F9040A"/>
    <w:rsid w:val="00F90802"/>
    <w:rsid w:val="00F90B11"/>
    <w:rsid w:val="00F90B32"/>
    <w:rsid w:val="00F90E17"/>
    <w:rsid w:val="00F90EA1"/>
    <w:rsid w:val="00F90EE0"/>
    <w:rsid w:val="00F915A2"/>
    <w:rsid w:val="00F91893"/>
    <w:rsid w:val="00F91A64"/>
    <w:rsid w:val="00F91AF0"/>
    <w:rsid w:val="00F91B03"/>
    <w:rsid w:val="00F91DBF"/>
    <w:rsid w:val="00F91DF3"/>
    <w:rsid w:val="00F91DFD"/>
    <w:rsid w:val="00F91E13"/>
    <w:rsid w:val="00F91E18"/>
    <w:rsid w:val="00F91FA8"/>
    <w:rsid w:val="00F92045"/>
    <w:rsid w:val="00F9213E"/>
    <w:rsid w:val="00F9268C"/>
    <w:rsid w:val="00F927E5"/>
    <w:rsid w:val="00F92919"/>
    <w:rsid w:val="00F92B1F"/>
    <w:rsid w:val="00F92D6C"/>
    <w:rsid w:val="00F92E88"/>
    <w:rsid w:val="00F92EAD"/>
    <w:rsid w:val="00F92EB9"/>
    <w:rsid w:val="00F92F85"/>
    <w:rsid w:val="00F93286"/>
    <w:rsid w:val="00F93375"/>
    <w:rsid w:val="00F93464"/>
    <w:rsid w:val="00F937E3"/>
    <w:rsid w:val="00F937E6"/>
    <w:rsid w:val="00F9381D"/>
    <w:rsid w:val="00F93B1C"/>
    <w:rsid w:val="00F93D47"/>
    <w:rsid w:val="00F93FB2"/>
    <w:rsid w:val="00F94293"/>
    <w:rsid w:val="00F94651"/>
    <w:rsid w:val="00F94728"/>
    <w:rsid w:val="00F94817"/>
    <w:rsid w:val="00F94830"/>
    <w:rsid w:val="00F94A88"/>
    <w:rsid w:val="00F94AD2"/>
    <w:rsid w:val="00F94B41"/>
    <w:rsid w:val="00F94BB0"/>
    <w:rsid w:val="00F94D54"/>
    <w:rsid w:val="00F954A6"/>
    <w:rsid w:val="00F959C5"/>
    <w:rsid w:val="00F95A14"/>
    <w:rsid w:val="00F95A51"/>
    <w:rsid w:val="00F95BFD"/>
    <w:rsid w:val="00F95C0B"/>
    <w:rsid w:val="00F95F3A"/>
    <w:rsid w:val="00F9645C"/>
    <w:rsid w:val="00F965DD"/>
    <w:rsid w:val="00F9698D"/>
    <w:rsid w:val="00F96B9D"/>
    <w:rsid w:val="00F96C14"/>
    <w:rsid w:val="00F96D56"/>
    <w:rsid w:val="00F96D83"/>
    <w:rsid w:val="00F96E8F"/>
    <w:rsid w:val="00F971B5"/>
    <w:rsid w:val="00F972B7"/>
    <w:rsid w:val="00F9742A"/>
    <w:rsid w:val="00F9779A"/>
    <w:rsid w:val="00F97924"/>
    <w:rsid w:val="00F9794D"/>
    <w:rsid w:val="00F97B07"/>
    <w:rsid w:val="00F97C49"/>
    <w:rsid w:val="00FA045C"/>
    <w:rsid w:val="00FA04C8"/>
    <w:rsid w:val="00FA06A5"/>
    <w:rsid w:val="00FA0A28"/>
    <w:rsid w:val="00FA0B99"/>
    <w:rsid w:val="00FA0E49"/>
    <w:rsid w:val="00FA130C"/>
    <w:rsid w:val="00FA17A7"/>
    <w:rsid w:val="00FA1975"/>
    <w:rsid w:val="00FA19EB"/>
    <w:rsid w:val="00FA1ADF"/>
    <w:rsid w:val="00FA1C79"/>
    <w:rsid w:val="00FA1CB9"/>
    <w:rsid w:val="00FA250B"/>
    <w:rsid w:val="00FA27A3"/>
    <w:rsid w:val="00FA2859"/>
    <w:rsid w:val="00FA2A3E"/>
    <w:rsid w:val="00FA2B97"/>
    <w:rsid w:val="00FA2D2C"/>
    <w:rsid w:val="00FA2D3A"/>
    <w:rsid w:val="00FA2E58"/>
    <w:rsid w:val="00FA30BC"/>
    <w:rsid w:val="00FA3411"/>
    <w:rsid w:val="00FA3534"/>
    <w:rsid w:val="00FA3696"/>
    <w:rsid w:val="00FA3786"/>
    <w:rsid w:val="00FA3803"/>
    <w:rsid w:val="00FA39EB"/>
    <w:rsid w:val="00FA3B1B"/>
    <w:rsid w:val="00FA3B78"/>
    <w:rsid w:val="00FA3DB2"/>
    <w:rsid w:val="00FA3E39"/>
    <w:rsid w:val="00FA4145"/>
    <w:rsid w:val="00FA42FC"/>
    <w:rsid w:val="00FA4718"/>
    <w:rsid w:val="00FA48FD"/>
    <w:rsid w:val="00FA4926"/>
    <w:rsid w:val="00FA4975"/>
    <w:rsid w:val="00FA4AF8"/>
    <w:rsid w:val="00FA4C3C"/>
    <w:rsid w:val="00FA51B5"/>
    <w:rsid w:val="00FA5453"/>
    <w:rsid w:val="00FA5691"/>
    <w:rsid w:val="00FA57C3"/>
    <w:rsid w:val="00FA5841"/>
    <w:rsid w:val="00FA5D7C"/>
    <w:rsid w:val="00FA60CB"/>
    <w:rsid w:val="00FA6197"/>
    <w:rsid w:val="00FA6200"/>
    <w:rsid w:val="00FA6276"/>
    <w:rsid w:val="00FA62D4"/>
    <w:rsid w:val="00FA6357"/>
    <w:rsid w:val="00FA63E8"/>
    <w:rsid w:val="00FA64F8"/>
    <w:rsid w:val="00FA66F1"/>
    <w:rsid w:val="00FA68E4"/>
    <w:rsid w:val="00FA6AB6"/>
    <w:rsid w:val="00FA6B5E"/>
    <w:rsid w:val="00FA6DE3"/>
    <w:rsid w:val="00FA706A"/>
    <w:rsid w:val="00FA707F"/>
    <w:rsid w:val="00FA713E"/>
    <w:rsid w:val="00FA72CA"/>
    <w:rsid w:val="00FA7768"/>
    <w:rsid w:val="00FA7B34"/>
    <w:rsid w:val="00FA7B43"/>
    <w:rsid w:val="00FA7CE4"/>
    <w:rsid w:val="00FA7EC2"/>
    <w:rsid w:val="00FA7ED2"/>
    <w:rsid w:val="00FB019E"/>
    <w:rsid w:val="00FB02E9"/>
    <w:rsid w:val="00FB03F9"/>
    <w:rsid w:val="00FB065A"/>
    <w:rsid w:val="00FB07A3"/>
    <w:rsid w:val="00FB0A35"/>
    <w:rsid w:val="00FB0DE5"/>
    <w:rsid w:val="00FB10C1"/>
    <w:rsid w:val="00FB11A7"/>
    <w:rsid w:val="00FB150F"/>
    <w:rsid w:val="00FB15D0"/>
    <w:rsid w:val="00FB164E"/>
    <w:rsid w:val="00FB21E3"/>
    <w:rsid w:val="00FB21EE"/>
    <w:rsid w:val="00FB22D7"/>
    <w:rsid w:val="00FB2330"/>
    <w:rsid w:val="00FB2622"/>
    <w:rsid w:val="00FB2924"/>
    <w:rsid w:val="00FB2AC2"/>
    <w:rsid w:val="00FB2F3D"/>
    <w:rsid w:val="00FB2F8E"/>
    <w:rsid w:val="00FB33F5"/>
    <w:rsid w:val="00FB34AE"/>
    <w:rsid w:val="00FB34CC"/>
    <w:rsid w:val="00FB3604"/>
    <w:rsid w:val="00FB4025"/>
    <w:rsid w:val="00FB40AE"/>
    <w:rsid w:val="00FB410A"/>
    <w:rsid w:val="00FB423D"/>
    <w:rsid w:val="00FB4291"/>
    <w:rsid w:val="00FB43DD"/>
    <w:rsid w:val="00FB4576"/>
    <w:rsid w:val="00FB4594"/>
    <w:rsid w:val="00FB467E"/>
    <w:rsid w:val="00FB46D6"/>
    <w:rsid w:val="00FB4A82"/>
    <w:rsid w:val="00FB4ABF"/>
    <w:rsid w:val="00FB4B36"/>
    <w:rsid w:val="00FB4C0E"/>
    <w:rsid w:val="00FB4C83"/>
    <w:rsid w:val="00FB4EC4"/>
    <w:rsid w:val="00FB50F6"/>
    <w:rsid w:val="00FB588E"/>
    <w:rsid w:val="00FB5893"/>
    <w:rsid w:val="00FB59A5"/>
    <w:rsid w:val="00FB59AE"/>
    <w:rsid w:val="00FB5DF0"/>
    <w:rsid w:val="00FB61B2"/>
    <w:rsid w:val="00FB6314"/>
    <w:rsid w:val="00FB634D"/>
    <w:rsid w:val="00FB64A3"/>
    <w:rsid w:val="00FB6983"/>
    <w:rsid w:val="00FB69CA"/>
    <w:rsid w:val="00FB6FCF"/>
    <w:rsid w:val="00FB70FC"/>
    <w:rsid w:val="00FB71E4"/>
    <w:rsid w:val="00FB72AE"/>
    <w:rsid w:val="00FB763C"/>
    <w:rsid w:val="00FB795F"/>
    <w:rsid w:val="00FB7A95"/>
    <w:rsid w:val="00FB7BAA"/>
    <w:rsid w:val="00FB7BC5"/>
    <w:rsid w:val="00FB7CCA"/>
    <w:rsid w:val="00FB7E77"/>
    <w:rsid w:val="00FC0265"/>
    <w:rsid w:val="00FC0267"/>
    <w:rsid w:val="00FC031E"/>
    <w:rsid w:val="00FC0496"/>
    <w:rsid w:val="00FC04C9"/>
    <w:rsid w:val="00FC074A"/>
    <w:rsid w:val="00FC0A66"/>
    <w:rsid w:val="00FC1229"/>
    <w:rsid w:val="00FC122F"/>
    <w:rsid w:val="00FC17F7"/>
    <w:rsid w:val="00FC1976"/>
    <w:rsid w:val="00FC19E7"/>
    <w:rsid w:val="00FC1A0E"/>
    <w:rsid w:val="00FC1B21"/>
    <w:rsid w:val="00FC1B38"/>
    <w:rsid w:val="00FC1E45"/>
    <w:rsid w:val="00FC20D1"/>
    <w:rsid w:val="00FC23BF"/>
    <w:rsid w:val="00FC24E1"/>
    <w:rsid w:val="00FC29DD"/>
    <w:rsid w:val="00FC2E6E"/>
    <w:rsid w:val="00FC2FCB"/>
    <w:rsid w:val="00FC313F"/>
    <w:rsid w:val="00FC32DB"/>
    <w:rsid w:val="00FC3333"/>
    <w:rsid w:val="00FC3592"/>
    <w:rsid w:val="00FC3709"/>
    <w:rsid w:val="00FC3889"/>
    <w:rsid w:val="00FC39DF"/>
    <w:rsid w:val="00FC3ACE"/>
    <w:rsid w:val="00FC3F7C"/>
    <w:rsid w:val="00FC44A0"/>
    <w:rsid w:val="00FC44E2"/>
    <w:rsid w:val="00FC4991"/>
    <w:rsid w:val="00FC49BA"/>
    <w:rsid w:val="00FC4B99"/>
    <w:rsid w:val="00FC4C42"/>
    <w:rsid w:val="00FC4F00"/>
    <w:rsid w:val="00FC4FF3"/>
    <w:rsid w:val="00FC5097"/>
    <w:rsid w:val="00FC50CC"/>
    <w:rsid w:val="00FC5119"/>
    <w:rsid w:val="00FC53C1"/>
    <w:rsid w:val="00FC5424"/>
    <w:rsid w:val="00FC54D0"/>
    <w:rsid w:val="00FC5708"/>
    <w:rsid w:val="00FC5773"/>
    <w:rsid w:val="00FC5A6F"/>
    <w:rsid w:val="00FC61C6"/>
    <w:rsid w:val="00FC6392"/>
    <w:rsid w:val="00FC66A8"/>
    <w:rsid w:val="00FC6817"/>
    <w:rsid w:val="00FC6ADB"/>
    <w:rsid w:val="00FC6F0B"/>
    <w:rsid w:val="00FC7019"/>
    <w:rsid w:val="00FC701F"/>
    <w:rsid w:val="00FC706E"/>
    <w:rsid w:val="00FC72F9"/>
    <w:rsid w:val="00FC738B"/>
    <w:rsid w:val="00FC75AC"/>
    <w:rsid w:val="00FC762B"/>
    <w:rsid w:val="00FC77CF"/>
    <w:rsid w:val="00FC77D1"/>
    <w:rsid w:val="00FC784C"/>
    <w:rsid w:val="00FC7940"/>
    <w:rsid w:val="00FC7A9F"/>
    <w:rsid w:val="00FC7DB1"/>
    <w:rsid w:val="00FD03C4"/>
    <w:rsid w:val="00FD05A9"/>
    <w:rsid w:val="00FD06C8"/>
    <w:rsid w:val="00FD0A5D"/>
    <w:rsid w:val="00FD0BFE"/>
    <w:rsid w:val="00FD0CCB"/>
    <w:rsid w:val="00FD1000"/>
    <w:rsid w:val="00FD12D5"/>
    <w:rsid w:val="00FD1580"/>
    <w:rsid w:val="00FD16E9"/>
    <w:rsid w:val="00FD1792"/>
    <w:rsid w:val="00FD195E"/>
    <w:rsid w:val="00FD19D3"/>
    <w:rsid w:val="00FD19EC"/>
    <w:rsid w:val="00FD1D09"/>
    <w:rsid w:val="00FD30FB"/>
    <w:rsid w:val="00FD326D"/>
    <w:rsid w:val="00FD3473"/>
    <w:rsid w:val="00FD36AC"/>
    <w:rsid w:val="00FD3781"/>
    <w:rsid w:val="00FD39B0"/>
    <w:rsid w:val="00FD3A38"/>
    <w:rsid w:val="00FD3D6A"/>
    <w:rsid w:val="00FD3DAA"/>
    <w:rsid w:val="00FD3E02"/>
    <w:rsid w:val="00FD42FD"/>
    <w:rsid w:val="00FD4B6B"/>
    <w:rsid w:val="00FD4BE8"/>
    <w:rsid w:val="00FD4CB0"/>
    <w:rsid w:val="00FD4D73"/>
    <w:rsid w:val="00FD5357"/>
    <w:rsid w:val="00FD5968"/>
    <w:rsid w:val="00FD5BC3"/>
    <w:rsid w:val="00FD5BF3"/>
    <w:rsid w:val="00FD5DCB"/>
    <w:rsid w:val="00FD5ED2"/>
    <w:rsid w:val="00FD5FB2"/>
    <w:rsid w:val="00FD63C7"/>
    <w:rsid w:val="00FD656E"/>
    <w:rsid w:val="00FD657C"/>
    <w:rsid w:val="00FD6586"/>
    <w:rsid w:val="00FD6885"/>
    <w:rsid w:val="00FD6963"/>
    <w:rsid w:val="00FD7032"/>
    <w:rsid w:val="00FD7221"/>
    <w:rsid w:val="00FD74F8"/>
    <w:rsid w:val="00FD7609"/>
    <w:rsid w:val="00FD76C7"/>
    <w:rsid w:val="00FD79ED"/>
    <w:rsid w:val="00FE0180"/>
    <w:rsid w:val="00FE038D"/>
    <w:rsid w:val="00FE046D"/>
    <w:rsid w:val="00FE0556"/>
    <w:rsid w:val="00FE05AB"/>
    <w:rsid w:val="00FE087E"/>
    <w:rsid w:val="00FE088C"/>
    <w:rsid w:val="00FE08C4"/>
    <w:rsid w:val="00FE0C38"/>
    <w:rsid w:val="00FE1092"/>
    <w:rsid w:val="00FE1340"/>
    <w:rsid w:val="00FE136E"/>
    <w:rsid w:val="00FE1502"/>
    <w:rsid w:val="00FE1B43"/>
    <w:rsid w:val="00FE1F71"/>
    <w:rsid w:val="00FE20FD"/>
    <w:rsid w:val="00FE24A2"/>
    <w:rsid w:val="00FE28E1"/>
    <w:rsid w:val="00FE2A0B"/>
    <w:rsid w:val="00FE2BB9"/>
    <w:rsid w:val="00FE37B5"/>
    <w:rsid w:val="00FE37C7"/>
    <w:rsid w:val="00FE382B"/>
    <w:rsid w:val="00FE3A56"/>
    <w:rsid w:val="00FE3ADD"/>
    <w:rsid w:val="00FE3DBE"/>
    <w:rsid w:val="00FE3FA4"/>
    <w:rsid w:val="00FE44C0"/>
    <w:rsid w:val="00FE4DF1"/>
    <w:rsid w:val="00FE4DFC"/>
    <w:rsid w:val="00FE527F"/>
    <w:rsid w:val="00FE52F7"/>
    <w:rsid w:val="00FE5321"/>
    <w:rsid w:val="00FE544B"/>
    <w:rsid w:val="00FE5992"/>
    <w:rsid w:val="00FE5A25"/>
    <w:rsid w:val="00FE5A3D"/>
    <w:rsid w:val="00FE5B08"/>
    <w:rsid w:val="00FE5D76"/>
    <w:rsid w:val="00FE5D7D"/>
    <w:rsid w:val="00FE5D99"/>
    <w:rsid w:val="00FE5DD1"/>
    <w:rsid w:val="00FE5F5A"/>
    <w:rsid w:val="00FE60E9"/>
    <w:rsid w:val="00FE6404"/>
    <w:rsid w:val="00FE6651"/>
    <w:rsid w:val="00FE674D"/>
    <w:rsid w:val="00FE683D"/>
    <w:rsid w:val="00FE68D8"/>
    <w:rsid w:val="00FE6916"/>
    <w:rsid w:val="00FE6EB6"/>
    <w:rsid w:val="00FE6F32"/>
    <w:rsid w:val="00FE7163"/>
    <w:rsid w:val="00FE71EF"/>
    <w:rsid w:val="00FE77C6"/>
    <w:rsid w:val="00FE7846"/>
    <w:rsid w:val="00FE7B02"/>
    <w:rsid w:val="00FF03CA"/>
    <w:rsid w:val="00FF0506"/>
    <w:rsid w:val="00FF0580"/>
    <w:rsid w:val="00FF05E4"/>
    <w:rsid w:val="00FF08CF"/>
    <w:rsid w:val="00FF0994"/>
    <w:rsid w:val="00FF0CF0"/>
    <w:rsid w:val="00FF0DE2"/>
    <w:rsid w:val="00FF0F8B"/>
    <w:rsid w:val="00FF1307"/>
    <w:rsid w:val="00FF1600"/>
    <w:rsid w:val="00FF1766"/>
    <w:rsid w:val="00FF1983"/>
    <w:rsid w:val="00FF1A3A"/>
    <w:rsid w:val="00FF1BE8"/>
    <w:rsid w:val="00FF1C04"/>
    <w:rsid w:val="00FF1CE2"/>
    <w:rsid w:val="00FF1CED"/>
    <w:rsid w:val="00FF21CA"/>
    <w:rsid w:val="00FF2798"/>
    <w:rsid w:val="00FF2836"/>
    <w:rsid w:val="00FF2899"/>
    <w:rsid w:val="00FF2AA9"/>
    <w:rsid w:val="00FF2AB0"/>
    <w:rsid w:val="00FF2C17"/>
    <w:rsid w:val="00FF2C9A"/>
    <w:rsid w:val="00FF2D5C"/>
    <w:rsid w:val="00FF2EA7"/>
    <w:rsid w:val="00FF2EF6"/>
    <w:rsid w:val="00FF2F8B"/>
    <w:rsid w:val="00FF301E"/>
    <w:rsid w:val="00FF372C"/>
    <w:rsid w:val="00FF3857"/>
    <w:rsid w:val="00FF3A10"/>
    <w:rsid w:val="00FF3BB0"/>
    <w:rsid w:val="00FF3D75"/>
    <w:rsid w:val="00FF3EA7"/>
    <w:rsid w:val="00FF43B5"/>
    <w:rsid w:val="00FF4A69"/>
    <w:rsid w:val="00FF4DFB"/>
    <w:rsid w:val="00FF4E4C"/>
    <w:rsid w:val="00FF4FEF"/>
    <w:rsid w:val="00FF50FC"/>
    <w:rsid w:val="00FF5176"/>
    <w:rsid w:val="00FF521F"/>
    <w:rsid w:val="00FF5283"/>
    <w:rsid w:val="00FF53AC"/>
    <w:rsid w:val="00FF555C"/>
    <w:rsid w:val="00FF58D2"/>
    <w:rsid w:val="00FF599D"/>
    <w:rsid w:val="00FF5BC9"/>
    <w:rsid w:val="00FF610B"/>
    <w:rsid w:val="00FF65F8"/>
    <w:rsid w:val="00FF666A"/>
    <w:rsid w:val="00FF669C"/>
    <w:rsid w:val="00FF67C8"/>
    <w:rsid w:val="00FF6892"/>
    <w:rsid w:val="00FF69DD"/>
    <w:rsid w:val="00FF6C76"/>
    <w:rsid w:val="00FF6C93"/>
    <w:rsid w:val="00FF705F"/>
    <w:rsid w:val="00FF7377"/>
    <w:rsid w:val="00FF742B"/>
    <w:rsid w:val="00FF76D7"/>
    <w:rsid w:val="00FF78DB"/>
    <w:rsid w:val="00FF7982"/>
    <w:rsid w:val="00FF7C99"/>
    <w:rsid w:val="00FF7E33"/>
    <w:rsid w:val="00FF7F14"/>
    <w:rsid w:val="00FF7FA1"/>
    <w:rsid w:val="00FF7FC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FB92DD"/>
  <w15:docId w15:val="{8049F83E-B2C6-47F2-A539-05E80EB2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A3"/>
    <w:pPr>
      <w:spacing w:before="120" w:after="60"/>
    </w:pPr>
    <w:rPr>
      <w:rFonts w:asciiTheme="minorHAnsi" w:hAnsiTheme="minorHAnsi"/>
      <w:sz w:val="22"/>
      <w:szCs w:val="24"/>
      <w:lang w:val="en-GB"/>
    </w:rPr>
  </w:style>
  <w:style w:type="paragraph" w:styleId="Heading1">
    <w:name w:val="heading 1"/>
    <w:basedOn w:val="Normal"/>
    <w:next w:val="Normal"/>
    <w:link w:val="Heading1Char"/>
    <w:qFormat/>
    <w:rsid w:val="00C93309"/>
    <w:pPr>
      <w:keepNext/>
      <w:pageBreakBefore/>
      <w:numPr>
        <w:numId w:val="2"/>
      </w:numPr>
      <w:spacing w:before="320" w:after="160"/>
      <w:ind w:left="431" w:hanging="431"/>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6F4EC1"/>
    <w:pPr>
      <w:keepNext/>
      <w:keepLines/>
      <w:numPr>
        <w:ilvl w:val="1"/>
        <w:numId w:val="2"/>
      </w:numPr>
      <w:spacing w:before="480"/>
      <w:ind w:left="851" w:hanging="851"/>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link w:val="Heading4Char"/>
    <w:uiPriority w:val="9"/>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F127F"/>
    <w:rPr>
      <w:i/>
      <w:iCs/>
    </w:rPr>
  </w:style>
  <w:style w:type="character" w:styleId="Strong">
    <w:name w:val="Strong"/>
    <w:basedOn w:val="DefaultParagraphFont"/>
    <w:uiPriority w:val="22"/>
    <w:rsid w:val="00AF127F"/>
    <w:rPr>
      <w:b/>
      <w:bCs/>
    </w:rPr>
  </w:style>
  <w:style w:type="paragraph" w:styleId="Subtitle">
    <w:name w:val="Subtitle"/>
    <w:basedOn w:val="Normal"/>
    <w:next w:val="Normal"/>
    <w:link w:val="SubtitleChar"/>
    <w:uiPriority w:val="11"/>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uiPriority w:val="11"/>
    <w:rsid w:val="00AF127F"/>
    <w:rPr>
      <w:rFonts w:asciiTheme="majorHAnsi" w:eastAsiaTheme="majorEastAsia" w:hAnsiTheme="majorHAnsi" w:cstheme="majorBidi"/>
      <w:iCs/>
      <w:spacing w:val="15"/>
      <w:sz w:val="24"/>
    </w:rPr>
  </w:style>
  <w:style w:type="paragraph" w:styleId="Title">
    <w:name w:val="Title"/>
    <w:basedOn w:val="Normal"/>
    <w:next w:val="Normal"/>
    <w:link w:val="TitleChar"/>
    <w:uiPriority w:val="10"/>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AF127F"/>
    <w:rPr>
      <w:rFonts w:ascii="Arial" w:eastAsiaTheme="majorEastAsia" w:hAnsi="Arial" w:cstheme="majorBidi"/>
      <w:b/>
      <w:kern w:val="28"/>
      <w:sz w:val="32"/>
      <w:szCs w:val="5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rsid w:val="00AF127F"/>
    <w:rPr>
      <w:i/>
      <w:iCs/>
      <w:color w:val="808080" w:themeColor="text1" w:themeTint="7F"/>
    </w:rPr>
  </w:style>
  <w:style w:type="character" w:styleId="IntenseEmphasis">
    <w:name w:val="Intense Emphasis"/>
    <w:basedOn w:val="DefaultParagraphFont"/>
    <w:uiPriority w:val="21"/>
    <w:rsid w:val="00AF127F"/>
    <w:rPr>
      <w:b/>
      <w:bCs/>
      <w:i/>
      <w:iCs/>
      <w:color w:val="4F81BD" w:themeColor="accent1"/>
    </w:rPr>
  </w:style>
  <w:style w:type="paragraph" w:styleId="Quote">
    <w:name w:val="Quote"/>
    <w:basedOn w:val="Normal"/>
    <w:next w:val="Normal"/>
    <w:link w:val="QuoteChar"/>
    <w:uiPriority w:val="29"/>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rsid w:val="00AF127F"/>
    <w:rPr>
      <w:smallCaps/>
      <w:color w:val="C0504D" w:themeColor="accent2"/>
      <w:u w:val="single"/>
    </w:rPr>
  </w:style>
  <w:style w:type="character" w:styleId="IntenseReference">
    <w:name w:val="Intense Reference"/>
    <w:basedOn w:val="DefaultParagraphFont"/>
    <w:uiPriority w:val="32"/>
    <w:rsid w:val="00AF127F"/>
    <w:rPr>
      <w:b/>
      <w:bCs/>
      <w:i/>
      <w:smallCaps/>
      <w:color w:val="C0504D" w:themeColor="accent2"/>
      <w:spacing w:val="5"/>
      <w:u w:val="none"/>
    </w:rPr>
  </w:style>
  <w:style w:type="character" w:styleId="BookTitle">
    <w:name w:val="Book Title"/>
    <w:basedOn w:val="DefaultParagraphFont"/>
    <w:uiPriority w:val="33"/>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rsid w:val="00AF127F"/>
    <w:rPr>
      <w:vertAlign w:val="superscript"/>
    </w:rPr>
  </w:style>
  <w:style w:type="paragraph" w:styleId="TOCHeading">
    <w:name w:val="TOC Heading"/>
    <w:basedOn w:val="Heading1"/>
    <w:next w:val="Normal"/>
    <w:uiPriority w:val="39"/>
    <w:unhideWhenUsed/>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rsid w:val="00A5097F"/>
    <w:pPr>
      <w:ind w:left="284" w:right="284" w:hanging="284"/>
    </w:pPr>
    <w:rPr>
      <w:b/>
      <w:bCs/>
      <w:sz w:val="20"/>
      <w:szCs w:val="20"/>
    </w:rPr>
  </w:style>
  <w:style w:type="paragraph" w:styleId="TOC2">
    <w:name w:val="toc 2"/>
    <w:basedOn w:val="Normal"/>
    <w:next w:val="Normal"/>
    <w:autoRedefine/>
    <w:uiPriority w:val="39"/>
    <w:rsid w:val="00380966"/>
    <w:pPr>
      <w:tabs>
        <w:tab w:val="left" w:pos="880"/>
        <w:tab w:val="right" w:leader="dot" w:pos="9016"/>
      </w:tabs>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B7051C"/>
    <w:rPr>
      <w:rFonts w:ascii="Tahoma" w:eastAsiaTheme="minorHAnsi" w:hAnsi="Tahoma" w:cs="Tahoma"/>
      <w:sz w:val="16"/>
      <w:szCs w:val="16"/>
      <w:lang w:val="en-GB"/>
    </w:rPr>
  </w:style>
  <w:style w:type="paragraph" w:styleId="Header">
    <w:name w:val="header"/>
    <w:basedOn w:val="Normal"/>
    <w:link w:val="HeaderChar"/>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8"/>
    <w:unhideWhenUsed/>
    <w:qFormat/>
    <w:rsid w:val="00396184"/>
    <w:pPr>
      <w:keepNext/>
      <w:spacing w:after="20"/>
    </w:pPr>
    <w:rPr>
      <w:rFonts w:eastAsiaTheme="minorHAnsi" w:cs="Arial"/>
      <w:b/>
      <w:sz w:val="18"/>
      <w:szCs w:val="22"/>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99"/>
    <w:rsid w:val="006C0049"/>
    <w:pPr>
      <w:spacing w:after="120"/>
    </w:pPr>
    <w:rPr>
      <w:rFonts w:eastAsiaTheme="minorHAnsi" w:cs="Arial"/>
      <w:szCs w:val="20"/>
    </w:rPr>
  </w:style>
  <w:style w:type="character" w:customStyle="1" w:styleId="BodyTextChar">
    <w:name w:val="Body Text Char"/>
    <w:basedOn w:val="DefaultParagraphFont"/>
    <w:link w:val="BodyText"/>
    <w:uiPriority w:val="99"/>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99"/>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99"/>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99"/>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99"/>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13"/>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13"/>
    <w:rsid w:val="004E6528"/>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99"/>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99"/>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99"/>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rsid w:val="00032108"/>
    <w:pPr>
      <w:spacing w:after="60" w:line="240" w:lineRule="auto"/>
      <w:ind w:left="357"/>
    </w:pPr>
  </w:style>
  <w:style w:type="paragraph" w:customStyle="1" w:styleId="Bullet2">
    <w:name w:val="Bullet 2"/>
    <w:basedOn w:val="ListParagraph"/>
    <w:uiPriority w:val="12"/>
    <w:qFormat/>
    <w:rsid w:val="00BD7AF2"/>
    <w:pPr>
      <w:numPr>
        <w:ilvl w:val="1"/>
        <w:numId w:val="4"/>
      </w:numPr>
      <w:contextualSpacing w:val="0"/>
    </w:pPr>
  </w:style>
  <w:style w:type="paragraph" w:customStyle="1" w:styleId="Bullet3">
    <w:name w:val="Bullet 3"/>
    <w:basedOn w:val="02dash"/>
    <w:uiPriority w:val="4"/>
    <w:rsid w:val="008460E3"/>
    <w:pPr>
      <w:numPr>
        <w:ilvl w:val="2"/>
      </w:numPr>
    </w:pPr>
  </w:style>
  <w:style w:type="paragraph" w:styleId="TOC4">
    <w:name w:val="toc 4"/>
    <w:basedOn w:val="Normal"/>
    <w:next w:val="Normal"/>
    <w:autoRedefine/>
    <w:uiPriority w:val="39"/>
    <w:unhideWhenUsed/>
    <w:rsid w:val="008460E3"/>
    <w:pPr>
      <w:spacing w:before="0" w:after="0"/>
      <w:ind w:left="660"/>
    </w:pPr>
    <w:rPr>
      <w:sz w:val="20"/>
      <w:szCs w:val="20"/>
    </w:rPr>
  </w:style>
  <w:style w:type="paragraph" w:styleId="TOC5">
    <w:name w:val="toc 5"/>
    <w:basedOn w:val="Normal"/>
    <w:next w:val="Normal"/>
    <w:autoRedefine/>
    <w:uiPriority w:val="39"/>
    <w:unhideWhenUsed/>
    <w:rsid w:val="008460E3"/>
    <w:pPr>
      <w:spacing w:before="0" w:after="0"/>
      <w:ind w:left="880"/>
    </w:pPr>
    <w:rPr>
      <w:sz w:val="20"/>
      <w:szCs w:val="20"/>
    </w:rPr>
  </w:style>
  <w:style w:type="paragraph" w:styleId="TOC6">
    <w:name w:val="toc 6"/>
    <w:basedOn w:val="Normal"/>
    <w:next w:val="Normal"/>
    <w:autoRedefine/>
    <w:uiPriority w:val="39"/>
    <w:unhideWhenUsed/>
    <w:rsid w:val="008460E3"/>
    <w:pPr>
      <w:spacing w:before="0" w:after="0"/>
      <w:ind w:left="1100"/>
    </w:pPr>
    <w:rPr>
      <w:sz w:val="20"/>
      <w:szCs w:val="20"/>
    </w:rPr>
  </w:style>
  <w:style w:type="paragraph" w:styleId="TOC7">
    <w:name w:val="toc 7"/>
    <w:basedOn w:val="Normal"/>
    <w:next w:val="Normal"/>
    <w:autoRedefine/>
    <w:uiPriority w:val="39"/>
    <w:unhideWhenUsed/>
    <w:rsid w:val="008460E3"/>
    <w:pPr>
      <w:spacing w:before="0" w:after="0"/>
      <w:ind w:left="1320"/>
    </w:pPr>
    <w:rPr>
      <w:sz w:val="20"/>
      <w:szCs w:val="20"/>
    </w:rPr>
  </w:style>
  <w:style w:type="paragraph" w:styleId="TOC8">
    <w:name w:val="toc 8"/>
    <w:basedOn w:val="Normal"/>
    <w:next w:val="Normal"/>
    <w:autoRedefine/>
    <w:uiPriority w:val="39"/>
    <w:unhideWhenUsed/>
    <w:rsid w:val="008460E3"/>
    <w:pPr>
      <w:spacing w:before="0" w:after="0"/>
      <w:ind w:left="1540"/>
    </w:pPr>
    <w:rPr>
      <w:sz w:val="20"/>
      <w:szCs w:val="20"/>
    </w:rPr>
  </w:style>
  <w:style w:type="paragraph" w:styleId="TOC9">
    <w:name w:val="toc 9"/>
    <w:basedOn w:val="Normal"/>
    <w:next w:val="Normal"/>
    <w:autoRedefine/>
    <w:uiPriority w:val="39"/>
    <w:unhideWhenUsed/>
    <w:rsid w:val="008460E3"/>
    <w:pPr>
      <w:spacing w:before="0" w:after="0"/>
      <w:ind w:left="1760"/>
    </w:pPr>
    <w:rPr>
      <w:sz w:val="20"/>
      <w:szCs w:val="20"/>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B7051C"/>
    <w:rPr>
      <w:rFonts w:asciiTheme="minorHAnsi" w:hAnsiTheme="minorHAnsi"/>
      <w:lang w:val="en-GB"/>
    </w:rPr>
  </w:style>
  <w:style w:type="paragraph" w:styleId="CommentSubject">
    <w:name w:val="annotation subject"/>
    <w:basedOn w:val="CommentText"/>
    <w:next w:val="CommentText"/>
    <w:link w:val="CommentSubjectChar"/>
    <w:uiPriority w:val="99"/>
    <w:unhideWhenUsed/>
    <w:rsid w:val="000337EF"/>
    <w:rPr>
      <w:b/>
      <w:bCs/>
    </w:rPr>
  </w:style>
  <w:style w:type="character" w:customStyle="1" w:styleId="CommentSubjectChar">
    <w:name w:val="Comment Subject Char"/>
    <w:basedOn w:val="CommentTextChar"/>
    <w:link w:val="CommentSubject"/>
    <w:uiPriority w:val="99"/>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3"/>
    <w:qFormat/>
    <w:rsid w:val="008460E3"/>
    <w:pPr>
      <w:numPr>
        <w:numId w:val="16"/>
      </w:numPr>
      <w:ind w:right="142"/>
    </w:pPr>
    <w:rPr>
      <w:szCs w:val="20"/>
      <w:lang w:val="en-US" w:eastAsia="en-US"/>
    </w:rPr>
  </w:style>
  <w:style w:type="paragraph" w:customStyle="1" w:styleId="02dash">
    <w:name w:val="02 dash"/>
    <w:basedOn w:val="01squarebullet"/>
    <w:uiPriority w:val="4"/>
    <w:qFormat/>
    <w:rsid w:val="008460E3"/>
    <w:pPr>
      <w:numPr>
        <w:ilvl w:val="1"/>
        <w:numId w:val="6"/>
      </w:numPr>
    </w:pPr>
    <w:rPr>
      <w:rFonts w:eastAsiaTheme="minorHAnsi"/>
    </w:rPr>
  </w:style>
  <w:style w:type="paragraph" w:customStyle="1" w:styleId="03opensquarebullet">
    <w:name w:val="03 open square bullet"/>
    <w:basedOn w:val="02dash"/>
    <w:uiPriority w:val="5"/>
    <w:qFormat/>
    <w:rsid w:val="00C60693"/>
    <w:pPr>
      <w:numPr>
        <w:numId w:val="7"/>
      </w:numPr>
      <w:tabs>
        <w:tab w:val="left" w:pos="924"/>
      </w:tabs>
      <w:ind w:left="925" w:hanging="284"/>
    </w:pPr>
  </w:style>
  <w:style w:type="paragraph" w:customStyle="1" w:styleId="04shortdash">
    <w:name w:val="04 short dash"/>
    <w:basedOn w:val="03opensquarebullet"/>
    <w:uiPriority w:val="6"/>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134AE6"/>
    <w:pPr>
      <w:keepNext/>
      <w:numPr>
        <w:numId w:val="5"/>
      </w:numPr>
      <w:spacing w:before="0" w:after="120"/>
      <w:ind w:left="1701"/>
      <w:outlineLvl w:val="0"/>
    </w:pPr>
    <w:rPr>
      <w:b/>
      <w:color w:val="01653F"/>
      <w:sz w:val="32"/>
      <w:lang w:val="en-AU"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9"/>
    <w:qFormat/>
    <w:rsid w:val="00C60693"/>
    <w:pPr>
      <w:numPr>
        <w:numId w:val="9"/>
      </w:numPr>
      <w:spacing w:line="264" w:lineRule="auto"/>
      <w:ind w:left="357" w:hanging="357"/>
    </w:pPr>
    <w:rPr>
      <w:szCs w:val="20"/>
      <w:lang w:val="en-US" w:eastAsia="en-US"/>
    </w:rPr>
  </w:style>
  <w:style w:type="paragraph" w:customStyle="1" w:styleId="Itembulletlevel1">
    <w:name w:val="Item bullet level 1"/>
    <w:basedOn w:val="Normal"/>
    <w:link w:val="Itembulletlevel1Char"/>
    <w:uiPriority w:val="5"/>
    <w:qFormat/>
    <w:rsid w:val="00C60693"/>
    <w:pPr>
      <w:numPr>
        <w:numId w:val="23"/>
      </w:numPr>
      <w:spacing w:line="264" w:lineRule="auto"/>
    </w:pPr>
    <w:rPr>
      <w:szCs w:val="20"/>
      <w:lang w:val="en-US" w:eastAsia="en-US"/>
    </w:rPr>
  </w:style>
  <w:style w:type="paragraph" w:customStyle="1" w:styleId="07number3">
    <w:name w:val="07 number/3"/>
    <w:basedOn w:val="Normal"/>
    <w:uiPriority w:val="9"/>
    <w:qFormat/>
    <w:rsid w:val="00C60693"/>
    <w:pPr>
      <w:numPr>
        <w:numId w:val="10"/>
      </w:numPr>
      <w:spacing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1"/>
      </w:numPr>
      <w:spacing w:line="264" w:lineRule="auto"/>
    </w:pPr>
    <w:rPr>
      <w:szCs w:val="20"/>
      <w:lang w:val="en-US" w:eastAsia="en-US"/>
    </w:rPr>
  </w:style>
  <w:style w:type="paragraph" w:customStyle="1" w:styleId="20major">
    <w:name w:val="20 major"/>
    <w:basedOn w:val="Normal"/>
    <w:next w:val="Normal"/>
    <w:uiPriority w:val="1"/>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C93309"/>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6F4EC1"/>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3"/>
      </w:numPr>
      <w:spacing w:before="0" w:after="0"/>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rsid w:val="008460E3"/>
    <w:pPr>
      <w:numPr>
        <w:numId w:val="14"/>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uiPriority w:val="99"/>
    <w:unhideWhenUsed/>
    <w:rsid w:val="00082595"/>
    <w:pPr>
      <w:spacing w:after="120"/>
      <w:ind w:left="283"/>
      <w:contextualSpacing/>
    </w:pPr>
  </w:style>
  <w:style w:type="numbering" w:customStyle="1" w:styleId="Style2">
    <w:name w:val="Style2"/>
    <w:uiPriority w:val="99"/>
    <w:rsid w:val="00E15A50"/>
    <w:pPr>
      <w:numPr>
        <w:numId w:val="15"/>
      </w:numPr>
    </w:pPr>
  </w:style>
  <w:style w:type="paragraph" w:customStyle="1" w:styleId="AppendixStyle2">
    <w:name w:val="Appendix Style2"/>
    <w:basedOn w:val="Normal"/>
    <w:rsid w:val="00A1707A"/>
    <w:pPr>
      <w:keepNext/>
      <w:spacing w:line="312" w:lineRule="auto"/>
      <w:outlineLvl w:val="1"/>
    </w:pPr>
    <w:rPr>
      <w:rFonts w:eastAsiaTheme="minorHAnsi" w:cs="Arial"/>
      <w:b/>
      <w:bCs/>
      <w:iCs/>
      <w:sz w:val="26"/>
      <w:szCs w:val="22"/>
      <w:lang w:val="en-US" w:eastAsia="en-US"/>
    </w:rPr>
  </w:style>
  <w:style w:type="paragraph" w:styleId="BlockText">
    <w:name w:val="Block Text"/>
    <w:basedOn w:val="Normal"/>
    <w:uiPriority w:val="99"/>
    <w:unhideWhenUsed/>
    <w:rsid w:val="00CD16D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80"/>
      <w:ind w:left="1152" w:right="1152"/>
    </w:pPr>
    <w:rPr>
      <w:rFonts w:eastAsiaTheme="minorEastAsia" w:cstheme="minorBidi"/>
      <w:i/>
      <w:iCs/>
      <w:color w:val="4F81BD" w:themeColor="accent1"/>
      <w:sz w:val="26"/>
      <w:szCs w:val="20"/>
      <w:lang w:val="en-US" w:eastAsia="en-US"/>
    </w:rPr>
  </w:style>
  <w:style w:type="paragraph" w:styleId="BodyText2">
    <w:name w:val="Body Text 2"/>
    <w:basedOn w:val="Normal"/>
    <w:link w:val="BodyText2Char"/>
    <w:uiPriority w:val="99"/>
    <w:unhideWhenUsed/>
    <w:rsid w:val="00CD16D1"/>
    <w:pPr>
      <w:spacing w:before="180" w:after="120" w:line="480" w:lineRule="auto"/>
    </w:pPr>
    <w:rPr>
      <w:rFonts w:ascii="Times New Roman" w:hAnsi="Times New Roman"/>
      <w:sz w:val="26"/>
      <w:szCs w:val="20"/>
      <w:lang w:val="en-US" w:eastAsia="en-US"/>
    </w:rPr>
  </w:style>
  <w:style w:type="character" w:customStyle="1" w:styleId="BodyText2Char">
    <w:name w:val="Body Text 2 Char"/>
    <w:basedOn w:val="DefaultParagraphFont"/>
    <w:link w:val="BodyText2"/>
    <w:uiPriority w:val="99"/>
    <w:rsid w:val="00CD16D1"/>
    <w:rPr>
      <w:sz w:val="26"/>
      <w:lang w:val="en-US" w:eastAsia="en-US"/>
    </w:rPr>
  </w:style>
  <w:style w:type="paragraph" w:styleId="BodyTextFirstIndent">
    <w:name w:val="Body Text First Indent"/>
    <w:basedOn w:val="BodyText"/>
    <w:link w:val="BodyTextFirstIndentChar"/>
    <w:uiPriority w:val="99"/>
    <w:unhideWhenUsed/>
    <w:rsid w:val="00CD16D1"/>
    <w:pPr>
      <w:spacing w:before="180" w:after="180"/>
      <w:ind w:firstLine="360"/>
    </w:pPr>
    <w:rPr>
      <w:rFonts w:ascii="Times New Roman" w:eastAsia="Times New Roman" w:hAnsi="Times New Roman" w:cs="Times New Roman"/>
      <w:sz w:val="26"/>
      <w:lang w:val="en-US"/>
    </w:rPr>
  </w:style>
  <w:style w:type="character" w:customStyle="1" w:styleId="BodyTextFirstIndentChar">
    <w:name w:val="Body Text First Indent Char"/>
    <w:basedOn w:val="BodyTextChar"/>
    <w:link w:val="BodyTextFirstIndent"/>
    <w:uiPriority w:val="99"/>
    <w:rsid w:val="00CD16D1"/>
    <w:rPr>
      <w:rFonts w:asciiTheme="minorHAnsi" w:eastAsiaTheme="minorHAnsi" w:hAnsiTheme="minorHAnsi" w:cs="Arial"/>
      <w:sz w:val="26"/>
      <w:lang w:val="en-US"/>
    </w:rPr>
  </w:style>
  <w:style w:type="paragraph" w:styleId="BodyTextFirstIndent2">
    <w:name w:val="Body Text First Indent 2"/>
    <w:basedOn w:val="BodyTextIndent"/>
    <w:link w:val="BodyTextFirstIndent2Char"/>
    <w:uiPriority w:val="99"/>
    <w:unhideWhenUsed/>
    <w:rsid w:val="00CD16D1"/>
    <w:pPr>
      <w:spacing w:before="180" w:after="180"/>
      <w:ind w:left="360" w:firstLine="360"/>
    </w:pPr>
    <w:rPr>
      <w:rFonts w:ascii="Times New Roman" w:eastAsia="Times New Roman" w:hAnsi="Times New Roman" w:cs="Times New Roman"/>
      <w:sz w:val="26"/>
      <w:lang w:val="en-US"/>
    </w:rPr>
  </w:style>
  <w:style w:type="character" w:customStyle="1" w:styleId="BodyTextFirstIndent2Char">
    <w:name w:val="Body Text First Indent 2 Char"/>
    <w:basedOn w:val="BodyTextIndentChar"/>
    <w:link w:val="BodyTextFirstIndent2"/>
    <w:uiPriority w:val="99"/>
    <w:rsid w:val="00CD16D1"/>
    <w:rPr>
      <w:rFonts w:asciiTheme="minorHAnsi" w:eastAsiaTheme="minorHAnsi" w:hAnsiTheme="minorHAnsi" w:cs="Arial"/>
      <w:sz w:val="26"/>
      <w:lang w:val="en-US"/>
    </w:rPr>
  </w:style>
  <w:style w:type="paragraph" w:styleId="BodyTextIndent3">
    <w:name w:val="Body Text Indent 3"/>
    <w:basedOn w:val="Normal"/>
    <w:link w:val="BodyTextIndent3Char"/>
    <w:uiPriority w:val="99"/>
    <w:unhideWhenUsed/>
    <w:rsid w:val="00CD16D1"/>
    <w:pPr>
      <w:spacing w:before="180" w:after="120"/>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CD16D1"/>
    <w:rPr>
      <w:sz w:val="16"/>
      <w:szCs w:val="16"/>
      <w:lang w:val="en-US" w:eastAsia="en-US"/>
    </w:rPr>
  </w:style>
  <w:style w:type="paragraph" w:styleId="Closing">
    <w:name w:val="Closing"/>
    <w:basedOn w:val="Normal"/>
    <w:link w:val="ClosingChar"/>
    <w:uiPriority w:val="99"/>
    <w:unhideWhenUsed/>
    <w:rsid w:val="00CD16D1"/>
    <w:pPr>
      <w:spacing w:before="180" w:after="0"/>
      <w:ind w:left="4320"/>
    </w:pPr>
    <w:rPr>
      <w:rFonts w:ascii="Times New Roman" w:hAnsi="Times New Roman"/>
      <w:sz w:val="26"/>
      <w:szCs w:val="20"/>
      <w:lang w:val="en-US" w:eastAsia="en-US"/>
    </w:rPr>
  </w:style>
  <w:style w:type="character" w:customStyle="1" w:styleId="ClosingChar">
    <w:name w:val="Closing Char"/>
    <w:basedOn w:val="DefaultParagraphFont"/>
    <w:link w:val="Closing"/>
    <w:uiPriority w:val="99"/>
    <w:rsid w:val="00CD16D1"/>
    <w:rPr>
      <w:sz w:val="26"/>
      <w:lang w:val="en-US" w:eastAsia="en-US"/>
    </w:rPr>
  </w:style>
  <w:style w:type="paragraph" w:styleId="Date">
    <w:name w:val="Date"/>
    <w:basedOn w:val="Normal"/>
    <w:next w:val="Normal"/>
    <w:link w:val="DateChar"/>
    <w:uiPriority w:val="99"/>
    <w:unhideWhenUsed/>
    <w:rsid w:val="00CD16D1"/>
    <w:pPr>
      <w:spacing w:before="180"/>
    </w:pPr>
    <w:rPr>
      <w:rFonts w:ascii="Times New Roman" w:hAnsi="Times New Roman"/>
      <w:sz w:val="26"/>
      <w:szCs w:val="20"/>
      <w:lang w:val="en-US" w:eastAsia="en-US"/>
    </w:rPr>
  </w:style>
  <w:style w:type="character" w:customStyle="1" w:styleId="DateChar">
    <w:name w:val="Date Char"/>
    <w:basedOn w:val="DefaultParagraphFont"/>
    <w:link w:val="Date"/>
    <w:uiPriority w:val="99"/>
    <w:rsid w:val="00CD16D1"/>
    <w:rPr>
      <w:sz w:val="26"/>
      <w:lang w:val="en-US" w:eastAsia="en-US"/>
    </w:rPr>
  </w:style>
  <w:style w:type="paragraph" w:styleId="DocumentMap">
    <w:name w:val="Document Map"/>
    <w:basedOn w:val="Normal"/>
    <w:link w:val="DocumentMapChar"/>
    <w:uiPriority w:val="99"/>
    <w:unhideWhenUsed/>
    <w:rsid w:val="00CD16D1"/>
    <w:pPr>
      <w:spacing w:before="180"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rsid w:val="00CD16D1"/>
    <w:rPr>
      <w:rFonts w:ascii="Tahoma" w:hAnsi="Tahoma" w:cs="Tahoma"/>
      <w:sz w:val="16"/>
      <w:szCs w:val="16"/>
      <w:lang w:val="en-US" w:eastAsia="en-US"/>
    </w:rPr>
  </w:style>
  <w:style w:type="paragraph" w:styleId="E-mailSignature">
    <w:name w:val="E-mail Signature"/>
    <w:basedOn w:val="Normal"/>
    <w:link w:val="E-mailSignatureChar"/>
    <w:uiPriority w:val="99"/>
    <w:unhideWhenUsed/>
    <w:rsid w:val="00CD16D1"/>
    <w:pPr>
      <w:spacing w:before="180" w:after="0"/>
    </w:pPr>
    <w:rPr>
      <w:rFonts w:ascii="Times New Roman" w:hAnsi="Times New Roman"/>
      <w:sz w:val="26"/>
      <w:szCs w:val="20"/>
      <w:lang w:val="en-US" w:eastAsia="en-US"/>
    </w:rPr>
  </w:style>
  <w:style w:type="character" w:customStyle="1" w:styleId="E-mailSignatureChar">
    <w:name w:val="E-mail Signature Char"/>
    <w:basedOn w:val="DefaultParagraphFont"/>
    <w:link w:val="E-mailSignature"/>
    <w:uiPriority w:val="99"/>
    <w:rsid w:val="00CD16D1"/>
    <w:rPr>
      <w:sz w:val="26"/>
      <w:lang w:val="en-US" w:eastAsia="en-US"/>
    </w:rPr>
  </w:style>
  <w:style w:type="character" w:styleId="EndnoteReference">
    <w:name w:val="endnote reference"/>
    <w:basedOn w:val="DefaultParagraphFont"/>
    <w:rsid w:val="00CD16D1"/>
    <w:rPr>
      <w:vertAlign w:val="superscript"/>
    </w:rPr>
  </w:style>
  <w:style w:type="paragraph" w:styleId="EndnoteText">
    <w:name w:val="endnote text"/>
    <w:basedOn w:val="Normal"/>
    <w:link w:val="EndnoteTextChar"/>
    <w:rsid w:val="00CD16D1"/>
    <w:pPr>
      <w:spacing w:before="180"/>
    </w:pPr>
    <w:rPr>
      <w:rFonts w:ascii="Times New Roman" w:hAnsi="Times New Roman"/>
      <w:sz w:val="20"/>
      <w:szCs w:val="20"/>
      <w:lang w:val="en-US" w:eastAsia="en-US"/>
    </w:rPr>
  </w:style>
  <w:style w:type="character" w:customStyle="1" w:styleId="EndnoteTextChar">
    <w:name w:val="Endnote Text Char"/>
    <w:basedOn w:val="DefaultParagraphFont"/>
    <w:link w:val="EndnoteText"/>
    <w:rsid w:val="00CD16D1"/>
    <w:rPr>
      <w:lang w:val="en-US" w:eastAsia="en-US"/>
    </w:rPr>
  </w:style>
  <w:style w:type="paragraph" w:styleId="EnvelopeAddress">
    <w:name w:val="envelope address"/>
    <w:basedOn w:val="Normal"/>
    <w:unhideWhenUsed/>
    <w:rsid w:val="00CD16D1"/>
    <w:pPr>
      <w:framePr w:w="7920" w:h="1980" w:hRule="exact" w:hSpace="180" w:wrap="auto" w:hAnchor="page" w:xAlign="center" w:yAlign="bottom"/>
      <w:spacing w:before="180" w:after="0"/>
      <w:ind w:left="2880"/>
    </w:pPr>
    <w:rPr>
      <w:rFonts w:ascii="Times New Roman" w:hAnsi="Times New Roman"/>
      <w:sz w:val="26"/>
      <w:szCs w:val="20"/>
      <w:lang w:val="en-US" w:eastAsia="en-US"/>
    </w:rPr>
  </w:style>
  <w:style w:type="paragraph" w:styleId="EnvelopeReturn">
    <w:name w:val="envelope return"/>
    <w:basedOn w:val="Normal"/>
    <w:unhideWhenUsed/>
    <w:rsid w:val="00CD16D1"/>
    <w:pPr>
      <w:spacing w:before="180" w:after="0"/>
    </w:pPr>
    <w:rPr>
      <w:rFonts w:ascii="Times New Roman" w:hAnsi="Times New Roman"/>
      <w:sz w:val="20"/>
      <w:szCs w:val="20"/>
      <w:lang w:val="en-US" w:eastAsia="en-US"/>
    </w:rPr>
  </w:style>
  <w:style w:type="character" w:customStyle="1" w:styleId="Heading4Char">
    <w:name w:val="Heading 4 Char"/>
    <w:basedOn w:val="DefaultParagraphFont"/>
    <w:link w:val="Heading4"/>
    <w:uiPriority w:val="9"/>
    <w:rsid w:val="00CD16D1"/>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CD16D1"/>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CD16D1"/>
    <w:rPr>
      <w:rFonts w:asciiTheme="minorHAnsi" w:eastAsiaTheme="minorHAnsi" w:hAnsiTheme="minorHAnsi" w:cs="Arial"/>
      <w:b/>
      <w:bCs/>
      <w:i/>
      <w:sz w:val="22"/>
      <w:szCs w:val="22"/>
      <w:lang w:val="en-US" w:eastAsia="en-US"/>
    </w:rPr>
  </w:style>
  <w:style w:type="character" w:styleId="HTMLAcronym">
    <w:name w:val="HTML Acronym"/>
    <w:basedOn w:val="DefaultParagraphFont"/>
    <w:uiPriority w:val="99"/>
    <w:unhideWhenUsed/>
    <w:rsid w:val="00CD16D1"/>
  </w:style>
  <w:style w:type="paragraph" w:styleId="HTMLAddress">
    <w:name w:val="HTML Address"/>
    <w:basedOn w:val="Normal"/>
    <w:link w:val="HTMLAddressChar"/>
    <w:uiPriority w:val="99"/>
    <w:unhideWhenUsed/>
    <w:rsid w:val="00CD16D1"/>
    <w:pPr>
      <w:spacing w:before="180" w:after="0"/>
    </w:pPr>
    <w:rPr>
      <w:rFonts w:ascii="Times New Roman" w:hAnsi="Times New Roman"/>
      <w:i/>
      <w:iCs/>
      <w:sz w:val="26"/>
      <w:szCs w:val="20"/>
      <w:lang w:val="en-US" w:eastAsia="en-US"/>
    </w:rPr>
  </w:style>
  <w:style w:type="character" w:customStyle="1" w:styleId="HTMLAddressChar">
    <w:name w:val="HTML Address Char"/>
    <w:basedOn w:val="DefaultParagraphFont"/>
    <w:link w:val="HTMLAddress"/>
    <w:uiPriority w:val="99"/>
    <w:rsid w:val="00CD16D1"/>
    <w:rPr>
      <w:i/>
      <w:iCs/>
      <w:sz w:val="26"/>
      <w:lang w:val="en-US" w:eastAsia="en-US"/>
    </w:rPr>
  </w:style>
  <w:style w:type="character" w:styleId="HTMLCite">
    <w:name w:val="HTML Cite"/>
    <w:basedOn w:val="DefaultParagraphFont"/>
    <w:uiPriority w:val="99"/>
    <w:unhideWhenUsed/>
    <w:rsid w:val="00CD16D1"/>
    <w:rPr>
      <w:i/>
      <w:iCs/>
    </w:rPr>
  </w:style>
  <w:style w:type="character" w:styleId="HTMLCode">
    <w:name w:val="HTML Code"/>
    <w:basedOn w:val="DefaultParagraphFont"/>
    <w:uiPriority w:val="99"/>
    <w:unhideWhenUsed/>
    <w:rsid w:val="00CD16D1"/>
    <w:rPr>
      <w:rFonts w:ascii="Consolas" w:hAnsi="Consolas"/>
      <w:sz w:val="20"/>
      <w:szCs w:val="20"/>
    </w:rPr>
  </w:style>
  <w:style w:type="character" w:styleId="HTMLDefinition">
    <w:name w:val="HTML Definition"/>
    <w:basedOn w:val="DefaultParagraphFont"/>
    <w:uiPriority w:val="99"/>
    <w:unhideWhenUsed/>
    <w:rsid w:val="00CD16D1"/>
    <w:rPr>
      <w:i/>
      <w:iCs/>
    </w:rPr>
  </w:style>
  <w:style w:type="character" w:styleId="HTMLKeyboard">
    <w:name w:val="HTML Keyboard"/>
    <w:basedOn w:val="DefaultParagraphFont"/>
    <w:uiPriority w:val="99"/>
    <w:unhideWhenUsed/>
    <w:rsid w:val="00CD16D1"/>
    <w:rPr>
      <w:rFonts w:ascii="Consolas" w:hAnsi="Consolas"/>
      <w:sz w:val="20"/>
      <w:szCs w:val="20"/>
    </w:rPr>
  </w:style>
  <w:style w:type="paragraph" w:styleId="HTMLPreformatted">
    <w:name w:val="HTML Preformatted"/>
    <w:basedOn w:val="Normal"/>
    <w:link w:val="HTMLPreformattedChar"/>
    <w:uiPriority w:val="99"/>
    <w:unhideWhenUsed/>
    <w:rsid w:val="00CD16D1"/>
    <w:pPr>
      <w:spacing w:before="180" w:after="0"/>
    </w:pPr>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CD16D1"/>
    <w:rPr>
      <w:rFonts w:ascii="Consolas" w:hAnsi="Consolas"/>
      <w:lang w:val="en-US" w:eastAsia="en-US"/>
    </w:rPr>
  </w:style>
  <w:style w:type="character" w:styleId="HTMLSample">
    <w:name w:val="HTML Sample"/>
    <w:basedOn w:val="DefaultParagraphFont"/>
    <w:uiPriority w:val="99"/>
    <w:unhideWhenUsed/>
    <w:rsid w:val="00CD16D1"/>
    <w:rPr>
      <w:rFonts w:ascii="Consolas" w:hAnsi="Consolas"/>
      <w:sz w:val="24"/>
      <w:szCs w:val="24"/>
    </w:rPr>
  </w:style>
  <w:style w:type="character" w:styleId="HTMLTypewriter">
    <w:name w:val="HTML Typewriter"/>
    <w:basedOn w:val="DefaultParagraphFont"/>
    <w:uiPriority w:val="99"/>
    <w:unhideWhenUsed/>
    <w:rsid w:val="00CD16D1"/>
    <w:rPr>
      <w:rFonts w:ascii="Consolas" w:hAnsi="Consolas"/>
      <w:sz w:val="20"/>
      <w:szCs w:val="20"/>
    </w:rPr>
  </w:style>
  <w:style w:type="character" w:styleId="HTMLVariable">
    <w:name w:val="HTML Variable"/>
    <w:basedOn w:val="DefaultParagraphFont"/>
    <w:uiPriority w:val="99"/>
    <w:unhideWhenUsed/>
    <w:rsid w:val="00CD16D1"/>
    <w:rPr>
      <w:i/>
      <w:iCs/>
    </w:rPr>
  </w:style>
  <w:style w:type="paragraph" w:styleId="Index1">
    <w:name w:val="index 1"/>
    <w:basedOn w:val="Normal"/>
    <w:next w:val="Normal"/>
    <w:autoRedefine/>
    <w:uiPriority w:val="99"/>
    <w:unhideWhenUsed/>
    <w:rsid w:val="00CD16D1"/>
    <w:pPr>
      <w:spacing w:before="180" w:after="0"/>
      <w:ind w:left="260" w:hanging="260"/>
    </w:pPr>
    <w:rPr>
      <w:rFonts w:ascii="Times New Roman" w:hAnsi="Times New Roman"/>
      <w:sz w:val="26"/>
      <w:szCs w:val="20"/>
      <w:lang w:val="en-US" w:eastAsia="en-US"/>
    </w:rPr>
  </w:style>
  <w:style w:type="paragraph" w:styleId="Index2">
    <w:name w:val="index 2"/>
    <w:basedOn w:val="Normal"/>
    <w:next w:val="Normal"/>
    <w:autoRedefine/>
    <w:uiPriority w:val="99"/>
    <w:unhideWhenUsed/>
    <w:rsid w:val="00CD16D1"/>
    <w:pPr>
      <w:spacing w:before="180" w:after="0"/>
      <w:ind w:left="520" w:hanging="260"/>
    </w:pPr>
    <w:rPr>
      <w:rFonts w:ascii="Times New Roman" w:hAnsi="Times New Roman"/>
      <w:sz w:val="26"/>
      <w:szCs w:val="20"/>
      <w:lang w:val="en-US" w:eastAsia="en-US"/>
    </w:rPr>
  </w:style>
  <w:style w:type="paragraph" w:styleId="Index3">
    <w:name w:val="index 3"/>
    <w:basedOn w:val="Normal"/>
    <w:next w:val="Normal"/>
    <w:autoRedefine/>
    <w:uiPriority w:val="99"/>
    <w:unhideWhenUsed/>
    <w:rsid w:val="00CD16D1"/>
    <w:pPr>
      <w:spacing w:before="180" w:after="0"/>
      <w:ind w:left="780" w:hanging="260"/>
    </w:pPr>
    <w:rPr>
      <w:rFonts w:ascii="Times New Roman" w:hAnsi="Times New Roman"/>
      <w:sz w:val="26"/>
      <w:szCs w:val="20"/>
      <w:lang w:val="en-US" w:eastAsia="en-US"/>
    </w:rPr>
  </w:style>
  <w:style w:type="paragraph" w:styleId="Index4">
    <w:name w:val="index 4"/>
    <w:basedOn w:val="Normal"/>
    <w:next w:val="Normal"/>
    <w:autoRedefine/>
    <w:uiPriority w:val="99"/>
    <w:unhideWhenUsed/>
    <w:rsid w:val="00CD16D1"/>
    <w:pPr>
      <w:spacing w:before="180" w:after="0"/>
      <w:ind w:left="1040" w:hanging="260"/>
    </w:pPr>
    <w:rPr>
      <w:rFonts w:ascii="Times New Roman" w:hAnsi="Times New Roman"/>
      <w:sz w:val="26"/>
      <w:szCs w:val="20"/>
      <w:lang w:val="en-US" w:eastAsia="en-US"/>
    </w:rPr>
  </w:style>
  <w:style w:type="paragraph" w:styleId="Index5">
    <w:name w:val="index 5"/>
    <w:basedOn w:val="Normal"/>
    <w:next w:val="Normal"/>
    <w:autoRedefine/>
    <w:uiPriority w:val="99"/>
    <w:unhideWhenUsed/>
    <w:rsid w:val="00CD16D1"/>
    <w:pPr>
      <w:spacing w:before="180" w:after="0"/>
      <w:ind w:left="1300" w:hanging="260"/>
    </w:pPr>
    <w:rPr>
      <w:rFonts w:ascii="Times New Roman" w:hAnsi="Times New Roman"/>
      <w:sz w:val="26"/>
      <w:szCs w:val="20"/>
      <w:lang w:val="en-US" w:eastAsia="en-US"/>
    </w:rPr>
  </w:style>
  <w:style w:type="paragraph" w:styleId="Index6">
    <w:name w:val="index 6"/>
    <w:basedOn w:val="Normal"/>
    <w:next w:val="Normal"/>
    <w:autoRedefine/>
    <w:uiPriority w:val="99"/>
    <w:unhideWhenUsed/>
    <w:rsid w:val="00CD16D1"/>
    <w:pPr>
      <w:spacing w:before="180" w:after="0"/>
      <w:ind w:left="1560" w:hanging="260"/>
    </w:pPr>
    <w:rPr>
      <w:rFonts w:ascii="Times New Roman" w:hAnsi="Times New Roman"/>
      <w:sz w:val="26"/>
      <w:szCs w:val="20"/>
      <w:lang w:val="en-US" w:eastAsia="en-US"/>
    </w:rPr>
  </w:style>
  <w:style w:type="paragraph" w:styleId="Index7">
    <w:name w:val="index 7"/>
    <w:basedOn w:val="Normal"/>
    <w:next w:val="Normal"/>
    <w:autoRedefine/>
    <w:uiPriority w:val="99"/>
    <w:unhideWhenUsed/>
    <w:rsid w:val="00CD16D1"/>
    <w:pPr>
      <w:spacing w:before="180" w:after="0"/>
      <w:ind w:left="1820" w:hanging="260"/>
    </w:pPr>
    <w:rPr>
      <w:rFonts w:ascii="Times New Roman" w:hAnsi="Times New Roman"/>
      <w:sz w:val="26"/>
      <w:szCs w:val="20"/>
      <w:lang w:val="en-US" w:eastAsia="en-US"/>
    </w:rPr>
  </w:style>
  <w:style w:type="paragraph" w:styleId="Index8">
    <w:name w:val="index 8"/>
    <w:basedOn w:val="Normal"/>
    <w:next w:val="Normal"/>
    <w:autoRedefine/>
    <w:uiPriority w:val="99"/>
    <w:unhideWhenUsed/>
    <w:rsid w:val="00CD16D1"/>
    <w:pPr>
      <w:spacing w:before="180" w:after="0"/>
      <w:ind w:left="2080" w:hanging="260"/>
    </w:pPr>
    <w:rPr>
      <w:rFonts w:ascii="Times New Roman" w:hAnsi="Times New Roman"/>
      <w:sz w:val="26"/>
      <w:szCs w:val="20"/>
      <w:lang w:val="en-US" w:eastAsia="en-US"/>
    </w:rPr>
  </w:style>
  <w:style w:type="paragraph" w:styleId="Index9">
    <w:name w:val="index 9"/>
    <w:basedOn w:val="Normal"/>
    <w:next w:val="Normal"/>
    <w:autoRedefine/>
    <w:uiPriority w:val="99"/>
    <w:unhideWhenUsed/>
    <w:rsid w:val="00CD16D1"/>
    <w:pPr>
      <w:spacing w:before="180" w:after="0"/>
      <w:ind w:left="2340" w:hanging="260"/>
    </w:pPr>
    <w:rPr>
      <w:rFonts w:ascii="Times New Roman" w:hAnsi="Times New Roman"/>
      <w:sz w:val="26"/>
      <w:szCs w:val="20"/>
      <w:lang w:val="en-US" w:eastAsia="en-US"/>
    </w:rPr>
  </w:style>
  <w:style w:type="paragraph" w:styleId="IndexHeading">
    <w:name w:val="index heading"/>
    <w:basedOn w:val="Normal"/>
    <w:next w:val="Index1"/>
    <w:uiPriority w:val="99"/>
    <w:unhideWhenUsed/>
    <w:rsid w:val="00CD16D1"/>
    <w:pPr>
      <w:spacing w:before="180"/>
    </w:pPr>
    <w:rPr>
      <w:rFonts w:asciiTheme="majorHAnsi" w:eastAsiaTheme="majorEastAsia" w:hAnsiTheme="majorHAnsi" w:cstheme="majorBidi"/>
      <w:b/>
      <w:bCs/>
      <w:sz w:val="26"/>
      <w:szCs w:val="20"/>
      <w:lang w:val="en-US" w:eastAsia="en-US"/>
    </w:rPr>
  </w:style>
  <w:style w:type="character" w:styleId="LineNumber">
    <w:name w:val="line number"/>
    <w:basedOn w:val="DefaultParagraphFont"/>
    <w:unhideWhenUsed/>
    <w:rsid w:val="00CD16D1"/>
  </w:style>
  <w:style w:type="paragraph" w:styleId="List">
    <w:name w:val="List"/>
    <w:basedOn w:val="Normal"/>
    <w:uiPriority w:val="99"/>
    <w:unhideWhenUsed/>
    <w:rsid w:val="00CD16D1"/>
    <w:pPr>
      <w:spacing w:before="180"/>
      <w:ind w:left="360" w:hanging="360"/>
      <w:contextualSpacing/>
    </w:pPr>
    <w:rPr>
      <w:rFonts w:ascii="Times New Roman" w:hAnsi="Times New Roman"/>
      <w:sz w:val="26"/>
      <w:szCs w:val="20"/>
      <w:lang w:val="en-US" w:eastAsia="en-US"/>
    </w:rPr>
  </w:style>
  <w:style w:type="paragraph" w:styleId="List2">
    <w:name w:val="List 2"/>
    <w:basedOn w:val="Normal"/>
    <w:uiPriority w:val="99"/>
    <w:unhideWhenUsed/>
    <w:rsid w:val="00CD16D1"/>
    <w:pPr>
      <w:spacing w:before="180"/>
      <w:ind w:left="720" w:hanging="360"/>
      <w:contextualSpacing/>
    </w:pPr>
    <w:rPr>
      <w:rFonts w:ascii="Times New Roman" w:hAnsi="Times New Roman"/>
      <w:sz w:val="26"/>
      <w:szCs w:val="20"/>
      <w:lang w:val="en-US" w:eastAsia="en-US"/>
    </w:rPr>
  </w:style>
  <w:style w:type="paragraph" w:styleId="List3">
    <w:name w:val="List 3"/>
    <w:basedOn w:val="Normal"/>
    <w:uiPriority w:val="99"/>
    <w:unhideWhenUsed/>
    <w:rsid w:val="00CD16D1"/>
    <w:pPr>
      <w:spacing w:before="180"/>
      <w:ind w:left="1080" w:hanging="360"/>
      <w:contextualSpacing/>
    </w:pPr>
    <w:rPr>
      <w:rFonts w:ascii="Times New Roman" w:hAnsi="Times New Roman"/>
      <w:sz w:val="26"/>
      <w:szCs w:val="20"/>
      <w:lang w:val="en-US" w:eastAsia="en-US"/>
    </w:rPr>
  </w:style>
  <w:style w:type="paragraph" w:styleId="List4">
    <w:name w:val="List 4"/>
    <w:basedOn w:val="Normal"/>
    <w:uiPriority w:val="99"/>
    <w:unhideWhenUsed/>
    <w:rsid w:val="00CD16D1"/>
    <w:pPr>
      <w:spacing w:before="180"/>
      <w:ind w:left="1440" w:hanging="360"/>
      <w:contextualSpacing/>
    </w:pPr>
    <w:rPr>
      <w:rFonts w:ascii="Times New Roman" w:hAnsi="Times New Roman"/>
      <w:sz w:val="26"/>
      <w:szCs w:val="20"/>
      <w:lang w:val="en-US" w:eastAsia="en-US"/>
    </w:rPr>
  </w:style>
  <w:style w:type="paragraph" w:styleId="List5">
    <w:name w:val="List 5"/>
    <w:basedOn w:val="Normal"/>
    <w:uiPriority w:val="99"/>
    <w:unhideWhenUsed/>
    <w:rsid w:val="00CD16D1"/>
    <w:pPr>
      <w:spacing w:before="180"/>
      <w:ind w:left="1800" w:hanging="360"/>
      <w:contextualSpacing/>
    </w:pPr>
    <w:rPr>
      <w:rFonts w:ascii="Times New Roman" w:hAnsi="Times New Roman"/>
      <w:sz w:val="26"/>
      <w:szCs w:val="20"/>
      <w:lang w:val="en-US" w:eastAsia="en-US"/>
    </w:rPr>
  </w:style>
  <w:style w:type="paragraph" w:styleId="ListBullet">
    <w:name w:val="List Bullet"/>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Bullet2">
    <w:name w:val="List Bullet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Bullet3">
    <w:name w:val="List Bullet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Bullet4">
    <w:name w:val="List Bullet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Bullet5">
    <w:name w:val="List Bullet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ListContinue2">
    <w:name w:val="List Continue 2"/>
    <w:basedOn w:val="Normal"/>
    <w:uiPriority w:val="99"/>
    <w:unhideWhenUsed/>
    <w:rsid w:val="00CD16D1"/>
    <w:pPr>
      <w:spacing w:before="180" w:after="120"/>
      <w:ind w:left="720"/>
      <w:contextualSpacing/>
    </w:pPr>
    <w:rPr>
      <w:rFonts w:ascii="Times New Roman" w:hAnsi="Times New Roman"/>
      <w:sz w:val="26"/>
      <w:szCs w:val="20"/>
      <w:lang w:val="en-US" w:eastAsia="en-US"/>
    </w:rPr>
  </w:style>
  <w:style w:type="paragraph" w:styleId="ListContinue3">
    <w:name w:val="List Continue 3"/>
    <w:basedOn w:val="Normal"/>
    <w:uiPriority w:val="99"/>
    <w:unhideWhenUsed/>
    <w:rsid w:val="00CD16D1"/>
    <w:pPr>
      <w:spacing w:before="180" w:after="120"/>
      <w:ind w:left="1080"/>
      <w:contextualSpacing/>
    </w:pPr>
    <w:rPr>
      <w:rFonts w:ascii="Times New Roman" w:hAnsi="Times New Roman"/>
      <w:sz w:val="26"/>
      <w:szCs w:val="20"/>
      <w:lang w:val="en-US" w:eastAsia="en-US"/>
    </w:rPr>
  </w:style>
  <w:style w:type="paragraph" w:styleId="ListContinue4">
    <w:name w:val="List Continue 4"/>
    <w:basedOn w:val="Normal"/>
    <w:uiPriority w:val="99"/>
    <w:unhideWhenUsed/>
    <w:rsid w:val="00CD16D1"/>
    <w:pPr>
      <w:spacing w:before="180" w:after="120"/>
      <w:ind w:left="1440"/>
      <w:contextualSpacing/>
    </w:pPr>
    <w:rPr>
      <w:rFonts w:ascii="Times New Roman" w:hAnsi="Times New Roman"/>
      <w:sz w:val="26"/>
      <w:szCs w:val="20"/>
      <w:lang w:val="en-US" w:eastAsia="en-US"/>
    </w:rPr>
  </w:style>
  <w:style w:type="paragraph" w:styleId="ListContinue5">
    <w:name w:val="List Continue 5"/>
    <w:basedOn w:val="Normal"/>
    <w:uiPriority w:val="99"/>
    <w:unhideWhenUsed/>
    <w:rsid w:val="00CD16D1"/>
    <w:pPr>
      <w:spacing w:before="180" w:after="120"/>
      <w:ind w:left="1800"/>
      <w:contextualSpacing/>
    </w:pPr>
    <w:rPr>
      <w:rFonts w:ascii="Times New Roman" w:hAnsi="Times New Roman"/>
      <w:sz w:val="26"/>
      <w:szCs w:val="20"/>
      <w:lang w:val="en-US" w:eastAsia="en-US"/>
    </w:rPr>
  </w:style>
  <w:style w:type="paragraph" w:styleId="ListNumber">
    <w:name w:val="List Number"/>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Number2">
    <w:name w:val="List Number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Number3">
    <w:name w:val="List Number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Number4">
    <w:name w:val="List Number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Number5">
    <w:name w:val="List Number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MacroText">
    <w:name w:val="macro"/>
    <w:link w:val="MacroTextChar"/>
    <w:rsid w:val="00CD16D1"/>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lang w:val="en-US" w:eastAsia="en-US"/>
    </w:rPr>
  </w:style>
  <w:style w:type="character" w:customStyle="1" w:styleId="MacroTextChar">
    <w:name w:val="Macro Text Char"/>
    <w:basedOn w:val="DefaultParagraphFont"/>
    <w:link w:val="MacroText"/>
    <w:rsid w:val="00CD16D1"/>
    <w:rPr>
      <w:rFonts w:ascii="Arial" w:hAnsi="Arial"/>
      <w:lang w:val="en-US" w:eastAsia="en-US"/>
    </w:rPr>
  </w:style>
  <w:style w:type="paragraph" w:styleId="MessageHeader">
    <w:name w:val="Message Header"/>
    <w:basedOn w:val="Normal"/>
    <w:link w:val="MessageHeaderChar"/>
    <w:unhideWhenUsed/>
    <w:rsid w:val="00CD16D1"/>
    <w:pPr>
      <w:pBdr>
        <w:top w:val="single" w:sz="6" w:space="1" w:color="auto"/>
        <w:left w:val="single" w:sz="6" w:space="1" w:color="auto"/>
        <w:bottom w:val="single" w:sz="6" w:space="1" w:color="auto"/>
        <w:right w:val="single" w:sz="6" w:space="1" w:color="auto"/>
      </w:pBdr>
      <w:shd w:val="pct20" w:color="auto" w:fill="auto"/>
      <w:spacing w:before="180"/>
      <w:ind w:left="1134" w:hanging="1134"/>
    </w:pPr>
    <w:rPr>
      <w:rFonts w:ascii="Arial" w:hAnsi="Arial" w:cs="Arial"/>
      <w:sz w:val="24"/>
      <w:lang w:val="en-US" w:eastAsia="en-US"/>
    </w:rPr>
  </w:style>
  <w:style w:type="character" w:customStyle="1" w:styleId="MessageHeaderChar">
    <w:name w:val="Message Header Char"/>
    <w:basedOn w:val="DefaultParagraphFont"/>
    <w:link w:val="MessageHeader"/>
    <w:rsid w:val="00CD16D1"/>
    <w:rPr>
      <w:rFonts w:ascii="Arial" w:hAnsi="Arial" w:cs="Arial"/>
      <w:sz w:val="24"/>
      <w:szCs w:val="24"/>
      <w:shd w:val="pct20" w:color="auto" w:fill="auto"/>
      <w:lang w:val="en-US" w:eastAsia="en-US"/>
    </w:rPr>
  </w:style>
  <w:style w:type="paragraph" w:styleId="NormalIndent">
    <w:name w:val="Normal Indent"/>
    <w:basedOn w:val="Normal"/>
    <w:uiPriority w:val="99"/>
    <w:unhideWhenUsed/>
    <w:rsid w:val="00CD16D1"/>
    <w:pPr>
      <w:spacing w:before="180"/>
      <w:ind w:left="720"/>
    </w:pPr>
    <w:rPr>
      <w:rFonts w:ascii="Times New Roman" w:hAnsi="Times New Roman"/>
      <w:sz w:val="26"/>
      <w:szCs w:val="20"/>
      <w:lang w:val="en-US" w:eastAsia="en-US"/>
    </w:rPr>
  </w:style>
  <w:style w:type="paragraph" w:styleId="NoteHeading">
    <w:name w:val="Note Heading"/>
    <w:basedOn w:val="Normal"/>
    <w:next w:val="Normal"/>
    <w:link w:val="NoteHeadingChar"/>
    <w:uiPriority w:val="99"/>
    <w:unhideWhenUsed/>
    <w:rsid w:val="00CD16D1"/>
    <w:pPr>
      <w:spacing w:before="180" w:after="0"/>
    </w:pPr>
    <w:rPr>
      <w:rFonts w:ascii="Times New Roman" w:hAnsi="Times New Roman"/>
      <w:sz w:val="26"/>
      <w:szCs w:val="20"/>
      <w:lang w:val="en-US" w:eastAsia="en-US"/>
    </w:rPr>
  </w:style>
  <w:style w:type="character" w:customStyle="1" w:styleId="NoteHeadingChar">
    <w:name w:val="Note Heading Char"/>
    <w:basedOn w:val="DefaultParagraphFont"/>
    <w:link w:val="NoteHeading"/>
    <w:uiPriority w:val="99"/>
    <w:rsid w:val="00CD16D1"/>
    <w:rPr>
      <w:sz w:val="26"/>
      <w:lang w:val="en-US" w:eastAsia="en-US"/>
    </w:rPr>
  </w:style>
  <w:style w:type="character" w:styleId="PlaceholderText">
    <w:name w:val="Placeholder Text"/>
    <w:basedOn w:val="DefaultParagraphFont"/>
    <w:uiPriority w:val="99"/>
    <w:semiHidden/>
    <w:rsid w:val="00CD16D1"/>
    <w:rPr>
      <w:color w:val="808080"/>
    </w:rPr>
  </w:style>
  <w:style w:type="paragraph" w:styleId="PlainText">
    <w:name w:val="Plain Text"/>
    <w:basedOn w:val="Normal"/>
    <w:link w:val="PlainTextChar"/>
    <w:uiPriority w:val="99"/>
    <w:unhideWhenUsed/>
    <w:rsid w:val="00CD16D1"/>
    <w:pPr>
      <w:spacing w:before="180" w:after="0"/>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CD16D1"/>
    <w:rPr>
      <w:rFonts w:ascii="Consolas" w:hAnsi="Consolas"/>
      <w:sz w:val="21"/>
      <w:szCs w:val="21"/>
      <w:lang w:val="en-US" w:eastAsia="en-US"/>
    </w:rPr>
  </w:style>
  <w:style w:type="paragraph" w:styleId="Salutation">
    <w:name w:val="Salutation"/>
    <w:basedOn w:val="Normal"/>
    <w:next w:val="Normal"/>
    <w:link w:val="SalutationChar"/>
    <w:uiPriority w:val="99"/>
    <w:unhideWhenUsed/>
    <w:rsid w:val="00CD16D1"/>
    <w:pPr>
      <w:spacing w:before="180"/>
    </w:pPr>
    <w:rPr>
      <w:rFonts w:ascii="Times New Roman" w:hAnsi="Times New Roman"/>
      <w:sz w:val="26"/>
      <w:szCs w:val="20"/>
      <w:lang w:val="en-US" w:eastAsia="en-US"/>
    </w:rPr>
  </w:style>
  <w:style w:type="character" w:customStyle="1" w:styleId="SalutationChar">
    <w:name w:val="Salutation Char"/>
    <w:basedOn w:val="DefaultParagraphFont"/>
    <w:link w:val="Salutation"/>
    <w:uiPriority w:val="99"/>
    <w:rsid w:val="00CD16D1"/>
    <w:rPr>
      <w:sz w:val="26"/>
      <w:lang w:val="en-US" w:eastAsia="en-US"/>
    </w:rPr>
  </w:style>
  <w:style w:type="paragraph" w:styleId="Signature">
    <w:name w:val="Signature"/>
    <w:basedOn w:val="Normal"/>
    <w:link w:val="SignatureChar"/>
    <w:uiPriority w:val="99"/>
    <w:unhideWhenUsed/>
    <w:rsid w:val="00CD16D1"/>
    <w:pPr>
      <w:spacing w:before="180" w:after="0"/>
      <w:ind w:left="4320"/>
    </w:pPr>
    <w:rPr>
      <w:rFonts w:ascii="Times New Roman" w:hAnsi="Times New Roman"/>
      <w:sz w:val="26"/>
      <w:szCs w:val="20"/>
      <w:lang w:val="en-US" w:eastAsia="en-US"/>
    </w:rPr>
  </w:style>
  <w:style w:type="character" w:customStyle="1" w:styleId="SignatureChar">
    <w:name w:val="Signature Char"/>
    <w:basedOn w:val="DefaultParagraphFont"/>
    <w:link w:val="Signature"/>
    <w:uiPriority w:val="99"/>
    <w:rsid w:val="00CD16D1"/>
    <w:rPr>
      <w:sz w:val="26"/>
      <w:lang w:val="en-US" w:eastAsia="en-US"/>
    </w:rPr>
  </w:style>
  <w:style w:type="paragraph" w:styleId="TableofAuthorities">
    <w:name w:val="table of authorities"/>
    <w:basedOn w:val="Normal"/>
    <w:next w:val="Normal"/>
    <w:uiPriority w:val="99"/>
    <w:unhideWhenUsed/>
    <w:rsid w:val="00CD16D1"/>
    <w:pPr>
      <w:spacing w:before="180" w:after="0"/>
      <w:ind w:left="260" w:hanging="260"/>
    </w:pPr>
    <w:rPr>
      <w:rFonts w:ascii="Times New Roman" w:hAnsi="Times New Roman"/>
      <w:sz w:val="26"/>
      <w:szCs w:val="20"/>
      <w:lang w:val="en-US" w:eastAsia="en-US"/>
    </w:rPr>
  </w:style>
  <w:style w:type="paragraph" w:styleId="TOAHeading">
    <w:name w:val="toa heading"/>
    <w:basedOn w:val="Normal"/>
    <w:next w:val="Normal"/>
    <w:uiPriority w:val="99"/>
    <w:unhideWhenUsed/>
    <w:rsid w:val="00CD16D1"/>
    <w:rPr>
      <w:rFonts w:asciiTheme="majorHAnsi" w:eastAsiaTheme="majorEastAsia" w:hAnsiTheme="majorHAnsi" w:cstheme="majorBidi"/>
      <w:b/>
      <w:bCs/>
      <w:sz w:val="24"/>
      <w:lang w:val="en-US" w:eastAsia="en-US"/>
    </w:rPr>
  </w:style>
  <w:style w:type="paragraph" w:customStyle="1" w:styleId="10tablenormal">
    <w:name w:val="10 table normal"/>
    <w:basedOn w:val="Normal"/>
    <w:rsid w:val="00CD16D1"/>
    <w:pPr>
      <w:ind w:right="142"/>
    </w:pPr>
    <w:rPr>
      <w:rFonts w:ascii="Times New Roman" w:hAnsi="Times New Roman"/>
      <w:sz w:val="26"/>
      <w:szCs w:val="20"/>
      <w:lang w:val="en-US" w:eastAsia="en-US"/>
    </w:rPr>
  </w:style>
  <w:style w:type="paragraph" w:customStyle="1" w:styleId="15tableheading">
    <w:name w:val="15 table heading"/>
    <w:basedOn w:val="10tablenormal"/>
    <w:next w:val="10tablenormal"/>
    <w:rsid w:val="00CD16D1"/>
    <w:rPr>
      <w:b/>
    </w:rPr>
  </w:style>
  <w:style w:type="paragraph" w:customStyle="1" w:styleId="22numberedparagraph">
    <w:name w:val="22 numbered paragraph"/>
    <w:basedOn w:val="Normal"/>
    <w:next w:val="Normal"/>
    <w:link w:val="22numberedparagraphChar"/>
    <w:uiPriority w:val="11"/>
    <w:rsid w:val="00CD16D1"/>
    <w:pPr>
      <w:spacing w:before="180"/>
      <w:outlineLvl w:val="3"/>
    </w:pPr>
    <w:rPr>
      <w:rFonts w:ascii="Arial" w:hAnsi="Arial"/>
      <w:b/>
      <w:sz w:val="24"/>
      <w:szCs w:val="20"/>
      <w:lang w:val="en-US" w:eastAsia="en-US"/>
    </w:rPr>
  </w:style>
  <w:style w:type="paragraph" w:customStyle="1" w:styleId="24enddate">
    <w:name w:val="24 end date"/>
    <w:basedOn w:val="Normal"/>
    <w:next w:val="Normal"/>
    <w:rsid w:val="00CD16D1"/>
    <w:pPr>
      <w:pBdr>
        <w:top w:val="single" w:sz="4" w:space="6" w:color="auto"/>
      </w:pBdr>
      <w:spacing w:before="300"/>
    </w:pPr>
    <w:rPr>
      <w:rFonts w:ascii="Arial" w:hAnsi="Arial"/>
      <w:sz w:val="20"/>
      <w:szCs w:val="20"/>
      <w:lang w:val="en-US" w:eastAsia="en-US"/>
    </w:rPr>
  </w:style>
  <w:style w:type="paragraph" w:customStyle="1" w:styleId="30documenttitle">
    <w:name w:val="30 document title"/>
    <w:basedOn w:val="Normal"/>
    <w:next w:val="Normal"/>
    <w:rsid w:val="00CD16D1"/>
    <w:pPr>
      <w:spacing w:before="600" w:after="360"/>
      <w:ind w:right="1080"/>
      <w:outlineLvl w:val="0"/>
    </w:pPr>
    <w:rPr>
      <w:rFonts w:ascii="Arial" w:hAnsi="Arial"/>
      <w:sz w:val="44"/>
      <w:szCs w:val="20"/>
      <w:lang w:val="en-US" w:eastAsia="en-US"/>
    </w:rPr>
  </w:style>
  <w:style w:type="paragraph" w:customStyle="1" w:styleId="31subtitle">
    <w:name w:val="31 subtitle"/>
    <w:basedOn w:val="Normal"/>
    <w:next w:val="Normal"/>
    <w:rsid w:val="00CD16D1"/>
    <w:pPr>
      <w:spacing w:before="180" w:after="360"/>
      <w:ind w:right="3600"/>
    </w:pPr>
    <w:rPr>
      <w:rFonts w:ascii="Arial" w:hAnsi="Arial"/>
      <w:sz w:val="24"/>
      <w:szCs w:val="20"/>
      <w:lang w:val="en-US" w:eastAsia="en-US"/>
    </w:rPr>
  </w:style>
  <w:style w:type="paragraph" w:customStyle="1" w:styleId="32chaptertitle">
    <w:name w:val="32 chapter title"/>
    <w:basedOn w:val="Normal"/>
    <w:next w:val="Normal"/>
    <w:uiPriority w:val="12"/>
    <w:rsid w:val="00CD16D1"/>
    <w:pPr>
      <w:pageBreakBefore/>
      <w:spacing w:before="0" w:after="300"/>
      <w:ind w:left="562" w:right="1080" w:hanging="562"/>
      <w:outlineLvl w:val="0"/>
    </w:pPr>
    <w:rPr>
      <w:rFonts w:ascii="Arial" w:hAnsi="Arial"/>
      <w:sz w:val="44"/>
      <w:szCs w:val="20"/>
      <w:lang w:val="en-US" w:eastAsia="en-US"/>
    </w:rPr>
  </w:style>
  <w:style w:type="paragraph" w:customStyle="1" w:styleId="33contentschapter">
    <w:name w:val="33 contents chapter"/>
    <w:basedOn w:val="Normal"/>
    <w:next w:val="Normal"/>
    <w:rsid w:val="00CD16D1"/>
    <w:pPr>
      <w:spacing w:before="180" w:after="1000"/>
    </w:pPr>
    <w:rPr>
      <w:rFonts w:ascii="Arial" w:hAnsi="Arial" w:cs="Arial"/>
      <w:sz w:val="44"/>
      <w:szCs w:val="20"/>
      <w:lang w:val="en-US" w:eastAsia="en-US"/>
    </w:rPr>
  </w:style>
  <w:style w:type="paragraph" w:customStyle="1" w:styleId="36opener">
    <w:name w:val="36 opener"/>
    <w:basedOn w:val="Normal"/>
    <w:rsid w:val="00CD16D1"/>
    <w:pPr>
      <w:tabs>
        <w:tab w:val="right" w:pos="-261"/>
      </w:tabs>
      <w:spacing w:before="180" w:after="0"/>
      <w:ind w:hanging="2160"/>
    </w:pPr>
    <w:rPr>
      <w:rFonts w:ascii="Times New Roman" w:hAnsi="Times New Roman"/>
      <w:sz w:val="26"/>
      <w:szCs w:val="20"/>
      <w:lang w:val="en-US" w:eastAsia="en-US"/>
    </w:rPr>
  </w:style>
  <w:style w:type="paragraph" w:customStyle="1" w:styleId="39restrictivenote">
    <w:name w:val="39 restrictive note"/>
    <w:basedOn w:val="Normal"/>
    <w:next w:val="Normal"/>
    <w:rsid w:val="00CD16D1"/>
    <w:pPr>
      <w:spacing w:before="180"/>
    </w:pPr>
    <w:rPr>
      <w:rFonts w:ascii="Arial" w:hAnsi="Arial"/>
      <w:caps/>
      <w:sz w:val="20"/>
      <w:szCs w:val="20"/>
      <w:lang w:val="en-US" w:eastAsia="en-US"/>
    </w:rPr>
  </w:style>
  <w:style w:type="paragraph" w:customStyle="1" w:styleId="40address">
    <w:name w:val="40 address"/>
    <w:basedOn w:val="Normal"/>
    <w:rsid w:val="00CD16D1"/>
    <w:pPr>
      <w:spacing w:before="180"/>
    </w:pPr>
    <w:rPr>
      <w:rFonts w:ascii="Times New Roman" w:hAnsi="Times New Roman"/>
      <w:sz w:val="26"/>
      <w:szCs w:val="20"/>
      <w:lang w:val="en-US" w:eastAsia="en-US"/>
    </w:rPr>
  </w:style>
  <w:style w:type="paragraph" w:customStyle="1" w:styleId="41closing">
    <w:name w:val="41 closing"/>
    <w:basedOn w:val="Normal"/>
    <w:rsid w:val="00CD16D1"/>
    <w:pPr>
      <w:spacing w:before="60"/>
      <w:ind w:left="3958"/>
    </w:pPr>
    <w:rPr>
      <w:rFonts w:ascii="Times New Roman" w:hAnsi="Times New Roman"/>
      <w:sz w:val="26"/>
      <w:szCs w:val="20"/>
      <w:lang w:val="en-US" w:eastAsia="en-US"/>
    </w:rPr>
  </w:style>
  <w:style w:type="paragraph" w:customStyle="1" w:styleId="42cc">
    <w:name w:val="42 cc:"/>
    <w:basedOn w:val="Normal"/>
    <w:rsid w:val="00CD16D1"/>
    <w:pPr>
      <w:spacing w:before="180"/>
      <w:ind w:left="544" w:hanging="544"/>
    </w:pPr>
    <w:rPr>
      <w:rFonts w:ascii="Times New Roman" w:hAnsi="Times New Roman"/>
      <w:sz w:val="26"/>
      <w:szCs w:val="20"/>
      <w:lang w:val="en-US" w:eastAsia="en-US"/>
    </w:rPr>
  </w:style>
  <w:style w:type="paragraph" w:customStyle="1" w:styleId="DocumentID-BL">
    <w:name w:val="DocumentID-B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Global">
    <w:name w:val="DocumentID-BLGloba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T">
    <w:name w:val="DocumentID-BLT"/>
    <w:basedOn w:val="DocumentID-BL"/>
    <w:rsid w:val="00CD16D1"/>
    <w:pPr>
      <w:framePr w:wrap="around"/>
    </w:pPr>
    <w:rPr>
      <w:vanish/>
      <w:color w:val="FF0000"/>
    </w:rPr>
  </w:style>
  <w:style w:type="paragraph" w:customStyle="1" w:styleId="DocumentID-TR">
    <w:name w:val="DocumentID-TR"/>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Global">
    <w:name w:val="DocumentID-TRGlobal"/>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T">
    <w:name w:val="DocumentID-TRT"/>
    <w:basedOn w:val="DocumentID-TR"/>
    <w:rsid w:val="00CD16D1"/>
    <w:pPr>
      <w:framePr w:wrap="around"/>
    </w:pPr>
    <w:rPr>
      <w:vanish/>
      <w:color w:val="FF0000"/>
    </w:rPr>
  </w:style>
  <w:style w:type="paragraph" w:customStyle="1" w:styleId="SOPP20major">
    <w:name w:val="SOPP_20 major"/>
    <w:basedOn w:val="Normal"/>
    <w:next w:val="Normal"/>
    <w:rsid w:val="00CD16D1"/>
    <w:pPr>
      <w:keepNext/>
      <w:spacing w:before="540" w:after="120"/>
      <w:ind w:right="360"/>
      <w:outlineLvl w:val="2"/>
    </w:pPr>
    <w:rPr>
      <w:rFonts w:ascii="Arial" w:hAnsi="Arial"/>
      <w:b/>
      <w:caps/>
      <w:sz w:val="24"/>
      <w:szCs w:val="20"/>
      <w:lang w:val="cs-CZ" w:eastAsia="en-US"/>
    </w:rPr>
  </w:style>
  <w:style w:type="paragraph" w:customStyle="1" w:styleId="SOPP21minor">
    <w:name w:val="SOPP_21 minor"/>
    <w:basedOn w:val="Normal"/>
    <w:next w:val="Normal"/>
    <w:rsid w:val="00CD16D1"/>
    <w:pPr>
      <w:keepNext/>
      <w:spacing w:before="420" w:after="120"/>
      <w:ind w:right="360"/>
      <w:outlineLvl w:val="3"/>
    </w:pPr>
    <w:rPr>
      <w:rFonts w:ascii="Arial" w:hAnsi="Arial"/>
      <w:b/>
      <w:sz w:val="26"/>
      <w:szCs w:val="20"/>
      <w:lang w:val="cs-CZ" w:eastAsia="en-US"/>
    </w:rPr>
  </w:style>
  <w:style w:type="paragraph" w:customStyle="1" w:styleId="SOPP30documenttitle">
    <w:name w:val="SOPP_30 document title"/>
    <w:basedOn w:val="Normal"/>
    <w:next w:val="Normal"/>
    <w:rsid w:val="00CD16D1"/>
    <w:pPr>
      <w:spacing w:before="780" w:after="360"/>
      <w:ind w:right="1080"/>
      <w:outlineLvl w:val="0"/>
    </w:pPr>
    <w:rPr>
      <w:rFonts w:ascii="Arial" w:hAnsi="Arial"/>
      <w:sz w:val="44"/>
      <w:szCs w:val="20"/>
      <w:lang w:val="cs-CZ" w:eastAsia="en-US"/>
    </w:rPr>
  </w:style>
  <w:style w:type="paragraph" w:customStyle="1" w:styleId="SOPP42cc">
    <w:name w:val="SOPP_42 cc:"/>
    <w:basedOn w:val="Normal"/>
    <w:rsid w:val="00CD16D1"/>
    <w:pPr>
      <w:spacing w:before="480"/>
      <w:ind w:left="544" w:hanging="544"/>
    </w:pPr>
    <w:rPr>
      <w:rFonts w:ascii="Times New Roman" w:hAnsi="Times New Roman"/>
      <w:sz w:val="26"/>
      <w:szCs w:val="20"/>
      <w:lang w:val="cs-CZ" w:eastAsia="en-US"/>
    </w:rPr>
  </w:style>
  <w:style w:type="character" w:customStyle="1" w:styleId="StyleArialLatin13pt">
    <w:name w:val="Style Arial (Latin) 13 pt"/>
    <w:basedOn w:val="DefaultParagraphFont"/>
    <w:rsid w:val="00CD16D1"/>
    <w:rPr>
      <w:rFonts w:ascii="Arial" w:hAnsi="Arial" w:cs="Arial"/>
      <w:color w:val="auto"/>
      <w:sz w:val="26"/>
    </w:rPr>
  </w:style>
  <w:style w:type="character" w:customStyle="1" w:styleId="StyleArial14pt">
    <w:name w:val="Style Arial 14 pt"/>
    <w:basedOn w:val="DefaultParagraphFont"/>
    <w:rsid w:val="00CD16D1"/>
    <w:rPr>
      <w:rFonts w:ascii="Arial" w:hAnsi="Arial"/>
      <w:color w:val="auto"/>
      <w:sz w:val="28"/>
    </w:rPr>
  </w:style>
  <w:style w:type="paragraph" w:customStyle="1" w:styleId="StyleArial22ptCustomAfter10pt">
    <w:name w:val="Style Arial 22 pt Custom After:  10 pt"/>
    <w:basedOn w:val="Normal"/>
    <w:rsid w:val="00CD16D1"/>
    <w:pPr>
      <w:spacing w:before="180" w:after="200"/>
    </w:pPr>
    <w:rPr>
      <w:rFonts w:ascii="Arial" w:hAnsi="Arial"/>
      <w:sz w:val="44"/>
      <w:szCs w:val="20"/>
      <w:lang w:val="en-US" w:eastAsia="en-US"/>
    </w:rPr>
  </w:style>
  <w:style w:type="paragraph" w:customStyle="1" w:styleId="TitlePageClient">
    <w:name w:val="Title Page_Client"/>
    <w:basedOn w:val="Normal"/>
    <w:next w:val="Normal"/>
    <w:rsid w:val="00CD16D1"/>
    <w:pPr>
      <w:spacing w:before="180"/>
    </w:pPr>
    <w:rPr>
      <w:rFonts w:ascii="Arial" w:hAnsi="Arial"/>
      <w:sz w:val="28"/>
      <w:szCs w:val="20"/>
      <w:lang w:val="en-US" w:eastAsia="en-US"/>
    </w:rPr>
  </w:style>
  <w:style w:type="paragraph" w:customStyle="1" w:styleId="TitlePageDisclaimer">
    <w:name w:val="Title Page_Disclaimer"/>
    <w:basedOn w:val="Normal"/>
    <w:rsid w:val="00CD16D1"/>
    <w:pPr>
      <w:spacing w:before="180"/>
    </w:pPr>
    <w:rPr>
      <w:rFonts w:ascii="Arial" w:hAnsi="Arial"/>
      <w:sz w:val="18"/>
      <w:szCs w:val="20"/>
      <w:lang w:val="en-US" w:eastAsia="en-US"/>
    </w:rPr>
  </w:style>
  <w:style w:type="paragraph" w:customStyle="1" w:styleId="TitlePageDocument">
    <w:name w:val="Title Page_Document"/>
    <w:basedOn w:val="Normal"/>
    <w:rsid w:val="00CD16D1"/>
    <w:pPr>
      <w:spacing w:before="180"/>
    </w:pPr>
    <w:rPr>
      <w:rFonts w:ascii="Arial" w:hAnsi="Arial" w:cs="Arial"/>
      <w:sz w:val="26"/>
      <w:szCs w:val="20"/>
      <w:lang w:val="en-US" w:eastAsia="en-US"/>
    </w:rPr>
  </w:style>
  <w:style w:type="paragraph" w:customStyle="1" w:styleId="TitlePageTitle">
    <w:name w:val="Title Page_Title"/>
    <w:basedOn w:val="Normal"/>
    <w:next w:val="Normal"/>
    <w:rsid w:val="00CD16D1"/>
    <w:pPr>
      <w:spacing w:before="180" w:after="200"/>
    </w:pPr>
    <w:rPr>
      <w:rFonts w:ascii="Arial" w:hAnsi="Arial"/>
      <w:sz w:val="44"/>
      <w:szCs w:val="20"/>
      <w:lang w:val="en-US" w:eastAsia="en-US"/>
    </w:rPr>
  </w:style>
  <w:style w:type="table" w:customStyle="1" w:styleId="McKTableStyle">
    <w:name w:val="McKTableStyle"/>
    <w:basedOn w:val="TableNormal"/>
    <w:uiPriority w:val="99"/>
    <w:rsid w:val="00CD16D1"/>
    <w:pPr>
      <w:spacing w:before="120" w:after="60"/>
      <w:ind w:right="289"/>
    </w:pPr>
    <w:rPr>
      <w:rFonts w:eastAsiaTheme="minorHAnsi" w:cstheme="minorBidi"/>
      <w:sz w:val="26"/>
      <w:szCs w:val="22"/>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CD16D1"/>
    <w:pPr>
      <w:spacing w:before="1680"/>
      <w:jc w:val="right"/>
    </w:pPr>
    <w:rPr>
      <w:rFonts w:ascii="Times New Roman" w:hAnsi="Times New Roman"/>
      <w:sz w:val="26"/>
      <w:szCs w:val="20"/>
      <w:lang w:val="en-US" w:eastAsia="en-US"/>
    </w:rPr>
  </w:style>
  <w:style w:type="paragraph" w:customStyle="1" w:styleId="StyleArialLatin12ptLeft-2cmAfter0pt">
    <w:name w:val="Style Arial (Latin) 12 pt Left:  -2 cm After:  0 pt"/>
    <w:basedOn w:val="Normal"/>
    <w:uiPriority w:val="49"/>
    <w:rsid w:val="00CD16D1"/>
    <w:pPr>
      <w:spacing w:before="180" w:after="0"/>
      <w:ind w:left="-1134"/>
    </w:pPr>
    <w:rPr>
      <w:rFonts w:ascii="Arial" w:hAnsi="Arial" w:cs="Arial"/>
      <w:sz w:val="26"/>
      <w:szCs w:val="20"/>
      <w:lang w:val="en-US" w:eastAsia="en-US"/>
    </w:rPr>
  </w:style>
  <w:style w:type="paragraph" w:customStyle="1" w:styleId="StyleArialLatin13ptLeft-2cmHanging099cmRight">
    <w:name w:val="Style Arial (Latin) 13 pt Left:  -2 cm Hanging:  0.99 cm Right:..."/>
    <w:basedOn w:val="Normal"/>
    <w:uiPriority w:val="49"/>
    <w:rsid w:val="00CD16D1"/>
    <w:pPr>
      <w:spacing w:before="180"/>
      <w:ind w:left="-573" w:right="1077" w:hanging="561"/>
    </w:pPr>
    <w:rPr>
      <w:rFonts w:ascii="Arial" w:hAnsi="Arial" w:cs="Arial"/>
      <w:sz w:val="26"/>
      <w:szCs w:val="20"/>
      <w:lang w:val="en-US" w:eastAsia="en-US"/>
    </w:rPr>
  </w:style>
  <w:style w:type="paragraph" w:customStyle="1" w:styleId="StyleArial10ptLeft-2cm">
    <w:name w:val="Style Arial 10 pt Left:  -2 cm"/>
    <w:basedOn w:val="Normal"/>
    <w:uiPriority w:val="49"/>
    <w:rsid w:val="00CD16D1"/>
    <w:pPr>
      <w:spacing w:before="180"/>
    </w:pPr>
    <w:rPr>
      <w:rFonts w:ascii="Arial" w:hAnsi="Arial"/>
      <w:sz w:val="20"/>
      <w:szCs w:val="20"/>
      <w:lang w:val="en-US" w:eastAsia="en-US"/>
    </w:rPr>
  </w:style>
  <w:style w:type="character" w:customStyle="1" w:styleId="22numberedparagraphChar">
    <w:name w:val="22 numbered paragraph Char"/>
    <w:basedOn w:val="DefaultParagraphFont"/>
    <w:link w:val="22numberedparagraph"/>
    <w:uiPriority w:val="11"/>
    <w:rsid w:val="00CD16D1"/>
    <w:rPr>
      <w:rFonts w:ascii="Arial" w:hAnsi="Arial"/>
      <w:b/>
      <w:sz w:val="24"/>
      <w:lang w:val="en-US" w:eastAsia="en-US"/>
    </w:rPr>
  </w:style>
  <w:style w:type="table" w:customStyle="1" w:styleId="ListTable3-Accent31">
    <w:name w:val="List Table 3 - Accent 31"/>
    <w:basedOn w:val="TableNormal"/>
    <w:uiPriority w:val="48"/>
    <w:rsid w:val="003E488A"/>
    <w:rPr>
      <w:rFonts w:asciiTheme="minorHAnsi" w:eastAsiaTheme="minorEastAsia"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Style3">
    <w:name w:val="Style3"/>
    <w:basedOn w:val="Itembulletlevel1"/>
    <w:link w:val="Style3Char"/>
    <w:uiPriority w:val="8"/>
    <w:rsid w:val="008D208D"/>
    <w:pPr>
      <w:numPr>
        <w:numId w:val="4"/>
      </w:numPr>
      <w:spacing w:line="240" w:lineRule="auto"/>
      <w:ind w:left="1071" w:hanging="357"/>
    </w:pPr>
  </w:style>
  <w:style w:type="character" w:customStyle="1" w:styleId="Itembulletlevel1Char">
    <w:name w:val="Item bullet level 1 Char"/>
    <w:basedOn w:val="DefaultParagraphFont"/>
    <w:link w:val="Itembulletlevel1"/>
    <w:uiPriority w:val="5"/>
    <w:rsid w:val="00B766A3"/>
    <w:rPr>
      <w:rFonts w:asciiTheme="minorHAnsi" w:hAnsiTheme="minorHAnsi"/>
      <w:sz w:val="22"/>
      <w:lang w:val="en-US" w:eastAsia="en-US"/>
    </w:rPr>
  </w:style>
  <w:style w:type="character" w:customStyle="1" w:styleId="Style3Char">
    <w:name w:val="Style3 Char"/>
    <w:basedOn w:val="Itembulletlevel1Char"/>
    <w:link w:val="Style3"/>
    <w:uiPriority w:val="8"/>
    <w:rsid w:val="00AB081B"/>
    <w:rPr>
      <w:rFonts w:asciiTheme="minorHAnsi" w:hAnsiTheme="minorHAnsi"/>
      <w:sz w:val="22"/>
      <w:lang w:val="en-US" w:eastAsia="en-US"/>
    </w:rPr>
  </w:style>
  <w:style w:type="character" w:customStyle="1" w:styleId="ItemdescriptorChar">
    <w:name w:val="Item descriptor Char"/>
    <w:basedOn w:val="DefaultParagraphFont"/>
    <w:link w:val="Itemdescriptor"/>
    <w:uiPriority w:val="6"/>
    <w:locked/>
    <w:rsid w:val="004E6528"/>
    <w:rPr>
      <w:rFonts w:asciiTheme="minorHAnsi" w:hAnsiTheme="minorHAnsi"/>
      <w:sz w:val="22"/>
      <w:szCs w:val="24"/>
      <w:lang w:val="en-GB"/>
    </w:rPr>
  </w:style>
  <w:style w:type="paragraph" w:customStyle="1" w:styleId="Itemdescriptor">
    <w:name w:val="Item descriptor"/>
    <w:basedOn w:val="Normal"/>
    <w:link w:val="ItemdescriptorChar"/>
    <w:uiPriority w:val="6"/>
    <w:rsid w:val="00E0126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pPr>
  </w:style>
  <w:style w:type="numbering" w:customStyle="1" w:styleId="Style4">
    <w:name w:val="Style4"/>
    <w:uiPriority w:val="99"/>
    <w:rsid w:val="007F4F5F"/>
  </w:style>
  <w:style w:type="paragraph" w:customStyle="1" w:styleId="Item">
    <w:name w:val="Item #"/>
    <w:basedOn w:val="Normal"/>
    <w:next w:val="Normal"/>
    <w:qFormat/>
    <w:rsid w:val="00F24B69"/>
    <w:pPr>
      <w:keepNext/>
      <w:keepLines/>
      <w:spacing w:before="240" w:after="0"/>
    </w:pPr>
    <w:rPr>
      <w:b/>
      <w:szCs w:val="22"/>
    </w:rPr>
  </w:style>
  <w:style w:type="numbering" w:customStyle="1" w:styleId="Style41">
    <w:name w:val="Style41"/>
    <w:next w:val="Style4"/>
    <w:uiPriority w:val="99"/>
    <w:rsid w:val="007F4F5F"/>
    <w:pPr>
      <w:numPr>
        <w:numId w:val="17"/>
      </w:numPr>
    </w:pPr>
  </w:style>
  <w:style w:type="character" w:customStyle="1" w:styleId="cit-name-surname">
    <w:name w:val="cit-name-surname"/>
    <w:basedOn w:val="DefaultParagraphFont"/>
    <w:rsid w:val="007B5DF3"/>
  </w:style>
  <w:style w:type="character" w:customStyle="1" w:styleId="cit-name-given-names">
    <w:name w:val="cit-name-given-names"/>
    <w:basedOn w:val="DefaultParagraphFont"/>
    <w:rsid w:val="007B5DF3"/>
  </w:style>
  <w:style w:type="character" w:customStyle="1" w:styleId="cit-etal">
    <w:name w:val="cit-etal"/>
    <w:basedOn w:val="DefaultParagraphFont"/>
    <w:rsid w:val="007B5DF3"/>
  </w:style>
  <w:style w:type="character" w:customStyle="1" w:styleId="cit-pub-date">
    <w:name w:val="cit-pub-date"/>
    <w:basedOn w:val="DefaultParagraphFont"/>
    <w:rsid w:val="007B5DF3"/>
  </w:style>
  <w:style w:type="character" w:customStyle="1" w:styleId="cit-article-title">
    <w:name w:val="cit-article-title"/>
    <w:basedOn w:val="DefaultParagraphFont"/>
    <w:rsid w:val="007B5DF3"/>
  </w:style>
  <w:style w:type="character" w:customStyle="1" w:styleId="cit-vol">
    <w:name w:val="cit-vol"/>
    <w:basedOn w:val="DefaultParagraphFont"/>
    <w:rsid w:val="007B5DF3"/>
  </w:style>
  <w:style w:type="character" w:customStyle="1" w:styleId="cit-fpage">
    <w:name w:val="cit-fpage"/>
    <w:basedOn w:val="DefaultParagraphFont"/>
    <w:rsid w:val="007B5DF3"/>
  </w:style>
  <w:style w:type="character" w:customStyle="1" w:styleId="cit-lpage">
    <w:name w:val="cit-lpage"/>
    <w:basedOn w:val="DefaultParagraphFont"/>
    <w:rsid w:val="007B5DF3"/>
  </w:style>
  <w:style w:type="character" w:customStyle="1" w:styleId="journaltitle">
    <w:name w:val="journaltitle"/>
    <w:basedOn w:val="DefaultParagraphFont"/>
    <w:rsid w:val="007B5DF3"/>
  </w:style>
  <w:style w:type="character" w:customStyle="1" w:styleId="articlecitationyear">
    <w:name w:val="articlecitation_year"/>
    <w:basedOn w:val="DefaultParagraphFont"/>
    <w:rsid w:val="007B5DF3"/>
  </w:style>
  <w:style w:type="character" w:customStyle="1" w:styleId="articlecitationvolume">
    <w:name w:val="articlecitation_volume"/>
    <w:basedOn w:val="DefaultParagraphFont"/>
    <w:rsid w:val="007B5DF3"/>
  </w:style>
  <w:style w:type="character" w:customStyle="1" w:styleId="articlecitationpages">
    <w:name w:val="articlecitation_pages"/>
    <w:basedOn w:val="DefaultParagraphFont"/>
    <w:rsid w:val="007B5DF3"/>
  </w:style>
  <w:style w:type="character" w:customStyle="1" w:styleId="authorname">
    <w:name w:val="author__name"/>
    <w:basedOn w:val="DefaultParagraphFont"/>
    <w:rsid w:val="007B5DF3"/>
  </w:style>
  <w:style w:type="paragraph" w:customStyle="1" w:styleId="ExplanatoryNotes">
    <w:name w:val="Explanatory Notes"/>
    <w:basedOn w:val="Normal"/>
    <w:link w:val="ExplanatoryNotesChar"/>
    <w:qFormat/>
    <w:rsid w:val="00676AC5"/>
    <w:rPr>
      <w:i/>
      <w:szCs w:val="22"/>
    </w:rPr>
  </w:style>
  <w:style w:type="character" w:customStyle="1" w:styleId="ExplanatoryNotesChar">
    <w:name w:val="Explanatory Notes Char"/>
    <w:basedOn w:val="DefaultParagraphFont"/>
    <w:link w:val="ExplanatoryNotes"/>
    <w:rsid w:val="00676AC5"/>
    <w:rPr>
      <w:rFonts w:asciiTheme="minorHAnsi" w:hAnsiTheme="minorHAnsi"/>
      <w:i/>
      <w:sz w:val="22"/>
      <w:szCs w:val="22"/>
      <w:lang w:val="en-GB"/>
    </w:rPr>
  </w:style>
  <w:style w:type="paragraph" w:customStyle="1" w:styleId="Itembulletlevel2">
    <w:name w:val="Item bullet level 2"/>
    <w:basedOn w:val="Itembulletlevel1"/>
    <w:link w:val="Itembulletlevel2Char"/>
    <w:qFormat/>
    <w:rsid w:val="0040464E"/>
    <w:pPr>
      <w:numPr>
        <w:ilvl w:val="1"/>
      </w:numPr>
    </w:pPr>
  </w:style>
  <w:style w:type="paragraph" w:customStyle="1" w:styleId="Itembulletlevel3old">
    <w:name w:val="Item bullet level 3 old"/>
    <w:basedOn w:val="Itembulletlevel2"/>
    <w:link w:val="Itembulletlevel3oldChar"/>
    <w:rsid w:val="00AA3234"/>
    <w:pPr>
      <w:numPr>
        <w:ilvl w:val="2"/>
        <w:numId w:val="26"/>
      </w:numPr>
      <w:ind w:hanging="382"/>
    </w:pPr>
  </w:style>
  <w:style w:type="character" w:customStyle="1" w:styleId="Itembulletlevel2Char">
    <w:name w:val="Item bullet level 2 Char"/>
    <w:basedOn w:val="Itembulletlevel1Char"/>
    <w:link w:val="Itembulletlevel2"/>
    <w:rsid w:val="0040464E"/>
    <w:rPr>
      <w:rFonts w:asciiTheme="minorHAnsi" w:hAnsiTheme="minorHAnsi"/>
      <w:sz w:val="22"/>
      <w:lang w:val="en-US" w:eastAsia="en-US"/>
    </w:rPr>
  </w:style>
  <w:style w:type="paragraph" w:customStyle="1" w:styleId="Itembulletlevel3">
    <w:name w:val="Item bullet level 3"/>
    <w:basedOn w:val="Itembulletlevel2"/>
    <w:link w:val="Itembulletlevel3Char"/>
    <w:qFormat/>
    <w:rsid w:val="00AA3234"/>
    <w:pPr>
      <w:numPr>
        <w:ilvl w:val="2"/>
      </w:numPr>
      <w:ind w:left="1985" w:hanging="365"/>
    </w:pPr>
  </w:style>
  <w:style w:type="character" w:customStyle="1" w:styleId="Itembulletlevel3oldChar">
    <w:name w:val="Item bullet level 3 old Char"/>
    <w:basedOn w:val="Itembulletlevel2Char"/>
    <w:link w:val="Itembulletlevel3old"/>
    <w:rsid w:val="00AA3234"/>
    <w:rPr>
      <w:rFonts w:asciiTheme="minorHAnsi" w:hAnsiTheme="minorHAnsi"/>
      <w:sz w:val="22"/>
      <w:lang w:val="en-US" w:eastAsia="en-US"/>
    </w:rPr>
  </w:style>
  <w:style w:type="character" w:customStyle="1" w:styleId="Itembulletlevel3Char">
    <w:name w:val="Item bullet level 3 Char"/>
    <w:basedOn w:val="Itembulletlevel2Char"/>
    <w:link w:val="Itembulletlevel3"/>
    <w:rsid w:val="00AA3234"/>
    <w:rPr>
      <w:rFonts w:asciiTheme="minorHAnsi" w:hAnsiTheme="minorHAnsi"/>
      <w:sz w:val="22"/>
      <w:lang w:val="en-US" w:eastAsia="en-US"/>
    </w:rPr>
  </w:style>
  <w:style w:type="paragraph" w:customStyle="1" w:styleId="TableUnderLast">
    <w:name w:val="Table Under Last"/>
    <w:basedOn w:val="Normal"/>
    <w:qFormat/>
    <w:rsid w:val="00D818DC"/>
    <w:pPr>
      <w:spacing w:before="0" w:after="240"/>
    </w:pPr>
    <w:rPr>
      <w:sz w:val="18"/>
      <w:szCs w:val="16"/>
      <w:lang w:val="en-AU"/>
    </w:rPr>
  </w:style>
  <w:style w:type="character" w:customStyle="1" w:styleId="tgc">
    <w:name w:val="_tgc"/>
    <w:basedOn w:val="DefaultParagraphFont"/>
    <w:rsid w:val="0058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367549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1127954">
      <w:bodyDiv w:val="1"/>
      <w:marLeft w:val="0"/>
      <w:marRight w:val="0"/>
      <w:marTop w:val="0"/>
      <w:marBottom w:val="0"/>
      <w:divBdr>
        <w:top w:val="none" w:sz="0" w:space="0" w:color="auto"/>
        <w:left w:val="none" w:sz="0" w:space="0" w:color="auto"/>
        <w:bottom w:val="none" w:sz="0" w:space="0" w:color="auto"/>
        <w:right w:val="none" w:sz="0" w:space="0" w:color="auto"/>
      </w:divBdr>
    </w:div>
    <w:div w:id="72944831">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82142544">
      <w:bodyDiv w:val="1"/>
      <w:marLeft w:val="0"/>
      <w:marRight w:val="0"/>
      <w:marTop w:val="0"/>
      <w:marBottom w:val="0"/>
      <w:divBdr>
        <w:top w:val="none" w:sz="0" w:space="0" w:color="auto"/>
        <w:left w:val="none" w:sz="0" w:space="0" w:color="auto"/>
        <w:bottom w:val="none" w:sz="0" w:space="0" w:color="auto"/>
        <w:right w:val="none" w:sz="0" w:space="0" w:color="auto"/>
      </w:divBdr>
    </w:div>
    <w:div w:id="82724972">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191198">
      <w:bodyDiv w:val="1"/>
      <w:marLeft w:val="0"/>
      <w:marRight w:val="0"/>
      <w:marTop w:val="0"/>
      <w:marBottom w:val="0"/>
      <w:divBdr>
        <w:top w:val="none" w:sz="0" w:space="0" w:color="auto"/>
        <w:left w:val="none" w:sz="0" w:space="0" w:color="auto"/>
        <w:bottom w:val="none" w:sz="0" w:space="0" w:color="auto"/>
        <w:right w:val="none" w:sz="0" w:space="0" w:color="auto"/>
      </w:divBdr>
    </w:div>
    <w:div w:id="10226374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1176484">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17379606">
      <w:bodyDiv w:val="1"/>
      <w:marLeft w:val="0"/>
      <w:marRight w:val="0"/>
      <w:marTop w:val="0"/>
      <w:marBottom w:val="0"/>
      <w:divBdr>
        <w:top w:val="none" w:sz="0" w:space="0" w:color="auto"/>
        <w:left w:val="none" w:sz="0" w:space="0" w:color="auto"/>
        <w:bottom w:val="none" w:sz="0" w:space="0" w:color="auto"/>
        <w:right w:val="none" w:sz="0" w:space="0" w:color="auto"/>
      </w:divBdr>
    </w:div>
    <w:div w:id="120148443">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40394121">
      <w:bodyDiv w:val="1"/>
      <w:marLeft w:val="0"/>
      <w:marRight w:val="0"/>
      <w:marTop w:val="0"/>
      <w:marBottom w:val="0"/>
      <w:divBdr>
        <w:top w:val="none" w:sz="0" w:space="0" w:color="auto"/>
        <w:left w:val="none" w:sz="0" w:space="0" w:color="auto"/>
        <w:bottom w:val="none" w:sz="0" w:space="0" w:color="auto"/>
        <w:right w:val="none" w:sz="0" w:space="0" w:color="auto"/>
      </w:divBdr>
    </w:div>
    <w:div w:id="144516499">
      <w:bodyDiv w:val="1"/>
      <w:marLeft w:val="0"/>
      <w:marRight w:val="0"/>
      <w:marTop w:val="0"/>
      <w:marBottom w:val="0"/>
      <w:divBdr>
        <w:top w:val="none" w:sz="0" w:space="0" w:color="auto"/>
        <w:left w:val="none" w:sz="0" w:space="0" w:color="auto"/>
        <w:bottom w:val="none" w:sz="0" w:space="0" w:color="auto"/>
        <w:right w:val="none" w:sz="0" w:space="0" w:color="auto"/>
      </w:divBdr>
    </w:div>
    <w:div w:id="148442149">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86269325">
          <w:marLeft w:val="446"/>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681467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86986449">
      <w:bodyDiv w:val="1"/>
      <w:marLeft w:val="0"/>
      <w:marRight w:val="0"/>
      <w:marTop w:val="0"/>
      <w:marBottom w:val="0"/>
      <w:divBdr>
        <w:top w:val="none" w:sz="0" w:space="0" w:color="auto"/>
        <w:left w:val="none" w:sz="0" w:space="0" w:color="auto"/>
        <w:bottom w:val="none" w:sz="0" w:space="0" w:color="auto"/>
        <w:right w:val="none" w:sz="0" w:space="0" w:color="auto"/>
      </w:divBdr>
    </w:div>
    <w:div w:id="187565742">
      <w:bodyDiv w:val="1"/>
      <w:marLeft w:val="0"/>
      <w:marRight w:val="0"/>
      <w:marTop w:val="0"/>
      <w:marBottom w:val="0"/>
      <w:divBdr>
        <w:top w:val="none" w:sz="0" w:space="0" w:color="auto"/>
        <w:left w:val="none" w:sz="0" w:space="0" w:color="auto"/>
        <w:bottom w:val="none" w:sz="0" w:space="0" w:color="auto"/>
        <w:right w:val="none" w:sz="0" w:space="0" w:color="auto"/>
      </w:divBdr>
    </w:div>
    <w:div w:id="188564548">
      <w:bodyDiv w:val="1"/>
      <w:marLeft w:val="0"/>
      <w:marRight w:val="0"/>
      <w:marTop w:val="0"/>
      <w:marBottom w:val="0"/>
      <w:divBdr>
        <w:top w:val="none" w:sz="0" w:space="0" w:color="auto"/>
        <w:left w:val="none" w:sz="0" w:space="0" w:color="auto"/>
        <w:bottom w:val="none" w:sz="0" w:space="0" w:color="auto"/>
        <w:right w:val="none" w:sz="0" w:space="0" w:color="auto"/>
      </w:divBdr>
      <w:divsChild>
        <w:div w:id="551968271">
          <w:marLeft w:val="0"/>
          <w:marRight w:val="0"/>
          <w:marTop w:val="0"/>
          <w:marBottom w:val="0"/>
          <w:divBdr>
            <w:top w:val="none" w:sz="0" w:space="0" w:color="auto"/>
            <w:left w:val="none" w:sz="0" w:space="0" w:color="auto"/>
            <w:bottom w:val="none" w:sz="0" w:space="0" w:color="auto"/>
            <w:right w:val="none" w:sz="0" w:space="0" w:color="auto"/>
          </w:divBdr>
          <w:divsChild>
            <w:div w:id="487212465">
              <w:marLeft w:val="0"/>
              <w:marRight w:val="0"/>
              <w:marTop w:val="0"/>
              <w:marBottom w:val="0"/>
              <w:divBdr>
                <w:top w:val="none" w:sz="0" w:space="0" w:color="auto"/>
                <w:left w:val="none" w:sz="0" w:space="0" w:color="auto"/>
                <w:bottom w:val="none" w:sz="0" w:space="0" w:color="auto"/>
                <w:right w:val="none" w:sz="0" w:space="0" w:color="auto"/>
              </w:divBdr>
              <w:divsChild>
                <w:div w:id="1383942677">
                  <w:marLeft w:val="0"/>
                  <w:marRight w:val="0"/>
                  <w:marTop w:val="0"/>
                  <w:marBottom w:val="0"/>
                  <w:divBdr>
                    <w:top w:val="none" w:sz="0" w:space="0" w:color="auto"/>
                    <w:left w:val="none" w:sz="0" w:space="0" w:color="auto"/>
                    <w:bottom w:val="none" w:sz="0" w:space="0" w:color="auto"/>
                    <w:right w:val="none" w:sz="0" w:space="0" w:color="auto"/>
                  </w:divBdr>
                  <w:divsChild>
                    <w:div w:id="1988394265">
                      <w:marLeft w:val="0"/>
                      <w:marRight w:val="0"/>
                      <w:marTop w:val="0"/>
                      <w:marBottom w:val="0"/>
                      <w:divBdr>
                        <w:top w:val="none" w:sz="0" w:space="0" w:color="auto"/>
                        <w:left w:val="none" w:sz="0" w:space="0" w:color="auto"/>
                        <w:bottom w:val="none" w:sz="0" w:space="0" w:color="auto"/>
                        <w:right w:val="none" w:sz="0" w:space="0" w:color="auto"/>
                      </w:divBdr>
                      <w:divsChild>
                        <w:div w:id="1889534869">
                          <w:marLeft w:val="0"/>
                          <w:marRight w:val="0"/>
                          <w:marTop w:val="45"/>
                          <w:marBottom w:val="0"/>
                          <w:divBdr>
                            <w:top w:val="none" w:sz="0" w:space="0" w:color="auto"/>
                            <w:left w:val="none" w:sz="0" w:space="0" w:color="auto"/>
                            <w:bottom w:val="none" w:sz="0" w:space="0" w:color="auto"/>
                            <w:right w:val="none" w:sz="0" w:space="0" w:color="auto"/>
                          </w:divBdr>
                          <w:divsChild>
                            <w:div w:id="2132245492">
                              <w:marLeft w:val="0"/>
                              <w:marRight w:val="0"/>
                              <w:marTop w:val="0"/>
                              <w:marBottom w:val="0"/>
                              <w:divBdr>
                                <w:top w:val="none" w:sz="0" w:space="0" w:color="auto"/>
                                <w:left w:val="none" w:sz="0" w:space="0" w:color="auto"/>
                                <w:bottom w:val="none" w:sz="0" w:space="0" w:color="auto"/>
                                <w:right w:val="none" w:sz="0" w:space="0" w:color="auto"/>
                              </w:divBdr>
                              <w:divsChild>
                                <w:div w:id="1043093343">
                                  <w:marLeft w:val="2070"/>
                                  <w:marRight w:val="3810"/>
                                  <w:marTop w:val="0"/>
                                  <w:marBottom w:val="0"/>
                                  <w:divBdr>
                                    <w:top w:val="none" w:sz="0" w:space="0" w:color="auto"/>
                                    <w:left w:val="none" w:sz="0" w:space="0" w:color="auto"/>
                                    <w:bottom w:val="none" w:sz="0" w:space="0" w:color="auto"/>
                                    <w:right w:val="none" w:sz="0" w:space="0" w:color="auto"/>
                                  </w:divBdr>
                                  <w:divsChild>
                                    <w:div w:id="973293468">
                                      <w:marLeft w:val="0"/>
                                      <w:marRight w:val="0"/>
                                      <w:marTop w:val="0"/>
                                      <w:marBottom w:val="0"/>
                                      <w:divBdr>
                                        <w:top w:val="none" w:sz="0" w:space="0" w:color="auto"/>
                                        <w:left w:val="none" w:sz="0" w:space="0" w:color="auto"/>
                                        <w:bottom w:val="none" w:sz="0" w:space="0" w:color="auto"/>
                                        <w:right w:val="none" w:sz="0" w:space="0" w:color="auto"/>
                                      </w:divBdr>
                                      <w:divsChild>
                                        <w:div w:id="1623264895">
                                          <w:marLeft w:val="0"/>
                                          <w:marRight w:val="0"/>
                                          <w:marTop w:val="0"/>
                                          <w:marBottom w:val="0"/>
                                          <w:divBdr>
                                            <w:top w:val="none" w:sz="0" w:space="0" w:color="auto"/>
                                            <w:left w:val="none" w:sz="0" w:space="0" w:color="auto"/>
                                            <w:bottom w:val="none" w:sz="0" w:space="0" w:color="auto"/>
                                            <w:right w:val="none" w:sz="0" w:space="0" w:color="auto"/>
                                          </w:divBdr>
                                          <w:divsChild>
                                            <w:div w:id="116415453">
                                              <w:marLeft w:val="0"/>
                                              <w:marRight w:val="0"/>
                                              <w:marTop w:val="0"/>
                                              <w:marBottom w:val="0"/>
                                              <w:divBdr>
                                                <w:top w:val="none" w:sz="0" w:space="0" w:color="auto"/>
                                                <w:left w:val="none" w:sz="0" w:space="0" w:color="auto"/>
                                                <w:bottom w:val="none" w:sz="0" w:space="0" w:color="auto"/>
                                                <w:right w:val="none" w:sz="0" w:space="0" w:color="auto"/>
                                              </w:divBdr>
                                              <w:divsChild>
                                                <w:div w:id="1063219138">
                                                  <w:marLeft w:val="0"/>
                                                  <w:marRight w:val="0"/>
                                                  <w:marTop w:val="90"/>
                                                  <w:marBottom w:val="0"/>
                                                  <w:divBdr>
                                                    <w:top w:val="none" w:sz="0" w:space="0" w:color="auto"/>
                                                    <w:left w:val="none" w:sz="0" w:space="0" w:color="auto"/>
                                                    <w:bottom w:val="none" w:sz="0" w:space="0" w:color="auto"/>
                                                    <w:right w:val="none" w:sz="0" w:space="0" w:color="auto"/>
                                                  </w:divBdr>
                                                  <w:divsChild>
                                                    <w:div w:id="306401074">
                                                      <w:marLeft w:val="0"/>
                                                      <w:marRight w:val="0"/>
                                                      <w:marTop w:val="0"/>
                                                      <w:marBottom w:val="0"/>
                                                      <w:divBdr>
                                                        <w:top w:val="none" w:sz="0" w:space="0" w:color="auto"/>
                                                        <w:left w:val="none" w:sz="0" w:space="0" w:color="auto"/>
                                                        <w:bottom w:val="none" w:sz="0" w:space="0" w:color="auto"/>
                                                        <w:right w:val="none" w:sz="0" w:space="0" w:color="auto"/>
                                                      </w:divBdr>
                                                      <w:divsChild>
                                                        <w:div w:id="1421178522">
                                                          <w:marLeft w:val="0"/>
                                                          <w:marRight w:val="0"/>
                                                          <w:marTop w:val="0"/>
                                                          <w:marBottom w:val="0"/>
                                                          <w:divBdr>
                                                            <w:top w:val="none" w:sz="0" w:space="0" w:color="auto"/>
                                                            <w:left w:val="none" w:sz="0" w:space="0" w:color="auto"/>
                                                            <w:bottom w:val="none" w:sz="0" w:space="0" w:color="auto"/>
                                                            <w:right w:val="none" w:sz="0" w:space="0" w:color="auto"/>
                                                          </w:divBdr>
                                                          <w:divsChild>
                                                            <w:div w:id="33817696">
                                                              <w:marLeft w:val="0"/>
                                                              <w:marRight w:val="0"/>
                                                              <w:marTop w:val="0"/>
                                                              <w:marBottom w:val="390"/>
                                                              <w:divBdr>
                                                                <w:top w:val="none" w:sz="0" w:space="0" w:color="auto"/>
                                                                <w:left w:val="none" w:sz="0" w:space="0" w:color="auto"/>
                                                                <w:bottom w:val="none" w:sz="0" w:space="0" w:color="auto"/>
                                                                <w:right w:val="none" w:sz="0" w:space="0" w:color="auto"/>
                                                              </w:divBdr>
                                                              <w:divsChild>
                                                                <w:div w:id="1722167243">
                                                                  <w:marLeft w:val="0"/>
                                                                  <w:marRight w:val="0"/>
                                                                  <w:marTop w:val="0"/>
                                                                  <w:marBottom w:val="0"/>
                                                                  <w:divBdr>
                                                                    <w:top w:val="none" w:sz="0" w:space="0" w:color="auto"/>
                                                                    <w:left w:val="none" w:sz="0" w:space="0" w:color="auto"/>
                                                                    <w:bottom w:val="none" w:sz="0" w:space="0" w:color="auto"/>
                                                                    <w:right w:val="none" w:sz="0" w:space="0" w:color="auto"/>
                                                                  </w:divBdr>
                                                                  <w:divsChild>
                                                                    <w:div w:id="2110193693">
                                                                      <w:marLeft w:val="0"/>
                                                                      <w:marRight w:val="0"/>
                                                                      <w:marTop w:val="0"/>
                                                                      <w:marBottom w:val="0"/>
                                                                      <w:divBdr>
                                                                        <w:top w:val="none" w:sz="0" w:space="0" w:color="auto"/>
                                                                        <w:left w:val="none" w:sz="0" w:space="0" w:color="auto"/>
                                                                        <w:bottom w:val="none" w:sz="0" w:space="0" w:color="auto"/>
                                                                        <w:right w:val="none" w:sz="0" w:space="0" w:color="auto"/>
                                                                      </w:divBdr>
                                                                      <w:divsChild>
                                                                        <w:div w:id="812716837">
                                                                          <w:marLeft w:val="0"/>
                                                                          <w:marRight w:val="0"/>
                                                                          <w:marTop w:val="0"/>
                                                                          <w:marBottom w:val="0"/>
                                                                          <w:divBdr>
                                                                            <w:top w:val="none" w:sz="0" w:space="0" w:color="auto"/>
                                                                            <w:left w:val="none" w:sz="0" w:space="0" w:color="auto"/>
                                                                            <w:bottom w:val="none" w:sz="0" w:space="0" w:color="auto"/>
                                                                            <w:right w:val="none" w:sz="0" w:space="0" w:color="auto"/>
                                                                          </w:divBdr>
                                                                          <w:divsChild>
                                                                            <w:div w:id="1032413068">
                                                                              <w:marLeft w:val="0"/>
                                                                              <w:marRight w:val="0"/>
                                                                              <w:marTop w:val="0"/>
                                                                              <w:marBottom w:val="0"/>
                                                                              <w:divBdr>
                                                                                <w:top w:val="none" w:sz="0" w:space="0" w:color="auto"/>
                                                                                <w:left w:val="none" w:sz="0" w:space="0" w:color="auto"/>
                                                                                <w:bottom w:val="none" w:sz="0" w:space="0" w:color="auto"/>
                                                                                <w:right w:val="none" w:sz="0" w:space="0" w:color="auto"/>
                                                                              </w:divBdr>
                                                                              <w:divsChild>
                                                                                <w:div w:id="1965889959">
                                                                                  <w:marLeft w:val="0"/>
                                                                                  <w:marRight w:val="0"/>
                                                                                  <w:marTop w:val="0"/>
                                                                                  <w:marBottom w:val="0"/>
                                                                                  <w:divBdr>
                                                                                    <w:top w:val="none" w:sz="0" w:space="0" w:color="auto"/>
                                                                                    <w:left w:val="none" w:sz="0" w:space="0" w:color="auto"/>
                                                                                    <w:bottom w:val="none" w:sz="0" w:space="0" w:color="auto"/>
                                                                                    <w:right w:val="none" w:sz="0" w:space="0" w:color="auto"/>
                                                                                  </w:divBdr>
                                                                                  <w:divsChild>
                                                                                    <w:div w:id="1111046368">
                                                                                      <w:marLeft w:val="0"/>
                                                                                      <w:marRight w:val="0"/>
                                                                                      <w:marTop w:val="0"/>
                                                                                      <w:marBottom w:val="0"/>
                                                                                      <w:divBdr>
                                                                                        <w:top w:val="none" w:sz="0" w:space="0" w:color="auto"/>
                                                                                        <w:left w:val="none" w:sz="0" w:space="0" w:color="auto"/>
                                                                                        <w:bottom w:val="none" w:sz="0" w:space="0" w:color="auto"/>
                                                                                        <w:right w:val="none" w:sz="0" w:space="0" w:color="auto"/>
                                                                                      </w:divBdr>
                                                                                      <w:divsChild>
                                                                                        <w:div w:id="1767732487">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sChild>
                                                                                                <w:div w:id="441803565">
                                                                                                  <w:marLeft w:val="0"/>
                                                                                                  <w:marRight w:val="0"/>
                                                                                                  <w:marTop w:val="0"/>
                                                                                                  <w:marBottom w:val="0"/>
                                                                                                  <w:divBdr>
                                                                                                    <w:top w:val="none" w:sz="0" w:space="0" w:color="auto"/>
                                                                                                    <w:left w:val="none" w:sz="0" w:space="0" w:color="auto"/>
                                                                                                    <w:bottom w:val="none" w:sz="0" w:space="0" w:color="auto"/>
                                                                                                    <w:right w:val="none" w:sz="0" w:space="0" w:color="auto"/>
                                                                                                  </w:divBdr>
                                                                                                  <w:divsChild>
                                                                                                    <w:div w:id="1532918316">
                                                                                                      <w:marLeft w:val="0"/>
                                                                                                      <w:marRight w:val="0"/>
                                                                                                      <w:marTop w:val="0"/>
                                                                                                      <w:marBottom w:val="0"/>
                                                                                                      <w:divBdr>
                                                                                                        <w:top w:val="none" w:sz="0" w:space="0" w:color="auto"/>
                                                                                                        <w:left w:val="none" w:sz="0" w:space="0" w:color="auto"/>
                                                                                                        <w:bottom w:val="none" w:sz="0" w:space="0" w:color="auto"/>
                                                                                                        <w:right w:val="none" w:sz="0" w:space="0" w:color="auto"/>
                                                                                                      </w:divBdr>
                                                                                                      <w:divsChild>
                                                                                                        <w:div w:id="160656941">
                                                                                                          <w:marLeft w:val="0"/>
                                                                                                          <w:marRight w:val="0"/>
                                                                                                          <w:marTop w:val="0"/>
                                                                                                          <w:marBottom w:val="0"/>
                                                                                                          <w:divBdr>
                                                                                                            <w:top w:val="none" w:sz="0" w:space="0" w:color="auto"/>
                                                                                                            <w:left w:val="none" w:sz="0" w:space="0" w:color="auto"/>
                                                                                                            <w:bottom w:val="none" w:sz="0" w:space="0" w:color="auto"/>
                                                                                                            <w:right w:val="none" w:sz="0" w:space="0" w:color="auto"/>
                                                                                                          </w:divBdr>
                                                                                                          <w:divsChild>
                                                                                                            <w:div w:id="7298812">
                                                                                                              <w:marLeft w:val="0"/>
                                                                                                              <w:marRight w:val="0"/>
                                                                                                              <w:marTop w:val="0"/>
                                                                                                              <w:marBottom w:val="0"/>
                                                                                                              <w:divBdr>
                                                                                                                <w:top w:val="none" w:sz="0" w:space="0" w:color="auto"/>
                                                                                                                <w:left w:val="none" w:sz="0" w:space="0" w:color="auto"/>
                                                                                                                <w:bottom w:val="none" w:sz="0" w:space="0" w:color="auto"/>
                                                                                                                <w:right w:val="none" w:sz="0" w:space="0" w:color="auto"/>
                                                                                                              </w:divBdr>
                                                                                                              <w:divsChild>
                                                                                                                <w:div w:id="281959270">
                                                                                                                  <w:marLeft w:val="300"/>
                                                                                                                  <w:marRight w:val="0"/>
                                                                                                                  <w:marTop w:val="0"/>
                                                                                                                  <w:marBottom w:val="0"/>
                                                                                                                  <w:divBdr>
                                                                                                                    <w:top w:val="none" w:sz="0" w:space="0" w:color="auto"/>
                                                                                                                    <w:left w:val="none" w:sz="0" w:space="0" w:color="auto"/>
                                                                                                                    <w:bottom w:val="none" w:sz="0" w:space="0" w:color="auto"/>
                                                                                                                    <w:right w:val="none" w:sz="0" w:space="0" w:color="auto"/>
                                                                                                                  </w:divBdr>
                                                                                                                  <w:divsChild>
                                                                                                                    <w:div w:id="481888584">
                                                                                                                      <w:marLeft w:val="-300"/>
                                                                                                                      <w:marRight w:val="0"/>
                                                                                                                      <w:marTop w:val="0"/>
                                                                                                                      <w:marBottom w:val="0"/>
                                                                                                                      <w:divBdr>
                                                                                                                        <w:top w:val="none" w:sz="0" w:space="0" w:color="auto"/>
                                                                                                                        <w:left w:val="none" w:sz="0" w:space="0" w:color="auto"/>
                                                                                                                        <w:bottom w:val="none" w:sz="0" w:space="0" w:color="auto"/>
                                                                                                                        <w:right w:val="none" w:sz="0" w:space="0" w:color="auto"/>
                                                                                                                      </w:divBdr>
                                                                                                                      <w:divsChild>
                                                                                                                        <w:div w:id="15169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26232146">
      <w:bodyDiv w:val="1"/>
      <w:marLeft w:val="0"/>
      <w:marRight w:val="0"/>
      <w:marTop w:val="0"/>
      <w:marBottom w:val="0"/>
      <w:divBdr>
        <w:top w:val="none" w:sz="0" w:space="0" w:color="auto"/>
        <w:left w:val="none" w:sz="0" w:space="0" w:color="auto"/>
        <w:bottom w:val="none" w:sz="0" w:space="0" w:color="auto"/>
        <w:right w:val="none" w:sz="0" w:space="0" w:color="auto"/>
      </w:divBdr>
    </w:div>
    <w:div w:id="235362592">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7830686">
      <w:bodyDiv w:val="1"/>
      <w:marLeft w:val="0"/>
      <w:marRight w:val="0"/>
      <w:marTop w:val="0"/>
      <w:marBottom w:val="0"/>
      <w:divBdr>
        <w:top w:val="none" w:sz="0" w:space="0" w:color="auto"/>
        <w:left w:val="none" w:sz="0" w:space="0" w:color="auto"/>
        <w:bottom w:val="none" w:sz="0" w:space="0" w:color="auto"/>
        <w:right w:val="none" w:sz="0" w:space="0" w:color="auto"/>
      </w:divBdr>
    </w:div>
    <w:div w:id="328749089">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58239979">
      <w:bodyDiv w:val="1"/>
      <w:marLeft w:val="0"/>
      <w:marRight w:val="0"/>
      <w:marTop w:val="0"/>
      <w:marBottom w:val="0"/>
      <w:divBdr>
        <w:top w:val="none" w:sz="0" w:space="0" w:color="auto"/>
        <w:left w:val="none" w:sz="0" w:space="0" w:color="auto"/>
        <w:bottom w:val="none" w:sz="0" w:space="0" w:color="auto"/>
        <w:right w:val="none" w:sz="0" w:space="0" w:color="auto"/>
      </w:divBdr>
    </w:div>
    <w:div w:id="375546198">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13363334">
      <w:bodyDiv w:val="1"/>
      <w:marLeft w:val="0"/>
      <w:marRight w:val="0"/>
      <w:marTop w:val="0"/>
      <w:marBottom w:val="0"/>
      <w:divBdr>
        <w:top w:val="none" w:sz="0" w:space="0" w:color="auto"/>
        <w:left w:val="none" w:sz="0" w:space="0" w:color="auto"/>
        <w:bottom w:val="none" w:sz="0" w:space="0" w:color="auto"/>
        <w:right w:val="none" w:sz="0" w:space="0" w:color="auto"/>
      </w:divBdr>
    </w:div>
    <w:div w:id="419105670">
      <w:bodyDiv w:val="1"/>
      <w:marLeft w:val="0"/>
      <w:marRight w:val="0"/>
      <w:marTop w:val="0"/>
      <w:marBottom w:val="0"/>
      <w:divBdr>
        <w:top w:val="none" w:sz="0" w:space="0" w:color="auto"/>
        <w:left w:val="none" w:sz="0" w:space="0" w:color="auto"/>
        <w:bottom w:val="none" w:sz="0" w:space="0" w:color="auto"/>
        <w:right w:val="none" w:sz="0" w:space="0" w:color="auto"/>
      </w:divBdr>
    </w:div>
    <w:div w:id="421295979">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32940388">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4276353">
      <w:bodyDiv w:val="1"/>
      <w:marLeft w:val="0"/>
      <w:marRight w:val="0"/>
      <w:marTop w:val="0"/>
      <w:marBottom w:val="0"/>
      <w:divBdr>
        <w:top w:val="none" w:sz="0" w:space="0" w:color="auto"/>
        <w:left w:val="none" w:sz="0" w:space="0" w:color="auto"/>
        <w:bottom w:val="none" w:sz="0" w:space="0" w:color="auto"/>
        <w:right w:val="none" w:sz="0" w:space="0" w:color="auto"/>
      </w:divBdr>
    </w:div>
    <w:div w:id="471286825">
      <w:bodyDiv w:val="1"/>
      <w:marLeft w:val="0"/>
      <w:marRight w:val="0"/>
      <w:marTop w:val="0"/>
      <w:marBottom w:val="0"/>
      <w:divBdr>
        <w:top w:val="none" w:sz="0" w:space="0" w:color="auto"/>
        <w:left w:val="none" w:sz="0" w:space="0" w:color="auto"/>
        <w:bottom w:val="none" w:sz="0" w:space="0" w:color="auto"/>
        <w:right w:val="none" w:sz="0" w:space="0" w:color="auto"/>
      </w:divBdr>
      <w:divsChild>
        <w:div w:id="281225603">
          <w:marLeft w:val="446"/>
          <w:marRight w:val="0"/>
          <w:marTop w:val="0"/>
          <w:marBottom w:val="120"/>
          <w:divBdr>
            <w:top w:val="none" w:sz="0" w:space="0" w:color="auto"/>
            <w:left w:val="none" w:sz="0" w:space="0" w:color="auto"/>
            <w:bottom w:val="none" w:sz="0" w:space="0" w:color="auto"/>
            <w:right w:val="none" w:sz="0" w:space="0" w:color="auto"/>
          </w:divBdr>
        </w:div>
        <w:div w:id="1710953351">
          <w:marLeft w:val="446"/>
          <w:marRight w:val="0"/>
          <w:marTop w:val="0"/>
          <w:marBottom w:val="120"/>
          <w:divBdr>
            <w:top w:val="none" w:sz="0" w:space="0" w:color="auto"/>
            <w:left w:val="none" w:sz="0" w:space="0" w:color="auto"/>
            <w:bottom w:val="none" w:sz="0" w:space="0" w:color="auto"/>
            <w:right w:val="none" w:sz="0" w:space="0" w:color="auto"/>
          </w:divBdr>
        </w:div>
      </w:divsChild>
    </w:div>
    <w:div w:id="487668094">
      <w:bodyDiv w:val="1"/>
      <w:marLeft w:val="0"/>
      <w:marRight w:val="0"/>
      <w:marTop w:val="0"/>
      <w:marBottom w:val="0"/>
      <w:divBdr>
        <w:top w:val="none" w:sz="0" w:space="0" w:color="auto"/>
        <w:left w:val="none" w:sz="0" w:space="0" w:color="auto"/>
        <w:bottom w:val="none" w:sz="0" w:space="0" w:color="auto"/>
        <w:right w:val="none" w:sz="0" w:space="0" w:color="auto"/>
      </w:divBdr>
    </w:div>
    <w:div w:id="495416300">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66036362">
      <w:bodyDiv w:val="1"/>
      <w:marLeft w:val="0"/>
      <w:marRight w:val="0"/>
      <w:marTop w:val="0"/>
      <w:marBottom w:val="0"/>
      <w:divBdr>
        <w:top w:val="none" w:sz="0" w:space="0" w:color="auto"/>
        <w:left w:val="none" w:sz="0" w:space="0" w:color="auto"/>
        <w:bottom w:val="none" w:sz="0" w:space="0" w:color="auto"/>
        <w:right w:val="none" w:sz="0" w:space="0" w:color="auto"/>
      </w:divBdr>
    </w:div>
    <w:div w:id="571279853">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16791803">
      <w:bodyDiv w:val="1"/>
      <w:marLeft w:val="0"/>
      <w:marRight w:val="0"/>
      <w:marTop w:val="0"/>
      <w:marBottom w:val="0"/>
      <w:divBdr>
        <w:top w:val="none" w:sz="0" w:space="0" w:color="auto"/>
        <w:left w:val="none" w:sz="0" w:space="0" w:color="auto"/>
        <w:bottom w:val="none" w:sz="0" w:space="0" w:color="auto"/>
        <w:right w:val="none" w:sz="0" w:space="0" w:color="auto"/>
      </w:divBdr>
    </w:div>
    <w:div w:id="62635883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1713535">
      <w:bodyDiv w:val="1"/>
      <w:marLeft w:val="0"/>
      <w:marRight w:val="0"/>
      <w:marTop w:val="0"/>
      <w:marBottom w:val="0"/>
      <w:divBdr>
        <w:top w:val="none" w:sz="0" w:space="0" w:color="auto"/>
        <w:left w:val="none" w:sz="0" w:space="0" w:color="auto"/>
        <w:bottom w:val="none" w:sz="0" w:space="0" w:color="auto"/>
        <w:right w:val="none" w:sz="0" w:space="0" w:color="auto"/>
      </w:divBdr>
    </w:div>
    <w:div w:id="65387635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5519904">
      <w:bodyDiv w:val="1"/>
      <w:marLeft w:val="0"/>
      <w:marRight w:val="0"/>
      <w:marTop w:val="0"/>
      <w:marBottom w:val="0"/>
      <w:divBdr>
        <w:top w:val="none" w:sz="0" w:space="0" w:color="auto"/>
        <w:left w:val="none" w:sz="0" w:space="0" w:color="auto"/>
        <w:bottom w:val="none" w:sz="0" w:space="0" w:color="auto"/>
        <w:right w:val="none" w:sz="0" w:space="0" w:color="auto"/>
      </w:divBdr>
    </w:div>
    <w:div w:id="686060469">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3291328">
      <w:bodyDiv w:val="1"/>
      <w:marLeft w:val="0"/>
      <w:marRight w:val="0"/>
      <w:marTop w:val="0"/>
      <w:marBottom w:val="0"/>
      <w:divBdr>
        <w:top w:val="none" w:sz="0" w:space="0" w:color="auto"/>
        <w:left w:val="none" w:sz="0" w:space="0" w:color="auto"/>
        <w:bottom w:val="none" w:sz="0" w:space="0" w:color="auto"/>
        <w:right w:val="none" w:sz="0" w:space="0" w:color="auto"/>
      </w:divBdr>
      <w:divsChild>
        <w:div w:id="185875623">
          <w:marLeft w:val="547"/>
          <w:marRight w:val="0"/>
          <w:marTop w:val="230"/>
          <w:marBottom w:val="0"/>
          <w:divBdr>
            <w:top w:val="none" w:sz="0" w:space="0" w:color="auto"/>
            <w:left w:val="none" w:sz="0" w:space="0" w:color="auto"/>
            <w:bottom w:val="none" w:sz="0" w:space="0" w:color="auto"/>
            <w:right w:val="none" w:sz="0" w:space="0" w:color="auto"/>
          </w:divBdr>
        </w:div>
        <w:div w:id="381295265">
          <w:marLeft w:val="547"/>
          <w:marRight w:val="0"/>
          <w:marTop w:val="230"/>
          <w:marBottom w:val="0"/>
          <w:divBdr>
            <w:top w:val="none" w:sz="0" w:space="0" w:color="auto"/>
            <w:left w:val="none" w:sz="0" w:space="0" w:color="auto"/>
            <w:bottom w:val="none" w:sz="0" w:space="0" w:color="auto"/>
            <w:right w:val="none" w:sz="0" w:space="0" w:color="auto"/>
          </w:divBdr>
        </w:div>
        <w:div w:id="1311596732">
          <w:marLeft w:val="547"/>
          <w:marRight w:val="0"/>
          <w:marTop w:val="230"/>
          <w:marBottom w:val="0"/>
          <w:divBdr>
            <w:top w:val="none" w:sz="0" w:space="0" w:color="auto"/>
            <w:left w:val="none" w:sz="0" w:space="0" w:color="auto"/>
            <w:bottom w:val="none" w:sz="0" w:space="0" w:color="auto"/>
            <w:right w:val="none" w:sz="0" w:space="0" w:color="auto"/>
          </w:divBdr>
        </w:div>
        <w:div w:id="1897011935">
          <w:marLeft w:val="547"/>
          <w:marRight w:val="0"/>
          <w:marTop w:val="230"/>
          <w:marBottom w:val="0"/>
          <w:divBdr>
            <w:top w:val="none" w:sz="0" w:space="0" w:color="auto"/>
            <w:left w:val="none" w:sz="0" w:space="0" w:color="auto"/>
            <w:bottom w:val="none" w:sz="0" w:space="0" w:color="auto"/>
            <w:right w:val="none" w:sz="0" w:space="0" w:color="auto"/>
          </w:divBdr>
        </w:div>
      </w:divsChild>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7148992">
      <w:bodyDiv w:val="1"/>
      <w:marLeft w:val="0"/>
      <w:marRight w:val="0"/>
      <w:marTop w:val="0"/>
      <w:marBottom w:val="0"/>
      <w:divBdr>
        <w:top w:val="none" w:sz="0" w:space="0" w:color="auto"/>
        <w:left w:val="none" w:sz="0" w:space="0" w:color="auto"/>
        <w:bottom w:val="none" w:sz="0" w:space="0" w:color="auto"/>
        <w:right w:val="none" w:sz="0" w:space="0" w:color="auto"/>
      </w:divBdr>
    </w:div>
    <w:div w:id="708771841">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69349954">
      <w:bodyDiv w:val="1"/>
      <w:marLeft w:val="0"/>
      <w:marRight w:val="0"/>
      <w:marTop w:val="0"/>
      <w:marBottom w:val="0"/>
      <w:divBdr>
        <w:top w:val="none" w:sz="0" w:space="0" w:color="auto"/>
        <w:left w:val="none" w:sz="0" w:space="0" w:color="auto"/>
        <w:bottom w:val="none" w:sz="0" w:space="0" w:color="auto"/>
        <w:right w:val="none" w:sz="0" w:space="0" w:color="auto"/>
      </w:divBdr>
    </w:div>
    <w:div w:id="772820516">
      <w:bodyDiv w:val="1"/>
      <w:marLeft w:val="0"/>
      <w:marRight w:val="0"/>
      <w:marTop w:val="0"/>
      <w:marBottom w:val="0"/>
      <w:divBdr>
        <w:top w:val="none" w:sz="0" w:space="0" w:color="auto"/>
        <w:left w:val="none" w:sz="0" w:space="0" w:color="auto"/>
        <w:bottom w:val="none" w:sz="0" w:space="0" w:color="auto"/>
        <w:right w:val="none" w:sz="0" w:space="0" w:color="auto"/>
      </w:divBdr>
    </w:div>
    <w:div w:id="811144705">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6534613">
      <w:bodyDiv w:val="1"/>
      <w:marLeft w:val="0"/>
      <w:marRight w:val="0"/>
      <w:marTop w:val="0"/>
      <w:marBottom w:val="0"/>
      <w:divBdr>
        <w:top w:val="none" w:sz="0" w:space="0" w:color="auto"/>
        <w:left w:val="none" w:sz="0" w:space="0" w:color="auto"/>
        <w:bottom w:val="none" w:sz="0" w:space="0" w:color="auto"/>
        <w:right w:val="none" w:sz="0" w:space="0" w:color="auto"/>
      </w:divBdr>
    </w:div>
    <w:div w:id="822163276">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5785748">
      <w:bodyDiv w:val="1"/>
      <w:marLeft w:val="0"/>
      <w:marRight w:val="0"/>
      <w:marTop w:val="0"/>
      <w:marBottom w:val="0"/>
      <w:divBdr>
        <w:top w:val="none" w:sz="0" w:space="0" w:color="auto"/>
        <w:left w:val="none" w:sz="0" w:space="0" w:color="auto"/>
        <w:bottom w:val="none" w:sz="0" w:space="0" w:color="auto"/>
        <w:right w:val="none" w:sz="0" w:space="0" w:color="auto"/>
      </w:divBdr>
    </w:div>
    <w:div w:id="83245398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58199815">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88734371">
      <w:bodyDiv w:val="1"/>
      <w:marLeft w:val="0"/>
      <w:marRight w:val="0"/>
      <w:marTop w:val="0"/>
      <w:marBottom w:val="0"/>
      <w:divBdr>
        <w:top w:val="none" w:sz="0" w:space="0" w:color="auto"/>
        <w:left w:val="none" w:sz="0" w:space="0" w:color="auto"/>
        <w:bottom w:val="none" w:sz="0" w:space="0" w:color="auto"/>
        <w:right w:val="none" w:sz="0" w:space="0" w:color="auto"/>
      </w:divBdr>
      <w:divsChild>
        <w:div w:id="530262617">
          <w:marLeft w:val="0"/>
          <w:marRight w:val="0"/>
          <w:marTop w:val="0"/>
          <w:marBottom w:val="0"/>
          <w:divBdr>
            <w:top w:val="none" w:sz="0" w:space="0" w:color="auto"/>
            <w:left w:val="none" w:sz="0" w:space="0" w:color="auto"/>
            <w:bottom w:val="none" w:sz="0" w:space="0" w:color="auto"/>
            <w:right w:val="none" w:sz="0" w:space="0" w:color="auto"/>
          </w:divBdr>
          <w:divsChild>
            <w:div w:id="251932362">
              <w:marLeft w:val="0"/>
              <w:marRight w:val="0"/>
              <w:marTop w:val="0"/>
              <w:marBottom w:val="0"/>
              <w:divBdr>
                <w:top w:val="none" w:sz="0" w:space="0" w:color="auto"/>
                <w:left w:val="none" w:sz="0" w:space="0" w:color="auto"/>
                <w:bottom w:val="none" w:sz="0" w:space="0" w:color="auto"/>
                <w:right w:val="none" w:sz="0" w:space="0" w:color="auto"/>
              </w:divBdr>
              <w:divsChild>
                <w:div w:id="1826319421">
                  <w:marLeft w:val="0"/>
                  <w:marRight w:val="0"/>
                  <w:marTop w:val="0"/>
                  <w:marBottom w:val="0"/>
                  <w:divBdr>
                    <w:top w:val="none" w:sz="0" w:space="0" w:color="auto"/>
                    <w:left w:val="none" w:sz="0" w:space="0" w:color="auto"/>
                    <w:bottom w:val="none" w:sz="0" w:space="0" w:color="auto"/>
                    <w:right w:val="none" w:sz="0" w:space="0" w:color="auto"/>
                  </w:divBdr>
                  <w:divsChild>
                    <w:div w:id="1075588475">
                      <w:marLeft w:val="0"/>
                      <w:marRight w:val="0"/>
                      <w:marTop w:val="0"/>
                      <w:marBottom w:val="0"/>
                      <w:divBdr>
                        <w:top w:val="none" w:sz="0" w:space="0" w:color="auto"/>
                        <w:left w:val="none" w:sz="0" w:space="0" w:color="auto"/>
                        <w:bottom w:val="none" w:sz="0" w:space="0" w:color="auto"/>
                        <w:right w:val="none" w:sz="0" w:space="0" w:color="auto"/>
                      </w:divBdr>
                      <w:divsChild>
                        <w:div w:id="589195119">
                          <w:marLeft w:val="0"/>
                          <w:marRight w:val="0"/>
                          <w:marTop w:val="45"/>
                          <w:marBottom w:val="0"/>
                          <w:divBdr>
                            <w:top w:val="none" w:sz="0" w:space="0" w:color="auto"/>
                            <w:left w:val="none" w:sz="0" w:space="0" w:color="auto"/>
                            <w:bottom w:val="none" w:sz="0" w:space="0" w:color="auto"/>
                            <w:right w:val="none" w:sz="0" w:space="0" w:color="auto"/>
                          </w:divBdr>
                          <w:divsChild>
                            <w:div w:id="292758298">
                              <w:marLeft w:val="0"/>
                              <w:marRight w:val="0"/>
                              <w:marTop w:val="0"/>
                              <w:marBottom w:val="0"/>
                              <w:divBdr>
                                <w:top w:val="none" w:sz="0" w:space="0" w:color="auto"/>
                                <w:left w:val="none" w:sz="0" w:space="0" w:color="auto"/>
                                <w:bottom w:val="none" w:sz="0" w:space="0" w:color="auto"/>
                                <w:right w:val="none" w:sz="0" w:space="0" w:color="auto"/>
                              </w:divBdr>
                              <w:divsChild>
                                <w:div w:id="1743528059">
                                  <w:marLeft w:val="2070"/>
                                  <w:marRight w:val="3810"/>
                                  <w:marTop w:val="0"/>
                                  <w:marBottom w:val="0"/>
                                  <w:divBdr>
                                    <w:top w:val="none" w:sz="0" w:space="0" w:color="auto"/>
                                    <w:left w:val="none" w:sz="0" w:space="0" w:color="auto"/>
                                    <w:bottom w:val="none" w:sz="0" w:space="0" w:color="auto"/>
                                    <w:right w:val="none" w:sz="0" w:space="0" w:color="auto"/>
                                  </w:divBdr>
                                  <w:divsChild>
                                    <w:div w:id="592712011">
                                      <w:marLeft w:val="0"/>
                                      <w:marRight w:val="0"/>
                                      <w:marTop w:val="0"/>
                                      <w:marBottom w:val="0"/>
                                      <w:divBdr>
                                        <w:top w:val="none" w:sz="0" w:space="0" w:color="auto"/>
                                        <w:left w:val="none" w:sz="0" w:space="0" w:color="auto"/>
                                        <w:bottom w:val="none" w:sz="0" w:space="0" w:color="auto"/>
                                        <w:right w:val="none" w:sz="0" w:space="0" w:color="auto"/>
                                      </w:divBdr>
                                      <w:divsChild>
                                        <w:div w:id="2021007076">
                                          <w:marLeft w:val="0"/>
                                          <w:marRight w:val="0"/>
                                          <w:marTop w:val="0"/>
                                          <w:marBottom w:val="0"/>
                                          <w:divBdr>
                                            <w:top w:val="none" w:sz="0" w:space="0" w:color="auto"/>
                                            <w:left w:val="none" w:sz="0" w:space="0" w:color="auto"/>
                                            <w:bottom w:val="none" w:sz="0" w:space="0" w:color="auto"/>
                                            <w:right w:val="none" w:sz="0" w:space="0" w:color="auto"/>
                                          </w:divBdr>
                                          <w:divsChild>
                                            <w:div w:id="1792429885">
                                              <w:marLeft w:val="0"/>
                                              <w:marRight w:val="0"/>
                                              <w:marTop w:val="0"/>
                                              <w:marBottom w:val="0"/>
                                              <w:divBdr>
                                                <w:top w:val="none" w:sz="0" w:space="0" w:color="auto"/>
                                                <w:left w:val="none" w:sz="0" w:space="0" w:color="auto"/>
                                                <w:bottom w:val="none" w:sz="0" w:space="0" w:color="auto"/>
                                                <w:right w:val="none" w:sz="0" w:space="0" w:color="auto"/>
                                              </w:divBdr>
                                              <w:divsChild>
                                                <w:div w:id="1167287546">
                                                  <w:marLeft w:val="0"/>
                                                  <w:marRight w:val="0"/>
                                                  <w:marTop w:val="90"/>
                                                  <w:marBottom w:val="0"/>
                                                  <w:divBdr>
                                                    <w:top w:val="none" w:sz="0" w:space="0" w:color="auto"/>
                                                    <w:left w:val="none" w:sz="0" w:space="0" w:color="auto"/>
                                                    <w:bottom w:val="none" w:sz="0" w:space="0" w:color="auto"/>
                                                    <w:right w:val="none" w:sz="0" w:space="0" w:color="auto"/>
                                                  </w:divBdr>
                                                  <w:divsChild>
                                                    <w:div w:id="785586530">
                                                      <w:marLeft w:val="0"/>
                                                      <w:marRight w:val="0"/>
                                                      <w:marTop w:val="0"/>
                                                      <w:marBottom w:val="0"/>
                                                      <w:divBdr>
                                                        <w:top w:val="none" w:sz="0" w:space="0" w:color="auto"/>
                                                        <w:left w:val="none" w:sz="0" w:space="0" w:color="auto"/>
                                                        <w:bottom w:val="none" w:sz="0" w:space="0" w:color="auto"/>
                                                        <w:right w:val="none" w:sz="0" w:space="0" w:color="auto"/>
                                                      </w:divBdr>
                                                      <w:divsChild>
                                                        <w:div w:id="157236646">
                                                          <w:marLeft w:val="0"/>
                                                          <w:marRight w:val="0"/>
                                                          <w:marTop w:val="0"/>
                                                          <w:marBottom w:val="0"/>
                                                          <w:divBdr>
                                                            <w:top w:val="none" w:sz="0" w:space="0" w:color="auto"/>
                                                            <w:left w:val="none" w:sz="0" w:space="0" w:color="auto"/>
                                                            <w:bottom w:val="none" w:sz="0" w:space="0" w:color="auto"/>
                                                            <w:right w:val="none" w:sz="0" w:space="0" w:color="auto"/>
                                                          </w:divBdr>
                                                          <w:divsChild>
                                                            <w:div w:id="722216372">
                                                              <w:marLeft w:val="0"/>
                                                              <w:marRight w:val="0"/>
                                                              <w:marTop w:val="0"/>
                                                              <w:marBottom w:val="390"/>
                                                              <w:divBdr>
                                                                <w:top w:val="none" w:sz="0" w:space="0" w:color="auto"/>
                                                                <w:left w:val="none" w:sz="0" w:space="0" w:color="auto"/>
                                                                <w:bottom w:val="none" w:sz="0" w:space="0" w:color="auto"/>
                                                                <w:right w:val="none" w:sz="0" w:space="0" w:color="auto"/>
                                                              </w:divBdr>
                                                              <w:divsChild>
                                                                <w:div w:id="1179194971">
                                                                  <w:marLeft w:val="0"/>
                                                                  <w:marRight w:val="0"/>
                                                                  <w:marTop w:val="0"/>
                                                                  <w:marBottom w:val="0"/>
                                                                  <w:divBdr>
                                                                    <w:top w:val="none" w:sz="0" w:space="0" w:color="auto"/>
                                                                    <w:left w:val="none" w:sz="0" w:space="0" w:color="auto"/>
                                                                    <w:bottom w:val="none" w:sz="0" w:space="0" w:color="auto"/>
                                                                    <w:right w:val="none" w:sz="0" w:space="0" w:color="auto"/>
                                                                  </w:divBdr>
                                                                  <w:divsChild>
                                                                    <w:div w:id="761266585">
                                                                      <w:marLeft w:val="0"/>
                                                                      <w:marRight w:val="0"/>
                                                                      <w:marTop w:val="0"/>
                                                                      <w:marBottom w:val="0"/>
                                                                      <w:divBdr>
                                                                        <w:top w:val="none" w:sz="0" w:space="0" w:color="auto"/>
                                                                        <w:left w:val="none" w:sz="0" w:space="0" w:color="auto"/>
                                                                        <w:bottom w:val="none" w:sz="0" w:space="0" w:color="auto"/>
                                                                        <w:right w:val="none" w:sz="0" w:space="0" w:color="auto"/>
                                                                      </w:divBdr>
                                                                      <w:divsChild>
                                                                        <w:div w:id="697319503">
                                                                          <w:marLeft w:val="0"/>
                                                                          <w:marRight w:val="0"/>
                                                                          <w:marTop w:val="0"/>
                                                                          <w:marBottom w:val="0"/>
                                                                          <w:divBdr>
                                                                            <w:top w:val="none" w:sz="0" w:space="0" w:color="auto"/>
                                                                            <w:left w:val="none" w:sz="0" w:space="0" w:color="auto"/>
                                                                            <w:bottom w:val="none" w:sz="0" w:space="0" w:color="auto"/>
                                                                            <w:right w:val="none" w:sz="0" w:space="0" w:color="auto"/>
                                                                          </w:divBdr>
                                                                          <w:divsChild>
                                                                            <w:div w:id="1116095614">
                                                                              <w:marLeft w:val="0"/>
                                                                              <w:marRight w:val="0"/>
                                                                              <w:marTop w:val="0"/>
                                                                              <w:marBottom w:val="0"/>
                                                                              <w:divBdr>
                                                                                <w:top w:val="none" w:sz="0" w:space="0" w:color="auto"/>
                                                                                <w:left w:val="none" w:sz="0" w:space="0" w:color="auto"/>
                                                                                <w:bottom w:val="none" w:sz="0" w:space="0" w:color="auto"/>
                                                                                <w:right w:val="none" w:sz="0" w:space="0" w:color="auto"/>
                                                                              </w:divBdr>
                                                                              <w:divsChild>
                                                                                <w:div w:id="990914361">
                                                                                  <w:marLeft w:val="0"/>
                                                                                  <w:marRight w:val="0"/>
                                                                                  <w:marTop w:val="0"/>
                                                                                  <w:marBottom w:val="0"/>
                                                                                  <w:divBdr>
                                                                                    <w:top w:val="none" w:sz="0" w:space="0" w:color="auto"/>
                                                                                    <w:left w:val="none" w:sz="0" w:space="0" w:color="auto"/>
                                                                                    <w:bottom w:val="none" w:sz="0" w:space="0" w:color="auto"/>
                                                                                    <w:right w:val="none" w:sz="0" w:space="0" w:color="auto"/>
                                                                                  </w:divBdr>
                                                                                  <w:divsChild>
                                                                                    <w:div w:id="1346244394">
                                                                                      <w:marLeft w:val="0"/>
                                                                                      <w:marRight w:val="0"/>
                                                                                      <w:marTop w:val="0"/>
                                                                                      <w:marBottom w:val="0"/>
                                                                                      <w:divBdr>
                                                                                        <w:top w:val="none" w:sz="0" w:space="0" w:color="auto"/>
                                                                                        <w:left w:val="none" w:sz="0" w:space="0" w:color="auto"/>
                                                                                        <w:bottom w:val="none" w:sz="0" w:space="0" w:color="auto"/>
                                                                                        <w:right w:val="none" w:sz="0" w:space="0" w:color="auto"/>
                                                                                      </w:divBdr>
                                                                                      <w:divsChild>
                                                                                        <w:div w:id="1938752207">
                                                                                          <w:marLeft w:val="0"/>
                                                                                          <w:marRight w:val="0"/>
                                                                                          <w:marTop w:val="0"/>
                                                                                          <w:marBottom w:val="0"/>
                                                                                          <w:divBdr>
                                                                                            <w:top w:val="none" w:sz="0" w:space="0" w:color="auto"/>
                                                                                            <w:left w:val="none" w:sz="0" w:space="0" w:color="auto"/>
                                                                                            <w:bottom w:val="none" w:sz="0" w:space="0" w:color="auto"/>
                                                                                            <w:right w:val="none" w:sz="0" w:space="0" w:color="auto"/>
                                                                                          </w:divBdr>
                                                                                          <w:divsChild>
                                                                                            <w:div w:id="1985618689">
                                                                                              <w:marLeft w:val="0"/>
                                                                                              <w:marRight w:val="0"/>
                                                                                              <w:marTop w:val="0"/>
                                                                                              <w:marBottom w:val="0"/>
                                                                                              <w:divBdr>
                                                                                                <w:top w:val="none" w:sz="0" w:space="0" w:color="auto"/>
                                                                                                <w:left w:val="none" w:sz="0" w:space="0" w:color="auto"/>
                                                                                                <w:bottom w:val="none" w:sz="0" w:space="0" w:color="auto"/>
                                                                                                <w:right w:val="none" w:sz="0" w:space="0" w:color="auto"/>
                                                                                              </w:divBdr>
                                                                                              <w:divsChild>
                                                                                                <w:div w:id="1943537150">
                                                                                                  <w:marLeft w:val="0"/>
                                                                                                  <w:marRight w:val="0"/>
                                                                                                  <w:marTop w:val="0"/>
                                                                                                  <w:marBottom w:val="0"/>
                                                                                                  <w:divBdr>
                                                                                                    <w:top w:val="none" w:sz="0" w:space="0" w:color="auto"/>
                                                                                                    <w:left w:val="none" w:sz="0" w:space="0" w:color="auto"/>
                                                                                                    <w:bottom w:val="none" w:sz="0" w:space="0" w:color="auto"/>
                                                                                                    <w:right w:val="none" w:sz="0" w:space="0" w:color="auto"/>
                                                                                                  </w:divBdr>
                                                                                                  <w:divsChild>
                                                                                                    <w:div w:id="1515652303">
                                                                                                      <w:marLeft w:val="0"/>
                                                                                                      <w:marRight w:val="0"/>
                                                                                                      <w:marTop w:val="0"/>
                                                                                                      <w:marBottom w:val="0"/>
                                                                                                      <w:divBdr>
                                                                                                        <w:top w:val="none" w:sz="0" w:space="0" w:color="auto"/>
                                                                                                        <w:left w:val="none" w:sz="0" w:space="0" w:color="auto"/>
                                                                                                        <w:bottom w:val="none" w:sz="0" w:space="0" w:color="auto"/>
                                                                                                        <w:right w:val="none" w:sz="0" w:space="0" w:color="auto"/>
                                                                                                      </w:divBdr>
                                                                                                      <w:divsChild>
                                                                                                        <w:div w:id="1518160136">
                                                                                                          <w:marLeft w:val="0"/>
                                                                                                          <w:marRight w:val="0"/>
                                                                                                          <w:marTop w:val="0"/>
                                                                                                          <w:marBottom w:val="0"/>
                                                                                                          <w:divBdr>
                                                                                                            <w:top w:val="none" w:sz="0" w:space="0" w:color="auto"/>
                                                                                                            <w:left w:val="none" w:sz="0" w:space="0" w:color="auto"/>
                                                                                                            <w:bottom w:val="none" w:sz="0" w:space="0" w:color="auto"/>
                                                                                                            <w:right w:val="none" w:sz="0" w:space="0" w:color="auto"/>
                                                                                                          </w:divBdr>
                                                                                                          <w:divsChild>
                                                                                                            <w:div w:id="2010595755">
                                                                                                              <w:marLeft w:val="0"/>
                                                                                                              <w:marRight w:val="0"/>
                                                                                                              <w:marTop w:val="0"/>
                                                                                                              <w:marBottom w:val="0"/>
                                                                                                              <w:divBdr>
                                                                                                                <w:top w:val="none" w:sz="0" w:space="0" w:color="auto"/>
                                                                                                                <w:left w:val="none" w:sz="0" w:space="0" w:color="auto"/>
                                                                                                                <w:bottom w:val="none" w:sz="0" w:space="0" w:color="auto"/>
                                                                                                                <w:right w:val="none" w:sz="0" w:space="0" w:color="auto"/>
                                                                                                              </w:divBdr>
                                                                                                              <w:divsChild>
                                                                                                                <w:div w:id="1245457634">
                                                                                                                  <w:marLeft w:val="300"/>
                                                                                                                  <w:marRight w:val="0"/>
                                                                                                                  <w:marTop w:val="0"/>
                                                                                                                  <w:marBottom w:val="0"/>
                                                                                                                  <w:divBdr>
                                                                                                                    <w:top w:val="none" w:sz="0" w:space="0" w:color="auto"/>
                                                                                                                    <w:left w:val="none" w:sz="0" w:space="0" w:color="auto"/>
                                                                                                                    <w:bottom w:val="none" w:sz="0" w:space="0" w:color="auto"/>
                                                                                                                    <w:right w:val="none" w:sz="0" w:space="0" w:color="auto"/>
                                                                                                                  </w:divBdr>
                                                                                                                  <w:divsChild>
                                                                                                                    <w:div w:id="1669555773">
                                                                                                                      <w:marLeft w:val="-300"/>
                                                                                                                      <w:marRight w:val="0"/>
                                                                                                                      <w:marTop w:val="0"/>
                                                                                                                      <w:marBottom w:val="0"/>
                                                                                                                      <w:divBdr>
                                                                                                                        <w:top w:val="none" w:sz="0" w:space="0" w:color="auto"/>
                                                                                                                        <w:left w:val="none" w:sz="0" w:space="0" w:color="auto"/>
                                                                                                                        <w:bottom w:val="none" w:sz="0" w:space="0" w:color="auto"/>
                                                                                                                        <w:right w:val="none" w:sz="0" w:space="0" w:color="auto"/>
                                                                                                                      </w:divBdr>
                                                                                                                      <w:divsChild>
                                                                                                                        <w:div w:id="8357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163748">
      <w:bodyDiv w:val="1"/>
      <w:marLeft w:val="0"/>
      <w:marRight w:val="0"/>
      <w:marTop w:val="0"/>
      <w:marBottom w:val="0"/>
      <w:divBdr>
        <w:top w:val="none" w:sz="0" w:space="0" w:color="auto"/>
        <w:left w:val="none" w:sz="0" w:space="0" w:color="auto"/>
        <w:bottom w:val="none" w:sz="0" w:space="0" w:color="auto"/>
        <w:right w:val="none" w:sz="0" w:space="0" w:color="auto"/>
      </w:divBdr>
    </w:div>
    <w:div w:id="895971402">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51864128">
      <w:bodyDiv w:val="1"/>
      <w:marLeft w:val="0"/>
      <w:marRight w:val="0"/>
      <w:marTop w:val="0"/>
      <w:marBottom w:val="0"/>
      <w:divBdr>
        <w:top w:val="none" w:sz="0" w:space="0" w:color="auto"/>
        <w:left w:val="none" w:sz="0" w:space="0" w:color="auto"/>
        <w:bottom w:val="none" w:sz="0" w:space="0" w:color="auto"/>
        <w:right w:val="none" w:sz="0" w:space="0" w:color="auto"/>
      </w:divBdr>
    </w:div>
    <w:div w:id="960068369">
      <w:bodyDiv w:val="1"/>
      <w:marLeft w:val="0"/>
      <w:marRight w:val="0"/>
      <w:marTop w:val="0"/>
      <w:marBottom w:val="0"/>
      <w:divBdr>
        <w:top w:val="none" w:sz="0" w:space="0" w:color="auto"/>
        <w:left w:val="none" w:sz="0" w:space="0" w:color="auto"/>
        <w:bottom w:val="none" w:sz="0" w:space="0" w:color="auto"/>
        <w:right w:val="none" w:sz="0" w:space="0" w:color="auto"/>
      </w:divBdr>
    </w:div>
    <w:div w:id="960576554">
      <w:bodyDiv w:val="1"/>
      <w:marLeft w:val="0"/>
      <w:marRight w:val="0"/>
      <w:marTop w:val="0"/>
      <w:marBottom w:val="0"/>
      <w:divBdr>
        <w:top w:val="none" w:sz="0" w:space="0" w:color="auto"/>
        <w:left w:val="none" w:sz="0" w:space="0" w:color="auto"/>
        <w:bottom w:val="none" w:sz="0" w:space="0" w:color="auto"/>
        <w:right w:val="none" w:sz="0" w:space="0" w:color="auto"/>
      </w:divBdr>
    </w:div>
    <w:div w:id="984630477">
      <w:bodyDiv w:val="1"/>
      <w:marLeft w:val="0"/>
      <w:marRight w:val="0"/>
      <w:marTop w:val="0"/>
      <w:marBottom w:val="0"/>
      <w:divBdr>
        <w:top w:val="none" w:sz="0" w:space="0" w:color="auto"/>
        <w:left w:val="none" w:sz="0" w:space="0" w:color="auto"/>
        <w:bottom w:val="none" w:sz="0" w:space="0" w:color="auto"/>
        <w:right w:val="none" w:sz="0" w:space="0" w:color="auto"/>
      </w:divBdr>
    </w:div>
    <w:div w:id="991326677">
      <w:bodyDiv w:val="1"/>
      <w:marLeft w:val="0"/>
      <w:marRight w:val="0"/>
      <w:marTop w:val="0"/>
      <w:marBottom w:val="0"/>
      <w:divBdr>
        <w:top w:val="none" w:sz="0" w:space="0" w:color="auto"/>
        <w:left w:val="none" w:sz="0" w:space="0" w:color="auto"/>
        <w:bottom w:val="none" w:sz="0" w:space="0" w:color="auto"/>
        <w:right w:val="none" w:sz="0" w:space="0" w:color="auto"/>
      </w:divBdr>
    </w:div>
    <w:div w:id="1002242683">
      <w:bodyDiv w:val="1"/>
      <w:marLeft w:val="0"/>
      <w:marRight w:val="0"/>
      <w:marTop w:val="0"/>
      <w:marBottom w:val="0"/>
      <w:divBdr>
        <w:top w:val="none" w:sz="0" w:space="0" w:color="auto"/>
        <w:left w:val="none" w:sz="0" w:space="0" w:color="auto"/>
        <w:bottom w:val="none" w:sz="0" w:space="0" w:color="auto"/>
        <w:right w:val="none" w:sz="0" w:space="0" w:color="auto"/>
      </w:divBdr>
    </w:div>
    <w:div w:id="101360719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2440278">
      <w:bodyDiv w:val="1"/>
      <w:marLeft w:val="0"/>
      <w:marRight w:val="0"/>
      <w:marTop w:val="0"/>
      <w:marBottom w:val="0"/>
      <w:divBdr>
        <w:top w:val="none" w:sz="0" w:space="0" w:color="auto"/>
        <w:left w:val="none" w:sz="0" w:space="0" w:color="auto"/>
        <w:bottom w:val="none" w:sz="0" w:space="0" w:color="auto"/>
        <w:right w:val="none" w:sz="0" w:space="0" w:color="auto"/>
      </w:divBdr>
    </w:div>
    <w:div w:id="1025638854">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7842112">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53256613">
      <w:bodyDiv w:val="1"/>
      <w:marLeft w:val="0"/>
      <w:marRight w:val="0"/>
      <w:marTop w:val="0"/>
      <w:marBottom w:val="0"/>
      <w:divBdr>
        <w:top w:val="none" w:sz="0" w:space="0" w:color="auto"/>
        <w:left w:val="none" w:sz="0" w:space="0" w:color="auto"/>
        <w:bottom w:val="none" w:sz="0" w:space="0" w:color="auto"/>
        <w:right w:val="none" w:sz="0" w:space="0" w:color="auto"/>
      </w:divBdr>
    </w:div>
    <w:div w:id="115810728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0727621">
      <w:bodyDiv w:val="1"/>
      <w:marLeft w:val="0"/>
      <w:marRight w:val="0"/>
      <w:marTop w:val="0"/>
      <w:marBottom w:val="0"/>
      <w:divBdr>
        <w:top w:val="none" w:sz="0" w:space="0" w:color="auto"/>
        <w:left w:val="none" w:sz="0" w:space="0" w:color="auto"/>
        <w:bottom w:val="none" w:sz="0" w:space="0" w:color="auto"/>
        <w:right w:val="none" w:sz="0" w:space="0" w:color="auto"/>
      </w:divBdr>
    </w:div>
    <w:div w:id="1192261301">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22210845">
      <w:bodyDiv w:val="1"/>
      <w:marLeft w:val="0"/>
      <w:marRight w:val="0"/>
      <w:marTop w:val="0"/>
      <w:marBottom w:val="0"/>
      <w:divBdr>
        <w:top w:val="none" w:sz="0" w:space="0" w:color="auto"/>
        <w:left w:val="none" w:sz="0" w:space="0" w:color="auto"/>
        <w:bottom w:val="none" w:sz="0" w:space="0" w:color="auto"/>
        <w:right w:val="none" w:sz="0" w:space="0" w:color="auto"/>
      </w:divBdr>
    </w:div>
    <w:div w:id="1222981021">
      <w:bodyDiv w:val="1"/>
      <w:marLeft w:val="0"/>
      <w:marRight w:val="0"/>
      <w:marTop w:val="0"/>
      <w:marBottom w:val="0"/>
      <w:divBdr>
        <w:top w:val="none" w:sz="0" w:space="0" w:color="auto"/>
        <w:left w:val="none" w:sz="0" w:space="0" w:color="auto"/>
        <w:bottom w:val="none" w:sz="0" w:space="0" w:color="auto"/>
        <w:right w:val="none" w:sz="0" w:space="0" w:color="auto"/>
      </w:divBdr>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3876500">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6961460">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5089121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04198382">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6837108">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3278">
          <w:marLeft w:val="850"/>
          <w:marRight w:val="0"/>
          <w:marTop w:val="0"/>
          <w:marBottom w:val="120"/>
          <w:divBdr>
            <w:top w:val="none" w:sz="0" w:space="0" w:color="auto"/>
            <w:left w:val="none" w:sz="0" w:space="0" w:color="auto"/>
            <w:bottom w:val="none" w:sz="0" w:space="0" w:color="auto"/>
            <w:right w:val="none" w:sz="0" w:space="0" w:color="auto"/>
          </w:divBdr>
        </w:div>
        <w:div w:id="969094430">
          <w:marLeft w:val="1267"/>
          <w:marRight w:val="0"/>
          <w:marTop w:val="0"/>
          <w:marBottom w:val="120"/>
          <w:divBdr>
            <w:top w:val="none" w:sz="0" w:space="0" w:color="auto"/>
            <w:left w:val="none" w:sz="0" w:space="0" w:color="auto"/>
            <w:bottom w:val="none" w:sz="0" w:space="0" w:color="auto"/>
            <w:right w:val="none" w:sz="0" w:space="0" w:color="auto"/>
          </w:divBdr>
        </w:div>
        <w:div w:id="1358652075">
          <w:marLeft w:val="850"/>
          <w:marRight w:val="0"/>
          <w:marTop w:val="0"/>
          <w:marBottom w:val="120"/>
          <w:divBdr>
            <w:top w:val="none" w:sz="0" w:space="0" w:color="auto"/>
            <w:left w:val="none" w:sz="0" w:space="0" w:color="auto"/>
            <w:bottom w:val="none" w:sz="0" w:space="0" w:color="auto"/>
            <w:right w:val="none" w:sz="0" w:space="0" w:color="auto"/>
          </w:divBdr>
        </w:div>
        <w:div w:id="2081243436">
          <w:marLeft w:val="1267"/>
          <w:marRight w:val="0"/>
          <w:marTop w:val="0"/>
          <w:marBottom w:val="120"/>
          <w:divBdr>
            <w:top w:val="none" w:sz="0" w:space="0" w:color="auto"/>
            <w:left w:val="none" w:sz="0" w:space="0" w:color="auto"/>
            <w:bottom w:val="none" w:sz="0" w:space="0" w:color="auto"/>
            <w:right w:val="none" w:sz="0" w:space="0" w:color="auto"/>
          </w:divBdr>
        </w:div>
        <w:div w:id="2081436340">
          <w:marLeft w:val="850"/>
          <w:marRight w:val="0"/>
          <w:marTop w:val="0"/>
          <w:marBottom w:val="120"/>
          <w:divBdr>
            <w:top w:val="none" w:sz="0" w:space="0" w:color="auto"/>
            <w:left w:val="none" w:sz="0" w:space="0" w:color="auto"/>
            <w:bottom w:val="none" w:sz="0" w:space="0" w:color="auto"/>
            <w:right w:val="none" w:sz="0" w:space="0" w:color="auto"/>
          </w:divBdr>
        </w:div>
      </w:divsChild>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45012928">
      <w:bodyDiv w:val="1"/>
      <w:marLeft w:val="0"/>
      <w:marRight w:val="0"/>
      <w:marTop w:val="0"/>
      <w:marBottom w:val="0"/>
      <w:divBdr>
        <w:top w:val="none" w:sz="0" w:space="0" w:color="auto"/>
        <w:left w:val="none" w:sz="0" w:space="0" w:color="auto"/>
        <w:bottom w:val="none" w:sz="0" w:space="0" w:color="auto"/>
        <w:right w:val="none" w:sz="0" w:space="0" w:color="auto"/>
      </w:divBdr>
    </w:div>
    <w:div w:id="1355616904">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3754260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84674365">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15393787">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4912071">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99350613">
      <w:bodyDiv w:val="1"/>
      <w:marLeft w:val="0"/>
      <w:marRight w:val="0"/>
      <w:marTop w:val="0"/>
      <w:marBottom w:val="0"/>
      <w:divBdr>
        <w:top w:val="none" w:sz="0" w:space="0" w:color="auto"/>
        <w:left w:val="none" w:sz="0" w:space="0" w:color="auto"/>
        <w:bottom w:val="none" w:sz="0" w:space="0" w:color="auto"/>
        <w:right w:val="none" w:sz="0" w:space="0" w:color="auto"/>
      </w:divBdr>
    </w:div>
    <w:div w:id="1507598979">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3400001">
      <w:bodyDiv w:val="1"/>
      <w:marLeft w:val="0"/>
      <w:marRight w:val="0"/>
      <w:marTop w:val="0"/>
      <w:marBottom w:val="0"/>
      <w:divBdr>
        <w:top w:val="none" w:sz="0" w:space="0" w:color="auto"/>
        <w:left w:val="none" w:sz="0" w:space="0" w:color="auto"/>
        <w:bottom w:val="none" w:sz="0" w:space="0" w:color="auto"/>
        <w:right w:val="none" w:sz="0" w:space="0" w:color="auto"/>
      </w:divBdr>
    </w:div>
    <w:div w:id="1524130320">
      <w:bodyDiv w:val="1"/>
      <w:marLeft w:val="0"/>
      <w:marRight w:val="0"/>
      <w:marTop w:val="0"/>
      <w:marBottom w:val="0"/>
      <w:divBdr>
        <w:top w:val="none" w:sz="0" w:space="0" w:color="auto"/>
        <w:left w:val="none" w:sz="0" w:space="0" w:color="auto"/>
        <w:bottom w:val="none" w:sz="0" w:space="0" w:color="auto"/>
        <w:right w:val="none" w:sz="0" w:space="0" w:color="auto"/>
      </w:divBdr>
    </w:div>
    <w:div w:id="1528519266">
      <w:bodyDiv w:val="1"/>
      <w:marLeft w:val="0"/>
      <w:marRight w:val="0"/>
      <w:marTop w:val="0"/>
      <w:marBottom w:val="0"/>
      <w:divBdr>
        <w:top w:val="none" w:sz="0" w:space="0" w:color="auto"/>
        <w:left w:val="none" w:sz="0" w:space="0" w:color="auto"/>
        <w:bottom w:val="none" w:sz="0" w:space="0" w:color="auto"/>
        <w:right w:val="none" w:sz="0" w:space="0" w:color="auto"/>
      </w:divBdr>
      <w:divsChild>
        <w:div w:id="1046371900">
          <w:marLeft w:val="547"/>
          <w:marRight w:val="0"/>
          <w:marTop w:val="0"/>
          <w:marBottom w:val="0"/>
          <w:divBdr>
            <w:top w:val="none" w:sz="0" w:space="0" w:color="auto"/>
            <w:left w:val="none" w:sz="0" w:space="0" w:color="auto"/>
            <w:bottom w:val="none" w:sz="0" w:space="0" w:color="auto"/>
            <w:right w:val="none" w:sz="0" w:space="0" w:color="auto"/>
          </w:divBdr>
        </w:div>
        <w:div w:id="1246719156">
          <w:marLeft w:val="547"/>
          <w:marRight w:val="0"/>
          <w:marTop w:val="0"/>
          <w:marBottom w:val="0"/>
          <w:divBdr>
            <w:top w:val="none" w:sz="0" w:space="0" w:color="auto"/>
            <w:left w:val="none" w:sz="0" w:space="0" w:color="auto"/>
            <w:bottom w:val="none" w:sz="0" w:space="0" w:color="auto"/>
            <w:right w:val="none" w:sz="0" w:space="0" w:color="auto"/>
          </w:divBdr>
        </w:div>
        <w:div w:id="1928806307">
          <w:marLeft w:val="547"/>
          <w:marRight w:val="0"/>
          <w:marTop w:val="0"/>
          <w:marBottom w:val="0"/>
          <w:divBdr>
            <w:top w:val="none" w:sz="0" w:space="0" w:color="auto"/>
            <w:left w:val="none" w:sz="0" w:space="0" w:color="auto"/>
            <w:bottom w:val="none" w:sz="0" w:space="0" w:color="auto"/>
            <w:right w:val="none" w:sz="0" w:space="0" w:color="auto"/>
          </w:divBdr>
        </w:div>
        <w:div w:id="2010478074">
          <w:marLeft w:val="547"/>
          <w:marRight w:val="0"/>
          <w:marTop w:val="0"/>
          <w:marBottom w:val="0"/>
          <w:divBdr>
            <w:top w:val="none" w:sz="0" w:space="0" w:color="auto"/>
            <w:left w:val="none" w:sz="0" w:space="0" w:color="auto"/>
            <w:bottom w:val="none" w:sz="0" w:space="0" w:color="auto"/>
            <w:right w:val="none" w:sz="0" w:space="0" w:color="auto"/>
          </w:divBdr>
        </w:div>
        <w:div w:id="2076271135">
          <w:marLeft w:val="547"/>
          <w:marRight w:val="0"/>
          <w:marTop w:val="0"/>
          <w:marBottom w:val="0"/>
          <w:divBdr>
            <w:top w:val="none" w:sz="0" w:space="0" w:color="auto"/>
            <w:left w:val="none" w:sz="0" w:space="0" w:color="auto"/>
            <w:bottom w:val="none" w:sz="0" w:space="0" w:color="auto"/>
            <w:right w:val="none" w:sz="0" w:space="0" w:color="auto"/>
          </w:divBdr>
        </w:div>
      </w:divsChild>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4151695">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51695928">
      <w:bodyDiv w:val="1"/>
      <w:marLeft w:val="0"/>
      <w:marRight w:val="0"/>
      <w:marTop w:val="0"/>
      <w:marBottom w:val="0"/>
      <w:divBdr>
        <w:top w:val="none" w:sz="0" w:space="0" w:color="auto"/>
        <w:left w:val="none" w:sz="0" w:space="0" w:color="auto"/>
        <w:bottom w:val="none" w:sz="0" w:space="0" w:color="auto"/>
        <w:right w:val="none" w:sz="0" w:space="0" w:color="auto"/>
      </w:divBdr>
    </w:div>
    <w:div w:id="1569071602">
      <w:bodyDiv w:val="1"/>
      <w:marLeft w:val="0"/>
      <w:marRight w:val="0"/>
      <w:marTop w:val="0"/>
      <w:marBottom w:val="0"/>
      <w:divBdr>
        <w:top w:val="none" w:sz="0" w:space="0" w:color="auto"/>
        <w:left w:val="none" w:sz="0" w:space="0" w:color="auto"/>
        <w:bottom w:val="none" w:sz="0" w:space="0" w:color="auto"/>
        <w:right w:val="none" w:sz="0" w:space="0" w:color="auto"/>
      </w:divBdr>
    </w:div>
    <w:div w:id="1570731109">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2641992">
      <w:bodyDiv w:val="1"/>
      <w:marLeft w:val="0"/>
      <w:marRight w:val="0"/>
      <w:marTop w:val="0"/>
      <w:marBottom w:val="0"/>
      <w:divBdr>
        <w:top w:val="none" w:sz="0" w:space="0" w:color="auto"/>
        <w:left w:val="none" w:sz="0" w:space="0" w:color="auto"/>
        <w:bottom w:val="none" w:sz="0" w:space="0" w:color="auto"/>
        <w:right w:val="none" w:sz="0" w:space="0" w:color="auto"/>
      </w:divBdr>
      <w:divsChild>
        <w:div w:id="653339575">
          <w:marLeft w:val="1166"/>
          <w:marRight w:val="0"/>
          <w:marTop w:val="0"/>
          <w:marBottom w:val="0"/>
          <w:divBdr>
            <w:top w:val="none" w:sz="0" w:space="0" w:color="auto"/>
            <w:left w:val="none" w:sz="0" w:space="0" w:color="auto"/>
            <w:bottom w:val="none" w:sz="0" w:space="0" w:color="auto"/>
            <w:right w:val="none" w:sz="0" w:space="0" w:color="auto"/>
          </w:divBdr>
        </w:div>
        <w:div w:id="878781881">
          <w:marLeft w:val="1166"/>
          <w:marRight w:val="0"/>
          <w:marTop w:val="0"/>
          <w:marBottom w:val="0"/>
          <w:divBdr>
            <w:top w:val="none" w:sz="0" w:space="0" w:color="auto"/>
            <w:left w:val="none" w:sz="0" w:space="0" w:color="auto"/>
            <w:bottom w:val="none" w:sz="0" w:space="0" w:color="auto"/>
            <w:right w:val="none" w:sz="0" w:space="0" w:color="auto"/>
          </w:divBdr>
        </w:div>
        <w:div w:id="992641013">
          <w:marLeft w:val="446"/>
          <w:marRight w:val="0"/>
          <w:marTop w:val="0"/>
          <w:marBottom w:val="0"/>
          <w:divBdr>
            <w:top w:val="none" w:sz="0" w:space="0" w:color="auto"/>
            <w:left w:val="none" w:sz="0" w:space="0" w:color="auto"/>
            <w:bottom w:val="none" w:sz="0" w:space="0" w:color="auto"/>
            <w:right w:val="none" w:sz="0" w:space="0" w:color="auto"/>
          </w:divBdr>
        </w:div>
        <w:div w:id="1342707162">
          <w:marLeft w:val="1166"/>
          <w:marRight w:val="0"/>
          <w:marTop w:val="0"/>
          <w:marBottom w:val="0"/>
          <w:divBdr>
            <w:top w:val="none" w:sz="0" w:space="0" w:color="auto"/>
            <w:left w:val="none" w:sz="0" w:space="0" w:color="auto"/>
            <w:bottom w:val="none" w:sz="0" w:space="0" w:color="auto"/>
            <w:right w:val="none" w:sz="0" w:space="0" w:color="auto"/>
          </w:divBdr>
        </w:div>
        <w:div w:id="1458640794">
          <w:marLeft w:val="547"/>
          <w:marRight w:val="0"/>
          <w:marTop w:val="0"/>
          <w:marBottom w:val="0"/>
          <w:divBdr>
            <w:top w:val="none" w:sz="0" w:space="0" w:color="auto"/>
            <w:left w:val="none" w:sz="0" w:space="0" w:color="auto"/>
            <w:bottom w:val="none" w:sz="0" w:space="0" w:color="auto"/>
            <w:right w:val="none" w:sz="0" w:space="0" w:color="auto"/>
          </w:divBdr>
        </w:div>
        <w:div w:id="1648125268">
          <w:marLeft w:val="1166"/>
          <w:marRight w:val="0"/>
          <w:marTop w:val="0"/>
          <w:marBottom w:val="0"/>
          <w:divBdr>
            <w:top w:val="none" w:sz="0" w:space="0" w:color="auto"/>
            <w:left w:val="none" w:sz="0" w:space="0" w:color="auto"/>
            <w:bottom w:val="none" w:sz="0" w:space="0" w:color="auto"/>
            <w:right w:val="none" w:sz="0" w:space="0" w:color="auto"/>
          </w:divBdr>
        </w:div>
        <w:div w:id="1747846514">
          <w:marLeft w:val="1166"/>
          <w:marRight w:val="0"/>
          <w:marTop w:val="0"/>
          <w:marBottom w:val="0"/>
          <w:divBdr>
            <w:top w:val="none" w:sz="0" w:space="0" w:color="auto"/>
            <w:left w:val="none" w:sz="0" w:space="0" w:color="auto"/>
            <w:bottom w:val="none" w:sz="0" w:space="0" w:color="auto"/>
            <w:right w:val="none" w:sz="0" w:space="0" w:color="auto"/>
          </w:divBdr>
        </w:div>
        <w:div w:id="2105107264">
          <w:marLeft w:val="1166"/>
          <w:marRight w:val="0"/>
          <w:marTop w:val="0"/>
          <w:marBottom w:val="0"/>
          <w:divBdr>
            <w:top w:val="none" w:sz="0" w:space="0" w:color="auto"/>
            <w:left w:val="none" w:sz="0" w:space="0" w:color="auto"/>
            <w:bottom w:val="none" w:sz="0" w:space="0" w:color="auto"/>
            <w:right w:val="none" w:sz="0" w:space="0" w:color="auto"/>
          </w:divBdr>
        </w:div>
      </w:divsChild>
    </w:div>
    <w:div w:id="1586843453">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0673266">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787975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91104581">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5254817">
      <w:bodyDiv w:val="1"/>
      <w:marLeft w:val="0"/>
      <w:marRight w:val="0"/>
      <w:marTop w:val="0"/>
      <w:marBottom w:val="0"/>
      <w:divBdr>
        <w:top w:val="none" w:sz="0" w:space="0" w:color="auto"/>
        <w:left w:val="none" w:sz="0" w:space="0" w:color="auto"/>
        <w:bottom w:val="none" w:sz="0" w:space="0" w:color="auto"/>
        <w:right w:val="none" w:sz="0" w:space="0" w:color="auto"/>
      </w:divBdr>
    </w:div>
    <w:div w:id="1731339107">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5539870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0556292">
      <w:bodyDiv w:val="1"/>
      <w:marLeft w:val="0"/>
      <w:marRight w:val="0"/>
      <w:marTop w:val="0"/>
      <w:marBottom w:val="0"/>
      <w:divBdr>
        <w:top w:val="none" w:sz="0" w:space="0" w:color="auto"/>
        <w:left w:val="none" w:sz="0" w:space="0" w:color="auto"/>
        <w:bottom w:val="none" w:sz="0" w:space="0" w:color="auto"/>
        <w:right w:val="none" w:sz="0" w:space="0" w:color="auto"/>
      </w:divBdr>
    </w:div>
    <w:div w:id="1855462066">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9663549">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8323189">
      <w:bodyDiv w:val="1"/>
      <w:marLeft w:val="0"/>
      <w:marRight w:val="0"/>
      <w:marTop w:val="0"/>
      <w:marBottom w:val="0"/>
      <w:divBdr>
        <w:top w:val="none" w:sz="0" w:space="0" w:color="auto"/>
        <w:left w:val="none" w:sz="0" w:space="0" w:color="auto"/>
        <w:bottom w:val="none" w:sz="0" w:space="0" w:color="auto"/>
        <w:right w:val="none" w:sz="0" w:space="0" w:color="auto"/>
      </w:divBdr>
      <w:divsChild>
        <w:div w:id="37515463">
          <w:marLeft w:val="446"/>
          <w:marRight w:val="0"/>
          <w:marTop w:val="0"/>
          <w:marBottom w:val="120"/>
          <w:divBdr>
            <w:top w:val="none" w:sz="0" w:space="0" w:color="auto"/>
            <w:left w:val="none" w:sz="0" w:space="0" w:color="auto"/>
            <w:bottom w:val="none" w:sz="0" w:space="0" w:color="auto"/>
            <w:right w:val="none" w:sz="0" w:space="0" w:color="auto"/>
          </w:divBdr>
        </w:div>
        <w:div w:id="1776359378">
          <w:marLeft w:val="446"/>
          <w:marRight w:val="0"/>
          <w:marTop w:val="0"/>
          <w:marBottom w:val="120"/>
          <w:divBdr>
            <w:top w:val="none" w:sz="0" w:space="0" w:color="auto"/>
            <w:left w:val="none" w:sz="0" w:space="0" w:color="auto"/>
            <w:bottom w:val="none" w:sz="0" w:space="0" w:color="auto"/>
            <w:right w:val="none" w:sz="0" w:space="0" w:color="auto"/>
          </w:divBdr>
        </w:div>
      </w:divsChild>
    </w:div>
    <w:div w:id="1947929573">
      <w:bodyDiv w:val="1"/>
      <w:marLeft w:val="0"/>
      <w:marRight w:val="0"/>
      <w:marTop w:val="0"/>
      <w:marBottom w:val="0"/>
      <w:divBdr>
        <w:top w:val="none" w:sz="0" w:space="0" w:color="auto"/>
        <w:left w:val="none" w:sz="0" w:space="0" w:color="auto"/>
        <w:bottom w:val="none" w:sz="0" w:space="0" w:color="auto"/>
        <w:right w:val="none" w:sz="0" w:space="0" w:color="auto"/>
      </w:divBdr>
    </w:div>
    <w:div w:id="1949701374">
      <w:bodyDiv w:val="1"/>
      <w:marLeft w:val="0"/>
      <w:marRight w:val="0"/>
      <w:marTop w:val="0"/>
      <w:marBottom w:val="0"/>
      <w:divBdr>
        <w:top w:val="none" w:sz="0" w:space="0" w:color="auto"/>
        <w:left w:val="none" w:sz="0" w:space="0" w:color="auto"/>
        <w:bottom w:val="none" w:sz="0" w:space="0" w:color="auto"/>
        <w:right w:val="none" w:sz="0" w:space="0" w:color="auto"/>
      </w:divBdr>
    </w:div>
    <w:div w:id="1959749697">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sChild>
        <w:div w:id="29914666">
          <w:marLeft w:val="547"/>
          <w:marRight w:val="0"/>
          <w:marTop w:val="0"/>
          <w:marBottom w:val="0"/>
          <w:divBdr>
            <w:top w:val="none" w:sz="0" w:space="0" w:color="auto"/>
            <w:left w:val="none" w:sz="0" w:space="0" w:color="auto"/>
            <w:bottom w:val="none" w:sz="0" w:space="0" w:color="auto"/>
            <w:right w:val="none" w:sz="0" w:space="0" w:color="auto"/>
          </w:divBdr>
        </w:div>
        <w:div w:id="272784208">
          <w:marLeft w:val="547"/>
          <w:marRight w:val="0"/>
          <w:marTop w:val="0"/>
          <w:marBottom w:val="0"/>
          <w:divBdr>
            <w:top w:val="none" w:sz="0" w:space="0" w:color="auto"/>
            <w:left w:val="none" w:sz="0" w:space="0" w:color="auto"/>
            <w:bottom w:val="none" w:sz="0" w:space="0" w:color="auto"/>
            <w:right w:val="none" w:sz="0" w:space="0" w:color="auto"/>
          </w:divBdr>
        </w:div>
        <w:div w:id="905142209">
          <w:marLeft w:val="547"/>
          <w:marRight w:val="0"/>
          <w:marTop w:val="0"/>
          <w:marBottom w:val="0"/>
          <w:divBdr>
            <w:top w:val="none" w:sz="0" w:space="0" w:color="auto"/>
            <w:left w:val="none" w:sz="0" w:space="0" w:color="auto"/>
            <w:bottom w:val="none" w:sz="0" w:space="0" w:color="auto"/>
            <w:right w:val="none" w:sz="0" w:space="0" w:color="auto"/>
          </w:divBdr>
        </w:div>
        <w:div w:id="1232077385">
          <w:marLeft w:val="547"/>
          <w:marRight w:val="0"/>
          <w:marTop w:val="0"/>
          <w:marBottom w:val="0"/>
          <w:divBdr>
            <w:top w:val="none" w:sz="0" w:space="0" w:color="auto"/>
            <w:left w:val="none" w:sz="0" w:space="0" w:color="auto"/>
            <w:bottom w:val="none" w:sz="0" w:space="0" w:color="auto"/>
            <w:right w:val="none" w:sz="0" w:space="0" w:color="auto"/>
          </w:divBdr>
        </w:div>
        <w:div w:id="2085371621">
          <w:marLeft w:val="547"/>
          <w:marRight w:val="0"/>
          <w:marTop w:val="0"/>
          <w:marBottom w:val="0"/>
          <w:divBdr>
            <w:top w:val="none" w:sz="0" w:space="0" w:color="auto"/>
            <w:left w:val="none" w:sz="0" w:space="0" w:color="auto"/>
            <w:bottom w:val="none" w:sz="0" w:space="0" w:color="auto"/>
            <w:right w:val="none" w:sz="0" w:space="0" w:color="auto"/>
          </w:divBdr>
        </w:div>
      </w:divsChild>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09940841">
      <w:bodyDiv w:val="1"/>
      <w:marLeft w:val="0"/>
      <w:marRight w:val="0"/>
      <w:marTop w:val="0"/>
      <w:marBottom w:val="0"/>
      <w:divBdr>
        <w:top w:val="none" w:sz="0" w:space="0" w:color="auto"/>
        <w:left w:val="none" w:sz="0" w:space="0" w:color="auto"/>
        <w:bottom w:val="none" w:sz="0" w:space="0" w:color="auto"/>
        <w:right w:val="none" w:sz="0" w:space="0" w:color="auto"/>
      </w:divBdr>
      <w:divsChild>
        <w:div w:id="463736222">
          <w:marLeft w:val="1267"/>
          <w:marRight w:val="0"/>
          <w:marTop w:val="0"/>
          <w:marBottom w:val="0"/>
          <w:divBdr>
            <w:top w:val="none" w:sz="0" w:space="0" w:color="auto"/>
            <w:left w:val="none" w:sz="0" w:space="0" w:color="auto"/>
            <w:bottom w:val="none" w:sz="0" w:space="0" w:color="auto"/>
            <w:right w:val="none" w:sz="0" w:space="0" w:color="auto"/>
          </w:divBdr>
        </w:div>
        <w:div w:id="468789110">
          <w:marLeft w:val="547"/>
          <w:marRight w:val="0"/>
          <w:marTop w:val="0"/>
          <w:marBottom w:val="0"/>
          <w:divBdr>
            <w:top w:val="none" w:sz="0" w:space="0" w:color="auto"/>
            <w:left w:val="none" w:sz="0" w:space="0" w:color="auto"/>
            <w:bottom w:val="none" w:sz="0" w:space="0" w:color="auto"/>
            <w:right w:val="none" w:sz="0" w:space="0" w:color="auto"/>
          </w:divBdr>
        </w:div>
        <w:div w:id="1287156788">
          <w:marLeft w:val="1267"/>
          <w:marRight w:val="0"/>
          <w:marTop w:val="0"/>
          <w:marBottom w:val="0"/>
          <w:divBdr>
            <w:top w:val="none" w:sz="0" w:space="0" w:color="auto"/>
            <w:left w:val="none" w:sz="0" w:space="0" w:color="auto"/>
            <w:bottom w:val="none" w:sz="0" w:space="0" w:color="auto"/>
            <w:right w:val="none" w:sz="0" w:space="0" w:color="auto"/>
          </w:divBdr>
        </w:div>
        <w:div w:id="1346398988">
          <w:marLeft w:val="547"/>
          <w:marRight w:val="0"/>
          <w:marTop w:val="0"/>
          <w:marBottom w:val="0"/>
          <w:divBdr>
            <w:top w:val="none" w:sz="0" w:space="0" w:color="auto"/>
            <w:left w:val="none" w:sz="0" w:space="0" w:color="auto"/>
            <w:bottom w:val="none" w:sz="0" w:space="0" w:color="auto"/>
            <w:right w:val="none" w:sz="0" w:space="0" w:color="auto"/>
          </w:divBdr>
        </w:div>
        <w:div w:id="1571188472">
          <w:marLeft w:val="1267"/>
          <w:marRight w:val="0"/>
          <w:marTop w:val="0"/>
          <w:marBottom w:val="0"/>
          <w:divBdr>
            <w:top w:val="none" w:sz="0" w:space="0" w:color="auto"/>
            <w:left w:val="none" w:sz="0" w:space="0" w:color="auto"/>
            <w:bottom w:val="none" w:sz="0" w:space="0" w:color="auto"/>
            <w:right w:val="none" w:sz="0" w:space="0" w:color="auto"/>
          </w:divBdr>
        </w:div>
        <w:div w:id="1658261044">
          <w:marLeft w:val="1987"/>
          <w:marRight w:val="0"/>
          <w:marTop w:val="0"/>
          <w:marBottom w:val="0"/>
          <w:divBdr>
            <w:top w:val="none" w:sz="0" w:space="0" w:color="auto"/>
            <w:left w:val="none" w:sz="0" w:space="0" w:color="auto"/>
            <w:bottom w:val="none" w:sz="0" w:space="0" w:color="auto"/>
            <w:right w:val="none" w:sz="0" w:space="0" w:color="auto"/>
          </w:divBdr>
        </w:div>
        <w:div w:id="2025669035">
          <w:marLeft w:val="547"/>
          <w:marRight w:val="0"/>
          <w:marTop w:val="0"/>
          <w:marBottom w:val="0"/>
          <w:divBdr>
            <w:top w:val="none" w:sz="0" w:space="0" w:color="auto"/>
            <w:left w:val="none" w:sz="0" w:space="0" w:color="auto"/>
            <w:bottom w:val="none" w:sz="0" w:space="0" w:color="auto"/>
            <w:right w:val="none" w:sz="0" w:space="0" w:color="auto"/>
          </w:divBdr>
        </w:div>
      </w:divsChild>
    </w:div>
    <w:div w:id="2018998361">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87915896">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1268105">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228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www.nejm.org/doi/abs/10.1056/NEJMoa131046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cbi.nlm.nih.gov/pubmed/22778321"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mja.com.au/journal/2012/197/10/over-150-potentially-low-value-health-care-practices-australian-study?0=ip_login_no_cache%3Db5b09599f656f879694c67531fbb95f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dx.doi.org/10.1016/j.ejso.2014.12.003"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yperlink" Target="http://www.pubmedcentral.nih.gov/articlerender.fcgi?artid=2970739&amp;tool=pmcentrez&amp;rendertype=abstra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1</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2</b:RefOrder>
  </b:Source>
</b:Sources>
</file>

<file path=customXml/itemProps1.xml><?xml version="1.0" encoding="utf-8"?>
<ds:datastoreItem xmlns:ds="http://schemas.openxmlformats.org/officeDocument/2006/customXml" ds:itemID="{45C683CF-7E81-4C56-8446-F10867CF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48548</Words>
  <Characters>276725</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Oncology Clinical Committee</dc:title>
  <dc:subject>Medicare Benefits Schedule</dc:subject>
  <dc:creator>Australian Government Department of Health</dc:creator>
  <dc:description>_x000d_
</dc:description>
  <cp:lastModifiedBy>SMEDLEY, Tyne</cp:lastModifiedBy>
  <cp:revision>2</cp:revision>
  <cp:lastPrinted>2017-04-04T05:26:00Z</cp:lastPrinted>
  <dcterms:created xsi:type="dcterms:W3CDTF">2021-06-29T00:47:00Z</dcterms:created>
  <dcterms:modified xsi:type="dcterms:W3CDTF">2021-06-29T00:47:00Z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364959d5-c38a-3b37-9037-d5718ecd9b7a</vt:lpwstr>
  </property>
</Properties>
</file>