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0CE966" w14:textId="70656AC8" w:rsidR="00262127" w:rsidRPr="00AC60DB" w:rsidRDefault="00262127" w:rsidP="00AC60DB">
      <w:pPr>
        <w:pStyle w:val="Subtitle"/>
      </w:pPr>
      <w:bookmarkStart w:id="0" w:name="_Toc427153112"/>
      <w:r w:rsidRPr="00AC60DB">
        <w:t>Medicare Benefits Schedule Review Taskforce</w:t>
      </w:r>
    </w:p>
    <w:p w14:paraId="6E4D5171" w14:textId="2C7D14F6" w:rsidR="003049F9" w:rsidRPr="00AC60DB" w:rsidRDefault="00A86950" w:rsidP="00AC60DB">
      <w:pPr>
        <w:pStyle w:val="Title"/>
      </w:pPr>
      <w:r>
        <w:t>Final r</w:t>
      </w:r>
      <w:r w:rsidR="001C53E1" w:rsidRPr="00AC60DB">
        <w:t>eport</w:t>
      </w:r>
      <w:r w:rsidR="003049F9" w:rsidRPr="00AC60DB">
        <w:t xml:space="preserve"> from the</w:t>
      </w:r>
      <w:r w:rsidR="00AC60DB">
        <w:t xml:space="preserve"> </w:t>
      </w:r>
      <w:r w:rsidR="003049F9" w:rsidRPr="00AC60DB">
        <w:t>Gastroenterology Clinical Committee</w:t>
      </w:r>
    </w:p>
    <w:p w14:paraId="6A31741F" w14:textId="6D157D41" w:rsidR="003049F9" w:rsidRPr="001C0660" w:rsidRDefault="00262127" w:rsidP="00AC60DB">
      <w:pPr>
        <w:pStyle w:val="Subtitle"/>
      </w:pPr>
      <w:r w:rsidRPr="00AC60DB">
        <w:t>2016</w:t>
      </w:r>
      <w:bookmarkStart w:id="1" w:name="_Toc448369494"/>
      <w:r w:rsidR="003049F9" w:rsidRPr="001C0660">
        <w:br w:type="page"/>
      </w:r>
    </w:p>
    <w:p w14:paraId="6E583080" w14:textId="77777777" w:rsidR="000B1CCA" w:rsidRDefault="000B1CCA" w:rsidP="000B1CCA">
      <w:pPr>
        <w:pStyle w:val="BoxText"/>
        <w:pBdr>
          <w:top w:val="single" w:sz="12" w:space="4" w:color="984806"/>
          <w:left w:val="single" w:sz="12" w:space="4" w:color="984806"/>
          <w:bottom w:val="single" w:sz="12" w:space="4" w:color="984806"/>
          <w:right w:val="single" w:sz="12" w:space="4" w:color="984806"/>
        </w:pBdr>
        <w:rPr>
          <w:rFonts w:cs="Arial"/>
          <w:b/>
          <w:bCs/>
          <w:color w:val="01653F"/>
          <w:sz w:val="32"/>
          <w:szCs w:val="28"/>
        </w:rPr>
      </w:pPr>
      <w:r>
        <w:rPr>
          <w:rFonts w:cs="Arial"/>
          <w:b/>
          <w:bCs/>
          <w:color w:val="01653F"/>
          <w:sz w:val="32"/>
          <w:szCs w:val="28"/>
        </w:rPr>
        <w:lastRenderedPageBreak/>
        <w:t>Important note</w:t>
      </w:r>
    </w:p>
    <w:p w14:paraId="4849A31F" w14:textId="7A9098A2" w:rsidR="000B1CCA" w:rsidRDefault="000B1CCA" w:rsidP="000B1CCA">
      <w:pPr>
        <w:pStyle w:val="BoxText"/>
        <w:pBdr>
          <w:top w:val="single" w:sz="12" w:space="4" w:color="984806"/>
          <w:left w:val="single" w:sz="12" w:space="4" w:color="984806"/>
          <w:bottom w:val="single" w:sz="12" w:space="4" w:color="984806"/>
          <w:right w:val="single" w:sz="12" w:space="4" w:color="984806"/>
        </w:pBdr>
      </w:pPr>
      <w:r>
        <w:t xml:space="preserve">The recommendations from the Gastroenterology Clinical Committee detailed in the body of this report, including the executive summary, were released for public consultation on 9 September 2016. </w:t>
      </w:r>
    </w:p>
    <w:p w14:paraId="4C03C96F" w14:textId="77777777" w:rsidR="000B1CCA" w:rsidRDefault="000B1CCA" w:rsidP="000B1CCA">
      <w:pPr>
        <w:pStyle w:val="BoxText"/>
        <w:pBdr>
          <w:top w:val="single" w:sz="12" w:space="4" w:color="984806"/>
          <w:left w:val="single" w:sz="12" w:space="4" w:color="984806"/>
          <w:bottom w:val="single" w:sz="12" w:space="4" w:color="984806"/>
          <w:right w:val="single" w:sz="12" w:space="4" w:color="984806"/>
        </w:pBdr>
      </w:pPr>
    </w:p>
    <w:p w14:paraId="485373C0" w14:textId="1AF37F89" w:rsidR="000B1CCA" w:rsidRDefault="000B1CCA" w:rsidP="000B1CCA">
      <w:pPr>
        <w:pStyle w:val="BoxText"/>
        <w:pBdr>
          <w:top w:val="single" w:sz="12" w:space="4" w:color="984806"/>
          <w:left w:val="single" w:sz="12" w:space="4" w:color="984806"/>
          <w:bottom w:val="single" w:sz="12" w:space="4" w:color="984806"/>
          <w:right w:val="single" w:sz="12" w:space="4" w:color="984806"/>
        </w:pBdr>
      </w:pPr>
      <w:r>
        <w:t xml:space="preserve">The Gastroenterology Clinical Committee considered feedback from the public consultation and made minor changes to a number of recommendations which are detailed in the Addendum to this report.  </w:t>
      </w:r>
    </w:p>
    <w:p w14:paraId="448C7114" w14:textId="77777777" w:rsidR="000B1CCA" w:rsidRDefault="000B1CCA" w:rsidP="000B1CCA">
      <w:pPr>
        <w:pStyle w:val="BoxText"/>
        <w:pBdr>
          <w:top w:val="single" w:sz="12" w:space="4" w:color="984806"/>
          <w:left w:val="single" w:sz="12" w:space="4" w:color="984806"/>
          <w:bottom w:val="single" w:sz="12" w:space="4" w:color="984806"/>
          <w:right w:val="single" w:sz="12" w:space="4" w:color="984806"/>
        </w:pBdr>
      </w:pPr>
    </w:p>
    <w:p w14:paraId="5ADAEE6C" w14:textId="0A5760A2" w:rsidR="000B1CCA" w:rsidRDefault="000B1CCA" w:rsidP="000B1CCA">
      <w:pPr>
        <w:pStyle w:val="BoxText"/>
        <w:pBdr>
          <w:top w:val="single" w:sz="12" w:space="4" w:color="984806"/>
          <w:left w:val="single" w:sz="12" w:space="4" w:color="984806"/>
          <w:bottom w:val="single" w:sz="12" w:space="4" w:color="984806"/>
          <w:right w:val="single" w:sz="12" w:space="4" w:color="984806"/>
        </w:pBdr>
        <w:rPr>
          <w:rFonts w:cs="Arial"/>
          <w:bCs/>
        </w:rPr>
      </w:pPr>
      <w:r>
        <w:t>The final recommendations from the Gastroenterology Clinical Committee and feedback from the public consultation will be provided to the Medicare Benefits Schedule (MBS) Review Taskforce (the Taskforce) for consideration before the Taskforce makes its final recommendations to Government.</w:t>
      </w:r>
    </w:p>
    <w:p w14:paraId="2C39467E" w14:textId="75BCA7D8" w:rsidR="00AC60DB" w:rsidRPr="000B1CCA" w:rsidRDefault="00AC60DB" w:rsidP="000B1CCA">
      <w:pPr>
        <w:pStyle w:val="BoxText"/>
        <w:pBdr>
          <w:top w:val="single" w:sz="12" w:space="4" w:color="984806"/>
          <w:left w:val="single" w:sz="12" w:space="4" w:color="984806"/>
          <w:bottom w:val="single" w:sz="12" w:space="4" w:color="984806"/>
          <w:right w:val="single" w:sz="12" w:space="4" w:color="984806"/>
        </w:pBdr>
        <w:rPr>
          <w:rFonts w:cs="Arial"/>
          <w:bCs/>
        </w:rPr>
        <w:sectPr w:rsidR="00AC60DB" w:rsidRPr="000B1CCA" w:rsidSect="00326D7D">
          <w:pgSz w:w="11906" w:h="16838" w:code="9"/>
          <w:pgMar w:top="1134" w:right="1440" w:bottom="1134" w:left="1440" w:header="720" w:footer="720" w:gutter="0"/>
          <w:paperSrc w:first="2" w:other="2"/>
          <w:cols w:space="720"/>
          <w:docGrid w:linePitch="326"/>
        </w:sectPr>
      </w:pPr>
    </w:p>
    <w:p w14:paraId="7B818987" w14:textId="77777777" w:rsidR="00C56DF9" w:rsidRPr="003B1222" w:rsidRDefault="00C56DF9" w:rsidP="003F788A">
      <w:pPr>
        <w:spacing w:before="120" w:after="120"/>
        <w:rPr>
          <w:rFonts w:cs="Arial"/>
          <w:b/>
          <w:color w:val="01653F"/>
          <w:sz w:val="32"/>
          <w:szCs w:val="32"/>
        </w:rPr>
      </w:pPr>
      <w:r w:rsidRPr="003B1222">
        <w:rPr>
          <w:rFonts w:cs="Arial"/>
          <w:b/>
          <w:color w:val="01653F"/>
          <w:sz w:val="32"/>
          <w:szCs w:val="32"/>
        </w:rPr>
        <w:lastRenderedPageBreak/>
        <w:t>Table of Contents</w:t>
      </w:r>
      <w:bookmarkEnd w:id="1"/>
    </w:p>
    <w:p w14:paraId="1F38F71A" w14:textId="77777777" w:rsidR="000F4B0C" w:rsidRDefault="001815E3">
      <w:pPr>
        <w:pStyle w:val="TOC1"/>
        <w:rPr>
          <w:rFonts w:eastAsiaTheme="minorEastAsia" w:cstheme="minorBidi"/>
          <w:b w:val="0"/>
          <w:noProof/>
        </w:rPr>
      </w:pPr>
      <w:r>
        <w:rPr>
          <w:rFonts w:ascii="Cambria" w:hAnsi="Cambria"/>
          <w:caps/>
          <w:smallCaps/>
          <w:noProof/>
        </w:rPr>
        <w:fldChar w:fldCharType="begin"/>
      </w:r>
      <w:r>
        <w:rPr>
          <w:rFonts w:ascii="Cambria" w:hAnsi="Cambria"/>
          <w:smallCaps/>
          <w:noProof/>
        </w:rPr>
        <w:instrText xml:space="preserve"> TOC \t "Heading 1,1,Heading 2 Report,2,Appendix Style 1,1,Rec,3" </w:instrText>
      </w:r>
      <w:r>
        <w:rPr>
          <w:rFonts w:ascii="Cambria" w:hAnsi="Cambria"/>
          <w:caps/>
          <w:smallCaps/>
          <w:noProof/>
        </w:rPr>
        <w:fldChar w:fldCharType="separate"/>
      </w:r>
      <w:r w:rsidR="000F4B0C">
        <w:rPr>
          <w:noProof/>
        </w:rPr>
        <w:t>1.</w:t>
      </w:r>
      <w:r w:rsidR="000F4B0C">
        <w:rPr>
          <w:rFonts w:eastAsiaTheme="minorEastAsia" w:cstheme="minorBidi"/>
          <w:b w:val="0"/>
          <w:noProof/>
        </w:rPr>
        <w:tab/>
      </w:r>
      <w:r w:rsidR="000F4B0C">
        <w:rPr>
          <w:noProof/>
        </w:rPr>
        <w:t>Executive Summary</w:t>
      </w:r>
      <w:r w:rsidR="000F4B0C">
        <w:rPr>
          <w:noProof/>
        </w:rPr>
        <w:tab/>
      </w:r>
      <w:r w:rsidR="000F4B0C">
        <w:rPr>
          <w:noProof/>
        </w:rPr>
        <w:fldChar w:fldCharType="begin"/>
      </w:r>
      <w:r w:rsidR="000F4B0C">
        <w:rPr>
          <w:noProof/>
        </w:rPr>
        <w:instrText xml:space="preserve"> PAGEREF _Toc485731747 \h </w:instrText>
      </w:r>
      <w:r w:rsidR="000F4B0C">
        <w:rPr>
          <w:noProof/>
        </w:rPr>
      </w:r>
      <w:r w:rsidR="000F4B0C">
        <w:rPr>
          <w:noProof/>
        </w:rPr>
        <w:fldChar w:fldCharType="separate"/>
      </w:r>
      <w:r w:rsidR="000F4B0C">
        <w:rPr>
          <w:noProof/>
        </w:rPr>
        <w:t>7</w:t>
      </w:r>
      <w:r w:rsidR="000F4B0C">
        <w:rPr>
          <w:noProof/>
        </w:rPr>
        <w:fldChar w:fldCharType="end"/>
      </w:r>
    </w:p>
    <w:p w14:paraId="676C50B2" w14:textId="77777777" w:rsidR="000F4B0C" w:rsidRDefault="000F4B0C">
      <w:pPr>
        <w:pStyle w:val="TOC3"/>
        <w:rPr>
          <w:rFonts w:eastAsiaTheme="minorEastAsia" w:cstheme="minorBidi"/>
          <w:i w:val="0"/>
          <w:noProof/>
        </w:rPr>
      </w:pPr>
      <w:r w:rsidRPr="00524C3D">
        <w:rPr>
          <w:i w:val="0"/>
          <w:noProof/>
          <w14:scene3d>
            <w14:camera w14:prst="orthographicFront"/>
            <w14:lightRig w14:rig="threePt" w14:dir="t">
              <w14:rot w14:lat="0" w14:lon="0" w14:rev="0"/>
            </w14:lightRig>
          </w14:scene3d>
        </w:rPr>
        <w:t>Recommendation 1.</w:t>
      </w:r>
      <w:r>
        <w:rPr>
          <w:rFonts w:eastAsiaTheme="minorEastAsia" w:cstheme="minorBidi"/>
          <w:i w:val="0"/>
          <w:noProof/>
        </w:rPr>
        <w:tab/>
      </w:r>
      <w:r>
        <w:rPr>
          <w:noProof/>
        </w:rPr>
        <w:t>Colonoscopy</w:t>
      </w:r>
      <w:r>
        <w:rPr>
          <w:noProof/>
        </w:rPr>
        <w:tab/>
      </w:r>
      <w:r>
        <w:rPr>
          <w:noProof/>
        </w:rPr>
        <w:fldChar w:fldCharType="begin"/>
      </w:r>
      <w:r>
        <w:rPr>
          <w:noProof/>
        </w:rPr>
        <w:instrText xml:space="preserve"> PAGEREF _Toc485731748 \h </w:instrText>
      </w:r>
      <w:r>
        <w:rPr>
          <w:noProof/>
        </w:rPr>
      </w:r>
      <w:r>
        <w:rPr>
          <w:noProof/>
        </w:rPr>
        <w:fldChar w:fldCharType="separate"/>
      </w:r>
      <w:r>
        <w:rPr>
          <w:noProof/>
        </w:rPr>
        <w:t>8</w:t>
      </w:r>
      <w:r>
        <w:rPr>
          <w:noProof/>
        </w:rPr>
        <w:fldChar w:fldCharType="end"/>
      </w:r>
    </w:p>
    <w:p w14:paraId="4160BBF8" w14:textId="77777777" w:rsidR="000F4B0C" w:rsidRDefault="000F4B0C">
      <w:pPr>
        <w:pStyle w:val="TOC3"/>
        <w:rPr>
          <w:rFonts w:eastAsiaTheme="minorEastAsia" w:cstheme="minorBidi"/>
          <w:i w:val="0"/>
          <w:noProof/>
        </w:rPr>
      </w:pPr>
      <w:r w:rsidRPr="00524C3D">
        <w:rPr>
          <w:i w:val="0"/>
          <w:noProof/>
          <w14:scene3d>
            <w14:camera w14:prst="orthographicFront"/>
            <w14:lightRig w14:rig="threePt" w14:dir="t">
              <w14:rot w14:lat="0" w14:lon="0" w14:rev="0"/>
            </w14:lightRig>
          </w14:scene3d>
        </w:rPr>
        <w:t>Recommendation 2.</w:t>
      </w:r>
      <w:r>
        <w:rPr>
          <w:rFonts w:eastAsiaTheme="minorEastAsia" w:cstheme="minorBidi"/>
          <w:i w:val="0"/>
          <w:noProof/>
        </w:rPr>
        <w:tab/>
      </w:r>
      <w:r>
        <w:rPr>
          <w:noProof/>
        </w:rPr>
        <w:t>Same Day Upper and Lower GI Endoscopy</w:t>
      </w:r>
      <w:r>
        <w:rPr>
          <w:noProof/>
        </w:rPr>
        <w:tab/>
      </w:r>
      <w:r>
        <w:rPr>
          <w:noProof/>
        </w:rPr>
        <w:fldChar w:fldCharType="begin"/>
      </w:r>
      <w:r>
        <w:rPr>
          <w:noProof/>
        </w:rPr>
        <w:instrText xml:space="preserve"> PAGEREF _Toc485731749 \h </w:instrText>
      </w:r>
      <w:r>
        <w:rPr>
          <w:noProof/>
        </w:rPr>
      </w:r>
      <w:r>
        <w:rPr>
          <w:noProof/>
        </w:rPr>
        <w:fldChar w:fldCharType="separate"/>
      </w:r>
      <w:r>
        <w:rPr>
          <w:noProof/>
        </w:rPr>
        <w:t>8</w:t>
      </w:r>
      <w:r>
        <w:rPr>
          <w:noProof/>
        </w:rPr>
        <w:fldChar w:fldCharType="end"/>
      </w:r>
    </w:p>
    <w:p w14:paraId="3717E3E0" w14:textId="77777777" w:rsidR="000F4B0C" w:rsidRDefault="000F4B0C">
      <w:pPr>
        <w:pStyle w:val="TOC3"/>
        <w:rPr>
          <w:rFonts w:eastAsiaTheme="minorEastAsia" w:cstheme="minorBidi"/>
          <w:i w:val="0"/>
          <w:noProof/>
        </w:rPr>
      </w:pPr>
      <w:r w:rsidRPr="00524C3D">
        <w:rPr>
          <w:i w:val="0"/>
          <w:noProof/>
          <w14:scene3d>
            <w14:camera w14:prst="orthographicFront"/>
            <w14:lightRig w14:rig="threePt" w14:dir="t">
              <w14:rot w14:lat="0" w14:lon="0" w14:rev="0"/>
            </w14:lightRig>
          </w14:scene3d>
        </w:rPr>
        <w:t>Recommendation 3.</w:t>
      </w:r>
      <w:r>
        <w:rPr>
          <w:rFonts w:eastAsiaTheme="minorEastAsia" w:cstheme="minorBidi"/>
          <w:i w:val="0"/>
          <w:noProof/>
        </w:rPr>
        <w:tab/>
      </w:r>
      <w:r>
        <w:rPr>
          <w:noProof/>
        </w:rPr>
        <w:t>Capsule endoscopy</w:t>
      </w:r>
      <w:r>
        <w:rPr>
          <w:noProof/>
        </w:rPr>
        <w:tab/>
      </w:r>
      <w:r>
        <w:rPr>
          <w:noProof/>
        </w:rPr>
        <w:fldChar w:fldCharType="begin"/>
      </w:r>
      <w:r>
        <w:rPr>
          <w:noProof/>
        </w:rPr>
        <w:instrText xml:space="preserve"> PAGEREF _Toc485731750 \h </w:instrText>
      </w:r>
      <w:r>
        <w:rPr>
          <w:noProof/>
        </w:rPr>
      </w:r>
      <w:r>
        <w:rPr>
          <w:noProof/>
        </w:rPr>
        <w:fldChar w:fldCharType="separate"/>
      </w:r>
      <w:r>
        <w:rPr>
          <w:noProof/>
        </w:rPr>
        <w:t>9</w:t>
      </w:r>
      <w:r>
        <w:rPr>
          <w:noProof/>
        </w:rPr>
        <w:fldChar w:fldCharType="end"/>
      </w:r>
    </w:p>
    <w:p w14:paraId="2A8DC67E" w14:textId="77777777" w:rsidR="000F4B0C" w:rsidRDefault="000F4B0C">
      <w:pPr>
        <w:pStyle w:val="TOC3"/>
        <w:rPr>
          <w:rFonts w:eastAsiaTheme="minorEastAsia" w:cstheme="minorBidi"/>
          <w:i w:val="0"/>
          <w:noProof/>
        </w:rPr>
      </w:pPr>
      <w:r w:rsidRPr="00524C3D">
        <w:rPr>
          <w:i w:val="0"/>
          <w:noProof/>
          <w14:scene3d>
            <w14:camera w14:prst="orthographicFront"/>
            <w14:lightRig w14:rig="threePt" w14:dir="t">
              <w14:rot w14:lat="0" w14:lon="0" w14:rev="0"/>
            </w14:lightRig>
          </w14:scene3d>
        </w:rPr>
        <w:t>Recommendation 4.</w:t>
      </w:r>
      <w:r>
        <w:rPr>
          <w:rFonts w:eastAsiaTheme="minorEastAsia" w:cstheme="minorBidi"/>
          <w:i w:val="0"/>
          <w:noProof/>
        </w:rPr>
        <w:tab/>
      </w:r>
      <w:r>
        <w:rPr>
          <w:noProof/>
        </w:rPr>
        <w:t>Endoscopic upper gastrointestinal services</w:t>
      </w:r>
      <w:r>
        <w:rPr>
          <w:noProof/>
        </w:rPr>
        <w:tab/>
      </w:r>
      <w:r>
        <w:rPr>
          <w:noProof/>
        </w:rPr>
        <w:fldChar w:fldCharType="begin"/>
      </w:r>
      <w:r>
        <w:rPr>
          <w:noProof/>
        </w:rPr>
        <w:instrText xml:space="preserve"> PAGEREF _Toc485731751 \h </w:instrText>
      </w:r>
      <w:r>
        <w:rPr>
          <w:noProof/>
        </w:rPr>
      </w:r>
      <w:r>
        <w:rPr>
          <w:noProof/>
        </w:rPr>
        <w:fldChar w:fldCharType="separate"/>
      </w:r>
      <w:r>
        <w:rPr>
          <w:noProof/>
        </w:rPr>
        <w:t>9</w:t>
      </w:r>
      <w:r>
        <w:rPr>
          <w:noProof/>
        </w:rPr>
        <w:fldChar w:fldCharType="end"/>
      </w:r>
    </w:p>
    <w:p w14:paraId="1C049981" w14:textId="77777777" w:rsidR="000F4B0C" w:rsidRDefault="000F4B0C">
      <w:pPr>
        <w:pStyle w:val="TOC3"/>
        <w:rPr>
          <w:rFonts w:eastAsiaTheme="minorEastAsia" w:cstheme="minorBidi"/>
          <w:i w:val="0"/>
          <w:noProof/>
        </w:rPr>
      </w:pPr>
      <w:r w:rsidRPr="00524C3D">
        <w:rPr>
          <w:i w:val="0"/>
          <w:noProof/>
          <w14:scene3d>
            <w14:camera w14:prst="orthographicFront"/>
            <w14:lightRig w14:rig="threePt" w14:dir="t">
              <w14:rot w14:lat="0" w14:lon="0" w14:rev="0"/>
            </w14:lightRig>
          </w14:scene3d>
        </w:rPr>
        <w:t>Recommendation 5.</w:t>
      </w:r>
      <w:r>
        <w:rPr>
          <w:rFonts w:eastAsiaTheme="minorEastAsia" w:cstheme="minorBidi"/>
          <w:i w:val="0"/>
          <w:noProof/>
        </w:rPr>
        <w:tab/>
      </w:r>
      <w:r>
        <w:rPr>
          <w:noProof/>
        </w:rPr>
        <w:t>Endoscopic upper gastrointestinal stricture services</w:t>
      </w:r>
      <w:r>
        <w:rPr>
          <w:noProof/>
        </w:rPr>
        <w:tab/>
      </w:r>
      <w:r>
        <w:rPr>
          <w:noProof/>
        </w:rPr>
        <w:fldChar w:fldCharType="begin"/>
      </w:r>
      <w:r>
        <w:rPr>
          <w:noProof/>
        </w:rPr>
        <w:instrText xml:space="preserve"> PAGEREF _Toc485731752 \h </w:instrText>
      </w:r>
      <w:r>
        <w:rPr>
          <w:noProof/>
        </w:rPr>
      </w:r>
      <w:r>
        <w:rPr>
          <w:noProof/>
        </w:rPr>
        <w:fldChar w:fldCharType="separate"/>
      </w:r>
      <w:r>
        <w:rPr>
          <w:noProof/>
        </w:rPr>
        <w:t>10</w:t>
      </w:r>
      <w:r>
        <w:rPr>
          <w:noProof/>
        </w:rPr>
        <w:fldChar w:fldCharType="end"/>
      </w:r>
    </w:p>
    <w:p w14:paraId="7781B982" w14:textId="77777777" w:rsidR="000F4B0C" w:rsidRDefault="000F4B0C">
      <w:pPr>
        <w:pStyle w:val="TOC3"/>
        <w:rPr>
          <w:rFonts w:eastAsiaTheme="minorEastAsia" w:cstheme="minorBidi"/>
          <w:i w:val="0"/>
          <w:noProof/>
        </w:rPr>
      </w:pPr>
      <w:r w:rsidRPr="00524C3D">
        <w:rPr>
          <w:i w:val="0"/>
          <w:noProof/>
          <w14:scene3d>
            <w14:camera w14:prst="orthographicFront"/>
            <w14:lightRig w14:rig="threePt" w14:dir="t">
              <w14:rot w14:lat="0" w14:lon="0" w14:rev="0"/>
            </w14:lightRig>
          </w14:scene3d>
        </w:rPr>
        <w:t>Recommendation 6.</w:t>
      </w:r>
      <w:r>
        <w:rPr>
          <w:rFonts w:eastAsiaTheme="minorEastAsia" w:cstheme="minorBidi"/>
          <w:i w:val="0"/>
          <w:noProof/>
        </w:rPr>
        <w:tab/>
      </w:r>
      <w:r>
        <w:rPr>
          <w:noProof/>
        </w:rPr>
        <w:t>Sigmoidoscopy/Colonoscopy</w:t>
      </w:r>
      <w:r>
        <w:rPr>
          <w:noProof/>
        </w:rPr>
        <w:tab/>
      </w:r>
      <w:r>
        <w:rPr>
          <w:noProof/>
        </w:rPr>
        <w:fldChar w:fldCharType="begin"/>
      </w:r>
      <w:r>
        <w:rPr>
          <w:noProof/>
        </w:rPr>
        <w:instrText xml:space="preserve"> PAGEREF _Toc485731753 \h </w:instrText>
      </w:r>
      <w:r>
        <w:rPr>
          <w:noProof/>
        </w:rPr>
      </w:r>
      <w:r>
        <w:rPr>
          <w:noProof/>
        </w:rPr>
        <w:fldChar w:fldCharType="separate"/>
      </w:r>
      <w:r>
        <w:rPr>
          <w:noProof/>
        </w:rPr>
        <w:t>10</w:t>
      </w:r>
      <w:r>
        <w:rPr>
          <w:noProof/>
        </w:rPr>
        <w:fldChar w:fldCharType="end"/>
      </w:r>
    </w:p>
    <w:p w14:paraId="46B6B3A7" w14:textId="77777777" w:rsidR="000F4B0C" w:rsidRDefault="000F4B0C">
      <w:pPr>
        <w:pStyle w:val="TOC3"/>
        <w:rPr>
          <w:rFonts w:eastAsiaTheme="minorEastAsia" w:cstheme="minorBidi"/>
          <w:i w:val="0"/>
          <w:noProof/>
        </w:rPr>
      </w:pPr>
      <w:r w:rsidRPr="00524C3D">
        <w:rPr>
          <w:i w:val="0"/>
          <w:noProof/>
          <w14:scene3d>
            <w14:camera w14:prst="orthographicFront"/>
            <w14:lightRig w14:rig="threePt" w14:dir="t">
              <w14:rot w14:lat="0" w14:lon="0" w14:rev="0"/>
            </w14:lightRig>
          </w14:scene3d>
        </w:rPr>
        <w:t>Recommendation 7.</w:t>
      </w:r>
      <w:r>
        <w:rPr>
          <w:rFonts w:eastAsiaTheme="minorEastAsia" w:cstheme="minorBidi"/>
          <w:i w:val="0"/>
          <w:noProof/>
        </w:rPr>
        <w:tab/>
      </w:r>
      <w:r>
        <w:rPr>
          <w:noProof/>
        </w:rPr>
        <w:t>Endoscopic Ultrasound</w:t>
      </w:r>
      <w:r>
        <w:rPr>
          <w:noProof/>
        </w:rPr>
        <w:tab/>
      </w:r>
      <w:r>
        <w:rPr>
          <w:noProof/>
        </w:rPr>
        <w:fldChar w:fldCharType="begin"/>
      </w:r>
      <w:r>
        <w:rPr>
          <w:noProof/>
        </w:rPr>
        <w:instrText xml:space="preserve"> PAGEREF _Toc485731754 \h </w:instrText>
      </w:r>
      <w:r>
        <w:rPr>
          <w:noProof/>
        </w:rPr>
      </w:r>
      <w:r>
        <w:rPr>
          <w:noProof/>
        </w:rPr>
        <w:fldChar w:fldCharType="separate"/>
      </w:r>
      <w:r>
        <w:rPr>
          <w:noProof/>
        </w:rPr>
        <w:t>11</w:t>
      </w:r>
      <w:r>
        <w:rPr>
          <w:noProof/>
        </w:rPr>
        <w:fldChar w:fldCharType="end"/>
      </w:r>
    </w:p>
    <w:p w14:paraId="6A16D812" w14:textId="77777777" w:rsidR="000F4B0C" w:rsidRDefault="000F4B0C">
      <w:pPr>
        <w:pStyle w:val="TOC3"/>
        <w:rPr>
          <w:rFonts w:eastAsiaTheme="minorEastAsia" w:cstheme="minorBidi"/>
          <w:i w:val="0"/>
          <w:noProof/>
        </w:rPr>
      </w:pPr>
      <w:r w:rsidRPr="00524C3D">
        <w:rPr>
          <w:i w:val="0"/>
          <w:noProof/>
          <w14:scene3d>
            <w14:camera w14:prst="orthographicFront"/>
            <w14:lightRig w14:rig="threePt" w14:dir="t">
              <w14:rot w14:lat="0" w14:lon="0" w14:rev="0"/>
            </w14:lightRig>
          </w14:scene3d>
        </w:rPr>
        <w:t>Recommendation 8.</w:t>
      </w:r>
      <w:r>
        <w:rPr>
          <w:rFonts w:eastAsiaTheme="minorEastAsia" w:cstheme="minorBidi"/>
          <w:i w:val="0"/>
          <w:noProof/>
        </w:rPr>
        <w:tab/>
      </w:r>
      <w:r>
        <w:rPr>
          <w:noProof/>
        </w:rPr>
        <w:t>Balloon Enteroscopy</w:t>
      </w:r>
      <w:r>
        <w:rPr>
          <w:noProof/>
        </w:rPr>
        <w:tab/>
      </w:r>
      <w:r>
        <w:rPr>
          <w:noProof/>
        </w:rPr>
        <w:fldChar w:fldCharType="begin"/>
      </w:r>
      <w:r>
        <w:rPr>
          <w:noProof/>
        </w:rPr>
        <w:instrText xml:space="preserve"> PAGEREF _Toc485731755 \h </w:instrText>
      </w:r>
      <w:r>
        <w:rPr>
          <w:noProof/>
        </w:rPr>
      </w:r>
      <w:r>
        <w:rPr>
          <w:noProof/>
        </w:rPr>
        <w:fldChar w:fldCharType="separate"/>
      </w:r>
      <w:r>
        <w:rPr>
          <w:noProof/>
        </w:rPr>
        <w:t>11</w:t>
      </w:r>
      <w:r>
        <w:rPr>
          <w:noProof/>
        </w:rPr>
        <w:fldChar w:fldCharType="end"/>
      </w:r>
    </w:p>
    <w:p w14:paraId="096C128B" w14:textId="77777777" w:rsidR="000F4B0C" w:rsidRDefault="000F4B0C">
      <w:pPr>
        <w:pStyle w:val="TOC3"/>
        <w:rPr>
          <w:rFonts w:eastAsiaTheme="minorEastAsia" w:cstheme="minorBidi"/>
          <w:i w:val="0"/>
          <w:noProof/>
        </w:rPr>
      </w:pPr>
      <w:r w:rsidRPr="00524C3D">
        <w:rPr>
          <w:i w:val="0"/>
          <w:noProof/>
          <w14:scene3d>
            <w14:camera w14:prst="orthographicFront"/>
            <w14:lightRig w14:rig="threePt" w14:dir="t">
              <w14:rot w14:lat="0" w14:lon="0" w14:rev="0"/>
            </w14:lightRig>
          </w14:scene3d>
        </w:rPr>
        <w:t>Recommendation 9.</w:t>
      </w:r>
      <w:r>
        <w:rPr>
          <w:rFonts w:eastAsiaTheme="minorEastAsia" w:cstheme="minorBidi"/>
          <w:i w:val="0"/>
          <w:noProof/>
        </w:rPr>
        <w:tab/>
      </w:r>
      <w:r>
        <w:rPr>
          <w:noProof/>
        </w:rPr>
        <w:t>Endoscopic Mucosal Resection</w:t>
      </w:r>
      <w:r>
        <w:rPr>
          <w:noProof/>
        </w:rPr>
        <w:tab/>
      </w:r>
      <w:r>
        <w:rPr>
          <w:noProof/>
        </w:rPr>
        <w:fldChar w:fldCharType="begin"/>
      </w:r>
      <w:r>
        <w:rPr>
          <w:noProof/>
        </w:rPr>
        <w:instrText xml:space="preserve"> PAGEREF _Toc485731756 \h </w:instrText>
      </w:r>
      <w:r>
        <w:rPr>
          <w:noProof/>
        </w:rPr>
      </w:r>
      <w:r>
        <w:rPr>
          <w:noProof/>
        </w:rPr>
        <w:fldChar w:fldCharType="separate"/>
      </w:r>
      <w:r>
        <w:rPr>
          <w:noProof/>
        </w:rPr>
        <w:t>11</w:t>
      </w:r>
      <w:r>
        <w:rPr>
          <w:noProof/>
        </w:rPr>
        <w:fldChar w:fldCharType="end"/>
      </w:r>
    </w:p>
    <w:p w14:paraId="12101678" w14:textId="77777777" w:rsidR="000F4B0C" w:rsidRDefault="000F4B0C">
      <w:pPr>
        <w:pStyle w:val="TOC3"/>
        <w:rPr>
          <w:rFonts w:eastAsiaTheme="minorEastAsia" w:cstheme="minorBidi"/>
          <w:i w:val="0"/>
          <w:noProof/>
        </w:rPr>
      </w:pPr>
      <w:r w:rsidRPr="00524C3D">
        <w:rPr>
          <w:i w:val="0"/>
          <w:noProof/>
          <w14:scene3d>
            <w14:camera w14:prst="orthographicFront"/>
            <w14:lightRig w14:rig="threePt" w14:dir="t">
              <w14:rot w14:lat="0" w14:lon="0" w14:rev="0"/>
            </w14:lightRig>
          </w14:scene3d>
        </w:rPr>
        <w:t>Recommendation 10.</w:t>
      </w:r>
      <w:r>
        <w:rPr>
          <w:rFonts w:eastAsiaTheme="minorEastAsia" w:cstheme="minorBidi"/>
          <w:i w:val="0"/>
          <w:noProof/>
        </w:rPr>
        <w:tab/>
      </w:r>
      <w:r>
        <w:rPr>
          <w:noProof/>
        </w:rPr>
        <w:t>Obsolete items</w:t>
      </w:r>
      <w:r>
        <w:rPr>
          <w:noProof/>
        </w:rPr>
        <w:tab/>
      </w:r>
      <w:r>
        <w:rPr>
          <w:noProof/>
        </w:rPr>
        <w:fldChar w:fldCharType="begin"/>
      </w:r>
      <w:r>
        <w:rPr>
          <w:noProof/>
        </w:rPr>
        <w:instrText xml:space="preserve"> PAGEREF _Toc485731757 \h </w:instrText>
      </w:r>
      <w:r>
        <w:rPr>
          <w:noProof/>
        </w:rPr>
      </w:r>
      <w:r>
        <w:rPr>
          <w:noProof/>
        </w:rPr>
        <w:fldChar w:fldCharType="separate"/>
      </w:r>
      <w:r>
        <w:rPr>
          <w:noProof/>
        </w:rPr>
        <w:t>11</w:t>
      </w:r>
      <w:r>
        <w:rPr>
          <w:noProof/>
        </w:rPr>
        <w:fldChar w:fldCharType="end"/>
      </w:r>
    </w:p>
    <w:p w14:paraId="0E3AC75F" w14:textId="77777777" w:rsidR="000F4B0C" w:rsidRDefault="000F4B0C">
      <w:pPr>
        <w:pStyle w:val="TOC1"/>
        <w:rPr>
          <w:rFonts w:eastAsiaTheme="minorEastAsia" w:cstheme="minorBidi"/>
          <w:b w:val="0"/>
          <w:noProof/>
        </w:rPr>
      </w:pPr>
      <w:r>
        <w:rPr>
          <w:noProof/>
        </w:rPr>
        <w:t>2.</w:t>
      </w:r>
      <w:r>
        <w:rPr>
          <w:rFonts w:eastAsiaTheme="minorEastAsia" w:cstheme="minorBidi"/>
          <w:b w:val="0"/>
          <w:noProof/>
        </w:rPr>
        <w:tab/>
      </w:r>
      <w:r>
        <w:rPr>
          <w:noProof/>
        </w:rPr>
        <w:t>About the Medicare Benefits Schedule (MBS) Review</w:t>
      </w:r>
      <w:r>
        <w:rPr>
          <w:noProof/>
        </w:rPr>
        <w:tab/>
      </w:r>
      <w:r>
        <w:rPr>
          <w:noProof/>
        </w:rPr>
        <w:fldChar w:fldCharType="begin"/>
      </w:r>
      <w:r>
        <w:rPr>
          <w:noProof/>
        </w:rPr>
        <w:instrText xml:space="preserve"> PAGEREF _Toc485731758 \h </w:instrText>
      </w:r>
      <w:r>
        <w:rPr>
          <w:noProof/>
        </w:rPr>
      </w:r>
      <w:r>
        <w:rPr>
          <w:noProof/>
        </w:rPr>
        <w:fldChar w:fldCharType="separate"/>
      </w:r>
      <w:r>
        <w:rPr>
          <w:noProof/>
        </w:rPr>
        <w:t>15</w:t>
      </w:r>
      <w:r>
        <w:rPr>
          <w:noProof/>
        </w:rPr>
        <w:fldChar w:fldCharType="end"/>
      </w:r>
    </w:p>
    <w:p w14:paraId="7FFF4FD0" w14:textId="77777777" w:rsidR="000F4B0C" w:rsidRDefault="000F4B0C">
      <w:pPr>
        <w:pStyle w:val="TOC1"/>
        <w:rPr>
          <w:rFonts w:eastAsiaTheme="minorEastAsia" w:cstheme="minorBidi"/>
          <w:b w:val="0"/>
          <w:noProof/>
        </w:rPr>
      </w:pPr>
      <w:r>
        <w:rPr>
          <w:noProof/>
        </w:rPr>
        <w:t>3.</w:t>
      </w:r>
      <w:r>
        <w:rPr>
          <w:rFonts w:eastAsiaTheme="minorEastAsia" w:cstheme="minorBidi"/>
          <w:b w:val="0"/>
          <w:noProof/>
        </w:rPr>
        <w:tab/>
      </w:r>
      <w:r>
        <w:rPr>
          <w:noProof/>
        </w:rPr>
        <w:t>About the Gastroenterology Clinical Committee</w:t>
      </w:r>
      <w:r>
        <w:rPr>
          <w:noProof/>
        </w:rPr>
        <w:tab/>
      </w:r>
      <w:r>
        <w:rPr>
          <w:noProof/>
        </w:rPr>
        <w:fldChar w:fldCharType="begin"/>
      </w:r>
      <w:r>
        <w:rPr>
          <w:noProof/>
        </w:rPr>
        <w:instrText xml:space="preserve"> PAGEREF _Toc485731759 \h </w:instrText>
      </w:r>
      <w:r>
        <w:rPr>
          <w:noProof/>
        </w:rPr>
      </w:r>
      <w:r>
        <w:rPr>
          <w:noProof/>
        </w:rPr>
        <w:fldChar w:fldCharType="separate"/>
      </w:r>
      <w:r>
        <w:rPr>
          <w:noProof/>
        </w:rPr>
        <w:t>18</w:t>
      </w:r>
      <w:r>
        <w:rPr>
          <w:noProof/>
        </w:rPr>
        <w:fldChar w:fldCharType="end"/>
      </w:r>
    </w:p>
    <w:p w14:paraId="00A5E9A2" w14:textId="77777777" w:rsidR="000F4B0C" w:rsidRDefault="000F4B0C">
      <w:pPr>
        <w:pStyle w:val="TOC1"/>
        <w:rPr>
          <w:rFonts w:eastAsiaTheme="minorEastAsia" w:cstheme="minorBidi"/>
          <w:b w:val="0"/>
          <w:noProof/>
        </w:rPr>
      </w:pPr>
      <w:r>
        <w:rPr>
          <w:noProof/>
        </w:rPr>
        <w:t>4.</w:t>
      </w:r>
      <w:r>
        <w:rPr>
          <w:rFonts w:eastAsiaTheme="minorEastAsia" w:cstheme="minorBidi"/>
          <w:b w:val="0"/>
          <w:noProof/>
        </w:rPr>
        <w:tab/>
      </w:r>
      <w:r>
        <w:rPr>
          <w:noProof/>
        </w:rPr>
        <w:t>MBS items relating to Gastroenterology</w:t>
      </w:r>
      <w:r>
        <w:rPr>
          <w:noProof/>
        </w:rPr>
        <w:tab/>
      </w:r>
      <w:r>
        <w:rPr>
          <w:noProof/>
        </w:rPr>
        <w:fldChar w:fldCharType="begin"/>
      </w:r>
      <w:r>
        <w:rPr>
          <w:noProof/>
        </w:rPr>
        <w:instrText xml:space="preserve"> PAGEREF _Toc485731760 \h </w:instrText>
      </w:r>
      <w:r>
        <w:rPr>
          <w:noProof/>
        </w:rPr>
      </w:r>
      <w:r>
        <w:rPr>
          <w:noProof/>
        </w:rPr>
        <w:fldChar w:fldCharType="separate"/>
      </w:r>
      <w:r>
        <w:rPr>
          <w:noProof/>
        </w:rPr>
        <w:t>20</w:t>
      </w:r>
      <w:r>
        <w:rPr>
          <w:noProof/>
        </w:rPr>
        <w:fldChar w:fldCharType="end"/>
      </w:r>
    </w:p>
    <w:p w14:paraId="7800A41F" w14:textId="77777777" w:rsidR="000F4B0C" w:rsidRDefault="000F4B0C">
      <w:pPr>
        <w:pStyle w:val="TOC1"/>
        <w:rPr>
          <w:rFonts w:eastAsiaTheme="minorEastAsia" w:cstheme="minorBidi"/>
          <w:b w:val="0"/>
          <w:noProof/>
        </w:rPr>
      </w:pPr>
      <w:r>
        <w:rPr>
          <w:noProof/>
        </w:rPr>
        <w:t>5.</w:t>
      </w:r>
      <w:r>
        <w:rPr>
          <w:rFonts w:eastAsiaTheme="minorEastAsia" w:cstheme="minorBidi"/>
          <w:b w:val="0"/>
          <w:noProof/>
        </w:rPr>
        <w:tab/>
      </w:r>
      <w:r>
        <w:rPr>
          <w:noProof/>
        </w:rPr>
        <w:t>Priority Reviews</w:t>
      </w:r>
      <w:r>
        <w:rPr>
          <w:noProof/>
        </w:rPr>
        <w:tab/>
      </w:r>
      <w:r>
        <w:rPr>
          <w:noProof/>
        </w:rPr>
        <w:fldChar w:fldCharType="begin"/>
      </w:r>
      <w:r>
        <w:rPr>
          <w:noProof/>
        </w:rPr>
        <w:instrText xml:space="preserve"> PAGEREF _Toc485731761 \h </w:instrText>
      </w:r>
      <w:r>
        <w:rPr>
          <w:noProof/>
        </w:rPr>
      </w:r>
      <w:r>
        <w:rPr>
          <w:noProof/>
        </w:rPr>
        <w:fldChar w:fldCharType="separate"/>
      </w:r>
      <w:r>
        <w:rPr>
          <w:noProof/>
        </w:rPr>
        <w:t>22</w:t>
      </w:r>
      <w:r>
        <w:rPr>
          <w:noProof/>
        </w:rPr>
        <w:fldChar w:fldCharType="end"/>
      </w:r>
    </w:p>
    <w:p w14:paraId="4BA522E9" w14:textId="77777777" w:rsidR="000F4B0C" w:rsidRDefault="000F4B0C">
      <w:pPr>
        <w:pStyle w:val="TOC3"/>
        <w:rPr>
          <w:rFonts w:eastAsiaTheme="minorEastAsia" w:cstheme="minorBidi"/>
          <w:i w:val="0"/>
          <w:noProof/>
        </w:rPr>
      </w:pPr>
      <w:r w:rsidRPr="00524C3D">
        <w:rPr>
          <w:noProof/>
          <w:lang w:val="en-US"/>
        </w:rPr>
        <w:t>Recommendation 1:</w:t>
      </w:r>
      <w:r>
        <w:rPr>
          <w:rFonts w:eastAsiaTheme="minorEastAsia" w:cstheme="minorBidi"/>
          <w:i w:val="0"/>
          <w:noProof/>
        </w:rPr>
        <w:tab/>
      </w:r>
      <w:r w:rsidRPr="00524C3D">
        <w:rPr>
          <w:noProof/>
          <w:lang w:val="en-US"/>
        </w:rPr>
        <w:t>Colonoscopy services</w:t>
      </w:r>
      <w:r>
        <w:rPr>
          <w:noProof/>
        </w:rPr>
        <w:tab/>
      </w:r>
      <w:r>
        <w:rPr>
          <w:noProof/>
        </w:rPr>
        <w:fldChar w:fldCharType="begin"/>
      </w:r>
      <w:r>
        <w:rPr>
          <w:noProof/>
        </w:rPr>
        <w:instrText xml:space="preserve"> PAGEREF _Toc485731762 \h </w:instrText>
      </w:r>
      <w:r>
        <w:rPr>
          <w:noProof/>
        </w:rPr>
      </w:r>
      <w:r>
        <w:rPr>
          <w:noProof/>
        </w:rPr>
        <w:fldChar w:fldCharType="separate"/>
      </w:r>
      <w:r>
        <w:rPr>
          <w:noProof/>
        </w:rPr>
        <w:t>26</w:t>
      </w:r>
      <w:r>
        <w:rPr>
          <w:noProof/>
        </w:rPr>
        <w:fldChar w:fldCharType="end"/>
      </w:r>
    </w:p>
    <w:p w14:paraId="19392E5F" w14:textId="77777777" w:rsidR="000F4B0C" w:rsidRDefault="000F4B0C">
      <w:pPr>
        <w:pStyle w:val="TOC3"/>
        <w:rPr>
          <w:rFonts w:eastAsiaTheme="minorEastAsia" w:cstheme="minorBidi"/>
          <w:i w:val="0"/>
          <w:noProof/>
        </w:rPr>
      </w:pPr>
      <w:r>
        <w:rPr>
          <w:noProof/>
        </w:rPr>
        <w:t>Recommendation 2:</w:t>
      </w:r>
      <w:r>
        <w:rPr>
          <w:rFonts w:eastAsiaTheme="minorEastAsia" w:cstheme="minorBidi"/>
          <w:i w:val="0"/>
          <w:noProof/>
        </w:rPr>
        <w:tab/>
      </w:r>
      <w:r>
        <w:rPr>
          <w:noProof/>
        </w:rPr>
        <w:t>Same Day Upper and Lower GI Endoscopy</w:t>
      </w:r>
      <w:r>
        <w:rPr>
          <w:noProof/>
        </w:rPr>
        <w:tab/>
      </w:r>
      <w:r>
        <w:rPr>
          <w:noProof/>
        </w:rPr>
        <w:fldChar w:fldCharType="begin"/>
      </w:r>
      <w:r>
        <w:rPr>
          <w:noProof/>
        </w:rPr>
        <w:instrText xml:space="preserve"> PAGEREF _Toc485731763 \h </w:instrText>
      </w:r>
      <w:r>
        <w:rPr>
          <w:noProof/>
        </w:rPr>
      </w:r>
      <w:r>
        <w:rPr>
          <w:noProof/>
        </w:rPr>
        <w:fldChar w:fldCharType="separate"/>
      </w:r>
      <w:r>
        <w:rPr>
          <w:noProof/>
        </w:rPr>
        <w:t>36</w:t>
      </w:r>
      <w:r>
        <w:rPr>
          <w:noProof/>
        </w:rPr>
        <w:fldChar w:fldCharType="end"/>
      </w:r>
    </w:p>
    <w:p w14:paraId="41B4B14D" w14:textId="77777777" w:rsidR="000F4B0C" w:rsidRDefault="000F4B0C">
      <w:pPr>
        <w:pStyle w:val="TOC1"/>
        <w:rPr>
          <w:rFonts w:eastAsiaTheme="minorEastAsia" w:cstheme="minorBidi"/>
          <w:b w:val="0"/>
          <w:noProof/>
        </w:rPr>
      </w:pPr>
      <w:r>
        <w:rPr>
          <w:noProof/>
        </w:rPr>
        <w:t>6.</w:t>
      </w:r>
      <w:r>
        <w:rPr>
          <w:rFonts w:eastAsiaTheme="minorEastAsia" w:cstheme="minorBidi"/>
          <w:b w:val="0"/>
          <w:noProof/>
        </w:rPr>
        <w:tab/>
      </w:r>
      <w:r>
        <w:rPr>
          <w:noProof/>
        </w:rPr>
        <w:t>Items for significant amendment</w:t>
      </w:r>
      <w:r>
        <w:rPr>
          <w:noProof/>
        </w:rPr>
        <w:tab/>
      </w:r>
      <w:r>
        <w:rPr>
          <w:noProof/>
        </w:rPr>
        <w:fldChar w:fldCharType="begin"/>
      </w:r>
      <w:r>
        <w:rPr>
          <w:noProof/>
        </w:rPr>
        <w:instrText xml:space="preserve"> PAGEREF _Toc485731764 \h </w:instrText>
      </w:r>
      <w:r>
        <w:rPr>
          <w:noProof/>
        </w:rPr>
      </w:r>
      <w:r>
        <w:rPr>
          <w:noProof/>
        </w:rPr>
        <w:fldChar w:fldCharType="separate"/>
      </w:r>
      <w:r>
        <w:rPr>
          <w:noProof/>
        </w:rPr>
        <w:t>37</w:t>
      </w:r>
      <w:r>
        <w:rPr>
          <w:noProof/>
        </w:rPr>
        <w:fldChar w:fldCharType="end"/>
      </w:r>
    </w:p>
    <w:p w14:paraId="4C02B90E" w14:textId="77777777" w:rsidR="000F4B0C" w:rsidRDefault="000F4B0C">
      <w:pPr>
        <w:pStyle w:val="TOC3"/>
        <w:rPr>
          <w:rFonts w:eastAsiaTheme="minorEastAsia" w:cstheme="minorBidi"/>
          <w:i w:val="0"/>
          <w:noProof/>
        </w:rPr>
      </w:pPr>
      <w:r>
        <w:rPr>
          <w:noProof/>
        </w:rPr>
        <w:t>Recommendation 3:</w:t>
      </w:r>
      <w:r>
        <w:rPr>
          <w:rFonts w:eastAsiaTheme="minorEastAsia" w:cstheme="minorBidi"/>
          <w:i w:val="0"/>
          <w:noProof/>
        </w:rPr>
        <w:tab/>
      </w:r>
      <w:r>
        <w:rPr>
          <w:noProof/>
        </w:rPr>
        <w:t>1. Capsule Endoscopy</w:t>
      </w:r>
      <w:r>
        <w:rPr>
          <w:noProof/>
        </w:rPr>
        <w:tab/>
      </w:r>
      <w:r>
        <w:rPr>
          <w:noProof/>
        </w:rPr>
        <w:fldChar w:fldCharType="begin"/>
      </w:r>
      <w:r>
        <w:rPr>
          <w:noProof/>
        </w:rPr>
        <w:instrText xml:space="preserve"> PAGEREF _Toc485731765 \h </w:instrText>
      </w:r>
      <w:r>
        <w:rPr>
          <w:noProof/>
        </w:rPr>
      </w:r>
      <w:r>
        <w:rPr>
          <w:noProof/>
        </w:rPr>
        <w:fldChar w:fldCharType="separate"/>
      </w:r>
      <w:r>
        <w:rPr>
          <w:noProof/>
        </w:rPr>
        <w:t>37</w:t>
      </w:r>
      <w:r>
        <w:rPr>
          <w:noProof/>
        </w:rPr>
        <w:fldChar w:fldCharType="end"/>
      </w:r>
    </w:p>
    <w:p w14:paraId="1F821F03" w14:textId="77777777" w:rsidR="000F4B0C" w:rsidRDefault="000F4B0C">
      <w:pPr>
        <w:pStyle w:val="TOC3"/>
        <w:rPr>
          <w:rFonts w:eastAsiaTheme="minorEastAsia" w:cstheme="minorBidi"/>
          <w:i w:val="0"/>
          <w:noProof/>
        </w:rPr>
      </w:pPr>
      <w:r>
        <w:rPr>
          <w:noProof/>
        </w:rPr>
        <w:t>Recommendation 3:</w:t>
      </w:r>
      <w:r>
        <w:rPr>
          <w:rFonts w:eastAsiaTheme="minorEastAsia" w:cstheme="minorBidi"/>
          <w:i w:val="0"/>
          <w:noProof/>
        </w:rPr>
        <w:tab/>
      </w:r>
      <w:r>
        <w:rPr>
          <w:noProof/>
        </w:rPr>
        <w:t>2. Capsule Endoscopy</w:t>
      </w:r>
      <w:r>
        <w:rPr>
          <w:noProof/>
        </w:rPr>
        <w:tab/>
      </w:r>
      <w:r>
        <w:rPr>
          <w:noProof/>
        </w:rPr>
        <w:fldChar w:fldCharType="begin"/>
      </w:r>
      <w:r>
        <w:rPr>
          <w:noProof/>
        </w:rPr>
        <w:instrText xml:space="preserve"> PAGEREF _Toc485731766 \h </w:instrText>
      </w:r>
      <w:r>
        <w:rPr>
          <w:noProof/>
        </w:rPr>
      </w:r>
      <w:r>
        <w:rPr>
          <w:noProof/>
        </w:rPr>
        <w:fldChar w:fldCharType="separate"/>
      </w:r>
      <w:r>
        <w:rPr>
          <w:noProof/>
        </w:rPr>
        <w:t>42</w:t>
      </w:r>
      <w:r>
        <w:rPr>
          <w:noProof/>
        </w:rPr>
        <w:fldChar w:fldCharType="end"/>
      </w:r>
    </w:p>
    <w:p w14:paraId="5DEC7028" w14:textId="77777777" w:rsidR="000F4B0C" w:rsidRDefault="000F4B0C">
      <w:pPr>
        <w:pStyle w:val="TOC3"/>
        <w:rPr>
          <w:rFonts w:eastAsiaTheme="minorEastAsia" w:cstheme="minorBidi"/>
          <w:i w:val="0"/>
          <w:noProof/>
        </w:rPr>
      </w:pPr>
      <w:r>
        <w:rPr>
          <w:noProof/>
        </w:rPr>
        <w:t>Recommendation 4:</w:t>
      </w:r>
      <w:r>
        <w:rPr>
          <w:rFonts w:eastAsiaTheme="minorEastAsia" w:cstheme="minorBidi"/>
          <w:i w:val="0"/>
          <w:noProof/>
        </w:rPr>
        <w:tab/>
      </w:r>
      <w:r>
        <w:rPr>
          <w:noProof/>
        </w:rPr>
        <w:t>1. Endoscopic upper gastrointestinal services</w:t>
      </w:r>
      <w:r>
        <w:rPr>
          <w:noProof/>
        </w:rPr>
        <w:tab/>
      </w:r>
      <w:r>
        <w:rPr>
          <w:noProof/>
        </w:rPr>
        <w:fldChar w:fldCharType="begin"/>
      </w:r>
      <w:r>
        <w:rPr>
          <w:noProof/>
        </w:rPr>
        <w:instrText xml:space="preserve"> PAGEREF _Toc485731767 \h </w:instrText>
      </w:r>
      <w:r>
        <w:rPr>
          <w:noProof/>
        </w:rPr>
      </w:r>
      <w:r>
        <w:rPr>
          <w:noProof/>
        </w:rPr>
        <w:fldChar w:fldCharType="separate"/>
      </w:r>
      <w:r>
        <w:rPr>
          <w:noProof/>
        </w:rPr>
        <w:t>47</w:t>
      </w:r>
      <w:r>
        <w:rPr>
          <w:noProof/>
        </w:rPr>
        <w:fldChar w:fldCharType="end"/>
      </w:r>
    </w:p>
    <w:p w14:paraId="5297A5F7" w14:textId="77777777" w:rsidR="000F4B0C" w:rsidRDefault="000F4B0C">
      <w:pPr>
        <w:pStyle w:val="TOC3"/>
        <w:rPr>
          <w:rFonts w:eastAsiaTheme="minorEastAsia" w:cstheme="minorBidi"/>
          <w:i w:val="0"/>
          <w:noProof/>
        </w:rPr>
      </w:pPr>
      <w:r>
        <w:rPr>
          <w:noProof/>
        </w:rPr>
        <w:t xml:space="preserve">Recommendation 4: </w:t>
      </w:r>
      <w:r>
        <w:rPr>
          <w:rFonts w:eastAsiaTheme="minorEastAsia" w:cstheme="minorBidi"/>
          <w:i w:val="0"/>
          <w:noProof/>
        </w:rPr>
        <w:tab/>
      </w:r>
      <w:r>
        <w:rPr>
          <w:noProof/>
        </w:rPr>
        <w:t>2. Endoscopic upper gastrointestinal services</w:t>
      </w:r>
      <w:r>
        <w:rPr>
          <w:noProof/>
        </w:rPr>
        <w:tab/>
      </w:r>
      <w:r>
        <w:rPr>
          <w:noProof/>
        </w:rPr>
        <w:fldChar w:fldCharType="begin"/>
      </w:r>
      <w:r>
        <w:rPr>
          <w:noProof/>
        </w:rPr>
        <w:instrText xml:space="preserve"> PAGEREF _Toc485731768 \h </w:instrText>
      </w:r>
      <w:r>
        <w:rPr>
          <w:noProof/>
        </w:rPr>
      </w:r>
      <w:r>
        <w:rPr>
          <w:noProof/>
        </w:rPr>
        <w:fldChar w:fldCharType="separate"/>
      </w:r>
      <w:r>
        <w:rPr>
          <w:noProof/>
        </w:rPr>
        <w:t>48</w:t>
      </w:r>
      <w:r>
        <w:rPr>
          <w:noProof/>
        </w:rPr>
        <w:fldChar w:fldCharType="end"/>
      </w:r>
    </w:p>
    <w:p w14:paraId="1EC6E31A" w14:textId="77777777" w:rsidR="000F4B0C" w:rsidRDefault="000F4B0C">
      <w:pPr>
        <w:pStyle w:val="TOC3"/>
        <w:rPr>
          <w:rFonts w:eastAsiaTheme="minorEastAsia" w:cstheme="minorBidi"/>
          <w:i w:val="0"/>
          <w:noProof/>
        </w:rPr>
      </w:pPr>
      <w:r>
        <w:rPr>
          <w:noProof/>
        </w:rPr>
        <w:t xml:space="preserve">Recommendation 5: </w:t>
      </w:r>
      <w:r>
        <w:rPr>
          <w:rFonts w:eastAsiaTheme="minorEastAsia" w:cstheme="minorBidi"/>
          <w:i w:val="0"/>
          <w:noProof/>
        </w:rPr>
        <w:tab/>
      </w:r>
      <w:r>
        <w:rPr>
          <w:noProof/>
        </w:rPr>
        <w:t>Endoscopic upper gastrointestinal strictures</w:t>
      </w:r>
      <w:r>
        <w:rPr>
          <w:noProof/>
        </w:rPr>
        <w:tab/>
      </w:r>
      <w:r>
        <w:rPr>
          <w:noProof/>
        </w:rPr>
        <w:fldChar w:fldCharType="begin"/>
      </w:r>
      <w:r>
        <w:rPr>
          <w:noProof/>
        </w:rPr>
        <w:instrText xml:space="preserve"> PAGEREF _Toc485731769 \h </w:instrText>
      </w:r>
      <w:r>
        <w:rPr>
          <w:noProof/>
        </w:rPr>
      </w:r>
      <w:r>
        <w:rPr>
          <w:noProof/>
        </w:rPr>
        <w:fldChar w:fldCharType="separate"/>
      </w:r>
      <w:r>
        <w:rPr>
          <w:noProof/>
        </w:rPr>
        <w:t>48</w:t>
      </w:r>
      <w:r>
        <w:rPr>
          <w:noProof/>
        </w:rPr>
        <w:fldChar w:fldCharType="end"/>
      </w:r>
    </w:p>
    <w:p w14:paraId="4F032546" w14:textId="77777777" w:rsidR="000F4B0C" w:rsidRDefault="000F4B0C">
      <w:pPr>
        <w:pStyle w:val="TOC3"/>
        <w:rPr>
          <w:rFonts w:eastAsiaTheme="minorEastAsia" w:cstheme="minorBidi"/>
          <w:i w:val="0"/>
          <w:noProof/>
        </w:rPr>
      </w:pPr>
      <w:r>
        <w:rPr>
          <w:noProof/>
        </w:rPr>
        <w:t>Recommendation 6:</w:t>
      </w:r>
      <w:r>
        <w:rPr>
          <w:rFonts w:eastAsiaTheme="minorEastAsia" w:cstheme="minorBidi"/>
          <w:i w:val="0"/>
          <w:noProof/>
        </w:rPr>
        <w:tab/>
      </w:r>
      <w:r>
        <w:rPr>
          <w:noProof/>
        </w:rPr>
        <w:t>Flexible fibreoptic sigmoidoscopy or fibreoptic colonoscopy</w:t>
      </w:r>
      <w:r>
        <w:rPr>
          <w:noProof/>
        </w:rPr>
        <w:tab/>
      </w:r>
      <w:r>
        <w:rPr>
          <w:noProof/>
        </w:rPr>
        <w:fldChar w:fldCharType="begin"/>
      </w:r>
      <w:r>
        <w:rPr>
          <w:noProof/>
        </w:rPr>
        <w:instrText xml:space="preserve"> PAGEREF _Toc485731770 \h </w:instrText>
      </w:r>
      <w:r>
        <w:rPr>
          <w:noProof/>
        </w:rPr>
      </w:r>
      <w:r>
        <w:rPr>
          <w:noProof/>
        </w:rPr>
        <w:fldChar w:fldCharType="separate"/>
      </w:r>
      <w:r>
        <w:rPr>
          <w:noProof/>
        </w:rPr>
        <w:t>51</w:t>
      </w:r>
      <w:r>
        <w:rPr>
          <w:noProof/>
        </w:rPr>
        <w:fldChar w:fldCharType="end"/>
      </w:r>
    </w:p>
    <w:p w14:paraId="46B9DD8C" w14:textId="77777777" w:rsidR="000F4B0C" w:rsidRDefault="000F4B0C">
      <w:pPr>
        <w:pStyle w:val="TOC3"/>
        <w:rPr>
          <w:rFonts w:eastAsiaTheme="minorEastAsia" w:cstheme="minorBidi"/>
          <w:i w:val="0"/>
          <w:noProof/>
        </w:rPr>
      </w:pPr>
      <w:r>
        <w:rPr>
          <w:noProof/>
        </w:rPr>
        <w:t>Recommendation 7:</w:t>
      </w:r>
      <w:r>
        <w:rPr>
          <w:rFonts w:eastAsiaTheme="minorEastAsia" w:cstheme="minorBidi"/>
          <w:i w:val="0"/>
          <w:noProof/>
        </w:rPr>
        <w:tab/>
      </w:r>
      <w:r>
        <w:rPr>
          <w:noProof/>
        </w:rPr>
        <w:t>Endoscopic Ultrasound</w:t>
      </w:r>
      <w:r>
        <w:rPr>
          <w:noProof/>
        </w:rPr>
        <w:tab/>
      </w:r>
      <w:r>
        <w:rPr>
          <w:noProof/>
        </w:rPr>
        <w:fldChar w:fldCharType="begin"/>
      </w:r>
      <w:r>
        <w:rPr>
          <w:noProof/>
        </w:rPr>
        <w:instrText xml:space="preserve"> PAGEREF _Toc485731771 \h </w:instrText>
      </w:r>
      <w:r>
        <w:rPr>
          <w:noProof/>
        </w:rPr>
      </w:r>
      <w:r>
        <w:rPr>
          <w:noProof/>
        </w:rPr>
        <w:fldChar w:fldCharType="separate"/>
      </w:r>
      <w:r>
        <w:rPr>
          <w:noProof/>
        </w:rPr>
        <w:t>52</w:t>
      </w:r>
      <w:r>
        <w:rPr>
          <w:noProof/>
        </w:rPr>
        <w:fldChar w:fldCharType="end"/>
      </w:r>
    </w:p>
    <w:p w14:paraId="63752C02" w14:textId="77777777" w:rsidR="000F4B0C" w:rsidRDefault="000F4B0C">
      <w:pPr>
        <w:pStyle w:val="TOC1"/>
        <w:rPr>
          <w:rFonts w:eastAsiaTheme="minorEastAsia" w:cstheme="minorBidi"/>
          <w:b w:val="0"/>
          <w:noProof/>
        </w:rPr>
      </w:pPr>
      <w:r>
        <w:rPr>
          <w:noProof/>
        </w:rPr>
        <w:t>7.</w:t>
      </w:r>
      <w:r>
        <w:rPr>
          <w:rFonts w:eastAsiaTheme="minorEastAsia" w:cstheme="minorBidi"/>
          <w:b w:val="0"/>
          <w:noProof/>
        </w:rPr>
        <w:tab/>
      </w:r>
      <w:r>
        <w:rPr>
          <w:noProof/>
        </w:rPr>
        <w:t>Items requiring further assessment</w:t>
      </w:r>
      <w:r>
        <w:rPr>
          <w:noProof/>
        </w:rPr>
        <w:tab/>
      </w:r>
      <w:r>
        <w:rPr>
          <w:noProof/>
        </w:rPr>
        <w:fldChar w:fldCharType="begin"/>
      </w:r>
      <w:r>
        <w:rPr>
          <w:noProof/>
        </w:rPr>
        <w:instrText xml:space="preserve"> PAGEREF _Toc485731772 \h </w:instrText>
      </w:r>
      <w:r>
        <w:rPr>
          <w:noProof/>
        </w:rPr>
      </w:r>
      <w:r>
        <w:rPr>
          <w:noProof/>
        </w:rPr>
        <w:fldChar w:fldCharType="separate"/>
      </w:r>
      <w:r>
        <w:rPr>
          <w:noProof/>
        </w:rPr>
        <w:t>55</w:t>
      </w:r>
      <w:r>
        <w:rPr>
          <w:noProof/>
        </w:rPr>
        <w:fldChar w:fldCharType="end"/>
      </w:r>
    </w:p>
    <w:p w14:paraId="21263500" w14:textId="77777777" w:rsidR="000F4B0C" w:rsidRDefault="000F4B0C">
      <w:pPr>
        <w:pStyle w:val="TOC3"/>
        <w:rPr>
          <w:rFonts w:eastAsiaTheme="minorEastAsia" w:cstheme="minorBidi"/>
          <w:i w:val="0"/>
          <w:noProof/>
        </w:rPr>
      </w:pPr>
      <w:r>
        <w:rPr>
          <w:noProof/>
        </w:rPr>
        <w:t>Recommendation 8:</w:t>
      </w:r>
      <w:r>
        <w:rPr>
          <w:rFonts w:eastAsiaTheme="minorEastAsia" w:cstheme="minorBidi"/>
          <w:i w:val="0"/>
          <w:noProof/>
        </w:rPr>
        <w:tab/>
      </w:r>
      <w:r>
        <w:rPr>
          <w:noProof/>
        </w:rPr>
        <w:t>Balloon Enteroscopy</w:t>
      </w:r>
      <w:r>
        <w:rPr>
          <w:noProof/>
        </w:rPr>
        <w:tab/>
      </w:r>
      <w:r>
        <w:rPr>
          <w:noProof/>
        </w:rPr>
        <w:fldChar w:fldCharType="begin"/>
      </w:r>
      <w:r>
        <w:rPr>
          <w:noProof/>
        </w:rPr>
        <w:instrText xml:space="preserve"> PAGEREF _Toc485731773 \h </w:instrText>
      </w:r>
      <w:r>
        <w:rPr>
          <w:noProof/>
        </w:rPr>
      </w:r>
      <w:r>
        <w:rPr>
          <w:noProof/>
        </w:rPr>
        <w:fldChar w:fldCharType="separate"/>
      </w:r>
      <w:r>
        <w:rPr>
          <w:noProof/>
        </w:rPr>
        <w:t>57</w:t>
      </w:r>
      <w:r>
        <w:rPr>
          <w:noProof/>
        </w:rPr>
        <w:fldChar w:fldCharType="end"/>
      </w:r>
    </w:p>
    <w:p w14:paraId="51CC0688" w14:textId="77777777" w:rsidR="000F4B0C" w:rsidRDefault="000F4B0C">
      <w:pPr>
        <w:pStyle w:val="TOC1"/>
        <w:rPr>
          <w:rFonts w:eastAsiaTheme="minorEastAsia" w:cstheme="minorBidi"/>
          <w:b w:val="0"/>
          <w:noProof/>
        </w:rPr>
      </w:pPr>
      <w:r>
        <w:rPr>
          <w:noProof/>
        </w:rPr>
        <w:t>8.</w:t>
      </w:r>
      <w:r>
        <w:rPr>
          <w:rFonts w:eastAsiaTheme="minorEastAsia" w:cstheme="minorBidi"/>
          <w:b w:val="0"/>
          <w:noProof/>
        </w:rPr>
        <w:tab/>
      </w:r>
      <w:r>
        <w:rPr>
          <w:noProof/>
        </w:rPr>
        <w:t>New Items</w:t>
      </w:r>
      <w:r>
        <w:rPr>
          <w:noProof/>
        </w:rPr>
        <w:tab/>
      </w:r>
      <w:r>
        <w:rPr>
          <w:noProof/>
        </w:rPr>
        <w:fldChar w:fldCharType="begin"/>
      </w:r>
      <w:r>
        <w:rPr>
          <w:noProof/>
        </w:rPr>
        <w:instrText xml:space="preserve"> PAGEREF _Toc485731774 \h </w:instrText>
      </w:r>
      <w:r>
        <w:rPr>
          <w:noProof/>
        </w:rPr>
      </w:r>
      <w:r>
        <w:rPr>
          <w:noProof/>
        </w:rPr>
        <w:fldChar w:fldCharType="separate"/>
      </w:r>
      <w:r>
        <w:rPr>
          <w:noProof/>
        </w:rPr>
        <w:t>58</w:t>
      </w:r>
      <w:r>
        <w:rPr>
          <w:noProof/>
        </w:rPr>
        <w:fldChar w:fldCharType="end"/>
      </w:r>
    </w:p>
    <w:p w14:paraId="1B237ED4" w14:textId="77777777" w:rsidR="000F4B0C" w:rsidRDefault="000F4B0C">
      <w:pPr>
        <w:pStyle w:val="TOC3"/>
        <w:rPr>
          <w:rFonts w:eastAsiaTheme="minorEastAsia" w:cstheme="minorBidi"/>
          <w:i w:val="0"/>
          <w:noProof/>
        </w:rPr>
      </w:pPr>
      <w:r>
        <w:rPr>
          <w:noProof/>
        </w:rPr>
        <w:t xml:space="preserve">Recommendation 9: </w:t>
      </w:r>
      <w:r>
        <w:rPr>
          <w:rFonts w:eastAsiaTheme="minorEastAsia" w:cstheme="minorBidi"/>
          <w:i w:val="0"/>
          <w:noProof/>
        </w:rPr>
        <w:tab/>
      </w:r>
      <w:r>
        <w:rPr>
          <w:noProof/>
        </w:rPr>
        <w:t>Endoscopic Mucosal Resection</w:t>
      </w:r>
      <w:r>
        <w:rPr>
          <w:noProof/>
        </w:rPr>
        <w:tab/>
      </w:r>
      <w:r>
        <w:rPr>
          <w:noProof/>
        </w:rPr>
        <w:fldChar w:fldCharType="begin"/>
      </w:r>
      <w:r>
        <w:rPr>
          <w:noProof/>
        </w:rPr>
        <w:instrText xml:space="preserve"> PAGEREF _Toc485731775 \h </w:instrText>
      </w:r>
      <w:r>
        <w:rPr>
          <w:noProof/>
        </w:rPr>
      </w:r>
      <w:r>
        <w:rPr>
          <w:noProof/>
        </w:rPr>
        <w:fldChar w:fldCharType="separate"/>
      </w:r>
      <w:r>
        <w:rPr>
          <w:noProof/>
        </w:rPr>
        <w:t>58</w:t>
      </w:r>
      <w:r>
        <w:rPr>
          <w:noProof/>
        </w:rPr>
        <w:fldChar w:fldCharType="end"/>
      </w:r>
    </w:p>
    <w:p w14:paraId="3BC54250" w14:textId="77777777" w:rsidR="000F4B0C" w:rsidRDefault="000F4B0C">
      <w:pPr>
        <w:pStyle w:val="TOC1"/>
        <w:rPr>
          <w:rFonts w:eastAsiaTheme="minorEastAsia" w:cstheme="minorBidi"/>
          <w:b w:val="0"/>
          <w:noProof/>
        </w:rPr>
      </w:pPr>
      <w:r>
        <w:rPr>
          <w:noProof/>
        </w:rPr>
        <w:t>9.</w:t>
      </w:r>
      <w:r>
        <w:rPr>
          <w:rFonts w:eastAsiaTheme="minorEastAsia" w:cstheme="minorBidi"/>
          <w:b w:val="0"/>
          <w:noProof/>
        </w:rPr>
        <w:tab/>
      </w:r>
      <w:r>
        <w:rPr>
          <w:noProof/>
        </w:rPr>
        <w:t>Obsolete items</w:t>
      </w:r>
      <w:r>
        <w:rPr>
          <w:noProof/>
        </w:rPr>
        <w:tab/>
      </w:r>
      <w:r>
        <w:rPr>
          <w:noProof/>
        </w:rPr>
        <w:fldChar w:fldCharType="begin"/>
      </w:r>
      <w:r>
        <w:rPr>
          <w:noProof/>
        </w:rPr>
        <w:instrText xml:space="preserve"> PAGEREF _Toc485731776 \h </w:instrText>
      </w:r>
      <w:r>
        <w:rPr>
          <w:noProof/>
        </w:rPr>
      </w:r>
      <w:r>
        <w:rPr>
          <w:noProof/>
        </w:rPr>
        <w:fldChar w:fldCharType="separate"/>
      </w:r>
      <w:r>
        <w:rPr>
          <w:noProof/>
        </w:rPr>
        <w:t>59</w:t>
      </w:r>
      <w:r>
        <w:rPr>
          <w:noProof/>
        </w:rPr>
        <w:fldChar w:fldCharType="end"/>
      </w:r>
    </w:p>
    <w:p w14:paraId="198DD2DA" w14:textId="77777777" w:rsidR="000F4B0C" w:rsidRDefault="000F4B0C">
      <w:pPr>
        <w:pStyle w:val="TOC3"/>
        <w:rPr>
          <w:rFonts w:eastAsiaTheme="minorEastAsia" w:cstheme="minorBidi"/>
          <w:i w:val="0"/>
          <w:noProof/>
        </w:rPr>
      </w:pPr>
      <w:r>
        <w:rPr>
          <w:noProof/>
        </w:rPr>
        <w:t>Recommendation 10:</w:t>
      </w:r>
      <w:r>
        <w:rPr>
          <w:rFonts w:eastAsiaTheme="minorEastAsia" w:cstheme="minorBidi"/>
          <w:i w:val="0"/>
          <w:noProof/>
        </w:rPr>
        <w:tab/>
      </w:r>
      <w:r>
        <w:rPr>
          <w:noProof/>
        </w:rPr>
        <w:t>1. Obsolete items – first round</w:t>
      </w:r>
      <w:r>
        <w:rPr>
          <w:noProof/>
        </w:rPr>
        <w:tab/>
      </w:r>
      <w:r>
        <w:rPr>
          <w:noProof/>
        </w:rPr>
        <w:fldChar w:fldCharType="begin"/>
      </w:r>
      <w:r>
        <w:rPr>
          <w:noProof/>
        </w:rPr>
        <w:instrText xml:space="preserve"> PAGEREF _Toc485731777 \h </w:instrText>
      </w:r>
      <w:r>
        <w:rPr>
          <w:noProof/>
        </w:rPr>
      </w:r>
      <w:r>
        <w:rPr>
          <w:noProof/>
        </w:rPr>
        <w:fldChar w:fldCharType="separate"/>
      </w:r>
      <w:r>
        <w:rPr>
          <w:noProof/>
        </w:rPr>
        <w:t>59</w:t>
      </w:r>
      <w:r>
        <w:rPr>
          <w:noProof/>
        </w:rPr>
        <w:fldChar w:fldCharType="end"/>
      </w:r>
    </w:p>
    <w:p w14:paraId="70DEBC3A" w14:textId="77777777" w:rsidR="000F4B0C" w:rsidRDefault="000F4B0C">
      <w:pPr>
        <w:pStyle w:val="TOC3"/>
        <w:rPr>
          <w:rFonts w:eastAsiaTheme="minorEastAsia" w:cstheme="minorBidi"/>
          <w:i w:val="0"/>
          <w:noProof/>
        </w:rPr>
      </w:pPr>
      <w:r>
        <w:rPr>
          <w:noProof/>
        </w:rPr>
        <w:t>Recommendation 10:</w:t>
      </w:r>
      <w:r>
        <w:rPr>
          <w:rFonts w:eastAsiaTheme="minorEastAsia" w:cstheme="minorBidi"/>
          <w:i w:val="0"/>
          <w:noProof/>
        </w:rPr>
        <w:tab/>
      </w:r>
      <w:r>
        <w:rPr>
          <w:noProof/>
        </w:rPr>
        <w:t>2. Obsolete items – second round</w:t>
      </w:r>
      <w:r>
        <w:rPr>
          <w:noProof/>
        </w:rPr>
        <w:tab/>
      </w:r>
      <w:r>
        <w:rPr>
          <w:noProof/>
        </w:rPr>
        <w:fldChar w:fldCharType="begin"/>
      </w:r>
      <w:r>
        <w:rPr>
          <w:noProof/>
        </w:rPr>
        <w:instrText xml:space="preserve"> PAGEREF _Toc485731778 \h </w:instrText>
      </w:r>
      <w:r>
        <w:rPr>
          <w:noProof/>
        </w:rPr>
      </w:r>
      <w:r>
        <w:rPr>
          <w:noProof/>
        </w:rPr>
        <w:fldChar w:fldCharType="separate"/>
      </w:r>
      <w:r>
        <w:rPr>
          <w:noProof/>
        </w:rPr>
        <w:t>60</w:t>
      </w:r>
      <w:r>
        <w:rPr>
          <w:noProof/>
        </w:rPr>
        <w:fldChar w:fldCharType="end"/>
      </w:r>
    </w:p>
    <w:p w14:paraId="2BE7DE67" w14:textId="77777777" w:rsidR="000F4B0C" w:rsidRDefault="000F4B0C">
      <w:pPr>
        <w:pStyle w:val="TOC1"/>
        <w:rPr>
          <w:rFonts w:eastAsiaTheme="minorEastAsia" w:cstheme="minorBidi"/>
          <w:b w:val="0"/>
          <w:noProof/>
        </w:rPr>
      </w:pPr>
      <w:r>
        <w:rPr>
          <w:noProof/>
        </w:rPr>
        <w:t>10.</w:t>
      </w:r>
      <w:r>
        <w:rPr>
          <w:rFonts w:eastAsiaTheme="minorEastAsia" w:cstheme="minorBidi"/>
          <w:b w:val="0"/>
          <w:noProof/>
        </w:rPr>
        <w:tab/>
      </w:r>
      <w:r>
        <w:rPr>
          <w:noProof/>
        </w:rPr>
        <w:t>General MBS issues</w:t>
      </w:r>
      <w:r>
        <w:rPr>
          <w:noProof/>
        </w:rPr>
        <w:tab/>
      </w:r>
      <w:r>
        <w:rPr>
          <w:noProof/>
        </w:rPr>
        <w:fldChar w:fldCharType="begin"/>
      </w:r>
      <w:r>
        <w:rPr>
          <w:noProof/>
        </w:rPr>
        <w:instrText xml:space="preserve"> PAGEREF _Toc485731779 \h </w:instrText>
      </w:r>
      <w:r>
        <w:rPr>
          <w:noProof/>
        </w:rPr>
      </w:r>
      <w:r>
        <w:rPr>
          <w:noProof/>
        </w:rPr>
        <w:fldChar w:fldCharType="separate"/>
      </w:r>
      <w:r>
        <w:rPr>
          <w:noProof/>
        </w:rPr>
        <w:t>62</w:t>
      </w:r>
      <w:r>
        <w:rPr>
          <w:noProof/>
        </w:rPr>
        <w:fldChar w:fldCharType="end"/>
      </w:r>
    </w:p>
    <w:p w14:paraId="794BED75" w14:textId="77777777" w:rsidR="000F4B0C" w:rsidRDefault="000F4B0C">
      <w:pPr>
        <w:pStyle w:val="TOC3"/>
        <w:rPr>
          <w:rFonts w:eastAsiaTheme="minorEastAsia" w:cstheme="minorBidi"/>
          <w:i w:val="0"/>
          <w:noProof/>
        </w:rPr>
      </w:pPr>
      <w:r>
        <w:rPr>
          <w:noProof/>
        </w:rPr>
        <w:t>Generic MBS Issues identified by the Committee</w:t>
      </w:r>
      <w:r>
        <w:rPr>
          <w:noProof/>
        </w:rPr>
        <w:tab/>
      </w:r>
      <w:r>
        <w:rPr>
          <w:noProof/>
        </w:rPr>
        <w:fldChar w:fldCharType="begin"/>
      </w:r>
      <w:r>
        <w:rPr>
          <w:noProof/>
        </w:rPr>
        <w:instrText xml:space="preserve"> PAGEREF _Toc485731780 \h </w:instrText>
      </w:r>
      <w:r>
        <w:rPr>
          <w:noProof/>
        </w:rPr>
      </w:r>
      <w:r>
        <w:rPr>
          <w:noProof/>
        </w:rPr>
        <w:fldChar w:fldCharType="separate"/>
      </w:r>
      <w:r>
        <w:rPr>
          <w:noProof/>
        </w:rPr>
        <w:t>62</w:t>
      </w:r>
      <w:r>
        <w:rPr>
          <w:noProof/>
        </w:rPr>
        <w:fldChar w:fldCharType="end"/>
      </w:r>
    </w:p>
    <w:p w14:paraId="70E18BC0" w14:textId="77777777" w:rsidR="000F4B0C" w:rsidRDefault="000F4B0C">
      <w:pPr>
        <w:pStyle w:val="TOC1"/>
        <w:rPr>
          <w:rFonts w:eastAsiaTheme="minorEastAsia" w:cstheme="minorBidi"/>
          <w:b w:val="0"/>
          <w:noProof/>
        </w:rPr>
      </w:pPr>
      <w:r>
        <w:rPr>
          <w:noProof/>
        </w:rPr>
        <w:t>11.</w:t>
      </w:r>
      <w:r>
        <w:rPr>
          <w:rFonts w:eastAsiaTheme="minorEastAsia" w:cstheme="minorBidi"/>
          <w:b w:val="0"/>
          <w:noProof/>
        </w:rPr>
        <w:tab/>
      </w:r>
      <w:r>
        <w:rPr>
          <w:noProof/>
        </w:rPr>
        <w:t>References</w:t>
      </w:r>
      <w:r>
        <w:rPr>
          <w:noProof/>
        </w:rPr>
        <w:tab/>
      </w:r>
      <w:r>
        <w:rPr>
          <w:noProof/>
        </w:rPr>
        <w:fldChar w:fldCharType="begin"/>
      </w:r>
      <w:r>
        <w:rPr>
          <w:noProof/>
        </w:rPr>
        <w:instrText xml:space="preserve"> PAGEREF _Toc485731781 \h </w:instrText>
      </w:r>
      <w:r>
        <w:rPr>
          <w:noProof/>
        </w:rPr>
      </w:r>
      <w:r>
        <w:rPr>
          <w:noProof/>
        </w:rPr>
        <w:fldChar w:fldCharType="separate"/>
      </w:r>
      <w:r>
        <w:rPr>
          <w:noProof/>
        </w:rPr>
        <w:t>63</w:t>
      </w:r>
      <w:r>
        <w:rPr>
          <w:noProof/>
        </w:rPr>
        <w:fldChar w:fldCharType="end"/>
      </w:r>
    </w:p>
    <w:p w14:paraId="17BB3452" w14:textId="77777777" w:rsidR="000F4B0C" w:rsidRDefault="000F4B0C">
      <w:pPr>
        <w:pStyle w:val="TOC1"/>
        <w:rPr>
          <w:rFonts w:eastAsiaTheme="minorEastAsia" w:cstheme="minorBidi"/>
          <w:b w:val="0"/>
          <w:noProof/>
        </w:rPr>
      </w:pPr>
      <w:r>
        <w:rPr>
          <w:noProof/>
        </w:rPr>
        <w:lastRenderedPageBreak/>
        <w:t>12.</w:t>
      </w:r>
      <w:r>
        <w:rPr>
          <w:rFonts w:eastAsiaTheme="minorEastAsia" w:cstheme="minorBidi"/>
          <w:b w:val="0"/>
          <w:noProof/>
        </w:rPr>
        <w:tab/>
      </w:r>
      <w:r>
        <w:rPr>
          <w:noProof/>
        </w:rPr>
        <w:t>Acronyms and Abbreviations</w:t>
      </w:r>
      <w:r>
        <w:rPr>
          <w:noProof/>
        </w:rPr>
        <w:tab/>
      </w:r>
      <w:r>
        <w:rPr>
          <w:noProof/>
        </w:rPr>
        <w:fldChar w:fldCharType="begin"/>
      </w:r>
      <w:r>
        <w:rPr>
          <w:noProof/>
        </w:rPr>
        <w:instrText xml:space="preserve"> PAGEREF _Toc485731782 \h </w:instrText>
      </w:r>
      <w:r>
        <w:rPr>
          <w:noProof/>
        </w:rPr>
      </w:r>
      <w:r>
        <w:rPr>
          <w:noProof/>
        </w:rPr>
        <w:fldChar w:fldCharType="separate"/>
      </w:r>
      <w:r>
        <w:rPr>
          <w:noProof/>
        </w:rPr>
        <w:t>66</w:t>
      </w:r>
      <w:r>
        <w:rPr>
          <w:noProof/>
        </w:rPr>
        <w:fldChar w:fldCharType="end"/>
      </w:r>
    </w:p>
    <w:p w14:paraId="03D2F31A" w14:textId="77777777" w:rsidR="000F4B0C" w:rsidRDefault="000F4B0C">
      <w:pPr>
        <w:pStyle w:val="TOC1"/>
        <w:rPr>
          <w:rFonts w:eastAsiaTheme="minorEastAsia" w:cstheme="minorBidi"/>
          <w:b w:val="0"/>
          <w:noProof/>
        </w:rPr>
      </w:pPr>
      <w:r>
        <w:rPr>
          <w:noProof/>
        </w:rPr>
        <w:t>13.</w:t>
      </w:r>
      <w:r>
        <w:rPr>
          <w:rFonts w:eastAsiaTheme="minorEastAsia" w:cstheme="minorBidi"/>
          <w:b w:val="0"/>
          <w:noProof/>
        </w:rPr>
        <w:tab/>
      </w:r>
      <w:r>
        <w:rPr>
          <w:noProof/>
        </w:rPr>
        <w:t>Glossary</w:t>
      </w:r>
      <w:r>
        <w:rPr>
          <w:noProof/>
        </w:rPr>
        <w:tab/>
      </w:r>
      <w:r>
        <w:rPr>
          <w:noProof/>
        </w:rPr>
        <w:fldChar w:fldCharType="begin"/>
      </w:r>
      <w:r>
        <w:rPr>
          <w:noProof/>
        </w:rPr>
        <w:instrText xml:space="preserve"> PAGEREF _Toc485731783 \h </w:instrText>
      </w:r>
      <w:r>
        <w:rPr>
          <w:noProof/>
        </w:rPr>
      </w:r>
      <w:r>
        <w:rPr>
          <w:noProof/>
        </w:rPr>
        <w:fldChar w:fldCharType="separate"/>
      </w:r>
      <w:r>
        <w:rPr>
          <w:noProof/>
        </w:rPr>
        <w:t>67</w:t>
      </w:r>
      <w:r>
        <w:rPr>
          <w:noProof/>
        </w:rPr>
        <w:fldChar w:fldCharType="end"/>
      </w:r>
    </w:p>
    <w:p w14:paraId="4EC4E098" w14:textId="77777777" w:rsidR="000F4B0C" w:rsidRDefault="000F4B0C">
      <w:pPr>
        <w:pStyle w:val="TOC1"/>
        <w:tabs>
          <w:tab w:val="left" w:pos="1320"/>
        </w:tabs>
        <w:rPr>
          <w:rFonts w:eastAsiaTheme="minorEastAsia" w:cstheme="minorBidi"/>
          <w:b w:val="0"/>
          <w:noProof/>
        </w:rPr>
      </w:pPr>
      <w:r w:rsidRPr="00524C3D">
        <w:rPr>
          <w:noProof/>
          <w:color w:val="000000"/>
        </w:rPr>
        <w:t>Appendix A</w:t>
      </w:r>
      <w:r>
        <w:rPr>
          <w:rFonts w:eastAsiaTheme="minorEastAsia" w:cstheme="minorBidi"/>
          <w:b w:val="0"/>
          <w:noProof/>
        </w:rPr>
        <w:tab/>
      </w:r>
      <w:r>
        <w:rPr>
          <w:noProof/>
        </w:rPr>
        <w:t>Full list of MBS items under review</w:t>
      </w:r>
      <w:r>
        <w:rPr>
          <w:noProof/>
        </w:rPr>
        <w:tab/>
      </w:r>
      <w:r>
        <w:rPr>
          <w:noProof/>
        </w:rPr>
        <w:fldChar w:fldCharType="begin"/>
      </w:r>
      <w:r>
        <w:rPr>
          <w:noProof/>
        </w:rPr>
        <w:instrText xml:space="preserve"> PAGEREF _Toc485731784 \h </w:instrText>
      </w:r>
      <w:r>
        <w:rPr>
          <w:noProof/>
        </w:rPr>
      </w:r>
      <w:r>
        <w:rPr>
          <w:noProof/>
        </w:rPr>
        <w:fldChar w:fldCharType="separate"/>
      </w:r>
      <w:r>
        <w:rPr>
          <w:noProof/>
        </w:rPr>
        <w:t>69</w:t>
      </w:r>
      <w:r>
        <w:rPr>
          <w:noProof/>
        </w:rPr>
        <w:fldChar w:fldCharType="end"/>
      </w:r>
    </w:p>
    <w:p w14:paraId="71E9113D" w14:textId="77777777" w:rsidR="000F4B0C" w:rsidRDefault="000F4B0C">
      <w:pPr>
        <w:pStyle w:val="TOC1"/>
        <w:tabs>
          <w:tab w:val="left" w:pos="1320"/>
        </w:tabs>
        <w:rPr>
          <w:rFonts w:eastAsiaTheme="minorEastAsia" w:cstheme="minorBidi"/>
          <w:b w:val="0"/>
          <w:noProof/>
        </w:rPr>
      </w:pPr>
      <w:r w:rsidRPr="00524C3D">
        <w:rPr>
          <w:noProof/>
          <w:color w:val="000000"/>
        </w:rPr>
        <w:t>Appendix B</w:t>
      </w:r>
      <w:r>
        <w:rPr>
          <w:rFonts w:eastAsiaTheme="minorEastAsia" w:cstheme="minorBidi"/>
          <w:b w:val="0"/>
          <w:noProof/>
        </w:rPr>
        <w:tab/>
      </w:r>
      <w:r>
        <w:rPr>
          <w:noProof/>
        </w:rPr>
        <w:t>Summary for Consumers</w:t>
      </w:r>
      <w:r>
        <w:rPr>
          <w:noProof/>
        </w:rPr>
        <w:tab/>
      </w:r>
      <w:r>
        <w:rPr>
          <w:noProof/>
        </w:rPr>
        <w:fldChar w:fldCharType="begin"/>
      </w:r>
      <w:r>
        <w:rPr>
          <w:noProof/>
        </w:rPr>
        <w:instrText xml:space="preserve"> PAGEREF _Toc485731785 \h </w:instrText>
      </w:r>
      <w:r>
        <w:rPr>
          <w:noProof/>
        </w:rPr>
      </w:r>
      <w:r>
        <w:rPr>
          <w:noProof/>
        </w:rPr>
        <w:fldChar w:fldCharType="separate"/>
      </w:r>
      <w:r>
        <w:rPr>
          <w:noProof/>
        </w:rPr>
        <w:t>78</w:t>
      </w:r>
      <w:r>
        <w:rPr>
          <w:noProof/>
        </w:rPr>
        <w:fldChar w:fldCharType="end"/>
      </w:r>
    </w:p>
    <w:p w14:paraId="15475231" w14:textId="77777777" w:rsidR="000F4B0C" w:rsidRDefault="000F4B0C">
      <w:pPr>
        <w:pStyle w:val="TOC1"/>
        <w:tabs>
          <w:tab w:val="left" w:pos="1320"/>
        </w:tabs>
        <w:rPr>
          <w:rFonts w:eastAsiaTheme="minorEastAsia" w:cstheme="minorBidi"/>
          <w:b w:val="0"/>
          <w:noProof/>
        </w:rPr>
      </w:pPr>
      <w:r w:rsidRPr="00524C3D">
        <w:rPr>
          <w:noProof/>
          <w:color w:val="000000"/>
        </w:rPr>
        <w:t>Appendix C</w:t>
      </w:r>
      <w:r>
        <w:rPr>
          <w:rFonts w:eastAsiaTheme="minorEastAsia" w:cstheme="minorBidi"/>
          <w:b w:val="0"/>
          <w:noProof/>
        </w:rPr>
        <w:tab/>
      </w:r>
      <w:r>
        <w:rPr>
          <w:noProof/>
        </w:rPr>
        <w:t>Rapid Review Report on Capsule Endoscopy</w:t>
      </w:r>
      <w:r>
        <w:rPr>
          <w:noProof/>
        </w:rPr>
        <w:tab/>
      </w:r>
      <w:r>
        <w:rPr>
          <w:noProof/>
        </w:rPr>
        <w:fldChar w:fldCharType="begin"/>
      </w:r>
      <w:r>
        <w:rPr>
          <w:noProof/>
        </w:rPr>
        <w:instrText xml:space="preserve"> PAGEREF _Toc485731786 \h </w:instrText>
      </w:r>
      <w:r>
        <w:rPr>
          <w:noProof/>
        </w:rPr>
      </w:r>
      <w:r>
        <w:rPr>
          <w:noProof/>
        </w:rPr>
        <w:fldChar w:fldCharType="separate"/>
      </w:r>
      <w:r>
        <w:rPr>
          <w:noProof/>
        </w:rPr>
        <w:t>88</w:t>
      </w:r>
      <w:r>
        <w:rPr>
          <w:noProof/>
        </w:rPr>
        <w:fldChar w:fldCharType="end"/>
      </w:r>
    </w:p>
    <w:p w14:paraId="6C28CD08" w14:textId="77777777" w:rsidR="000F4B0C" w:rsidRDefault="000F4B0C">
      <w:pPr>
        <w:pStyle w:val="TOC1"/>
        <w:tabs>
          <w:tab w:val="left" w:pos="1320"/>
        </w:tabs>
        <w:rPr>
          <w:rFonts w:eastAsiaTheme="minorEastAsia" w:cstheme="minorBidi"/>
          <w:b w:val="0"/>
          <w:noProof/>
        </w:rPr>
      </w:pPr>
      <w:r w:rsidRPr="00524C3D">
        <w:rPr>
          <w:noProof/>
          <w:color w:val="000000"/>
        </w:rPr>
        <w:t>Appendix D</w:t>
      </w:r>
      <w:r>
        <w:rPr>
          <w:rFonts w:eastAsiaTheme="minorEastAsia" w:cstheme="minorBidi"/>
          <w:b w:val="0"/>
          <w:noProof/>
        </w:rPr>
        <w:tab/>
      </w:r>
      <w:r>
        <w:rPr>
          <w:noProof/>
        </w:rPr>
        <w:t>Rapid Review Report on Push Enteroscopy</w:t>
      </w:r>
      <w:r>
        <w:rPr>
          <w:noProof/>
        </w:rPr>
        <w:tab/>
      </w:r>
      <w:r>
        <w:rPr>
          <w:noProof/>
        </w:rPr>
        <w:fldChar w:fldCharType="begin"/>
      </w:r>
      <w:r>
        <w:rPr>
          <w:noProof/>
        </w:rPr>
        <w:instrText xml:space="preserve"> PAGEREF _Toc485731787 \h </w:instrText>
      </w:r>
      <w:r>
        <w:rPr>
          <w:noProof/>
        </w:rPr>
      </w:r>
      <w:r>
        <w:rPr>
          <w:noProof/>
        </w:rPr>
        <w:fldChar w:fldCharType="separate"/>
      </w:r>
      <w:r>
        <w:rPr>
          <w:noProof/>
        </w:rPr>
        <w:t>96</w:t>
      </w:r>
      <w:r>
        <w:rPr>
          <w:noProof/>
        </w:rPr>
        <w:fldChar w:fldCharType="end"/>
      </w:r>
    </w:p>
    <w:p w14:paraId="744EA4B0" w14:textId="77777777" w:rsidR="000F4B0C" w:rsidRDefault="000F4B0C">
      <w:pPr>
        <w:pStyle w:val="TOC1"/>
        <w:rPr>
          <w:rFonts w:eastAsiaTheme="minorEastAsia" w:cstheme="minorBidi"/>
          <w:b w:val="0"/>
          <w:noProof/>
        </w:rPr>
      </w:pPr>
      <w:r>
        <w:rPr>
          <w:noProof/>
        </w:rPr>
        <w:t>Addendum</w:t>
      </w:r>
      <w:r>
        <w:rPr>
          <w:noProof/>
        </w:rPr>
        <w:tab/>
      </w:r>
      <w:r>
        <w:rPr>
          <w:noProof/>
        </w:rPr>
        <w:fldChar w:fldCharType="begin"/>
      </w:r>
      <w:r>
        <w:rPr>
          <w:noProof/>
        </w:rPr>
        <w:instrText xml:space="preserve"> PAGEREF _Toc485731788 \h </w:instrText>
      </w:r>
      <w:r>
        <w:rPr>
          <w:noProof/>
        </w:rPr>
      </w:r>
      <w:r>
        <w:rPr>
          <w:noProof/>
        </w:rPr>
        <w:fldChar w:fldCharType="separate"/>
      </w:r>
      <w:r>
        <w:rPr>
          <w:noProof/>
        </w:rPr>
        <w:t>101</w:t>
      </w:r>
      <w:r>
        <w:rPr>
          <w:noProof/>
        </w:rPr>
        <w:fldChar w:fldCharType="end"/>
      </w:r>
    </w:p>
    <w:p w14:paraId="055BBBA9" w14:textId="20303DDF" w:rsidR="00A32201" w:rsidRDefault="001815E3" w:rsidP="00AC60DB">
      <w:pPr>
        <w:pStyle w:val="TOC1"/>
        <w:tabs>
          <w:tab w:val="clear" w:pos="9000"/>
          <w:tab w:val="left" w:pos="1540"/>
          <w:tab w:val="right" w:leader="dot" w:pos="9016"/>
        </w:tabs>
        <w:rPr>
          <w:rFonts w:eastAsiaTheme="minorHAnsi"/>
          <w:b w:val="0"/>
          <w:noProof/>
        </w:rPr>
      </w:pPr>
      <w:r>
        <w:rPr>
          <w:rFonts w:ascii="Cambria" w:hAnsi="Cambria"/>
          <w:smallCaps/>
          <w:noProof/>
        </w:rPr>
        <w:fldChar w:fldCharType="end"/>
      </w:r>
      <w:r w:rsidR="00A32201">
        <w:rPr>
          <w:noProof/>
        </w:rPr>
        <w:br w:type="page"/>
      </w:r>
    </w:p>
    <w:p w14:paraId="2B3AF0C7" w14:textId="77777777" w:rsidR="00326D7D" w:rsidRPr="003B1222" w:rsidRDefault="0011166D">
      <w:pPr>
        <w:tabs>
          <w:tab w:val="right" w:leader="dot" w:pos="9016"/>
        </w:tabs>
        <w:rPr>
          <w:b/>
          <w:bCs/>
          <w:noProof/>
          <w:color w:val="01653F"/>
          <w:sz w:val="32"/>
          <w:szCs w:val="32"/>
        </w:rPr>
      </w:pPr>
      <w:r w:rsidRPr="003B1222">
        <w:rPr>
          <w:b/>
          <w:bCs/>
          <w:noProof/>
          <w:color w:val="01653F"/>
          <w:sz w:val="32"/>
          <w:szCs w:val="32"/>
        </w:rPr>
        <w:lastRenderedPageBreak/>
        <w:t>List of Tables</w:t>
      </w:r>
    </w:p>
    <w:p w14:paraId="2516DDF7" w14:textId="77777777" w:rsidR="00450F5F" w:rsidRDefault="00235035">
      <w:pPr>
        <w:pStyle w:val="TableofFigures"/>
        <w:tabs>
          <w:tab w:val="left" w:pos="880"/>
          <w:tab w:val="right" w:leader="dot" w:pos="9016"/>
        </w:tabs>
        <w:rPr>
          <w:rFonts w:eastAsiaTheme="minorEastAsia" w:cstheme="minorBidi"/>
          <w:noProof/>
          <w:sz w:val="22"/>
          <w:szCs w:val="22"/>
        </w:rPr>
      </w:pPr>
      <w:r w:rsidRPr="00AB6E8A">
        <w:rPr>
          <w:bCs/>
          <w:smallCaps/>
          <w:noProof/>
          <w:sz w:val="22"/>
          <w:szCs w:val="22"/>
        </w:rPr>
        <w:fldChar w:fldCharType="begin"/>
      </w:r>
      <w:r w:rsidRPr="00AB6E8A">
        <w:rPr>
          <w:bCs/>
          <w:noProof/>
          <w:sz w:val="22"/>
          <w:szCs w:val="22"/>
        </w:rPr>
        <w:instrText xml:space="preserve"> TOC \c "Table" </w:instrText>
      </w:r>
      <w:r w:rsidRPr="00AB6E8A">
        <w:rPr>
          <w:bCs/>
          <w:smallCaps/>
          <w:noProof/>
          <w:sz w:val="22"/>
          <w:szCs w:val="22"/>
        </w:rPr>
        <w:fldChar w:fldCharType="separate"/>
      </w:r>
      <w:r w:rsidR="00450F5F">
        <w:rPr>
          <w:noProof/>
        </w:rPr>
        <w:t>Table 1:</w:t>
      </w:r>
      <w:r w:rsidR="00450F5F">
        <w:rPr>
          <w:rFonts w:eastAsiaTheme="minorEastAsia" w:cstheme="minorBidi"/>
          <w:noProof/>
          <w:sz w:val="22"/>
          <w:szCs w:val="22"/>
        </w:rPr>
        <w:tab/>
      </w:r>
      <w:r w:rsidR="00450F5F">
        <w:rPr>
          <w:noProof/>
        </w:rPr>
        <w:t>Gastroenterology Clinical Committee Members</w:t>
      </w:r>
      <w:r w:rsidR="00450F5F">
        <w:rPr>
          <w:noProof/>
        </w:rPr>
        <w:tab/>
      </w:r>
      <w:r w:rsidR="00450F5F">
        <w:rPr>
          <w:noProof/>
        </w:rPr>
        <w:fldChar w:fldCharType="begin"/>
      </w:r>
      <w:r w:rsidR="00450F5F">
        <w:rPr>
          <w:noProof/>
        </w:rPr>
        <w:instrText xml:space="preserve"> PAGEREF _Toc458527777 \h </w:instrText>
      </w:r>
      <w:r w:rsidR="00450F5F">
        <w:rPr>
          <w:noProof/>
        </w:rPr>
      </w:r>
      <w:r w:rsidR="00450F5F">
        <w:rPr>
          <w:noProof/>
        </w:rPr>
        <w:fldChar w:fldCharType="separate"/>
      </w:r>
      <w:r w:rsidR="00A1715D">
        <w:rPr>
          <w:noProof/>
        </w:rPr>
        <w:t>18</w:t>
      </w:r>
      <w:r w:rsidR="00450F5F">
        <w:rPr>
          <w:noProof/>
        </w:rPr>
        <w:fldChar w:fldCharType="end"/>
      </w:r>
    </w:p>
    <w:p w14:paraId="794E20B9" w14:textId="77777777" w:rsidR="00450F5F" w:rsidRDefault="00450F5F">
      <w:pPr>
        <w:pStyle w:val="TableofFigures"/>
        <w:tabs>
          <w:tab w:val="left" w:pos="880"/>
          <w:tab w:val="right" w:leader="dot" w:pos="9016"/>
        </w:tabs>
        <w:rPr>
          <w:rFonts w:eastAsiaTheme="minorEastAsia" w:cstheme="minorBidi"/>
          <w:noProof/>
          <w:sz w:val="22"/>
          <w:szCs w:val="22"/>
        </w:rPr>
      </w:pPr>
      <w:r>
        <w:rPr>
          <w:noProof/>
        </w:rPr>
        <w:t>Table 2:</w:t>
      </w:r>
      <w:r>
        <w:rPr>
          <w:rFonts w:eastAsiaTheme="minorEastAsia" w:cstheme="minorBidi"/>
          <w:noProof/>
          <w:sz w:val="22"/>
          <w:szCs w:val="22"/>
        </w:rPr>
        <w:tab/>
      </w:r>
      <w:r>
        <w:rPr>
          <w:noProof/>
        </w:rPr>
        <w:t>Number of MBS-funded services for colonoscopy per 100,000 people aged standardised, by local area, state and territory, 2013-14</w:t>
      </w:r>
      <w:r>
        <w:rPr>
          <w:noProof/>
        </w:rPr>
        <w:tab/>
      </w:r>
      <w:r>
        <w:rPr>
          <w:noProof/>
        </w:rPr>
        <w:fldChar w:fldCharType="begin"/>
      </w:r>
      <w:r>
        <w:rPr>
          <w:noProof/>
        </w:rPr>
        <w:instrText xml:space="preserve"> PAGEREF _Toc458527778 \h </w:instrText>
      </w:r>
      <w:r>
        <w:rPr>
          <w:noProof/>
        </w:rPr>
      </w:r>
      <w:r>
        <w:rPr>
          <w:noProof/>
        </w:rPr>
        <w:fldChar w:fldCharType="separate"/>
      </w:r>
      <w:r w:rsidR="00A1715D">
        <w:rPr>
          <w:noProof/>
        </w:rPr>
        <w:t>23</w:t>
      </w:r>
      <w:r>
        <w:rPr>
          <w:noProof/>
        </w:rPr>
        <w:fldChar w:fldCharType="end"/>
      </w:r>
    </w:p>
    <w:p w14:paraId="454A4ACC" w14:textId="77777777" w:rsidR="00450F5F" w:rsidRDefault="00450F5F">
      <w:pPr>
        <w:pStyle w:val="TableofFigures"/>
        <w:tabs>
          <w:tab w:val="left" w:pos="880"/>
          <w:tab w:val="right" w:leader="dot" w:pos="9016"/>
        </w:tabs>
        <w:rPr>
          <w:rFonts w:eastAsiaTheme="minorEastAsia" w:cstheme="minorBidi"/>
          <w:noProof/>
          <w:sz w:val="22"/>
          <w:szCs w:val="22"/>
        </w:rPr>
      </w:pPr>
      <w:r>
        <w:rPr>
          <w:noProof/>
        </w:rPr>
        <w:t>Table 3:</w:t>
      </w:r>
      <w:r>
        <w:rPr>
          <w:rFonts w:eastAsiaTheme="minorEastAsia" w:cstheme="minorBidi"/>
          <w:noProof/>
          <w:sz w:val="22"/>
          <w:szCs w:val="22"/>
        </w:rPr>
        <w:tab/>
      </w:r>
      <w:r>
        <w:rPr>
          <w:noProof/>
        </w:rPr>
        <w:t>The 1-year, 5-year and 10-year growth in services.</w:t>
      </w:r>
      <w:r>
        <w:rPr>
          <w:noProof/>
        </w:rPr>
        <w:tab/>
      </w:r>
      <w:r>
        <w:rPr>
          <w:noProof/>
        </w:rPr>
        <w:fldChar w:fldCharType="begin"/>
      </w:r>
      <w:r>
        <w:rPr>
          <w:noProof/>
        </w:rPr>
        <w:instrText xml:space="preserve"> PAGEREF _Toc458527779 \h </w:instrText>
      </w:r>
      <w:r>
        <w:rPr>
          <w:noProof/>
        </w:rPr>
      </w:r>
      <w:r>
        <w:rPr>
          <w:noProof/>
        </w:rPr>
        <w:fldChar w:fldCharType="separate"/>
      </w:r>
      <w:r w:rsidR="00A1715D">
        <w:rPr>
          <w:noProof/>
        </w:rPr>
        <w:t>25</w:t>
      </w:r>
      <w:r>
        <w:rPr>
          <w:noProof/>
        </w:rPr>
        <w:fldChar w:fldCharType="end"/>
      </w:r>
    </w:p>
    <w:p w14:paraId="4E245C09" w14:textId="77777777" w:rsidR="00450F5F" w:rsidRDefault="00450F5F">
      <w:pPr>
        <w:pStyle w:val="TableofFigures"/>
        <w:tabs>
          <w:tab w:val="left" w:pos="880"/>
          <w:tab w:val="right" w:leader="dot" w:pos="9016"/>
        </w:tabs>
        <w:rPr>
          <w:rFonts w:eastAsiaTheme="minorEastAsia" w:cstheme="minorBidi"/>
          <w:noProof/>
          <w:sz w:val="22"/>
          <w:szCs w:val="22"/>
        </w:rPr>
      </w:pPr>
      <w:r>
        <w:rPr>
          <w:noProof/>
        </w:rPr>
        <w:t>Table 4:</w:t>
      </w:r>
      <w:r>
        <w:rPr>
          <w:rFonts w:eastAsiaTheme="minorEastAsia" w:cstheme="minorBidi"/>
          <w:noProof/>
          <w:sz w:val="22"/>
          <w:szCs w:val="22"/>
        </w:rPr>
        <w:tab/>
      </w:r>
      <w:r>
        <w:rPr>
          <w:noProof/>
        </w:rPr>
        <w:t>Current MBS colonoscopy items 32090 and 32093</w:t>
      </w:r>
      <w:r>
        <w:rPr>
          <w:noProof/>
        </w:rPr>
        <w:tab/>
      </w:r>
      <w:r>
        <w:rPr>
          <w:noProof/>
        </w:rPr>
        <w:fldChar w:fldCharType="begin"/>
      </w:r>
      <w:r>
        <w:rPr>
          <w:noProof/>
        </w:rPr>
        <w:instrText xml:space="preserve"> PAGEREF _Toc458527780 \h </w:instrText>
      </w:r>
      <w:r>
        <w:rPr>
          <w:noProof/>
        </w:rPr>
      </w:r>
      <w:r>
        <w:rPr>
          <w:noProof/>
        </w:rPr>
        <w:fldChar w:fldCharType="separate"/>
      </w:r>
      <w:r w:rsidR="00A1715D">
        <w:rPr>
          <w:noProof/>
        </w:rPr>
        <w:t>25</w:t>
      </w:r>
      <w:r>
        <w:rPr>
          <w:noProof/>
        </w:rPr>
        <w:fldChar w:fldCharType="end"/>
      </w:r>
    </w:p>
    <w:p w14:paraId="63EB9CA2" w14:textId="77777777" w:rsidR="00450F5F" w:rsidRDefault="00450F5F">
      <w:pPr>
        <w:pStyle w:val="TableofFigures"/>
        <w:tabs>
          <w:tab w:val="left" w:pos="880"/>
          <w:tab w:val="right" w:leader="dot" w:pos="9016"/>
        </w:tabs>
        <w:rPr>
          <w:rFonts w:eastAsiaTheme="minorEastAsia" w:cstheme="minorBidi"/>
          <w:noProof/>
          <w:sz w:val="22"/>
          <w:szCs w:val="22"/>
        </w:rPr>
      </w:pPr>
      <w:r>
        <w:rPr>
          <w:noProof/>
        </w:rPr>
        <w:t>Table 5:</w:t>
      </w:r>
      <w:r>
        <w:rPr>
          <w:rFonts w:eastAsiaTheme="minorEastAsia" w:cstheme="minorBidi"/>
          <w:noProof/>
          <w:sz w:val="22"/>
          <w:szCs w:val="22"/>
        </w:rPr>
        <w:tab/>
      </w:r>
      <w:r>
        <w:rPr>
          <w:noProof/>
        </w:rPr>
        <w:t>The number of services and benefits paid over time, by financial year</w:t>
      </w:r>
      <w:r>
        <w:rPr>
          <w:noProof/>
        </w:rPr>
        <w:tab/>
      </w:r>
      <w:r>
        <w:rPr>
          <w:noProof/>
        </w:rPr>
        <w:fldChar w:fldCharType="begin"/>
      </w:r>
      <w:r>
        <w:rPr>
          <w:noProof/>
        </w:rPr>
        <w:instrText xml:space="preserve"> PAGEREF _Toc458527781 \h </w:instrText>
      </w:r>
      <w:r>
        <w:rPr>
          <w:noProof/>
        </w:rPr>
      </w:r>
      <w:r>
        <w:rPr>
          <w:noProof/>
        </w:rPr>
        <w:fldChar w:fldCharType="separate"/>
      </w:r>
      <w:r w:rsidR="00A1715D">
        <w:rPr>
          <w:noProof/>
        </w:rPr>
        <w:t>25</w:t>
      </w:r>
      <w:r>
        <w:rPr>
          <w:noProof/>
        </w:rPr>
        <w:fldChar w:fldCharType="end"/>
      </w:r>
    </w:p>
    <w:p w14:paraId="60E4EB1C" w14:textId="77777777" w:rsidR="00450F5F" w:rsidRDefault="00450F5F">
      <w:pPr>
        <w:pStyle w:val="TableofFigures"/>
        <w:tabs>
          <w:tab w:val="left" w:pos="880"/>
          <w:tab w:val="right" w:leader="dot" w:pos="9016"/>
        </w:tabs>
        <w:rPr>
          <w:rFonts w:eastAsiaTheme="minorEastAsia" w:cstheme="minorBidi"/>
          <w:noProof/>
          <w:sz w:val="22"/>
          <w:szCs w:val="22"/>
        </w:rPr>
      </w:pPr>
      <w:r>
        <w:rPr>
          <w:noProof/>
        </w:rPr>
        <w:t>Table 6:</w:t>
      </w:r>
      <w:r>
        <w:rPr>
          <w:rFonts w:eastAsiaTheme="minorEastAsia" w:cstheme="minorBidi"/>
          <w:noProof/>
          <w:sz w:val="22"/>
          <w:szCs w:val="22"/>
        </w:rPr>
        <w:tab/>
      </w:r>
      <w:r>
        <w:rPr>
          <w:noProof/>
        </w:rPr>
        <w:t>Proposed diagnostic colonoscopy services to replace item 32090, schedule fee all items $334.35</w:t>
      </w:r>
      <w:r>
        <w:rPr>
          <w:noProof/>
        </w:rPr>
        <w:tab/>
      </w:r>
      <w:r>
        <w:rPr>
          <w:noProof/>
        </w:rPr>
        <w:fldChar w:fldCharType="begin"/>
      </w:r>
      <w:r>
        <w:rPr>
          <w:noProof/>
        </w:rPr>
        <w:instrText xml:space="preserve"> PAGEREF _Toc458527782 \h </w:instrText>
      </w:r>
      <w:r>
        <w:rPr>
          <w:noProof/>
        </w:rPr>
      </w:r>
      <w:r>
        <w:rPr>
          <w:noProof/>
        </w:rPr>
        <w:fldChar w:fldCharType="separate"/>
      </w:r>
      <w:r w:rsidR="00A1715D">
        <w:rPr>
          <w:noProof/>
        </w:rPr>
        <w:t>28</w:t>
      </w:r>
      <w:r>
        <w:rPr>
          <w:noProof/>
        </w:rPr>
        <w:fldChar w:fldCharType="end"/>
      </w:r>
    </w:p>
    <w:p w14:paraId="491C7F77" w14:textId="77777777" w:rsidR="00450F5F" w:rsidRDefault="00450F5F">
      <w:pPr>
        <w:pStyle w:val="TableofFigures"/>
        <w:tabs>
          <w:tab w:val="left" w:pos="880"/>
          <w:tab w:val="right" w:leader="dot" w:pos="9016"/>
        </w:tabs>
        <w:rPr>
          <w:rFonts w:eastAsiaTheme="minorEastAsia" w:cstheme="minorBidi"/>
          <w:noProof/>
          <w:sz w:val="22"/>
          <w:szCs w:val="22"/>
        </w:rPr>
      </w:pPr>
      <w:r>
        <w:rPr>
          <w:noProof/>
        </w:rPr>
        <w:t>Table 7:</w:t>
      </w:r>
      <w:r>
        <w:rPr>
          <w:rFonts w:eastAsiaTheme="minorEastAsia" w:cstheme="minorBidi"/>
          <w:noProof/>
          <w:sz w:val="22"/>
          <w:szCs w:val="22"/>
        </w:rPr>
        <w:tab/>
      </w:r>
      <w:r>
        <w:rPr>
          <w:noProof/>
        </w:rPr>
        <w:t>Proposed therapeutic colonoscopy services to replace item 32093, Schedule fee all items $469.20</w:t>
      </w:r>
      <w:r>
        <w:rPr>
          <w:noProof/>
        </w:rPr>
        <w:tab/>
      </w:r>
      <w:r>
        <w:rPr>
          <w:noProof/>
        </w:rPr>
        <w:fldChar w:fldCharType="begin"/>
      </w:r>
      <w:r>
        <w:rPr>
          <w:noProof/>
        </w:rPr>
        <w:instrText xml:space="preserve"> PAGEREF _Toc458527783 \h </w:instrText>
      </w:r>
      <w:r>
        <w:rPr>
          <w:noProof/>
        </w:rPr>
      </w:r>
      <w:r>
        <w:rPr>
          <w:noProof/>
        </w:rPr>
        <w:fldChar w:fldCharType="separate"/>
      </w:r>
      <w:r w:rsidR="00A1715D">
        <w:rPr>
          <w:noProof/>
        </w:rPr>
        <w:t>29</w:t>
      </w:r>
      <w:r>
        <w:rPr>
          <w:noProof/>
        </w:rPr>
        <w:fldChar w:fldCharType="end"/>
      </w:r>
    </w:p>
    <w:p w14:paraId="6552E074" w14:textId="77777777" w:rsidR="00450F5F" w:rsidRDefault="00450F5F">
      <w:pPr>
        <w:pStyle w:val="TableofFigures"/>
        <w:tabs>
          <w:tab w:val="left" w:pos="880"/>
          <w:tab w:val="right" w:leader="dot" w:pos="9016"/>
        </w:tabs>
        <w:rPr>
          <w:rFonts w:eastAsiaTheme="minorEastAsia" w:cstheme="minorBidi"/>
          <w:noProof/>
          <w:sz w:val="22"/>
          <w:szCs w:val="22"/>
        </w:rPr>
      </w:pPr>
      <w:r>
        <w:rPr>
          <w:noProof/>
        </w:rPr>
        <w:t>Table 8:</w:t>
      </w:r>
      <w:r>
        <w:rPr>
          <w:rFonts w:eastAsiaTheme="minorEastAsia" w:cstheme="minorBidi"/>
          <w:noProof/>
          <w:sz w:val="22"/>
          <w:szCs w:val="22"/>
        </w:rPr>
        <w:tab/>
      </w:r>
      <w:r>
        <w:rPr>
          <w:noProof/>
        </w:rPr>
        <w:t>Co-claiming colonoscopy items 32090 or 32093 with oesophagoscopy item 30473</w:t>
      </w:r>
      <w:r>
        <w:rPr>
          <w:noProof/>
        </w:rPr>
        <w:tab/>
      </w:r>
      <w:r>
        <w:rPr>
          <w:noProof/>
        </w:rPr>
        <w:fldChar w:fldCharType="begin"/>
      </w:r>
      <w:r>
        <w:rPr>
          <w:noProof/>
        </w:rPr>
        <w:instrText xml:space="preserve"> PAGEREF _Toc458527784 \h </w:instrText>
      </w:r>
      <w:r>
        <w:rPr>
          <w:noProof/>
        </w:rPr>
      </w:r>
      <w:r>
        <w:rPr>
          <w:noProof/>
        </w:rPr>
        <w:fldChar w:fldCharType="separate"/>
      </w:r>
      <w:r w:rsidR="00A1715D">
        <w:rPr>
          <w:noProof/>
        </w:rPr>
        <w:t>35</w:t>
      </w:r>
      <w:r>
        <w:rPr>
          <w:noProof/>
        </w:rPr>
        <w:fldChar w:fldCharType="end"/>
      </w:r>
    </w:p>
    <w:p w14:paraId="3779B562" w14:textId="77777777" w:rsidR="00450F5F" w:rsidRDefault="00450F5F">
      <w:pPr>
        <w:pStyle w:val="TableofFigures"/>
        <w:tabs>
          <w:tab w:val="left" w:pos="880"/>
          <w:tab w:val="right" w:leader="dot" w:pos="9016"/>
        </w:tabs>
        <w:rPr>
          <w:rFonts w:eastAsiaTheme="minorEastAsia" w:cstheme="minorBidi"/>
          <w:noProof/>
          <w:sz w:val="22"/>
          <w:szCs w:val="22"/>
        </w:rPr>
      </w:pPr>
      <w:r>
        <w:rPr>
          <w:noProof/>
        </w:rPr>
        <w:t>Table 9:</w:t>
      </w:r>
      <w:r>
        <w:rPr>
          <w:rFonts w:eastAsiaTheme="minorEastAsia" w:cstheme="minorBidi"/>
          <w:noProof/>
          <w:sz w:val="22"/>
          <w:szCs w:val="22"/>
        </w:rPr>
        <w:tab/>
      </w:r>
      <w:r>
        <w:rPr>
          <w:noProof/>
        </w:rPr>
        <w:t>MBS item 11820 for Capsule Endoscopy utilisation data</w:t>
      </w:r>
      <w:r>
        <w:rPr>
          <w:noProof/>
        </w:rPr>
        <w:tab/>
      </w:r>
      <w:r>
        <w:rPr>
          <w:noProof/>
        </w:rPr>
        <w:fldChar w:fldCharType="begin"/>
      </w:r>
      <w:r>
        <w:rPr>
          <w:noProof/>
        </w:rPr>
        <w:instrText xml:space="preserve"> PAGEREF _Toc458527785 \h </w:instrText>
      </w:r>
      <w:r>
        <w:rPr>
          <w:noProof/>
        </w:rPr>
      </w:r>
      <w:r>
        <w:rPr>
          <w:noProof/>
        </w:rPr>
        <w:fldChar w:fldCharType="separate"/>
      </w:r>
      <w:r w:rsidR="00A1715D">
        <w:rPr>
          <w:noProof/>
        </w:rPr>
        <w:t>39</w:t>
      </w:r>
      <w:r>
        <w:rPr>
          <w:noProof/>
        </w:rPr>
        <w:fldChar w:fldCharType="end"/>
      </w:r>
    </w:p>
    <w:p w14:paraId="53303203" w14:textId="77777777" w:rsidR="00450F5F" w:rsidRDefault="00450F5F">
      <w:pPr>
        <w:pStyle w:val="TableofFigures"/>
        <w:tabs>
          <w:tab w:val="left" w:pos="1100"/>
          <w:tab w:val="right" w:leader="dot" w:pos="9016"/>
        </w:tabs>
        <w:rPr>
          <w:rFonts w:eastAsiaTheme="minorEastAsia" w:cstheme="minorBidi"/>
          <w:noProof/>
          <w:sz w:val="22"/>
          <w:szCs w:val="22"/>
        </w:rPr>
      </w:pPr>
      <w:r>
        <w:rPr>
          <w:noProof/>
        </w:rPr>
        <w:t>Table 10:</w:t>
      </w:r>
      <w:r>
        <w:rPr>
          <w:rFonts w:eastAsiaTheme="minorEastAsia" w:cstheme="minorBidi"/>
          <w:noProof/>
          <w:sz w:val="22"/>
          <w:szCs w:val="22"/>
        </w:rPr>
        <w:tab/>
      </w:r>
      <w:r>
        <w:rPr>
          <w:noProof/>
        </w:rPr>
        <w:t>Component cost for capsule endoscopy in 2003 and 2016</w:t>
      </w:r>
      <w:r>
        <w:rPr>
          <w:noProof/>
        </w:rPr>
        <w:tab/>
      </w:r>
      <w:r>
        <w:rPr>
          <w:noProof/>
        </w:rPr>
        <w:fldChar w:fldCharType="begin"/>
      </w:r>
      <w:r>
        <w:rPr>
          <w:noProof/>
        </w:rPr>
        <w:instrText xml:space="preserve"> PAGEREF _Toc458527786 \h </w:instrText>
      </w:r>
      <w:r>
        <w:rPr>
          <w:noProof/>
        </w:rPr>
      </w:r>
      <w:r>
        <w:rPr>
          <w:noProof/>
        </w:rPr>
        <w:fldChar w:fldCharType="separate"/>
      </w:r>
      <w:r w:rsidR="00A1715D">
        <w:rPr>
          <w:noProof/>
        </w:rPr>
        <w:t>40</w:t>
      </w:r>
      <w:r>
        <w:rPr>
          <w:noProof/>
        </w:rPr>
        <w:fldChar w:fldCharType="end"/>
      </w:r>
    </w:p>
    <w:p w14:paraId="7AFB8CE1" w14:textId="77777777" w:rsidR="00450F5F" w:rsidRDefault="00450F5F">
      <w:pPr>
        <w:pStyle w:val="TableofFigures"/>
        <w:tabs>
          <w:tab w:val="left" w:pos="1100"/>
          <w:tab w:val="right" w:leader="dot" w:pos="9016"/>
        </w:tabs>
        <w:rPr>
          <w:rFonts w:eastAsiaTheme="minorEastAsia" w:cstheme="minorBidi"/>
          <w:noProof/>
          <w:sz w:val="22"/>
          <w:szCs w:val="22"/>
        </w:rPr>
      </w:pPr>
      <w:r>
        <w:rPr>
          <w:noProof/>
        </w:rPr>
        <w:t>Table 11:</w:t>
      </w:r>
      <w:r>
        <w:rPr>
          <w:rFonts w:eastAsiaTheme="minorEastAsia" w:cstheme="minorBidi"/>
          <w:noProof/>
          <w:sz w:val="22"/>
          <w:szCs w:val="22"/>
        </w:rPr>
        <w:tab/>
      </w:r>
      <w:r>
        <w:rPr>
          <w:noProof/>
        </w:rPr>
        <w:t>Current MBS descriptor for capsule endoscopy item 11820</w:t>
      </w:r>
      <w:r>
        <w:rPr>
          <w:noProof/>
        </w:rPr>
        <w:tab/>
      </w:r>
      <w:r>
        <w:rPr>
          <w:noProof/>
        </w:rPr>
        <w:fldChar w:fldCharType="begin"/>
      </w:r>
      <w:r>
        <w:rPr>
          <w:noProof/>
        </w:rPr>
        <w:instrText xml:space="preserve"> PAGEREF _Toc458527787 \h </w:instrText>
      </w:r>
      <w:r>
        <w:rPr>
          <w:noProof/>
        </w:rPr>
      </w:r>
      <w:r>
        <w:rPr>
          <w:noProof/>
        </w:rPr>
        <w:fldChar w:fldCharType="separate"/>
      </w:r>
      <w:r w:rsidR="00A1715D">
        <w:rPr>
          <w:noProof/>
        </w:rPr>
        <w:t>41</w:t>
      </w:r>
      <w:r>
        <w:rPr>
          <w:noProof/>
        </w:rPr>
        <w:fldChar w:fldCharType="end"/>
      </w:r>
    </w:p>
    <w:p w14:paraId="1F58943E" w14:textId="77777777" w:rsidR="00450F5F" w:rsidRDefault="00450F5F">
      <w:pPr>
        <w:pStyle w:val="TableofFigures"/>
        <w:tabs>
          <w:tab w:val="left" w:pos="1100"/>
          <w:tab w:val="right" w:leader="dot" w:pos="9016"/>
        </w:tabs>
        <w:rPr>
          <w:rFonts w:eastAsiaTheme="minorEastAsia" w:cstheme="minorBidi"/>
          <w:noProof/>
          <w:sz w:val="22"/>
          <w:szCs w:val="22"/>
        </w:rPr>
      </w:pPr>
      <w:r>
        <w:rPr>
          <w:noProof/>
        </w:rPr>
        <w:t>Table 12:</w:t>
      </w:r>
      <w:r>
        <w:rPr>
          <w:rFonts w:eastAsiaTheme="minorEastAsia" w:cstheme="minorBidi"/>
          <w:noProof/>
          <w:sz w:val="22"/>
          <w:szCs w:val="22"/>
        </w:rPr>
        <w:tab/>
      </w:r>
      <w:r>
        <w:rPr>
          <w:noProof/>
        </w:rPr>
        <w:t>Proposed MBS descriptor for capsule endoscopy item 11820</w:t>
      </w:r>
      <w:r>
        <w:rPr>
          <w:noProof/>
        </w:rPr>
        <w:tab/>
      </w:r>
      <w:r>
        <w:rPr>
          <w:noProof/>
        </w:rPr>
        <w:fldChar w:fldCharType="begin"/>
      </w:r>
      <w:r>
        <w:rPr>
          <w:noProof/>
        </w:rPr>
        <w:instrText xml:space="preserve"> PAGEREF _Toc458527788 \h </w:instrText>
      </w:r>
      <w:r>
        <w:rPr>
          <w:noProof/>
        </w:rPr>
      </w:r>
      <w:r>
        <w:rPr>
          <w:noProof/>
        </w:rPr>
        <w:fldChar w:fldCharType="separate"/>
      </w:r>
      <w:r w:rsidR="00A1715D">
        <w:rPr>
          <w:noProof/>
        </w:rPr>
        <w:t>41</w:t>
      </w:r>
      <w:r>
        <w:rPr>
          <w:noProof/>
        </w:rPr>
        <w:fldChar w:fldCharType="end"/>
      </w:r>
    </w:p>
    <w:p w14:paraId="243BD5C8" w14:textId="77777777" w:rsidR="00450F5F" w:rsidRDefault="00450F5F">
      <w:pPr>
        <w:pStyle w:val="TableofFigures"/>
        <w:tabs>
          <w:tab w:val="left" w:pos="1100"/>
          <w:tab w:val="right" w:leader="dot" w:pos="9016"/>
        </w:tabs>
        <w:rPr>
          <w:rFonts w:eastAsiaTheme="minorEastAsia" w:cstheme="minorBidi"/>
          <w:noProof/>
          <w:sz w:val="22"/>
          <w:szCs w:val="22"/>
        </w:rPr>
      </w:pPr>
      <w:r>
        <w:rPr>
          <w:noProof/>
        </w:rPr>
        <w:t>Table 13:</w:t>
      </w:r>
      <w:r>
        <w:rPr>
          <w:rFonts w:eastAsiaTheme="minorEastAsia" w:cstheme="minorBidi"/>
          <w:noProof/>
          <w:sz w:val="22"/>
          <w:szCs w:val="22"/>
        </w:rPr>
        <w:tab/>
      </w:r>
      <w:r>
        <w:rPr>
          <w:noProof/>
        </w:rPr>
        <w:t>Data on repeat service (item 30473) per patient 2008-09 to 2014-15</w:t>
      </w:r>
      <w:r>
        <w:rPr>
          <w:noProof/>
        </w:rPr>
        <w:tab/>
      </w:r>
      <w:r>
        <w:rPr>
          <w:noProof/>
        </w:rPr>
        <w:fldChar w:fldCharType="begin"/>
      </w:r>
      <w:r>
        <w:rPr>
          <w:noProof/>
        </w:rPr>
        <w:instrText xml:space="preserve"> PAGEREF _Toc458527789 \h </w:instrText>
      </w:r>
      <w:r>
        <w:rPr>
          <w:noProof/>
        </w:rPr>
      </w:r>
      <w:r>
        <w:rPr>
          <w:noProof/>
        </w:rPr>
        <w:fldChar w:fldCharType="separate"/>
      </w:r>
      <w:r w:rsidR="00A1715D">
        <w:rPr>
          <w:noProof/>
        </w:rPr>
        <w:t>43</w:t>
      </w:r>
      <w:r>
        <w:rPr>
          <w:noProof/>
        </w:rPr>
        <w:fldChar w:fldCharType="end"/>
      </w:r>
    </w:p>
    <w:p w14:paraId="26852988" w14:textId="77777777" w:rsidR="00450F5F" w:rsidRDefault="00450F5F">
      <w:pPr>
        <w:pStyle w:val="TableofFigures"/>
        <w:tabs>
          <w:tab w:val="left" w:pos="1100"/>
          <w:tab w:val="right" w:leader="dot" w:pos="9016"/>
        </w:tabs>
        <w:rPr>
          <w:rFonts w:eastAsiaTheme="minorEastAsia" w:cstheme="minorBidi"/>
          <w:noProof/>
          <w:sz w:val="22"/>
          <w:szCs w:val="22"/>
        </w:rPr>
      </w:pPr>
      <w:r>
        <w:rPr>
          <w:noProof/>
        </w:rPr>
        <w:t>Table 14:</w:t>
      </w:r>
      <w:r>
        <w:rPr>
          <w:rFonts w:eastAsiaTheme="minorEastAsia" w:cstheme="minorBidi"/>
          <w:noProof/>
          <w:sz w:val="22"/>
          <w:szCs w:val="22"/>
        </w:rPr>
        <w:tab/>
      </w:r>
      <w:r>
        <w:rPr>
          <w:noProof/>
        </w:rPr>
        <w:t>Current MBS upper GI endoscopy items</w:t>
      </w:r>
      <w:r>
        <w:rPr>
          <w:noProof/>
        </w:rPr>
        <w:tab/>
      </w:r>
      <w:r>
        <w:rPr>
          <w:noProof/>
        </w:rPr>
        <w:fldChar w:fldCharType="begin"/>
      </w:r>
      <w:r>
        <w:rPr>
          <w:noProof/>
        </w:rPr>
        <w:instrText xml:space="preserve"> PAGEREF _Toc458527790 \h </w:instrText>
      </w:r>
      <w:r>
        <w:rPr>
          <w:noProof/>
        </w:rPr>
      </w:r>
      <w:r>
        <w:rPr>
          <w:noProof/>
        </w:rPr>
        <w:fldChar w:fldCharType="separate"/>
      </w:r>
      <w:r w:rsidR="00A1715D">
        <w:rPr>
          <w:noProof/>
        </w:rPr>
        <w:t>44</w:t>
      </w:r>
      <w:r>
        <w:rPr>
          <w:noProof/>
        </w:rPr>
        <w:fldChar w:fldCharType="end"/>
      </w:r>
    </w:p>
    <w:p w14:paraId="5D971202" w14:textId="77777777" w:rsidR="00450F5F" w:rsidRDefault="00450F5F">
      <w:pPr>
        <w:pStyle w:val="TableofFigures"/>
        <w:tabs>
          <w:tab w:val="left" w:pos="1100"/>
          <w:tab w:val="right" w:leader="dot" w:pos="9016"/>
        </w:tabs>
        <w:rPr>
          <w:rFonts w:eastAsiaTheme="minorEastAsia" w:cstheme="minorBidi"/>
          <w:noProof/>
          <w:sz w:val="22"/>
          <w:szCs w:val="22"/>
        </w:rPr>
      </w:pPr>
      <w:r>
        <w:rPr>
          <w:noProof/>
        </w:rPr>
        <w:t>Table 15:</w:t>
      </w:r>
      <w:r>
        <w:rPr>
          <w:rFonts w:eastAsiaTheme="minorEastAsia" w:cstheme="minorBidi"/>
          <w:noProof/>
          <w:sz w:val="22"/>
          <w:szCs w:val="22"/>
        </w:rPr>
        <w:tab/>
      </w:r>
      <w:r>
        <w:rPr>
          <w:noProof/>
        </w:rPr>
        <w:t>Proposed restructure of MBS upper GI endoscopy items</w:t>
      </w:r>
      <w:r>
        <w:rPr>
          <w:noProof/>
        </w:rPr>
        <w:tab/>
      </w:r>
      <w:r>
        <w:rPr>
          <w:noProof/>
        </w:rPr>
        <w:fldChar w:fldCharType="begin"/>
      </w:r>
      <w:r>
        <w:rPr>
          <w:noProof/>
        </w:rPr>
        <w:instrText xml:space="preserve"> PAGEREF _Toc458527791 \h </w:instrText>
      </w:r>
      <w:r>
        <w:rPr>
          <w:noProof/>
        </w:rPr>
      </w:r>
      <w:r>
        <w:rPr>
          <w:noProof/>
        </w:rPr>
        <w:fldChar w:fldCharType="separate"/>
      </w:r>
      <w:r w:rsidR="00A1715D">
        <w:rPr>
          <w:noProof/>
        </w:rPr>
        <w:t>46</w:t>
      </w:r>
      <w:r>
        <w:rPr>
          <w:noProof/>
        </w:rPr>
        <w:fldChar w:fldCharType="end"/>
      </w:r>
    </w:p>
    <w:p w14:paraId="079ABB22" w14:textId="77777777" w:rsidR="00450F5F" w:rsidRDefault="00450F5F">
      <w:pPr>
        <w:pStyle w:val="TableofFigures"/>
        <w:tabs>
          <w:tab w:val="left" w:pos="1100"/>
          <w:tab w:val="right" w:leader="dot" w:pos="9016"/>
        </w:tabs>
        <w:rPr>
          <w:rFonts w:eastAsiaTheme="minorEastAsia" w:cstheme="minorBidi"/>
          <w:noProof/>
          <w:sz w:val="22"/>
          <w:szCs w:val="22"/>
        </w:rPr>
      </w:pPr>
      <w:r>
        <w:rPr>
          <w:noProof/>
        </w:rPr>
        <w:t>Table 16:</w:t>
      </w:r>
      <w:r>
        <w:rPr>
          <w:rFonts w:eastAsiaTheme="minorEastAsia" w:cstheme="minorBidi"/>
          <w:noProof/>
          <w:sz w:val="22"/>
          <w:szCs w:val="22"/>
        </w:rPr>
        <w:tab/>
      </w:r>
      <w:r>
        <w:rPr>
          <w:noProof/>
        </w:rPr>
        <w:t>Current endoscopic upper GI stricture items</w:t>
      </w:r>
      <w:r>
        <w:rPr>
          <w:noProof/>
        </w:rPr>
        <w:tab/>
      </w:r>
      <w:r>
        <w:rPr>
          <w:noProof/>
        </w:rPr>
        <w:fldChar w:fldCharType="begin"/>
      </w:r>
      <w:r>
        <w:rPr>
          <w:noProof/>
        </w:rPr>
        <w:instrText xml:space="preserve"> PAGEREF _Toc458527792 \h </w:instrText>
      </w:r>
      <w:r>
        <w:rPr>
          <w:noProof/>
        </w:rPr>
      </w:r>
      <w:r>
        <w:rPr>
          <w:noProof/>
        </w:rPr>
        <w:fldChar w:fldCharType="separate"/>
      </w:r>
      <w:r w:rsidR="00A1715D">
        <w:rPr>
          <w:noProof/>
        </w:rPr>
        <w:t>49</w:t>
      </w:r>
      <w:r>
        <w:rPr>
          <w:noProof/>
        </w:rPr>
        <w:fldChar w:fldCharType="end"/>
      </w:r>
    </w:p>
    <w:p w14:paraId="5609CA1D" w14:textId="77777777" w:rsidR="00450F5F" w:rsidRDefault="00450F5F">
      <w:pPr>
        <w:pStyle w:val="TableofFigures"/>
        <w:tabs>
          <w:tab w:val="left" w:pos="1100"/>
          <w:tab w:val="right" w:leader="dot" w:pos="9016"/>
        </w:tabs>
        <w:rPr>
          <w:rFonts w:eastAsiaTheme="minorEastAsia" w:cstheme="minorBidi"/>
          <w:noProof/>
          <w:sz w:val="22"/>
          <w:szCs w:val="22"/>
        </w:rPr>
      </w:pPr>
      <w:r>
        <w:rPr>
          <w:noProof/>
        </w:rPr>
        <w:t>Table 17:</w:t>
      </w:r>
      <w:r>
        <w:rPr>
          <w:rFonts w:eastAsiaTheme="minorEastAsia" w:cstheme="minorBidi"/>
          <w:noProof/>
          <w:sz w:val="22"/>
          <w:szCs w:val="22"/>
        </w:rPr>
        <w:tab/>
      </w:r>
      <w:r>
        <w:rPr>
          <w:noProof/>
        </w:rPr>
        <w:t>Proposed endoscopic upper GI stricture items</w:t>
      </w:r>
      <w:r>
        <w:rPr>
          <w:noProof/>
        </w:rPr>
        <w:tab/>
      </w:r>
      <w:r>
        <w:rPr>
          <w:noProof/>
        </w:rPr>
        <w:fldChar w:fldCharType="begin"/>
      </w:r>
      <w:r>
        <w:rPr>
          <w:noProof/>
        </w:rPr>
        <w:instrText xml:space="preserve"> PAGEREF _Toc458527793 \h </w:instrText>
      </w:r>
      <w:r>
        <w:rPr>
          <w:noProof/>
        </w:rPr>
      </w:r>
      <w:r>
        <w:rPr>
          <w:noProof/>
        </w:rPr>
        <w:fldChar w:fldCharType="separate"/>
      </w:r>
      <w:r w:rsidR="00A1715D">
        <w:rPr>
          <w:noProof/>
        </w:rPr>
        <w:t>49</w:t>
      </w:r>
      <w:r>
        <w:rPr>
          <w:noProof/>
        </w:rPr>
        <w:fldChar w:fldCharType="end"/>
      </w:r>
    </w:p>
    <w:p w14:paraId="509B8E4E" w14:textId="77777777" w:rsidR="00450F5F" w:rsidRDefault="00450F5F">
      <w:pPr>
        <w:pStyle w:val="TableofFigures"/>
        <w:tabs>
          <w:tab w:val="left" w:pos="1100"/>
          <w:tab w:val="right" w:leader="dot" w:pos="9016"/>
        </w:tabs>
        <w:rPr>
          <w:rFonts w:eastAsiaTheme="minorEastAsia" w:cstheme="minorBidi"/>
          <w:noProof/>
          <w:sz w:val="22"/>
          <w:szCs w:val="22"/>
        </w:rPr>
      </w:pPr>
      <w:r>
        <w:rPr>
          <w:noProof/>
        </w:rPr>
        <w:t>Table 18:</w:t>
      </w:r>
      <w:r>
        <w:rPr>
          <w:rFonts w:eastAsiaTheme="minorEastAsia" w:cstheme="minorBidi"/>
          <w:noProof/>
          <w:sz w:val="22"/>
          <w:szCs w:val="22"/>
        </w:rPr>
        <w:tab/>
      </w:r>
      <w:r>
        <w:rPr>
          <w:noProof/>
        </w:rPr>
        <w:t>Co-claiming of items 32090, 32093, 32084 and 32087 (5 year data) 2010-11 to 2014-15</w:t>
      </w:r>
      <w:r>
        <w:rPr>
          <w:noProof/>
        </w:rPr>
        <w:tab/>
      </w:r>
      <w:r>
        <w:rPr>
          <w:noProof/>
        </w:rPr>
        <w:fldChar w:fldCharType="begin"/>
      </w:r>
      <w:r>
        <w:rPr>
          <w:noProof/>
        </w:rPr>
        <w:instrText xml:space="preserve"> PAGEREF _Toc458527794 \h </w:instrText>
      </w:r>
      <w:r>
        <w:rPr>
          <w:noProof/>
        </w:rPr>
      </w:r>
      <w:r>
        <w:rPr>
          <w:noProof/>
        </w:rPr>
        <w:fldChar w:fldCharType="separate"/>
      </w:r>
      <w:r w:rsidR="00A1715D">
        <w:rPr>
          <w:noProof/>
        </w:rPr>
        <w:t>50</w:t>
      </w:r>
      <w:r>
        <w:rPr>
          <w:noProof/>
        </w:rPr>
        <w:fldChar w:fldCharType="end"/>
      </w:r>
    </w:p>
    <w:p w14:paraId="7AAF2305" w14:textId="77777777" w:rsidR="00450F5F" w:rsidRDefault="00450F5F">
      <w:pPr>
        <w:pStyle w:val="TableofFigures"/>
        <w:tabs>
          <w:tab w:val="left" w:pos="1100"/>
          <w:tab w:val="right" w:leader="dot" w:pos="9016"/>
        </w:tabs>
        <w:rPr>
          <w:rFonts w:eastAsiaTheme="minorEastAsia" w:cstheme="minorBidi"/>
          <w:noProof/>
          <w:sz w:val="22"/>
          <w:szCs w:val="22"/>
        </w:rPr>
      </w:pPr>
      <w:r>
        <w:rPr>
          <w:noProof/>
        </w:rPr>
        <w:t>Table 19:</w:t>
      </w:r>
      <w:r>
        <w:rPr>
          <w:rFonts w:eastAsiaTheme="minorEastAsia" w:cstheme="minorBidi"/>
          <w:noProof/>
          <w:sz w:val="22"/>
          <w:szCs w:val="22"/>
        </w:rPr>
        <w:tab/>
      </w:r>
      <w:r>
        <w:rPr>
          <w:noProof/>
        </w:rPr>
        <w:t>Current MBS descriptors for sigmoidoscopy and colonoscopy items 32084 &amp; 32087</w:t>
      </w:r>
      <w:r>
        <w:rPr>
          <w:noProof/>
        </w:rPr>
        <w:tab/>
      </w:r>
      <w:r>
        <w:rPr>
          <w:noProof/>
        </w:rPr>
        <w:fldChar w:fldCharType="begin"/>
      </w:r>
      <w:r>
        <w:rPr>
          <w:noProof/>
        </w:rPr>
        <w:instrText xml:space="preserve"> PAGEREF _Toc458527795 \h </w:instrText>
      </w:r>
      <w:r>
        <w:rPr>
          <w:noProof/>
        </w:rPr>
      </w:r>
      <w:r>
        <w:rPr>
          <w:noProof/>
        </w:rPr>
        <w:fldChar w:fldCharType="separate"/>
      </w:r>
      <w:r w:rsidR="00A1715D">
        <w:rPr>
          <w:noProof/>
        </w:rPr>
        <w:t>51</w:t>
      </w:r>
      <w:r>
        <w:rPr>
          <w:noProof/>
        </w:rPr>
        <w:fldChar w:fldCharType="end"/>
      </w:r>
    </w:p>
    <w:p w14:paraId="2BDF6B1B" w14:textId="77777777" w:rsidR="00450F5F" w:rsidRDefault="00450F5F">
      <w:pPr>
        <w:pStyle w:val="TableofFigures"/>
        <w:tabs>
          <w:tab w:val="left" w:pos="1100"/>
          <w:tab w:val="right" w:leader="dot" w:pos="9016"/>
        </w:tabs>
        <w:rPr>
          <w:rFonts w:eastAsiaTheme="minorEastAsia" w:cstheme="minorBidi"/>
          <w:noProof/>
          <w:sz w:val="22"/>
          <w:szCs w:val="22"/>
        </w:rPr>
      </w:pPr>
      <w:r>
        <w:rPr>
          <w:noProof/>
        </w:rPr>
        <w:t>Table 20:</w:t>
      </w:r>
      <w:r>
        <w:rPr>
          <w:rFonts w:eastAsiaTheme="minorEastAsia" w:cstheme="minorBidi"/>
          <w:noProof/>
          <w:sz w:val="22"/>
          <w:szCs w:val="22"/>
        </w:rPr>
        <w:tab/>
      </w:r>
      <w:r>
        <w:rPr>
          <w:noProof/>
        </w:rPr>
        <w:t>Proposed MBS descriptors for sigmoidoscopy and colonoscopy items 32084 &amp; 32087</w:t>
      </w:r>
      <w:r>
        <w:rPr>
          <w:noProof/>
        </w:rPr>
        <w:tab/>
      </w:r>
      <w:r>
        <w:rPr>
          <w:noProof/>
        </w:rPr>
        <w:fldChar w:fldCharType="begin"/>
      </w:r>
      <w:r>
        <w:rPr>
          <w:noProof/>
        </w:rPr>
        <w:instrText xml:space="preserve"> PAGEREF _Toc458527796 \h </w:instrText>
      </w:r>
      <w:r>
        <w:rPr>
          <w:noProof/>
        </w:rPr>
      </w:r>
      <w:r>
        <w:rPr>
          <w:noProof/>
        </w:rPr>
        <w:fldChar w:fldCharType="separate"/>
      </w:r>
      <w:r w:rsidR="00A1715D">
        <w:rPr>
          <w:noProof/>
        </w:rPr>
        <w:t>52</w:t>
      </w:r>
      <w:r>
        <w:rPr>
          <w:noProof/>
        </w:rPr>
        <w:fldChar w:fldCharType="end"/>
      </w:r>
    </w:p>
    <w:p w14:paraId="351CC10D" w14:textId="77777777" w:rsidR="00450F5F" w:rsidRDefault="00450F5F">
      <w:pPr>
        <w:pStyle w:val="TableofFigures"/>
        <w:tabs>
          <w:tab w:val="left" w:pos="1100"/>
          <w:tab w:val="right" w:leader="dot" w:pos="9016"/>
        </w:tabs>
        <w:rPr>
          <w:rFonts w:eastAsiaTheme="minorEastAsia" w:cstheme="minorBidi"/>
          <w:noProof/>
          <w:sz w:val="22"/>
          <w:szCs w:val="22"/>
        </w:rPr>
      </w:pPr>
      <w:r>
        <w:rPr>
          <w:noProof/>
        </w:rPr>
        <w:t>Table 21:</w:t>
      </w:r>
      <w:r>
        <w:rPr>
          <w:rFonts w:eastAsiaTheme="minorEastAsia" w:cstheme="minorBidi"/>
          <w:noProof/>
          <w:sz w:val="22"/>
          <w:szCs w:val="22"/>
        </w:rPr>
        <w:tab/>
      </w:r>
      <w:r>
        <w:rPr>
          <w:noProof/>
        </w:rPr>
        <w:t>Current Endoscopic Ultrasound items</w:t>
      </w:r>
      <w:r>
        <w:rPr>
          <w:noProof/>
        </w:rPr>
        <w:tab/>
      </w:r>
      <w:r>
        <w:rPr>
          <w:noProof/>
        </w:rPr>
        <w:fldChar w:fldCharType="begin"/>
      </w:r>
      <w:r>
        <w:rPr>
          <w:noProof/>
        </w:rPr>
        <w:instrText xml:space="preserve"> PAGEREF _Toc458527797 \h </w:instrText>
      </w:r>
      <w:r>
        <w:rPr>
          <w:noProof/>
        </w:rPr>
      </w:r>
      <w:r>
        <w:rPr>
          <w:noProof/>
        </w:rPr>
        <w:fldChar w:fldCharType="separate"/>
      </w:r>
      <w:r w:rsidR="00A1715D">
        <w:rPr>
          <w:noProof/>
        </w:rPr>
        <w:t>53</w:t>
      </w:r>
      <w:r>
        <w:rPr>
          <w:noProof/>
        </w:rPr>
        <w:fldChar w:fldCharType="end"/>
      </w:r>
    </w:p>
    <w:p w14:paraId="2B26EC30" w14:textId="77777777" w:rsidR="00450F5F" w:rsidRDefault="00450F5F">
      <w:pPr>
        <w:pStyle w:val="TableofFigures"/>
        <w:tabs>
          <w:tab w:val="left" w:pos="1100"/>
          <w:tab w:val="right" w:leader="dot" w:pos="9016"/>
        </w:tabs>
        <w:rPr>
          <w:rFonts w:eastAsiaTheme="minorEastAsia" w:cstheme="minorBidi"/>
          <w:noProof/>
          <w:sz w:val="22"/>
          <w:szCs w:val="22"/>
        </w:rPr>
      </w:pPr>
      <w:r>
        <w:rPr>
          <w:noProof/>
        </w:rPr>
        <w:t>Table 22:</w:t>
      </w:r>
      <w:r>
        <w:rPr>
          <w:rFonts w:eastAsiaTheme="minorEastAsia" w:cstheme="minorBidi"/>
          <w:noProof/>
          <w:sz w:val="22"/>
          <w:szCs w:val="22"/>
        </w:rPr>
        <w:tab/>
      </w:r>
      <w:r>
        <w:rPr>
          <w:noProof/>
        </w:rPr>
        <w:t xml:space="preserve"> Subsequent gastroenterology services (items 30484, 30485, 30494) performed on patients in the month preceding Endoscopic Ultrasound items 30688 to 30696</w:t>
      </w:r>
      <w:r>
        <w:rPr>
          <w:noProof/>
        </w:rPr>
        <w:tab/>
      </w:r>
      <w:r>
        <w:rPr>
          <w:noProof/>
        </w:rPr>
        <w:fldChar w:fldCharType="begin"/>
      </w:r>
      <w:r>
        <w:rPr>
          <w:noProof/>
        </w:rPr>
        <w:instrText xml:space="preserve"> PAGEREF _Toc458527798 \h </w:instrText>
      </w:r>
      <w:r>
        <w:rPr>
          <w:noProof/>
        </w:rPr>
      </w:r>
      <w:r>
        <w:rPr>
          <w:noProof/>
        </w:rPr>
        <w:fldChar w:fldCharType="separate"/>
      </w:r>
      <w:r w:rsidR="00A1715D">
        <w:rPr>
          <w:noProof/>
        </w:rPr>
        <w:t>54</w:t>
      </w:r>
      <w:r>
        <w:rPr>
          <w:noProof/>
        </w:rPr>
        <w:fldChar w:fldCharType="end"/>
      </w:r>
    </w:p>
    <w:p w14:paraId="0F3FA676" w14:textId="77777777" w:rsidR="00450F5F" w:rsidRDefault="00450F5F">
      <w:pPr>
        <w:pStyle w:val="TableofFigures"/>
        <w:tabs>
          <w:tab w:val="left" w:pos="1100"/>
          <w:tab w:val="right" w:leader="dot" w:pos="9016"/>
        </w:tabs>
        <w:rPr>
          <w:rFonts w:eastAsiaTheme="minorEastAsia" w:cstheme="minorBidi"/>
          <w:noProof/>
          <w:sz w:val="22"/>
          <w:szCs w:val="22"/>
        </w:rPr>
      </w:pPr>
      <w:r>
        <w:rPr>
          <w:noProof/>
        </w:rPr>
        <w:t>Table 23:</w:t>
      </w:r>
      <w:r>
        <w:rPr>
          <w:rFonts w:eastAsiaTheme="minorEastAsia" w:cstheme="minorBidi"/>
          <w:noProof/>
          <w:sz w:val="22"/>
          <w:szCs w:val="22"/>
        </w:rPr>
        <w:tab/>
      </w:r>
      <w:r>
        <w:rPr>
          <w:noProof/>
        </w:rPr>
        <w:t>Current Balloon Enteroscopy items</w:t>
      </w:r>
      <w:r>
        <w:rPr>
          <w:noProof/>
        </w:rPr>
        <w:tab/>
      </w:r>
      <w:r>
        <w:rPr>
          <w:noProof/>
        </w:rPr>
        <w:fldChar w:fldCharType="begin"/>
      </w:r>
      <w:r>
        <w:rPr>
          <w:noProof/>
        </w:rPr>
        <w:instrText xml:space="preserve"> PAGEREF _Toc458527799 \h </w:instrText>
      </w:r>
      <w:r>
        <w:rPr>
          <w:noProof/>
        </w:rPr>
      </w:r>
      <w:r>
        <w:rPr>
          <w:noProof/>
        </w:rPr>
        <w:fldChar w:fldCharType="separate"/>
      </w:r>
      <w:r w:rsidR="00A1715D">
        <w:rPr>
          <w:noProof/>
        </w:rPr>
        <w:t>55</w:t>
      </w:r>
      <w:r>
        <w:rPr>
          <w:noProof/>
        </w:rPr>
        <w:fldChar w:fldCharType="end"/>
      </w:r>
    </w:p>
    <w:p w14:paraId="17E1B91D" w14:textId="77777777" w:rsidR="00450F5F" w:rsidRDefault="00450F5F">
      <w:pPr>
        <w:pStyle w:val="TableofFigures"/>
        <w:tabs>
          <w:tab w:val="left" w:pos="1100"/>
          <w:tab w:val="right" w:leader="dot" w:pos="9016"/>
        </w:tabs>
        <w:rPr>
          <w:rFonts w:eastAsiaTheme="minorEastAsia" w:cstheme="minorBidi"/>
          <w:noProof/>
          <w:sz w:val="22"/>
          <w:szCs w:val="22"/>
        </w:rPr>
      </w:pPr>
      <w:r>
        <w:rPr>
          <w:noProof/>
        </w:rPr>
        <w:t>Table 24:</w:t>
      </w:r>
      <w:r>
        <w:rPr>
          <w:rFonts w:eastAsiaTheme="minorEastAsia" w:cstheme="minorBidi"/>
          <w:noProof/>
          <w:sz w:val="22"/>
          <w:szCs w:val="22"/>
        </w:rPr>
        <w:tab/>
      </w:r>
      <w:r>
        <w:rPr>
          <w:noProof/>
        </w:rPr>
        <w:t>First round recommendations - obsolete items</w:t>
      </w:r>
      <w:r>
        <w:rPr>
          <w:noProof/>
        </w:rPr>
        <w:tab/>
      </w:r>
      <w:r>
        <w:rPr>
          <w:noProof/>
        </w:rPr>
        <w:fldChar w:fldCharType="begin"/>
      </w:r>
      <w:r>
        <w:rPr>
          <w:noProof/>
        </w:rPr>
        <w:instrText xml:space="preserve"> PAGEREF _Toc458527800 \h </w:instrText>
      </w:r>
      <w:r>
        <w:rPr>
          <w:noProof/>
        </w:rPr>
      </w:r>
      <w:r>
        <w:rPr>
          <w:noProof/>
        </w:rPr>
        <w:fldChar w:fldCharType="separate"/>
      </w:r>
      <w:r w:rsidR="00A1715D">
        <w:rPr>
          <w:noProof/>
        </w:rPr>
        <w:t>60</w:t>
      </w:r>
      <w:r>
        <w:rPr>
          <w:noProof/>
        </w:rPr>
        <w:fldChar w:fldCharType="end"/>
      </w:r>
    </w:p>
    <w:p w14:paraId="49874282" w14:textId="77777777" w:rsidR="00450F5F" w:rsidRDefault="00450F5F">
      <w:pPr>
        <w:pStyle w:val="TableofFigures"/>
        <w:tabs>
          <w:tab w:val="left" w:pos="1100"/>
          <w:tab w:val="right" w:leader="dot" w:pos="9016"/>
        </w:tabs>
        <w:rPr>
          <w:rFonts w:eastAsiaTheme="minorEastAsia" w:cstheme="minorBidi"/>
          <w:noProof/>
          <w:sz w:val="22"/>
          <w:szCs w:val="22"/>
        </w:rPr>
      </w:pPr>
      <w:r>
        <w:rPr>
          <w:noProof/>
        </w:rPr>
        <w:t>Table 25:</w:t>
      </w:r>
      <w:r>
        <w:rPr>
          <w:rFonts w:eastAsiaTheme="minorEastAsia" w:cstheme="minorBidi"/>
          <w:noProof/>
          <w:sz w:val="22"/>
          <w:szCs w:val="22"/>
        </w:rPr>
        <w:tab/>
      </w:r>
      <w:r>
        <w:rPr>
          <w:noProof/>
        </w:rPr>
        <w:t>Second round recommendations - obsolete items</w:t>
      </w:r>
      <w:r>
        <w:rPr>
          <w:noProof/>
        </w:rPr>
        <w:tab/>
      </w:r>
      <w:r>
        <w:rPr>
          <w:noProof/>
        </w:rPr>
        <w:fldChar w:fldCharType="begin"/>
      </w:r>
      <w:r>
        <w:rPr>
          <w:noProof/>
        </w:rPr>
        <w:instrText xml:space="preserve"> PAGEREF _Toc458527801 \h </w:instrText>
      </w:r>
      <w:r>
        <w:rPr>
          <w:noProof/>
        </w:rPr>
      </w:r>
      <w:r>
        <w:rPr>
          <w:noProof/>
        </w:rPr>
        <w:fldChar w:fldCharType="separate"/>
      </w:r>
      <w:r w:rsidR="00A1715D">
        <w:rPr>
          <w:noProof/>
        </w:rPr>
        <w:t>61</w:t>
      </w:r>
      <w:r>
        <w:rPr>
          <w:noProof/>
        </w:rPr>
        <w:fldChar w:fldCharType="end"/>
      </w:r>
    </w:p>
    <w:p w14:paraId="395B74DF" w14:textId="510A6834" w:rsidR="00AB6E8A" w:rsidRDefault="00235035" w:rsidP="00A84D48">
      <w:pPr>
        <w:tabs>
          <w:tab w:val="left" w:pos="1134"/>
        </w:tabs>
        <w:spacing w:before="60"/>
        <w:ind w:left="993" w:hanging="993"/>
        <w:rPr>
          <w:b/>
          <w:bCs/>
          <w:noProof/>
          <w:color w:val="01653F"/>
          <w:sz w:val="32"/>
          <w:szCs w:val="32"/>
        </w:rPr>
      </w:pPr>
      <w:r w:rsidRPr="00AB6E8A">
        <w:rPr>
          <w:bCs/>
          <w:noProof/>
          <w:szCs w:val="22"/>
        </w:rPr>
        <w:fldChar w:fldCharType="end"/>
      </w:r>
      <w:r w:rsidR="00AB6E8A" w:rsidRPr="003B1222">
        <w:rPr>
          <w:b/>
          <w:bCs/>
          <w:noProof/>
          <w:color w:val="01653F"/>
          <w:sz w:val="32"/>
          <w:szCs w:val="32"/>
        </w:rPr>
        <w:t xml:space="preserve">List of </w:t>
      </w:r>
      <w:r w:rsidR="00AB6E8A">
        <w:rPr>
          <w:b/>
          <w:bCs/>
          <w:noProof/>
          <w:color w:val="01653F"/>
          <w:sz w:val="32"/>
          <w:szCs w:val="32"/>
        </w:rPr>
        <w:t>Figures</w:t>
      </w:r>
    </w:p>
    <w:p w14:paraId="0DFC0325" w14:textId="2EB8AE33" w:rsidR="00990889" w:rsidRDefault="00AB6E8A">
      <w:pPr>
        <w:pStyle w:val="TableofFigures"/>
        <w:tabs>
          <w:tab w:val="left" w:pos="1100"/>
          <w:tab w:val="right" w:leader="dot" w:pos="9016"/>
        </w:tabs>
        <w:rPr>
          <w:rFonts w:eastAsiaTheme="minorEastAsia" w:cstheme="minorBidi"/>
          <w:smallCaps/>
          <w:noProof/>
          <w:sz w:val="24"/>
          <w:szCs w:val="24"/>
          <w:lang w:val="en-US" w:eastAsia="en-US"/>
        </w:rPr>
      </w:pPr>
      <w:r>
        <w:rPr>
          <w:b/>
          <w:bCs/>
          <w:smallCaps/>
          <w:noProof/>
          <w:color w:val="01653F"/>
          <w:sz w:val="32"/>
          <w:szCs w:val="32"/>
        </w:rPr>
        <w:fldChar w:fldCharType="begin"/>
      </w:r>
      <w:r>
        <w:rPr>
          <w:b/>
          <w:bCs/>
          <w:noProof/>
          <w:color w:val="01653F"/>
          <w:sz w:val="32"/>
          <w:szCs w:val="32"/>
        </w:rPr>
        <w:instrText xml:space="preserve"> TOC \t "Caption Figure" \c </w:instrText>
      </w:r>
      <w:r>
        <w:rPr>
          <w:b/>
          <w:bCs/>
          <w:smallCaps/>
          <w:noProof/>
          <w:color w:val="01653F"/>
          <w:sz w:val="32"/>
          <w:szCs w:val="32"/>
        </w:rPr>
        <w:fldChar w:fldCharType="separate"/>
      </w:r>
      <w:r w:rsidR="00990889">
        <w:rPr>
          <w:noProof/>
        </w:rPr>
        <w:t xml:space="preserve">Figure 1: </w:t>
      </w:r>
      <w:r w:rsidR="00990889">
        <w:rPr>
          <w:rFonts w:eastAsiaTheme="minorEastAsia" w:cstheme="minorBidi"/>
          <w:noProof/>
          <w:sz w:val="24"/>
          <w:szCs w:val="24"/>
          <w:lang w:val="en-US" w:eastAsia="en-US"/>
        </w:rPr>
        <w:tab/>
      </w:r>
      <w:r w:rsidR="00990889">
        <w:rPr>
          <w:noProof/>
        </w:rPr>
        <w:t>Number of MBS-funded colonoscopy services per 100,000 people, age standardised, by local area, 2013-14</w:t>
      </w:r>
      <w:r w:rsidR="00990889">
        <w:rPr>
          <w:noProof/>
        </w:rPr>
        <w:tab/>
      </w:r>
      <w:r w:rsidR="00990889">
        <w:rPr>
          <w:noProof/>
        </w:rPr>
        <w:fldChar w:fldCharType="begin"/>
      </w:r>
      <w:r w:rsidR="00990889">
        <w:rPr>
          <w:noProof/>
        </w:rPr>
        <w:instrText xml:space="preserve"> PAGEREF _Toc457531557 \h </w:instrText>
      </w:r>
      <w:r w:rsidR="00990889">
        <w:rPr>
          <w:noProof/>
        </w:rPr>
      </w:r>
      <w:r w:rsidR="00990889">
        <w:rPr>
          <w:noProof/>
        </w:rPr>
        <w:fldChar w:fldCharType="separate"/>
      </w:r>
      <w:r w:rsidR="00A1715D">
        <w:rPr>
          <w:noProof/>
        </w:rPr>
        <w:t>23</w:t>
      </w:r>
      <w:r w:rsidR="00990889">
        <w:rPr>
          <w:noProof/>
        </w:rPr>
        <w:fldChar w:fldCharType="end"/>
      </w:r>
    </w:p>
    <w:p w14:paraId="18114908" w14:textId="7DFFAE38" w:rsidR="00990889" w:rsidRDefault="00990889">
      <w:pPr>
        <w:pStyle w:val="TableofFigures"/>
        <w:tabs>
          <w:tab w:val="left" w:pos="1100"/>
          <w:tab w:val="right" w:leader="dot" w:pos="9016"/>
        </w:tabs>
        <w:rPr>
          <w:rFonts w:eastAsiaTheme="minorEastAsia" w:cstheme="minorBidi"/>
          <w:smallCaps/>
          <w:noProof/>
          <w:sz w:val="24"/>
          <w:szCs w:val="24"/>
          <w:lang w:val="en-US" w:eastAsia="en-US"/>
        </w:rPr>
      </w:pPr>
      <w:r>
        <w:rPr>
          <w:noProof/>
        </w:rPr>
        <w:t>Figure 2:</w:t>
      </w:r>
      <w:r>
        <w:rPr>
          <w:rFonts w:eastAsiaTheme="minorEastAsia" w:cstheme="minorBidi"/>
          <w:noProof/>
          <w:sz w:val="24"/>
          <w:szCs w:val="24"/>
          <w:lang w:val="en-US" w:eastAsia="en-US"/>
        </w:rPr>
        <w:tab/>
      </w:r>
      <w:r>
        <w:rPr>
          <w:noProof/>
        </w:rPr>
        <w:t xml:space="preserve"> Number of MBS-funded services for colonoscopy per 100,000 people, age standardised, by local area, 2013-14</w:t>
      </w:r>
      <w:r>
        <w:rPr>
          <w:noProof/>
        </w:rPr>
        <w:tab/>
      </w:r>
      <w:r>
        <w:rPr>
          <w:noProof/>
        </w:rPr>
        <w:fldChar w:fldCharType="begin"/>
      </w:r>
      <w:r>
        <w:rPr>
          <w:noProof/>
        </w:rPr>
        <w:instrText xml:space="preserve"> PAGEREF _Toc457531558 \h </w:instrText>
      </w:r>
      <w:r>
        <w:rPr>
          <w:noProof/>
        </w:rPr>
      </w:r>
      <w:r>
        <w:rPr>
          <w:noProof/>
        </w:rPr>
        <w:fldChar w:fldCharType="separate"/>
      </w:r>
      <w:r w:rsidR="00A1715D">
        <w:rPr>
          <w:noProof/>
        </w:rPr>
        <w:t>24</w:t>
      </w:r>
      <w:r>
        <w:rPr>
          <w:noProof/>
        </w:rPr>
        <w:fldChar w:fldCharType="end"/>
      </w:r>
    </w:p>
    <w:p w14:paraId="6A2B8049" w14:textId="54CB966D" w:rsidR="00990889" w:rsidRDefault="00990889">
      <w:pPr>
        <w:pStyle w:val="TableofFigures"/>
        <w:tabs>
          <w:tab w:val="left" w:pos="1100"/>
          <w:tab w:val="right" w:leader="dot" w:pos="9016"/>
        </w:tabs>
        <w:rPr>
          <w:rFonts w:eastAsiaTheme="minorEastAsia" w:cstheme="minorBidi"/>
          <w:smallCaps/>
          <w:noProof/>
          <w:sz w:val="24"/>
          <w:szCs w:val="24"/>
          <w:lang w:val="en-US" w:eastAsia="en-US"/>
        </w:rPr>
      </w:pPr>
      <w:r>
        <w:rPr>
          <w:noProof/>
        </w:rPr>
        <w:t>Figure 3:</w:t>
      </w:r>
      <w:r>
        <w:rPr>
          <w:rFonts w:eastAsiaTheme="minorEastAsia" w:cstheme="minorBidi"/>
          <w:noProof/>
          <w:sz w:val="24"/>
          <w:szCs w:val="24"/>
          <w:lang w:val="en-US" w:eastAsia="en-US"/>
        </w:rPr>
        <w:tab/>
      </w:r>
      <w:r>
        <w:rPr>
          <w:noProof/>
        </w:rPr>
        <w:t>The number of services over time, by financial year</w:t>
      </w:r>
      <w:r>
        <w:rPr>
          <w:noProof/>
        </w:rPr>
        <w:tab/>
      </w:r>
      <w:r>
        <w:rPr>
          <w:noProof/>
        </w:rPr>
        <w:fldChar w:fldCharType="begin"/>
      </w:r>
      <w:r>
        <w:rPr>
          <w:noProof/>
        </w:rPr>
        <w:instrText xml:space="preserve"> PAGEREF _Toc457531559 \h </w:instrText>
      </w:r>
      <w:r>
        <w:rPr>
          <w:noProof/>
        </w:rPr>
      </w:r>
      <w:r>
        <w:rPr>
          <w:noProof/>
        </w:rPr>
        <w:fldChar w:fldCharType="separate"/>
      </w:r>
      <w:r w:rsidR="00A1715D">
        <w:rPr>
          <w:noProof/>
        </w:rPr>
        <w:t>26</w:t>
      </w:r>
      <w:r>
        <w:rPr>
          <w:noProof/>
        </w:rPr>
        <w:fldChar w:fldCharType="end"/>
      </w:r>
    </w:p>
    <w:p w14:paraId="21E55C32" w14:textId="2156A5A5" w:rsidR="00990889" w:rsidRDefault="00990889">
      <w:pPr>
        <w:pStyle w:val="TableofFigures"/>
        <w:tabs>
          <w:tab w:val="left" w:pos="1100"/>
          <w:tab w:val="right" w:leader="dot" w:pos="9016"/>
        </w:tabs>
        <w:rPr>
          <w:rFonts w:eastAsiaTheme="minorEastAsia" w:cstheme="minorBidi"/>
          <w:smallCaps/>
          <w:noProof/>
          <w:sz w:val="24"/>
          <w:szCs w:val="24"/>
          <w:lang w:val="en-US" w:eastAsia="en-US"/>
        </w:rPr>
      </w:pPr>
      <w:r>
        <w:rPr>
          <w:noProof/>
        </w:rPr>
        <w:t>Figure 4:</w:t>
      </w:r>
      <w:r>
        <w:rPr>
          <w:rFonts w:eastAsiaTheme="minorEastAsia" w:cstheme="minorBidi"/>
          <w:noProof/>
          <w:sz w:val="24"/>
          <w:szCs w:val="24"/>
          <w:lang w:val="en-US" w:eastAsia="en-US"/>
        </w:rPr>
        <w:tab/>
      </w:r>
      <w:r>
        <w:rPr>
          <w:noProof/>
        </w:rPr>
        <w:t>MSAC predicted services vs actual services</w:t>
      </w:r>
      <w:r>
        <w:rPr>
          <w:noProof/>
        </w:rPr>
        <w:tab/>
      </w:r>
      <w:r>
        <w:rPr>
          <w:noProof/>
        </w:rPr>
        <w:fldChar w:fldCharType="begin"/>
      </w:r>
      <w:r>
        <w:rPr>
          <w:noProof/>
        </w:rPr>
        <w:instrText xml:space="preserve"> PAGEREF _Toc457531560 \h </w:instrText>
      </w:r>
      <w:r>
        <w:rPr>
          <w:noProof/>
        </w:rPr>
      </w:r>
      <w:r>
        <w:rPr>
          <w:noProof/>
        </w:rPr>
        <w:fldChar w:fldCharType="separate"/>
      </w:r>
      <w:r w:rsidR="00A1715D">
        <w:rPr>
          <w:noProof/>
        </w:rPr>
        <w:t>38</w:t>
      </w:r>
      <w:r>
        <w:rPr>
          <w:noProof/>
        </w:rPr>
        <w:fldChar w:fldCharType="end"/>
      </w:r>
    </w:p>
    <w:p w14:paraId="770E9E50" w14:textId="2ECAF6AC" w:rsidR="00990889" w:rsidRDefault="00990889">
      <w:pPr>
        <w:pStyle w:val="TableofFigures"/>
        <w:tabs>
          <w:tab w:val="left" w:pos="1100"/>
          <w:tab w:val="right" w:leader="dot" w:pos="9016"/>
        </w:tabs>
        <w:rPr>
          <w:rFonts w:eastAsiaTheme="minorEastAsia" w:cstheme="minorBidi"/>
          <w:smallCaps/>
          <w:noProof/>
          <w:sz w:val="24"/>
          <w:szCs w:val="24"/>
          <w:lang w:val="en-US" w:eastAsia="en-US"/>
        </w:rPr>
      </w:pPr>
      <w:r>
        <w:rPr>
          <w:noProof/>
        </w:rPr>
        <w:t xml:space="preserve">Figure 5: </w:t>
      </w:r>
      <w:r>
        <w:rPr>
          <w:rFonts w:eastAsiaTheme="minorEastAsia" w:cstheme="minorBidi"/>
          <w:noProof/>
          <w:sz w:val="24"/>
          <w:szCs w:val="24"/>
          <w:lang w:val="en-US" w:eastAsia="en-US"/>
        </w:rPr>
        <w:tab/>
      </w:r>
      <w:r>
        <w:rPr>
          <w:noProof/>
        </w:rPr>
        <w:t>Service volumes for capsule endoscopy item 11820 by state and territory per 100,000 population</w:t>
      </w:r>
      <w:r>
        <w:rPr>
          <w:noProof/>
        </w:rPr>
        <w:tab/>
      </w:r>
      <w:r w:rsidR="00450F5F">
        <w:rPr>
          <w:noProof/>
        </w:rPr>
        <w:tab/>
      </w:r>
      <w:r w:rsidR="00450F5F">
        <w:rPr>
          <w:noProof/>
        </w:rPr>
        <w:tab/>
      </w:r>
      <w:r>
        <w:rPr>
          <w:noProof/>
        </w:rPr>
        <w:fldChar w:fldCharType="begin"/>
      </w:r>
      <w:r>
        <w:rPr>
          <w:noProof/>
        </w:rPr>
        <w:instrText xml:space="preserve"> PAGEREF _Toc457531561 \h </w:instrText>
      </w:r>
      <w:r>
        <w:rPr>
          <w:noProof/>
        </w:rPr>
      </w:r>
      <w:r>
        <w:rPr>
          <w:noProof/>
        </w:rPr>
        <w:fldChar w:fldCharType="separate"/>
      </w:r>
      <w:r w:rsidR="00A1715D">
        <w:rPr>
          <w:noProof/>
        </w:rPr>
        <w:t>39</w:t>
      </w:r>
      <w:r>
        <w:rPr>
          <w:noProof/>
        </w:rPr>
        <w:fldChar w:fldCharType="end"/>
      </w:r>
    </w:p>
    <w:p w14:paraId="73CDFE84" w14:textId="4AE3652F" w:rsidR="00A84D48" w:rsidRPr="00A84D48" w:rsidRDefault="00990889" w:rsidP="00A84D48">
      <w:pPr>
        <w:pStyle w:val="TableofFigures"/>
        <w:tabs>
          <w:tab w:val="left" w:pos="1100"/>
          <w:tab w:val="right" w:leader="dot" w:pos="9016"/>
        </w:tabs>
        <w:rPr>
          <w:noProof/>
        </w:rPr>
      </w:pPr>
      <w:r>
        <w:rPr>
          <w:noProof/>
        </w:rPr>
        <w:t>Figure 6:</w:t>
      </w:r>
      <w:r>
        <w:rPr>
          <w:rFonts w:eastAsiaTheme="minorEastAsia" w:cstheme="minorBidi"/>
          <w:noProof/>
          <w:sz w:val="24"/>
          <w:szCs w:val="24"/>
          <w:lang w:val="en-US" w:eastAsia="en-US"/>
        </w:rPr>
        <w:tab/>
      </w:r>
      <w:r>
        <w:rPr>
          <w:noProof/>
        </w:rPr>
        <w:t xml:space="preserve"> Capsule endoscopy item 11820 services by age and sex 2014-15</w:t>
      </w:r>
      <w:r>
        <w:rPr>
          <w:noProof/>
        </w:rPr>
        <w:tab/>
      </w:r>
      <w:r>
        <w:rPr>
          <w:noProof/>
        </w:rPr>
        <w:fldChar w:fldCharType="begin"/>
      </w:r>
      <w:r>
        <w:rPr>
          <w:noProof/>
        </w:rPr>
        <w:instrText xml:space="preserve"> PAGEREF _Toc457531562 \h </w:instrText>
      </w:r>
      <w:r>
        <w:rPr>
          <w:noProof/>
        </w:rPr>
      </w:r>
      <w:r>
        <w:rPr>
          <w:noProof/>
        </w:rPr>
        <w:fldChar w:fldCharType="separate"/>
      </w:r>
      <w:r w:rsidR="00A1715D">
        <w:rPr>
          <w:noProof/>
        </w:rPr>
        <w:t>40</w:t>
      </w:r>
      <w:r>
        <w:rPr>
          <w:noProof/>
        </w:rPr>
        <w:fldChar w:fldCharType="end"/>
      </w:r>
    </w:p>
    <w:p w14:paraId="0031065E" w14:textId="77777777" w:rsidR="00A84D48" w:rsidRPr="00A84D48" w:rsidRDefault="00A84D48" w:rsidP="00A84D48">
      <w:pPr>
        <w:rPr>
          <w:noProof/>
        </w:rPr>
        <w:sectPr w:rsidR="00A84D48" w:rsidRPr="00A84D48" w:rsidSect="00151F01">
          <w:headerReference w:type="even" r:id="rId8"/>
          <w:headerReference w:type="default" r:id="rId9"/>
          <w:footerReference w:type="default" r:id="rId10"/>
          <w:headerReference w:type="first" r:id="rId11"/>
          <w:endnotePr>
            <w:numFmt w:val="decimal"/>
          </w:endnotePr>
          <w:pgSz w:w="11906" w:h="16838" w:code="9"/>
          <w:pgMar w:top="1440" w:right="1440" w:bottom="1276" w:left="1440" w:header="720" w:footer="720" w:gutter="0"/>
          <w:paperSrc w:first="2" w:other="2"/>
          <w:cols w:space="720"/>
          <w:docGrid w:linePitch="326"/>
        </w:sectPr>
      </w:pPr>
    </w:p>
    <w:p w14:paraId="5F8FC67A" w14:textId="14FFEA07" w:rsidR="009837DB" w:rsidRPr="00EA0A9F" w:rsidRDefault="00AB6E8A" w:rsidP="00A84D48">
      <w:pPr>
        <w:pStyle w:val="Heading1"/>
      </w:pPr>
      <w:r>
        <w:rPr>
          <w:noProof/>
          <w:szCs w:val="32"/>
        </w:rPr>
        <w:lastRenderedPageBreak/>
        <w:fldChar w:fldCharType="end"/>
      </w:r>
      <w:bookmarkStart w:id="2" w:name="_Toc457053403"/>
      <w:bookmarkStart w:id="3" w:name="_Toc485731747"/>
      <w:bookmarkEnd w:id="0"/>
      <w:r w:rsidR="00262127" w:rsidRPr="00EA0A9F">
        <w:t>Executive Summary</w:t>
      </w:r>
      <w:bookmarkEnd w:id="2"/>
      <w:bookmarkEnd w:id="3"/>
    </w:p>
    <w:p w14:paraId="29BE2152" w14:textId="77777777" w:rsidR="00463B1C" w:rsidRDefault="00FE088C" w:rsidP="00703DC7">
      <w:r w:rsidRPr="009200D8">
        <w:t>The Medicare Benefits Schedule (MBS) Review Taskforce (the Taskforce) is undertaking a program of work</w:t>
      </w:r>
      <w:r w:rsidR="00CF522D" w:rsidRPr="009200D8">
        <w:t xml:space="preserve"> that considers how more than 5,700 items on the MBS can be aligned with contemporary clinical evidence and practice and improves health outcomes for patients. The Taskforce will also seek to identify any services that may be unnecessary, outdated or potentially unsafe.</w:t>
      </w:r>
      <w:r w:rsidR="00463B1C" w:rsidRPr="009200D8">
        <w:t xml:space="preserve"> </w:t>
      </w:r>
    </w:p>
    <w:p w14:paraId="7E1108F3" w14:textId="77777777" w:rsidR="00E15051" w:rsidRPr="009D0EED" w:rsidRDefault="00E15051" w:rsidP="00E15051">
      <w:r w:rsidRPr="009D0EED">
        <w:t>The Taskforce is committed to providing recommendations to the Minister that will allow the MBS to deliver on each of these four key goals:</w:t>
      </w:r>
    </w:p>
    <w:p w14:paraId="6E913B06" w14:textId="77777777" w:rsidR="00E15051" w:rsidRPr="003F788A" w:rsidRDefault="00E15051" w:rsidP="00E15051">
      <w:pPr>
        <w:pStyle w:val="NormalBulleted"/>
      </w:pPr>
      <w:r w:rsidRPr="003F788A">
        <w:t>Affordable and universal access</w:t>
      </w:r>
    </w:p>
    <w:p w14:paraId="549252FC" w14:textId="77777777" w:rsidR="00E15051" w:rsidRPr="003F788A" w:rsidRDefault="00E15051" w:rsidP="00E15051">
      <w:pPr>
        <w:pStyle w:val="NormalBulleted"/>
      </w:pPr>
      <w:r w:rsidRPr="003F788A">
        <w:t>Best practice health services</w:t>
      </w:r>
    </w:p>
    <w:p w14:paraId="0C86667D" w14:textId="77777777" w:rsidR="00E15051" w:rsidRPr="003F788A" w:rsidRDefault="00E15051" w:rsidP="00E15051">
      <w:pPr>
        <w:pStyle w:val="NormalBulleted"/>
      </w:pPr>
      <w:r w:rsidRPr="003F788A">
        <w:t>Value for the individual patient</w:t>
      </w:r>
    </w:p>
    <w:p w14:paraId="1B169431" w14:textId="77777777" w:rsidR="00E15051" w:rsidRDefault="00E15051" w:rsidP="00E15051">
      <w:pPr>
        <w:pStyle w:val="NormalBulleted"/>
      </w:pPr>
      <w:r w:rsidRPr="003F788A">
        <w:t>Value</w:t>
      </w:r>
      <w:r w:rsidRPr="009D0EED">
        <w:t xml:space="preserve"> for the health system</w:t>
      </w:r>
      <w:r>
        <w:t>.</w:t>
      </w:r>
    </w:p>
    <w:p w14:paraId="4897D61A" w14:textId="46716AB1" w:rsidR="00E15051" w:rsidRPr="009200D8" w:rsidRDefault="00E15051" w:rsidP="00E15051">
      <w:r w:rsidRPr="009200D8">
        <w:t>The Taskforce has endorsed a methodology whereby the necessary clinical review of MBS items is undertaken by Clinical Committees and Working Groups.</w:t>
      </w:r>
      <w:r w:rsidR="00C22AE4">
        <w:t xml:space="preserve"> </w:t>
      </w:r>
      <w:r w:rsidRPr="009200D8">
        <w:t xml:space="preserve">The Taskforce has asked the Clinical Committees to undertake the following tasks: </w:t>
      </w:r>
    </w:p>
    <w:p w14:paraId="03FD7319" w14:textId="77777777" w:rsidR="00E15051" w:rsidRPr="009200D8" w:rsidRDefault="00E15051" w:rsidP="00FA1377">
      <w:pPr>
        <w:pStyle w:val="Numbering"/>
        <w:numPr>
          <w:ilvl w:val="0"/>
          <w:numId w:val="5"/>
        </w:numPr>
      </w:pPr>
      <w:r w:rsidRPr="009200D8">
        <w:t xml:space="preserve">Consider whether there are MBS items that are obsolete and should be removed from the MBS. </w:t>
      </w:r>
    </w:p>
    <w:p w14:paraId="2D353CC8" w14:textId="77777777" w:rsidR="00E15051" w:rsidRPr="009200D8" w:rsidRDefault="00E15051" w:rsidP="00FA1377">
      <w:pPr>
        <w:pStyle w:val="Numbering"/>
        <w:numPr>
          <w:ilvl w:val="0"/>
          <w:numId w:val="5"/>
        </w:numPr>
      </w:pPr>
      <w:r w:rsidRPr="009200D8">
        <w:t xml:space="preserve">Consider identified priority reviews of selected MBS services. </w:t>
      </w:r>
    </w:p>
    <w:p w14:paraId="6E698F0F" w14:textId="77777777" w:rsidR="00E15051" w:rsidRPr="009200D8" w:rsidRDefault="00E15051" w:rsidP="00FA1377">
      <w:pPr>
        <w:pStyle w:val="Numbering"/>
        <w:numPr>
          <w:ilvl w:val="0"/>
          <w:numId w:val="5"/>
        </w:numPr>
      </w:pPr>
      <w:r w:rsidRPr="009200D8">
        <w:t xml:space="preserve">Develop a program of work to consider the balance of MBS services within its remit and items assigned to the Committee. </w:t>
      </w:r>
    </w:p>
    <w:p w14:paraId="62A21A73" w14:textId="77777777" w:rsidR="00E15051" w:rsidRPr="009200D8" w:rsidRDefault="00E15051" w:rsidP="00FA1377">
      <w:pPr>
        <w:pStyle w:val="Numbering"/>
        <w:numPr>
          <w:ilvl w:val="0"/>
          <w:numId w:val="5"/>
        </w:numPr>
      </w:pPr>
      <w:r w:rsidRPr="009200D8">
        <w:t xml:space="preserve">Advise the Taskforce on relevant general MBS issues identified by the Committee in the course of its deliberations. </w:t>
      </w:r>
    </w:p>
    <w:p w14:paraId="7FDD8C1C" w14:textId="77777777" w:rsidR="00CF522D" w:rsidRDefault="00CF522D" w:rsidP="00703DC7">
      <w:r w:rsidRPr="009200D8">
        <w:t xml:space="preserve">The recommendations from the Clinical Committees are released for stakeholder consultation. The Clinical Committees will consider feedback from stakeholders and then provide recommendations to the Taskforce in a Review Report. The Taskforce will consider the Review Report from Clinical Committees and stakeholder feedback before making recommendations to the Minister for consideration by Government. </w:t>
      </w:r>
    </w:p>
    <w:p w14:paraId="7155024F" w14:textId="73B450CE" w:rsidR="00E15051" w:rsidRDefault="00E15051" w:rsidP="00E15051">
      <w:r w:rsidRPr="008F7A7C">
        <w:t xml:space="preserve">The </w:t>
      </w:r>
      <w:r w:rsidR="00C90AC5">
        <w:t xml:space="preserve">Gastroenterology </w:t>
      </w:r>
      <w:r w:rsidRPr="008F7A7C">
        <w:t>Clinical Committee (the Committee) was established in 2015 to undertake a review of relevant MBS items.</w:t>
      </w:r>
      <w:r w:rsidR="00C22AE4">
        <w:t xml:space="preserve"> </w:t>
      </w:r>
      <w:r w:rsidRPr="008F7A7C">
        <w:t xml:space="preserve">Phase one of this review relied upon the clinical expertise of the members who sought advice from colleagues as necessary, as well as independent, targeted rapid evidence reviews of certain services. </w:t>
      </w:r>
    </w:p>
    <w:p w14:paraId="51B06FD2" w14:textId="2A86CF83" w:rsidR="00A84D48" w:rsidRDefault="00C90AC5" w:rsidP="00E15051">
      <w:r w:rsidRPr="000B2F8F">
        <w:t xml:space="preserve">The Taskforce asked the Committee to </w:t>
      </w:r>
      <w:r>
        <w:t xml:space="preserve">consider colonoscopy and same day upper and lower gastrointestinal endoscopy </w:t>
      </w:r>
      <w:r w:rsidRPr="000B2F8F">
        <w:t>as priority reviews</w:t>
      </w:r>
      <w:r>
        <w:t>.</w:t>
      </w:r>
      <w:r w:rsidR="00A84D48">
        <w:br w:type="page"/>
      </w:r>
    </w:p>
    <w:p w14:paraId="2E4CB410" w14:textId="4FA4A5AD" w:rsidR="00BE2DB9" w:rsidRDefault="00BE2DB9" w:rsidP="003F555F">
      <w:pPr>
        <w:pStyle w:val="Heading2"/>
      </w:pPr>
      <w:bookmarkStart w:id="4" w:name="_Toc457303644"/>
      <w:bookmarkStart w:id="5" w:name="_Toc457326637"/>
      <w:bookmarkStart w:id="6" w:name="_Toc457326689"/>
      <w:bookmarkStart w:id="7" w:name="_Toc457303645"/>
      <w:bookmarkStart w:id="8" w:name="_Toc457326638"/>
      <w:bookmarkStart w:id="9" w:name="_Toc457326690"/>
      <w:bookmarkStart w:id="10" w:name="_Toc457303646"/>
      <w:bookmarkStart w:id="11" w:name="_Toc457326639"/>
      <w:bookmarkStart w:id="12" w:name="_Toc457326691"/>
      <w:bookmarkStart w:id="13" w:name="_Toc457303647"/>
      <w:bookmarkStart w:id="14" w:name="_Toc457326640"/>
      <w:bookmarkStart w:id="15" w:name="_Toc457326692"/>
      <w:bookmarkStart w:id="16" w:name="_Toc457303648"/>
      <w:bookmarkStart w:id="17" w:name="_Toc457326641"/>
      <w:bookmarkStart w:id="18" w:name="_Toc457326693"/>
      <w:bookmarkStart w:id="19" w:name="_Toc457303649"/>
      <w:bookmarkStart w:id="20" w:name="_Toc457103945"/>
      <w:bookmarkStart w:id="21" w:name="_Toc456188369"/>
      <w:bookmarkStart w:id="22" w:name="_Toc457307450"/>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lastRenderedPageBreak/>
        <w:t>Key Recommendations</w:t>
      </w:r>
    </w:p>
    <w:p w14:paraId="5683E64B" w14:textId="77777777" w:rsidR="00C90AC5" w:rsidRDefault="00C90AC5" w:rsidP="009A5246">
      <w:pPr>
        <w:pStyle w:val="ExecSummaryHeading"/>
      </w:pPr>
      <w:r w:rsidRPr="009A5246">
        <w:t>Priority review recommendations</w:t>
      </w:r>
      <w:bookmarkEnd w:id="21"/>
      <w:bookmarkEnd w:id="22"/>
    </w:p>
    <w:p w14:paraId="1D269DAB" w14:textId="025EA87D" w:rsidR="00C90AC5" w:rsidRPr="006C5726" w:rsidRDefault="00C90AC5" w:rsidP="00283332">
      <w:pPr>
        <w:pStyle w:val="Rec"/>
      </w:pPr>
      <w:bookmarkStart w:id="23" w:name="_Toc485731748"/>
      <w:r w:rsidRPr="00876C21">
        <w:t>Colonoscopy</w:t>
      </w:r>
      <w:bookmarkEnd w:id="23"/>
      <w:r w:rsidRPr="006C5726">
        <w:t xml:space="preserve"> </w:t>
      </w:r>
    </w:p>
    <w:p w14:paraId="6D7B7B77" w14:textId="5BC04E39" w:rsidR="00C90AC5" w:rsidRPr="00F10DFB" w:rsidRDefault="00C90AC5" w:rsidP="00C90AC5">
      <w:r w:rsidRPr="00F10DFB">
        <w:t xml:space="preserve">The Committee reviewed </w:t>
      </w:r>
      <w:r>
        <w:t xml:space="preserve">the </w:t>
      </w:r>
      <w:r w:rsidRPr="00F10DFB">
        <w:t>data</w:t>
      </w:r>
      <w:r>
        <w:t xml:space="preserve"> on these items</w:t>
      </w:r>
      <w:r w:rsidRPr="00F10DFB">
        <w:t xml:space="preserve"> and </w:t>
      </w:r>
      <w:r>
        <w:t xml:space="preserve">the </w:t>
      </w:r>
      <w:r w:rsidRPr="00F10DFB">
        <w:t>relevant clinical guidelines and recommends that these services should reflect the current evidence for the use of colonoscopy, including appropriate intervals between colonoscopies used in surveillance of patients who are at increased risk of developing colorectal cancer.</w:t>
      </w:r>
      <w:r w:rsidR="00C22AE4">
        <w:t xml:space="preserve"> </w:t>
      </w:r>
      <w:r w:rsidRPr="00F10DFB">
        <w:t>The Committee also recommends better defining the examination of the colon to ensure that a comprehensive examination is performed.</w:t>
      </w:r>
      <w:r w:rsidR="00C22AE4">
        <w:t xml:space="preserve"> </w:t>
      </w:r>
      <w:r w:rsidRPr="00F10DFB">
        <w:t>Recommendations include:</w:t>
      </w:r>
    </w:p>
    <w:p w14:paraId="353C75F9" w14:textId="77777777" w:rsidR="00C90AC5" w:rsidRPr="00F10DFB" w:rsidRDefault="00C90AC5" w:rsidP="00FA1377">
      <w:pPr>
        <w:pStyle w:val="ListParagraph"/>
        <w:numPr>
          <w:ilvl w:val="0"/>
          <w:numId w:val="6"/>
        </w:numPr>
      </w:pPr>
      <w:r w:rsidRPr="00F10DFB">
        <w:t>Reimbursement should be aligned with approved guidelines and the algorithms agreed across the relevant specialties for surveillance colonoscopy.</w:t>
      </w:r>
    </w:p>
    <w:p w14:paraId="6B86A11A" w14:textId="77777777" w:rsidR="00C90AC5" w:rsidRPr="00C90AC5" w:rsidRDefault="00C90AC5" w:rsidP="00FA1377">
      <w:pPr>
        <w:pStyle w:val="ListParagraph"/>
        <w:numPr>
          <w:ilvl w:val="0"/>
          <w:numId w:val="6"/>
        </w:numPr>
        <w:rPr>
          <w:bCs/>
        </w:rPr>
      </w:pPr>
      <w:r w:rsidRPr="00C90AC5">
        <w:rPr>
          <w:bCs/>
        </w:rPr>
        <w:t>Items should be restructured to better describe clinical indications and surveillance intervals. A new suite of items is recommended.</w:t>
      </w:r>
    </w:p>
    <w:p w14:paraId="26DF65DF" w14:textId="2731498E" w:rsidR="00C90AC5" w:rsidRPr="00F10DFB" w:rsidRDefault="002E50CD" w:rsidP="00FA1377">
      <w:pPr>
        <w:pStyle w:val="ListParagraph"/>
        <w:numPr>
          <w:ilvl w:val="0"/>
          <w:numId w:val="6"/>
        </w:numPr>
      </w:pPr>
      <w:r>
        <w:t>Current</w:t>
      </w:r>
      <w:r w:rsidR="00C90AC5" w:rsidRPr="00F10DFB">
        <w:t xml:space="preserve"> colonoscopy</w:t>
      </w:r>
      <w:r w:rsidR="00932D60">
        <w:t xml:space="preserve"> items require</w:t>
      </w:r>
      <w:r w:rsidR="00C90AC5" w:rsidRPr="00F10DFB">
        <w:t xml:space="preserve"> examination ‘</w:t>
      </w:r>
      <w:r w:rsidR="00C90AC5" w:rsidRPr="00C90AC5">
        <w:rPr>
          <w:i/>
        </w:rPr>
        <w:t>beyond the hepatic flexure’</w:t>
      </w:r>
      <w:r w:rsidR="00C90AC5" w:rsidRPr="00F10DFB">
        <w:t>.</w:t>
      </w:r>
      <w:r w:rsidR="00C22AE4">
        <w:t xml:space="preserve"> </w:t>
      </w:r>
      <w:r w:rsidR="00C90AC5" w:rsidRPr="00F10DFB">
        <w:t>This should be amended ‘</w:t>
      </w:r>
      <w:r w:rsidR="00C90AC5" w:rsidRPr="00C90AC5">
        <w:rPr>
          <w:i/>
        </w:rPr>
        <w:t>to the caecum</w:t>
      </w:r>
      <w:r w:rsidR="00C90AC5" w:rsidRPr="00F10DFB">
        <w:t>’ to emphasise the importance of a complete colonoscopy.</w:t>
      </w:r>
      <w:r w:rsidR="00C22AE4">
        <w:t xml:space="preserve"> </w:t>
      </w:r>
      <w:r w:rsidR="00C90AC5" w:rsidRPr="00C90AC5">
        <w:rPr>
          <w:color w:val="000000" w:themeColor="text1"/>
        </w:rPr>
        <w:t xml:space="preserve">For patients post right hemicolectomy this examination should be to the anastomosis. </w:t>
      </w:r>
    </w:p>
    <w:p w14:paraId="01B9B455" w14:textId="77777777" w:rsidR="00932D60" w:rsidRPr="00C064C7" w:rsidRDefault="00932D60" w:rsidP="00FA1377">
      <w:pPr>
        <w:pStyle w:val="ListParagraph"/>
        <w:numPr>
          <w:ilvl w:val="0"/>
          <w:numId w:val="6"/>
        </w:numPr>
      </w:pPr>
      <w:r w:rsidRPr="00C90AC5">
        <w:rPr>
          <w:color w:val="000000" w:themeColor="text1"/>
        </w:rPr>
        <w:t>The National Bowel Cancer Screening Program items 32088 and 32089 be amended to align with the examination requirements ‘to the caecum’.</w:t>
      </w:r>
    </w:p>
    <w:p w14:paraId="6353E690" w14:textId="77777777" w:rsidR="00C90AC5" w:rsidRPr="00F10DFB" w:rsidRDefault="00C90AC5" w:rsidP="00FA1377">
      <w:pPr>
        <w:pStyle w:val="ListParagraph"/>
        <w:numPr>
          <w:ilvl w:val="0"/>
          <w:numId w:val="6"/>
        </w:numPr>
      </w:pPr>
      <w:r w:rsidRPr="00F10DFB">
        <w:t>Reference to ‘fibreoptic’ should be removed as all contemporary colonoscopes are digital.</w:t>
      </w:r>
    </w:p>
    <w:p w14:paraId="24C11840" w14:textId="77777777" w:rsidR="00C90AC5" w:rsidRPr="00F10DFB" w:rsidRDefault="00C90AC5" w:rsidP="00FA1377">
      <w:pPr>
        <w:pStyle w:val="ListParagraph"/>
        <w:numPr>
          <w:ilvl w:val="0"/>
          <w:numId w:val="6"/>
        </w:numPr>
      </w:pPr>
      <w:r w:rsidRPr="00F10DFB">
        <w:t>Reference to ‘flexible’ should be removed as all colonoscopes are flexible.</w:t>
      </w:r>
    </w:p>
    <w:p w14:paraId="1ECC2558" w14:textId="77C15245" w:rsidR="00C90AC5" w:rsidRPr="00F10DFB" w:rsidRDefault="00C90AC5" w:rsidP="00FA1377">
      <w:pPr>
        <w:pStyle w:val="ListParagraph"/>
        <w:numPr>
          <w:ilvl w:val="0"/>
          <w:numId w:val="6"/>
        </w:numPr>
      </w:pPr>
      <w:r w:rsidRPr="00F10DFB">
        <w:t xml:space="preserve">Restrictions should be introduced on the co-claiming of services 32090 and 32093 on the same day, same patient, during a single episode of </w:t>
      </w:r>
      <w:r w:rsidR="00AE7040">
        <w:t>sedation/</w:t>
      </w:r>
      <w:r w:rsidRPr="00F10DFB">
        <w:t xml:space="preserve">anaesthesia. </w:t>
      </w:r>
    </w:p>
    <w:p w14:paraId="18C16F7F" w14:textId="218B7420" w:rsidR="00C90AC5" w:rsidRPr="00C064C7" w:rsidRDefault="00C90AC5" w:rsidP="00FA1377">
      <w:pPr>
        <w:pStyle w:val="ListParagraph"/>
        <w:numPr>
          <w:ilvl w:val="0"/>
          <w:numId w:val="6"/>
        </w:numPr>
      </w:pPr>
      <w:r w:rsidRPr="00F10DFB">
        <w:t>Remove the treatment of radiation proctitis, angiodysplasia or post-polypectomy bleeding from the polyp removal colonoscopy item and create a separate item for this service.</w:t>
      </w:r>
      <w:r w:rsidR="00C22AE4">
        <w:t xml:space="preserve"> </w:t>
      </w:r>
      <w:r w:rsidRPr="00F10DFB">
        <w:t>It is also recommended that specific reference to Argon Plasma Coagulation be removed to enable any therapy to be used.</w:t>
      </w:r>
      <w:r w:rsidRPr="00C90AC5">
        <w:rPr>
          <w:color w:val="000000" w:themeColor="text1"/>
        </w:rPr>
        <w:t xml:space="preserve"> </w:t>
      </w:r>
    </w:p>
    <w:p w14:paraId="3D5156E9" w14:textId="77777777" w:rsidR="00C90AC5" w:rsidRPr="00C90AC5" w:rsidRDefault="00C90AC5" w:rsidP="00FA1377">
      <w:pPr>
        <w:pStyle w:val="ListParagraph"/>
        <w:numPr>
          <w:ilvl w:val="0"/>
          <w:numId w:val="6"/>
        </w:numPr>
        <w:rPr>
          <w:color w:val="000000" w:themeColor="text1"/>
        </w:rPr>
      </w:pPr>
      <w:r>
        <w:t>New colonoscopy items for failed preparation of the colon; for symptomatic patients; for patients with iron deficiency anaemia; and for patients following a positive FOBT test.</w:t>
      </w:r>
    </w:p>
    <w:p w14:paraId="74800B06" w14:textId="5B27E5A7" w:rsidR="00C90AC5" w:rsidRDefault="00C90AC5" w:rsidP="00C90AC5">
      <w:r w:rsidRPr="00F10DFB">
        <w:t xml:space="preserve">Further detail is provided in Section </w:t>
      </w:r>
      <w:r w:rsidR="004351D1">
        <w:t>5.1</w:t>
      </w:r>
      <w:r w:rsidR="00FA67F0">
        <w:t>.</w:t>
      </w:r>
    </w:p>
    <w:p w14:paraId="6F33D1F9" w14:textId="77777777" w:rsidR="00C90AC5" w:rsidRPr="00842D30" w:rsidRDefault="00C90AC5" w:rsidP="00275472">
      <w:pPr>
        <w:pStyle w:val="Rec"/>
      </w:pPr>
      <w:bookmarkStart w:id="24" w:name="_Toc485731749"/>
      <w:r w:rsidRPr="00842D30">
        <w:t xml:space="preserve">Same Day </w:t>
      </w:r>
      <w:r w:rsidRPr="00275472">
        <w:t>Upper</w:t>
      </w:r>
      <w:r w:rsidRPr="00842D30">
        <w:t xml:space="preserve"> and Lower GI Endoscopy</w:t>
      </w:r>
      <w:bookmarkEnd w:id="24"/>
      <w:r w:rsidRPr="00842D30">
        <w:t xml:space="preserve"> </w:t>
      </w:r>
    </w:p>
    <w:p w14:paraId="320B33C5" w14:textId="6187612F" w:rsidR="00C90AC5" w:rsidRDefault="00C90AC5" w:rsidP="00C90AC5">
      <w:r>
        <w:t>The Committee noted the high level of co-claiming upper gastrointestinal endoscopy with colonoscopy for the same patient, same provider, on the same day.</w:t>
      </w:r>
      <w:r w:rsidR="00C22AE4">
        <w:t xml:space="preserve"> </w:t>
      </w:r>
      <w:r>
        <w:t xml:space="preserve">The Committee considered a number of factors that could be adding to this increase including patient preferences, medico legal risks </w:t>
      </w:r>
      <w:r w:rsidRPr="00811EC4">
        <w:t>and a lack of guidelines on when bi-directional endoscopy is clinical appropriate.</w:t>
      </w:r>
    </w:p>
    <w:p w14:paraId="72CDDF36" w14:textId="4B99CF20" w:rsidR="00C90AC5" w:rsidRPr="00BE2DB9" w:rsidRDefault="00C90AC5" w:rsidP="00FA1377">
      <w:pPr>
        <w:pStyle w:val="ListParagraph"/>
        <w:numPr>
          <w:ilvl w:val="0"/>
          <w:numId w:val="8"/>
        </w:numPr>
        <w:rPr>
          <w:color w:val="000000" w:themeColor="text1"/>
        </w:rPr>
      </w:pPr>
      <w:r w:rsidRPr="00BE2DB9">
        <w:rPr>
          <w:color w:val="000000" w:themeColor="text1"/>
        </w:rPr>
        <w:lastRenderedPageBreak/>
        <w:t xml:space="preserve">The Committee recommends that </w:t>
      </w:r>
      <w:r w:rsidR="00932D60">
        <w:rPr>
          <w:color w:val="000000" w:themeColor="text1"/>
        </w:rPr>
        <w:t xml:space="preserve">this issue be referred to </w:t>
      </w:r>
      <w:r w:rsidRPr="00BE2DB9">
        <w:rPr>
          <w:color w:val="000000" w:themeColor="text1"/>
        </w:rPr>
        <w:t xml:space="preserve">the Gastroenterological Society of Australia (GESA) </w:t>
      </w:r>
      <w:r w:rsidR="00932D60">
        <w:rPr>
          <w:color w:val="000000" w:themeColor="text1"/>
        </w:rPr>
        <w:t>to consider the need to develop</w:t>
      </w:r>
      <w:r w:rsidRPr="00BE2DB9">
        <w:rPr>
          <w:color w:val="000000" w:themeColor="text1"/>
        </w:rPr>
        <w:t xml:space="preserve"> clinical guidelines </w:t>
      </w:r>
      <w:r w:rsidR="00932D60">
        <w:rPr>
          <w:color w:val="000000" w:themeColor="text1"/>
        </w:rPr>
        <w:t>or standards for the appropriate concurrent use of these procedures</w:t>
      </w:r>
      <w:r w:rsidRPr="00BE2DB9">
        <w:rPr>
          <w:color w:val="000000" w:themeColor="text1"/>
        </w:rPr>
        <w:t>.</w:t>
      </w:r>
      <w:r w:rsidR="00C22AE4">
        <w:rPr>
          <w:color w:val="000000" w:themeColor="text1"/>
        </w:rPr>
        <w:t xml:space="preserve"> </w:t>
      </w:r>
    </w:p>
    <w:p w14:paraId="5EF901DE" w14:textId="6AFACF1F" w:rsidR="00C90AC5" w:rsidRPr="00BE2DB9" w:rsidRDefault="00C90AC5" w:rsidP="00FA1377">
      <w:pPr>
        <w:pStyle w:val="ListParagraph"/>
        <w:numPr>
          <w:ilvl w:val="0"/>
          <w:numId w:val="8"/>
        </w:numPr>
        <w:rPr>
          <w:color w:val="000000" w:themeColor="text1"/>
        </w:rPr>
      </w:pPr>
      <w:r w:rsidRPr="00BE2DB9">
        <w:rPr>
          <w:color w:val="000000" w:themeColor="text1"/>
        </w:rPr>
        <w:t xml:space="preserve">The Committee recommends against </w:t>
      </w:r>
      <w:r w:rsidR="00932D60">
        <w:rPr>
          <w:color w:val="000000" w:themeColor="text1"/>
        </w:rPr>
        <w:t>co-claiming</w:t>
      </w:r>
      <w:r w:rsidR="00932D60" w:rsidRPr="00BE2DB9">
        <w:rPr>
          <w:color w:val="000000" w:themeColor="text1"/>
        </w:rPr>
        <w:t xml:space="preserve"> </w:t>
      </w:r>
      <w:r w:rsidRPr="00BE2DB9">
        <w:rPr>
          <w:color w:val="000000" w:themeColor="text1"/>
        </w:rPr>
        <w:t xml:space="preserve">restrictions </w:t>
      </w:r>
      <w:r w:rsidR="00932D60">
        <w:rPr>
          <w:color w:val="000000" w:themeColor="text1"/>
        </w:rPr>
        <w:t xml:space="preserve">on these items </w:t>
      </w:r>
      <w:r w:rsidRPr="00BE2DB9">
        <w:rPr>
          <w:color w:val="000000" w:themeColor="text1"/>
        </w:rPr>
        <w:t xml:space="preserve">at this stage as the major reforms </w:t>
      </w:r>
      <w:r w:rsidR="00932D60">
        <w:rPr>
          <w:color w:val="000000" w:themeColor="text1"/>
        </w:rPr>
        <w:t xml:space="preserve">recommended </w:t>
      </w:r>
      <w:r w:rsidRPr="00BE2DB9">
        <w:rPr>
          <w:color w:val="000000" w:themeColor="text1"/>
        </w:rPr>
        <w:t>on colonoscopy services may alter existing service patterns for these items.</w:t>
      </w:r>
      <w:r w:rsidR="00C22AE4">
        <w:rPr>
          <w:color w:val="000000" w:themeColor="text1"/>
        </w:rPr>
        <w:t xml:space="preserve"> </w:t>
      </w:r>
    </w:p>
    <w:p w14:paraId="11C9872E" w14:textId="1A299253" w:rsidR="00C90AC5" w:rsidRPr="006238BC" w:rsidRDefault="00C90AC5" w:rsidP="00BE2DB9">
      <w:r w:rsidRPr="00DF15E0">
        <w:t xml:space="preserve">Further detail is provided in Section </w:t>
      </w:r>
      <w:r w:rsidR="004351D1">
        <w:t>5.2</w:t>
      </w:r>
      <w:r w:rsidR="003F555F">
        <w:t>.</w:t>
      </w:r>
    </w:p>
    <w:p w14:paraId="7B53A7E7" w14:textId="77777777" w:rsidR="00C90AC5" w:rsidRPr="000C644D" w:rsidRDefault="00C90AC5" w:rsidP="009A5246">
      <w:pPr>
        <w:pStyle w:val="ExecSummaryHeading"/>
      </w:pPr>
      <w:bookmarkStart w:id="25" w:name="_Toc456188370"/>
      <w:bookmarkStart w:id="26" w:name="_Toc457307451"/>
      <w:r w:rsidRPr="000C644D">
        <w:t>Significant amendments of selected items</w:t>
      </w:r>
      <w:bookmarkEnd w:id="25"/>
      <w:bookmarkEnd w:id="26"/>
    </w:p>
    <w:p w14:paraId="535D51F6" w14:textId="2918A6BD" w:rsidR="00C90AC5" w:rsidRPr="00842D30" w:rsidRDefault="00C90AC5" w:rsidP="009A5246">
      <w:pPr>
        <w:pStyle w:val="Rec"/>
      </w:pPr>
      <w:bookmarkStart w:id="27" w:name="_Toc485731750"/>
      <w:r w:rsidRPr="00842D30">
        <w:t>Capsule endoscopy</w:t>
      </w:r>
      <w:bookmarkEnd w:id="27"/>
      <w:r w:rsidR="00C22AE4">
        <w:t xml:space="preserve"> </w:t>
      </w:r>
    </w:p>
    <w:p w14:paraId="3E1E2CC0" w14:textId="644F0BA6" w:rsidR="00C90AC5" w:rsidRPr="00BE2DB9" w:rsidRDefault="00C90AC5" w:rsidP="00FA1377">
      <w:pPr>
        <w:pStyle w:val="ListParagraph"/>
        <w:numPr>
          <w:ilvl w:val="0"/>
          <w:numId w:val="10"/>
        </w:numPr>
      </w:pPr>
      <w:r w:rsidRPr="00FA67F0">
        <w:rPr>
          <w:rFonts w:cs="Arial"/>
          <w:color w:val="000000" w:themeColor="text1"/>
        </w:rPr>
        <w:t xml:space="preserve">The Committee </w:t>
      </w:r>
      <w:r w:rsidRPr="00BE2DB9">
        <w:t>recommends amending the item descriptor to better describe the service and the patient population.</w:t>
      </w:r>
      <w:r w:rsidR="00C22AE4">
        <w:t xml:space="preserve"> </w:t>
      </w:r>
      <w:r w:rsidRPr="00BE2DB9">
        <w:t>The Committee recommends the descriptor specify the following indications and preconditions:</w:t>
      </w:r>
    </w:p>
    <w:p w14:paraId="26A7882F" w14:textId="77777777" w:rsidR="00C90AC5" w:rsidRPr="00842D30" w:rsidRDefault="00C90AC5" w:rsidP="00FA1377">
      <w:pPr>
        <w:pStyle w:val="ListParagraph"/>
        <w:numPr>
          <w:ilvl w:val="0"/>
          <w:numId w:val="11"/>
        </w:numPr>
      </w:pPr>
      <w:r w:rsidRPr="00842D30">
        <w:t>Gastrointestinal bleeding that is persistent or recurrent</w:t>
      </w:r>
      <w:r>
        <w:t xml:space="preserve"> with no cause found at endoscopy and colonoscopy: recurrent</w:t>
      </w:r>
      <w:r w:rsidRPr="00842D30">
        <w:t xml:space="preserve"> iron deficiency anaemia not due to coeliac disease</w:t>
      </w:r>
      <w:r>
        <w:t xml:space="preserve"> where</w:t>
      </w:r>
      <w:r w:rsidRPr="00842D30">
        <w:t xml:space="preserve"> a duodenal biopsy (where not contra indicated) </w:t>
      </w:r>
      <w:r>
        <w:t xml:space="preserve">has been performed </w:t>
      </w:r>
      <w:r w:rsidRPr="00842D30">
        <w:t xml:space="preserve">and menorrhagia if present has been </w:t>
      </w:r>
      <w:r>
        <w:t>managed</w:t>
      </w:r>
      <w:r w:rsidRPr="00842D30">
        <w:t xml:space="preserve"> OR,</w:t>
      </w:r>
    </w:p>
    <w:p w14:paraId="04204307" w14:textId="46589BA2" w:rsidR="00C90AC5" w:rsidRDefault="00C90AC5" w:rsidP="00FA1377">
      <w:pPr>
        <w:pStyle w:val="ListParagraph"/>
        <w:numPr>
          <w:ilvl w:val="0"/>
          <w:numId w:val="11"/>
        </w:numPr>
      </w:pPr>
      <w:r w:rsidRPr="00842D30">
        <w:t>the patient has overt active gastrointestinal bleeding</w:t>
      </w:r>
      <w:r>
        <w:t xml:space="preserve"> with no cause found at endoscopy and colonoscopy</w:t>
      </w:r>
      <w:r w:rsidRPr="00842D30">
        <w:t xml:space="preserve">; </w:t>
      </w:r>
    </w:p>
    <w:p w14:paraId="4D39F8AA" w14:textId="4CBB29AC" w:rsidR="00723475" w:rsidRPr="00842D30" w:rsidRDefault="00723475" w:rsidP="00FA1377">
      <w:pPr>
        <w:pStyle w:val="ListParagraph"/>
        <w:numPr>
          <w:ilvl w:val="0"/>
          <w:numId w:val="11"/>
        </w:numPr>
      </w:pPr>
      <w:r>
        <w:t xml:space="preserve">the Committee recommends that storage requirements for </w:t>
      </w:r>
      <w:r w:rsidR="00994677">
        <w:t>Capsule Endoscopy (</w:t>
      </w:r>
      <w:r>
        <w:t>CE</w:t>
      </w:r>
      <w:r w:rsidR="00994677">
        <w:t>)</w:t>
      </w:r>
      <w:r>
        <w:t xml:space="preserve"> imaging be provided in the explanatory notes to the item.</w:t>
      </w:r>
    </w:p>
    <w:p w14:paraId="64B80FC0" w14:textId="646EE827" w:rsidR="00C90AC5" w:rsidRPr="00842D30" w:rsidRDefault="00C90AC5" w:rsidP="00FA1377">
      <w:pPr>
        <w:pStyle w:val="ListParagraph"/>
        <w:numPr>
          <w:ilvl w:val="0"/>
          <w:numId w:val="10"/>
        </w:numPr>
      </w:pPr>
      <w:r w:rsidRPr="00842D30">
        <w:t xml:space="preserve">The Committee considers that usage </w:t>
      </w:r>
      <w:r w:rsidR="00723475">
        <w:t xml:space="preserve">patterns </w:t>
      </w:r>
      <w:r w:rsidRPr="00842D30">
        <w:t>of CE is not explained on clinical grounds alone and the fee of $2,039 may be driving higher than anticipated use.</w:t>
      </w:r>
      <w:r w:rsidR="00C22AE4">
        <w:t xml:space="preserve"> </w:t>
      </w:r>
    </w:p>
    <w:p w14:paraId="04411909" w14:textId="208CA80F" w:rsidR="00C90AC5" w:rsidRPr="00BE2DB9" w:rsidRDefault="00C90AC5" w:rsidP="00FA1377">
      <w:pPr>
        <w:pStyle w:val="ListParagraph"/>
        <w:numPr>
          <w:ilvl w:val="0"/>
          <w:numId w:val="53"/>
        </w:numPr>
      </w:pPr>
      <w:r w:rsidRPr="00BE2DB9">
        <w:t>The Committee recommends a fee assessment by MSAC to see whether the current fee is reflective of the current costs.</w:t>
      </w:r>
      <w:r w:rsidR="00C22AE4">
        <w:t xml:space="preserve"> </w:t>
      </w:r>
      <w:r w:rsidR="00E32F4A">
        <w:t>This assessment may also have flow-on effects to the fee for CE item 11823 which was modelled on the fee for CE item 11820.</w:t>
      </w:r>
      <w:r w:rsidR="00C22AE4">
        <w:t xml:space="preserve"> </w:t>
      </w:r>
    </w:p>
    <w:p w14:paraId="506A3168" w14:textId="3DD59169" w:rsidR="00C90AC5" w:rsidRPr="00842D30" w:rsidRDefault="00C90AC5" w:rsidP="001C0660">
      <w:r w:rsidRPr="00DF15E0">
        <w:t xml:space="preserve">Further detail is provided in Section </w:t>
      </w:r>
      <w:r w:rsidR="004270CD">
        <w:t>6.1</w:t>
      </w:r>
      <w:r w:rsidR="00FA67F0">
        <w:t>.</w:t>
      </w:r>
    </w:p>
    <w:p w14:paraId="14F63308" w14:textId="4AC8ADED" w:rsidR="00C90AC5" w:rsidRPr="00842D30" w:rsidRDefault="00C90AC5" w:rsidP="009A5246">
      <w:pPr>
        <w:pStyle w:val="Rec"/>
        <w:ind w:left="2127" w:hanging="2127"/>
      </w:pPr>
      <w:bookmarkStart w:id="28" w:name="_Toc485731751"/>
      <w:r w:rsidRPr="00842D30">
        <w:t>Endoscopic upper gastrointestinal services</w:t>
      </w:r>
      <w:bookmarkEnd w:id="28"/>
    </w:p>
    <w:p w14:paraId="441081FD" w14:textId="2B60345A" w:rsidR="00C90AC5" w:rsidRPr="00842D30" w:rsidRDefault="00C90AC5" w:rsidP="00BE2DB9">
      <w:r w:rsidRPr="00842D30">
        <w:t xml:space="preserve">The Committee recommends </w:t>
      </w:r>
      <w:r w:rsidR="00723475">
        <w:t xml:space="preserve">simplifying and </w:t>
      </w:r>
      <w:r w:rsidRPr="00842D30">
        <w:t>restructuring items</w:t>
      </w:r>
      <w:r w:rsidR="00723475">
        <w:t xml:space="preserve"> 30473, 30476, 30478, 30479</w:t>
      </w:r>
      <w:r w:rsidR="003F7212">
        <w:t>.</w:t>
      </w:r>
      <w:r w:rsidR="00C22AE4">
        <w:t xml:space="preserve"> </w:t>
      </w:r>
      <w:r w:rsidR="00396524">
        <w:t xml:space="preserve">This restructure will not change the fee or the intent of the services and will </w:t>
      </w:r>
      <w:r w:rsidRPr="00842D30">
        <w:t>provide one diagnostic item, one general therapeutic item (without laser) and a stand-alone higher rebated item for laser procedures in specified circumstances.</w:t>
      </w:r>
      <w:r w:rsidR="00C22AE4">
        <w:t xml:space="preserve"> </w:t>
      </w:r>
    </w:p>
    <w:p w14:paraId="633D88C0" w14:textId="77777777" w:rsidR="00C90AC5" w:rsidRPr="00842D30" w:rsidRDefault="00C90AC5" w:rsidP="00BE2DB9">
      <w:r w:rsidRPr="00842D30">
        <w:t>The Committee recommends:</w:t>
      </w:r>
    </w:p>
    <w:p w14:paraId="715B1000" w14:textId="2B5C9F48" w:rsidR="00C90AC5" w:rsidRPr="00842D30" w:rsidRDefault="00396524" w:rsidP="00FA1377">
      <w:pPr>
        <w:pStyle w:val="ListParagraph"/>
        <w:numPr>
          <w:ilvl w:val="0"/>
          <w:numId w:val="9"/>
        </w:numPr>
        <w:spacing w:line="288" w:lineRule="auto"/>
      </w:pPr>
      <w:r>
        <w:t xml:space="preserve">Simplifying and restructuring items 30473, 30476, 30478, 30479 by combining </w:t>
      </w:r>
      <w:r w:rsidRPr="00842D30">
        <w:t>items 30476 and 30478 into one general interventional item</w:t>
      </w:r>
      <w:r>
        <w:t xml:space="preserve"> and moving Argon Plasma Coagulation (APC) from the l</w:t>
      </w:r>
      <w:r w:rsidR="00C90AC5" w:rsidRPr="00842D30">
        <w:t>aser item 30479 into the more general item 30478.</w:t>
      </w:r>
      <w:r w:rsidR="00C22AE4">
        <w:t xml:space="preserve"> </w:t>
      </w:r>
      <w:r>
        <w:t xml:space="preserve">The recommended restructure would </w:t>
      </w:r>
      <w:r>
        <w:lastRenderedPageBreak/>
        <w:t>not change the fee or the intent of the services</w:t>
      </w:r>
      <w:r w:rsidR="003F7212">
        <w:t xml:space="preserve"> and would maintain requirements that</w:t>
      </w:r>
      <w:r w:rsidR="00C90AC5" w:rsidRPr="00842D30">
        <w:t xml:space="preserve"> the therapeutic items specify the available techniques and pathologies</w:t>
      </w:r>
      <w:r w:rsidR="003F7212">
        <w:t xml:space="preserve"> to be treated</w:t>
      </w:r>
      <w:r w:rsidR="00C90AC5" w:rsidRPr="00842D30">
        <w:t>.</w:t>
      </w:r>
      <w:r w:rsidR="00C22AE4">
        <w:t xml:space="preserve"> </w:t>
      </w:r>
    </w:p>
    <w:p w14:paraId="4D81C15E" w14:textId="77777777" w:rsidR="00C90AC5" w:rsidRDefault="00C90AC5" w:rsidP="00FA1377">
      <w:pPr>
        <w:pStyle w:val="ListParagraph"/>
        <w:numPr>
          <w:ilvl w:val="0"/>
          <w:numId w:val="9"/>
        </w:numPr>
        <w:spacing w:line="288" w:lineRule="auto"/>
      </w:pPr>
      <w:r w:rsidRPr="00842D30">
        <w:t>Maintain current co-claiming restrictions on these items (same patient, same day, same provider) and apply similar restrictions to item 30479.</w:t>
      </w:r>
    </w:p>
    <w:p w14:paraId="17D06339" w14:textId="1C3EF217" w:rsidR="00C90AC5" w:rsidRPr="00842D30" w:rsidRDefault="00C90AC5" w:rsidP="00FA1377">
      <w:pPr>
        <w:pStyle w:val="ListParagraph"/>
        <w:numPr>
          <w:ilvl w:val="0"/>
          <w:numId w:val="9"/>
        </w:numPr>
        <w:spacing w:line="288" w:lineRule="auto"/>
      </w:pPr>
      <w:r w:rsidRPr="00842D30">
        <w:t xml:space="preserve">Provide the Gastroenterological Society of Australia </w:t>
      </w:r>
      <w:r w:rsidR="003F7212">
        <w:t xml:space="preserve">(GESA) </w:t>
      </w:r>
      <w:r w:rsidRPr="00842D30">
        <w:t>with t</w:t>
      </w:r>
      <w:r>
        <w:t>he repeat service data and ask</w:t>
      </w:r>
      <w:r w:rsidRPr="00842D30">
        <w:t xml:space="preserve"> it to consider developing suitable guidelines on when repeat services are clinically appropriate.</w:t>
      </w:r>
    </w:p>
    <w:p w14:paraId="3268397A" w14:textId="77777777" w:rsidR="003F7212" w:rsidRDefault="00C90AC5" w:rsidP="00FA1377">
      <w:pPr>
        <w:pStyle w:val="ListParagraph"/>
        <w:numPr>
          <w:ilvl w:val="0"/>
          <w:numId w:val="9"/>
        </w:numPr>
        <w:spacing w:line="288" w:lineRule="auto"/>
      </w:pPr>
      <w:r w:rsidRPr="00842D30">
        <w:t>Repeat data to be reviewed again following proposed colonoscopy changes.</w:t>
      </w:r>
      <w:r w:rsidR="003F7212" w:rsidRPr="003F7212">
        <w:t xml:space="preserve"> </w:t>
      </w:r>
    </w:p>
    <w:p w14:paraId="3D4D5AB2" w14:textId="013FAB86" w:rsidR="003F7212" w:rsidRDefault="003F7212" w:rsidP="00FA1377">
      <w:pPr>
        <w:pStyle w:val="ListParagraph"/>
        <w:numPr>
          <w:ilvl w:val="0"/>
          <w:numId w:val="9"/>
        </w:numPr>
        <w:spacing w:line="288" w:lineRule="auto"/>
      </w:pPr>
      <w:r w:rsidRPr="00B44C00">
        <w:t>P</w:t>
      </w:r>
      <w:r>
        <w:t xml:space="preserve">ush </w:t>
      </w:r>
      <w:r w:rsidRPr="00B44C00">
        <w:t>E</w:t>
      </w:r>
      <w:r>
        <w:t>nteroscopy</w:t>
      </w:r>
      <w:r w:rsidRPr="00B44C00">
        <w:t xml:space="preserve"> be included in the upper GI endoscopic interventional item 30478 and service</w:t>
      </w:r>
      <w:r>
        <w:t>s</w:t>
      </w:r>
      <w:r w:rsidRPr="00B44C00">
        <w:t xml:space="preserve"> </w:t>
      </w:r>
      <w:r>
        <w:t xml:space="preserve">provided under </w:t>
      </w:r>
      <w:r w:rsidRPr="00B44C00">
        <w:t xml:space="preserve">item 30487 </w:t>
      </w:r>
      <w:r>
        <w:t xml:space="preserve">– </w:t>
      </w:r>
      <w:r w:rsidRPr="00B26A7A">
        <w:rPr>
          <w:i/>
        </w:rPr>
        <w:t>small bowel intubations</w:t>
      </w:r>
      <w:r>
        <w:t xml:space="preserve"> will shift making this item obsolete</w:t>
      </w:r>
      <w:r w:rsidRPr="00B44C00">
        <w:t>.</w:t>
      </w:r>
      <w:r w:rsidR="00C22AE4">
        <w:t xml:space="preserve"> </w:t>
      </w:r>
    </w:p>
    <w:p w14:paraId="0579F24C" w14:textId="0884D443" w:rsidR="00C90AC5" w:rsidRPr="00842D30" w:rsidRDefault="00C90AC5" w:rsidP="003936EE">
      <w:pPr>
        <w:spacing w:line="288" w:lineRule="auto"/>
      </w:pPr>
      <w:r w:rsidRPr="005561D7">
        <w:t xml:space="preserve">Further detail is provided in Section </w:t>
      </w:r>
      <w:r w:rsidR="004270CD">
        <w:t>6.2</w:t>
      </w:r>
      <w:r w:rsidR="00FA67F0">
        <w:t>.</w:t>
      </w:r>
    </w:p>
    <w:p w14:paraId="3250FD0A" w14:textId="0FC53ECF" w:rsidR="00C90AC5" w:rsidRPr="00842D30" w:rsidRDefault="00C90AC5" w:rsidP="009A3675">
      <w:pPr>
        <w:pStyle w:val="Rec"/>
      </w:pPr>
      <w:bookmarkStart w:id="29" w:name="_Toc485731752"/>
      <w:r w:rsidRPr="00842D30">
        <w:t xml:space="preserve">Endoscopic upper </w:t>
      </w:r>
      <w:r w:rsidRPr="009A3675">
        <w:t>gastrointestinal</w:t>
      </w:r>
      <w:r w:rsidRPr="00842D30">
        <w:t xml:space="preserve"> stricture services</w:t>
      </w:r>
      <w:bookmarkEnd w:id="29"/>
      <w:r w:rsidRPr="00842D30">
        <w:t xml:space="preserve"> </w:t>
      </w:r>
    </w:p>
    <w:p w14:paraId="680841A5" w14:textId="4B521D4E" w:rsidR="00C90AC5" w:rsidRPr="00842D30" w:rsidRDefault="00C90AC5" w:rsidP="00FA1377">
      <w:pPr>
        <w:pStyle w:val="ListParagraph"/>
        <w:numPr>
          <w:ilvl w:val="0"/>
          <w:numId w:val="12"/>
        </w:numPr>
        <w:spacing w:line="288" w:lineRule="auto"/>
      </w:pPr>
      <w:r w:rsidRPr="00842D30">
        <w:t>The Committee recommends:</w:t>
      </w:r>
    </w:p>
    <w:p w14:paraId="1FCB4F0E" w14:textId="3D71DB9B" w:rsidR="00C90AC5" w:rsidRPr="00842D30" w:rsidRDefault="00E07F39" w:rsidP="00FA1377">
      <w:pPr>
        <w:pStyle w:val="ListParagraph"/>
        <w:numPr>
          <w:ilvl w:val="0"/>
          <w:numId w:val="13"/>
        </w:numPr>
        <w:spacing w:line="288" w:lineRule="auto"/>
      </w:pPr>
      <w:r>
        <w:t>I</w:t>
      </w:r>
      <w:r w:rsidRPr="00842D30">
        <w:t>tems 41819 and 41820 be simplified and consolidated with item 30475</w:t>
      </w:r>
      <w:r>
        <w:t>.</w:t>
      </w:r>
      <w:r w:rsidR="00C22AE4">
        <w:t xml:space="preserve"> </w:t>
      </w:r>
      <w:r>
        <w:t xml:space="preserve">This </w:t>
      </w:r>
      <w:r w:rsidR="00C90AC5" w:rsidRPr="00842D30">
        <w:t xml:space="preserve">consolidated item </w:t>
      </w:r>
      <w:r>
        <w:t>will</w:t>
      </w:r>
      <w:r w:rsidRPr="00842D30">
        <w:t xml:space="preserve"> </w:t>
      </w:r>
      <w:r w:rsidR="00C90AC5" w:rsidRPr="00842D30">
        <w:t>allow any endoscopic technique to be performed for oesophageal through to gastroduodenal procedures for stricture and include imaging intensification if done.</w:t>
      </w:r>
      <w:r w:rsidR="00C22AE4">
        <w:t xml:space="preserve"> </w:t>
      </w:r>
      <w:r w:rsidR="003F7212" w:rsidRPr="00842D30">
        <w:t xml:space="preserve">An explanatory note </w:t>
      </w:r>
      <w:r>
        <w:t>will make this</w:t>
      </w:r>
      <w:r w:rsidR="003F7212" w:rsidRPr="00842D30">
        <w:t xml:space="preserve"> intention clear</w:t>
      </w:r>
      <w:r w:rsidR="003F7212">
        <w:t>.</w:t>
      </w:r>
    </w:p>
    <w:p w14:paraId="23B89DBC" w14:textId="044DD993" w:rsidR="00C90AC5" w:rsidRPr="00842D30" w:rsidRDefault="00C90AC5" w:rsidP="00FA1377">
      <w:pPr>
        <w:pStyle w:val="ListParagraph"/>
        <w:numPr>
          <w:ilvl w:val="0"/>
          <w:numId w:val="13"/>
        </w:numPr>
        <w:spacing w:line="288" w:lineRule="auto"/>
      </w:pPr>
      <w:r w:rsidRPr="00842D30">
        <w:t>The proposed fee for this item is the current fee for 41819 which is higher than 30475 but lower than 41820.</w:t>
      </w:r>
      <w:r w:rsidR="00C22AE4">
        <w:t xml:space="preserve"> </w:t>
      </w:r>
    </w:p>
    <w:p w14:paraId="7C88016C" w14:textId="61184CC3" w:rsidR="00C90AC5" w:rsidRPr="00842D30" w:rsidRDefault="00C90AC5" w:rsidP="00FA1377">
      <w:pPr>
        <w:pStyle w:val="ListParagraph"/>
        <w:numPr>
          <w:ilvl w:val="0"/>
          <w:numId w:val="13"/>
        </w:numPr>
        <w:spacing w:line="288" w:lineRule="auto"/>
      </w:pPr>
      <w:r>
        <w:t>I</w:t>
      </w:r>
      <w:r w:rsidRPr="00842D30">
        <w:t xml:space="preserve">tem 41831 </w:t>
      </w:r>
      <w:r w:rsidR="00E07F39">
        <w:t xml:space="preserve">should </w:t>
      </w:r>
      <w:r w:rsidRPr="00842D30">
        <w:t>be amended to indicate treatment for achalasia.</w:t>
      </w:r>
      <w:r w:rsidR="00C22AE4">
        <w:t xml:space="preserve"> </w:t>
      </w:r>
    </w:p>
    <w:p w14:paraId="08AB7B0F" w14:textId="46CCE5DE" w:rsidR="00C90AC5" w:rsidRPr="00842D30" w:rsidRDefault="00C90AC5" w:rsidP="009A3675">
      <w:r w:rsidRPr="005561D7">
        <w:t>Further detail is provided in Section</w:t>
      </w:r>
      <w:r w:rsidR="003936EE">
        <w:t xml:space="preserve"> </w:t>
      </w:r>
      <w:r w:rsidR="004270CD">
        <w:t>6.3</w:t>
      </w:r>
      <w:r w:rsidR="00FA67F0">
        <w:t>.</w:t>
      </w:r>
    </w:p>
    <w:p w14:paraId="359C9470" w14:textId="1D073948" w:rsidR="00C90AC5" w:rsidRPr="00842D30" w:rsidRDefault="00C90AC5" w:rsidP="009A3675">
      <w:pPr>
        <w:pStyle w:val="Rec"/>
      </w:pPr>
      <w:bookmarkStart w:id="30" w:name="_Toc485731753"/>
      <w:r w:rsidRPr="009A3675">
        <w:t>Sigmoidoscopy</w:t>
      </w:r>
      <w:r w:rsidRPr="00842D30">
        <w:t>/Colonoscopy</w:t>
      </w:r>
      <w:bookmarkEnd w:id="30"/>
      <w:r w:rsidRPr="00842D30">
        <w:t xml:space="preserve"> </w:t>
      </w:r>
    </w:p>
    <w:p w14:paraId="52F76A0C" w14:textId="44F0E3DB" w:rsidR="00C90AC5" w:rsidRPr="00842D30" w:rsidRDefault="00C90AC5" w:rsidP="00FA1377">
      <w:pPr>
        <w:pStyle w:val="ListParagraph"/>
        <w:numPr>
          <w:ilvl w:val="0"/>
          <w:numId w:val="14"/>
        </w:numPr>
        <w:spacing w:line="288" w:lineRule="auto"/>
      </w:pPr>
      <w:r w:rsidRPr="00842D30">
        <w:t>The Committee recommends amending the item descriptors for these services to better define the examination of the colon from ‘up to the hepatic flexure’ to ‘which has not reached the caecum’.</w:t>
      </w:r>
      <w:r w:rsidR="00C22AE4">
        <w:t xml:space="preserve"> </w:t>
      </w:r>
      <w:r w:rsidRPr="00842D30">
        <w:t>This quality measure is designed to ensure that a comprehensive examination is performed and complements other recommended changes to the colonoscopy services.</w:t>
      </w:r>
      <w:r w:rsidR="00C22AE4">
        <w:t xml:space="preserve"> </w:t>
      </w:r>
      <w:r w:rsidRPr="00842D30">
        <w:t>The Committee recommends the following:</w:t>
      </w:r>
    </w:p>
    <w:p w14:paraId="78AC34A2" w14:textId="1463E89D" w:rsidR="00C90AC5" w:rsidRPr="00842D30" w:rsidRDefault="00C90AC5" w:rsidP="00FA1377">
      <w:pPr>
        <w:pStyle w:val="ListParagraph"/>
        <w:numPr>
          <w:ilvl w:val="0"/>
          <w:numId w:val="15"/>
        </w:numPr>
        <w:spacing w:line="288" w:lineRule="auto"/>
      </w:pPr>
      <w:r w:rsidRPr="00842D30">
        <w:t>Amend descriptor to better define the examination of the colon from ‘</w:t>
      </w:r>
      <w:r w:rsidRPr="00FA67F0">
        <w:rPr>
          <w:i/>
        </w:rPr>
        <w:t>up to the hepatic flexure</w:t>
      </w:r>
      <w:r w:rsidRPr="00842D30">
        <w:t>’ to ‘</w:t>
      </w:r>
      <w:r w:rsidRPr="00FA67F0">
        <w:rPr>
          <w:i/>
        </w:rPr>
        <w:t>which has not reached the caecum</w:t>
      </w:r>
      <w:r w:rsidRPr="00842D30">
        <w:t>’</w:t>
      </w:r>
      <w:r>
        <w:t xml:space="preserve">. </w:t>
      </w:r>
      <w:r w:rsidRPr="00F10DFB">
        <w:t>For patients post right hemicolectomy this examination</w:t>
      </w:r>
      <w:r w:rsidR="004B2BD3">
        <w:t xml:space="preserve"> will not have reached </w:t>
      </w:r>
      <w:r w:rsidRPr="00F10DFB">
        <w:t>the anastomosis.</w:t>
      </w:r>
    </w:p>
    <w:p w14:paraId="016C28BC" w14:textId="77777777" w:rsidR="00C90AC5" w:rsidRPr="00842D30" w:rsidRDefault="00C90AC5" w:rsidP="00FA1377">
      <w:pPr>
        <w:pStyle w:val="ListParagraph"/>
        <w:numPr>
          <w:ilvl w:val="0"/>
          <w:numId w:val="15"/>
        </w:numPr>
        <w:spacing w:line="288" w:lineRule="auto"/>
      </w:pPr>
      <w:r>
        <w:t>T</w:t>
      </w:r>
      <w:r w:rsidRPr="00842D30">
        <w:t>h</w:t>
      </w:r>
      <w:r>
        <w:t>e</w:t>
      </w:r>
      <w:r w:rsidRPr="00842D30">
        <w:t xml:space="preserve"> </w:t>
      </w:r>
      <w:r>
        <w:t xml:space="preserve">specific reference to </w:t>
      </w:r>
      <w:r w:rsidRPr="00842D30">
        <w:t xml:space="preserve">Argon Plasma Coagulation </w:t>
      </w:r>
      <w:r>
        <w:t xml:space="preserve">to </w:t>
      </w:r>
      <w:r w:rsidRPr="00842D30">
        <w:t>be removed to enable any therapy to be used.</w:t>
      </w:r>
    </w:p>
    <w:p w14:paraId="2D636DC5" w14:textId="17B775C4" w:rsidR="00C90AC5" w:rsidRPr="00842D30" w:rsidRDefault="00C90AC5" w:rsidP="00FA1377">
      <w:pPr>
        <w:pStyle w:val="ListParagraph"/>
        <w:numPr>
          <w:ilvl w:val="0"/>
          <w:numId w:val="15"/>
        </w:numPr>
        <w:spacing w:line="288" w:lineRule="auto"/>
      </w:pPr>
      <w:r w:rsidRPr="00842D30">
        <w:t>Removal of ‘fibreoptic’ in the item descriptor as all sigmoid and colon scopes are digital.</w:t>
      </w:r>
      <w:r w:rsidR="00C22AE4">
        <w:t xml:space="preserve"> </w:t>
      </w:r>
    </w:p>
    <w:p w14:paraId="5A76DE41" w14:textId="12A715F9" w:rsidR="00C90AC5" w:rsidRDefault="00C90AC5" w:rsidP="00FA1377">
      <w:pPr>
        <w:pStyle w:val="ListParagraph"/>
        <w:numPr>
          <w:ilvl w:val="0"/>
          <w:numId w:val="15"/>
        </w:numPr>
        <w:spacing w:line="288" w:lineRule="auto"/>
      </w:pPr>
      <w:r w:rsidRPr="00842D30">
        <w:t xml:space="preserve">Co-claiming </w:t>
      </w:r>
      <w:r w:rsidRPr="00F10DFB">
        <w:t>restrictions are introduced on the use of these items with colonoscopy items 32090 and 32093, same</w:t>
      </w:r>
      <w:r w:rsidRPr="00842D30">
        <w:t xml:space="preserve"> patient, same day, same provider</w:t>
      </w:r>
      <w:r>
        <w:t xml:space="preserve"> unless subsequent service has been provided under a second episode of sedation</w:t>
      </w:r>
      <w:r w:rsidR="00AE7040">
        <w:t>/anaesthesia</w:t>
      </w:r>
      <w:r w:rsidRPr="00842D30">
        <w:t>.</w:t>
      </w:r>
      <w:r w:rsidR="00C22AE4">
        <w:t xml:space="preserve"> </w:t>
      </w:r>
    </w:p>
    <w:p w14:paraId="6098ADAC" w14:textId="7D54C28B" w:rsidR="00A84D48" w:rsidRDefault="00C90AC5" w:rsidP="006C6BE7">
      <w:r w:rsidRPr="001C0660">
        <w:t>Further detail is provided in Section</w:t>
      </w:r>
      <w:r w:rsidR="003F555F" w:rsidRPr="001C0660">
        <w:t xml:space="preserve"> </w:t>
      </w:r>
      <w:r w:rsidR="004270CD" w:rsidRPr="001C0660">
        <w:t>6.4</w:t>
      </w:r>
      <w:r w:rsidR="00FA67F0" w:rsidRPr="001C0660">
        <w:t>.</w:t>
      </w:r>
      <w:r w:rsidR="00A84D48">
        <w:br w:type="page"/>
      </w:r>
    </w:p>
    <w:p w14:paraId="3BF53EE0" w14:textId="2089C6B4" w:rsidR="00C90AC5" w:rsidRPr="00842D30" w:rsidRDefault="00C90AC5" w:rsidP="009A5246">
      <w:pPr>
        <w:pStyle w:val="Rec"/>
      </w:pPr>
      <w:bookmarkStart w:id="31" w:name="_Toc485731754"/>
      <w:r w:rsidRPr="00842D30">
        <w:lastRenderedPageBreak/>
        <w:t>Endoscopic Ultrasound</w:t>
      </w:r>
      <w:bookmarkEnd w:id="31"/>
    </w:p>
    <w:p w14:paraId="4A79ED05" w14:textId="159A9E30" w:rsidR="00C90AC5" w:rsidRDefault="00C90AC5" w:rsidP="00FA1377">
      <w:pPr>
        <w:pStyle w:val="ListParagraph"/>
        <w:numPr>
          <w:ilvl w:val="0"/>
          <w:numId w:val="16"/>
        </w:numPr>
      </w:pPr>
      <w:r w:rsidRPr="00842D30">
        <w:t>The Committee recommends</w:t>
      </w:r>
      <w:r>
        <w:t xml:space="preserve"> that if during a</w:t>
      </w:r>
      <w:r w:rsidR="00DC7BE3">
        <w:t>n Endoscopic Ultrasound (</w:t>
      </w:r>
      <w:r w:rsidRPr="00842D30">
        <w:t>EUS</w:t>
      </w:r>
      <w:r w:rsidR="00DC7BE3">
        <w:t>)</w:t>
      </w:r>
      <w:r w:rsidRPr="00842D30">
        <w:t xml:space="preserve"> </w:t>
      </w:r>
      <w:r>
        <w:t xml:space="preserve">examination </w:t>
      </w:r>
      <w:r w:rsidRPr="00842D30">
        <w:t>an issue is identified which requires a</w:t>
      </w:r>
      <w:r>
        <w:t>n ERCP related therapeutic procedure</w:t>
      </w:r>
      <w:r w:rsidRPr="00842D30">
        <w:t xml:space="preserve">, it is </w:t>
      </w:r>
      <w:r>
        <w:t>clinical</w:t>
      </w:r>
      <w:r w:rsidR="00E07F39">
        <w:t>ly</w:t>
      </w:r>
      <w:r>
        <w:t xml:space="preserve"> </w:t>
      </w:r>
      <w:r w:rsidRPr="00842D30">
        <w:t>appropriate that these procedures be performed on the same occasion.</w:t>
      </w:r>
      <w:r w:rsidR="00C22AE4">
        <w:t xml:space="preserve"> </w:t>
      </w:r>
    </w:p>
    <w:p w14:paraId="4286A3E5" w14:textId="2B76F76D" w:rsidR="00C90AC5" w:rsidRDefault="00C90AC5" w:rsidP="00FA1377">
      <w:pPr>
        <w:pStyle w:val="ListParagraph"/>
        <w:numPr>
          <w:ilvl w:val="0"/>
          <w:numId w:val="17"/>
        </w:numPr>
      </w:pPr>
      <w:r>
        <w:t xml:space="preserve">The Committee recommends removing co-claiming restrictions on EUS items to allow items 30484, 30485 and 30494 </w:t>
      </w:r>
      <w:r w:rsidRPr="00FA67F0">
        <w:rPr>
          <w:color w:val="000000" w:themeColor="text1"/>
        </w:rPr>
        <w:t xml:space="preserve">(described in Table </w:t>
      </w:r>
      <w:r w:rsidR="00C35ADC">
        <w:rPr>
          <w:color w:val="000000" w:themeColor="text1"/>
        </w:rPr>
        <w:t>22</w:t>
      </w:r>
      <w:r w:rsidRPr="00FA67F0">
        <w:rPr>
          <w:color w:val="000000" w:themeColor="text1"/>
        </w:rPr>
        <w:t xml:space="preserve">) </w:t>
      </w:r>
      <w:r>
        <w:t>to be payable with EUS.</w:t>
      </w:r>
    </w:p>
    <w:p w14:paraId="424A622E" w14:textId="3AD4AA98" w:rsidR="00C90AC5" w:rsidRPr="006C5726" w:rsidRDefault="00C90AC5" w:rsidP="00FA67F0">
      <w:r w:rsidRPr="005561D7">
        <w:t>Further</w:t>
      </w:r>
      <w:r>
        <w:t xml:space="preserve"> d</w:t>
      </w:r>
      <w:bookmarkStart w:id="32" w:name="_Toc456188371"/>
      <w:r w:rsidR="003F555F">
        <w:t>etail is provided in Section</w:t>
      </w:r>
      <w:r w:rsidR="000E31B2">
        <w:t xml:space="preserve"> </w:t>
      </w:r>
      <w:r w:rsidR="004270CD">
        <w:t>6.5</w:t>
      </w:r>
      <w:r w:rsidR="003F555F">
        <w:t>.</w:t>
      </w:r>
      <w:r w:rsidRPr="006C5726">
        <w:t xml:space="preserve"> </w:t>
      </w:r>
    </w:p>
    <w:p w14:paraId="3AA55E52" w14:textId="21E00B13" w:rsidR="00C90AC5" w:rsidRPr="0074271A" w:rsidRDefault="006D2B91" w:rsidP="009A5246">
      <w:pPr>
        <w:pStyle w:val="ExecSummaryHeading"/>
      </w:pPr>
      <w:bookmarkStart w:id="33" w:name="_Toc457307452"/>
      <w:bookmarkEnd w:id="32"/>
      <w:r>
        <w:t>items</w:t>
      </w:r>
      <w:r w:rsidRPr="0074271A">
        <w:t xml:space="preserve"> </w:t>
      </w:r>
      <w:r w:rsidR="00C90AC5" w:rsidRPr="0074271A">
        <w:t>requiring further assessment</w:t>
      </w:r>
      <w:bookmarkEnd w:id="33"/>
      <w:r>
        <w:t xml:space="preserve"> </w:t>
      </w:r>
    </w:p>
    <w:p w14:paraId="752040EF" w14:textId="44DE5D98" w:rsidR="00C90AC5" w:rsidRPr="005561D7" w:rsidRDefault="00C90AC5" w:rsidP="009A5246">
      <w:pPr>
        <w:pStyle w:val="Rec"/>
      </w:pPr>
      <w:bookmarkStart w:id="34" w:name="_Toc485731755"/>
      <w:r w:rsidRPr="005561D7">
        <w:t>Balloon Enteroscopy</w:t>
      </w:r>
      <w:bookmarkEnd w:id="34"/>
      <w:r w:rsidRPr="005561D7">
        <w:t xml:space="preserve"> </w:t>
      </w:r>
    </w:p>
    <w:p w14:paraId="71680629" w14:textId="631D1263" w:rsidR="00C90AC5" w:rsidRPr="005561D7" w:rsidRDefault="00C90AC5" w:rsidP="00FA67F0">
      <w:r w:rsidRPr="005561D7">
        <w:t>The Committee reviewed these services to determine if the current clinical indication could be expanded to include some capacity to manage small bowel diseases without anaemia or bleeding, specifically, but not restricted to, Crohn’s disease.</w:t>
      </w:r>
      <w:r w:rsidR="00C22AE4">
        <w:t xml:space="preserve"> </w:t>
      </w:r>
    </w:p>
    <w:p w14:paraId="3EC13E1E" w14:textId="7405061C" w:rsidR="00C90AC5" w:rsidRPr="003A4F4A" w:rsidRDefault="00C90AC5" w:rsidP="00FA1377">
      <w:pPr>
        <w:pStyle w:val="ListParagraph"/>
        <w:numPr>
          <w:ilvl w:val="0"/>
          <w:numId w:val="18"/>
        </w:numPr>
      </w:pPr>
      <w:r w:rsidRPr="003A4F4A">
        <w:t>The Committee recommends an MSAC assessment to expand the conditions for these items to manage small bowel diseases without anaemia or bleeding, specifically, but not restricted to, Crohn’s disease.</w:t>
      </w:r>
    </w:p>
    <w:p w14:paraId="1678DC0B" w14:textId="34C13A00" w:rsidR="00C90AC5" w:rsidRPr="005561D7" w:rsidRDefault="00C90AC5" w:rsidP="00FA67F0">
      <w:r w:rsidRPr="005561D7">
        <w:t>Further</w:t>
      </w:r>
      <w:r>
        <w:t xml:space="preserve"> d</w:t>
      </w:r>
      <w:r w:rsidR="003F555F">
        <w:t xml:space="preserve">etail is provided in Section </w:t>
      </w:r>
      <w:r w:rsidR="00C35ADC">
        <w:t>7.1</w:t>
      </w:r>
      <w:r w:rsidR="00FA67F0">
        <w:t>.</w:t>
      </w:r>
    </w:p>
    <w:p w14:paraId="359E4EFD" w14:textId="77777777" w:rsidR="00C90AC5" w:rsidRPr="0074271A" w:rsidRDefault="00C90AC5" w:rsidP="009A5246">
      <w:pPr>
        <w:pStyle w:val="ExecSummaryHeading"/>
      </w:pPr>
      <w:bookmarkStart w:id="35" w:name="_Toc456188372"/>
      <w:bookmarkStart w:id="36" w:name="_Toc457307453"/>
      <w:r w:rsidRPr="0074271A">
        <w:t>New services</w:t>
      </w:r>
      <w:bookmarkEnd w:id="35"/>
      <w:bookmarkEnd w:id="36"/>
    </w:p>
    <w:p w14:paraId="15491435" w14:textId="77777777" w:rsidR="00C90AC5" w:rsidRPr="005561D7" w:rsidRDefault="00C90AC5" w:rsidP="009A5246">
      <w:pPr>
        <w:pStyle w:val="Rec"/>
      </w:pPr>
      <w:bookmarkStart w:id="37" w:name="_Toc485731756"/>
      <w:r>
        <w:t>En</w:t>
      </w:r>
      <w:r w:rsidRPr="005561D7">
        <w:t>doscopic Mucosal Resection</w:t>
      </w:r>
      <w:bookmarkEnd w:id="37"/>
      <w:r w:rsidRPr="005561D7">
        <w:t xml:space="preserve"> </w:t>
      </w:r>
    </w:p>
    <w:p w14:paraId="2F98F5FE" w14:textId="6416334B" w:rsidR="00C90AC5" w:rsidRPr="005561D7" w:rsidRDefault="00C90AC5" w:rsidP="00FA67F0">
      <w:r w:rsidRPr="005561D7">
        <w:t>The Committee considered evidence for a new service for the removal of very large polyps by Endoscopic Mucosal Resection (EMR).</w:t>
      </w:r>
      <w:r w:rsidR="00C22AE4">
        <w:t xml:space="preserve"> </w:t>
      </w:r>
      <w:r w:rsidRPr="005561D7">
        <w:t>The Committee considered research evidence on the safety, clinical effectiveness and cost-effectiveness of this procedure and noted the widespread use in public hospitals.</w:t>
      </w:r>
      <w:r w:rsidR="00C22AE4">
        <w:t xml:space="preserve"> </w:t>
      </w:r>
      <w:r w:rsidRPr="005561D7">
        <w:t>The Committee noted the range of EMR complexity, time and expertise required to perform the procedure.</w:t>
      </w:r>
    </w:p>
    <w:p w14:paraId="1A21E8B8" w14:textId="10E44EE7" w:rsidR="00C90AC5" w:rsidRPr="00C9058B" w:rsidRDefault="00C90AC5" w:rsidP="00FA1377">
      <w:pPr>
        <w:pStyle w:val="ListParagraph"/>
        <w:numPr>
          <w:ilvl w:val="0"/>
          <w:numId w:val="19"/>
        </w:numPr>
      </w:pPr>
      <w:r w:rsidRPr="00C9058B">
        <w:t>The Committee recommends an MSAC assessment of EMR to enable consideration of public funding for this procedure.</w:t>
      </w:r>
      <w:r w:rsidR="00C22AE4">
        <w:t xml:space="preserve"> </w:t>
      </w:r>
      <w:r w:rsidRPr="00C9058B">
        <w:t>The Committee recommends that GESA submit an application to MSAC and request an expedited assessment for this service.</w:t>
      </w:r>
    </w:p>
    <w:p w14:paraId="21E98D59" w14:textId="2DDBE834" w:rsidR="00C90AC5" w:rsidRDefault="00C90AC5" w:rsidP="00FA67F0">
      <w:r w:rsidRPr="005561D7">
        <w:t>Further</w:t>
      </w:r>
      <w:r>
        <w:t xml:space="preserve"> detail is provided in Section </w:t>
      </w:r>
      <w:r w:rsidR="00C35ADC">
        <w:t>8.1</w:t>
      </w:r>
      <w:r w:rsidR="009A5246">
        <w:t>.</w:t>
      </w:r>
    </w:p>
    <w:p w14:paraId="0FD83737" w14:textId="1DD847DC" w:rsidR="000D1785" w:rsidRPr="0074271A" w:rsidRDefault="00C90AC5" w:rsidP="000D1785">
      <w:pPr>
        <w:pStyle w:val="ExecSummaryHeading"/>
      </w:pPr>
      <w:bookmarkStart w:id="38" w:name="_Toc456188373"/>
      <w:bookmarkStart w:id="39" w:name="_Toc457307454"/>
      <w:r w:rsidRPr="0074271A">
        <w:t>Obsolete items</w:t>
      </w:r>
      <w:bookmarkEnd w:id="38"/>
      <w:bookmarkEnd w:id="39"/>
    </w:p>
    <w:p w14:paraId="64BC507A" w14:textId="77777777" w:rsidR="000D1785" w:rsidRPr="005561D7" w:rsidRDefault="000D1785" w:rsidP="000D1785">
      <w:pPr>
        <w:pStyle w:val="Rec"/>
      </w:pPr>
      <w:bookmarkStart w:id="40" w:name="_Toc485731757"/>
      <w:r>
        <w:t>Obsolete items</w:t>
      </w:r>
      <w:bookmarkEnd w:id="40"/>
      <w:r>
        <w:t xml:space="preserve"> </w:t>
      </w:r>
    </w:p>
    <w:p w14:paraId="13E274AE" w14:textId="77777777" w:rsidR="00C90AC5" w:rsidRDefault="00C90AC5" w:rsidP="00FA67F0">
      <w:r w:rsidRPr="005561D7">
        <w:t xml:space="preserve">The Committee reviewed </w:t>
      </w:r>
      <w:r>
        <w:t>the</w:t>
      </w:r>
      <w:r w:rsidRPr="005561D7">
        <w:t xml:space="preserve"> items in its remit and associated </w:t>
      </w:r>
      <w:r>
        <w:t xml:space="preserve">MBS </w:t>
      </w:r>
      <w:r w:rsidRPr="005561D7">
        <w:t xml:space="preserve">service data and identified four MBS items as obsolete i.e. they have no clinical purpose in contemporary practice as they have been </w:t>
      </w:r>
      <w:r w:rsidRPr="005561D7">
        <w:lastRenderedPageBreak/>
        <w:t xml:space="preserve">superseded by another service or procedure, or the service identified is better covered under another item. </w:t>
      </w:r>
    </w:p>
    <w:p w14:paraId="71A30090" w14:textId="77777777" w:rsidR="00C90AC5" w:rsidRPr="005561D7" w:rsidRDefault="00C90AC5" w:rsidP="00FA1377">
      <w:pPr>
        <w:pStyle w:val="ListParagraph"/>
        <w:numPr>
          <w:ilvl w:val="0"/>
          <w:numId w:val="20"/>
        </w:numPr>
      </w:pPr>
      <w:r w:rsidRPr="005561D7">
        <w:t>The Committee recommended the following items be removed from the MBS and in December 2015 these were included in public consultation:</w:t>
      </w:r>
    </w:p>
    <w:p w14:paraId="15598DD9" w14:textId="77777777" w:rsidR="00C90AC5" w:rsidRPr="006C6BE7" w:rsidRDefault="00C90AC5" w:rsidP="006C6BE7">
      <w:pPr>
        <w:rPr>
          <w:b/>
          <w:i/>
        </w:rPr>
      </w:pPr>
      <w:r w:rsidRPr="006C6BE7">
        <w:rPr>
          <w:b/>
          <w:i/>
        </w:rPr>
        <w:t>Gastric Hypothemia</w:t>
      </w:r>
    </w:p>
    <w:p w14:paraId="27A38949" w14:textId="77777777" w:rsidR="00C90AC5" w:rsidRPr="005561D7" w:rsidRDefault="00C90AC5" w:rsidP="00FA67F0">
      <w:pPr>
        <w:pStyle w:val="NormalBulleted"/>
      </w:pPr>
      <w:r w:rsidRPr="00FA67F0">
        <w:rPr>
          <w:b/>
        </w:rPr>
        <w:t>13500</w:t>
      </w:r>
      <w:r w:rsidRPr="005561D7">
        <w:t xml:space="preserve"> – Gastric hypothermia in the absence of gastrointestinal haemorrhage</w:t>
      </w:r>
    </w:p>
    <w:p w14:paraId="47D68BFD" w14:textId="77777777" w:rsidR="00C90AC5" w:rsidRPr="005561D7" w:rsidRDefault="00C90AC5" w:rsidP="00FA67F0">
      <w:pPr>
        <w:pStyle w:val="NormalBulleted"/>
      </w:pPr>
      <w:r w:rsidRPr="00FA67F0">
        <w:rPr>
          <w:b/>
        </w:rPr>
        <w:t>13503</w:t>
      </w:r>
      <w:r w:rsidRPr="005561D7">
        <w:t xml:space="preserve"> – Gastric hypothermia for upper gastrointestinal haemorrhage</w:t>
      </w:r>
    </w:p>
    <w:p w14:paraId="0CC533EB" w14:textId="77777777" w:rsidR="00C90AC5" w:rsidRPr="006C6BE7" w:rsidRDefault="00C90AC5" w:rsidP="006C6BE7">
      <w:pPr>
        <w:rPr>
          <w:b/>
          <w:i/>
        </w:rPr>
      </w:pPr>
      <w:r w:rsidRPr="006C6BE7">
        <w:rPr>
          <w:b/>
          <w:i/>
        </w:rPr>
        <w:t>Examination of the bowel – colonoscopy and sigmoidoscopy</w:t>
      </w:r>
    </w:p>
    <w:p w14:paraId="04656B08" w14:textId="77777777" w:rsidR="00C90AC5" w:rsidRPr="005561D7" w:rsidRDefault="00C90AC5" w:rsidP="00FA67F0">
      <w:pPr>
        <w:pStyle w:val="NormalBulleted"/>
      </w:pPr>
      <w:r w:rsidRPr="00FA67F0">
        <w:rPr>
          <w:b/>
        </w:rPr>
        <w:t>32078</w:t>
      </w:r>
      <w:r w:rsidRPr="005561D7">
        <w:t xml:space="preserve"> – Sigmoidoscopy with diathermy or resection of 1 or more polyps where the time taken is &lt;= 45 minutes</w:t>
      </w:r>
    </w:p>
    <w:p w14:paraId="41C7CF46" w14:textId="57DEBE52" w:rsidR="00C90AC5" w:rsidRPr="005561D7" w:rsidRDefault="00C90AC5" w:rsidP="00FA67F0">
      <w:pPr>
        <w:pStyle w:val="NormalBulleted"/>
      </w:pPr>
      <w:r w:rsidRPr="00FA67F0">
        <w:rPr>
          <w:b/>
        </w:rPr>
        <w:t>32081</w:t>
      </w:r>
      <w:r w:rsidRPr="005561D7">
        <w:t xml:space="preserve"> – Sigmoidoscopy with diathermy or resection of 1 or more polyps where the time taken is &gt; 45 minutes</w:t>
      </w:r>
      <w:r w:rsidR="00FA67F0">
        <w:t>.</w:t>
      </w:r>
    </w:p>
    <w:p w14:paraId="29678134" w14:textId="77777777" w:rsidR="00C90AC5" w:rsidRPr="00FA67F0" w:rsidRDefault="00C90AC5" w:rsidP="00FA67F0">
      <w:r w:rsidRPr="00FA67F0">
        <w:t>It should be noted that the items relating to flexible sigmoidoscopy, including with polypectomy, remain in the schedule.</w:t>
      </w:r>
    </w:p>
    <w:p w14:paraId="02D47A64" w14:textId="051554C3" w:rsidR="00C90AC5" w:rsidRPr="00FA67F0" w:rsidRDefault="00C90AC5" w:rsidP="00FA67F0">
      <w:r w:rsidRPr="00FA67F0">
        <w:t>Public comments were considered by the Committee and in February 2016 the MBS Review Taskforce reviewed and recommended to Government that these items (32078 and 32081) be removed from the MBS.</w:t>
      </w:r>
      <w:r w:rsidR="00C22AE4">
        <w:t xml:space="preserve"> </w:t>
      </w:r>
      <w:r w:rsidRPr="00FA67F0">
        <w:t>The Government agreed with this recommendation with an effective date of 1 July 2016.</w:t>
      </w:r>
    </w:p>
    <w:p w14:paraId="2C680148" w14:textId="1C271934" w:rsidR="00C90AC5" w:rsidRPr="00FA67F0" w:rsidRDefault="00C90AC5" w:rsidP="00FA67F0">
      <w:r w:rsidRPr="00FA67F0">
        <w:t>The Committee has identified a further two items as obsolete and recommend they be removed from the MBS.</w:t>
      </w:r>
      <w:r w:rsidR="00C22AE4">
        <w:t xml:space="preserve"> </w:t>
      </w:r>
    </w:p>
    <w:p w14:paraId="2D05EE6B" w14:textId="77777777" w:rsidR="00C90AC5" w:rsidRPr="006C6BE7" w:rsidRDefault="00C90AC5" w:rsidP="006C6BE7">
      <w:pPr>
        <w:rPr>
          <w:b/>
          <w:i/>
        </w:rPr>
      </w:pPr>
      <w:r w:rsidRPr="006C6BE7">
        <w:rPr>
          <w:b/>
          <w:i/>
        </w:rPr>
        <w:t>Examinations and procedures on bile ducts/Pancreas</w:t>
      </w:r>
    </w:p>
    <w:p w14:paraId="57983F62" w14:textId="77777777" w:rsidR="00C90AC5" w:rsidRPr="00C2701D" w:rsidRDefault="00C90AC5" w:rsidP="00FA67F0">
      <w:pPr>
        <w:pStyle w:val="NormalBulleted"/>
      </w:pPr>
      <w:r w:rsidRPr="00FA67F0">
        <w:rPr>
          <w:b/>
        </w:rPr>
        <w:t>30493</w:t>
      </w:r>
      <w:r w:rsidRPr="00C2701D">
        <w:t xml:space="preserve"> – Biliary Manometry</w:t>
      </w:r>
    </w:p>
    <w:p w14:paraId="06C47B81" w14:textId="77777777" w:rsidR="00C90AC5" w:rsidRPr="006C6BE7" w:rsidRDefault="00C90AC5" w:rsidP="006C6BE7">
      <w:pPr>
        <w:rPr>
          <w:b/>
          <w:i/>
        </w:rPr>
      </w:pPr>
      <w:r w:rsidRPr="006C6BE7">
        <w:rPr>
          <w:b/>
          <w:i/>
        </w:rPr>
        <w:t>Bowel Procedures</w:t>
      </w:r>
    </w:p>
    <w:p w14:paraId="3AC2C2BB" w14:textId="77777777" w:rsidR="00C90AC5" w:rsidRPr="00C2701D" w:rsidRDefault="00C90AC5" w:rsidP="00FA67F0">
      <w:pPr>
        <w:pStyle w:val="NormalBulleted"/>
      </w:pPr>
      <w:r w:rsidRPr="00FA67F0">
        <w:rPr>
          <w:b/>
        </w:rPr>
        <w:t>30487</w:t>
      </w:r>
      <w:r w:rsidRPr="00C2701D">
        <w:t xml:space="preserve"> – Small bowel intubation with biopsy </w:t>
      </w:r>
    </w:p>
    <w:p w14:paraId="5CB5429E" w14:textId="78DA7762" w:rsidR="00C90AC5" w:rsidRPr="005561D7" w:rsidRDefault="00C90AC5" w:rsidP="00FA67F0">
      <w:r w:rsidRPr="005561D7">
        <w:t>Item 30493 was included in the public consultation in December 2015.</w:t>
      </w:r>
      <w:r w:rsidR="00C22AE4">
        <w:t xml:space="preserve"> </w:t>
      </w:r>
      <w:r w:rsidRPr="005561D7">
        <w:t>The Committee reviewed the comments received and sought further expert opinion on this procedure.</w:t>
      </w:r>
      <w:r w:rsidR="00C22AE4">
        <w:t xml:space="preserve"> </w:t>
      </w:r>
      <w:r w:rsidRPr="005561D7">
        <w:t xml:space="preserve">This advice confirmed that biliary manometry is not supported by the published literature and should be removed. </w:t>
      </w:r>
    </w:p>
    <w:p w14:paraId="30C99A91" w14:textId="04B9880E" w:rsidR="00C90AC5" w:rsidRPr="005561D7" w:rsidRDefault="00C90AC5" w:rsidP="00FA67F0">
      <w:r w:rsidRPr="005561D7">
        <w:t xml:space="preserve">Item 30487 has been identified by the Committee as obsolete and has no clinical purpose in contemporary practice and has been superseded by another procedure, i.e. Push Enteroscopy which the Committee recommends be included in upper GI </w:t>
      </w:r>
      <w:r>
        <w:t xml:space="preserve">endoscopic </w:t>
      </w:r>
      <w:r w:rsidRPr="005561D7">
        <w:t>interventional item 30478.</w:t>
      </w:r>
      <w:r w:rsidR="00C22AE4">
        <w:t xml:space="preserve"> </w:t>
      </w:r>
    </w:p>
    <w:p w14:paraId="7550F614" w14:textId="3DFD4438" w:rsidR="00A84D48" w:rsidRDefault="00C90AC5" w:rsidP="00A84D48">
      <w:r w:rsidRPr="005561D7">
        <w:t xml:space="preserve">Further detail </w:t>
      </w:r>
      <w:r>
        <w:t>is provide</w:t>
      </w:r>
      <w:r w:rsidR="00FA67F0">
        <w:t>d</w:t>
      </w:r>
      <w:r w:rsidR="003F555F">
        <w:t xml:space="preserve"> in under Section </w:t>
      </w:r>
      <w:r w:rsidR="00C35ADC">
        <w:t>9</w:t>
      </w:r>
      <w:r w:rsidR="00FA67F0">
        <w:t>.</w:t>
      </w:r>
      <w:bookmarkStart w:id="41" w:name="_Toc456188374"/>
      <w:bookmarkStart w:id="42" w:name="_Toc457307455"/>
      <w:r w:rsidR="00A84D48">
        <w:br w:type="page"/>
      </w:r>
    </w:p>
    <w:p w14:paraId="1EEFDDD1" w14:textId="4AB3F87F" w:rsidR="00C90AC5" w:rsidRPr="000C644D" w:rsidRDefault="00C90AC5" w:rsidP="003936EE">
      <w:pPr>
        <w:pStyle w:val="ExecSummaryHeading"/>
      </w:pPr>
      <w:r w:rsidRPr="000C644D">
        <w:lastRenderedPageBreak/>
        <w:t>Items not requiring amendment</w:t>
      </w:r>
      <w:bookmarkEnd w:id="41"/>
      <w:bookmarkEnd w:id="42"/>
    </w:p>
    <w:p w14:paraId="731D4E53" w14:textId="48E409BA" w:rsidR="00C90AC5" w:rsidRDefault="00C90AC5" w:rsidP="00FA67F0">
      <w:r w:rsidRPr="008F61C4">
        <w:t>The Committee advises that 29 items do not require any amendment as these items support clinically valuable services and no specific issues relating to their use have been identified.</w:t>
      </w:r>
      <w:r w:rsidR="00C22AE4">
        <w:t xml:space="preserve"> </w:t>
      </w:r>
      <w:r w:rsidRPr="008F61C4">
        <w:t xml:space="preserve">Items that do not require amendment are listed in </w:t>
      </w:r>
      <w:r w:rsidRPr="009474E6">
        <w:t>Appendix A</w:t>
      </w:r>
      <w:r w:rsidRPr="008F61C4">
        <w:t xml:space="preserve">. </w:t>
      </w:r>
    </w:p>
    <w:p w14:paraId="602D66C4" w14:textId="48CC45D8" w:rsidR="00A60A32" w:rsidRPr="008F61C4" w:rsidRDefault="00A60A32" w:rsidP="00A60A32">
      <w:pPr>
        <w:pStyle w:val="ExecSummaryHeading"/>
      </w:pPr>
      <w:r>
        <w:t>General Issues</w:t>
      </w:r>
    </w:p>
    <w:p w14:paraId="6E4BBCED" w14:textId="4FC062D1" w:rsidR="00C90AC5" w:rsidRPr="008F61C4" w:rsidRDefault="00C90AC5" w:rsidP="00FA67F0">
      <w:r w:rsidRPr="008F61C4">
        <w:t>The Committee has identified several issues for noting which have broader application across the MBS and should be considered by the Taskforce.</w:t>
      </w:r>
      <w:r w:rsidR="00C22AE4">
        <w:t xml:space="preserve"> </w:t>
      </w:r>
    </w:p>
    <w:p w14:paraId="75D2544E" w14:textId="636DE778" w:rsidR="00C90AC5" w:rsidRPr="008F61C4" w:rsidRDefault="00C90AC5" w:rsidP="00FA1377">
      <w:pPr>
        <w:pStyle w:val="ListParagraph"/>
        <w:numPr>
          <w:ilvl w:val="0"/>
          <w:numId w:val="21"/>
        </w:numPr>
        <w:ind w:left="360"/>
      </w:pPr>
      <w:r w:rsidRPr="008F61C4">
        <w:t>The Committee examined data on co-claiming of services – that is where more than one item per patient is claimed by the same provider on the same day.</w:t>
      </w:r>
      <w:r w:rsidR="00C22AE4">
        <w:t xml:space="preserve"> </w:t>
      </w:r>
      <w:r w:rsidRPr="008F61C4">
        <w:t>The Committee notes there is significant variation in the co-claiming of services between doctors, and that the level of co-claiming has increased in some areas.</w:t>
      </w:r>
      <w:r w:rsidR="00C22AE4">
        <w:t xml:space="preserve"> </w:t>
      </w:r>
    </w:p>
    <w:p w14:paraId="20F93BA9" w14:textId="77777777" w:rsidR="00C90AC5" w:rsidRDefault="00C90AC5" w:rsidP="00FA1377">
      <w:pPr>
        <w:pStyle w:val="ListParagraph"/>
        <w:numPr>
          <w:ilvl w:val="0"/>
          <w:numId w:val="21"/>
        </w:numPr>
        <w:ind w:left="360"/>
      </w:pPr>
      <w:r w:rsidRPr="008F61C4">
        <w:t>The Committee is generally supportive of limiting co-claiming of consultation services on the same day as a planned procedure e.g. colonoscopy.</w:t>
      </w:r>
    </w:p>
    <w:p w14:paraId="7328300D" w14:textId="18B29DC1" w:rsidR="00FA67F0" w:rsidRPr="008F61C4" w:rsidRDefault="00C90AC5" w:rsidP="00FA1377">
      <w:pPr>
        <w:pStyle w:val="ListParagraph"/>
        <w:numPr>
          <w:ilvl w:val="0"/>
          <w:numId w:val="21"/>
        </w:numPr>
        <w:ind w:left="360"/>
      </w:pPr>
      <w:r w:rsidRPr="008F61C4">
        <w:t>The Committee noted the implications of including high cost consumables in the item fee for services performed in out-of-hospital settings.</w:t>
      </w:r>
      <w:r w:rsidR="00C22AE4">
        <w:t xml:space="preserve"> </w:t>
      </w:r>
      <w:r w:rsidRPr="008F61C4">
        <w:t>The Committee noted that the MBS may not be the best vehicle for funding high cost consumable</w:t>
      </w:r>
      <w:r w:rsidR="000C00A9">
        <w:t>s</w:t>
      </w:r>
      <w:r w:rsidRPr="008F61C4">
        <w:t xml:space="preserve"> that are integral to the service for reasons including:</w:t>
      </w:r>
    </w:p>
    <w:p w14:paraId="127445D3" w14:textId="77777777" w:rsidR="00C90AC5" w:rsidRPr="008F61C4" w:rsidRDefault="00C90AC5" w:rsidP="00FA1377">
      <w:pPr>
        <w:pStyle w:val="ListParagraph"/>
        <w:numPr>
          <w:ilvl w:val="0"/>
          <w:numId w:val="22"/>
        </w:numPr>
      </w:pPr>
      <w:r w:rsidRPr="008F61C4">
        <w:t>device and consumable costs usually reduce over time and there is no ready ability in the MBS to adjust pricing accordingly.</w:t>
      </w:r>
    </w:p>
    <w:p w14:paraId="11A7739E" w14:textId="77777777" w:rsidR="00C90AC5" w:rsidRPr="008F61C4" w:rsidRDefault="00C90AC5" w:rsidP="00FA1377">
      <w:pPr>
        <w:pStyle w:val="ListParagraph"/>
        <w:numPr>
          <w:ilvl w:val="0"/>
          <w:numId w:val="22"/>
        </w:numPr>
      </w:pPr>
      <w:r w:rsidRPr="008F61C4">
        <w:t>depending on the location of the service the consumable cost may or may not be borne by the health professional who receives the MBS benefit.</w:t>
      </w:r>
    </w:p>
    <w:p w14:paraId="600B1E35" w14:textId="77777777" w:rsidR="00C90AC5" w:rsidRDefault="00C90AC5" w:rsidP="00FA1377">
      <w:pPr>
        <w:pStyle w:val="ListParagraph"/>
        <w:numPr>
          <w:ilvl w:val="0"/>
          <w:numId w:val="22"/>
        </w:numPr>
      </w:pPr>
      <w:r w:rsidRPr="008F61C4">
        <w:t>any other available funding sources will vary according to whether it is an in-hospital vs out-of-hospital service and whether it is a private hospital or public hospital service.</w:t>
      </w:r>
    </w:p>
    <w:p w14:paraId="2592BEBB" w14:textId="1663664A" w:rsidR="00C90AC5" w:rsidRPr="00767632" w:rsidRDefault="00FA67F0" w:rsidP="00FA1377">
      <w:pPr>
        <w:pStyle w:val="ListParagraph"/>
        <w:numPr>
          <w:ilvl w:val="0"/>
          <w:numId w:val="21"/>
        </w:numPr>
        <w:ind w:left="360"/>
      </w:pPr>
      <w:r w:rsidRPr="008F61C4">
        <w:t>It is the Committee’s view that the lack of funding for high cost consumables through the MBS, private health insurance subsidies and public hospital budgets is compromising access to services with proven clinical value.</w:t>
      </w:r>
      <w:r w:rsidR="00C22AE4">
        <w:t xml:space="preserve"> </w:t>
      </w:r>
      <w:r w:rsidRPr="008F61C4">
        <w:t>This issue is evident in item 30687, an endoscopic procedure providing radiofrequency ablation for the treatment of Barrett’s Oesophagus.</w:t>
      </w:r>
      <w:r w:rsidR="00C22AE4">
        <w:t xml:space="preserve"> </w:t>
      </w:r>
      <w:r w:rsidRPr="008F61C4">
        <w:t xml:space="preserve">The funding of the high cost disposable radiofrequency ablation device is not covered under the MBS item and private health insurers will not </w:t>
      </w:r>
      <w:r>
        <w:t xml:space="preserve">cover </w:t>
      </w:r>
      <w:r w:rsidRPr="008F61C4">
        <w:t>the costs of the device as it is not listed on the prosthesis list.</w:t>
      </w:r>
      <w:r w:rsidR="00C22AE4">
        <w:t xml:space="preserve"> </w:t>
      </w:r>
    </w:p>
    <w:p w14:paraId="4E0D9E1F" w14:textId="382EE200" w:rsidR="00BC662E" w:rsidRDefault="00684331" w:rsidP="00A84D48">
      <w:pPr>
        <w:rPr>
          <w:rFonts w:eastAsiaTheme="minorHAnsi" w:cs="Arial"/>
          <w:b/>
          <w:bCs/>
          <w:iCs/>
          <w:color w:val="01653F"/>
          <w:sz w:val="26"/>
          <w:szCs w:val="22"/>
          <w:lang w:val="en-US" w:eastAsia="en-US"/>
        </w:rPr>
      </w:pPr>
      <w:r w:rsidRPr="003263DE">
        <w:rPr>
          <w:rFonts w:eastAsiaTheme="majorEastAsia"/>
          <w:bCs/>
          <w:iCs/>
          <w:lang w:eastAsia="en-US"/>
        </w:rPr>
        <w:t>All items and descriptions are listed in Appendix A.</w:t>
      </w:r>
      <w:bookmarkStart w:id="43" w:name="_Toc457053404"/>
      <w:r w:rsidR="00BC662E">
        <w:br w:type="page"/>
      </w:r>
    </w:p>
    <w:p w14:paraId="67D1C16B" w14:textId="248CF131" w:rsidR="000E7E41" w:rsidRPr="00700528" w:rsidRDefault="000E7E41" w:rsidP="003F555F">
      <w:pPr>
        <w:pStyle w:val="Heading2"/>
      </w:pPr>
      <w:r w:rsidRPr="00700528">
        <w:lastRenderedPageBreak/>
        <w:t>Consumer engagement</w:t>
      </w:r>
      <w:bookmarkEnd w:id="43"/>
    </w:p>
    <w:p w14:paraId="1F87A6F2" w14:textId="0AF194A6" w:rsidR="00C90AC5" w:rsidRPr="00C90AC5" w:rsidRDefault="00C90AC5" w:rsidP="00C90AC5">
      <w:r w:rsidRPr="00C90AC5">
        <w:t>The Committee did not have a consumer representative. The Committee recommendations have been summarised for consumers in Appendix B.</w:t>
      </w:r>
      <w:r w:rsidR="00C22AE4">
        <w:t xml:space="preserve"> </w:t>
      </w:r>
      <w:r w:rsidRPr="00C90AC5">
        <w:t xml:space="preserve">The </w:t>
      </w:r>
      <w:r w:rsidR="000C00A9">
        <w:t xml:space="preserve">summary </w:t>
      </w:r>
      <w:r w:rsidRPr="00C90AC5">
        <w:t>describes the medical service, the recommendation of the clinical experts and why the recommendation has been made for all major changes and proposed new items.</w:t>
      </w:r>
    </w:p>
    <w:p w14:paraId="72B52C53" w14:textId="13ACBAED" w:rsidR="00684331" w:rsidRPr="001766C6" w:rsidRDefault="00C90AC5" w:rsidP="00A84D48">
      <w:r w:rsidRPr="00C90AC5">
        <w:t>Importantly however, the Committee believes it is important to find out from consumers if they will be helped or disadvantaged by the recommendations – and how, and why.</w:t>
      </w:r>
      <w:r w:rsidR="00C22AE4">
        <w:t xml:space="preserve"> </w:t>
      </w:r>
      <w:r w:rsidRPr="00C90AC5">
        <w:t>Following the public consultation the Committee will assess the advice from consumers and decide whether any changes are needed to the recommendations.</w:t>
      </w:r>
      <w:r w:rsidR="00C22AE4">
        <w:t xml:space="preserve"> </w:t>
      </w:r>
      <w:r w:rsidRPr="00C90AC5">
        <w:t>The Committee will then send the recommendations to the MBS Taskforce.</w:t>
      </w:r>
      <w:r w:rsidR="00C22AE4">
        <w:t xml:space="preserve"> </w:t>
      </w:r>
      <w:r w:rsidRPr="00C90AC5">
        <w:t>The Taskforce will consider the recommendations as well as the information provided by consumers in order to make sure that all the important concerns are addressed.</w:t>
      </w:r>
      <w:r w:rsidR="00C22AE4">
        <w:t xml:space="preserve"> </w:t>
      </w:r>
      <w:r w:rsidRPr="00C90AC5">
        <w:t xml:space="preserve">The Taskforce will then provide the recommendation to government. </w:t>
      </w:r>
      <w:r w:rsidR="00684331" w:rsidRPr="001766C6">
        <w:br w:type="page"/>
      </w:r>
    </w:p>
    <w:p w14:paraId="5B3304BD" w14:textId="77777777" w:rsidR="009837DB" w:rsidRPr="007E02E9" w:rsidRDefault="00817A04" w:rsidP="00700528">
      <w:pPr>
        <w:pStyle w:val="Heading1"/>
      </w:pPr>
      <w:bookmarkStart w:id="44" w:name="_Toc457053408"/>
      <w:bookmarkStart w:id="45" w:name="_Toc485731758"/>
      <w:r w:rsidRPr="007E02E9">
        <w:lastRenderedPageBreak/>
        <w:t>About the Medicare Benefits Schedule (MBS) Review</w:t>
      </w:r>
      <w:bookmarkEnd w:id="44"/>
      <w:bookmarkEnd w:id="45"/>
      <w:r w:rsidRPr="007E02E9">
        <w:t xml:space="preserve"> </w:t>
      </w:r>
    </w:p>
    <w:p w14:paraId="4F49B0E8" w14:textId="77777777" w:rsidR="008A05B8" w:rsidRPr="00700528" w:rsidRDefault="00463B1C" w:rsidP="003F555F">
      <w:pPr>
        <w:pStyle w:val="Heading2"/>
      </w:pPr>
      <w:bookmarkStart w:id="46" w:name="_Toc457053409"/>
      <w:r w:rsidRPr="00700528">
        <w:t>Medicare and the MBS</w:t>
      </w:r>
      <w:bookmarkEnd w:id="46"/>
    </w:p>
    <w:p w14:paraId="5914A3D9" w14:textId="77777777" w:rsidR="006B0D15" w:rsidRPr="009200D8" w:rsidRDefault="006B0D15" w:rsidP="00A84D48">
      <w:pPr>
        <w:pStyle w:val="Heading3"/>
      </w:pPr>
      <w:r w:rsidRPr="009200D8">
        <w:t xml:space="preserve">What is </w:t>
      </w:r>
      <w:r w:rsidRPr="00A84D48">
        <w:t>Medicare</w:t>
      </w:r>
      <w:r w:rsidRPr="009200D8">
        <w:t>?</w:t>
      </w:r>
    </w:p>
    <w:p w14:paraId="07DEA76F" w14:textId="55238535" w:rsidR="006B0D15" w:rsidRPr="009D0EED" w:rsidRDefault="006B0D15" w:rsidP="009A3675">
      <w:pPr>
        <w:rPr>
          <w:lang w:val="en-US" w:eastAsia="en-US"/>
        </w:rPr>
      </w:pPr>
      <w:r w:rsidRPr="00253F2C">
        <w:rPr>
          <w:lang w:val="en-US" w:eastAsia="en-US"/>
        </w:rPr>
        <w:t>Medicare is Australia’s universal health scheme</w:t>
      </w:r>
      <w:r w:rsidR="00A13A3C" w:rsidRPr="009D0EED">
        <w:rPr>
          <w:lang w:val="en-US" w:eastAsia="en-US"/>
        </w:rPr>
        <w:t xml:space="preserve"> which</w:t>
      </w:r>
      <w:r w:rsidRPr="009D0EED">
        <w:rPr>
          <w:lang w:val="en-US" w:eastAsia="en-US"/>
        </w:rPr>
        <w:t xml:space="preserve"> </w:t>
      </w:r>
      <w:r w:rsidR="00A13A3C" w:rsidRPr="009D0EED">
        <w:rPr>
          <w:lang w:val="en-US" w:eastAsia="en-US"/>
        </w:rPr>
        <w:t>enables</w:t>
      </w:r>
      <w:r w:rsidRPr="009D0EED">
        <w:rPr>
          <w:lang w:val="en-US" w:eastAsia="en-US"/>
        </w:rPr>
        <w:t xml:space="preserve"> all </w:t>
      </w:r>
      <w:r w:rsidR="00764294">
        <w:rPr>
          <w:lang w:val="en-US" w:eastAsia="en-US"/>
        </w:rPr>
        <w:t xml:space="preserve">Australian residents </w:t>
      </w:r>
      <w:r w:rsidRPr="009D0EED">
        <w:rPr>
          <w:lang w:val="en-US" w:eastAsia="en-US"/>
        </w:rPr>
        <w:t xml:space="preserve">(and some overseas visitors) </w:t>
      </w:r>
      <w:r w:rsidR="00F971B5" w:rsidRPr="009D0EED">
        <w:rPr>
          <w:lang w:val="en-US" w:eastAsia="en-US"/>
        </w:rPr>
        <w:t xml:space="preserve">to </w:t>
      </w:r>
      <w:r w:rsidR="00AE0B4C" w:rsidRPr="009D0EED">
        <w:rPr>
          <w:lang w:val="en-US" w:eastAsia="en-US"/>
        </w:rPr>
        <w:t>have</w:t>
      </w:r>
      <w:r w:rsidRPr="009D0EED">
        <w:rPr>
          <w:lang w:val="en-US" w:eastAsia="en-US"/>
        </w:rPr>
        <w:t xml:space="preserve"> access to a wide range of health services </w:t>
      </w:r>
      <w:r w:rsidR="00F971B5" w:rsidRPr="009D0EED">
        <w:rPr>
          <w:lang w:val="en-US" w:eastAsia="en-US"/>
        </w:rPr>
        <w:t xml:space="preserve">and medicines </w:t>
      </w:r>
      <w:r w:rsidRPr="009D0EED">
        <w:rPr>
          <w:lang w:val="en-US" w:eastAsia="en-US"/>
        </w:rPr>
        <w:t xml:space="preserve">at little or no cost. </w:t>
      </w:r>
    </w:p>
    <w:p w14:paraId="03C9FA83" w14:textId="77777777" w:rsidR="006B0D15" w:rsidRPr="009D0EED" w:rsidRDefault="00A13A3C" w:rsidP="009A3675">
      <w:pPr>
        <w:rPr>
          <w:rFonts w:eastAsiaTheme="minorHAnsi"/>
          <w:b/>
          <w:lang w:eastAsia="en-US"/>
        </w:rPr>
      </w:pPr>
      <w:r w:rsidRPr="009D0EED">
        <w:t>Introduced in 1984,</w:t>
      </w:r>
      <w:r w:rsidR="00536EB8" w:rsidRPr="009D0EED">
        <w:t xml:space="preserve"> </w:t>
      </w:r>
      <w:r w:rsidR="006B0D15" w:rsidRPr="009D0EED">
        <w:t xml:space="preserve">Medicare </w:t>
      </w:r>
      <w:r w:rsidRPr="009D0EED">
        <w:t>has three components</w:t>
      </w:r>
      <w:r w:rsidR="0076332F">
        <w:t>,</w:t>
      </w:r>
      <w:r w:rsidRPr="009D0EED">
        <w:t xml:space="preserve"> being free public hospital services for public patients, subsidised drugs covered by the Pharmaceutical Benefits Scheme</w:t>
      </w:r>
      <w:r w:rsidR="0076332F">
        <w:t>,</w:t>
      </w:r>
      <w:r w:rsidRPr="009D0EED">
        <w:t xml:space="preserve"> and subsidised health professional services listed on the Medicare Benefits Schedule (MBS</w:t>
      </w:r>
      <w:r w:rsidR="00F971B5" w:rsidRPr="009D0EED">
        <w:t>)</w:t>
      </w:r>
      <w:r w:rsidR="006B0D15" w:rsidRPr="009D0EED">
        <w:t>.</w:t>
      </w:r>
    </w:p>
    <w:p w14:paraId="769C1501" w14:textId="77777777" w:rsidR="008A05B8" w:rsidRPr="009200D8" w:rsidRDefault="008A05B8" w:rsidP="00A84D48">
      <w:pPr>
        <w:pStyle w:val="Heading3"/>
      </w:pPr>
      <w:r w:rsidRPr="009200D8">
        <w:t xml:space="preserve">What is the Medicare Benefits </w:t>
      </w:r>
      <w:r w:rsidRPr="00A84D48">
        <w:t>Schedule</w:t>
      </w:r>
      <w:r w:rsidRPr="009200D8">
        <w:t xml:space="preserve"> (MBS)?</w:t>
      </w:r>
    </w:p>
    <w:p w14:paraId="5CDEC804" w14:textId="269EB59D" w:rsidR="008A05B8" w:rsidRPr="009D0EED" w:rsidRDefault="00D57793" w:rsidP="009A3675">
      <w:pPr>
        <w:rPr>
          <w:lang w:val="en-US" w:eastAsia="en-US"/>
        </w:rPr>
      </w:pPr>
      <w:r w:rsidRPr="00253F2C">
        <w:rPr>
          <w:lang w:val="en-US" w:eastAsia="en-US"/>
        </w:rPr>
        <w:t>The Medicare Benefits Schedule (MBS) is a listing of the</w:t>
      </w:r>
      <w:r w:rsidR="00A13A3C" w:rsidRPr="009D0EED">
        <w:rPr>
          <w:lang w:val="en-US" w:eastAsia="en-US"/>
        </w:rPr>
        <w:t xml:space="preserve"> health </w:t>
      </w:r>
      <w:r w:rsidR="00536EB8" w:rsidRPr="009D0EED">
        <w:rPr>
          <w:lang w:val="en-US" w:eastAsia="en-US"/>
        </w:rPr>
        <w:t>professional services</w:t>
      </w:r>
      <w:r w:rsidRPr="009D0EED">
        <w:rPr>
          <w:lang w:val="en-US" w:eastAsia="en-US"/>
        </w:rPr>
        <w:t xml:space="preserve"> subsidised by the Australian </w:t>
      </w:r>
      <w:r w:rsidR="00536EB8" w:rsidRPr="009D0EED">
        <w:rPr>
          <w:lang w:val="en-US" w:eastAsia="en-US"/>
        </w:rPr>
        <w:t>government. There</w:t>
      </w:r>
      <w:r w:rsidR="00F971B5" w:rsidRPr="009D0EED">
        <w:rPr>
          <w:lang w:val="en-US" w:eastAsia="en-US"/>
        </w:rPr>
        <w:t xml:space="preserve"> are over 5</w:t>
      </w:r>
      <w:r w:rsidR="0076332F">
        <w:rPr>
          <w:lang w:val="en-US" w:eastAsia="en-US"/>
        </w:rPr>
        <w:t>,</w:t>
      </w:r>
      <w:r w:rsidR="00F971B5" w:rsidRPr="009D0EED">
        <w:rPr>
          <w:lang w:val="en-US" w:eastAsia="en-US"/>
        </w:rPr>
        <w:t xml:space="preserve">700 MBS items </w:t>
      </w:r>
      <w:r w:rsidR="00536EB8" w:rsidRPr="009D0EED">
        <w:rPr>
          <w:lang w:val="en-US" w:eastAsia="en-US"/>
        </w:rPr>
        <w:t>which provide</w:t>
      </w:r>
      <w:r w:rsidR="00F971B5" w:rsidRPr="009D0EED">
        <w:rPr>
          <w:lang w:val="en-US" w:eastAsia="en-US"/>
        </w:rPr>
        <w:t xml:space="preserve"> </w:t>
      </w:r>
      <w:r w:rsidR="00764294">
        <w:rPr>
          <w:lang w:val="en-US" w:eastAsia="en-US"/>
        </w:rPr>
        <w:t xml:space="preserve">benefits to patients </w:t>
      </w:r>
      <w:r w:rsidR="00536EB8" w:rsidRPr="009D0EED">
        <w:rPr>
          <w:lang w:val="en-US" w:eastAsia="en-US"/>
        </w:rPr>
        <w:t>for</w:t>
      </w:r>
      <w:r w:rsidR="00F971B5" w:rsidRPr="009D0EED">
        <w:rPr>
          <w:lang w:val="en-US" w:eastAsia="en-US"/>
        </w:rPr>
        <w:t xml:space="preserve"> a comprehensive range </w:t>
      </w:r>
      <w:r w:rsidR="0054443F" w:rsidRPr="009D0EED">
        <w:rPr>
          <w:lang w:val="en-US" w:eastAsia="en-US"/>
        </w:rPr>
        <w:t>of services</w:t>
      </w:r>
      <w:r w:rsidR="00F971B5" w:rsidRPr="009D0EED">
        <w:rPr>
          <w:lang w:val="en-US" w:eastAsia="en-US"/>
        </w:rPr>
        <w:t xml:space="preserve"> including consultations, diagnostic tests and operations. </w:t>
      </w:r>
    </w:p>
    <w:p w14:paraId="69AC16A5" w14:textId="77777777" w:rsidR="008A05B8" w:rsidRPr="009200D8" w:rsidRDefault="008A05B8" w:rsidP="00B26A7A">
      <w:pPr>
        <w:pStyle w:val="Heading2"/>
        <w:ind w:left="578" w:hanging="578"/>
      </w:pPr>
      <w:r w:rsidRPr="009200D8">
        <w:t>What is the MBS Review Taskforce?</w:t>
      </w:r>
    </w:p>
    <w:p w14:paraId="09EDA5F1" w14:textId="77777777" w:rsidR="008A05B8" w:rsidRPr="009D40D0" w:rsidRDefault="008A05B8" w:rsidP="009A3675">
      <w:pPr>
        <w:rPr>
          <w:lang w:val="en-US" w:eastAsia="en-US"/>
        </w:rPr>
      </w:pPr>
      <w:r w:rsidRPr="00253F2C">
        <w:rPr>
          <w:lang w:val="en-US" w:eastAsia="en-US"/>
        </w:rPr>
        <w:t>The government has established a Medicare Review Taskforce to review all of the 5</w:t>
      </w:r>
      <w:r w:rsidR="0076332F">
        <w:rPr>
          <w:lang w:val="en-US" w:eastAsia="en-US"/>
        </w:rPr>
        <w:t>,</w:t>
      </w:r>
      <w:r w:rsidRPr="00253F2C">
        <w:rPr>
          <w:lang w:val="en-US" w:eastAsia="en-US"/>
        </w:rPr>
        <w:t>700 M</w:t>
      </w:r>
      <w:r w:rsidR="00F971B5" w:rsidRPr="009D0EED">
        <w:rPr>
          <w:lang w:val="en-US" w:eastAsia="en-US"/>
        </w:rPr>
        <w:t>BS</w:t>
      </w:r>
      <w:r w:rsidRPr="009D0EED">
        <w:rPr>
          <w:lang w:val="en-US" w:eastAsia="en-US"/>
        </w:rPr>
        <w:t xml:space="preserve"> items to ensure they are aligned w</w:t>
      </w:r>
      <w:r w:rsidRPr="009D40D0">
        <w:rPr>
          <w:lang w:val="en-US" w:eastAsia="en-US"/>
        </w:rPr>
        <w:t>ith contemporary clinical evidence and practice and improve health outcomes for patients.</w:t>
      </w:r>
    </w:p>
    <w:p w14:paraId="7D03B489" w14:textId="77777777" w:rsidR="008A05B8" w:rsidRPr="00700528" w:rsidRDefault="00202DB4" w:rsidP="00A84D48">
      <w:pPr>
        <w:pStyle w:val="Heading3"/>
      </w:pPr>
      <w:bookmarkStart w:id="47" w:name="_Toc457053410"/>
      <w:r w:rsidRPr="00700528">
        <w:t>What are the g</w:t>
      </w:r>
      <w:r w:rsidR="009A1898" w:rsidRPr="00700528">
        <w:t>oals of the Taskforce?</w:t>
      </w:r>
      <w:bookmarkEnd w:id="47"/>
    </w:p>
    <w:p w14:paraId="1231EF7F" w14:textId="77777777" w:rsidR="00AE0B4C" w:rsidRPr="009D0EED" w:rsidRDefault="00AE0B4C" w:rsidP="002036DF">
      <w:r w:rsidRPr="009D0EED">
        <w:t>The Taskforce is committed to providing recommendations to the Minister that will allow the MBS to deliver on each of these four key goals:</w:t>
      </w:r>
    </w:p>
    <w:p w14:paraId="20BD9B34" w14:textId="77777777" w:rsidR="00AE0B4C" w:rsidRPr="003A6B42" w:rsidRDefault="00AE0B4C" w:rsidP="00490F36">
      <w:pPr>
        <w:pStyle w:val="NormalBulleted"/>
        <w:rPr>
          <w:lang w:val="en-US"/>
        </w:rPr>
      </w:pPr>
      <w:r w:rsidRPr="003A6B42">
        <w:rPr>
          <w:b/>
          <w:lang w:val="en-US"/>
        </w:rPr>
        <w:t>Affordable and universal access</w:t>
      </w:r>
      <w:r w:rsidRPr="003A6B42">
        <w:rPr>
          <w:lang w:val="en-US"/>
        </w:rPr>
        <w:t>—</w:t>
      </w:r>
      <w:r w:rsidR="00463B1C" w:rsidRPr="003A6B42">
        <w:rPr>
          <w:lang w:val="en-US"/>
        </w:rPr>
        <w:t xml:space="preserve"> </w:t>
      </w:r>
      <w:r w:rsidR="00306AC2" w:rsidRPr="003A6B42">
        <w:rPr>
          <w:lang w:val="en-US"/>
        </w:rPr>
        <w:t>the</w:t>
      </w:r>
      <w:r w:rsidRPr="003A6B42">
        <w:rPr>
          <w:lang w:val="en-US"/>
        </w:rPr>
        <w:t xml:space="preserve"> evidence demonstrates that the MBS supports very good access to primary care services for most Australians, particularly in urban Australia. However, despite increases in the specialist workforce over the last decade, access to many specialist services remains problematic with some rural patients being particularly under-serviced.</w:t>
      </w:r>
    </w:p>
    <w:p w14:paraId="24F7D8FB" w14:textId="77777777" w:rsidR="00AE0B4C" w:rsidRPr="003A6B42" w:rsidRDefault="00AE0B4C" w:rsidP="00490F36">
      <w:pPr>
        <w:pStyle w:val="NormalBulleted"/>
        <w:rPr>
          <w:lang w:val="en-US"/>
        </w:rPr>
      </w:pPr>
      <w:r w:rsidRPr="003A6B42">
        <w:rPr>
          <w:b/>
          <w:lang w:val="en-US"/>
        </w:rPr>
        <w:t>Best practice health services</w:t>
      </w:r>
      <w:r w:rsidRPr="003A6B42">
        <w:rPr>
          <w:lang w:val="en-US"/>
        </w:rPr>
        <w:t>—</w:t>
      </w:r>
      <w:r w:rsidR="00715996" w:rsidRPr="003A6B42">
        <w:rPr>
          <w:lang w:val="en-US"/>
        </w:rPr>
        <w:t xml:space="preserve"> </w:t>
      </w:r>
      <w:r w:rsidR="00306AC2" w:rsidRPr="003A6B42">
        <w:rPr>
          <w:lang w:val="en-US"/>
        </w:rPr>
        <w:t>one</w:t>
      </w:r>
      <w:r w:rsidRPr="003A6B42">
        <w:rPr>
          <w:lang w:val="en-US"/>
        </w:rPr>
        <w:t xml:space="preserve"> of the core objectives of the Review is to modernise the MBS, ensuring that individual items and their descriptors are consistent with contemporary best practice and the evidence base where possible. Although the Medical Services Advisory Committee (MSAC) plays a crucial role in thoroughly evaluating new services, the vast </w:t>
      </w:r>
      <w:r w:rsidR="0054443F" w:rsidRPr="003A6B42">
        <w:rPr>
          <w:lang w:val="en-US"/>
        </w:rPr>
        <w:t>majority of existing MBS items pre-dates this process and has</w:t>
      </w:r>
      <w:r w:rsidRPr="003A6B42">
        <w:rPr>
          <w:lang w:val="en-US"/>
        </w:rPr>
        <w:t xml:space="preserve"> never been reviewed.</w:t>
      </w:r>
    </w:p>
    <w:p w14:paraId="534BECC6" w14:textId="728EA060" w:rsidR="00AE0B4C" w:rsidRPr="003A6B42" w:rsidRDefault="00AE0B4C" w:rsidP="00490F36">
      <w:pPr>
        <w:pStyle w:val="NormalBulleted"/>
        <w:rPr>
          <w:lang w:val="en-US"/>
        </w:rPr>
      </w:pPr>
      <w:r w:rsidRPr="003A6B42">
        <w:rPr>
          <w:b/>
          <w:lang w:val="en-US"/>
        </w:rPr>
        <w:t>Value for the individual patient</w:t>
      </w:r>
      <w:r w:rsidR="00306AC2" w:rsidRPr="003A6B42">
        <w:rPr>
          <w:lang w:val="en-US"/>
        </w:rPr>
        <w:t>—a</w:t>
      </w:r>
      <w:r w:rsidRPr="003A6B42">
        <w:rPr>
          <w:lang w:val="en-US"/>
        </w:rPr>
        <w:t>nother core objective of the Review is to have a</w:t>
      </w:r>
      <w:r w:rsidR="00133E27">
        <w:rPr>
          <w:lang w:val="en-US"/>
        </w:rPr>
        <w:t>n</w:t>
      </w:r>
      <w:r w:rsidRPr="003A6B42">
        <w:rPr>
          <w:lang w:val="en-US"/>
        </w:rPr>
        <w:t xml:space="preserve"> MBS that supports the delivery of services that are appropriate to the patient’s needs, provide real clinical value and do not expose the patient to unnecessary risk or expense.</w:t>
      </w:r>
    </w:p>
    <w:p w14:paraId="22C74EBC" w14:textId="77777777" w:rsidR="00AE0B4C" w:rsidRPr="009D0EED" w:rsidRDefault="00AE0B4C" w:rsidP="00490F36">
      <w:pPr>
        <w:pStyle w:val="NormalBulleted"/>
      </w:pPr>
      <w:r w:rsidRPr="003A6B42">
        <w:rPr>
          <w:b/>
          <w:lang w:val="en-US"/>
        </w:rPr>
        <w:t>Value for the health system</w:t>
      </w:r>
      <w:r w:rsidR="00306AC2" w:rsidRPr="003A6B42">
        <w:rPr>
          <w:lang w:val="en-US"/>
        </w:rPr>
        <w:t>—a</w:t>
      </w:r>
      <w:r w:rsidRPr="003A6B42">
        <w:rPr>
          <w:lang w:val="en-US"/>
        </w:rPr>
        <w:t xml:space="preserve">chieving the above elements of the vision will go a long way to achieving improved value for the health system overall. Reducing the volume of services that provide little or no clinical benefit will enable resources to be redirected to new and existing </w:t>
      </w:r>
      <w:r w:rsidRPr="003A6B42">
        <w:rPr>
          <w:lang w:val="en-US"/>
        </w:rPr>
        <w:lastRenderedPageBreak/>
        <w:t>services that have proven benefit and are underused, particularly for patients who cannot readily access those services currently.</w:t>
      </w:r>
    </w:p>
    <w:p w14:paraId="53243DDD" w14:textId="77777777" w:rsidR="00715996" w:rsidRPr="00700528" w:rsidRDefault="00715996" w:rsidP="003F555F">
      <w:pPr>
        <w:pStyle w:val="Heading2"/>
      </w:pPr>
      <w:bookmarkStart w:id="48" w:name="_Toc457053411"/>
      <w:r w:rsidRPr="00700528">
        <w:t>Methods: The Taskforce’s approach</w:t>
      </w:r>
      <w:bookmarkEnd w:id="48"/>
    </w:p>
    <w:p w14:paraId="306630A3" w14:textId="77777777" w:rsidR="00715996" w:rsidRPr="009D0EED" w:rsidRDefault="00715996" w:rsidP="002036DF">
      <w:r w:rsidRPr="00253F2C">
        <w:t xml:space="preserve">The Taskforce is </w:t>
      </w:r>
      <w:r w:rsidR="00AE0B4C" w:rsidRPr="009D0EED">
        <w:t xml:space="preserve">reviewing the existing MBS items, with </w:t>
      </w:r>
      <w:r w:rsidRPr="009D0EED">
        <w:t>a</w:t>
      </w:r>
      <w:r w:rsidR="00AE0B4C" w:rsidRPr="009D0EED">
        <w:t xml:space="preserve"> </w:t>
      </w:r>
      <w:r w:rsidRPr="009D0EED">
        <w:t xml:space="preserve">primary </w:t>
      </w:r>
      <w:r w:rsidR="00CE0E68" w:rsidRPr="009D0EED">
        <w:t>focus</w:t>
      </w:r>
      <w:r w:rsidR="00AE0B4C" w:rsidRPr="009D0EED">
        <w:t xml:space="preserve"> on ensuring that individual items and usage meet the definition of best practice. </w:t>
      </w:r>
    </w:p>
    <w:p w14:paraId="5B649F86" w14:textId="32D4998B" w:rsidR="00AE0B4C" w:rsidRPr="009D0EED" w:rsidRDefault="00AE0B4C" w:rsidP="002036DF">
      <w:r w:rsidRPr="009D0EED">
        <w:t>Within the Taskforce’s brief there is considerable scope to review and advise on all aspects which would contribute to a modern, transparent and responsive system. This includes not only making recommendations about new items or services being added to the MBS, but also about a</w:t>
      </w:r>
      <w:r w:rsidR="00577DAA">
        <w:t>n</w:t>
      </w:r>
      <w:r w:rsidRPr="009D0EED">
        <w:t xml:space="preserve"> MBS structure that could better accommodate changing health service models. </w:t>
      </w:r>
    </w:p>
    <w:p w14:paraId="3E48CE5E" w14:textId="77777777" w:rsidR="00AE0B4C" w:rsidRPr="009D0EED" w:rsidRDefault="00AE0B4C" w:rsidP="002036DF">
      <w:r w:rsidRPr="009D0EED">
        <w:t xml:space="preserve">The Taskforce has made a conscious decision to be ambitious in its approach and seize this unique opportunity to recommend changes to modernise the MBS on all levels, from the clinical detail of individual items, to administrative rules and mechanisms, to structural, whole-of-MBS issues. </w:t>
      </w:r>
    </w:p>
    <w:p w14:paraId="0A21BB34" w14:textId="77777777" w:rsidR="00AE0B4C" w:rsidRPr="009D0EED" w:rsidRDefault="00715996" w:rsidP="002036DF">
      <w:r w:rsidRPr="009D0EED">
        <w:t>The</w:t>
      </w:r>
      <w:r w:rsidR="00AE0B4C" w:rsidRPr="009D0EED">
        <w:t xml:space="preserve"> Taskforce will </w:t>
      </w:r>
      <w:r w:rsidRPr="009D0EED">
        <w:t>also develop a</w:t>
      </w:r>
      <w:r w:rsidR="00AE0B4C" w:rsidRPr="009D0EED">
        <w:t xml:space="preserve"> mechanism for the ongoing review of the MBS once the current Review is concluded.</w:t>
      </w:r>
    </w:p>
    <w:p w14:paraId="4B175F34" w14:textId="77777777" w:rsidR="00F971B5" w:rsidRPr="009D0EED" w:rsidRDefault="00F971B5" w:rsidP="002036DF">
      <w:r w:rsidRPr="009D0EED">
        <w:t>As the Review is to be clinician</w:t>
      </w:r>
      <w:r w:rsidR="0076332F">
        <w:t>-</w:t>
      </w:r>
      <w:r w:rsidRPr="009D0EED">
        <w:t>led, the Taskforce has de</w:t>
      </w:r>
      <w:r w:rsidR="009A0DC4" w:rsidRPr="009D0EED">
        <w:t>cided that the detailed review of MBS items should be done by Clinical Committees. The Committees are broad based in their membership and members have been appointed in their individual capacity</w:t>
      </w:r>
      <w:r w:rsidR="0076332F">
        <w:t>,</w:t>
      </w:r>
      <w:r w:rsidR="009A0DC4" w:rsidRPr="009D0EED">
        <w:t xml:space="preserve"> not as representatives of any organisation. This draft report details the work done by the specific Clinical Committee </w:t>
      </w:r>
      <w:r w:rsidR="0054443F" w:rsidRPr="009D0EED">
        <w:t>and describes</w:t>
      </w:r>
      <w:r w:rsidR="009A0DC4" w:rsidRPr="009D0EED">
        <w:t xml:space="preserve"> the Committee’s recommendations and their rationale.</w:t>
      </w:r>
    </w:p>
    <w:p w14:paraId="5AAC3943" w14:textId="4D6B2FB3" w:rsidR="004D72E6" w:rsidRDefault="007E588A" w:rsidP="002036DF">
      <w:r w:rsidRPr="009D0EED">
        <w:t xml:space="preserve">This report does not represent the final position of the Committee. </w:t>
      </w:r>
      <w:r w:rsidR="00306AC2" w:rsidRPr="009D0EED">
        <w:t xml:space="preserve">A consultation process will inform recommendations of the </w:t>
      </w:r>
      <w:r w:rsidR="002F79F4">
        <w:t>Committee</w:t>
      </w:r>
      <w:r w:rsidR="00CF3A42" w:rsidRPr="009D0EED">
        <w:t xml:space="preserve"> and </w:t>
      </w:r>
      <w:r w:rsidR="00306AC2" w:rsidRPr="009D0EED">
        <w:t xml:space="preserve">assist </w:t>
      </w:r>
      <w:r w:rsidR="002F79F4">
        <w:t xml:space="preserve">it </w:t>
      </w:r>
      <w:r w:rsidR="00306AC2" w:rsidRPr="009D0EED">
        <w:t xml:space="preserve">in finalising its report to the MBS review Taskforce. </w:t>
      </w:r>
    </w:p>
    <w:p w14:paraId="1C1DA458" w14:textId="0CF8BA3E" w:rsidR="00306AC2" w:rsidRPr="009D0EED" w:rsidRDefault="00306AC2" w:rsidP="002036DF">
      <w:pPr>
        <w:rPr>
          <w:lang w:val="en-US" w:eastAsia="en-US"/>
        </w:rPr>
      </w:pPr>
      <w:r w:rsidRPr="009D0EED">
        <w:t xml:space="preserve">Following consultation, the Committee will provide its final advice to the MBS Review Taskforce. </w:t>
      </w:r>
      <w:r w:rsidRPr="009D0EED">
        <w:rPr>
          <w:lang w:val="en-US" w:eastAsia="en-US"/>
        </w:rPr>
        <w:t xml:space="preserve">The Taskforce will consider the Review Report from Clinical Committees and stakeholder feedback before making recommendations to the Minister for consideration by Government. </w:t>
      </w:r>
    </w:p>
    <w:p w14:paraId="3836981D" w14:textId="77777777" w:rsidR="00457693" w:rsidRPr="00700528" w:rsidRDefault="00457693" w:rsidP="003F555F">
      <w:pPr>
        <w:pStyle w:val="Heading2"/>
      </w:pPr>
      <w:bookmarkStart w:id="49" w:name="_Toc457053412"/>
      <w:r w:rsidRPr="00700528">
        <w:t>Prioritisation process</w:t>
      </w:r>
      <w:bookmarkEnd w:id="49"/>
    </w:p>
    <w:p w14:paraId="405FC114" w14:textId="211344B0" w:rsidR="001E5746" w:rsidRDefault="00457693" w:rsidP="002036DF">
      <w:r w:rsidRPr="009D0EED">
        <w:t>All MBS items will be reviewed during the course of the MBS Review. However</w:t>
      </w:r>
      <w:r w:rsidR="00D8120A">
        <w:t>,</w:t>
      </w:r>
      <w:r w:rsidRPr="009D0EED">
        <w:t xml:space="preserve"> </w:t>
      </w:r>
      <w:r w:rsidR="009A0DC4" w:rsidRPr="009D0EED">
        <w:t xml:space="preserve">given the breadth of </w:t>
      </w:r>
      <w:r w:rsidR="000309CE" w:rsidRPr="009D0EED">
        <w:t xml:space="preserve">and timeframe for </w:t>
      </w:r>
      <w:r w:rsidR="009A0DC4" w:rsidRPr="009D0EED">
        <w:t>the Review, each Clinical Committee has needed to develop a work</w:t>
      </w:r>
      <w:r w:rsidR="0026678E" w:rsidRPr="009D0EED">
        <w:t xml:space="preserve"> </w:t>
      </w:r>
      <w:r w:rsidR="009A0DC4" w:rsidRPr="009D0EED">
        <w:t>plan and assign priorities</w:t>
      </w:r>
      <w:r w:rsidR="000309CE" w:rsidRPr="009D0EED">
        <w:t xml:space="preserve"> keeping in mind the objectives of the Review. With a focus on </w:t>
      </w:r>
      <w:r w:rsidR="0054443F" w:rsidRPr="009D0EED">
        <w:t>improving the</w:t>
      </w:r>
      <w:r w:rsidR="000309CE" w:rsidRPr="009D0EED">
        <w:t xml:space="preserve"> clinical value of MBS services</w:t>
      </w:r>
      <w:r w:rsidR="0026678E" w:rsidRPr="009D0EED">
        <w:t>,</w:t>
      </w:r>
      <w:r w:rsidR="000309CE" w:rsidRPr="009D0EED">
        <w:t xml:space="preserve"> the Clinical Committees have taken account of factors including the volume </w:t>
      </w:r>
      <w:r w:rsidR="0026678E" w:rsidRPr="009D0EED">
        <w:t xml:space="preserve">of </w:t>
      </w:r>
      <w:r w:rsidR="000309CE" w:rsidRPr="009D0EED">
        <w:t xml:space="preserve">services, service </w:t>
      </w:r>
      <w:r w:rsidR="0026678E" w:rsidRPr="009D0EED">
        <w:t xml:space="preserve">patterns and </w:t>
      </w:r>
      <w:r w:rsidR="000309CE" w:rsidRPr="009D0EED">
        <w:t>growth</w:t>
      </w:r>
      <w:r w:rsidR="0026678E" w:rsidRPr="009D0EED">
        <w:t xml:space="preserve"> and variation in the per capita use of ser</w:t>
      </w:r>
      <w:r w:rsidR="00CF3A42" w:rsidRPr="009D0EED">
        <w:t>vices, to prioritise their work</w:t>
      </w:r>
      <w:r w:rsidRPr="009D0EED">
        <w:t>.</w:t>
      </w:r>
    </w:p>
    <w:p w14:paraId="217669B4" w14:textId="689F1D16" w:rsidR="00457693" w:rsidRPr="009D0EED" w:rsidRDefault="0026678E" w:rsidP="002036DF">
      <w:r w:rsidRPr="009D0EED">
        <w:t xml:space="preserve">In addition to MBS </w:t>
      </w:r>
      <w:r w:rsidR="0054443F" w:rsidRPr="009D0EED">
        <w:t>data, important</w:t>
      </w:r>
      <w:r w:rsidR="000309CE" w:rsidRPr="009D0EED">
        <w:t xml:space="preserve"> resource</w:t>
      </w:r>
      <w:r w:rsidRPr="009D0EED">
        <w:t>s</w:t>
      </w:r>
      <w:r w:rsidR="000309CE" w:rsidRPr="009D0EED">
        <w:t xml:space="preserve"> for the Taskforce and the Clinical Committees have i</w:t>
      </w:r>
      <w:r w:rsidRPr="009D0EED">
        <w:t>ncluded</w:t>
      </w:r>
      <w:r w:rsidR="00457693" w:rsidRPr="009D0EED">
        <w:t xml:space="preserve">: </w:t>
      </w:r>
    </w:p>
    <w:p w14:paraId="56C1D7B6" w14:textId="77777777" w:rsidR="00457693" w:rsidRPr="00490F36" w:rsidRDefault="0026678E" w:rsidP="00490F36">
      <w:pPr>
        <w:pStyle w:val="NormalBulleted"/>
      </w:pPr>
      <w:r w:rsidRPr="00490F36">
        <w:lastRenderedPageBreak/>
        <w:t>T</w:t>
      </w:r>
      <w:r w:rsidR="00457693" w:rsidRPr="00490F36">
        <w:t xml:space="preserve">he Choosing Wisely recommendations, both from Australian and internationally </w:t>
      </w:r>
    </w:p>
    <w:p w14:paraId="657D393B" w14:textId="77777777" w:rsidR="00457693" w:rsidRPr="00490F36" w:rsidRDefault="00457693" w:rsidP="00490F36">
      <w:pPr>
        <w:pStyle w:val="NormalBulleted"/>
      </w:pPr>
      <w:r w:rsidRPr="00490F36">
        <w:t xml:space="preserve">National Institute for Health and Care Excellence (NICE UK) Do Not Do recommendations and clinical guidance </w:t>
      </w:r>
    </w:p>
    <w:p w14:paraId="10097DA7" w14:textId="48FE1766" w:rsidR="004D72E6" w:rsidRPr="00490F36" w:rsidRDefault="0026678E" w:rsidP="00490F36">
      <w:pPr>
        <w:pStyle w:val="NormalBulleted"/>
      </w:pPr>
      <w:r w:rsidRPr="00490F36">
        <w:t>O</w:t>
      </w:r>
      <w:r w:rsidR="00457693" w:rsidRPr="00490F36">
        <w:t xml:space="preserve">ther </w:t>
      </w:r>
      <w:r w:rsidRPr="00490F36">
        <w:t>literature on low value care</w:t>
      </w:r>
      <w:r w:rsidR="00457693" w:rsidRPr="00490F36">
        <w:t>, including Elshaug et al’s</w:t>
      </w:r>
      <w:r w:rsidR="009F5735">
        <w:rPr>
          <w:rStyle w:val="FootnoteReference"/>
        </w:rPr>
        <w:footnoteReference w:id="1"/>
      </w:r>
      <w:r w:rsidR="004D72E6" w:rsidRPr="00490F36">
        <w:t xml:space="preserve"> Medical Journal of Australia article on potentially low value health services </w:t>
      </w:r>
    </w:p>
    <w:p w14:paraId="59F7F368" w14:textId="24DB81C6" w:rsidR="000C00A9" w:rsidRPr="00A84D48" w:rsidRDefault="004D72E6" w:rsidP="00AD071A">
      <w:pPr>
        <w:pStyle w:val="NormalBulleted"/>
        <w:rPr>
          <w:lang w:val="en-US" w:eastAsia="en-US"/>
        </w:rPr>
      </w:pPr>
      <w:r w:rsidRPr="00490F36">
        <w:t xml:space="preserve">The Australian Commission on Safety </w:t>
      </w:r>
      <w:r w:rsidR="00592755">
        <w:t xml:space="preserve">and </w:t>
      </w:r>
      <w:r w:rsidR="00592755" w:rsidRPr="00490F36">
        <w:t xml:space="preserve">Quality </w:t>
      </w:r>
      <w:r w:rsidRPr="00490F36">
        <w:t>in Health Care (</w:t>
      </w:r>
      <w:r w:rsidR="00592755" w:rsidRPr="00490F36">
        <w:t>AC</w:t>
      </w:r>
      <w:r w:rsidR="00592755">
        <w:t>SQ</w:t>
      </w:r>
      <w:r w:rsidR="00592755" w:rsidRPr="00490F36">
        <w:t>HC</w:t>
      </w:r>
      <w:r w:rsidRPr="00490F36">
        <w:t>)</w:t>
      </w:r>
      <w:r w:rsidR="00592755">
        <w:t xml:space="preserve"> Australian</w:t>
      </w:r>
      <w:r w:rsidRPr="00490F36">
        <w:t xml:space="preserve"> Atlas of </w:t>
      </w:r>
      <w:r w:rsidR="00592755">
        <w:t>Healthcare</w:t>
      </w:r>
      <w:r w:rsidR="00592755" w:rsidRPr="00490F36">
        <w:t xml:space="preserve"> </w:t>
      </w:r>
      <w:r w:rsidRPr="00490F36">
        <w:t>Variation.</w:t>
      </w:r>
      <w:bookmarkStart w:id="50" w:name="_Toc457053413"/>
      <w:r w:rsidR="000C00A9">
        <w:br w:type="page"/>
      </w:r>
    </w:p>
    <w:p w14:paraId="6FC295B8" w14:textId="67F1DC9A" w:rsidR="004D72E6" w:rsidRPr="009200D8" w:rsidRDefault="004D72E6" w:rsidP="00700528">
      <w:pPr>
        <w:pStyle w:val="Heading1"/>
      </w:pPr>
      <w:bookmarkStart w:id="51" w:name="_Toc485731759"/>
      <w:r w:rsidRPr="009200D8">
        <w:lastRenderedPageBreak/>
        <w:t>About the</w:t>
      </w:r>
      <w:r w:rsidR="00BA421A">
        <w:t xml:space="preserve"> Gastroenterology Clinical</w:t>
      </w:r>
      <w:r w:rsidRPr="009200D8">
        <w:t xml:space="preserve"> </w:t>
      </w:r>
      <w:r w:rsidR="00684331">
        <w:t>Committee</w:t>
      </w:r>
      <w:bookmarkEnd w:id="50"/>
      <w:bookmarkEnd w:id="51"/>
    </w:p>
    <w:p w14:paraId="1328358A" w14:textId="1770CFEB" w:rsidR="00684E0D" w:rsidRPr="00AC1B3C" w:rsidRDefault="00684E0D" w:rsidP="00684E0D">
      <w:bookmarkStart w:id="52" w:name="_Toc455669872"/>
      <w:bookmarkStart w:id="53" w:name="_Toc457053414"/>
      <w:r w:rsidRPr="00AC1B3C">
        <w:t>The Gastroenterology Clinical Committee</w:t>
      </w:r>
      <w:r>
        <w:t xml:space="preserve"> </w:t>
      </w:r>
      <w:r>
        <w:rPr>
          <w:lang w:val="en-US" w:eastAsia="en-US"/>
        </w:rPr>
        <w:t>(the Committee)</w:t>
      </w:r>
      <w:r w:rsidRPr="00AC1B3C">
        <w:t xml:space="preserve"> is part of the first tranche of committees. </w:t>
      </w:r>
    </w:p>
    <w:p w14:paraId="089AADC7" w14:textId="60370FCA" w:rsidR="00684E0D" w:rsidRDefault="00684E0D" w:rsidP="00684E0D">
      <w:r w:rsidRPr="00AC1B3C">
        <w:rPr>
          <w:lang w:val="en-US" w:eastAsia="en-US"/>
        </w:rPr>
        <w:t>The Committee was established in 2015 to make recommendations to the MBS Review Taskforce on the review of MBS items within its remit, based on rapid evidence review and clinical expertise.</w:t>
      </w:r>
      <w:r w:rsidR="00C22AE4">
        <w:rPr>
          <w:lang w:val="en-US" w:eastAsia="en-US"/>
        </w:rPr>
        <w:t xml:space="preserve"> </w:t>
      </w:r>
      <w:r w:rsidRPr="00AC1B3C">
        <w:rPr>
          <w:lang w:val="en-US" w:eastAsia="en-US"/>
        </w:rPr>
        <w:t xml:space="preserve">The Taskforce has asked the Committee to review </w:t>
      </w:r>
      <w:r w:rsidRPr="00AC1B3C">
        <w:t>colonoscopy and same day upper and lower gastrointestinal endoscopy</w:t>
      </w:r>
      <w:r w:rsidRPr="00AC1B3C">
        <w:rPr>
          <w:lang w:val="en-US" w:eastAsia="en-US"/>
        </w:rPr>
        <w:t xml:space="preserve"> as priority reviews.</w:t>
      </w:r>
    </w:p>
    <w:p w14:paraId="0FED72FA" w14:textId="347EE1BA" w:rsidR="004D72E6" w:rsidRPr="00700528" w:rsidRDefault="00684E0D" w:rsidP="003F555F">
      <w:pPr>
        <w:pStyle w:val="Heading2"/>
      </w:pPr>
      <w:r>
        <w:t>Gastroenterology</w:t>
      </w:r>
      <w:r w:rsidR="00343775" w:rsidRPr="00700528">
        <w:t xml:space="preserve"> </w:t>
      </w:r>
      <w:r w:rsidR="004D72E6" w:rsidRPr="00700528">
        <w:t>Clinical Committee members</w:t>
      </w:r>
      <w:bookmarkEnd w:id="52"/>
      <w:bookmarkEnd w:id="53"/>
    </w:p>
    <w:p w14:paraId="2360969F" w14:textId="7D89ECD4" w:rsidR="004D72E6" w:rsidRPr="00DA7BF2" w:rsidRDefault="004D72E6" w:rsidP="001646CB">
      <w:pPr>
        <w:pStyle w:val="Caption"/>
      </w:pPr>
      <w:bookmarkStart w:id="54" w:name="_Toc458527777"/>
      <w:r w:rsidRPr="00DA7BF2">
        <w:t xml:space="preserve">Table </w:t>
      </w:r>
      <w:fldSimple w:instr=" SEQ Table \* ARABIC ">
        <w:r w:rsidR="00A1715D">
          <w:rPr>
            <w:noProof/>
          </w:rPr>
          <w:t>1</w:t>
        </w:r>
      </w:fldSimple>
      <w:r w:rsidR="003B0769">
        <w:t>:</w:t>
      </w:r>
      <w:r w:rsidR="003B0769">
        <w:tab/>
      </w:r>
      <w:r w:rsidR="00684E0D">
        <w:t>Gastroenterology</w:t>
      </w:r>
      <w:r w:rsidRPr="00DA7BF2">
        <w:t xml:space="preserve"> Clinical Committee Members</w:t>
      </w:r>
      <w:bookmarkEnd w:id="54"/>
    </w:p>
    <w:tbl>
      <w:tblPr>
        <w:tblStyle w:val="TableGrid"/>
        <w:tblW w:w="5000" w:type="pct"/>
        <w:tblBorders>
          <w:top w:val="single" w:sz="4" w:space="0" w:color="B56012"/>
          <w:left w:val="none" w:sz="0" w:space="0" w:color="auto"/>
          <w:bottom w:val="single" w:sz="4" w:space="0" w:color="B56012"/>
          <w:right w:val="none" w:sz="0" w:space="0" w:color="auto"/>
          <w:insideH w:val="single" w:sz="4" w:space="0" w:color="B56012"/>
          <w:insideV w:val="none" w:sz="0" w:space="0" w:color="auto"/>
        </w:tblBorders>
        <w:tblLook w:val="04A0" w:firstRow="1" w:lastRow="0" w:firstColumn="1" w:lastColumn="0" w:noHBand="0" w:noVBand="1"/>
        <w:tblDescription w:val="Table 1 lists the panel members for the Gastroenterology Clinical Committee and their positions. The table also shows that they have no declared conflicts of interest."/>
      </w:tblPr>
      <w:tblGrid>
        <w:gridCol w:w="2354"/>
        <w:gridCol w:w="3982"/>
        <w:gridCol w:w="2690"/>
      </w:tblGrid>
      <w:tr w:rsidR="004D72E6" w:rsidRPr="00F648DD" w14:paraId="7AD2092E" w14:textId="77777777" w:rsidTr="0006464C">
        <w:trPr>
          <w:tblHeader/>
        </w:trPr>
        <w:tc>
          <w:tcPr>
            <w:tcW w:w="1304" w:type="pct"/>
            <w:shd w:val="clear" w:color="auto" w:fill="auto"/>
          </w:tcPr>
          <w:p w14:paraId="4B7F1546" w14:textId="77777777" w:rsidR="004D72E6" w:rsidRPr="00F648DD" w:rsidRDefault="004D72E6" w:rsidP="00017FE5">
            <w:pPr>
              <w:pStyle w:val="Tableheading"/>
            </w:pPr>
            <w:r w:rsidRPr="00F648DD">
              <w:t>Name</w:t>
            </w:r>
          </w:p>
        </w:tc>
        <w:tc>
          <w:tcPr>
            <w:tcW w:w="2206" w:type="pct"/>
            <w:shd w:val="clear" w:color="auto" w:fill="auto"/>
          </w:tcPr>
          <w:p w14:paraId="655FEB28" w14:textId="77777777" w:rsidR="004D72E6" w:rsidRPr="00F648DD" w:rsidRDefault="004D72E6" w:rsidP="00017FE5">
            <w:pPr>
              <w:pStyle w:val="Tableheading"/>
            </w:pPr>
            <w:r w:rsidRPr="00F648DD">
              <w:t>Position/Organisation</w:t>
            </w:r>
          </w:p>
        </w:tc>
        <w:tc>
          <w:tcPr>
            <w:tcW w:w="1490" w:type="pct"/>
            <w:shd w:val="clear" w:color="auto" w:fill="auto"/>
          </w:tcPr>
          <w:p w14:paraId="2BCD375F" w14:textId="77777777" w:rsidR="004D72E6" w:rsidRPr="00F648DD" w:rsidRDefault="004D72E6" w:rsidP="00017FE5">
            <w:pPr>
              <w:pStyle w:val="Tableheading"/>
            </w:pPr>
            <w:r w:rsidRPr="00F648DD">
              <w:t>Declared conflict of interest</w:t>
            </w:r>
          </w:p>
        </w:tc>
      </w:tr>
      <w:tr w:rsidR="00684E0D" w:rsidRPr="00804630" w14:paraId="77E8D66B" w14:textId="77777777" w:rsidTr="0006464C">
        <w:trPr>
          <w:trHeight w:val="549"/>
        </w:trPr>
        <w:tc>
          <w:tcPr>
            <w:tcW w:w="1304" w:type="pct"/>
            <w:hideMark/>
          </w:tcPr>
          <w:p w14:paraId="66B72976" w14:textId="6D0134AE" w:rsidR="00684E0D" w:rsidRPr="00804630" w:rsidRDefault="00684E0D" w:rsidP="007F3426">
            <w:pPr>
              <w:pStyle w:val="Tabletext"/>
            </w:pPr>
            <w:r>
              <w:t xml:space="preserve">Conjoint </w:t>
            </w:r>
            <w:r w:rsidRPr="00B021A8">
              <w:t>Professor Anne Duggan (Chair)</w:t>
            </w:r>
          </w:p>
        </w:tc>
        <w:tc>
          <w:tcPr>
            <w:tcW w:w="2206" w:type="pct"/>
          </w:tcPr>
          <w:p w14:paraId="32FFC071" w14:textId="1FDDA481" w:rsidR="00684E0D" w:rsidRPr="00804630" w:rsidRDefault="00684E0D" w:rsidP="005F0407">
            <w:pPr>
              <w:pStyle w:val="Tabletext"/>
            </w:pPr>
            <w:r w:rsidRPr="00B021A8">
              <w:t>Gastroenterologist, John Hunter Hospital Newcastle</w:t>
            </w:r>
            <w:r w:rsidR="005F0407">
              <w:t xml:space="preserve">; </w:t>
            </w:r>
            <w:r w:rsidRPr="00B021A8">
              <w:t xml:space="preserve">Senior </w:t>
            </w:r>
            <w:r w:rsidR="00592755">
              <w:t>Medical</w:t>
            </w:r>
            <w:r w:rsidR="00592755" w:rsidRPr="00B021A8">
              <w:t xml:space="preserve"> </w:t>
            </w:r>
            <w:r w:rsidRPr="00B021A8">
              <w:t>Advisor, Australian Commission on Safety and Quality in Health Care</w:t>
            </w:r>
          </w:p>
        </w:tc>
        <w:tc>
          <w:tcPr>
            <w:tcW w:w="1490" w:type="pct"/>
          </w:tcPr>
          <w:p w14:paraId="18866BF8" w14:textId="66B3C6D1" w:rsidR="00684E0D" w:rsidRPr="00804630" w:rsidRDefault="00684E0D" w:rsidP="007F3426">
            <w:pPr>
              <w:pStyle w:val="Tabletext"/>
            </w:pPr>
            <w:r w:rsidRPr="00296F60">
              <w:rPr>
                <w:rFonts w:cs="Arial"/>
              </w:rPr>
              <w:t>Nil</w:t>
            </w:r>
          </w:p>
        </w:tc>
      </w:tr>
      <w:tr w:rsidR="00684E0D" w:rsidRPr="00804630" w14:paraId="0CC2B2F2" w14:textId="77777777" w:rsidTr="005F0407">
        <w:trPr>
          <w:trHeight w:val="557"/>
        </w:trPr>
        <w:tc>
          <w:tcPr>
            <w:tcW w:w="1304" w:type="pct"/>
            <w:hideMark/>
          </w:tcPr>
          <w:p w14:paraId="3A76B218" w14:textId="2386D0DA" w:rsidR="00684E0D" w:rsidRPr="00804630" w:rsidRDefault="00684E0D" w:rsidP="007F3426">
            <w:pPr>
              <w:pStyle w:val="Tabletext"/>
            </w:pPr>
            <w:r w:rsidRPr="00B021A8">
              <w:t>Dr Katherine Ellard</w:t>
            </w:r>
          </w:p>
        </w:tc>
        <w:tc>
          <w:tcPr>
            <w:tcW w:w="2206" w:type="pct"/>
          </w:tcPr>
          <w:p w14:paraId="117DA83E" w14:textId="6D5C2FEB" w:rsidR="00684E0D" w:rsidRPr="00804630" w:rsidRDefault="00684E0D" w:rsidP="007F3426">
            <w:pPr>
              <w:pStyle w:val="Tabletext"/>
            </w:pPr>
            <w:r w:rsidRPr="00B021A8">
              <w:t xml:space="preserve">Specialist, Mater Hospital, North Sydney; Gastroenterologist, </w:t>
            </w:r>
            <w:r w:rsidR="00592755">
              <w:t>p</w:t>
            </w:r>
            <w:r w:rsidR="00592755" w:rsidRPr="00B021A8">
              <w:t xml:space="preserve">rivate </w:t>
            </w:r>
            <w:r w:rsidRPr="00B021A8">
              <w:t>practice</w:t>
            </w:r>
          </w:p>
        </w:tc>
        <w:tc>
          <w:tcPr>
            <w:tcW w:w="1490" w:type="pct"/>
          </w:tcPr>
          <w:p w14:paraId="1CABFAD6" w14:textId="62D1E719" w:rsidR="00684E0D" w:rsidRPr="00804630" w:rsidRDefault="00684E0D" w:rsidP="007F3426">
            <w:pPr>
              <w:pStyle w:val="Tabletext"/>
            </w:pPr>
            <w:r>
              <w:rPr>
                <w:rFonts w:cs="Arial"/>
              </w:rPr>
              <w:t>Nil</w:t>
            </w:r>
          </w:p>
        </w:tc>
      </w:tr>
      <w:tr w:rsidR="00684E0D" w:rsidRPr="00804630" w14:paraId="0338CA8D" w14:textId="77777777" w:rsidTr="0006464C">
        <w:trPr>
          <w:trHeight w:val="945"/>
        </w:trPr>
        <w:tc>
          <w:tcPr>
            <w:tcW w:w="1304" w:type="pct"/>
            <w:hideMark/>
          </w:tcPr>
          <w:p w14:paraId="2457A12B" w14:textId="4F4BB8F5" w:rsidR="00684E0D" w:rsidRPr="00804630" w:rsidRDefault="00684E0D" w:rsidP="007F3426">
            <w:pPr>
              <w:pStyle w:val="Tabletext"/>
            </w:pPr>
            <w:r w:rsidRPr="00B021A8">
              <w:t>Mr James Keck</w:t>
            </w:r>
          </w:p>
        </w:tc>
        <w:tc>
          <w:tcPr>
            <w:tcW w:w="2206" w:type="pct"/>
          </w:tcPr>
          <w:p w14:paraId="386BC73B" w14:textId="47CBC44C" w:rsidR="00684E0D" w:rsidRPr="00804630" w:rsidRDefault="00684E0D" w:rsidP="007F3426">
            <w:pPr>
              <w:pStyle w:val="Tabletext"/>
            </w:pPr>
            <w:r w:rsidRPr="00B021A8">
              <w:t>Clinical Director, Colorectal Surgery, Eastern Health Melbourne; Director, Pelvic Floor Physiology, St Vincent's Hospital Melbourne; Vice-President, Colorectal Surgical Society of Australia and New Zealand</w:t>
            </w:r>
          </w:p>
        </w:tc>
        <w:tc>
          <w:tcPr>
            <w:tcW w:w="1490" w:type="pct"/>
          </w:tcPr>
          <w:p w14:paraId="19C705DE" w14:textId="172994C3" w:rsidR="00684E0D" w:rsidRPr="00804630" w:rsidRDefault="00684E0D" w:rsidP="007F3426">
            <w:pPr>
              <w:pStyle w:val="Tabletext"/>
            </w:pPr>
            <w:r>
              <w:rPr>
                <w:rFonts w:cs="Arial"/>
              </w:rPr>
              <w:t>Nil</w:t>
            </w:r>
          </w:p>
        </w:tc>
      </w:tr>
      <w:tr w:rsidR="00684E0D" w:rsidRPr="00804630" w14:paraId="58B5A8ED" w14:textId="77777777" w:rsidTr="005F0407">
        <w:trPr>
          <w:trHeight w:val="1025"/>
        </w:trPr>
        <w:tc>
          <w:tcPr>
            <w:tcW w:w="1304" w:type="pct"/>
            <w:hideMark/>
          </w:tcPr>
          <w:p w14:paraId="34BF3FD7" w14:textId="01CBD383" w:rsidR="00684E0D" w:rsidRPr="00804630" w:rsidRDefault="00684E0D" w:rsidP="007F3426">
            <w:pPr>
              <w:pStyle w:val="Tabletext"/>
            </w:pPr>
            <w:r w:rsidRPr="00B021A8">
              <w:t>Professor Finlay Macrae</w:t>
            </w:r>
          </w:p>
        </w:tc>
        <w:tc>
          <w:tcPr>
            <w:tcW w:w="2206" w:type="pct"/>
          </w:tcPr>
          <w:p w14:paraId="7E699B48" w14:textId="08CA08A4" w:rsidR="00684E0D" w:rsidRPr="00804630" w:rsidRDefault="00684E0D" w:rsidP="005F0407">
            <w:pPr>
              <w:pStyle w:val="Tabletext"/>
            </w:pPr>
            <w:r w:rsidRPr="00B021A8">
              <w:t>Professor, Department of Medicine, Melbourne University</w:t>
            </w:r>
            <w:r w:rsidR="005F0407">
              <w:t xml:space="preserve">; </w:t>
            </w:r>
            <w:r w:rsidRPr="00B021A8">
              <w:t>Head, Colorectal Medicine and Genetics, The Royal Melbourne Hospital</w:t>
            </w:r>
            <w:r w:rsidR="005F0407">
              <w:t xml:space="preserve">; </w:t>
            </w:r>
            <w:r w:rsidRPr="00B021A8">
              <w:t xml:space="preserve">Gastroenterologist, </w:t>
            </w:r>
            <w:r w:rsidR="00764294">
              <w:t>p</w:t>
            </w:r>
            <w:r w:rsidR="00764294" w:rsidRPr="00B021A8">
              <w:t xml:space="preserve">rivate </w:t>
            </w:r>
            <w:r w:rsidRPr="00B021A8">
              <w:t>practice</w:t>
            </w:r>
          </w:p>
        </w:tc>
        <w:tc>
          <w:tcPr>
            <w:tcW w:w="1490" w:type="pct"/>
          </w:tcPr>
          <w:p w14:paraId="34771D8E" w14:textId="520AF217" w:rsidR="00684E0D" w:rsidRPr="00804630" w:rsidRDefault="00684E0D" w:rsidP="007F3426">
            <w:pPr>
              <w:pStyle w:val="Tabletext"/>
            </w:pPr>
            <w:r>
              <w:rPr>
                <w:rFonts w:cs="Arial"/>
              </w:rPr>
              <w:t>Nil</w:t>
            </w:r>
          </w:p>
        </w:tc>
      </w:tr>
      <w:tr w:rsidR="00684E0D" w:rsidRPr="00804630" w14:paraId="390B39CD" w14:textId="77777777" w:rsidTr="0006464C">
        <w:trPr>
          <w:trHeight w:val="788"/>
        </w:trPr>
        <w:tc>
          <w:tcPr>
            <w:tcW w:w="1304" w:type="pct"/>
            <w:hideMark/>
          </w:tcPr>
          <w:p w14:paraId="4C1E6BDB" w14:textId="68FCE8A9" w:rsidR="00684E0D" w:rsidRPr="00804630" w:rsidRDefault="00684E0D" w:rsidP="007F3426">
            <w:pPr>
              <w:pStyle w:val="Tabletext"/>
            </w:pPr>
            <w:r w:rsidRPr="00B021A8">
              <w:t>Ms Di</w:t>
            </w:r>
            <w:r>
              <w:t>anne</w:t>
            </w:r>
            <w:r w:rsidRPr="00B021A8">
              <w:t xml:space="preserve"> Jones</w:t>
            </w:r>
          </w:p>
        </w:tc>
        <w:tc>
          <w:tcPr>
            <w:tcW w:w="2206" w:type="pct"/>
          </w:tcPr>
          <w:p w14:paraId="5BC5794E" w14:textId="05A94967" w:rsidR="00684E0D" w:rsidRPr="00804630" w:rsidRDefault="00684E0D" w:rsidP="005F0407">
            <w:pPr>
              <w:pStyle w:val="Tabletext"/>
            </w:pPr>
            <w:r w:rsidRPr="00B021A8">
              <w:t>Assistant Director of Nursing, Endoscopy Services, Logan Bayside Health Network</w:t>
            </w:r>
            <w:r w:rsidR="005F0407">
              <w:t xml:space="preserve">; </w:t>
            </w:r>
            <w:r w:rsidRPr="00B021A8">
              <w:t>President, Society of International Gastroenterology Nurses and Endoscopy Associates</w:t>
            </w:r>
          </w:p>
        </w:tc>
        <w:tc>
          <w:tcPr>
            <w:tcW w:w="1490" w:type="pct"/>
          </w:tcPr>
          <w:p w14:paraId="41CB8DC9" w14:textId="531EF94E" w:rsidR="00684E0D" w:rsidRPr="00804630" w:rsidRDefault="00684E0D" w:rsidP="007F3426">
            <w:pPr>
              <w:pStyle w:val="Tabletext"/>
            </w:pPr>
            <w:r>
              <w:rPr>
                <w:rFonts w:cs="Arial"/>
              </w:rPr>
              <w:t>Nil</w:t>
            </w:r>
          </w:p>
        </w:tc>
      </w:tr>
      <w:tr w:rsidR="00684E0D" w:rsidRPr="00804630" w14:paraId="07A3470D" w14:textId="77777777" w:rsidTr="00684E0D">
        <w:trPr>
          <w:trHeight w:val="1136"/>
        </w:trPr>
        <w:tc>
          <w:tcPr>
            <w:tcW w:w="1304" w:type="pct"/>
            <w:hideMark/>
          </w:tcPr>
          <w:p w14:paraId="7EB548E2" w14:textId="0282F1C9" w:rsidR="00684E0D" w:rsidRPr="00804630" w:rsidRDefault="00684E0D" w:rsidP="007F3426">
            <w:pPr>
              <w:pStyle w:val="Tabletext"/>
            </w:pPr>
            <w:r w:rsidRPr="00B021A8">
              <w:t>Professor Jon Emery</w:t>
            </w:r>
          </w:p>
        </w:tc>
        <w:tc>
          <w:tcPr>
            <w:tcW w:w="2206" w:type="pct"/>
          </w:tcPr>
          <w:p w14:paraId="3BA3944B" w14:textId="6ED84763" w:rsidR="00684E0D" w:rsidRPr="00804630" w:rsidRDefault="00684E0D" w:rsidP="005F0407">
            <w:pPr>
              <w:pStyle w:val="Tabletext"/>
            </w:pPr>
            <w:r w:rsidRPr="00B021A8">
              <w:t>Professor of General Practice, University of Western Australia</w:t>
            </w:r>
            <w:r w:rsidR="005F0407">
              <w:t xml:space="preserve">; </w:t>
            </w:r>
            <w:r w:rsidRPr="00B021A8">
              <w:t>Professor of Primary Care Cancer Research, University of Melbourne</w:t>
            </w:r>
            <w:r w:rsidR="005F0407">
              <w:t xml:space="preserve">; </w:t>
            </w:r>
            <w:r w:rsidRPr="00B021A8">
              <w:t>Director, Primary Care Collaborative Cancer Clinical Trials Group</w:t>
            </w:r>
          </w:p>
        </w:tc>
        <w:tc>
          <w:tcPr>
            <w:tcW w:w="1490" w:type="pct"/>
          </w:tcPr>
          <w:p w14:paraId="0D7CCBCE" w14:textId="39EAC696" w:rsidR="00684E0D" w:rsidRPr="00804630" w:rsidRDefault="00684E0D" w:rsidP="007F3426">
            <w:pPr>
              <w:pStyle w:val="Tabletext"/>
            </w:pPr>
            <w:r>
              <w:rPr>
                <w:rFonts w:cs="Arial"/>
              </w:rPr>
              <w:t>Nil</w:t>
            </w:r>
          </w:p>
        </w:tc>
      </w:tr>
      <w:tr w:rsidR="00684E0D" w:rsidRPr="00804630" w14:paraId="44DF4672" w14:textId="77777777" w:rsidTr="0006464C">
        <w:trPr>
          <w:trHeight w:val="1359"/>
        </w:trPr>
        <w:tc>
          <w:tcPr>
            <w:tcW w:w="1304" w:type="pct"/>
          </w:tcPr>
          <w:p w14:paraId="4D1C8956" w14:textId="7ED1300C" w:rsidR="00684E0D" w:rsidRPr="00571E36" w:rsidRDefault="00684E0D" w:rsidP="007F3426">
            <w:pPr>
              <w:pStyle w:val="Tabletext"/>
            </w:pPr>
            <w:r w:rsidRPr="00B021A8">
              <w:lastRenderedPageBreak/>
              <w:t>Dr Peter Radford</w:t>
            </w:r>
          </w:p>
        </w:tc>
        <w:tc>
          <w:tcPr>
            <w:tcW w:w="2206" w:type="pct"/>
          </w:tcPr>
          <w:p w14:paraId="5ACD8A3F" w14:textId="3FAB08C6" w:rsidR="00684E0D" w:rsidRPr="00571E36" w:rsidRDefault="00684E0D" w:rsidP="005F0407">
            <w:pPr>
              <w:pStyle w:val="Tabletext"/>
            </w:pPr>
            <w:r w:rsidRPr="00B021A8">
              <w:t xml:space="preserve">General Practitioner, </w:t>
            </w:r>
            <w:r w:rsidR="00764294">
              <w:t>p</w:t>
            </w:r>
            <w:r w:rsidR="00764294" w:rsidRPr="00B021A8">
              <w:t xml:space="preserve">rivate </w:t>
            </w:r>
            <w:r w:rsidRPr="00B021A8">
              <w:t>practice</w:t>
            </w:r>
            <w:r w:rsidR="005F0407">
              <w:t xml:space="preserve">; </w:t>
            </w:r>
            <w:r w:rsidRPr="00B021A8">
              <w:t xml:space="preserve">Chair, Endoscopy Reference Group (Conjoint Committee of </w:t>
            </w:r>
            <w:r>
              <w:t>t</w:t>
            </w:r>
            <w:r w:rsidRPr="00B021A8">
              <w:t>he Royal Australian College of General Practitioners &amp; Australian College of Rural and Remote Medicine)</w:t>
            </w:r>
          </w:p>
        </w:tc>
        <w:tc>
          <w:tcPr>
            <w:tcW w:w="1490" w:type="pct"/>
          </w:tcPr>
          <w:p w14:paraId="1A3D8335" w14:textId="4F6E3D87" w:rsidR="00684E0D" w:rsidRPr="00B408F6" w:rsidRDefault="00684E0D" w:rsidP="007F3426">
            <w:pPr>
              <w:pStyle w:val="Tabletext"/>
            </w:pPr>
            <w:r>
              <w:rPr>
                <w:rFonts w:cs="Arial"/>
              </w:rPr>
              <w:t>Nil</w:t>
            </w:r>
          </w:p>
        </w:tc>
      </w:tr>
      <w:tr w:rsidR="00684E0D" w:rsidRPr="00804630" w14:paraId="7E7D3487" w14:textId="77777777" w:rsidTr="00017FE5">
        <w:trPr>
          <w:trHeight w:val="889"/>
        </w:trPr>
        <w:tc>
          <w:tcPr>
            <w:tcW w:w="1304" w:type="pct"/>
          </w:tcPr>
          <w:p w14:paraId="3C549D22" w14:textId="533B36FD" w:rsidR="00684E0D" w:rsidRPr="00571E36" w:rsidRDefault="00684E0D" w:rsidP="007F3426">
            <w:pPr>
              <w:pStyle w:val="Tabletext"/>
            </w:pPr>
            <w:r w:rsidRPr="00B021A8">
              <w:t xml:space="preserve">Dr Lee Gruner </w:t>
            </w:r>
            <w:r>
              <w:t>(ex-officio)</w:t>
            </w:r>
          </w:p>
        </w:tc>
        <w:tc>
          <w:tcPr>
            <w:tcW w:w="2206" w:type="pct"/>
          </w:tcPr>
          <w:p w14:paraId="151CF4E6" w14:textId="21B964AC" w:rsidR="00684E0D" w:rsidRPr="00571E36" w:rsidRDefault="00684E0D" w:rsidP="007F3426">
            <w:pPr>
              <w:pStyle w:val="Tabletext"/>
            </w:pPr>
            <w:r>
              <w:t xml:space="preserve">Immediate past </w:t>
            </w:r>
            <w:r w:rsidRPr="00B021A8">
              <w:t>President, Royal Australasian College of Medical Administrators; Member, MBS Review Taskforce</w:t>
            </w:r>
          </w:p>
        </w:tc>
        <w:tc>
          <w:tcPr>
            <w:tcW w:w="1490" w:type="pct"/>
          </w:tcPr>
          <w:p w14:paraId="12EBE357" w14:textId="6057EF60" w:rsidR="00684E0D" w:rsidRPr="00B408F6" w:rsidRDefault="00684E0D" w:rsidP="007F3426">
            <w:pPr>
              <w:pStyle w:val="Tabletext"/>
            </w:pPr>
            <w:r>
              <w:rPr>
                <w:rFonts w:cs="Arial"/>
              </w:rPr>
              <w:t>Nil</w:t>
            </w:r>
          </w:p>
        </w:tc>
      </w:tr>
    </w:tbl>
    <w:p w14:paraId="1DE96D74" w14:textId="77777777" w:rsidR="004D72E6" w:rsidRPr="00700528" w:rsidRDefault="004D72E6" w:rsidP="003F555F">
      <w:pPr>
        <w:pStyle w:val="Heading2"/>
      </w:pPr>
      <w:bookmarkStart w:id="55" w:name="_Toc457053415"/>
      <w:r w:rsidRPr="00700528">
        <w:t>Conflicts of interest</w:t>
      </w:r>
      <w:bookmarkEnd w:id="55"/>
    </w:p>
    <w:p w14:paraId="51F2E754" w14:textId="197EA343" w:rsidR="00684E0D" w:rsidRPr="00FA1377" w:rsidRDefault="004D72E6" w:rsidP="00FA1377">
      <w:pPr>
        <w:rPr>
          <w:highlight w:val="lightGray"/>
        </w:rPr>
      </w:pPr>
      <w:r w:rsidRPr="009D0EED">
        <w:rPr>
          <w:rFonts w:cs="Arial"/>
          <w:lang w:val="en-US" w:eastAsia="en-US"/>
        </w:rPr>
        <w:t xml:space="preserve">All members of the Taskforce, Clinical </w:t>
      </w:r>
      <w:r w:rsidRPr="00FA1377">
        <w:t>Committees and Working Groups are asked to declare any conflicts of interest at the start of their involvement and reminded to update their declarations periodically.</w:t>
      </w:r>
      <w:r w:rsidR="00684E0D" w:rsidRPr="00FA1377">
        <w:rPr>
          <w:highlight w:val="lightGray"/>
        </w:rPr>
        <w:br w:type="page"/>
      </w:r>
    </w:p>
    <w:p w14:paraId="49120765" w14:textId="77777777" w:rsidR="00684E0D" w:rsidRDefault="00684E0D" w:rsidP="004304F5">
      <w:pPr>
        <w:pStyle w:val="Heading1"/>
      </w:pPr>
      <w:bookmarkStart w:id="56" w:name="_Toc485731760"/>
      <w:bookmarkStart w:id="57" w:name="_Toc457307465"/>
      <w:r>
        <w:lastRenderedPageBreak/>
        <w:t xml:space="preserve">MBS items </w:t>
      </w:r>
      <w:r w:rsidRPr="004304F5">
        <w:t>relating</w:t>
      </w:r>
      <w:r>
        <w:t xml:space="preserve"> to Gastroenterology</w:t>
      </w:r>
      <w:bookmarkEnd w:id="56"/>
    </w:p>
    <w:p w14:paraId="5C0F1128" w14:textId="5876FA25" w:rsidR="00684E0D" w:rsidRPr="00684E0D" w:rsidRDefault="00684E0D" w:rsidP="003F555F">
      <w:pPr>
        <w:pStyle w:val="Heading2"/>
      </w:pPr>
      <w:r w:rsidRPr="00F249F7">
        <w:t>Areas of respons</w:t>
      </w:r>
      <w:r>
        <w:t xml:space="preserve">ibility of the </w:t>
      </w:r>
      <w:r w:rsidRPr="00F249F7">
        <w:t>Committee</w:t>
      </w:r>
      <w:bookmarkEnd w:id="57"/>
    </w:p>
    <w:p w14:paraId="0BBF455C" w14:textId="631AC5A1" w:rsidR="00684E0D" w:rsidRDefault="00684E0D" w:rsidP="00684E0D">
      <w:pPr>
        <w:rPr>
          <w:lang w:val="en-US" w:eastAsia="en-US"/>
        </w:rPr>
      </w:pPr>
      <w:r>
        <w:rPr>
          <w:lang w:val="en-US" w:eastAsia="en-US"/>
        </w:rPr>
        <w:t>The following</w:t>
      </w:r>
      <w:r w:rsidRPr="00F249F7">
        <w:rPr>
          <w:lang w:val="en-US" w:eastAsia="en-US"/>
        </w:rPr>
        <w:t xml:space="preserve"> </w:t>
      </w:r>
      <w:r>
        <w:rPr>
          <w:lang w:val="en-US" w:eastAsia="en-US"/>
        </w:rPr>
        <w:t>53 MBS items</w:t>
      </w:r>
      <w:r>
        <w:t xml:space="preserve"> </w:t>
      </w:r>
      <w:r w:rsidRPr="00F249F7">
        <w:rPr>
          <w:lang w:val="en-US" w:eastAsia="en-US"/>
        </w:rPr>
        <w:t>were ide</w:t>
      </w:r>
      <w:r>
        <w:rPr>
          <w:lang w:val="en-US" w:eastAsia="en-US"/>
        </w:rPr>
        <w:t>ntified for review by the Committee.</w:t>
      </w:r>
    </w:p>
    <w:p w14:paraId="74A68623" w14:textId="77777777" w:rsidR="00684E0D" w:rsidRPr="00FA1377" w:rsidRDefault="00684E0D" w:rsidP="00FA1377">
      <w:pPr>
        <w:rPr>
          <w:b/>
        </w:rPr>
      </w:pPr>
      <w:r w:rsidRPr="00FA1377">
        <w:rPr>
          <w:b/>
        </w:rPr>
        <w:t>Therapeutic and diagnostic procedures: Gastroenterology</w:t>
      </w:r>
    </w:p>
    <w:p w14:paraId="3374DBC2" w14:textId="77777777" w:rsidR="00684E0D" w:rsidRPr="000C00A9" w:rsidRDefault="00684E0D" w:rsidP="000C00A9">
      <w:pPr>
        <w:pStyle w:val="Bullet1"/>
      </w:pPr>
      <w:r w:rsidRPr="000C00A9">
        <w:t>Diagnosis of Gastro-oesophageal reflux disease (3 items)</w:t>
      </w:r>
    </w:p>
    <w:p w14:paraId="251F82CF" w14:textId="77777777" w:rsidR="00684E0D" w:rsidRPr="00693D89" w:rsidRDefault="00684E0D" w:rsidP="005F0407">
      <w:pPr>
        <w:pStyle w:val="Bullet2"/>
      </w:pPr>
      <w:r w:rsidRPr="00693D89">
        <w:t xml:space="preserve">11800, 11801, 11810 </w:t>
      </w:r>
    </w:p>
    <w:p w14:paraId="44EA172A" w14:textId="77777777" w:rsidR="00684E0D" w:rsidRPr="00693D89" w:rsidRDefault="00684E0D" w:rsidP="000C00A9">
      <w:pPr>
        <w:pStyle w:val="Bullet1"/>
      </w:pPr>
      <w:r w:rsidRPr="00693D89">
        <w:t>Capsule endoscopy</w:t>
      </w:r>
      <w:r>
        <w:t xml:space="preserve"> </w:t>
      </w:r>
      <w:r w:rsidRPr="001E5746">
        <w:t>(2 items)</w:t>
      </w:r>
    </w:p>
    <w:p w14:paraId="63878989" w14:textId="77777777" w:rsidR="00684E0D" w:rsidRPr="00693D89" w:rsidRDefault="00684E0D" w:rsidP="005F0407">
      <w:pPr>
        <w:pStyle w:val="Bullet2"/>
      </w:pPr>
      <w:r w:rsidRPr="00693D89">
        <w:t xml:space="preserve">11820, 11823 </w:t>
      </w:r>
    </w:p>
    <w:p w14:paraId="61B44075" w14:textId="77777777" w:rsidR="00684E0D" w:rsidRPr="00693D89" w:rsidRDefault="00684E0D" w:rsidP="000C00A9">
      <w:pPr>
        <w:pStyle w:val="Bullet1"/>
      </w:pPr>
      <w:r w:rsidRPr="00693D89">
        <w:t>Diagnosis of abnormalities of the pelvic floor</w:t>
      </w:r>
      <w:r>
        <w:t xml:space="preserve"> </w:t>
      </w:r>
      <w:r w:rsidRPr="001E5746">
        <w:t>(1 item)</w:t>
      </w:r>
    </w:p>
    <w:p w14:paraId="5B19B3BA" w14:textId="77777777" w:rsidR="00684E0D" w:rsidRPr="00693D89" w:rsidRDefault="00684E0D" w:rsidP="005F0407">
      <w:pPr>
        <w:pStyle w:val="Bullet2"/>
      </w:pPr>
      <w:r w:rsidRPr="00693D89">
        <w:t xml:space="preserve">11830 </w:t>
      </w:r>
    </w:p>
    <w:p w14:paraId="0410BDA4" w14:textId="77777777" w:rsidR="00684E0D" w:rsidRPr="001E5746" w:rsidRDefault="00684E0D" w:rsidP="000C00A9">
      <w:pPr>
        <w:pStyle w:val="Bullet1"/>
      </w:pPr>
      <w:r w:rsidRPr="00693D89">
        <w:t>Gastric Hypothermia</w:t>
      </w:r>
      <w:r>
        <w:t xml:space="preserve"> </w:t>
      </w:r>
      <w:r w:rsidRPr="001E5746">
        <w:t>(2 items)</w:t>
      </w:r>
    </w:p>
    <w:p w14:paraId="1147F29B" w14:textId="77777777" w:rsidR="00684E0D" w:rsidRPr="00693D89" w:rsidRDefault="00684E0D" w:rsidP="005F0407">
      <w:pPr>
        <w:pStyle w:val="Bullet2"/>
      </w:pPr>
      <w:r w:rsidRPr="00693D89">
        <w:t xml:space="preserve">13500 and 13503 </w:t>
      </w:r>
    </w:p>
    <w:p w14:paraId="1032D65D" w14:textId="77777777" w:rsidR="00684E0D" w:rsidRPr="001E5746" w:rsidRDefault="00684E0D" w:rsidP="000C00A9">
      <w:pPr>
        <w:pStyle w:val="Bullet1"/>
      </w:pPr>
      <w:r w:rsidRPr="001E5746">
        <w:t>Oesophagoscopy and endoscopic procedures on the Oesophagus (6 items)</w:t>
      </w:r>
    </w:p>
    <w:p w14:paraId="09566E27" w14:textId="77777777" w:rsidR="00684E0D" w:rsidRPr="00693D89" w:rsidRDefault="00684E0D" w:rsidP="005F0407">
      <w:pPr>
        <w:pStyle w:val="Bullet2"/>
      </w:pPr>
      <w:r w:rsidRPr="00693D89">
        <w:t xml:space="preserve">30473, 30476, 30478, 30479, 30490, 30687 </w:t>
      </w:r>
    </w:p>
    <w:p w14:paraId="53CC82C4" w14:textId="10D04428" w:rsidR="00684E0D" w:rsidRPr="001E5746" w:rsidRDefault="00684E0D" w:rsidP="000C00A9">
      <w:pPr>
        <w:pStyle w:val="Bullet1"/>
      </w:pPr>
      <w:r w:rsidRPr="001E5746">
        <w:t xml:space="preserve">Dilatation of upper GI tract </w:t>
      </w:r>
      <w:r w:rsidR="001E5746" w:rsidRPr="001E5746">
        <w:t>(6 items)</w:t>
      </w:r>
    </w:p>
    <w:p w14:paraId="67C186AC" w14:textId="65A89E5D" w:rsidR="00684E0D" w:rsidRPr="00693D89" w:rsidRDefault="00684E0D" w:rsidP="005F0407">
      <w:pPr>
        <w:pStyle w:val="Bullet2"/>
      </w:pPr>
      <w:r w:rsidRPr="00693D89">
        <w:t xml:space="preserve">30475, 41819, 41820, 41828, 41831, 41832 </w:t>
      </w:r>
    </w:p>
    <w:p w14:paraId="06585CCA" w14:textId="799B1393" w:rsidR="00684E0D" w:rsidRPr="001E5746" w:rsidRDefault="00684E0D" w:rsidP="000C00A9">
      <w:pPr>
        <w:pStyle w:val="Bullet1"/>
      </w:pPr>
      <w:r w:rsidRPr="001E5746">
        <w:t xml:space="preserve">Gastrostomy </w:t>
      </w:r>
      <w:r w:rsidR="001E5746" w:rsidRPr="001E5746">
        <w:t>(3 items)</w:t>
      </w:r>
    </w:p>
    <w:p w14:paraId="06EC5EDE" w14:textId="18010149" w:rsidR="00684E0D" w:rsidRPr="00693D89" w:rsidRDefault="00684E0D" w:rsidP="005F0407">
      <w:pPr>
        <w:pStyle w:val="Bullet2"/>
      </w:pPr>
      <w:r w:rsidRPr="00693D89">
        <w:t xml:space="preserve">30481, 30482, 30483 </w:t>
      </w:r>
    </w:p>
    <w:p w14:paraId="350027F1" w14:textId="77777777" w:rsidR="00684E0D" w:rsidRPr="001E5746" w:rsidRDefault="00684E0D" w:rsidP="000C00A9">
      <w:pPr>
        <w:pStyle w:val="Bullet1"/>
      </w:pPr>
      <w:r w:rsidRPr="001E5746">
        <w:t>Examinations and procedures on bile ducts/Pancreas (7 items)</w:t>
      </w:r>
    </w:p>
    <w:p w14:paraId="6209125A" w14:textId="77777777" w:rsidR="00684E0D" w:rsidRPr="00693D89" w:rsidRDefault="00684E0D" w:rsidP="005F0407">
      <w:pPr>
        <w:pStyle w:val="Bullet2"/>
      </w:pPr>
      <w:r w:rsidRPr="00693D89">
        <w:t xml:space="preserve">30484, 30485, 30491, 30492, 30493, 30494, 30495 </w:t>
      </w:r>
    </w:p>
    <w:p w14:paraId="111203AE" w14:textId="77777777" w:rsidR="00684E0D" w:rsidRPr="001E5746" w:rsidRDefault="00684E0D" w:rsidP="000C00A9">
      <w:pPr>
        <w:pStyle w:val="Bullet1"/>
      </w:pPr>
      <w:r w:rsidRPr="001E5746">
        <w:t>Other procedures on the bowel (2 item)</w:t>
      </w:r>
    </w:p>
    <w:p w14:paraId="7B23DCC9" w14:textId="77777777" w:rsidR="00684E0D" w:rsidRPr="00693D89" w:rsidRDefault="00684E0D" w:rsidP="005F0407">
      <w:pPr>
        <w:pStyle w:val="Bullet2"/>
      </w:pPr>
      <w:r w:rsidRPr="00693D89">
        <w:t xml:space="preserve">30487, 30488 </w:t>
      </w:r>
    </w:p>
    <w:p w14:paraId="29D9FC2A" w14:textId="77777777" w:rsidR="00684E0D" w:rsidRPr="001E5746" w:rsidRDefault="00684E0D" w:rsidP="000C00A9">
      <w:pPr>
        <w:pStyle w:val="Bullet1"/>
      </w:pPr>
      <w:r w:rsidRPr="001E5746">
        <w:t>Examination of the small bowel by balloon enteroscopy (4 items)</w:t>
      </w:r>
    </w:p>
    <w:p w14:paraId="2AAB9586" w14:textId="77777777" w:rsidR="00684E0D" w:rsidRPr="00693D89" w:rsidRDefault="00684E0D" w:rsidP="005F0407">
      <w:pPr>
        <w:pStyle w:val="Bullet2"/>
      </w:pPr>
      <w:r w:rsidRPr="00693D89">
        <w:t xml:space="preserve">30680, 30682, 30684, 30686 </w:t>
      </w:r>
    </w:p>
    <w:p w14:paraId="13940D59" w14:textId="77777777" w:rsidR="00684E0D" w:rsidRPr="001E5746" w:rsidRDefault="00684E0D" w:rsidP="000C00A9">
      <w:pPr>
        <w:pStyle w:val="Bullet1"/>
      </w:pPr>
      <w:r w:rsidRPr="001E5746">
        <w:t>Endoscopic ultrasound with biopsy for staging of GI cancers (4 items)</w:t>
      </w:r>
    </w:p>
    <w:p w14:paraId="31D0D6BD" w14:textId="77777777" w:rsidR="00684E0D" w:rsidRPr="00693D89" w:rsidRDefault="00684E0D" w:rsidP="005F0407">
      <w:pPr>
        <w:pStyle w:val="Bullet2"/>
      </w:pPr>
      <w:r w:rsidRPr="00693D89">
        <w:t xml:space="preserve">30688, 30690, 30692, 30694 </w:t>
      </w:r>
    </w:p>
    <w:p w14:paraId="33CAEE79" w14:textId="77777777" w:rsidR="00684E0D" w:rsidRPr="001E5746" w:rsidRDefault="00684E0D" w:rsidP="000C00A9">
      <w:pPr>
        <w:pStyle w:val="Bullet1"/>
      </w:pPr>
      <w:r w:rsidRPr="001E5746">
        <w:t>Insertion of nasogastric tube (2 items)</w:t>
      </w:r>
    </w:p>
    <w:p w14:paraId="0B2B5B52" w14:textId="77777777" w:rsidR="00684E0D" w:rsidRPr="00693D89" w:rsidRDefault="00684E0D" w:rsidP="005F0407">
      <w:pPr>
        <w:pStyle w:val="Bullet2"/>
      </w:pPr>
      <w:r w:rsidRPr="00693D89">
        <w:t xml:space="preserve">31456, 31458 </w:t>
      </w:r>
    </w:p>
    <w:p w14:paraId="195B1795" w14:textId="77777777" w:rsidR="00684E0D" w:rsidRPr="001E5746" w:rsidRDefault="00684E0D" w:rsidP="000C00A9">
      <w:pPr>
        <w:pStyle w:val="Bullet1"/>
      </w:pPr>
      <w:r w:rsidRPr="001E5746">
        <w:t>Examination of the bowel – colonoscopy and sigmoidoscopy (11 items)</w:t>
      </w:r>
    </w:p>
    <w:p w14:paraId="56A46AD8" w14:textId="77777777" w:rsidR="00684E0D" w:rsidRDefault="00684E0D" w:rsidP="005F0407">
      <w:pPr>
        <w:pStyle w:val="Bullet2"/>
      </w:pPr>
      <w:r w:rsidRPr="00693D89">
        <w:t xml:space="preserve">32023, 32072 – 32095 </w:t>
      </w:r>
    </w:p>
    <w:p w14:paraId="7CA3D7C0" w14:textId="77777777" w:rsidR="00684E0D" w:rsidRPr="00F02A12" w:rsidRDefault="00684E0D" w:rsidP="003F555F">
      <w:pPr>
        <w:pStyle w:val="Heading2"/>
      </w:pPr>
      <w:r w:rsidRPr="00F02A12">
        <w:t>Items referred to the Gastroenterology Clinical Committee</w:t>
      </w:r>
    </w:p>
    <w:p w14:paraId="3498E78C" w14:textId="77777777" w:rsidR="00684E0D" w:rsidRPr="00F02A12" w:rsidRDefault="00684E0D" w:rsidP="00684E0D">
      <w:r w:rsidRPr="00F02A12">
        <w:t>The following items, located in the ENT section of the MBS, were referred to the Committee for review as gastroenterologists are the main providers of these items:</w:t>
      </w:r>
    </w:p>
    <w:p w14:paraId="68F7B701" w14:textId="77777777" w:rsidR="00684E0D" w:rsidRPr="00F02A12" w:rsidRDefault="00684E0D" w:rsidP="00A84D48">
      <w:pPr>
        <w:pStyle w:val="Heading3"/>
      </w:pPr>
      <w:r w:rsidRPr="00F02A12">
        <w:lastRenderedPageBreak/>
        <w:t>Dilatation of upper GI tract</w:t>
      </w:r>
    </w:p>
    <w:p w14:paraId="023496B5" w14:textId="77777777" w:rsidR="00684E0D" w:rsidRPr="00F02A12" w:rsidRDefault="00684E0D" w:rsidP="00684E0D">
      <w:pPr>
        <w:pStyle w:val="NormalBulleted"/>
      </w:pPr>
      <w:r w:rsidRPr="00C90AC5">
        <w:rPr>
          <w:b/>
        </w:rPr>
        <w:t>41819</w:t>
      </w:r>
      <w:r w:rsidRPr="00F02A12">
        <w:t xml:space="preserve"> – Dilatation of stricture of upper gastro-intestinal tract using bougie or balloon over endoscopically inserted guidewire, including endoscopy with flexible or rigid endoscope</w:t>
      </w:r>
    </w:p>
    <w:p w14:paraId="36863C1A" w14:textId="77777777" w:rsidR="00684E0D" w:rsidRPr="00F02A12" w:rsidRDefault="00684E0D" w:rsidP="00684E0D">
      <w:pPr>
        <w:pStyle w:val="NormalBulleted"/>
      </w:pPr>
      <w:r w:rsidRPr="00C90AC5">
        <w:rPr>
          <w:b/>
        </w:rPr>
        <w:t>41820</w:t>
      </w:r>
      <w:r w:rsidRPr="00F02A12">
        <w:t xml:space="preserve"> – Dilatation of stricture of upper gastro-intestinal tract using bougie or balloon over endoscopically inserted guidewire, including endoscopy with flexible or rigid endoscope, where the use of imaging intensification is clinically indicated</w:t>
      </w:r>
    </w:p>
    <w:p w14:paraId="56BC7A94" w14:textId="77777777" w:rsidR="00684E0D" w:rsidRPr="00F02A12" w:rsidRDefault="00684E0D" w:rsidP="00684E0D">
      <w:pPr>
        <w:pStyle w:val="NormalBulleted"/>
      </w:pPr>
      <w:r w:rsidRPr="00C90AC5">
        <w:rPr>
          <w:b/>
        </w:rPr>
        <w:t>41828</w:t>
      </w:r>
      <w:r w:rsidRPr="00F02A12">
        <w:t xml:space="preserve"> – Oesophageal stricture, dilatation of, without oesophagoscopy</w:t>
      </w:r>
    </w:p>
    <w:p w14:paraId="17B75509" w14:textId="77777777" w:rsidR="00684E0D" w:rsidRPr="00F02A12" w:rsidRDefault="00684E0D" w:rsidP="00684E0D">
      <w:pPr>
        <w:pStyle w:val="NormalBulleted"/>
      </w:pPr>
      <w:r w:rsidRPr="00C90AC5">
        <w:rPr>
          <w:b/>
        </w:rPr>
        <w:t>41831</w:t>
      </w:r>
      <w:r w:rsidRPr="00F02A12">
        <w:t xml:space="preserve"> – Oesophagus, endoscopic pneumatic dilatation</w:t>
      </w:r>
    </w:p>
    <w:p w14:paraId="6F4608DE" w14:textId="77777777" w:rsidR="00684E0D" w:rsidRPr="00C90AC5" w:rsidRDefault="00684E0D" w:rsidP="00684E0D">
      <w:pPr>
        <w:pStyle w:val="NormalBulleted"/>
      </w:pPr>
      <w:r w:rsidRPr="00C90AC5">
        <w:rPr>
          <w:b/>
        </w:rPr>
        <w:t>41832</w:t>
      </w:r>
      <w:r w:rsidRPr="00F02A12">
        <w:t xml:space="preserve"> – Oesophagus, balloon dilatation of, using interventional imaging techniques</w:t>
      </w:r>
      <w:r>
        <w:t>.</w:t>
      </w:r>
    </w:p>
    <w:p w14:paraId="6CCF1B3D" w14:textId="77777777" w:rsidR="00684E0D" w:rsidRPr="00700528" w:rsidRDefault="00684E0D" w:rsidP="003F555F">
      <w:pPr>
        <w:pStyle w:val="Heading2"/>
      </w:pPr>
      <w:r w:rsidRPr="00700528">
        <w:t>Items referred to other Clinical Committees for review</w:t>
      </w:r>
    </w:p>
    <w:p w14:paraId="6054F742" w14:textId="77777777" w:rsidR="00684E0D" w:rsidRPr="00930E08" w:rsidRDefault="00684E0D" w:rsidP="00684E0D">
      <w:r w:rsidRPr="00930E08">
        <w:t xml:space="preserve">The following items were referred to the Diagnostic Imaging Clinical Committee as imaging specialists are the main providers of these services. </w:t>
      </w:r>
    </w:p>
    <w:p w14:paraId="369E81CF" w14:textId="77777777" w:rsidR="00684E0D" w:rsidRPr="00842D30" w:rsidRDefault="00684E0D" w:rsidP="00A84D48">
      <w:pPr>
        <w:pStyle w:val="Heading3"/>
      </w:pPr>
      <w:r w:rsidRPr="00842D30">
        <w:t>Examinations and procedures on bile ducts</w:t>
      </w:r>
    </w:p>
    <w:p w14:paraId="79E6AC13" w14:textId="77777777" w:rsidR="00684E0D" w:rsidRPr="00842D30" w:rsidRDefault="00684E0D" w:rsidP="00684E0D">
      <w:pPr>
        <w:pStyle w:val="NormalBulleted"/>
      </w:pPr>
      <w:r w:rsidRPr="00C90AC5">
        <w:rPr>
          <w:b/>
        </w:rPr>
        <w:t>30495</w:t>
      </w:r>
      <w:r w:rsidRPr="00842D30">
        <w:t xml:space="preserve"> –</w:t>
      </w:r>
      <w:r w:rsidRPr="00DF15E0">
        <w:t xml:space="preserve"> </w:t>
      </w:r>
      <w:r>
        <w:t>Percutaneous</w:t>
      </w:r>
      <w:r w:rsidRPr="00842D30">
        <w:t xml:space="preserve"> biliary dilatation for biliary stricture </w:t>
      </w:r>
    </w:p>
    <w:p w14:paraId="216458DA" w14:textId="77777777" w:rsidR="00684E0D" w:rsidRPr="00842D30" w:rsidRDefault="00684E0D" w:rsidP="00A84D48">
      <w:pPr>
        <w:pStyle w:val="Heading3"/>
      </w:pPr>
      <w:r w:rsidRPr="00842D30">
        <w:t>Bowel Procedures</w:t>
      </w:r>
    </w:p>
    <w:p w14:paraId="584D9F75" w14:textId="07611373" w:rsidR="004D72E6" w:rsidRPr="00A84D48" w:rsidRDefault="00684E0D" w:rsidP="005F0407">
      <w:pPr>
        <w:pStyle w:val="NormalBulleted"/>
        <w:rPr>
          <w:highlight w:val="lightGray"/>
          <w:lang w:val="en-US" w:eastAsia="en-US"/>
        </w:rPr>
      </w:pPr>
      <w:r w:rsidRPr="005F0407">
        <w:rPr>
          <w:b/>
        </w:rPr>
        <w:t>30488</w:t>
      </w:r>
      <w:r w:rsidRPr="00842D30">
        <w:t xml:space="preserve"> – </w:t>
      </w:r>
      <w:r w:rsidRPr="005F0407">
        <w:t>Small</w:t>
      </w:r>
      <w:r w:rsidRPr="00842D30">
        <w:t xml:space="preserve"> bowel intubation (Anaes)</w:t>
      </w:r>
      <w:r w:rsidR="004D72E6" w:rsidRPr="00A84D48">
        <w:rPr>
          <w:highlight w:val="lightGray"/>
        </w:rPr>
        <w:br w:type="page"/>
      </w:r>
    </w:p>
    <w:p w14:paraId="1B4D4B81" w14:textId="77777777" w:rsidR="00684E0D" w:rsidRPr="001F4E07" w:rsidRDefault="00684E0D" w:rsidP="001F4E07">
      <w:pPr>
        <w:pStyle w:val="Heading1"/>
      </w:pPr>
      <w:bookmarkStart w:id="58" w:name="_Toc457307469"/>
      <w:bookmarkStart w:id="59" w:name="_Toc485731761"/>
      <w:r w:rsidRPr="001F4E07">
        <w:lastRenderedPageBreak/>
        <w:t>Priority Reviews</w:t>
      </w:r>
      <w:bookmarkEnd w:id="58"/>
      <w:bookmarkEnd w:id="59"/>
    </w:p>
    <w:p w14:paraId="7F565BCA" w14:textId="77777777" w:rsidR="00684E0D" w:rsidRPr="008D3569" w:rsidRDefault="00684E0D" w:rsidP="003F555F">
      <w:pPr>
        <w:pStyle w:val="Heading2"/>
      </w:pPr>
      <w:bookmarkStart w:id="60" w:name="_Toc456188378"/>
      <w:bookmarkStart w:id="61" w:name="_Toc457307470"/>
      <w:bookmarkStart w:id="62" w:name="_Ref457361954"/>
      <w:bookmarkStart w:id="63" w:name="_Ref457361992"/>
      <w:r w:rsidRPr="008D3569">
        <w:t>Colonoscopy services (items 32090 and 32093)</w:t>
      </w:r>
      <w:bookmarkEnd w:id="60"/>
      <w:bookmarkEnd w:id="61"/>
      <w:bookmarkEnd w:id="62"/>
      <w:bookmarkEnd w:id="63"/>
    </w:p>
    <w:p w14:paraId="2F0C62F9" w14:textId="77777777" w:rsidR="00684E0D" w:rsidRPr="001B13AB" w:rsidRDefault="00684E0D" w:rsidP="001B13AB">
      <w:pPr>
        <w:pStyle w:val="Heading3"/>
      </w:pPr>
      <w:bookmarkStart w:id="64" w:name="_Toc457307471"/>
      <w:r w:rsidRPr="001B13AB">
        <w:t>Issue</w:t>
      </w:r>
      <w:bookmarkEnd w:id="64"/>
    </w:p>
    <w:p w14:paraId="093DB769" w14:textId="4774B0EF" w:rsidR="00684E0D" w:rsidRDefault="00684E0D" w:rsidP="001B13AB">
      <w:r>
        <w:t>The Committee reviewed MBS colonoscopy services items 32090 and 32093 and noted that the demand for MBS funded colonoscopy has increased by 28</w:t>
      </w:r>
      <w:r w:rsidR="008A6560">
        <w:t xml:space="preserve"> per cent</w:t>
      </w:r>
      <w:r>
        <w:t xml:space="preserve"> between 2009-10 </w:t>
      </w:r>
      <w:r w:rsidR="000C00A9">
        <w:t xml:space="preserve">and </w:t>
      </w:r>
      <w:r>
        <w:t>2014-15. This growth rate exceeds population growth (8</w:t>
      </w:r>
      <w:r w:rsidR="008A6560">
        <w:t xml:space="preserve"> per cent</w:t>
      </w:r>
      <w:r w:rsidR="001E5746">
        <w:t>)</w:t>
      </w:r>
      <w:r w:rsidR="009F5735">
        <w:rPr>
          <w:rStyle w:val="FootnoteReference"/>
        </w:rPr>
        <w:footnoteReference w:id="2"/>
      </w:r>
      <w:r>
        <w:t xml:space="preserve"> and total public and private hospital separations (18</w:t>
      </w:r>
      <w:r w:rsidR="008A6560">
        <w:t xml:space="preserve"> per cent</w:t>
      </w:r>
      <w:r>
        <w:t>)</w:t>
      </w:r>
      <w:r w:rsidR="009F5735">
        <w:rPr>
          <w:rStyle w:val="FootnoteReference"/>
        </w:rPr>
        <w:footnoteReference w:id="3"/>
      </w:r>
      <w:r w:rsidR="001E5746">
        <w:rPr>
          <w:color w:val="000000"/>
        </w:rPr>
        <w:t xml:space="preserve"> </w:t>
      </w:r>
      <w:r>
        <w:t xml:space="preserve">over the same period. </w:t>
      </w:r>
    </w:p>
    <w:p w14:paraId="1FB1FF87" w14:textId="5AA8C030" w:rsidR="00684E0D" w:rsidRPr="001C0660" w:rsidRDefault="00684E0D" w:rsidP="001B13AB">
      <w:r w:rsidRPr="00EE3B62">
        <w:t>The Committee also noted the very different patterns of servicing across the country and between practitioners, and while there are significant waiting lists, and probably inadequate access to services in some areas, there appears to be relatively high rates of colonoscopy services in certain parts of the country.</w:t>
      </w:r>
      <w:r w:rsidR="00C22AE4">
        <w:t xml:space="preserve"> </w:t>
      </w:r>
      <w:r w:rsidRPr="00EE3B62">
        <w:t xml:space="preserve">The Australian Commission on Safety and Quality in Health Care </w:t>
      </w:r>
      <w:r>
        <w:t xml:space="preserve">(ACSQHC) </w:t>
      </w:r>
      <w:r w:rsidRPr="00EE3B62">
        <w:t xml:space="preserve">found in 2013-14 the national rate of colonoscopy services </w:t>
      </w:r>
      <w:r>
        <w:t xml:space="preserve">funded through the MBS </w:t>
      </w:r>
      <w:r w:rsidRPr="00EE3B62">
        <w:t>were 2,355 per 100,000 people.</w:t>
      </w:r>
      <w:r w:rsidR="00C22AE4">
        <w:t xml:space="preserve"> </w:t>
      </w:r>
      <w:r w:rsidRPr="00EE3B62">
        <w:t>The number of services across more than 320 local areas ranged from 146 to 4,374 per 100,000 people, the highest rate being 30 times the lowest rate.</w:t>
      </w:r>
      <w:r w:rsidR="00C22AE4">
        <w:t xml:space="preserve"> </w:t>
      </w:r>
      <w:r w:rsidRPr="00EE3B62">
        <w:t xml:space="preserve">Service numbers across States also varied, from 902 per 100,000 people in the Northern Territory, to 2,688 in </w:t>
      </w:r>
      <w:r w:rsidRPr="001C0660">
        <w:t>Queensland</w:t>
      </w:r>
      <w:r w:rsidR="009F5735">
        <w:rPr>
          <w:rStyle w:val="FootnoteReference"/>
        </w:rPr>
        <w:footnoteReference w:id="4"/>
      </w:r>
      <w:r w:rsidR="001E5746" w:rsidRPr="001C0660">
        <w:t>.</w:t>
      </w:r>
    </w:p>
    <w:p w14:paraId="691B8E35" w14:textId="1196FD10" w:rsidR="00684E0D" w:rsidRPr="00FA1377" w:rsidRDefault="00684E0D" w:rsidP="00A84D48">
      <w:r>
        <w:t xml:space="preserve">For most services, variation in per capita use correlates with patient socioeconomic status (SES). This is true for colonoscopy with the highest rates being in eastern Sydney and the lowest in the Northern Territory. However, the data shows that there is considerable variation in per capita use between areas of similar SES. For instance as the </w:t>
      </w:r>
      <w:r w:rsidR="000C00A9">
        <w:t xml:space="preserve">following </w:t>
      </w:r>
      <w:r>
        <w:t xml:space="preserve">map </w:t>
      </w:r>
      <w:r w:rsidR="000C00A9">
        <w:t>(</w:t>
      </w:r>
      <w:r w:rsidR="000C00A9" w:rsidRPr="003910F9">
        <w:t xml:space="preserve">Figure </w:t>
      </w:r>
      <w:r w:rsidR="000C00A9">
        <w:rPr>
          <w:noProof/>
        </w:rPr>
        <w:t>1</w:t>
      </w:r>
      <w:r w:rsidR="000C00A9">
        <w:t xml:space="preserve">) </w:t>
      </w:r>
      <w:r>
        <w:t>shows</w:t>
      </w:r>
      <w:r w:rsidR="000C00A9">
        <w:t>,</w:t>
      </w:r>
      <w:r>
        <w:t xml:space="preserve"> people who reside in northern Sydney have much lower use than those who live in eastern Sydney </w:t>
      </w:r>
      <w:r w:rsidR="00EB624D">
        <w:t>–</w:t>
      </w:r>
      <w:r>
        <w:t xml:space="preserve"> a difference which is not readily explained by patient demographic factors.</w:t>
      </w:r>
      <w:r w:rsidRPr="00FA1377">
        <w:br w:type="page"/>
      </w:r>
    </w:p>
    <w:p w14:paraId="1BE3D91A" w14:textId="155EADF0" w:rsidR="00684E0D" w:rsidRDefault="00AD2996" w:rsidP="00FA1377">
      <w:r>
        <w:rPr>
          <w:noProof/>
        </w:rPr>
        <w:lastRenderedPageBreak/>
        <w:drawing>
          <wp:inline distT="0" distB="0" distL="0" distR="0" wp14:anchorId="6C437DBE" wp14:editId="1FDAF763">
            <wp:extent cx="5731510" cy="4411916"/>
            <wp:effectExtent l="0" t="0" r="2540" b="8255"/>
            <wp:docPr id="1" name="Picture 1" descr="Figure 1 is a map that shows the variation of colonscopy services per 100,000 people. The map depicts that people who reside in northern Sydney have much lower use (2,479 -2,642) than those who live in eastern Sydney  (3,107 -4,374)– a difference which is not readily explained by clinical reasons or patient demographics." title="Figure - 2013-14 colonoscopy services per population in Sydn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731510" cy="4411916"/>
                    </a:xfrm>
                    <a:prstGeom prst="rect">
                      <a:avLst/>
                    </a:prstGeom>
                  </pic:spPr>
                </pic:pic>
              </a:graphicData>
            </a:graphic>
          </wp:inline>
        </w:drawing>
      </w:r>
    </w:p>
    <w:p w14:paraId="0F0C8CDF" w14:textId="4B380C18" w:rsidR="00684E0D" w:rsidRPr="00336A75" w:rsidRDefault="00684E0D" w:rsidP="001F4E07">
      <w:pPr>
        <w:pStyle w:val="TableUnder"/>
      </w:pPr>
      <w:r w:rsidRPr="00336A75">
        <w:t>Source: Australian Commission on Safety and Quality in Health</w:t>
      </w:r>
      <w:r w:rsidR="00764294">
        <w:t xml:space="preserve"> C</w:t>
      </w:r>
      <w:r w:rsidR="00764294" w:rsidRPr="00336A75">
        <w:t>are</w:t>
      </w:r>
      <w:r w:rsidRPr="00336A75">
        <w:t>, Aust</w:t>
      </w:r>
      <w:r>
        <w:t>ralian A</w:t>
      </w:r>
      <w:r w:rsidRPr="00336A75">
        <w:t xml:space="preserve">tlas of </w:t>
      </w:r>
      <w:r>
        <w:t>Healthcare V</w:t>
      </w:r>
      <w:r w:rsidRPr="00336A75">
        <w:t>ariation 2015.</w:t>
      </w:r>
    </w:p>
    <w:p w14:paraId="3CD43F22" w14:textId="30409C42" w:rsidR="001B13AB" w:rsidRPr="001B13AB" w:rsidRDefault="001B13AB" w:rsidP="00A84D48">
      <w:pPr>
        <w:pStyle w:val="CaptionFigure"/>
      </w:pPr>
      <w:bookmarkStart w:id="65" w:name="_Ref457354174"/>
      <w:bookmarkStart w:id="66" w:name="_Toc457307414"/>
      <w:bookmarkStart w:id="67" w:name="_Ref457500490"/>
      <w:bookmarkStart w:id="68" w:name="_Toc457531557"/>
      <w:bookmarkStart w:id="69" w:name="_Ref457354402"/>
      <w:bookmarkStart w:id="70" w:name="_Toc457307420"/>
      <w:r w:rsidRPr="003910F9">
        <w:t xml:space="preserve">Figure </w:t>
      </w:r>
      <w:fldSimple w:instr=" SEQ Figure \* ARABIC ">
        <w:r w:rsidR="00A1715D">
          <w:rPr>
            <w:noProof/>
          </w:rPr>
          <w:t>1</w:t>
        </w:r>
      </w:fldSimple>
      <w:bookmarkEnd w:id="65"/>
      <w:r w:rsidR="00EB624D">
        <w:rPr>
          <w:noProof/>
        </w:rPr>
        <w:t>:</w:t>
      </w:r>
      <w:r w:rsidR="00EB624D">
        <w:tab/>
      </w:r>
      <w:r w:rsidRPr="00856BC8">
        <w:t>Number of MBS-funded colonoscopy services per 100,000 people, age standardised, by local area, 2013-14</w:t>
      </w:r>
      <w:bookmarkEnd w:id="66"/>
      <w:bookmarkEnd w:id="67"/>
      <w:bookmarkEnd w:id="68"/>
    </w:p>
    <w:p w14:paraId="6F84F2FE" w14:textId="09FE13B1" w:rsidR="00684E0D" w:rsidRPr="001F4E07" w:rsidRDefault="00684E0D" w:rsidP="001F4E07">
      <w:pPr>
        <w:pStyle w:val="Caption"/>
      </w:pPr>
      <w:bookmarkStart w:id="71" w:name="_Toc458527778"/>
      <w:r w:rsidRPr="005F0407">
        <w:t xml:space="preserve">Table </w:t>
      </w:r>
      <w:fldSimple w:instr=" SEQ Table \* ARABIC ">
        <w:r w:rsidR="00A1715D">
          <w:rPr>
            <w:noProof/>
          </w:rPr>
          <w:t>2</w:t>
        </w:r>
      </w:fldSimple>
      <w:bookmarkEnd w:id="69"/>
      <w:r w:rsidRPr="005F0407">
        <w:t>:</w:t>
      </w:r>
      <w:r w:rsidR="002D0115" w:rsidRPr="005F0407">
        <w:tab/>
      </w:r>
      <w:r w:rsidRPr="005F0407">
        <w:t>Number of MBS-funded services for colonoscopy per 100,000 people aged standardised, by local</w:t>
      </w:r>
      <w:r w:rsidRPr="001F4E07">
        <w:t xml:space="preserve"> area, state and territory, 2013-14</w:t>
      </w:r>
      <w:bookmarkEnd w:id="70"/>
      <w:bookmarkEnd w:id="71"/>
    </w:p>
    <w:tbl>
      <w:tblPr>
        <w:tblStyle w:val="TableGrid"/>
        <w:tblW w:w="9072" w:type="dxa"/>
        <w:tblInd w:w="108"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ook w:val="04A0" w:firstRow="1" w:lastRow="0" w:firstColumn="1" w:lastColumn="0" w:noHBand="0" w:noVBand="1"/>
        <w:tblDescription w:val="Table 2 shows the number of MBS-funded services for colonoscopy per 100,000 people aged standardised, by local area, state and territory, 2013-14. Rows indicate numbers for highest rate, state/territory, lowest rate and no services; columns show state or territory."/>
      </w:tblPr>
      <w:tblGrid>
        <w:gridCol w:w="1619"/>
        <w:gridCol w:w="931"/>
        <w:gridCol w:w="932"/>
        <w:gridCol w:w="931"/>
        <w:gridCol w:w="932"/>
        <w:gridCol w:w="932"/>
        <w:gridCol w:w="931"/>
        <w:gridCol w:w="932"/>
        <w:gridCol w:w="932"/>
      </w:tblGrid>
      <w:tr w:rsidR="00684E0D" w:rsidRPr="001B13AB" w14:paraId="784B412B" w14:textId="77777777" w:rsidTr="00A84D48">
        <w:trPr>
          <w:tblHeader/>
        </w:trPr>
        <w:tc>
          <w:tcPr>
            <w:tcW w:w="1619" w:type="dxa"/>
          </w:tcPr>
          <w:p w14:paraId="5A6AEC03" w14:textId="3264CD7B" w:rsidR="00684E0D" w:rsidRPr="001B13AB" w:rsidRDefault="005F0407" w:rsidP="005F0407">
            <w:pPr>
              <w:pStyle w:val="Tableheading"/>
            </w:pPr>
            <w:r>
              <w:t>Services</w:t>
            </w:r>
          </w:p>
        </w:tc>
        <w:tc>
          <w:tcPr>
            <w:tcW w:w="931" w:type="dxa"/>
          </w:tcPr>
          <w:p w14:paraId="52ED251A" w14:textId="77777777" w:rsidR="00684E0D" w:rsidRPr="001B13AB" w:rsidRDefault="00684E0D" w:rsidP="005F0407">
            <w:pPr>
              <w:pStyle w:val="Tableheading"/>
              <w:jc w:val="center"/>
            </w:pPr>
            <w:r w:rsidRPr="001B13AB">
              <w:t>NSW</w:t>
            </w:r>
          </w:p>
        </w:tc>
        <w:tc>
          <w:tcPr>
            <w:tcW w:w="932" w:type="dxa"/>
          </w:tcPr>
          <w:p w14:paraId="6EB53381" w14:textId="77777777" w:rsidR="00684E0D" w:rsidRPr="001B13AB" w:rsidRDefault="00684E0D" w:rsidP="005F0407">
            <w:pPr>
              <w:pStyle w:val="Tableheading"/>
              <w:jc w:val="center"/>
            </w:pPr>
            <w:r w:rsidRPr="001B13AB">
              <w:t>VIC</w:t>
            </w:r>
          </w:p>
        </w:tc>
        <w:tc>
          <w:tcPr>
            <w:tcW w:w="931" w:type="dxa"/>
          </w:tcPr>
          <w:p w14:paraId="3885CCA2" w14:textId="77777777" w:rsidR="00684E0D" w:rsidRPr="001B13AB" w:rsidRDefault="00684E0D" w:rsidP="005F0407">
            <w:pPr>
              <w:pStyle w:val="Tableheading"/>
              <w:jc w:val="center"/>
            </w:pPr>
            <w:r w:rsidRPr="001B13AB">
              <w:t>QLD</w:t>
            </w:r>
          </w:p>
        </w:tc>
        <w:tc>
          <w:tcPr>
            <w:tcW w:w="932" w:type="dxa"/>
          </w:tcPr>
          <w:p w14:paraId="00082491" w14:textId="77777777" w:rsidR="00684E0D" w:rsidRPr="001B13AB" w:rsidRDefault="00684E0D" w:rsidP="005F0407">
            <w:pPr>
              <w:pStyle w:val="Tableheading"/>
              <w:jc w:val="center"/>
            </w:pPr>
            <w:r w:rsidRPr="001B13AB">
              <w:t>SA</w:t>
            </w:r>
          </w:p>
        </w:tc>
        <w:tc>
          <w:tcPr>
            <w:tcW w:w="932" w:type="dxa"/>
          </w:tcPr>
          <w:p w14:paraId="536F8D9D" w14:textId="77777777" w:rsidR="00684E0D" w:rsidRPr="001B13AB" w:rsidRDefault="00684E0D" w:rsidP="005F0407">
            <w:pPr>
              <w:pStyle w:val="Tableheading"/>
              <w:jc w:val="center"/>
            </w:pPr>
            <w:r w:rsidRPr="001B13AB">
              <w:t>WA</w:t>
            </w:r>
          </w:p>
        </w:tc>
        <w:tc>
          <w:tcPr>
            <w:tcW w:w="931" w:type="dxa"/>
          </w:tcPr>
          <w:p w14:paraId="7998B00D" w14:textId="77777777" w:rsidR="00684E0D" w:rsidRPr="001B13AB" w:rsidRDefault="00684E0D" w:rsidP="005F0407">
            <w:pPr>
              <w:pStyle w:val="Tableheading"/>
              <w:jc w:val="center"/>
            </w:pPr>
            <w:r w:rsidRPr="001B13AB">
              <w:t>TAS</w:t>
            </w:r>
          </w:p>
        </w:tc>
        <w:tc>
          <w:tcPr>
            <w:tcW w:w="932" w:type="dxa"/>
          </w:tcPr>
          <w:p w14:paraId="71A6DF67" w14:textId="77777777" w:rsidR="00684E0D" w:rsidRPr="001B13AB" w:rsidRDefault="00684E0D" w:rsidP="005F0407">
            <w:pPr>
              <w:pStyle w:val="Tableheading"/>
              <w:jc w:val="center"/>
            </w:pPr>
            <w:r w:rsidRPr="001B13AB">
              <w:t>NT</w:t>
            </w:r>
          </w:p>
        </w:tc>
        <w:tc>
          <w:tcPr>
            <w:tcW w:w="932" w:type="dxa"/>
          </w:tcPr>
          <w:p w14:paraId="29D555D9" w14:textId="77777777" w:rsidR="00684E0D" w:rsidRPr="001B13AB" w:rsidRDefault="00684E0D" w:rsidP="005F0407">
            <w:pPr>
              <w:pStyle w:val="Tableheading"/>
              <w:jc w:val="center"/>
            </w:pPr>
            <w:r w:rsidRPr="001B13AB">
              <w:t>ACT</w:t>
            </w:r>
          </w:p>
        </w:tc>
      </w:tr>
      <w:tr w:rsidR="00684E0D" w:rsidRPr="000C6D06" w14:paraId="6EDD1906" w14:textId="77777777" w:rsidTr="001B13AB">
        <w:tc>
          <w:tcPr>
            <w:tcW w:w="1619" w:type="dxa"/>
          </w:tcPr>
          <w:p w14:paraId="7A0FF891" w14:textId="77777777" w:rsidR="00684E0D" w:rsidRPr="000E5D39" w:rsidRDefault="00684E0D" w:rsidP="00017FE5">
            <w:pPr>
              <w:pStyle w:val="Tabletext"/>
            </w:pPr>
            <w:r w:rsidRPr="000E5D39">
              <w:t>Highest rate</w:t>
            </w:r>
          </w:p>
        </w:tc>
        <w:tc>
          <w:tcPr>
            <w:tcW w:w="931" w:type="dxa"/>
          </w:tcPr>
          <w:p w14:paraId="51BFCCE2" w14:textId="77777777" w:rsidR="00684E0D" w:rsidRPr="000E5D39" w:rsidRDefault="00684E0D" w:rsidP="00017FE5">
            <w:pPr>
              <w:pStyle w:val="Tabletext"/>
              <w:jc w:val="right"/>
            </w:pPr>
            <w:r w:rsidRPr="000E5D39">
              <w:t>4,374</w:t>
            </w:r>
          </w:p>
        </w:tc>
        <w:tc>
          <w:tcPr>
            <w:tcW w:w="932" w:type="dxa"/>
          </w:tcPr>
          <w:p w14:paraId="4623DDD5" w14:textId="77777777" w:rsidR="00684E0D" w:rsidRPr="000E5D39" w:rsidRDefault="00684E0D" w:rsidP="00017FE5">
            <w:pPr>
              <w:pStyle w:val="Tabletext"/>
              <w:jc w:val="right"/>
            </w:pPr>
            <w:r w:rsidRPr="000E5D39">
              <w:t>3,624</w:t>
            </w:r>
          </w:p>
        </w:tc>
        <w:tc>
          <w:tcPr>
            <w:tcW w:w="931" w:type="dxa"/>
          </w:tcPr>
          <w:p w14:paraId="69020526" w14:textId="77777777" w:rsidR="00684E0D" w:rsidRPr="000E5D39" w:rsidRDefault="00684E0D" w:rsidP="00017FE5">
            <w:pPr>
              <w:pStyle w:val="Tabletext"/>
              <w:jc w:val="right"/>
            </w:pPr>
            <w:r w:rsidRPr="000E5D39">
              <w:t>3,746</w:t>
            </w:r>
          </w:p>
        </w:tc>
        <w:tc>
          <w:tcPr>
            <w:tcW w:w="932" w:type="dxa"/>
          </w:tcPr>
          <w:p w14:paraId="0D8C7BAB" w14:textId="77777777" w:rsidR="00684E0D" w:rsidRPr="000E5D39" w:rsidRDefault="00684E0D" w:rsidP="00017FE5">
            <w:pPr>
              <w:pStyle w:val="Tabletext"/>
              <w:jc w:val="right"/>
            </w:pPr>
            <w:r w:rsidRPr="000E5D39">
              <w:t>3,266</w:t>
            </w:r>
          </w:p>
        </w:tc>
        <w:tc>
          <w:tcPr>
            <w:tcW w:w="932" w:type="dxa"/>
          </w:tcPr>
          <w:p w14:paraId="61710212" w14:textId="77777777" w:rsidR="00684E0D" w:rsidRPr="000E5D39" w:rsidRDefault="00684E0D" w:rsidP="00017FE5">
            <w:pPr>
              <w:pStyle w:val="Tabletext"/>
              <w:jc w:val="right"/>
            </w:pPr>
            <w:r w:rsidRPr="000E5D39">
              <w:t>3,405</w:t>
            </w:r>
          </w:p>
        </w:tc>
        <w:tc>
          <w:tcPr>
            <w:tcW w:w="931" w:type="dxa"/>
          </w:tcPr>
          <w:p w14:paraId="47695A29" w14:textId="77777777" w:rsidR="00684E0D" w:rsidRPr="000E5D39" w:rsidRDefault="00684E0D" w:rsidP="00017FE5">
            <w:pPr>
              <w:pStyle w:val="Tabletext"/>
              <w:jc w:val="right"/>
            </w:pPr>
            <w:r w:rsidRPr="000E5D39">
              <w:t>2,887</w:t>
            </w:r>
          </w:p>
        </w:tc>
        <w:tc>
          <w:tcPr>
            <w:tcW w:w="932" w:type="dxa"/>
          </w:tcPr>
          <w:p w14:paraId="2FB4A6C5" w14:textId="77777777" w:rsidR="00684E0D" w:rsidRPr="000E5D39" w:rsidRDefault="00684E0D" w:rsidP="00017FE5">
            <w:pPr>
              <w:pStyle w:val="Tabletext"/>
              <w:jc w:val="right"/>
            </w:pPr>
            <w:r w:rsidRPr="000E5D39">
              <w:t>2,073</w:t>
            </w:r>
          </w:p>
        </w:tc>
        <w:tc>
          <w:tcPr>
            <w:tcW w:w="932" w:type="dxa"/>
          </w:tcPr>
          <w:p w14:paraId="406E9F2B" w14:textId="77777777" w:rsidR="00684E0D" w:rsidRPr="000E5D39" w:rsidRDefault="00684E0D" w:rsidP="00017FE5">
            <w:pPr>
              <w:pStyle w:val="Tabletext"/>
              <w:jc w:val="right"/>
            </w:pPr>
            <w:r w:rsidRPr="000E5D39">
              <w:t>2,919</w:t>
            </w:r>
          </w:p>
        </w:tc>
      </w:tr>
      <w:tr w:rsidR="00684E0D" w:rsidRPr="000C6D06" w14:paraId="0069D3B3" w14:textId="77777777" w:rsidTr="001B13AB">
        <w:tc>
          <w:tcPr>
            <w:tcW w:w="1619" w:type="dxa"/>
          </w:tcPr>
          <w:p w14:paraId="3315E44E" w14:textId="77777777" w:rsidR="00684E0D" w:rsidRPr="000E5D39" w:rsidRDefault="00684E0D" w:rsidP="00017FE5">
            <w:pPr>
              <w:pStyle w:val="Tabletext"/>
            </w:pPr>
            <w:r w:rsidRPr="000E5D39">
              <w:t>State/territory</w:t>
            </w:r>
          </w:p>
        </w:tc>
        <w:tc>
          <w:tcPr>
            <w:tcW w:w="931" w:type="dxa"/>
          </w:tcPr>
          <w:p w14:paraId="69E4582E" w14:textId="77777777" w:rsidR="00684E0D" w:rsidRPr="000E5D39" w:rsidRDefault="00684E0D" w:rsidP="00017FE5">
            <w:pPr>
              <w:pStyle w:val="Tabletext"/>
              <w:jc w:val="right"/>
            </w:pPr>
            <w:r w:rsidRPr="000E5D39">
              <w:t>2,279</w:t>
            </w:r>
          </w:p>
        </w:tc>
        <w:tc>
          <w:tcPr>
            <w:tcW w:w="932" w:type="dxa"/>
          </w:tcPr>
          <w:p w14:paraId="7817C05D" w14:textId="77777777" w:rsidR="00684E0D" w:rsidRPr="000E5D39" w:rsidRDefault="00684E0D" w:rsidP="00017FE5">
            <w:pPr>
              <w:pStyle w:val="Tabletext"/>
              <w:jc w:val="right"/>
            </w:pPr>
            <w:r w:rsidRPr="000E5D39">
              <w:t>2,469</w:t>
            </w:r>
          </w:p>
        </w:tc>
        <w:tc>
          <w:tcPr>
            <w:tcW w:w="931" w:type="dxa"/>
          </w:tcPr>
          <w:p w14:paraId="423B9FF4" w14:textId="77777777" w:rsidR="00684E0D" w:rsidRPr="000E5D39" w:rsidRDefault="00684E0D" w:rsidP="00017FE5">
            <w:pPr>
              <w:pStyle w:val="Tabletext"/>
              <w:jc w:val="right"/>
            </w:pPr>
            <w:r w:rsidRPr="000E5D39">
              <w:t>2,688</w:t>
            </w:r>
          </w:p>
        </w:tc>
        <w:tc>
          <w:tcPr>
            <w:tcW w:w="932" w:type="dxa"/>
          </w:tcPr>
          <w:p w14:paraId="04742A56" w14:textId="77777777" w:rsidR="00684E0D" w:rsidRPr="000E5D39" w:rsidRDefault="00684E0D" w:rsidP="00017FE5">
            <w:pPr>
              <w:pStyle w:val="Tabletext"/>
              <w:jc w:val="right"/>
            </w:pPr>
            <w:r w:rsidRPr="000E5D39">
              <w:t>2,219</w:t>
            </w:r>
          </w:p>
        </w:tc>
        <w:tc>
          <w:tcPr>
            <w:tcW w:w="932" w:type="dxa"/>
          </w:tcPr>
          <w:p w14:paraId="7788DEC9" w14:textId="77777777" w:rsidR="00684E0D" w:rsidRPr="000E5D39" w:rsidRDefault="00684E0D" w:rsidP="00017FE5">
            <w:pPr>
              <w:pStyle w:val="Tabletext"/>
              <w:jc w:val="right"/>
            </w:pPr>
            <w:r w:rsidRPr="000E5D39">
              <w:t>1,981</w:t>
            </w:r>
          </w:p>
        </w:tc>
        <w:tc>
          <w:tcPr>
            <w:tcW w:w="931" w:type="dxa"/>
          </w:tcPr>
          <w:p w14:paraId="58D7B20A" w14:textId="77777777" w:rsidR="00684E0D" w:rsidRPr="000E5D39" w:rsidRDefault="00684E0D" w:rsidP="00017FE5">
            <w:pPr>
              <w:pStyle w:val="Tabletext"/>
              <w:jc w:val="right"/>
            </w:pPr>
            <w:r w:rsidRPr="000E5D39">
              <w:t>2,107</w:t>
            </w:r>
          </w:p>
        </w:tc>
        <w:tc>
          <w:tcPr>
            <w:tcW w:w="932" w:type="dxa"/>
          </w:tcPr>
          <w:p w14:paraId="65D60E8F" w14:textId="77777777" w:rsidR="00684E0D" w:rsidRPr="000E5D39" w:rsidRDefault="00684E0D" w:rsidP="00017FE5">
            <w:pPr>
              <w:pStyle w:val="Tabletext"/>
              <w:jc w:val="right"/>
            </w:pPr>
            <w:r w:rsidRPr="000E5D39">
              <w:t>902</w:t>
            </w:r>
          </w:p>
        </w:tc>
        <w:tc>
          <w:tcPr>
            <w:tcW w:w="932" w:type="dxa"/>
          </w:tcPr>
          <w:p w14:paraId="5FF9777D" w14:textId="77777777" w:rsidR="00684E0D" w:rsidRPr="000E5D39" w:rsidRDefault="00684E0D" w:rsidP="00017FE5">
            <w:pPr>
              <w:pStyle w:val="Tabletext"/>
              <w:jc w:val="right"/>
            </w:pPr>
            <w:r w:rsidRPr="000E5D39">
              <w:t>2,178</w:t>
            </w:r>
          </w:p>
        </w:tc>
      </w:tr>
      <w:tr w:rsidR="00684E0D" w:rsidRPr="000C6D06" w14:paraId="6F083B6B" w14:textId="77777777" w:rsidTr="001B13AB">
        <w:tc>
          <w:tcPr>
            <w:tcW w:w="1619" w:type="dxa"/>
          </w:tcPr>
          <w:p w14:paraId="76EB32F8" w14:textId="77777777" w:rsidR="00684E0D" w:rsidRPr="000E5D39" w:rsidRDefault="00684E0D" w:rsidP="00017FE5">
            <w:pPr>
              <w:pStyle w:val="Tabletext"/>
            </w:pPr>
            <w:r w:rsidRPr="000E5D39">
              <w:t>Lowest rate</w:t>
            </w:r>
          </w:p>
        </w:tc>
        <w:tc>
          <w:tcPr>
            <w:tcW w:w="931" w:type="dxa"/>
          </w:tcPr>
          <w:p w14:paraId="380F5619" w14:textId="77777777" w:rsidR="00684E0D" w:rsidRPr="000E5D39" w:rsidRDefault="00684E0D" w:rsidP="00017FE5">
            <w:pPr>
              <w:pStyle w:val="Tabletext"/>
              <w:jc w:val="right"/>
            </w:pPr>
            <w:r w:rsidRPr="000E5D39">
              <w:t>971</w:t>
            </w:r>
          </w:p>
        </w:tc>
        <w:tc>
          <w:tcPr>
            <w:tcW w:w="932" w:type="dxa"/>
          </w:tcPr>
          <w:p w14:paraId="3F66C4A4" w14:textId="77777777" w:rsidR="00684E0D" w:rsidRPr="000E5D39" w:rsidRDefault="00684E0D" w:rsidP="00017FE5">
            <w:pPr>
              <w:pStyle w:val="Tabletext"/>
              <w:jc w:val="right"/>
            </w:pPr>
            <w:r w:rsidRPr="000E5D39">
              <w:t>976</w:t>
            </w:r>
          </w:p>
        </w:tc>
        <w:tc>
          <w:tcPr>
            <w:tcW w:w="931" w:type="dxa"/>
          </w:tcPr>
          <w:p w14:paraId="64928CF6" w14:textId="77777777" w:rsidR="00684E0D" w:rsidRPr="000E5D39" w:rsidRDefault="00684E0D" w:rsidP="00017FE5">
            <w:pPr>
              <w:pStyle w:val="Tabletext"/>
              <w:jc w:val="right"/>
            </w:pPr>
            <w:r w:rsidRPr="000E5D39">
              <w:t>972</w:t>
            </w:r>
          </w:p>
        </w:tc>
        <w:tc>
          <w:tcPr>
            <w:tcW w:w="932" w:type="dxa"/>
          </w:tcPr>
          <w:p w14:paraId="65369AD9" w14:textId="77777777" w:rsidR="00684E0D" w:rsidRPr="000E5D39" w:rsidRDefault="00684E0D" w:rsidP="00017FE5">
            <w:pPr>
              <w:pStyle w:val="Tabletext"/>
              <w:jc w:val="right"/>
            </w:pPr>
            <w:r w:rsidRPr="000E5D39">
              <w:t>661</w:t>
            </w:r>
          </w:p>
        </w:tc>
        <w:tc>
          <w:tcPr>
            <w:tcW w:w="932" w:type="dxa"/>
          </w:tcPr>
          <w:p w14:paraId="7ADF5CBB" w14:textId="77777777" w:rsidR="00684E0D" w:rsidRPr="000E5D39" w:rsidRDefault="00684E0D" w:rsidP="00017FE5">
            <w:pPr>
              <w:pStyle w:val="Tabletext"/>
              <w:jc w:val="right"/>
            </w:pPr>
            <w:r w:rsidRPr="000E5D39">
              <w:t>213</w:t>
            </w:r>
          </w:p>
        </w:tc>
        <w:tc>
          <w:tcPr>
            <w:tcW w:w="931" w:type="dxa"/>
          </w:tcPr>
          <w:p w14:paraId="65F57355" w14:textId="77777777" w:rsidR="00684E0D" w:rsidRPr="000E5D39" w:rsidRDefault="00684E0D" w:rsidP="00017FE5">
            <w:pPr>
              <w:pStyle w:val="Tabletext"/>
              <w:jc w:val="right"/>
            </w:pPr>
            <w:r w:rsidRPr="000E5D39">
              <w:t>989</w:t>
            </w:r>
          </w:p>
        </w:tc>
        <w:tc>
          <w:tcPr>
            <w:tcW w:w="932" w:type="dxa"/>
          </w:tcPr>
          <w:p w14:paraId="14567865" w14:textId="77777777" w:rsidR="00684E0D" w:rsidRPr="000E5D39" w:rsidRDefault="00684E0D" w:rsidP="00017FE5">
            <w:pPr>
              <w:pStyle w:val="Tabletext"/>
              <w:jc w:val="right"/>
            </w:pPr>
            <w:r w:rsidRPr="000E5D39">
              <w:t>146</w:t>
            </w:r>
          </w:p>
        </w:tc>
        <w:tc>
          <w:tcPr>
            <w:tcW w:w="932" w:type="dxa"/>
          </w:tcPr>
          <w:p w14:paraId="54557F7A" w14:textId="77777777" w:rsidR="00684E0D" w:rsidRPr="000E5D39" w:rsidRDefault="00684E0D" w:rsidP="00017FE5">
            <w:pPr>
              <w:pStyle w:val="Tabletext"/>
              <w:jc w:val="right"/>
            </w:pPr>
            <w:r w:rsidRPr="000E5D39">
              <w:t>1,785</w:t>
            </w:r>
          </w:p>
        </w:tc>
      </w:tr>
      <w:tr w:rsidR="00684E0D" w:rsidRPr="000C6D06" w14:paraId="37F260DB" w14:textId="77777777" w:rsidTr="001B13AB">
        <w:tc>
          <w:tcPr>
            <w:tcW w:w="1619" w:type="dxa"/>
          </w:tcPr>
          <w:p w14:paraId="29DC5861" w14:textId="77777777" w:rsidR="00684E0D" w:rsidRPr="000E5D39" w:rsidRDefault="00684E0D" w:rsidP="00017FE5">
            <w:pPr>
              <w:pStyle w:val="Tabletext"/>
            </w:pPr>
            <w:r w:rsidRPr="000E5D39">
              <w:t>No. services</w:t>
            </w:r>
          </w:p>
        </w:tc>
        <w:tc>
          <w:tcPr>
            <w:tcW w:w="931" w:type="dxa"/>
          </w:tcPr>
          <w:p w14:paraId="05375948" w14:textId="77777777" w:rsidR="00684E0D" w:rsidRPr="000E5D39" w:rsidRDefault="00684E0D" w:rsidP="00017FE5">
            <w:pPr>
              <w:pStyle w:val="Tabletext"/>
              <w:jc w:val="right"/>
            </w:pPr>
            <w:r w:rsidRPr="000E5D39">
              <w:t>185,985</w:t>
            </w:r>
          </w:p>
        </w:tc>
        <w:tc>
          <w:tcPr>
            <w:tcW w:w="932" w:type="dxa"/>
          </w:tcPr>
          <w:p w14:paraId="3768E30B" w14:textId="77777777" w:rsidR="00684E0D" w:rsidRPr="000E5D39" w:rsidRDefault="00684E0D" w:rsidP="00017FE5">
            <w:pPr>
              <w:pStyle w:val="Tabletext"/>
              <w:jc w:val="right"/>
            </w:pPr>
            <w:r w:rsidRPr="000E5D39">
              <w:t>153,168</w:t>
            </w:r>
          </w:p>
        </w:tc>
        <w:tc>
          <w:tcPr>
            <w:tcW w:w="931" w:type="dxa"/>
          </w:tcPr>
          <w:p w14:paraId="4DDAE633" w14:textId="77777777" w:rsidR="00684E0D" w:rsidRPr="000E5D39" w:rsidRDefault="00684E0D" w:rsidP="00017FE5">
            <w:pPr>
              <w:pStyle w:val="Tabletext"/>
              <w:jc w:val="right"/>
            </w:pPr>
            <w:r w:rsidRPr="000E5D39">
              <w:t>132,657</w:t>
            </w:r>
          </w:p>
        </w:tc>
        <w:tc>
          <w:tcPr>
            <w:tcW w:w="932" w:type="dxa"/>
          </w:tcPr>
          <w:p w14:paraId="61BE1E1F" w14:textId="77777777" w:rsidR="00684E0D" w:rsidRPr="000E5D39" w:rsidRDefault="00684E0D" w:rsidP="00017FE5">
            <w:pPr>
              <w:pStyle w:val="Tabletext"/>
              <w:jc w:val="right"/>
            </w:pPr>
            <w:r w:rsidRPr="000E5D39">
              <w:t>43,432</w:t>
            </w:r>
          </w:p>
        </w:tc>
        <w:tc>
          <w:tcPr>
            <w:tcW w:w="932" w:type="dxa"/>
          </w:tcPr>
          <w:p w14:paraId="5596852B" w14:textId="77777777" w:rsidR="00684E0D" w:rsidRPr="000E5D39" w:rsidRDefault="00684E0D" w:rsidP="00017FE5">
            <w:pPr>
              <w:pStyle w:val="Tabletext"/>
              <w:jc w:val="right"/>
            </w:pPr>
            <w:r w:rsidRPr="000E5D39">
              <w:t>51,366</w:t>
            </w:r>
          </w:p>
        </w:tc>
        <w:tc>
          <w:tcPr>
            <w:tcW w:w="931" w:type="dxa"/>
          </w:tcPr>
          <w:p w14:paraId="0A7FB0C5" w14:textId="77777777" w:rsidR="00684E0D" w:rsidRPr="000E5D39" w:rsidRDefault="00684E0D" w:rsidP="00017FE5">
            <w:pPr>
              <w:pStyle w:val="Tabletext"/>
              <w:jc w:val="right"/>
            </w:pPr>
            <w:r w:rsidRPr="000E5D39">
              <w:t>13,042</w:t>
            </w:r>
          </w:p>
        </w:tc>
        <w:tc>
          <w:tcPr>
            <w:tcW w:w="932" w:type="dxa"/>
          </w:tcPr>
          <w:p w14:paraId="5FAD297D" w14:textId="77777777" w:rsidR="00684E0D" w:rsidRPr="000E5D39" w:rsidRDefault="00684E0D" w:rsidP="00017FE5">
            <w:pPr>
              <w:pStyle w:val="Tabletext"/>
              <w:jc w:val="right"/>
            </w:pPr>
            <w:r w:rsidRPr="000E5D39">
              <w:t>1,845</w:t>
            </w:r>
          </w:p>
        </w:tc>
        <w:tc>
          <w:tcPr>
            <w:tcW w:w="932" w:type="dxa"/>
          </w:tcPr>
          <w:p w14:paraId="111D9BE5" w14:textId="77777777" w:rsidR="00684E0D" w:rsidRPr="000E5D39" w:rsidRDefault="00684E0D" w:rsidP="00017FE5">
            <w:pPr>
              <w:pStyle w:val="Tabletext"/>
              <w:jc w:val="right"/>
            </w:pPr>
            <w:r w:rsidRPr="000E5D39">
              <w:t>8,232</w:t>
            </w:r>
          </w:p>
        </w:tc>
      </w:tr>
    </w:tbl>
    <w:p w14:paraId="3B5F03E3" w14:textId="3FF93A54" w:rsidR="004351D1" w:rsidRDefault="00684E0D" w:rsidP="00A84D48">
      <w:pPr>
        <w:pStyle w:val="TableUnder"/>
      </w:pPr>
      <w:r w:rsidRPr="00745ED4">
        <w:t>Source: Australian Commission on Safety and Quality in Health</w:t>
      </w:r>
      <w:r w:rsidR="00764294">
        <w:t xml:space="preserve"> C</w:t>
      </w:r>
      <w:r w:rsidR="00764294" w:rsidRPr="00745ED4">
        <w:t>are</w:t>
      </w:r>
      <w:r w:rsidRPr="00745ED4">
        <w:t>, Australian Atlas of Healthcare Variation 2015.</w:t>
      </w:r>
    </w:p>
    <w:p w14:paraId="6D72E1BF" w14:textId="187AF442" w:rsidR="00A6797B" w:rsidRDefault="004351D1" w:rsidP="001C0660">
      <w:r w:rsidRPr="001F4E07">
        <w:t xml:space="preserve">Table </w:t>
      </w:r>
      <w:r>
        <w:rPr>
          <w:noProof/>
        </w:rPr>
        <w:t>2</w:t>
      </w:r>
      <w:r w:rsidR="001B13AB">
        <w:t xml:space="preserve"> </w:t>
      </w:r>
      <w:r w:rsidR="00684E0D" w:rsidRPr="009E583E">
        <w:t>shows that in 2013–14, there were 589,748 MBS-funded services for colonoscopy, representing 2,355 services per 100,000 people (the Australian rate). The average number of services varied significantly across states and territories, from 902 per 100,000 people in the Northern Territory, to 2,688 in Queensland.</w:t>
      </w:r>
    </w:p>
    <w:p w14:paraId="56C08807" w14:textId="77777777" w:rsidR="00A84D48" w:rsidRDefault="005318D3" w:rsidP="00A84D48">
      <w:pPr>
        <w:pStyle w:val="CaptionFigure"/>
      </w:pPr>
      <w:bookmarkStart w:id="72" w:name="_Toc457307415"/>
      <w:bookmarkStart w:id="73" w:name="_Toc457531558"/>
      <w:r>
        <w:rPr>
          <w:noProof/>
          <w:lang w:eastAsia="en-AU"/>
        </w:rPr>
        <w:lastRenderedPageBreak/>
        <w:drawing>
          <wp:inline distT="0" distB="0" distL="0" distR="0" wp14:anchorId="7BF95076" wp14:editId="50321095">
            <wp:extent cx="5766435" cy="6115050"/>
            <wp:effectExtent l="0" t="0" r="5715" b="0"/>
            <wp:docPr id="11" name="Picture 11" descr="Figure 1 shows a histogram of the number of MBS-funded services for colonoscopy per 100,000 people, age standardised, by local area in 2013-14. Lowest rates are found in local areas, with from lowest to highest West Arnhem, Kimberly, Alice Springs, East Arnhem, Pilbara, Katherine, Goldfields, Gascoyne, and north and east outback. Highest rates are fiound, from highest to lowest, in Eastern Suburbs  North (NSW), Kenmore - Brockfield - Moggill, Brisbane Inner West, Stonnington - East and Bay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5766435" cy="6115050"/>
                    </a:xfrm>
                    <a:prstGeom prst="rect">
                      <a:avLst/>
                    </a:prstGeom>
                  </pic:spPr>
                </pic:pic>
              </a:graphicData>
            </a:graphic>
          </wp:inline>
        </w:drawing>
      </w:r>
    </w:p>
    <w:p w14:paraId="7A301BC9" w14:textId="332F49E3" w:rsidR="00684E0D" w:rsidRDefault="001B13AB" w:rsidP="00A84D48">
      <w:pPr>
        <w:pStyle w:val="CaptionFigure"/>
      </w:pPr>
      <w:r w:rsidRPr="003910F9">
        <w:t xml:space="preserve">Figure </w:t>
      </w:r>
      <w:fldSimple w:instr=" SEQ Figure \* ARABIC ">
        <w:r w:rsidR="00A1715D">
          <w:rPr>
            <w:noProof/>
          </w:rPr>
          <w:t>2</w:t>
        </w:r>
      </w:fldSimple>
      <w:r w:rsidR="00EB624D">
        <w:rPr>
          <w:noProof/>
        </w:rPr>
        <w:t>:</w:t>
      </w:r>
      <w:r w:rsidR="00EB624D">
        <w:rPr>
          <w:noProof/>
        </w:rPr>
        <w:tab/>
      </w:r>
      <w:r w:rsidRPr="00856BC8">
        <w:t>Number of MBS-funded services for colonoscopy per 100,000 people, age standardised, by local area, 2013-14</w:t>
      </w:r>
      <w:bookmarkEnd w:id="72"/>
      <w:bookmarkEnd w:id="73"/>
    </w:p>
    <w:p w14:paraId="520F3708" w14:textId="42B8CEF2" w:rsidR="00067C11" w:rsidRDefault="00684E0D" w:rsidP="00067C11">
      <w:r>
        <w:t>MBS item 32090 services have grow</w:t>
      </w:r>
      <w:r w:rsidR="00B53AB4">
        <w:t>n 51</w:t>
      </w:r>
      <w:r w:rsidR="008A6560">
        <w:t xml:space="preserve"> per cent</w:t>
      </w:r>
      <w:r w:rsidR="00B53AB4">
        <w:t xml:space="preserve"> when compared to 2004</w:t>
      </w:r>
      <w:r w:rsidR="008A6560">
        <w:t>–</w:t>
      </w:r>
      <w:r w:rsidR="00B53AB4">
        <w:t xml:space="preserve">05.  </w:t>
      </w:r>
      <w:r>
        <w:t>Additionally</w:t>
      </w:r>
      <w:r w:rsidR="001B13AB">
        <w:t>,</w:t>
      </w:r>
      <w:r>
        <w:t xml:space="preserve"> MBS item 32093 services have grown 177</w:t>
      </w:r>
      <w:r w:rsidR="008A6560">
        <w:t xml:space="preserve"> per cent</w:t>
      </w:r>
      <w:r>
        <w:t xml:space="preserve"> when compared to 2004</w:t>
      </w:r>
      <w:r w:rsidR="008A6560">
        <w:t>–</w:t>
      </w:r>
      <w:r>
        <w:t>05 service levels. This equates to a compound annual growth rate of 4.2</w:t>
      </w:r>
      <w:r w:rsidR="008A6560">
        <w:t xml:space="preserve"> per cent</w:t>
      </w:r>
      <w:r>
        <w:t xml:space="preserve"> for item 32090 and 10.7</w:t>
      </w:r>
      <w:r w:rsidR="008A6560">
        <w:t xml:space="preserve"> per cent</w:t>
      </w:r>
      <w:r>
        <w:t xml:space="preserve"> for item 32093 over the 10 years.</w:t>
      </w:r>
      <w:bookmarkStart w:id="74" w:name="_Toc457307421"/>
      <w:r w:rsidR="00067C11">
        <w:br w:type="page"/>
      </w:r>
    </w:p>
    <w:p w14:paraId="7AAE60F5" w14:textId="70784C2C" w:rsidR="00684E0D" w:rsidRPr="001F4E07" w:rsidRDefault="00684E0D" w:rsidP="001F4E07">
      <w:pPr>
        <w:pStyle w:val="Caption"/>
      </w:pPr>
      <w:bookmarkStart w:id="75" w:name="_Toc458527779"/>
      <w:r w:rsidRPr="00CD53F1">
        <w:lastRenderedPageBreak/>
        <w:t xml:space="preserve">Table </w:t>
      </w:r>
      <w:fldSimple w:instr=" SEQ Table \* ARABIC ">
        <w:r w:rsidR="00A1715D">
          <w:rPr>
            <w:noProof/>
          </w:rPr>
          <w:t>3</w:t>
        </w:r>
      </w:fldSimple>
      <w:r w:rsidR="002D0115" w:rsidRPr="00CD53F1">
        <w:t>:</w:t>
      </w:r>
      <w:r w:rsidR="002D0115" w:rsidRPr="00CD53F1">
        <w:tab/>
      </w:r>
      <w:r w:rsidRPr="00CD53F1">
        <w:t>The 1-year, 5-year and 10-year growth in services.</w:t>
      </w:r>
      <w:bookmarkEnd w:id="74"/>
      <w:bookmarkEnd w:id="75"/>
    </w:p>
    <w:tbl>
      <w:tblPr>
        <w:tblStyle w:val="TableGrid"/>
        <w:tblW w:w="9072" w:type="dxa"/>
        <w:tblInd w:w="62"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ook w:val="04A0" w:firstRow="1" w:lastRow="0" w:firstColumn="1" w:lastColumn="0" w:noHBand="0" w:noVBand="1"/>
        <w:tblDescription w:val="Table 3 shows the 1-year, 5-year and 10-year growth in services. Rows show growth after 1 year (from 2013-14), growth from 5 years (from 2009-10) and growth from 10 years (from 2004-05), with columns showing percentages for colonoscopy item 32090 and colonoscopy item 32093."/>
      </w:tblPr>
      <w:tblGrid>
        <w:gridCol w:w="4299"/>
        <w:gridCol w:w="2268"/>
        <w:gridCol w:w="2505"/>
      </w:tblGrid>
      <w:tr w:rsidR="00684E0D" w:rsidRPr="001B13AB" w14:paraId="6D4C796A" w14:textId="77777777" w:rsidTr="008A6560">
        <w:trPr>
          <w:tblHeader/>
        </w:trPr>
        <w:tc>
          <w:tcPr>
            <w:tcW w:w="4299" w:type="dxa"/>
          </w:tcPr>
          <w:p w14:paraId="0ECA9436" w14:textId="7D76FF72" w:rsidR="00684E0D" w:rsidRPr="001B13AB" w:rsidRDefault="00CD53F1" w:rsidP="00017FE5">
            <w:pPr>
              <w:pStyle w:val="Tableheading"/>
            </w:pPr>
            <w:r>
              <w:t>Growth period</w:t>
            </w:r>
          </w:p>
        </w:tc>
        <w:tc>
          <w:tcPr>
            <w:tcW w:w="2268" w:type="dxa"/>
          </w:tcPr>
          <w:p w14:paraId="0CA4A32D" w14:textId="77777777" w:rsidR="00684E0D" w:rsidRPr="001B13AB" w:rsidRDefault="00684E0D" w:rsidP="00017FE5">
            <w:pPr>
              <w:pStyle w:val="Tableheading"/>
            </w:pPr>
            <w:r w:rsidRPr="001B13AB">
              <w:t>Colonoscopy item 32090</w:t>
            </w:r>
          </w:p>
        </w:tc>
        <w:tc>
          <w:tcPr>
            <w:tcW w:w="2505" w:type="dxa"/>
          </w:tcPr>
          <w:p w14:paraId="2314BABC" w14:textId="77777777" w:rsidR="00684E0D" w:rsidRPr="001B13AB" w:rsidRDefault="00684E0D" w:rsidP="00017FE5">
            <w:pPr>
              <w:pStyle w:val="Tableheading"/>
            </w:pPr>
            <w:r w:rsidRPr="001B13AB">
              <w:t>Colonoscopy item 32093</w:t>
            </w:r>
          </w:p>
        </w:tc>
      </w:tr>
      <w:tr w:rsidR="00684E0D" w:rsidRPr="008F6DEA" w14:paraId="6D59AAFB" w14:textId="77777777" w:rsidTr="008A6560">
        <w:tc>
          <w:tcPr>
            <w:tcW w:w="4299" w:type="dxa"/>
          </w:tcPr>
          <w:p w14:paraId="29DABD69" w14:textId="77777777" w:rsidR="00684E0D" w:rsidRPr="000E5D39" w:rsidRDefault="00684E0D" w:rsidP="00017FE5">
            <w:pPr>
              <w:pStyle w:val="Tabletext"/>
            </w:pPr>
            <w:r w:rsidRPr="000E5D39">
              <w:t>1 Year Growth, 2013-12 to 2014-15</w:t>
            </w:r>
          </w:p>
        </w:tc>
        <w:tc>
          <w:tcPr>
            <w:tcW w:w="2268" w:type="dxa"/>
          </w:tcPr>
          <w:p w14:paraId="47A1402F" w14:textId="77777777" w:rsidR="00684E0D" w:rsidRPr="002036DF" w:rsidRDefault="00684E0D" w:rsidP="002036DF">
            <w:pPr>
              <w:pStyle w:val="TableTextDecimalAlign"/>
            </w:pPr>
            <w:r w:rsidRPr="002036DF">
              <w:t>0.1%</w:t>
            </w:r>
          </w:p>
        </w:tc>
        <w:tc>
          <w:tcPr>
            <w:tcW w:w="2505" w:type="dxa"/>
          </w:tcPr>
          <w:p w14:paraId="10281927" w14:textId="77777777" w:rsidR="00684E0D" w:rsidRPr="000E5D39" w:rsidRDefault="00684E0D" w:rsidP="00017FE5">
            <w:pPr>
              <w:pStyle w:val="Tabletext"/>
              <w:jc w:val="center"/>
            </w:pPr>
            <w:r w:rsidRPr="000E5D39">
              <w:t>10%</w:t>
            </w:r>
          </w:p>
        </w:tc>
      </w:tr>
      <w:tr w:rsidR="00684E0D" w:rsidRPr="008F6DEA" w14:paraId="67F6F153" w14:textId="77777777" w:rsidTr="008A6560">
        <w:tc>
          <w:tcPr>
            <w:tcW w:w="4299" w:type="dxa"/>
          </w:tcPr>
          <w:p w14:paraId="240159C5" w14:textId="77777777" w:rsidR="00684E0D" w:rsidRPr="000E5D39" w:rsidRDefault="00684E0D" w:rsidP="00017FE5">
            <w:pPr>
              <w:pStyle w:val="Tabletext"/>
            </w:pPr>
            <w:r w:rsidRPr="000E5D39">
              <w:t>5 Year Growth, 2009-10 to 2014-15</w:t>
            </w:r>
          </w:p>
        </w:tc>
        <w:tc>
          <w:tcPr>
            <w:tcW w:w="2268" w:type="dxa"/>
          </w:tcPr>
          <w:p w14:paraId="62DD9456" w14:textId="77777777" w:rsidR="00684E0D" w:rsidRPr="002036DF" w:rsidRDefault="00684E0D" w:rsidP="002036DF">
            <w:pPr>
              <w:pStyle w:val="TableTextDecimalAlign"/>
            </w:pPr>
            <w:r w:rsidRPr="002036DF">
              <w:t>12%</w:t>
            </w:r>
          </w:p>
        </w:tc>
        <w:tc>
          <w:tcPr>
            <w:tcW w:w="2505" w:type="dxa"/>
          </w:tcPr>
          <w:p w14:paraId="699082CD" w14:textId="77777777" w:rsidR="00684E0D" w:rsidRPr="000E5D39" w:rsidRDefault="00684E0D" w:rsidP="00017FE5">
            <w:pPr>
              <w:pStyle w:val="Tabletext"/>
              <w:jc w:val="center"/>
            </w:pPr>
            <w:r w:rsidRPr="000E5D39">
              <w:t>58%</w:t>
            </w:r>
          </w:p>
        </w:tc>
      </w:tr>
      <w:tr w:rsidR="00684E0D" w:rsidRPr="008F6DEA" w14:paraId="4964E472" w14:textId="77777777" w:rsidTr="008A6560">
        <w:tc>
          <w:tcPr>
            <w:tcW w:w="4299" w:type="dxa"/>
          </w:tcPr>
          <w:p w14:paraId="0794EADA" w14:textId="77777777" w:rsidR="00684E0D" w:rsidRPr="000E5D39" w:rsidRDefault="00684E0D" w:rsidP="00017FE5">
            <w:pPr>
              <w:pStyle w:val="Tabletext"/>
            </w:pPr>
            <w:r w:rsidRPr="000E5D39">
              <w:t>10 Year Growth, 2004-05 to 2014-15</w:t>
            </w:r>
          </w:p>
        </w:tc>
        <w:tc>
          <w:tcPr>
            <w:tcW w:w="2268" w:type="dxa"/>
          </w:tcPr>
          <w:p w14:paraId="77025DAC" w14:textId="77777777" w:rsidR="00684E0D" w:rsidRPr="002036DF" w:rsidRDefault="00684E0D" w:rsidP="002036DF">
            <w:pPr>
              <w:pStyle w:val="TableTextDecimalAlign"/>
            </w:pPr>
            <w:r w:rsidRPr="002036DF">
              <w:t>51%</w:t>
            </w:r>
          </w:p>
        </w:tc>
        <w:tc>
          <w:tcPr>
            <w:tcW w:w="2505" w:type="dxa"/>
          </w:tcPr>
          <w:p w14:paraId="30D07D55" w14:textId="77777777" w:rsidR="00684E0D" w:rsidRPr="000E5D39" w:rsidRDefault="00684E0D" w:rsidP="00017FE5">
            <w:pPr>
              <w:pStyle w:val="Tabletext"/>
              <w:jc w:val="center"/>
            </w:pPr>
            <w:r w:rsidRPr="000E5D39">
              <w:t>177%</w:t>
            </w:r>
          </w:p>
        </w:tc>
      </w:tr>
    </w:tbl>
    <w:p w14:paraId="3E9CB697" w14:textId="77777777" w:rsidR="00684E0D" w:rsidRPr="00005079" w:rsidRDefault="00684E0D" w:rsidP="001F4E07">
      <w:pPr>
        <w:pStyle w:val="TableUnder"/>
      </w:pPr>
      <w:r w:rsidRPr="00005079">
        <w:t>Source: Calculated from publicly available MBS Data (Department of Human Services website)</w:t>
      </w:r>
    </w:p>
    <w:p w14:paraId="1D159C25" w14:textId="425125DF" w:rsidR="00684E0D" w:rsidRPr="001F4E07" w:rsidRDefault="00684E0D" w:rsidP="001F4E07">
      <w:pPr>
        <w:pStyle w:val="Caption"/>
      </w:pPr>
      <w:bookmarkStart w:id="76" w:name="_Toc457307422"/>
      <w:bookmarkStart w:id="77" w:name="_Toc458527780"/>
      <w:r w:rsidRPr="001F4E07">
        <w:t xml:space="preserve">Table </w:t>
      </w:r>
      <w:fldSimple w:instr=" SEQ Table \* ARABIC ">
        <w:r w:rsidR="00A1715D">
          <w:rPr>
            <w:noProof/>
          </w:rPr>
          <w:t>4</w:t>
        </w:r>
      </w:fldSimple>
      <w:r w:rsidR="002D0115">
        <w:t>:</w:t>
      </w:r>
      <w:r w:rsidR="002D0115">
        <w:tab/>
      </w:r>
      <w:r w:rsidRPr="001F4E07">
        <w:t>Current MBS colonoscopy items 32090 and 32093</w:t>
      </w:r>
      <w:bookmarkEnd w:id="76"/>
      <w:bookmarkEnd w:id="77"/>
    </w:p>
    <w:tbl>
      <w:tblPr>
        <w:tblW w:w="9072" w:type="dxa"/>
        <w:tblInd w:w="62" w:type="dxa"/>
        <w:tblBorders>
          <w:top w:val="single" w:sz="4" w:space="0" w:color="B56011"/>
          <w:bottom w:val="single" w:sz="4" w:space="0" w:color="B56011"/>
          <w:insideH w:val="single" w:sz="4" w:space="0" w:color="B56011"/>
        </w:tblBorders>
        <w:tblLayout w:type="fixed"/>
        <w:tblCellMar>
          <w:left w:w="60" w:type="dxa"/>
          <w:right w:w="60" w:type="dxa"/>
        </w:tblCellMar>
        <w:tblLook w:val="0000" w:firstRow="0" w:lastRow="0" w:firstColumn="0" w:lastColumn="0" w:noHBand="0" w:noVBand="0"/>
        <w:tblDescription w:val="Table 4 shows the item number and description for items 32090 and 32093 against the schedule fee, number of services in 2014-15 and the percentage  change in services between 2011-12 and 2014-15."/>
      </w:tblPr>
      <w:tblGrid>
        <w:gridCol w:w="863"/>
        <w:gridCol w:w="4805"/>
        <w:gridCol w:w="993"/>
        <w:gridCol w:w="850"/>
        <w:gridCol w:w="1561"/>
      </w:tblGrid>
      <w:tr w:rsidR="004412C0" w:rsidRPr="009E583E" w14:paraId="6CD29E4B" w14:textId="77777777" w:rsidTr="008A6560">
        <w:trPr>
          <w:trHeight w:val="755"/>
          <w:tblHeader/>
        </w:trPr>
        <w:tc>
          <w:tcPr>
            <w:tcW w:w="863" w:type="dxa"/>
            <w:shd w:val="clear" w:color="auto" w:fill="auto"/>
          </w:tcPr>
          <w:p w14:paraId="4A14C72B" w14:textId="44EA0578" w:rsidR="004412C0" w:rsidRPr="001B13AB" w:rsidRDefault="004412C0" w:rsidP="004412C0">
            <w:pPr>
              <w:pStyle w:val="Tableheading"/>
            </w:pPr>
            <w:r w:rsidRPr="001B13AB">
              <w:t>Item</w:t>
            </w:r>
          </w:p>
        </w:tc>
        <w:tc>
          <w:tcPr>
            <w:tcW w:w="4805" w:type="dxa"/>
            <w:shd w:val="clear" w:color="auto" w:fill="auto"/>
          </w:tcPr>
          <w:p w14:paraId="1A29884D" w14:textId="227D05D3" w:rsidR="004412C0" w:rsidRPr="000E5D39" w:rsidRDefault="004412C0" w:rsidP="004412C0">
            <w:pPr>
              <w:pStyle w:val="Tableheading"/>
            </w:pPr>
            <w:r w:rsidRPr="000E5D39">
              <w:t>Item Descriptor</w:t>
            </w:r>
          </w:p>
        </w:tc>
        <w:tc>
          <w:tcPr>
            <w:tcW w:w="993" w:type="dxa"/>
          </w:tcPr>
          <w:p w14:paraId="465EB6FB" w14:textId="3CCE45E5" w:rsidR="004412C0" w:rsidRPr="000E5D39" w:rsidRDefault="004412C0" w:rsidP="004412C0">
            <w:pPr>
              <w:pStyle w:val="Tableheading"/>
            </w:pPr>
            <w:r w:rsidRPr="000E5D39">
              <w:t>Schedule Fee</w:t>
            </w:r>
          </w:p>
        </w:tc>
        <w:tc>
          <w:tcPr>
            <w:tcW w:w="850" w:type="dxa"/>
          </w:tcPr>
          <w:p w14:paraId="3A9EA030" w14:textId="214673A8" w:rsidR="004412C0" w:rsidRPr="000E5D39" w:rsidRDefault="004412C0" w:rsidP="004412C0">
            <w:pPr>
              <w:pStyle w:val="Tableheading"/>
            </w:pPr>
            <w:r w:rsidRPr="000E5D39">
              <w:t>Services 2014-15</w:t>
            </w:r>
          </w:p>
        </w:tc>
        <w:tc>
          <w:tcPr>
            <w:tcW w:w="1561" w:type="dxa"/>
          </w:tcPr>
          <w:p w14:paraId="72742594" w14:textId="45828BD4" w:rsidR="004412C0" w:rsidRPr="000E5D39" w:rsidRDefault="004412C0" w:rsidP="004412C0">
            <w:pPr>
              <w:pStyle w:val="Tableheading"/>
            </w:pPr>
            <w:r w:rsidRPr="000E5D39">
              <w:t>Service change 2011</w:t>
            </w:r>
            <w:r w:rsidR="008A6560">
              <w:t>–</w:t>
            </w:r>
            <w:r w:rsidRPr="000E5D39">
              <w:t>12 to 2014</w:t>
            </w:r>
            <w:r w:rsidR="008A6560">
              <w:t>–</w:t>
            </w:r>
            <w:r w:rsidRPr="000E5D39">
              <w:t>15 (%)</w:t>
            </w:r>
          </w:p>
        </w:tc>
      </w:tr>
      <w:tr w:rsidR="00684E0D" w:rsidRPr="009E583E" w14:paraId="1B3935BE" w14:textId="77777777" w:rsidTr="008A6560">
        <w:trPr>
          <w:trHeight w:val="755"/>
        </w:trPr>
        <w:tc>
          <w:tcPr>
            <w:tcW w:w="863" w:type="dxa"/>
            <w:shd w:val="clear" w:color="auto" w:fill="auto"/>
          </w:tcPr>
          <w:p w14:paraId="3EA5B478" w14:textId="77777777" w:rsidR="00684E0D" w:rsidRPr="001B13AB" w:rsidRDefault="00684E0D" w:rsidP="00017FE5">
            <w:pPr>
              <w:pStyle w:val="Tabletext"/>
            </w:pPr>
            <w:r w:rsidRPr="001B13AB">
              <w:t>32090</w:t>
            </w:r>
          </w:p>
        </w:tc>
        <w:tc>
          <w:tcPr>
            <w:tcW w:w="4805" w:type="dxa"/>
            <w:shd w:val="clear" w:color="auto" w:fill="auto"/>
          </w:tcPr>
          <w:p w14:paraId="5CF85175" w14:textId="32B1CA01" w:rsidR="00684E0D" w:rsidRPr="000E5D39" w:rsidRDefault="00684E0D" w:rsidP="00017FE5">
            <w:pPr>
              <w:pStyle w:val="Tabletext"/>
            </w:pPr>
            <w:r w:rsidRPr="000E5D39">
              <w:t>FIBREOPTIC COLONOSCOPY</w:t>
            </w:r>
            <w:r w:rsidR="00C22AE4">
              <w:t xml:space="preserve"> </w:t>
            </w:r>
            <w:r w:rsidRPr="000E5D39">
              <w:t>examination of the colon beyond the hepatic flexure WITH OR WITHOUT BIOPSY (Anaes.)</w:t>
            </w:r>
          </w:p>
        </w:tc>
        <w:tc>
          <w:tcPr>
            <w:tcW w:w="993" w:type="dxa"/>
          </w:tcPr>
          <w:p w14:paraId="3D59E021" w14:textId="77777777" w:rsidR="00684E0D" w:rsidRPr="000E5D39" w:rsidRDefault="00684E0D" w:rsidP="00017FE5">
            <w:pPr>
              <w:pStyle w:val="Tabletext"/>
            </w:pPr>
            <w:r w:rsidRPr="000E5D39">
              <w:t>$334.35</w:t>
            </w:r>
          </w:p>
        </w:tc>
        <w:tc>
          <w:tcPr>
            <w:tcW w:w="850" w:type="dxa"/>
          </w:tcPr>
          <w:p w14:paraId="3BF817AC" w14:textId="77777777" w:rsidR="00684E0D" w:rsidRPr="000E5D39" w:rsidRDefault="00684E0D" w:rsidP="00017FE5">
            <w:pPr>
              <w:pStyle w:val="Tabletext"/>
            </w:pPr>
            <w:r w:rsidRPr="000E5D39">
              <w:t>335,488</w:t>
            </w:r>
          </w:p>
        </w:tc>
        <w:tc>
          <w:tcPr>
            <w:tcW w:w="1561" w:type="dxa"/>
          </w:tcPr>
          <w:p w14:paraId="37B0F87A" w14:textId="77777777" w:rsidR="00684E0D" w:rsidRPr="000E5D39" w:rsidRDefault="00684E0D" w:rsidP="00017FE5">
            <w:pPr>
              <w:pStyle w:val="Tabletext"/>
            </w:pPr>
            <w:r w:rsidRPr="000E5D39">
              <w:t>3%</w:t>
            </w:r>
          </w:p>
        </w:tc>
      </w:tr>
      <w:tr w:rsidR="00684E0D" w:rsidRPr="009E583E" w14:paraId="5FC85D8A" w14:textId="77777777" w:rsidTr="008A6560">
        <w:trPr>
          <w:trHeight w:val="936"/>
        </w:trPr>
        <w:tc>
          <w:tcPr>
            <w:tcW w:w="863" w:type="dxa"/>
            <w:shd w:val="clear" w:color="auto" w:fill="auto"/>
          </w:tcPr>
          <w:p w14:paraId="7CCF7031" w14:textId="77777777" w:rsidR="00684E0D" w:rsidRPr="001B13AB" w:rsidRDefault="00684E0D" w:rsidP="00017FE5">
            <w:pPr>
              <w:pStyle w:val="Tabletext"/>
            </w:pPr>
            <w:r w:rsidRPr="001B13AB">
              <w:t>32093</w:t>
            </w:r>
          </w:p>
        </w:tc>
        <w:tc>
          <w:tcPr>
            <w:tcW w:w="4805" w:type="dxa"/>
            <w:shd w:val="clear" w:color="auto" w:fill="auto"/>
          </w:tcPr>
          <w:p w14:paraId="3D101484" w14:textId="77777777" w:rsidR="00684E0D" w:rsidRPr="000E5D39" w:rsidRDefault="00684E0D" w:rsidP="00017FE5">
            <w:pPr>
              <w:pStyle w:val="Tabletext"/>
            </w:pPr>
            <w:r w:rsidRPr="000E5D39">
              <w:t>Endoscopic examination of the colon beyond the hepatic flexure by FIBREOPTIC COLONOSCOPY for the REMOVAL OF 1 OR MORE POLYPS, or the treatment of radiation proctitis, angiodysplasia or post-polypectomy bleeding by ARGON PLASMA COAGULATION, 1 or more of (Anaes.)</w:t>
            </w:r>
          </w:p>
        </w:tc>
        <w:tc>
          <w:tcPr>
            <w:tcW w:w="993" w:type="dxa"/>
          </w:tcPr>
          <w:p w14:paraId="2CEFEA97" w14:textId="77777777" w:rsidR="00684E0D" w:rsidRPr="000E5D39" w:rsidRDefault="00684E0D" w:rsidP="00017FE5">
            <w:pPr>
              <w:pStyle w:val="Tabletext"/>
            </w:pPr>
            <w:r w:rsidRPr="000E5D39">
              <w:t>$469.20</w:t>
            </w:r>
          </w:p>
        </w:tc>
        <w:tc>
          <w:tcPr>
            <w:tcW w:w="850" w:type="dxa"/>
          </w:tcPr>
          <w:p w14:paraId="0B076625" w14:textId="77777777" w:rsidR="00684E0D" w:rsidRPr="000E5D39" w:rsidRDefault="00684E0D" w:rsidP="00017FE5">
            <w:pPr>
              <w:pStyle w:val="Tabletext"/>
            </w:pPr>
            <w:r w:rsidRPr="000E5D39">
              <w:t>255,606</w:t>
            </w:r>
          </w:p>
        </w:tc>
        <w:tc>
          <w:tcPr>
            <w:tcW w:w="1561" w:type="dxa"/>
          </w:tcPr>
          <w:p w14:paraId="35E65144" w14:textId="77777777" w:rsidR="00684E0D" w:rsidRPr="000E5D39" w:rsidRDefault="00684E0D" w:rsidP="00017FE5">
            <w:pPr>
              <w:pStyle w:val="Tabletext"/>
            </w:pPr>
            <w:r w:rsidRPr="000E5D39">
              <w:t>29%</w:t>
            </w:r>
          </w:p>
        </w:tc>
      </w:tr>
    </w:tbl>
    <w:p w14:paraId="24B96E0C" w14:textId="77777777" w:rsidR="00684E0D" w:rsidRPr="000F1746" w:rsidRDefault="00684E0D" w:rsidP="001F4E07">
      <w:pPr>
        <w:pStyle w:val="TableUnder"/>
      </w:pPr>
      <w:bookmarkStart w:id="78" w:name="_Toc430338743"/>
      <w:r w:rsidRPr="000F1746">
        <w:t>Source: Publicly available MBS Data (Department of Human Services website)</w:t>
      </w:r>
    </w:p>
    <w:p w14:paraId="78BF7FF3" w14:textId="6E85B015" w:rsidR="00684E0D" w:rsidRPr="001F4E07" w:rsidRDefault="00684E0D" w:rsidP="001F4E07">
      <w:pPr>
        <w:pStyle w:val="Caption"/>
      </w:pPr>
      <w:bookmarkStart w:id="79" w:name="_Toc457307423"/>
      <w:bookmarkStart w:id="80" w:name="_Toc458527781"/>
      <w:bookmarkEnd w:id="78"/>
      <w:r w:rsidRPr="001F4E07">
        <w:t xml:space="preserve">Table </w:t>
      </w:r>
      <w:fldSimple w:instr=" SEQ Table \* ARABIC ">
        <w:r w:rsidR="00A1715D">
          <w:rPr>
            <w:noProof/>
          </w:rPr>
          <w:t>5</w:t>
        </w:r>
      </w:fldSimple>
      <w:r w:rsidR="002D0115">
        <w:t>:</w:t>
      </w:r>
      <w:r w:rsidR="002D0115">
        <w:tab/>
      </w:r>
      <w:r w:rsidRPr="001F4E07">
        <w:t>The number of services and benefits paid over time, by financial year</w:t>
      </w:r>
      <w:bookmarkEnd w:id="79"/>
      <w:bookmarkEnd w:id="80"/>
    </w:p>
    <w:tbl>
      <w:tblPr>
        <w:tblW w:w="9072" w:type="dxa"/>
        <w:tblInd w:w="62" w:type="dxa"/>
        <w:tblBorders>
          <w:top w:val="single" w:sz="4" w:space="0" w:color="B56011"/>
          <w:bottom w:val="single" w:sz="4" w:space="0" w:color="B56011"/>
          <w:insideH w:val="single" w:sz="4" w:space="0" w:color="B56011"/>
        </w:tblBorders>
        <w:tblLayout w:type="fixed"/>
        <w:tblLook w:val="04A0" w:firstRow="1" w:lastRow="0" w:firstColumn="1" w:lastColumn="0" w:noHBand="0" w:noVBand="1"/>
        <w:tblDescription w:val="Rows in Table 5 show the financial years from 2003-04 to 2014-15 against the services of colonoscopy item 32090 and benefits paid for that item, and colonoscopy item 32093 and benefits paid for that item. Both services and benefits increase over time."/>
      </w:tblPr>
      <w:tblGrid>
        <w:gridCol w:w="1814"/>
        <w:gridCol w:w="1814"/>
        <w:gridCol w:w="1815"/>
        <w:gridCol w:w="1814"/>
        <w:gridCol w:w="1815"/>
      </w:tblGrid>
      <w:tr w:rsidR="00684E0D" w:rsidRPr="00001713" w14:paraId="3503965E" w14:textId="77777777" w:rsidTr="00067C11">
        <w:trPr>
          <w:trHeight w:val="315"/>
          <w:tblHeader/>
        </w:trPr>
        <w:tc>
          <w:tcPr>
            <w:tcW w:w="1814" w:type="dxa"/>
            <w:shd w:val="clear" w:color="auto" w:fill="auto"/>
            <w:noWrap/>
            <w:vAlign w:val="center"/>
            <w:hideMark/>
          </w:tcPr>
          <w:p w14:paraId="659C72F4" w14:textId="77777777" w:rsidR="00684E0D" w:rsidRPr="000E5D39" w:rsidRDefault="00684E0D" w:rsidP="00017FE5">
            <w:pPr>
              <w:pStyle w:val="Tableheading"/>
            </w:pPr>
            <w:r w:rsidRPr="000E5D39">
              <w:t>Financial years</w:t>
            </w:r>
          </w:p>
        </w:tc>
        <w:tc>
          <w:tcPr>
            <w:tcW w:w="1814" w:type="dxa"/>
            <w:shd w:val="clear" w:color="auto" w:fill="auto"/>
            <w:noWrap/>
            <w:vAlign w:val="center"/>
            <w:hideMark/>
          </w:tcPr>
          <w:p w14:paraId="3DF2E736" w14:textId="77777777" w:rsidR="00684E0D" w:rsidRPr="000E5D39" w:rsidRDefault="00684E0D" w:rsidP="00017FE5">
            <w:pPr>
              <w:pStyle w:val="Tableheading"/>
            </w:pPr>
            <w:r w:rsidRPr="000E5D39">
              <w:t>Colonoscopy item 32090</w:t>
            </w:r>
          </w:p>
        </w:tc>
        <w:tc>
          <w:tcPr>
            <w:tcW w:w="1815" w:type="dxa"/>
            <w:vAlign w:val="center"/>
          </w:tcPr>
          <w:p w14:paraId="2A9CE407" w14:textId="77777777" w:rsidR="00684E0D" w:rsidRPr="000E5D39" w:rsidRDefault="00684E0D" w:rsidP="00017FE5">
            <w:pPr>
              <w:pStyle w:val="Tableheading"/>
            </w:pPr>
            <w:r w:rsidRPr="000E5D39">
              <w:t>Benefits Paid $</w:t>
            </w:r>
          </w:p>
        </w:tc>
        <w:tc>
          <w:tcPr>
            <w:tcW w:w="1814" w:type="dxa"/>
            <w:vAlign w:val="center"/>
          </w:tcPr>
          <w:p w14:paraId="5FE4991D" w14:textId="77777777" w:rsidR="00684E0D" w:rsidRPr="000E5D39" w:rsidRDefault="00684E0D" w:rsidP="00017FE5">
            <w:pPr>
              <w:pStyle w:val="Tableheading"/>
            </w:pPr>
            <w:r w:rsidRPr="000E5D39">
              <w:t>Colonoscopy item 32093</w:t>
            </w:r>
          </w:p>
        </w:tc>
        <w:tc>
          <w:tcPr>
            <w:tcW w:w="1815" w:type="dxa"/>
            <w:vAlign w:val="center"/>
          </w:tcPr>
          <w:p w14:paraId="5FD2CCB1" w14:textId="77777777" w:rsidR="00684E0D" w:rsidRPr="000E5D39" w:rsidRDefault="00684E0D" w:rsidP="00017FE5">
            <w:pPr>
              <w:pStyle w:val="Tableheading"/>
            </w:pPr>
            <w:r w:rsidRPr="000E5D39">
              <w:t>Benefits Paid $</w:t>
            </w:r>
          </w:p>
        </w:tc>
      </w:tr>
      <w:tr w:rsidR="00684E0D" w:rsidRPr="000D7256" w14:paraId="231A1DD3" w14:textId="77777777" w:rsidTr="001B13AB">
        <w:trPr>
          <w:trHeight w:val="305"/>
        </w:trPr>
        <w:tc>
          <w:tcPr>
            <w:tcW w:w="1814" w:type="dxa"/>
            <w:shd w:val="clear" w:color="000000" w:fill="FFFFFF"/>
            <w:vAlign w:val="center"/>
            <w:hideMark/>
          </w:tcPr>
          <w:p w14:paraId="65AC557C" w14:textId="77777777" w:rsidR="00684E0D" w:rsidRPr="000E5D39" w:rsidRDefault="00684E0D" w:rsidP="00017FE5">
            <w:pPr>
              <w:pStyle w:val="Tabletext"/>
            </w:pPr>
            <w:r w:rsidRPr="000E5D39">
              <w:t>2003-04</w:t>
            </w:r>
          </w:p>
        </w:tc>
        <w:tc>
          <w:tcPr>
            <w:tcW w:w="1814" w:type="dxa"/>
            <w:shd w:val="clear" w:color="000000" w:fill="FFFFFF"/>
            <w:vAlign w:val="center"/>
          </w:tcPr>
          <w:p w14:paraId="1F585EE0" w14:textId="77777777" w:rsidR="00684E0D" w:rsidRPr="000E5D39" w:rsidRDefault="00684E0D" w:rsidP="00017FE5">
            <w:pPr>
              <w:pStyle w:val="Tabletext"/>
              <w:rPr>
                <w:highlight w:val="yellow"/>
              </w:rPr>
            </w:pPr>
            <w:r w:rsidRPr="000E5D39">
              <w:t>214,145</w:t>
            </w:r>
          </w:p>
        </w:tc>
        <w:tc>
          <w:tcPr>
            <w:tcW w:w="1815" w:type="dxa"/>
            <w:shd w:val="clear" w:color="000000" w:fill="FFFFFF"/>
            <w:vAlign w:val="center"/>
          </w:tcPr>
          <w:p w14:paraId="1C3C6F46" w14:textId="77777777" w:rsidR="00684E0D" w:rsidRPr="000E5D39" w:rsidRDefault="00684E0D" w:rsidP="00017FE5">
            <w:pPr>
              <w:pStyle w:val="Tabletext"/>
              <w:rPr>
                <w:highlight w:val="yellow"/>
              </w:rPr>
            </w:pPr>
            <w:r w:rsidRPr="000E5D39">
              <w:t>44,467,250</w:t>
            </w:r>
          </w:p>
        </w:tc>
        <w:tc>
          <w:tcPr>
            <w:tcW w:w="1814" w:type="dxa"/>
            <w:shd w:val="clear" w:color="000000" w:fill="FFFFFF"/>
            <w:vAlign w:val="center"/>
          </w:tcPr>
          <w:p w14:paraId="5585973C" w14:textId="77777777" w:rsidR="00684E0D" w:rsidRPr="000E5D39" w:rsidRDefault="00684E0D" w:rsidP="0018105F">
            <w:pPr>
              <w:pStyle w:val="TableTextDecimalAlign"/>
            </w:pPr>
            <w:r w:rsidRPr="000E5D39">
              <w:t>83,763</w:t>
            </w:r>
          </w:p>
        </w:tc>
        <w:tc>
          <w:tcPr>
            <w:tcW w:w="1815" w:type="dxa"/>
            <w:shd w:val="clear" w:color="000000" w:fill="FFFFFF"/>
            <w:vAlign w:val="center"/>
          </w:tcPr>
          <w:p w14:paraId="0107CB97" w14:textId="77777777" w:rsidR="00684E0D" w:rsidRPr="000E5D39" w:rsidRDefault="00684E0D" w:rsidP="00017FE5">
            <w:pPr>
              <w:pStyle w:val="Tabletext"/>
              <w:rPr>
                <w:highlight w:val="yellow"/>
              </w:rPr>
            </w:pPr>
            <w:r w:rsidRPr="000E5D39">
              <w:t>24,451,802</w:t>
            </w:r>
          </w:p>
        </w:tc>
      </w:tr>
      <w:tr w:rsidR="00684E0D" w:rsidRPr="000D7256" w14:paraId="1AAD5C6A" w14:textId="77777777" w:rsidTr="001B13AB">
        <w:trPr>
          <w:trHeight w:val="315"/>
        </w:trPr>
        <w:tc>
          <w:tcPr>
            <w:tcW w:w="1814" w:type="dxa"/>
            <w:shd w:val="clear" w:color="000000" w:fill="FFFFFF"/>
            <w:vAlign w:val="center"/>
            <w:hideMark/>
          </w:tcPr>
          <w:p w14:paraId="3BF6E372" w14:textId="77777777" w:rsidR="00684E0D" w:rsidRPr="000E5D39" w:rsidRDefault="00684E0D" w:rsidP="00017FE5">
            <w:pPr>
              <w:pStyle w:val="Tabletext"/>
            </w:pPr>
            <w:r w:rsidRPr="000E5D39">
              <w:t>2004-05</w:t>
            </w:r>
          </w:p>
        </w:tc>
        <w:tc>
          <w:tcPr>
            <w:tcW w:w="1814" w:type="dxa"/>
            <w:shd w:val="clear" w:color="000000" w:fill="FFFFFF"/>
            <w:vAlign w:val="center"/>
          </w:tcPr>
          <w:p w14:paraId="09806FCF" w14:textId="77777777" w:rsidR="00684E0D" w:rsidRPr="000E5D39" w:rsidRDefault="00684E0D" w:rsidP="00017FE5">
            <w:pPr>
              <w:pStyle w:val="Tabletext"/>
              <w:rPr>
                <w:highlight w:val="yellow"/>
              </w:rPr>
            </w:pPr>
            <w:r w:rsidRPr="000E5D39">
              <w:t>222,428</w:t>
            </w:r>
          </w:p>
        </w:tc>
        <w:tc>
          <w:tcPr>
            <w:tcW w:w="1815" w:type="dxa"/>
            <w:shd w:val="clear" w:color="000000" w:fill="FFFFFF"/>
            <w:vAlign w:val="center"/>
          </w:tcPr>
          <w:p w14:paraId="1F4E1CD6" w14:textId="77777777" w:rsidR="00684E0D" w:rsidRPr="000E5D39" w:rsidRDefault="00684E0D" w:rsidP="00017FE5">
            <w:pPr>
              <w:pStyle w:val="Tabletext"/>
              <w:rPr>
                <w:highlight w:val="yellow"/>
              </w:rPr>
            </w:pPr>
            <w:r w:rsidRPr="000E5D39">
              <w:t>47,284,925</w:t>
            </w:r>
          </w:p>
        </w:tc>
        <w:tc>
          <w:tcPr>
            <w:tcW w:w="1814" w:type="dxa"/>
            <w:shd w:val="clear" w:color="000000" w:fill="FFFFFF"/>
            <w:vAlign w:val="center"/>
          </w:tcPr>
          <w:p w14:paraId="12B4FFE8" w14:textId="77777777" w:rsidR="00684E0D" w:rsidRPr="000E5D39" w:rsidRDefault="00684E0D" w:rsidP="0018105F">
            <w:pPr>
              <w:pStyle w:val="TableTextDecimalAlign"/>
            </w:pPr>
            <w:r w:rsidRPr="000E5D39">
              <w:t>92,288</w:t>
            </w:r>
          </w:p>
        </w:tc>
        <w:tc>
          <w:tcPr>
            <w:tcW w:w="1815" w:type="dxa"/>
            <w:shd w:val="clear" w:color="000000" w:fill="FFFFFF"/>
            <w:vAlign w:val="center"/>
          </w:tcPr>
          <w:p w14:paraId="44CA29AB" w14:textId="77777777" w:rsidR="00684E0D" w:rsidRPr="000E5D39" w:rsidRDefault="00684E0D" w:rsidP="00017FE5">
            <w:pPr>
              <w:pStyle w:val="Tabletext"/>
              <w:rPr>
                <w:highlight w:val="yellow"/>
              </w:rPr>
            </w:pPr>
            <w:r w:rsidRPr="000E5D39">
              <w:t>27,584,479</w:t>
            </w:r>
          </w:p>
        </w:tc>
      </w:tr>
      <w:tr w:rsidR="00684E0D" w:rsidRPr="000D7256" w14:paraId="28F5A905" w14:textId="77777777" w:rsidTr="001B13AB">
        <w:trPr>
          <w:trHeight w:val="315"/>
        </w:trPr>
        <w:tc>
          <w:tcPr>
            <w:tcW w:w="1814" w:type="dxa"/>
            <w:shd w:val="clear" w:color="000000" w:fill="FFFFFF"/>
            <w:vAlign w:val="center"/>
            <w:hideMark/>
          </w:tcPr>
          <w:p w14:paraId="07BF1971" w14:textId="77777777" w:rsidR="00684E0D" w:rsidRPr="000E5D39" w:rsidRDefault="00684E0D" w:rsidP="00017FE5">
            <w:pPr>
              <w:pStyle w:val="Tabletext"/>
            </w:pPr>
            <w:r w:rsidRPr="000E5D39">
              <w:t>2005-06</w:t>
            </w:r>
          </w:p>
        </w:tc>
        <w:tc>
          <w:tcPr>
            <w:tcW w:w="1814" w:type="dxa"/>
            <w:shd w:val="clear" w:color="000000" w:fill="FFFFFF"/>
            <w:vAlign w:val="center"/>
          </w:tcPr>
          <w:p w14:paraId="493FA9BD" w14:textId="77777777" w:rsidR="00684E0D" w:rsidRPr="000E5D39" w:rsidRDefault="00684E0D" w:rsidP="00017FE5">
            <w:pPr>
              <w:pStyle w:val="Tabletext"/>
              <w:rPr>
                <w:highlight w:val="yellow"/>
              </w:rPr>
            </w:pPr>
            <w:r w:rsidRPr="000E5D39">
              <w:t>236,358</w:t>
            </w:r>
          </w:p>
        </w:tc>
        <w:tc>
          <w:tcPr>
            <w:tcW w:w="1815" w:type="dxa"/>
            <w:shd w:val="clear" w:color="000000" w:fill="FFFFFF"/>
            <w:vAlign w:val="center"/>
          </w:tcPr>
          <w:p w14:paraId="2A5F9F83" w14:textId="77777777" w:rsidR="00684E0D" w:rsidRPr="000E5D39" w:rsidRDefault="00684E0D" w:rsidP="00017FE5">
            <w:pPr>
              <w:pStyle w:val="Tabletext"/>
              <w:rPr>
                <w:highlight w:val="yellow"/>
              </w:rPr>
            </w:pPr>
            <w:r w:rsidRPr="000E5D39">
              <w:t>51,311,612</w:t>
            </w:r>
          </w:p>
        </w:tc>
        <w:tc>
          <w:tcPr>
            <w:tcW w:w="1814" w:type="dxa"/>
            <w:shd w:val="clear" w:color="000000" w:fill="FFFFFF"/>
            <w:vAlign w:val="center"/>
          </w:tcPr>
          <w:p w14:paraId="317734FD" w14:textId="77777777" w:rsidR="00684E0D" w:rsidRPr="000E5D39" w:rsidRDefault="00684E0D" w:rsidP="0018105F">
            <w:pPr>
              <w:pStyle w:val="TableTextDecimalAlign"/>
            </w:pPr>
            <w:r w:rsidRPr="000E5D39">
              <w:t>103,930</w:t>
            </w:r>
          </w:p>
        </w:tc>
        <w:tc>
          <w:tcPr>
            <w:tcW w:w="1815" w:type="dxa"/>
            <w:shd w:val="clear" w:color="000000" w:fill="FFFFFF"/>
            <w:vAlign w:val="center"/>
          </w:tcPr>
          <w:p w14:paraId="4538A3EE" w14:textId="77777777" w:rsidR="00684E0D" w:rsidRPr="000E5D39" w:rsidRDefault="00684E0D" w:rsidP="00017FE5">
            <w:pPr>
              <w:pStyle w:val="Tabletext"/>
              <w:rPr>
                <w:highlight w:val="yellow"/>
              </w:rPr>
            </w:pPr>
            <w:r w:rsidRPr="000E5D39">
              <w:t>31,738,078</w:t>
            </w:r>
          </w:p>
        </w:tc>
      </w:tr>
      <w:tr w:rsidR="00684E0D" w:rsidRPr="000D7256" w14:paraId="32870D48" w14:textId="77777777" w:rsidTr="001B13AB">
        <w:trPr>
          <w:trHeight w:val="315"/>
        </w:trPr>
        <w:tc>
          <w:tcPr>
            <w:tcW w:w="1814" w:type="dxa"/>
            <w:shd w:val="clear" w:color="000000" w:fill="FFFFFF"/>
            <w:vAlign w:val="center"/>
            <w:hideMark/>
          </w:tcPr>
          <w:p w14:paraId="7361EA32" w14:textId="77777777" w:rsidR="00684E0D" w:rsidRPr="000E5D39" w:rsidRDefault="00684E0D" w:rsidP="00017FE5">
            <w:pPr>
              <w:pStyle w:val="Tabletext"/>
            </w:pPr>
            <w:r w:rsidRPr="000E5D39">
              <w:t>2006-07</w:t>
            </w:r>
          </w:p>
        </w:tc>
        <w:tc>
          <w:tcPr>
            <w:tcW w:w="1814" w:type="dxa"/>
            <w:shd w:val="clear" w:color="000000" w:fill="FFFFFF"/>
            <w:vAlign w:val="center"/>
          </w:tcPr>
          <w:p w14:paraId="0E628803" w14:textId="77777777" w:rsidR="00684E0D" w:rsidRPr="000E5D39" w:rsidRDefault="00684E0D" w:rsidP="00017FE5">
            <w:pPr>
              <w:pStyle w:val="Tabletext"/>
              <w:rPr>
                <w:highlight w:val="yellow"/>
              </w:rPr>
            </w:pPr>
            <w:r w:rsidRPr="000E5D39">
              <w:t>250,968</w:t>
            </w:r>
          </w:p>
        </w:tc>
        <w:tc>
          <w:tcPr>
            <w:tcW w:w="1815" w:type="dxa"/>
            <w:shd w:val="clear" w:color="000000" w:fill="FFFFFF"/>
            <w:vAlign w:val="center"/>
          </w:tcPr>
          <w:p w14:paraId="75089AB3" w14:textId="77777777" w:rsidR="00684E0D" w:rsidRPr="000E5D39" w:rsidRDefault="00684E0D" w:rsidP="00017FE5">
            <w:pPr>
              <w:pStyle w:val="Tabletext"/>
              <w:rPr>
                <w:highlight w:val="yellow"/>
              </w:rPr>
            </w:pPr>
            <w:r w:rsidRPr="000E5D39">
              <w:t>55,598,206</w:t>
            </w:r>
          </w:p>
        </w:tc>
        <w:tc>
          <w:tcPr>
            <w:tcW w:w="1814" w:type="dxa"/>
            <w:shd w:val="clear" w:color="000000" w:fill="FFFFFF"/>
            <w:vAlign w:val="center"/>
          </w:tcPr>
          <w:p w14:paraId="6623CD65" w14:textId="77777777" w:rsidR="00684E0D" w:rsidRPr="000E5D39" w:rsidRDefault="00684E0D" w:rsidP="0018105F">
            <w:pPr>
              <w:pStyle w:val="TableTextDecimalAlign"/>
            </w:pPr>
            <w:r w:rsidRPr="000E5D39">
              <w:t>119,797</w:t>
            </w:r>
          </w:p>
        </w:tc>
        <w:tc>
          <w:tcPr>
            <w:tcW w:w="1815" w:type="dxa"/>
            <w:shd w:val="clear" w:color="000000" w:fill="FFFFFF"/>
            <w:vAlign w:val="center"/>
          </w:tcPr>
          <w:p w14:paraId="068B8C03" w14:textId="77777777" w:rsidR="00684E0D" w:rsidRPr="000E5D39" w:rsidRDefault="00684E0D" w:rsidP="00017FE5">
            <w:pPr>
              <w:pStyle w:val="Tabletext"/>
              <w:rPr>
                <w:highlight w:val="yellow"/>
              </w:rPr>
            </w:pPr>
            <w:r w:rsidRPr="000E5D39">
              <w:t>37,344,055</w:t>
            </w:r>
          </w:p>
        </w:tc>
      </w:tr>
      <w:tr w:rsidR="00684E0D" w:rsidRPr="000D7256" w14:paraId="1FACF9AD" w14:textId="77777777" w:rsidTr="001B13AB">
        <w:trPr>
          <w:trHeight w:val="315"/>
        </w:trPr>
        <w:tc>
          <w:tcPr>
            <w:tcW w:w="1814" w:type="dxa"/>
            <w:shd w:val="clear" w:color="000000" w:fill="FFFFFF"/>
            <w:vAlign w:val="center"/>
            <w:hideMark/>
          </w:tcPr>
          <w:p w14:paraId="021553DC" w14:textId="77777777" w:rsidR="00684E0D" w:rsidRPr="000E5D39" w:rsidRDefault="00684E0D" w:rsidP="00017FE5">
            <w:pPr>
              <w:pStyle w:val="Tabletext"/>
            </w:pPr>
            <w:r w:rsidRPr="000E5D39">
              <w:t>2007-08</w:t>
            </w:r>
          </w:p>
        </w:tc>
        <w:tc>
          <w:tcPr>
            <w:tcW w:w="1814" w:type="dxa"/>
            <w:shd w:val="clear" w:color="000000" w:fill="FFFFFF"/>
            <w:vAlign w:val="center"/>
          </w:tcPr>
          <w:p w14:paraId="073EC417" w14:textId="77777777" w:rsidR="00684E0D" w:rsidRPr="000E5D39" w:rsidRDefault="00684E0D" w:rsidP="00017FE5">
            <w:pPr>
              <w:pStyle w:val="Tabletext"/>
              <w:rPr>
                <w:highlight w:val="yellow"/>
              </w:rPr>
            </w:pPr>
            <w:r w:rsidRPr="000E5D39">
              <w:t>272,721</w:t>
            </w:r>
          </w:p>
        </w:tc>
        <w:tc>
          <w:tcPr>
            <w:tcW w:w="1815" w:type="dxa"/>
            <w:shd w:val="clear" w:color="000000" w:fill="FFFFFF"/>
            <w:vAlign w:val="center"/>
          </w:tcPr>
          <w:p w14:paraId="0DF55D6F" w14:textId="77777777" w:rsidR="00684E0D" w:rsidRPr="000E5D39" w:rsidRDefault="00684E0D" w:rsidP="00017FE5">
            <w:pPr>
              <w:pStyle w:val="Tabletext"/>
              <w:rPr>
                <w:highlight w:val="yellow"/>
              </w:rPr>
            </w:pPr>
            <w:r w:rsidRPr="000E5D39">
              <w:t>61,718,765</w:t>
            </w:r>
          </w:p>
        </w:tc>
        <w:tc>
          <w:tcPr>
            <w:tcW w:w="1814" w:type="dxa"/>
            <w:shd w:val="clear" w:color="000000" w:fill="FFFFFF"/>
            <w:vAlign w:val="center"/>
          </w:tcPr>
          <w:p w14:paraId="190E22D7" w14:textId="77777777" w:rsidR="00684E0D" w:rsidRPr="000E5D39" w:rsidRDefault="00684E0D" w:rsidP="0018105F">
            <w:pPr>
              <w:pStyle w:val="TableTextDecimalAlign"/>
            </w:pPr>
            <w:r w:rsidRPr="000E5D39">
              <w:t>135,991</w:t>
            </w:r>
          </w:p>
        </w:tc>
        <w:tc>
          <w:tcPr>
            <w:tcW w:w="1815" w:type="dxa"/>
            <w:shd w:val="clear" w:color="000000" w:fill="FFFFFF"/>
            <w:vAlign w:val="center"/>
          </w:tcPr>
          <w:p w14:paraId="4E5B4D30" w14:textId="77777777" w:rsidR="00684E0D" w:rsidRPr="000E5D39" w:rsidRDefault="00684E0D" w:rsidP="00017FE5">
            <w:pPr>
              <w:pStyle w:val="Tabletext"/>
              <w:rPr>
                <w:highlight w:val="yellow"/>
              </w:rPr>
            </w:pPr>
            <w:r w:rsidRPr="000E5D39">
              <w:t>43,303,900</w:t>
            </w:r>
          </w:p>
        </w:tc>
      </w:tr>
      <w:tr w:rsidR="00684E0D" w:rsidRPr="000D7256" w14:paraId="77E9CBDF" w14:textId="77777777" w:rsidTr="001B13AB">
        <w:trPr>
          <w:trHeight w:val="315"/>
        </w:trPr>
        <w:tc>
          <w:tcPr>
            <w:tcW w:w="1814" w:type="dxa"/>
            <w:shd w:val="clear" w:color="000000" w:fill="FFFFFF"/>
            <w:vAlign w:val="center"/>
            <w:hideMark/>
          </w:tcPr>
          <w:p w14:paraId="49F32BBA" w14:textId="77777777" w:rsidR="00684E0D" w:rsidRPr="000E5D39" w:rsidRDefault="00684E0D" w:rsidP="00017FE5">
            <w:pPr>
              <w:pStyle w:val="Tabletext"/>
            </w:pPr>
            <w:r w:rsidRPr="000E5D39">
              <w:t>2008-09</w:t>
            </w:r>
          </w:p>
        </w:tc>
        <w:tc>
          <w:tcPr>
            <w:tcW w:w="1814" w:type="dxa"/>
            <w:shd w:val="clear" w:color="000000" w:fill="FFFFFF"/>
            <w:vAlign w:val="center"/>
          </w:tcPr>
          <w:p w14:paraId="10E15C29" w14:textId="77777777" w:rsidR="00684E0D" w:rsidRPr="000E5D39" w:rsidRDefault="00684E0D" w:rsidP="00017FE5">
            <w:pPr>
              <w:pStyle w:val="Tabletext"/>
              <w:rPr>
                <w:highlight w:val="yellow"/>
              </w:rPr>
            </w:pPr>
            <w:r w:rsidRPr="000E5D39">
              <w:t>284,755</w:t>
            </w:r>
          </w:p>
        </w:tc>
        <w:tc>
          <w:tcPr>
            <w:tcW w:w="1815" w:type="dxa"/>
            <w:shd w:val="clear" w:color="000000" w:fill="FFFFFF"/>
            <w:vAlign w:val="center"/>
          </w:tcPr>
          <w:p w14:paraId="30993F5A" w14:textId="77777777" w:rsidR="00684E0D" w:rsidRPr="000E5D39" w:rsidRDefault="00684E0D" w:rsidP="00017FE5">
            <w:pPr>
              <w:pStyle w:val="Tabletext"/>
              <w:rPr>
                <w:highlight w:val="yellow"/>
              </w:rPr>
            </w:pPr>
            <w:r w:rsidRPr="000E5D39">
              <w:t>65,958,710</w:t>
            </w:r>
          </w:p>
        </w:tc>
        <w:tc>
          <w:tcPr>
            <w:tcW w:w="1814" w:type="dxa"/>
            <w:shd w:val="clear" w:color="000000" w:fill="FFFFFF"/>
            <w:vAlign w:val="center"/>
          </w:tcPr>
          <w:p w14:paraId="02202ADA" w14:textId="77777777" w:rsidR="00684E0D" w:rsidRPr="000E5D39" w:rsidRDefault="00684E0D" w:rsidP="0018105F">
            <w:pPr>
              <w:pStyle w:val="TableTextDecimalAlign"/>
            </w:pPr>
            <w:r w:rsidRPr="000E5D39">
              <w:t>146,870</w:t>
            </w:r>
          </w:p>
        </w:tc>
        <w:tc>
          <w:tcPr>
            <w:tcW w:w="1815" w:type="dxa"/>
            <w:shd w:val="clear" w:color="000000" w:fill="FFFFFF"/>
            <w:vAlign w:val="center"/>
          </w:tcPr>
          <w:p w14:paraId="2718A7CB" w14:textId="77777777" w:rsidR="00684E0D" w:rsidRPr="000E5D39" w:rsidRDefault="00684E0D" w:rsidP="00017FE5">
            <w:pPr>
              <w:pStyle w:val="Tabletext"/>
              <w:rPr>
                <w:highlight w:val="yellow"/>
              </w:rPr>
            </w:pPr>
            <w:r w:rsidRPr="000E5D39">
              <w:t>47,846,030</w:t>
            </w:r>
          </w:p>
        </w:tc>
      </w:tr>
      <w:tr w:rsidR="00684E0D" w:rsidRPr="000D7256" w14:paraId="3E9EAEDB" w14:textId="77777777" w:rsidTr="001B13AB">
        <w:trPr>
          <w:trHeight w:val="315"/>
        </w:trPr>
        <w:tc>
          <w:tcPr>
            <w:tcW w:w="1814" w:type="dxa"/>
            <w:shd w:val="clear" w:color="000000" w:fill="FFFFFF"/>
            <w:vAlign w:val="center"/>
            <w:hideMark/>
          </w:tcPr>
          <w:p w14:paraId="5F3F1289" w14:textId="77777777" w:rsidR="00684E0D" w:rsidRPr="000E5D39" w:rsidRDefault="00684E0D" w:rsidP="00017FE5">
            <w:pPr>
              <w:pStyle w:val="Tabletext"/>
            </w:pPr>
            <w:r w:rsidRPr="000E5D39">
              <w:t>2009-10</w:t>
            </w:r>
          </w:p>
        </w:tc>
        <w:tc>
          <w:tcPr>
            <w:tcW w:w="1814" w:type="dxa"/>
            <w:shd w:val="clear" w:color="000000" w:fill="FFFFFF"/>
            <w:vAlign w:val="center"/>
          </w:tcPr>
          <w:p w14:paraId="11B6FA99" w14:textId="77777777" w:rsidR="00684E0D" w:rsidRPr="000E5D39" w:rsidRDefault="00684E0D" w:rsidP="00017FE5">
            <w:pPr>
              <w:pStyle w:val="Tabletext"/>
              <w:rPr>
                <w:highlight w:val="yellow"/>
              </w:rPr>
            </w:pPr>
            <w:r w:rsidRPr="000E5D39">
              <w:t>300,365</w:t>
            </w:r>
          </w:p>
        </w:tc>
        <w:tc>
          <w:tcPr>
            <w:tcW w:w="1815" w:type="dxa"/>
            <w:shd w:val="clear" w:color="000000" w:fill="FFFFFF"/>
            <w:vAlign w:val="center"/>
          </w:tcPr>
          <w:p w14:paraId="33B8777B" w14:textId="77777777" w:rsidR="00684E0D" w:rsidRPr="000E5D39" w:rsidRDefault="00684E0D" w:rsidP="00017FE5">
            <w:pPr>
              <w:pStyle w:val="Tabletext"/>
              <w:rPr>
                <w:highlight w:val="yellow"/>
              </w:rPr>
            </w:pPr>
            <w:r w:rsidRPr="000E5D39">
              <w:t>71,203,293</w:t>
            </w:r>
          </w:p>
        </w:tc>
        <w:tc>
          <w:tcPr>
            <w:tcW w:w="1814" w:type="dxa"/>
            <w:shd w:val="clear" w:color="000000" w:fill="FFFFFF"/>
            <w:vAlign w:val="center"/>
          </w:tcPr>
          <w:p w14:paraId="46CC707E" w14:textId="77777777" w:rsidR="00684E0D" w:rsidRPr="000E5D39" w:rsidRDefault="00684E0D" w:rsidP="0018105F">
            <w:pPr>
              <w:pStyle w:val="TableTextDecimalAlign"/>
            </w:pPr>
            <w:r w:rsidRPr="000E5D39">
              <w:t>162,010</w:t>
            </w:r>
          </w:p>
        </w:tc>
        <w:tc>
          <w:tcPr>
            <w:tcW w:w="1815" w:type="dxa"/>
            <w:shd w:val="clear" w:color="000000" w:fill="FFFFFF"/>
            <w:vAlign w:val="center"/>
          </w:tcPr>
          <w:p w14:paraId="2C045E34" w14:textId="77777777" w:rsidR="00684E0D" w:rsidRPr="000E5D39" w:rsidRDefault="00684E0D" w:rsidP="00017FE5">
            <w:pPr>
              <w:pStyle w:val="Tabletext"/>
              <w:rPr>
                <w:highlight w:val="yellow"/>
              </w:rPr>
            </w:pPr>
            <w:r w:rsidRPr="000E5D39">
              <w:t>54,022,879</w:t>
            </w:r>
          </w:p>
        </w:tc>
      </w:tr>
      <w:tr w:rsidR="00684E0D" w:rsidRPr="000D7256" w14:paraId="4B0C8B0D" w14:textId="77777777" w:rsidTr="001B13AB">
        <w:trPr>
          <w:trHeight w:val="315"/>
        </w:trPr>
        <w:tc>
          <w:tcPr>
            <w:tcW w:w="1814" w:type="dxa"/>
            <w:shd w:val="clear" w:color="000000" w:fill="FFFFFF"/>
            <w:vAlign w:val="center"/>
            <w:hideMark/>
          </w:tcPr>
          <w:p w14:paraId="68A6E9B6" w14:textId="77777777" w:rsidR="00684E0D" w:rsidRPr="000E5D39" w:rsidRDefault="00684E0D" w:rsidP="00017FE5">
            <w:pPr>
              <w:pStyle w:val="Tabletext"/>
            </w:pPr>
            <w:r w:rsidRPr="000E5D39">
              <w:t>2010-11</w:t>
            </w:r>
          </w:p>
        </w:tc>
        <w:tc>
          <w:tcPr>
            <w:tcW w:w="1814" w:type="dxa"/>
            <w:shd w:val="clear" w:color="000000" w:fill="FFFFFF"/>
            <w:vAlign w:val="center"/>
          </w:tcPr>
          <w:p w14:paraId="6660E95F" w14:textId="77777777" w:rsidR="00684E0D" w:rsidRPr="000E5D39" w:rsidRDefault="00684E0D" w:rsidP="00017FE5">
            <w:pPr>
              <w:pStyle w:val="Tabletext"/>
              <w:rPr>
                <w:highlight w:val="yellow"/>
              </w:rPr>
            </w:pPr>
            <w:r w:rsidRPr="000E5D39">
              <w:t>313,787</w:t>
            </w:r>
          </w:p>
        </w:tc>
        <w:tc>
          <w:tcPr>
            <w:tcW w:w="1815" w:type="dxa"/>
            <w:shd w:val="clear" w:color="000000" w:fill="FFFFFF"/>
            <w:vAlign w:val="center"/>
          </w:tcPr>
          <w:p w14:paraId="2EE5BDD3" w14:textId="77777777" w:rsidR="00684E0D" w:rsidRPr="000E5D39" w:rsidRDefault="00684E0D" w:rsidP="00017FE5">
            <w:pPr>
              <w:pStyle w:val="Tabletext"/>
              <w:rPr>
                <w:highlight w:val="yellow"/>
              </w:rPr>
            </w:pPr>
            <w:r w:rsidRPr="000E5D39">
              <w:t>75,892,935</w:t>
            </w:r>
          </w:p>
        </w:tc>
        <w:tc>
          <w:tcPr>
            <w:tcW w:w="1814" w:type="dxa"/>
            <w:shd w:val="clear" w:color="000000" w:fill="FFFFFF"/>
            <w:vAlign w:val="center"/>
          </w:tcPr>
          <w:p w14:paraId="3EB0191A" w14:textId="77777777" w:rsidR="00684E0D" w:rsidRPr="000E5D39" w:rsidRDefault="00684E0D" w:rsidP="0018105F">
            <w:pPr>
              <w:pStyle w:val="TableTextDecimalAlign"/>
            </w:pPr>
            <w:r w:rsidRPr="000E5D39">
              <w:t>183,744</w:t>
            </w:r>
          </w:p>
        </w:tc>
        <w:tc>
          <w:tcPr>
            <w:tcW w:w="1815" w:type="dxa"/>
            <w:shd w:val="clear" w:color="000000" w:fill="FFFFFF"/>
            <w:vAlign w:val="center"/>
          </w:tcPr>
          <w:p w14:paraId="04BFBEEF" w14:textId="77777777" w:rsidR="00684E0D" w:rsidRPr="000E5D39" w:rsidRDefault="00684E0D" w:rsidP="00017FE5">
            <w:pPr>
              <w:pStyle w:val="Tabletext"/>
              <w:rPr>
                <w:highlight w:val="yellow"/>
              </w:rPr>
            </w:pPr>
            <w:r w:rsidRPr="000E5D39">
              <w:t>62,535,941</w:t>
            </w:r>
          </w:p>
        </w:tc>
      </w:tr>
      <w:tr w:rsidR="00684E0D" w:rsidRPr="000D7256" w14:paraId="353B9B50" w14:textId="77777777" w:rsidTr="001B13AB">
        <w:trPr>
          <w:trHeight w:val="315"/>
        </w:trPr>
        <w:tc>
          <w:tcPr>
            <w:tcW w:w="1814" w:type="dxa"/>
            <w:shd w:val="clear" w:color="000000" w:fill="FFFFFF"/>
            <w:vAlign w:val="center"/>
            <w:hideMark/>
          </w:tcPr>
          <w:p w14:paraId="3B3F3C5A" w14:textId="77777777" w:rsidR="00684E0D" w:rsidRPr="000E5D39" w:rsidRDefault="00684E0D" w:rsidP="00017FE5">
            <w:pPr>
              <w:pStyle w:val="Tabletext"/>
            </w:pPr>
            <w:r w:rsidRPr="000E5D39">
              <w:t>2011-12</w:t>
            </w:r>
          </w:p>
        </w:tc>
        <w:tc>
          <w:tcPr>
            <w:tcW w:w="1814" w:type="dxa"/>
            <w:shd w:val="clear" w:color="000000" w:fill="FFFFFF"/>
            <w:vAlign w:val="center"/>
          </w:tcPr>
          <w:p w14:paraId="03FB1F3E" w14:textId="77777777" w:rsidR="00684E0D" w:rsidRPr="000E5D39" w:rsidRDefault="00684E0D" w:rsidP="00017FE5">
            <w:pPr>
              <w:pStyle w:val="Tabletext"/>
              <w:rPr>
                <w:highlight w:val="yellow"/>
              </w:rPr>
            </w:pPr>
            <w:r w:rsidRPr="000E5D39">
              <w:t>325,491</w:t>
            </w:r>
          </w:p>
        </w:tc>
        <w:tc>
          <w:tcPr>
            <w:tcW w:w="1815" w:type="dxa"/>
            <w:shd w:val="clear" w:color="000000" w:fill="FFFFFF"/>
            <w:vAlign w:val="center"/>
          </w:tcPr>
          <w:p w14:paraId="53EA3921" w14:textId="77777777" w:rsidR="00684E0D" w:rsidRPr="000E5D39" w:rsidRDefault="00684E0D" w:rsidP="00017FE5">
            <w:pPr>
              <w:pStyle w:val="Tabletext"/>
              <w:rPr>
                <w:highlight w:val="yellow"/>
              </w:rPr>
            </w:pPr>
            <w:r w:rsidRPr="000E5D39">
              <w:t>80,349,282</w:t>
            </w:r>
          </w:p>
        </w:tc>
        <w:tc>
          <w:tcPr>
            <w:tcW w:w="1814" w:type="dxa"/>
            <w:shd w:val="clear" w:color="000000" w:fill="FFFFFF"/>
            <w:vAlign w:val="center"/>
          </w:tcPr>
          <w:p w14:paraId="5B9E9C40" w14:textId="77777777" w:rsidR="00684E0D" w:rsidRPr="000E5D39" w:rsidRDefault="00684E0D" w:rsidP="0018105F">
            <w:pPr>
              <w:pStyle w:val="TableTextDecimalAlign"/>
            </w:pPr>
            <w:r w:rsidRPr="000E5D39">
              <w:t>198,011</w:t>
            </w:r>
          </w:p>
        </w:tc>
        <w:tc>
          <w:tcPr>
            <w:tcW w:w="1815" w:type="dxa"/>
            <w:shd w:val="clear" w:color="000000" w:fill="FFFFFF"/>
            <w:vAlign w:val="center"/>
          </w:tcPr>
          <w:p w14:paraId="6EDD275A" w14:textId="77777777" w:rsidR="00684E0D" w:rsidRPr="000E5D39" w:rsidRDefault="00684E0D" w:rsidP="00017FE5">
            <w:pPr>
              <w:pStyle w:val="Tabletext"/>
              <w:rPr>
                <w:highlight w:val="yellow"/>
              </w:rPr>
            </w:pPr>
            <w:r w:rsidRPr="000E5D39">
              <w:t>68,874,749</w:t>
            </w:r>
          </w:p>
        </w:tc>
      </w:tr>
      <w:tr w:rsidR="00684E0D" w:rsidRPr="000D7256" w14:paraId="5C5776AA" w14:textId="77777777" w:rsidTr="001B13AB">
        <w:trPr>
          <w:trHeight w:val="315"/>
        </w:trPr>
        <w:tc>
          <w:tcPr>
            <w:tcW w:w="1814" w:type="dxa"/>
            <w:shd w:val="clear" w:color="000000" w:fill="FFFFFF"/>
            <w:vAlign w:val="center"/>
            <w:hideMark/>
          </w:tcPr>
          <w:p w14:paraId="4AC20A07" w14:textId="77777777" w:rsidR="00684E0D" w:rsidRPr="000E5D39" w:rsidRDefault="00684E0D" w:rsidP="00017FE5">
            <w:pPr>
              <w:pStyle w:val="Tabletext"/>
            </w:pPr>
            <w:r w:rsidRPr="000E5D39">
              <w:t>2012-13</w:t>
            </w:r>
          </w:p>
        </w:tc>
        <w:tc>
          <w:tcPr>
            <w:tcW w:w="1814" w:type="dxa"/>
            <w:shd w:val="clear" w:color="000000" w:fill="FFFFFF"/>
            <w:vAlign w:val="center"/>
          </w:tcPr>
          <w:p w14:paraId="110790B4" w14:textId="77777777" w:rsidR="00684E0D" w:rsidRPr="000E5D39" w:rsidRDefault="00684E0D" w:rsidP="00017FE5">
            <w:pPr>
              <w:pStyle w:val="Tabletext"/>
              <w:rPr>
                <w:highlight w:val="yellow"/>
              </w:rPr>
            </w:pPr>
            <w:r w:rsidRPr="000E5D39">
              <w:t>328,667</w:t>
            </w:r>
          </w:p>
        </w:tc>
        <w:tc>
          <w:tcPr>
            <w:tcW w:w="1815" w:type="dxa"/>
            <w:shd w:val="clear" w:color="000000" w:fill="FFFFFF"/>
            <w:vAlign w:val="center"/>
          </w:tcPr>
          <w:p w14:paraId="6A46FAEA" w14:textId="77777777" w:rsidR="00684E0D" w:rsidRPr="000E5D39" w:rsidRDefault="00684E0D" w:rsidP="00017FE5">
            <w:pPr>
              <w:pStyle w:val="Tabletext"/>
              <w:rPr>
                <w:highlight w:val="yellow"/>
              </w:rPr>
            </w:pPr>
            <w:r w:rsidRPr="000E5D39">
              <w:t>82,842,838</w:t>
            </w:r>
          </w:p>
        </w:tc>
        <w:tc>
          <w:tcPr>
            <w:tcW w:w="1814" w:type="dxa"/>
            <w:shd w:val="clear" w:color="000000" w:fill="FFFFFF"/>
            <w:vAlign w:val="center"/>
          </w:tcPr>
          <w:p w14:paraId="4014E5AF" w14:textId="77777777" w:rsidR="00684E0D" w:rsidRPr="000E5D39" w:rsidRDefault="00684E0D" w:rsidP="0018105F">
            <w:pPr>
              <w:pStyle w:val="TableTextDecimalAlign"/>
            </w:pPr>
            <w:r w:rsidRPr="000E5D39">
              <w:t>211,928</w:t>
            </w:r>
          </w:p>
        </w:tc>
        <w:tc>
          <w:tcPr>
            <w:tcW w:w="1815" w:type="dxa"/>
            <w:shd w:val="clear" w:color="000000" w:fill="FFFFFF"/>
            <w:vAlign w:val="center"/>
          </w:tcPr>
          <w:p w14:paraId="7CBC3C05" w14:textId="77777777" w:rsidR="00684E0D" w:rsidRPr="000E5D39" w:rsidRDefault="00684E0D" w:rsidP="00017FE5">
            <w:pPr>
              <w:pStyle w:val="Tabletext"/>
              <w:rPr>
                <w:highlight w:val="yellow"/>
              </w:rPr>
            </w:pPr>
            <w:r w:rsidRPr="000E5D39">
              <w:t>75,266,904</w:t>
            </w:r>
          </w:p>
        </w:tc>
      </w:tr>
      <w:tr w:rsidR="00684E0D" w:rsidRPr="000D7256" w14:paraId="176F5E87" w14:textId="77777777" w:rsidTr="001B13AB">
        <w:trPr>
          <w:trHeight w:val="315"/>
        </w:trPr>
        <w:tc>
          <w:tcPr>
            <w:tcW w:w="1814" w:type="dxa"/>
            <w:shd w:val="clear" w:color="000000" w:fill="FFFFFF"/>
            <w:vAlign w:val="center"/>
            <w:hideMark/>
          </w:tcPr>
          <w:p w14:paraId="22703280" w14:textId="77777777" w:rsidR="00684E0D" w:rsidRPr="000E5D39" w:rsidRDefault="00684E0D" w:rsidP="00017FE5">
            <w:pPr>
              <w:pStyle w:val="Tabletext"/>
            </w:pPr>
            <w:r w:rsidRPr="000E5D39">
              <w:t>2013-14</w:t>
            </w:r>
          </w:p>
        </w:tc>
        <w:tc>
          <w:tcPr>
            <w:tcW w:w="1814" w:type="dxa"/>
            <w:shd w:val="clear" w:color="000000" w:fill="FFFFFF"/>
            <w:vAlign w:val="center"/>
          </w:tcPr>
          <w:p w14:paraId="454E0AB4" w14:textId="77777777" w:rsidR="00684E0D" w:rsidRPr="000E5D39" w:rsidRDefault="00684E0D" w:rsidP="00017FE5">
            <w:pPr>
              <w:pStyle w:val="Tabletext"/>
              <w:rPr>
                <w:highlight w:val="yellow"/>
              </w:rPr>
            </w:pPr>
            <w:r w:rsidRPr="000E5D39">
              <w:t>335,063</w:t>
            </w:r>
          </w:p>
        </w:tc>
        <w:tc>
          <w:tcPr>
            <w:tcW w:w="1815" w:type="dxa"/>
            <w:shd w:val="clear" w:color="000000" w:fill="FFFFFF"/>
            <w:vAlign w:val="center"/>
          </w:tcPr>
          <w:p w14:paraId="5DFD69B0" w14:textId="77777777" w:rsidR="00684E0D" w:rsidRPr="000E5D39" w:rsidRDefault="00684E0D" w:rsidP="00017FE5">
            <w:pPr>
              <w:pStyle w:val="Tabletext"/>
              <w:rPr>
                <w:highlight w:val="yellow"/>
              </w:rPr>
            </w:pPr>
            <w:r w:rsidRPr="000E5D39">
              <w:t>85,098,917</w:t>
            </w:r>
          </w:p>
        </w:tc>
        <w:tc>
          <w:tcPr>
            <w:tcW w:w="1814" w:type="dxa"/>
            <w:shd w:val="clear" w:color="000000" w:fill="FFFFFF"/>
            <w:vAlign w:val="center"/>
          </w:tcPr>
          <w:p w14:paraId="5DCC7E05" w14:textId="77777777" w:rsidR="00684E0D" w:rsidRPr="000E5D39" w:rsidRDefault="00684E0D" w:rsidP="0018105F">
            <w:pPr>
              <w:pStyle w:val="TableTextDecimalAlign"/>
            </w:pPr>
            <w:r w:rsidRPr="000E5D39">
              <w:t>233,145</w:t>
            </w:r>
          </w:p>
        </w:tc>
        <w:tc>
          <w:tcPr>
            <w:tcW w:w="1815" w:type="dxa"/>
            <w:shd w:val="clear" w:color="000000" w:fill="FFFFFF"/>
            <w:vAlign w:val="center"/>
          </w:tcPr>
          <w:p w14:paraId="090B740A" w14:textId="77777777" w:rsidR="00684E0D" w:rsidRPr="000E5D39" w:rsidRDefault="00684E0D" w:rsidP="00017FE5">
            <w:pPr>
              <w:pStyle w:val="Tabletext"/>
              <w:rPr>
                <w:highlight w:val="yellow"/>
              </w:rPr>
            </w:pPr>
            <w:r w:rsidRPr="000E5D39">
              <w:t>83,426,047</w:t>
            </w:r>
          </w:p>
        </w:tc>
      </w:tr>
      <w:tr w:rsidR="00684E0D" w:rsidRPr="000D7256" w14:paraId="170B9946" w14:textId="77777777" w:rsidTr="001B13AB">
        <w:trPr>
          <w:trHeight w:val="315"/>
        </w:trPr>
        <w:tc>
          <w:tcPr>
            <w:tcW w:w="1814" w:type="dxa"/>
            <w:shd w:val="clear" w:color="000000" w:fill="FFFFFF"/>
            <w:vAlign w:val="center"/>
            <w:hideMark/>
          </w:tcPr>
          <w:p w14:paraId="268A320B" w14:textId="77777777" w:rsidR="00684E0D" w:rsidRPr="000E5D39" w:rsidRDefault="00684E0D" w:rsidP="00017FE5">
            <w:pPr>
              <w:pStyle w:val="Tabletext"/>
            </w:pPr>
            <w:r w:rsidRPr="000E5D39">
              <w:t>2014-15</w:t>
            </w:r>
          </w:p>
        </w:tc>
        <w:tc>
          <w:tcPr>
            <w:tcW w:w="1814" w:type="dxa"/>
            <w:shd w:val="clear" w:color="000000" w:fill="FFFFFF"/>
            <w:vAlign w:val="center"/>
          </w:tcPr>
          <w:p w14:paraId="1EAE9109" w14:textId="77777777" w:rsidR="00684E0D" w:rsidRPr="000E5D39" w:rsidRDefault="00684E0D" w:rsidP="00017FE5">
            <w:pPr>
              <w:pStyle w:val="Tabletext"/>
              <w:rPr>
                <w:highlight w:val="yellow"/>
              </w:rPr>
            </w:pPr>
            <w:r w:rsidRPr="000E5D39">
              <w:t>335,488</w:t>
            </w:r>
          </w:p>
        </w:tc>
        <w:tc>
          <w:tcPr>
            <w:tcW w:w="1815" w:type="dxa"/>
            <w:shd w:val="clear" w:color="000000" w:fill="FFFFFF"/>
            <w:vAlign w:val="center"/>
          </w:tcPr>
          <w:p w14:paraId="29FED339" w14:textId="77777777" w:rsidR="00684E0D" w:rsidRPr="000E5D39" w:rsidRDefault="00684E0D" w:rsidP="00017FE5">
            <w:pPr>
              <w:pStyle w:val="Tabletext"/>
              <w:rPr>
                <w:highlight w:val="yellow"/>
              </w:rPr>
            </w:pPr>
            <w:r w:rsidRPr="000E5D39">
              <w:t>85,072,891</w:t>
            </w:r>
          </w:p>
        </w:tc>
        <w:tc>
          <w:tcPr>
            <w:tcW w:w="1814" w:type="dxa"/>
            <w:shd w:val="clear" w:color="000000" w:fill="FFFFFF"/>
            <w:vAlign w:val="center"/>
          </w:tcPr>
          <w:p w14:paraId="2FF9FA17" w14:textId="77777777" w:rsidR="00684E0D" w:rsidRPr="000E5D39" w:rsidRDefault="00684E0D" w:rsidP="0018105F">
            <w:pPr>
              <w:pStyle w:val="TableTextDecimalAlign"/>
            </w:pPr>
            <w:r w:rsidRPr="000E5D39">
              <w:t>255,606</w:t>
            </w:r>
          </w:p>
        </w:tc>
        <w:tc>
          <w:tcPr>
            <w:tcW w:w="1815" w:type="dxa"/>
            <w:shd w:val="clear" w:color="000000" w:fill="FFFFFF"/>
            <w:vAlign w:val="center"/>
          </w:tcPr>
          <w:p w14:paraId="23FC09AB" w14:textId="77777777" w:rsidR="00684E0D" w:rsidRPr="000E5D39" w:rsidRDefault="00684E0D" w:rsidP="00017FE5">
            <w:pPr>
              <w:pStyle w:val="Tabletext"/>
              <w:rPr>
                <w:highlight w:val="yellow"/>
              </w:rPr>
            </w:pPr>
            <w:r w:rsidRPr="000E5D39">
              <w:t>91,346,459</w:t>
            </w:r>
          </w:p>
        </w:tc>
      </w:tr>
    </w:tbl>
    <w:p w14:paraId="3303D617" w14:textId="06675B75" w:rsidR="00684E0D" w:rsidRPr="000F1746" w:rsidRDefault="00684E0D" w:rsidP="00275472">
      <w:pPr>
        <w:pStyle w:val="TableUnder"/>
      </w:pPr>
      <w:r w:rsidRPr="000F1746">
        <w:t>Source: Publicly available MBS Data (Department of Human Services</w:t>
      </w:r>
      <w:r w:rsidR="00571E73">
        <w:t xml:space="preserve"> website) date</w:t>
      </w:r>
      <w:r w:rsidRPr="000F1746">
        <w:t xml:space="preserve"> of processing</w:t>
      </w:r>
    </w:p>
    <w:p w14:paraId="3A20DE48" w14:textId="6C8878C2" w:rsidR="00067C11" w:rsidRPr="00587CDD" w:rsidRDefault="00067C11" w:rsidP="00FA1377">
      <w:r>
        <w:lastRenderedPageBreak/>
        <w:fldChar w:fldCharType="begin"/>
      </w:r>
      <w:r>
        <w:instrText xml:space="preserve"> REF _Ref457354186 \h </w:instrText>
      </w:r>
      <w:r>
        <w:fldChar w:fldCharType="separate"/>
      </w:r>
      <w:r w:rsidR="00A1715D" w:rsidRPr="00E34579">
        <w:t xml:space="preserve">Figure </w:t>
      </w:r>
      <w:r w:rsidR="00A1715D">
        <w:rPr>
          <w:noProof/>
        </w:rPr>
        <w:t>3</w:t>
      </w:r>
      <w:r>
        <w:fldChar w:fldCharType="end"/>
      </w:r>
      <w:r>
        <w:t xml:space="preserve"> </w:t>
      </w:r>
      <w:r w:rsidRPr="00587CDD">
        <w:t>shows the use of colonoscopy items 32090 and 32093 ha</w:t>
      </w:r>
      <w:r>
        <w:t>s</w:t>
      </w:r>
      <w:r w:rsidRPr="00587CDD">
        <w:t xml:space="preserve"> increased gradually over</w:t>
      </w:r>
      <w:r>
        <w:t xml:space="preserve"> </w:t>
      </w:r>
      <w:r w:rsidRPr="00587CDD">
        <w:t xml:space="preserve">time, with the rate of growth greater for 32093 (with polyp </w:t>
      </w:r>
      <w:r w:rsidRPr="00FA1377">
        <w:t>removal</w:t>
      </w:r>
      <w:r w:rsidRPr="00587CDD">
        <w:t>) than for item 32090.</w:t>
      </w:r>
    </w:p>
    <w:p w14:paraId="68689069" w14:textId="77777777" w:rsidR="00684E0D" w:rsidRDefault="00684E0D" w:rsidP="00684E0D">
      <w:r>
        <w:rPr>
          <w:noProof/>
        </w:rPr>
        <w:drawing>
          <wp:inline distT="0" distB="0" distL="0" distR="0" wp14:anchorId="4F6E80BF" wp14:editId="0260B7AA">
            <wp:extent cx="5766435" cy="2581759"/>
            <wp:effectExtent l="0" t="0" r="5715" b="9525"/>
            <wp:docPr id="2" name="Picture 2" descr="Figure 3 is a line graph of the data in Table 5 showing the increase in the number of services (y-axis) for colonoscopy item 32090  and colonoscopy item 32903 with time from 2003-04 to 2014-15 .  The number of services of item 32090 is consistently hig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7.png@01D1D614.7CB965B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5796801" cy="2595355"/>
                    </a:xfrm>
                    <a:prstGeom prst="rect">
                      <a:avLst/>
                    </a:prstGeom>
                    <a:noFill/>
                    <a:ln>
                      <a:noFill/>
                    </a:ln>
                  </pic:spPr>
                </pic:pic>
              </a:graphicData>
            </a:graphic>
          </wp:inline>
        </w:drawing>
      </w:r>
    </w:p>
    <w:p w14:paraId="0E7904EF" w14:textId="77777777" w:rsidR="00684E0D" w:rsidRDefault="00684E0D" w:rsidP="00275472">
      <w:pPr>
        <w:pStyle w:val="TableUnder"/>
      </w:pPr>
      <w:r w:rsidRPr="000F1746">
        <w:t>Source: Publicly available MBS Data (Department of Human Services website)</w:t>
      </w:r>
    </w:p>
    <w:p w14:paraId="0E9AFCD3" w14:textId="582641AE" w:rsidR="001B13AB" w:rsidRDefault="001B13AB" w:rsidP="001B13AB">
      <w:pPr>
        <w:pStyle w:val="CaptionFigure"/>
      </w:pPr>
      <w:bookmarkStart w:id="81" w:name="_Ref457354186"/>
      <w:bookmarkStart w:id="82" w:name="_Toc457307416"/>
      <w:bookmarkStart w:id="83" w:name="_Ref457354161"/>
      <w:bookmarkStart w:id="84" w:name="_Toc457531559"/>
      <w:r w:rsidRPr="00E34579">
        <w:t xml:space="preserve">Figure </w:t>
      </w:r>
      <w:fldSimple w:instr=" SEQ Figure \* ARABIC ">
        <w:r w:rsidR="00A1715D">
          <w:rPr>
            <w:noProof/>
          </w:rPr>
          <w:t>3</w:t>
        </w:r>
      </w:fldSimple>
      <w:bookmarkEnd w:id="81"/>
      <w:r w:rsidR="00EB624D">
        <w:t>:</w:t>
      </w:r>
      <w:r w:rsidR="00EB624D">
        <w:tab/>
      </w:r>
      <w:r w:rsidRPr="00856BC8">
        <w:t>The number of services over time, by financial year</w:t>
      </w:r>
      <w:bookmarkEnd w:id="82"/>
      <w:bookmarkEnd w:id="83"/>
      <w:bookmarkEnd w:id="84"/>
    </w:p>
    <w:p w14:paraId="4307FD44" w14:textId="77777777" w:rsidR="00684E0D" w:rsidRPr="001B13AB" w:rsidRDefault="00684E0D" w:rsidP="001B13AB">
      <w:pPr>
        <w:pStyle w:val="Heading3"/>
      </w:pPr>
      <w:bookmarkStart w:id="85" w:name="_Toc457307472"/>
      <w:r w:rsidRPr="001B13AB">
        <w:t>Rationale</w:t>
      </w:r>
      <w:bookmarkEnd w:id="85"/>
    </w:p>
    <w:p w14:paraId="248BE8D4" w14:textId="08D34B69" w:rsidR="00684E0D" w:rsidRPr="003048CC" w:rsidRDefault="00684E0D" w:rsidP="001B13AB">
      <w:r w:rsidRPr="003048CC">
        <w:t xml:space="preserve">Following </w:t>
      </w:r>
      <w:r>
        <w:t xml:space="preserve">a </w:t>
      </w:r>
      <w:r w:rsidRPr="003048CC">
        <w:t xml:space="preserve">review of the MBS data and </w:t>
      </w:r>
      <w:r>
        <w:t>an analysis of the evidence</w:t>
      </w:r>
      <w:r w:rsidRPr="003048CC">
        <w:t xml:space="preserve"> from the ACSQHC Atlas of </w:t>
      </w:r>
      <w:r w:rsidR="00592755">
        <w:t xml:space="preserve">Healthcare </w:t>
      </w:r>
      <w:r w:rsidRPr="003048CC">
        <w:t>Variation, the Committee found that there is marked variation in per capita use of colonoscopy that cannot be explained by clinical or patient demographic factors. The Committee found that rates of colonoscopy were markedly higher in and around capital cities and were lower in remote areas.</w:t>
      </w:r>
      <w:r w:rsidR="00C22AE4">
        <w:t xml:space="preserve"> </w:t>
      </w:r>
      <w:r w:rsidRPr="003048CC">
        <w:t>The Committee noted that lower rates in rural and remote areas may also be the result of workforce shortages.</w:t>
      </w:r>
      <w:r w:rsidR="00C22AE4">
        <w:t xml:space="preserve"> </w:t>
      </w:r>
    </w:p>
    <w:p w14:paraId="266FDFAA" w14:textId="03700A21" w:rsidR="00684E0D" w:rsidRPr="003048CC" w:rsidRDefault="00684E0D" w:rsidP="001B13AB">
      <w:r w:rsidRPr="003048CC">
        <w:t xml:space="preserve">The Committee is concerned that asymptomatic low risk patients are undergoing low value colonoscopy services for bowel cancer screening and/or too frequent </w:t>
      </w:r>
      <w:r>
        <w:t>screening</w:t>
      </w:r>
      <w:r w:rsidRPr="003048CC">
        <w:t xml:space="preserve"> for a range of gastrointestinal disorders.</w:t>
      </w:r>
      <w:r w:rsidR="00C22AE4">
        <w:t xml:space="preserve"> </w:t>
      </w:r>
      <w:r w:rsidRPr="003048CC">
        <w:t>The Committee notes that low value testing may be compromising access to services for patients who require clinically necessary colonoscopy services.</w:t>
      </w:r>
      <w:r w:rsidR="00C22AE4">
        <w:t xml:space="preserve"> </w:t>
      </w:r>
      <w:r w:rsidRPr="003048CC">
        <w:t xml:space="preserve">The Committee notes too that there are contemporary Australian clinical practice guidelines that have been endorsed by the relevant specialist Colleges and Societies that provide clear advice about the appropriate use of colonoscopy in colorectal cancer screening and gastrointestinal disorders. </w:t>
      </w:r>
    </w:p>
    <w:p w14:paraId="43981FB0" w14:textId="1DE4642E" w:rsidR="00132E87" w:rsidRPr="00313EB4" w:rsidRDefault="007161FD" w:rsidP="00813502">
      <w:pPr>
        <w:pStyle w:val="Rec"/>
        <w:numPr>
          <w:ilvl w:val="0"/>
          <w:numId w:val="0"/>
        </w:numPr>
        <w:rPr>
          <w:lang w:val="en-US"/>
        </w:rPr>
      </w:pPr>
      <w:bookmarkStart w:id="86" w:name="_Toc485731762"/>
      <w:r>
        <w:rPr>
          <w:lang w:val="en-US"/>
        </w:rPr>
        <w:t>Recommendation 1:</w:t>
      </w:r>
      <w:r>
        <w:rPr>
          <w:lang w:val="en-US"/>
        </w:rPr>
        <w:tab/>
      </w:r>
      <w:r w:rsidR="00132E87" w:rsidRPr="00313EB4">
        <w:rPr>
          <w:lang w:val="en-US"/>
        </w:rPr>
        <w:t>Colonoscopy services</w:t>
      </w:r>
      <w:bookmarkEnd w:id="86"/>
      <w:r w:rsidR="00132E87" w:rsidRPr="00313EB4">
        <w:rPr>
          <w:lang w:val="en-US"/>
        </w:rPr>
        <w:t xml:space="preserve"> </w:t>
      </w:r>
    </w:p>
    <w:p w14:paraId="4B1DC852" w14:textId="351EA00B" w:rsidR="00684E0D" w:rsidRDefault="00684E0D" w:rsidP="001B13AB">
      <w:r w:rsidRPr="003048CC">
        <w:t>The Committee recommends that a new suite of items be introduced that align the services with Australian clinical practice guidelines and endorsed algorithms; and better describe the indications for initial colonoscopy (both for symptomatic and asymptomatic patients</w:t>
      </w:r>
      <w:r w:rsidRPr="0062597E">
        <w:t xml:space="preserve">); and prescribe testing intervals </w:t>
      </w:r>
      <w:r>
        <w:t>for diagnostic services</w:t>
      </w:r>
      <w:r w:rsidRPr="0062597E">
        <w:t xml:space="preserve"> related to pathology found at </w:t>
      </w:r>
      <w:r>
        <w:t xml:space="preserve">previous </w:t>
      </w:r>
      <w:r w:rsidRPr="0062597E">
        <w:t>colonoscopy</w:t>
      </w:r>
      <w:r>
        <w:t>.</w:t>
      </w:r>
      <w:r w:rsidR="00C22AE4">
        <w:t xml:space="preserve"> </w:t>
      </w:r>
      <w:r>
        <w:t>The Committee recommends that t</w:t>
      </w:r>
      <w:r w:rsidRPr="007207ED">
        <w:t xml:space="preserve">iming of colonoscopy following polypectomy should conform to the recommended surveillance intervals set out in the endorsed algorithms, taking into account </w:t>
      </w:r>
      <w:r w:rsidRPr="007207ED">
        <w:lastRenderedPageBreak/>
        <w:t>individualised risk assessment.</w:t>
      </w:r>
      <w:r w:rsidR="00C22AE4">
        <w:t xml:space="preserve"> </w:t>
      </w:r>
      <w:r w:rsidRPr="007207ED">
        <w:t xml:space="preserve">In the absence of reliable clinical history, clinicians should use their best clinical judgement to determine the interval between testing and the item that best suits the condition of the patient. </w:t>
      </w:r>
    </w:p>
    <w:p w14:paraId="509AC269" w14:textId="77777777" w:rsidR="00684E0D" w:rsidRDefault="00684E0D" w:rsidP="001B13AB">
      <w:r>
        <w:t>The Committee recommends the introduction of new colonoscopy items for a failed preparation of the colon; for symptomatic patients; for patients with iron deficiency anaemia; and for patient following a positive FOBT test.</w:t>
      </w:r>
    </w:p>
    <w:p w14:paraId="5C212111" w14:textId="4368F51A" w:rsidR="00684E0D" w:rsidRPr="003048CC" w:rsidRDefault="00684E0D" w:rsidP="001B13AB">
      <w:r>
        <w:t xml:space="preserve">The </w:t>
      </w:r>
      <w:r w:rsidRPr="003048CC">
        <w:t>Committee also recommends removing the treatment of radiation proctitis, angiodysplasia or post-polypectomy bleeding from the polyp removal colonoscopy items and create a separate item for this service.</w:t>
      </w:r>
      <w:r w:rsidR="00C22AE4">
        <w:t xml:space="preserve"> </w:t>
      </w:r>
      <w:r w:rsidRPr="003048CC">
        <w:t xml:space="preserve">It is further recommended that </w:t>
      </w:r>
      <w:r w:rsidR="00EB624D" w:rsidRPr="003048CC">
        <w:t xml:space="preserve">Argon Plasma Coagulation (APC) </w:t>
      </w:r>
      <w:r w:rsidRPr="003048CC">
        <w:t xml:space="preserve">be removed to allow </w:t>
      </w:r>
      <w:r>
        <w:t xml:space="preserve">other </w:t>
      </w:r>
      <w:r w:rsidRPr="003048CC">
        <w:t>therapy to be used.</w:t>
      </w:r>
    </w:p>
    <w:p w14:paraId="7DFE6ABB" w14:textId="207D5174" w:rsidR="00684E0D" w:rsidRPr="003048CC" w:rsidRDefault="00684E0D" w:rsidP="001B13AB">
      <w:r w:rsidRPr="003048CC">
        <w:t xml:space="preserve">The Committee recommends better defining the examination of the colon in the item descriptor to ensure that a comprehensive examination is performed; and placing restrictions on the co-claiming of </w:t>
      </w:r>
      <w:r>
        <w:t>colonoscopy items</w:t>
      </w:r>
      <w:r w:rsidRPr="003048CC">
        <w:t xml:space="preserve"> (same patient, same provider, same day) unless the subsequent service has been provided under a second episode of </w:t>
      </w:r>
      <w:r w:rsidR="00AE7040">
        <w:t>sedation/</w:t>
      </w:r>
      <w:r w:rsidRPr="003048CC">
        <w:t>anaesthesia.</w:t>
      </w:r>
      <w:r w:rsidR="00C22AE4">
        <w:t xml:space="preserve"> </w:t>
      </w:r>
    </w:p>
    <w:p w14:paraId="245174CE" w14:textId="66330D19" w:rsidR="00684E0D" w:rsidRPr="003048CC" w:rsidRDefault="00684E0D" w:rsidP="001B13AB">
      <w:r w:rsidRPr="003048CC">
        <w:t>The Committee acknowledges that recommendations made in this report will not in themselves increase availability of colonoscopy services in areas that are underserviced due to workforce shortage.</w:t>
      </w:r>
      <w:r w:rsidR="00C22AE4">
        <w:t xml:space="preserve"> </w:t>
      </w:r>
      <w:r w:rsidRPr="003048CC">
        <w:t xml:space="preserve">The Committee’s aim is to provide recommendations that align MBS funding for colonoscopy with </w:t>
      </w:r>
      <w:r>
        <w:t xml:space="preserve">evidence and </w:t>
      </w:r>
      <w:r w:rsidRPr="003048CC">
        <w:t>accepted best practice.</w:t>
      </w:r>
    </w:p>
    <w:p w14:paraId="63FAD9D3" w14:textId="77777777" w:rsidR="00684E0D" w:rsidRPr="003048CC" w:rsidRDefault="00684E0D" w:rsidP="00360322">
      <w:r w:rsidRPr="003048CC">
        <w:t>The recommendations include:</w:t>
      </w:r>
    </w:p>
    <w:p w14:paraId="29836F70" w14:textId="77777777" w:rsidR="00684E0D" w:rsidRPr="00C9058B" w:rsidRDefault="00684E0D" w:rsidP="00FA1377">
      <w:pPr>
        <w:pStyle w:val="ListParagraph"/>
        <w:numPr>
          <w:ilvl w:val="0"/>
          <w:numId w:val="44"/>
        </w:numPr>
      </w:pPr>
      <w:r w:rsidRPr="00C9058B">
        <w:t>Reimbursement should be aligned with approved guidelines and the endorsed algorithms agreed across the relevant specialties for surveillance colonoscopy</w:t>
      </w:r>
    </w:p>
    <w:p w14:paraId="3256D1DD" w14:textId="77777777" w:rsidR="00684E0D" w:rsidRPr="003048CC" w:rsidRDefault="00684E0D" w:rsidP="00605EA0">
      <w:pPr>
        <w:pStyle w:val="Bullet2"/>
      </w:pPr>
      <w:r w:rsidRPr="003048CC">
        <w:t>NHMRC Clinical Practice Guidelines for the Prevention, Early Detection and Management of Colorectal Cancer</w:t>
      </w:r>
    </w:p>
    <w:p w14:paraId="47BDCB46" w14:textId="77777777" w:rsidR="00684E0D" w:rsidRPr="003048CC" w:rsidRDefault="00684E0D" w:rsidP="00605EA0">
      <w:pPr>
        <w:pStyle w:val="Bullet2"/>
      </w:pPr>
      <w:r w:rsidRPr="003048CC">
        <w:t>NHMRC Clinical Practice Guidelines for Surveillance Colonoscopy – in adenoma follow-up; following curative resection of colorectal cancer; and for cancer surveillance in inflammatory bowel disease</w:t>
      </w:r>
    </w:p>
    <w:p w14:paraId="572C1AEA" w14:textId="77777777" w:rsidR="00684E0D" w:rsidRPr="003048CC" w:rsidRDefault="00684E0D" w:rsidP="00605EA0">
      <w:pPr>
        <w:pStyle w:val="Bullet2"/>
      </w:pPr>
      <w:r w:rsidRPr="003048CC">
        <w:t>NHMRC Guidelines for the Prevention, Early Detection and Management of Colorectal Cancer: A Guide for General Practitioners</w:t>
      </w:r>
    </w:p>
    <w:p w14:paraId="52115EB8" w14:textId="77777777" w:rsidR="00684E0D" w:rsidRPr="003048CC" w:rsidRDefault="00684E0D" w:rsidP="00605EA0">
      <w:pPr>
        <w:pStyle w:val="Bullet2"/>
      </w:pPr>
      <w:r w:rsidRPr="003048CC">
        <w:t xml:space="preserve">Algorithm Colonoscopic Surveillance Intervals – Adenomas. 2013, </w:t>
      </w:r>
    </w:p>
    <w:p w14:paraId="7F6B9F44" w14:textId="77777777" w:rsidR="00684E0D" w:rsidRPr="003048CC" w:rsidRDefault="00684E0D" w:rsidP="00605EA0">
      <w:pPr>
        <w:pStyle w:val="Bullet2"/>
      </w:pPr>
      <w:r w:rsidRPr="003048CC">
        <w:t>Algorithm Colonoscopic Surveillance Intervals – Following Surgery for Colorectal Cancer. 2013</w:t>
      </w:r>
    </w:p>
    <w:p w14:paraId="5EC9FF85" w14:textId="77777777" w:rsidR="00684E0D" w:rsidRPr="003048CC" w:rsidRDefault="00684E0D" w:rsidP="00605EA0">
      <w:pPr>
        <w:pStyle w:val="Bullet2"/>
      </w:pPr>
      <w:r w:rsidRPr="003048CC">
        <w:t xml:space="preserve">Algorithm Colorectal Cancer Screening – Family History. 2013, and </w:t>
      </w:r>
    </w:p>
    <w:p w14:paraId="065C6910" w14:textId="77777777" w:rsidR="00684E0D" w:rsidRPr="003048CC" w:rsidRDefault="00684E0D" w:rsidP="00605EA0">
      <w:pPr>
        <w:pStyle w:val="Bullet2"/>
      </w:pPr>
      <w:r w:rsidRPr="003048CC">
        <w:t>Algorithm Colonoscopic Surveillance Intervals – Inflammatory Bowel Disease. 2013</w:t>
      </w:r>
    </w:p>
    <w:p w14:paraId="4E602974" w14:textId="7897AB64" w:rsidR="008C02A6" w:rsidRPr="00B57563" w:rsidRDefault="002B17D0" w:rsidP="008C02A6">
      <w:pPr>
        <w:rPr>
          <w:rStyle w:val="Hyperlink"/>
          <w:rFonts w:cs="Arial"/>
          <w:color w:val="auto"/>
          <w:szCs w:val="22"/>
        </w:rPr>
      </w:pPr>
      <w:r>
        <w:t xml:space="preserve">For more information see the colorectal cancer pages on the </w:t>
      </w:r>
      <w:hyperlink r:id="rId16" w:history="1">
        <w:r w:rsidR="00B12019" w:rsidRPr="00C8770E">
          <w:rPr>
            <w:rStyle w:val="Hyperlink"/>
          </w:rPr>
          <w:t xml:space="preserve">Cancer </w:t>
        </w:r>
        <w:r w:rsidR="00B12019">
          <w:rPr>
            <w:rStyle w:val="Hyperlink"/>
          </w:rPr>
          <w:t xml:space="preserve">Council </w:t>
        </w:r>
        <w:r w:rsidR="00B12019" w:rsidRPr="00C8770E">
          <w:rPr>
            <w:rStyle w:val="Hyperlink"/>
          </w:rPr>
          <w:t>Australia website</w:t>
        </w:r>
      </w:hyperlink>
      <w:r w:rsidR="00B12019" w:rsidRPr="00360322">
        <w:t>.</w:t>
      </w:r>
      <w:r>
        <w:t xml:space="preserve"> </w:t>
      </w:r>
    </w:p>
    <w:p w14:paraId="3AA5A258" w14:textId="5A232BFE" w:rsidR="00684E0D" w:rsidRPr="001B13AB" w:rsidRDefault="00684E0D" w:rsidP="008C02A6">
      <w:r w:rsidRPr="001B13AB">
        <w:lastRenderedPageBreak/>
        <w:t xml:space="preserve">Items should be restructured and increased to better describe clinical indications and surveillance intervals </w:t>
      </w:r>
    </w:p>
    <w:p w14:paraId="7F51CDB3" w14:textId="58C8C1E6" w:rsidR="00684E0D" w:rsidRPr="001B13AB" w:rsidRDefault="00684E0D" w:rsidP="00FA1377">
      <w:pPr>
        <w:pStyle w:val="ListParagraph"/>
        <w:numPr>
          <w:ilvl w:val="0"/>
          <w:numId w:val="44"/>
        </w:numPr>
      </w:pPr>
      <w:r w:rsidRPr="001B13AB">
        <w:t>Current colonoscopy items require examination ‘beyond the hepatic flexure’.</w:t>
      </w:r>
      <w:r w:rsidR="00C22AE4">
        <w:t xml:space="preserve"> </w:t>
      </w:r>
      <w:r w:rsidRPr="001B13AB">
        <w:t>This should be amended ‘to the caecum’ to emphasise the importance of a complete colonoscopy</w:t>
      </w:r>
      <w:r w:rsidR="00592755">
        <w:t>, noting</w:t>
      </w:r>
      <w:r w:rsidRPr="001B13AB">
        <w:t xml:space="preserve"> that this requirement is not possible for small number of patients without a caecum.</w:t>
      </w:r>
      <w:r w:rsidR="00C22AE4">
        <w:t xml:space="preserve"> </w:t>
      </w:r>
      <w:r w:rsidRPr="001B13AB">
        <w:t>For patients post right hemicolectomy this examination should be to the anastomosis.</w:t>
      </w:r>
    </w:p>
    <w:p w14:paraId="004D5407" w14:textId="77777777" w:rsidR="00684E0D" w:rsidRPr="001B13AB" w:rsidRDefault="00684E0D" w:rsidP="00FA1377">
      <w:pPr>
        <w:pStyle w:val="ListParagraph"/>
        <w:numPr>
          <w:ilvl w:val="0"/>
          <w:numId w:val="44"/>
        </w:numPr>
      </w:pPr>
      <w:r w:rsidRPr="001B13AB">
        <w:t>The National Bowel Cancer Screening Program items 32088 and 32089 should be amended to align with the examination requirements ‘to the caecum’.</w:t>
      </w:r>
    </w:p>
    <w:p w14:paraId="319D37BB" w14:textId="35F65C2A" w:rsidR="00684E0D" w:rsidRPr="001B13AB" w:rsidRDefault="00684E0D" w:rsidP="00FA1377">
      <w:pPr>
        <w:pStyle w:val="ListParagraph"/>
        <w:numPr>
          <w:ilvl w:val="0"/>
          <w:numId w:val="44"/>
        </w:numPr>
      </w:pPr>
      <w:r w:rsidRPr="001B13AB">
        <w:t>Reference to ‘fibreoptic’ should be removed as all colonoscopes are digital.</w:t>
      </w:r>
    </w:p>
    <w:p w14:paraId="776FDAB2" w14:textId="001F2648" w:rsidR="00684E0D" w:rsidRPr="001B13AB" w:rsidRDefault="00684E0D" w:rsidP="00FA1377">
      <w:pPr>
        <w:pStyle w:val="ListParagraph"/>
        <w:numPr>
          <w:ilvl w:val="0"/>
          <w:numId w:val="44"/>
        </w:numPr>
      </w:pPr>
      <w:r w:rsidRPr="001B13AB">
        <w:t>Reference to ‘flexible’ should be removed as all contemporary colonoscopes are flexible.</w:t>
      </w:r>
    </w:p>
    <w:p w14:paraId="1925DE1F" w14:textId="55D81C5F" w:rsidR="00684E0D" w:rsidRPr="001B13AB" w:rsidRDefault="00684E0D" w:rsidP="00FA1377">
      <w:pPr>
        <w:pStyle w:val="ListParagraph"/>
        <w:numPr>
          <w:ilvl w:val="0"/>
          <w:numId w:val="44"/>
        </w:numPr>
      </w:pPr>
      <w:r w:rsidRPr="001B13AB">
        <w:t xml:space="preserve">Restrictions on co-claiming colonoscopy services should be introduced for same day, same patient, same provider, during a single episode of </w:t>
      </w:r>
      <w:r w:rsidR="00AE7040">
        <w:t>sedation/</w:t>
      </w:r>
      <w:r w:rsidRPr="001B13AB">
        <w:t xml:space="preserve">anaesthesia. </w:t>
      </w:r>
    </w:p>
    <w:p w14:paraId="5CC6FDB0" w14:textId="70EF9680" w:rsidR="00684E0D" w:rsidRDefault="00684E0D" w:rsidP="00FA1377">
      <w:pPr>
        <w:pStyle w:val="ListParagraph"/>
        <w:numPr>
          <w:ilvl w:val="0"/>
          <w:numId w:val="44"/>
        </w:numPr>
      </w:pPr>
      <w:r w:rsidRPr="003048CC">
        <w:t>Remove the treatment of radiation proctitis, angiodysplasia or post-polypectomy bleeding from the polyp removal colonoscopy items and create a separate item for this service.</w:t>
      </w:r>
      <w:r w:rsidR="00C22AE4">
        <w:t xml:space="preserve"> </w:t>
      </w:r>
      <w:r w:rsidRPr="003048CC">
        <w:t xml:space="preserve">It is also recommended that </w:t>
      </w:r>
      <w:r>
        <w:t xml:space="preserve">specific reference to </w:t>
      </w:r>
      <w:r w:rsidR="00EB624D">
        <w:t xml:space="preserve">APC </w:t>
      </w:r>
      <w:r w:rsidRPr="003048CC">
        <w:t>be removed to enable any therapy to be used.</w:t>
      </w:r>
    </w:p>
    <w:p w14:paraId="38123967" w14:textId="435F4E6B" w:rsidR="00932D60" w:rsidRPr="00B26A7A" w:rsidRDefault="00932D60" w:rsidP="00FA1377">
      <w:pPr>
        <w:pStyle w:val="ListParagraph"/>
        <w:numPr>
          <w:ilvl w:val="0"/>
          <w:numId w:val="44"/>
        </w:numPr>
        <w:rPr>
          <w:color w:val="000000" w:themeColor="text1"/>
        </w:rPr>
      </w:pPr>
      <w:r>
        <w:t>New colonoscopy items for failed preparation of the colon; for symptomatic patients; for patients with iron deficiency anaemia; and for patients following a positive FOBT test.</w:t>
      </w:r>
    </w:p>
    <w:p w14:paraId="58FF2C24" w14:textId="77777777" w:rsidR="00684E0D" w:rsidRDefault="00684E0D" w:rsidP="00132E87">
      <w:pPr>
        <w:pStyle w:val="Heading3"/>
      </w:pPr>
      <w:bookmarkStart w:id="87" w:name="_Toc457307474"/>
      <w:r>
        <w:t>Specific item recommendations</w:t>
      </w:r>
      <w:bookmarkEnd w:id="87"/>
    </w:p>
    <w:p w14:paraId="504D4DCC" w14:textId="36FCCF24" w:rsidR="00684E0D" w:rsidRDefault="00684E0D" w:rsidP="00360322">
      <w:r>
        <w:t>The Committee recommends the following new MBS</w:t>
      </w:r>
      <w:r w:rsidR="00360322">
        <w:t xml:space="preserve"> items for colonoscopy services.</w:t>
      </w:r>
    </w:p>
    <w:p w14:paraId="40AE7A74" w14:textId="4950483C" w:rsidR="00684E0D" w:rsidRDefault="00684E0D" w:rsidP="001F4E07">
      <w:pPr>
        <w:pStyle w:val="Caption"/>
      </w:pPr>
      <w:bookmarkStart w:id="88" w:name="_Toc457307424"/>
      <w:bookmarkStart w:id="89" w:name="_Toc458527782"/>
      <w:r w:rsidRPr="00E34579">
        <w:t xml:space="preserve">Table </w:t>
      </w:r>
      <w:fldSimple w:instr=" SEQ Table \* ARABIC ">
        <w:r w:rsidR="00A1715D">
          <w:rPr>
            <w:noProof/>
          </w:rPr>
          <w:t>6</w:t>
        </w:r>
      </w:fldSimple>
      <w:r w:rsidR="00990889">
        <w:t>:</w:t>
      </w:r>
      <w:r w:rsidR="00990889">
        <w:tab/>
      </w:r>
      <w:r w:rsidRPr="00856BC8">
        <w:t>Proposed diagnostic colonoscopy services to replace item 32090</w:t>
      </w:r>
      <w:bookmarkEnd w:id="88"/>
      <w:r w:rsidR="00605EA0">
        <w:t>, s</w:t>
      </w:r>
      <w:r w:rsidR="00605EA0" w:rsidRPr="00605EA0">
        <w:t>chedule fee all items $334.35</w:t>
      </w:r>
      <w:bookmarkEnd w:id="89"/>
    </w:p>
    <w:tbl>
      <w:tblPr>
        <w:tblW w:w="9072" w:type="dxa"/>
        <w:tblInd w:w="62" w:type="dxa"/>
        <w:tblBorders>
          <w:top w:val="single" w:sz="4" w:space="0" w:color="B56011"/>
          <w:bottom w:val="single" w:sz="4" w:space="0" w:color="B56011"/>
          <w:insideH w:val="single" w:sz="4" w:space="0" w:color="B56011"/>
        </w:tblBorders>
        <w:tblLayout w:type="fixed"/>
        <w:tblCellMar>
          <w:left w:w="60" w:type="dxa"/>
          <w:right w:w="60" w:type="dxa"/>
        </w:tblCellMar>
        <w:tblLook w:val="0000" w:firstRow="0" w:lastRow="0" w:firstColumn="0" w:lastColumn="0" w:noHBand="0" w:noVBand="0"/>
        <w:tblDescription w:val="Table 6 shows the proposed diagnostic colonoscopy services to replace item 32090, with 10 rows each showing an item and its descriptor."/>
      </w:tblPr>
      <w:tblGrid>
        <w:gridCol w:w="815"/>
        <w:gridCol w:w="8257"/>
      </w:tblGrid>
      <w:tr w:rsidR="0018105F" w:rsidRPr="00017FE5" w14:paraId="461CAB6D" w14:textId="77777777" w:rsidTr="0018105F">
        <w:trPr>
          <w:trHeight w:val="239"/>
          <w:tblHeader/>
        </w:trPr>
        <w:tc>
          <w:tcPr>
            <w:tcW w:w="815" w:type="dxa"/>
            <w:shd w:val="clear" w:color="auto" w:fill="auto"/>
          </w:tcPr>
          <w:p w14:paraId="062F083F" w14:textId="11BDAF31" w:rsidR="0018105F" w:rsidRPr="00017FE5" w:rsidRDefault="0018105F" w:rsidP="0018105F">
            <w:pPr>
              <w:pStyle w:val="Tableheading"/>
            </w:pPr>
            <w:r w:rsidRPr="0018105F">
              <w:t>Item</w:t>
            </w:r>
          </w:p>
        </w:tc>
        <w:tc>
          <w:tcPr>
            <w:tcW w:w="8257" w:type="dxa"/>
            <w:shd w:val="clear" w:color="auto" w:fill="auto"/>
          </w:tcPr>
          <w:p w14:paraId="555C0445" w14:textId="3622C6F9" w:rsidR="0018105F" w:rsidRPr="00605EA0" w:rsidRDefault="0018105F" w:rsidP="0018105F">
            <w:pPr>
              <w:pStyle w:val="Tableheading"/>
            </w:pPr>
            <w:r w:rsidRPr="0018105F">
              <w:t>Item Descriptor</w:t>
            </w:r>
          </w:p>
        </w:tc>
      </w:tr>
      <w:tr w:rsidR="00684E0D" w:rsidRPr="00017FE5" w14:paraId="55486A03" w14:textId="77777777" w:rsidTr="00C344BB">
        <w:trPr>
          <w:trHeight w:val="413"/>
        </w:trPr>
        <w:tc>
          <w:tcPr>
            <w:tcW w:w="815" w:type="dxa"/>
            <w:shd w:val="clear" w:color="auto" w:fill="auto"/>
          </w:tcPr>
          <w:p w14:paraId="4D7A1C44" w14:textId="77777777" w:rsidR="00684E0D" w:rsidRPr="00017FE5" w:rsidRDefault="00684E0D" w:rsidP="00017FE5">
            <w:pPr>
              <w:pStyle w:val="Tabletext"/>
            </w:pPr>
            <w:r w:rsidRPr="00017FE5">
              <w:t>A1</w:t>
            </w:r>
          </w:p>
        </w:tc>
        <w:tc>
          <w:tcPr>
            <w:tcW w:w="8257" w:type="dxa"/>
            <w:shd w:val="clear" w:color="auto" w:fill="auto"/>
          </w:tcPr>
          <w:p w14:paraId="609B3E8F" w14:textId="77777777" w:rsidR="00684E0D" w:rsidRPr="00605EA0" w:rsidRDefault="00684E0D" w:rsidP="00C344BB">
            <w:pPr>
              <w:pStyle w:val="NormalBulleted10pt"/>
            </w:pPr>
            <w:r w:rsidRPr="00605EA0">
              <w:t xml:space="preserve">Endoscopic examination of the colon to the caecum by COLONOSCOPY with or without biopsy </w:t>
            </w:r>
          </w:p>
          <w:p w14:paraId="3EBBD655" w14:textId="3405ED08" w:rsidR="00684E0D" w:rsidRPr="00605EA0" w:rsidRDefault="00684E0D" w:rsidP="00C344BB">
            <w:pPr>
              <w:pStyle w:val="NormalBulleted10pt"/>
            </w:pPr>
            <w:r w:rsidRPr="00605EA0">
              <w:t>For patient following a positive faecal occult blood test, not in association with items 32088, 32089 for National Bowel Cancer Screening Program</w:t>
            </w:r>
            <w:r w:rsidR="00C22AE4" w:rsidRPr="00605EA0">
              <w:t xml:space="preserve"> </w:t>
            </w:r>
            <w:r w:rsidRPr="00605EA0">
              <w:t>participants</w:t>
            </w:r>
          </w:p>
          <w:p w14:paraId="471A4150" w14:textId="586A9AC4" w:rsidR="00C344BB" w:rsidRPr="00605EA0" w:rsidRDefault="00684E0D" w:rsidP="00C344BB">
            <w:pPr>
              <w:pStyle w:val="NormalBulleted10pt"/>
            </w:pPr>
            <w:r w:rsidRPr="00605EA0">
              <w:t xml:space="preserve">Payable </w:t>
            </w:r>
            <w:r w:rsidRPr="00017FE5">
              <w:t>not more than once every 2 years</w:t>
            </w:r>
          </w:p>
        </w:tc>
      </w:tr>
      <w:tr w:rsidR="00684E0D" w:rsidRPr="009E583E" w14:paraId="1FD46636" w14:textId="77777777" w:rsidTr="00C344BB">
        <w:trPr>
          <w:trHeight w:val="492"/>
        </w:trPr>
        <w:tc>
          <w:tcPr>
            <w:tcW w:w="815" w:type="dxa"/>
            <w:shd w:val="clear" w:color="auto" w:fill="auto"/>
          </w:tcPr>
          <w:p w14:paraId="5617C7A9" w14:textId="77777777" w:rsidR="00684E0D" w:rsidRPr="00360322" w:rsidRDefault="00684E0D" w:rsidP="000E5D39">
            <w:pPr>
              <w:spacing w:before="60" w:line="240" w:lineRule="auto"/>
              <w:rPr>
                <w:rFonts w:cs="Arial"/>
                <w:b/>
                <w:sz w:val="20"/>
                <w:szCs w:val="20"/>
              </w:rPr>
            </w:pPr>
            <w:r w:rsidRPr="00360322">
              <w:rPr>
                <w:rFonts w:cs="Arial"/>
                <w:b/>
                <w:sz w:val="20"/>
                <w:szCs w:val="20"/>
              </w:rPr>
              <w:t>A2</w:t>
            </w:r>
          </w:p>
        </w:tc>
        <w:tc>
          <w:tcPr>
            <w:tcW w:w="8257" w:type="dxa"/>
            <w:shd w:val="clear" w:color="auto" w:fill="auto"/>
          </w:tcPr>
          <w:p w14:paraId="69537EAD" w14:textId="77777777" w:rsidR="00684E0D" w:rsidRPr="000E5D39" w:rsidRDefault="00684E0D" w:rsidP="00FA1377">
            <w:pPr>
              <w:pStyle w:val="Tabletext"/>
            </w:pPr>
            <w:r w:rsidRPr="000E5D39">
              <w:t>Endoscopic examination of the colon to the caecum by COLONOSCOPY with or without biopsy</w:t>
            </w:r>
          </w:p>
          <w:p w14:paraId="432F9C59" w14:textId="77777777" w:rsidR="00684E0D" w:rsidRPr="000E5D39" w:rsidRDefault="00684E0D" w:rsidP="00FA1377">
            <w:pPr>
              <w:pStyle w:val="ListParagraph"/>
              <w:numPr>
                <w:ilvl w:val="0"/>
                <w:numId w:val="31"/>
              </w:numPr>
              <w:spacing w:before="60" w:line="240" w:lineRule="auto"/>
              <w:contextualSpacing w:val="0"/>
              <w:rPr>
                <w:sz w:val="20"/>
                <w:szCs w:val="20"/>
              </w:rPr>
            </w:pPr>
            <w:r w:rsidRPr="000E5D39">
              <w:rPr>
                <w:sz w:val="20"/>
                <w:szCs w:val="20"/>
              </w:rPr>
              <w:t xml:space="preserve">For symptomatic patient or </w:t>
            </w:r>
          </w:p>
          <w:p w14:paraId="148DD295" w14:textId="77777777" w:rsidR="00684E0D" w:rsidRPr="000E5D39" w:rsidRDefault="00684E0D" w:rsidP="00FA1377">
            <w:pPr>
              <w:pStyle w:val="ListParagraph"/>
              <w:numPr>
                <w:ilvl w:val="0"/>
                <w:numId w:val="31"/>
              </w:numPr>
              <w:spacing w:before="60" w:line="240" w:lineRule="auto"/>
              <w:contextualSpacing w:val="0"/>
              <w:rPr>
                <w:sz w:val="20"/>
                <w:szCs w:val="20"/>
              </w:rPr>
            </w:pPr>
            <w:r w:rsidRPr="000E5D39">
              <w:rPr>
                <w:sz w:val="20"/>
                <w:szCs w:val="20"/>
              </w:rPr>
              <w:t>patient with iron deficiency anaemia</w:t>
            </w:r>
          </w:p>
        </w:tc>
      </w:tr>
      <w:tr w:rsidR="00684E0D" w:rsidRPr="009E583E" w14:paraId="3127A5CA" w14:textId="77777777" w:rsidTr="00C344BB">
        <w:trPr>
          <w:trHeight w:val="274"/>
        </w:trPr>
        <w:tc>
          <w:tcPr>
            <w:tcW w:w="815" w:type="dxa"/>
            <w:shd w:val="clear" w:color="auto" w:fill="auto"/>
          </w:tcPr>
          <w:p w14:paraId="3261F56B" w14:textId="77777777" w:rsidR="00684E0D" w:rsidRPr="00360322" w:rsidRDefault="00684E0D" w:rsidP="00017FE5">
            <w:pPr>
              <w:pStyle w:val="Tabletext"/>
            </w:pPr>
            <w:r w:rsidRPr="00360322">
              <w:t>A3</w:t>
            </w:r>
          </w:p>
        </w:tc>
        <w:tc>
          <w:tcPr>
            <w:tcW w:w="8257" w:type="dxa"/>
            <w:shd w:val="clear" w:color="auto" w:fill="auto"/>
          </w:tcPr>
          <w:p w14:paraId="7310CE81" w14:textId="77777777" w:rsidR="00684E0D" w:rsidRPr="000E5D39" w:rsidRDefault="00684E0D" w:rsidP="007E56E4">
            <w:pPr>
              <w:pStyle w:val="NormalBulleted10pt"/>
            </w:pPr>
            <w:r w:rsidRPr="000E5D39">
              <w:t>Endoscopic examination of the colon to the caecum by COLONOSCOPY with or without biopsy</w:t>
            </w:r>
          </w:p>
          <w:p w14:paraId="66CF1363" w14:textId="77777777" w:rsidR="00684E0D" w:rsidRPr="000E5D39" w:rsidRDefault="00684E0D" w:rsidP="007E56E4">
            <w:pPr>
              <w:pStyle w:val="NormalBulleted10pt"/>
            </w:pPr>
            <w:r w:rsidRPr="000E5D39">
              <w:t>For failed preparation of the colon</w:t>
            </w:r>
          </w:p>
        </w:tc>
      </w:tr>
      <w:tr w:rsidR="00684E0D" w:rsidRPr="009E583E" w14:paraId="6DBB90AD" w14:textId="77777777" w:rsidTr="00C344BB">
        <w:trPr>
          <w:trHeight w:val="477"/>
        </w:trPr>
        <w:tc>
          <w:tcPr>
            <w:tcW w:w="815" w:type="dxa"/>
            <w:shd w:val="clear" w:color="auto" w:fill="auto"/>
          </w:tcPr>
          <w:p w14:paraId="591014A4" w14:textId="77777777" w:rsidR="00684E0D" w:rsidRPr="00360322" w:rsidRDefault="00684E0D" w:rsidP="00017FE5">
            <w:pPr>
              <w:pStyle w:val="Tabletext"/>
            </w:pPr>
            <w:r w:rsidRPr="00360322">
              <w:t>A4</w:t>
            </w:r>
          </w:p>
        </w:tc>
        <w:tc>
          <w:tcPr>
            <w:tcW w:w="8257" w:type="dxa"/>
            <w:shd w:val="clear" w:color="auto" w:fill="auto"/>
          </w:tcPr>
          <w:p w14:paraId="58F4C4BF" w14:textId="77777777" w:rsidR="00684E0D" w:rsidRPr="000E5D39" w:rsidRDefault="00684E0D" w:rsidP="007E56E4">
            <w:pPr>
              <w:pStyle w:val="NormalBulleted10pt"/>
            </w:pPr>
            <w:r w:rsidRPr="000E5D39">
              <w:t xml:space="preserve">Endoscopic examination of the colon to the caecum by COLONOSCOPY with or without biopsy </w:t>
            </w:r>
          </w:p>
          <w:p w14:paraId="412CC62D" w14:textId="77777777" w:rsidR="00684E0D" w:rsidRPr="000E5D39" w:rsidRDefault="00684E0D" w:rsidP="007E56E4">
            <w:pPr>
              <w:pStyle w:val="NormalBulleted10pt"/>
            </w:pPr>
            <w:r w:rsidRPr="000E5D39">
              <w:t>For patient following surgery for colorectal cancer</w:t>
            </w:r>
          </w:p>
        </w:tc>
      </w:tr>
      <w:tr w:rsidR="00684E0D" w:rsidRPr="009E583E" w14:paraId="2DA7A6C0" w14:textId="77777777" w:rsidTr="00C344BB">
        <w:trPr>
          <w:trHeight w:val="824"/>
        </w:trPr>
        <w:tc>
          <w:tcPr>
            <w:tcW w:w="815" w:type="dxa"/>
            <w:shd w:val="clear" w:color="auto" w:fill="auto"/>
          </w:tcPr>
          <w:p w14:paraId="4FAA1F01" w14:textId="77777777" w:rsidR="00684E0D" w:rsidRPr="00360322" w:rsidRDefault="00684E0D" w:rsidP="00017FE5">
            <w:pPr>
              <w:pStyle w:val="Tabletext"/>
            </w:pPr>
            <w:r w:rsidRPr="00360322">
              <w:t>A5</w:t>
            </w:r>
          </w:p>
        </w:tc>
        <w:tc>
          <w:tcPr>
            <w:tcW w:w="8257" w:type="dxa"/>
            <w:shd w:val="clear" w:color="auto" w:fill="auto"/>
          </w:tcPr>
          <w:p w14:paraId="4C744167" w14:textId="77777777" w:rsidR="00684E0D" w:rsidRPr="000E5D39" w:rsidRDefault="00684E0D" w:rsidP="00C344BB">
            <w:pPr>
              <w:pStyle w:val="NormalBulleted10pt"/>
            </w:pPr>
            <w:r w:rsidRPr="000E5D39">
              <w:t xml:space="preserve">Endoscopic examination of the colon to the caecum by COLONOSCOPY with or without biopsy </w:t>
            </w:r>
          </w:p>
          <w:p w14:paraId="22FDF6AB" w14:textId="77777777" w:rsidR="00684E0D" w:rsidRPr="000E5D39" w:rsidRDefault="00684E0D" w:rsidP="00C344BB">
            <w:pPr>
              <w:pStyle w:val="NormalBulleted10pt"/>
            </w:pPr>
            <w:r w:rsidRPr="000E5D39">
              <w:t xml:space="preserve">For </w:t>
            </w:r>
            <w:r w:rsidRPr="00605EA0">
              <w:t>patient</w:t>
            </w:r>
            <w:r w:rsidRPr="000E5D39">
              <w:t xml:space="preserve"> with MODERATE risk of colorectal cancer due to family</w:t>
            </w:r>
            <w:r w:rsidRPr="000E5D39" w:rsidDel="004002D8">
              <w:t xml:space="preserve"> </w:t>
            </w:r>
            <w:r w:rsidRPr="000E5D39">
              <w:t>history of colorectal cancer</w:t>
            </w:r>
            <w:r w:rsidRPr="000E5D39" w:rsidDel="004002D8">
              <w:t xml:space="preserve"> </w:t>
            </w:r>
            <w:r w:rsidRPr="000E5D39">
              <w:t xml:space="preserve">(1 first degree relative &lt; 55yrs at diagnosis OR 2 first degree relatives OR 1 first degree relative and 1 second degree relative on the same side of the family, any age at diagnosis) </w:t>
            </w:r>
          </w:p>
          <w:p w14:paraId="03ECC754" w14:textId="77777777" w:rsidR="00684E0D" w:rsidRPr="000E5D39" w:rsidRDefault="00684E0D" w:rsidP="00C344BB">
            <w:pPr>
              <w:pStyle w:val="NormalBulleted10pt"/>
            </w:pPr>
            <w:r w:rsidRPr="000E5D39">
              <w:t>Payable not more than once every 5 years</w:t>
            </w:r>
          </w:p>
        </w:tc>
      </w:tr>
      <w:tr w:rsidR="00684E0D" w:rsidRPr="009E583E" w14:paraId="7C3B5CFA" w14:textId="77777777" w:rsidTr="007E56E4">
        <w:trPr>
          <w:trHeight w:val="278"/>
        </w:trPr>
        <w:tc>
          <w:tcPr>
            <w:tcW w:w="815" w:type="dxa"/>
            <w:shd w:val="clear" w:color="auto" w:fill="auto"/>
          </w:tcPr>
          <w:p w14:paraId="13B4E74C" w14:textId="77777777" w:rsidR="00684E0D" w:rsidRPr="00360322" w:rsidRDefault="00684E0D" w:rsidP="00017FE5">
            <w:pPr>
              <w:pStyle w:val="Tabletext"/>
            </w:pPr>
            <w:r w:rsidRPr="00360322">
              <w:t>A6</w:t>
            </w:r>
          </w:p>
        </w:tc>
        <w:tc>
          <w:tcPr>
            <w:tcW w:w="8257" w:type="dxa"/>
            <w:shd w:val="clear" w:color="auto" w:fill="auto"/>
          </w:tcPr>
          <w:p w14:paraId="1E1A1665" w14:textId="77777777" w:rsidR="00684E0D" w:rsidRPr="000E5D39" w:rsidRDefault="00684E0D" w:rsidP="00C344BB">
            <w:pPr>
              <w:pStyle w:val="NormalBulleted10pt"/>
            </w:pPr>
            <w:r w:rsidRPr="000E5D39">
              <w:t xml:space="preserve">Endoscopic examination of the colon to the caecum by COLONOSCOPY with or without biopsy </w:t>
            </w:r>
          </w:p>
          <w:p w14:paraId="69D9D49D" w14:textId="77777777" w:rsidR="00684E0D" w:rsidRPr="000E5D39" w:rsidRDefault="00684E0D" w:rsidP="00C344BB">
            <w:pPr>
              <w:pStyle w:val="NormalBulleted10pt"/>
            </w:pPr>
            <w:r w:rsidRPr="000E5D39">
              <w:t>For patient with HIGH risk of colorectal cancer due to known or suspected familial condition including FAP or Lynch Syndrome</w:t>
            </w:r>
          </w:p>
          <w:p w14:paraId="64BE8684" w14:textId="77777777" w:rsidR="00684E0D" w:rsidRPr="000E5D39" w:rsidRDefault="00684E0D" w:rsidP="00C344BB">
            <w:pPr>
              <w:pStyle w:val="NormalBulleted10pt"/>
            </w:pPr>
            <w:r w:rsidRPr="000E5D39">
              <w:t>Payable not more than once every 12 months</w:t>
            </w:r>
          </w:p>
        </w:tc>
      </w:tr>
      <w:tr w:rsidR="00684E0D" w:rsidRPr="009E583E" w14:paraId="3EFC60C6" w14:textId="77777777" w:rsidTr="00C344BB">
        <w:tc>
          <w:tcPr>
            <w:tcW w:w="815" w:type="dxa"/>
            <w:shd w:val="clear" w:color="auto" w:fill="auto"/>
          </w:tcPr>
          <w:p w14:paraId="0C6AD9A9" w14:textId="77777777" w:rsidR="00684E0D" w:rsidRPr="00360322" w:rsidRDefault="00684E0D" w:rsidP="000E5D39">
            <w:pPr>
              <w:spacing w:before="60" w:line="240" w:lineRule="auto"/>
              <w:rPr>
                <w:rFonts w:cs="Arial"/>
                <w:b/>
                <w:sz w:val="20"/>
                <w:szCs w:val="20"/>
              </w:rPr>
            </w:pPr>
            <w:r w:rsidRPr="00360322">
              <w:rPr>
                <w:rFonts w:cs="Arial"/>
                <w:b/>
                <w:sz w:val="20"/>
                <w:szCs w:val="20"/>
              </w:rPr>
              <w:t>A7</w:t>
            </w:r>
          </w:p>
        </w:tc>
        <w:tc>
          <w:tcPr>
            <w:tcW w:w="8257" w:type="dxa"/>
            <w:shd w:val="clear" w:color="auto" w:fill="auto"/>
          </w:tcPr>
          <w:p w14:paraId="7A2CDF2A" w14:textId="77777777" w:rsidR="00684E0D" w:rsidRPr="000E5D39" w:rsidRDefault="00684E0D" w:rsidP="007E56E4">
            <w:pPr>
              <w:pStyle w:val="NormalBulleted10pt"/>
            </w:pPr>
            <w:r w:rsidRPr="000E5D39">
              <w:t xml:space="preserve">Endoscopic examination of the colon to the caecum by COLONOSCOPY with or without biopsy </w:t>
            </w:r>
          </w:p>
          <w:p w14:paraId="267A45FF" w14:textId="5159EB27" w:rsidR="00684E0D" w:rsidRPr="000E5D39" w:rsidRDefault="00684E0D" w:rsidP="00FA1377">
            <w:pPr>
              <w:pStyle w:val="ListParagraph"/>
              <w:numPr>
                <w:ilvl w:val="0"/>
                <w:numId w:val="24"/>
              </w:numPr>
              <w:spacing w:before="60" w:line="240" w:lineRule="auto"/>
              <w:contextualSpacing w:val="0"/>
              <w:rPr>
                <w:sz w:val="20"/>
                <w:szCs w:val="20"/>
              </w:rPr>
            </w:pPr>
            <w:r w:rsidRPr="000E5D39">
              <w:rPr>
                <w:sz w:val="20"/>
                <w:szCs w:val="20"/>
              </w:rPr>
              <w:lastRenderedPageBreak/>
              <w:t xml:space="preserve">For </w:t>
            </w:r>
            <w:r w:rsidR="00592755">
              <w:rPr>
                <w:sz w:val="20"/>
                <w:szCs w:val="20"/>
              </w:rPr>
              <w:t xml:space="preserve">patient </w:t>
            </w:r>
            <w:r w:rsidRPr="000E5D39">
              <w:rPr>
                <w:sz w:val="20"/>
                <w:szCs w:val="20"/>
              </w:rPr>
              <w:t>with previous history of 1-2 adenomas AND all &lt;10mm, no villous features, no high grade dysplasia; OR</w:t>
            </w:r>
          </w:p>
          <w:p w14:paraId="3BDC054E" w14:textId="77777777" w:rsidR="00684E0D" w:rsidRPr="000E5D39" w:rsidRDefault="00684E0D" w:rsidP="00FA1377">
            <w:pPr>
              <w:pStyle w:val="ListParagraph"/>
              <w:numPr>
                <w:ilvl w:val="0"/>
                <w:numId w:val="24"/>
              </w:numPr>
              <w:spacing w:before="60" w:line="240" w:lineRule="auto"/>
              <w:ind w:left="714" w:hanging="357"/>
              <w:contextualSpacing w:val="0"/>
              <w:rPr>
                <w:sz w:val="20"/>
                <w:szCs w:val="20"/>
              </w:rPr>
            </w:pPr>
            <w:r w:rsidRPr="000E5D39">
              <w:rPr>
                <w:sz w:val="20"/>
                <w:szCs w:val="20"/>
              </w:rPr>
              <w:t>For patient with inflammatory bowel disease, Group 3 (ulcerative colitis without high risk features when two previous colonoscopies are macroscopically inactive and histologically negative for dysplasia)</w:t>
            </w:r>
          </w:p>
          <w:p w14:paraId="02C4479F" w14:textId="77777777" w:rsidR="00684E0D" w:rsidRPr="000E5D39" w:rsidRDefault="00684E0D" w:rsidP="007E56E4">
            <w:pPr>
              <w:pStyle w:val="NormalBulleted10pt"/>
            </w:pPr>
            <w:r w:rsidRPr="000E5D39">
              <w:t>Payable not more than once every 5 years</w:t>
            </w:r>
          </w:p>
        </w:tc>
      </w:tr>
      <w:tr w:rsidR="00684E0D" w:rsidRPr="009E583E" w14:paraId="6A2E24ED" w14:textId="77777777" w:rsidTr="00C344BB">
        <w:trPr>
          <w:trHeight w:val="1226"/>
        </w:trPr>
        <w:tc>
          <w:tcPr>
            <w:tcW w:w="815" w:type="dxa"/>
            <w:shd w:val="clear" w:color="auto" w:fill="auto"/>
          </w:tcPr>
          <w:p w14:paraId="731966BE" w14:textId="77777777" w:rsidR="00684E0D" w:rsidRPr="00360322" w:rsidRDefault="00684E0D" w:rsidP="000E5D39">
            <w:pPr>
              <w:spacing w:before="60" w:line="240" w:lineRule="auto"/>
              <w:rPr>
                <w:rFonts w:cs="Arial"/>
                <w:b/>
                <w:sz w:val="20"/>
                <w:szCs w:val="20"/>
              </w:rPr>
            </w:pPr>
            <w:r w:rsidRPr="00360322">
              <w:rPr>
                <w:rFonts w:cs="Arial"/>
                <w:b/>
                <w:sz w:val="20"/>
                <w:szCs w:val="20"/>
              </w:rPr>
              <w:lastRenderedPageBreak/>
              <w:t>A8</w:t>
            </w:r>
          </w:p>
        </w:tc>
        <w:tc>
          <w:tcPr>
            <w:tcW w:w="8257" w:type="dxa"/>
            <w:shd w:val="clear" w:color="auto" w:fill="auto"/>
          </w:tcPr>
          <w:p w14:paraId="30877D90" w14:textId="11BCF5C7" w:rsidR="00684E0D" w:rsidRPr="000E5D39" w:rsidRDefault="00684E0D" w:rsidP="007E56E4">
            <w:pPr>
              <w:pStyle w:val="NormalBulleted10pt"/>
            </w:pPr>
            <w:r w:rsidRPr="000E5D39">
              <w:t>Endoscopic examination of the colon to the caecum by COLONOSCOPY with or without biopsy</w:t>
            </w:r>
            <w:r w:rsidR="00C22AE4">
              <w:t xml:space="preserve"> </w:t>
            </w:r>
          </w:p>
          <w:p w14:paraId="58E8BE93" w14:textId="0158F399" w:rsidR="00684E0D" w:rsidRPr="000E5D39" w:rsidRDefault="00684E0D" w:rsidP="00FA1377">
            <w:pPr>
              <w:pStyle w:val="ListParagraph"/>
              <w:numPr>
                <w:ilvl w:val="0"/>
                <w:numId w:val="30"/>
              </w:numPr>
              <w:spacing w:before="60" w:line="240" w:lineRule="auto"/>
              <w:contextualSpacing w:val="0"/>
              <w:rPr>
                <w:sz w:val="20"/>
                <w:szCs w:val="20"/>
              </w:rPr>
            </w:pPr>
            <w:r w:rsidRPr="000E5D39">
              <w:rPr>
                <w:sz w:val="20"/>
                <w:szCs w:val="20"/>
              </w:rPr>
              <w:t>For patient with previous history of 3-4 adenomas, sessile serrated OR any adenoma &gt;10mm, villous features, high grade dysplasia;</w:t>
            </w:r>
            <w:r w:rsidR="00C22AE4">
              <w:rPr>
                <w:sz w:val="20"/>
                <w:szCs w:val="20"/>
              </w:rPr>
              <w:t xml:space="preserve"> </w:t>
            </w:r>
            <w:r w:rsidRPr="000E5D39">
              <w:rPr>
                <w:sz w:val="20"/>
                <w:szCs w:val="20"/>
              </w:rPr>
              <w:t>OR</w:t>
            </w:r>
          </w:p>
          <w:p w14:paraId="73E3EF41" w14:textId="77777777" w:rsidR="00684E0D" w:rsidRPr="000E5D39" w:rsidRDefault="00684E0D" w:rsidP="00FA1377">
            <w:pPr>
              <w:pStyle w:val="ListParagraph"/>
              <w:numPr>
                <w:ilvl w:val="0"/>
                <w:numId w:val="30"/>
              </w:numPr>
              <w:spacing w:before="60" w:line="240" w:lineRule="auto"/>
              <w:contextualSpacing w:val="0"/>
              <w:rPr>
                <w:sz w:val="20"/>
                <w:szCs w:val="20"/>
              </w:rPr>
            </w:pPr>
            <w:r w:rsidRPr="000E5D39">
              <w:rPr>
                <w:sz w:val="20"/>
                <w:szCs w:val="20"/>
              </w:rPr>
              <w:t>For patient with inflammatory bowel disease, Group 2 (quiescent ulcerative colitis without high risk features)</w:t>
            </w:r>
          </w:p>
          <w:p w14:paraId="0A5E995C" w14:textId="77777777" w:rsidR="00684E0D" w:rsidRPr="000E5D39" w:rsidRDefault="00684E0D" w:rsidP="007E56E4">
            <w:pPr>
              <w:pStyle w:val="NormalBulleted10pt"/>
            </w:pPr>
            <w:r w:rsidRPr="000E5D39">
              <w:t>Payable not more than once every 3 years</w:t>
            </w:r>
          </w:p>
        </w:tc>
      </w:tr>
      <w:tr w:rsidR="00684E0D" w:rsidRPr="009E583E" w14:paraId="323AA41A" w14:textId="77777777" w:rsidTr="00C344BB">
        <w:tc>
          <w:tcPr>
            <w:tcW w:w="815" w:type="dxa"/>
            <w:shd w:val="clear" w:color="auto" w:fill="auto"/>
          </w:tcPr>
          <w:p w14:paraId="074B9562" w14:textId="77777777" w:rsidR="00684E0D" w:rsidRPr="00360322" w:rsidRDefault="00684E0D" w:rsidP="000E5D39">
            <w:pPr>
              <w:spacing w:before="60" w:line="240" w:lineRule="auto"/>
              <w:rPr>
                <w:rFonts w:cs="Arial"/>
                <w:b/>
                <w:sz w:val="20"/>
                <w:szCs w:val="20"/>
              </w:rPr>
            </w:pPr>
            <w:r w:rsidRPr="00360322">
              <w:rPr>
                <w:rFonts w:cs="Arial"/>
                <w:b/>
                <w:sz w:val="20"/>
                <w:szCs w:val="20"/>
              </w:rPr>
              <w:t>A9</w:t>
            </w:r>
          </w:p>
        </w:tc>
        <w:tc>
          <w:tcPr>
            <w:tcW w:w="8257" w:type="dxa"/>
            <w:shd w:val="clear" w:color="auto" w:fill="auto"/>
          </w:tcPr>
          <w:p w14:paraId="79AE78AF" w14:textId="77777777" w:rsidR="00684E0D" w:rsidRPr="000E5D39" w:rsidRDefault="00684E0D" w:rsidP="007E56E4">
            <w:pPr>
              <w:pStyle w:val="NormalBulleted10pt"/>
            </w:pPr>
            <w:r w:rsidRPr="000E5D39">
              <w:t xml:space="preserve">Endoscopic examination of the colon to the caecum by COLONOSCOPY with or without biopsy </w:t>
            </w:r>
          </w:p>
          <w:p w14:paraId="3558D899" w14:textId="77777777" w:rsidR="00684E0D" w:rsidRPr="000E5D39" w:rsidRDefault="00684E0D" w:rsidP="00FA1377">
            <w:pPr>
              <w:pStyle w:val="ListParagraph"/>
              <w:numPr>
                <w:ilvl w:val="0"/>
                <w:numId w:val="25"/>
              </w:numPr>
              <w:spacing w:before="60" w:line="240" w:lineRule="auto"/>
              <w:contextualSpacing w:val="0"/>
              <w:rPr>
                <w:sz w:val="20"/>
                <w:szCs w:val="20"/>
              </w:rPr>
            </w:pPr>
            <w:r w:rsidRPr="000E5D39">
              <w:rPr>
                <w:sz w:val="20"/>
                <w:szCs w:val="20"/>
              </w:rPr>
              <w:t>For patient with previous history of 5-9 adenomas; OR</w:t>
            </w:r>
          </w:p>
          <w:p w14:paraId="2C7A2559" w14:textId="77777777" w:rsidR="00684E0D" w:rsidRPr="000E5D39" w:rsidRDefault="00684E0D" w:rsidP="00FA1377">
            <w:pPr>
              <w:pStyle w:val="ListParagraph"/>
              <w:numPr>
                <w:ilvl w:val="0"/>
                <w:numId w:val="25"/>
              </w:numPr>
              <w:spacing w:before="60" w:line="240" w:lineRule="auto"/>
              <w:contextualSpacing w:val="0"/>
              <w:rPr>
                <w:sz w:val="20"/>
                <w:szCs w:val="20"/>
              </w:rPr>
            </w:pPr>
            <w:r w:rsidRPr="000E5D39">
              <w:rPr>
                <w:sz w:val="20"/>
                <w:szCs w:val="20"/>
              </w:rPr>
              <w:t>For patient with inflammatory bowel disease, Group 1 (any high risk feature including:</w:t>
            </w:r>
          </w:p>
          <w:p w14:paraId="64F790E9" w14:textId="77777777" w:rsidR="00684E0D" w:rsidRPr="000E5D39" w:rsidRDefault="00684E0D" w:rsidP="00FA1377">
            <w:pPr>
              <w:pStyle w:val="ListParagraph"/>
              <w:numPr>
                <w:ilvl w:val="0"/>
                <w:numId w:val="36"/>
              </w:numPr>
              <w:spacing w:before="60" w:line="240" w:lineRule="auto"/>
              <w:contextualSpacing w:val="0"/>
              <w:rPr>
                <w:sz w:val="20"/>
                <w:szCs w:val="20"/>
              </w:rPr>
            </w:pPr>
            <w:r w:rsidRPr="000E5D39">
              <w:rPr>
                <w:sz w:val="20"/>
                <w:szCs w:val="20"/>
              </w:rPr>
              <w:t>Chronically active ulcerative colitis</w:t>
            </w:r>
          </w:p>
          <w:p w14:paraId="087F22B9" w14:textId="77777777" w:rsidR="00684E0D" w:rsidRPr="000E5D39" w:rsidRDefault="00684E0D" w:rsidP="00FA1377">
            <w:pPr>
              <w:pStyle w:val="ListParagraph"/>
              <w:numPr>
                <w:ilvl w:val="0"/>
                <w:numId w:val="36"/>
              </w:numPr>
              <w:spacing w:before="60" w:line="240" w:lineRule="auto"/>
              <w:contextualSpacing w:val="0"/>
              <w:rPr>
                <w:sz w:val="20"/>
                <w:szCs w:val="20"/>
              </w:rPr>
            </w:pPr>
            <w:r w:rsidRPr="000E5D39">
              <w:rPr>
                <w:sz w:val="20"/>
                <w:szCs w:val="20"/>
              </w:rPr>
              <w:t>Primary sclerosing cholangitis</w:t>
            </w:r>
          </w:p>
          <w:p w14:paraId="1063D226" w14:textId="77777777" w:rsidR="00684E0D" w:rsidRPr="000E5D39" w:rsidRDefault="00684E0D" w:rsidP="00FA1377">
            <w:pPr>
              <w:pStyle w:val="ListParagraph"/>
              <w:numPr>
                <w:ilvl w:val="0"/>
                <w:numId w:val="36"/>
              </w:numPr>
              <w:spacing w:before="60" w:line="240" w:lineRule="auto"/>
              <w:contextualSpacing w:val="0"/>
              <w:rPr>
                <w:sz w:val="20"/>
                <w:szCs w:val="20"/>
              </w:rPr>
            </w:pPr>
            <w:r w:rsidRPr="000E5D39">
              <w:rPr>
                <w:sz w:val="20"/>
                <w:szCs w:val="20"/>
              </w:rPr>
              <w:t>Colorectal cancer in first degree relative at &lt;50y age</w:t>
            </w:r>
          </w:p>
          <w:p w14:paraId="6081C575" w14:textId="77777777" w:rsidR="00684E0D" w:rsidRPr="000E5D39" w:rsidRDefault="00684E0D" w:rsidP="00FA1377">
            <w:pPr>
              <w:pStyle w:val="ListParagraph"/>
              <w:numPr>
                <w:ilvl w:val="0"/>
                <w:numId w:val="36"/>
              </w:numPr>
              <w:spacing w:before="60" w:line="240" w:lineRule="auto"/>
              <w:contextualSpacing w:val="0"/>
              <w:rPr>
                <w:sz w:val="20"/>
                <w:szCs w:val="20"/>
              </w:rPr>
            </w:pPr>
            <w:r w:rsidRPr="000E5D39">
              <w:rPr>
                <w:sz w:val="20"/>
                <w:szCs w:val="20"/>
              </w:rPr>
              <w:t>Stricture, multiple inflammatory polyps or shortened colon</w:t>
            </w:r>
          </w:p>
          <w:p w14:paraId="6D81088C" w14:textId="77777777" w:rsidR="00684E0D" w:rsidRPr="000E5D39" w:rsidRDefault="00684E0D" w:rsidP="00FA1377">
            <w:pPr>
              <w:pStyle w:val="ListParagraph"/>
              <w:numPr>
                <w:ilvl w:val="0"/>
                <w:numId w:val="36"/>
              </w:numPr>
              <w:spacing w:before="60" w:line="240" w:lineRule="auto"/>
              <w:contextualSpacing w:val="0"/>
              <w:rPr>
                <w:sz w:val="20"/>
                <w:szCs w:val="20"/>
              </w:rPr>
            </w:pPr>
            <w:r w:rsidRPr="000E5D39">
              <w:rPr>
                <w:sz w:val="20"/>
                <w:szCs w:val="20"/>
              </w:rPr>
              <w:t>Previous dysplasia)</w:t>
            </w:r>
          </w:p>
          <w:p w14:paraId="0A31C40C" w14:textId="77777777" w:rsidR="00684E0D" w:rsidRPr="000E5D39" w:rsidRDefault="00684E0D" w:rsidP="007E56E4">
            <w:pPr>
              <w:pStyle w:val="NormalBulleted10pt"/>
            </w:pPr>
            <w:r w:rsidRPr="000E5D39">
              <w:t>Payable not more than once every 12 months</w:t>
            </w:r>
          </w:p>
        </w:tc>
      </w:tr>
      <w:tr w:rsidR="00684E0D" w:rsidRPr="009E583E" w14:paraId="2756C33C" w14:textId="77777777" w:rsidTr="00C344BB">
        <w:trPr>
          <w:trHeight w:val="1012"/>
        </w:trPr>
        <w:tc>
          <w:tcPr>
            <w:tcW w:w="815" w:type="dxa"/>
            <w:shd w:val="clear" w:color="auto" w:fill="auto"/>
          </w:tcPr>
          <w:p w14:paraId="0EB64593" w14:textId="77777777" w:rsidR="00684E0D" w:rsidRPr="00360322" w:rsidRDefault="00684E0D" w:rsidP="00017FE5">
            <w:pPr>
              <w:pStyle w:val="Tabletext"/>
            </w:pPr>
            <w:r w:rsidRPr="00360322">
              <w:t>A10</w:t>
            </w:r>
          </w:p>
        </w:tc>
        <w:tc>
          <w:tcPr>
            <w:tcW w:w="8257" w:type="dxa"/>
            <w:shd w:val="clear" w:color="auto" w:fill="auto"/>
          </w:tcPr>
          <w:p w14:paraId="0197E0DD" w14:textId="47A2FEF1" w:rsidR="00684E0D" w:rsidRPr="000E5D39" w:rsidRDefault="00684E0D" w:rsidP="007E56E4">
            <w:pPr>
              <w:pStyle w:val="NormalBulleted10pt"/>
            </w:pPr>
            <w:r w:rsidRPr="000E5D39">
              <w:t>Endoscopic examination of the colon to the caecum by COLONOSCOPY with or without biopsy</w:t>
            </w:r>
            <w:r w:rsidR="00C22AE4">
              <w:t xml:space="preserve"> </w:t>
            </w:r>
          </w:p>
          <w:p w14:paraId="3A9A2433" w14:textId="77777777" w:rsidR="00684E0D" w:rsidRPr="000E5D39" w:rsidRDefault="00684E0D" w:rsidP="007E56E4">
            <w:pPr>
              <w:pStyle w:val="NormalBulleted10pt"/>
            </w:pPr>
            <w:r w:rsidRPr="000E5D39">
              <w:t>For patient with previous history of &gt;10 adenomas or incomplete excision of large or sessile adenoma</w:t>
            </w:r>
          </w:p>
          <w:p w14:paraId="466B8EEC" w14:textId="77777777" w:rsidR="00684E0D" w:rsidRPr="000E5D39" w:rsidRDefault="00684E0D" w:rsidP="007E56E4">
            <w:pPr>
              <w:pStyle w:val="NormalBulleted10pt"/>
            </w:pPr>
            <w:r w:rsidRPr="000E5D39">
              <w:t>Payable not more than 4 times per year</w:t>
            </w:r>
          </w:p>
        </w:tc>
      </w:tr>
    </w:tbl>
    <w:p w14:paraId="468CA3EC" w14:textId="7B2649DD" w:rsidR="00684E0D" w:rsidRDefault="00684E0D" w:rsidP="001F4E07">
      <w:pPr>
        <w:pStyle w:val="Caption"/>
      </w:pPr>
      <w:bookmarkStart w:id="90" w:name="_Toc457307425"/>
      <w:bookmarkStart w:id="91" w:name="_Toc458527783"/>
      <w:r w:rsidRPr="00E34579">
        <w:t xml:space="preserve">Table </w:t>
      </w:r>
      <w:fldSimple w:instr=" SEQ Table \* ARABIC ">
        <w:r w:rsidR="00A1715D">
          <w:rPr>
            <w:noProof/>
          </w:rPr>
          <w:t>7</w:t>
        </w:r>
      </w:fldSimple>
      <w:r w:rsidR="002D0115">
        <w:t>:</w:t>
      </w:r>
      <w:r w:rsidR="002D0115">
        <w:tab/>
      </w:r>
      <w:r w:rsidRPr="00856BC8">
        <w:t>Proposed therapeutic colonoscopy services to replace item 32093</w:t>
      </w:r>
      <w:bookmarkEnd w:id="90"/>
      <w:r w:rsidR="007E56E4">
        <w:t xml:space="preserve">, </w:t>
      </w:r>
      <w:r w:rsidR="007E56E4" w:rsidRPr="007E56E4">
        <w:t>Schedule fee all items $469.20</w:t>
      </w:r>
      <w:bookmarkEnd w:id="91"/>
    </w:p>
    <w:tbl>
      <w:tblPr>
        <w:tblW w:w="9072" w:type="dxa"/>
        <w:tblInd w:w="62" w:type="dxa"/>
        <w:tblBorders>
          <w:top w:val="single" w:sz="4" w:space="0" w:color="B56011"/>
          <w:bottom w:val="single" w:sz="4" w:space="0" w:color="B56011"/>
          <w:insideH w:val="single" w:sz="4" w:space="0" w:color="B56011"/>
        </w:tblBorders>
        <w:tblLayout w:type="fixed"/>
        <w:tblCellMar>
          <w:left w:w="60" w:type="dxa"/>
          <w:right w:w="60" w:type="dxa"/>
        </w:tblCellMar>
        <w:tblLook w:val="0000" w:firstRow="0" w:lastRow="0" w:firstColumn="0" w:lastColumn="0" w:noHBand="0" w:noVBand="0"/>
        <w:tblDescription w:val="Table 7 shows the proposed diagnostic colonoscopy services to replace item 32093, with 10 rows each showing an item and its descriptor."/>
      </w:tblPr>
      <w:tblGrid>
        <w:gridCol w:w="815"/>
        <w:gridCol w:w="34"/>
        <w:gridCol w:w="8223"/>
      </w:tblGrid>
      <w:tr w:rsidR="0018105F" w:rsidRPr="00017FE5" w14:paraId="60D7FC4D" w14:textId="77777777" w:rsidTr="001C0660">
        <w:trPr>
          <w:trHeight w:val="239"/>
          <w:tblHeader/>
        </w:trPr>
        <w:tc>
          <w:tcPr>
            <w:tcW w:w="815" w:type="dxa"/>
            <w:shd w:val="clear" w:color="auto" w:fill="auto"/>
          </w:tcPr>
          <w:p w14:paraId="55B0443E" w14:textId="77777777" w:rsidR="0018105F" w:rsidRPr="00017FE5" w:rsidRDefault="0018105F" w:rsidP="001C0660">
            <w:pPr>
              <w:pStyle w:val="Tableheading"/>
            </w:pPr>
            <w:r w:rsidRPr="0018105F">
              <w:t>Item</w:t>
            </w:r>
          </w:p>
        </w:tc>
        <w:tc>
          <w:tcPr>
            <w:tcW w:w="8257" w:type="dxa"/>
            <w:gridSpan w:val="2"/>
            <w:shd w:val="clear" w:color="auto" w:fill="auto"/>
          </w:tcPr>
          <w:p w14:paraId="6636D6B6" w14:textId="77777777" w:rsidR="0018105F" w:rsidRPr="00605EA0" w:rsidRDefault="0018105F" w:rsidP="001C0660">
            <w:pPr>
              <w:pStyle w:val="Tableheading"/>
            </w:pPr>
            <w:r w:rsidRPr="0018105F">
              <w:t>Item Descriptor</w:t>
            </w:r>
          </w:p>
        </w:tc>
      </w:tr>
      <w:tr w:rsidR="00684E0D" w:rsidRPr="00FB2FCD" w14:paraId="0F6985FB" w14:textId="77777777" w:rsidTr="002D0115">
        <w:tc>
          <w:tcPr>
            <w:tcW w:w="849" w:type="dxa"/>
            <w:gridSpan w:val="2"/>
            <w:shd w:val="clear" w:color="auto" w:fill="auto"/>
          </w:tcPr>
          <w:p w14:paraId="2286D629" w14:textId="77777777" w:rsidR="00684E0D" w:rsidRPr="00360322" w:rsidRDefault="00684E0D" w:rsidP="00017FE5">
            <w:pPr>
              <w:pStyle w:val="Tabletext"/>
            </w:pPr>
            <w:r w:rsidRPr="00360322">
              <w:t>B1</w:t>
            </w:r>
          </w:p>
        </w:tc>
        <w:tc>
          <w:tcPr>
            <w:tcW w:w="8223" w:type="dxa"/>
            <w:shd w:val="clear" w:color="auto" w:fill="auto"/>
          </w:tcPr>
          <w:p w14:paraId="29D299F8" w14:textId="77777777" w:rsidR="00684E0D" w:rsidRPr="000E5D39" w:rsidRDefault="00684E0D" w:rsidP="00017FE5">
            <w:pPr>
              <w:pStyle w:val="Tabletext"/>
            </w:pPr>
            <w:r w:rsidRPr="000E5D39">
              <w:t xml:space="preserve">Endoscopic examination of the colon by COLONOSCOPY for the treatment of radiation proctitis, angiodysplasia or post-polypectomy bleeding, 1 or more of, </w:t>
            </w:r>
          </w:p>
        </w:tc>
      </w:tr>
      <w:tr w:rsidR="00684E0D" w:rsidRPr="00FB2FCD" w14:paraId="42CFEEF0" w14:textId="77777777" w:rsidTr="002D0115">
        <w:tc>
          <w:tcPr>
            <w:tcW w:w="849" w:type="dxa"/>
            <w:gridSpan w:val="2"/>
            <w:shd w:val="clear" w:color="auto" w:fill="auto"/>
          </w:tcPr>
          <w:p w14:paraId="5E459B37" w14:textId="77777777" w:rsidR="00684E0D" w:rsidRPr="00360322" w:rsidRDefault="00684E0D" w:rsidP="00017FE5">
            <w:pPr>
              <w:pStyle w:val="Tabletext"/>
            </w:pPr>
            <w:r w:rsidRPr="00360322">
              <w:t>B2</w:t>
            </w:r>
          </w:p>
        </w:tc>
        <w:tc>
          <w:tcPr>
            <w:tcW w:w="8223" w:type="dxa"/>
            <w:shd w:val="clear" w:color="auto" w:fill="auto"/>
          </w:tcPr>
          <w:p w14:paraId="2F606D31" w14:textId="77777777" w:rsidR="00684E0D" w:rsidRPr="000E5D39" w:rsidRDefault="00684E0D" w:rsidP="007E56E4">
            <w:pPr>
              <w:pStyle w:val="NormalBulleted10pt"/>
            </w:pPr>
            <w:r w:rsidRPr="000E5D39">
              <w:t xml:space="preserve">Endoscopic examination of the colon to the caecum by COLONOSCOPY for the REMOVAL OF 1 OR MORE POLYPS, </w:t>
            </w:r>
          </w:p>
          <w:p w14:paraId="2149ACF8" w14:textId="77777777" w:rsidR="00684E0D" w:rsidRPr="000E5D39" w:rsidRDefault="00684E0D" w:rsidP="007E56E4">
            <w:pPr>
              <w:pStyle w:val="NormalBulleted10pt"/>
            </w:pPr>
            <w:r w:rsidRPr="000E5D39">
              <w:t>For patient following a positive faecal occult blood test, not in association with items 32088, 32089 for National Bowel Cancer Screening Program participants</w:t>
            </w:r>
          </w:p>
          <w:p w14:paraId="227D7A77" w14:textId="77777777" w:rsidR="00684E0D" w:rsidRPr="000E5D39" w:rsidRDefault="00684E0D" w:rsidP="007E56E4">
            <w:pPr>
              <w:pStyle w:val="NormalBulleted10pt"/>
            </w:pPr>
            <w:r w:rsidRPr="000E5D39">
              <w:t xml:space="preserve">Payable no more than once every 2 years </w:t>
            </w:r>
          </w:p>
        </w:tc>
      </w:tr>
      <w:tr w:rsidR="00684E0D" w:rsidRPr="00FB2FCD" w14:paraId="5446EB4F" w14:textId="77777777" w:rsidTr="002D0115">
        <w:tc>
          <w:tcPr>
            <w:tcW w:w="849" w:type="dxa"/>
            <w:gridSpan w:val="2"/>
            <w:shd w:val="clear" w:color="auto" w:fill="auto"/>
          </w:tcPr>
          <w:p w14:paraId="3E0E4082" w14:textId="77777777" w:rsidR="00684E0D" w:rsidRPr="00360322" w:rsidRDefault="00684E0D" w:rsidP="000E5D39">
            <w:pPr>
              <w:spacing w:before="60" w:line="240" w:lineRule="auto"/>
              <w:rPr>
                <w:rFonts w:cs="Arial"/>
                <w:b/>
                <w:sz w:val="20"/>
                <w:szCs w:val="20"/>
              </w:rPr>
            </w:pPr>
            <w:r w:rsidRPr="00360322">
              <w:rPr>
                <w:rFonts w:cs="Arial"/>
                <w:b/>
                <w:sz w:val="20"/>
                <w:szCs w:val="20"/>
              </w:rPr>
              <w:t>B3</w:t>
            </w:r>
          </w:p>
        </w:tc>
        <w:tc>
          <w:tcPr>
            <w:tcW w:w="8223" w:type="dxa"/>
            <w:shd w:val="clear" w:color="auto" w:fill="auto"/>
          </w:tcPr>
          <w:p w14:paraId="43CD9477" w14:textId="77777777" w:rsidR="00684E0D" w:rsidRPr="000E5D39" w:rsidRDefault="00684E0D" w:rsidP="00FA1377">
            <w:pPr>
              <w:pStyle w:val="Tabletext"/>
            </w:pPr>
            <w:r w:rsidRPr="000E5D39">
              <w:t xml:space="preserve">Endoscopic examination of the colon to the caecum by COLONOSCOPY for the REMOVAL OF 1 OR MORE POLYPS, </w:t>
            </w:r>
          </w:p>
          <w:p w14:paraId="40C57FE2" w14:textId="77777777" w:rsidR="00684E0D" w:rsidRPr="000E5D39" w:rsidRDefault="00684E0D" w:rsidP="00FA1377">
            <w:pPr>
              <w:pStyle w:val="ListParagraph"/>
              <w:numPr>
                <w:ilvl w:val="0"/>
                <w:numId w:val="27"/>
              </w:numPr>
              <w:autoSpaceDE w:val="0"/>
              <w:autoSpaceDN w:val="0"/>
              <w:adjustRightInd w:val="0"/>
              <w:spacing w:before="60" w:line="240" w:lineRule="auto"/>
              <w:contextualSpacing w:val="0"/>
              <w:jc w:val="both"/>
              <w:rPr>
                <w:sz w:val="20"/>
                <w:szCs w:val="20"/>
              </w:rPr>
            </w:pPr>
            <w:r w:rsidRPr="000E5D39">
              <w:rPr>
                <w:sz w:val="20"/>
                <w:szCs w:val="20"/>
              </w:rPr>
              <w:t xml:space="preserve">For symptomatic patient or </w:t>
            </w:r>
          </w:p>
          <w:p w14:paraId="73C7D518" w14:textId="77777777" w:rsidR="00684E0D" w:rsidRPr="000E5D39" w:rsidRDefault="00684E0D" w:rsidP="00FA1377">
            <w:pPr>
              <w:pStyle w:val="ListParagraph"/>
              <w:numPr>
                <w:ilvl w:val="0"/>
                <w:numId w:val="27"/>
              </w:numPr>
              <w:autoSpaceDE w:val="0"/>
              <w:autoSpaceDN w:val="0"/>
              <w:adjustRightInd w:val="0"/>
              <w:spacing w:before="60" w:line="240" w:lineRule="auto"/>
              <w:contextualSpacing w:val="0"/>
              <w:jc w:val="both"/>
              <w:rPr>
                <w:sz w:val="20"/>
                <w:szCs w:val="20"/>
              </w:rPr>
            </w:pPr>
            <w:r w:rsidRPr="000E5D39">
              <w:rPr>
                <w:sz w:val="20"/>
                <w:szCs w:val="20"/>
              </w:rPr>
              <w:t>patient with iron deficiency anaemia</w:t>
            </w:r>
          </w:p>
        </w:tc>
      </w:tr>
      <w:tr w:rsidR="00684E0D" w:rsidRPr="00FB2FCD" w14:paraId="43D03F7E" w14:textId="77777777" w:rsidTr="002D0115">
        <w:trPr>
          <w:trHeight w:val="769"/>
        </w:trPr>
        <w:tc>
          <w:tcPr>
            <w:tcW w:w="849" w:type="dxa"/>
            <w:gridSpan w:val="2"/>
            <w:shd w:val="clear" w:color="auto" w:fill="auto"/>
          </w:tcPr>
          <w:p w14:paraId="3FBE1DA0" w14:textId="77777777" w:rsidR="00684E0D" w:rsidRPr="00360322" w:rsidRDefault="00684E0D" w:rsidP="00017FE5">
            <w:pPr>
              <w:pStyle w:val="Tabletext"/>
            </w:pPr>
            <w:r w:rsidRPr="00360322">
              <w:t>B4</w:t>
            </w:r>
          </w:p>
        </w:tc>
        <w:tc>
          <w:tcPr>
            <w:tcW w:w="8223" w:type="dxa"/>
            <w:shd w:val="clear" w:color="auto" w:fill="auto"/>
          </w:tcPr>
          <w:p w14:paraId="7B835A7D" w14:textId="77777777" w:rsidR="00684E0D" w:rsidRPr="000E5D39" w:rsidRDefault="00684E0D" w:rsidP="007E56E4">
            <w:pPr>
              <w:pStyle w:val="NormalBulleted10pt"/>
            </w:pPr>
            <w:r w:rsidRPr="000E5D39">
              <w:t xml:space="preserve">Endoscopic examination of the colon to the caecum by COLONOSCOPY for the REMOVAL OF 1 OR MORE POLYPS, </w:t>
            </w:r>
          </w:p>
          <w:p w14:paraId="793365AB" w14:textId="77777777" w:rsidR="00684E0D" w:rsidRPr="000E5D39" w:rsidRDefault="00684E0D" w:rsidP="007E56E4">
            <w:pPr>
              <w:pStyle w:val="NormalBulleted10pt"/>
            </w:pPr>
            <w:r w:rsidRPr="000E5D39">
              <w:t>For patient following surgery for colorectal cancer</w:t>
            </w:r>
          </w:p>
        </w:tc>
      </w:tr>
      <w:tr w:rsidR="00684E0D" w:rsidRPr="00FB2FCD" w14:paraId="43C32ED7" w14:textId="77777777" w:rsidTr="002D0115">
        <w:trPr>
          <w:trHeight w:val="978"/>
        </w:trPr>
        <w:tc>
          <w:tcPr>
            <w:tcW w:w="849" w:type="dxa"/>
            <w:gridSpan w:val="2"/>
            <w:shd w:val="clear" w:color="auto" w:fill="auto"/>
          </w:tcPr>
          <w:p w14:paraId="27208DAE" w14:textId="77777777" w:rsidR="00684E0D" w:rsidRPr="00360322" w:rsidRDefault="00684E0D" w:rsidP="00017FE5">
            <w:pPr>
              <w:pStyle w:val="Tabletext"/>
            </w:pPr>
            <w:r w:rsidRPr="00360322">
              <w:t>B5</w:t>
            </w:r>
          </w:p>
        </w:tc>
        <w:tc>
          <w:tcPr>
            <w:tcW w:w="8223" w:type="dxa"/>
            <w:shd w:val="clear" w:color="auto" w:fill="auto"/>
          </w:tcPr>
          <w:p w14:paraId="26E81BF0" w14:textId="77777777" w:rsidR="00684E0D" w:rsidRPr="000E5D39" w:rsidRDefault="00684E0D" w:rsidP="007E56E4">
            <w:pPr>
              <w:pStyle w:val="NormalBulleted10pt"/>
            </w:pPr>
            <w:r w:rsidRPr="000E5D39">
              <w:t xml:space="preserve">Endoscopic examination of the colon to the caecum by COLONOSCOPY for the REMOVAL OF 1 OR MORE POLYPS, </w:t>
            </w:r>
          </w:p>
          <w:p w14:paraId="318483DB" w14:textId="77777777" w:rsidR="00684E0D" w:rsidRPr="000E5D39" w:rsidRDefault="00684E0D" w:rsidP="007E56E4">
            <w:pPr>
              <w:pStyle w:val="NormalBulleted10pt"/>
            </w:pPr>
            <w:r w:rsidRPr="000E5D39">
              <w:t>For patient with MODERATE risk of colorectal cancer due to family history of colorectal cancer (1 first degree relative &lt;55yrs at diagnosis OR 2 first degree relatives OR 1 first degree relative and 1 second degree relative on the same side of the family, any age at diagnosis)</w:t>
            </w:r>
          </w:p>
        </w:tc>
      </w:tr>
      <w:tr w:rsidR="00684E0D" w:rsidRPr="00FB2FCD" w14:paraId="5038FAAA" w14:textId="77777777" w:rsidTr="002D0115">
        <w:trPr>
          <w:trHeight w:val="416"/>
        </w:trPr>
        <w:tc>
          <w:tcPr>
            <w:tcW w:w="849" w:type="dxa"/>
            <w:gridSpan w:val="2"/>
            <w:shd w:val="clear" w:color="auto" w:fill="auto"/>
          </w:tcPr>
          <w:p w14:paraId="31E8D67B" w14:textId="77777777" w:rsidR="00684E0D" w:rsidRPr="00360322" w:rsidRDefault="00684E0D" w:rsidP="00017FE5">
            <w:pPr>
              <w:pStyle w:val="Tabletext"/>
            </w:pPr>
            <w:r w:rsidRPr="00360322">
              <w:lastRenderedPageBreak/>
              <w:t>B6</w:t>
            </w:r>
          </w:p>
        </w:tc>
        <w:tc>
          <w:tcPr>
            <w:tcW w:w="8223" w:type="dxa"/>
            <w:shd w:val="clear" w:color="auto" w:fill="auto"/>
          </w:tcPr>
          <w:p w14:paraId="4C79077F" w14:textId="77777777" w:rsidR="00684E0D" w:rsidRPr="000E5D39" w:rsidRDefault="00684E0D" w:rsidP="007E56E4">
            <w:pPr>
              <w:pStyle w:val="NormalBulleted10pt"/>
            </w:pPr>
            <w:r w:rsidRPr="000E5D39">
              <w:t xml:space="preserve">Endoscopic examination of the colon to the caecum by COLONOSCOPY for the REMOVAL OF 1 OR MORE POLYPS, </w:t>
            </w:r>
          </w:p>
          <w:p w14:paraId="5A2172AB" w14:textId="77777777" w:rsidR="00684E0D" w:rsidRPr="000E5D39" w:rsidRDefault="00684E0D" w:rsidP="007E56E4">
            <w:pPr>
              <w:pStyle w:val="NormalBulleted10pt"/>
            </w:pPr>
            <w:r w:rsidRPr="000E5D39">
              <w:t>For patient with a HIGH risk of colorectal cancer due to known or suspected familial condition including FAP or Lynch Syndrome</w:t>
            </w:r>
          </w:p>
        </w:tc>
      </w:tr>
      <w:tr w:rsidR="00684E0D" w:rsidRPr="00FB2FCD" w14:paraId="01ACD867" w14:textId="77777777" w:rsidTr="002D0115">
        <w:tc>
          <w:tcPr>
            <w:tcW w:w="849" w:type="dxa"/>
            <w:gridSpan w:val="2"/>
            <w:shd w:val="clear" w:color="auto" w:fill="auto"/>
          </w:tcPr>
          <w:p w14:paraId="34F51EDB" w14:textId="77777777" w:rsidR="00684E0D" w:rsidRPr="00360322" w:rsidRDefault="00684E0D" w:rsidP="000E5D39">
            <w:pPr>
              <w:spacing w:before="60" w:line="240" w:lineRule="auto"/>
              <w:rPr>
                <w:rFonts w:cs="Arial"/>
                <w:b/>
                <w:sz w:val="20"/>
                <w:szCs w:val="20"/>
              </w:rPr>
            </w:pPr>
            <w:r w:rsidRPr="00360322">
              <w:rPr>
                <w:rFonts w:cs="Arial"/>
                <w:b/>
                <w:sz w:val="20"/>
                <w:szCs w:val="20"/>
              </w:rPr>
              <w:t>B7</w:t>
            </w:r>
          </w:p>
        </w:tc>
        <w:tc>
          <w:tcPr>
            <w:tcW w:w="8223" w:type="dxa"/>
            <w:shd w:val="clear" w:color="auto" w:fill="auto"/>
          </w:tcPr>
          <w:p w14:paraId="3AAD7BE5" w14:textId="77777777" w:rsidR="00684E0D" w:rsidRPr="000E5D39" w:rsidRDefault="00684E0D" w:rsidP="00FA1377">
            <w:pPr>
              <w:pStyle w:val="Tabletext"/>
            </w:pPr>
            <w:r w:rsidRPr="000E5D39">
              <w:t xml:space="preserve">Endoscopic examination of the colon to the caecum by COLONOSCOPY for the REMOVAL OF 1 OR MORE POLYPS or LESIONS, </w:t>
            </w:r>
          </w:p>
          <w:p w14:paraId="2C76CCD8" w14:textId="77777777" w:rsidR="00684E0D" w:rsidRPr="000E5D39" w:rsidRDefault="00684E0D" w:rsidP="00FA1377">
            <w:pPr>
              <w:pStyle w:val="ListParagraph"/>
              <w:numPr>
                <w:ilvl w:val="0"/>
                <w:numId w:val="28"/>
              </w:numPr>
              <w:autoSpaceDE w:val="0"/>
              <w:autoSpaceDN w:val="0"/>
              <w:adjustRightInd w:val="0"/>
              <w:spacing w:before="60" w:line="240" w:lineRule="auto"/>
              <w:contextualSpacing w:val="0"/>
              <w:jc w:val="both"/>
              <w:rPr>
                <w:sz w:val="20"/>
                <w:szCs w:val="20"/>
              </w:rPr>
            </w:pPr>
            <w:r w:rsidRPr="000E5D39">
              <w:rPr>
                <w:sz w:val="20"/>
                <w:szCs w:val="20"/>
              </w:rPr>
              <w:t>For patient with previous history of 1-2 adenomas AND all &lt;10mm, no villous features, no high grade dysplasia; OR</w:t>
            </w:r>
          </w:p>
          <w:p w14:paraId="649D4D56" w14:textId="77777777" w:rsidR="00684E0D" w:rsidRPr="000E5D39" w:rsidRDefault="00684E0D" w:rsidP="00FA1377">
            <w:pPr>
              <w:pStyle w:val="ListParagraph"/>
              <w:numPr>
                <w:ilvl w:val="0"/>
                <w:numId w:val="28"/>
              </w:numPr>
              <w:spacing w:before="60" w:line="240" w:lineRule="auto"/>
              <w:contextualSpacing w:val="0"/>
              <w:rPr>
                <w:sz w:val="20"/>
                <w:szCs w:val="20"/>
              </w:rPr>
            </w:pPr>
            <w:r w:rsidRPr="000E5D39">
              <w:rPr>
                <w:sz w:val="20"/>
                <w:szCs w:val="20"/>
              </w:rPr>
              <w:t>For patient with inflammatory bowel disease, Group 3 (ulcerative colitis without high risk features when two previous colonoscopies are macroscopically inactive and histologically negative for dysplasia)</w:t>
            </w:r>
          </w:p>
        </w:tc>
      </w:tr>
      <w:tr w:rsidR="00684E0D" w:rsidRPr="00FB2FCD" w14:paraId="1CA2A208" w14:textId="77777777" w:rsidTr="002D0115">
        <w:trPr>
          <w:trHeight w:val="557"/>
        </w:trPr>
        <w:tc>
          <w:tcPr>
            <w:tcW w:w="849" w:type="dxa"/>
            <w:gridSpan w:val="2"/>
            <w:shd w:val="clear" w:color="auto" w:fill="auto"/>
          </w:tcPr>
          <w:p w14:paraId="5EF69A11" w14:textId="77777777" w:rsidR="00684E0D" w:rsidRPr="00360322" w:rsidRDefault="00684E0D" w:rsidP="000E5D39">
            <w:pPr>
              <w:spacing w:before="60" w:line="240" w:lineRule="auto"/>
              <w:rPr>
                <w:rFonts w:cs="Arial"/>
                <w:b/>
                <w:sz w:val="20"/>
                <w:szCs w:val="20"/>
              </w:rPr>
            </w:pPr>
            <w:r w:rsidRPr="00360322">
              <w:rPr>
                <w:rFonts w:cs="Arial"/>
                <w:b/>
                <w:sz w:val="20"/>
                <w:szCs w:val="20"/>
              </w:rPr>
              <w:t>B8</w:t>
            </w:r>
          </w:p>
        </w:tc>
        <w:tc>
          <w:tcPr>
            <w:tcW w:w="8223" w:type="dxa"/>
            <w:shd w:val="clear" w:color="auto" w:fill="auto"/>
          </w:tcPr>
          <w:p w14:paraId="3581764A" w14:textId="77777777" w:rsidR="00684E0D" w:rsidRPr="000E5D39" w:rsidRDefault="00684E0D" w:rsidP="00FA1377">
            <w:pPr>
              <w:pStyle w:val="Tabletext"/>
            </w:pPr>
            <w:r w:rsidRPr="000E5D39">
              <w:t xml:space="preserve">Endoscopic examination of the colon to the caecum by COLONOSCOPY for the REMOVAL OF 1 OR MORE POLYPS or LESIONS </w:t>
            </w:r>
          </w:p>
          <w:p w14:paraId="42A3C5E1" w14:textId="77777777" w:rsidR="00684E0D" w:rsidRPr="000E5D39" w:rsidRDefault="00684E0D" w:rsidP="00FA1377">
            <w:pPr>
              <w:pStyle w:val="ListParagraph"/>
              <w:numPr>
                <w:ilvl w:val="0"/>
                <w:numId w:val="34"/>
              </w:numPr>
              <w:autoSpaceDE w:val="0"/>
              <w:autoSpaceDN w:val="0"/>
              <w:adjustRightInd w:val="0"/>
              <w:spacing w:before="60" w:line="240" w:lineRule="auto"/>
              <w:contextualSpacing w:val="0"/>
              <w:jc w:val="both"/>
              <w:rPr>
                <w:sz w:val="20"/>
                <w:szCs w:val="20"/>
              </w:rPr>
            </w:pPr>
            <w:r w:rsidRPr="000E5D39">
              <w:rPr>
                <w:sz w:val="20"/>
                <w:szCs w:val="20"/>
              </w:rPr>
              <w:t xml:space="preserve">For patient with previous history of 3-4 adenomas or any adenoma &gt;10mm, villous features, high grade dysplasia; sessile serrated OR </w:t>
            </w:r>
          </w:p>
          <w:p w14:paraId="1FEB3024" w14:textId="77777777" w:rsidR="00684E0D" w:rsidRPr="000E5D39" w:rsidRDefault="00684E0D" w:rsidP="00FA1377">
            <w:pPr>
              <w:pStyle w:val="ListParagraph"/>
              <w:numPr>
                <w:ilvl w:val="0"/>
                <w:numId w:val="34"/>
              </w:numPr>
              <w:autoSpaceDE w:val="0"/>
              <w:autoSpaceDN w:val="0"/>
              <w:adjustRightInd w:val="0"/>
              <w:spacing w:before="60" w:line="240" w:lineRule="auto"/>
              <w:contextualSpacing w:val="0"/>
              <w:jc w:val="both"/>
              <w:rPr>
                <w:sz w:val="20"/>
                <w:szCs w:val="20"/>
              </w:rPr>
            </w:pPr>
            <w:r w:rsidRPr="000E5D39">
              <w:rPr>
                <w:sz w:val="20"/>
                <w:szCs w:val="20"/>
              </w:rPr>
              <w:t>For patient with inflammatory bowel disease, Group 2 (quiescent ulcerative colitis without high risk features)</w:t>
            </w:r>
          </w:p>
        </w:tc>
      </w:tr>
      <w:tr w:rsidR="00684E0D" w:rsidRPr="00FB2FCD" w14:paraId="51D49013" w14:textId="77777777" w:rsidTr="002D0115">
        <w:trPr>
          <w:trHeight w:val="274"/>
        </w:trPr>
        <w:tc>
          <w:tcPr>
            <w:tcW w:w="849" w:type="dxa"/>
            <w:gridSpan w:val="2"/>
            <w:shd w:val="clear" w:color="auto" w:fill="auto"/>
          </w:tcPr>
          <w:p w14:paraId="262ED54A" w14:textId="77777777" w:rsidR="00684E0D" w:rsidRPr="00360322" w:rsidRDefault="00684E0D" w:rsidP="000E5D39">
            <w:pPr>
              <w:spacing w:before="60" w:line="240" w:lineRule="auto"/>
              <w:rPr>
                <w:rFonts w:cs="Arial"/>
                <w:b/>
                <w:sz w:val="20"/>
                <w:szCs w:val="20"/>
              </w:rPr>
            </w:pPr>
            <w:r w:rsidRPr="00360322">
              <w:rPr>
                <w:rFonts w:cs="Arial"/>
                <w:b/>
                <w:sz w:val="20"/>
                <w:szCs w:val="20"/>
              </w:rPr>
              <w:t>B9</w:t>
            </w:r>
          </w:p>
        </w:tc>
        <w:tc>
          <w:tcPr>
            <w:tcW w:w="8223" w:type="dxa"/>
            <w:shd w:val="clear" w:color="auto" w:fill="auto"/>
          </w:tcPr>
          <w:p w14:paraId="6DB93D30" w14:textId="77777777" w:rsidR="00684E0D" w:rsidRPr="000E5D39" w:rsidRDefault="00684E0D" w:rsidP="00FA1377">
            <w:pPr>
              <w:pStyle w:val="Tabletext"/>
            </w:pPr>
            <w:r w:rsidRPr="000E5D39">
              <w:t xml:space="preserve">Endoscopic examination of the colon to the caecum by COLONOSCOPY for the REMOVAL OF 1 OR MORE POLYPS or LESIONS </w:t>
            </w:r>
          </w:p>
          <w:p w14:paraId="766D5B50" w14:textId="77777777" w:rsidR="00684E0D" w:rsidRPr="000E5D39" w:rsidRDefault="00684E0D" w:rsidP="00FA1377">
            <w:pPr>
              <w:pStyle w:val="ListParagraph"/>
              <w:numPr>
                <w:ilvl w:val="0"/>
                <w:numId w:val="29"/>
              </w:numPr>
              <w:spacing w:before="60" w:line="240" w:lineRule="auto"/>
              <w:contextualSpacing w:val="0"/>
              <w:rPr>
                <w:sz w:val="20"/>
                <w:szCs w:val="20"/>
              </w:rPr>
            </w:pPr>
            <w:r w:rsidRPr="000E5D39">
              <w:rPr>
                <w:sz w:val="20"/>
                <w:szCs w:val="20"/>
              </w:rPr>
              <w:t>For patient with previous history of 5-9 adenomas, OR</w:t>
            </w:r>
          </w:p>
          <w:p w14:paraId="5C54F616" w14:textId="77777777" w:rsidR="00684E0D" w:rsidRPr="000E5D39" w:rsidRDefault="00684E0D" w:rsidP="00FA1377">
            <w:pPr>
              <w:pStyle w:val="ListParagraph"/>
              <w:numPr>
                <w:ilvl w:val="0"/>
                <w:numId w:val="29"/>
              </w:numPr>
              <w:spacing w:before="60" w:line="240" w:lineRule="auto"/>
              <w:contextualSpacing w:val="0"/>
              <w:rPr>
                <w:sz w:val="20"/>
                <w:szCs w:val="20"/>
              </w:rPr>
            </w:pPr>
            <w:r w:rsidRPr="000E5D39">
              <w:rPr>
                <w:sz w:val="20"/>
                <w:szCs w:val="20"/>
              </w:rPr>
              <w:t>For patient with inflammatory bowel disease, Group 1 (any high risk feature including:</w:t>
            </w:r>
          </w:p>
          <w:p w14:paraId="427184BB" w14:textId="77777777" w:rsidR="00684E0D" w:rsidRPr="000E5D39" w:rsidRDefault="00684E0D" w:rsidP="00FA1377">
            <w:pPr>
              <w:pStyle w:val="ListParagraph"/>
              <w:numPr>
                <w:ilvl w:val="0"/>
                <w:numId w:val="35"/>
              </w:numPr>
              <w:spacing w:before="60" w:line="240" w:lineRule="auto"/>
              <w:contextualSpacing w:val="0"/>
              <w:rPr>
                <w:sz w:val="20"/>
                <w:szCs w:val="20"/>
              </w:rPr>
            </w:pPr>
            <w:r w:rsidRPr="000E5D39">
              <w:rPr>
                <w:sz w:val="20"/>
                <w:szCs w:val="20"/>
              </w:rPr>
              <w:t>Chronically active ulcerative colitis</w:t>
            </w:r>
          </w:p>
          <w:p w14:paraId="17FDD280" w14:textId="77777777" w:rsidR="00684E0D" w:rsidRPr="000E5D39" w:rsidRDefault="00684E0D" w:rsidP="00FA1377">
            <w:pPr>
              <w:pStyle w:val="ListParagraph"/>
              <w:numPr>
                <w:ilvl w:val="0"/>
                <w:numId w:val="35"/>
              </w:numPr>
              <w:spacing w:before="60" w:line="240" w:lineRule="auto"/>
              <w:contextualSpacing w:val="0"/>
              <w:rPr>
                <w:sz w:val="20"/>
                <w:szCs w:val="20"/>
              </w:rPr>
            </w:pPr>
            <w:r w:rsidRPr="000E5D39">
              <w:rPr>
                <w:sz w:val="20"/>
                <w:szCs w:val="20"/>
              </w:rPr>
              <w:t>Primary sclerosing cholangitis</w:t>
            </w:r>
          </w:p>
          <w:p w14:paraId="7F8146CC" w14:textId="77777777" w:rsidR="00684E0D" w:rsidRPr="000E5D39" w:rsidRDefault="00684E0D" w:rsidP="00FA1377">
            <w:pPr>
              <w:pStyle w:val="ListParagraph"/>
              <w:numPr>
                <w:ilvl w:val="0"/>
                <w:numId w:val="35"/>
              </w:numPr>
              <w:spacing w:before="60" w:line="240" w:lineRule="auto"/>
              <w:contextualSpacing w:val="0"/>
              <w:rPr>
                <w:sz w:val="20"/>
                <w:szCs w:val="20"/>
              </w:rPr>
            </w:pPr>
            <w:r w:rsidRPr="000E5D39">
              <w:rPr>
                <w:sz w:val="20"/>
                <w:szCs w:val="20"/>
              </w:rPr>
              <w:t>Colorectal cancer in first degree relative at &lt;50y age</w:t>
            </w:r>
          </w:p>
          <w:p w14:paraId="1D85F932" w14:textId="77777777" w:rsidR="00684E0D" w:rsidRPr="000E5D39" w:rsidRDefault="00684E0D" w:rsidP="00FA1377">
            <w:pPr>
              <w:pStyle w:val="ListParagraph"/>
              <w:numPr>
                <w:ilvl w:val="0"/>
                <w:numId w:val="35"/>
              </w:numPr>
              <w:spacing w:before="60" w:line="240" w:lineRule="auto"/>
              <w:contextualSpacing w:val="0"/>
              <w:rPr>
                <w:sz w:val="20"/>
                <w:szCs w:val="20"/>
              </w:rPr>
            </w:pPr>
            <w:r w:rsidRPr="000E5D39">
              <w:rPr>
                <w:sz w:val="20"/>
                <w:szCs w:val="20"/>
              </w:rPr>
              <w:t>Stricture, multiple inflammatory polyps or shortened colon</w:t>
            </w:r>
          </w:p>
          <w:p w14:paraId="37B5BB05" w14:textId="77777777" w:rsidR="00684E0D" w:rsidRPr="000E5D39" w:rsidRDefault="00684E0D" w:rsidP="00FA1377">
            <w:pPr>
              <w:pStyle w:val="ListParagraph"/>
              <w:numPr>
                <w:ilvl w:val="0"/>
                <w:numId w:val="35"/>
              </w:numPr>
              <w:spacing w:before="60" w:line="240" w:lineRule="auto"/>
              <w:contextualSpacing w:val="0"/>
              <w:rPr>
                <w:sz w:val="20"/>
                <w:szCs w:val="20"/>
              </w:rPr>
            </w:pPr>
            <w:r w:rsidRPr="000E5D39">
              <w:rPr>
                <w:sz w:val="20"/>
                <w:szCs w:val="20"/>
              </w:rPr>
              <w:t>Previous dysplasia)</w:t>
            </w:r>
          </w:p>
        </w:tc>
      </w:tr>
      <w:tr w:rsidR="00684E0D" w:rsidRPr="00FB2FCD" w14:paraId="2B06C163" w14:textId="77777777" w:rsidTr="002D0115">
        <w:tc>
          <w:tcPr>
            <w:tcW w:w="849" w:type="dxa"/>
            <w:gridSpan w:val="2"/>
            <w:shd w:val="clear" w:color="auto" w:fill="auto"/>
          </w:tcPr>
          <w:p w14:paraId="62A7F9E6" w14:textId="77777777" w:rsidR="00684E0D" w:rsidRPr="00360322" w:rsidRDefault="00684E0D" w:rsidP="00017FE5">
            <w:pPr>
              <w:pStyle w:val="Tabletext"/>
            </w:pPr>
            <w:r w:rsidRPr="00360322">
              <w:t>B10</w:t>
            </w:r>
          </w:p>
        </w:tc>
        <w:tc>
          <w:tcPr>
            <w:tcW w:w="8223" w:type="dxa"/>
            <w:shd w:val="clear" w:color="auto" w:fill="auto"/>
          </w:tcPr>
          <w:p w14:paraId="612AD3F4" w14:textId="77777777" w:rsidR="00684E0D" w:rsidRPr="000E5D39" w:rsidRDefault="00684E0D" w:rsidP="007E56E4">
            <w:pPr>
              <w:pStyle w:val="NormalBulleted10pt"/>
            </w:pPr>
            <w:r w:rsidRPr="000E5D39">
              <w:t xml:space="preserve">Endoscopic examination of the colon to the caecum by COLONOSCOPY for the REMOVAL OF 1 OR MORE POLYPS, </w:t>
            </w:r>
          </w:p>
          <w:p w14:paraId="43122AF5" w14:textId="77777777" w:rsidR="00684E0D" w:rsidRPr="000E5D39" w:rsidRDefault="00684E0D" w:rsidP="007E56E4">
            <w:pPr>
              <w:pStyle w:val="NormalBulleted10pt"/>
            </w:pPr>
            <w:r w:rsidRPr="000E5D39">
              <w:t xml:space="preserve">For patient with previous history of &gt;10 adenomas, or incomplete excision of large or sessile adenoma </w:t>
            </w:r>
          </w:p>
        </w:tc>
      </w:tr>
    </w:tbl>
    <w:p w14:paraId="3D35B846" w14:textId="77777777" w:rsidR="00684E0D" w:rsidRPr="001E0DB6" w:rsidRDefault="00684E0D" w:rsidP="00132E87">
      <w:pPr>
        <w:pStyle w:val="Heading3"/>
      </w:pPr>
      <w:bookmarkStart w:id="92" w:name="_Toc457307475"/>
      <w:r>
        <w:t xml:space="preserve">Proposed </w:t>
      </w:r>
      <w:r w:rsidRPr="001E0DB6">
        <w:t xml:space="preserve">Explanatory </w:t>
      </w:r>
      <w:r>
        <w:t>N</w:t>
      </w:r>
      <w:r w:rsidRPr="001E0DB6">
        <w:t>ote – Colonoscopy items</w:t>
      </w:r>
      <w:bookmarkEnd w:id="92"/>
      <w:r w:rsidRPr="003A218B">
        <w:t xml:space="preserve"> </w:t>
      </w:r>
    </w:p>
    <w:p w14:paraId="699B1A92" w14:textId="19F0891D" w:rsidR="00684E0D" w:rsidRPr="007207ED" w:rsidRDefault="00684E0D" w:rsidP="00360322">
      <w:r w:rsidRPr="007207ED">
        <w:t>MBS items for colonoscopy have been revised to align MBS reimbursement with existing National Health and Medical Research Council (NHMRC) clinical practice guidelines for the prevention, early detection and management of colorectal cancer and for surveillance colonoscopy:</w:t>
      </w:r>
    </w:p>
    <w:p w14:paraId="7E575410" w14:textId="77777777" w:rsidR="00684E0D" w:rsidRPr="007207ED" w:rsidRDefault="00684E0D" w:rsidP="00360322">
      <w:pPr>
        <w:pStyle w:val="NormalBulleted"/>
      </w:pPr>
      <w:r w:rsidRPr="007207ED">
        <w:t>NHMRC Clinical Practice Guidelines for the Prevention, Early Detection and Management of Colorectal Cancer</w:t>
      </w:r>
      <w:r>
        <w:t>, 2005</w:t>
      </w:r>
    </w:p>
    <w:p w14:paraId="7740E1C5" w14:textId="77777777" w:rsidR="00684E0D" w:rsidRPr="007207ED" w:rsidRDefault="00684E0D" w:rsidP="00360322">
      <w:pPr>
        <w:pStyle w:val="NormalBulleted"/>
      </w:pPr>
      <w:r w:rsidRPr="007207ED">
        <w:t>NHMRC Clinical Practice Guidelines for Surveillance Colonoscopy – in adenoma follow-up; following curative resection of colorectal cancer; and for cancer surveillance in inflammatory bowel disease</w:t>
      </w:r>
      <w:r>
        <w:t>, 2012</w:t>
      </w:r>
    </w:p>
    <w:p w14:paraId="2F4E9DFD" w14:textId="52AC7A41" w:rsidR="00684E0D" w:rsidRPr="007207ED" w:rsidRDefault="00684E0D" w:rsidP="00360322">
      <w:pPr>
        <w:pStyle w:val="NormalBulleted"/>
      </w:pPr>
      <w:r w:rsidRPr="007207ED">
        <w:t>NHMRC Guidelines for the Prevention, Early Detection and Management of Colorectal Cancer: A Guide for General Practitioners</w:t>
      </w:r>
      <w:r>
        <w:t>, 2000</w:t>
      </w:r>
      <w:r w:rsidR="00360322">
        <w:t>.</w:t>
      </w:r>
    </w:p>
    <w:p w14:paraId="55712777" w14:textId="3DDAF01F" w:rsidR="00684E0D" w:rsidRPr="007207ED" w:rsidRDefault="00684E0D" w:rsidP="00360322">
      <w:r>
        <w:lastRenderedPageBreak/>
        <w:t>These national guidelines do not support the use of colonoscopy for patients at average or slightly above average risk of colorectal cancer who do not have symptoms or a positive FOBT.</w:t>
      </w:r>
    </w:p>
    <w:p w14:paraId="7103F2A5" w14:textId="77777777" w:rsidR="00684E0D" w:rsidRPr="007207ED" w:rsidRDefault="00684E0D" w:rsidP="00360322">
      <w:r w:rsidRPr="007207ED">
        <w:t xml:space="preserve">The Cancer Council of Australia, the Gastroenterological Society of Australia and the Colorectal Surgical Society of Australia and New Zealand have endorsed the following algorithms designed to be used in conjunction with the NHMRC approved guidelines: </w:t>
      </w:r>
    </w:p>
    <w:p w14:paraId="3F808BCB" w14:textId="77777777" w:rsidR="00684E0D" w:rsidRPr="007207ED" w:rsidRDefault="00684E0D" w:rsidP="00360322">
      <w:pPr>
        <w:pStyle w:val="NormalBulleted"/>
      </w:pPr>
      <w:r w:rsidRPr="007207ED">
        <w:t xml:space="preserve">Colonoscopic Surveillance Intervals – Adenomas. 2013, </w:t>
      </w:r>
    </w:p>
    <w:p w14:paraId="417FBB4B" w14:textId="77777777" w:rsidR="00684E0D" w:rsidRPr="007207ED" w:rsidRDefault="00684E0D" w:rsidP="00360322">
      <w:pPr>
        <w:pStyle w:val="NormalBulleted"/>
      </w:pPr>
      <w:r w:rsidRPr="007207ED">
        <w:t>Colonoscopic Surveillance Intervals – Following Surgery for Colorectal Cancer. 2013</w:t>
      </w:r>
    </w:p>
    <w:p w14:paraId="5C411033" w14:textId="77777777" w:rsidR="00684E0D" w:rsidRPr="007207ED" w:rsidRDefault="00684E0D" w:rsidP="00360322">
      <w:pPr>
        <w:pStyle w:val="NormalBulleted"/>
      </w:pPr>
      <w:r w:rsidRPr="007207ED">
        <w:t xml:space="preserve">Colorectal Cancer Screening – Family History. 2013, and </w:t>
      </w:r>
    </w:p>
    <w:p w14:paraId="47175A34" w14:textId="77777777" w:rsidR="00684E0D" w:rsidRPr="007207ED" w:rsidRDefault="00684E0D" w:rsidP="00360322">
      <w:pPr>
        <w:pStyle w:val="NormalBulleted"/>
      </w:pPr>
      <w:r w:rsidRPr="007207ED">
        <w:t>Colonoscopic Surveillance Intervals – Inflammatory Bowel Disease. 2013</w:t>
      </w:r>
    </w:p>
    <w:p w14:paraId="191E7629" w14:textId="47AA3A9D" w:rsidR="008C02A6" w:rsidRPr="00B12019" w:rsidRDefault="002B17D0" w:rsidP="00360322">
      <w:pPr>
        <w:rPr>
          <w:rStyle w:val="Hyperlink"/>
          <w:color w:val="auto"/>
        </w:rPr>
      </w:pPr>
      <w:r>
        <w:t xml:space="preserve">For more information see the colorectal cancer pages on the </w:t>
      </w:r>
      <w:hyperlink r:id="rId17" w:history="1">
        <w:r w:rsidR="00B12019" w:rsidRPr="00C8770E">
          <w:rPr>
            <w:rStyle w:val="Hyperlink"/>
          </w:rPr>
          <w:t xml:space="preserve">Cancer </w:t>
        </w:r>
        <w:r w:rsidR="00B12019">
          <w:rPr>
            <w:rStyle w:val="Hyperlink"/>
          </w:rPr>
          <w:t xml:space="preserve">Council </w:t>
        </w:r>
        <w:r w:rsidR="00B12019" w:rsidRPr="00C8770E">
          <w:rPr>
            <w:rStyle w:val="Hyperlink"/>
          </w:rPr>
          <w:t>Australia website</w:t>
        </w:r>
      </w:hyperlink>
      <w:r w:rsidR="00B12019">
        <w:t xml:space="preserve"> </w:t>
      </w:r>
    </w:p>
    <w:p w14:paraId="3993D567" w14:textId="40A7C3DC" w:rsidR="00684E0D" w:rsidRPr="007207ED" w:rsidRDefault="00684E0D" w:rsidP="00360322">
      <w:r w:rsidRPr="007207ED">
        <w:t>Timing of colonoscopy following polypectomy should conform to the recommended surveillance intervals set out in the endorsed algorithms, taking into account individualised risk assessment.</w:t>
      </w:r>
      <w:r w:rsidR="00C22AE4">
        <w:t xml:space="preserve"> </w:t>
      </w:r>
      <w:r w:rsidRPr="007207ED">
        <w:t xml:space="preserve">In the absence of reliable clinical history, clinicians should use their best clinical judgement to determine the interval between testing and the item that best suits the condition of the patient. </w:t>
      </w:r>
    </w:p>
    <w:p w14:paraId="776EB378" w14:textId="77777777" w:rsidR="00684E0D" w:rsidRPr="00132E87" w:rsidRDefault="00684E0D" w:rsidP="00132E87">
      <w:pPr>
        <w:pStyle w:val="Heading3"/>
      </w:pPr>
      <w:bookmarkStart w:id="93" w:name="_Toc457307476"/>
      <w:r w:rsidRPr="00132E87">
        <w:t>Definition of previous history</w:t>
      </w:r>
      <w:bookmarkEnd w:id="93"/>
    </w:p>
    <w:p w14:paraId="6CE807BD" w14:textId="5392FB20" w:rsidR="00684E0D" w:rsidRPr="00901C87" w:rsidRDefault="00684E0D" w:rsidP="00360322">
      <w:r w:rsidRPr="007207ED">
        <w:t>For items A</w:t>
      </w:r>
      <w:r>
        <w:t>7</w:t>
      </w:r>
      <w:r w:rsidRPr="007207ED">
        <w:t xml:space="preserve"> to A</w:t>
      </w:r>
      <w:r>
        <w:t>10</w:t>
      </w:r>
      <w:r w:rsidRPr="007207ED">
        <w:t xml:space="preserve"> and B7 to B10 the most appropriate item to be billed is determined by the previous history of the patient.</w:t>
      </w:r>
      <w:r w:rsidR="00C22AE4">
        <w:t xml:space="preserve"> </w:t>
      </w:r>
      <w:r w:rsidRPr="007207ED">
        <w:t>The previous history for the purpose of these items is defined by number</w:t>
      </w:r>
      <w:r w:rsidR="00592755">
        <w:t>, size</w:t>
      </w:r>
      <w:r w:rsidRPr="007207ED">
        <w:t xml:space="preserve"> and type of adenomas removed during the most recent prior colonoscopy</w:t>
      </w:r>
      <w:r>
        <w:t>.</w:t>
      </w:r>
    </w:p>
    <w:p w14:paraId="1C7DD553" w14:textId="77777777" w:rsidR="00684E0D" w:rsidRPr="00132E87" w:rsidRDefault="00684E0D" w:rsidP="00132E87">
      <w:pPr>
        <w:pStyle w:val="Heading3"/>
      </w:pPr>
      <w:bookmarkStart w:id="94" w:name="_Toc457307477"/>
      <w:r w:rsidRPr="00132E87">
        <w:t>Diagnostic colonoscopy Items A1 to A10</w:t>
      </w:r>
      <w:bookmarkEnd w:id="94"/>
    </w:p>
    <w:p w14:paraId="226D87C7" w14:textId="1930C44B" w:rsidR="00684E0D" w:rsidRPr="007207ED" w:rsidRDefault="00684E0D" w:rsidP="00360322">
      <w:r w:rsidRPr="007207ED">
        <w:t>Diagnostic colonoscopy items A1, A</w:t>
      </w:r>
      <w:r>
        <w:t>5</w:t>
      </w:r>
      <w:r w:rsidRPr="007207ED">
        <w:t xml:space="preserve"> to A</w:t>
      </w:r>
      <w:r>
        <w:t>10</w:t>
      </w:r>
      <w:r w:rsidRPr="007207ED">
        <w:t xml:space="preserve"> have </w:t>
      </w:r>
      <w:r w:rsidRPr="007207ED">
        <w:rPr>
          <w:u w:val="single"/>
        </w:rPr>
        <w:t>mandated intervals</w:t>
      </w:r>
      <w:r w:rsidRPr="007207ED">
        <w:t xml:space="preserve"> for repeat surveillance testing as clinically recommended in the approved guidelines and algorithms.</w:t>
      </w:r>
      <w:r w:rsidR="00C22AE4">
        <w:t xml:space="preserve"> </w:t>
      </w:r>
      <w:r w:rsidRPr="007207ED">
        <w:t>These services are payable under Medicare only when provided in accordance with the approved intervals.</w:t>
      </w:r>
      <w:r w:rsidR="00C22AE4">
        <w:t xml:space="preserve"> </w:t>
      </w:r>
    </w:p>
    <w:p w14:paraId="5EFEA0BA" w14:textId="3C81BBC6" w:rsidR="00684E0D" w:rsidRPr="007207ED" w:rsidRDefault="00684E0D" w:rsidP="00360322">
      <w:r w:rsidRPr="007207ED">
        <w:t>For item A</w:t>
      </w:r>
      <w:r>
        <w:t>7</w:t>
      </w:r>
      <w:r w:rsidRPr="007207ED">
        <w:t xml:space="preserve"> to A</w:t>
      </w:r>
      <w:r>
        <w:t xml:space="preserve">10 </w:t>
      </w:r>
      <w:r w:rsidRPr="007207ED">
        <w:t>the patient’s previous history is used to determine the appropriate item to bill.</w:t>
      </w:r>
      <w:r w:rsidR="00C22AE4">
        <w:t xml:space="preserve"> </w:t>
      </w:r>
      <w:r w:rsidRPr="007207ED">
        <w:t>In the absence of reliable patient history or evidence the practitioner should be guided by their best clinical judgement (see examples below).</w:t>
      </w:r>
      <w:r w:rsidR="00C22AE4">
        <w:t xml:space="preserve"> </w:t>
      </w:r>
    </w:p>
    <w:p w14:paraId="6968EBB1" w14:textId="77777777" w:rsidR="00684E0D" w:rsidRPr="00132E87" w:rsidRDefault="00684E0D" w:rsidP="00132E87">
      <w:pPr>
        <w:pStyle w:val="Heading3"/>
      </w:pPr>
      <w:bookmarkStart w:id="95" w:name="_Toc457307478"/>
      <w:r w:rsidRPr="00132E87">
        <w:t>Therapeutic colonoscopy Items B1 to B10</w:t>
      </w:r>
      <w:bookmarkEnd w:id="95"/>
    </w:p>
    <w:p w14:paraId="7926C342" w14:textId="7C623DE1" w:rsidR="00684E0D" w:rsidRPr="007207ED" w:rsidRDefault="00684E0D" w:rsidP="00360322">
      <w:r w:rsidRPr="007207ED">
        <w:t xml:space="preserve">Therapeutic colonoscopy items B5 to B10 </w:t>
      </w:r>
      <w:r w:rsidRPr="007207ED">
        <w:rPr>
          <w:u w:val="single"/>
        </w:rPr>
        <w:t>do not</w:t>
      </w:r>
      <w:r w:rsidRPr="007207ED">
        <w:t xml:space="preserve"> have mandated intervals for repeat surveillance testing.</w:t>
      </w:r>
      <w:r w:rsidR="00C22AE4">
        <w:t xml:space="preserve"> </w:t>
      </w:r>
      <w:r w:rsidRPr="007207ED">
        <w:t>However, services should conform to the recommended surveillance intervals set out in the endorsed algorithms, taking into account individualised risk assessment.</w:t>
      </w:r>
      <w:r w:rsidR="00C22AE4">
        <w:t xml:space="preserve"> </w:t>
      </w:r>
      <w:r w:rsidRPr="007207ED">
        <w:t>Service patterns by individual practitioners may be subject to audit and peer review assessment.</w:t>
      </w:r>
      <w:r w:rsidR="00C22AE4">
        <w:t xml:space="preserve"> </w:t>
      </w:r>
    </w:p>
    <w:p w14:paraId="5F1DB2A3" w14:textId="77777777" w:rsidR="00684E0D" w:rsidRPr="00132E87" w:rsidRDefault="00684E0D" w:rsidP="00132E87">
      <w:pPr>
        <w:pStyle w:val="Heading3"/>
      </w:pPr>
      <w:bookmarkStart w:id="96" w:name="_Toc457307479"/>
      <w:r w:rsidRPr="00132E87">
        <w:t>How to use the items with new patients who have undergone previous colonoscopy</w:t>
      </w:r>
      <w:bookmarkEnd w:id="96"/>
    </w:p>
    <w:p w14:paraId="115AF434" w14:textId="1C113FA6" w:rsidR="00684E0D" w:rsidRPr="007207ED" w:rsidRDefault="00684E0D" w:rsidP="00360322">
      <w:pPr>
        <w:rPr>
          <w:i/>
        </w:rPr>
      </w:pPr>
      <w:r w:rsidRPr="007207ED">
        <w:t>Patients whose care continues within one practice should have a certain history</w:t>
      </w:r>
      <w:r>
        <w:t xml:space="preserve"> available</w:t>
      </w:r>
      <w:r w:rsidRPr="007207ED">
        <w:t xml:space="preserve"> to guide decision making regarding surveillance intervals. For new patients, practitioners should make </w:t>
      </w:r>
      <w:r w:rsidRPr="007207ED">
        <w:lastRenderedPageBreak/>
        <w:t>reasonable efforts to establish a patient</w:t>
      </w:r>
      <w:r w:rsidR="00390F86">
        <w:t>’s</w:t>
      </w:r>
      <w:r w:rsidRPr="007207ED">
        <w:t xml:space="preserve"> previous colonoscopy history. Once these items are established, the patients’ MBS claims history for those patients who do not require polypectomy will assist with this.</w:t>
      </w:r>
      <w:r w:rsidR="00C22AE4">
        <w:t xml:space="preserve"> </w:t>
      </w:r>
      <w:r w:rsidRPr="007207ED">
        <w:t>The following case examples are provided to guide practitioners in the appropriate use of these new items</w:t>
      </w:r>
      <w:r w:rsidRPr="007207ED">
        <w:rPr>
          <w:i/>
        </w:rPr>
        <w:t xml:space="preserve">. </w:t>
      </w:r>
    </w:p>
    <w:p w14:paraId="69573253" w14:textId="3D38CC23" w:rsidR="00684E0D" w:rsidRPr="007839C2" w:rsidRDefault="00684E0D" w:rsidP="00684E0D">
      <w:pPr>
        <w:pStyle w:val="Heading4"/>
      </w:pPr>
      <w:r w:rsidRPr="007839C2">
        <w:t xml:space="preserve">Example 1 </w:t>
      </w:r>
      <w:r w:rsidR="002D0115">
        <w:t>–</w:t>
      </w:r>
      <w:r w:rsidRPr="007839C2">
        <w:t xml:space="preserve"> New patient</w:t>
      </w:r>
    </w:p>
    <w:p w14:paraId="51328646" w14:textId="7F03F1C2" w:rsidR="00684E0D" w:rsidRPr="007207ED" w:rsidRDefault="00684E0D" w:rsidP="00360322">
      <w:r w:rsidRPr="007207ED">
        <w:t>A new patient is referred with advice that they had 2 polyps removed at their last colonoscopy but the pathology results and size is unknown.</w:t>
      </w:r>
      <w:r w:rsidR="00C22AE4">
        <w:t xml:space="preserve"> </w:t>
      </w:r>
      <w:r w:rsidRPr="007207ED">
        <w:t>The practitioner may decide that A</w:t>
      </w:r>
      <w:r>
        <w:t>7</w:t>
      </w:r>
      <w:r w:rsidRPr="007207ED">
        <w:t xml:space="preserve"> is the most appropriate item to bill.</w:t>
      </w:r>
      <w:r w:rsidR="00C22AE4">
        <w:t xml:space="preserve"> </w:t>
      </w:r>
      <w:r w:rsidRPr="007207ED">
        <w:t>This means that 1) no polyps were removed at this colonoscopy and 2) the patient can be recalled for a repeat colonoscopy in 5 years.</w:t>
      </w:r>
      <w:r w:rsidR="00C22AE4">
        <w:t xml:space="preserve"> </w:t>
      </w:r>
      <w:r w:rsidRPr="007207ED">
        <w:t>Alternatively the lack of certain history, particularly around the type of polyp removed, may lead the clinician to believe that a shorter interval is appropriate and hence an item that corresponds with a higher risk category could be chosen</w:t>
      </w:r>
      <w:r w:rsidR="00390F86">
        <w:t>,</w:t>
      </w:r>
      <w:r w:rsidRPr="007207ED">
        <w:t xml:space="preserve"> for instance item A</w:t>
      </w:r>
      <w:r>
        <w:t>8</w:t>
      </w:r>
      <w:r w:rsidRPr="007207ED">
        <w:t>.</w:t>
      </w:r>
      <w:r w:rsidR="00C22AE4">
        <w:t xml:space="preserve"> </w:t>
      </w:r>
      <w:r w:rsidRPr="007207ED">
        <w:t>This establishes the patient</w:t>
      </w:r>
      <w:r>
        <w:t>’s Medicare claims</w:t>
      </w:r>
      <w:r w:rsidRPr="007207ED">
        <w:t xml:space="preserve"> history and is available for other practitioners if the patient moves.</w:t>
      </w:r>
      <w:r w:rsidR="00C22AE4">
        <w:t xml:space="preserve"> </w:t>
      </w:r>
      <w:r w:rsidRPr="007207ED">
        <w:t>If in the future the patient has polyps removed which are adenomas then this will establish a new and possibly different previous history which may place the patient in a different risk category and item range.</w:t>
      </w:r>
    </w:p>
    <w:p w14:paraId="1A560964" w14:textId="77777777" w:rsidR="00684E0D" w:rsidRPr="007839C2" w:rsidRDefault="00684E0D" w:rsidP="00684E0D">
      <w:pPr>
        <w:pStyle w:val="Heading4"/>
      </w:pPr>
      <w:r w:rsidRPr="007839C2">
        <w:t xml:space="preserve">Example 2 – New patient </w:t>
      </w:r>
    </w:p>
    <w:p w14:paraId="7DDE6108" w14:textId="4AA55EF2" w:rsidR="00684E0D" w:rsidRDefault="00684E0D" w:rsidP="00360322">
      <w:r w:rsidRPr="007207ED">
        <w:t>For the same scenario as above, but where polyps are removed during the current colonoscopy, the practitioner would choose the B item that mirrors A</w:t>
      </w:r>
      <w:r>
        <w:t>7</w:t>
      </w:r>
      <w:r w:rsidRPr="007207ED">
        <w:t xml:space="preserve"> (ie B7)</w:t>
      </w:r>
      <w:r w:rsidR="00390F86">
        <w:t>,</w:t>
      </w:r>
      <w:r w:rsidRPr="007207ED">
        <w:t xml:space="preserve"> as the assessment of patient history is the same. However advice to the patient about the appropriate interval for further colonoscopy will depend on the number</w:t>
      </w:r>
      <w:r w:rsidR="00CA0DFC">
        <w:t>, size</w:t>
      </w:r>
      <w:r w:rsidRPr="007207ED">
        <w:t xml:space="preserve"> and type of adenomas removed at this colonoscopy. This judgement will usually rely on the outcome of pathology testing and hence </w:t>
      </w:r>
      <w:r w:rsidR="00CA0DFC">
        <w:t xml:space="preserve">will </w:t>
      </w:r>
      <w:r w:rsidRPr="007207ED">
        <w:t xml:space="preserve">not </w:t>
      </w:r>
      <w:r>
        <w:t xml:space="preserve">be </w:t>
      </w:r>
      <w:r w:rsidRPr="007207ED">
        <w:t>available at the time of colonoscopy.</w:t>
      </w:r>
    </w:p>
    <w:p w14:paraId="573D7919" w14:textId="77777777" w:rsidR="00684E0D" w:rsidRPr="007207ED" w:rsidRDefault="00684E0D" w:rsidP="00360322">
      <w:r w:rsidRPr="007207ED">
        <w:t>For audit purposes it is important to re</w:t>
      </w:r>
      <w:r>
        <w:t>cord the most appropriate item.</w:t>
      </w:r>
      <w:r w:rsidRPr="007207ED">
        <w:t xml:space="preserve"> In accordance with good practice, clinicians are required to maintain records that include pathology results which can be made available to the patient or other practitioners as required.</w:t>
      </w:r>
    </w:p>
    <w:p w14:paraId="6C5BA466" w14:textId="77777777" w:rsidR="00684E0D" w:rsidRPr="00132E87" w:rsidRDefault="00684E0D" w:rsidP="00132E87">
      <w:pPr>
        <w:pStyle w:val="Heading3"/>
      </w:pPr>
      <w:bookmarkStart w:id="97" w:name="_Toc457307480"/>
      <w:r w:rsidRPr="00132E87">
        <w:t>Hierarchy of items</w:t>
      </w:r>
      <w:bookmarkEnd w:id="97"/>
    </w:p>
    <w:p w14:paraId="12BEC19D" w14:textId="419D0E95" w:rsidR="00684E0D" w:rsidRPr="007207ED" w:rsidRDefault="00684E0D" w:rsidP="00360322">
      <w:r w:rsidRPr="007207ED">
        <w:t>Patients may fit several categories and the most appropriate fit is a matter for clinician judgement with the highest risk indicating what subsequent colonoscopy intervals are appropriate.</w:t>
      </w:r>
      <w:r w:rsidR="00C22AE4">
        <w:t xml:space="preserve"> </w:t>
      </w:r>
      <w:r w:rsidRPr="007207ED">
        <w:t>The examples provided below show that the result of the histopathology will not lengthen the surveillance intervals (in the case of patient with FAP or Lynch) and may actually shorten the surveillance intervals (in the case of patient with FDR or SDR with CRC).</w:t>
      </w:r>
      <w:r w:rsidR="00C22AE4">
        <w:t xml:space="preserve"> </w:t>
      </w:r>
    </w:p>
    <w:p w14:paraId="3B164E85" w14:textId="77777777" w:rsidR="00684E0D" w:rsidRPr="00351870" w:rsidRDefault="00684E0D" w:rsidP="00684E0D">
      <w:pPr>
        <w:pStyle w:val="Heading4"/>
      </w:pPr>
      <w:r w:rsidRPr="00351870">
        <w:t>Example 1</w:t>
      </w:r>
    </w:p>
    <w:p w14:paraId="61CF1DC7" w14:textId="07587DC6" w:rsidR="00684E0D" w:rsidRPr="007207ED" w:rsidRDefault="00684E0D" w:rsidP="00360322">
      <w:r w:rsidRPr="007207ED">
        <w:t>A patient at high risk of CRC with FAP or Lynch Syndrome has a number of polyps removed at a surveillance colonoscopy.</w:t>
      </w:r>
      <w:r w:rsidR="00C22AE4">
        <w:t xml:space="preserve"> </w:t>
      </w:r>
      <w:r w:rsidRPr="007207ED">
        <w:t>Item B6 is the appropriate item to bill.</w:t>
      </w:r>
      <w:r w:rsidR="00C22AE4">
        <w:t xml:space="preserve"> </w:t>
      </w:r>
      <w:r w:rsidRPr="007207ED">
        <w:t xml:space="preserve">If the histology result returns 1-2 adenomas for patients at low to moderate risk then the next surveillance colonoscopy is </w:t>
      </w:r>
      <w:r w:rsidRPr="007207ED">
        <w:lastRenderedPageBreak/>
        <w:t>recommended in 5 years.</w:t>
      </w:r>
      <w:r w:rsidR="00C22AE4">
        <w:t xml:space="preserve"> </w:t>
      </w:r>
      <w:r w:rsidRPr="007207ED">
        <w:t xml:space="preserve">However, the patient’s </w:t>
      </w:r>
      <w:r>
        <w:t>familial condition</w:t>
      </w:r>
      <w:r w:rsidRPr="007207ED">
        <w:t xml:space="preserve"> means that a shorter interval (12 months) is recommended and payable.</w:t>
      </w:r>
      <w:r w:rsidR="00C22AE4">
        <w:t xml:space="preserve"> </w:t>
      </w:r>
    </w:p>
    <w:p w14:paraId="61B656D9" w14:textId="77777777" w:rsidR="00684E0D" w:rsidRPr="00351870" w:rsidRDefault="00684E0D" w:rsidP="00684E0D">
      <w:pPr>
        <w:pStyle w:val="Heading4"/>
      </w:pPr>
      <w:r w:rsidRPr="007207ED">
        <w:t>Example 2</w:t>
      </w:r>
    </w:p>
    <w:p w14:paraId="2B2EB0D4" w14:textId="7CD31CB4" w:rsidR="00684E0D" w:rsidRPr="007207ED" w:rsidRDefault="00684E0D" w:rsidP="00360322">
      <w:r w:rsidRPr="007207ED">
        <w:t>A patient at moderate risk with a first or second degree family history of CRC has a number of polyps removed at a surveillance colonoscopy. Item B5 is the appropriate item to bill based on the patient</w:t>
      </w:r>
      <w:r w:rsidR="00CA0DFC">
        <w:t>’</w:t>
      </w:r>
      <w:r w:rsidRPr="007207ED">
        <w:t>s family history.</w:t>
      </w:r>
      <w:r w:rsidR="00C22AE4">
        <w:t xml:space="preserve"> </w:t>
      </w:r>
      <w:r w:rsidRPr="007207ED">
        <w:t>If the histology result returns 3-4 adenomas then the next surveillance colonoscopy is recommended in 3 years instead of 5 years.</w:t>
      </w:r>
      <w:r w:rsidR="00C22AE4">
        <w:t xml:space="preserve"> </w:t>
      </w:r>
    </w:p>
    <w:p w14:paraId="3942815E" w14:textId="77777777" w:rsidR="00684E0D" w:rsidRPr="00132E87" w:rsidRDefault="00684E0D" w:rsidP="00132E87">
      <w:pPr>
        <w:pStyle w:val="Heading3"/>
      </w:pPr>
      <w:bookmarkStart w:id="98" w:name="_Toc457307481"/>
      <w:r w:rsidRPr="00132E87">
        <w:t>General guidance</w:t>
      </w:r>
      <w:bookmarkEnd w:id="98"/>
    </w:p>
    <w:p w14:paraId="40BB8F19" w14:textId="247D0E30" w:rsidR="00036C14" w:rsidRPr="007839C2" w:rsidRDefault="00036C14" w:rsidP="00036C14">
      <w:r w:rsidRPr="007207ED">
        <w:t>“To the caecum” requirements for colonoscopy examinations do not apply to patients who have no caecum following right hemi colectomy.</w:t>
      </w:r>
      <w:r w:rsidR="00C22AE4">
        <w:t xml:space="preserve"> </w:t>
      </w:r>
      <w:r w:rsidRPr="007207ED">
        <w:t>For these patients the examination should be to the anastomosis</w:t>
      </w:r>
      <w:r>
        <w:t>.</w:t>
      </w:r>
      <w:r w:rsidR="00C22AE4">
        <w:t xml:space="preserve"> </w:t>
      </w:r>
    </w:p>
    <w:p w14:paraId="4769D082" w14:textId="7D1BB2BB" w:rsidR="00684E0D" w:rsidRPr="007207ED" w:rsidRDefault="00684E0D" w:rsidP="00360322">
      <w:r w:rsidRPr="007207ED">
        <w:t>Surveillance colonoscopy should be planned based on high-quality endoscopy in a well-prepared colon using most recent and previous procedure information when histology is known.</w:t>
      </w:r>
      <w:r w:rsidR="00C22AE4">
        <w:t xml:space="preserve"> </w:t>
      </w:r>
      <w:r w:rsidRPr="007207ED">
        <w:t>Many patients &gt; 80 years have little to gain from surveillance of adenomas given a 10-20 year lead-time for the progression of adenoma to cancer.</w:t>
      </w:r>
      <w:r w:rsidR="00C22AE4">
        <w:t xml:space="preserve"> </w:t>
      </w:r>
      <w:r w:rsidRPr="007207ED">
        <w:t>The finding of serrated lesions may alter management.</w:t>
      </w:r>
      <w:r w:rsidR="00C22AE4">
        <w:t xml:space="preserve"> </w:t>
      </w:r>
      <w:r w:rsidRPr="007207ED">
        <w:t>Small, pale, distal hyperplastic polyps only do not require follow-up.</w:t>
      </w:r>
      <w:r w:rsidR="00C22AE4">
        <w:t xml:space="preserve"> </w:t>
      </w:r>
    </w:p>
    <w:p w14:paraId="4170F181" w14:textId="0C1CD3D8" w:rsidR="00684E0D" w:rsidRPr="007207ED" w:rsidRDefault="00684E0D" w:rsidP="00360322">
      <w:r w:rsidRPr="007207ED">
        <w:t>General practitioners should ensure colonoscopy referral practices align with applicable NHMRC guidelines and the Royal Australian College of General Practitioners’ guidelines for preventive activities in general practice (the red book). In addition, general practitioners are urged to recommend biennial faecal occult blood test (FOBT) screening to age-appropriate patients.</w:t>
      </w:r>
      <w:r w:rsidR="00C22AE4">
        <w:t xml:space="preserve"> </w:t>
      </w:r>
      <w:r w:rsidRPr="007207ED">
        <w:t xml:space="preserve">The National Bowel Cancer Screening Program (the Program) will be fully rolled out in Australia by 2020 by which time all 50-74 year old Australian residents will be invited to participate in biennial FOBT screening through the Program. </w:t>
      </w:r>
    </w:p>
    <w:p w14:paraId="24EDB962" w14:textId="77777777" w:rsidR="00684E0D" w:rsidRPr="00132E87" w:rsidRDefault="00684E0D" w:rsidP="00132E87">
      <w:pPr>
        <w:pStyle w:val="Heading3"/>
      </w:pPr>
      <w:bookmarkStart w:id="99" w:name="_Toc457307482"/>
      <w:r w:rsidRPr="00132E87">
        <w:t>Failed preparation of the colon (item A3)</w:t>
      </w:r>
      <w:bookmarkEnd w:id="99"/>
    </w:p>
    <w:p w14:paraId="4EED9E12" w14:textId="61853807" w:rsidR="00684E0D" w:rsidRPr="00FC675B" w:rsidRDefault="00684E0D" w:rsidP="00360322">
      <w:pPr>
        <w:rPr>
          <w:lang w:val="en-US" w:eastAsia="en-US"/>
        </w:rPr>
      </w:pPr>
      <w:r w:rsidRPr="00FC675B">
        <w:rPr>
          <w:lang w:val="en-US" w:eastAsia="en-US"/>
        </w:rPr>
        <w:t>Item A3 is to be billed where a colonoscopy is un</w:t>
      </w:r>
      <w:r>
        <w:rPr>
          <w:lang w:val="en-US" w:eastAsia="en-US"/>
        </w:rPr>
        <w:t>satisfactory</w:t>
      </w:r>
      <w:r w:rsidRPr="00FC675B">
        <w:rPr>
          <w:lang w:val="en-US" w:eastAsia="en-US"/>
        </w:rPr>
        <w:t xml:space="preserve"> due to a failed preparation of the colon.</w:t>
      </w:r>
      <w:r w:rsidR="00C22AE4">
        <w:rPr>
          <w:lang w:val="en-US" w:eastAsia="en-US"/>
        </w:rPr>
        <w:t xml:space="preserve"> </w:t>
      </w:r>
      <w:r w:rsidRPr="00FC675B">
        <w:rPr>
          <w:lang w:val="en-US" w:eastAsia="en-US"/>
        </w:rPr>
        <w:t>Under these circumstances a second complete colonoscopy is payable.</w:t>
      </w:r>
      <w:r w:rsidR="00C22AE4">
        <w:rPr>
          <w:lang w:val="en-US" w:eastAsia="en-US"/>
        </w:rPr>
        <w:t xml:space="preserve"> </w:t>
      </w:r>
      <w:r w:rsidRPr="00FC675B">
        <w:rPr>
          <w:lang w:val="en-US" w:eastAsia="en-US"/>
        </w:rPr>
        <w:t>For example, a patient may be referred for a colonoscopy due to a positive FOBT test.</w:t>
      </w:r>
      <w:r w:rsidR="00C22AE4">
        <w:rPr>
          <w:lang w:val="en-US" w:eastAsia="en-US"/>
        </w:rPr>
        <w:t xml:space="preserve"> </w:t>
      </w:r>
      <w:r w:rsidRPr="00FC675B">
        <w:rPr>
          <w:lang w:val="en-US" w:eastAsia="en-US"/>
        </w:rPr>
        <w:t>The first colonoscopy examination has failed due to a poorly prepared colon.</w:t>
      </w:r>
      <w:r w:rsidR="00C22AE4">
        <w:rPr>
          <w:lang w:val="en-US" w:eastAsia="en-US"/>
        </w:rPr>
        <w:t xml:space="preserve"> </w:t>
      </w:r>
      <w:r w:rsidRPr="00FC675B">
        <w:rPr>
          <w:lang w:val="en-US" w:eastAsia="en-US"/>
        </w:rPr>
        <w:t>Item A3 is payable.</w:t>
      </w:r>
      <w:r w:rsidR="00C22AE4">
        <w:rPr>
          <w:lang w:val="en-US" w:eastAsia="en-US"/>
        </w:rPr>
        <w:t xml:space="preserve"> </w:t>
      </w:r>
      <w:r w:rsidRPr="00FC675B">
        <w:rPr>
          <w:lang w:val="en-US" w:eastAsia="en-US"/>
        </w:rPr>
        <w:t xml:space="preserve">The second colonoscopy examination is performed </w:t>
      </w:r>
      <w:r>
        <w:rPr>
          <w:lang w:val="en-US" w:eastAsia="en-US"/>
        </w:rPr>
        <w:t>satisfactorily</w:t>
      </w:r>
      <w:r w:rsidRPr="00FC675B">
        <w:rPr>
          <w:lang w:val="en-US" w:eastAsia="en-US"/>
        </w:rPr>
        <w:t>.</w:t>
      </w:r>
      <w:r w:rsidR="00C22AE4">
        <w:rPr>
          <w:lang w:val="en-US" w:eastAsia="en-US"/>
        </w:rPr>
        <w:t xml:space="preserve"> </w:t>
      </w:r>
      <w:r w:rsidRPr="00FC675B">
        <w:rPr>
          <w:lang w:val="en-US" w:eastAsia="en-US"/>
        </w:rPr>
        <w:t>Item A1 is payable.</w:t>
      </w:r>
      <w:r w:rsidR="00C22AE4">
        <w:rPr>
          <w:lang w:val="en-US" w:eastAsia="en-US"/>
        </w:rPr>
        <w:t xml:space="preserve"> </w:t>
      </w:r>
    </w:p>
    <w:p w14:paraId="0CD5FE98" w14:textId="5EC53A2F" w:rsidR="00684E0D" w:rsidRPr="00E003A9" w:rsidRDefault="00684E0D" w:rsidP="00360322">
      <w:pPr>
        <w:rPr>
          <w:lang w:val="en-US" w:eastAsia="en-US"/>
        </w:rPr>
      </w:pPr>
      <w:r w:rsidRPr="00E003A9">
        <w:rPr>
          <w:lang w:val="en-US" w:eastAsia="en-US"/>
        </w:rPr>
        <w:t xml:space="preserve">It should be noted these services cannot be billed together for the same patient, same provider, on the same day during a single episode of </w:t>
      </w:r>
      <w:r w:rsidR="00AE7040">
        <w:rPr>
          <w:lang w:val="en-US" w:eastAsia="en-US"/>
        </w:rPr>
        <w:t>sedation/</w:t>
      </w:r>
      <w:r w:rsidRPr="00E003A9">
        <w:rPr>
          <w:lang w:val="en-US" w:eastAsia="en-US"/>
        </w:rPr>
        <w:t>an</w:t>
      </w:r>
      <w:r>
        <w:rPr>
          <w:lang w:val="en-US" w:eastAsia="en-US"/>
        </w:rPr>
        <w:t>a</w:t>
      </w:r>
      <w:r w:rsidRPr="00E003A9">
        <w:rPr>
          <w:lang w:val="en-US" w:eastAsia="en-US"/>
        </w:rPr>
        <w:t>esthesia.</w:t>
      </w:r>
    </w:p>
    <w:p w14:paraId="0894CFD5" w14:textId="77777777" w:rsidR="00684E0D" w:rsidRPr="00132E87" w:rsidRDefault="00684E0D" w:rsidP="00132E87">
      <w:pPr>
        <w:pStyle w:val="Heading3"/>
      </w:pPr>
      <w:bookmarkStart w:id="100" w:name="_Toc457307483"/>
      <w:r w:rsidRPr="00132E87">
        <w:t>Co-claiming restrictions</w:t>
      </w:r>
      <w:bookmarkEnd w:id="100"/>
    </w:p>
    <w:p w14:paraId="4FF5E436" w14:textId="33C9E0F0" w:rsidR="00684E0D" w:rsidRPr="007207ED" w:rsidRDefault="00684E0D" w:rsidP="00360322">
      <w:r w:rsidRPr="007207ED">
        <w:t>Colonoscopy services in the item range A1 to A</w:t>
      </w:r>
      <w:r>
        <w:t>10</w:t>
      </w:r>
      <w:r w:rsidRPr="007207ED">
        <w:t xml:space="preserve"> and B2 to B10 cannot be billed together for the same patient, same provider, on the same day during a single episode of </w:t>
      </w:r>
      <w:r w:rsidR="00AE7040">
        <w:t>sedation/</w:t>
      </w:r>
      <w:r w:rsidRPr="007207ED">
        <w:t>anaesthesia.</w:t>
      </w:r>
      <w:r w:rsidR="00C22AE4">
        <w:t xml:space="preserve"> </w:t>
      </w:r>
      <w:r w:rsidRPr="007207ED">
        <w:t xml:space="preserve">Colonoscopy services in this item range cannot be billed with Sigmoidoscopy services in the item </w:t>
      </w:r>
      <w:r w:rsidRPr="007207ED">
        <w:lastRenderedPageBreak/>
        <w:t xml:space="preserve">range 32081 – 32084 for the same patient, same provider, on the same day during a single episode of </w:t>
      </w:r>
      <w:r w:rsidR="00AE7040">
        <w:t>sedation/</w:t>
      </w:r>
      <w:r w:rsidRPr="007207ED">
        <w:t xml:space="preserve">anaesthesia. </w:t>
      </w:r>
    </w:p>
    <w:p w14:paraId="55772E8E" w14:textId="77777777" w:rsidR="00684E0D" w:rsidRPr="00132E87" w:rsidRDefault="00684E0D" w:rsidP="00132E87">
      <w:pPr>
        <w:pStyle w:val="Heading3"/>
      </w:pPr>
      <w:bookmarkStart w:id="101" w:name="_Toc457307484"/>
      <w:r w:rsidRPr="00132E87">
        <w:t>Patient eligibility for colonoscopy services</w:t>
      </w:r>
      <w:bookmarkEnd w:id="101"/>
    </w:p>
    <w:p w14:paraId="5841DCF8" w14:textId="0D1B5D74" w:rsidR="00684E0D" w:rsidRPr="007207ED" w:rsidRDefault="00684E0D" w:rsidP="00360322">
      <w:r w:rsidRPr="007207ED">
        <w:t>The new structure of the colonoscopy items reflect the current evidence for the use of colonoscopy, including appropriate intervals between colonoscopies used in surveillance of patients who are at increased risk of developing colorectal cancer.</w:t>
      </w:r>
      <w:r w:rsidR="00C22AE4">
        <w:t xml:space="preserve"> </w:t>
      </w:r>
    </w:p>
    <w:p w14:paraId="71C6F8B2" w14:textId="51285669" w:rsidR="00684E0D" w:rsidRDefault="00684E0D" w:rsidP="00360322">
      <w:r w:rsidRPr="007207ED">
        <w:t>Patients seeking Medicare rebates for colonoscopy services A1, A</w:t>
      </w:r>
      <w:r>
        <w:t>5</w:t>
      </w:r>
      <w:r w:rsidRPr="007207ED">
        <w:t xml:space="preserve"> to A</w:t>
      </w:r>
      <w:r>
        <w:t>10</w:t>
      </w:r>
      <w:r w:rsidRPr="007207ED">
        <w:t xml:space="preserve"> and B2 will need to ensure that they are eligible for the service prior to proceeding with the procedure.</w:t>
      </w:r>
      <w:r w:rsidR="00C22AE4">
        <w:t xml:space="preserve"> </w:t>
      </w:r>
      <w:r w:rsidRPr="007207ED">
        <w:t xml:space="preserve">MBS </w:t>
      </w:r>
      <w:r w:rsidR="001118B1">
        <w:t>patient benefits</w:t>
      </w:r>
      <w:r w:rsidRPr="007207ED">
        <w:t xml:space="preserve"> for these services are aligned with approved guidelines and algorithms on the appropriate screening and interval surveillance for colonoscopy.</w:t>
      </w:r>
      <w:r w:rsidR="00C22AE4">
        <w:t xml:space="preserve"> </w:t>
      </w:r>
    </w:p>
    <w:p w14:paraId="793FC65D" w14:textId="7CDD8FC9" w:rsidR="00684E0D" w:rsidRPr="007207ED" w:rsidRDefault="00684E0D" w:rsidP="00360322">
      <w:r w:rsidRPr="007207ED">
        <w:t>For further information visit</w:t>
      </w:r>
      <w:r w:rsidR="00C8770E">
        <w:t xml:space="preserve"> the </w:t>
      </w:r>
      <w:hyperlink r:id="rId18" w:history="1">
        <w:r w:rsidR="00C8770E" w:rsidRPr="00C8770E">
          <w:rPr>
            <w:rStyle w:val="Hyperlink"/>
          </w:rPr>
          <w:t xml:space="preserve">Cancer </w:t>
        </w:r>
        <w:r w:rsidR="00B12019">
          <w:rPr>
            <w:rStyle w:val="Hyperlink"/>
          </w:rPr>
          <w:t xml:space="preserve">Council </w:t>
        </w:r>
        <w:r w:rsidR="00C8770E" w:rsidRPr="00C8770E">
          <w:rPr>
            <w:rStyle w:val="Hyperlink"/>
          </w:rPr>
          <w:t>Australia website</w:t>
        </w:r>
      </w:hyperlink>
      <w:r w:rsidRPr="00360322">
        <w:t>.</w:t>
      </w:r>
    </w:p>
    <w:p w14:paraId="1EA9C7D0" w14:textId="3A926E07" w:rsidR="00684E0D" w:rsidRPr="007207ED" w:rsidRDefault="00684E0D" w:rsidP="00360322">
      <w:r w:rsidRPr="007207ED">
        <w:t>The Department of Human Services will be able to confirm whether a colonoscopy service has been claimed by an individual patient and the date of service.</w:t>
      </w:r>
      <w:r w:rsidR="00C22AE4">
        <w:t xml:space="preserve"> </w:t>
      </w:r>
      <w:r w:rsidRPr="007207ED">
        <w:t>It will also be able to confirm any restriction on the frequency of the item claimed which would prevent a rebate from being paid if the service was provided again within the restricted period. Patients can seek clarification from the Department of Human Services by calling 132 011</w:t>
      </w:r>
      <w:r w:rsidR="00360322">
        <w:t>.</w:t>
      </w:r>
    </w:p>
    <w:p w14:paraId="72632AEF" w14:textId="266110F8" w:rsidR="00684E0D" w:rsidRPr="007207ED" w:rsidRDefault="00684E0D" w:rsidP="00360322">
      <w:r w:rsidRPr="007207ED">
        <w:t>Patients can also access their own claiming history with a My Health Record or by establishing a Medicare online account through myGov or the Express Plus Medicare mobile app.</w:t>
      </w:r>
      <w:r w:rsidR="00C22AE4">
        <w:t xml:space="preserve"> </w:t>
      </w:r>
    </w:p>
    <w:p w14:paraId="617311C0" w14:textId="66189790" w:rsidR="00684E0D" w:rsidRPr="007207ED" w:rsidRDefault="00684E0D" w:rsidP="00360322">
      <w:r w:rsidRPr="007207ED">
        <w:t xml:space="preserve">Further information about these services can be found on the </w:t>
      </w:r>
      <w:hyperlink r:id="rId19" w:history="1">
        <w:r w:rsidRPr="00C8770E">
          <w:rPr>
            <w:rStyle w:val="Hyperlink"/>
          </w:rPr>
          <w:t>Department of Human Services website</w:t>
        </w:r>
      </w:hyperlink>
      <w:r w:rsidR="00360322">
        <w:t>.</w:t>
      </w:r>
    </w:p>
    <w:p w14:paraId="167CE791" w14:textId="732D10AA" w:rsidR="00684E0D" w:rsidRPr="007207ED" w:rsidRDefault="00684E0D" w:rsidP="00360322">
      <w:r>
        <w:t>Practitioners</w:t>
      </w:r>
      <w:r w:rsidRPr="007207ED">
        <w:t xml:space="preserve"> providing colonoscopy services can call Medicare on 132 150 to check the patient’s claiming history.</w:t>
      </w:r>
      <w:r w:rsidR="00C22AE4">
        <w:t xml:space="preserve"> </w:t>
      </w:r>
      <w:r w:rsidRPr="007207ED">
        <w:t>The patient’s Medicare card number will be required together with the range of item numbers to be checked.</w:t>
      </w:r>
      <w:r w:rsidR="00C22AE4">
        <w:t xml:space="preserve"> </w:t>
      </w:r>
      <w:r w:rsidRPr="007207ED">
        <w:t>For example, the new item numbers for colonoscopy services are in the range A1 to A</w:t>
      </w:r>
      <w:r>
        <w:t>10</w:t>
      </w:r>
      <w:r w:rsidRPr="007207ED">
        <w:t xml:space="preserve"> and B</w:t>
      </w:r>
      <w:r>
        <w:t>2</w:t>
      </w:r>
      <w:r w:rsidRPr="007207ED">
        <w:t xml:space="preserve"> to B10.</w:t>
      </w:r>
      <w:r w:rsidR="00C22AE4">
        <w:t xml:space="preserve"> </w:t>
      </w:r>
      <w:r w:rsidRPr="007207ED">
        <w:t xml:space="preserve">The operator will interrogate the patient’s claiming history and provide advice on any claims paid for a colonoscopy service within the range of items specified and the date of the service. </w:t>
      </w:r>
    </w:p>
    <w:p w14:paraId="50CC5FF8" w14:textId="048C8441" w:rsidR="00684E0D" w:rsidRPr="007207ED" w:rsidRDefault="00684E0D" w:rsidP="00360322">
      <w:r w:rsidRPr="007207ED">
        <w:t>Alternatively, the Health Professionals Online System (HPOS) is a fast and secure way for health professionals and administrators to check if a patient is eligible for a Medicare benefit for a specific item on the date of the proposed service. However, this system will only return advice that the service is payable or not payable. It will not return full advice on when the last service was provided or when the patient will become eligible for the service again.</w:t>
      </w:r>
      <w:r w:rsidR="00C22AE4">
        <w:t xml:space="preserve"> </w:t>
      </w:r>
      <w:r w:rsidRPr="007207ED">
        <w:t>For example, if the service has a 3 year restriction and the last service was in June 2014, the advice will be that the item is not payable for a service date in 2016.</w:t>
      </w:r>
      <w:r w:rsidR="00C22AE4">
        <w:t xml:space="preserve"> </w:t>
      </w:r>
      <w:r w:rsidRPr="007207ED">
        <w:t>It will not advise that the last service was provided in June 2014.</w:t>
      </w:r>
      <w:r w:rsidR="00C22AE4">
        <w:t xml:space="preserve"> </w:t>
      </w:r>
    </w:p>
    <w:p w14:paraId="4B8A9312" w14:textId="62705FCC" w:rsidR="00684E0D" w:rsidRPr="007207ED" w:rsidRDefault="00684E0D" w:rsidP="00360322">
      <w:r w:rsidRPr="007207ED">
        <w:t xml:space="preserve">Further information about this service can be found on the </w:t>
      </w:r>
      <w:hyperlink r:id="rId20" w:history="1">
        <w:r w:rsidRPr="00C8770E">
          <w:rPr>
            <w:rStyle w:val="Hyperlink"/>
          </w:rPr>
          <w:t>Department of Human Services website</w:t>
        </w:r>
      </w:hyperlink>
      <w:r w:rsidR="00C8770E">
        <w:t>.</w:t>
      </w:r>
    </w:p>
    <w:p w14:paraId="1E38FB8C" w14:textId="2911F050" w:rsidR="00684E0D" w:rsidRDefault="00684E0D" w:rsidP="00360322">
      <w:r w:rsidRPr="007207ED">
        <w:lastRenderedPageBreak/>
        <w:t>All patients who require a colonoscopy will be eligible for a service.</w:t>
      </w:r>
      <w:r w:rsidR="00C22AE4">
        <w:t xml:space="preserve"> </w:t>
      </w:r>
      <w:r w:rsidRPr="007207ED">
        <w:t xml:space="preserve">However, MBS rebates will not be payable for services which do not meet the clinical indications and </w:t>
      </w:r>
      <w:r>
        <w:t xml:space="preserve">the </w:t>
      </w:r>
      <w:r w:rsidRPr="007207ED">
        <w:t>item requirements for a colonoscopy or a repeat colonoscopy where the interval is specified in the item.</w:t>
      </w:r>
      <w:r w:rsidR="00C22AE4">
        <w:t xml:space="preserve"> </w:t>
      </w:r>
      <w:r w:rsidRPr="007207ED">
        <w:t xml:space="preserve">Practitioners should ensure that their practice conforms to the approved clinical guidelines. </w:t>
      </w:r>
    </w:p>
    <w:p w14:paraId="0B16F3D1" w14:textId="77777777" w:rsidR="00684E0D" w:rsidRPr="00132E87" w:rsidRDefault="00684E0D" w:rsidP="00132E87">
      <w:pPr>
        <w:pStyle w:val="Heading3"/>
      </w:pPr>
      <w:bookmarkStart w:id="102" w:name="_Toc457307485"/>
      <w:r w:rsidRPr="00C8770E">
        <w:t>Recommendation Impact Statement</w:t>
      </w:r>
      <w:bookmarkEnd w:id="102"/>
    </w:p>
    <w:p w14:paraId="77DEEA98" w14:textId="64BDBCFC" w:rsidR="00684E0D" w:rsidRPr="00360322" w:rsidRDefault="00684E0D" w:rsidP="00360322">
      <w:pPr>
        <w:rPr>
          <w:lang w:val="en"/>
        </w:rPr>
      </w:pPr>
      <w:r>
        <w:rPr>
          <w:lang w:val="en-US"/>
        </w:rPr>
        <w:t>The recommendation to introduce a new suite of items will align these services with Australian clinical practice guidelines to ensure patients receive appropriate and best practice clinical care.</w:t>
      </w:r>
      <w:r w:rsidR="00C22AE4">
        <w:rPr>
          <w:lang w:val="en-US"/>
        </w:rPr>
        <w:t xml:space="preserve"> </w:t>
      </w:r>
      <w:r>
        <w:rPr>
          <w:lang w:val="en-US"/>
        </w:rPr>
        <w:t>Changes to better define the examination of the colon will also ensure a comprehensive colonoscopy is performed.</w:t>
      </w:r>
      <w:r w:rsidR="00C22AE4">
        <w:rPr>
          <w:lang w:val="en-US"/>
        </w:rPr>
        <w:t xml:space="preserve"> </w:t>
      </w:r>
      <w:r>
        <w:rPr>
          <w:lang w:val="en-US"/>
        </w:rPr>
        <w:t xml:space="preserve">Providers will also have clearer guidance on the service that best suits the patient’s condition and when these items can be claimed. </w:t>
      </w:r>
    </w:p>
    <w:p w14:paraId="3DDABB1C" w14:textId="77777777" w:rsidR="00684E0D" w:rsidRPr="008D3569" w:rsidRDefault="00684E0D" w:rsidP="003F555F">
      <w:pPr>
        <w:pStyle w:val="Heading2"/>
      </w:pPr>
      <w:bookmarkStart w:id="103" w:name="_Toc456188379"/>
      <w:bookmarkStart w:id="104" w:name="_Toc457307486"/>
      <w:bookmarkStart w:id="105" w:name="_Ref457362013"/>
      <w:r>
        <w:t>Same Day Upper and Lower GI Endoscopy</w:t>
      </w:r>
      <w:bookmarkEnd w:id="103"/>
      <w:bookmarkEnd w:id="104"/>
      <w:bookmarkEnd w:id="105"/>
    </w:p>
    <w:p w14:paraId="0B48FE9C" w14:textId="77777777" w:rsidR="00684E0D" w:rsidRPr="00132E87" w:rsidRDefault="00684E0D" w:rsidP="00132E87">
      <w:pPr>
        <w:pStyle w:val="Heading3"/>
      </w:pPr>
      <w:bookmarkStart w:id="106" w:name="_Toc457307487"/>
      <w:r w:rsidRPr="00132E87">
        <w:t>Issue</w:t>
      </w:r>
      <w:bookmarkEnd w:id="106"/>
    </w:p>
    <w:p w14:paraId="0A5C6D8F" w14:textId="3AFB4766" w:rsidR="00684E0D" w:rsidRDefault="00684E0D" w:rsidP="00360322">
      <w:r>
        <w:t>The Committee reviewed the MBS service data for upper gastrointestinal endoscopic diagnostic service</w:t>
      </w:r>
      <w:r w:rsidRPr="005634E4">
        <w:t xml:space="preserve"> (item 30473) and lower </w:t>
      </w:r>
      <w:r>
        <w:t>gastrointestinal endoscopic services</w:t>
      </w:r>
      <w:r w:rsidRPr="005634E4">
        <w:t xml:space="preserve"> (items 32090 and 32093) </w:t>
      </w:r>
      <w:r>
        <w:t xml:space="preserve">being </w:t>
      </w:r>
      <w:r w:rsidRPr="005634E4">
        <w:t>performed together for the same patient, same provider, on the same day</w:t>
      </w:r>
      <w:r>
        <w:t>.</w:t>
      </w:r>
      <w:r w:rsidR="00C22AE4">
        <w:t xml:space="preserve"> </w:t>
      </w:r>
      <w:r>
        <w:t xml:space="preserve">The Committee noted the service growth in this area </w:t>
      </w:r>
      <w:r w:rsidRPr="005634E4">
        <w:t>as indicated in</w:t>
      </w:r>
      <w:r w:rsidR="005E0FD7">
        <w:t xml:space="preserve"> </w:t>
      </w:r>
      <w:r w:rsidR="005E0FD7" w:rsidRPr="00E34579">
        <w:t xml:space="preserve">Table </w:t>
      </w:r>
      <w:r w:rsidR="005E0FD7">
        <w:rPr>
          <w:noProof/>
        </w:rPr>
        <w:t>8</w:t>
      </w:r>
      <w:r w:rsidRPr="005634E4">
        <w:t>.</w:t>
      </w:r>
      <w:r w:rsidR="00C22AE4">
        <w:t xml:space="preserve"> </w:t>
      </w:r>
      <w:r w:rsidRPr="005634E4">
        <w:t xml:space="preserve">In 2014-15 the percentage of colonoscopy item 32090 claimed with </w:t>
      </w:r>
      <w:r>
        <w:t>upper gastrointestinal endoscopy</w:t>
      </w:r>
      <w:r w:rsidRPr="005634E4">
        <w:t xml:space="preserve"> item 30473 was more than half at 60.5% of total services. </w:t>
      </w:r>
    </w:p>
    <w:p w14:paraId="16E3B3FC" w14:textId="562829DC" w:rsidR="00684E0D" w:rsidRPr="00E34579" w:rsidRDefault="00684E0D" w:rsidP="001F4E07">
      <w:pPr>
        <w:pStyle w:val="Caption"/>
      </w:pPr>
      <w:bookmarkStart w:id="107" w:name="_Ref457501983"/>
      <w:bookmarkStart w:id="108" w:name="_Toc457307426"/>
      <w:bookmarkStart w:id="109" w:name="_Toc458527784"/>
      <w:r w:rsidRPr="00E34579">
        <w:t xml:space="preserve">Table </w:t>
      </w:r>
      <w:fldSimple w:instr=" SEQ Table \* ARABIC ">
        <w:r w:rsidR="00A1715D">
          <w:rPr>
            <w:noProof/>
          </w:rPr>
          <w:t>8</w:t>
        </w:r>
      </w:fldSimple>
      <w:bookmarkEnd w:id="107"/>
      <w:r w:rsidR="002D0115">
        <w:t>:</w:t>
      </w:r>
      <w:r w:rsidR="002D0115">
        <w:tab/>
      </w:r>
      <w:r w:rsidRPr="00856BC8">
        <w:t>Co-claiming colonoscopy items 32090 or 32093 with oesophagoscopy item 30473</w:t>
      </w:r>
      <w:bookmarkEnd w:id="108"/>
      <w:bookmarkEnd w:id="109"/>
    </w:p>
    <w:tbl>
      <w:tblPr>
        <w:tblW w:w="9072" w:type="dxa"/>
        <w:tblInd w:w="62" w:type="dxa"/>
        <w:tblBorders>
          <w:top w:val="single" w:sz="4" w:space="0" w:color="B56011"/>
          <w:bottom w:val="single" w:sz="4" w:space="0" w:color="B56011"/>
          <w:insideH w:val="single" w:sz="4" w:space="0" w:color="B56011"/>
        </w:tblBorders>
        <w:tblCellMar>
          <w:left w:w="0" w:type="dxa"/>
          <w:right w:w="0" w:type="dxa"/>
        </w:tblCellMar>
        <w:tblLook w:val="04A0" w:firstRow="1" w:lastRow="0" w:firstColumn="1" w:lastColumn="0" w:noHBand="0" w:noVBand="1"/>
        <w:tblDescription w:val="Table 8 shows the percentages of co-claiming colonoscopy items 32090 or 32093 with oesophagoscopy item 30473 in each of the financial years 2010-11, 2011-12, 2012-13, 2013-14 and 2014-15."/>
      </w:tblPr>
      <w:tblGrid>
        <w:gridCol w:w="4015"/>
        <w:gridCol w:w="1011"/>
        <w:gridCol w:w="1011"/>
        <w:gridCol w:w="1012"/>
        <w:gridCol w:w="1011"/>
        <w:gridCol w:w="1012"/>
      </w:tblGrid>
      <w:tr w:rsidR="00360322" w:rsidRPr="00017FE5" w14:paraId="756203F5" w14:textId="77777777" w:rsidTr="0018105F">
        <w:trPr>
          <w:trHeight w:val="316"/>
          <w:tblHeader/>
        </w:trPr>
        <w:tc>
          <w:tcPr>
            <w:tcW w:w="4015" w:type="dxa"/>
            <w:noWrap/>
            <w:tcMar>
              <w:top w:w="0" w:type="dxa"/>
              <w:left w:w="108" w:type="dxa"/>
              <w:bottom w:w="0" w:type="dxa"/>
              <w:right w:w="108" w:type="dxa"/>
            </w:tcMar>
            <w:hideMark/>
          </w:tcPr>
          <w:p w14:paraId="387C8464" w14:textId="5C64B4BB" w:rsidR="00684E0D" w:rsidRPr="00017FE5" w:rsidRDefault="00C8770E" w:rsidP="00017FE5">
            <w:pPr>
              <w:pStyle w:val="Tableheading"/>
              <w:rPr>
                <w:rFonts w:eastAsiaTheme="minorHAnsi"/>
              </w:rPr>
            </w:pPr>
            <w:r w:rsidRPr="00017FE5">
              <w:t>Item</w:t>
            </w:r>
          </w:p>
        </w:tc>
        <w:tc>
          <w:tcPr>
            <w:tcW w:w="1011" w:type="dxa"/>
            <w:tcMar>
              <w:top w:w="0" w:type="dxa"/>
              <w:left w:w="108" w:type="dxa"/>
              <w:bottom w:w="0" w:type="dxa"/>
              <w:right w:w="108" w:type="dxa"/>
            </w:tcMar>
            <w:hideMark/>
          </w:tcPr>
          <w:p w14:paraId="1BEFD2DD" w14:textId="77777777" w:rsidR="00684E0D" w:rsidRPr="00017FE5" w:rsidRDefault="00684E0D" w:rsidP="00017FE5">
            <w:pPr>
              <w:pStyle w:val="Tableheading"/>
              <w:rPr>
                <w:rFonts w:eastAsiaTheme="minorHAnsi"/>
              </w:rPr>
            </w:pPr>
            <w:r w:rsidRPr="00017FE5">
              <w:t>2010-11</w:t>
            </w:r>
          </w:p>
        </w:tc>
        <w:tc>
          <w:tcPr>
            <w:tcW w:w="1011" w:type="dxa"/>
            <w:tcMar>
              <w:top w:w="0" w:type="dxa"/>
              <w:left w:w="108" w:type="dxa"/>
              <w:bottom w:w="0" w:type="dxa"/>
              <w:right w:w="108" w:type="dxa"/>
            </w:tcMar>
            <w:hideMark/>
          </w:tcPr>
          <w:p w14:paraId="5A79164A" w14:textId="77777777" w:rsidR="00684E0D" w:rsidRPr="00017FE5" w:rsidRDefault="00684E0D" w:rsidP="00017FE5">
            <w:pPr>
              <w:pStyle w:val="Tableheading"/>
              <w:rPr>
                <w:rFonts w:eastAsiaTheme="minorHAnsi"/>
              </w:rPr>
            </w:pPr>
            <w:r w:rsidRPr="00017FE5">
              <w:t>2011-12</w:t>
            </w:r>
          </w:p>
        </w:tc>
        <w:tc>
          <w:tcPr>
            <w:tcW w:w="1012" w:type="dxa"/>
            <w:tcMar>
              <w:top w:w="0" w:type="dxa"/>
              <w:left w:w="108" w:type="dxa"/>
              <w:bottom w:w="0" w:type="dxa"/>
              <w:right w:w="108" w:type="dxa"/>
            </w:tcMar>
            <w:hideMark/>
          </w:tcPr>
          <w:p w14:paraId="725902F3" w14:textId="77777777" w:rsidR="00684E0D" w:rsidRPr="00017FE5" w:rsidRDefault="00684E0D" w:rsidP="00017FE5">
            <w:pPr>
              <w:pStyle w:val="Tableheading"/>
              <w:rPr>
                <w:rFonts w:eastAsiaTheme="minorHAnsi"/>
              </w:rPr>
            </w:pPr>
            <w:r w:rsidRPr="00017FE5">
              <w:t>2012-13</w:t>
            </w:r>
          </w:p>
        </w:tc>
        <w:tc>
          <w:tcPr>
            <w:tcW w:w="1011" w:type="dxa"/>
            <w:tcMar>
              <w:top w:w="0" w:type="dxa"/>
              <w:left w:w="108" w:type="dxa"/>
              <w:bottom w:w="0" w:type="dxa"/>
              <w:right w:w="108" w:type="dxa"/>
            </w:tcMar>
            <w:hideMark/>
          </w:tcPr>
          <w:p w14:paraId="5BD31DF6" w14:textId="77777777" w:rsidR="00684E0D" w:rsidRPr="00017FE5" w:rsidRDefault="00684E0D" w:rsidP="00017FE5">
            <w:pPr>
              <w:pStyle w:val="Tableheading"/>
              <w:rPr>
                <w:rFonts w:eastAsiaTheme="minorHAnsi"/>
              </w:rPr>
            </w:pPr>
            <w:r w:rsidRPr="00017FE5">
              <w:t>2013-14</w:t>
            </w:r>
          </w:p>
        </w:tc>
        <w:tc>
          <w:tcPr>
            <w:tcW w:w="1012" w:type="dxa"/>
            <w:tcMar>
              <w:top w:w="0" w:type="dxa"/>
              <w:left w:w="108" w:type="dxa"/>
              <w:bottom w:w="0" w:type="dxa"/>
              <w:right w:w="108" w:type="dxa"/>
            </w:tcMar>
            <w:hideMark/>
          </w:tcPr>
          <w:p w14:paraId="4D313F9B" w14:textId="77777777" w:rsidR="00684E0D" w:rsidRPr="00017FE5" w:rsidRDefault="00684E0D" w:rsidP="00017FE5">
            <w:pPr>
              <w:pStyle w:val="Tableheading"/>
              <w:rPr>
                <w:rFonts w:eastAsiaTheme="minorHAnsi"/>
              </w:rPr>
            </w:pPr>
            <w:r w:rsidRPr="00017FE5">
              <w:t>2014-15</w:t>
            </w:r>
          </w:p>
        </w:tc>
      </w:tr>
      <w:tr w:rsidR="00360322" w:rsidRPr="00441834" w14:paraId="4B1CF25B" w14:textId="77777777" w:rsidTr="00360322">
        <w:trPr>
          <w:trHeight w:val="605"/>
        </w:trPr>
        <w:tc>
          <w:tcPr>
            <w:tcW w:w="4015" w:type="dxa"/>
            <w:tcMar>
              <w:top w:w="0" w:type="dxa"/>
              <w:left w:w="108" w:type="dxa"/>
              <w:bottom w:w="0" w:type="dxa"/>
              <w:right w:w="108" w:type="dxa"/>
            </w:tcMar>
            <w:hideMark/>
          </w:tcPr>
          <w:p w14:paraId="4C3EC85D" w14:textId="77777777" w:rsidR="00684E0D" w:rsidRPr="000E5D39" w:rsidRDefault="00684E0D" w:rsidP="00017FE5">
            <w:pPr>
              <w:pStyle w:val="Tabletext"/>
              <w:rPr>
                <w:rFonts w:eastAsiaTheme="minorHAnsi"/>
              </w:rPr>
            </w:pPr>
            <w:r w:rsidRPr="000E5D39">
              <w:t>Colonoscopy item 32090 co-claimed with oesophagoscopy item 30473 - as a percentage</w:t>
            </w:r>
          </w:p>
        </w:tc>
        <w:tc>
          <w:tcPr>
            <w:tcW w:w="1011" w:type="dxa"/>
            <w:tcMar>
              <w:top w:w="0" w:type="dxa"/>
              <w:left w:w="108" w:type="dxa"/>
              <w:bottom w:w="0" w:type="dxa"/>
              <w:right w:w="108" w:type="dxa"/>
            </w:tcMar>
            <w:hideMark/>
          </w:tcPr>
          <w:p w14:paraId="1F996317" w14:textId="77777777" w:rsidR="00684E0D" w:rsidRPr="000E5D39" w:rsidRDefault="00684E0D" w:rsidP="00017FE5">
            <w:pPr>
              <w:pStyle w:val="Tabletext"/>
              <w:rPr>
                <w:rFonts w:eastAsiaTheme="minorHAnsi"/>
              </w:rPr>
            </w:pPr>
            <w:r w:rsidRPr="000E5D39">
              <w:t>48.8%</w:t>
            </w:r>
          </w:p>
        </w:tc>
        <w:tc>
          <w:tcPr>
            <w:tcW w:w="1011" w:type="dxa"/>
            <w:tcMar>
              <w:top w:w="0" w:type="dxa"/>
              <w:left w:w="108" w:type="dxa"/>
              <w:bottom w:w="0" w:type="dxa"/>
              <w:right w:w="108" w:type="dxa"/>
            </w:tcMar>
            <w:hideMark/>
          </w:tcPr>
          <w:p w14:paraId="5A7B31E3" w14:textId="77777777" w:rsidR="00684E0D" w:rsidRPr="000E5D39" w:rsidRDefault="00684E0D" w:rsidP="00017FE5">
            <w:pPr>
              <w:pStyle w:val="Tabletext"/>
              <w:rPr>
                <w:rFonts w:eastAsiaTheme="minorHAnsi"/>
              </w:rPr>
            </w:pPr>
            <w:r w:rsidRPr="000E5D39">
              <w:t>53.1%</w:t>
            </w:r>
          </w:p>
        </w:tc>
        <w:tc>
          <w:tcPr>
            <w:tcW w:w="1012" w:type="dxa"/>
            <w:tcMar>
              <w:top w:w="0" w:type="dxa"/>
              <w:left w:w="108" w:type="dxa"/>
              <w:bottom w:w="0" w:type="dxa"/>
              <w:right w:w="108" w:type="dxa"/>
            </w:tcMar>
            <w:hideMark/>
          </w:tcPr>
          <w:p w14:paraId="4335A4B6" w14:textId="77777777" w:rsidR="00684E0D" w:rsidRPr="000E5D39" w:rsidRDefault="00684E0D" w:rsidP="00017FE5">
            <w:pPr>
              <w:pStyle w:val="Tabletext"/>
              <w:rPr>
                <w:rFonts w:eastAsiaTheme="minorHAnsi"/>
              </w:rPr>
            </w:pPr>
            <w:r w:rsidRPr="000E5D39">
              <w:t>55.5%</w:t>
            </w:r>
          </w:p>
        </w:tc>
        <w:tc>
          <w:tcPr>
            <w:tcW w:w="1011" w:type="dxa"/>
            <w:tcMar>
              <w:top w:w="0" w:type="dxa"/>
              <w:left w:w="108" w:type="dxa"/>
              <w:bottom w:w="0" w:type="dxa"/>
              <w:right w:w="108" w:type="dxa"/>
            </w:tcMar>
            <w:hideMark/>
          </w:tcPr>
          <w:p w14:paraId="7BFCAC63" w14:textId="77777777" w:rsidR="00684E0D" w:rsidRPr="000E5D39" w:rsidRDefault="00684E0D" w:rsidP="00017FE5">
            <w:pPr>
              <w:pStyle w:val="Tabletext"/>
              <w:rPr>
                <w:rFonts w:eastAsiaTheme="minorHAnsi"/>
              </w:rPr>
            </w:pPr>
            <w:r w:rsidRPr="000E5D39">
              <w:t>58.7%</w:t>
            </w:r>
          </w:p>
        </w:tc>
        <w:tc>
          <w:tcPr>
            <w:tcW w:w="1012" w:type="dxa"/>
            <w:tcMar>
              <w:top w:w="0" w:type="dxa"/>
              <w:left w:w="108" w:type="dxa"/>
              <w:bottom w:w="0" w:type="dxa"/>
              <w:right w:w="108" w:type="dxa"/>
            </w:tcMar>
            <w:hideMark/>
          </w:tcPr>
          <w:p w14:paraId="276E3CBD" w14:textId="77777777" w:rsidR="00684E0D" w:rsidRPr="000E5D39" w:rsidRDefault="00684E0D" w:rsidP="00017FE5">
            <w:pPr>
              <w:pStyle w:val="Tabletext"/>
              <w:rPr>
                <w:rFonts w:eastAsiaTheme="minorHAnsi"/>
              </w:rPr>
            </w:pPr>
            <w:r w:rsidRPr="000E5D39">
              <w:t>60.5%</w:t>
            </w:r>
          </w:p>
        </w:tc>
      </w:tr>
      <w:tr w:rsidR="00360322" w:rsidRPr="00441834" w14:paraId="28FAAC37" w14:textId="77777777" w:rsidTr="00360322">
        <w:trPr>
          <w:trHeight w:val="842"/>
        </w:trPr>
        <w:tc>
          <w:tcPr>
            <w:tcW w:w="4015" w:type="dxa"/>
            <w:tcMar>
              <w:top w:w="0" w:type="dxa"/>
              <w:left w:w="108" w:type="dxa"/>
              <w:bottom w:w="0" w:type="dxa"/>
              <w:right w:w="108" w:type="dxa"/>
            </w:tcMar>
            <w:hideMark/>
          </w:tcPr>
          <w:p w14:paraId="308A62C7" w14:textId="77777777" w:rsidR="00684E0D" w:rsidRPr="000E5D39" w:rsidRDefault="00684E0D" w:rsidP="00017FE5">
            <w:pPr>
              <w:pStyle w:val="Tabletext"/>
              <w:rPr>
                <w:rFonts w:eastAsiaTheme="minorHAnsi"/>
              </w:rPr>
            </w:pPr>
            <w:r w:rsidRPr="000E5D39">
              <w:t>Colonoscopy item (polyp removal) item 32093 co-claimed with oesophagoscopy item 30473 - as a percentage</w:t>
            </w:r>
          </w:p>
        </w:tc>
        <w:tc>
          <w:tcPr>
            <w:tcW w:w="1011" w:type="dxa"/>
            <w:tcMar>
              <w:top w:w="0" w:type="dxa"/>
              <w:left w:w="108" w:type="dxa"/>
              <w:bottom w:w="0" w:type="dxa"/>
              <w:right w:w="108" w:type="dxa"/>
            </w:tcMar>
            <w:hideMark/>
          </w:tcPr>
          <w:p w14:paraId="47FC3E57" w14:textId="77777777" w:rsidR="00684E0D" w:rsidRPr="000E5D39" w:rsidRDefault="00684E0D" w:rsidP="00017FE5">
            <w:pPr>
              <w:pStyle w:val="Tabletext"/>
              <w:rPr>
                <w:rFonts w:eastAsiaTheme="minorHAnsi"/>
              </w:rPr>
            </w:pPr>
            <w:r w:rsidRPr="000E5D39">
              <w:t>39.1%</w:t>
            </w:r>
          </w:p>
        </w:tc>
        <w:tc>
          <w:tcPr>
            <w:tcW w:w="1011" w:type="dxa"/>
            <w:tcMar>
              <w:top w:w="0" w:type="dxa"/>
              <w:left w:w="108" w:type="dxa"/>
              <w:bottom w:w="0" w:type="dxa"/>
              <w:right w:w="108" w:type="dxa"/>
            </w:tcMar>
            <w:hideMark/>
          </w:tcPr>
          <w:p w14:paraId="32F06579" w14:textId="77777777" w:rsidR="00684E0D" w:rsidRPr="000E5D39" w:rsidRDefault="00684E0D" w:rsidP="00017FE5">
            <w:pPr>
              <w:pStyle w:val="Tabletext"/>
              <w:rPr>
                <w:rFonts w:eastAsiaTheme="minorHAnsi"/>
              </w:rPr>
            </w:pPr>
            <w:r w:rsidRPr="000E5D39">
              <w:t>42.2%</w:t>
            </w:r>
          </w:p>
        </w:tc>
        <w:tc>
          <w:tcPr>
            <w:tcW w:w="1012" w:type="dxa"/>
            <w:tcMar>
              <w:top w:w="0" w:type="dxa"/>
              <w:left w:w="108" w:type="dxa"/>
              <w:bottom w:w="0" w:type="dxa"/>
              <w:right w:w="108" w:type="dxa"/>
            </w:tcMar>
            <w:hideMark/>
          </w:tcPr>
          <w:p w14:paraId="4B71B2F1" w14:textId="77777777" w:rsidR="00684E0D" w:rsidRPr="000E5D39" w:rsidRDefault="00684E0D" w:rsidP="00017FE5">
            <w:pPr>
              <w:pStyle w:val="Tabletext"/>
              <w:rPr>
                <w:rFonts w:eastAsiaTheme="minorHAnsi"/>
              </w:rPr>
            </w:pPr>
            <w:r w:rsidRPr="000E5D39">
              <w:t>44.7%</w:t>
            </w:r>
          </w:p>
        </w:tc>
        <w:tc>
          <w:tcPr>
            <w:tcW w:w="1011" w:type="dxa"/>
            <w:tcMar>
              <w:top w:w="0" w:type="dxa"/>
              <w:left w:w="108" w:type="dxa"/>
              <w:bottom w:w="0" w:type="dxa"/>
              <w:right w:w="108" w:type="dxa"/>
            </w:tcMar>
            <w:hideMark/>
          </w:tcPr>
          <w:p w14:paraId="63EA952D" w14:textId="77777777" w:rsidR="00684E0D" w:rsidRPr="000E5D39" w:rsidRDefault="00684E0D" w:rsidP="00017FE5">
            <w:pPr>
              <w:pStyle w:val="Tabletext"/>
              <w:rPr>
                <w:rFonts w:eastAsiaTheme="minorHAnsi"/>
              </w:rPr>
            </w:pPr>
            <w:r w:rsidRPr="000E5D39">
              <w:t>46.5%</w:t>
            </w:r>
          </w:p>
        </w:tc>
        <w:tc>
          <w:tcPr>
            <w:tcW w:w="1012" w:type="dxa"/>
            <w:tcMar>
              <w:top w:w="0" w:type="dxa"/>
              <w:left w:w="108" w:type="dxa"/>
              <w:bottom w:w="0" w:type="dxa"/>
              <w:right w:w="108" w:type="dxa"/>
            </w:tcMar>
            <w:hideMark/>
          </w:tcPr>
          <w:p w14:paraId="3969C015" w14:textId="77777777" w:rsidR="00684E0D" w:rsidRPr="000E5D39" w:rsidRDefault="00684E0D" w:rsidP="00017FE5">
            <w:pPr>
              <w:pStyle w:val="Tabletext"/>
              <w:rPr>
                <w:rFonts w:eastAsiaTheme="minorHAnsi"/>
              </w:rPr>
            </w:pPr>
            <w:r w:rsidRPr="000E5D39">
              <w:t>47.1%</w:t>
            </w:r>
          </w:p>
        </w:tc>
      </w:tr>
    </w:tbl>
    <w:p w14:paraId="33AD7181" w14:textId="77777777" w:rsidR="00684E0D" w:rsidRPr="005F7A73" w:rsidRDefault="00684E0D" w:rsidP="001F4E07">
      <w:pPr>
        <w:pStyle w:val="TableUnder"/>
      </w:pPr>
      <w:r w:rsidRPr="005F7A73">
        <w:t>Source: Department of Health (unpublished data, date of service)</w:t>
      </w:r>
    </w:p>
    <w:p w14:paraId="1FE82C32" w14:textId="77777777" w:rsidR="00684E0D" w:rsidRPr="00132E87" w:rsidRDefault="00684E0D" w:rsidP="00132E87">
      <w:pPr>
        <w:pStyle w:val="Heading3"/>
      </w:pPr>
      <w:bookmarkStart w:id="110" w:name="_Toc457307488"/>
      <w:r w:rsidRPr="00132E87">
        <w:t>Rationale</w:t>
      </w:r>
      <w:bookmarkEnd w:id="110"/>
    </w:p>
    <w:p w14:paraId="28F434D6" w14:textId="22326EDD" w:rsidR="00684E0D" w:rsidRDefault="00684E0D" w:rsidP="00360322">
      <w:r w:rsidRPr="005634E4">
        <w:t xml:space="preserve">Based on expert clinical </w:t>
      </w:r>
      <w:r>
        <w:t>opinion</w:t>
      </w:r>
      <w:r w:rsidRPr="005634E4">
        <w:t xml:space="preserve"> and analysis of the MBS data, the Committee noted that the frequency of same day co-claiming of these services is higher than anticipated.</w:t>
      </w:r>
      <w:r w:rsidR="00C22AE4">
        <w:t xml:space="preserve"> </w:t>
      </w:r>
      <w:r w:rsidRPr="005634E4">
        <w:t>The Committee noted that investigation of iron deficien</w:t>
      </w:r>
      <w:r>
        <w:t>cy</w:t>
      </w:r>
      <w:r w:rsidRPr="005634E4">
        <w:t xml:space="preserve"> patients </w:t>
      </w:r>
      <w:r>
        <w:t xml:space="preserve">or patients with upper </w:t>
      </w:r>
      <w:r w:rsidR="00CA0DFC">
        <w:t xml:space="preserve">and lower </w:t>
      </w:r>
      <w:r>
        <w:t xml:space="preserve">gastrointestinal symptoms </w:t>
      </w:r>
      <w:r w:rsidRPr="005634E4">
        <w:t>is an appropriate and common reason to undergo both procedures under the one sedation</w:t>
      </w:r>
      <w:r w:rsidR="00AE7040">
        <w:t>/anaesthesia</w:t>
      </w:r>
      <w:r w:rsidRPr="005634E4">
        <w:t xml:space="preserve">, however this </w:t>
      </w:r>
      <w:r>
        <w:t>may</w:t>
      </w:r>
      <w:r w:rsidRPr="005634E4">
        <w:t xml:space="preserve"> not in itself account for the observed rate of co-claiming</w:t>
      </w:r>
      <w:r w:rsidR="00CA0DFC">
        <w:t>.</w:t>
      </w:r>
      <w:r w:rsidR="00C22AE4">
        <w:t xml:space="preserve"> </w:t>
      </w:r>
    </w:p>
    <w:p w14:paraId="3B9BB1D6" w14:textId="08AA57B7" w:rsidR="00684E0D" w:rsidRDefault="00684E0D" w:rsidP="00360322">
      <w:r w:rsidRPr="005634E4">
        <w:t>The Committee considered that factors such as patient preferences, perceived medico legal risks and the lack of appropriate clinical guidelines may be contributing to the increasing rates of co-claiming for these items.</w:t>
      </w:r>
      <w:r w:rsidR="00C22AE4">
        <w:t xml:space="preserve"> </w:t>
      </w:r>
      <w:r>
        <w:t xml:space="preserve">The Committee noted that there are no clinical practice guidelines, nor explicit local </w:t>
      </w:r>
      <w:r>
        <w:lastRenderedPageBreak/>
        <w:t>practice standards that cover when bi-directional endoscopy is clinically appropriate.</w:t>
      </w:r>
      <w:r w:rsidR="00C22AE4">
        <w:t xml:space="preserve"> </w:t>
      </w:r>
      <w:r>
        <w:t>The Committee agreed that the Gastroenterological Society of Australia be provided with the data and asked to consider the need for guidelines or standards for the appropriate concurrent use of these procedures.</w:t>
      </w:r>
    </w:p>
    <w:p w14:paraId="46263FE9" w14:textId="1E766472" w:rsidR="006D2B91" w:rsidRDefault="00684E0D" w:rsidP="004304F5">
      <w:r>
        <w:t>The Committee considered co-claiming restrictions on these items but agreed that the major reforms recommended for the colonoscopy services may alter the existing service patterns for these items.</w:t>
      </w:r>
      <w:r w:rsidRPr="00DB4067">
        <w:t xml:space="preserve"> </w:t>
      </w:r>
    </w:p>
    <w:p w14:paraId="71645344" w14:textId="48F9454D" w:rsidR="00684E0D" w:rsidRPr="00132E87" w:rsidRDefault="007161FD" w:rsidP="00813502">
      <w:pPr>
        <w:pStyle w:val="Rec"/>
        <w:numPr>
          <w:ilvl w:val="0"/>
          <w:numId w:val="0"/>
        </w:numPr>
      </w:pPr>
      <w:bookmarkStart w:id="111" w:name="_Toc485731763"/>
      <w:r>
        <w:t>Recommendation 2:</w:t>
      </w:r>
      <w:r>
        <w:tab/>
      </w:r>
      <w:r w:rsidR="00132E87">
        <w:t>Same Day Upper and Lower GI Endoscopy</w:t>
      </w:r>
      <w:bookmarkEnd w:id="111"/>
    </w:p>
    <w:p w14:paraId="30DB5103" w14:textId="63D71783" w:rsidR="00684E0D" w:rsidRDefault="00684E0D" w:rsidP="00FA1377">
      <w:pPr>
        <w:pStyle w:val="ListParagraph"/>
        <w:numPr>
          <w:ilvl w:val="0"/>
          <w:numId w:val="43"/>
        </w:numPr>
      </w:pPr>
      <w:r>
        <w:t>The Committee recommends that this issue be referred to the Gastroenterological Society of Australia to consider the need to develop clinical guidelines or standards for the appropriate concurrent use of these procedures.</w:t>
      </w:r>
      <w:r w:rsidR="00C22AE4">
        <w:t xml:space="preserve"> </w:t>
      </w:r>
    </w:p>
    <w:p w14:paraId="68BFBCED" w14:textId="4A9E33B1" w:rsidR="00684E0D" w:rsidRDefault="00684E0D" w:rsidP="00FA1377">
      <w:pPr>
        <w:pStyle w:val="ListParagraph"/>
        <w:numPr>
          <w:ilvl w:val="0"/>
          <w:numId w:val="43"/>
        </w:numPr>
      </w:pPr>
      <w:r>
        <w:t xml:space="preserve">The Committee recommends against co-claiming restrictions on these items at this stage </w:t>
      </w:r>
      <w:r w:rsidR="00932D60">
        <w:t xml:space="preserve">as </w:t>
      </w:r>
      <w:r>
        <w:t>the major reforms recommended for the colonoscopy services may alter the existing service patterns for these items.</w:t>
      </w:r>
      <w:r w:rsidRPr="00DB4067">
        <w:t xml:space="preserve"> </w:t>
      </w:r>
    </w:p>
    <w:p w14:paraId="1EBFABF6" w14:textId="77777777" w:rsidR="00684E0D" w:rsidRPr="00132E87" w:rsidRDefault="00684E0D" w:rsidP="00132E87">
      <w:pPr>
        <w:pStyle w:val="Heading3"/>
      </w:pPr>
      <w:bookmarkStart w:id="112" w:name="_Toc457307490"/>
      <w:r w:rsidRPr="00132E87">
        <w:t>Recommendation Impact Statement</w:t>
      </w:r>
      <w:bookmarkEnd w:id="112"/>
    </w:p>
    <w:p w14:paraId="1599D6E0" w14:textId="77777777" w:rsidR="00C8770E" w:rsidRDefault="00684E0D" w:rsidP="00684E0D">
      <w:r>
        <w:t>No changes have been recommended</w:t>
      </w:r>
      <w:r w:rsidR="006B6B82" w:rsidRPr="006B6B82">
        <w:t xml:space="preserve"> </w:t>
      </w:r>
      <w:r w:rsidR="006B6B82">
        <w:t>to these items</w:t>
      </w:r>
      <w:r>
        <w:t>.</w:t>
      </w:r>
      <w:r w:rsidR="00C8770E">
        <w:br w:type="page"/>
      </w:r>
    </w:p>
    <w:p w14:paraId="5EF59B4D" w14:textId="77777777" w:rsidR="005D62E7" w:rsidRPr="001E1249" w:rsidRDefault="005D62E7" w:rsidP="00C8770E">
      <w:pPr>
        <w:pStyle w:val="Heading1"/>
      </w:pPr>
      <w:bookmarkStart w:id="113" w:name="_Toc485731764"/>
      <w:bookmarkStart w:id="114" w:name="_Toc456188381"/>
      <w:bookmarkStart w:id="115" w:name="_Toc457307491"/>
      <w:bookmarkStart w:id="116" w:name="_Ref457362036"/>
      <w:r w:rsidRPr="001E1249">
        <w:lastRenderedPageBreak/>
        <w:t xml:space="preserve">Items </w:t>
      </w:r>
      <w:r w:rsidRPr="00C8770E">
        <w:t>for</w:t>
      </w:r>
      <w:r>
        <w:t xml:space="preserve"> significant amendment</w:t>
      </w:r>
      <w:bookmarkEnd w:id="113"/>
    </w:p>
    <w:p w14:paraId="568B82C3" w14:textId="77777777" w:rsidR="00684E0D" w:rsidRPr="008D3569" w:rsidRDefault="00684E0D" w:rsidP="003F555F">
      <w:pPr>
        <w:pStyle w:val="Heading2"/>
      </w:pPr>
      <w:r w:rsidRPr="008D3569">
        <w:t>Capsule endoscopy (CE) to investigate episode of obscure gastrointestinal bleeding (item 11820)</w:t>
      </w:r>
      <w:bookmarkEnd w:id="114"/>
      <w:bookmarkEnd w:id="115"/>
      <w:bookmarkEnd w:id="116"/>
    </w:p>
    <w:p w14:paraId="41245299" w14:textId="77777777" w:rsidR="00684E0D" w:rsidRPr="00132E87" w:rsidRDefault="00684E0D" w:rsidP="00132E87">
      <w:pPr>
        <w:pStyle w:val="Heading3"/>
      </w:pPr>
      <w:bookmarkStart w:id="117" w:name="_Toc457307492"/>
      <w:r w:rsidRPr="00132E87">
        <w:t>Issues</w:t>
      </w:r>
      <w:bookmarkEnd w:id="117"/>
      <w:r w:rsidRPr="00132E87">
        <w:t xml:space="preserve"> </w:t>
      </w:r>
    </w:p>
    <w:p w14:paraId="298196AB" w14:textId="47BDADAF" w:rsidR="00684E0D" w:rsidRDefault="00684E0D" w:rsidP="00360322">
      <w:r>
        <w:t xml:space="preserve">The </w:t>
      </w:r>
      <w:r w:rsidRPr="00BD184C">
        <w:t xml:space="preserve">Committee reviewed </w:t>
      </w:r>
      <w:r>
        <w:t xml:space="preserve">CE and </w:t>
      </w:r>
      <w:r w:rsidRPr="00BD184C">
        <w:t xml:space="preserve">associated </w:t>
      </w:r>
      <w:r>
        <w:t>service</w:t>
      </w:r>
      <w:r w:rsidRPr="00BD184C">
        <w:t xml:space="preserve"> data and noted the differences between the MSAC predicted services and the actual service volumes (currently ~2.5 times greater than anticipated)</w:t>
      </w:r>
      <w:r>
        <w:t xml:space="preserve"> </w:t>
      </w:r>
      <w:r w:rsidRPr="00BD184C">
        <w:t>and th</w:t>
      </w:r>
      <w:r>
        <w:t>at the</w:t>
      </w:r>
      <w:r w:rsidRPr="00BD184C">
        <w:t xml:space="preserve"> </w:t>
      </w:r>
      <w:r>
        <w:t xml:space="preserve">number of services has doubled </w:t>
      </w:r>
      <w:r w:rsidRPr="00BD184C">
        <w:t>over the past 10 years.</w:t>
      </w:r>
      <w:r w:rsidR="00C22AE4">
        <w:t xml:space="preserve"> </w:t>
      </w:r>
      <w:r w:rsidRPr="00BD184C">
        <w:t>The Committee also noted the significant variation in service volumes between</w:t>
      </w:r>
      <w:r>
        <w:t xml:space="preserve"> and within</w:t>
      </w:r>
      <w:r w:rsidRPr="00BD184C">
        <w:t xml:space="preserve"> state and territories</w:t>
      </w:r>
      <w:r>
        <w:t>.</w:t>
      </w:r>
      <w:r w:rsidR="00C22AE4">
        <w:t xml:space="preserve"> </w:t>
      </w:r>
      <w:r>
        <w:t>MBS benefits paid in 2014-15</w:t>
      </w:r>
      <w:r w:rsidRPr="00A311A3">
        <w:t xml:space="preserve"> was just over $23m for 12,156 services. </w:t>
      </w:r>
    </w:p>
    <w:p w14:paraId="6B7DE4DA" w14:textId="77777777" w:rsidR="00684E0D" w:rsidRPr="00132E87" w:rsidRDefault="00684E0D" w:rsidP="00132E87">
      <w:pPr>
        <w:pStyle w:val="Heading3"/>
      </w:pPr>
      <w:bookmarkStart w:id="118" w:name="_Toc457307493"/>
      <w:r w:rsidRPr="00132E87">
        <w:t>Rationale</w:t>
      </w:r>
      <w:bookmarkEnd w:id="118"/>
    </w:p>
    <w:p w14:paraId="57C16B04" w14:textId="09601B2C" w:rsidR="00684E0D" w:rsidRPr="001C0660" w:rsidRDefault="00684E0D" w:rsidP="00360322">
      <w:r w:rsidRPr="00A311A3">
        <w:t xml:space="preserve">The Committee found that the utilisation of capsule endoscopy is higher than anticipated and that the cause of this relates to clinical and pricing factors. Issues related to the MBS fee for these items are discussed </w:t>
      </w:r>
      <w:r>
        <w:t xml:space="preserve">below (Recommendation </w:t>
      </w:r>
      <w:r w:rsidR="005E0FD7">
        <w:t>3.2</w:t>
      </w:r>
      <w:r>
        <w:t>).</w:t>
      </w:r>
    </w:p>
    <w:p w14:paraId="323360FB" w14:textId="51F1F84A" w:rsidR="00684E0D" w:rsidRPr="00A311A3" w:rsidRDefault="00684E0D" w:rsidP="00360322">
      <w:r w:rsidRPr="00A311A3">
        <w:t xml:space="preserve">The Committee </w:t>
      </w:r>
      <w:r>
        <w:t>is concerned that</w:t>
      </w:r>
      <w:r w:rsidRPr="00A311A3">
        <w:t xml:space="preserve"> </w:t>
      </w:r>
      <w:r>
        <w:t xml:space="preserve">the </w:t>
      </w:r>
      <w:r w:rsidRPr="00A311A3">
        <w:t>use of this service may go beyond the item requirements.</w:t>
      </w:r>
      <w:r w:rsidR="00C22AE4">
        <w:t xml:space="preserve"> </w:t>
      </w:r>
      <w:r w:rsidRPr="00A311A3">
        <w:t xml:space="preserve">The Committee agreed that </w:t>
      </w:r>
      <w:r>
        <w:t>the current item</w:t>
      </w:r>
      <w:r w:rsidRPr="00A311A3">
        <w:t xml:space="preserve"> re</w:t>
      </w:r>
      <w:r>
        <w:t xml:space="preserve">quirements </w:t>
      </w:r>
      <w:r w:rsidRPr="00A311A3">
        <w:t xml:space="preserve">could be enhanced to address any uncertainty about </w:t>
      </w:r>
      <w:r>
        <w:t>appropriate use</w:t>
      </w:r>
      <w:r w:rsidRPr="00A311A3">
        <w:t>.</w:t>
      </w:r>
      <w:r w:rsidR="00C22AE4">
        <w:t xml:space="preserve"> </w:t>
      </w:r>
      <w:r>
        <w:t>In particular</w:t>
      </w:r>
      <w:r w:rsidRPr="00A311A3">
        <w:t>, it should be made clear that iron deficien</w:t>
      </w:r>
      <w:r>
        <w:t>cy (rather than</w:t>
      </w:r>
      <w:r w:rsidRPr="00A311A3">
        <w:t xml:space="preserve"> any) anaemia </w:t>
      </w:r>
      <w:r>
        <w:t>may be</w:t>
      </w:r>
      <w:r w:rsidRPr="00A311A3">
        <w:t xml:space="preserve"> an indication </w:t>
      </w:r>
      <w:r>
        <w:t xml:space="preserve">of blood loss </w:t>
      </w:r>
      <w:r w:rsidRPr="00A311A3">
        <w:t>for CE. In addition,</w:t>
      </w:r>
      <w:r>
        <w:t xml:space="preserve"> </w:t>
      </w:r>
      <w:r w:rsidRPr="00A311A3">
        <w:t>the Committee notes that the service is commonly used in women aged 35 to 55 yea</w:t>
      </w:r>
      <w:r>
        <w:t>rs</w:t>
      </w:r>
      <w:r w:rsidRPr="00A311A3">
        <w:t>, where menorrh</w:t>
      </w:r>
      <w:r>
        <w:t>ag</w:t>
      </w:r>
      <w:r w:rsidRPr="00A311A3">
        <w:t>ia would be the most common reason for iron deficiency anaemia</w:t>
      </w:r>
      <w:r>
        <w:t xml:space="preserve"> and this should </w:t>
      </w:r>
      <w:r w:rsidR="005E0FD7">
        <w:t xml:space="preserve">be </w:t>
      </w:r>
      <w:r w:rsidR="00CA0DFC">
        <w:t>consider</w:t>
      </w:r>
      <w:r w:rsidR="005E0FD7">
        <w:t>ed</w:t>
      </w:r>
      <w:r>
        <w:t xml:space="preserve"> as the possible </w:t>
      </w:r>
      <w:r w:rsidRPr="00A311A3">
        <w:t>cause of anaemia prior to performing CE.</w:t>
      </w:r>
    </w:p>
    <w:p w14:paraId="781C3F91" w14:textId="7CE2C884" w:rsidR="00684E0D" w:rsidRDefault="00684E0D" w:rsidP="00360322">
      <w:r w:rsidRPr="00A311A3">
        <w:t>The Committee also considered the pre-requisite procedural requirements specified in this service, namely an upper gastrointestinal endoscopy and a colonoscopy having been performed and not identifying the cause of the bleeding.</w:t>
      </w:r>
      <w:r w:rsidR="00C22AE4">
        <w:t xml:space="preserve"> </w:t>
      </w:r>
      <w:r w:rsidRPr="00A311A3">
        <w:t>The Committee agreed that</w:t>
      </w:r>
      <w:r>
        <w:t xml:space="preserve"> in general</w:t>
      </w:r>
      <w:r w:rsidRPr="00A311A3">
        <w:t xml:space="preserve"> a duodenal biopsy should also be performed to </w:t>
      </w:r>
      <w:r>
        <w:t xml:space="preserve">exclude coeliac disease as </w:t>
      </w:r>
      <w:r w:rsidRPr="00A311A3">
        <w:t xml:space="preserve">the cause of the </w:t>
      </w:r>
      <w:r>
        <w:t>iron deficiency anaemia</w:t>
      </w:r>
      <w:r w:rsidRPr="00A311A3">
        <w:t>.</w:t>
      </w:r>
      <w:r w:rsidR="00C22AE4">
        <w:t xml:space="preserve"> </w:t>
      </w:r>
      <w:r w:rsidRPr="00A311A3">
        <w:t xml:space="preserve">The Committee acknowledged that this </w:t>
      </w:r>
      <w:r>
        <w:t>may</w:t>
      </w:r>
      <w:r w:rsidRPr="00A311A3">
        <w:t xml:space="preserve"> be clinically unsafe for some patients such as those on anti-coagulants or anti-platelet drugs so the descriptor should specify a warning regarding contra indications.</w:t>
      </w:r>
      <w:r w:rsidR="00C22AE4">
        <w:t xml:space="preserve"> </w:t>
      </w:r>
    </w:p>
    <w:p w14:paraId="6EBF9B54" w14:textId="047721E8" w:rsidR="00684E0D" w:rsidRDefault="00684E0D" w:rsidP="00360322">
      <w:r>
        <w:t>The Committee also noted that storage requirements for CE imaging is not specified in the explanatory notes.</w:t>
      </w:r>
      <w:r w:rsidR="00C22AE4">
        <w:t xml:space="preserve"> </w:t>
      </w:r>
      <w:r>
        <w:t>The Committee considers that storage requirements for CE imaging should be provided in the explanatory notes.</w:t>
      </w:r>
    </w:p>
    <w:p w14:paraId="47B6D6E2" w14:textId="3B3A5C72" w:rsidR="00684E0D" w:rsidRPr="00132E87" w:rsidRDefault="007161FD" w:rsidP="00813502">
      <w:pPr>
        <w:pStyle w:val="Rec"/>
        <w:numPr>
          <w:ilvl w:val="0"/>
          <w:numId w:val="0"/>
        </w:numPr>
      </w:pPr>
      <w:bookmarkStart w:id="119" w:name="_Toc457307494"/>
      <w:bookmarkStart w:id="120" w:name="_Toc485731765"/>
      <w:r>
        <w:t>Recommendation 3:</w:t>
      </w:r>
      <w:r>
        <w:tab/>
      </w:r>
      <w:r w:rsidR="003260BB">
        <w:t xml:space="preserve">1. </w:t>
      </w:r>
      <w:r w:rsidR="00132E87">
        <w:t>Capsule Endoscopy</w:t>
      </w:r>
      <w:bookmarkEnd w:id="119"/>
      <w:bookmarkEnd w:id="120"/>
    </w:p>
    <w:p w14:paraId="4C5E6F32" w14:textId="1B8AA18E" w:rsidR="00684E0D" w:rsidRDefault="00684E0D" w:rsidP="00FA1377">
      <w:pPr>
        <w:pStyle w:val="ListParagraph"/>
        <w:numPr>
          <w:ilvl w:val="0"/>
          <w:numId w:val="42"/>
        </w:numPr>
        <w:spacing w:line="288" w:lineRule="auto"/>
      </w:pPr>
      <w:r w:rsidRPr="00360322">
        <w:rPr>
          <w:color w:val="000000" w:themeColor="text1"/>
        </w:rPr>
        <w:t xml:space="preserve">The Committee recommends the item descriptor be amended </w:t>
      </w:r>
      <w:r w:rsidRPr="00A311A3">
        <w:t xml:space="preserve">to better describe the service and the </w:t>
      </w:r>
      <w:r>
        <w:t xml:space="preserve">prescribed </w:t>
      </w:r>
      <w:r w:rsidRPr="00A311A3">
        <w:t>patient population.</w:t>
      </w:r>
      <w:r w:rsidR="00C22AE4">
        <w:t xml:space="preserve"> </w:t>
      </w:r>
      <w:r w:rsidR="00723475">
        <w:t>The Committee recommends the item descriptor specify the following indications and preconditions:</w:t>
      </w:r>
    </w:p>
    <w:p w14:paraId="5DDCBBDC" w14:textId="1C4D0DBC" w:rsidR="00684E0D" w:rsidRDefault="00684E0D" w:rsidP="00FA1377">
      <w:pPr>
        <w:pStyle w:val="ListParagraph"/>
        <w:numPr>
          <w:ilvl w:val="0"/>
          <w:numId w:val="41"/>
        </w:numPr>
        <w:spacing w:line="288" w:lineRule="auto"/>
      </w:pPr>
      <w:r>
        <w:lastRenderedPageBreak/>
        <w:t>Gastrointestinal bleeding that is persistent or recurrent with no cause found at endoscopy and colonoscopy;</w:t>
      </w:r>
      <w:r w:rsidR="00C22AE4">
        <w:t xml:space="preserve"> </w:t>
      </w:r>
      <w:r>
        <w:t>iron deficiency anaemia not due to coeliac disease where a duodenal biopsy (where not contra indicated) has been performed and menorrhagia if present has been considered and managed; OR</w:t>
      </w:r>
    </w:p>
    <w:p w14:paraId="781FD9EF" w14:textId="77777777" w:rsidR="00684E0D" w:rsidRDefault="00684E0D" w:rsidP="00FA1377">
      <w:pPr>
        <w:pStyle w:val="ListParagraph"/>
        <w:numPr>
          <w:ilvl w:val="0"/>
          <w:numId w:val="41"/>
        </w:numPr>
        <w:spacing w:line="288" w:lineRule="auto"/>
      </w:pPr>
      <w:r>
        <w:t>The patient has overt active gastrointestinal bleeding with no cause found at endoscopy and colonoscopy</w:t>
      </w:r>
    </w:p>
    <w:p w14:paraId="78F89F0E" w14:textId="208A4C69" w:rsidR="00684E0D" w:rsidRDefault="00684E0D" w:rsidP="00FA1377">
      <w:pPr>
        <w:pStyle w:val="ListParagraph"/>
        <w:numPr>
          <w:ilvl w:val="0"/>
          <w:numId w:val="41"/>
        </w:numPr>
        <w:spacing w:line="288" w:lineRule="auto"/>
      </w:pPr>
      <w:r>
        <w:t>The Committee recommends that storage requirements for CE imaging be provided in the explanatory notes</w:t>
      </w:r>
      <w:r w:rsidR="00723475">
        <w:t xml:space="preserve"> to the item</w:t>
      </w:r>
      <w:r>
        <w:t>.</w:t>
      </w:r>
    </w:p>
    <w:p w14:paraId="74FAD864" w14:textId="6D787514" w:rsidR="00684E0D" w:rsidRDefault="00684E0D" w:rsidP="002D0115">
      <w:pPr>
        <w:spacing w:line="288" w:lineRule="auto"/>
      </w:pPr>
      <w:r w:rsidRPr="00A311A3">
        <w:t xml:space="preserve">The proposed item descriptor for item 11820 is set out </w:t>
      </w:r>
      <w:r>
        <w:t>in</w:t>
      </w:r>
      <w:r w:rsidR="00255B49">
        <w:t xml:space="preserve"> </w:t>
      </w:r>
      <w:r w:rsidR="002B17D0" w:rsidRPr="001F4E07">
        <w:t xml:space="preserve">Table </w:t>
      </w:r>
      <w:r w:rsidR="002B17D0">
        <w:rPr>
          <w:noProof/>
        </w:rPr>
        <w:t>12</w:t>
      </w:r>
      <w:r w:rsidR="00255B49">
        <w:t>.</w:t>
      </w:r>
    </w:p>
    <w:p w14:paraId="564C5B5A" w14:textId="77777777" w:rsidR="00684E0D" w:rsidRPr="00132E87" w:rsidRDefault="00684E0D" w:rsidP="00132E87">
      <w:pPr>
        <w:pStyle w:val="Heading3"/>
      </w:pPr>
      <w:bookmarkStart w:id="121" w:name="_Toc457307495"/>
      <w:r w:rsidRPr="00132E87">
        <w:t>Recommendation Impact Statement</w:t>
      </w:r>
      <w:bookmarkEnd w:id="121"/>
    </w:p>
    <w:p w14:paraId="4A59829B" w14:textId="57EDD8D5" w:rsidR="00684E0D" w:rsidRDefault="00684E0D" w:rsidP="00360322">
      <w:r w:rsidRPr="0032145D">
        <w:t>The recommendati</w:t>
      </w:r>
      <w:r>
        <w:t>on to amend the item’s descriptor</w:t>
      </w:r>
      <w:r w:rsidRPr="0032145D">
        <w:t xml:space="preserve"> will </w:t>
      </w:r>
      <w:r>
        <w:t>better define the clinical conditions and indications to ensure the ri</w:t>
      </w:r>
      <w:r w:rsidRPr="0032145D">
        <w:t xml:space="preserve">ght patient group </w:t>
      </w:r>
      <w:r>
        <w:t>receives this service.</w:t>
      </w:r>
      <w:r w:rsidR="00C22AE4">
        <w:t xml:space="preserve"> </w:t>
      </w:r>
    </w:p>
    <w:p w14:paraId="66F45843" w14:textId="4FE4B149" w:rsidR="00684E0D" w:rsidRDefault="002D0115" w:rsidP="00684E0D">
      <w:r w:rsidRPr="008F6DEA">
        <w:rPr>
          <w:b/>
          <w:noProof/>
        </w:rPr>
        <w:drawing>
          <wp:inline distT="0" distB="0" distL="0" distR="0" wp14:anchorId="13722DD7" wp14:editId="51B4B1EC">
            <wp:extent cx="5741581" cy="3200400"/>
            <wp:effectExtent l="0" t="0" r="12065" b="19050"/>
            <wp:docPr id="3" name="Chart 3" descr="Figure 4 is a line graph with 3 indicators of predicted services, 11820 services and estimated OGIB hospital separations. The x axis shows each of the financial years from 2004-15 to 2014-15. The y axis shows the services per patient episodes from 0 to 14,00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3326AFD" w14:textId="77777777" w:rsidR="002D0115" w:rsidRDefault="00684E0D" w:rsidP="00275472">
      <w:pPr>
        <w:pStyle w:val="TableUnder"/>
        <w:spacing w:after="0" w:line="240" w:lineRule="auto"/>
        <w:rPr>
          <w:noProof/>
        </w:rPr>
      </w:pPr>
      <w:r w:rsidRPr="00275472">
        <w:t>Source:</w:t>
      </w:r>
      <w:r w:rsidRPr="00094CD8">
        <w:t xml:space="preserve"> Publicly </w:t>
      </w:r>
      <w:r w:rsidRPr="00275472">
        <w:t>available</w:t>
      </w:r>
      <w:r w:rsidRPr="00094CD8">
        <w:t xml:space="preserve"> MBS Data (Department of Human Services website)</w:t>
      </w:r>
      <w:bookmarkStart w:id="122" w:name="_Toc457307417"/>
      <w:bookmarkStart w:id="123" w:name="_Ref457353337"/>
      <w:r w:rsidR="002D0115" w:rsidRPr="002D0115">
        <w:rPr>
          <w:noProof/>
        </w:rPr>
        <w:t xml:space="preserve"> </w:t>
      </w:r>
    </w:p>
    <w:p w14:paraId="3C5A60A2" w14:textId="603F339D" w:rsidR="002D0115" w:rsidRDefault="002D0115" w:rsidP="004412C0">
      <w:pPr>
        <w:pStyle w:val="TableUnder"/>
        <w:spacing w:after="0" w:line="240" w:lineRule="auto"/>
        <w:rPr>
          <w:noProof/>
        </w:rPr>
      </w:pPr>
      <w:r>
        <w:rPr>
          <w:noProof/>
        </w:rPr>
        <w:t>B</w:t>
      </w:r>
      <w:r w:rsidRPr="009E583E">
        <w:rPr>
          <w:noProof/>
        </w:rPr>
        <w:t>ased on Department of Finance approved costings. *estimated OGIB hospital sep</w:t>
      </w:r>
      <w:r>
        <w:rPr>
          <w:noProof/>
        </w:rPr>
        <w:t>a</w:t>
      </w:r>
      <w:r w:rsidRPr="009E583E">
        <w:rPr>
          <w:noProof/>
        </w:rPr>
        <w:t>rations derived from AIHW hospital sep</w:t>
      </w:r>
      <w:r>
        <w:rPr>
          <w:noProof/>
        </w:rPr>
        <w:t>a</w:t>
      </w:r>
      <w:r w:rsidRPr="009E583E">
        <w:rPr>
          <w:noProof/>
        </w:rPr>
        <w:t>ration data described on p.4 MSAC application 1057</w:t>
      </w:r>
      <w:r>
        <w:rPr>
          <w:noProof/>
        </w:rPr>
        <w:t>.</w:t>
      </w:r>
    </w:p>
    <w:p w14:paraId="4840591F" w14:textId="67A7D3CD" w:rsidR="00C8770E" w:rsidRDefault="002D0115" w:rsidP="00C8770E">
      <w:pPr>
        <w:pStyle w:val="CaptionFigure"/>
      </w:pPr>
      <w:bookmarkStart w:id="124" w:name="_Toc457531560"/>
      <w:r w:rsidRPr="00E34579">
        <w:t xml:space="preserve">Figure </w:t>
      </w:r>
      <w:fldSimple w:instr=" SEQ Figure \* ARABIC ">
        <w:r w:rsidR="00A1715D">
          <w:rPr>
            <w:noProof/>
          </w:rPr>
          <w:t>4</w:t>
        </w:r>
      </w:fldSimple>
      <w:r w:rsidR="00990889">
        <w:rPr>
          <w:noProof/>
        </w:rPr>
        <w:t>:</w:t>
      </w:r>
      <w:r w:rsidR="00990889">
        <w:rPr>
          <w:noProof/>
        </w:rPr>
        <w:tab/>
      </w:r>
      <w:r w:rsidRPr="00856BC8">
        <w:t>MSAC predicted services vs actual services</w:t>
      </w:r>
      <w:bookmarkStart w:id="125" w:name="_Ref457353253"/>
      <w:bookmarkStart w:id="126" w:name="_Toc457307427"/>
      <w:bookmarkEnd w:id="122"/>
      <w:bookmarkEnd w:id="123"/>
      <w:bookmarkEnd w:id="124"/>
      <w:r w:rsidR="00C8770E">
        <w:br w:type="page"/>
      </w:r>
    </w:p>
    <w:p w14:paraId="08AD7E8F" w14:textId="59A5C9EC" w:rsidR="00684E0D" w:rsidRDefault="00684E0D" w:rsidP="001F4E07">
      <w:pPr>
        <w:pStyle w:val="Caption"/>
      </w:pPr>
      <w:bookmarkStart w:id="127" w:name="_Toc458527785"/>
      <w:r w:rsidRPr="00E34579">
        <w:lastRenderedPageBreak/>
        <w:t xml:space="preserve">Table </w:t>
      </w:r>
      <w:fldSimple w:instr=" SEQ Table \* ARABIC ">
        <w:r w:rsidR="00A1715D">
          <w:rPr>
            <w:noProof/>
          </w:rPr>
          <w:t>9</w:t>
        </w:r>
      </w:fldSimple>
      <w:bookmarkEnd w:id="125"/>
      <w:r w:rsidR="001646CB">
        <w:t>:</w:t>
      </w:r>
      <w:r w:rsidR="001646CB">
        <w:tab/>
      </w:r>
      <w:r w:rsidRPr="00856BC8">
        <w:t>MBS item 11820 for Capsule Endoscopy utilisation data</w:t>
      </w:r>
      <w:bookmarkEnd w:id="126"/>
      <w:bookmarkEnd w:id="127"/>
    </w:p>
    <w:tbl>
      <w:tblPr>
        <w:tblW w:w="9072" w:type="dxa"/>
        <w:tblInd w:w="62" w:type="dxa"/>
        <w:tblBorders>
          <w:top w:val="single" w:sz="4" w:space="0" w:color="B56011"/>
          <w:bottom w:val="single" w:sz="4" w:space="0" w:color="B56011"/>
          <w:insideH w:val="single" w:sz="4" w:space="0" w:color="B56011"/>
        </w:tblBorders>
        <w:tblLayout w:type="fixed"/>
        <w:tblCellMar>
          <w:left w:w="0" w:type="dxa"/>
          <w:right w:w="0" w:type="dxa"/>
        </w:tblCellMar>
        <w:tblLook w:val="04A0" w:firstRow="1" w:lastRow="0" w:firstColumn="1" w:lastColumn="0" w:noHBand="0" w:noVBand="1"/>
        <w:tblDescription w:val="Table 9 has columns listing the number of episodes, MBS benefits paid and percentage growth in benefits paid for each financial year from 2003-04 to 2014-15. "/>
      </w:tblPr>
      <w:tblGrid>
        <w:gridCol w:w="2268"/>
        <w:gridCol w:w="2268"/>
        <w:gridCol w:w="2268"/>
        <w:gridCol w:w="2268"/>
      </w:tblGrid>
      <w:tr w:rsidR="00684E0D" w:rsidRPr="0018105F" w14:paraId="3D1EB27F" w14:textId="77777777" w:rsidTr="00C8770E">
        <w:trPr>
          <w:trHeight w:val="315"/>
          <w:tblHeader/>
        </w:trPr>
        <w:tc>
          <w:tcPr>
            <w:tcW w:w="2268" w:type="dxa"/>
            <w:noWrap/>
            <w:tcMar>
              <w:top w:w="0" w:type="dxa"/>
              <w:left w:w="108" w:type="dxa"/>
              <w:bottom w:w="0" w:type="dxa"/>
              <w:right w:w="108" w:type="dxa"/>
            </w:tcMar>
            <w:hideMark/>
          </w:tcPr>
          <w:p w14:paraId="02DCDED0" w14:textId="6B114AF3" w:rsidR="00684E0D" w:rsidRPr="0018105F" w:rsidRDefault="0052022C" w:rsidP="0018105F">
            <w:pPr>
              <w:pStyle w:val="Tableheading"/>
              <w:rPr>
                <w:rFonts w:eastAsiaTheme="minorHAnsi"/>
              </w:rPr>
            </w:pPr>
            <w:r w:rsidRPr="0018105F">
              <w:rPr>
                <w:rFonts w:eastAsiaTheme="minorHAnsi"/>
              </w:rPr>
              <w:t>Year</w:t>
            </w:r>
          </w:p>
        </w:tc>
        <w:tc>
          <w:tcPr>
            <w:tcW w:w="2268" w:type="dxa"/>
            <w:noWrap/>
            <w:tcMar>
              <w:top w:w="0" w:type="dxa"/>
              <w:left w:w="108" w:type="dxa"/>
              <w:bottom w:w="0" w:type="dxa"/>
              <w:right w:w="108" w:type="dxa"/>
            </w:tcMar>
            <w:hideMark/>
          </w:tcPr>
          <w:p w14:paraId="6E5C8124" w14:textId="77777777" w:rsidR="00684E0D" w:rsidRPr="0018105F" w:rsidRDefault="00684E0D" w:rsidP="0018105F">
            <w:pPr>
              <w:pStyle w:val="Tableheading"/>
              <w:rPr>
                <w:rFonts w:eastAsiaTheme="minorHAnsi"/>
              </w:rPr>
            </w:pPr>
            <w:r w:rsidRPr="0018105F">
              <w:t>Number of services</w:t>
            </w:r>
          </w:p>
        </w:tc>
        <w:tc>
          <w:tcPr>
            <w:tcW w:w="2268" w:type="dxa"/>
            <w:noWrap/>
            <w:tcMar>
              <w:top w:w="0" w:type="dxa"/>
              <w:left w:w="108" w:type="dxa"/>
              <w:bottom w:w="0" w:type="dxa"/>
              <w:right w:w="108" w:type="dxa"/>
            </w:tcMar>
            <w:hideMark/>
          </w:tcPr>
          <w:p w14:paraId="6DD32908" w14:textId="1AA2A491" w:rsidR="00684E0D" w:rsidRPr="0018105F" w:rsidRDefault="00684E0D" w:rsidP="0018105F">
            <w:pPr>
              <w:pStyle w:val="Tableheading"/>
              <w:rPr>
                <w:rFonts w:eastAsiaTheme="minorHAnsi"/>
              </w:rPr>
            </w:pPr>
            <w:r w:rsidRPr="0018105F">
              <w:t>MBS benefits paid</w:t>
            </w:r>
          </w:p>
        </w:tc>
        <w:tc>
          <w:tcPr>
            <w:tcW w:w="2268" w:type="dxa"/>
            <w:noWrap/>
            <w:tcMar>
              <w:top w:w="0" w:type="dxa"/>
              <w:left w:w="108" w:type="dxa"/>
              <w:bottom w:w="0" w:type="dxa"/>
              <w:right w:w="108" w:type="dxa"/>
            </w:tcMar>
            <w:hideMark/>
          </w:tcPr>
          <w:p w14:paraId="58D9F87D" w14:textId="6C8FFE07" w:rsidR="00684E0D" w:rsidRPr="0018105F" w:rsidRDefault="00684E0D" w:rsidP="0018105F">
            <w:pPr>
              <w:pStyle w:val="Tableheading"/>
              <w:jc w:val="center"/>
              <w:rPr>
                <w:rFonts w:eastAsiaTheme="minorHAnsi"/>
              </w:rPr>
            </w:pPr>
            <w:r w:rsidRPr="0018105F">
              <w:t>% Growth</w:t>
            </w:r>
          </w:p>
        </w:tc>
      </w:tr>
      <w:tr w:rsidR="00684E0D" w14:paraId="4773A4B5" w14:textId="77777777" w:rsidTr="0052022C">
        <w:trPr>
          <w:trHeight w:val="315"/>
        </w:trPr>
        <w:tc>
          <w:tcPr>
            <w:tcW w:w="2268" w:type="dxa"/>
            <w:noWrap/>
            <w:tcMar>
              <w:top w:w="0" w:type="dxa"/>
              <w:left w:w="108" w:type="dxa"/>
              <w:bottom w:w="0" w:type="dxa"/>
              <w:right w:w="108" w:type="dxa"/>
            </w:tcMar>
            <w:hideMark/>
          </w:tcPr>
          <w:p w14:paraId="5DB278DE" w14:textId="77777777" w:rsidR="00684E0D" w:rsidRPr="000E5D39" w:rsidRDefault="00684E0D" w:rsidP="0018105F">
            <w:pPr>
              <w:pStyle w:val="Tabletext"/>
              <w:rPr>
                <w:rFonts w:eastAsiaTheme="minorHAnsi"/>
              </w:rPr>
            </w:pPr>
            <w:r w:rsidRPr="000E5D39">
              <w:t>2003/04</w:t>
            </w:r>
          </w:p>
        </w:tc>
        <w:tc>
          <w:tcPr>
            <w:tcW w:w="2268" w:type="dxa"/>
            <w:noWrap/>
            <w:tcMar>
              <w:top w:w="0" w:type="dxa"/>
              <w:left w:w="108" w:type="dxa"/>
              <w:bottom w:w="0" w:type="dxa"/>
              <w:right w:w="108" w:type="dxa"/>
            </w:tcMar>
            <w:hideMark/>
          </w:tcPr>
          <w:p w14:paraId="22D3C879" w14:textId="77777777" w:rsidR="00684E0D" w:rsidRPr="000E5D39" w:rsidRDefault="00684E0D" w:rsidP="0018105F">
            <w:pPr>
              <w:pStyle w:val="TableTextDecimalAlign"/>
              <w:rPr>
                <w:rFonts w:eastAsiaTheme="minorHAnsi"/>
              </w:rPr>
            </w:pPr>
            <w:r w:rsidRPr="000E5D39">
              <w:t>134</w:t>
            </w:r>
          </w:p>
        </w:tc>
        <w:tc>
          <w:tcPr>
            <w:tcW w:w="2268" w:type="dxa"/>
            <w:noWrap/>
            <w:tcMar>
              <w:top w:w="0" w:type="dxa"/>
              <w:left w:w="108" w:type="dxa"/>
              <w:bottom w:w="0" w:type="dxa"/>
              <w:right w:w="108" w:type="dxa"/>
            </w:tcMar>
            <w:hideMark/>
          </w:tcPr>
          <w:p w14:paraId="31BE8C0C" w14:textId="77777777" w:rsidR="00684E0D" w:rsidRPr="000E5D39" w:rsidRDefault="00684E0D" w:rsidP="0018105F">
            <w:pPr>
              <w:pStyle w:val="TableTextDecimalAlign"/>
              <w:rPr>
                <w:rFonts w:eastAsiaTheme="minorHAnsi"/>
              </w:rPr>
            </w:pPr>
            <w:r w:rsidRPr="000E5D39">
              <w:t>$212,451</w:t>
            </w:r>
          </w:p>
        </w:tc>
        <w:tc>
          <w:tcPr>
            <w:tcW w:w="2268" w:type="dxa"/>
            <w:noWrap/>
            <w:tcMar>
              <w:top w:w="0" w:type="dxa"/>
              <w:left w:w="108" w:type="dxa"/>
              <w:bottom w:w="0" w:type="dxa"/>
              <w:right w:w="108" w:type="dxa"/>
            </w:tcMar>
            <w:hideMark/>
          </w:tcPr>
          <w:p w14:paraId="760F63C6" w14:textId="77777777" w:rsidR="00684E0D" w:rsidRPr="000E5D39" w:rsidRDefault="00684E0D" w:rsidP="0018105F">
            <w:pPr>
              <w:pStyle w:val="TableTextDecimalAlign"/>
              <w:rPr>
                <w:rFonts w:eastAsiaTheme="minorHAnsi"/>
              </w:rPr>
            </w:pPr>
            <w:r w:rsidRPr="000E5D39">
              <w:t>0</w:t>
            </w:r>
          </w:p>
        </w:tc>
      </w:tr>
      <w:tr w:rsidR="00684E0D" w14:paraId="62B67084" w14:textId="77777777" w:rsidTr="0052022C">
        <w:trPr>
          <w:trHeight w:val="315"/>
        </w:trPr>
        <w:tc>
          <w:tcPr>
            <w:tcW w:w="2268" w:type="dxa"/>
            <w:noWrap/>
            <w:tcMar>
              <w:top w:w="0" w:type="dxa"/>
              <w:left w:w="108" w:type="dxa"/>
              <w:bottom w:w="0" w:type="dxa"/>
              <w:right w:w="108" w:type="dxa"/>
            </w:tcMar>
            <w:hideMark/>
          </w:tcPr>
          <w:p w14:paraId="3A827E4F" w14:textId="77777777" w:rsidR="00684E0D" w:rsidRPr="000E5D39" w:rsidRDefault="00684E0D" w:rsidP="0018105F">
            <w:pPr>
              <w:pStyle w:val="Tabletext"/>
              <w:rPr>
                <w:rFonts w:eastAsiaTheme="minorHAnsi"/>
              </w:rPr>
            </w:pPr>
            <w:r w:rsidRPr="000E5D39">
              <w:t>2004/05</w:t>
            </w:r>
          </w:p>
        </w:tc>
        <w:tc>
          <w:tcPr>
            <w:tcW w:w="2268" w:type="dxa"/>
            <w:noWrap/>
            <w:tcMar>
              <w:top w:w="0" w:type="dxa"/>
              <w:left w:w="108" w:type="dxa"/>
              <w:bottom w:w="0" w:type="dxa"/>
              <w:right w:w="108" w:type="dxa"/>
            </w:tcMar>
            <w:hideMark/>
          </w:tcPr>
          <w:p w14:paraId="3B346C46" w14:textId="77777777" w:rsidR="00684E0D" w:rsidRPr="000E5D39" w:rsidRDefault="00684E0D" w:rsidP="0018105F">
            <w:pPr>
              <w:pStyle w:val="TableTextDecimalAlign"/>
              <w:rPr>
                <w:rFonts w:eastAsiaTheme="minorHAnsi"/>
              </w:rPr>
            </w:pPr>
            <w:r w:rsidRPr="000E5D39">
              <w:t>2,556</w:t>
            </w:r>
          </w:p>
        </w:tc>
        <w:tc>
          <w:tcPr>
            <w:tcW w:w="2268" w:type="dxa"/>
            <w:noWrap/>
            <w:tcMar>
              <w:top w:w="0" w:type="dxa"/>
              <w:left w:w="108" w:type="dxa"/>
              <w:bottom w:w="0" w:type="dxa"/>
              <w:right w:w="108" w:type="dxa"/>
            </w:tcMar>
            <w:hideMark/>
          </w:tcPr>
          <w:p w14:paraId="652A8F85" w14:textId="77777777" w:rsidR="00684E0D" w:rsidRPr="000E5D39" w:rsidRDefault="00684E0D" w:rsidP="0018105F">
            <w:pPr>
              <w:pStyle w:val="TableTextDecimalAlign"/>
              <w:rPr>
                <w:rFonts w:eastAsiaTheme="minorHAnsi"/>
              </w:rPr>
            </w:pPr>
            <w:r w:rsidRPr="000E5D39">
              <w:t>$4,129,917</w:t>
            </w:r>
          </w:p>
        </w:tc>
        <w:tc>
          <w:tcPr>
            <w:tcW w:w="2268" w:type="dxa"/>
            <w:noWrap/>
            <w:tcMar>
              <w:top w:w="0" w:type="dxa"/>
              <w:left w:w="108" w:type="dxa"/>
              <w:bottom w:w="0" w:type="dxa"/>
              <w:right w:w="108" w:type="dxa"/>
            </w:tcMar>
            <w:hideMark/>
          </w:tcPr>
          <w:p w14:paraId="2CD0D635" w14:textId="77777777" w:rsidR="00684E0D" w:rsidRPr="000E5D39" w:rsidRDefault="00684E0D" w:rsidP="0018105F">
            <w:pPr>
              <w:pStyle w:val="TableTextDecimalAlign"/>
              <w:rPr>
                <w:rFonts w:eastAsiaTheme="minorHAnsi"/>
              </w:rPr>
            </w:pPr>
            <w:r w:rsidRPr="000E5D39">
              <w:t>1844%</w:t>
            </w:r>
          </w:p>
        </w:tc>
      </w:tr>
      <w:tr w:rsidR="00684E0D" w14:paraId="5050C6E9" w14:textId="77777777" w:rsidTr="0052022C">
        <w:trPr>
          <w:trHeight w:val="315"/>
        </w:trPr>
        <w:tc>
          <w:tcPr>
            <w:tcW w:w="2268" w:type="dxa"/>
            <w:noWrap/>
            <w:tcMar>
              <w:top w:w="0" w:type="dxa"/>
              <w:left w:w="108" w:type="dxa"/>
              <w:bottom w:w="0" w:type="dxa"/>
              <w:right w:w="108" w:type="dxa"/>
            </w:tcMar>
            <w:hideMark/>
          </w:tcPr>
          <w:p w14:paraId="0C0759D0" w14:textId="77777777" w:rsidR="00684E0D" w:rsidRPr="000E5D39" w:rsidRDefault="00684E0D" w:rsidP="0018105F">
            <w:pPr>
              <w:pStyle w:val="Tabletext"/>
              <w:rPr>
                <w:rFonts w:eastAsiaTheme="minorHAnsi"/>
              </w:rPr>
            </w:pPr>
            <w:r w:rsidRPr="000E5D39">
              <w:t>2005/06</w:t>
            </w:r>
          </w:p>
        </w:tc>
        <w:tc>
          <w:tcPr>
            <w:tcW w:w="2268" w:type="dxa"/>
            <w:noWrap/>
            <w:tcMar>
              <w:top w:w="0" w:type="dxa"/>
              <w:left w:w="108" w:type="dxa"/>
              <w:bottom w:w="0" w:type="dxa"/>
              <w:right w:w="108" w:type="dxa"/>
            </w:tcMar>
            <w:hideMark/>
          </w:tcPr>
          <w:p w14:paraId="110D3C95" w14:textId="77777777" w:rsidR="00684E0D" w:rsidRPr="000E5D39" w:rsidRDefault="00684E0D" w:rsidP="0018105F">
            <w:pPr>
              <w:pStyle w:val="TableTextDecimalAlign"/>
              <w:rPr>
                <w:rFonts w:eastAsiaTheme="minorHAnsi"/>
              </w:rPr>
            </w:pPr>
            <w:r w:rsidRPr="000E5D39">
              <w:t>3,613</w:t>
            </w:r>
          </w:p>
        </w:tc>
        <w:tc>
          <w:tcPr>
            <w:tcW w:w="2268" w:type="dxa"/>
            <w:noWrap/>
            <w:tcMar>
              <w:top w:w="0" w:type="dxa"/>
              <w:left w:w="108" w:type="dxa"/>
              <w:bottom w:w="0" w:type="dxa"/>
              <w:right w:w="108" w:type="dxa"/>
            </w:tcMar>
            <w:hideMark/>
          </w:tcPr>
          <w:p w14:paraId="43D9E690" w14:textId="77777777" w:rsidR="00684E0D" w:rsidRPr="000E5D39" w:rsidRDefault="00684E0D" w:rsidP="0018105F">
            <w:pPr>
              <w:pStyle w:val="TableTextDecimalAlign"/>
              <w:rPr>
                <w:rFonts w:eastAsiaTheme="minorHAnsi"/>
              </w:rPr>
            </w:pPr>
            <w:r w:rsidRPr="000E5D39">
              <w:t>$5,918,034</w:t>
            </w:r>
          </w:p>
        </w:tc>
        <w:tc>
          <w:tcPr>
            <w:tcW w:w="2268" w:type="dxa"/>
            <w:noWrap/>
            <w:tcMar>
              <w:top w:w="0" w:type="dxa"/>
              <w:left w:w="108" w:type="dxa"/>
              <w:bottom w:w="0" w:type="dxa"/>
              <w:right w:w="108" w:type="dxa"/>
            </w:tcMar>
            <w:hideMark/>
          </w:tcPr>
          <w:p w14:paraId="196EF243" w14:textId="77777777" w:rsidR="00684E0D" w:rsidRPr="000E5D39" w:rsidRDefault="00684E0D" w:rsidP="0018105F">
            <w:pPr>
              <w:pStyle w:val="TableTextDecimalAlign"/>
              <w:rPr>
                <w:rFonts w:eastAsiaTheme="minorHAnsi"/>
              </w:rPr>
            </w:pPr>
            <w:r w:rsidRPr="000E5D39">
              <w:t>43%</w:t>
            </w:r>
          </w:p>
        </w:tc>
      </w:tr>
      <w:tr w:rsidR="00684E0D" w14:paraId="721C2389" w14:textId="77777777" w:rsidTr="0052022C">
        <w:trPr>
          <w:trHeight w:val="315"/>
        </w:trPr>
        <w:tc>
          <w:tcPr>
            <w:tcW w:w="2268" w:type="dxa"/>
            <w:noWrap/>
            <w:tcMar>
              <w:top w:w="0" w:type="dxa"/>
              <w:left w:w="108" w:type="dxa"/>
              <w:bottom w:w="0" w:type="dxa"/>
              <w:right w:w="108" w:type="dxa"/>
            </w:tcMar>
            <w:hideMark/>
          </w:tcPr>
          <w:p w14:paraId="45EBB8ED" w14:textId="77777777" w:rsidR="00684E0D" w:rsidRPr="000E5D39" w:rsidRDefault="00684E0D" w:rsidP="0018105F">
            <w:pPr>
              <w:pStyle w:val="Tabletext"/>
              <w:rPr>
                <w:rFonts w:eastAsiaTheme="minorHAnsi"/>
              </w:rPr>
            </w:pPr>
            <w:r w:rsidRPr="000E5D39">
              <w:t>2006/07</w:t>
            </w:r>
          </w:p>
        </w:tc>
        <w:tc>
          <w:tcPr>
            <w:tcW w:w="2268" w:type="dxa"/>
            <w:noWrap/>
            <w:tcMar>
              <w:top w:w="0" w:type="dxa"/>
              <w:left w:w="108" w:type="dxa"/>
              <w:bottom w:w="0" w:type="dxa"/>
              <w:right w:w="108" w:type="dxa"/>
            </w:tcMar>
            <w:hideMark/>
          </w:tcPr>
          <w:p w14:paraId="7F224598" w14:textId="77777777" w:rsidR="00684E0D" w:rsidRPr="000E5D39" w:rsidRDefault="00684E0D" w:rsidP="0018105F">
            <w:pPr>
              <w:pStyle w:val="TableTextDecimalAlign"/>
              <w:rPr>
                <w:rFonts w:eastAsiaTheme="minorHAnsi"/>
              </w:rPr>
            </w:pPr>
            <w:r w:rsidRPr="000E5D39">
              <w:t>4,957</w:t>
            </w:r>
          </w:p>
        </w:tc>
        <w:tc>
          <w:tcPr>
            <w:tcW w:w="2268" w:type="dxa"/>
            <w:noWrap/>
            <w:tcMar>
              <w:top w:w="0" w:type="dxa"/>
              <w:left w:w="108" w:type="dxa"/>
              <w:bottom w:w="0" w:type="dxa"/>
              <w:right w:w="108" w:type="dxa"/>
            </w:tcMar>
            <w:hideMark/>
          </w:tcPr>
          <w:p w14:paraId="60D4CED4" w14:textId="77777777" w:rsidR="00684E0D" w:rsidRPr="000E5D39" w:rsidRDefault="00684E0D" w:rsidP="0018105F">
            <w:pPr>
              <w:pStyle w:val="TableTextDecimalAlign"/>
              <w:rPr>
                <w:rFonts w:eastAsiaTheme="minorHAnsi"/>
              </w:rPr>
            </w:pPr>
            <w:r w:rsidRPr="000E5D39">
              <w:t>$8,276,094</w:t>
            </w:r>
          </w:p>
        </w:tc>
        <w:tc>
          <w:tcPr>
            <w:tcW w:w="2268" w:type="dxa"/>
            <w:noWrap/>
            <w:tcMar>
              <w:top w:w="0" w:type="dxa"/>
              <w:left w:w="108" w:type="dxa"/>
              <w:bottom w:w="0" w:type="dxa"/>
              <w:right w:w="108" w:type="dxa"/>
            </w:tcMar>
            <w:hideMark/>
          </w:tcPr>
          <w:p w14:paraId="5F0F8989" w14:textId="77777777" w:rsidR="00684E0D" w:rsidRPr="000E5D39" w:rsidRDefault="00684E0D" w:rsidP="0018105F">
            <w:pPr>
              <w:pStyle w:val="TableTextDecimalAlign"/>
              <w:rPr>
                <w:rFonts w:eastAsiaTheme="minorHAnsi"/>
              </w:rPr>
            </w:pPr>
            <w:r w:rsidRPr="000E5D39">
              <w:t>40%</w:t>
            </w:r>
          </w:p>
        </w:tc>
      </w:tr>
      <w:tr w:rsidR="00684E0D" w14:paraId="72B9DC76" w14:textId="77777777" w:rsidTr="0052022C">
        <w:trPr>
          <w:trHeight w:val="315"/>
        </w:trPr>
        <w:tc>
          <w:tcPr>
            <w:tcW w:w="2268" w:type="dxa"/>
            <w:noWrap/>
            <w:tcMar>
              <w:top w:w="0" w:type="dxa"/>
              <w:left w:w="108" w:type="dxa"/>
              <w:bottom w:w="0" w:type="dxa"/>
              <w:right w:w="108" w:type="dxa"/>
            </w:tcMar>
            <w:hideMark/>
          </w:tcPr>
          <w:p w14:paraId="3C8C25A6" w14:textId="77777777" w:rsidR="00684E0D" w:rsidRPr="000E5D39" w:rsidRDefault="00684E0D" w:rsidP="0018105F">
            <w:pPr>
              <w:pStyle w:val="Tabletext"/>
              <w:rPr>
                <w:rFonts w:eastAsiaTheme="minorHAnsi"/>
              </w:rPr>
            </w:pPr>
            <w:r w:rsidRPr="000E5D39">
              <w:t>2007/08</w:t>
            </w:r>
          </w:p>
        </w:tc>
        <w:tc>
          <w:tcPr>
            <w:tcW w:w="2268" w:type="dxa"/>
            <w:noWrap/>
            <w:tcMar>
              <w:top w:w="0" w:type="dxa"/>
              <w:left w:w="108" w:type="dxa"/>
              <w:bottom w:w="0" w:type="dxa"/>
              <w:right w:w="108" w:type="dxa"/>
            </w:tcMar>
            <w:hideMark/>
          </w:tcPr>
          <w:p w14:paraId="678D13EA" w14:textId="77777777" w:rsidR="00684E0D" w:rsidRPr="000E5D39" w:rsidRDefault="00684E0D" w:rsidP="0018105F">
            <w:pPr>
              <w:pStyle w:val="TableTextDecimalAlign"/>
              <w:rPr>
                <w:rFonts w:eastAsiaTheme="minorHAnsi"/>
              </w:rPr>
            </w:pPr>
            <w:r w:rsidRPr="000E5D39">
              <w:t>6,240</w:t>
            </w:r>
          </w:p>
        </w:tc>
        <w:tc>
          <w:tcPr>
            <w:tcW w:w="2268" w:type="dxa"/>
            <w:noWrap/>
            <w:tcMar>
              <w:top w:w="0" w:type="dxa"/>
              <w:left w:w="108" w:type="dxa"/>
              <w:bottom w:w="0" w:type="dxa"/>
              <w:right w:w="108" w:type="dxa"/>
            </w:tcMar>
            <w:hideMark/>
          </w:tcPr>
          <w:p w14:paraId="2A41E435" w14:textId="77777777" w:rsidR="00684E0D" w:rsidRPr="000E5D39" w:rsidRDefault="00684E0D" w:rsidP="0018105F">
            <w:pPr>
              <w:pStyle w:val="TableTextDecimalAlign"/>
              <w:rPr>
                <w:rFonts w:eastAsiaTheme="minorHAnsi"/>
              </w:rPr>
            </w:pPr>
            <w:r w:rsidRPr="000E5D39">
              <w:t>$10,692,169</w:t>
            </w:r>
          </w:p>
        </w:tc>
        <w:tc>
          <w:tcPr>
            <w:tcW w:w="2268" w:type="dxa"/>
            <w:noWrap/>
            <w:tcMar>
              <w:top w:w="0" w:type="dxa"/>
              <w:left w:w="108" w:type="dxa"/>
              <w:bottom w:w="0" w:type="dxa"/>
              <w:right w:w="108" w:type="dxa"/>
            </w:tcMar>
            <w:hideMark/>
          </w:tcPr>
          <w:p w14:paraId="3CDC83D2" w14:textId="77777777" w:rsidR="00684E0D" w:rsidRPr="000E5D39" w:rsidRDefault="00684E0D" w:rsidP="0018105F">
            <w:pPr>
              <w:pStyle w:val="TableTextDecimalAlign"/>
              <w:rPr>
                <w:rFonts w:eastAsiaTheme="minorHAnsi"/>
              </w:rPr>
            </w:pPr>
            <w:r w:rsidRPr="000E5D39">
              <w:t>29%</w:t>
            </w:r>
          </w:p>
        </w:tc>
      </w:tr>
      <w:tr w:rsidR="00684E0D" w14:paraId="27E52992" w14:textId="77777777" w:rsidTr="0052022C">
        <w:trPr>
          <w:trHeight w:val="315"/>
        </w:trPr>
        <w:tc>
          <w:tcPr>
            <w:tcW w:w="2268" w:type="dxa"/>
            <w:noWrap/>
            <w:tcMar>
              <w:top w:w="0" w:type="dxa"/>
              <w:left w:w="108" w:type="dxa"/>
              <w:bottom w:w="0" w:type="dxa"/>
              <w:right w:w="108" w:type="dxa"/>
            </w:tcMar>
            <w:hideMark/>
          </w:tcPr>
          <w:p w14:paraId="5F4B9E84" w14:textId="77777777" w:rsidR="00684E0D" w:rsidRPr="000E5D39" w:rsidRDefault="00684E0D" w:rsidP="0018105F">
            <w:pPr>
              <w:pStyle w:val="Tabletext"/>
              <w:rPr>
                <w:rFonts w:eastAsiaTheme="minorHAnsi"/>
              </w:rPr>
            </w:pPr>
            <w:r w:rsidRPr="000E5D39">
              <w:t>2008/09</w:t>
            </w:r>
          </w:p>
        </w:tc>
        <w:tc>
          <w:tcPr>
            <w:tcW w:w="2268" w:type="dxa"/>
            <w:noWrap/>
            <w:tcMar>
              <w:top w:w="0" w:type="dxa"/>
              <w:left w:w="108" w:type="dxa"/>
              <w:bottom w:w="0" w:type="dxa"/>
              <w:right w:w="108" w:type="dxa"/>
            </w:tcMar>
            <w:hideMark/>
          </w:tcPr>
          <w:p w14:paraId="730D0D56" w14:textId="77777777" w:rsidR="00684E0D" w:rsidRPr="000E5D39" w:rsidRDefault="00684E0D" w:rsidP="0018105F">
            <w:pPr>
              <w:pStyle w:val="TableTextDecimalAlign"/>
              <w:rPr>
                <w:rFonts w:eastAsiaTheme="minorHAnsi"/>
              </w:rPr>
            </w:pPr>
            <w:r w:rsidRPr="000E5D39">
              <w:t>7,341</w:t>
            </w:r>
          </w:p>
        </w:tc>
        <w:tc>
          <w:tcPr>
            <w:tcW w:w="2268" w:type="dxa"/>
            <w:noWrap/>
            <w:tcMar>
              <w:top w:w="0" w:type="dxa"/>
              <w:left w:w="108" w:type="dxa"/>
              <w:bottom w:w="0" w:type="dxa"/>
              <w:right w:w="108" w:type="dxa"/>
            </w:tcMar>
            <w:hideMark/>
          </w:tcPr>
          <w:p w14:paraId="56C57ED9" w14:textId="77777777" w:rsidR="00684E0D" w:rsidRPr="000E5D39" w:rsidRDefault="00684E0D" w:rsidP="0018105F">
            <w:pPr>
              <w:pStyle w:val="TableTextDecimalAlign"/>
              <w:rPr>
                <w:rFonts w:eastAsiaTheme="minorHAnsi"/>
              </w:rPr>
            </w:pPr>
            <w:r w:rsidRPr="000E5D39">
              <w:t>$12,929,036</w:t>
            </w:r>
          </w:p>
        </w:tc>
        <w:tc>
          <w:tcPr>
            <w:tcW w:w="2268" w:type="dxa"/>
            <w:noWrap/>
            <w:tcMar>
              <w:top w:w="0" w:type="dxa"/>
              <w:left w:w="108" w:type="dxa"/>
              <w:bottom w:w="0" w:type="dxa"/>
              <w:right w:w="108" w:type="dxa"/>
            </w:tcMar>
            <w:hideMark/>
          </w:tcPr>
          <w:p w14:paraId="71A0262B" w14:textId="77777777" w:rsidR="00684E0D" w:rsidRPr="000E5D39" w:rsidRDefault="00684E0D" w:rsidP="0018105F">
            <w:pPr>
              <w:pStyle w:val="TableTextDecimalAlign"/>
              <w:rPr>
                <w:rFonts w:eastAsiaTheme="minorHAnsi"/>
              </w:rPr>
            </w:pPr>
            <w:r w:rsidRPr="000E5D39">
              <w:t>21%</w:t>
            </w:r>
          </w:p>
        </w:tc>
      </w:tr>
      <w:tr w:rsidR="00684E0D" w14:paraId="2A7F0EDF" w14:textId="77777777" w:rsidTr="0052022C">
        <w:trPr>
          <w:trHeight w:val="315"/>
        </w:trPr>
        <w:tc>
          <w:tcPr>
            <w:tcW w:w="2268" w:type="dxa"/>
            <w:noWrap/>
            <w:tcMar>
              <w:top w:w="0" w:type="dxa"/>
              <w:left w:w="108" w:type="dxa"/>
              <w:bottom w:w="0" w:type="dxa"/>
              <w:right w:w="108" w:type="dxa"/>
            </w:tcMar>
            <w:hideMark/>
          </w:tcPr>
          <w:p w14:paraId="1D7899E3" w14:textId="77777777" w:rsidR="00684E0D" w:rsidRPr="000E5D39" w:rsidRDefault="00684E0D" w:rsidP="0018105F">
            <w:pPr>
              <w:pStyle w:val="Tabletext"/>
              <w:rPr>
                <w:rFonts w:eastAsiaTheme="minorHAnsi"/>
              </w:rPr>
            </w:pPr>
            <w:r w:rsidRPr="000E5D39">
              <w:t>2009/10</w:t>
            </w:r>
          </w:p>
        </w:tc>
        <w:tc>
          <w:tcPr>
            <w:tcW w:w="2268" w:type="dxa"/>
            <w:noWrap/>
            <w:tcMar>
              <w:top w:w="0" w:type="dxa"/>
              <w:left w:w="108" w:type="dxa"/>
              <w:bottom w:w="0" w:type="dxa"/>
              <w:right w:w="108" w:type="dxa"/>
            </w:tcMar>
            <w:hideMark/>
          </w:tcPr>
          <w:p w14:paraId="36B456C2" w14:textId="77777777" w:rsidR="00684E0D" w:rsidRPr="000E5D39" w:rsidRDefault="00684E0D" w:rsidP="0018105F">
            <w:pPr>
              <w:pStyle w:val="TableTextDecimalAlign"/>
              <w:rPr>
                <w:rFonts w:eastAsiaTheme="minorHAnsi"/>
              </w:rPr>
            </w:pPr>
            <w:r w:rsidRPr="000E5D39">
              <w:t>8,165</w:t>
            </w:r>
          </w:p>
        </w:tc>
        <w:tc>
          <w:tcPr>
            <w:tcW w:w="2268" w:type="dxa"/>
            <w:noWrap/>
            <w:tcMar>
              <w:top w:w="0" w:type="dxa"/>
              <w:left w:w="108" w:type="dxa"/>
              <w:bottom w:w="0" w:type="dxa"/>
              <w:right w:w="108" w:type="dxa"/>
            </w:tcMar>
            <w:hideMark/>
          </w:tcPr>
          <w:p w14:paraId="3F711A48" w14:textId="77777777" w:rsidR="00684E0D" w:rsidRPr="000E5D39" w:rsidRDefault="00684E0D" w:rsidP="0018105F">
            <w:pPr>
              <w:pStyle w:val="TableTextDecimalAlign"/>
              <w:rPr>
                <w:rFonts w:eastAsiaTheme="minorHAnsi"/>
              </w:rPr>
            </w:pPr>
            <w:r w:rsidRPr="000E5D39">
              <w:t>$14,729,383</w:t>
            </w:r>
          </w:p>
        </w:tc>
        <w:tc>
          <w:tcPr>
            <w:tcW w:w="2268" w:type="dxa"/>
            <w:noWrap/>
            <w:tcMar>
              <w:top w:w="0" w:type="dxa"/>
              <w:left w:w="108" w:type="dxa"/>
              <w:bottom w:w="0" w:type="dxa"/>
              <w:right w:w="108" w:type="dxa"/>
            </w:tcMar>
            <w:hideMark/>
          </w:tcPr>
          <w:p w14:paraId="710A12C5" w14:textId="77777777" w:rsidR="00684E0D" w:rsidRPr="000E5D39" w:rsidRDefault="00684E0D" w:rsidP="0018105F">
            <w:pPr>
              <w:pStyle w:val="TableTextDecimalAlign"/>
              <w:rPr>
                <w:rFonts w:eastAsiaTheme="minorHAnsi"/>
              </w:rPr>
            </w:pPr>
            <w:r w:rsidRPr="000E5D39">
              <w:t>14%</w:t>
            </w:r>
          </w:p>
        </w:tc>
      </w:tr>
      <w:tr w:rsidR="00684E0D" w14:paraId="6350CED2" w14:textId="77777777" w:rsidTr="0052022C">
        <w:trPr>
          <w:trHeight w:val="315"/>
        </w:trPr>
        <w:tc>
          <w:tcPr>
            <w:tcW w:w="2268" w:type="dxa"/>
            <w:noWrap/>
            <w:tcMar>
              <w:top w:w="0" w:type="dxa"/>
              <w:left w:w="108" w:type="dxa"/>
              <w:bottom w:w="0" w:type="dxa"/>
              <w:right w:w="108" w:type="dxa"/>
            </w:tcMar>
            <w:hideMark/>
          </w:tcPr>
          <w:p w14:paraId="676A4BDD" w14:textId="77777777" w:rsidR="00684E0D" w:rsidRPr="000E5D39" w:rsidRDefault="00684E0D" w:rsidP="0018105F">
            <w:pPr>
              <w:pStyle w:val="Tabletext"/>
              <w:rPr>
                <w:rFonts w:eastAsiaTheme="minorHAnsi"/>
              </w:rPr>
            </w:pPr>
            <w:r w:rsidRPr="000E5D39">
              <w:t>2010/11</w:t>
            </w:r>
          </w:p>
        </w:tc>
        <w:tc>
          <w:tcPr>
            <w:tcW w:w="2268" w:type="dxa"/>
            <w:noWrap/>
            <w:tcMar>
              <w:top w:w="0" w:type="dxa"/>
              <w:left w:w="108" w:type="dxa"/>
              <w:bottom w:w="0" w:type="dxa"/>
              <w:right w:w="108" w:type="dxa"/>
            </w:tcMar>
            <w:hideMark/>
          </w:tcPr>
          <w:p w14:paraId="73ED48BB" w14:textId="77777777" w:rsidR="00684E0D" w:rsidRPr="000E5D39" w:rsidRDefault="00684E0D" w:rsidP="0018105F">
            <w:pPr>
              <w:pStyle w:val="TableTextDecimalAlign"/>
              <w:rPr>
                <w:rFonts w:eastAsiaTheme="minorHAnsi"/>
              </w:rPr>
            </w:pPr>
            <w:r w:rsidRPr="000E5D39">
              <w:t>8,485</w:t>
            </w:r>
          </w:p>
        </w:tc>
        <w:tc>
          <w:tcPr>
            <w:tcW w:w="2268" w:type="dxa"/>
            <w:noWrap/>
            <w:tcMar>
              <w:top w:w="0" w:type="dxa"/>
              <w:left w:w="108" w:type="dxa"/>
              <w:bottom w:w="0" w:type="dxa"/>
              <w:right w:w="108" w:type="dxa"/>
            </w:tcMar>
            <w:hideMark/>
          </w:tcPr>
          <w:p w14:paraId="710C19E7" w14:textId="77777777" w:rsidR="00684E0D" w:rsidRPr="000E5D39" w:rsidRDefault="00684E0D" w:rsidP="0018105F">
            <w:pPr>
              <w:pStyle w:val="TableTextDecimalAlign"/>
              <w:rPr>
                <w:rFonts w:eastAsiaTheme="minorHAnsi"/>
              </w:rPr>
            </w:pPr>
            <w:r w:rsidRPr="000E5D39">
              <w:t>$15,616,801</w:t>
            </w:r>
          </w:p>
        </w:tc>
        <w:tc>
          <w:tcPr>
            <w:tcW w:w="2268" w:type="dxa"/>
            <w:noWrap/>
            <w:tcMar>
              <w:top w:w="0" w:type="dxa"/>
              <w:left w:w="108" w:type="dxa"/>
              <w:bottom w:w="0" w:type="dxa"/>
              <w:right w:w="108" w:type="dxa"/>
            </w:tcMar>
            <w:hideMark/>
          </w:tcPr>
          <w:p w14:paraId="784AA960" w14:textId="77777777" w:rsidR="00684E0D" w:rsidRPr="000E5D39" w:rsidRDefault="00684E0D" w:rsidP="0018105F">
            <w:pPr>
              <w:pStyle w:val="TableTextDecimalAlign"/>
              <w:rPr>
                <w:rFonts w:eastAsiaTheme="minorHAnsi"/>
              </w:rPr>
            </w:pPr>
            <w:r w:rsidRPr="000E5D39">
              <w:t>6%</w:t>
            </w:r>
          </w:p>
        </w:tc>
      </w:tr>
      <w:tr w:rsidR="00684E0D" w14:paraId="2E403C78" w14:textId="77777777" w:rsidTr="0052022C">
        <w:trPr>
          <w:trHeight w:val="315"/>
        </w:trPr>
        <w:tc>
          <w:tcPr>
            <w:tcW w:w="2268" w:type="dxa"/>
            <w:noWrap/>
            <w:tcMar>
              <w:top w:w="0" w:type="dxa"/>
              <w:left w:w="108" w:type="dxa"/>
              <w:bottom w:w="0" w:type="dxa"/>
              <w:right w:w="108" w:type="dxa"/>
            </w:tcMar>
            <w:hideMark/>
          </w:tcPr>
          <w:p w14:paraId="2E1B2D60" w14:textId="77777777" w:rsidR="00684E0D" w:rsidRPr="000E5D39" w:rsidRDefault="00684E0D" w:rsidP="0018105F">
            <w:pPr>
              <w:pStyle w:val="Tabletext"/>
              <w:rPr>
                <w:rFonts w:eastAsiaTheme="minorHAnsi"/>
              </w:rPr>
            </w:pPr>
            <w:r w:rsidRPr="000E5D39">
              <w:t>2011/12</w:t>
            </w:r>
          </w:p>
        </w:tc>
        <w:tc>
          <w:tcPr>
            <w:tcW w:w="2268" w:type="dxa"/>
            <w:noWrap/>
            <w:tcMar>
              <w:top w:w="0" w:type="dxa"/>
              <w:left w:w="108" w:type="dxa"/>
              <w:bottom w:w="0" w:type="dxa"/>
              <w:right w:w="108" w:type="dxa"/>
            </w:tcMar>
            <w:hideMark/>
          </w:tcPr>
          <w:p w14:paraId="63A8829B" w14:textId="77777777" w:rsidR="00684E0D" w:rsidRPr="000E5D39" w:rsidRDefault="00684E0D" w:rsidP="0018105F">
            <w:pPr>
              <w:pStyle w:val="TableTextDecimalAlign"/>
              <w:rPr>
                <w:rFonts w:eastAsiaTheme="minorHAnsi"/>
              </w:rPr>
            </w:pPr>
            <w:r w:rsidRPr="000E5D39">
              <w:t>8,950</w:t>
            </w:r>
          </w:p>
        </w:tc>
        <w:tc>
          <w:tcPr>
            <w:tcW w:w="2268" w:type="dxa"/>
            <w:noWrap/>
            <w:tcMar>
              <w:top w:w="0" w:type="dxa"/>
              <w:left w:w="108" w:type="dxa"/>
              <w:bottom w:w="0" w:type="dxa"/>
              <w:right w:w="108" w:type="dxa"/>
            </w:tcMar>
            <w:hideMark/>
          </w:tcPr>
          <w:p w14:paraId="52A76021" w14:textId="77777777" w:rsidR="00684E0D" w:rsidRPr="000E5D39" w:rsidRDefault="00684E0D" w:rsidP="0018105F">
            <w:pPr>
              <w:pStyle w:val="TableTextDecimalAlign"/>
              <w:rPr>
                <w:rFonts w:eastAsiaTheme="minorHAnsi"/>
              </w:rPr>
            </w:pPr>
            <w:r w:rsidRPr="000E5D39">
              <w:t>$16,735,411</w:t>
            </w:r>
          </w:p>
        </w:tc>
        <w:tc>
          <w:tcPr>
            <w:tcW w:w="2268" w:type="dxa"/>
            <w:noWrap/>
            <w:tcMar>
              <w:top w:w="0" w:type="dxa"/>
              <w:left w:w="108" w:type="dxa"/>
              <w:bottom w:w="0" w:type="dxa"/>
              <w:right w:w="108" w:type="dxa"/>
            </w:tcMar>
            <w:hideMark/>
          </w:tcPr>
          <w:p w14:paraId="7A1FBA6F" w14:textId="77777777" w:rsidR="00684E0D" w:rsidRPr="000E5D39" w:rsidRDefault="00684E0D" w:rsidP="0018105F">
            <w:pPr>
              <w:pStyle w:val="TableTextDecimalAlign"/>
              <w:rPr>
                <w:rFonts w:eastAsiaTheme="minorHAnsi"/>
              </w:rPr>
            </w:pPr>
            <w:r w:rsidRPr="000E5D39">
              <w:t>7%</w:t>
            </w:r>
          </w:p>
        </w:tc>
      </w:tr>
      <w:tr w:rsidR="00684E0D" w14:paraId="511A4570" w14:textId="77777777" w:rsidTr="0052022C">
        <w:trPr>
          <w:trHeight w:val="315"/>
        </w:trPr>
        <w:tc>
          <w:tcPr>
            <w:tcW w:w="2268" w:type="dxa"/>
            <w:noWrap/>
            <w:tcMar>
              <w:top w:w="0" w:type="dxa"/>
              <w:left w:w="108" w:type="dxa"/>
              <w:bottom w:w="0" w:type="dxa"/>
              <w:right w:w="108" w:type="dxa"/>
            </w:tcMar>
            <w:hideMark/>
          </w:tcPr>
          <w:p w14:paraId="715CA314" w14:textId="77777777" w:rsidR="00684E0D" w:rsidRPr="000E5D39" w:rsidRDefault="00684E0D" w:rsidP="0018105F">
            <w:pPr>
              <w:pStyle w:val="Tabletext"/>
              <w:rPr>
                <w:rFonts w:eastAsiaTheme="minorHAnsi"/>
              </w:rPr>
            </w:pPr>
            <w:r w:rsidRPr="000E5D39">
              <w:t>2012/13</w:t>
            </w:r>
          </w:p>
        </w:tc>
        <w:tc>
          <w:tcPr>
            <w:tcW w:w="2268" w:type="dxa"/>
            <w:noWrap/>
            <w:tcMar>
              <w:top w:w="0" w:type="dxa"/>
              <w:left w:w="108" w:type="dxa"/>
              <w:bottom w:w="0" w:type="dxa"/>
              <w:right w:w="108" w:type="dxa"/>
            </w:tcMar>
            <w:hideMark/>
          </w:tcPr>
          <w:p w14:paraId="09E92E28" w14:textId="77777777" w:rsidR="00684E0D" w:rsidRPr="000E5D39" w:rsidRDefault="00684E0D" w:rsidP="0018105F">
            <w:pPr>
              <w:pStyle w:val="TableTextDecimalAlign"/>
              <w:rPr>
                <w:rFonts w:eastAsiaTheme="minorHAnsi"/>
              </w:rPr>
            </w:pPr>
            <w:r w:rsidRPr="000E5D39">
              <w:t>9,597</w:t>
            </w:r>
          </w:p>
        </w:tc>
        <w:tc>
          <w:tcPr>
            <w:tcW w:w="2268" w:type="dxa"/>
            <w:noWrap/>
            <w:tcMar>
              <w:top w:w="0" w:type="dxa"/>
              <w:left w:w="108" w:type="dxa"/>
              <w:bottom w:w="0" w:type="dxa"/>
              <w:right w:w="108" w:type="dxa"/>
            </w:tcMar>
            <w:hideMark/>
          </w:tcPr>
          <w:p w14:paraId="519C599F" w14:textId="77777777" w:rsidR="00684E0D" w:rsidRPr="000E5D39" w:rsidRDefault="00684E0D" w:rsidP="0018105F">
            <w:pPr>
              <w:pStyle w:val="TableTextDecimalAlign"/>
              <w:rPr>
                <w:rFonts w:eastAsiaTheme="minorHAnsi"/>
              </w:rPr>
            </w:pPr>
            <w:r w:rsidRPr="000E5D39">
              <w:t>$18,328,540</w:t>
            </w:r>
          </w:p>
        </w:tc>
        <w:tc>
          <w:tcPr>
            <w:tcW w:w="2268" w:type="dxa"/>
            <w:noWrap/>
            <w:tcMar>
              <w:top w:w="0" w:type="dxa"/>
              <w:left w:w="108" w:type="dxa"/>
              <w:bottom w:w="0" w:type="dxa"/>
              <w:right w:w="108" w:type="dxa"/>
            </w:tcMar>
            <w:hideMark/>
          </w:tcPr>
          <w:p w14:paraId="7626FF3A" w14:textId="77777777" w:rsidR="00684E0D" w:rsidRPr="000E5D39" w:rsidRDefault="00684E0D" w:rsidP="0018105F">
            <w:pPr>
              <w:pStyle w:val="TableTextDecimalAlign"/>
              <w:rPr>
                <w:rFonts w:eastAsiaTheme="minorHAnsi"/>
              </w:rPr>
            </w:pPr>
            <w:r w:rsidRPr="000E5D39">
              <w:t>10%</w:t>
            </w:r>
          </w:p>
        </w:tc>
      </w:tr>
      <w:tr w:rsidR="00684E0D" w14:paraId="5DBC79B4" w14:textId="77777777" w:rsidTr="0052022C">
        <w:trPr>
          <w:trHeight w:val="315"/>
        </w:trPr>
        <w:tc>
          <w:tcPr>
            <w:tcW w:w="2268" w:type="dxa"/>
            <w:noWrap/>
            <w:tcMar>
              <w:top w:w="0" w:type="dxa"/>
              <w:left w:w="108" w:type="dxa"/>
              <w:bottom w:w="0" w:type="dxa"/>
              <w:right w:w="108" w:type="dxa"/>
            </w:tcMar>
            <w:hideMark/>
          </w:tcPr>
          <w:p w14:paraId="77E6ACC8" w14:textId="77777777" w:rsidR="00684E0D" w:rsidRPr="000E5D39" w:rsidRDefault="00684E0D" w:rsidP="0018105F">
            <w:pPr>
              <w:pStyle w:val="Tabletext"/>
              <w:rPr>
                <w:rFonts w:eastAsiaTheme="minorHAnsi"/>
              </w:rPr>
            </w:pPr>
            <w:r w:rsidRPr="000E5D39">
              <w:t>2013/14</w:t>
            </w:r>
          </w:p>
        </w:tc>
        <w:tc>
          <w:tcPr>
            <w:tcW w:w="2268" w:type="dxa"/>
            <w:noWrap/>
            <w:tcMar>
              <w:top w:w="0" w:type="dxa"/>
              <w:left w:w="108" w:type="dxa"/>
              <w:bottom w:w="0" w:type="dxa"/>
              <w:right w:w="108" w:type="dxa"/>
            </w:tcMar>
            <w:hideMark/>
          </w:tcPr>
          <w:p w14:paraId="677F5F5A" w14:textId="77777777" w:rsidR="00684E0D" w:rsidRPr="000E5D39" w:rsidRDefault="00684E0D" w:rsidP="0018105F">
            <w:pPr>
              <w:pStyle w:val="TableTextDecimalAlign"/>
              <w:rPr>
                <w:rFonts w:eastAsiaTheme="minorHAnsi"/>
              </w:rPr>
            </w:pPr>
            <w:r w:rsidRPr="000E5D39">
              <w:t>10,746</w:t>
            </w:r>
          </w:p>
        </w:tc>
        <w:tc>
          <w:tcPr>
            <w:tcW w:w="2268" w:type="dxa"/>
            <w:noWrap/>
            <w:tcMar>
              <w:top w:w="0" w:type="dxa"/>
              <w:left w:w="108" w:type="dxa"/>
              <w:bottom w:w="0" w:type="dxa"/>
              <w:right w:w="108" w:type="dxa"/>
            </w:tcMar>
            <w:hideMark/>
          </w:tcPr>
          <w:p w14:paraId="1C79F2B6" w14:textId="77777777" w:rsidR="00684E0D" w:rsidRPr="000E5D39" w:rsidRDefault="00684E0D" w:rsidP="0018105F">
            <w:pPr>
              <w:pStyle w:val="TableTextDecimalAlign"/>
              <w:rPr>
                <w:rFonts w:eastAsiaTheme="minorHAnsi"/>
              </w:rPr>
            </w:pPr>
            <w:r w:rsidRPr="000E5D39">
              <w:t>$20,654,000</w:t>
            </w:r>
          </w:p>
        </w:tc>
        <w:tc>
          <w:tcPr>
            <w:tcW w:w="2268" w:type="dxa"/>
            <w:noWrap/>
            <w:tcMar>
              <w:top w:w="0" w:type="dxa"/>
              <w:left w:w="108" w:type="dxa"/>
              <w:bottom w:w="0" w:type="dxa"/>
              <w:right w:w="108" w:type="dxa"/>
            </w:tcMar>
            <w:hideMark/>
          </w:tcPr>
          <w:p w14:paraId="0D6102FE" w14:textId="77777777" w:rsidR="00684E0D" w:rsidRPr="000E5D39" w:rsidRDefault="00684E0D" w:rsidP="0018105F">
            <w:pPr>
              <w:pStyle w:val="TableTextDecimalAlign"/>
              <w:rPr>
                <w:rFonts w:eastAsiaTheme="minorHAnsi"/>
              </w:rPr>
            </w:pPr>
            <w:r w:rsidRPr="000E5D39">
              <w:t>13%</w:t>
            </w:r>
          </w:p>
        </w:tc>
      </w:tr>
      <w:tr w:rsidR="00684E0D" w14:paraId="042342D0" w14:textId="77777777" w:rsidTr="0052022C">
        <w:trPr>
          <w:trHeight w:val="315"/>
        </w:trPr>
        <w:tc>
          <w:tcPr>
            <w:tcW w:w="2268" w:type="dxa"/>
            <w:noWrap/>
            <w:tcMar>
              <w:top w:w="0" w:type="dxa"/>
              <w:left w:w="108" w:type="dxa"/>
              <w:bottom w:w="0" w:type="dxa"/>
              <w:right w:w="108" w:type="dxa"/>
            </w:tcMar>
            <w:hideMark/>
          </w:tcPr>
          <w:p w14:paraId="2295C768" w14:textId="77777777" w:rsidR="00684E0D" w:rsidRPr="000E5D39" w:rsidRDefault="00684E0D" w:rsidP="0018105F">
            <w:pPr>
              <w:pStyle w:val="Tabletext"/>
              <w:rPr>
                <w:rFonts w:eastAsiaTheme="minorHAnsi"/>
              </w:rPr>
            </w:pPr>
            <w:r w:rsidRPr="000E5D39">
              <w:t>2014/15</w:t>
            </w:r>
          </w:p>
        </w:tc>
        <w:tc>
          <w:tcPr>
            <w:tcW w:w="2268" w:type="dxa"/>
            <w:noWrap/>
            <w:tcMar>
              <w:top w:w="0" w:type="dxa"/>
              <w:left w:w="108" w:type="dxa"/>
              <w:bottom w:w="0" w:type="dxa"/>
              <w:right w:w="108" w:type="dxa"/>
            </w:tcMar>
            <w:hideMark/>
          </w:tcPr>
          <w:p w14:paraId="670FB287" w14:textId="77777777" w:rsidR="00684E0D" w:rsidRPr="000E5D39" w:rsidRDefault="00684E0D" w:rsidP="0018105F">
            <w:pPr>
              <w:pStyle w:val="TableTextDecimalAlign"/>
              <w:rPr>
                <w:rFonts w:eastAsiaTheme="minorHAnsi"/>
              </w:rPr>
            </w:pPr>
            <w:r w:rsidRPr="000E5D39">
              <w:t>12,156</w:t>
            </w:r>
          </w:p>
        </w:tc>
        <w:tc>
          <w:tcPr>
            <w:tcW w:w="2268" w:type="dxa"/>
            <w:noWrap/>
            <w:tcMar>
              <w:top w:w="0" w:type="dxa"/>
              <w:left w:w="108" w:type="dxa"/>
              <w:bottom w:w="0" w:type="dxa"/>
              <w:right w:w="108" w:type="dxa"/>
            </w:tcMar>
            <w:hideMark/>
          </w:tcPr>
          <w:p w14:paraId="6040C566" w14:textId="77777777" w:rsidR="00684E0D" w:rsidRPr="000E5D39" w:rsidRDefault="00684E0D" w:rsidP="0018105F">
            <w:pPr>
              <w:pStyle w:val="TableTextDecimalAlign"/>
              <w:rPr>
                <w:rFonts w:eastAsiaTheme="minorHAnsi"/>
              </w:rPr>
            </w:pPr>
            <w:r w:rsidRPr="000E5D39">
              <w:t>$23,331,903</w:t>
            </w:r>
          </w:p>
        </w:tc>
        <w:tc>
          <w:tcPr>
            <w:tcW w:w="2268" w:type="dxa"/>
            <w:noWrap/>
            <w:tcMar>
              <w:top w:w="0" w:type="dxa"/>
              <w:left w:w="108" w:type="dxa"/>
              <w:bottom w:w="0" w:type="dxa"/>
              <w:right w:w="108" w:type="dxa"/>
            </w:tcMar>
            <w:hideMark/>
          </w:tcPr>
          <w:p w14:paraId="2FE1CA86" w14:textId="77777777" w:rsidR="00684E0D" w:rsidRPr="000E5D39" w:rsidRDefault="00684E0D" w:rsidP="0018105F">
            <w:pPr>
              <w:pStyle w:val="TableTextDecimalAlign"/>
              <w:rPr>
                <w:rFonts w:eastAsiaTheme="minorHAnsi"/>
              </w:rPr>
            </w:pPr>
            <w:r w:rsidRPr="000E5D39">
              <w:t>13%</w:t>
            </w:r>
          </w:p>
        </w:tc>
      </w:tr>
    </w:tbl>
    <w:p w14:paraId="57C6C7A7" w14:textId="77777777" w:rsidR="00684E0D" w:rsidRPr="00094CD8" w:rsidRDefault="00684E0D" w:rsidP="001F4E07">
      <w:pPr>
        <w:pStyle w:val="TableUnder"/>
      </w:pPr>
      <w:r w:rsidRPr="00094CD8">
        <w:t>Source: Publicly available MBS Data (Department of Human Services website)</w:t>
      </w:r>
    </w:p>
    <w:p w14:paraId="7FE6444E" w14:textId="37440D54" w:rsidR="00684E0D" w:rsidRDefault="004351D1" w:rsidP="00FA1377">
      <w:r w:rsidRPr="00E34579">
        <w:t xml:space="preserve">Table </w:t>
      </w:r>
      <w:r>
        <w:rPr>
          <w:noProof/>
        </w:rPr>
        <w:t>9</w:t>
      </w:r>
      <w:r w:rsidR="00360322">
        <w:t xml:space="preserve"> </w:t>
      </w:r>
      <w:r w:rsidR="00684E0D" w:rsidRPr="009E583E">
        <w:t>shows basic utilisation data for item 11820 between 2003–04 and 2014–15, indicating a significant growth in service provision.</w:t>
      </w:r>
    </w:p>
    <w:p w14:paraId="5F7E3820" w14:textId="77777777" w:rsidR="00684E0D" w:rsidRPr="002036DF" w:rsidRDefault="00684E0D" w:rsidP="00684E0D">
      <w:r>
        <w:rPr>
          <w:noProof/>
        </w:rPr>
        <w:drawing>
          <wp:inline distT="0" distB="0" distL="0" distR="0" wp14:anchorId="306939E6" wp14:editId="2C13EE3C">
            <wp:extent cx="5652135" cy="2978785"/>
            <wp:effectExtent l="0" t="0" r="24765" b="12065"/>
            <wp:docPr id="4" name="Chart 4" descr="Figure 5 is line graph showing service volumes for capsule endoscopy item 11820 by state and territory per 100,000 people. Each state has a separate colour line. The x axis is services per 100,000 people and the y axis is financial years from 2010-11 to 2014-15. Western Australia has the lowest rate of serivces per 100,00, whereas Victoria has the highest."/>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83C02DD" w14:textId="77777777" w:rsidR="00684E0D" w:rsidRPr="00094CD8" w:rsidRDefault="00684E0D" w:rsidP="00275472">
      <w:pPr>
        <w:pStyle w:val="TableUnder"/>
      </w:pPr>
      <w:r w:rsidRPr="00094CD8">
        <w:t xml:space="preserve">Source: Calculated </w:t>
      </w:r>
      <w:r w:rsidRPr="00275472">
        <w:t>from</w:t>
      </w:r>
      <w:r w:rsidRPr="00094CD8">
        <w:t xml:space="preserve"> publicly available MBS Data (Department of Human Services website)</w:t>
      </w:r>
    </w:p>
    <w:p w14:paraId="4DFC8BF7" w14:textId="5D1AF93F" w:rsidR="0052022C" w:rsidRDefault="0052022C" w:rsidP="0063757A">
      <w:pPr>
        <w:pStyle w:val="Caption"/>
        <w:keepNext w:val="0"/>
      </w:pPr>
      <w:bookmarkStart w:id="128" w:name="_Toc457307418"/>
      <w:bookmarkStart w:id="129" w:name="_Toc457531561"/>
      <w:r w:rsidRPr="00E34579">
        <w:t xml:space="preserve">Figure </w:t>
      </w:r>
      <w:fldSimple w:instr=" SEQ Figure \* ARABIC ">
        <w:r w:rsidR="00A1715D">
          <w:rPr>
            <w:noProof/>
          </w:rPr>
          <w:t>5</w:t>
        </w:r>
      </w:fldSimple>
      <w:r>
        <w:t>:</w:t>
      </w:r>
      <w:r w:rsidRPr="00E34579">
        <w:t xml:space="preserve"> </w:t>
      </w:r>
      <w:r w:rsidR="00255B49">
        <w:tab/>
      </w:r>
      <w:r w:rsidRPr="00856BC8">
        <w:t>Service volumes for capsule endoscopy item 11820 by state and territory per 100,000 population</w:t>
      </w:r>
      <w:bookmarkEnd w:id="128"/>
      <w:bookmarkEnd w:id="129"/>
    </w:p>
    <w:p w14:paraId="47E9B586" w14:textId="77777777" w:rsidR="00684E0D" w:rsidRDefault="00684E0D" w:rsidP="00FA1377">
      <w:r>
        <w:rPr>
          <w:noProof/>
        </w:rPr>
        <w:lastRenderedPageBreak/>
        <w:drawing>
          <wp:inline distT="0" distB="0" distL="0" distR="0" wp14:anchorId="3A473F64" wp14:editId="62A3BA62">
            <wp:extent cx="5537835" cy="3172460"/>
            <wp:effectExtent l="0" t="0" r="5715" b="8890"/>
            <wp:docPr id="16" name="Picture 16" descr="Figure 6 is a bar graph showing the number of capsule endoscopy item 11820 services (y axis) by age (x axis) and sex (red bar = female, blue bar = male) in 2014-15. The number of services is higer in females, except for people aged over 80. The number of services for females is markedly higher in those aged 35 to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46973" cy="3177695"/>
                    </a:xfrm>
                    <a:prstGeom prst="rect">
                      <a:avLst/>
                    </a:prstGeom>
                    <a:noFill/>
                    <a:ln>
                      <a:noFill/>
                    </a:ln>
                  </pic:spPr>
                </pic:pic>
              </a:graphicData>
            </a:graphic>
          </wp:inline>
        </w:drawing>
      </w:r>
    </w:p>
    <w:p w14:paraId="6BE5BBEB" w14:textId="77777777" w:rsidR="00684E0D" w:rsidRDefault="00684E0D" w:rsidP="001F4E07">
      <w:pPr>
        <w:pStyle w:val="TableUnder"/>
      </w:pPr>
      <w:r w:rsidRPr="00094CD8">
        <w:t>Source: Publicly available MBS Data (Department of Human Services website)</w:t>
      </w:r>
    </w:p>
    <w:p w14:paraId="0E0E7510" w14:textId="24BDBE0A" w:rsidR="0052022C" w:rsidRPr="0052022C" w:rsidRDefault="0052022C" w:rsidP="0052022C">
      <w:pPr>
        <w:pStyle w:val="CaptionFigure"/>
      </w:pPr>
      <w:bookmarkStart w:id="130" w:name="_Toc457307419"/>
      <w:bookmarkStart w:id="131" w:name="_Toc457531562"/>
      <w:r w:rsidRPr="0052022C">
        <w:t xml:space="preserve">Figure </w:t>
      </w:r>
      <w:fldSimple w:instr=" SEQ Figure \* ARABIC ">
        <w:r w:rsidR="00A1715D">
          <w:rPr>
            <w:noProof/>
          </w:rPr>
          <w:t>6</w:t>
        </w:r>
      </w:fldSimple>
      <w:r w:rsidR="00255B49">
        <w:rPr>
          <w:noProof/>
        </w:rPr>
        <w:t>:</w:t>
      </w:r>
      <w:r w:rsidR="00255B49">
        <w:rPr>
          <w:noProof/>
        </w:rPr>
        <w:tab/>
      </w:r>
      <w:r w:rsidRPr="0052022C">
        <w:t>Capsule endoscopy item 11820 services by age and sex 2014-15</w:t>
      </w:r>
      <w:bookmarkEnd w:id="130"/>
      <w:bookmarkEnd w:id="131"/>
    </w:p>
    <w:p w14:paraId="77827249" w14:textId="2B4D29DB" w:rsidR="00684E0D" w:rsidRDefault="00684E0D" w:rsidP="001F4E07">
      <w:pPr>
        <w:pStyle w:val="Caption"/>
      </w:pPr>
      <w:bookmarkStart w:id="132" w:name="_Ref457502671"/>
      <w:bookmarkStart w:id="133" w:name="_Toc457307428"/>
      <w:bookmarkStart w:id="134" w:name="_Toc458527786"/>
      <w:r w:rsidRPr="00E34579">
        <w:t xml:space="preserve">Table </w:t>
      </w:r>
      <w:fldSimple w:instr=" SEQ Table \* ARABIC ">
        <w:r w:rsidR="00A1715D">
          <w:rPr>
            <w:noProof/>
          </w:rPr>
          <w:t>10</w:t>
        </w:r>
      </w:fldSimple>
      <w:bookmarkEnd w:id="132"/>
      <w:r w:rsidR="001646CB">
        <w:t>:</w:t>
      </w:r>
      <w:r w:rsidR="001646CB">
        <w:tab/>
      </w:r>
      <w:r w:rsidRPr="00856BC8">
        <w:t>Component cost for capsule endoscopy in 2003 and 2016</w:t>
      </w:r>
      <w:bookmarkEnd w:id="133"/>
      <w:bookmarkEnd w:id="134"/>
    </w:p>
    <w:tbl>
      <w:tblPr>
        <w:tblW w:w="9072" w:type="dxa"/>
        <w:tblInd w:w="62" w:type="dxa"/>
        <w:tblBorders>
          <w:top w:val="single" w:sz="4" w:space="0" w:color="B56011"/>
          <w:bottom w:val="single" w:sz="4" w:space="0" w:color="B56011"/>
          <w:insideH w:val="single" w:sz="4" w:space="0" w:color="B56011"/>
        </w:tblBorders>
        <w:tblCellMar>
          <w:left w:w="0" w:type="dxa"/>
          <w:right w:w="0" w:type="dxa"/>
        </w:tblCellMar>
        <w:tblLook w:val="04A0" w:firstRow="1" w:lastRow="0" w:firstColumn="1" w:lastColumn="0" w:noHBand="0" w:noVBand="1"/>
        <w:tblDescription w:val="Table 10 has rows for the components capital costs, professional fee, cost of capsule and MBS fee against columns for MSAC 2003 component cost, proportion of total cost and 2016 component cost."/>
      </w:tblPr>
      <w:tblGrid>
        <w:gridCol w:w="3165"/>
        <w:gridCol w:w="2009"/>
        <w:gridCol w:w="1949"/>
        <w:gridCol w:w="1949"/>
      </w:tblGrid>
      <w:tr w:rsidR="00684E0D" w:rsidRPr="00C8770E" w14:paraId="40036F63" w14:textId="77777777" w:rsidTr="00C8770E">
        <w:trPr>
          <w:trHeight w:val="300"/>
          <w:tblHeader/>
        </w:trPr>
        <w:tc>
          <w:tcPr>
            <w:tcW w:w="2992" w:type="dxa"/>
            <w:noWrap/>
            <w:tcMar>
              <w:top w:w="0" w:type="dxa"/>
              <w:left w:w="108" w:type="dxa"/>
              <w:bottom w:w="0" w:type="dxa"/>
              <w:right w:w="108" w:type="dxa"/>
            </w:tcMar>
            <w:hideMark/>
          </w:tcPr>
          <w:p w14:paraId="62675F71" w14:textId="558962B7" w:rsidR="00684E0D" w:rsidRPr="00017FE5" w:rsidRDefault="007F3426" w:rsidP="00921CD9">
            <w:pPr>
              <w:pStyle w:val="Tableheading"/>
              <w:rPr>
                <w:rFonts w:eastAsiaTheme="minorHAnsi"/>
                <w:lang w:eastAsia="en-US"/>
              </w:rPr>
            </w:pPr>
            <w:r w:rsidRPr="00017FE5">
              <w:rPr>
                <w:rFonts w:eastAsiaTheme="minorHAnsi"/>
                <w:lang w:eastAsia="en-US"/>
              </w:rPr>
              <w:t>Component type</w:t>
            </w:r>
          </w:p>
        </w:tc>
        <w:tc>
          <w:tcPr>
            <w:tcW w:w="1899" w:type="dxa"/>
            <w:tcMar>
              <w:top w:w="0" w:type="dxa"/>
              <w:left w:w="108" w:type="dxa"/>
              <w:bottom w:w="0" w:type="dxa"/>
              <w:right w:w="108" w:type="dxa"/>
            </w:tcMar>
            <w:hideMark/>
          </w:tcPr>
          <w:p w14:paraId="32C554E2" w14:textId="77777777" w:rsidR="00684E0D" w:rsidRPr="00C8770E" w:rsidRDefault="00684E0D" w:rsidP="0018105F">
            <w:pPr>
              <w:pStyle w:val="Tableheading"/>
              <w:jc w:val="center"/>
              <w:rPr>
                <w:rFonts w:eastAsiaTheme="minorHAnsi"/>
                <w:lang w:eastAsia="en-US"/>
              </w:rPr>
            </w:pPr>
            <w:r w:rsidRPr="00C8770E">
              <w:t>MSAC 2003 component cost</w:t>
            </w:r>
          </w:p>
        </w:tc>
        <w:tc>
          <w:tcPr>
            <w:tcW w:w="1843" w:type="dxa"/>
            <w:tcMar>
              <w:top w:w="0" w:type="dxa"/>
              <w:left w:w="108" w:type="dxa"/>
              <w:bottom w:w="0" w:type="dxa"/>
              <w:right w:w="108" w:type="dxa"/>
            </w:tcMar>
            <w:hideMark/>
          </w:tcPr>
          <w:p w14:paraId="57562BFB" w14:textId="66E6DBD9" w:rsidR="00684E0D" w:rsidRPr="00C8770E" w:rsidRDefault="00684E0D" w:rsidP="0018105F">
            <w:pPr>
              <w:pStyle w:val="Tableheading"/>
              <w:jc w:val="center"/>
              <w:rPr>
                <w:rFonts w:eastAsiaTheme="minorHAnsi"/>
                <w:lang w:eastAsia="en-US"/>
              </w:rPr>
            </w:pPr>
            <w:r w:rsidRPr="00C8770E">
              <w:t>Proportion of total cost</w:t>
            </w:r>
          </w:p>
        </w:tc>
        <w:tc>
          <w:tcPr>
            <w:tcW w:w="1843" w:type="dxa"/>
            <w:shd w:val="clear" w:color="auto" w:fill="D9D9D9"/>
            <w:tcMar>
              <w:top w:w="0" w:type="dxa"/>
              <w:left w:w="108" w:type="dxa"/>
              <w:bottom w:w="0" w:type="dxa"/>
              <w:right w:w="108" w:type="dxa"/>
            </w:tcMar>
            <w:hideMark/>
          </w:tcPr>
          <w:p w14:paraId="1FE219C5" w14:textId="418CF8C3" w:rsidR="00684E0D" w:rsidRPr="00C8770E" w:rsidRDefault="00684E0D" w:rsidP="0018105F">
            <w:pPr>
              <w:pStyle w:val="Tableheading"/>
              <w:jc w:val="center"/>
              <w:rPr>
                <w:rFonts w:eastAsiaTheme="minorHAnsi"/>
                <w:lang w:eastAsia="en-US"/>
              </w:rPr>
            </w:pPr>
            <w:r w:rsidRPr="00C8770E">
              <w:t>2016 component cost*</w:t>
            </w:r>
          </w:p>
        </w:tc>
      </w:tr>
      <w:tr w:rsidR="00684E0D" w14:paraId="3DF7968E" w14:textId="77777777" w:rsidTr="000E5D39">
        <w:trPr>
          <w:trHeight w:val="365"/>
        </w:trPr>
        <w:tc>
          <w:tcPr>
            <w:tcW w:w="2992" w:type="dxa"/>
            <w:tcMar>
              <w:top w:w="0" w:type="dxa"/>
              <w:left w:w="108" w:type="dxa"/>
              <w:bottom w:w="0" w:type="dxa"/>
              <w:right w:w="108" w:type="dxa"/>
            </w:tcMar>
            <w:hideMark/>
          </w:tcPr>
          <w:p w14:paraId="5ED4F41E" w14:textId="77777777" w:rsidR="00684E0D" w:rsidRPr="000E5D39" w:rsidRDefault="00684E0D" w:rsidP="00017FE5">
            <w:pPr>
              <w:pStyle w:val="Tabletext"/>
              <w:rPr>
                <w:rFonts w:eastAsiaTheme="minorHAnsi"/>
                <w:lang w:eastAsia="en-US"/>
              </w:rPr>
            </w:pPr>
            <w:r w:rsidRPr="000E5D39">
              <w:t>Capital costs</w:t>
            </w:r>
          </w:p>
        </w:tc>
        <w:tc>
          <w:tcPr>
            <w:tcW w:w="1899" w:type="dxa"/>
            <w:tcMar>
              <w:top w:w="0" w:type="dxa"/>
              <w:left w:w="108" w:type="dxa"/>
              <w:bottom w:w="0" w:type="dxa"/>
              <w:right w:w="108" w:type="dxa"/>
            </w:tcMar>
            <w:hideMark/>
          </w:tcPr>
          <w:p w14:paraId="2AA603DB" w14:textId="77777777" w:rsidR="00684E0D" w:rsidRPr="000E5D39" w:rsidRDefault="00684E0D" w:rsidP="0018105F">
            <w:pPr>
              <w:pStyle w:val="TableTextDecimalAlign"/>
              <w:rPr>
                <w:rFonts w:eastAsiaTheme="minorHAnsi"/>
                <w:lang w:eastAsia="en-US"/>
              </w:rPr>
            </w:pPr>
            <w:r w:rsidRPr="000E5D39">
              <w:t>$282.28</w:t>
            </w:r>
          </w:p>
        </w:tc>
        <w:tc>
          <w:tcPr>
            <w:tcW w:w="1843" w:type="dxa"/>
            <w:tcMar>
              <w:top w:w="0" w:type="dxa"/>
              <w:left w:w="108" w:type="dxa"/>
              <w:bottom w:w="0" w:type="dxa"/>
              <w:right w:w="108" w:type="dxa"/>
            </w:tcMar>
            <w:hideMark/>
          </w:tcPr>
          <w:p w14:paraId="3DEEC40C" w14:textId="77777777" w:rsidR="00684E0D" w:rsidRPr="000E5D39" w:rsidRDefault="00684E0D" w:rsidP="0018105F">
            <w:pPr>
              <w:pStyle w:val="TableTextDecimalAlign"/>
              <w:rPr>
                <w:rFonts w:eastAsiaTheme="minorHAnsi"/>
                <w:lang w:eastAsia="en-US"/>
              </w:rPr>
            </w:pPr>
            <w:r w:rsidRPr="000E5D39">
              <w:t>17%</w:t>
            </w:r>
          </w:p>
        </w:tc>
        <w:tc>
          <w:tcPr>
            <w:tcW w:w="1843" w:type="dxa"/>
            <w:shd w:val="clear" w:color="auto" w:fill="D9D9D9"/>
            <w:tcMar>
              <w:top w:w="0" w:type="dxa"/>
              <w:left w:w="108" w:type="dxa"/>
              <w:bottom w:w="0" w:type="dxa"/>
              <w:right w:w="108" w:type="dxa"/>
            </w:tcMar>
            <w:hideMark/>
          </w:tcPr>
          <w:p w14:paraId="0BE3D1E3" w14:textId="77777777" w:rsidR="00684E0D" w:rsidRPr="000E5D39" w:rsidRDefault="00684E0D" w:rsidP="0018105F">
            <w:pPr>
              <w:pStyle w:val="TableTextDecimalAlign"/>
              <w:rPr>
                <w:rFonts w:eastAsiaTheme="minorHAnsi"/>
                <w:lang w:eastAsia="en-US"/>
              </w:rPr>
            </w:pPr>
            <w:r w:rsidRPr="000E5D39">
              <w:t>$339.68</w:t>
            </w:r>
          </w:p>
        </w:tc>
      </w:tr>
      <w:tr w:rsidR="00684E0D" w14:paraId="18DC7616" w14:textId="77777777" w:rsidTr="000E5D39">
        <w:trPr>
          <w:trHeight w:val="540"/>
        </w:trPr>
        <w:tc>
          <w:tcPr>
            <w:tcW w:w="2992" w:type="dxa"/>
            <w:tcMar>
              <w:top w:w="0" w:type="dxa"/>
              <w:left w:w="108" w:type="dxa"/>
              <w:bottom w:w="0" w:type="dxa"/>
              <w:right w:w="108" w:type="dxa"/>
            </w:tcMar>
            <w:hideMark/>
          </w:tcPr>
          <w:p w14:paraId="5E579C0D" w14:textId="77777777" w:rsidR="00684E0D" w:rsidRPr="000E5D39" w:rsidRDefault="00684E0D" w:rsidP="00017FE5">
            <w:pPr>
              <w:pStyle w:val="Tabletext"/>
              <w:rPr>
                <w:rFonts w:eastAsiaTheme="minorHAnsi"/>
                <w:lang w:eastAsia="en-US"/>
              </w:rPr>
            </w:pPr>
            <w:r w:rsidRPr="000E5D39">
              <w:t>Professional fee</w:t>
            </w:r>
          </w:p>
        </w:tc>
        <w:tc>
          <w:tcPr>
            <w:tcW w:w="1899" w:type="dxa"/>
            <w:tcMar>
              <w:top w:w="0" w:type="dxa"/>
              <w:left w:w="108" w:type="dxa"/>
              <w:bottom w:w="0" w:type="dxa"/>
              <w:right w:w="108" w:type="dxa"/>
            </w:tcMar>
            <w:hideMark/>
          </w:tcPr>
          <w:p w14:paraId="620A9016" w14:textId="77777777" w:rsidR="00684E0D" w:rsidRPr="000E5D39" w:rsidRDefault="00684E0D" w:rsidP="0018105F">
            <w:pPr>
              <w:pStyle w:val="TableTextDecimalAlign"/>
              <w:rPr>
                <w:rFonts w:eastAsiaTheme="minorHAnsi"/>
                <w:lang w:eastAsia="en-US"/>
              </w:rPr>
            </w:pPr>
            <w:r w:rsidRPr="000E5D39">
              <w:t>$517.35</w:t>
            </w:r>
          </w:p>
        </w:tc>
        <w:tc>
          <w:tcPr>
            <w:tcW w:w="1843" w:type="dxa"/>
            <w:tcMar>
              <w:top w:w="0" w:type="dxa"/>
              <w:left w:w="108" w:type="dxa"/>
              <w:bottom w:w="0" w:type="dxa"/>
              <w:right w:w="108" w:type="dxa"/>
            </w:tcMar>
            <w:hideMark/>
          </w:tcPr>
          <w:p w14:paraId="4A469560" w14:textId="77777777" w:rsidR="00684E0D" w:rsidRPr="000E5D39" w:rsidRDefault="00684E0D" w:rsidP="0018105F">
            <w:pPr>
              <w:pStyle w:val="TableTextDecimalAlign"/>
              <w:rPr>
                <w:rFonts w:eastAsiaTheme="minorHAnsi"/>
                <w:lang w:eastAsia="en-US"/>
              </w:rPr>
            </w:pPr>
            <w:r w:rsidRPr="000E5D39">
              <w:t>31%</w:t>
            </w:r>
          </w:p>
        </w:tc>
        <w:tc>
          <w:tcPr>
            <w:tcW w:w="1843" w:type="dxa"/>
            <w:shd w:val="clear" w:color="auto" w:fill="D9D9D9"/>
            <w:tcMar>
              <w:top w:w="0" w:type="dxa"/>
              <w:left w:w="108" w:type="dxa"/>
              <w:bottom w:w="0" w:type="dxa"/>
              <w:right w:w="108" w:type="dxa"/>
            </w:tcMar>
            <w:hideMark/>
          </w:tcPr>
          <w:p w14:paraId="10DD679C" w14:textId="77777777" w:rsidR="00684E0D" w:rsidRPr="000E5D39" w:rsidRDefault="00684E0D" w:rsidP="0018105F">
            <w:pPr>
              <w:pStyle w:val="TableTextDecimalAlign"/>
              <w:rPr>
                <w:rFonts w:eastAsiaTheme="minorHAnsi"/>
                <w:lang w:eastAsia="en-US"/>
              </w:rPr>
            </w:pPr>
            <w:r w:rsidRPr="000E5D39">
              <w:t>$622.54</w:t>
            </w:r>
          </w:p>
        </w:tc>
      </w:tr>
      <w:tr w:rsidR="00684E0D" w14:paraId="285BF382" w14:textId="77777777" w:rsidTr="000E5D39">
        <w:trPr>
          <w:trHeight w:val="434"/>
        </w:trPr>
        <w:tc>
          <w:tcPr>
            <w:tcW w:w="2992" w:type="dxa"/>
            <w:tcMar>
              <w:top w:w="0" w:type="dxa"/>
              <w:left w:w="108" w:type="dxa"/>
              <w:bottom w:w="0" w:type="dxa"/>
              <w:right w:w="108" w:type="dxa"/>
            </w:tcMar>
            <w:hideMark/>
          </w:tcPr>
          <w:p w14:paraId="5CAAD620" w14:textId="77777777" w:rsidR="00684E0D" w:rsidRPr="000E5D39" w:rsidRDefault="00684E0D" w:rsidP="00017FE5">
            <w:pPr>
              <w:pStyle w:val="Tabletext"/>
              <w:rPr>
                <w:rFonts w:eastAsiaTheme="minorHAnsi"/>
                <w:lang w:eastAsia="en-US"/>
              </w:rPr>
            </w:pPr>
            <w:r w:rsidRPr="000E5D39">
              <w:t>Cost of capsule</w:t>
            </w:r>
          </w:p>
        </w:tc>
        <w:tc>
          <w:tcPr>
            <w:tcW w:w="1899" w:type="dxa"/>
            <w:tcMar>
              <w:top w:w="0" w:type="dxa"/>
              <w:left w:w="108" w:type="dxa"/>
              <w:bottom w:w="0" w:type="dxa"/>
              <w:right w:w="108" w:type="dxa"/>
            </w:tcMar>
            <w:hideMark/>
          </w:tcPr>
          <w:p w14:paraId="20E562F1" w14:textId="77777777" w:rsidR="00684E0D" w:rsidRPr="000E5D39" w:rsidRDefault="00684E0D" w:rsidP="0018105F">
            <w:pPr>
              <w:pStyle w:val="TableTextDecimalAlign"/>
              <w:rPr>
                <w:rFonts w:eastAsiaTheme="minorHAnsi"/>
                <w:lang w:eastAsia="en-US"/>
              </w:rPr>
            </w:pPr>
            <w:r w:rsidRPr="000E5D39">
              <w:t>$895.00</w:t>
            </w:r>
          </w:p>
        </w:tc>
        <w:tc>
          <w:tcPr>
            <w:tcW w:w="1843" w:type="dxa"/>
            <w:tcMar>
              <w:top w:w="0" w:type="dxa"/>
              <w:left w:w="108" w:type="dxa"/>
              <w:bottom w:w="0" w:type="dxa"/>
              <w:right w:w="108" w:type="dxa"/>
            </w:tcMar>
            <w:hideMark/>
          </w:tcPr>
          <w:p w14:paraId="1B117ECF" w14:textId="77777777" w:rsidR="00684E0D" w:rsidRPr="000E5D39" w:rsidRDefault="00684E0D" w:rsidP="0018105F">
            <w:pPr>
              <w:pStyle w:val="TableTextDecimalAlign"/>
              <w:rPr>
                <w:rFonts w:eastAsiaTheme="minorHAnsi"/>
                <w:lang w:eastAsia="en-US"/>
              </w:rPr>
            </w:pPr>
            <w:r w:rsidRPr="000E5D39">
              <w:t>52%</w:t>
            </w:r>
          </w:p>
        </w:tc>
        <w:tc>
          <w:tcPr>
            <w:tcW w:w="1843" w:type="dxa"/>
            <w:shd w:val="clear" w:color="auto" w:fill="D9D9D9"/>
            <w:tcMar>
              <w:top w:w="0" w:type="dxa"/>
              <w:left w:w="108" w:type="dxa"/>
              <w:bottom w:w="0" w:type="dxa"/>
              <w:right w:w="108" w:type="dxa"/>
            </w:tcMar>
            <w:hideMark/>
          </w:tcPr>
          <w:p w14:paraId="093A9B14" w14:textId="77777777" w:rsidR="00684E0D" w:rsidRPr="000E5D39" w:rsidRDefault="00684E0D" w:rsidP="0018105F">
            <w:pPr>
              <w:pStyle w:val="TableTextDecimalAlign"/>
              <w:rPr>
                <w:rFonts w:eastAsiaTheme="minorHAnsi"/>
                <w:lang w:eastAsia="en-US"/>
              </w:rPr>
            </w:pPr>
            <w:r w:rsidRPr="000E5D39">
              <w:t>$1,076.98</w:t>
            </w:r>
          </w:p>
        </w:tc>
      </w:tr>
      <w:tr w:rsidR="00684E0D" w14:paraId="7D0F71AD" w14:textId="77777777" w:rsidTr="000E5D39">
        <w:trPr>
          <w:trHeight w:val="412"/>
        </w:trPr>
        <w:tc>
          <w:tcPr>
            <w:tcW w:w="2992" w:type="dxa"/>
            <w:tcMar>
              <w:top w:w="0" w:type="dxa"/>
              <w:left w:w="108" w:type="dxa"/>
              <w:bottom w:w="0" w:type="dxa"/>
              <w:right w:w="108" w:type="dxa"/>
            </w:tcMar>
            <w:hideMark/>
          </w:tcPr>
          <w:p w14:paraId="6A998044" w14:textId="77777777" w:rsidR="00684E0D" w:rsidRPr="000E5D39" w:rsidRDefault="00684E0D" w:rsidP="00017FE5">
            <w:pPr>
              <w:pStyle w:val="Tabletext"/>
              <w:rPr>
                <w:rFonts w:eastAsiaTheme="minorHAnsi"/>
                <w:lang w:eastAsia="en-US"/>
              </w:rPr>
            </w:pPr>
            <w:r w:rsidRPr="000E5D39">
              <w:t xml:space="preserve">MBS Fee </w:t>
            </w:r>
          </w:p>
        </w:tc>
        <w:tc>
          <w:tcPr>
            <w:tcW w:w="1899" w:type="dxa"/>
            <w:tcMar>
              <w:top w:w="0" w:type="dxa"/>
              <w:left w:w="108" w:type="dxa"/>
              <w:bottom w:w="0" w:type="dxa"/>
              <w:right w:w="108" w:type="dxa"/>
            </w:tcMar>
            <w:hideMark/>
          </w:tcPr>
          <w:p w14:paraId="1DDA99D4" w14:textId="77777777" w:rsidR="00684E0D" w:rsidRPr="000E5D39" w:rsidRDefault="00684E0D" w:rsidP="0018105F">
            <w:pPr>
              <w:pStyle w:val="TableTextDecimalAlign"/>
              <w:rPr>
                <w:rFonts w:eastAsiaTheme="minorHAnsi"/>
                <w:b/>
                <w:bCs/>
                <w:lang w:eastAsia="en-US"/>
              </w:rPr>
            </w:pPr>
            <w:r w:rsidRPr="000E5D39">
              <w:rPr>
                <w:b/>
                <w:bCs/>
              </w:rPr>
              <w:t>$1,694.63</w:t>
            </w:r>
          </w:p>
        </w:tc>
        <w:tc>
          <w:tcPr>
            <w:tcW w:w="1843" w:type="dxa"/>
            <w:tcMar>
              <w:top w:w="0" w:type="dxa"/>
              <w:left w:w="108" w:type="dxa"/>
              <w:bottom w:w="0" w:type="dxa"/>
              <w:right w:w="108" w:type="dxa"/>
            </w:tcMar>
            <w:hideMark/>
          </w:tcPr>
          <w:p w14:paraId="664C2DC9" w14:textId="77777777" w:rsidR="00684E0D" w:rsidRPr="000E5D39" w:rsidRDefault="00684E0D" w:rsidP="0018105F">
            <w:pPr>
              <w:pStyle w:val="TableTextDecimalAlign"/>
              <w:rPr>
                <w:rFonts w:eastAsiaTheme="minorHAnsi"/>
                <w:b/>
                <w:bCs/>
                <w:lang w:eastAsia="en-US"/>
              </w:rPr>
            </w:pPr>
            <w:r w:rsidRPr="000E5D39">
              <w:rPr>
                <w:b/>
                <w:bCs/>
              </w:rPr>
              <w:t>100%</w:t>
            </w:r>
          </w:p>
        </w:tc>
        <w:tc>
          <w:tcPr>
            <w:tcW w:w="1843" w:type="dxa"/>
            <w:shd w:val="clear" w:color="auto" w:fill="D9D9D9"/>
            <w:tcMar>
              <w:top w:w="0" w:type="dxa"/>
              <w:left w:w="108" w:type="dxa"/>
              <w:bottom w:w="0" w:type="dxa"/>
              <w:right w:w="108" w:type="dxa"/>
            </w:tcMar>
            <w:hideMark/>
          </w:tcPr>
          <w:p w14:paraId="138554B5" w14:textId="77777777" w:rsidR="00684E0D" w:rsidRPr="000E5D39" w:rsidRDefault="00684E0D" w:rsidP="0018105F">
            <w:pPr>
              <w:pStyle w:val="TableTextDecimalAlign"/>
              <w:rPr>
                <w:rFonts w:eastAsiaTheme="minorHAnsi"/>
                <w:b/>
                <w:bCs/>
                <w:lang w:eastAsia="en-US"/>
              </w:rPr>
            </w:pPr>
            <w:r w:rsidRPr="000E5D39">
              <w:rPr>
                <w:b/>
                <w:bCs/>
              </w:rPr>
              <w:t>$2,039.20</w:t>
            </w:r>
          </w:p>
        </w:tc>
      </w:tr>
    </w:tbl>
    <w:p w14:paraId="25639CAE" w14:textId="73EA58BA" w:rsidR="00684E0D" w:rsidRPr="0052022C" w:rsidRDefault="00684E0D" w:rsidP="0052022C">
      <w:pPr>
        <w:pStyle w:val="TableUnder"/>
        <w:rPr>
          <w:rFonts w:ascii="Calibri" w:eastAsiaTheme="minorHAnsi" w:hAnsi="Calibri"/>
          <w:lang w:eastAsia="en-US"/>
        </w:rPr>
      </w:pPr>
      <w:r>
        <w:t>*2016 component cost is calculated by applying the 2003 proportions to the 2016 MBS fee (note: proportions have been rounded to the nearest 1%).</w:t>
      </w:r>
      <w:r w:rsidR="00C22AE4">
        <w:t xml:space="preserve"> </w:t>
      </w:r>
    </w:p>
    <w:p w14:paraId="797E7F32" w14:textId="26CAC081" w:rsidR="00684E0D" w:rsidRDefault="00684E0D" w:rsidP="0052022C">
      <w:r>
        <w:t>The professional fee component was calculated by MSAC using ‘equivalent’ MBS services with a time and complexity similar to that of CE.</w:t>
      </w:r>
      <w:r w:rsidR="00C22AE4">
        <w:t xml:space="preserve"> </w:t>
      </w:r>
      <w:r>
        <w:t>The MBS fee for the following services was added together to determine the professional fee component ($517.35 in 2003):</w:t>
      </w:r>
      <w:r w:rsidR="00C22AE4">
        <w:t xml:space="preserve"> </w:t>
      </w:r>
    </w:p>
    <w:p w14:paraId="04E2A604" w14:textId="58D4D0DC" w:rsidR="00684E0D" w:rsidRDefault="00684E0D" w:rsidP="0052022C">
      <w:pPr>
        <w:pStyle w:val="NormalBulleted"/>
      </w:pPr>
      <w:r w:rsidRPr="0052022C">
        <w:rPr>
          <w:b/>
        </w:rPr>
        <w:t>30476</w:t>
      </w:r>
      <w:r w:rsidR="0052022C">
        <w:t xml:space="preserve"> – </w:t>
      </w:r>
      <w:r>
        <w:t xml:space="preserve">Oesophagoscopy, Gastroscopy, Duodenoscopy, Panendoscopy ($204.10); </w:t>
      </w:r>
    </w:p>
    <w:p w14:paraId="06079CE2" w14:textId="778F8D83" w:rsidR="00684E0D" w:rsidRDefault="00684E0D" w:rsidP="0052022C">
      <w:pPr>
        <w:pStyle w:val="NormalBulleted"/>
      </w:pPr>
      <w:r w:rsidRPr="0052022C">
        <w:rPr>
          <w:b/>
        </w:rPr>
        <w:t>32090</w:t>
      </w:r>
      <w:r w:rsidR="0052022C">
        <w:t xml:space="preserve"> – </w:t>
      </w:r>
      <w:r>
        <w:t>Fibreoptic colonoscopy ($277.80); and</w:t>
      </w:r>
    </w:p>
    <w:p w14:paraId="6D1A2AC5" w14:textId="4130754E" w:rsidR="00684E0D" w:rsidRDefault="00684E0D" w:rsidP="0052022C">
      <w:pPr>
        <w:pStyle w:val="NormalBulleted"/>
      </w:pPr>
      <w:r w:rsidRPr="0052022C">
        <w:rPr>
          <w:b/>
        </w:rPr>
        <w:t>105</w:t>
      </w:r>
      <w:r>
        <w:t xml:space="preserve"> </w:t>
      </w:r>
      <w:r w:rsidR="0052022C">
        <w:t xml:space="preserve">– </w:t>
      </w:r>
      <w:r w:rsidR="007161FD">
        <w:t xml:space="preserve">Subsequent </w:t>
      </w:r>
      <w:r>
        <w:t xml:space="preserve">specialist attendance ($35.65). </w:t>
      </w:r>
    </w:p>
    <w:p w14:paraId="60D4640E" w14:textId="4F0F4D98" w:rsidR="00017FE5" w:rsidRDefault="00684E0D" w:rsidP="00017FE5">
      <w:r w:rsidRPr="003E2FC9">
        <w:rPr>
          <w:color w:val="000000"/>
        </w:rPr>
        <w:t>The MBS fee for</w:t>
      </w:r>
      <w:r>
        <w:rPr>
          <w:color w:val="000000"/>
        </w:rPr>
        <w:t xml:space="preserve"> CE also</w:t>
      </w:r>
      <w:r w:rsidRPr="003E2FC9">
        <w:rPr>
          <w:color w:val="000000"/>
        </w:rPr>
        <w:t xml:space="preserve"> includes the cost of a consultation (item 105). </w:t>
      </w:r>
      <w:r w:rsidRPr="006E6946">
        <w:rPr>
          <w:szCs w:val="22"/>
        </w:rPr>
        <w:t>The current out-of-hospital rebate for CE is $1</w:t>
      </w:r>
      <w:r w:rsidR="00255B49">
        <w:rPr>
          <w:szCs w:val="22"/>
        </w:rPr>
        <w:t>,</w:t>
      </w:r>
      <w:r w:rsidRPr="006E6946">
        <w:rPr>
          <w:szCs w:val="22"/>
        </w:rPr>
        <w:t>959.70 (90% of services are provided out of hospital)</w:t>
      </w:r>
      <w:r w:rsidR="00255B49">
        <w:rPr>
          <w:szCs w:val="22"/>
        </w:rPr>
        <w:t>.</w:t>
      </w:r>
      <w:r w:rsidRPr="006E6946">
        <w:rPr>
          <w:szCs w:val="22"/>
        </w:rPr>
        <w:t xml:space="preserve"> </w:t>
      </w:r>
      <w:bookmarkStart w:id="135" w:name="_Ref457502499"/>
      <w:bookmarkStart w:id="136" w:name="_Toc457307429"/>
      <w:r w:rsidR="00017FE5">
        <w:br w:type="page"/>
      </w:r>
    </w:p>
    <w:p w14:paraId="6CF84C77" w14:textId="19209843" w:rsidR="00684E0D" w:rsidRPr="001F4E07" w:rsidRDefault="00684E0D" w:rsidP="001F4E07">
      <w:pPr>
        <w:pStyle w:val="Caption"/>
      </w:pPr>
      <w:bookmarkStart w:id="137" w:name="_Toc458527787"/>
      <w:r w:rsidRPr="001F4E07">
        <w:lastRenderedPageBreak/>
        <w:t xml:space="preserve">Table </w:t>
      </w:r>
      <w:fldSimple w:instr=" SEQ Table \* ARABIC ">
        <w:r w:rsidR="00A1715D">
          <w:rPr>
            <w:noProof/>
          </w:rPr>
          <w:t>11</w:t>
        </w:r>
      </w:fldSimple>
      <w:bookmarkEnd w:id="135"/>
      <w:r w:rsidR="001646CB">
        <w:t>:</w:t>
      </w:r>
      <w:r w:rsidR="001646CB">
        <w:tab/>
      </w:r>
      <w:r w:rsidRPr="001F4E07">
        <w:t>Current MBS descriptor for capsule endoscopy item 11820</w:t>
      </w:r>
      <w:bookmarkEnd w:id="136"/>
      <w:bookmarkEnd w:id="137"/>
    </w:p>
    <w:tbl>
      <w:tblPr>
        <w:tblW w:w="9128" w:type="dxa"/>
        <w:tblInd w:w="-96" w:type="dxa"/>
        <w:tblBorders>
          <w:top w:val="single" w:sz="4" w:space="0" w:color="B56011"/>
          <w:bottom w:val="single" w:sz="4" w:space="0" w:color="B56011"/>
          <w:insideH w:val="single" w:sz="4" w:space="0" w:color="B56011"/>
        </w:tblBorders>
        <w:tblLayout w:type="fixed"/>
        <w:tblCellMar>
          <w:left w:w="60" w:type="dxa"/>
          <w:right w:w="60" w:type="dxa"/>
        </w:tblCellMar>
        <w:tblLook w:val="0000" w:firstRow="0" w:lastRow="0" w:firstColumn="0" w:lastColumn="0" w:noHBand="0" w:noVBand="0"/>
        <w:tblDescription w:val="Table 11 shows the current item 11820 descriptor, its shedule fee, number of services for 2014-15 and the percentage change in services from 2011-12 to 2014-15."/>
      </w:tblPr>
      <w:tblGrid>
        <w:gridCol w:w="908"/>
        <w:gridCol w:w="5344"/>
        <w:gridCol w:w="870"/>
        <w:gridCol w:w="19"/>
        <w:gridCol w:w="956"/>
        <w:gridCol w:w="37"/>
        <w:gridCol w:w="938"/>
        <w:gridCol w:w="56"/>
      </w:tblGrid>
      <w:tr w:rsidR="005318D3" w:rsidRPr="00017FE5" w14:paraId="7A0C2EC6" w14:textId="77777777" w:rsidTr="00921CD9">
        <w:trPr>
          <w:trHeight w:val="274"/>
          <w:tblHeader/>
        </w:trPr>
        <w:tc>
          <w:tcPr>
            <w:tcW w:w="908" w:type="dxa"/>
            <w:shd w:val="clear" w:color="auto" w:fill="auto"/>
          </w:tcPr>
          <w:p w14:paraId="0C9A60CD" w14:textId="77777777" w:rsidR="00684E0D" w:rsidRPr="00017FE5" w:rsidRDefault="00684E0D" w:rsidP="00017FE5">
            <w:pPr>
              <w:pStyle w:val="Tableheading"/>
            </w:pPr>
            <w:r w:rsidRPr="00017FE5">
              <w:t xml:space="preserve">Item </w:t>
            </w:r>
          </w:p>
        </w:tc>
        <w:tc>
          <w:tcPr>
            <w:tcW w:w="5344" w:type="dxa"/>
            <w:shd w:val="clear" w:color="auto" w:fill="auto"/>
          </w:tcPr>
          <w:p w14:paraId="19805DC9" w14:textId="77777777" w:rsidR="00684E0D" w:rsidRPr="00017FE5" w:rsidRDefault="00684E0D" w:rsidP="00017FE5">
            <w:pPr>
              <w:pStyle w:val="Tableheading"/>
            </w:pPr>
            <w:r w:rsidRPr="00017FE5">
              <w:t>Item Descriptor</w:t>
            </w:r>
          </w:p>
        </w:tc>
        <w:tc>
          <w:tcPr>
            <w:tcW w:w="889" w:type="dxa"/>
            <w:gridSpan w:val="2"/>
          </w:tcPr>
          <w:p w14:paraId="6C9A9C2B" w14:textId="77777777" w:rsidR="00684E0D" w:rsidRPr="00017FE5" w:rsidRDefault="00684E0D" w:rsidP="00017FE5">
            <w:pPr>
              <w:pStyle w:val="Tableheading"/>
            </w:pPr>
            <w:r w:rsidRPr="00017FE5">
              <w:t>Schedule Fee</w:t>
            </w:r>
          </w:p>
        </w:tc>
        <w:tc>
          <w:tcPr>
            <w:tcW w:w="993" w:type="dxa"/>
            <w:gridSpan w:val="2"/>
          </w:tcPr>
          <w:p w14:paraId="026607A6" w14:textId="77777777" w:rsidR="00684E0D" w:rsidRPr="00017FE5" w:rsidRDefault="00684E0D" w:rsidP="00017FE5">
            <w:pPr>
              <w:pStyle w:val="Tableheading"/>
            </w:pPr>
            <w:r w:rsidRPr="00017FE5">
              <w:t>Services 2014-15</w:t>
            </w:r>
          </w:p>
        </w:tc>
        <w:tc>
          <w:tcPr>
            <w:tcW w:w="994" w:type="dxa"/>
            <w:gridSpan w:val="2"/>
          </w:tcPr>
          <w:p w14:paraId="1F401FAF" w14:textId="77777777" w:rsidR="00684E0D" w:rsidRPr="002036DF" w:rsidRDefault="00684E0D" w:rsidP="002036DF">
            <w:pPr>
              <w:pStyle w:val="Tableheading"/>
            </w:pPr>
            <w:r w:rsidRPr="002036DF">
              <w:t>Service Change 2011-12 to 2014-15</w:t>
            </w:r>
          </w:p>
        </w:tc>
      </w:tr>
      <w:tr w:rsidR="005318D3" w:rsidRPr="009E583E" w14:paraId="2AF4DFDD" w14:textId="77777777" w:rsidTr="005318D3">
        <w:tblPrEx>
          <w:tblCellMar>
            <w:left w:w="0" w:type="dxa"/>
            <w:right w:w="0" w:type="dxa"/>
          </w:tblCellMar>
          <w:tblLook w:val="04A0" w:firstRow="1" w:lastRow="0" w:firstColumn="1" w:lastColumn="0" w:noHBand="0" w:noVBand="1"/>
        </w:tblPrEx>
        <w:trPr>
          <w:gridAfter w:val="1"/>
          <w:wAfter w:w="56" w:type="dxa"/>
          <w:trHeight w:val="843"/>
        </w:trPr>
        <w:tc>
          <w:tcPr>
            <w:tcW w:w="908" w:type="dxa"/>
            <w:tcMar>
              <w:top w:w="0" w:type="dxa"/>
              <w:left w:w="108" w:type="dxa"/>
              <w:bottom w:w="0" w:type="dxa"/>
              <w:right w:w="108" w:type="dxa"/>
            </w:tcMar>
            <w:hideMark/>
          </w:tcPr>
          <w:p w14:paraId="406B6D99" w14:textId="77777777" w:rsidR="00684E0D" w:rsidRPr="002036DF" w:rsidRDefault="00684E0D" w:rsidP="002036DF">
            <w:pPr>
              <w:pStyle w:val="Tabletext"/>
              <w:rPr>
                <w:b/>
                <w:bCs/>
              </w:rPr>
            </w:pPr>
            <w:r w:rsidRPr="002036DF">
              <w:rPr>
                <w:b/>
                <w:bCs/>
              </w:rPr>
              <w:t xml:space="preserve">11820 </w:t>
            </w:r>
          </w:p>
        </w:tc>
        <w:tc>
          <w:tcPr>
            <w:tcW w:w="5344" w:type="dxa"/>
            <w:tcMar>
              <w:top w:w="0" w:type="dxa"/>
              <w:left w:w="108" w:type="dxa"/>
              <w:bottom w:w="0" w:type="dxa"/>
              <w:right w:w="108" w:type="dxa"/>
            </w:tcMar>
            <w:hideMark/>
          </w:tcPr>
          <w:p w14:paraId="7458503C" w14:textId="77777777" w:rsidR="00684E0D" w:rsidRPr="000E5D39" w:rsidRDefault="00684E0D" w:rsidP="002D0115">
            <w:pPr>
              <w:pStyle w:val="Default"/>
              <w:spacing w:before="60" w:after="60"/>
              <w:rPr>
                <w:rFonts w:asciiTheme="minorHAnsi" w:hAnsiTheme="minorHAnsi" w:cs="Arial"/>
                <w:color w:val="auto"/>
                <w:sz w:val="20"/>
                <w:szCs w:val="20"/>
              </w:rPr>
            </w:pPr>
            <w:r w:rsidRPr="000E5D39">
              <w:rPr>
                <w:rFonts w:asciiTheme="minorHAnsi" w:hAnsiTheme="minorHAnsi" w:cs="Arial"/>
                <w:color w:val="auto"/>
                <w:sz w:val="20"/>
                <w:szCs w:val="20"/>
              </w:rPr>
              <w:t xml:space="preserve">Capsule endoscopy to investigate an episode of obscure gastrointestinal bleeding, using a capsule endoscopy device (including administration of the capsule, associated endoscopy procedure if required for placement, imaging, image reading and interpretation, and all attendances for providing the service on the day the capsule is administered) if: </w:t>
            </w:r>
          </w:p>
          <w:p w14:paraId="7B0AFCD6" w14:textId="77777777" w:rsidR="00684E0D" w:rsidRPr="000E5D39" w:rsidRDefault="00684E0D" w:rsidP="002D0115">
            <w:pPr>
              <w:pStyle w:val="Default"/>
              <w:spacing w:before="60" w:after="60"/>
              <w:rPr>
                <w:rFonts w:asciiTheme="minorHAnsi" w:hAnsiTheme="minorHAnsi" w:cs="Arial"/>
                <w:color w:val="auto"/>
                <w:sz w:val="20"/>
                <w:szCs w:val="20"/>
              </w:rPr>
            </w:pPr>
            <w:r w:rsidRPr="000E5D39">
              <w:rPr>
                <w:rFonts w:asciiTheme="minorHAnsi" w:hAnsiTheme="minorHAnsi" w:cs="Arial"/>
                <w:color w:val="auto"/>
                <w:sz w:val="20"/>
                <w:szCs w:val="20"/>
              </w:rPr>
              <w:t xml:space="preserve">(a) the patient to whom the service is provided: </w:t>
            </w:r>
          </w:p>
          <w:p w14:paraId="6F92A56F" w14:textId="77777777" w:rsidR="00684E0D" w:rsidRPr="000E5D39" w:rsidRDefault="00684E0D" w:rsidP="002D0115">
            <w:pPr>
              <w:pStyle w:val="Default"/>
              <w:spacing w:before="60" w:after="60"/>
              <w:ind w:left="402"/>
              <w:rPr>
                <w:rFonts w:asciiTheme="minorHAnsi" w:hAnsiTheme="minorHAnsi" w:cs="Arial"/>
                <w:color w:val="auto"/>
                <w:sz w:val="20"/>
                <w:szCs w:val="20"/>
              </w:rPr>
            </w:pPr>
            <w:r w:rsidRPr="000E5D39">
              <w:rPr>
                <w:rFonts w:asciiTheme="minorHAnsi" w:hAnsiTheme="minorHAnsi" w:cs="Arial"/>
                <w:color w:val="auto"/>
                <w:sz w:val="20"/>
                <w:szCs w:val="20"/>
              </w:rPr>
              <w:t xml:space="preserve">(i) has recurrent or persistent bleeding; and </w:t>
            </w:r>
          </w:p>
          <w:p w14:paraId="67E191BA" w14:textId="77777777" w:rsidR="00684E0D" w:rsidRPr="000E5D39" w:rsidRDefault="00684E0D" w:rsidP="002D0115">
            <w:pPr>
              <w:pStyle w:val="Default"/>
              <w:spacing w:before="60" w:after="60"/>
              <w:ind w:left="402"/>
              <w:rPr>
                <w:rFonts w:asciiTheme="minorHAnsi" w:hAnsiTheme="minorHAnsi" w:cs="Arial"/>
                <w:color w:val="auto"/>
                <w:sz w:val="20"/>
                <w:szCs w:val="20"/>
              </w:rPr>
            </w:pPr>
            <w:r w:rsidRPr="000E5D39">
              <w:rPr>
                <w:rFonts w:asciiTheme="minorHAnsi" w:hAnsiTheme="minorHAnsi" w:cs="Arial"/>
                <w:color w:val="auto"/>
                <w:sz w:val="20"/>
                <w:szCs w:val="20"/>
              </w:rPr>
              <w:t xml:space="preserve">(ii) is anaemic or has active bleeding; and </w:t>
            </w:r>
          </w:p>
          <w:p w14:paraId="53A076E5" w14:textId="77777777" w:rsidR="00684E0D" w:rsidRPr="000E5D39" w:rsidRDefault="00684E0D" w:rsidP="002D0115">
            <w:pPr>
              <w:pStyle w:val="Default"/>
              <w:spacing w:before="60" w:after="60"/>
              <w:ind w:left="260" w:hanging="260"/>
              <w:rPr>
                <w:rFonts w:asciiTheme="minorHAnsi" w:hAnsiTheme="minorHAnsi" w:cs="Arial"/>
                <w:color w:val="auto"/>
                <w:sz w:val="20"/>
                <w:szCs w:val="20"/>
              </w:rPr>
            </w:pPr>
            <w:r w:rsidRPr="000E5D39">
              <w:rPr>
                <w:rFonts w:asciiTheme="minorHAnsi" w:hAnsiTheme="minorHAnsi" w:cs="Arial"/>
                <w:color w:val="auto"/>
                <w:sz w:val="20"/>
                <w:szCs w:val="20"/>
              </w:rPr>
              <w:t xml:space="preserve">(b) an upper gastrointestinal endoscopy and a colonoscopy have been performed on the patient and have not identified the cause of the bleeding; and </w:t>
            </w:r>
          </w:p>
          <w:p w14:paraId="4DFDFF5D" w14:textId="77777777" w:rsidR="00684E0D" w:rsidRPr="000E5D39" w:rsidRDefault="00684E0D" w:rsidP="002D0115">
            <w:pPr>
              <w:pStyle w:val="Default"/>
              <w:spacing w:before="60" w:after="60"/>
              <w:ind w:left="260" w:hanging="260"/>
              <w:rPr>
                <w:rFonts w:asciiTheme="minorHAnsi" w:hAnsiTheme="minorHAnsi" w:cs="Arial"/>
                <w:color w:val="auto"/>
                <w:sz w:val="20"/>
                <w:szCs w:val="20"/>
              </w:rPr>
            </w:pPr>
            <w:r w:rsidRPr="000E5D39">
              <w:rPr>
                <w:rFonts w:asciiTheme="minorHAnsi" w:hAnsiTheme="minorHAnsi" w:cs="Arial"/>
                <w:color w:val="auto"/>
                <w:sz w:val="20"/>
                <w:szCs w:val="20"/>
              </w:rPr>
              <w:t xml:space="preserve">(c) the service has not been provided to the same patient on more than 2 occasions in the preceding 12 months; and </w:t>
            </w:r>
          </w:p>
          <w:p w14:paraId="243A7A43" w14:textId="77777777" w:rsidR="00684E0D" w:rsidRPr="000E5D39" w:rsidRDefault="00684E0D" w:rsidP="002D0115">
            <w:pPr>
              <w:pStyle w:val="Default"/>
              <w:spacing w:before="60" w:after="60"/>
              <w:ind w:left="260" w:hanging="260"/>
              <w:rPr>
                <w:rFonts w:asciiTheme="minorHAnsi" w:hAnsiTheme="minorHAnsi" w:cs="Arial"/>
                <w:color w:val="auto"/>
                <w:sz w:val="20"/>
                <w:szCs w:val="20"/>
              </w:rPr>
            </w:pPr>
            <w:r w:rsidRPr="000E5D39">
              <w:rPr>
                <w:rFonts w:asciiTheme="minorHAnsi" w:hAnsiTheme="minorHAnsi" w:cs="Arial"/>
                <w:color w:val="auto"/>
                <w:sz w:val="20"/>
                <w:szCs w:val="20"/>
              </w:rPr>
              <w:t xml:space="preserve">(d) the service is performed by a specialist or consultant physician with endoscopic training that is recognised by The Conjoint Committee for Recognition of Training in Gastrointestinal Endoscopy; and </w:t>
            </w:r>
          </w:p>
          <w:p w14:paraId="72713042" w14:textId="1E3C07FE" w:rsidR="00684E0D" w:rsidRPr="000E5D39" w:rsidRDefault="00684E0D" w:rsidP="002D0115">
            <w:pPr>
              <w:pStyle w:val="Default"/>
              <w:spacing w:before="60" w:after="60"/>
              <w:rPr>
                <w:rFonts w:asciiTheme="minorHAnsi" w:hAnsiTheme="minorHAnsi" w:cs="Arial"/>
                <w:color w:val="auto"/>
                <w:sz w:val="20"/>
                <w:szCs w:val="20"/>
              </w:rPr>
            </w:pPr>
            <w:r w:rsidRPr="000E5D39">
              <w:rPr>
                <w:rFonts w:asciiTheme="minorHAnsi" w:hAnsiTheme="minorHAnsi" w:cs="Arial"/>
                <w:color w:val="auto"/>
                <w:sz w:val="20"/>
                <w:szCs w:val="20"/>
              </w:rPr>
              <w:t>(e) the service is not associated with balloon enteroscopy.</w:t>
            </w:r>
            <w:r w:rsidR="00C22AE4">
              <w:rPr>
                <w:rFonts w:asciiTheme="minorHAnsi" w:hAnsiTheme="minorHAnsi" w:cs="Arial"/>
                <w:color w:val="auto"/>
                <w:sz w:val="20"/>
                <w:szCs w:val="20"/>
              </w:rPr>
              <w:t xml:space="preserve"> </w:t>
            </w:r>
          </w:p>
        </w:tc>
        <w:tc>
          <w:tcPr>
            <w:tcW w:w="870" w:type="dxa"/>
          </w:tcPr>
          <w:p w14:paraId="7B553E99" w14:textId="77777777" w:rsidR="00684E0D" w:rsidRPr="000E5D39" w:rsidRDefault="00684E0D" w:rsidP="005318D3">
            <w:pPr>
              <w:pStyle w:val="Default"/>
              <w:spacing w:before="60" w:after="60"/>
              <w:jc w:val="right"/>
              <w:rPr>
                <w:rFonts w:asciiTheme="minorHAnsi" w:hAnsiTheme="minorHAnsi" w:cs="Arial"/>
                <w:color w:val="auto"/>
                <w:sz w:val="20"/>
                <w:szCs w:val="20"/>
              </w:rPr>
            </w:pPr>
            <w:r w:rsidRPr="000E5D39">
              <w:rPr>
                <w:rFonts w:asciiTheme="minorHAnsi" w:hAnsiTheme="minorHAnsi" w:cs="Arial"/>
                <w:color w:val="auto"/>
                <w:sz w:val="20"/>
                <w:szCs w:val="20"/>
              </w:rPr>
              <w:t>$2,039.20</w:t>
            </w:r>
          </w:p>
        </w:tc>
        <w:tc>
          <w:tcPr>
            <w:tcW w:w="975" w:type="dxa"/>
            <w:gridSpan w:val="2"/>
          </w:tcPr>
          <w:p w14:paraId="104F5FB5" w14:textId="77777777" w:rsidR="00684E0D" w:rsidRPr="000E5D39" w:rsidRDefault="00684E0D" w:rsidP="005318D3">
            <w:pPr>
              <w:pStyle w:val="Default"/>
              <w:spacing w:before="60" w:after="60"/>
              <w:jc w:val="right"/>
              <w:rPr>
                <w:rFonts w:asciiTheme="minorHAnsi" w:hAnsiTheme="minorHAnsi" w:cs="Arial"/>
                <w:color w:val="auto"/>
                <w:sz w:val="20"/>
                <w:szCs w:val="20"/>
              </w:rPr>
            </w:pPr>
            <w:r w:rsidRPr="000E5D39">
              <w:rPr>
                <w:rFonts w:asciiTheme="minorHAnsi" w:hAnsiTheme="minorHAnsi" w:cs="Arial"/>
                <w:color w:val="auto"/>
                <w:sz w:val="20"/>
                <w:szCs w:val="20"/>
              </w:rPr>
              <w:t>12,156</w:t>
            </w:r>
          </w:p>
        </w:tc>
        <w:tc>
          <w:tcPr>
            <w:tcW w:w="975" w:type="dxa"/>
            <w:gridSpan w:val="2"/>
          </w:tcPr>
          <w:p w14:paraId="50175A6D" w14:textId="77777777" w:rsidR="00684E0D" w:rsidRPr="000E5D39" w:rsidRDefault="00684E0D" w:rsidP="005318D3">
            <w:pPr>
              <w:pStyle w:val="Default"/>
              <w:spacing w:before="60" w:after="60"/>
              <w:jc w:val="right"/>
              <w:rPr>
                <w:rFonts w:asciiTheme="minorHAnsi" w:hAnsiTheme="minorHAnsi" w:cs="Arial"/>
                <w:color w:val="auto"/>
                <w:sz w:val="20"/>
                <w:szCs w:val="20"/>
              </w:rPr>
            </w:pPr>
            <w:r w:rsidRPr="000E5D39">
              <w:rPr>
                <w:rFonts w:asciiTheme="minorHAnsi" w:hAnsiTheme="minorHAnsi" w:cs="Arial"/>
                <w:color w:val="auto"/>
                <w:sz w:val="20"/>
                <w:szCs w:val="20"/>
              </w:rPr>
              <w:t>36%</w:t>
            </w:r>
          </w:p>
        </w:tc>
      </w:tr>
    </w:tbl>
    <w:p w14:paraId="0F3CFA14" w14:textId="77777777" w:rsidR="00684E0D" w:rsidRDefault="00684E0D" w:rsidP="001F4E07">
      <w:pPr>
        <w:pStyle w:val="TableUnder"/>
      </w:pPr>
      <w:r w:rsidRPr="00094CD8">
        <w:t>Source: Publicly available MBS Data (Department of Human Services website)</w:t>
      </w:r>
    </w:p>
    <w:p w14:paraId="47228E88" w14:textId="24629124" w:rsidR="00684E0D" w:rsidRPr="001F4E07" w:rsidRDefault="00684E0D" w:rsidP="001F4E07">
      <w:pPr>
        <w:pStyle w:val="Caption"/>
      </w:pPr>
      <w:bookmarkStart w:id="138" w:name="_Toc457307430"/>
      <w:bookmarkStart w:id="139" w:name="_Toc458527788"/>
      <w:r w:rsidRPr="001F4E07">
        <w:t xml:space="preserve">Table </w:t>
      </w:r>
      <w:fldSimple w:instr=" SEQ Table \* ARABIC ">
        <w:r w:rsidR="00A1715D">
          <w:rPr>
            <w:noProof/>
          </w:rPr>
          <w:t>12</w:t>
        </w:r>
      </w:fldSimple>
      <w:r w:rsidR="001646CB">
        <w:t>:</w:t>
      </w:r>
      <w:r w:rsidR="001646CB">
        <w:tab/>
      </w:r>
      <w:r w:rsidRPr="001F4E07">
        <w:t>Proposed MBS descriptor for capsule endoscopy item 11820</w:t>
      </w:r>
      <w:bookmarkEnd w:id="138"/>
      <w:bookmarkEnd w:id="139"/>
    </w:p>
    <w:tbl>
      <w:tblPr>
        <w:tblW w:w="9072" w:type="dxa"/>
        <w:tblBorders>
          <w:top w:val="single" w:sz="4" w:space="0" w:color="B56011"/>
          <w:bottom w:val="single" w:sz="4" w:space="0" w:color="B56011"/>
          <w:insideH w:val="single" w:sz="4" w:space="0" w:color="B56011"/>
        </w:tblBorders>
        <w:tblCellMar>
          <w:left w:w="0" w:type="dxa"/>
          <w:right w:w="0" w:type="dxa"/>
        </w:tblCellMar>
        <w:tblLook w:val="04A0" w:firstRow="1" w:lastRow="0" w:firstColumn="1" w:lastColumn="0" w:noHBand="0" w:noVBand="1"/>
        <w:tblDescription w:val="Table 12 shows the propsed change in the descriptor for item 11820 and the schedule fee. The changes relate to point a."/>
      </w:tblPr>
      <w:tblGrid>
        <w:gridCol w:w="888"/>
        <w:gridCol w:w="7017"/>
        <w:gridCol w:w="1167"/>
      </w:tblGrid>
      <w:tr w:rsidR="001646CB" w:rsidRPr="0061735E" w14:paraId="714F0C35" w14:textId="77777777" w:rsidTr="005318D3">
        <w:trPr>
          <w:trHeight w:val="394"/>
        </w:trPr>
        <w:tc>
          <w:tcPr>
            <w:tcW w:w="888" w:type="dxa"/>
            <w:tcMar>
              <w:top w:w="0" w:type="dxa"/>
              <w:left w:w="108" w:type="dxa"/>
              <w:bottom w:w="0" w:type="dxa"/>
              <w:right w:w="108" w:type="dxa"/>
            </w:tcMar>
          </w:tcPr>
          <w:p w14:paraId="13C2C064" w14:textId="77777777" w:rsidR="00684E0D" w:rsidRPr="000E5D39" w:rsidRDefault="00684E0D" w:rsidP="00017FE5">
            <w:pPr>
              <w:pStyle w:val="Tableheading"/>
            </w:pPr>
            <w:r w:rsidRPr="000E5D39">
              <w:t>Item #</w:t>
            </w:r>
          </w:p>
        </w:tc>
        <w:tc>
          <w:tcPr>
            <w:tcW w:w="7017" w:type="dxa"/>
            <w:tcMar>
              <w:top w:w="0" w:type="dxa"/>
              <w:left w:w="108" w:type="dxa"/>
              <w:bottom w:w="0" w:type="dxa"/>
              <w:right w:w="108" w:type="dxa"/>
            </w:tcMar>
          </w:tcPr>
          <w:p w14:paraId="315B6CA8" w14:textId="77777777" w:rsidR="00684E0D" w:rsidRPr="000E5D39" w:rsidRDefault="00684E0D" w:rsidP="00017FE5">
            <w:pPr>
              <w:pStyle w:val="Tableheading"/>
            </w:pPr>
            <w:r w:rsidRPr="000E5D39">
              <w:t>Item Descriptor</w:t>
            </w:r>
          </w:p>
        </w:tc>
        <w:tc>
          <w:tcPr>
            <w:tcW w:w="1167" w:type="dxa"/>
          </w:tcPr>
          <w:p w14:paraId="1B6448F1" w14:textId="77777777" w:rsidR="00684E0D" w:rsidRPr="000E5D39" w:rsidRDefault="00684E0D" w:rsidP="00017FE5">
            <w:pPr>
              <w:pStyle w:val="Tableheading"/>
            </w:pPr>
            <w:r w:rsidRPr="000E5D39">
              <w:t>Schedule Fee</w:t>
            </w:r>
          </w:p>
        </w:tc>
      </w:tr>
      <w:tr w:rsidR="001646CB" w:rsidRPr="0061735E" w14:paraId="7DF19C02" w14:textId="77777777" w:rsidTr="005318D3">
        <w:trPr>
          <w:trHeight w:val="406"/>
        </w:trPr>
        <w:tc>
          <w:tcPr>
            <w:tcW w:w="888" w:type="dxa"/>
            <w:tcMar>
              <w:top w:w="0" w:type="dxa"/>
              <w:left w:w="108" w:type="dxa"/>
              <w:bottom w:w="0" w:type="dxa"/>
              <w:right w:w="108" w:type="dxa"/>
            </w:tcMar>
            <w:hideMark/>
          </w:tcPr>
          <w:p w14:paraId="0094321D" w14:textId="77777777" w:rsidR="00684E0D" w:rsidRPr="000E5D39" w:rsidRDefault="00684E0D" w:rsidP="000E5D39">
            <w:pPr>
              <w:pStyle w:val="Default"/>
              <w:spacing w:before="60" w:after="60"/>
              <w:rPr>
                <w:rFonts w:asciiTheme="minorHAnsi" w:hAnsiTheme="minorHAnsi" w:cs="Arial"/>
                <w:b/>
                <w:color w:val="auto"/>
                <w:sz w:val="20"/>
                <w:szCs w:val="20"/>
              </w:rPr>
            </w:pPr>
            <w:r w:rsidRPr="000E5D39">
              <w:rPr>
                <w:rFonts w:asciiTheme="minorHAnsi" w:hAnsiTheme="minorHAnsi" w:cs="Arial"/>
                <w:b/>
                <w:color w:val="auto"/>
                <w:sz w:val="20"/>
                <w:szCs w:val="20"/>
              </w:rPr>
              <w:t xml:space="preserve">11820 </w:t>
            </w:r>
          </w:p>
        </w:tc>
        <w:tc>
          <w:tcPr>
            <w:tcW w:w="7017" w:type="dxa"/>
            <w:tcMar>
              <w:top w:w="0" w:type="dxa"/>
              <w:left w:w="108" w:type="dxa"/>
              <w:bottom w:w="0" w:type="dxa"/>
              <w:right w:w="108" w:type="dxa"/>
            </w:tcMar>
            <w:hideMark/>
          </w:tcPr>
          <w:p w14:paraId="50532287" w14:textId="77777777" w:rsidR="00684E0D" w:rsidRPr="000E5D39" w:rsidRDefault="00684E0D" w:rsidP="005318D3">
            <w:pPr>
              <w:pStyle w:val="Default"/>
              <w:spacing w:before="40" w:after="40"/>
              <w:rPr>
                <w:rFonts w:asciiTheme="minorHAnsi" w:hAnsiTheme="minorHAnsi" w:cs="Arial"/>
                <w:color w:val="auto"/>
                <w:sz w:val="20"/>
                <w:szCs w:val="20"/>
              </w:rPr>
            </w:pPr>
            <w:r w:rsidRPr="000E5D39">
              <w:rPr>
                <w:rFonts w:asciiTheme="minorHAnsi" w:hAnsiTheme="minorHAnsi" w:cs="Arial"/>
                <w:color w:val="auto"/>
                <w:sz w:val="20"/>
                <w:szCs w:val="20"/>
              </w:rPr>
              <w:t xml:space="preserve">Capsule endoscopy to investigate an episode of obscure gastrointestinal bleeding, using a capsule endoscopy device (including administration of the capsule, associated endoscopy procedure if required for placement, imaging, image reading and interpretation, and all attendances for providing the service on the day the capsule is administered) if: </w:t>
            </w:r>
          </w:p>
          <w:p w14:paraId="20608464" w14:textId="77777777" w:rsidR="00684E0D" w:rsidRPr="000E5D39" w:rsidRDefault="00684E0D" w:rsidP="005318D3">
            <w:pPr>
              <w:pStyle w:val="Default"/>
              <w:spacing w:before="40" w:after="40"/>
              <w:rPr>
                <w:rFonts w:asciiTheme="minorHAnsi" w:hAnsiTheme="minorHAnsi" w:cs="Arial"/>
                <w:color w:val="auto"/>
                <w:sz w:val="20"/>
                <w:szCs w:val="20"/>
              </w:rPr>
            </w:pPr>
            <w:r w:rsidRPr="000E5D39">
              <w:rPr>
                <w:rFonts w:asciiTheme="minorHAnsi" w:hAnsiTheme="minorHAnsi" w:cs="Arial"/>
                <w:color w:val="auto"/>
                <w:sz w:val="20"/>
                <w:szCs w:val="20"/>
              </w:rPr>
              <w:t xml:space="preserve">(a) the patient to whom the service is provided: </w:t>
            </w:r>
          </w:p>
          <w:p w14:paraId="31C3AC1F" w14:textId="77777777" w:rsidR="00684E0D" w:rsidRPr="000E5D39" w:rsidRDefault="00684E0D" w:rsidP="005318D3">
            <w:pPr>
              <w:pStyle w:val="Default"/>
              <w:spacing w:before="40" w:after="40"/>
              <w:ind w:left="402"/>
              <w:rPr>
                <w:rFonts w:asciiTheme="minorHAnsi" w:hAnsiTheme="minorHAnsi" w:cs="Arial"/>
                <w:color w:val="auto"/>
                <w:sz w:val="20"/>
                <w:szCs w:val="20"/>
              </w:rPr>
            </w:pPr>
            <w:r w:rsidRPr="000E5D39">
              <w:rPr>
                <w:rFonts w:asciiTheme="minorHAnsi" w:hAnsiTheme="minorHAnsi" w:cs="Arial"/>
                <w:color w:val="auto"/>
                <w:sz w:val="20"/>
                <w:szCs w:val="20"/>
              </w:rPr>
              <w:t xml:space="preserve">(i) has recurrent or persistent GI bleeding; and </w:t>
            </w:r>
          </w:p>
          <w:p w14:paraId="3AAEF927" w14:textId="77777777" w:rsidR="00684E0D" w:rsidRPr="000E5D39" w:rsidRDefault="00684E0D" w:rsidP="005318D3">
            <w:pPr>
              <w:pStyle w:val="Default"/>
              <w:spacing w:before="40" w:after="40"/>
              <w:ind w:left="720"/>
              <w:rPr>
                <w:rFonts w:asciiTheme="minorHAnsi" w:hAnsiTheme="minorHAnsi" w:cs="Arial"/>
                <w:i/>
                <w:color w:val="auto"/>
                <w:sz w:val="20"/>
                <w:szCs w:val="20"/>
                <w:u w:val="single"/>
              </w:rPr>
            </w:pPr>
            <w:r w:rsidRPr="000E5D39">
              <w:rPr>
                <w:rFonts w:asciiTheme="minorHAnsi" w:hAnsiTheme="minorHAnsi" w:cs="Arial"/>
                <w:i/>
                <w:color w:val="auto"/>
                <w:sz w:val="20"/>
                <w:szCs w:val="20"/>
              </w:rPr>
              <w:t>(</w:t>
            </w:r>
            <w:r w:rsidRPr="000E5D39">
              <w:rPr>
                <w:rFonts w:asciiTheme="minorHAnsi" w:hAnsiTheme="minorHAnsi" w:cs="Arial"/>
                <w:i/>
                <w:color w:val="auto"/>
                <w:sz w:val="20"/>
                <w:szCs w:val="20"/>
                <w:u w:val="single"/>
              </w:rPr>
              <w:t xml:space="preserve">1) has iron deficiency anaemia that is not due to coeliac disease, </w:t>
            </w:r>
          </w:p>
          <w:p w14:paraId="6599297A" w14:textId="77777777" w:rsidR="00684E0D" w:rsidRPr="000E5D39" w:rsidRDefault="00684E0D" w:rsidP="005318D3">
            <w:pPr>
              <w:pStyle w:val="Default"/>
              <w:spacing w:before="40" w:after="40"/>
              <w:ind w:left="720"/>
              <w:rPr>
                <w:rFonts w:asciiTheme="minorHAnsi" w:hAnsiTheme="minorHAnsi" w:cs="Arial"/>
                <w:i/>
                <w:color w:val="auto"/>
                <w:sz w:val="20"/>
                <w:szCs w:val="20"/>
                <w:u w:val="single"/>
              </w:rPr>
            </w:pPr>
            <w:r w:rsidRPr="000E5D39">
              <w:rPr>
                <w:rFonts w:asciiTheme="minorHAnsi" w:hAnsiTheme="minorHAnsi" w:cs="Arial"/>
                <w:i/>
                <w:color w:val="auto"/>
                <w:sz w:val="20"/>
                <w:szCs w:val="20"/>
                <w:u w:val="single"/>
              </w:rPr>
              <w:t xml:space="preserve">(2) a duodenal biopsy (where not contra indicated) has been performed and has not identified the cause of the iron deficiency anaemia </w:t>
            </w:r>
          </w:p>
          <w:p w14:paraId="3FD92522" w14:textId="77777777" w:rsidR="00684E0D" w:rsidRPr="000E5D39" w:rsidRDefault="00684E0D" w:rsidP="005318D3">
            <w:pPr>
              <w:pStyle w:val="Default"/>
              <w:spacing w:before="40" w:after="40"/>
              <w:ind w:left="720"/>
              <w:rPr>
                <w:rFonts w:asciiTheme="minorHAnsi" w:hAnsiTheme="minorHAnsi" w:cs="Arial"/>
                <w:i/>
                <w:color w:val="auto"/>
                <w:sz w:val="20"/>
                <w:szCs w:val="20"/>
              </w:rPr>
            </w:pPr>
            <w:r w:rsidRPr="000E5D39">
              <w:rPr>
                <w:rFonts w:asciiTheme="minorHAnsi" w:hAnsiTheme="minorHAnsi" w:cs="Arial"/>
                <w:i/>
                <w:color w:val="auto"/>
                <w:sz w:val="20"/>
                <w:szCs w:val="20"/>
                <w:u w:val="single"/>
              </w:rPr>
              <w:t>(3) menorrhagia if present has been considered and managed;</w:t>
            </w:r>
            <w:r w:rsidRPr="000E5D39">
              <w:rPr>
                <w:rFonts w:asciiTheme="minorHAnsi" w:hAnsiTheme="minorHAnsi" w:cs="Arial"/>
                <w:i/>
                <w:color w:val="auto"/>
                <w:sz w:val="20"/>
                <w:szCs w:val="20"/>
              </w:rPr>
              <w:t xml:space="preserve"> OR</w:t>
            </w:r>
          </w:p>
          <w:p w14:paraId="08724DD7" w14:textId="77777777" w:rsidR="00684E0D" w:rsidRPr="006C6BE7" w:rsidRDefault="00684E0D" w:rsidP="005318D3">
            <w:pPr>
              <w:pStyle w:val="Default"/>
              <w:spacing w:before="40" w:after="40"/>
              <w:ind w:left="402"/>
            </w:pPr>
            <w:r w:rsidRPr="000E5D39">
              <w:rPr>
                <w:rFonts w:asciiTheme="minorHAnsi" w:hAnsiTheme="minorHAnsi" w:cs="Arial"/>
                <w:color w:val="auto"/>
                <w:sz w:val="20"/>
                <w:szCs w:val="20"/>
              </w:rPr>
              <w:t xml:space="preserve">(ii) has </w:t>
            </w:r>
            <w:r w:rsidRPr="000E5D39">
              <w:rPr>
                <w:rFonts w:asciiTheme="minorHAnsi" w:hAnsiTheme="minorHAnsi" w:cs="Arial"/>
                <w:color w:val="auto"/>
                <w:sz w:val="20"/>
                <w:szCs w:val="20"/>
                <w:u w:val="single"/>
              </w:rPr>
              <w:t xml:space="preserve">overt </w:t>
            </w:r>
            <w:r w:rsidRPr="000E5D39">
              <w:rPr>
                <w:rFonts w:asciiTheme="minorHAnsi" w:hAnsiTheme="minorHAnsi" w:cs="Arial"/>
                <w:color w:val="auto"/>
                <w:sz w:val="20"/>
                <w:szCs w:val="20"/>
              </w:rPr>
              <w:t xml:space="preserve">active GI bleeding; and </w:t>
            </w:r>
          </w:p>
          <w:p w14:paraId="2420E555" w14:textId="77777777" w:rsidR="00684E0D" w:rsidRPr="000E5D39" w:rsidRDefault="00684E0D" w:rsidP="005318D3">
            <w:pPr>
              <w:pStyle w:val="Default"/>
              <w:spacing w:before="40" w:after="40"/>
              <w:ind w:left="260" w:hanging="260"/>
              <w:rPr>
                <w:rFonts w:asciiTheme="minorHAnsi" w:hAnsiTheme="minorHAnsi" w:cs="Arial"/>
                <w:color w:val="auto"/>
                <w:sz w:val="20"/>
                <w:szCs w:val="20"/>
              </w:rPr>
            </w:pPr>
            <w:r w:rsidRPr="000E5D39">
              <w:rPr>
                <w:rFonts w:asciiTheme="minorHAnsi" w:hAnsiTheme="minorHAnsi" w:cs="Arial"/>
                <w:color w:val="auto"/>
                <w:sz w:val="20"/>
                <w:szCs w:val="20"/>
              </w:rPr>
              <w:t xml:space="preserve">(b) an upper gastrointestinal endoscopy and a colonoscopy have been performed on the patient and have not identified the cause of the bleeding; and </w:t>
            </w:r>
          </w:p>
          <w:p w14:paraId="1D0AB883" w14:textId="77777777" w:rsidR="00684E0D" w:rsidRPr="000E5D39" w:rsidRDefault="00684E0D" w:rsidP="005318D3">
            <w:pPr>
              <w:pStyle w:val="Default"/>
              <w:spacing w:before="40" w:after="40"/>
              <w:ind w:left="260" w:hanging="260"/>
              <w:rPr>
                <w:rFonts w:asciiTheme="minorHAnsi" w:hAnsiTheme="minorHAnsi" w:cs="Arial"/>
                <w:color w:val="auto"/>
                <w:sz w:val="20"/>
                <w:szCs w:val="20"/>
              </w:rPr>
            </w:pPr>
            <w:r w:rsidRPr="000E5D39">
              <w:rPr>
                <w:rFonts w:asciiTheme="minorHAnsi" w:hAnsiTheme="minorHAnsi" w:cs="Arial"/>
                <w:color w:val="auto"/>
                <w:sz w:val="20"/>
                <w:szCs w:val="20"/>
              </w:rPr>
              <w:t xml:space="preserve">(c) the service has not been provided to the same patient on more than 2 occasions in the preceding 12 months; and </w:t>
            </w:r>
          </w:p>
          <w:p w14:paraId="3F5529C5" w14:textId="77777777" w:rsidR="00684E0D" w:rsidRPr="000E5D39" w:rsidRDefault="00684E0D" w:rsidP="005318D3">
            <w:pPr>
              <w:pStyle w:val="Default"/>
              <w:spacing w:before="40" w:after="40"/>
              <w:ind w:left="260" w:hanging="260"/>
              <w:rPr>
                <w:rFonts w:asciiTheme="minorHAnsi" w:hAnsiTheme="minorHAnsi" w:cs="Arial"/>
                <w:color w:val="auto"/>
                <w:sz w:val="20"/>
                <w:szCs w:val="20"/>
              </w:rPr>
            </w:pPr>
            <w:r w:rsidRPr="000E5D39">
              <w:rPr>
                <w:rFonts w:asciiTheme="minorHAnsi" w:hAnsiTheme="minorHAnsi" w:cs="Arial"/>
                <w:color w:val="auto"/>
                <w:sz w:val="20"/>
                <w:szCs w:val="20"/>
              </w:rPr>
              <w:t xml:space="preserve">(d) the service is performed by a specialist or consultant physician with endoscopic training that is recognised by The Conjoint Committee for Recognition of Training in Gastrointestinal Endoscopy; and </w:t>
            </w:r>
          </w:p>
          <w:p w14:paraId="41303C8A" w14:textId="77777777" w:rsidR="00684E0D" w:rsidRPr="000E5D39" w:rsidRDefault="00684E0D" w:rsidP="005318D3">
            <w:pPr>
              <w:pStyle w:val="Default"/>
              <w:spacing w:before="40" w:after="40"/>
              <w:rPr>
                <w:rFonts w:asciiTheme="minorHAnsi" w:hAnsiTheme="minorHAnsi" w:cs="Arial"/>
                <w:color w:val="auto"/>
                <w:sz w:val="20"/>
                <w:szCs w:val="20"/>
              </w:rPr>
            </w:pPr>
            <w:r w:rsidRPr="000E5D39">
              <w:rPr>
                <w:rFonts w:asciiTheme="minorHAnsi" w:hAnsiTheme="minorHAnsi" w:cs="Arial"/>
                <w:color w:val="auto"/>
                <w:sz w:val="20"/>
                <w:szCs w:val="20"/>
              </w:rPr>
              <w:t xml:space="preserve">(e) the service is not associated with balloon enteroscopy. </w:t>
            </w:r>
          </w:p>
        </w:tc>
        <w:tc>
          <w:tcPr>
            <w:tcW w:w="1167" w:type="dxa"/>
          </w:tcPr>
          <w:p w14:paraId="728F4908" w14:textId="77777777" w:rsidR="00684E0D" w:rsidRPr="000E5D39" w:rsidRDefault="00684E0D" w:rsidP="000E5D39">
            <w:pPr>
              <w:pStyle w:val="Default"/>
              <w:spacing w:before="60" w:after="60"/>
              <w:jc w:val="right"/>
              <w:rPr>
                <w:rFonts w:asciiTheme="minorHAnsi" w:hAnsiTheme="minorHAnsi" w:cs="Arial"/>
                <w:color w:val="auto"/>
                <w:sz w:val="20"/>
                <w:szCs w:val="20"/>
              </w:rPr>
            </w:pPr>
            <w:r w:rsidRPr="000E5D39">
              <w:rPr>
                <w:rFonts w:asciiTheme="minorHAnsi" w:hAnsiTheme="minorHAnsi" w:cs="Arial"/>
                <w:color w:val="auto"/>
                <w:sz w:val="20"/>
                <w:szCs w:val="20"/>
              </w:rPr>
              <w:t>$2,039.20</w:t>
            </w:r>
          </w:p>
        </w:tc>
      </w:tr>
    </w:tbl>
    <w:p w14:paraId="25DB842C" w14:textId="77777777" w:rsidR="001F4E07" w:rsidRDefault="001F4E07" w:rsidP="001F4E07">
      <w:pPr>
        <w:pStyle w:val="TableUnder"/>
      </w:pPr>
      <w:bookmarkStart w:id="140" w:name="_Toc457307496"/>
      <w:r>
        <w:t xml:space="preserve">Proposed additions are </w:t>
      </w:r>
      <w:r w:rsidRPr="00684E0D">
        <w:rPr>
          <w:u w:val="single"/>
        </w:rPr>
        <w:t>underlined</w:t>
      </w:r>
      <w:r>
        <w:t>.</w:t>
      </w:r>
    </w:p>
    <w:p w14:paraId="5E0917FB" w14:textId="77777777" w:rsidR="00684E0D" w:rsidRPr="00132E87" w:rsidRDefault="00684E0D" w:rsidP="00132E87">
      <w:pPr>
        <w:pStyle w:val="Heading3"/>
      </w:pPr>
      <w:r w:rsidRPr="00132E87">
        <w:lastRenderedPageBreak/>
        <w:t>Rationale</w:t>
      </w:r>
      <w:bookmarkEnd w:id="140"/>
    </w:p>
    <w:p w14:paraId="1DE9D014" w14:textId="4EB33815" w:rsidR="00684E0D" w:rsidRDefault="00684E0D" w:rsidP="0052022C">
      <w:r w:rsidRPr="00BD184C">
        <w:t>A rapid review undertaken by the Department of Health</w:t>
      </w:r>
      <w:r>
        <w:t>,</w:t>
      </w:r>
      <w:r w:rsidRPr="00BD184C">
        <w:t xml:space="preserve"> at the request of the Committee</w:t>
      </w:r>
      <w:r>
        <w:t>,</w:t>
      </w:r>
      <w:r w:rsidRPr="00BD184C">
        <w:t xml:space="preserve"> did not find any correlation between the increase in services and the prevalence and hospitalisation of OGIB in Australia.</w:t>
      </w:r>
      <w:r w:rsidR="00C22AE4">
        <w:t xml:space="preserve"> </w:t>
      </w:r>
      <w:r w:rsidRPr="00F279DE">
        <w:t>The rapid review report is provided at Appendix C.</w:t>
      </w:r>
    </w:p>
    <w:p w14:paraId="2DE04537" w14:textId="0C21446C" w:rsidR="00684E0D" w:rsidRDefault="00684E0D" w:rsidP="0052022C">
      <w:r>
        <w:t>The Committee noted t</w:t>
      </w:r>
      <w:r w:rsidRPr="00CF3318">
        <w:t>here are very few MBS items that explicitly cover high cost consumables (</w:t>
      </w:r>
      <w:r>
        <w:t xml:space="preserve">CE </w:t>
      </w:r>
      <w:r w:rsidRPr="00CF3318">
        <w:t>is a notable example)</w:t>
      </w:r>
      <w:r>
        <w:t>, and a large proportion of the CE fee (~70%) covers capital and consumable costs.</w:t>
      </w:r>
      <w:r w:rsidR="00C22AE4">
        <w:t xml:space="preserve"> </w:t>
      </w:r>
      <w:r>
        <w:t>There is potential for these costs to reduce over time and depending on the location of the service, the consumable cost may or may not be borne by the practitioner who receives the MBS benefit.</w:t>
      </w:r>
      <w:r w:rsidR="00C22AE4">
        <w:t xml:space="preserve"> </w:t>
      </w:r>
    </w:p>
    <w:p w14:paraId="0FCC206E" w14:textId="583A968E" w:rsidR="00684E0D" w:rsidRPr="00B60455" w:rsidRDefault="00684E0D" w:rsidP="0052022C">
      <w:r w:rsidRPr="00B60455">
        <w:t xml:space="preserve">The </w:t>
      </w:r>
      <w:r>
        <w:t xml:space="preserve">Committee noted that the </w:t>
      </w:r>
      <w:r w:rsidRPr="00B60455">
        <w:t xml:space="preserve">current MBS fee for CE item (item 11820) is $2,039.20. </w:t>
      </w:r>
      <w:r w:rsidR="00255B49" w:rsidRPr="00E34579">
        <w:t xml:space="preserve">Table </w:t>
      </w:r>
      <w:r w:rsidR="00255B49">
        <w:rPr>
          <w:noProof/>
        </w:rPr>
        <w:t>10</w:t>
      </w:r>
      <w:r w:rsidR="00255B49">
        <w:t xml:space="preserve"> </w:t>
      </w:r>
      <w:r w:rsidRPr="00B60455">
        <w:t>shows the component cost of CE as assessed by MSAC in 2003 and the component costs</w:t>
      </w:r>
      <w:r>
        <w:t xml:space="preserve"> in 2016</w:t>
      </w:r>
      <w:r w:rsidRPr="00B60455">
        <w:t xml:space="preserve"> based on </w:t>
      </w:r>
      <w:r>
        <w:t>those</w:t>
      </w:r>
      <w:r w:rsidRPr="00B60455">
        <w:t xml:space="preserve"> proportions</w:t>
      </w:r>
      <w:r>
        <w:t xml:space="preserve"> with fee indexing</w:t>
      </w:r>
      <w:r w:rsidRPr="00B60455">
        <w:t>.</w:t>
      </w:r>
      <w:r w:rsidR="00C22AE4">
        <w:t xml:space="preserve"> </w:t>
      </w:r>
      <w:r w:rsidRPr="00B60455">
        <w:t>The Committee found that the price of the ‘pillcam’ has not increased in price since 2003, yet the MBS fee has increased with indexing.</w:t>
      </w:r>
      <w:r w:rsidR="00C22AE4">
        <w:t xml:space="preserve"> </w:t>
      </w:r>
      <w:r w:rsidRPr="00B60455">
        <w:t xml:space="preserve">The component of the fee that represents the ‘pillcam’ now is $1,076.98, a difference of $181.98. </w:t>
      </w:r>
    </w:p>
    <w:p w14:paraId="2504E073" w14:textId="580117CA" w:rsidR="00684E0D" w:rsidRDefault="003260BB" w:rsidP="00921CD9">
      <w:pPr>
        <w:pStyle w:val="Rec"/>
        <w:numPr>
          <w:ilvl w:val="0"/>
          <w:numId w:val="0"/>
        </w:numPr>
        <w:ind w:left="2041" w:hanging="2041"/>
      </w:pPr>
      <w:bookmarkStart w:id="141" w:name="_Toc457307497"/>
      <w:bookmarkStart w:id="142" w:name="_Toc485731766"/>
      <w:r w:rsidRPr="00017FE5">
        <w:t>Recommendation</w:t>
      </w:r>
      <w:r>
        <w:t xml:space="preserve"> 3:</w:t>
      </w:r>
      <w:r>
        <w:tab/>
        <w:t>2.</w:t>
      </w:r>
      <w:r w:rsidR="00132E87">
        <w:t xml:space="preserve"> Capsule Endoscopy</w:t>
      </w:r>
      <w:bookmarkEnd w:id="141"/>
      <w:bookmarkEnd w:id="142"/>
    </w:p>
    <w:p w14:paraId="47235001" w14:textId="14AFCDDC" w:rsidR="00684E0D" w:rsidRDefault="00684E0D" w:rsidP="0052022C">
      <w:r>
        <w:t>The</w:t>
      </w:r>
      <w:r w:rsidRPr="00BD184C">
        <w:t xml:space="preserve"> Committee </w:t>
      </w:r>
      <w:r>
        <w:t xml:space="preserve">considers that the usage pattern of CE is not explained on clinical grounds </w:t>
      </w:r>
      <w:r w:rsidR="00723475">
        <w:t xml:space="preserve">alone </w:t>
      </w:r>
      <w:r>
        <w:t>and the fee of $2,039.20 may be driving higher than anticipated use.</w:t>
      </w:r>
      <w:r w:rsidR="00C22AE4">
        <w:t xml:space="preserve"> </w:t>
      </w:r>
    </w:p>
    <w:p w14:paraId="30C100FE" w14:textId="5921D8BE" w:rsidR="00684E0D" w:rsidRDefault="00684E0D" w:rsidP="00FA1377">
      <w:pPr>
        <w:pStyle w:val="ListParagraph"/>
        <w:numPr>
          <w:ilvl w:val="0"/>
          <w:numId w:val="40"/>
        </w:numPr>
      </w:pPr>
      <w:r>
        <w:t>The Committee recommends a fee assessment by MSAC to see whether the current fee is reflective of the current costs</w:t>
      </w:r>
      <w:r w:rsidR="00E32F4A">
        <w:t xml:space="preserve"> for CE item 11820</w:t>
      </w:r>
      <w:r>
        <w:t>.</w:t>
      </w:r>
      <w:r w:rsidR="00C22AE4">
        <w:t xml:space="preserve"> </w:t>
      </w:r>
      <w:r w:rsidR="00186FE7">
        <w:t xml:space="preserve">This assessment may </w:t>
      </w:r>
      <w:r w:rsidR="00E32F4A">
        <w:t xml:space="preserve">also </w:t>
      </w:r>
      <w:r w:rsidR="00186FE7">
        <w:t>have flow</w:t>
      </w:r>
      <w:r w:rsidR="00E32F4A">
        <w:t>-</w:t>
      </w:r>
      <w:r w:rsidR="00186FE7">
        <w:t xml:space="preserve">on effects </w:t>
      </w:r>
      <w:r w:rsidR="00E32F4A">
        <w:t xml:space="preserve">to the fee for </w:t>
      </w:r>
      <w:r w:rsidR="00186FE7">
        <w:t xml:space="preserve">CE item 11823 </w:t>
      </w:r>
      <w:r w:rsidR="00E32F4A">
        <w:t>which was modelled on the fee for CE item 11820.</w:t>
      </w:r>
      <w:r w:rsidR="00C22AE4">
        <w:t xml:space="preserve"> </w:t>
      </w:r>
    </w:p>
    <w:p w14:paraId="774FE6D0" w14:textId="77777777" w:rsidR="00684E0D" w:rsidRPr="00132E87" w:rsidRDefault="00684E0D" w:rsidP="00132E87">
      <w:pPr>
        <w:pStyle w:val="Heading3"/>
      </w:pPr>
      <w:bookmarkStart w:id="143" w:name="_Toc457307498"/>
      <w:r w:rsidRPr="00132E87">
        <w:t>Recommendation Impact Statement</w:t>
      </w:r>
      <w:bookmarkEnd w:id="143"/>
    </w:p>
    <w:p w14:paraId="4BF3939B" w14:textId="4378250B" w:rsidR="00684E0D" w:rsidRPr="00132E87" w:rsidRDefault="00684E0D" w:rsidP="00684E0D">
      <w:r w:rsidRPr="0032145D">
        <w:t xml:space="preserve">The recommendation for a fee assessment by </w:t>
      </w:r>
      <w:r w:rsidRPr="0032145D">
        <w:rPr>
          <w:iCs/>
        </w:rPr>
        <w:t>M</w:t>
      </w:r>
      <w:r>
        <w:rPr>
          <w:iCs/>
        </w:rPr>
        <w:t xml:space="preserve">edical </w:t>
      </w:r>
      <w:r w:rsidRPr="0032145D">
        <w:rPr>
          <w:iCs/>
        </w:rPr>
        <w:t>S</w:t>
      </w:r>
      <w:r>
        <w:rPr>
          <w:iCs/>
        </w:rPr>
        <w:t xml:space="preserve">ervices </w:t>
      </w:r>
      <w:r w:rsidRPr="0032145D">
        <w:rPr>
          <w:iCs/>
        </w:rPr>
        <w:t>A</w:t>
      </w:r>
      <w:r>
        <w:rPr>
          <w:iCs/>
        </w:rPr>
        <w:t xml:space="preserve">dvisory </w:t>
      </w:r>
      <w:r w:rsidRPr="0032145D">
        <w:rPr>
          <w:iCs/>
        </w:rPr>
        <w:t>C</w:t>
      </w:r>
      <w:r>
        <w:rPr>
          <w:iCs/>
        </w:rPr>
        <w:t>ommittee</w:t>
      </w:r>
      <w:r w:rsidRPr="0032145D">
        <w:t xml:space="preserve"> </w:t>
      </w:r>
      <w:r>
        <w:t>(</w:t>
      </w:r>
      <w:r w:rsidRPr="0032145D">
        <w:t>MSAC</w:t>
      </w:r>
      <w:r>
        <w:t>)</w:t>
      </w:r>
      <w:r w:rsidRPr="0032145D">
        <w:t xml:space="preserve"> </w:t>
      </w:r>
      <w:r>
        <w:t>will address concerns</w:t>
      </w:r>
      <w:r w:rsidRPr="0032145D">
        <w:t xml:space="preserve"> t</w:t>
      </w:r>
      <w:r>
        <w:t>hat the fee may be set too high and may be driving higher than expected use.</w:t>
      </w:r>
    </w:p>
    <w:p w14:paraId="5A726CFC" w14:textId="77777777" w:rsidR="00684E0D" w:rsidRPr="008D3569" w:rsidRDefault="00684E0D" w:rsidP="003F555F">
      <w:pPr>
        <w:pStyle w:val="Heading2"/>
      </w:pPr>
      <w:bookmarkStart w:id="144" w:name="_Toc456188382"/>
      <w:bookmarkStart w:id="145" w:name="_Toc457307499"/>
      <w:bookmarkStart w:id="146" w:name="_Ref457362057"/>
      <w:bookmarkStart w:id="147" w:name="_Ref457362108"/>
      <w:bookmarkStart w:id="148" w:name="_Ref457530748"/>
      <w:r w:rsidRPr="008D3569">
        <w:t>Endoscopic upper gastrointestinal services (items 30473, 30476, 30478, 30479)</w:t>
      </w:r>
      <w:bookmarkEnd w:id="144"/>
      <w:bookmarkEnd w:id="145"/>
      <w:bookmarkEnd w:id="146"/>
      <w:bookmarkEnd w:id="147"/>
      <w:bookmarkEnd w:id="148"/>
    </w:p>
    <w:p w14:paraId="72CBEAEB" w14:textId="77777777" w:rsidR="00684E0D" w:rsidRPr="00132E87" w:rsidRDefault="00684E0D" w:rsidP="00132E87">
      <w:pPr>
        <w:pStyle w:val="Heading3"/>
      </w:pPr>
      <w:bookmarkStart w:id="149" w:name="_Toc457307500"/>
      <w:r w:rsidRPr="00132E87">
        <w:t>Issues</w:t>
      </w:r>
      <w:bookmarkEnd w:id="149"/>
    </w:p>
    <w:p w14:paraId="14001E61" w14:textId="12C375DD" w:rsidR="00684E0D" w:rsidRDefault="00684E0D" w:rsidP="0052022C">
      <w:r w:rsidRPr="00B011AF">
        <w:t>The Committee reviewed the upper GI endoscopy services (</w:t>
      </w:r>
      <w:r>
        <w:t xml:space="preserve">MBS </w:t>
      </w:r>
      <w:r w:rsidRPr="00B011AF">
        <w:t xml:space="preserve">items 30473, 30476, 30478, 30479) and associated </w:t>
      </w:r>
      <w:r>
        <w:t>service</w:t>
      </w:r>
      <w:r w:rsidRPr="00B011AF">
        <w:t xml:space="preserve"> data.</w:t>
      </w:r>
      <w:r w:rsidR="00C22AE4">
        <w:t xml:space="preserve"> </w:t>
      </w:r>
      <w:r w:rsidRPr="00B011AF">
        <w:t xml:space="preserve">The Committee </w:t>
      </w:r>
      <w:r>
        <w:t>noted that two of these items had service level change from 2011-12 to 2014-15 of 29% for item 30479 and 32% for item 30478.</w:t>
      </w:r>
      <w:r w:rsidR="00C22AE4">
        <w:t xml:space="preserve"> </w:t>
      </w:r>
      <w:r>
        <w:t>The Committee also noted the higher fee for item 30479 which provides for endoscopic laser therapy or Argon Plasma Coagulation (APC) for the treatment of specified conditions. The Committee raised concerns that there is some inconsistency between the descriptors for these items.</w:t>
      </w:r>
    </w:p>
    <w:p w14:paraId="639A1D05" w14:textId="77777777" w:rsidR="00684E0D" w:rsidRPr="00132E87" w:rsidRDefault="00684E0D" w:rsidP="00132E87">
      <w:pPr>
        <w:pStyle w:val="Heading3"/>
      </w:pPr>
      <w:bookmarkStart w:id="150" w:name="_Toc457307501"/>
      <w:r w:rsidRPr="00132E87">
        <w:lastRenderedPageBreak/>
        <w:t>Rationale</w:t>
      </w:r>
      <w:bookmarkEnd w:id="150"/>
    </w:p>
    <w:p w14:paraId="2A5821FC" w14:textId="5C747EF4" w:rsidR="00684E0D" w:rsidRPr="00B44C00" w:rsidRDefault="00684E0D" w:rsidP="0052022C">
      <w:r w:rsidRPr="00B44C00">
        <w:t xml:space="preserve">The Committee agreed that APC </w:t>
      </w:r>
      <w:r>
        <w:t>is no more time consuming of the skills required</w:t>
      </w:r>
      <w:r w:rsidRPr="00B44C00">
        <w:t xml:space="preserve"> </w:t>
      </w:r>
      <w:r>
        <w:t>than</w:t>
      </w:r>
      <w:r w:rsidRPr="00B44C00">
        <w:t xml:space="preserve"> other forms of endoscopic interventions and APC should be moved from the laser item 30479 into the more general endoscopic item 30478.</w:t>
      </w:r>
      <w:r w:rsidR="00C22AE4">
        <w:t xml:space="preserve"> </w:t>
      </w:r>
      <w:r w:rsidRPr="00B44C00">
        <w:t>The Committee also agreed that items 30476 and 30478 should be simplified by consolidating the services into one item.</w:t>
      </w:r>
      <w:r w:rsidR="00C22AE4">
        <w:t xml:space="preserve"> </w:t>
      </w:r>
      <w:r w:rsidRPr="00B44C00">
        <w:t>This consolidation will not change the fee or the intent of these services.</w:t>
      </w:r>
      <w:r w:rsidR="00C22AE4">
        <w:t xml:space="preserve"> </w:t>
      </w:r>
    </w:p>
    <w:p w14:paraId="121C79DF" w14:textId="23764D32" w:rsidR="00684E0D" w:rsidRPr="00B44C00" w:rsidRDefault="00684E0D" w:rsidP="001646CB">
      <w:pPr>
        <w:spacing w:line="288" w:lineRule="auto"/>
      </w:pPr>
      <w:r w:rsidRPr="00B44C00">
        <w:t>The restructure proposed will provide one diagnostic item 30473, a general therapeutic item 30478 (without laser) and a stand-alone higher rebated item 30479 for laser procedures in specified circumstances.</w:t>
      </w:r>
      <w:r w:rsidR="00C22AE4">
        <w:t xml:space="preserve"> </w:t>
      </w:r>
      <w:r w:rsidRPr="00B44C00">
        <w:t>The Committee agreed that these changes should include minor amendments to the item descriptors to maintain requirements that the therapeutic items specify the available techniques and pathologies.</w:t>
      </w:r>
      <w:r w:rsidR="00C22AE4">
        <w:t xml:space="preserve"> </w:t>
      </w:r>
    </w:p>
    <w:p w14:paraId="697C11C3" w14:textId="14A09BEF" w:rsidR="00684E0D" w:rsidRPr="00B44C00" w:rsidRDefault="00684E0D" w:rsidP="001646CB">
      <w:pPr>
        <w:spacing w:line="288" w:lineRule="auto"/>
      </w:pPr>
      <w:r w:rsidRPr="00B44C00">
        <w:t>The Committee reviewed the data on repeat services for these items to determine if frequency restrictions should be introduced.</w:t>
      </w:r>
      <w:r w:rsidR="00C22AE4">
        <w:t xml:space="preserve"> </w:t>
      </w:r>
      <w:r w:rsidRPr="00B44C00">
        <w:t>The Committee noted that over 40</w:t>
      </w:r>
      <w:r w:rsidR="003C6DB0">
        <w:t xml:space="preserve"> per cent</w:t>
      </w:r>
      <w:r w:rsidR="003C6DB0" w:rsidRPr="00B44C00">
        <w:t xml:space="preserve"> </w:t>
      </w:r>
      <w:r w:rsidRPr="00B44C00">
        <w:t xml:space="preserve">of patients had a repeat service within a </w:t>
      </w:r>
      <w:r w:rsidR="003C6DB0">
        <w:t>three – five</w:t>
      </w:r>
      <w:r w:rsidRPr="00B44C00">
        <w:t xml:space="preserve"> period, ranging between </w:t>
      </w:r>
      <w:r w:rsidR="003C6DB0">
        <w:t>two</w:t>
      </w:r>
      <w:r w:rsidR="003C6DB0" w:rsidRPr="00B44C00">
        <w:t xml:space="preserve"> </w:t>
      </w:r>
      <w:r w:rsidRPr="00B44C00">
        <w:t>and 51 repeats per patient.</w:t>
      </w:r>
      <w:r w:rsidR="00C22AE4">
        <w:t xml:space="preserve"> </w:t>
      </w:r>
      <w:r>
        <w:t>The Committee agreed that repeat services should be determined by recurrent bleeding and it would be unusual to need to repeat the service.</w:t>
      </w:r>
      <w:r w:rsidR="00C22AE4">
        <w:t xml:space="preserve"> </w:t>
      </w:r>
    </w:p>
    <w:p w14:paraId="57C2570E" w14:textId="6148948E" w:rsidR="00684E0D" w:rsidRDefault="00684E0D" w:rsidP="00B26A7A">
      <w:pPr>
        <w:spacing w:line="288" w:lineRule="auto"/>
      </w:pPr>
      <w:r w:rsidRPr="00B44C00">
        <w:t xml:space="preserve">The Committee </w:t>
      </w:r>
      <w:r>
        <w:t>agreed</w:t>
      </w:r>
      <w:r w:rsidRPr="00B44C00">
        <w:t xml:space="preserve"> that the major reforms to the colonoscopy services may alter existing service patterns for these items and that repeat data should be reviewed again following these changes.</w:t>
      </w:r>
      <w:r w:rsidR="00C22AE4">
        <w:t xml:space="preserve"> </w:t>
      </w:r>
      <w:r w:rsidRPr="00B44C00">
        <w:t>The Committee agreed that the current co-claiming restrictions on these items (same patient, same day, same provider) should be retained and similar restrictions applied to item 30479.</w:t>
      </w:r>
    </w:p>
    <w:p w14:paraId="74FF1060" w14:textId="34E56E15" w:rsidR="00684E0D" w:rsidRPr="001F4E07" w:rsidRDefault="00684E0D" w:rsidP="001F4E07">
      <w:pPr>
        <w:pStyle w:val="Caption"/>
      </w:pPr>
      <w:bookmarkStart w:id="151" w:name="_Toc457307431"/>
      <w:bookmarkStart w:id="152" w:name="_Toc458527789"/>
      <w:r w:rsidRPr="001F4E07">
        <w:t xml:space="preserve">Table </w:t>
      </w:r>
      <w:fldSimple w:instr=" SEQ Table \* ARABIC ">
        <w:r w:rsidR="00A1715D">
          <w:rPr>
            <w:noProof/>
          </w:rPr>
          <w:t>13</w:t>
        </w:r>
      </w:fldSimple>
      <w:r w:rsidR="001646CB">
        <w:t>:</w:t>
      </w:r>
      <w:r w:rsidR="001646CB">
        <w:tab/>
      </w:r>
      <w:r w:rsidRPr="001F4E07">
        <w:t>Data on repeat service (item 30473) per patient 2008-09 to 2014-15</w:t>
      </w:r>
      <w:bookmarkEnd w:id="151"/>
      <w:bookmarkEnd w:id="152"/>
    </w:p>
    <w:tbl>
      <w:tblPr>
        <w:tblW w:w="9229" w:type="dxa"/>
        <w:tblInd w:w="93" w:type="dxa"/>
        <w:tblBorders>
          <w:top w:val="single" w:sz="4" w:space="0" w:color="B56011"/>
          <w:bottom w:val="single" w:sz="4" w:space="0" w:color="B56011"/>
          <w:insideH w:val="single" w:sz="4" w:space="0" w:color="B56011"/>
        </w:tblBorders>
        <w:tblLayout w:type="fixed"/>
        <w:tblLook w:val="04A0" w:firstRow="1" w:lastRow="0" w:firstColumn="1" w:lastColumn="0" w:noHBand="0" w:noVBand="1"/>
        <w:tblDescription w:val="Table 13 shows the number of times from 2008-09 to 2014-15 that item 30473 was claimed (from 1 to 51 times) against the number of patients, number of services, and patient percentage."/>
      </w:tblPr>
      <w:tblGrid>
        <w:gridCol w:w="2307"/>
        <w:gridCol w:w="2307"/>
        <w:gridCol w:w="2307"/>
        <w:gridCol w:w="2308"/>
      </w:tblGrid>
      <w:tr w:rsidR="00684E0D" w:rsidRPr="00B44C00" w14:paraId="1CE742BB" w14:textId="77777777" w:rsidTr="00921CD9">
        <w:trPr>
          <w:trHeight w:val="480"/>
          <w:tblHeader/>
        </w:trPr>
        <w:tc>
          <w:tcPr>
            <w:tcW w:w="2307" w:type="dxa"/>
            <w:shd w:val="clear" w:color="DCE6F1" w:fill="auto"/>
            <w:vAlign w:val="center"/>
            <w:hideMark/>
          </w:tcPr>
          <w:p w14:paraId="78242942" w14:textId="77777777" w:rsidR="00684E0D" w:rsidRPr="000E5D39" w:rsidRDefault="00684E0D" w:rsidP="0018105F">
            <w:pPr>
              <w:pStyle w:val="Tableheading"/>
            </w:pPr>
            <w:r w:rsidRPr="000E5D39">
              <w:t>No. of times Item 30473 claimed</w:t>
            </w:r>
          </w:p>
        </w:tc>
        <w:tc>
          <w:tcPr>
            <w:tcW w:w="2307" w:type="dxa"/>
            <w:shd w:val="clear" w:color="DCE6F1" w:fill="auto"/>
            <w:vAlign w:val="center"/>
            <w:hideMark/>
          </w:tcPr>
          <w:p w14:paraId="1E4FC8E2" w14:textId="77777777" w:rsidR="00684E0D" w:rsidRPr="000E5D39" w:rsidRDefault="00684E0D" w:rsidP="0018105F">
            <w:pPr>
              <w:pStyle w:val="Tableheading"/>
            </w:pPr>
            <w:r w:rsidRPr="000E5D39">
              <w:t>No. of Patients</w:t>
            </w:r>
          </w:p>
        </w:tc>
        <w:tc>
          <w:tcPr>
            <w:tcW w:w="2307" w:type="dxa"/>
            <w:shd w:val="clear" w:color="DCE6F1" w:fill="auto"/>
            <w:vAlign w:val="center"/>
            <w:hideMark/>
          </w:tcPr>
          <w:p w14:paraId="75DA3BF9" w14:textId="77777777" w:rsidR="00684E0D" w:rsidRPr="000E5D39" w:rsidRDefault="00684E0D" w:rsidP="0018105F">
            <w:pPr>
              <w:pStyle w:val="Tableheading"/>
            </w:pPr>
            <w:r w:rsidRPr="000E5D39">
              <w:t>No. of Services</w:t>
            </w:r>
          </w:p>
        </w:tc>
        <w:tc>
          <w:tcPr>
            <w:tcW w:w="2308" w:type="dxa"/>
            <w:shd w:val="clear" w:color="DCE6F1" w:fill="auto"/>
            <w:vAlign w:val="center"/>
            <w:hideMark/>
          </w:tcPr>
          <w:p w14:paraId="503BB04C" w14:textId="77777777" w:rsidR="00684E0D" w:rsidRPr="000E5D39" w:rsidRDefault="00684E0D" w:rsidP="0018105F">
            <w:pPr>
              <w:pStyle w:val="Tableheading"/>
            </w:pPr>
            <w:r w:rsidRPr="000E5D39">
              <w:t>Patient percentage</w:t>
            </w:r>
          </w:p>
        </w:tc>
      </w:tr>
      <w:tr w:rsidR="00684E0D" w:rsidRPr="00B44C00" w14:paraId="3BA41FCA" w14:textId="77777777" w:rsidTr="00921CD9">
        <w:trPr>
          <w:trHeight w:val="300"/>
        </w:trPr>
        <w:tc>
          <w:tcPr>
            <w:tcW w:w="2307" w:type="dxa"/>
            <w:shd w:val="clear" w:color="auto" w:fill="auto"/>
            <w:noWrap/>
            <w:vAlign w:val="bottom"/>
            <w:hideMark/>
          </w:tcPr>
          <w:p w14:paraId="6EF7C1B8" w14:textId="77777777" w:rsidR="00684E0D" w:rsidRPr="000E5D39" w:rsidRDefault="00684E0D" w:rsidP="00FA1377">
            <w:pPr>
              <w:pStyle w:val="Tabletext"/>
              <w:jc w:val="center"/>
            </w:pPr>
            <w:r w:rsidRPr="000E5D39">
              <w:t>1</w:t>
            </w:r>
          </w:p>
        </w:tc>
        <w:tc>
          <w:tcPr>
            <w:tcW w:w="2307" w:type="dxa"/>
            <w:shd w:val="clear" w:color="auto" w:fill="auto"/>
            <w:noWrap/>
            <w:vAlign w:val="bottom"/>
            <w:hideMark/>
          </w:tcPr>
          <w:p w14:paraId="31CF9C1E" w14:textId="77777777" w:rsidR="00684E0D" w:rsidRPr="000E5D39" w:rsidRDefault="00684E0D" w:rsidP="0018105F">
            <w:pPr>
              <w:pStyle w:val="TableTextDecimalAlign"/>
            </w:pPr>
            <w:r w:rsidRPr="000E5D39">
              <w:t>1,344,795</w:t>
            </w:r>
          </w:p>
        </w:tc>
        <w:tc>
          <w:tcPr>
            <w:tcW w:w="2307" w:type="dxa"/>
            <w:shd w:val="clear" w:color="auto" w:fill="auto"/>
            <w:noWrap/>
            <w:vAlign w:val="bottom"/>
            <w:hideMark/>
          </w:tcPr>
          <w:p w14:paraId="04A4F083" w14:textId="77777777" w:rsidR="00684E0D" w:rsidRPr="000E5D39" w:rsidRDefault="00684E0D" w:rsidP="0018105F">
            <w:pPr>
              <w:pStyle w:val="TableTextDecimalAlign"/>
            </w:pPr>
            <w:r w:rsidRPr="000E5D39">
              <w:t>1,344,795</w:t>
            </w:r>
          </w:p>
        </w:tc>
        <w:tc>
          <w:tcPr>
            <w:tcW w:w="2308" w:type="dxa"/>
            <w:shd w:val="clear" w:color="auto" w:fill="auto"/>
            <w:noWrap/>
            <w:vAlign w:val="bottom"/>
            <w:hideMark/>
          </w:tcPr>
          <w:p w14:paraId="46AB7B40" w14:textId="77777777" w:rsidR="00684E0D" w:rsidRPr="000E5D39" w:rsidRDefault="00684E0D" w:rsidP="0018105F">
            <w:pPr>
              <w:pStyle w:val="TableTextDecimalAlign"/>
            </w:pPr>
            <w:r w:rsidRPr="000E5D39">
              <w:t>58.6%</w:t>
            </w:r>
          </w:p>
        </w:tc>
      </w:tr>
      <w:tr w:rsidR="00684E0D" w:rsidRPr="00B44C00" w14:paraId="20E78E2D" w14:textId="77777777" w:rsidTr="00921CD9">
        <w:trPr>
          <w:trHeight w:val="300"/>
        </w:trPr>
        <w:tc>
          <w:tcPr>
            <w:tcW w:w="2307" w:type="dxa"/>
            <w:shd w:val="clear" w:color="auto" w:fill="auto"/>
            <w:noWrap/>
            <w:vAlign w:val="bottom"/>
            <w:hideMark/>
          </w:tcPr>
          <w:p w14:paraId="2264648C" w14:textId="77777777" w:rsidR="00684E0D" w:rsidRPr="000E5D39" w:rsidRDefault="00684E0D" w:rsidP="00FA1377">
            <w:pPr>
              <w:pStyle w:val="Tabletext"/>
              <w:jc w:val="center"/>
            </w:pPr>
            <w:r w:rsidRPr="000E5D39">
              <w:t>2</w:t>
            </w:r>
          </w:p>
        </w:tc>
        <w:tc>
          <w:tcPr>
            <w:tcW w:w="2307" w:type="dxa"/>
            <w:shd w:val="clear" w:color="auto" w:fill="auto"/>
            <w:noWrap/>
            <w:vAlign w:val="bottom"/>
            <w:hideMark/>
          </w:tcPr>
          <w:p w14:paraId="00721260" w14:textId="77777777" w:rsidR="00684E0D" w:rsidRPr="000E5D39" w:rsidRDefault="00684E0D" w:rsidP="0018105F">
            <w:pPr>
              <w:pStyle w:val="TableTextDecimalAlign"/>
            </w:pPr>
            <w:r w:rsidRPr="000E5D39">
              <w:t>277,895</w:t>
            </w:r>
          </w:p>
        </w:tc>
        <w:tc>
          <w:tcPr>
            <w:tcW w:w="2307" w:type="dxa"/>
            <w:shd w:val="clear" w:color="auto" w:fill="auto"/>
            <w:noWrap/>
            <w:vAlign w:val="bottom"/>
            <w:hideMark/>
          </w:tcPr>
          <w:p w14:paraId="3337933D" w14:textId="77777777" w:rsidR="00684E0D" w:rsidRPr="000E5D39" w:rsidRDefault="00684E0D" w:rsidP="0018105F">
            <w:pPr>
              <w:pStyle w:val="TableTextDecimalAlign"/>
            </w:pPr>
            <w:r w:rsidRPr="000E5D39">
              <w:t>555,790</w:t>
            </w:r>
          </w:p>
        </w:tc>
        <w:tc>
          <w:tcPr>
            <w:tcW w:w="2308" w:type="dxa"/>
            <w:shd w:val="clear" w:color="auto" w:fill="auto"/>
            <w:noWrap/>
            <w:vAlign w:val="bottom"/>
            <w:hideMark/>
          </w:tcPr>
          <w:p w14:paraId="761864FF" w14:textId="77777777" w:rsidR="00684E0D" w:rsidRPr="000E5D39" w:rsidRDefault="00684E0D" w:rsidP="0018105F">
            <w:pPr>
              <w:pStyle w:val="TableTextDecimalAlign"/>
            </w:pPr>
            <w:r w:rsidRPr="000E5D39">
              <w:t>24.2%</w:t>
            </w:r>
          </w:p>
        </w:tc>
      </w:tr>
      <w:tr w:rsidR="00684E0D" w:rsidRPr="00B44C00" w14:paraId="6BE66F37" w14:textId="77777777" w:rsidTr="00921CD9">
        <w:trPr>
          <w:trHeight w:val="300"/>
        </w:trPr>
        <w:tc>
          <w:tcPr>
            <w:tcW w:w="2307" w:type="dxa"/>
            <w:shd w:val="clear" w:color="auto" w:fill="auto"/>
            <w:noWrap/>
            <w:vAlign w:val="bottom"/>
            <w:hideMark/>
          </w:tcPr>
          <w:p w14:paraId="6E46160F" w14:textId="77777777" w:rsidR="00684E0D" w:rsidRPr="000E5D39" w:rsidRDefault="00684E0D" w:rsidP="00FA1377">
            <w:pPr>
              <w:pStyle w:val="Tabletext"/>
              <w:jc w:val="center"/>
            </w:pPr>
            <w:r w:rsidRPr="000E5D39">
              <w:t>3</w:t>
            </w:r>
          </w:p>
        </w:tc>
        <w:tc>
          <w:tcPr>
            <w:tcW w:w="2307" w:type="dxa"/>
            <w:shd w:val="clear" w:color="auto" w:fill="auto"/>
            <w:noWrap/>
            <w:vAlign w:val="bottom"/>
            <w:hideMark/>
          </w:tcPr>
          <w:p w14:paraId="11C922C1" w14:textId="77777777" w:rsidR="00684E0D" w:rsidRPr="000E5D39" w:rsidRDefault="00684E0D" w:rsidP="0018105F">
            <w:pPr>
              <w:pStyle w:val="TableTextDecimalAlign"/>
            </w:pPr>
            <w:r w:rsidRPr="000E5D39">
              <w:t>74,705</w:t>
            </w:r>
          </w:p>
        </w:tc>
        <w:tc>
          <w:tcPr>
            <w:tcW w:w="2307" w:type="dxa"/>
            <w:shd w:val="clear" w:color="auto" w:fill="auto"/>
            <w:noWrap/>
            <w:vAlign w:val="bottom"/>
            <w:hideMark/>
          </w:tcPr>
          <w:p w14:paraId="6C470FC4" w14:textId="77777777" w:rsidR="00684E0D" w:rsidRPr="000E5D39" w:rsidRDefault="00684E0D" w:rsidP="0018105F">
            <w:pPr>
              <w:pStyle w:val="TableTextDecimalAlign"/>
            </w:pPr>
            <w:r w:rsidRPr="000E5D39">
              <w:t>224,115</w:t>
            </w:r>
          </w:p>
        </w:tc>
        <w:tc>
          <w:tcPr>
            <w:tcW w:w="2308" w:type="dxa"/>
            <w:shd w:val="clear" w:color="auto" w:fill="auto"/>
            <w:noWrap/>
            <w:vAlign w:val="bottom"/>
            <w:hideMark/>
          </w:tcPr>
          <w:p w14:paraId="7D34C13E" w14:textId="77777777" w:rsidR="00684E0D" w:rsidRPr="000E5D39" w:rsidRDefault="00684E0D" w:rsidP="0018105F">
            <w:pPr>
              <w:pStyle w:val="TableTextDecimalAlign"/>
            </w:pPr>
            <w:r w:rsidRPr="000E5D39">
              <w:t>9.8%</w:t>
            </w:r>
          </w:p>
        </w:tc>
      </w:tr>
      <w:tr w:rsidR="00684E0D" w:rsidRPr="00B44C00" w14:paraId="059456B7" w14:textId="77777777" w:rsidTr="00921CD9">
        <w:trPr>
          <w:trHeight w:val="300"/>
        </w:trPr>
        <w:tc>
          <w:tcPr>
            <w:tcW w:w="2307" w:type="dxa"/>
            <w:shd w:val="clear" w:color="auto" w:fill="auto"/>
            <w:noWrap/>
            <w:vAlign w:val="bottom"/>
            <w:hideMark/>
          </w:tcPr>
          <w:p w14:paraId="02458F63" w14:textId="77777777" w:rsidR="00684E0D" w:rsidRPr="000E5D39" w:rsidRDefault="00684E0D" w:rsidP="00FA1377">
            <w:pPr>
              <w:pStyle w:val="Tabletext"/>
              <w:jc w:val="center"/>
            </w:pPr>
            <w:r w:rsidRPr="000E5D39">
              <w:t>4</w:t>
            </w:r>
          </w:p>
        </w:tc>
        <w:tc>
          <w:tcPr>
            <w:tcW w:w="2307" w:type="dxa"/>
            <w:shd w:val="clear" w:color="auto" w:fill="auto"/>
            <w:noWrap/>
            <w:vAlign w:val="bottom"/>
            <w:hideMark/>
          </w:tcPr>
          <w:p w14:paraId="419A8CED" w14:textId="77777777" w:rsidR="00684E0D" w:rsidRPr="000E5D39" w:rsidRDefault="00684E0D" w:rsidP="0018105F">
            <w:pPr>
              <w:pStyle w:val="TableTextDecimalAlign"/>
            </w:pPr>
            <w:r w:rsidRPr="000E5D39">
              <w:t>22,548</w:t>
            </w:r>
          </w:p>
        </w:tc>
        <w:tc>
          <w:tcPr>
            <w:tcW w:w="2307" w:type="dxa"/>
            <w:shd w:val="clear" w:color="auto" w:fill="auto"/>
            <w:noWrap/>
            <w:vAlign w:val="bottom"/>
            <w:hideMark/>
          </w:tcPr>
          <w:p w14:paraId="611D3046" w14:textId="77777777" w:rsidR="00684E0D" w:rsidRPr="000E5D39" w:rsidRDefault="00684E0D" w:rsidP="0018105F">
            <w:pPr>
              <w:pStyle w:val="TableTextDecimalAlign"/>
            </w:pPr>
            <w:r w:rsidRPr="000E5D39">
              <w:t>90,192</w:t>
            </w:r>
          </w:p>
        </w:tc>
        <w:tc>
          <w:tcPr>
            <w:tcW w:w="2308" w:type="dxa"/>
            <w:shd w:val="clear" w:color="auto" w:fill="auto"/>
            <w:noWrap/>
            <w:vAlign w:val="bottom"/>
            <w:hideMark/>
          </w:tcPr>
          <w:p w14:paraId="37D1C58C" w14:textId="77777777" w:rsidR="00684E0D" w:rsidRPr="000E5D39" w:rsidRDefault="00684E0D" w:rsidP="0018105F">
            <w:pPr>
              <w:pStyle w:val="TableTextDecimalAlign"/>
            </w:pPr>
            <w:r w:rsidRPr="000E5D39">
              <w:t>3.9%</w:t>
            </w:r>
          </w:p>
        </w:tc>
      </w:tr>
      <w:tr w:rsidR="00684E0D" w:rsidRPr="00B44C00" w14:paraId="05334A6F" w14:textId="77777777" w:rsidTr="00921CD9">
        <w:trPr>
          <w:trHeight w:val="300"/>
        </w:trPr>
        <w:tc>
          <w:tcPr>
            <w:tcW w:w="2307" w:type="dxa"/>
            <w:shd w:val="clear" w:color="auto" w:fill="auto"/>
            <w:noWrap/>
            <w:vAlign w:val="bottom"/>
            <w:hideMark/>
          </w:tcPr>
          <w:p w14:paraId="26CF6F91" w14:textId="77777777" w:rsidR="00684E0D" w:rsidRPr="000E5D39" w:rsidRDefault="00684E0D" w:rsidP="00FA1377">
            <w:pPr>
              <w:pStyle w:val="Tabletext"/>
              <w:jc w:val="center"/>
            </w:pPr>
            <w:r w:rsidRPr="000E5D39">
              <w:t>5</w:t>
            </w:r>
          </w:p>
        </w:tc>
        <w:tc>
          <w:tcPr>
            <w:tcW w:w="2307" w:type="dxa"/>
            <w:shd w:val="clear" w:color="auto" w:fill="auto"/>
            <w:noWrap/>
            <w:vAlign w:val="bottom"/>
            <w:hideMark/>
          </w:tcPr>
          <w:p w14:paraId="7EF7D348" w14:textId="77777777" w:rsidR="00684E0D" w:rsidRPr="000E5D39" w:rsidRDefault="00684E0D" w:rsidP="0018105F">
            <w:pPr>
              <w:pStyle w:val="TableTextDecimalAlign"/>
            </w:pPr>
            <w:r w:rsidRPr="000E5D39">
              <w:t>7,491</w:t>
            </w:r>
          </w:p>
        </w:tc>
        <w:tc>
          <w:tcPr>
            <w:tcW w:w="2307" w:type="dxa"/>
            <w:shd w:val="clear" w:color="auto" w:fill="auto"/>
            <w:noWrap/>
            <w:vAlign w:val="bottom"/>
            <w:hideMark/>
          </w:tcPr>
          <w:p w14:paraId="0471678C" w14:textId="77777777" w:rsidR="00684E0D" w:rsidRPr="000E5D39" w:rsidRDefault="00684E0D" w:rsidP="0018105F">
            <w:pPr>
              <w:pStyle w:val="TableTextDecimalAlign"/>
            </w:pPr>
            <w:r w:rsidRPr="000E5D39">
              <w:t>37,455</w:t>
            </w:r>
          </w:p>
        </w:tc>
        <w:tc>
          <w:tcPr>
            <w:tcW w:w="2308" w:type="dxa"/>
            <w:shd w:val="clear" w:color="auto" w:fill="auto"/>
            <w:noWrap/>
            <w:vAlign w:val="bottom"/>
            <w:hideMark/>
          </w:tcPr>
          <w:p w14:paraId="0D9E190A" w14:textId="77777777" w:rsidR="00684E0D" w:rsidRPr="000E5D39" w:rsidRDefault="00684E0D" w:rsidP="0018105F">
            <w:pPr>
              <w:pStyle w:val="TableTextDecimalAlign"/>
            </w:pPr>
            <w:r w:rsidRPr="000E5D39">
              <w:t>1.6%</w:t>
            </w:r>
          </w:p>
        </w:tc>
      </w:tr>
      <w:tr w:rsidR="00684E0D" w:rsidRPr="00B44C00" w14:paraId="3A3740E6" w14:textId="77777777" w:rsidTr="00921CD9">
        <w:trPr>
          <w:trHeight w:val="300"/>
        </w:trPr>
        <w:tc>
          <w:tcPr>
            <w:tcW w:w="2307" w:type="dxa"/>
            <w:shd w:val="clear" w:color="auto" w:fill="auto"/>
            <w:noWrap/>
            <w:vAlign w:val="bottom"/>
            <w:hideMark/>
          </w:tcPr>
          <w:p w14:paraId="1BBB47D6" w14:textId="77777777" w:rsidR="00684E0D" w:rsidRPr="000E5D39" w:rsidRDefault="00684E0D" w:rsidP="00FA1377">
            <w:pPr>
              <w:pStyle w:val="Tabletext"/>
              <w:jc w:val="center"/>
            </w:pPr>
            <w:r w:rsidRPr="000E5D39">
              <w:t>6</w:t>
            </w:r>
          </w:p>
        </w:tc>
        <w:tc>
          <w:tcPr>
            <w:tcW w:w="2307" w:type="dxa"/>
            <w:shd w:val="clear" w:color="auto" w:fill="auto"/>
            <w:noWrap/>
            <w:vAlign w:val="bottom"/>
            <w:hideMark/>
          </w:tcPr>
          <w:p w14:paraId="7ABFA977" w14:textId="77777777" w:rsidR="00684E0D" w:rsidRPr="000E5D39" w:rsidRDefault="00684E0D" w:rsidP="0018105F">
            <w:pPr>
              <w:pStyle w:val="TableTextDecimalAlign"/>
            </w:pPr>
            <w:r w:rsidRPr="000E5D39">
              <w:t>3,144</w:t>
            </w:r>
          </w:p>
        </w:tc>
        <w:tc>
          <w:tcPr>
            <w:tcW w:w="2307" w:type="dxa"/>
            <w:shd w:val="clear" w:color="auto" w:fill="auto"/>
            <w:noWrap/>
            <w:vAlign w:val="bottom"/>
            <w:hideMark/>
          </w:tcPr>
          <w:p w14:paraId="25D53A6F" w14:textId="77777777" w:rsidR="00684E0D" w:rsidRPr="000E5D39" w:rsidRDefault="00684E0D" w:rsidP="0018105F">
            <w:pPr>
              <w:pStyle w:val="TableTextDecimalAlign"/>
            </w:pPr>
            <w:r w:rsidRPr="000E5D39">
              <w:t>18,864</w:t>
            </w:r>
          </w:p>
        </w:tc>
        <w:tc>
          <w:tcPr>
            <w:tcW w:w="2308" w:type="dxa"/>
            <w:shd w:val="clear" w:color="auto" w:fill="auto"/>
            <w:noWrap/>
            <w:vAlign w:val="bottom"/>
            <w:hideMark/>
          </w:tcPr>
          <w:p w14:paraId="002F8613" w14:textId="77777777" w:rsidR="00684E0D" w:rsidRPr="000E5D39" w:rsidRDefault="00684E0D" w:rsidP="0018105F">
            <w:pPr>
              <w:pStyle w:val="TableTextDecimalAlign"/>
            </w:pPr>
            <w:r w:rsidRPr="000E5D39">
              <w:t>0.8%</w:t>
            </w:r>
          </w:p>
        </w:tc>
      </w:tr>
      <w:tr w:rsidR="00684E0D" w:rsidRPr="00B44C00" w14:paraId="34472099" w14:textId="77777777" w:rsidTr="00921CD9">
        <w:trPr>
          <w:trHeight w:val="300"/>
        </w:trPr>
        <w:tc>
          <w:tcPr>
            <w:tcW w:w="2307" w:type="dxa"/>
            <w:shd w:val="clear" w:color="auto" w:fill="auto"/>
            <w:noWrap/>
            <w:vAlign w:val="bottom"/>
            <w:hideMark/>
          </w:tcPr>
          <w:p w14:paraId="74C181A8" w14:textId="77777777" w:rsidR="00684E0D" w:rsidRPr="000E5D39" w:rsidRDefault="00684E0D" w:rsidP="00FA1377">
            <w:pPr>
              <w:pStyle w:val="Tabletext"/>
              <w:jc w:val="center"/>
            </w:pPr>
            <w:r w:rsidRPr="000E5D39">
              <w:t>7</w:t>
            </w:r>
          </w:p>
        </w:tc>
        <w:tc>
          <w:tcPr>
            <w:tcW w:w="2307" w:type="dxa"/>
            <w:shd w:val="clear" w:color="auto" w:fill="auto"/>
            <w:noWrap/>
            <w:vAlign w:val="bottom"/>
            <w:hideMark/>
          </w:tcPr>
          <w:p w14:paraId="3E980AE9" w14:textId="77777777" w:rsidR="00684E0D" w:rsidRPr="000E5D39" w:rsidRDefault="00684E0D" w:rsidP="0018105F">
            <w:pPr>
              <w:pStyle w:val="TableTextDecimalAlign"/>
            </w:pPr>
            <w:r w:rsidRPr="000E5D39">
              <w:t>1,561</w:t>
            </w:r>
          </w:p>
        </w:tc>
        <w:tc>
          <w:tcPr>
            <w:tcW w:w="2307" w:type="dxa"/>
            <w:shd w:val="clear" w:color="auto" w:fill="auto"/>
            <w:noWrap/>
            <w:vAlign w:val="bottom"/>
            <w:hideMark/>
          </w:tcPr>
          <w:p w14:paraId="69E7504D" w14:textId="77777777" w:rsidR="00684E0D" w:rsidRPr="000E5D39" w:rsidRDefault="00684E0D" w:rsidP="0018105F">
            <w:pPr>
              <w:pStyle w:val="TableTextDecimalAlign"/>
            </w:pPr>
            <w:r w:rsidRPr="000E5D39">
              <w:t>10,927</w:t>
            </w:r>
          </w:p>
        </w:tc>
        <w:tc>
          <w:tcPr>
            <w:tcW w:w="2308" w:type="dxa"/>
            <w:shd w:val="clear" w:color="auto" w:fill="auto"/>
            <w:noWrap/>
            <w:vAlign w:val="bottom"/>
            <w:hideMark/>
          </w:tcPr>
          <w:p w14:paraId="6A009AFF" w14:textId="77777777" w:rsidR="00684E0D" w:rsidRPr="000E5D39" w:rsidRDefault="00684E0D" w:rsidP="0018105F">
            <w:pPr>
              <w:pStyle w:val="TableTextDecimalAlign"/>
            </w:pPr>
            <w:r w:rsidRPr="000E5D39">
              <w:t>0.5%</w:t>
            </w:r>
          </w:p>
        </w:tc>
      </w:tr>
      <w:tr w:rsidR="00684E0D" w:rsidRPr="00B44C00" w14:paraId="426BE857" w14:textId="77777777" w:rsidTr="00921CD9">
        <w:trPr>
          <w:trHeight w:val="300"/>
        </w:trPr>
        <w:tc>
          <w:tcPr>
            <w:tcW w:w="2307" w:type="dxa"/>
            <w:shd w:val="clear" w:color="auto" w:fill="auto"/>
            <w:noWrap/>
            <w:vAlign w:val="bottom"/>
            <w:hideMark/>
          </w:tcPr>
          <w:p w14:paraId="27BA6001" w14:textId="77777777" w:rsidR="00684E0D" w:rsidRPr="000E5D39" w:rsidRDefault="00684E0D" w:rsidP="00FA1377">
            <w:pPr>
              <w:pStyle w:val="Tabletext"/>
              <w:jc w:val="center"/>
            </w:pPr>
            <w:r w:rsidRPr="000E5D39">
              <w:t>8</w:t>
            </w:r>
          </w:p>
        </w:tc>
        <w:tc>
          <w:tcPr>
            <w:tcW w:w="2307" w:type="dxa"/>
            <w:shd w:val="clear" w:color="auto" w:fill="auto"/>
            <w:noWrap/>
            <w:vAlign w:val="bottom"/>
            <w:hideMark/>
          </w:tcPr>
          <w:p w14:paraId="3401D8B6" w14:textId="77777777" w:rsidR="00684E0D" w:rsidRPr="000E5D39" w:rsidRDefault="00684E0D" w:rsidP="0018105F">
            <w:pPr>
              <w:pStyle w:val="TableTextDecimalAlign"/>
            </w:pPr>
            <w:r w:rsidRPr="000E5D39">
              <w:t>637</w:t>
            </w:r>
          </w:p>
        </w:tc>
        <w:tc>
          <w:tcPr>
            <w:tcW w:w="2307" w:type="dxa"/>
            <w:shd w:val="clear" w:color="auto" w:fill="auto"/>
            <w:noWrap/>
            <w:vAlign w:val="bottom"/>
            <w:hideMark/>
          </w:tcPr>
          <w:p w14:paraId="45E3897F" w14:textId="77777777" w:rsidR="00684E0D" w:rsidRPr="000E5D39" w:rsidRDefault="00684E0D" w:rsidP="0018105F">
            <w:pPr>
              <w:pStyle w:val="TableTextDecimalAlign"/>
            </w:pPr>
            <w:r w:rsidRPr="000E5D39">
              <w:t>5,096</w:t>
            </w:r>
          </w:p>
        </w:tc>
        <w:tc>
          <w:tcPr>
            <w:tcW w:w="2308" w:type="dxa"/>
            <w:shd w:val="clear" w:color="auto" w:fill="auto"/>
            <w:noWrap/>
            <w:vAlign w:val="bottom"/>
            <w:hideMark/>
          </w:tcPr>
          <w:p w14:paraId="451E9CA3" w14:textId="77777777" w:rsidR="00684E0D" w:rsidRPr="000E5D39" w:rsidRDefault="00684E0D" w:rsidP="0018105F">
            <w:pPr>
              <w:pStyle w:val="TableTextDecimalAlign"/>
            </w:pPr>
            <w:r w:rsidRPr="000E5D39">
              <w:t>0.2%</w:t>
            </w:r>
          </w:p>
        </w:tc>
      </w:tr>
      <w:tr w:rsidR="00684E0D" w:rsidRPr="00B44C00" w14:paraId="722EE158" w14:textId="77777777" w:rsidTr="00921CD9">
        <w:trPr>
          <w:trHeight w:val="300"/>
        </w:trPr>
        <w:tc>
          <w:tcPr>
            <w:tcW w:w="2307" w:type="dxa"/>
            <w:shd w:val="clear" w:color="auto" w:fill="auto"/>
            <w:noWrap/>
            <w:vAlign w:val="bottom"/>
            <w:hideMark/>
          </w:tcPr>
          <w:p w14:paraId="40BD2440" w14:textId="77777777" w:rsidR="00684E0D" w:rsidRPr="000E5D39" w:rsidRDefault="00684E0D" w:rsidP="00FA1377">
            <w:pPr>
              <w:pStyle w:val="Tabletext"/>
              <w:jc w:val="center"/>
            </w:pPr>
            <w:r w:rsidRPr="000E5D39">
              <w:t>9</w:t>
            </w:r>
          </w:p>
        </w:tc>
        <w:tc>
          <w:tcPr>
            <w:tcW w:w="2307" w:type="dxa"/>
            <w:shd w:val="clear" w:color="auto" w:fill="auto"/>
            <w:noWrap/>
            <w:vAlign w:val="bottom"/>
            <w:hideMark/>
          </w:tcPr>
          <w:p w14:paraId="33249281" w14:textId="77777777" w:rsidR="00684E0D" w:rsidRPr="000E5D39" w:rsidRDefault="00684E0D" w:rsidP="0018105F">
            <w:pPr>
              <w:pStyle w:val="TableTextDecimalAlign"/>
            </w:pPr>
            <w:r w:rsidRPr="000E5D39">
              <w:t>296</w:t>
            </w:r>
          </w:p>
        </w:tc>
        <w:tc>
          <w:tcPr>
            <w:tcW w:w="2307" w:type="dxa"/>
            <w:shd w:val="clear" w:color="auto" w:fill="auto"/>
            <w:noWrap/>
            <w:vAlign w:val="bottom"/>
            <w:hideMark/>
          </w:tcPr>
          <w:p w14:paraId="1D151DE1" w14:textId="77777777" w:rsidR="00684E0D" w:rsidRPr="000E5D39" w:rsidRDefault="00684E0D" w:rsidP="0018105F">
            <w:pPr>
              <w:pStyle w:val="TableTextDecimalAlign"/>
            </w:pPr>
            <w:r w:rsidRPr="000E5D39">
              <w:t>2,664</w:t>
            </w:r>
          </w:p>
        </w:tc>
        <w:tc>
          <w:tcPr>
            <w:tcW w:w="2308" w:type="dxa"/>
            <w:shd w:val="clear" w:color="auto" w:fill="auto"/>
            <w:noWrap/>
            <w:vAlign w:val="bottom"/>
            <w:hideMark/>
          </w:tcPr>
          <w:p w14:paraId="4E28115C" w14:textId="77777777" w:rsidR="00684E0D" w:rsidRPr="000E5D39" w:rsidRDefault="00684E0D" w:rsidP="0018105F">
            <w:pPr>
              <w:pStyle w:val="TableTextDecimalAlign"/>
            </w:pPr>
            <w:r w:rsidRPr="000E5D39">
              <w:t>0.1%</w:t>
            </w:r>
          </w:p>
        </w:tc>
      </w:tr>
      <w:tr w:rsidR="00684E0D" w:rsidRPr="00B44C00" w14:paraId="05DFEDDA" w14:textId="77777777" w:rsidTr="00921CD9">
        <w:trPr>
          <w:trHeight w:val="300"/>
        </w:trPr>
        <w:tc>
          <w:tcPr>
            <w:tcW w:w="2307" w:type="dxa"/>
            <w:shd w:val="clear" w:color="auto" w:fill="auto"/>
            <w:noWrap/>
            <w:vAlign w:val="bottom"/>
            <w:hideMark/>
          </w:tcPr>
          <w:p w14:paraId="0B87CE87" w14:textId="77777777" w:rsidR="00684E0D" w:rsidRPr="000E5D39" w:rsidRDefault="00684E0D" w:rsidP="00FA1377">
            <w:pPr>
              <w:pStyle w:val="Tabletext"/>
              <w:jc w:val="center"/>
            </w:pPr>
            <w:r w:rsidRPr="000E5D39">
              <w:t>10</w:t>
            </w:r>
          </w:p>
        </w:tc>
        <w:tc>
          <w:tcPr>
            <w:tcW w:w="2307" w:type="dxa"/>
            <w:shd w:val="clear" w:color="auto" w:fill="auto"/>
            <w:noWrap/>
            <w:vAlign w:val="bottom"/>
            <w:hideMark/>
          </w:tcPr>
          <w:p w14:paraId="740AD7B3" w14:textId="77777777" w:rsidR="00684E0D" w:rsidRPr="000E5D39" w:rsidRDefault="00684E0D" w:rsidP="0018105F">
            <w:pPr>
              <w:pStyle w:val="TableTextDecimalAlign"/>
            </w:pPr>
            <w:r w:rsidRPr="000E5D39">
              <w:t>189</w:t>
            </w:r>
          </w:p>
        </w:tc>
        <w:tc>
          <w:tcPr>
            <w:tcW w:w="2307" w:type="dxa"/>
            <w:shd w:val="clear" w:color="auto" w:fill="auto"/>
            <w:noWrap/>
            <w:vAlign w:val="bottom"/>
            <w:hideMark/>
          </w:tcPr>
          <w:p w14:paraId="5F01D2E1" w14:textId="77777777" w:rsidR="00684E0D" w:rsidRPr="000E5D39" w:rsidRDefault="00684E0D" w:rsidP="0018105F">
            <w:pPr>
              <w:pStyle w:val="TableTextDecimalAlign"/>
            </w:pPr>
            <w:r w:rsidRPr="000E5D39">
              <w:t>1,890</w:t>
            </w:r>
          </w:p>
        </w:tc>
        <w:tc>
          <w:tcPr>
            <w:tcW w:w="2308" w:type="dxa"/>
            <w:shd w:val="clear" w:color="auto" w:fill="auto"/>
            <w:noWrap/>
            <w:vAlign w:val="bottom"/>
            <w:hideMark/>
          </w:tcPr>
          <w:p w14:paraId="6403EE75" w14:textId="77777777" w:rsidR="00684E0D" w:rsidRPr="000E5D39" w:rsidRDefault="00684E0D" w:rsidP="0018105F">
            <w:pPr>
              <w:pStyle w:val="TableTextDecimalAlign"/>
            </w:pPr>
            <w:r w:rsidRPr="000E5D39">
              <w:t>0.1%</w:t>
            </w:r>
          </w:p>
        </w:tc>
      </w:tr>
      <w:tr w:rsidR="00684E0D" w:rsidRPr="00B44C00" w14:paraId="3EEFC091" w14:textId="77777777" w:rsidTr="00921CD9">
        <w:trPr>
          <w:trHeight w:val="300"/>
        </w:trPr>
        <w:tc>
          <w:tcPr>
            <w:tcW w:w="2307" w:type="dxa"/>
            <w:shd w:val="clear" w:color="auto" w:fill="auto"/>
            <w:noWrap/>
            <w:vAlign w:val="bottom"/>
            <w:hideMark/>
          </w:tcPr>
          <w:p w14:paraId="7AB47485" w14:textId="77777777" w:rsidR="00684E0D" w:rsidRPr="000E5D39" w:rsidRDefault="00684E0D" w:rsidP="00FA1377">
            <w:pPr>
              <w:pStyle w:val="Tabletext"/>
              <w:jc w:val="center"/>
            </w:pPr>
            <w:r w:rsidRPr="000E5D39">
              <w:t>11</w:t>
            </w:r>
          </w:p>
        </w:tc>
        <w:tc>
          <w:tcPr>
            <w:tcW w:w="2307" w:type="dxa"/>
            <w:shd w:val="clear" w:color="auto" w:fill="auto"/>
            <w:noWrap/>
            <w:vAlign w:val="bottom"/>
            <w:hideMark/>
          </w:tcPr>
          <w:p w14:paraId="77E71896" w14:textId="77777777" w:rsidR="00684E0D" w:rsidRPr="000E5D39" w:rsidRDefault="00684E0D" w:rsidP="0018105F">
            <w:pPr>
              <w:pStyle w:val="TableTextDecimalAlign"/>
            </w:pPr>
            <w:r w:rsidRPr="000E5D39">
              <w:t>101</w:t>
            </w:r>
          </w:p>
        </w:tc>
        <w:tc>
          <w:tcPr>
            <w:tcW w:w="2307" w:type="dxa"/>
            <w:shd w:val="clear" w:color="auto" w:fill="auto"/>
            <w:noWrap/>
            <w:vAlign w:val="bottom"/>
            <w:hideMark/>
          </w:tcPr>
          <w:p w14:paraId="77A71F83" w14:textId="77777777" w:rsidR="00684E0D" w:rsidRPr="000E5D39" w:rsidRDefault="00684E0D" w:rsidP="0018105F">
            <w:pPr>
              <w:pStyle w:val="TableTextDecimalAlign"/>
            </w:pPr>
            <w:r w:rsidRPr="000E5D39">
              <w:t>1,111</w:t>
            </w:r>
          </w:p>
        </w:tc>
        <w:tc>
          <w:tcPr>
            <w:tcW w:w="2308" w:type="dxa"/>
            <w:shd w:val="clear" w:color="auto" w:fill="auto"/>
            <w:noWrap/>
            <w:vAlign w:val="bottom"/>
          </w:tcPr>
          <w:p w14:paraId="6170C984" w14:textId="0827207E" w:rsidR="00684E0D" w:rsidRPr="000E5D39" w:rsidRDefault="002A1B1A" w:rsidP="0018105F">
            <w:pPr>
              <w:pStyle w:val="TableTextDecimalAlign"/>
            </w:pPr>
            <w:r>
              <w:t>&lt;0.1%</w:t>
            </w:r>
          </w:p>
        </w:tc>
      </w:tr>
      <w:tr w:rsidR="00684E0D" w:rsidRPr="00B44C00" w14:paraId="521A5AC1" w14:textId="77777777" w:rsidTr="00921CD9">
        <w:trPr>
          <w:trHeight w:val="300"/>
        </w:trPr>
        <w:tc>
          <w:tcPr>
            <w:tcW w:w="2307" w:type="dxa"/>
            <w:shd w:val="clear" w:color="auto" w:fill="auto"/>
            <w:noWrap/>
            <w:vAlign w:val="bottom"/>
            <w:hideMark/>
          </w:tcPr>
          <w:p w14:paraId="0EBB5EEF" w14:textId="77777777" w:rsidR="00684E0D" w:rsidRPr="000E5D39" w:rsidRDefault="00684E0D" w:rsidP="00FA1377">
            <w:pPr>
              <w:pStyle w:val="Tabletext"/>
              <w:jc w:val="center"/>
            </w:pPr>
            <w:r w:rsidRPr="000E5D39">
              <w:t>12</w:t>
            </w:r>
          </w:p>
        </w:tc>
        <w:tc>
          <w:tcPr>
            <w:tcW w:w="2307" w:type="dxa"/>
            <w:shd w:val="clear" w:color="auto" w:fill="auto"/>
            <w:noWrap/>
            <w:vAlign w:val="bottom"/>
            <w:hideMark/>
          </w:tcPr>
          <w:p w14:paraId="4535ABA6" w14:textId="77777777" w:rsidR="00684E0D" w:rsidRPr="000E5D39" w:rsidRDefault="00684E0D" w:rsidP="0018105F">
            <w:pPr>
              <w:pStyle w:val="TableTextDecimalAlign"/>
            </w:pPr>
            <w:r w:rsidRPr="000E5D39">
              <w:t>64</w:t>
            </w:r>
          </w:p>
        </w:tc>
        <w:tc>
          <w:tcPr>
            <w:tcW w:w="2307" w:type="dxa"/>
            <w:shd w:val="clear" w:color="auto" w:fill="auto"/>
            <w:noWrap/>
            <w:vAlign w:val="bottom"/>
            <w:hideMark/>
          </w:tcPr>
          <w:p w14:paraId="3706DB51" w14:textId="77777777" w:rsidR="00684E0D" w:rsidRPr="000E5D39" w:rsidRDefault="00684E0D" w:rsidP="0018105F">
            <w:pPr>
              <w:pStyle w:val="TableTextDecimalAlign"/>
            </w:pPr>
            <w:r w:rsidRPr="000E5D39">
              <w:t>768</w:t>
            </w:r>
          </w:p>
        </w:tc>
        <w:tc>
          <w:tcPr>
            <w:tcW w:w="2308" w:type="dxa"/>
            <w:shd w:val="clear" w:color="auto" w:fill="auto"/>
            <w:noWrap/>
            <w:vAlign w:val="bottom"/>
          </w:tcPr>
          <w:p w14:paraId="1D188E5E" w14:textId="2B9ED8AE" w:rsidR="00684E0D" w:rsidRPr="000E5D39" w:rsidRDefault="002A1B1A" w:rsidP="0018105F">
            <w:pPr>
              <w:pStyle w:val="TableTextDecimalAlign"/>
            </w:pPr>
            <w:r>
              <w:t>&lt;0.1%</w:t>
            </w:r>
          </w:p>
        </w:tc>
      </w:tr>
      <w:tr w:rsidR="00684E0D" w:rsidRPr="00B44C00" w14:paraId="7AC8FF35" w14:textId="77777777" w:rsidTr="00921CD9">
        <w:trPr>
          <w:trHeight w:val="300"/>
        </w:trPr>
        <w:tc>
          <w:tcPr>
            <w:tcW w:w="2307" w:type="dxa"/>
            <w:shd w:val="clear" w:color="auto" w:fill="auto"/>
            <w:noWrap/>
            <w:vAlign w:val="bottom"/>
            <w:hideMark/>
          </w:tcPr>
          <w:p w14:paraId="58187734" w14:textId="77777777" w:rsidR="00684E0D" w:rsidRPr="000E5D39" w:rsidRDefault="00684E0D" w:rsidP="00FA1377">
            <w:pPr>
              <w:pStyle w:val="Tabletext"/>
              <w:jc w:val="center"/>
            </w:pPr>
            <w:r w:rsidRPr="000E5D39">
              <w:lastRenderedPageBreak/>
              <w:t>13</w:t>
            </w:r>
          </w:p>
        </w:tc>
        <w:tc>
          <w:tcPr>
            <w:tcW w:w="2307" w:type="dxa"/>
            <w:shd w:val="clear" w:color="auto" w:fill="auto"/>
            <w:noWrap/>
            <w:vAlign w:val="bottom"/>
            <w:hideMark/>
          </w:tcPr>
          <w:p w14:paraId="3DA1DE9B" w14:textId="77777777" w:rsidR="00684E0D" w:rsidRPr="000E5D39" w:rsidRDefault="00684E0D" w:rsidP="0018105F">
            <w:pPr>
              <w:pStyle w:val="TableTextDecimalAlign"/>
            </w:pPr>
            <w:r w:rsidRPr="000E5D39">
              <w:t>39</w:t>
            </w:r>
          </w:p>
        </w:tc>
        <w:tc>
          <w:tcPr>
            <w:tcW w:w="2307" w:type="dxa"/>
            <w:shd w:val="clear" w:color="auto" w:fill="auto"/>
            <w:noWrap/>
            <w:vAlign w:val="bottom"/>
            <w:hideMark/>
          </w:tcPr>
          <w:p w14:paraId="05E5BC8D" w14:textId="77777777" w:rsidR="00684E0D" w:rsidRPr="000E5D39" w:rsidRDefault="00684E0D" w:rsidP="0018105F">
            <w:pPr>
              <w:pStyle w:val="TableTextDecimalAlign"/>
            </w:pPr>
            <w:r w:rsidRPr="000E5D39">
              <w:t>507</w:t>
            </w:r>
          </w:p>
        </w:tc>
        <w:tc>
          <w:tcPr>
            <w:tcW w:w="2308" w:type="dxa"/>
            <w:shd w:val="clear" w:color="auto" w:fill="auto"/>
            <w:noWrap/>
            <w:vAlign w:val="bottom"/>
          </w:tcPr>
          <w:p w14:paraId="597F1156" w14:textId="6BC45E93" w:rsidR="00684E0D" w:rsidRPr="000E5D39" w:rsidRDefault="002A1B1A" w:rsidP="0018105F">
            <w:pPr>
              <w:pStyle w:val="TableTextDecimalAlign"/>
            </w:pPr>
            <w:r>
              <w:t>&lt;0.1%</w:t>
            </w:r>
          </w:p>
        </w:tc>
      </w:tr>
      <w:tr w:rsidR="00684E0D" w:rsidRPr="00B44C00" w14:paraId="452FCA10" w14:textId="77777777" w:rsidTr="00921CD9">
        <w:trPr>
          <w:trHeight w:val="300"/>
        </w:trPr>
        <w:tc>
          <w:tcPr>
            <w:tcW w:w="2307" w:type="dxa"/>
            <w:shd w:val="clear" w:color="auto" w:fill="auto"/>
            <w:noWrap/>
            <w:vAlign w:val="bottom"/>
            <w:hideMark/>
          </w:tcPr>
          <w:p w14:paraId="0BF394D6" w14:textId="77777777" w:rsidR="00684E0D" w:rsidRPr="000E5D39" w:rsidRDefault="00684E0D" w:rsidP="00FA1377">
            <w:pPr>
              <w:pStyle w:val="Tabletext"/>
              <w:jc w:val="center"/>
            </w:pPr>
            <w:r w:rsidRPr="000E5D39">
              <w:t>14</w:t>
            </w:r>
          </w:p>
        </w:tc>
        <w:tc>
          <w:tcPr>
            <w:tcW w:w="2307" w:type="dxa"/>
            <w:shd w:val="clear" w:color="auto" w:fill="auto"/>
            <w:noWrap/>
            <w:vAlign w:val="bottom"/>
            <w:hideMark/>
          </w:tcPr>
          <w:p w14:paraId="1AA17D88" w14:textId="77777777" w:rsidR="00684E0D" w:rsidRPr="000E5D39" w:rsidRDefault="00684E0D" w:rsidP="0018105F">
            <w:pPr>
              <w:pStyle w:val="TableTextDecimalAlign"/>
            </w:pPr>
            <w:r w:rsidRPr="000E5D39">
              <w:t>26</w:t>
            </w:r>
          </w:p>
        </w:tc>
        <w:tc>
          <w:tcPr>
            <w:tcW w:w="2307" w:type="dxa"/>
            <w:shd w:val="clear" w:color="auto" w:fill="auto"/>
            <w:noWrap/>
            <w:vAlign w:val="bottom"/>
            <w:hideMark/>
          </w:tcPr>
          <w:p w14:paraId="40598F31" w14:textId="77777777" w:rsidR="00684E0D" w:rsidRPr="000E5D39" w:rsidRDefault="00684E0D" w:rsidP="0018105F">
            <w:pPr>
              <w:pStyle w:val="TableTextDecimalAlign"/>
            </w:pPr>
            <w:r w:rsidRPr="000E5D39">
              <w:t>364</w:t>
            </w:r>
          </w:p>
        </w:tc>
        <w:tc>
          <w:tcPr>
            <w:tcW w:w="2308" w:type="dxa"/>
            <w:shd w:val="clear" w:color="auto" w:fill="auto"/>
            <w:noWrap/>
            <w:vAlign w:val="bottom"/>
          </w:tcPr>
          <w:p w14:paraId="46D71AE6" w14:textId="60451E75" w:rsidR="00684E0D" w:rsidRPr="000E5D39" w:rsidRDefault="002A1B1A" w:rsidP="0018105F">
            <w:pPr>
              <w:pStyle w:val="TableTextDecimalAlign"/>
            </w:pPr>
            <w:r>
              <w:t>&lt;0.1%</w:t>
            </w:r>
          </w:p>
        </w:tc>
      </w:tr>
      <w:tr w:rsidR="00684E0D" w:rsidRPr="00B44C00" w14:paraId="1D45482F" w14:textId="77777777" w:rsidTr="00921CD9">
        <w:trPr>
          <w:trHeight w:val="300"/>
        </w:trPr>
        <w:tc>
          <w:tcPr>
            <w:tcW w:w="2307" w:type="dxa"/>
            <w:shd w:val="clear" w:color="auto" w:fill="auto"/>
            <w:noWrap/>
            <w:vAlign w:val="bottom"/>
            <w:hideMark/>
          </w:tcPr>
          <w:p w14:paraId="55679FDA" w14:textId="77777777" w:rsidR="00684E0D" w:rsidRPr="000E5D39" w:rsidRDefault="00684E0D" w:rsidP="00FA1377">
            <w:pPr>
              <w:pStyle w:val="Tabletext"/>
              <w:jc w:val="center"/>
            </w:pPr>
            <w:r w:rsidRPr="000E5D39">
              <w:t>15</w:t>
            </w:r>
          </w:p>
        </w:tc>
        <w:tc>
          <w:tcPr>
            <w:tcW w:w="2307" w:type="dxa"/>
            <w:shd w:val="clear" w:color="auto" w:fill="auto"/>
            <w:noWrap/>
            <w:vAlign w:val="bottom"/>
            <w:hideMark/>
          </w:tcPr>
          <w:p w14:paraId="036C5873" w14:textId="77777777" w:rsidR="00684E0D" w:rsidRPr="000E5D39" w:rsidRDefault="00684E0D" w:rsidP="0018105F">
            <w:pPr>
              <w:pStyle w:val="TableTextDecimalAlign"/>
            </w:pPr>
            <w:r w:rsidRPr="000E5D39">
              <w:t>18</w:t>
            </w:r>
          </w:p>
        </w:tc>
        <w:tc>
          <w:tcPr>
            <w:tcW w:w="2307" w:type="dxa"/>
            <w:shd w:val="clear" w:color="auto" w:fill="auto"/>
            <w:noWrap/>
            <w:vAlign w:val="bottom"/>
            <w:hideMark/>
          </w:tcPr>
          <w:p w14:paraId="6E89D69E" w14:textId="77777777" w:rsidR="00684E0D" w:rsidRPr="000E5D39" w:rsidRDefault="00684E0D" w:rsidP="0018105F">
            <w:pPr>
              <w:pStyle w:val="TableTextDecimalAlign"/>
            </w:pPr>
            <w:r w:rsidRPr="000E5D39">
              <w:t>270</w:t>
            </w:r>
          </w:p>
        </w:tc>
        <w:tc>
          <w:tcPr>
            <w:tcW w:w="2308" w:type="dxa"/>
            <w:shd w:val="clear" w:color="auto" w:fill="auto"/>
            <w:noWrap/>
            <w:vAlign w:val="bottom"/>
          </w:tcPr>
          <w:p w14:paraId="38FB56FF" w14:textId="77F77FAE" w:rsidR="00684E0D" w:rsidRPr="000E5D39" w:rsidRDefault="002A1B1A" w:rsidP="0018105F">
            <w:pPr>
              <w:pStyle w:val="TableTextDecimalAlign"/>
            </w:pPr>
            <w:r>
              <w:t>&lt;0.1%</w:t>
            </w:r>
          </w:p>
        </w:tc>
      </w:tr>
      <w:tr w:rsidR="00684E0D" w:rsidRPr="00B44C00" w14:paraId="6B853FCE" w14:textId="77777777" w:rsidTr="00921CD9">
        <w:trPr>
          <w:trHeight w:val="300"/>
        </w:trPr>
        <w:tc>
          <w:tcPr>
            <w:tcW w:w="2307" w:type="dxa"/>
            <w:shd w:val="clear" w:color="auto" w:fill="auto"/>
            <w:noWrap/>
            <w:vAlign w:val="bottom"/>
            <w:hideMark/>
          </w:tcPr>
          <w:p w14:paraId="05EEFADC" w14:textId="77777777" w:rsidR="00684E0D" w:rsidRPr="000E5D39" w:rsidRDefault="00684E0D" w:rsidP="00FA1377">
            <w:pPr>
              <w:pStyle w:val="Tabletext"/>
              <w:jc w:val="center"/>
              <w:rPr>
                <w:rFonts w:cs="Arial"/>
              </w:rPr>
            </w:pPr>
            <w:r w:rsidRPr="000E5D39">
              <w:rPr>
                <w:rFonts w:cs="Arial"/>
              </w:rPr>
              <w:t>16</w:t>
            </w:r>
          </w:p>
        </w:tc>
        <w:tc>
          <w:tcPr>
            <w:tcW w:w="2307" w:type="dxa"/>
            <w:shd w:val="clear" w:color="auto" w:fill="auto"/>
            <w:noWrap/>
            <w:vAlign w:val="bottom"/>
            <w:hideMark/>
          </w:tcPr>
          <w:p w14:paraId="3C1A7DD9" w14:textId="77777777" w:rsidR="00684E0D" w:rsidRPr="000E5D39" w:rsidRDefault="00684E0D" w:rsidP="002036DF">
            <w:pPr>
              <w:pStyle w:val="TableTextDecimalAlign"/>
            </w:pPr>
            <w:r w:rsidRPr="000E5D39">
              <w:t>8</w:t>
            </w:r>
          </w:p>
        </w:tc>
        <w:tc>
          <w:tcPr>
            <w:tcW w:w="2307" w:type="dxa"/>
            <w:shd w:val="clear" w:color="auto" w:fill="auto"/>
            <w:noWrap/>
            <w:vAlign w:val="bottom"/>
            <w:hideMark/>
          </w:tcPr>
          <w:p w14:paraId="5F5AC2F3" w14:textId="77777777" w:rsidR="00684E0D" w:rsidRPr="000E5D39" w:rsidRDefault="00684E0D" w:rsidP="002036DF">
            <w:pPr>
              <w:pStyle w:val="TableTextDecimalAlign"/>
            </w:pPr>
            <w:r w:rsidRPr="000E5D39">
              <w:t>128</w:t>
            </w:r>
          </w:p>
        </w:tc>
        <w:tc>
          <w:tcPr>
            <w:tcW w:w="2308" w:type="dxa"/>
            <w:shd w:val="clear" w:color="auto" w:fill="auto"/>
            <w:noWrap/>
            <w:vAlign w:val="bottom"/>
          </w:tcPr>
          <w:p w14:paraId="37F5CB4E" w14:textId="0D63D2BC" w:rsidR="00684E0D" w:rsidRPr="000E5D39" w:rsidRDefault="002A1B1A" w:rsidP="00813502">
            <w:pPr>
              <w:pStyle w:val="TableTextDecimalAlign"/>
              <w:rPr>
                <w:rFonts w:cs="Arial"/>
                <w:szCs w:val="20"/>
              </w:rPr>
            </w:pPr>
            <w:r>
              <w:t>&lt;0.1%</w:t>
            </w:r>
          </w:p>
        </w:tc>
      </w:tr>
      <w:tr w:rsidR="00684E0D" w:rsidRPr="00B44C00" w14:paraId="0AB7CE75" w14:textId="77777777" w:rsidTr="00921CD9">
        <w:trPr>
          <w:trHeight w:val="300"/>
        </w:trPr>
        <w:tc>
          <w:tcPr>
            <w:tcW w:w="2307" w:type="dxa"/>
            <w:shd w:val="clear" w:color="auto" w:fill="auto"/>
            <w:noWrap/>
            <w:vAlign w:val="bottom"/>
            <w:hideMark/>
          </w:tcPr>
          <w:p w14:paraId="71EDC52F" w14:textId="77777777" w:rsidR="00684E0D" w:rsidRPr="000E5D39" w:rsidRDefault="00684E0D" w:rsidP="00FA1377">
            <w:pPr>
              <w:pStyle w:val="Tabletext"/>
              <w:jc w:val="center"/>
              <w:rPr>
                <w:rFonts w:cs="Arial"/>
              </w:rPr>
            </w:pPr>
            <w:r w:rsidRPr="000E5D39">
              <w:rPr>
                <w:rFonts w:cs="Arial"/>
              </w:rPr>
              <w:t>17</w:t>
            </w:r>
          </w:p>
        </w:tc>
        <w:tc>
          <w:tcPr>
            <w:tcW w:w="2307" w:type="dxa"/>
            <w:shd w:val="clear" w:color="auto" w:fill="auto"/>
            <w:noWrap/>
            <w:vAlign w:val="bottom"/>
            <w:hideMark/>
          </w:tcPr>
          <w:p w14:paraId="49B285F3" w14:textId="77777777" w:rsidR="00684E0D" w:rsidRPr="000E5D39" w:rsidRDefault="00684E0D" w:rsidP="002036DF">
            <w:pPr>
              <w:pStyle w:val="TableTextDecimalAlign"/>
            </w:pPr>
            <w:r w:rsidRPr="000E5D39">
              <w:t>5</w:t>
            </w:r>
          </w:p>
        </w:tc>
        <w:tc>
          <w:tcPr>
            <w:tcW w:w="2307" w:type="dxa"/>
            <w:shd w:val="clear" w:color="auto" w:fill="auto"/>
            <w:noWrap/>
            <w:vAlign w:val="bottom"/>
            <w:hideMark/>
          </w:tcPr>
          <w:p w14:paraId="60C98814" w14:textId="77777777" w:rsidR="00684E0D" w:rsidRPr="000E5D39" w:rsidRDefault="00684E0D" w:rsidP="002036DF">
            <w:pPr>
              <w:pStyle w:val="TableTextDecimalAlign"/>
            </w:pPr>
            <w:r w:rsidRPr="000E5D39">
              <w:t>85</w:t>
            </w:r>
          </w:p>
        </w:tc>
        <w:tc>
          <w:tcPr>
            <w:tcW w:w="2308" w:type="dxa"/>
            <w:shd w:val="clear" w:color="auto" w:fill="auto"/>
            <w:noWrap/>
            <w:vAlign w:val="bottom"/>
          </w:tcPr>
          <w:p w14:paraId="2E764813" w14:textId="49981ED5" w:rsidR="00684E0D" w:rsidRPr="000E5D39" w:rsidRDefault="002A1B1A" w:rsidP="00813502">
            <w:pPr>
              <w:pStyle w:val="TableTextDecimalAlign"/>
              <w:rPr>
                <w:rFonts w:cs="Arial"/>
                <w:szCs w:val="20"/>
              </w:rPr>
            </w:pPr>
            <w:r>
              <w:t>&lt;0.1%</w:t>
            </w:r>
          </w:p>
        </w:tc>
      </w:tr>
      <w:tr w:rsidR="00684E0D" w:rsidRPr="00B44C00" w14:paraId="57D6223F" w14:textId="77777777" w:rsidTr="00921CD9">
        <w:trPr>
          <w:trHeight w:val="300"/>
        </w:trPr>
        <w:tc>
          <w:tcPr>
            <w:tcW w:w="2307" w:type="dxa"/>
            <w:shd w:val="clear" w:color="auto" w:fill="auto"/>
            <w:noWrap/>
            <w:vAlign w:val="bottom"/>
            <w:hideMark/>
          </w:tcPr>
          <w:p w14:paraId="487811E8" w14:textId="77777777" w:rsidR="00684E0D" w:rsidRPr="000E5D39" w:rsidRDefault="00684E0D" w:rsidP="00FA1377">
            <w:pPr>
              <w:pStyle w:val="Tabletext"/>
              <w:jc w:val="center"/>
              <w:rPr>
                <w:rFonts w:cs="Arial"/>
              </w:rPr>
            </w:pPr>
            <w:r w:rsidRPr="000E5D39">
              <w:rPr>
                <w:rFonts w:cs="Arial"/>
              </w:rPr>
              <w:t>18 - 51</w:t>
            </w:r>
          </w:p>
        </w:tc>
        <w:tc>
          <w:tcPr>
            <w:tcW w:w="2307" w:type="dxa"/>
            <w:shd w:val="clear" w:color="auto" w:fill="auto"/>
            <w:noWrap/>
            <w:vAlign w:val="bottom"/>
            <w:hideMark/>
          </w:tcPr>
          <w:p w14:paraId="4153BBFC" w14:textId="77777777" w:rsidR="00684E0D" w:rsidRPr="000E5D39" w:rsidRDefault="00684E0D" w:rsidP="002036DF">
            <w:pPr>
              <w:pStyle w:val="TableTextDecimalAlign"/>
            </w:pPr>
            <w:r w:rsidRPr="000E5D39">
              <w:t>16</w:t>
            </w:r>
          </w:p>
        </w:tc>
        <w:tc>
          <w:tcPr>
            <w:tcW w:w="2307" w:type="dxa"/>
            <w:shd w:val="clear" w:color="auto" w:fill="auto"/>
            <w:noWrap/>
            <w:vAlign w:val="bottom"/>
            <w:hideMark/>
          </w:tcPr>
          <w:p w14:paraId="445F900F" w14:textId="77777777" w:rsidR="00684E0D" w:rsidRPr="000E5D39" w:rsidRDefault="00684E0D" w:rsidP="002036DF">
            <w:pPr>
              <w:pStyle w:val="TableTextDecimalAlign"/>
            </w:pPr>
            <w:r w:rsidRPr="000E5D39">
              <w:t>389</w:t>
            </w:r>
          </w:p>
        </w:tc>
        <w:tc>
          <w:tcPr>
            <w:tcW w:w="2308" w:type="dxa"/>
            <w:shd w:val="clear" w:color="auto" w:fill="auto"/>
            <w:noWrap/>
            <w:vAlign w:val="bottom"/>
          </w:tcPr>
          <w:p w14:paraId="21265D4D" w14:textId="6BE3B57B" w:rsidR="00684E0D" w:rsidRPr="000E5D39" w:rsidRDefault="002A1B1A" w:rsidP="00813502">
            <w:pPr>
              <w:pStyle w:val="TableTextDecimalAlign"/>
              <w:rPr>
                <w:rFonts w:cs="Arial"/>
                <w:szCs w:val="20"/>
              </w:rPr>
            </w:pPr>
            <w:r>
              <w:t>&lt;0.1%</w:t>
            </w:r>
          </w:p>
        </w:tc>
      </w:tr>
    </w:tbl>
    <w:p w14:paraId="4CECAB78" w14:textId="77777777" w:rsidR="00684E0D" w:rsidRPr="005F7A73" w:rsidRDefault="00684E0D" w:rsidP="001F4E07">
      <w:pPr>
        <w:pStyle w:val="TableUnder"/>
      </w:pPr>
      <w:r w:rsidRPr="005F7A73">
        <w:t>Source: Departm</w:t>
      </w:r>
      <w:r>
        <w:t>ent of Health (unpublished MBS data</w:t>
      </w:r>
      <w:r w:rsidRPr="005F7A73">
        <w:t>)</w:t>
      </w:r>
    </w:p>
    <w:p w14:paraId="3EC66F13" w14:textId="3F46954D" w:rsidR="00684E0D" w:rsidRPr="001F4E07" w:rsidRDefault="00684E0D" w:rsidP="001F4E07">
      <w:pPr>
        <w:pStyle w:val="Caption"/>
      </w:pPr>
      <w:bookmarkStart w:id="153" w:name="_Toc457307432"/>
      <w:bookmarkStart w:id="154" w:name="_Toc458527790"/>
      <w:r w:rsidRPr="001F4E07">
        <w:t xml:space="preserve">Table </w:t>
      </w:r>
      <w:fldSimple w:instr=" SEQ Table \* ARABIC ">
        <w:r w:rsidR="00A1715D">
          <w:rPr>
            <w:noProof/>
          </w:rPr>
          <w:t>14</w:t>
        </w:r>
      </w:fldSimple>
      <w:r w:rsidR="001646CB">
        <w:t>:</w:t>
      </w:r>
      <w:r w:rsidR="001646CB">
        <w:tab/>
      </w:r>
      <w:r w:rsidRPr="001F4E07">
        <w:t>Current MBS upper GI endoscopy items</w:t>
      </w:r>
      <w:bookmarkEnd w:id="153"/>
      <w:bookmarkEnd w:id="154"/>
    </w:p>
    <w:tbl>
      <w:tblPr>
        <w:tblW w:w="9072" w:type="dxa"/>
        <w:tblInd w:w="60" w:type="dxa"/>
        <w:tblBorders>
          <w:top w:val="single" w:sz="4" w:space="0" w:color="B56011"/>
          <w:bottom w:val="single" w:sz="4" w:space="0" w:color="B56011"/>
          <w:insideH w:val="single" w:sz="4" w:space="0" w:color="B56011"/>
        </w:tblBorders>
        <w:tblLayout w:type="fixed"/>
        <w:tblCellMar>
          <w:left w:w="60" w:type="dxa"/>
          <w:right w:w="60" w:type="dxa"/>
        </w:tblCellMar>
        <w:tblLook w:val="0000" w:firstRow="0" w:lastRow="0" w:firstColumn="0" w:lastColumn="0" w:noHBand="0" w:noVBand="0"/>
        <w:tblDescription w:val="Table 14 shows upper gastrointestinal item numbers, descriptors, schedule fee, number of services in 2014-15 and the percentage change in the number of services between 2011-12 and 2014-15."/>
      </w:tblPr>
      <w:tblGrid>
        <w:gridCol w:w="851"/>
        <w:gridCol w:w="4961"/>
        <w:gridCol w:w="1086"/>
        <w:gridCol w:w="1087"/>
        <w:gridCol w:w="1087"/>
      </w:tblGrid>
      <w:tr w:rsidR="0052022C" w:rsidRPr="00F43A67" w14:paraId="552E2E33" w14:textId="77777777" w:rsidTr="00921CD9">
        <w:trPr>
          <w:trHeight w:val="274"/>
          <w:tblHeader/>
        </w:trPr>
        <w:tc>
          <w:tcPr>
            <w:tcW w:w="851" w:type="dxa"/>
            <w:shd w:val="clear" w:color="auto" w:fill="auto"/>
            <w:vAlign w:val="center"/>
          </w:tcPr>
          <w:p w14:paraId="5D9FF57B" w14:textId="77777777" w:rsidR="00684E0D" w:rsidRPr="000E5D39" w:rsidRDefault="00684E0D" w:rsidP="00921CD9">
            <w:pPr>
              <w:pStyle w:val="Tableheading"/>
            </w:pPr>
            <w:r w:rsidRPr="000E5D39">
              <w:t xml:space="preserve">Item </w:t>
            </w:r>
          </w:p>
        </w:tc>
        <w:tc>
          <w:tcPr>
            <w:tcW w:w="4961" w:type="dxa"/>
            <w:shd w:val="clear" w:color="auto" w:fill="auto"/>
            <w:vAlign w:val="center"/>
          </w:tcPr>
          <w:p w14:paraId="5C9957C2" w14:textId="77777777" w:rsidR="00684E0D" w:rsidRPr="000E5D39" w:rsidRDefault="00684E0D" w:rsidP="00921CD9">
            <w:pPr>
              <w:pStyle w:val="Tableheading"/>
            </w:pPr>
            <w:r w:rsidRPr="000E5D39">
              <w:t>Item Descriptor</w:t>
            </w:r>
          </w:p>
        </w:tc>
        <w:tc>
          <w:tcPr>
            <w:tcW w:w="1086" w:type="dxa"/>
            <w:vAlign w:val="center"/>
          </w:tcPr>
          <w:p w14:paraId="01C892C9" w14:textId="77777777" w:rsidR="00684E0D" w:rsidRPr="000E5D39" w:rsidRDefault="00684E0D" w:rsidP="00921CD9">
            <w:pPr>
              <w:pStyle w:val="Tableheading"/>
            </w:pPr>
            <w:r w:rsidRPr="000E5D39">
              <w:t>Schedule Fee</w:t>
            </w:r>
          </w:p>
        </w:tc>
        <w:tc>
          <w:tcPr>
            <w:tcW w:w="1087" w:type="dxa"/>
            <w:vAlign w:val="center"/>
          </w:tcPr>
          <w:p w14:paraId="06B3CC51" w14:textId="7A7C5377" w:rsidR="00684E0D" w:rsidRPr="000E5D39" w:rsidRDefault="00684E0D" w:rsidP="003C6DB0">
            <w:pPr>
              <w:pStyle w:val="Tableheading"/>
            </w:pPr>
            <w:r w:rsidRPr="000E5D39">
              <w:t>Services 2014</w:t>
            </w:r>
            <w:r w:rsidR="003C6DB0">
              <w:t>–</w:t>
            </w:r>
            <w:r w:rsidRPr="000E5D39">
              <w:t>15</w:t>
            </w:r>
          </w:p>
        </w:tc>
        <w:tc>
          <w:tcPr>
            <w:tcW w:w="1087" w:type="dxa"/>
            <w:vAlign w:val="center"/>
          </w:tcPr>
          <w:p w14:paraId="3AB1E1BF" w14:textId="2AF1892F" w:rsidR="00684E0D" w:rsidRPr="00921CD9" w:rsidRDefault="00684E0D" w:rsidP="00921CD9">
            <w:pPr>
              <w:pStyle w:val="Tableheading"/>
            </w:pPr>
            <w:r w:rsidRPr="00921CD9">
              <w:t>Service Change 2011</w:t>
            </w:r>
            <w:r w:rsidR="003C6DB0">
              <w:t>–</w:t>
            </w:r>
            <w:r w:rsidRPr="00921CD9">
              <w:t>12 to 2014</w:t>
            </w:r>
            <w:r w:rsidR="003C6DB0">
              <w:t>–</w:t>
            </w:r>
            <w:r w:rsidRPr="00921CD9">
              <w:t>15</w:t>
            </w:r>
          </w:p>
        </w:tc>
      </w:tr>
      <w:tr w:rsidR="0052022C" w:rsidRPr="00B011AF" w14:paraId="3152325A" w14:textId="77777777" w:rsidTr="0052022C">
        <w:trPr>
          <w:trHeight w:val="274"/>
        </w:trPr>
        <w:tc>
          <w:tcPr>
            <w:tcW w:w="851" w:type="dxa"/>
            <w:shd w:val="clear" w:color="auto" w:fill="auto"/>
          </w:tcPr>
          <w:p w14:paraId="67AF3291" w14:textId="77777777" w:rsidR="00684E0D" w:rsidRPr="000E5D39" w:rsidRDefault="00684E0D" w:rsidP="00921CD9">
            <w:pPr>
              <w:pStyle w:val="Tabletext"/>
            </w:pPr>
            <w:r w:rsidRPr="000E5D39">
              <w:t>30473</w:t>
            </w:r>
          </w:p>
        </w:tc>
        <w:tc>
          <w:tcPr>
            <w:tcW w:w="4961" w:type="dxa"/>
            <w:shd w:val="clear" w:color="auto" w:fill="auto"/>
          </w:tcPr>
          <w:p w14:paraId="4733CEED" w14:textId="6B52F0A3" w:rsidR="00684E0D" w:rsidRPr="000E5D39" w:rsidRDefault="00684E0D" w:rsidP="00921CD9">
            <w:pPr>
              <w:pStyle w:val="Tabletext"/>
            </w:pPr>
            <w:r w:rsidRPr="000E5D39">
              <w:t>OESOPHAGOSCOPY (not being a service to which item 41816 or 41822 applies), GASTROSCOPY, DUODENOSCOPY or PANENDOSCOPY (1 or more such procedures), with or without biopsy, not being a service associated with a service to which item 30476 and 30478, applies</w:t>
            </w:r>
            <w:r w:rsidR="00C22AE4">
              <w:t xml:space="preserve"> </w:t>
            </w:r>
            <w:r w:rsidRPr="000E5D39">
              <w:t>(Anaes.)</w:t>
            </w:r>
          </w:p>
        </w:tc>
        <w:tc>
          <w:tcPr>
            <w:tcW w:w="1086" w:type="dxa"/>
          </w:tcPr>
          <w:p w14:paraId="2996234E" w14:textId="77777777" w:rsidR="00684E0D" w:rsidRPr="000E5D39" w:rsidRDefault="00684E0D" w:rsidP="00921CD9">
            <w:pPr>
              <w:pStyle w:val="Tabletext"/>
            </w:pPr>
            <w:r w:rsidRPr="000E5D39">
              <w:t>$177.10</w:t>
            </w:r>
          </w:p>
        </w:tc>
        <w:tc>
          <w:tcPr>
            <w:tcW w:w="1087" w:type="dxa"/>
          </w:tcPr>
          <w:p w14:paraId="7FD52C91" w14:textId="77777777" w:rsidR="00684E0D" w:rsidRPr="000E5D39" w:rsidRDefault="00684E0D" w:rsidP="00921CD9">
            <w:pPr>
              <w:pStyle w:val="Tabletext"/>
            </w:pPr>
            <w:r w:rsidRPr="000E5D39">
              <w:t>373,349</w:t>
            </w:r>
          </w:p>
        </w:tc>
        <w:tc>
          <w:tcPr>
            <w:tcW w:w="1087" w:type="dxa"/>
          </w:tcPr>
          <w:p w14:paraId="301BB096" w14:textId="77777777" w:rsidR="00684E0D" w:rsidRPr="000E5D39" w:rsidRDefault="00684E0D" w:rsidP="00921CD9">
            <w:pPr>
              <w:pStyle w:val="Tabletext"/>
            </w:pPr>
            <w:r w:rsidRPr="000E5D39">
              <w:t>12%</w:t>
            </w:r>
          </w:p>
        </w:tc>
      </w:tr>
      <w:tr w:rsidR="0052022C" w:rsidRPr="00B011AF" w14:paraId="2D159FA1" w14:textId="77777777" w:rsidTr="0052022C">
        <w:tc>
          <w:tcPr>
            <w:tcW w:w="851" w:type="dxa"/>
            <w:shd w:val="clear" w:color="auto" w:fill="auto"/>
          </w:tcPr>
          <w:p w14:paraId="39626197" w14:textId="77777777" w:rsidR="00684E0D" w:rsidRPr="000E5D39" w:rsidRDefault="00684E0D" w:rsidP="00921CD9">
            <w:pPr>
              <w:pStyle w:val="Tabletext"/>
            </w:pPr>
            <w:r w:rsidRPr="000E5D39">
              <w:t>30476</w:t>
            </w:r>
          </w:p>
        </w:tc>
        <w:tc>
          <w:tcPr>
            <w:tcW w:w="4961" w:type="dxa"/>
          </w:tcPr>
          <w:p w14:paraId="0E46AEDB" w14:textId="132F5AB2" w:rsidR="00684E0D" w:rsidRPr="000E5D39" w:rsidRDefault="00684E0D" w:rsidP="00921CD9">
            <w:pPr>
              <w:pStyle w:val="Tabletext"/>
            </w:pPr>
            <w:r w:rsidRPr="000E5D39">
              <w:t>OESOPHAGOSCOPY (not being a service to which item 41816 or 41822 applies), GASTROSCOPY, DUODENOSCOPY or PANENDOSCOPY (1 or more such procedures), with endoscopic sclerosing injection or banding of oesophageal or gastric varices, not being a service associated with a service to which item 30473 or 30478 applies</w:t>
            </w:r>
            <w:r w:rsidR="00C22AE4">
              <w:t xml:space="preserve"> </w:t>
            </w:r>
            <w:r w:rsidRPr="000E5D39">
              <w:t>(Anaes.)</w:t>
            </w:r>
          </w:p>
        </w:tc>
        <w:tc>
          <w:tcPr>
            <w:tcW w:w="1086" w:type="dxa"/>
          </w:tcPr>
          <w:p w14:paraId="48AEC899" w14:textId="77777777" w:rsidR="00684E0D" w:rsidRPr="000E5D39" w:rsidRDefault="00684E0D" w:rsidP="00921CD9">
            <w:pPr>
              <w:pStyle w:val="Tabletext"/>
            </w:pPr>
            <w:r w:rsidRPr="000E5D39">
              <w:t>$245.55</w:t>
            </w:r>
          </w:p>
        </w:tc>
        <w:tc>
          <w:tcPr>
            <w:tcW w:w="1087" w:type="dxa"/>
          </w:tcPr>
          <w:p w14:paraId="74526288" w14:textId="77777777" w:rsidR="00684E0D" w:rsidRPr="000E5D39" w:rsidRDefault="00684E0D" w:rsidP="00921CD9">
            <w:pPr>
              <w:pStyle w:val="Tabletext"/>
            </w:pPr>
            <w:r w:rsidRPr="000E5D39">
              <w:t>1,742</w:t>
            </w:r>
          </w:p>
        </w:tc>
        <w:tc>
          <w:tcPr>
            <w:tcW w:w="1087" w:type="dxa"/>
          </w:tcPr>
          <w:p w14:paraId="179AEA27" w14:textId="77777777" w:rsidR="00684E0D" w:rsidRPr="000E5D39" w:rsidRDefault="00684E0D" w:rsidP="00921CD9">
            <w:pPr>
              <w:pStyle w:val="Tabletext"/>
            </w:pPr>
            <w:r w:rsidRPr="000E5D39">
              <w:t>1%</w:t>
            </w:r>
          </w:p>
        </w:tc>
      </w:tr>
      <w:tr w:rsidR="0052022C" w:rsidRPr="00B011AF" w14:paraId="0C31126F" w14:textId="77777777" w:rsidTr="0052022C">
        <w:tc>
          <w:tcPr>
            <w:tcW w:w="851" w:type="dxa"/>
            <w:shd w:val="clear" w:color="auto" w:fill="auto"/>
          </w:tcPr>
          <w:p w14:paraId="3199A594" w14:textId="77777777" w:rsidR="00684E0D" w:rsidRPr="000E5D39" w:rsidRDefault="00684E0D" w:rsidP="00921CD9">
            <w:pPr>
              <w:pStyle w:val="Tabletext"/>
            </w:pPr>
            <w:r w:rsidRPr="000E5D39">
              <w:t>30478</w:t>
            </w:r>
          </w:p>
        </w:tc>
        <w:tc>
          <w:tcPr>
            <w:tcW w:w="4961" w:type="dxa"/>
          </w:tcPr>
          <w:p w14:paraId="6E71DA2E" w14:textId="77777777" w:rsidR="00684E0D" w:rsidRPr="002036DF" w:rsidRDefault="00684E0D" w:rsidP="002036DF">
            <w:pPr>
              <w:pStyle w:val="Tabletext"/>
            </w:pPr>
            <w:r w:rsidRPr="002036DF">
              <w:t>OESOPHAGOSCOPY (not being a service to which item 41816, 41822 or 41825 applies), gastroscopy, duodenoscopy or panendoscopy (1 or more such procedures), with 1 or more of the following endoscopic procedures - polypectomy, removal of foreign body, diathermy, heater probe or laser coagulation, or sclerosing injection of bleeding upper gastrointestinal lesions, not being a service associated with a service to which item 30473 or 30476 applies (Anaes.)</w:t>
            </w:r>
          </w:p>
        </w:tc>
        <w:tc>
          <w:tcPr>
            <w:tcW w:w="1086" w:type="dxa"/>
          </w:tcPr>
          <w:p w14:paraId="20CC187D" w14:textId="77777777" w:rsidR="00684E0D" w:rsidRPr="002036DF" w:rsidRDefault="00684E0D" w:rsidP="002036DF">
            <w:pPr>
              <w:pStyle w:val="Tabletext"/>
            </w:pPr>
            <w:r w:rsidRPr="002036DF">
              <w:t>$245.55</w:t>
            </w:r>
          </w:p>
        </w:tc>
        <w:tc>
          <w:tcPr>
            <w:tcW w:w="1087" w:type="dxa"/>
          </w:tcPr>
          <w:p w14:paraId="50D43DF7" w14:textId="77777777" w:rsidR="00684E0D" w:rsidRPr="002036DF" w:rsidRDefault="00684E0D" w:rsidP="002036DF">
            <w:pPr>
              <w:pStyle w:val="Tabletext"/>
            </w:pPr>
            <w:r w:rsidRPr="002036DF">
              <w:t>16,267</w:t>
            </w:r>
          </w:p>
        </w:tc>
        <w:tc>
          <w:tcPr>
            <w:tcW w:w="1087" w:type="dxa"/>
          </w:tcPr>
          <w:p w14:paraId="7959FC4D" w14:textId="77777777" w:rsidR="00684E0D" w:rsidRPr="002036DF" w:rsidRDefault="00684E0D" w:rsidP="002036DF">
            <w:pPr>
              <w:pStyle w:val="Tabletext"/>
            </w:pPr>
            <w:r w:rsidRPr="002036DF">
              <w:t>32%</w:t>
            </w:r>
          </w:p>
        </w:tc>
      </w:tr>
      <w:tr w:rsidR="0052022C" w:rsidRPr="00B011AF" w14:paraId="5E5C7DD2" w14:textId="77777777" w:rsidTr="0052022C">
        <w:tc>
          <w:tcPr>
            <w:tcW w:w="851" w:type="dxa"/>
            <w:shd w:val="clear" w:color="auto" w:fill="auto"/>
          </w:tcPr>
          <w:p w14:paraId="519CD48F" w14:textId="77777777" w:rsidR="00684E0D" w:rsidRPr="000E5D39" w:rsidRDefault="00684E0D" w:rsidP="00921CD9">
            <w:pPr>
              <w:pStyle w:val="Tabletext"/>
            </w:pPr>
            <w:r w:rsidRPr="000E5D39">
              <w:t>30479</w:t>
            </w:r>
          </w:p>
        </w:tc>
        <w:tc>
          <w:tcPr>
            <w:tcW w:w="4961" w:type="dxa"/>
          </w:tcPr>
          <w:p w14:paraId="0893608C" w14:textId="77777777" w:rsidR="00684E0D" w:rsidRPr="002036DF" w:rsidRDefault="00684E0D" w:rsidP="002036DF">
            <w:pPr>
              <w:pStyle w:val="Tabletext"/>
            </w:pPr>
            <w:r w:rsidRPr="002036DF">
              <w:t xml:space="preserve">ENDOSCOPY with LASER THERAPY or ARGON PLASMA COAGULATION, for the treatment of neoplasia, benign vascular lesions, strictures of the gastrointestinal tract, tumorous overgrowth through or over oesophageal stents, peptic ulcers, angiodysplasia, gastric antral vascular ectasia </w:t>
            </w:r>
            <w:r w:rsidRPr="002036DF">
              <w:lastRenderedPageBreak/>
              <w:t>(GAVE) or post-polypectomy bleeding, 1 or more of (Anaes.)</w:t>
            </w:r>
          </w:p>
        </w:tc>
        <w:tc>
          <w:tcPr>
            <w:tcW w:w="1086" w:type="dxa"/>
          </w:tcPr>
          <w:p w14:paraId="18EB923C" w14:textId="77777777" w:rsidR="00684E0D" w:rsidRPr="002036DF" w:rsidRDefault="00684E0D" w:rsidP="002036DF">
            <w:pPr>
              <w:pStyle w:val="Tabletext"/>
            </w:pPr>
            <w:r w:rsidRPr="002036DF">
              <w:lastRenderedPageBreak/>
              <w:t>$476.10</w:t>
            </w:r>
          </w:p>
        </w:tc>
        <w:tc>
          <w:tcPr>
            <w:tcW w:w="1087" w:type="dxa"/>
          </w:tcPr>
          <w:p w14:paraId="2055C431" w14:textId="77777777" w:rsidR="00684E0D" w:rsidRPr="002036DF" w:rsidRDefault="00684E0D" w:rsidP="002036DF">
            <w:pPr>
              <w:pStyle w:val="Tabletext"/>
            </w:pPr>
            <w:r w:rsidRPr="002036DF">
              <w:t>2,315</w:t>
            </w:r>
          </w:p>
        </w:tc>
        <w:tc>
          <w:tcPr>
            <w:tcW w:w="1087" w:type="dxa"/>
          </w:tcPr>
          <w:p w14:paraId="15544EB7" w14:textId="77777777" w:rsidR="00684E0D" w:rsidRPr="002036DF" w:rsidRDefault="00684E0D" w:rsidP="002036DF">
            <w:pPr>
              <w:pStyle w:val="Tabletext"/>
            </w:pPr>
            <w:r w:rsidRPr="002036DF">
              <w:t>29%</w:t>
            </w:r>
          </w:p>
        </w:tc>
      </w:tr>
    </w:tbl>
    <w:p w14:paraId="352F79C2" w14:textId="580B6C1E" w:rsidR="001646CB" w:rsidRDefault="00684E0D" w:rsidP="004304F5">
      <w:pPr>
        <w:pStyle w:val="TableUnder"/>
        <w:rPr>
          <w:b/>
        </w:rPr>
      </w:pPr>
      <w:r w:rsidRPr="00094CD8">
        <w:t>Source: Publicly available MBS Data (Department of Human Services website)</w:t>
      </w:r>
      <w:r w:rsidR="001646CB">
        <w:rPr>
          <w:b/>
        </w:rPr>
        <w:br w:type="page"/>
      </w:r>
    </w:p>
    <w:p w14:paraId="795ED6AC" w14:textId="03BC188E" w:rsidR="00684E0D" w:rsidRPr="001F4E07" w:rsidRDefault="00684E0D" w:rsidP="001F4E07">
      <w:pPr>
        <w:pStyle w:val="Caption"/>
      </w:pPr>
      <w:bookmarkStart w:id="155" w:name="_Toc457307433"/>
      <w:bookmarkStart w:id="156" w:name="_Toc458527791"/>
      <w:r w:rsidRPr="001F4E07">
        <w:lastRenderedPageBreak/>
        <w:t xml:space="preserve">Table </w:t>
      </w:r>
      <w:fldSimple w:instr=" SEQ Table \* ARABIC ">
        <w:r w:rsidR="00A1715D">
          <w:rPr>
            <w:noProof/>
          </w:rPr>
          <w:t>15</w:t>
        </w:r>
      </w:fldSimple>
      <w:r w:rsidR="001646CB">
        <w:t>:</w:t>
      </w:r>
      <w:r w:rsidR="001646CB">
        <w:tab/>
      </w:r>
      <w:r w:rsidRPr="001F4E07">
        <w:t>Proposed restructure of MBS upper GI endoscopy items</w:t>
      </w:r>
      <w:bookmarkEnd w:id="155"/>
      <w:bookmarkEnd w:id="156"/>
    </w:p>
    <w:tbl>
      <w:tblPr>
        <w:tblW w:w="9072" w:type="dxa"/>
        <w:tblInd w:w="60" w:type="dxa"/>
        <w:tblBorders>
          <w:top w:val="single" w:sz="4" w:space="0" w:color="B56011"/>
          <w:bottom w:val="single" w:sz="4" w:space="0" w:color="B56011"/>
          <w:insideH w:val="single" w:sz="4" w:space="0" w:color="B56011"/>
        </w:tblBorders>
        <w:tblLayout w:type="fixed"/>
        <w:tblCellMar>
          <w:left w:w="60" w:type="dxa"/>
          <w:right w:w="60" w:type="dxa"/>
        </w:tblCellMar>
        <w:tblLook w:val="0000" w:firstRow="0" w:lastRow="0" w:firstColumn="0" w:lastColumn="0" w:noHBand="0" w:noVBand="0"/>
        <w:tblDescription w:val="Table 15 shows the proposed restructure of upper gastrointestinal endoscopy items, including the items descriptors and scheduled fees."/>
      </w:tblPr>
      <w:tblGrid>
        <w:gridCol w:w="851"/>
        <w:gridCol w:w="6520"/>
        <w:gridCol w:w="1701"/>
      </w:tblGrid>
      <w:tr w:rsidR="00684E0D" w:rsidRPr="00B011AF" w14:paraId="20DA626E" w14:textId="77777777" w:rsidTr="00921CD9">
        <w:trPr>
          <w:trHeight w:val="274"/>
          <w:tblHeader/>
        </w:trPr>
        <w:tc>
          <w:tcPr>
            <w:tcW w:w="851" w:type="dxa"/>
            <w:shd w:val="clear" w:color="auto" w:fill="auto"/>
            <w:vAlign w:val="center"/>
          </w:tcPr>
          <w:p w14:paraId="465E8476" w14:textId="77777777" w:rsidR="00684E0D" w:rsidRPr="000E5D39" w:rsidRDefault="00684E0D" w:rsidP="00921CD9">
            <w:pPr>
              <w:pStyle w:val="Tableheading"/>
            </w:pPr>
            <w:r w:rsidRPr="000E5D39">
              <w:t xml:space="preserve">Item </w:t>
            </w:r>
          </w:p>
        </w:tc>
        <w:tc>
          <w:tcPr>
            <w:tcW w:w="6520" w:type="dxa"/>
            <w:shd w:val="clear" w:color="auto" w:fill="auto"/>
            <w:vAlign w:val="center"/>
          </w:tcPr>
          <w:p w14:paraId="330C8600" w14:textId="77777777" w:rsidR="00684E0D" w:rsidRPr="000E5D39" w:rsidRDefault="00684E0D" w:rsidP="00921CD9">
            <w:pPr>
              <w:pStyle w:val="Tableheading"/>
            </w:pPr>
            <w:r w:rsidRPr="000E5D39">
              <w:t>Item Descriptor</w:t>
            </w:r>
          </w:p>
        </w:tc>
        <w:tc>
          <w:tcPr>
            <w:tcW w:w="1701" w:type="dxa"/>
          </w:tcPr>
          <w:p w14:paraId="027D6D65" w14:textId="77777777" w:rsidR="00684E0D" w:rsidRPr="000E5D39" w:rsidRDefault="00684E0D" w:rsidP="00921CD9">
            <w:pPr>
              <w:pStyle w:val="Tableheading"/>
            </w:pPr>
            <w:r w:rsidRPr="000E5D39">
              <w:t>Schedule Fee</w:t>
            </w:r>
          </w:p>
        </w:tc>
      </w:tr>
      <w:tr w:rsidR="00684E0D" w:rsidRPr="00B011AF" w14:paraId="689DE79E" w14:textId="77777777" w:rsidTr="0052022C">
        <w:trPr>
          <w:trHeight w:val="1144"/>
        </w:trPr>
        <w:tc>
          <w:tcPr>
            <w:tcW w:w="851" w:type="dxa"/>
            <w:shd w:val="clear" w:color="auto" w:fill="auto"/>
          </w:tcPr>
          <w:p w14:paraId="74FEEC47" w14:textId="77777777" w:rsidR="00684E0D" w:rsidRPr="000E5D39" w:rsidRDefault="00684E0D" w:rsidP="0052022C">
            <w:pPr>
              <w:spacing w:before="60" w:line="240" w:lineRule="auto"/>
              <w:rPr>
                <w:b/>
                <w:sz w:val="20"/>
                <w:szCs w:val="20"/>
              </w:rPr>
            </w:pPr>
            <w:r w:rsidRPr="000E5D39">
              <w:rPr>
                <w:b/>
                <w:sz w:val="20"/>
                <w:szCs w:val="20"/>
              </w:rPr>
              <w:t>30473</w:t>
            </w:r>
          </w:p>
        </w:tc>
        <w:tc>
          <w:tcPr>
            <w:tcW w:w="6520" w:type="dxa"/>
            <w:shd w:val="clear" w:color="auto" w:fill="auto"/>
          </w:tcPr>
          <w:p w14:paraId="1881356B" w14:textId="21F31826" w:rsidR="00684E0D" w:rsidRPr="000E5D39" w:rsidRDefault="00684E0D" w:rsidP="00FA1377">
            <w:pPr>
              <w:pStyle w:val="Tabletext"/>
            </w:pPr>
            <w:r w:rsidRPr="000E5D39">
              <w:t xml:space="preserve">OESOPHAGOSCOPY (not being a service to which item 41816 or 41822 applies) GASTROSCOPY, DUODENOSCOPY or PANENDOSCOPY (1 or more such procedures), with or without biopsy, not being a service associated with a service to which item 30478 or </w:t>
            </w:r>
            <w:r w:rsidRPr="000E5D39">
              <w:rPr>
                <w:u w:val="single"/>
              </w:rPr>
              <w:t>30479</w:t>
            </w:r>
            <w:r w:rsidRPr="000E5D39">
              <w:t>, applies (Anaes.)</w:t>
            </w:r>
          </w:p>
        </w:tc>
        <w:tc>
          <w:tcPr>
            <w:tcW w:w="1701" w:type="dxa"/>
          </w:tcPr>
          <w:p w14:paraId="2FEB1553" w14:textId="77777777" w:rsidR="00684E0D" w:rsidRPr="000E5D39" w:rsidRDefault="00684E0D" w:rsidP="00FA1377">
            <w:pPr>
              <w:pStyle w:val="Tabletext"/>
            </w:pPr>
            <w:r w:rsidRPr="000E5D39">
              <w:t>$177.10</w:t>
            </w:r>
          </w:p>
        </w:tc>
      </w:tr>
      <w:tr w:rsidR="00684E0D" w:rsidRPr="00B011AF" w14:paraId="17477E8A" w14:textId="77777777" w:rsidTr="0052022C">
        <w:tc>
          <w:tcPr>
            <w:tcW w:w="851" w:type="dxa"/>
            <w:shd w:val="clear" w:color="auto" w:fill="auto"/>
          </w:tcPr>
          <w:p w14:paraId="0CCB89C5" w14:textId="77777777" w:rsidR="00684E0D" w:rsidRPr="000E5D39" w:rsidRDefault="00684E0D" w:rsidP="0052022C">
            <w:pPr>
              <w:spacing w:before="60" w:line="240" w:lineRule="auto"/>
              <w:rPr>
                <w:b/>
                <w:sz w:val="20"/>
                <w:szCs w:val="20"/>
              </w:rPr>
            </w:pPr>
            <w:r w:rsidRPr="000E5D39">
              <w:rPr>
                <w:b/>
                <w:sz w:val="20"/>
                <w:szCs w:val="20"/>
              </w:rPr>
              <w:t>30476</w:t>
            </w:r>
          </w:p>
        </w:tc>
        <w:tc>
          <w:tcPr>
            <w:tcW w:w="6520" w:type="dxa"/>
            <w:shd w:val="clear" w:color="auto" w:fill="auto"/>
          </w:tcPr>
          <w:p w14:paraId="7770F738" w14:textId="77777777" w:rsidR="00684E0D" w:rsidRPr="000E5D39" w:rsidRDefault="00684E0D" w:rsidP="00FA1377">
            <w:pPr>
              <w:pStyle w:val="Tabletext"/>
            </w:pPr>
            <w:r w:rsidRPr="000E5D39">
              <w:t>Service combined with item 30478</w:t>
            </w:r>
          </w:p>
        </w:tc>
        <w:tc>
          <w:tcPr>
            <w:tcW w:w="1701" w:type="dxa"/>
          </w:tcPr>
          <w:p w14:paraId="43C92970" w14:textId="2140ACD5" w:rsidR="00684E0D" w:rsidRPr="000E5D39" w:rsidRDefault="002B17D0" w:rsidP="000E5D39">
            <w:pPr>
              <w:tabs>
                <w:tab w:val="left" w:pos="2660"/>
                <w:tab w:val="left" w:pos="5040"/>
              </w:tabs>
              <w:spacing w:before="60" w:line="240" w:lineRule="auto"/>
              <w:rPr>
                <w:b/>
                <w:sz w:val="20"/>
                <w:szCs w:val="20"/>
              </w:rPr>
            </w:pPr>
            <w:r>
              <w:rPr>
                <w:b/>
                <w:sz w:val="20"/>
                <w:szCs w:val="20"/>
              </w:rPr>
              <w:t>$245.55</w:t>
            </w:r>
          </w:p>
        </w:tc>
      </w:tr>
      <w:tr w:rsidR="00684E0D" w:rsidRPr="00B011AF" w14:paraId="0F9A67E9" w14:textId="77777777" w:rsidTr="0052022C">
        <w:trPr>
          <w:trHeight w:val="1833"/>
        </w:trPr>
        <w:tc>
          <w:tcPr>
            <w:tcW w:w="851" w:type="dxa"/>
            <w:shd w:val="clear" w:color="auto" w:fill="auto"/>
          </w:tcPr>
          <w:p w14:paraId="2CCE273C" w14:textId="77777777" w:rsidR="00684E0D" w:rsidRPr="000E5D39" w:rsidRDefault="00684E0D" w:rsidP="0052022C">
            <w:pPr>
              <w:spacing w:before="60" w:line="240" w:lineRule="auto"/>
              <w:rPr>
                <w:b/>
                <w:sz w:val="20"/>
                <w:szCs w:val="20"/>
              </w:rPr>
            </w:pPr>
            <w:r w:rsidRPr="000E5D39">
              <w:rPr>
                <w:b/>
                <w:sz w:val="20"/>
                <w:szCs w:val="20"/>
              </w:rPr>
              <w:t>30478</w:t>
            </w:r>
          </w:p>
        </w:tc>
        <w:tc>
          <w:tcPr>
            <w:tcW w:w="6520" w:type="dxa"/>
            <w:shd w:val="clear" w:color="auto" w:fill="auto"/>
          </w:tcPr>
          <w:p w14:paraId="7BC3FDFD" w14:textId="73AF7CCF" w:rsidR="00684E0D" w:rsidRPr="000E5D39" w:rsidRDefault="00684E0D" w:rsidP="00FA1377">
            <w:pPr>
              <w:pStyle w:val="Tabletext"/>
            </w:pPr>
            <w:r w:rsidRPr="000E5D39">
              <w:t>OESOPHAGOSCOPY (not being a service to which item 41816, 41822 or</w:t>
            </w:r>
            <w:r w:rsidR="00C22AE4">
              <w:t xml:space="preserve"> </w:t>
            </w:r>
            <w:r w:rsidRPr="000E5D39">
              <w:t xml:space="preserve">41825 applies and not being a services associated with a service to which item 30473 or </w:t>
            </w:r>
            <w:r w:rsidRPr="000E5D39">
              <w:rPr>
                <w:u w:val="single"/>
              </w:rPr>
              <w:t>30479</w:t>
            </w:r>
            <w:r w:rsidRPr="000E5D39">
              <w:t xml:space="preserve"> applies), GASTROSCOPY, DUODENOSCOPY , PANENDOSCOPY or </w:t>
            </w:r>
            <w:r w:rsidRPr="000E5D39">
              <w:rPr>
                <w:u w:val="single"/>
              </w:rPr>
              <w:t>PUSH ENTEROSCOPY</w:t>
            </w:r>
            <w:r w:rsidR="00C22AE4">
              <w:t xml:space="preserve"> </w:t>
            </w:r>
            <w:r w:rsidRPr="000E5D39">
              <w:t xml:space="preserve">(1 or more such procedures), with 1 or more of the following endoscopic procedures: </w:t>
            </w:r>
          </w:p>
          <w:p w14:paraId="28F3C0E8" w14:textId="77777777" w:rsidR="00684E0D" w:rsidRPr="000E5D39" w:rsidRDefault="00684E0D" w:rsidP="00FA1377">
            <w:pPr>
              <w:pStyle w:val="ListParagraph"/>
              <w:numPr>
                <w:ilvl w:val="0"/>
                <w:numId w:val="33"/>
              </w:numPr>
              <w:autoSpaceDE w:val="0"/>
              <w:autoSpaceDN w:val="0"/>
              <w:adjustRightInd w:val="0"/>
              <w:spacing w:before="60" w:line="240" w:lineRule="auto"/>
              <w:rPr>
                <w:color w:val="000000"/>
                <w:sz w:val="20"/>
                <w:szCs w:val="20"/>
              </w:rPr>
            </w:pPr>
            <w:r w:rsidRPr="000E5D39">
              <w:rPr>
                <w:color w:val="000000"/>
                <w:sz w:val="20"/>
                <w:szCs w:val="20"/>
              </w:rPr>
              <w:t>Polypectomy</w:t>
            </w:r>
          </w:p>
          <w:p w14:paraId="2A3C50A3" w14:textId="77777777" w:rsidR="00684E0D" w:rsidRPr="000E5D39" w:rsidRDefault="00684E0D" w:rsidP="00FA1377">
            <w:pPr>
              <w:pStyle w:val="ListParagraph"/>
              <w:numPr>
                <w:ilvl w:val="0"/>
                <w:numId w:val="33"/>
              </w:numPr>
              <w:autoSpaceDE w:val="0"/>
              <w:autoSpaceDN w:val="0"/>
              <w:adjustRightInd w:val="0"/>
              <w:spacing w:before="60" w:line="240" w:lineRule="auto"/>
              <w:rPr>
                <w:color w:val="000000"/>
                <w:sz w:val="20"/>
                <w:szCs w:val="20"/>
                <w:u w:val="single"/>
              </w:rPr>
            </w:pPr>
            <w:r w:rsidRPr="000E5D39">
              <w:rPr>
                <w:color w:val="000000"/>
                <w:sz w:val="20"/>
                <w:szCs w:val="20"/>
              </w:rPr>
              <w:t xml:space="preserve">Sclerosing or </w:t>
            </w:r>
            <w:r w:rsidRPr="000E5D39">
              <w:rPr>
                <w:color w:val="000000"/>
                <w:sz w:val="20"/>
                <w:szCs w:val="20"/>
                <w:u w:val="single"/>
              </w:rPr>
              <w:t>adrenalin injections</w:t>
            </w:r>
          </w:p>
          <w:p w14:paraId="66EE3436" w14:textId="77777777" w:rsidR="00684E0D" w:rsidRPr="000E5D39" w:rsidRDefault="00684E0D" w:rsidP="00FA1377">
            <w:pPr>
              <w:pStyle w:val="ListParagraph"/>
              <w:numPr>
                <w:ilvl w:val="0"/>
                <w:numId w:val="33"/>
              </w:numPr>
              <w:autoSpaceDE w:val="0"/>
              <w:autoSpaceDN w:val="0"/>
              <w:adjustRightInd w:val="0"/>
              <w:spacing w:before="60" w:line="240" w:lineRule="auto"/>
              <w:rPr>
                <w:color w:val="000000"/>
                <w:sz w:val="20"/>
                <w:szCs w:val="20"/>
                <w:u w:val="single"/>
              </w:rPr>
            </w:pPr>
            <w:r w:rsidRPr="000E5D39">
              <w:rPr>
                <w:color w:val="000000"/>
                <w:sz w:val="20"/>
                <w:szCs w:val="20"/>
                <w:u w:val="single"/>
              </w:rPr>
              <w:t>Banding</w:t>
            </w:r>
          </w:p>
          <w:p w14:paraId="5B55E1E5" w14:textId="77777777" w:rsidR="00684E0D" w:rsidRPr="000E5D39" w:rsidRDefault="00684E0D" w:rsidP="00FA1377">
            <w:pPr>
              <w:pStyle w:val="ListParagraph"/>
              <w:numPr>
                <w:ilvl w:val="0"/>
                <w:numId w:val="33"/>
              </w:numPr>
              <w:autoSpaceDE w:val="0"/>
              <w:autoSpaceDN w:val="0"/>
              <w:adjustRightInd w:val="0"/>
              <w:spacing w:before="60" w:line="240" w:lineRule="auto"/>
              <w:rPr>
                <w:color w:val="000000"/>
                <w:sz w:val="20"/>
                <w:szCs w:val="20"/>
                <w:u w:val="single"/>
              </w:rPr>
            </w:pPr>
            <w:r w:rsidRPr="000E5D39">
              <w:rPr>
                <w:sz w:val="20"/>
                <w:szCs w:val="20"/>
                <w:u w:val="single"/>
              </w:rPr>
              <w:t xml:space="preserve">Endoscopic clips, </w:t>
            </w:r>
          </w:p>
          <w:p w14:paraId="08C7E5B6" w14:textId="77777777" w:rsidR="00684E0D" w:rsidRPr="000E5D39" w:rsidRDefault="00684E0D" w:rsidP="00FA1377">
            <w:pPr>
              <w:pStyle w:val="ListParagraph"/>
              <w:numPr>
                <w:ilvl w:val="0"/>
                <w:numId w:val="33"/>
              </w:numPr>
              <w:autoSpaceDE w:val="0"/>
              <w:autoSpaceDN w:val="0"/>
              <w:adjustRightInd w:val="0"/>
              <w:spacing w:before="60" w:line="240" w:lineRule="auto"/>
              <w:rPr>
                <w:color w:val="000000"/>
                <w:sz w:val="20"/>
                <w:szCs w:val="20"/>
                <w:u w:val="single"/>
              </w:rPr>
            </w:pPr>
            <w:r w:rsidRPr="000E5D39">
              <w:rPr>
                <w:sz w:val="20"/>
                <w:szCs w:val="20"/>
                <w:u w:val="single"/>
              </w:rPr>
              <w:t>Haemostatic powders</w:t>
            </w:r>
          </w:p>
          <w:p w14:paraId="77C43096" w14:textId="77777777" w:rsidR="00684E0D" w:rsidRPr="000E5D39" w:rsidRDefault="00684E0D" w:rsidP="00FA1377">
            <w:pPr>
              <w:pStyle w:val="ListParagraph"/>
              <w:numPr>
                <w:ilvl w:val="0"/>
                <w:numId w:val="33"/>
              </w:numPr>
              <w:autoSpaceDE w:val="0"/>
              <w:autoSpaceDN w:val="0"/>
              <w:adjustRightInd w:val="0"/>
              <w:spacing w:before="60" w:line="240" w:lineRule="auto"/>
              <w:rPr>
                <w:color w:val="000000"/>
                <w:sz w:val="20"/>
                <w:szCs w:val="20"/>
              </w:rPr>
            </w:pPr>
            <w:r w:rsidRPr="000E5D39">
              <w:rPr>
                <w:color w:val="000000"/>
                <w:sz w:val="20"/>
                <w:szCs w:val="20"/>
              </w:rPr>
              <w:t xml:space="preserve">Diathermy </w:t>
            </w:r>
          </w:p>
          <w:p w14:paraId="3C88D08C" w14:textId="77777777" w:rsidR="00684E0D" w:rsidRPr="000E5D39" w:rsidRDefault="00684E0D" w:rsidP="00FA1377">
            <w:pPr>
              <w:pStyle w:val="ListParagraph"/>
              <w:numPr>
                <w:ilvl w:val="0"/>
                <w:numId w:val="33"/>
              </w:numPr>
              <w:autoSpaceDE w:val="0"/>
              <w:autoSpaceDN w:val="0"/>
              <w:adjustRightInd w:val="0"/>
              <w:spacing w:before="60" w:line="240" w:lineRule="auto"/>
              <w:rPr>
                <w:color w:val="000000"/>
                <w:sz w:val="20"/>
                <w:szCs w:val="20"/>
                <w:u w:val="single"/>
              </w:rPr>
            </w:pPr>
            <w:r w:rsidRPr="000E5D39">
              <w:rPr>
                <w:color w:val="000000"/>
                <w:sz w:val="20"/>
                <w:szCs w:val="20"/>
                <w:u w:val="single"/>
              </w:rPr>
              <w:t>Argon plasma coagulation</w:t>
            </w:r>
          </w:p>
          <w:p w14:paraId="67B54D9E" w14:textId="77777777" w:rsidR="00684E0D" w:rsidRPr="000E5D39" w:rsidRDefault="00684E0D" w:rsidP="000E5D39">
            <w:pPr>
              <w:autoSpaceDE w:val="0"/>
              <w:autoSpaceDN w:val="0"/>
              <w:adjustRightInd w:val="0"/>
              <w:spacing w:before="60" w:line="240" w:lineRule="auto"/>
              <w:rPr>
                <w:color w:val="000000"/>
                <w:sz w:val="20"/>
                <w:szCs w:val="20"/>
              </w:rPr>
            </w:pPr>
            <w:r w:rsidRPr="000E5D39">
              <w:rPr>
                <w:color w:val="000000"/>
                <w:sz w:val="20"/>
                <w:szCs w:val="20"/>
              </w:rPr>
              <w:t>For the treatment of:</w:t>
            </w:r>
          </w:p>
          <w:p w14:paraId="316FA088" w14:textId="77777777" w:rsidR="00684E0D" w:rsidRPr="000E5D39" w:rsidRDefault="00684E0D" w:rsidP="00FA1377">
            <w:pPr>
              <w:pStyle w:val="ListParagraph"/>
              <w:numPr>
                <w:ilvl w:val="0"/>
                <w:numId w:val="32"/>
              </w:numPr>
              <w:autoSpaceDE w:val="0"/>
              <w:autoSpaceDN w:val="0"/>
              <w:adjustRightInd w:val="0"/>
              <w:spacing w:before="60" w:line="240" w:lineRule="auto"/>
              <w:rPr>
                <w:color w:val="000000"/>
                <w:sz w:val="20"/>
                <w:szCs w:val="20"/>
              </w:rPr>
            </w:pPr>
            <w:r w:rsidRPr="000E5D39">
              <w:rPr>
                <w:color w:val="000000"/>
                <w:sz w:val="20"/>
                <w:szCs w:val="20"/>
              </w:rPr>
              <w:t>Upper gastrointestinal tract bleeding</w:t>
            </w:r>
          </w:p>
          <w:p w14:paraId="226E5E18" w14:textId="77777777" w:rsidR="00684E0D" w:rsidRPr="000E5D39" w:rsidRDefault="00684E0D" w:rsidP="00FA1377">
            <w:pPr>
              <w:pStyle w:val="ListParagraph"/>
              <w:numPr>
                <w:ilvl w:val="0"/>
                <w:numId w:val="32"/>
              </w:numPr>
              <w:autoSpaceDE w:val="0"/>
              <w:autoSpaceDN w:val="0"/>
              <w:adjustRightInd w:val="0"/>
              <w:spacing w:before="60" w:line="240" w:lineRule="auto"/>
              <w:rPr>
                <w:color w:val="000000"/>
                <w:sz w:val="20"/>
                <w:szCs w:val="20"/>
                <w:u w:val="single"/>
              </w:rPr>
            </w:pPr>
            <w:r w:rsidRPr="000E5D39">
              <w:rPr>
                <w:color w:val="000000"/>
                <w:sz w:val="20"/>
                <w:szCs w:val="20"/>
                <w:u w:val="single"/>
              </w:rPr>
              <w:t>Polyps</w:t>
            </w:r>
          </w:p>
          <w:p w14:paraId="7F1C8CA4" w14:textId="77777777" w:rsidR="00684E0D" w:rsidRPr="000E5D39" w:rsidRDefault="00684E0D" w:rsidP="00FA1377">
            <w:pPr>
              <w:pStyle w:val="ListParagraph"/>
              <w:numPr>
                <w:ilvl w:val="0"/>
                <w:numId w:val="32"/>
              </w:numPr>
              <w:autoSpaceDE w:val="0"/>
              <w:autoSpaceDN w:val="0"/>
              <w:adjustRightInd w:val="0"/>
              <w:spacing w:before="60" w:line="240" w:lineRule="auto"/>
              <w:rPr>
                <w:color w:val="000000"/>
                <w:sz w:val="20"/>
                <w:szCs w:val="20"/>
              </w:rPr>
            </w:pPr>
            <w:r w:rsidRPr="000E5D39">
              <w:rPr>
                <w:color w:val="000000"/>
                <w:sz w:val="20"/>
                <w:szCs w:val="20"/>
              </w:rPr>
              <w:t xml:space="preserve">Foreign body (removal), </w:t>
            </w:r>
          </w:p>
          <w:p w14:paraId="054C6C30" w14:textId="77777777" w:rsidR="00684E0D" w:rsidRPr="000E5D39" w:rsidRDefault="00684E0D" w:rsidP="00FA1377">
            <w:pPr>
              <w:pStyle w:val="ListParagraph"/>
              <w:numPr>
                <w:ilvl w:val="0"/>
                <w:numId w:val="32"/>
              </w:numPr>
              <w:autoSpaceDE w:val="0"/>
              <w:autoSpaceDN w:val="0"/>
              <w:adjustRightInd w:val="0"/>
              <w:spacing w:before="60" w:line="240" w:lineRule="auto"/>
              <w:rPr>
                <w:color w:val="000000"/>
                <w:sz w:val="20"/>
                <w:szCs w:val="20"/>
                <w:u w:val="single"/>
              </w:rPr>
            </w:pPr>
            <w:r w:rsidRPr="000E5D39">
              <w:rPr>
                <w:color w:val="000000"/>
                <w:sz w:val="20"/>
                <w:szCs w:val="20"/>
                <w:u w:val="single"/>
              </w:rPr>
              <w:t>Oesophageal or gastric varices</w:t>
            </w:r>
          </w:p>
          <w:p w14:paraId="5FDF239C" w14:textId="77777777" w:rsidR="00684E0D" w:rsidRPr="000E5D39" w:rsidRDefault="00684E0D" w:rsidP="00FA1377">
            <w:pPr>
              <w:pStyle w:val="ListParagraph"/>
              <w:numPr>
                <w:ilvl w:val="0"/>
                <w:numId w:val="32"/>
              </w:numPr>
              <w:autoSpaceDE w:val="0"/>
              <w:autoSpaceDN w:val="0"/>
              <w:adjustRightInd w:val="0"/>
              <w:spacing w:before="60" w:line="240" w:lineRule="auto"/>
              <w:rPr>
                <w:color w:val="000000"/>
                <w:sz w:val="20"/>
                <w:szCs w:val="20"/>
                <w:u w:val="single"/>
              </w:rPr>
            </w:pPr>
            <w:r w:rsidRPr="000E5D39">
              <w:rPr>
                <w:color w:val="000000"/>
                <w:sz w:val="20"/>
                <w:szCs w:val="20"/>
                <w:u w:val="single"/>
              </w:rPr>
              <w:t>Peptic ulcers</w:t>
            </w:r>
          </w:p>
          <w:p w14:paraId="0E65FE07" w14:textId="77777777" w:rsidR="00684E0D" w:rsidRPr="000E5D39" w:rsidRDefault="00684E0D" w:rsidP="00FA1377">
            <w:pPr>
              <w:pStyle w:val="ListParagraph"/>
              <w:numPr>
                <w:ilvl w:val="0"/>
                <w:numId w:val="32"/>
              </w:numPr>
              <w:autoSpaceDE w:val="0"/>
              <w:autoSpaceDN w:val="0"/>
              <w:adjustRightInd w:val="0"/>
              <w:spacing w:before="60" w:line="240" w:lineRule="auto"/>
              <w:rPr>
                <w:color w:val="000000"/>
                <w:sz w:val="20"/>
                <w:szCs w:val="20"/>
                <w:u w:val="single"/>
              </w:rPr>
            </w:pPr>
            <w:r w:rsidRPr="000E5D39">
              <w:rPr>
                <w:color w:val="000000"/>
                <w:sz w:val="20"/>
                <w:szCs w:val="20"/>
                <w:u w:val="single"/>
              </w:rPr>
              <w:t>Neoplasia</w:t>
            </w:r>
          </w:p>
          <w:p w14:paraId="79CF0AA9" w14:textId="77777777" w:rsidR="00684E0D" w:rsidRPr="000E5D39" w:rsidRDefault="00684E0D" w:rsidP="00FA1377">
            <w:pPr>
              <w:pStyle w:val="ListParagraph"/>
              <w:numPr>
                <w:ilvl w:val="0"/>
                <w:numId w:val="32"/>
              </w:numPr>
              <w:autoSpaceDE w:val="0"/>
              <w:autoSpaceDN w:val="0"/>
              <w:adjustRightInd w:val="0"/>
              <w:spacing w:before="60" w:line="240" w:lineRule="auto"/>
              <w:rPr>
                <w:color w:val="000000"/>
                <w:sz w:val="20"/>
                <w:szCs w:val="20"/>
                <w:u w:val="single"/>
              </w:rPr>
            </w:pPr>
            <w:r w:rsidRPr="000E5D39">
              <w:rPr>
                <w:color w:val="000000"/>
                <w:sz w:val="20"/>
                <w:szCs w:val="20"/>
                <w:u w:val="single"/>
              </w:rPr>
              <w:t>Benign vascular lesions</w:t>
            </w:r>
          </w:p>
          <w:p w14:paraId="16D8F779" w14:textId="77777777" w:rsidR="00684E0D" w:rsidRPr="000E5D39" w:rsidRDefault="00684E0D" w:rsidP="00FA1377">
            <w:pPr>
              <w:pStyle w:val="ListParagraph"/>
              <w:numPr>
                <w:ilvl w:val="0"/>
                <w:numId w:val="32"/>
              </w:numPr>
              <w:autoSpaceDE w:val="0"/>
              <w:autoSpaceDN w:val="0"/>
              <w:adjustRightInd w:val="0"/>
              <w:spacing w:before="60" w:line="240" w:lineRule="auto"/>
              <w:rPr>
                <w:color w:val="000000"/>
                <w:sz w:val="20"/>
                <w:szCs w:val="20"/>
                <w:u w:val="single"/>
              </w:rPr>
            </w:pPr>
            <w:r w:rsidRPr="000E5D39">
              <w:rPr>
                <w:color w:val="000000"/>
                <w:sz w:val="20"/>
                <w:szCs w:val="20"/>
                <w:u w:val="single"/>
              </w:rPr>
              <w:t>Strictures of the gastrointestinal tract</w:t>
            </w:r>
          </w:p>
          <w:p w14:paraId="1C9A9D06" w14:textId="77777777" w:rsidR="00684E0D" w:rsidRPr="000E5D39" w:rsidRDefault="00684E0D" w:rsidP="00FA1377">
            <w:pPr>
              <w:pStyle w:val="ListParagraph"/>
              <w:numPr>
                <w:ilvl w:val="0"/>
                <w:numId w:val="32"/>
              </w:numPr>
              <w:autoSpaceDE w:val="0"/>
              <w:autoSpaceDN w:val="0"/>
              <w:adjustRightInd w:val="0"/>
              <w:spacing w:before="60" w:line="240" w:lineRule="auto"/>
              <w:rPr>
                <w:color w:val="000000"/>
                <w:sz w:val="20"/>
                <w:szCs w:val="20"/>
                <w:u w:val="single"/>
              </w:rPr>
            </w:pPr>
            <w:r w:rsidRPr="000E5D39">
              <w:rPr>
                <w:color w:val="000000"/>
                <w:sz w:val="20"/>
                <w:szCs w:val="20"/>
                <w:u w:val="single"/>
              </w:rPr>
              <w:t>Tumorous overgrowth through or over oesophageal stents</w:t>
            </w:r>
          </w:p>
          <w:p w14:paraId="7286AE44" w14:textId="67BEDAB4" w:rsidR="00684E0D" w:rsidRPr="000E5D39" w:rsidRDefault="00684E0D" w:rsidP="00FA1377">
            <w:pPr>
              <w:pStyle w:val="Tabletext"/>
            </w:pPr>
            <w:r w:rsidRPr="000E5D39">
              <w:t>(Anaes.)</w:t>
            </w:r>
          </w:p>
        </w:tc>
        <w:tc>
          <w:tcPr>
            <w:tcW w:w="1701" w:type="dxa"/>
          </w:tcPr>
          <w:p w14:paraId="33D864A9" w14:textId="77777777" w:rsidR="00684E0D" w:rsidRPr="000E5D39" w:rsidRDefault="00684E0D" w:rsidP="00FA1377">
            <w:pPr>
              <w:pStyle w:val="Tabletext"/>
            </w:pPr>
            <w:r w:rsidRPr="000E5D39">
              <w:t>$245.55</w:t>
            </w:r>
          </w:p>
        </w:tc>
      </w:tr>
      <w:tr w:rsidR="00684E0D" w:rsidRPr="00B011AF" w14:paraId="5D05BC52" w14:textId="77777777" w:rsidTr="0052022C">
        <w:tc>
          <w:tcPr>
            <w:tcW w:w="851" w:type="dxa"/>
            <w:shd w:val="clear" w:color="auto" w:fill="auto"/>
          </w:tcPr>
          <w:p w14:paraId="3191182F" w14:textId="77777777" w:rsidR="00684E0D" w:rsidRPr="000E5D39" w:rsidRDefault="00684E0D" w:rsidP="0052022C">
            <w:pPr>
              <w:spacing w:before="60" w:line="240" w:lineRule="auto"/>
              <w:rPr>
                <w:b/>
                <w:sz w:val="20"/>
                <w:szCs w:val="20"/>
              </w:rPr>
            </w:pPr>
            <w:r w:rsidRPr="000E5D39">
              <w:rPr>
                <w:b/>
                <w:sz w:val="20"/>
                <w:szCs w:val="20"/>
              </w:rPr>
              <w:t>30479</w:t>
            </w:r>
          </w:p>
        </w:tc>
        <w:tc>
          <w:tcPr>
            <w:tcW w:w="6520" w:type="dxa"/>
            <w:shd w:val="clear" w:color="auto" w:fill="auto"/>
          </w:tcPr>
          <w:p w14:paraId="265981F1" w14:textId="77777777" w:rsidR="00684E0D" w:rsidRPr="00FA1377" w:rsidRDefault="00684E0D" w:rsidP="00FA1377">
            <w:pPr>
              <w:pStyle w:val="Tabletext"/>
            </w:pPr>
            <w:r w:rsidRPr="000E5D39">
              <w:t xml:space="preserve">ENDOSCOPY with LASER THERAPY, (not being a service associated with a service to which item </w:t>
            </w:r>
            <w:r w:rsidRPr="000E5D39">
              <w:rPr>
                <w:u w:val="single"/>
              </w:rPr>
              <w:t>30473 or 30478</w:t>
            </w:r>
            <w:r w:rsidRPr="000E5D39">
              <w:t xml:space="preserve"> applies) </w:t>
            </w:r>
            <w:r w:rsidRPr="00FA1377">
              <w:t>for the treatment of 1 or more of:</w:t>
            </w:r>
          </w:p>
          <w:p w14:paraId="52DABD3C" w14:textId="77777777" w:rsidR="00684E0D" w:rsidRPr="000E5D39" w:rsidRDefault="00684E0D" w:rsidP="00FA1377">
            <w:pPr>
              <w:pStyle w:val="ListParagraph"/>
              <w:numPr>
                <w:ilvl w:val="0"/>
                <w:numId w:val="26"/>
              </w:numPr>
              <w:autoSpaceDE w:val="0"/>
              <w:autoSpaceDN w:val="0"/>
              <w:adjustRightInd w:val="0"/>
              <w:spacing w:before="60" w:line="240" w:lineRule="auto"/>
              <w:rPr>
                <w:color w:val="000000"/>
                <w:sz w:val="20"/>
                <w:szCs w:val="20"/>
              </w:rPr>
            </w:pPr>
            <w:r w:rsidRPr="000E5D39">
              <w:rPr>
                <w:color w:val="000000"/>
                <w:sz w:val="20"/>
                <w:szCs w:val="20"/>
              </w:rPr>
              <w:t>Neoplasia</w:t>
            </w:r>
          </w:p>
          <w:p w14:paraId="2C9A99F7" w14:textId="77777777" w:rsidR="00684E0D" w:rsidRPr="000E5D39" w:rsidRDefault="00684E0D" w:rsidP="00FA1377">
            <w:pPr>
              <w:pStyle w:val="ListParagraph"/>
              <w:numPr>
                <w:ilvl w:val="0"/>
                <w:numId w:val="26"/>
              </w:numPr>
              <w:autoSpaceDE w:val="0"/>
              <w:autoSpaceDN w:val="0"/>
              <w:adjustRightInd w:val="0"/>
              <w:spacing w:before="60" w:line="240" w:lineRule="auto"/>
              <w:rPr>
                <w:color w:val="000000"/>
                <w:sz w:val="20"/>
                <w:szCs w:val="20"/>
              </w:rPr>
            </w:pPr>
            <w:r w:rsidRPr="000E5D39">
              <w:rPr>
                <w:color w:val="000000"/>
                <w:sz w:val="20"/>
                <w:szCs w:val="20"/>
              </w:rPr>
              <w:t>Benign vascular lesions</w:t>
            </w:r>
          </w:p>
          <w:p w14:paraId="4211532D" w14:textId="77777777" w:rsidR="00684E0D" w:rsidRPr="000E5D39" w:rsidRDefault="00684E0D" w:rsidP="00FA1377">
            <w:pPr>
              <w:pStyle w:val="ListParagraph"/>
              <w:numPr>
                <w:ilvl w:val="0"/>
                <w:numId w:val="26"/>
              </w:numPr>
              <w:autoSpaceDE w:val="0"/>
              <w:autoSpaceDN w:val="0"/>
              <w:adjustRightInd w:val="0"/>
              <w:spacing w:before="60" w:line="240" w:lineRule="auto"/>
              <w:rPr>
                <w:color w:val="000000"/>
                <w:sz w:val="20"/>
                <w:szCs w:val="20"/>
              </w:rPr>
            </w:pPr>
            <w:r w:rsidRPr="000E5D39">
              <w:rPr>
                <w:color w:val="000000"/>
                <w:sz w:val="20"/>
                <w:szCs w:val="20"/>
              </w:rPr>
              <w:t>Strictures of the gastrointestinal tract</w:t>
            </w:r>
          </w:p>
          <w:p w14:paraId="2DB0B2E6" w14:textId="77777777" w:rsidR="00684E0D" w:rsidRPr="000E5D39" w:rsidRDefault="00684E0D" w:rsidP="00FA1377">
            <w:pPr>
              <w:pStyle w:val="ListParagraph"/>
              <w:numPr>
                <w:ilvl w:val="0"/>
                <w:numId w:val="26"/>
              </w:numPr>
              <w:autoSpaceDE w:val="0"/>
              <w:autoSpaceDN w:val="0"/>
              <w:adjustRightInd w:val="0"/>
              <w:spacing w:before="60" w:line="240" w:lineRule="auto"/>
              <w:rPr>
                <w:color w:val="000000"/>
                <w:sz w:val="20"/>
                <w:szCs w:val="20"/>
              </w:rPr>
            </w:pPr>
            <w:r w:rsidRPr="000E5D39">
              <w:rPr>
                <w:color w:val="000000"/>
                <w:sz w:val="20"/>
                <w:szCs w:val="20"/>
              </w:rPr>
              <w:t>Tumorous overgrowth through or over oesophageal stents</w:t>
            </w:r>
          </w:p>
          <w:p w14:paraId="6ECBFB51" w14:textId="77777777" w:rsidR="00684E0D" w:rsidRPr="000E5D39" w:rsidRDefault="00684E0D" w:rsidP="00FA1377">
            <w:pPr>
              <w:pStyle w:val="ListParagraph"/>
              <w:numPr>
                <w:ilvl w:val="0"/>
                <w:numId w:val="26"/>
              </w:numPr>
              <w:autoSpaceDE w:val="0"/>
              <w:autoSpaceDN w:val="0"/>
              <w:adjustRightInd w:val="0"/>
              <w:spacing w:before="60" w:line="240" w:lineRule="auto"/>
              <w:rPr>
                <w:color w:val="000000"/>
                <w:sz w:val="20"/>
                <w:szCs w:val="20"/>
              </w:rPr>
            </w:pPr>
            <w:r w:rsidRPr="000E5D39">
              <w:rPr>
                <w:color w:val="000000"/>
                <w:sz w:val="20"/>
                <w:szCs w:val="20"/>
              </w:rPr>
              <w:t>Peptic ulcers</w:t>
            </w:r>
          </w:p>
          <w:p w14:paraId="2275437F" w14:textId="77777777" w:rsidR="00684E0D" w:rsidRPr="000E5D39" w:rsidRDefault="00684E0D" w:rsidP="00FA1377">
            <w:pPr>
              <w:pStyle w:val="ListParagraph"/>
              <w:numPr>
                <w:ilvl w:val="0"/>
                <w:numId w:val="26"/>
              </w:numPr>
              <w:autoSpaceDE w:val="0"/>
              <w:autoSpaceDN w:val="0"/>
              <w:adjustRightInd w:val="0"/>
              <w:spacing w:before="60" w:line="240" w:lineRule="auto"/>
              <w:rPr>
                <w:color w:val="000000"/>
                <w:sz w:val="20"/>
                <w:szCs w:val="20"/>
              </w:rPr>
            </w:pPr>
            <w:r w:rsidRPr="000E5D39">
              <w:rPr>
                <w:color w:val="000000"/>
                <w:sz w:val="20"/>
                <w:szCs w:val="20"/>
              </w:rPr>
              <w:t>Angiodysplasia</w:t>
            </w:r>
          </w:p>
          <w:p w14:paraId="07AB165D" w14:textId="77777777" w:rsidR="00684E0D" w:rsidRPr="000E5D39" w:rsidRDefault="00684E0D" w:rsidP="00FA1377">
            <w:pPr>
              <w:pStyle w:val="ListParagraph"/>
              <w:numPr>
                <w:ilvl w:val="0"/>
                <w:numId w:val="26"/>
              </w:numPr>
              <w:autoSpaceDE w:val="0"/>
              <w:autoSpaceDN w:val="0"/>
              <w:adjustRightInd w:val="0"/>
              <w:spacing w:before="60" w:line="240" w:lineRule="auto"/>
              <w:rPr>
                <w:color w:val="000000"/>
                <w:sz w:val="20"/>
                <w:szCs w:val="20"/>
              </w:rPr>
            </w:pPr>
            <w:r w:rsidRPr="000E5D39">
              <w:rPr>
                <w:color w:val="000000"/>
                <w:sz w:val="20"/>
                <w:szCs w:val="20"/>
              </w:rPr>
              <w:t xml:space="preserve">Gastric antral vascular ectasia (GAVE) </w:t>
            </w:r>
          </w:p>
          <w:p w14:paraId="49859C3E" w14:textId="77777777" w:rsidR="00684E0D" w:rsidRPr="000E5D39" w:rsidRDefault="00684E0D" w:rsidP="00FA1377">
            <w:pPr>
              <w:pStyle w:val="ListParagraph"/>
              <w:numPr>
                <w:ilvl w:val="0"/>
                <w:numId w:val="26"/>
              </w:numPr>
              <w:autoSpaceDE w:val="0"/>
              <w:autoSpaceDN w:val="0"/>
              <w:adjustRightInd w:val="0"/>
              <w:spacing w:before="60" w:line="240" w:lineRule="auto"/>
              <w:rPr>
                <w:color w:val="000000"/>
                <w:sz w:val="20"/>
                <w:szCs w:val="20"/>
              </w:rPr>
            </w:pPr>
            <w:r w:rsidRPr="000E5D39">
              <w:rPr>
                <w:color w:val="000000"/>
                <w:sz w:val="20"/>
                <w:szCs w:val="20"/>
              </w:rPr>
              <w:t>Post-polypectomy bleeding</w:t>
            </w:r>
          </w:p>
          <w:p w14:paraId="25C7C1AE" w14:textId="1FD9206E" w:rsidR="00684E0D" w:rsidRPr="000E5D39" w:rsidRDefault="00684E0D" w:rsidP="00FA1377">
            <w:pPr>
              <w:pStyle w:val="Tabletext"/>
            </w:pPr>
            <w:r w:rsidRPr="000E5D39">
              <w:t>(Anaes.)</w:t>
            </w:r>
          </w:p>
        </w:tc>
        <w:tc>
          <w:tcPr>
            <w:tcW w:w="1701" w:type="dxa"/>
          </w:tcPr>
          <w:p w14:paraId="7B5DEACD" w14:textId="77777777" w:rsidR="00684E0D" w:rsidRPr="000E5D39" w:rsidRDefault="00684E0D" w:rsidP="000E5D39">
            <w:pPr>
              <w:autoSpaceDE w:val="0"/>
              <w:autoSpaceDN w:val="0"/>
              <w:adjustRightInd w:val="0"/>
              <w:spacing w:before="60" w:line="240" w:lineRule="auto"/>
              <w:rPr>
                <w:color w:val="000000"/>
                <w:sz w:val="20"/>
                <w:szCs w:val="20"/>
              </w:rPr>
            </w:pPr>
            <w:r w:rsidRPr="000E5D39">
              <w:rPr>
                <w:color w:val="000000"/>
                <w:sz w:val="20"/>
                <w:szCs w:val="20"/>
              </w:rPr>
              <w:t>$476.10</w:t>
            </w:r>
          </w:p>
        </w:tc>
      </w:tr>
    </w:tbl>
    <w:p w14:paraId="56870293" w14:textId="318DE7A9" w:rsidR="00FA1377" w:rsidRDefault="001F4E07" w:rsidP="001F4E07">
      <w:pPr>
        <w:pStyle w:val="TableUnder"/>
      </w:pPr>
      <w:bookmarkStart w:id="157" w:name="_Toc457307502"/>
      <w:r>
        <w:t xml:space="preserve">Proposed additions are </w:t>
      </w:r>
      <w:r w:rsidRPr="00684E0D">
        <w:rPr>
          <w:u w:val="single"/>
        </w:rPr>
        <w:t>underlined</w:t>
      </w:r>
      <w:r>
        <w:t>.</w:t>
      </w:r>
      <w:r w:rsidR="00FA1377">
        <w:br w:type="page"/>
      </w:r>
    </w:p>
    <w:p w14:paraId="3C48D12C" w14:textId="3FDA7920" w:rsidR="00684E0D" w:rsidRPr="00BB0E9A" w:rsidRDefault="00BF49ED" w:rsidP="00813502">
      <w:pPr>
        <w:pStyle w:val="Rec"/>
        <w:numPr>
          <w:ilvl w:val="0"/>
          <w:numId w:val="0"/>
        </w:numPr>
      </w:pPr>
      <w:bookmarkStart w:id="158" w:name="_Toc485731767"/>
      <w:bookmarkEnd w:id="157"/>
      <w:r>
        <w:lastRenderedPageBreak/>
        <w:t>Recommendation 4:</w:t>
      </w:r>
      <w:r>
        <w:tab/>
      </w:r>
      <w:r w:rsidR="00132E87" w:rsidRPr="00BB0E9A">
        <w:t>1. Endoscopic upper gastrointestinal services</w:t>
      </w:r>
      <w:bookmarkEnd w:id="158"/>
    </w:p>
    <w:p w14:paraId="508D5754" w14:textId="6C62F339" w:rsidR="00684E0D" w:rsidRPr="00AA62D8" w:rsidRDefault="00684E0D" w:rsidP="00FA1377">
      <w:pPr>
        <w:pStyle w:val="ListParagraph"/>
        <w:numPr>
          <w:ilvl w:val="0"/>
          <w:numId w:val="39"/>
        </w:numPr>
      </w:pPr>
      <w:r>
        <w:t xml:space="preserve">The Committee recommends simplifying </w:t>
      </w:r>
      <w:r w:rsidR="00723475">
        <w:t>and re</w:t>
      </w:r>
      <w:r>
        <w:t>structur</w:t>
      </w:r>
      <w:r w:rsidR="00723475">
        <w:t>ing</w:t>
      </w:r>
      <w:r>
        <w:t xml:space="preserve"> items</w:t>
      </w:r>
      <w:r w:rsidRPr="00AF6DF2">
        <w:t xml:space="preserve"> </w:t>
      </w:r>
      <w:r>
        <w:t>30473, 30476, 30478, 30479, by combining items 30476 and 30478 and moving Argon Plasma Coagulation (APC) from the laser item 30479 into the more general</w:t>
      </w:r>
      <w:r w:rsidR="00723475">
        <w:t xml:space="preserve"> (without laser)</w:t>
      </w:r>
      <w:r>
        <w:t xml:space="preserve"> item 30478.</w:t>
      </w:r>
      <w:r w:rsidR="00C22AE4">
        <w:t xml:space="preserve"> </w:t>
      </w:r>
      <w:r>
        <w:t>The recommended restructure will not change the fee or the intent of the services and will provide one diagnostic item 30473, a general therapeutic item 30478 (without laser) and a stand-alone higher rebated item 30479 for laser procedures in specified circumstances.</w:t>
      </w:r>
      <w:r w:rsidR="00C22AE4">
        <w:t xml:space="preserve"> </w:t>
      </w:r>
      <w:r>
        <w:t>This change would also involve minor amendments to the item descriptors to maintain requirements that the therapeutic items specify the available techniques and pathologies</w:t>
      </w:r>
      <w:r w:rsidR="00396524">
        <w:t xml:space="preserve"> to be treated</w:t>
      </w:r>
      <w:r>
        <w:t>.</w:t>
      </w:r>
      <w:r w:rsidR="00C22AE4">
        <w:t xml:space="preserve"> </w:t>
      </w:r>
    </w:p>
    <w:p w14:paraId="595C2341" w14:textId="77777777" w:rsidR="00684E0D" w:rsidRPr="0052022C" w:rsidRDefault="00684E0D" w:rsidP="00FA1377">
      <w:pPr>
        <w:pStyle w:val="ListParagraph"/>
        <w:numPr>
          <w:ilvl w:val="0"/>
          <w:numId w:val="39"/>
        </w:numPr>
        <w:rPr>
          <w:color w:val="000000" w:themeColor="text1"/>
        </w:rPr>
      </w:pPr>
      <w:r w:rsidRPr="0052022C">
        <w:rPr>
          <w:color w:val="000000" w:themeColor="text1"/>
        </w:rPr>
        <w:t>The Committee recommends that co-claiming restrictions on these items (same patient, same day, same provider) be retained for items 30473 and 30478 and similar restrictions applied to item 30479.</w:t>
      </w:r>
    </w:p>
    <w:p w14:paraId="3EC16A7A" w14:textId="77777777" w:rsidR="00684E0D" w:rsidRPr="0052022C" w:rsidRDefault="00684E0D" w:rsidP="00FA1377">
      <w:pPr>
        <w:pStyle w:val="ListParagraph"/>
        <w:numPr>
          <w:ilvl w:val="0"/>
          <w:numId w:val="39"/>
        </w:numPr>
        <w:rPr>
          <w:color w:val="000000" w:themeColor="text1"/>
        </w:rPr>
      </w:pPr>
      <w:r w:rsidRPr="0052022C">
        <w:rPr>
          <w:color w:val="000000" w:themeColor="text1"/>
        </w:rPr>
        <w:t xml:space="preserve">The Committee recommends that GESA be provided with the repeat service data for these items and asked to consider developing suitable guidelines on when repeat services are clinically appropriate. </w:t>
      </w:r>
    </w:p>
    <w:p w14:paraId="1D1E9972" w14:textId="6DF0FBE6" w:rsidR="00684E0D" w:rsidRPr="0052022C" w:rsidRDefault="00684E0D" w:rsidP="00FA1377">
      <w:pPr>
        <w:pStyle w:val="ListParagraph"/>
        <w:numPr>
          <w:ilvl w:val="0"/>
          <w:numId w:val="39"/>
        </w:numPr>
        <w:rPr>
          <w:color w:val="000000" w:themeColor="text1"/>
        </w:rPr>
      </w:pPr>
      <w:r w:rsidRPr="0052022C">
        <w:rPr>
          <w:color w:val="000000" w:themeColor="text1"/>
        </w:rPr>
        <w:t>The Committee recommends repeat service data on these items should be reviewed again following proposed colonoscopy changes as this may change existing service patterns</w:t>
      </w:r>
      <w:r w:rsidR="0052022C" w:rsidRPr="0052022C">
        <w:rPr>
          <w:color w:val="000000" w:themeColor="text1"/>
        </w:rPr>
        <w:t>.</w:t>
      </w:r>
      <w:r w:rsidRPr="0052022C">
        <w:rPr>
          <w:color w:val="000000" w:themeColor="text1"/>
        </w:rPr>
        <w:t xml:space="preserve"> </w:t>
      </w:r>
    </w:p>
    <w:p w14:paraId="39F17D10" w14:textId="77777777" w:rsidR="00684E0D" w:rsidRPr="00132E87" w:rsidRDefault="00684E0D" w:rsidP="00132E87">
      <w:pPr>
        <w:pStyle w:val="Heading3"/>
      </w:pPr>
      <w:bookmarkStart w:id="159" w:name="_Toc457307503"/>
      <w:r w:rsidRPr="00132E87">
        <w:t>Recommendation Impact Statement</w:t>
      </w:r>
      <w:bookmarkEnd w:id="159"/>
    </w:p>
    <w:p w14:paraId="00578FB4" w14:textId="187FAA6E" w:rsidR="00684E0D" w:rsidRPr="0032145D" w:rsidRDefault="00684E0D" w:rsidP="0052022C">
      <w:r w:rsidRPr="0032145D">
        <w:t xml:space="preserve">The recommendation to </w:t>
      </w:r>
      <w:r>
        <w:t>consolidate</w:t>
      </w:r>
      <w:r w:rsidRPr="0032145D">
        <w:t xml:space="preserve"> </w:t>
      </w:r>
      <w:r>
        <w:t>these services will simplify the item structure and minimise confusion about which items should be billed by providers.</w:t>
      </w:r>
      <w:r w:rsidR="00C22AE4">
        <w:t xml:space="preserve"> </w:t>
      </w:r>
      <w:r>
        <w:t>The recommended changes will ensure that patients receive services that reflect contemporary clinical practice and techniques.</w:t>
      </w:r>
    </w:p>
    <w:p w14:paraId="3A30AB68" w14:textId="77777777" w:rsidR="00684E0D" w:rsidRPr="00132E87" w:rsidRDefault="00684E0D" w:rsidP="00132E87">
      <w:pPr>
        <w:pStyle w:val="Heading4"/>
      </w:pPr>
      <w:r w:rsidRPr="00132E87">
        <w:t>Push Enteroscopy</w:t>
      </w:r>
    </w:p>
    <w:p w14:paraId="782C8567" w14:textId="533A05B3" w:rsidR="00684E0D" w:rsidRPr="00B44C00" w:rsidRDefault="00684E0D" w:rsidP="0052022C">
      <w:r w:rsidRPr="00B44C00">
        <w:t xml:space="preserve">The Committee noted that Push Enteroscopy (PE) is currently being provided under MBS item 30487 - </w:t>
      </w:r>
      <w:r w:rsidRPr="00B44C00">
        <w:rPr>
          <w:i/>
        </w:rPr>
        <w:t>small bowel intubations with biopsy</w:t>
      </w:r>
      <w:r w:rsidRPr="00B44C00">
        <w:t>.</w:t>
      </w:r>
      <w:r w:rsidR="00C22AE4">
        <w:t xml:space="preserve"> </w:t>
      </w:r>
      <w:r w:rsidRPr="00B44C00">
        <w:t>A rapid evidence review of this procedure was undertaken by the Department of Health at the request of the Committee to examine the evidence for this procedure</w:t>
      </w:r>
      <w:r>
        <w:t>.</w:t>
      </w:r>
      <w:r w:rsidR="00C22AE4">
        <w:t xml:space="preserve"> </w:t>
      </w:r>
    </w:p>
    <w:p w14:paraId="5F06B9BA" w14:textId="77777777" w:rsidR="00684E0D" w:rsidRPr="00132E87" w:rsidRDefault="00684E0D" w:rsidP="00132E87">
      <w:pPr>
        <w:pStyle w:val="Heading3"/>
      </w:pPr>
      <w:bookmarkStart w:id="160" w:name="_Toc457307504"/>
      <w:r w:rsidRPr="00132E87">
        <w:t>Rationale</w:t>
      </w:r>
      <w:bookmarkEnd w:id="160"/>
    </w:p>
    <w:p w14:paraId="200FF169" w14:textId="639D00D2" w:rsidR="00684E0D" w:rsidRDefault="00684E0D" w:rsidP="0052022C">
      <w:r w:rsidRPr="00B44C00">
        <w:t>Based on the evidence review and their knowledge of Australian practice, the Committee found</w:t>
      </w:r>
      <w:r>
        <w:rPr>
          <w:i/>
        </w:rPr>
        <w:t xml:space="preserve"> </w:t>
      </w:r>
      <w:r w:rsidRPr="00F768D9">
        <w:t>PE</w:t>
      </w:r>
      <w:r>
        <w:rPr>
          <w:i/>
        </w:rPr>
        <w:t xml:space="preserve"> </w:t>
      </w:r>
      <w:r w:rsidRPr="00B44C00">
        <w:t>to be a niche service and well established for diagnosis of obscure GI bleeding, where it complements capsule endoscopy and balloon enteroscopy.</w:t>
      </w:r>
      <w:r w:rsidR="00C22AE4">
        <w:t xml:space="preserve"> </w:t>
      </w:r>
      <w:r w:rsidRPr="00B44C00">
        <w:t>The Committee agreed that the main indication for PE is for small bowel lesions detected usually by capsule endoscopy and are judged to be within a short distance beyond the duodenum within reach of the PE for the therapeutic management of those lesions.</w:t>
      </w:r>
      <w:r w:rsidR="00C22AE4">
        <w:t xml:space="preserve"> </w:t>
      </w:r>
      <w:r w:rsidR="00A02368">
        <w:t>The Committee agreed that item 30487 would become obsolete if PE services were moved to the upper GI endoscopy service 30478.</w:t>
      </w:r>
      <w:r w:rsidR="00C22AE4">
        <w:t xml:space="preserve"> </w:t>
      </w:r>
      <w:r w:rsidRPr="00B44C00">
        <w:t xml:space="preserve">The evidence review is provided </w:t>
      </w:r>
      <w:r w:rsidRPr="00F279DE">
        <w:t>at Appendix D</w:t>
      </w:r>
      <w:r w:rsidR="0052022C">
        <w:t>.</w:t>
      </w:r>
    </w:p>
    <w:p w14:paraId="274339FB" w14:textId="77777777" w:rsidR="0063757A" w:rsidRDefault="0063757A">
      <w:pPr>
        <w:spacing w:before="0" w:after="0" w:line="240" w:lineRule="auto"/>
        <w:rPr>
          <w:rFonts w:cs="Arial"/>
          <w:b/>
          <w:i/>
          <w:color w:val="01653F"/>
          <w:sz w:val="24"/>
          <w:szCs w:val="22"/>
        </w:rPr>
      </w:pPr>
      <w:r>
        <w:br w:type="page"/>
      </w:r>
    </w:p>
    <w:p w14:paraId="0E37068A" w14:textId="5AAFD9CB" w:rsidR="00132E87" w:rsidRPr="00562C6A" w:rsidRDefault="003260BB" w:rsidP="00813502">
      <w:pPr>
        <w:pStyle w:val="Rec"/>
        <w:numPr>
          <w:ilvl w:val="0"/>
          <w:numId w:val="0"/>
        </w:numPr>
      </w:pPr>
      <w:bookmarkStart w:id="161" w:name="_Toc485731768"/>
      <w:r>
        <w:lastRenderedPageBreak/>
        <w:t xml:space="preserve">Recommendation 4: </w:t>
      </w:r>
      <w:r w:rsidR="00A8531E">
        <w:tab/>
      </w:r>
      <w:r w:rsidR="001646CB">
        <w:t>2</w:t>
      </w:r>
      <w:r w:rsidR="00132E87">
        <w:t xml:space="preserve">. </w:t>
      </w:r>
      <w:r w:rsidR="00132E87" w:rsidRPr="008D3569">
        <w:t xml:space="preserve">Endoscopic upper </w:t>
      </w:r>
      <w:r w:rsidR="00132E87" w:rsidRPr="009A3675">
        <w:t>gastrointestinal</w:t>
      </w:r>
      <w:r w:rsidR="00132E87" w:rsidRPr="008D3569">
        <w:t xml:space="preserve"> services</w:t>
      </w:r>
      <w:bookmarkEnd w:id="161"/>
    </w:p>
    <w:p w14:paraId="6DB1CDF0" w14:textId="31B2DE96" w:rsidR="00684E0D" w:rsidRDefault="00684E0D" w:rsidP="00FA1377">
      <w:pPr>
        <w:pStyle w:val="ListParagraph"/>
        <w:numPr>
          <w:ilvl w:val="0"/>
          <w:numId w:val="38"/>
        </w:numPr>
      </w:pPr>
      <w:r w:rsidRPr="00B44C00">
        <w:t>The Committee recommends that PE be included in the upper GI endoscopic interventional item 30478 and that service</w:t>
      </w:r>
      <w:r w:rsidR="003F7212">
        <w:t>s</w:t>
      </w:r>
      <w:r w:rsidRPr="00B44C00">
        <w:t xml:space="preserve"> </w:t>
      </w:r>
      <w:r w:rsidR="003F7212">
        <w:t>provided under</w:t>
      </w:r>
      <w:r w:rsidRPr="00B44C00">
        <w:t xml:space="preserve"> item 30487</w:t>
      </w:r>
      <w:r w:rsidR="003F7212">
        <w:t xml:space="preserve"> – </w:t>
      </w:r>
      <w:r w:rsidR="003F7212" w:rsidRPr="00D05F24">
        <w:rPr>
          <w:i/>
        </w:rPr>
        <w:t>small bowel intubations</w:t>
      </w:r>
      <w:r w:rsidR="003F7212">
        <w:t xml:space="preserve"> will shift</w:t>
      </w:r>
      <w:r w:rsidR="009A369C">
        <w:t>,</w:t>
      </w:r>
      <w:r w:rsidRPr="00B44C00">
        <w:t xml:space="preserve"> </w:t>
      </w:r>
      <w:r w:rsidR="00A02368">
        <w:t>making this item obsolete</w:t>
      </w:r>
      <w:r w:rsidRPr="00B44C00">
        <w:t>.</w:t>
      </w:r>
      <w:r w:rsidR="00C22AE4">
        <w:t xml:space="preserve"> </w:t>
      </w:r>
    </w:p>
    <w:p w14:paraId="1903D82F" w14:textId="77777777" w:rsidR="00684E0D" w:rsidRPr="00132E87" w:rsidRDefault="00684E0D" w:rsidP="00132E87">
      <w:pPr>
        <w:pStyle w:val="Heading3"/>
      </w:pPr>
      <w:bookmarkStart w:id="162" w:name="_Toc457307506"/>
      <w:r w:rsidRPr="00132E87">
        <w:t>Recommendation Impact Statement</w:t>
      </w:r>
      <w:bookmarkEnd w:id="162"/>
      <w:r w:rsidRPr="00132E87">
        <w:t xml:space="preserve"> </w:t>
      </w:r>
    </w:p>
    <w:p w14:paraId="02E1A6AF" w14:textId="422AAC56" w:rsidR="00684E0D" w:rsidRPr="001646CB" w:rsidRDefault="00684E0D" w:rsidP="001646CB">
      <w:r>
        <w:t xml:space="preserve">The recommendation to provide for Push Enteroscopy in the upper GI endoscopy item 30478 will assist practitioners as the service is better defined under this item than under the small bowel intubation item 30487. </w:t>
      </w:r>
    </w:p>
    <w:p w14:paraId="25C427F2" w14:textId="77777777" w:rsidR="00684E0D" w:rsidRPr="008D3569" w:rsidRDefault="00684E0D" w:rsidP="003F555F">
      <w:pPr>
        <w:pStyle w:val="Heading2"/>
      </w:pPr>
      <w:bookmarkStart w:id="163" w:name="_Toc456188383"/>
      <w:bookmarkStart w:id="164" w:name="_Toc457307507"/>
      <w:bookmarkStart w:id="165" w:name="_Ref457499491"/>
      <w:r w:rsidRPr="008D3569">
        <w:t>Endoscopic upper gastrointestinal strictures (items 30475, 41819, 41820 and 41831)</w:t>
      </w:r>
      <w:bookmarkEnd w:id="163"/>
      <w:bookmarkEnd w:id="164"/>
      <w:bookmarkEnd w:id="165"/>
      <w:r w:rsidRPr="008D3569">
        <w:t xml:space="preserve"> </w:t>
      </w:r>
    </w:p>
    <w:p w14:paraId="713D345F" w14:textId="77777777" w:rsidR="00684E0D" w:rsidRPr="00132E87" w:rsidRDefault="00684E0D" w:rsidP="00132E87">
      <w:pPr>
        <w:pStyle w:val="Heading3"/>
      </w:pPr>
      <w:bookmarkStart w:id="166" w:name="_Toc457307508"/>
      <w:r w:rsidRPr="00132E87">
        <w:t>Issues</w:t>
      </w:r>
      <w:bookmarkEnd w:id="166"/>
    </w:p>
    <w:p w14:paraId="540F1FF7" w14:textId="6A16A80D" w:rsidR="00684E0D" w:rsidRDefault="00684E0D" w:rsidP="0052022C">
      <w:r w:rsidRPr="00314209">
        <w:t xml:space="preserve">The Committee reviewed endoscopic upper </w:t>
      </w:r>
      <w:r>
        <w:t xml:space="preserve">gastrointestinal </w:t>
      </w:r>
      <w:r w:rsidRPr="00314209">
        <w:t xml:space="preserve">stricture items referred to it </w:t>
      </w:r>
      <w:r>
        <w:t>by the ENT Clinical Committee and identified overlap between these items and item 30475.</w:t>
      </w:r>
      <w:r w:rsidR="00C22AE4">
        <w:t xml:space="preserve"> </w:t>
      </w:r>
    </w:p>
    <w:p w14:paraId="634A1F85" w14:textId="77777777" w:rsidR="00684E0D" w:rsidRPr="00132E87" w:rsidRDefault="00684E0D" w:rsidP="00132E87">
      <w:pPr>
        <w:pStyle w:val="Heading3"/>
      </w:pPr>
      <w:bookmarkStart w:id="167" w:name="_Toc457307509"/>
      <w:r w:rsidRPr="00132E87">
        <w:t>Rationale</w:t>
      </w:r>
      <w:bookmarkEnd w:id="167"/>
    </w:p>
    <w:p w14:paraId="2DA81486" w14:textId="7372101E" w:rsidR="00684E0D" w:rsidRDefault="00684E0D" w:rsidP="0052022C">
      <w:r>
        <w:t>The Committee found no concerns with the clinical utility of these services but considers that the structure of these items is overly complicated.</w:t>
      </w:r>
      <w:r w:rsidR="00C22AE4">
        <w:t xml:space="preserve"> </w:t>
      </w:r>
      <w:r>
        <w:t>The MBS data was reviewed and disclosed that most services are provided by gastroenterologists and covered under item 41819, with relatively low volumes for the other stricture items.</w:t>
      </w:r>
      <w:r w:rsidR="00C22AE4">
        <w:t xml:space="preserve"> </w:t>
      </w:r>
    </w:p>
    <w:p w14:paraId="24281F0A" w14:textId="0FA9F921" w:rsidR="00684E0D" w:rsidRPr="006C6BE7" w:rsidRDefault="00684E0D" w:rsidP="006C6BE7">
      <w:r>
        <w:t>T</w:t>
      </w:r>
      <w:r w:rsidRPr="00314209">
        <w:t xml:space="preserve">he Committee </w:t>
      </w:r>
      <w:r>
        <w:t>agreed that</w:t>
      </w:r>
      <w:r w:rsidRPr="00314209">
        <w:t xml:space="preserve"> two items (41819 and 41820) could be </w:t>
      </w:r>
      <w:r w:rsidRPr="006C6BE7">
        <w:t>simplified and consolidated with item 30475.</w:t>
      </w:r>
      <w:r w:rsidR="00C22AE4" w:rsidRPr="006C6BE7">
        <w:t xml:space="preserve"> </w:t>
      </w:r>
      <w:r w:rsidRPr="006C6BE7">
        <w:t>The Committee further agreed that the consolidated item should allow any endoscopic technique to be performed for oesophageal through to gastroduodenal procedures and include imaging intensification if done.</w:t>
      </w:r>
      <w:r w:rsidR="00C22AE4" w:rsidRPr="006C6BE7">
        <w:t xml:space="preserve"> </w:t>
      </w:r>
    </w:p>
    <w:p w14:paraId="323B8B9D" w14:textId="225CF5BA" w:rsidR="00684E0D" w:rsidRPr="006C6BE7" w:rsidRDefault="00684E0D" w:rsidP="006C6BE7">
      <w:r w:rsidRPr="006C6BE7">
        <w:t>An explanatory note is recommended to make this intention clear.</w:t>
      </w:r>
      <w:r w:rsidR="00C22AE4" w:rsidRPr="006C6BE7">
        <w:t xml:space="preserve"> </w:t>
      </w:r>
    </w:p>
    <w:p w14:paraId="3167DCBA" w14:textId="69E7EF13" w:rsidR="00684E0D" w:rsidRPr="006C6BE7" w:rsidRDefault="00684E0D" w:rsidP="006C6BE7">
      <w:r w:rsidRPr="006C6BE7">
        <w:t>The proposed fee was considered for the consolidated item and the Committee agreed that it should be the current fee for 41819 which is higher than 30475 but lower than 41820.</w:t>
      </w:r>
      <w:r w:rsidR="00C22AE4" w:rsidRPr="006C6BE7">
        <w:t xml:space="preserve"> </w:t>
      </w:r>
    </w:p>
    <w:p w14:paraId="788BAB7A" w14:textId="77777777" w:rsidR="00684E0D" w:rsidRPr="006C6BE7" w:rsidRDefault="00684E0D" w:rsidP="006C6BE7">
      <w:r w:rsidRPr="006C6BE7">
        <w:t>The Committee also reviewed item 41831 and agreed that the service should be amended to indicate that it is specific to the treatment of achalasia.</w:t>
      </w:r>
    </w:p>
    <w:p w14:paraId="3395EE95" w14:textId="0E920076" w:rsidR="00BB0E9A" w:rsidRDefault="00BF49ED" w:rsidP="00813502">
      <w:pPr>
        <w:pStyle w:val="Rec"/>
        <w:numPr>
          <w:ilvl w:val="0"/>
          <w:numId w:val="0"/>
        </w:numPr>
        <w:ind w:left="2041" w:hanging="2041"/>
      </w:pPr>
      <w:bookmarkStart w:id="168" w:name="_Toc485731769"/>
      <w:r>
        <w:t xml:space="preserve">Recommendation </w:t>
      </w:r>
      <w:r w:rsidR="007161FD">
        <w:t xml:space="preserve">5: </w:t>
      </w:r>
      <w:r w:rsidR="007161FD">
        <w:tab/>
      </w:r>
      <w:r w:rsidR="00684E0D" w:rsidRPr="00980139">
        <w:t>Endoscopic</w:t>
      </w:r>
      <w:r w:rsidR="00684E0D" w:rsidRPr="00BB0E9A">
        <w:t xml:space="preserve"> upper gastrointestinal strictures</w:t>
      </w:r>
      <w:bookmarkEnd w:id="168"/>
      <w:r w:rsidR="00684E0D" w:rsidRPr="00BB0E9A">
        <w:t xml:space="preserve"> </w:t>
      </w:r>
    </w:p>
    <w:p w14:paraId="16D4BEF3" w14:textId="08670667" w:rsidR="00684E0D" w:rsidRDefault="00684E0D" w:rsidP="0052022C">
      <w:r>
        <w:t>The Committee recommends consolidation of items 41819, 41820 and 30475.</w:t>
      </w:r>
      <w:r w:rsidR="00C22AE4">
        <w:t xml:space="preserve"> </w:t>
      </w:r>
      <w:r>
        <w:t xml:space="preserve">The consolidated item </w:t>
      </w:r>
      <w:r w:rsidR="003F7212">
        <w:t>will</w:t>
      </w:r>
      <w:r>
        <w:t xml:space="preserve"> allow any endoscopic technique to be performed for oesophageal through to gastroduodenal procedures and include imaging intensification if done.</w:t>
      </w:r>
      <w:r w:rsidR="00C22AE4">
        <w:t xml:space="preserve"> </w:t>
      </w:r>
      <w:r w:rsidRPr="00314209">
        <w:t xml:space="preserve">An explanatory note is recommended to make this </w:t>
      </w:r>
      <w:r>
        <w:t>intent</w:t>
      </w:r>
      <w:r w:rsidRPr="00314209">
        <w:t>ion clear.</w:t>
      </w:r>
      <w:r w:rsidR="00C22AE4">
        <w:t xml:space="preserve"> </w:t>
      </w:r>
    </w:p>
    <w:p w14:paraId="7AAE2759" w14:textId="41E80855" w:rsidR="00684E0D" w:rsidRDefault="00684E0D" w:rsidP="0052022C">
      <w:r>
        <w:lastRenderedPageBreak/>
        <w:t>It is recommended that the</w:t>
      </w:r>
      <w:r w:rsidRPr="00314209">
        <w:t xml:space="preserve"> fee for this item is the current fee for 41819 which is higher than 30475 but lower than 41820.</w:t>
      </w:r>
      <w:r w:rsidR="00C22AE4">
        <w:t xml:space="preserve"> </w:t>
      </w:r>
    </w:p>
    <w:p w14:paraId="06286E95" w14:textId="7915379C" w:rsidR="00684E0D" w:rsidRPr="00D1111B" w:rsidRDefault="00684E0D" w:rsidP="0052022C">
      <w:pPr>
        <w:rPr>
          <w:lang w:val="en-US" w:eastAsia="en-US"/>
        </w:rPr>
      </w:pPr>
      <w:r w:rsidRPr="00314209">
        <w:t xml:space="preserve">The Committee also </w:t>
      </w:r>
      <w:r>
        <w:t>recommends that</w:t>
      </w:r>
      <w:r w:rsidRPr="00314209">
        <w:t xml:space="preserve"> </w:t>
      </w:r>
      <w:r>
        <w:t>i</w:t>
      </w:r>
      <w:r w:rsidRPr="00314209">
        <w:t xml:space="preserve">tem 41831 be amended to indicate </w:t>
      </w:r>
      <w:r>
        <w:t xml:space="preserve">that this service is specific to the </w:t>
      </w:r>
      <w:r w:rsidRPr="00314209">
        <w:t xml:space="preserve">treatment </w:t>
      </w:r>
      <w:r>
        <w:t>of</w:t>
      </w:r>
      <w:r w:rsidRPr="00314209">
        <w:t xml:space="preserve"> achalasia</w:t>
      </w:r>
      <w:r w:rsidR="0052022C">
        <w:t>.</w:t>
      </w:r>
    </w:p>
    <w:p w14:paraId="5826F74F" w14:textId="77777777" w:rsidR="00684E0D" w:rsidRPr="00132E87" w:rsidRDefault="00684E0D" w:rsidP="00132E87">
      <w:pPr>
        <w:pStyle w:val="Heading3"/>
      </w:pPr>
      <w:bookmarkStart w:id="169" w:name="_Toc457307511"/>
      <w:r w:rsidRPr="00132E87">
        <w:t>Recommendation Impact Statement</w:t>
      </w:r>
      <w:bookmarkEnd w:id="169"/>
    </w:p>
    <w:p w14:paraId="69EA7FD7" w14:textId="43C5B66A" w:rsidR="00684E0D" w:rsidRPr="0032145D" w:rsidRDefault="00684E0D" w:rsidP="0052022C">
      <w:r w:rsidRPr="0032145D">
        <w:t xml:space="preserve">The recommendation to </w:t>
      </w:r>
      <w:r>
        <w:t>consolidate</w:t>
      </w:r>
      <w:r w:rsidRPr="0032145D">
        <w:t xml:space="preserve"> </w:t>
      </w:r>
      <w:r>
        <w:t>these services will simplify the item structure and minimise confusion about which items should be billed by providers.</w:t>
      </w:r>
      <w:r w:rsidR="00C22AE4">
        <w:t xml:space="preserve"> </w:t>
      </w:r>
      <w:r>
        <w:t>The recommended changes will ensure that patients receive services that reflect contemporary clinical practice and techniques.</w:t>
      </w:r>
    </w:p>
    <w:p w14:paraId="64375BC1" w14:textId="2E63A23D" w:rsidR="00684E0D" w:rsidRPr="001F4E07" w:rsidRDefault="00684E0D" w:rsidP="001F4E07">
      <w:pPr>
        <w:pStyle w:val="Caption"/>
      </w:pPr>
      <w:bookmarkStart w:id="170" w:name="_Toc457307434"/>
      <w:bookmarkStart w:id="171" w:name="_Toc458527792"/>
      <w:r w:rsidRPr="001F4E07">
        <w:t xml:space="preserve">Table </w:t>
      </w:r>
      <w:fldSimple w:instr=" SEQ Table \* ARABIC ">
        <w:r w:rsidR="00A1715D">
          <w:rPr>
            <w:noProof/>
          </w:rPr>
          <w:t>16</w:t>
        </w:r>
      </w:fldSimple>
      <w:r w:rsidR="00283332">
        <w:rPr>
          <w:noProof/>
        </w:rPr>
        <w:t>:</w:t>
      </w:r>
      <w:r w:rsidR="001646CB">
        <w:tab/>
      </w:r>
      <w:r w:rsidRPr="001F4E07">
        <w:t>Current endoscopic upper GI stricture items</w:t>
      </w:r>
      <w:bookmarkEnd w:id="170"/>
      <w:bookmarkEnd w:id="171"/>
    </w:p>
    <w:tbl>
      <w:tblPr>
        <w:tblW w:w="9176" w:type="dxa"/>
        <w:tblInd w:w="60" w:type="dxa"/>
        <w:tblBorders>
          <w:top w:val="single" w:sz="4" w:space="0" w:color="B56011"/>
          <w:bottom w:val="single" w:sz="4" w:space="0" w:color="B56011"/>
          <w:insideH w:val="single" w:sz="4" w:space="0" w:color="B56011"/>
        </w:tblBorders>
        <w:tblLayout w:type="fixed"/>
        <w:tblCellMar>
          <w:left w:w="60" w:type="dxa"/>
          <w:right w:w="60" w:type="dxa"/>
        </w:tblCellMar>
        <w:tblLook w:val="0000" w:firstRow="0" w:lastRow="0" w:firstColumn="0" w:lastColumn="0" w:noHBand="0" w:noVBand="0"/>
        <w:tblDescription w:val="Table 16 shows current endoscopic upper gastrointestina stricture item numbers and descriptor, their schedule fee, number of services in 2014-15 and the percentage change in services from 2011-12 to 2014-15l ."/>
      </w:tblPr>
      <w:tblGrid>
        <w:gridCol w:w="851"/>
        <w:gridCol w:w="4901"/>
        <w:gridCol w:w="1141"/>
        <w:gridCol w:w="1141"/>
        <w:gridCol w:w="1142"/>
      </w:tblGrid>
      <w:tr w:rsidR="007E75BB" w:rsidRPr="00B011AF" w14:paraId="35F2A3E3" w14:textId="77777777" w:rsidTr="00921CD9">
        <w:trPr>
          <w:trHeight w:val="274"/>
          <w:tblHeader/>
        </w:trPr>
        <w:tc>
          <w:tcPr>
            <w:tcW w:w="851" w:type="dxa"/>
            <w:shd w:val="clear" w:color="auto" w:fill="auto"/>
            <w:vAlign w:val="center"/>
          </w:tcPr>
          <w:p w14:paraId="3AC7F699" w14:textId="77777777" w:rsidR="00684E0D" w:rsidRPr="000E5D39" w:rsidRDefault="00684E0D" w:rsidP="00921CD9">
            <w:pPr>
              <w:pStyle w:val="Tableheading"/>
            </w:pPr>
            <w:r w:rsidRPr="000E5D39">
              <w:t>Item #</w:t>
            </w:r>
          </w:p>
        </w:tc>
        <w:tc>
          <w:tcPr>
            <w:tcW w:w="4901" w:type="dxa"/>
            <w:shd w:val="clear" w:color="auto" w:fill="auto"/>
            <w:vAlign w:val="center"/>
          </w:tcPr>
          <w:p w14:paraId="244C0C3F" w14:textId="77777777" w:rsidR="00684E0D" w:rsidRPr="000E5D39" w:rsidRDefault="00684E0D" w:rsidP="00921CD9">
            <w:pPr>
              <w:pStyle w:val="Tableheading"/>
            </w:pPr>
            <w:r w:rsidRPr="000E5D39">
              <w:t>Item Descriptor</w:t>
            </w:r>
          </w:p>
        </w:tc>
        <w:tc>
          <w:tcPr>
            <w:tcW w:w="1141" w:type="dxa"/>
            <w:vAlign w:val="center"/>
          </w:tcPr>
          <w:p w14:paraId="147E9D5D" w14:textId="77777777" w:rsidR="00684E0D" w:rsidRPr="000E5D39" w:rsidRDefault="00684E0D" w:rsidP="00921CD9">
            <w:pPr>
              <w:pStyle w:val="Tableheading"/>
            </w:pPr>
            <w:r w:rsidRPr="000E5D39">
              <w:t>Schedule Fee</w:t>
            </w:r>
          </w:p>
        </w:tc>
        <w:tc>
          <w:tcPr>
            <w:tcW w:w="1141" w:type="dxa"/>
            <w:vAlign w:val="center"/>
          </w:tcPr>
          <w:p w14:paraId="5867AF68" w14:textId="22DDCC48" w:rsidR="00684E0D" w:rsidRPr="000E5D39" w:rsidRDefault="00684E0D" w:rsidP="00921CD9">
            <w:pPr>
              <w:pStyle w:val="Tableheading"/>
            </w:pPr>
            <w:r w:rsidRPr="000E5D39">
              <w:t>Services 2014</w:t>
            </w:r>
            <w:r w:rsidR="003C6DB0">
              <w:t>–</w:t>
            </w:r>
            <w:r w:rsidRPr="000E5D39">
              <w:t>15</w:t>
            </w:r>
          </w:p>
        </w:tc>
        <w:tc>
          <w:tcPr>
            <w:tcW w:w="1142" w:type="dxa"/>
          </w:tcPr>
          <w:p w14:paraId="1CC11295" w14:textId="20C9241E" w:rsidR="00684E0D" w:rsidRPr="00921CD9" w:rsidRDefault="00684E0D" w:rsidP="00921CD9">
            <w:pPr>
              <w:pStyle w:val="Tableheading"/>
            </w:pPr>
            <w:r w:rsidRPr="00921CD9">
              <w:t>Service Change 2011</w:t>
            </w:r>
            <w:r w:rsidR="003C6DB0">
              <w:t>–</w:t>
            </w:r>
            <w:r w:rsidRPr="00921CD9">
              <w:t>12 to 2014</w:t>
            </w:r>
            <w:r w:rsidR="003C6DB0">
              <w:t>–</w:t>
            </w:r>
            <w:r w:rsidRPr="00921CD9">
              <w:t>15</w:t>
            </w:r>
          </w:p>
        </w:tc>
      </w:tr>
      <w:tr w:rsidR="007E75BB" w:rsidRPr="00B011AF" w14:paraId="4D35C55B" w14:textId="77777777" w:rsidTr="007E75BB">
        <w:trPr>
          <w:trHeight w:val="274"/>
        </w:trPr>
        <w:tc>
          <w:tcPr>
            <w:tcW w:w="851" w:type="dxa"/>
            <w:shd w:val="clear" w:color="auto" w:fill="auto"/>
          </w:tcPr>
          <w:p w14:paraId="3886196D" w14:textId="77777777" w:rsidR="00684E0D" w:rsidRPr="000E5D39" w:rsidRDefault="00684E0D" w:rsidP="00921CD9">
            <w:pPr>
              <w:pStyle w:val="Tabletext"/>
            </w:pPr>
            <w:r w:rsidRPr="000E5D39">
              <w:t>30475</w:t>
            </w:r>
          </w:p>
        </w:tc>
        <w:tc>
          <w:tcPr>
            <w:tcW w:w="4901" w:type="dxa"/>
            <w:shd w:val="clear" w:color="auto" w:fill="auto"/>
            <w:vAlign w:val="center"/>
          </w:tcPr>
          <w:p w14:paraId="0B8A3BE6" w14:textId="77777777" w:rsidR="00684E0D" w:rsidRPr="000E5D39" w:rsidRDefault="00684E0D" w:rsidP="00980139">
            <w:pPr>
              <w:pStyle w:val="NormalBulleted10pt"/>
            </w:pPr>
            <w:r w:rsidRPr="000E5D39">
              <w:t>ENDOSCOPY with balloon dilatation of gastric or gastroduodenal stricture</w:t>
            </w:r>
          </w:p>
          <w:p w14:paraId="51289D1A" w14:textId="77777777" w:rsidR="00684E0D" w:rsidRPr="000E5D39" w:rsidRDefault="00684E0D" w:rsidP="00980139">
            <w:pPr>
              <w:pStyle w:val="NormalBulleted10pt"/>
            </w:pPr>
            <w:r w:rsidRPr="000E5D39">
              <w:t xml:space="preserve">Multiple Services Rule (Anaes.) </w:t>
            </w:r>
          </w:p>
        </w:tc>
        <w:tc>
          <w:tcPr>
            <w:tcW w:w="1141" w:type="dxa"/>
          </w:tcPr>
          <w:p w14:paraId="1E1FD147" w14:textId="77777777" w:rsidR="00684E0D" w:rsidRPr="000E5D39" w:rsidRDefault="00684E0D" w:rsidP="00921CD9">
            <w:pPr>
              <w:pStyle w:val="Tabletext"/>
            </w:pPr>
            <w:r w:rsidRPr="000E5D39">
              <w:t>$320.25</w:t>
            </w:r>
          </w:p>
        </w:tc>
        <w:tc>
          <w:tcPr>
            <w:tcW w:w="1141" w:type="dxa"/>
          </w:tcPr>
          <w:p w14:paraId="45AC5AAC" w14:textId="77777777" w:rsidR="00684E0D" w:rsidRPr="000E5D39" w:rsidRDefault="00684E0D" w:rsidP="00921CD9">
            <w:pPr>
              <w:pStyle w:val="Tabletext"/>
            </w:pPr>
            <w:r w:rsidRPr="000E5D39">
              <w:t>1,315</w:t>
            </w:r>
          </w:p>
        </w:tc>
        <w:tc>
          <w:tcPr>
            <w:tcW w:w="1142" w:type="dxa"/>
          </w:tcPr>
          <w:p w14:paraId="001F5613" w14:textId="77777777" w:rsidR="00684E0D" w:rsidRPr="000E5D39" w:rsidRDefault="00684E0D" w:rsidP="00921CD9">
            <w:pPr>
              <w:pStyle w:val="Tabletext"/>
            </w:pPr>
            <w:r w:rsidRPr="000E5D39">
              <w:t>1%</w:t>
            </w:r>
          </w:p>
        </w:tc>
      </w:tr>
      <w:tr w:rsidR="007E75BB" w:rsidRPr="00B011AF" w14:paraId="29E5A28E" w14:textId="77777777" w:rsidTr="007E75BB">
        <w:trPr>
          <w:trHeight w:val="981"/>
        </w:trPr>
        <w:tc>
          <w:tcPr>
            <w:tcW w:w="851" w:type="dxa"/>
            <w:shd w:val="clear" w:color="auto" w:fill="auto"/>
          </w:tcPr>
          <w:p w14:paraId="22E12594" w14:textId="77777777" w:rsidR="00684E0D" w:rsidRPr="000E5D39" w:rsidRDefault="00684E0D" w:rsidP="00921CD9">
            <w:pPr>
              <w:pStyle w:val="Tabletext"/>
            </w:pPr>
            <w:r w:rsidRPr="000E5D39">
              <w:t>41819</w:t>
            </w:r>
          </w:p>
        </w:tc>
        <w:tc>
          <w:tcPr>
            <w:tcW w:w="4901" w:type="dxa"/>
            <w:shd w:val="clear" w:color="auto" w:fill="auto"/>
          </w:tcPr>
          <w:p w14:paraId="326B67BF" w14:textId="77777777" w:rsidR="00684E0D" w:rsidRPr="000E5D39" w:rsidRDefault="00684E0D" w:rsidP="00980139">
            <w:pPr>
              <w:pStyle w:val="NormalBulleted10pt"/>
            </w:pPr>
            <w:r w:rsidRPr="000E5D39">
              <w:t>DILATATION OF STRICTURE OF UPPER GASTRO-INTESTINAL TRACT using bougie or balloon over endoscopically inserted guidewire, including endoscopy with flexible or rigid endoscope</w:t>
            </w:r>
          </w:p>
          <w:p w14:paraId="5D77E114" w14:textId="77777777" w:rsidR="00684E0D" w:rsidRPr="000E5D39" w:rsidRDefault="00684E0D" w:rsidP="00980139">
            <w:pPr>
              <w:pStyle w:val="NormalBulleted10pt"/>
            </w:pPr>
            <w:r w:rsidRPr="000E5D39">
              <w:t xml:space="preserve">Multiple Services Rule (Anaes.) </w:t>
            </w:r>
          </w:p>
        </w:tc>
        <w:tc>
          <w:tcPr>
            <w:tcW w:w="1141" w:type="dxa"/>
          </w:tcPr>
          <w:p w14:paraId="5B029C2C" w14:textId="77777777" w:rsidR="00684E0D" w:rsidRPr="000E5D39" w:rsidRDefault="00684E0D" w:rsidP="00921CD9">
            <w:pPr>
              <w:pStyle w:val="Tabletext"/>
            </w:pPr>
            <w:r w:rsidRPr="000E5D39">
              <w:t>$348.95</w:t>
            </w:r>
          </w:p>
        </w:tc>
        <w:tc>
          <w:tcPr>
            <w:tcW w:w="1141" w:type="dxa"/>
          </w:tcPr>
          <w:p w14:paraId="0E2E3102" w14:textId="77777777" w:rsidR="00684E0D" w:rsidRPr="000E5D39" w:rsidRDefault="00684E0D" w:rsidP="00921CD9">
            <w:pPr>
              <w:pStyle w:val="Tabletext"/>
            </w:pPr>
            <w:r w:rsidRPr="000E5D39">
              <w:t>11,649</w:t>
            </w:r>
          </w:p>
        </w:tc>
        <w:tc>
          <w:tcPr>
            <w:tcW w:w="1142" w:type="dxa"/>
          </w:tcPr>
          <w:p w14:paraId="1D1AD838" w14:textId="77777777" w:rsidR="00684E0D" w:rsidRPr="000E5D39" w:rsidRDefault="00684E0D" w:rsidP="00921CD9">
            <w:pPr>
              <w:pStyle w:val="Tabletext"/>
            </w:pPr>
            <w:r w:rsidRPr="000E5D39">
              <w:t>14%</w:t>
            </w:r>
          </w:p>
        </w:tc>
      </w:tr>
      <w:tr w:rsidR="007E75BB" w:rsidRPr="00B011AF" w14:paraId="7975A668" w14:textId="77777777" w:rsidTr="007E75BB">
        <w:trPr>
          <w:trHeight w:val="557"/>
        </w:trPr>
        <w:tc>
          <w:tcPr>
            <w:tcW w:w="851" w:type="dxa"/>
            <w:shd w:val="clear" w:color="auto" w:fill="auto"/>
          </w:tcPr>
          <w:p w14:paraId="6999DCA1" w14:textId="77777777" w:rsidR="00684E0D" w:rsidRPr="000E5D39" w:rsidRDefault="00684E0D" w:rsidP="00921CD9">
            <w:pPr>
              <w:pStyle w:val="Tabletext"/>
            </w:pPr>
            <w:r w:rsidRPr="000E5D39">
              <w:t>41820</w:t>
            </w:r>
          </w:p>
        </w:tc>
        <w:tc>
          <w:tcPr>
            <w:tcW w:w="4901" w:type="dxa"/>
            <w:shd w:val="clear" w:color="auto" w:fill="auto"/>
          </w:tcPr>
          <w:p w14:paraId="4EB1EB6C" w14:textId="77777777" w:rsidR="00684E0D" w:rsidRPr="000E5D39" w:rsidRDefault="00684E0D" w:rsidP="00980139">
            <w:pPr>
              <w:pStyle w:val="NormalBulleted10pt"/>
            </w:pPr>
            <w:r w:rsidRPr="000E5D39">
              <w:t>DILATATION OF STRICTURE OF UPPER GASTRO-INTESTINAL TRACT using bougie or balloon over endoscopically inserted guidewire, including endoscopy with flexible or rigid endoscope, where the use of imaging intensification is clinically indicated</w:t>
            </w:r>
          </w:p>
          <w:p w14:paraId="1AA16D65" w14:textId="77777777" w:rsidR="00684E0D" w:rsidRPr="000E5D39" w:rsidRDefault="00684E0D" w:rsidP="00980139">
            <w:pPr>
              <w:pStyle w:val="NormalBulleted10pt"/>
            </w:pPr>
            <w:r w:rsidRPr="000E5D39">
              <w:t>Multiple Services Rule (Anaes.)</w:t>
            </w:r>
          </w:p>
        </w:tc>
        <w:tc>
          <w:tcPr>
            <w:tcW w:w="1141" w:type="dxa"/>
          </w:tcPr>
          <w:p w14:paraId="3DEE8964" w14:textId="77777777" w:rsidR="00684E0D" w:rsidRPr="000E5D39" w:rsidRDefault="00684E0D" w:rsidP="00921CD9">
            <w:pPr>
              <w:pStyle w:val="Tabletext"/>
            </w:pPr>
            <w:r w:rsidRPr="000E5D39">
              <w:t>$418.75</w:t>
            </w:r>
          </w:p>
        </w:tc>
        <w:tc>
          <w:tcPr>
            <w:tcW w:w="1141" w:type="dxa"/>
          </w:tcPr>
          <w:p w14:paraId="0319A908" w14:textId="77777777" w:rsidR="00684E0D" w:rsidRPr="000E5D39" w:rsidRDefault="00684E0D" w:rsidP="00921CD9">
            <w:pPr>
              <w:pStyle w:val="Tabletext"/>
            </w:pPr>
            <w:r w:rsidRPr="000E5D39">
              <w:t>374</w:t>
            </w:r>
          </w:p>
        </w:tc>
        <w:tc>
          <w:tcPr>
            <w:tcW w:w="1142" w:type="dxa"/>
          </w:tcPr>
          <w:p w14:paraId="0A765A5F" w14:textId="77777777" w:rsidR="00684E0D" w:rsidRPr="000E5D39" w:rsidRDefault="00684E0D" w:rsidP="00921CD9">
            <w:pPr>
              <w:pStyle w:val="Tabletext"/>
            </w:pPr>
            <w:r w:rsidRPr="000E5D39">
              <w:t>30%</w:t>
            </w:r>
          </w:p>
        </w:tc>
      </w:tr>
      <w:tr w:rsidR="007E75BB" w:rsidRPr="00B011AF" w14:paraId="3C1FB282" w14:textId="77777777" w:rsidTr="007E75BB">
        <w:trPr>
          <w:trHeight w:val="509"/>
        </w:trPr>
        <w:tc>
          <w:tcPr>
            <w:tcW w:w="851" w:type="dxa"/>
            <w:shd w:val="clear" w:color="auto" w:fill="auto"/>
          </w:tcPr>
          <w:p w14:paraId="317DE7F2" w14:textId="77777777" w:rsidR="00684E0D" w:rsidRPr="000E5D39" w:rsidRDefault="00684E0D" w:rsidP="00921CD9">
            <w:pPr>
              <w:pStyle w:val="Tabletext"/>
            </w:pPr>
            <w:r w:rsidRPr="000E5D39">
              <w:t>41831</w:t>
            </w:r>
          </w:p>
        </w:tc>
        <w:tc>
          <w:tcPr>
            <w:tcW w:w="4901" w:type="dxa"/>
            <w:shd w:val="clear" w:color="auto" w:fill="auto"/>
          </w:tcPr>
          <w:p w14:paraId="46380981" w14:textId="77777777" w:rsidR="00684E0D" w:rsidRPr="000E5D39" w:rsidRDefault="00684E0D" w:rsidP="00980139">
            <w:pPr>
              <w:pStyle w:val="NormalBulleted10pt"/>
            </w:pPr>
            <w:r w:rsidRPr="000E5D39">
              <w:t>OESOPHAGUS, endoscopic pneumatic dilation of</w:t>
            </w:r>
          </w:p>
          <w:p w14:paraId="6ED1647D" w14:textId="77777777" w:rsidR="00684E0D" w:rsidRPr="000E5D39" w:rsidRDefault="00684E0D" w:rsidP="00980139">
            <w:pPr>
              <w:pStyle w:val="NormalBulleted10pt"/>
            </w:pPr>
            <w:r w:rsidRPr="000E5D39">
              <w:t>Multiple Services Rule (Anaes.)</w:t>
            </w:r>
          </w:p>
        </w:tc>
        <w:tc>
          <w:tcPr>
            <w:tcW w:w="1141" w:type="dxa"/>
          </w:tcPr>
          <w:p w14:paraId="72090C50" w14:textId="77777777" w:rsidR="00684E0D" w:rsidRPr="000E5D39" w:rsidRDefault="00684E0D" w:rsidP="00921CD9">
            <w:pPr>
              <w:pStyle w:val="Tabletext"/>
            </w:pPr>
            <w:r w:rsidRPr="000E5D39">
              <w:t>$357.00</w:t>
            </w:r>
          </w:p>
        </w:tc>
        <w:tc>
          <w:tcPr>
            <w:tcW w:w="1141" w:type="dxa"/>
          </w:tcPr>
          <w:p w14:paraId="602A5178" w14:textId="77777777" w:rsidR="00684E0D" w:rsidRPr="000E5D39" w:rsidRDefault="00684E0D" w:rsidP="00921CD9">
            <w:pPr>
              <w:pStyle w:val="Tabletext"/>
            </w:pPr>
            <w:r w:rsidRPr="000E5D39">
              <w:t>356</w:t>
            </w:r>
          </w:p>
        </w:tc>
        <w:tc>
          <w:tcPr>
            <w:tcW w:w="1142" w:type="dxa"/>
          </w:tcPr>
          <w:p w14:paraId="528464E6" w14:textId="77777777" w:rsidR="00684E0D" w:rsidRPr="000E5D39" w:rsidRDefault="00684E0D" w:rsidP="00921CD9">
            <w:pPr>
              <w:pStyle w:val="Tabletext"/>
            </w:pPr>
            <w:r w:rsidRPr="000E5D39">
              <w:t>-7%</w:t>
            </w:r>
          </w:p>
        </w:tc>
      </w:tr>
    </w:tbl>
    <w:p w14:paraId="270FEEBC" w14:textId="77777777" w:rsidR="00684E0D" w:rsidRPr="00094CD8" w:rsidRDefault="00684E0D" w:rsidP="001F4E07">
      <w:pPr>
        <w:pStyle w:val="TableUnder"/>
      </w:pPr>
      <w:r w:rsidRPr="00094CD8">
        <w:t>Source: Publicly available MBS Data (Department of Human Services website)</w:t>
      </w:r>
    </w:p>
    <w:p w14:paraId="0B6C320F" w14:textId="1D27D290" w:rsidR="00684E0D" w:rsidRPr="001F4E07" w:rsidRDefault="00684E0D" w:rsidP="001F4E07">
      <w:pPr>
        <w:pStyle w:val="Caption"/>
      </w:pPr>
      <w:bookmarkStart w:id="172" w:name="_Toc457307435"/>
      <w:bookmarkStart w:id="173" w:name="_Toc458527793"/>
      <w:r w:rsidRPr="001F4E07">
        <w:t xml:space="preserve">Table </w:t>
      </w:r>
      <w:fldSimple w:instr=" SEQ Table \* ARABIC ">
        <w:r w:rsidR="00A1715D">
          <w:rPr>
            <w:noProof/>
          </w:rPr>
          <w:t>17</w:t>
        </w:r>
      </w:fldSimple>
      <w:r w:rsidR="001646CB">
        <w:t>:</w:t>
      </w:r>
      <w:r w:rsidR="001646CB">
        <w:tab/>
      </w:r>
      <w:r w:rsidRPr="001F4E07">
        <w:t>Proposed endoscopic upper GI stricture items</w:t>
      </w:r>
      <w:bookmarkEnd w:id="172"/>
      <w:bookmarkEnd w:id="173"/>
    </w:p>
    <w:tbl>
      <w:tblPr>
        <w:tblW w:w="9214" w:type="dxa"/>
        <w:tblInd w:w="60" w:type="dxa"/>
        <w:tblBorders>
          <w:top w:val="single" w:sz="4" w:space="0" w:color="B56011"/>
          <w:bottom w:val="single" w:sz="4" w:space="0" w:color="B56011"/>
          <w:insideH w:val="single" w:sz="4" w:space="0" w:color="B56011"/>
        </w:tblBorders>
        <w:tblLayout w:type="fixed"/>
        <w:tblCellMar>
          <w:left w:w="60" w:type="dxa"/>
          <w:right w:w="60" w:type="dxa"/>
        </w:tblCellMar>
        <w:tblLook w:val="0000" w:firstRow="0" w:lastRow="0" w:firstColumn="0" w:lastColumn="0" w:noHBand="0" w:noVBand="0"/>
        <w:tblDescription w:val="Table 17 shows the proposed endoscopic upper gastrointestinal stricture  item numbers, descriptors and schedule fees."/>
      </w:tblPr>
      <w:tblGrid>
        <w:gridCol w:w="851"/>
        <w:gridCol w:w="6946"/>
        <w:gridCol w:w="1417"/>
      </w:tblGrid>
      <w:tr w:rsidR="000E5D39" w:rsidRPr="00B011AF" w14:paraId="3BCA1F3C" w14:textId="77777777" w:rsidTr="00921CD9">
        <w:trPr>
          <w:trHeight w:val="274"/>
          <w:tblHeader/>
        </w:trPr>
        <w:tc>
          <w:tcPr>
            <w:tcW w:w="851" w:type="dxa"/>
            <w:shd w:val="clear" w:color="auto" w:fill="auto"/>
            <w:vAlign w:val="center"/>
          </w:tcPr>
          <w:p w14:paraId="50C932BA" w14:textId="77777777" w:rsidR="00684E0D" w:rsidRPr="000E5D39" w:rsidRDefault="00684E0D" w:rsidP="00921CD9">
            <w:pPr>
              <w:pStyle w:val="Tableheading"/>
            </w:pPr>
            <w:r w:rsidRPr="000E5D39">
              <w:t xml:space="preserve">Item </w:t>
            </w:r>
          </w:p>
        </w:tc>
        <w:tc>
          <w:tcPr>
            <w:tcW w:w="6946" w:type="dxa"/>
            <w:shd w:val="clear" w:color="auto" w:fill="auto"/>
            <w:vAlign w:val="center"/>
          </w:tcPr>
          <w:p w14:paraId="51ABFC23" w14:textId="77777777" w:rsidR="00684E0D" w:rsidRPr="000E5D39" w:rsidRDefault="00684E0D" w:rsidP="00921CD9">
            <w:pPr>
              <w:pStyle w:val="Tableheading"/>
            </w:pPr>
            <w:r w:rsidRPr="000E5D39">
              <w:t>Item Descriptor</w:t>
            </w:r>
          </w:p>
        </w:tc>
        <w:tc>
          <w:tcPr>
            <w:tcW w:w="1417" w:type="dxa"/>
          </w:tcPr>
          <w:p w14:paraId="4DF49A23" w14:textId="77777777" w:rsidR="00684E0D" w:rsidRPr="000E5D39" w:rsidRDefault="00684E0D" w:rsidP="00921CD9">
            <w:pPr>
              <w:pStyle w:val="Tableheading"/>
            </w:pPr>
            <w:r w:rsidRPr="000E5D39">
              <w:t>Schedule Fee</w:t>
            </w:r>
          </w:p>
        </w:tc>
      </w:tr>
      <w:tr w:rsidR="000E5D39" w:rsidRPr="00B011AF" w14:paraId="01469ABF" w14:textId="77777777" w:rsidTr="000E5D39">
        <w:trPr>
          <w:trHeight w:val="274"/>
        </w:trPr>
        <w:tc>
          <w:tcPr>
            <w:tcW w:w="851" w:type="dxa"/>
            <w:shd w:val="clear" w:color="auto" w:fill="auto"/>
          </w:tcPr>
          <w:p w14:paraId="7B1DD630" w14:textId="77549168" w:rsidR="00684E0D" w:rsidRPr="000E5D39" w:rsidRDefault="00684E0D" w:rsidP="00921CD9">
            <w:pPr>
              <w:pStyle w:val="Tabletext"/>
            </w:pPr>
            <w:r w:rsidRPr="000E5D39">
              <w:t>30475</w:t>
            </w:r>
          </w:p>
        </w:tc>
        <w:tc>
          <w:tcPr>
            <w:tcW w:w="6946" w:type="dxa"/>
            <w:shd w:val="clear" w:color="auto" w:fill="auto"/>
            <w:vAlign w:val="center"/>
          </w:tcPr>
          <w:p w14:paraId="42AED856" w14:textId="77777777" w:rsidR="00684E0D" w:rsidRPr="000E5D39" w:rsidRDefault="00684E0D" w:rsidP="00980139">
            <w:pPr>
              <w:pStyle w:val="NormalBulleted10pt"/>
            </w:pPr>
            <w:r w:rsidRPr="000E5D39">
              <w:t>ENDOSCOPIC DILATATION OF STRICTURE OF UPPER GASTRO-INTESTINAL TRACT including the use of imaging intensification where clinically indicated</w:t>
            </w:r>
          </w:p>
          <w:p w14:paraId="48AE4078" w14:textId="77777777" w:rsidR="00684E0D" w:rsidRPr="000E5D39" w:rsidRDefault="00684E0D" w:rsidP="00980139">
            <w:pPr>
              <w:pStyle w:val="NormalBulleted10pt"/>
            </w:pPr>
            <w:r w:rsidRPr="000E5D39">
              <w:t>Multiple Services Rule (Anaes.)</w:t>
            </w:r>
          </w:p>
        </w:tc>
        <w:tc>
          <w:tcPr>
            <w:tcW w:w="1417" w:type="dxa"/>
          </w:tcPr>
          <w:p w14:paraId="5FEC24A4" w14:textId="77777777" w:rsidR="00684E0D" w:rsidRPr="000E5D39" w:rsidRDefault="00684E0D" w:rsidP="00921CD9">
            <w:pPr>
              <w:pStyle w:val="Tabletext"/>
              <w:rPr>
                <w:color w:val="000000"/>
                <w:highlight w:val="yellow"/>
              </w:rPr>
            </w:pPr>
            <w:r w:rsidRPr="000E5D39">
              <w:t>$348.95</w:t>
            </w:r>
          </w:p>
        </w:tc>
      </w:tr>
      <w:tr w:rsidR="000E5D39" w:rsidRPr="00B011AF" w14:paraId="35EB9AEC" w14:textId="77777777" w:rsidTr="000E5D39">
        <w:trPr>
          <w:trHeight w:val="343"/>
        </w:trPr>
        <w:tc>
          <w:tcPr>
            <w:tcW w:w="851" w:type="dxa"/>
            <w:shd w:val="clear" w:color="auto" w:fill="auto"/>
          </w:tcPr>
          <w:p w14:paraId="0CAB4BD6" w14:textId="77777777" w:rsidR="00684E0D" w:rsidRPr="000E5D39" w:rsidRDefault="00684E0D" w:rsidP="00921CD9">
            <w:pPr>
              <w:pStyle w:val="Tabletext"/>
            </w:pPr>
            <w:r w:rsidRPr="000E5D39">
              <w:t>41819</w:t>
            </w:r>
          </w:p>
        </w:tc>
        <w:tc>
          <w:tcPr>
            <w:tcW w:w="6946" w:type="dxa"/>
            <w:shd w:val="clear" w:color="auto" w:fill="auto"/>
          </w:tcPr>
          <w:p w14:paraId="2288F7EF" w14:textId="77777777" w:rsidR="00684E0D" w:rsidRPr="000E5D39" w:rsidRDefault="00684E0D" w:rsidP="00921CD9">
            <w:pPr>
              <w:pStyle w:val="Tabletext"/>
            </w:pPr>
            <w:r w:rsidRPr="000E5D39">
              <w:t>Service consolidated in item 30475</w:t>
            </w:r>
          </w:p>
        </w:tc>
        <w:tc>
          <w:tcPr>
            <w:tcW w:w="1417" w:type="dxa"/>
          </w:tcPr>
          <w:p w14:paraId="7B9C4AB9" w14:textId="7D3D4E5E" w:rsidR="00684E0D" w:rsidRPr="000E5D39" w:rsidRDefault="002A1B1A" w:rsidP="00921CD9">
            <w:pPr>
              <w:pStyle w:val="Tabletext"/>
            </w:pPr>
            <w:r>
              <w:t>$348.95</w:t>
            </w:r>
          </w:p>
        </w:tc>
      </w:tr>
      <w:tr w:rsidR="000E5D39" w:rsidRPr="00B011AF" w14:paraId="04B26ED5" w14:textId="77777777" w:rsidTr="000E5D39">
        <w:trPr>
          <w:trHeight w:val="291"/>
        </w:trPr>
        <w:tc>
          <w:tcPr>
            <w:tcW w:w="851" w:type="dxa"/>
            <w:shd w:val="clear" w:color="auto" w:fill="auto"/>
          </w:tcPr>
          <w:p w14:paraId="2AA32DC5" w14:textId="77777777" w:rsidR="00684E0D" w:rsidRPr="000E5D39" w:rsidRDefault="00684E0D" w:rsidP="00921CD9">
            <w:pPr>
              <w:pStyle w:val="Tabletext"/>
            </w:pPr>
            <w:r w:rsidRPr="000E5D39">
              <w:t>41820</w:t>
            </w:r>
          </w:p>
        </w:tc>
        <w:tc>
          <w:tcPr>
            <w:tcW w:w="6946" w:type="dxa"/>
            <w:shd w:val="clear" w:color="auto" w:fill="auto"/>
          </w:tcPr>
          <w:p w14:paraId="511FB6D5" w14:textId="77777777" w:rsidR="00684E0D" w:rsidRPr="000E5D39" w:rsidRDefault="00684E0D" w:rsidP="00921CD9">
            <w:pPr>
              <w:pStyle w:val="Tabletext"/>
            </w:pPr>
            <w:r w:rsidRPr="000E5D39">
              <w:t>Service consolidated in item 30475</w:t>
            </w:r>
          </w:p>
        </w:tc>
        <w:tc>
          <w:tcPr>
            <w:tcW w:w="1417" w:type="dxa"/>
          </w:tcPr>
          <w:p w14:paraId="48B5E22B" w14:textId="430A4926" w:rsidR="00684E0D" w:rsidRPr="000E5D39" w:rsidRDefault="002A1B1A" w:rsidP="00921CD9">
            <w:pPr>
              <w:pStyle w:val="Tabletext"/>
            </w:pPr>
            <w:r>
              <w:t>$418.75</w:t>
            </w:r>
          </w:p>
        </w:tc>
      </w:tr>
      <w:tr w:rsidR="000E5D39" w:rsidRPr="00B011AF" w14:paraId="7F29368C" w14:textId="77777777" w:rsidTr="000E5D39">
        <w:trPr>
          <w:trHeight w:val="558"/>
        </w:trPr>
        <w:tc>
          <w:tcPr>
            <w:tcW w:w="851" w:type="dxa"/>
            <w:shd w:val="clear" w:color="auto" w:fill="auto"/>
          </w:tcPr>
          <w:p w14:paraId="4C52815F" w14:textId="77777777" w:rsidR="00684E0D" w:rsidRPr="000E5D39" w:rsidRDefault="00684E0D" w:rsidP="00921CD9">
            <w:pPr>
              <w:pStyle w:val="Tabletext"/>
            </w:pPr>
            <w:r w:rsidRPr="000E5D39">
              <w:t>41831</w:t>
            </w:r>
          </w:p>
        </w:tc>
        <w:tc>
          <w:tcPr>
            <w:tcW w:w="6946" w:type="dxa"/>
            <w:shd w:val="clear" w:color="auto" w:fill="auto"/>
          </w:tcPr>
          <w:p w14:paraId="143A08DC" w14:textId="77777777" w:rsidR="00684E0D" w:rsidRPr="000E5D39" w:rsidRDefault="00684E0D" w:rsidP="00921CD9">
            <w:pPr>
              <w:pStyle w:val="Tabletext"/>
            </w:pPr>
            <w:r w:rsidRPr="000E5D39">
              <w:t>OESOPHAGUS, endoscopic pneumatic dilatation for treatment of achalasia</w:t>
            </w:r>
          </w:p>
          <w:p w14:paraId="11729041" w14:textId="77777777" w:rsidR="00684E0D" w:rsidRPr="000E5D39" w:rsidRDefault="00684E0D" w:rsidP="00921CD9">
            <w:pPr>
              <w:pStyle w:val="Tabletext"/>
            </w:pPr>
            <w:r w:rsidRPr="000E5D39">
              <w:t>Multiple Services Rule (Anaes.)</w:t>
            </w:r>
          </w:p>
        </w:tc>
        <w:tc>
          <w:tcPr>
            <w:tcW w:w="1417" w:type="dxa"/>
          </w:tcPr>
          <w:p w14:paraId="7314C728" w14:textId="77777777" w:rsidR="00684E0D" w:rsidRPr="000E5D39" w:rsidRDefault="00684E0D" w:rsidP="00921CD9">
            <w:pPr>
              <w:pStyle w:val="Tabletext"/>
            </w:pPr>
            <w:r w:rsidRPr="000E5D39">
              <w:t>$357.00</w:t>
            </w:r>
          </w:p>
        </w:tc>
      </w:tr>
    </w:tbl>
    <w:p w14:paraId="118C396C" w14:textId="77777777" w:rsidR="00684E0D" w:rsidRPr="008D3569" w:rsidRDefault="00684E0D" w:rsidP="003F555F">
      <w:pPr>
        <w:pStyle w:val="Heading2"/>
      </w:pPr>
      <w:bookmarkStart w:id="174" w:name="_Toc456188384"/>
      <w:bookmarkStart w:id="175" w:name="_Toc457307512"/>
      <w:bookmarkStart w:id="176" w:name="_Ref457362085"/>
      <w:r w:rsidRPr="008D3569">
        <w:lastRenderedPageBreak/>
        <w:t>Flexible fibreoptic sigmoidoscopy or fibreoptic colonoscopy (items 32084 and 32087)</w:t>
      </w:r>
      <w:bookmarkEnd w:id="174"/>
      <w:bookmarkEnd w:id="175"/>
      <w:bookmarkEnd w:id="176"/>
    </w:p>
    <w:p w14:paraId="4B83A233" w14:textId="77777777" w:rsidR="00684E0D" w:rsidRPr="00BB0E9A" w:rsidRDefault="00684E0D" w:rsidP="00BB0E9A">
      <w:pPr>
        <w:pStyle w:val="Heading3"/>
      </w:pPr>
      <w:bookmarkStart w:id="177" w:name="_Toc457307513"/>
      <w:r w:rsidRPr="00BB0E9A">
        <w:t>Issue</w:t>
      </w:r>
      <w:bookmarkEnd w:id="177"/>
    </w:p>
    <w:p w14:paraId="5473F177" w14:textId="07CCFA5D" w:rsidR="00684E0D" w:rsidRDefault="00684E0D" w:rsidP="00684E0D">
      <w:pPr>
        <w:rPr>
          <w:b/>
        </w:rPr>
      </w:pPr>
      <w:r>
        <w:t>The Committee reviewed sigmoidoscopy/colonoscopy services (items 32084 and 32087) and the associated service data.</w:t>
      </w:r>
      <w:r w:rsidR="00C22AE4">
        <w:t xml:space="preserve"> </w:t>
      </w:r>
      <w:r>
        <w:t>The Committee is concerned that the language used to describe some aspects of the service is out-of-date and that the quality requirements could be enhanced.</w:t>
      </w:r>
      <w:r w:rsidR="00C22AE4">
        <w:t xml:space="preserve"> </w:t>
      </w:r>
    </w:p>
    <w:p w14:paraId="7F033E8A" w14:textId="07065215" w:rsidR="00684E0D" w:rsidRPr="00990889" w:rsidRDefault="00684E0D" w:rsidP="00990889">
      <w:pPr>
        <w:pStyle w:val="Caption"/>
      </w:pPr>
      <w:bookmarkStart w:id="178" w:name="_Toc457307436"/>
      <w:bookmarkStart w:id="179" w:name="_Toc458527794"/>
      <w:r w:rsidRPr="00990889">
        <w:t xml:space="preserve">Table </w:t>
      </w:r>
      <w:fldSimple w:instr=" SEQ Table \* ARABIC ">
        <w:r w:rsidR="00A1715D">
          <w:rPr>
            <w:noProof/>
          </w:rPr>
          <w:t>18</w:t>
        </w:r>
      </w:fldSimple>
      <w:r w:rsidR="001646CB" w:rsidRPr="00990889">
        <w:t>:</w:t>
      </w:r>
      <w:r w:rsidR="001646CB" w:rsidRPr="00990889">
        <w:tab/>
      </w:r>
      <w:r w:rsidRPr="00990889">
        <w:t>Co-claiming of items 32090, 32093, 32084 and 32087 (5 year data) 2010-11 to 2014-15</w:t>
      </w:r>
      <w:bookmarkEnd w:id="178"/>
      <w:bookmarkEnd w:id="179"/>
    </w:p>
    <w:tbl>
      <w:tblPr>
        <w:tblW w:w="8967" w:type="dxa"/>
        <w:jc w:val="center"/>
        <w:tblBorders>
          <w:top w:val="single" w:sz="4" w:space="0" w:color="B56011"/>
          <w:bottom w:val="single" w:sz="4" w:space="0" w:color="B56011"/>
          <w:insideH w:val="single" w:sz="4" w:space="0" w:color="B56011"/>
        </w:tblBorders>
        <w:tblCellMar>
          <w:left w:w="0" w:type="dxa"/>
          <w:right w:w="0" w:type="dxa"/>
        </w:tblCellMar>
        <w:tblLook w:val="04A0" w:firstRow="1" w:lastRow="0" w:firstColumn="1" w:lastColumn="0" w:noHBand="0" w:noVBand="1"/>
        <w:tblDescription w:val="Table 18 shows the co-claiming of items for flexible fibreoptic sigmoidoscopy or fibreoptic colonoscopy from 2010-11 to 2014-14 in terms of the numbers of episodes and the number of services."/>
      </w:tblPr>
      <w:tblGrid>
        <w:gridCol w:w="2989"/>
        <w:gridCol w:w="2989"/>
        <w:gridCol w:w="2989"/>
      </w:tblGrid>
      <w:tr w:rsidR="000E5D39" w:rsidRPr="00283332" w14:paraId="2365C476" w14:textId="77777777" w:rsidTr="000E5D39">
        <w:trPr>
          <w:jc w:val="center"/>
        </w:trPr>
        <w:tc>
          <w:tcPr>
            <w:tcW w:w="2989" w:type="dxa"/>
            <w:shd w:val="clear" w:color="auto" w:fill="auto"/>
            <w:tcMar>
              <w:top w:w="60" w:type="dxa"/>
              <w:left w:w="90" w:type="dxa"/>
              <w:bottom w:w="60" w:type="dxa"/>
              <w:right w:w="75" w:type="dxa"/>
            </w:tcMar>
            <w:hideMark/>
          </w:tcPr>
          <w:p w14:paraId="3A832BF2" w14:textId="77777777" w:rsidR="00684E0D" w:rsidRPr="00283332" w:rsidRDefault="00684E0D" w:rsidP="00283332">
            <w:pPr>
              <w:pStyle w:val="Tableheading"/>
            </w:pPr>
            <w:r w:rsidRPr="00283332">
              <w:t>Items</w:t>
            </w:r>
          </w:p>
        </w:tc>
        <w:tc>
          <w:tcPr>
            <w:tcW w:w="2989" w:type="dxa"/>
            <w:shd w:val="clear" w:color="auto" w:fill="auto"/>
            <w:tcMar>
              <w:top w:w="60" w:type="dxa"/>
              <w:left w:w="90" w:type="dxa"/>
              <w:bottom w:w="60" w:type="dxa"/>
              <w:right w:w="75" w:type="dxa"/>
            </w:tcMar>
            <w:hideMark/>
          </w:tcPr>
          <w:p w14:paraId="5539A779" w14:textId="77777777" w:rsidR="00684E0D" w:rsidRPr="00283332" w:rsidRDefault="00684E0D" w:rsidP="00283332">
            <w:pPr>
              <w:pStyle w:val="Tableheading"/>
            </w:pPr>
            <w:r w:rsidRPr="00283332">
              <w:t>Episodes</w:t>
            </w:r>
          </w:p>
        </w:tc>
        <w:tc>
          <w:tcPr>
            <w:tcW w:w="2989" w:type="dxa"/>
            <w:shd w:val="clear" w:color="auto" w:fill="auto"/>
            <w:tcMar>
              <w:top w:w="60" w:type="dxa"/>
              <w:left w:w="90" w:type="dxa"/>
              <w:bottom w:w="60" w:type="dxa"/>
              <w:right w:w="75" w:type="dxa"/>
            </w:tcMar>
            <w:hideMark/>
          </w:tcPr>
          <w:p w14:paraId="1FDAAE84" w14:textId="77777777" w:rsidR="00684E0D" w:rsidRPr="00283332" w:rsidRDefault="00684E0D" w:rsidP="00283332">
            <w:pPr>
              <w:pStyle w:val="Tableheading"/>
            </w:pPr>
            <w:r w:rsidRPr="00283332">
              <w:t>Number of Services</w:t>
            </w:r>
          </w:p>
        </w:tc>
      </w:tr>
      <w:tr w:rsidR="000E5D39" w:rsidRPr="00283332" w14:paraId="39131B3A" w14:textId="77777777" w:rsidTr="000E5D39">
        <w:trPr>
          <w:jc w:val="center"/>
        </w:trPr>
        <w:tc>
          <w:tcPr>
            <w:tcW w:w="2989" w:type="dxa"/>
            <w:shd w:val="clear" w:color="auto" w:fill="auto"/>
            <w:tcMar>
              <w:top w:w="60" w:type="dxa"/>
              <w:left w:w="90" w:type="dxa"/>
              <w:bottom w:w="60" w:type="dxa"/>
              <w:right w:w="75" w:type="dxa"/>
            </w:tcMar>
            <w:hideMark/>
          </w:tcPr>
          <w:p w14:paraId="122EB9CA" w14:textId="7DA03680" w:rsidR="00684E0D" w:rsidRPr="00283332" w:rsidRDefault="00684E0D" w:rsidP="00283332">
            <w:pPr>
              <w:pStyle w:val="Tabletext"/>
            </w:pPr>
            <w:r w:rsidRPr="00283332">
              <w:t>32090</w:t>
            </w:r>
          </w:p>
        </w:tc>
        <w:tc>
          <w:tcPr>
            <w:tcW w:w="2989" w:type="dxa"/>
            <w:shd w:val="clear" w:color="auto" w:fill="auto"/>
            <w:tcMar>
              <w:top w:w="60" w:type="dxa"/>
              <w:left w:w="75" w:type="dxa"/>
              <w:bottom w:w="60" w:type="dxa"/>
              <w:right w:w="75" w:type="dxa"/>
            </w:tcMar>
            <w:hideMark/>
          </w:tcPr>
          <w:p w14:paraId="259A2279" w14:textId="77777777" w:rsidR="00684E0D" w:rsidRPr="00283332" w:rsidRDefault="00684E0D" w:rsidP="00283332">
            <w:pPr>
              <w:pStyle w:val="TableTextDecimalAlign"/>
            </w:pPr>
            <w:r w:rsidRPr="00283332">
              <w:t>1,317,388</w:t>
            </w:r>
          </w:p>
        </w:tc>
        <w:tc>
          <w:tcPr>
            <w:tcW w:w="2989" w:type="dxa"/>
            <w:shd w:val="clear" w:color="auto" w:fill="auto"/>
            <w:tcMar>
              <w:top w:w="60" w:type="dxa"/>
              <w:left w:w="75" w:type="dxa"/>
              <w:bottom w:w="60" w:type="dxa"/>
              <w:right w:w="75" w:type="dxa"/>
            </w:tcMar>
            <w:hideMark/>
          </w:tcPr>
          <w:p w14:paraId="25293641" w14:textId="77777777" w:rsidR="00684E0D" w:rsidRPr="00283332" w:rsidRDefault="00684E0D" w:rsidP="00283332">
            <w:pPr>
              <w:pStyle w:val="TableTextDecimalAlign"/>
            </w:pPr>
            <w:r w:rsidRPr="00283332">
              <w:t>1,317,532</w:t>
            </w:r>
          </w:p>
        </w:tc>
      </w:tr>
      <w:tr w:rsidR="000E5D39" w:rsidRPr="00283332" w14:paraId="2C1E2B41" w14:textId="77777777" w:rsidTr="000E5D39">
        <w:trPr>
          <w:jc w:val="center"/>
        </w:trPr>
        <w:tc>
          <w:tcPr>
            <w:tcW w:w="2989" w:type="dxa"/>
            <w:shd w:val="clear" w:color="auto" w:fill="auto"/>
            <w:tcMar>
              <w:top w:w="60" w:type="dxa"/>
              <w:left w:w="90" w:type="dxa"/>
              <w:bottom w:w="60" w:type="dxa"/>
              <w:right w:w="75" w:type="dxa"/>
            </w:tcMar>
            <w:hideMark/>
          </w:tcPr>
          <w:p w14:paraId="2D086214" w14:textId="77777777" w:rsidR="00684E0D" w:rsidRPr="00283332" w:rsidRDefault="00684E0D" w:rsidP="00283332">
            <w:pPr>
              <w:pStyle w:val="Tabletext"/>
            </w:pPr>
            <w:r w:rsidRPr="00283332">
              <w:t>32093</w:t>
            </w:r>
          </w:p>
        </w:tc>
        <w:tc>
          <w:tcPr>
            <w:tcW w:w="2989" w:type="dxa"/>
            <w:shd w:val="clear" w:color="auto" w:fill="auto"/>
            <w:tcMar>
              <w:top w:w="60" w:type="dxa"/>
              <w:left w:w="75" w:type="dxa"/>
              <w:bottom w:w="60" w:type="dxa"/>
              <w:right w:w="75" w:type="dxa"/>
            </w:tcMar>
            <w:hideMark/>
          </w:tcPr>
          <w:p w14:paraId="35A76339" w14:textId="77777777" w:rsidR="00684E0D" w:rsidRPr="00283332" w:rsidRDefault="00684E0D" w:rsidP="00283332">
            <w:pPr>
              <w:pStyle w:val="TableTextDecimalAlign"/>
            </w:pPr>
            <w:r w:rsidRPr="00283332">
              <w:t>896,188</w:t>
            </w:r>
          </w:p>
        </w:tc>
        <w:tc>
          <w:tcPr>
            <w:tcW w:w="2989" w:type="dxa"/>
            <w:shd w:val="clear" w:color="auto" w:fill="auto"/>
            <w:tcMar>
              <w:top w:w="60" w:type="dxa"/>
              <w:left w:w="75" w:type="dxa"/>
              <w:bottom w:w="60" w:type="dxa"/>
              <w:right w:w="75" w:type="dxa"/>
            </w:tcMar>
            <w:hideMark/>
          </w:tcPr>
          <w:p w14:paraId="71963FE5" w14:textId="77777777" w:rsidR="00684E0D" w:rsidRPr="00283332" w:rsidRDefault="00684E0D" w:rsidP="00283332">
            <w:pPr>
              <w:pStyle w:val="TableTextDecimalAlign"/>
            </w:pPr>
            <w:r w:rsidRPr="00283332">
              <w:t>896,269</w:t>
            </w:r>
          </w:p>
        </w:tc>
      </w:tr>
      <w:tr w:rsidR="000E5D39" w:rsidRPr="00283332" w14:paraId="5DD76557" w14:textId="77777777" w:rsidTr="000E5D39">
        <w:trPr>
          <w:jc w:val="center"/>
        </w:trPr>
        <w:tc>
          <w:tcPr>
            <w:tcW w:w="2989" w:type="dxa"/>
            <w:shd w:val="clear" w:color="auto" w:fill="auto"/>
            <w:tcMar>
              <w:top w:w="60" w:type="dxa"/>
              <w:left w:w="75" w:type="dxa"/>
              <w:bottom w:w="60" w:type="dxa"/>
              <w:right w:w="75" w:type="dxa"/>
            </w:tcMar>
            <w:hideMark/>
          </w:tcPr>
          <w:p w14:paraId="1C6E2838" w14:textId="77777777" w:rsidR="00684E0D" w:rsidRPr="00283332" w:rsidRDefault="00684E0D" w:rsidP="00283332">
            <w:pPr>
              <w:pStyle w:val="Tabletext"/>
            </w:pPr>
            <w:r w:rsidRPr="00283332">
              <w:t>32084</w:t>
            </w:r>
          </w:p>
        </w:tc>
        <w:tc>
          <w:tcPr>
            <w:tcW w:w="2989" w:type="dxa"/>
            <w:shd w:val="clear" w:color="auto" w:fill="auto"/>
            <w:tcMar>
              <w:top w:w="60" w:type="dxa"/>
              <w:left w:w="75" w:type="dxa"/>
              <w:bottom w:w="60" w:type="dxa"/>
              <w:right w:w="75" w:type="dxa"/>
            </w:tcMar>
            <w:hideMark/>
          </w:tcPr>
          <w:p w14:paraId="4909AA62" w14:textId="77777777" w:rsidR="00684E0D" w:rsidRPr="00283332" w:rsidRDefault="00684E0D" w:rsidP="00283332">
            <w:pPr>
              <w:pStyle w:val="TableTextDecimalAlign"/>
            </w:pPr>
            <w:r w:rsidRPr="00283332">
              <w:t>91,596</w:t>
            </w:r>
          </w:p>
        </w:tc>
        <w:tc>
          <w:tcPr>
            <w:tcW w:w="2989" w:type="dxa"/>
            <w:shd w:val="clear" w:color="auto" w:fill="auto"/>
            <w:tcMar>
              <w:top w:w="60" w:type="dxa"/>
              <w:left w:w="75" w:type="dxa"/>
              <w:bottom w:w="60" w:type="dxa"/>
              <w:right w:w="75" w:type="dxa"/>
            </w:tcMar>
            <w:hideMark/>
          </w:tcPr>
          <w:p w14:paraId="12DA5ABB" w14:textId="77777777" w:rsidR="00684E0D" w:rsidRPr="00283332" w:rsidRDefault="00684E0D" w:rsidP="00283332">
            <w:pPr>
              <w:pStyle w:val="TableTextDecimalAlign"/>
            </w:pPr>
            <w:r w:rsidRPr="00283332">
              <w:t>91,673</w:t>
            </w:r>
          </w:p>
        </w:tc>
      </w:tr>
      <w:tr w:rsidR="000E5D39" w:rsidRPr="00283332" w14:paraId="4A261988" w14:textId="77777777" w:rsidTr="000E5D39">
        <w:trPr>
          <w:jc w:val="center"/>
        </w:trPr>
        <w:tc>
          <w:tcPr>
            <w:tcW w:w="2989" w:type="dxa"/>
            <w:shd w:val="clear" w:color="auto" w:fill="auto"/>
            <w:tcMar>
              <w:top w:w="60" w:type="dxa"/>
              <w:left w:w="90" w:type="dxa"/>
              <w:bottom w:w="60" w:type="dxa"/>
              <w:right w:w="75" w:type="dxa"/>
            </w:tcMar>
            <w:hideMark/>
          </w:tcPr>
          <w:p w14:paraId="2B57974B" w14:textId="77777777" w:rsidR="00684E0D" w:rsidRPr="00283332" w:rsidRDefault="00684E0D" w:rsidP="00283332">
            <w:pPr>
              <w:pStyle w:val="Tabletext"/>
            </w:pPr>
            <w:r w:rsidRPr="00283332">
              <w:t>32093 and 32090</w:t>
            </w:r>
          </w:p>
        </w:tc>
        <w:tc>
          <w:tcPr>
            <w:tcW w:w="2989" w:type="dxa"/>
            <w:shd w:val="clear" w:color="auto" w:fill="auto"/>
            <w:tcMar>
              <w:top w:w="60" w:type="dxa"/>
              <w:left w:w="75" w:type="dxa"/>
              <w:bottom w:w="60" w:type="dxa"/>
              <w:right w:w="75" w:type="dxa"/>
            </w:tcMar>
            <w:hideMark/>
          </w:tcPr>
          <w:p w14:paraId="5A53E62C" w14:textId="77777777" w:rsidR="00684E0D" w:rsidRPr="00283332" w:rsidRDefault="00684E0D" w:rsidP="00283332">
            <w:pPr>
              <w:pStyle w:val="TableTextDecimalAlign"/>
            </w:pPr>
            <w:r w:rsidRPr="00283332">
              <w:t>202</w:t>
            </w:r>
          </w:p>
        </w:tc>
        <w:tc>
          <w:tcPr>
            <w:tcW w:w="2989" w:type="dxa"/>
            <w:shd w:val="clear" w:color="auto" w:fill="auto"/>
            <w:tcMar>
              <w:top w:w="60" w:type="dxa"/>
              <w:left w:w="75" w:type="dxa"/>
              <w:bottom w:w="60" w:type="dxa"/>
              <w:right w:w="75" w:type="dxa"/>
            </w:tcMar>
            <w:hideMark/>
          </w:tcPr>
          <w:p w14:paraId="5FB1FC3A" w14:textId="77777777" w:rsidR="00684E0D" w:rsidRPr="00283332" w:rsidRDefault="00684E0D" w:rsidP="00283332">
            <w:pPr>
              <w:pStyle w:val="TableTextDecimalAlign"/>
            </w:pPr>
            <w:r w:rsidRPr="00283332">
              <w:t>405</w:t>
            </w:r>
          </w:p>
        </w:tc>
      </w:tr>
      <w:tr w:rsidR="000E5D39" w:rsidRPr="00283332" w14:paraId="0E4233D7" w14:textId="77777777" w:rsidTr="000E5D39">
        <w:trPr>
          <w:jc w:val="center"/>
        </w:trPr>
        <w:tc>
          <w:tcPr>
            <w:tcW w:w="2989" w:type="dxa"/>
            <w:shd w:val="clear" w:color="auto" w:fill="auto"/>
            <w:tcMar>
              <w:top w:w="60" w:type="dxa"/>
              <w:left w:w="90" w:type="dxa"/>
              <w:bottom w:w="60" w:type="dxa"/>
              <w:right w:w="75" w:type="dxa"/>
            </w:tcMar>
            <w:hideMark/>
          </w:tcPr>
          <w:p w14:paraId="32AE55CB" w14:textId="77777777" w:rsidR="00684E0D" w:rsidRPr="00283332" w:rsidRDefault="00684E0D" w:rsidP="00283332">
            <w:pPr>
              <w:pStyle w:val="Tabletext"/>
            </w:pPr>
            <w:r w:rsidRPr="00283332">
              <w:t>32090 and 32084</w:t>
            </w:r>
          </w:p>
        </w:tc>
        <w:tc>
          <w:tcPr>
            <w:tcW w:w="2989" w:type="dxa"/>
            <w:shd w:val="clear" w:color="auto" w:fill="auto"/>
            <w:tcMar>
              <w:top w:w="60" w:type="dxa"/>
              <w:left w:w="75" w:type="dxa"/>
              <w:bottom w:w="60" w:type="dxa"/>
              <w:right w:w="75" w:type="dxa"/>
            </w:tcMar>
            <w:hideMark/>
          </w:tcPr>
          <w:p w14:paraId="651E08FD" w14:textId="77777777" w:rsidR="00684E0D" w:rsidRPr="00283332" w:rsidRDefault="00684E0D" w:rsidP="00283332">
            <w:pPr>
              <w:pStyle w:val="TableTextDecimalAlign"/>
            </w:pPr>
            <w:r w:rsidRPr="00283332">
              <w:t>86</w:t>
            </w:r>
          </w:p>
        </w:tc>
        <w:tc>
          <w:tcPr>
            <w:tcW w:w="2989" w:type="dxa"/>
            <w:shd w:val="clear" w:color="auto" w:fill="auto"/>
            <w:tcMar>
              <w:top w:w="60" w:type="dxa"/>
              <w:left w:w="75" w:type="dxa"/>
              <w:bottom w:w="60" w:type="dxa"/>
              <w:right w:w="75" w:type="dxa"/>
            </w:tcMar>
            <w:hideMark/>
          </w:tcPr>
          <w:p w14:paraId="4C4BAD3F" w14:textId="77777777" w:rsidR="00684E0D" w:rsidRPr="00283332" w:rsidRDefault="00684E0D" w:rsidP="00283332">
            <w:pPr>
              <w:pStyle w:val="TableTextDecimalAlign"/>
            </w:pPr>
            <w:r w:rsidRPr="00283332">
              <w:t>173</w:t>
            </w:r>
          </w:p>
        </w:tc>
      </w:tr>
      <w:tr w:rsidR="000E5D39" w:rsidRPr="00283332" w14:paraId="36082FE2" w14:textId="77777777" w:rsidTr="000E5D39">
        <w:trPr>
          <w:jc w:val="center"/>
        </w:trPr>
        <w:tc>
          <w:tcPr>
            <w:tcW w:w="2989" w:type="dxa"/>
            <w:shd w:val="clear" w:color="auto" w:fill="auto"/>
            <w:tcMar>
              <w:top w:w="60" w:type="dxa"/>
              <w:left w:w="90" w:type="dxa"/>
              <w:bottom w:w="60" w:type="dxa"/>
              <w:right w:w="75" w:type="dxa"/>
            </w:tcMar>
            <w:hideMark/>
          </w:tcPr>
          <w:p w14:paraId="1CCB6C71" w14:textId="77777777" w:rsidR="00684E0D" w:rsidRPr="00283332" w:rsidRDefault="00684E0D" w:rsidP="00283332">
            <w:pPr>
              <w:pStyle w:val="Tabletext"/>
            </w:pPr>
            <w:r w:rsidRPr="00283332">
              <w:t>32093 and 32084</w:t>
            </w:r>
          </w:p>
        </w:tc>
        <w:tc>
          <w:tcPr>
            <w:tcW w:w="2989" w:type="dxa"/>
            <w:shd w:val="clear" w:color="auto" w:fill="auto"/>
            <w:tcMar>
              <w:top w:w="60" w:type="dxa"/>
              <w:left w:w="75" w:type="dxa"/>
              <w:bottom w:w="60" w:type="dxa"/>
              <w:right w:w="75" w:type="dxa"/>
            </w:tcMar>
            <w:hideMark/>
          </w:tcPr>
          <w:p w14:paraId="430BDA68" w14:textId="77777777" w:rsidR="00684E0D" w:rsidRPr="00283332" w:rsidRDefault="00684E0D" w:rsidP="00283332">
            <w:pPr>
              <w:pStyle w:val="TableTextDecimalAlign"/>
            </w:pPr>
            <w:r w:rsidRPr="00283332">
              <w:t>84</w:t>
            </w:r>
          </w:p>
        </w:tc>
        <w:tc>
          <w:tcPr>
            <w:tcW w:w="2989" w:type="dxa"/>
            <w:shd w:val="clear" w:color="auto" w:fill="auto"/>
            <w:tcMar>
              <w:top w:w="60" w:type="dxa"/>
              <w:left w:w="75" w:type="dxa"/>
              <w:bottom w:w="60" w:type="dxa"/>
              <w:right w:w="75" w:type="dxa"/>
            </w:tcMar>
            <w:hideMark/>
          </w:tcPr>
          <w:p w14:paraId="38C699D4" w14:textId="77777777" w:rsidR="00684E0D" w:rsidRPr="00283332" w:rsidRDefault="00684E0D" w:rsidP="00283332">
            <w:pPr>
              <w:pStyle w:val="TableTextDecimalAlign"/>
            </w:pPr>
            <w:r w:rsidRPr="00283332">
              <w:t>170</w:t>
            </w:r>
          </w:p>
        </w:tc>
      </w:tr>
      <w:tr w:rsidR="000E5D39" w:rsidRPr="00283332" w14:paraId="1B772B03" w14:textId="77777777" w:rsidTr="000E5D39">
        <w:trPr>
          <w:jc w:val="center"/>
        </w:trPr>
        <w:tc>
          <w:tcPr>
            <w:tcW w:w="2989" w:type="dxa"/>
            <w:shd w:val="clear" w:color="auto" w:fill="auto"/>
            <w:tcMar>
              <w:top w:w="60" w:type="dxa"/>
              <w:left w:w="90" w:type="dxa"/>
              <w:bottom w:w="60" w:type="dxa"/>
              <w:right w:w="75" w:type="dxa"/>
            </w:tcMar>
            <w:hideMark/>
          </w:tcPr>
          <w:p w14:paraId="7321D115" w14:textId="77777777" w:rsidR="00684E0D" w:rsidRPr="00283332" w:rsidRDefault="00684E0D" w:rsidP="00283332">
            <w:pPr>
              <w:pStyle w:val="Tabletext"/>
            </w:pPr>
            <w:r w:rsidRPr="00283332">
              <w:t>32093 and 32087</w:t>
            </w:r>
          </w:p>
        </w:tc>
        <w:tc>
          <w:tcPr>
            <w:tcW w:w="2989" w:type="dxa"/>
            <w:shd w:val="clear" w:color="auto" w:fill="auto"/>
            <w:tcMar>
              <w:top w:w="60" w:type="dxa"/>
              <w:left w:w="75" w:type="dxa"/>
              <w:bottom w:w="60" w:type="dxa"/>
              <w:right w:w="75" w:type="dxa"/>
            </w:tcMar>
            <w:hideMark/>
          </w:tcPr>
          <w:p w14:paraId="735F069D" w14:textId="77777777" w:rsidR="00684E0D" w:rsidRPr="00283332" w:rsidRDefault="00684E0D" w:rsidP="00283332">
            <w:pPr>
              <w:pStyle w:val="TableTextDecimalAlign"/>
            </w:pPr>
            <w:r w:rsidRPr="00283332">
              <w:t>12</w:t>
            </w:r>
          </w:p>
        </w:tc>
        <w:tc>
          <w:tcPr>
            <w:tcW w:w="2989" w:type="dxa"/>
            <w:shd w:val="clear" w:color="auto" w:fill="auto"/>
            <w:tcMar>
              <w:top w:w="60" w:type="dxa"/>
              <w:left w:w="75" w:type="dxa"/>
              <w:bottom w:w="60" w:type="dxa"/>
              <w:right w:w="75" w:type="dxa"/>
            </w:tcMar>
            <w:hideMark/>
          </w:tcPr>
          <w:p w14:paraId="1F8DBC22" w14:textId="77777777" w:rsidR="00684E0D" w:rsidRPr="00283332" w:rsidRDefault="00684E0D" w:rsidP="00283332">
            <w:pPr>
              <w:pStyle w:val="TableTextDecimalAlign"/>
            </w:pPr>
            <w:r w:rsidRPr="00283332">
              <w:t>24</w:t>
            </w:r>
          </w:p>
        </w:tc>
      </w:tr>
      <w:tr w:rsidR="000E5D39" w:rsidRPr="00283332" w14:paraId="5C7C6D3D" w14:textId="77777777" w:rsidTr="000E5D39">
        <w:trPr>
          <w:jc w:val="center"/>
        </w:trPr>
        <w:tc>
          <w:tcPr>
            <w:tcW w:w="2989" w:type="dxa"/>
            <w:shd w:val="clear" w:color="auto" w:fill="auto"/>
            <w:tcMar>
              <w:top w:w="60" w:type="dxa"/>
              <w:left w:w="90" w:type="dxa"/>
              <w:bottom w:w="60" w:type="dxa"/>
              <w:right w:w="75" w:type="dxa"/>
            </w:tcMar>
            <w:hideMark/>
          </w:tcPr>
          <w:p w14:paraId="45B9D094" w14:textId="77777777" w:rsidR="00684E0D" w:rsidRPr="00283332" w:rsidRDefault="00684E0D" w:rsidP="00283332">
            <w:pPr>
              <w:pStyle w:val="Tabletext"/>
            </w:pPr>
            <w:r w:rsidRPr="00283332">
              <w:t>32090 and 32087</w:t>
            </w:r>
          </w:p>
        </w:tc>
        <w:tc>
          <w:tcPr>
            <w:tcW w:w="2989" w:type="dxa"/>
            <w:shd w:val="clear" w:color="auto" w:fill="auto"/>
            <w:tcMar>
              <w:top w:w="60" w:type="dxa"/>
              <w:left w:w="75" w:type="dxa"/>
              <w:bottom w:w="60" w:type="dxa"/>
              <w:right w:w="75" w:type="dxa"/>
            </w:tcMar>
            <w:hideMark/>
          </w:tcPr>
          <w:p w14:paraId="0483AA57" w14:textId="77777777" w:rsidR="00684E0D" w:rsidRPr="00283332" w:rsidRDefault="00684E0D" w:rsidP="00283332">
            <w:pPr>
              <w:pStyle w:val="TableTextDecimalAlign"/>
            </w:pPr>
            <w:r w:rsidRPr="00283332">
              <w:t>5</w:t>
            </w:r>
          </w:p>
        </w:tc>
        <w:tc>
          <w:tcPr>
            <w:tcW w:w="2989" w:type="dxa"/>
            <w:shd w:val="clear" w:color="auto" w:fill="auto"/>
            <w:tcMar>
              <w:top w:w="60" w:type="dxa"/>
              <w:left w:w="75" w:type="dxa"/>
              <w:bottom w:w="60" w:type="dxa"/>
              <w:right w:w="75" w:type="dxa"/>
            </w:tcMar>
            <w:hideMark/>
          </w:tcPr>
          <w:p w14:paraId="4A2A86A6" w14:textId="77777777" w:rsidR="00684E0D" w:rsidRPr="00283332" w:rsidRDefault="00684E0D" w:rsidP="00283332">
            <w:pPr>
              <w:pStyle w:val="TableTextDecimalAlign"/>
            </w:pPr>
            <w:r w:rsidRPr="00283332">
              <w:t>10</w:t>
            </w:r>
          </w:p>
        </w:tc>
      </w:tr>
      <w:tr w:rsidR="000E5D39" w:rsidRPr="00283332" w14:paraId="01A56D00" w14:textId="77777777" w:rsidTr="000E5D39">
        <w:trPr>
          <w:jc w:val="center"/>
        </w:trPr>
        <w:tc>
          <w:tcPr>
            <w:tcW w:w="2989" w:type="dxa"/>
            <w:shd w:val="clear" w:color="auto" w:fill="auto"/>
            <w:tcMar>
              <w:top w:w="60" w:type="dxa"/>
              <w:left w:w="75" w:type="dxa"/>
              <w:bottom w:w="60" w:type="dxa"/>
              <w:right w:w="75" w:type="dxa"/>
            </w:tcMar>
            <w:hideMark/>
          </w:tcPr>
          <w:p w14:paraId="2C779C52" w14:textId="77777777" w:rsidR="00684E0D" w:rsidRPr="00283332" w:rsidRDefault="00684E0D" w:rsidP="00283332">
            <w:pPr>
              <w:pStyle w:val="Tabletext"/>
            </w:pPr>
            <w:r w:rsidRPr="00283332">
              <w:t>32087 and 32084</w:t>
            </w:r>
          </w:p>
        </w:tc>
        <w:tc>
          <w:tcPr>
            <w:tcW w:w="2989" w:type="dxa"/>
            <w:shd w:val="clear" w:color="auto" w:fill="auto"/>
            <w:tcMar>
              <w:top w:w="60" w:type="dxa"/>
              <w:left w:w="75" w:type="dxa"/>
              <w:bottom w:w="60" w:type="dxa"/>
              <w:right w:w="75" w:type="dxa"/>
            </w:tcMar>
            <w:hideMark/>
          </w:tcPr>
          <w:p w14:paraId="03B4C37E" w14:textId="77777777" w:rsidR="00684E0D" w:rsidRPr="00283332" w:rsidRDefault="00684E0D" w:rsidP="00283332">
            <w:pPr>
              <w:pStyle w:val="TableTextDecimalAlign"/>
            </w:pPr>
            <w:r w:rsidRPr="00283332">
              <w:t>29</w:t>
            </w:r>
          </w:p>
        </w:tc>
        <w:tc>
          <w:tcPr>
            <w:tcW w:w="2989" w:type="dxa"/>
            <w:shd w:val="clear" w:color="auto" w:fill="auto"/>
            <w:tcMar>
              <w:top w:w="60" w:type="dxa"/>
              <w:left w:w="75" w:type="dxa"/>
              <w:bottom w:w="60" w:type="dxa"/>
              <w:right w:w="75" w:type="dxa"/>
            </w:tcMar>
            <w:hideMark/>
          </w:tcPr>
          <w:p w14:paraId="48BC7A1C" w14:textId="77777777" w:rsidR="00684E0D" w:rsidRPr="00283332" w:rsidRDefault="00684E0D" w:rsidP="00283332">
            <w:pPr>
              <w:pStyle w:val="TableTextDecimalAlign"/>
            </w:pPr>
            <w:r w:rsidRPr="00283332">
              <w:t>58</w:t>
            </w:r>
          </w:p>
        </w:tc>
      </w:tr>
    </w:tbl>
    <w:p w14:paraId="425350E6" w14:textId="77777777" w:rsidR="00684E0D" w:rsidRPr="005F7A73" w:rsidRDefault="00684E0D" w:rsidP="00684E0D">
      <w:pPr>
        <w:pStyle w:val="TableUnder"/>
      </w:pPr>
      <w:r w:rsidRPr="005F7A73">
        <w:t>Source: Departm</w:t>
      </w:r>
      <w:r>
        <w:t>ent of Health (unpublished MBS data</w:t>
      </w:r>
      <w:r w:rsidRPr="005F7A73">
        <w:t>)</w:t>
      </w:r>
    </w:p>
    <w:p w14:paraId="11534E5E" w14:textId="77777777" w:rsidR="00684E0D" w:rsidRPr="00BB0E9A" w:rsidRDefault="00684E0D" w:rsidP="00BB0E9A">
      <w:pPr>
        <w:pStyle w:val="Heading3"/>
      </w:pPr>
      <w:bookmarkStart w:id="180" w:name="_Toc457307514"/>
      <w:r w:rsidRPr="00BB0E9A">
        <w:t>Rationale</w:t>
      </w:r>
      <w:bookmarkEnd w:id="180"/>
    </w:p>
    <w:p w14:paraId="43F21DAD" w14:textId="3534B9C9" w:rsidR="00684E0D" w:rsidRDefault="00684E0D" w:rsidP="000E5D39">
      <w:r>
        <w:t>The Committee considers that the item descriptors could better define the examination of the colon to emphasise the importance of a complete colonoscopy.</w:t>
      </w:r>
      <w:r w:rsidR="00C22AE4">
        <w:t xml:space="preserve"> </w:t>
      </w:r>
      <w:r>
        <w:t>The current examination requirements, ‘</w:t>
      </w:r>
      <w:r w:rsidRPr="00AA62D8">
        <w:rPr>
          <w:i/>
        </w:rPr>
        <w:t>up to the hepatic flexure’</w:t>
      </w:r>
      <w:r>
        <w:rPr>
          <w:i/>
        </w:rPr>
        <w:t>,</w:t>
      </w:r>
      <w:r>
        <w:t xml:space="preserve"> is out-of-date and examination which has not reached the caecum ensures that a comprehensive examination of the colon is performed.</w:t>
      </w:r>
      <w:r w:rsidR="00C22AE4">
        <w:t xml:space="preserve"> </w:t>
      </w:r>
      <w:r>
        <w:t>This is a quality measure and complements recommended changes to colonoscopy items 32090 and 32093.</w:t>
      </w:r>
    </w:p>
    <w:p w14:paraId="3A695229" w14:textId="3774ABB5" w:rsidR="00684E0D" w:rsidRDefault="00684E0D" w:rsidP="000E5D39">
      <w:r>
        <w:t>The Committee noted</w:t>
      </w:r>
      <w:r w:rsidRPr="00C3755C">
        <w:t xml:space="preserve"> that this requirement is not possible for </w:t>
      </w:r>
      <w:r>
        <w:t xml:space="preserve">a </w:t>
      </w:r>
      <w:r w:rsidRPr="00C3755C">
        <w:t>small number of patients without a caecum</w:t>
      </w:r>
      <w:r>
        <w:t>.</w:t>
      </w:r>
      <w:r w:rsidR="00C22AE4">
        <w:t xml:space="preserve"> </w:t>
      </w:r>
      <w:r>
        <w:t>P</w:t>
      </w:r>
      <w:r w:rsidRPr="00C3755C">
        <w:t xml:space="preserve">atients </w:t>
      </w:r>
      <w:r>
        <w:t>who have had a</w:t>
      </w:r>
      <w:r w:rsidRPr="00C3755C">
        <w:t xml:space="preserve"> right hemicolectomy should be</w:t>
      </w:r>
      <w:r>
        <w:t xml:space="preserve"> examined</w:t>
      </w:r>
      <w:r w:rsidRPr="00C3755C">
        <w:t xml:space="preserve"> to the anastomosis.</w:t>
      </w:r>
    </w:p>
    <w:p w14:paraId="7581C057" w14:textId="77777777" w:rsidR="00684E0D" w:rsidRDefault="00684E0D" w:rsidP="000E5D39">
      <w:r>
        <w:t xml:space="preserve">The Committee agreed that ‘fibreoptic’ in the item descriptor is no longer relevant as both scopes are digital. </w:t>
      </w:r>
    </w:p>
    <w:p w14:paraId="0DBCB475" w14:textId="28C618E9" w:rsidR="00684E0D" w:rsidRPr="00C3755C" w:rsidRDefault="00684E0D" w:rsidP="000E5D39">
      <w:r>
        <w:t>The</w:t>
      </w:r>
      <w:r w:rsidRPr="00842D30">
        <w:t xml:space="preserve"> </w:t>
      </w:r>
      <w:r>
        <w:t xml:space="preserve">Committee considered the use of </w:t>
      </w:r>
      <w:r w:rsidRPr="00842D30">
        <w:t>Argon Plasma Coagulation</w:t>
      </w:r>
      <w:r w:rsidR="005D62E7">
        <w:t xml:space="preserve"> (APC)</w:t>
      </w:r>
      <w:r w:rsidRPr="00842D30">
        <w:t xml:space="preserve"> </w:t>
      </w:r>
      <w:r>
        <w:t>in the item 32087 and agreed that the use of this therapy is too restrictive and does not allow other therapies to be used.</w:t>
      </w:r>
      <w:r w:rsidR="00C22AE4">
        <w:t xml:space="preserve"> </w:t>
      </w:r>
    </w:p>
    <w:p w14:paraId="1B63A0E2" w14:textId="3BCD09FF" w:rsidR="00684E0D" w:rsidRPr="00D1111B" w:rsidRDefault="00684E0D" w:rsidP="000E5D39">
      <w:pPr>
        <w:rPr>
          <w:lang w:val="en-US" w:eastAsia="en-US"/>
        </w:rPr>
      </w:pPr>
      <w:r>
        <w:lastRenderedPageBreak/>
        <w:t xml:space="preserve">The review of data disclosed a number of same day co-claiming of items 32093 and 32090 </w:t>
      </w:r>
      <w:r w:rsidRPr="00AD1CFF">
        <w:t>and the Committee did not believe that there could be any clinical justification for this during the same episode of care.</w:t>
      </w:r>
      <w:r w:rsidR="00C22AE4">
        <w:t xml:space="preserve"> </w:t>
      </w:r>
    </w:p>
    <w:p w14:paraId="581FB04D" w14:textId="122876A7" w:rsidR="00684E0D" w:rsidRPr="00F22FB2" w:rsidRDefault="007161FD" w:rsidP="00813502">
      <w:pPr>
        <w:pStyle w:val="Rec"/>
        <w:numPr>
          <w:ilvl w:val="0"/>
          <w:numId w:val="0"/>
        </w:numPr>
      </w:pPr>
      <w:bookmarkStart w:id="181" w:name="_Toc485731770"/>
      <w:r>
        <w:t>Recommendation 6:</w:t>
      </w:r>
      <w:r>
        <w:tab/>
      </w:r>
      <w:r w:rsidR="00BB0E9A" w:rsidRPr="008D3569">
        <w:t>Flexible fibreoptic sigmoidoscopy or fibreoptic colonoscopy</w:t>
      </w:r>
      <w:bookmarkEnd w:id="181"/>
    </w:p>
    <w:p w14:paraId="52BB6EA3" w14:textId="1D8A2587" w:rsidR="00684E0D" w:rsidRDefault="00684E0D" w:rsidP="000E5D39">
      <w:r w:rsidRPr="00F739BE">
        <w:t xml:space="preserve">The </w:t>
      </w:r>
      <w:r>
        <w:t>Committee recommends amending the descriptors for items 32084 and 32087 to better define the examination of the colon from ‘</w:t>
      </w:r>
      <w:r w:rsidRPr="00642C3B">
        <w:rPr>
          <w:i/>
        </w:rPr>
        <w:t>up to the hepatic flexure’</w:t>
      </w:r>
      <w:r>
        <w:t xml:space="preserve"> to ‘</w:t>
      </w:r>
      <w:r w:rsidRPr="00642C3B">
        <w:rPr>
          <w:i/>
        </w:rPr>
        <w:t>which has not reached the caecum’</w:t>
      </w:r>
      <w:r>
        <w:t xml:space="preserve"> as a quality measure designed to emphasise the importance of a complete colonoscopy.</w:t>
      </w:r>
      <w:r w:rsidR="00C22AE4">
        <w:t xml:space="preserve"> </w:t>
      </w:r>
    </w:p>
    <w:p w14:paraId="7B9035EF" w14:textId="464D116B" w:rsidR="00684E0D" w:rsidRDefault="00684E0D" w:rsidP="00FA1377">
      <w:pPr>
        <w:pStyle w:val="ListParagraph"/>
        <w:numPr>
          <w:ilvl w:val="0"/>
          <w:numId w:val="37"/>
        </w:numPr>
        <w:spacing w:line="288" w:lineRule="auto"/>
        <w:ind w:left="714" w:hanging="357"/>
      </w:pPr>
      <w:r>
        <w:t>The Committee recommends that the descriptors for items 32084 and 32087 be amended to better define the examination of the colon from ‘</w:t>
      </w:r>
      <w:r w:rsidRPr="00C3755C">
        <w:t>up to the hepatic flexure’</w:t>
      </w:r>
      <w:r>
        <w:t xml:space="preserve"> to ‘</w:t>
      </w:r>
      <w:r w:rsidRPr="00C3755C">
        <w:t>which has not reached the caecum’</w:t>
      </w:r>
      <w:r>
        <w:t>.</w:t>
      </w:r>
      <w:r w:rsidR="00C22AE4">
        <w:t xml:space="preserve"> </w:t>
      </w:r>
      <w:r w:rsidRPr="00C3755C">
        <w:t xml:space="preserve">Noting that this requirement is not possible for </w:t>
      </w:r>
      <w:r>
        <w:t xml:space="preserve">a </w:t>
      </w:r>
      <w:r w:rsidRPr="00C3755C">
        <w:t>small number of patients without a caecum</w:t>
      </w:r>
      <w:r>
        <w:t>.</w:t>
      </w:r>
      <w:r w:rsidR="00C22AE4">
        <w:t xml:space="preserve"> </w:t>
      </w:r>
      <w:r>
        <w:t>Fo</w:t>
      </w:r>
      <w:r w:rsidRPr="00C3755C">
        <w:t xml:space="preserve">r patients post right hemicolectomy this examination </w:t>
      </w:r>
      <w:r w:rsidR="004B2BD3">
        <w:t xml:space="preserve">will not </w:t>
      </w:r>
      <w:r w:rsidR="005D62E7">
        <w:t xml:space="preserve">reach </w:t>
      </w:r>
      <w:r w:rsidRPr="00C3755C">
        <w:t>the anastomosis.</w:t>
      </w:r>
      <w:r>
        <w:t xml:space="preserve"> This complements recommended changes to colonoscopy items 32090 and 32093.</w:t>
      </w:r>
    </w:p>
    <w:p w14:paraId="6672000B" w14:textId="11663122" w:rsidR="00684E0D" w:rsidRPr="00C3755C" w:rsidRDefault="00684E0D" w:rsidP="00FA1377">
      <w:pPr>
        <w:pStyle w:val="ListParagraph"/>
        <w:numPr>
          <w:ilvl w:val="0"/>
          <w:numId w:val="37"/>
        </w:numPr>
        <w:spacing w:line="288" w:lineRule="auto"/>
        <w:ind w:left="714" w:hanging="357"/>
      </w:pPr>
      <w:r>
        <w:t>The</w:t>
      </w:r>
      <w:r w:rsidRPr="00842D30">
        <w:t xml:space="preserve"> </w:t>
      </w:r>
      <w:r>
        <w:t xml:space="preserve">specific reference to </w:t>
      </w:r>
      <w:r w:rsidR="005D62E7">
        <w:t xml:space="preserve">APC </w:t>
      </w:r>
      <w:r>
        <w:t xml:space="preserve">to </w:t>
      </w:r>
      <w:r w:rsidRPr="00842D30">
        <w:t xml:space="preserve">be removed to enable </w:t>
      </w:r>
      <w:r>
        <w:t>other therapies</w:t>
      </w:r>
      <w:r w:rsidRPr="00842D30">
        <w:t xml:space="preserve"> to be used.</w:t>
      </w:r>
    </w:p>
    <w:p w14:paraId="3E788754" w14:textId="06EAF7A7" w:rsidR="00684E0D" w:rsidRDefault="00684E0D" w:rsidP="00FA1377">
      <w:pPr>
        <w:pStyle w:val="ListParagraph"/>
        <w:numPr>
          <w:ilvl w:val="0"/>
          <w:numId w:val="37"/>
        </w:numPr>
        <w:spacing w:line="288" w:lineRule="auto"/>
        <w:ind w:left="714" w:hanging="357"/>
      </w:pPr>
      <w:r>
        <w:t xml:space="preserve">The </w:t>
      </w:r>
      <w:r w:rsidR="00E07F39">
        <w:t>removal of</w:t>
      </w:r>
      <w:r>
        <w:t xml:space="preserve"> ‘fibreoptic’ from the item descriptors as both scopes are digital.</w:t>
      </w:r>
      <w:r w:rsidR="00C22AE4">
        <w:t xml:space="preserve"> </w:t>
      </w:r>
    </w:p>
    <w:p w14:paraId="30EC797C" w14:textId="2BAC79A3" w:rsidR="00684E0D" w:rsidRDefault="00E07F39" w:rsidP="00FA1377">
      <w:pPr>
        <w:pStyle w:val="ListParagraph"/>
        <w:numPr>
          <w:ilvl w:val="0"/>
          <w:numId w:val="37"/>
        </w:numPr>
        <w:spacing w:line="288" w:lineRule="auto"/>
        <w:ind w:left="714" w:hanging="357"/>
      </w:pPr>
      <w:r>
        <w:t>Introduce</w:t>
      </w:r>
      <w:r w:rsidR="00684E0D">
        <w:t xml:space="preserve"> restrictions on the co-claiming of these items and with colonoscopy items 32090 and 32093, same patient, same day, same provider.</w:t>
      </w:r>
      <w:r w:rsidR="00C22AE4">
        <w:t xml:space="preserve"> </w:t>
      </w:r>
      <w:r w:rsidR="00684E0D">
        <w:t>These items should not be claimed together unless the subsequent service has been provided under a second episode of sedation</w:t>
      </w:r>
      <w:r w:rsidR="00AE7040">
        <w:t>/anaesthesia</w:t>
      </w:r>
      <w:r w:rsidR="00684E0D">
        <w:t>.</w:t>
      </w:r>
      <w:r w:rsidR="00C22AE4">
        <w:t xml:space="preserve"> </w:t>
      </w:r>
    </w:p>
    <w:p w14:paraId="7AFD46F6" w14:textId="77777777" w:rsidR="00684E0D" w:rsidRPr="00BB0E9A" w:rsidRDefault="00684E0D" w:rsidP="00BB0E9A">
      <w:pPr>
        <w:pStyle w:val="Heading3"/>
      </w:pPr>
      <w:bookmarkStart w:id="182" w:name="_Toc457307516"/>
      <w:r w:rsidRPr="00BB0E9A">
        <w:t>Recommendation Impact Statement</w:t>
      </w:r>
      <w:bookmarkEnd w:id="182"/>
    </w:p>
    <w:p w14:paraId="2397019A" w14:textId="66E0C41C" w:rsidR="005318D3" w:rsidRPr="00FA1377" w:rsidRDefault="00684E0D" w:rsidP="00921CD9">
      <w:pPr>
        <w:rPr>
          <w:rFonts w:eastAsiaTheme="minorHAnsi"/>
        </w:rPr>
      </w:pPr>
      <w:r w:rsidRPr="0032145D">
        <w:t xml:space="preserve">The recommendation to update the descriptors </w:t>
      </w:r>
      <w:r>
        <w:t xml:space="preserve">for these items will </w:t>
      </w:r>
      <w:r w:rsidRPr="0032145D">
        <w:t xml:space="preserve">better </w:t>
      </w:r>
      <w:r>
        <w:rPr>
          <w:lang w:val="en-US"/>
        </w:rPr>
        <w:t>define the examination of the colon and ensure patients receive a comprehensive colonoscopy.</w:t>
      </w:r>
      <w:r w:rsidR="00C22AE4">
        <w:rPr>
          <w:lang w:val="en-US"/>
        </w:rPr>
        <w:t xml:space="preserve"> </w:t>
      </w:r>
      <w:r>
        <w:rPr>
          <w:lang w:val="en-US"/>
        </w:rPr>
        <w:t xml:space="preserve">Patients and providers will also benefit from the expansion of therapies that can be used to control bleeding under the therapeutic service item 32087. </w:t>
      </w:r>
      <w:bookmarkStart w:id="183" w:name="_Toc457307437"/>
    </w:p>
    <w:p w14:paraId="323198C4" w14:textId="4253CAC7" w:rsidR="00684E0D" w:rsidRPr="001F4E07" w:rsidRDefault="00684E0D" w:rsidP="001F4E07">
      <w:pPr>
        <w:pStyle w:val="Caption"/>
      </w:pPr>
      <w:bookmarkStart w:id="184" w:name="_Toc458527795"/>
      <w:r w:rsidRPr="001F4E07">
        <w:t xml:space="preserve">Table </w:t>
      </w:r>
      <w:fldSimple w:instr=" SEQ Table \* ARABIC ">
        <w:r w:rsidR="00A1715D">
          <w:rPr>
            <w:noProof/>
          </w:rPr>
          <w:t>19</w:t>
        </w:r>
      </w:fldSimple>
      <w:r w:rsidR="001646CB">
        <w:t>:</w:t>
      </w:r>
      <w:r w:rsidR="001646CB">
        <w:tab/>
      </w:r>
      <w:r w:rsidRPr="001F4E07">
        <w:t>Current MBS descriptors for sigmoidoscopy and colonoscopy items 32084 &amp; 32087</w:t>
      </w:r>
      <w:bookmarkEnd w:id="183"/>
      <w:bookmarkEnd w:id="184"/>
    </w:p>
    <w:tbl>
      <w:tblPr>
        <w:tblW w:w="9214" w:type="dxa"/>
        <w:tblInd w:w="60" w:type="dxa"/>
        <w:tblBorders>
          <w:top w:val="single" w:sz="4" w:space="0" w:color="B56011"/>
          <w:bottom w:val="single" w:sz="4" w:space="0" w:color="B56011"/>
          <w:insideH w:val="single" w:sz="4" w:space="0" w:color="B56011"/>
        </w:tblBorders>
        <w:tblLayout w:type="fixed"/>
        <w:tblCellMar>
          <w:left w:w="60" w:type="dxa"/>
          <w:right w:w="60" w:type="dxa"/>
        </w:tblCellMar>
        <w:tblLook w:val="0000" w:firstRow="0" w:lastRow="0" w:firstColumn="0" w:lastColumn="0" w:noHBand="0" w:noVBand="0"/>
        <w:tblDescription w:val="Table 19 shows the current descriptors for sigmoioscopy and colonoscopy items 32084 and 32087, their schedule fee, number of services for 2014-15 and the percentage change in services from 2011-12 to 2014-15."/>
      </w:tblPr>
      <w:tblGrid>
        <w:gridCol w:w="851"/>
        <w:gridCol w:w="4678"/>
        <w:gridCol w:w="1228"/>
        <w:gridCol w:w="1228"/>
        <w:gridCol w:w="1229"/>
      </w:tblGrid>
      <w:tr w:rsidR="00684E0D" w:rsidRPr="00D04360" w14:paraId="5DBD9301" w14:textId="77777777" w:rsidTr="00921CD9">
        <w:trPr>
          <w:tblHeader/>
        </w:trPr>
        <w:tc>
          <w:tcPr>
            <w:tcW w:w="851" w:type="dxa"/>
            <w:shd w:val="clear" w:color="auto" w:fill="auto"/>
            <w:vAlign w:val="center"/>
          </w:tcPr>
          <w:p w14:paraId="33BE7397" w14:textId="77777777" w:rsidR="00684E0D" w:rsidRPr="000E5D39" w:rsidRDefault="00684E0D" w:rsidP="00921CD9">
            <w:pPr>
              <w:pStyle w:val="Tableheading"/>
            </w:pPr>
            <w:r w:rsidRPr="000E5D39">
              <w:t>Item #</w:t>
            </w:r>
          </w:p>
        </w:tc>
        <w:tc>
          <w:tcPr>
            <w:tcW w:w="4678" w:type="dxa"/>
            <w:shd w:val="clear" w:color="auto" w:fill="auto"/>
            <w:vAlign w:val="center"/>
          </w:tcPr>
          <w:p w14:paraId="2C654046" w14:textId="77777777" w:rsidR="00684E0D" w:rsidRPr="000E5D39" w:rsidRDefault="00684E0D" w:rsidP="00921CD9">
            <w:pPr>
              <w:pStyle w:val="Tableheading"/>
            </w:pPr>
            <w:r w:rsidRPr="000E5D39">
              <w:t>Item Descriptor</w:t>
            </w:r>
          </w:p>
        </w:tc>
        <w:tc>
          <w:tcPr>
            <w:tcW w:w="1228" w:type="dxa"/>
            <w:vAlign w:val="center"/>
          </w:tcPr>
          <w:p w14:paraId="435F7DCB" w14:textId="77777777" w:rsidR="00684E0D" w:rsidRPr="000E5D39" w:rsidRDefault="00684E0D" w:rsidP="00921CD9">
            <w:pPr>
              <w:pStyle w:val="Tableheading"/>
            </w:pPr>
            <w:r w:rsidRPr="000E5D39">
              <w:t>Schedule Fee</w:t>
            </w:r>
          </w:p>
        </w:tc>
        <w:tc>
          <w:tcPr>
            <w:tcW w:w="1228" w:type="dxa"/>
            <w:vAlign w:val="center"/>
          </w:tcPr>
          <w:p w14:paraId="4169AFB6" w14:textId="19612A5E" w:rsidR="00684E0D" w:rsidRPr="000E5D39" w:rsidRDefault="00684E0D" w:rsidP="00921CD9">
            <w:pPr>
              <w:pStyle w:val="Tableheading"/>
            </w:pPr>
            <w:r w:rsidRPr="000E5D39">
              <w:t>Services 2014</w:t>
            </w:r>
            <w:r w:rsidR="003C6DB0">
              <w:t>–</w:t>
            </w:r>
            <w:r w:rsidRPr="000E5D39">
              <w:t>15</w:t>
            </w:r>
          </w:p>
        </w:tc>
        <w:tc>
          <w:tcPr>
            <w:tcW w:w="1229" w:type="dxa"/>
          </w:tcPr>
          <w:p w14:paraId="0E86A03A" w14:textId="621D7B62" w:rsidR="00684E0D" w:rsidRPr="006C6BE7" w:rsidRDefault="00684E0D" w:rsidP="006C6BE7">
            <w:pPr>
              <w:pStyle w:val="Tableheading"/>
            </w:pPr>
            <w:r w:rsidRPr="006C6BE7">
              <w:t>Service Change 2011</w:t>
            </w:r>
            <w:r w:rsidR="003C6DB0">
              <w:t>–</w:t>
            </w:r>
            <w:r w:rsidRPr="006C6BE7">
              <w:t>12 to 2014</w:t>
            </w:r>
            <w:r w:rsidR="003C6DB0">
              <w:t>–</w:t>
            </w:r>
            <w:r w:rsidRPr="006C6BE7">
              <w:t>15</w:t>
            </w:r>
          </w:p>
        </w:tc>
      </w:tr>
      <w:tr w:rsidR="00684E0D" w:rsidRPr="006A090D" w14:paraId="4F349F0C" w14:textId="77777777" w:rsidTr="00A94815">
        <w:tc>
          <w:tcPr>
            <w:tcW w:w="851" w:type="dxa"/>
            <w:shd w:val="clear" w:color="auto" w:fill="auto"/>
          </w:tcPr>
          <w:p w14:paraId="4CBD8792" w14:textId="77777777" w:rsidR="00684E0D" w:rsidRPr="000E5D39" w:rsidRDefault="00684E0D" w:rsidP="00921CD9">
            <w:pPr>
              <w:pStyle w:val="Tabletext"/>
            </w:pPr>
            <w:r w:rsidRPr="000E5D39">
              <w:t>32084</w:t>
            </w:r>
          </w:p>
        </w:tc>
        <w:tc>
          <w:tcPr>
            <w:tcW w:w="4678" w:type="dxa"/>
            <w:shd w:val="clear" w:color="auto" w:fill="auto"/>
          </w:tcPr>
          <w:p w14:paraId="1E06CFB2" w14:textId="77777777" w:rsidR="00684E0D" w:rsidRPr="000E5D39" w:rsidRDefault="00684E0D" w:rsidP="00981B9A">
            <w:pPr>
              <w:pStyle w:val="NormalBulleted10pt"/>
            </w:pPr>
            <w:r w:rsidRPr="000E5D39">
              <w:t>FLEXIBLE FIBREOPTIC SIGMOIDOSCOPY or FIBREOPTIC COLONOSCOPY up to the hepatic flexure, WITH or WITHOUT BIOPSY</w:t>
            </w:r>
          </w:p>
          <w:p w14:paraId="065AA979" w14:textId="77777777" w:rsidR="00684E0D" w:rsidRPr="000E5D39" w:rsidRDefault="00684E0D" w:rsidP="00981B9A">
            <w:pPr>
              <w:pStyle w:val="NormalBulleted10pt"/>
            </w:pPr>
            <w:r w:rsidRPr="000E5D39">
              <w:t>Multiple Service Rule (Anaes.)</w:t>
            </w:r>
          </w:p>
        </w:tc>
        <w:tc>
          <w:tcPr>
            <w:tcW w:w="1228" w:type="dxa"/>
          </w:tcPr>
          <w:p w14:paraId="5F243736" w14:textId="77777777" w:rsidR="00684E0D" w:rsidRPr="002036DF" w:rsidRDefault="00684E0D" w:rsidP="002036DF">
            <w:pPr>
              <w:pStyle w:val="Tabletext"/>
            </w:pPr>
            <w:r w:rsidRPr="002036DF">
              <w:t>$111.35</w:t>
            </w:r>
          </w:p>
        </w:tc>
        <w:tc>
          <w:tcPr>
            <w:tcW w:w="1228" w:type="dxa"/>
          </w:tcPr>
          <w:p w14:paraId="0B66EB90" w14:textId="77777777" w:rsidR="00684E0D" w:rsidRPr="002036DF" w:rsidRDefault="00684E0D" w:rsidP="002036DF">
            <w:pPr>
              <w:pStyle w:val="Tabletext"/>
            </w:pPr>
            <w:r w:rsidRPr="002036DF">
              <w:t>18,695</w:t>
            </w:r>
          </w:p>
        </w:tc>
        <w:tc>
          <w:tcPr>
            <w:tcW w:w="1229" w:type="dxa"/>
          </w:tcPr>
          <w:p w14:paraId="066797BB" w14:textId="77777777" w:rsidR="00684E0D" w:rsidRPr="002036DF" w:rsidRDefault="00684E0D" w:rsidP="002036DF">
            <w:pPr>
              <w:pStyle w:val="Tabletext"/>
            </w:pPr>
            <w:r w:rsidRPr="002036DF">
              <w:t>1%</w:t>
            </w:r>
          </w:p>
        </w:tc>
      </w:tr>
      <w:tr w:rsidR="00684E0D" w:rsidRPr="006A090D" w14:paraId="3B3EAC2D" w14:textId="77777777" w:rsidTr="00A94815">
        <w:tc>
          <w:tcPr>
            <w:tcW w:w="851" w:type="dxa"/>
            <w:shd w:val="clear" w:color="auto" w:fill="auto"/>
          </w:tcPr>
          <w:p w14:paraId="30C67F74" w14:textId="77777777" w:rsidR="00684E0D" w:rsidRPr="000E5D39" w:rsidRDefault="00684E0D" w:rsidP="00921CD9">
            <w:pPr>
              <w:pStyle w:val="Tabletext"/>
            </w:pPr>
            <w:r w:rsidRPr="000E5D39">
              <w:t>32087</w:t>
            </w:r>
          </w:p>
        </w:tc>
        <w:tc>
          <w:tcPr>
            <w:tcW w:w="4678" w:type="dxa"/>
            <w:shd w:val="clear" w:color="auto" w:fill="auto"/>
          </w:tcPr>
          <w:p w14:paraId="4A1454CA" w14:textId="77777777" w:rsidR="00684E0D" w:rsidRPr="000E5D39" w:rsidRDefault="00684E0D" w:rsidP="00981B9A">
            <w:pPr>
              <w:pStyle w:val="NormalBulleted10pt"/>
            </w:pPr>
            <w:r w:rsidRPr="000E5D39">
              <w:t>Endoscopic examination of the colon up to the hepatic flexure by FLEXIBLE FIBREOPTIC SIGMOIDOSCOPY or FIBREOPTIC COLONOSCOPY for the REMOVAL OF 1 OR MORE POLYPS or the treatment of radiation proctitis, angiodysplasia or post-polypectomy bleeding by ARGON PLASMA COAGULATION, 1 or more of</w:t>
            </w:r>
          </w:p>
          <w:p w14:paraId="0905A673" w14:textId="77777777" w:rsidR="00684E0D" w:rsidRPr="000E5D39" w:rsidRDefault="00684E0D" w:rsidP="00981B9A">
            <w:pPr>
              <w:pStyle w:val="NormalBulleted10pt"/>
            </w:pPr>
            <w:r w:rsidRPr="000E5D39">
              <w:t>Multiple Services Rule (Anaes.)</w:t>
            </w:r>
          </w:p>
        </w:tc>
        <w:tc>
          <w:tcPr>
            <w:tcW w:w="1228" w:type="dxa"/>
          </w:tcPr>
          <w:p w14:paraId="38CF2DD2" w14:textId="77777777" w:rsidR="00684E0D" w:rsidRPr="002036DF" w:rsidRDefault="00684E0D" w:rsidP="002036DF">
            <w:pPr>
              <w:pStyle w:val="Tabletext"/>
            </w:pPr>
            <w:r w:rsidRPr="002036DF">
              <w:t>$204.70</w:t>
            </w:r>
          </w:p>
        </w:tc>
        <w:tc>
          <w:tcPr>
            <w:tcW w:w="1228" w:type="dxa"/>
          </w:tcPr>
          <w:p w14:paraId="7F1D92EC" w14:textId="77777777" w:rsidR="00684E0D" w:rsidRPr="002036DF" w:rsidRDefault="00684E0D" w:rsidP="002036DF">
            <w:pPr>
              <w:pStyle w:val="Tabletext"/>
            </w:pPr>
            <w:r w:rsidRPr="002036DF">
              <w:t>3,247</w:t>
            </w:r>
          </w:p>
        </w:tc>
        <w:tc>
          <w:tcPr>
            <w:tcW w:w="1229" w:type="dxa"/>
          </w:tcPr>
          <w:p w14:paraId="2C9A6C6F" w14:textId="77777777" w:rsidR="00684E0D" w:rsidRPr="002036DF" w:rsidRDefault="00684E0D" w:rsidP="002036DF">
            <w:pPr>
              <w:pStyle w:val="Tabletext"/>
            </w:pPr>
            <w:r w:rsidRPr="002036DF">
              <w:t>6%</w:t>
            </w:r>
          </w:p>
        </w:tc>
      </w:tr>
    </w:tbl>
    <w:p w14:paraId="48053183" w14:textId="0A4951A6" w:rsidR="00981B9A" w:rsidRDefault="00684E0D" w:rsidP="00981B9A">
      <w:pPr>
        <w:pStyle w:val="TableUnder"/>
      </w:pPr>
      <w:r w:rsidRPr="00094CD8">
        <w:t>Source: Publicly available MBS Data (Department of Human Services website)</w:t>
      </w:r>
      <w:bookmarkStart w:id="185" w:name="_Toc457307438"/>
      <w:r w:rsidR="00981B9A">
        <w:br w:type="page"/>
      </w:r>
    </w:p>
    <w:p w14:paraId="3133840E" w14:textId="1D89BC30" w:rsidR="00684E0D" w:rsidRPr="001F4E07" w:rsidRDefault="00684E0D" w:rsidP="001F4E07">
      <w:pPr>
        <w:pStyle w:val="Caption"/>
      </w:pPr>
      <w:bookmarkStart w:id="186" w:name="_Toc458527796"/>
      <w:r w:rsidRPr="001F4E07">
        <w:lastRenderedPageBreak/>
        <w:t xml:space="preserve">Table </w:t>
      </w:r>
      <w:fldSimple w:instr=" SEQ Table \* ARABIC ">
        <w:r w:rsidR="00A1715D">
          <w:rPr>
            <w:noProof/>
          </w:rPr>
          <w:t>20</w:t>
        </w:r>
      </w:fldSimple>
      <w:r w:rsidR="001646CB">
        <w:t>:</w:t>
      </w:r>
      <w:r w:rsidR="001646CB">
        <w:tab/>
      </w:r>
      <w:r w:rsidRPr="001F4E07">
        <w:t>Proposed MBS descriptors for sigmoidoscopy and colonoscopy items 32084 &amp; 32087</w:t>
      </w:r>
      <w:bookmarkEnd w:id="185"/>
      <w:bookmarkEnd w:id="186"/>
    </w:p>
    <w:tbl>
      <w:tblPr>
        <w:tblW w:w="9214" w:type="dxa"/>
        <w:tblInd w:w="60" w:type="dxa"/>
        <w:tblBorders>
          <w:top w:val="single" w:sz="4" w:space="0" w:color="B56011"/>
          <w:bottom w:val="single" w:sz="4" w:space="0" w:color="B56011"/>
          <w:insideH w:val="single" w:sz="4" w:space="0" w:color="B56011"/>
        </w:tblBorders>
        <w:tblLayout w:type="fixed"/>
        <w:tblCellMar>
          <w:left w:w="60" w:type="dxa"/>
          <w:right w:w="60" w:type="dxa"/>
        </w:tblCellMar>
        <w:tblLook w:val="0000" w:firstRow="0" w:lastRow="0" w:firstColumn="0" w:lastColumn="0" w:noHBand="0" w:noVBand="0"/>
        <w:tblDescription w:val="Table 20 shows the proposed descriptors for sigmoioscopy and colonoscopy items 32084 and 32087, and their schedule fee."/>
      </w:tblPr>
      <w:tblGrid>
        <w:gridCol w:w="851"/>
        <w:gridCol w:w="6804"/>
        <w:gridCol w:w="1559"/>
      </w:tblGrid>
      <w:tr w:rsidR="00684E0D" w:rsidRPr="000E5D39" w14:paraId="000B52BB" w14:textId="77777777" w:rsidTr="00921CD9">
        <w:trPr>
          <w:tblHeader/>
        </w:trPr>
        <w:tc>
          <w:tcPr>
            <w:tcW w:w="851" w:type="dxa"/>
            <w:shd w:val="clear" w:color="auto" w:fill="auto"/>
            <w:vAlign w:val="center"/>
          </w:tcPr>
          <w:p w14:paraId="205DD3E5" w14:textId="09154822" w:rsidR="00684E0D" w:rsidRPr="000E5D39" w:rsidRDefault="000E5D39" w:rsidP="00921CD9">
            <w:pPr>
              <w:pStyle w:val="Tableheading"/>
            </w:pPr>
            <w:r w:rsidRPr="000E5D39">
              <w:t xml:space="preserve">Item </w:t>
            </w:r>
          </w:p>
        </w:tc>
        <w:tc>
          <w:tcPr>
            <w:tcW w:w="6804" w:type="dxa"/>
            <w:shd w:val="clear" w:color="auto" w:fill="auto"/>
            <w:vAlign w:val="center"/>
          </w:tcPr>
          <w:p w14:paraId="4A96C49E" w14:textId="77777777" w:rsidR="00684E0D" w:rsidRPr="000E5D39" w:rsidRDefault="00684E0D" w:rsidP="00921CD9">
            <w:pPr>
              <w:pStyle w:val="Tableheading"/>
            </w:pPr>
            <w:r w:rsidRPr="000E5D39">
              <w:t>Item Descriptor</w:t>
            </w:r>
          </w:p>
        </w:tc>
        <w:tc>
          <w:tcPr>
            <w:tcW w:w="1559" w:type="dxa"/>
            <w:vAlign w:val="center"/>
          </w:tcPr>
          <w:p w14:paraId="1501C5BB" w14:textId="77777777" w:rsidR="00684E0D" w:rsidRPr="000E5D39" w:rsidRDefault="00684E0D" w:rsidP="00921CD9">
            <w:pPr>
              <w:pStyle w:val="Tableheading"/>
            </w:pPr>
            <w:r w:rsidRPr="000E5D39">
              <w:t>Schedule Fee</w:t>
            </w:r>
          </w:p>
        </w:tc>
      </w:tr>
      <w:tr w:rsidR="00684E0D" w:rsidRPr="000E5D39" w14:paraId="39393EEE" w14:textId="77777777" w:rsidTr="00A94815">
        <w:tc>
          <w:tcPr>
            <w:tcW w:w="851" w:type="dxa"/>
            <w:shd w:val="clear" w:color="auto" w:fill="auto"/>
          </w:tcPr>
          <w:p w14:paraId="4D718176" w14:textId="77777777" w:rsidR="00684E0D" w:rsidRPr="000E5D39" w:rsidRDefault="00684E0D" w:rsidP="00921CD9">
            <w:pPr>
              <w:pStyle w:val="Tabletext"/>
            </w:pPr>
            <w:r w:rsidRPr="000E5D39">
              <w:t>32084</w:t>
            </w:r>
          </w:p>
        </w:tc>
        <w:tc>
          <w:tcPr>
            <w:tcW w:w="6804" w:type="dxa"/>
            <w:shd w:val="clear" w:color="auto" w:fill="auto"/>
          </w:tcPr>
          <w:p w14:paraId="1680682F" w14:textId="2DF846E8" w:rsidR="00684E0D" w:rsidRPr="001C0660" w:rsidRDefault="00684E0D" w:rsidP="001C0660">
            <w:pPr>
              <w:pStyle w:val="NormalBulleted10pt"/>
            </w:pPr>
            <w:r w:rsidRPr="001C0660">
              <w:t>Endoscopic examination of the colon</w:t>
            </w:r>
            <w:r w:rsidRPr="000E5D39">
              <w:rPr>
                <w:color w:val="000000"/>
              </w:rPr>
              <w:t xml:space="preserve"> </w:t>
            </w:r>
            <w:r w:rsidRPr="002036DF">
              <w:rPr>
                <w:color w:val="auto"/>
                <w:sz w:val="22"/>
                <w:u w:val="single"/>
              </w:rPr>
              <w:t>which does not reach the caecum</w:t>
            </w:r>
            <w:r w:rsidRPr="000E5D39">
              <w:t xml:space="preserve"> </w:t>
            </w:r>
            <w:r w:rsidRPr="001C0660">
              <w:t xml:space="preserve">by </w:t>
            </w:r>
            <w:r w:rsidR="000E5D39" w:rsidRPr="001C0660">
              <w:t xml:space="preserve">FLEXIBLE SIGMOIDOSCOPY or </w:t>
            </w:r>
            <w:r w:rsidRPr="001C0660">
              <w:t>COLONOSCOPY, WITH or WITHOUT BIOPSY,</w:t>
            </w:r>
            <w:r w:rsidRPr="000E5D39">
              <w:rPr>
                <w:color w:val="000000"/>
              </w:rPr>
              <w:t xml:space="preserve"> </w:t>
            </w:r>
            <w:r w:rsidRPr="000E5D39">
              <w:rPr>
                <w:color w:val="000000"/>
                <w:u w:val="single"/>
              </w:rPr>
              <w:t>not being a service to which</w:t>
            </w:r>
            <w:r w:rsidR="00C22AE4">
              <w:rPr>
                <w:color w:val="000000"/>
                <w:u w:val="single"/>
              </w:rPr>
              <w:t xml:space="preserve"> </w:t>
            </w:r>
            <w:r w:rsidRPr="000E5D39">
              <w:rPr>
                <w:color w:val="000000"/>
                <w:u w:val="single"/>
              </w:rPr>
              <w:t>items 32087, 32090, 32093 applies</w:t>
            </w:r>
          </w:p>
          <w:p w14:paraId="57298BCB" w14:textId="77777777" w:rsidR="00684E0D" w:rsidRPr="001C0660" w:rsidRDefault="00684E0D" w:rsidP="001C0660">
            <w:pPr>
              <w:pStyle w:val="NormalBulleted10pt"/>
            </w:pPr>
            <w:r w:rsidRPr="001C0660">
              <w:t>Multiple Services Rule (Anaes.)</w:t>
            </w:r>
          </w:p>
        </w:tc>
        <w:tc>
          <w:tcPr>
            <w:tcW w:w="1559" w:type="dxa"/>
          </w:tcPr>
          <w:p w14:paraId="6FE4D7D7" w14:textId="77777777" w:rsidR="00684E0D" w:rsidRPr="001C0660" w:rsidRDefault="00684E0D" w:rsidP="001C0660">
            <w:pPr>
              <w:pStyle w:val="Tabletext"/>
              <w:rPr>
                <w:highlight w:val="yellow"/>
              </w:rPr>
            </w:pPr>
            <w:r w:rsidRPr="001C0660">
              <w:t>$111.35</w:t>
            </w:r>
          </w:p>
        </w:tc>
      </w:tr>
      <w:tr w:rsidR="00684E0D" w:rsidRPr="000E5D39" w14:paraId="3947D9F6" w14:textId="77777777" w:rsidTr="00A94815">
        <w:tc>
          <w:tcPr>
            <w:tcW w:w="851" w:type="dxa"/>
            <w:shd w:val="clear" w:color="auto" w:fill="auto"/>
          </w:tcPr>
          <w:p w14:paraId="642FF29F" w14:textId="77777777" w:rsidR="00684E0D" w:rsidRPr="000E5D39" w:rsidRDefault="00684E0D" w:rsidP="00921CD9">
            <w:pPr>
              <w:pStyle w:val="Tabletext"/>
            </w:pPr>
            <w:r w:rsidRPr="000E5D39">
              <w:t>32087</w:t>
            </w:r>
          </w:p>
        </w:tc>
        <w:tc>
          <w:tcPr>
            <w:tcW w:w="6804" w:type="dxa"/>
            <w:shd w:val="clear" w:color="auto" w:fill="auto"/>
          </w:tcPr>
          <w:p w14:paraId="1E7BA684" w14:textId="19D12540" w:rsidR="00684E0D" w:rsidRPr="000E5D39" w:rsidRDefault="00684E0D" w:rsidP="001C0660">
            <w:pPr>
              <w:pStyle w:val="NormalBulleted10pt"/>
              <w:rPr>
                <w:color w:val="000000"/>
                <w:u w:val="single"/>
              </w:rPr>
            </w:pPr>
            <w:r w:rsidRPr="001C0660">
              <w:t>Endoscopic examination of the colon</w:t>
            </w:r>
            <w:r w:rsidRPr="000E5D39">
              <w:rPr>
                <w:color w:val="000000"/>
              </w:rPr>
              <w:t xml:space="preserve"> </w:t>
            </w:r>
            <w:r w:rsidRPr="000E5D39">
              <w:rPr>
                <w:u w:val="single"/>
              </w:rPr>
              <w:t>which does not reach the caecum</w:t>
            </w:r>
            <w:r w:rsidRPr="000E5D39">
              <w:t xml:space="preserve"> </w:t>
            </w:r>
            <w:r w:rsidRPr="001C0660">
              <w:t>by FLEXIBLE SIGMOIDOSCOPY or COLONOSCOPY for the REMOVAL OF 1 OR MORE POLYPS or the treatment of radiation proctitis, angiodysplasia or post-polypectomy bleeding, 1 or more of, not being a service to which items 32084</w:t>
            </w:r>
            <w:r w:rsidRPr="000E5D39">
              <w:rPr>
                <w:color w:val="000000"/>
                <w:u w:val="single"/>
              </w:rPr>
              <w:t>, 32090, 32093 applies</w:t>
            </w:r>
          </w:p>
          <w:p w14:paraId="08AFC6E3" w14:textId="77777777" w:rsidR="00684E0D" w:rsidRPr="001C0660" w:rsidRDefault="00684E0D" w:rsidP="001C0660">
            <w:pPr>
              <w:pStyle w:val="NormalBulleted10pt"/>
            </w:pPr>
            <w:r w:rsidRPr="001C0660">
              <w:t>Multiple Services Rule (Anaes.)</w:t>
            </w:r>
          </w:p>
        </w:tc>
        <w:tc>
          <w:tcPr>
            <w:tcW w:w="1559" w:type="dxa"/>
          </w:tcPr>
          <w:p w14:paraId="5A6D9707" w14:textId="77777777" w:rsidR="00684E0D" w:rsidRPr="001C0660" w:rsidRDefault="00684E0D" w:rsidP="001C0660">
            <w:pPr>
              <w:pStyle w:val="Tabletext"/>
            </w:pPr>
            <w:r w:rsidRPr="001C0660">
              <w:t>$204.70</w:t>
            </w:r>
          </w:p>
        </w:tc>
      </w:tr>
    </w:tbl>
    <w:p w14:paraId="7C8B8870" w14:textId="3F12B61B" w:rsidR="003A2574" w:rsidRDefault="00684E0D" w:rsidP="00921CD9">
      <w:pPr>
        <w:pStyle w:val="TableUnder"/>
        <w:rPr>
          <w:rFonts w:eastAsiaTheme="minorHAnsi"/>
          <w:lang w:val="en-US" w:eastAsia="en-US"/>
        </w:rPr>
      </w:pPr>
      <w:r>
        <w:t xml:space="preserve">Proposed additions are </w:t>
      </w:r>
      <w:r w:rsidRPr="00684E0D">
        <w:rPr>
          <w:u w:val="single"/>
        </w:rPr>
        <w:t>underlined</w:t>
      </w:r>
      <w:r>
        <w:t>.</w:t>
      </w:r>
    </w:p>
    <w:p w14:paraId="2398642B" w14:textId="77777777" w:rsidR="003A2574" w:rsidRPr="008D3569" w:rsidRDefault="003A2574" w:rsidP="003F555F">
      <w:pPr>
        <w:pStyle w:val="Heading2"/>
      </w:pPr>
      <w:bookmarkStart w:id="187" w:name="_Toc456188386"/>
      <w:bookmarkStart w:id="188" w:name="_Toc457307518"/>
      <w:bookmarkStart w:id="189" w:name="_Ref457362176"/>
      <w:r w:rsidRPr="008D3569">
        <w:t>Endoscopic Ultrasound (items 30688, 30690, 30692, 30694)</w:t>
      </w:r>
      <w:bookmarkEnd w:id="187"/>
      <w:bookmarkEnd w:id="188"/>
      <w:bookmarkEnd w:id="189"/>
    </w:p>
    <w:p w14:paraId="284791E6" w14:textId="77777777" w:rsidR="003A2574" w:rsidRPr="00A71047" w:rsidRDefault="003A2574" w:rsidP="00921CD9">
      <w:pPr>
        <w:pStyle w:val="Heading3"/>
      </w:pPr>
      <w:bookmarkStart w:id="190" w:name="_Toc457307519"/>
      <w:r w:rsidRPr="00921CD9">
        <w:t>Issues</w:t>
      </w:r>
      <w:bookmarkEnd w:id="190"/>
    </w:p>
    <w:p w14:paraId="5CB4FAF2" w14:textId="26BA3D9D" w:rsidR="003A2574" w:rsidRDefault="003A2574" w:rsidP="00AB6E8A">
      <w:r w:rsidRPr="00BD184C">
        <w:t>The Committee reviewed</w:t>
      </w:r>
      <w:r>
        <w:t xml:space="preserve"> Endoscopic Ultrasound (EUS) </w:t>
      </w:r>
      <w:r w:rsidRPr="00BD184C">
        <w:t xml:space="preserve">services to determine if co-claiming restrictions should be removed and allow </w:t>
      </w:r>
      <w:r>
        <w:t xml:space="preserve">therapeutic </w:t>
      </w:r>
      <w:r w:rsidRPr="00BD184C">
        <w:t>procedures to be performed during the same episode of care.</w:t>
      </w:r>
      <w:r w:rsidR="00C22AE4">
        <w:t xml:space="preserve"> </w:t>
      </w:r>
      <w:r>
        <w:t>The Committee notes that these items were introduced in 2007 following MSAC appraisal and that the indication for EUS is limited to staging of various gastro-intestinal cancers. The Committee notes the intended purpose but is concerned that the co-claiming restrictions on the EUS items significantly restricts the management of some patients who are found to require therapeutic services following EUS.</w:t>
      </w:r>
    </w:p>
    <w:p w14:paraId="260C0050" w14:textId="77777777" w:rsidR="003A2574" w:rsidRDefault="003A2574" w:rsidP="00921CD9">
      <w:pPr>
        <w:pStyle w:val="Heading3"/>
      </w:pPr>
      <w:bookmarkStart w:id="191" w:name="_Toc457307520"/>
      <w:r w:rsidRPr="00921CD9">
        <w:t>Rationale</w:t>
      </w:r>
      <w:bookmarkEnd w:id="191"/>
    </w:p>
    <w:p w14:paraId="3574D434" w14:textId="18EEB295" w:rsidR="003A2574" w:rsidRPr="00D1111B" w:rsidRDefault="003A2574" w:rsidP="00AB6E8A">
      <w:pPr>
        <w:rPr>
          <w:lang w:val="en-US" w:eastAsia="en-US"/>
        </w:rPr>
      </w:pPr>
      <w:r>
        <w:t xml:space="preserve">The Committee reviewed subsequent service patterns for patients who received EUS and found that within one month of having this procedure; patients are often having a second </w:t>
      </w:r>
      <w:r w:rsidR="00AE7040">
        <w:t xml:space="preserve">anaesthesia </w:t>
      </w:r>
      <w:r>
        <w:t>for ERCP (item 30484) and/or related therapeutic procedures. This means that patients may undergo a second episode of care (with a second anaesthetic) to perform the necessary therapeutic intervention</w:t>
      </w:r>
      <w:r w:rsidRPr="00417BA4">
        <w:t>. A typical example is</w:t>
      </w:r>
      <w:r>
        <w:t xml:space="preserve"> for a patient who require</w:t>
      </w:r>
      <w:r w:rsidR="00CA0DFC">
        <w:t>s</w:t>
      </w:r>
      <w:r w:rsidRPr="00417BA4">
        <w:t xml:space="preserve"> bile duct stenting following EUS staging of pancreatic cancer.</w:t>
      </w:r>
      <w:r w:rsidR="00C22AE4">
        <w:t xml:space="preserve"> </w:t>
      </w:r>
      <w:r>
        <w:t xml:space="preserve">The Committee agreed that it is clinically appropriate to provide the services listed in Table </w:t>
      </w:r>
      <w:r w:rsidR="004E269C">
        <w:t xml:space="preserve">22 </w:t>
      </w:r>
      <w:r>
        <w:t>during the same episode of care and the patient should not be required to undergo a second episode of anaesthesia.</w:t>
      </w:r>
      <w:r w:rsidR="00C22AE4">
        <w:t xml:space="preserve"> </w:t>
      </w:r>
      <w:r>
        <w:t>The Committee noted that the number of practitioners that have the skills to do both EUS and ERCP activities is small and this should be reflected in the co-claiming of these services.</w:t>
      </w:r>
    </w:p>
    <w:p w14:paraId="5DFDB23E" w14:textId="355C9898" w:rsidR="003A2574" w:rsidRPr="00F22FB2" w:rsidRDefault="007161FD" w:rsidP="00813502">
      <w:pPr>
        <w:pStyle w:val="Rec"/>
        <w:numPr>
          <w:ilvl w:val="0"/>
          <w:numId w:val="0"/>
        </w:numPr>
      </w:pPr>
      <w:bookmarkStart w:id="192" w:name="_Toc485731771"/>
      <w:r>
        <w:t>Recommendation 7:</w:t>
      </w:r>
      <w:r>
        <w:tab/>
      </w:r>
      <w:r w:rsidR="00AB6E8A">
        <w:t>Endoscopic Ultrasound</w:t>
      </w:r>
      <w:bookmarkEnd w:id="192"/>
      <w:r w:rsidR="00C22AE4">
        <w:t xml:space="preserve"> </w:t>
      </w:r>
    </w:p>
    <w:p w14:paraId="68ABEF2E" w14:textId="5B2FD296" w:rsidR="003A2574" w:rsidRDefault="003A2574" w:rsidP="003A2574">
      <w:r>
        <w:t xml:space="preserve">The Committee recommends </w:t>
      </w:r>
      <w:r w:rsidR="00E07F39">
        <w:t xml:space="preserve">that if during an Endoscopic Ultrasound (EUS) examination an issue is identified which requires an ERCP </w:t>
      </w:r>
      <w:r w:rsidR="00E5029D">
        <w:t xml:space="preserve">or </w:t>
      </w:r>
      <w:r w:rsidR="00E07F39">
        <w:t>related therapeutic procedure, it is clinically appropriate that these procedures be</w:t>
      </w:r>
      <w:r w:rsidR="00E5029D">
        <w:t xml:space="preserve"> performed on the same occasion.  C</w:t>
      </w:r>
      <w:r>
        <w:t xml:space="preserve">o-claiming restrictions </w:t>
      </w:r>
      <w:r w:rsidR="00E07F39">
        <w:t xml:space="preserve">should be removed </w:t>
      </w:r>
      <w:r>
        <w:t>on</w:t>
      </w:r>
      <w:r w:rsidR="00CA40B2">
        <w:t xml:space="preserve"> the EUS</w:t>
      </w:r>
      <w:r>
        <w:t xml:space="preserve"> items 30688 to 30694 to allow ERCP therapeutic procedures (items 30484, 30485, 30494) to be performed during the same episode of care. </w:t>
      </w:r>
    </w:p>
    <w:p w14:paraId="27039ED0" w14:textId="5FC712ED" w:rsidR="003A2574" w:rsidRDefault="003A2574" w:rsidP="001C0660">
      <w:r w:rsidRPr="00842D30">
        <w:lastRenderedPageBreak/>
        <w:t>The Committee noted that should co-claiming restrictions be relaxed there may be some unanticipated financial impacts on the billing of these items.</w:t>
      </w:r>
      <w:r w:rsidR="00C22AE4">
        <w:t xml:space="preserve"> </w:t>
      </w:r>
    </w:p>
    <w:p w14:paraId="50F06901" w14:textId="77777777" w:rsidR="003A2574" w:rsidRDefault="003A2574" w:rsidP="00921CD9">
      <w:pPr>
        <w:pStyle w:val="Heading3"/>
      </w:pPr>
      <w:bookmarkStart w:id="193" w:name="_Toc457307522"/>
      <w:r w:rsidRPr="00921CD9">
        <w:t>Recommendation</w:t>
      </w:r>
      <w:r w:rsidRPr="007A66E4">
        <w:t xml:space="preserve"> Impact Statement</w:t>
      </w:r>
      <w:bookmarkEnd w:id="193"/>
    </w:p>
    <w:p w14:paraId="011C6975" w14:textId="108ACC0B" w:rsidR="00921CD9" w:rsidRDefault="003A2574" w:rsidP="00196603">
      <w:pPr>
        <w:widowControl w:val="0"/>
        <w:autoSpaceDE w:val="0"/>
        <w:autoSpaceDN w:val="0"/>
        <w:adjustRightInd w:val="0"/>
      </w:pPr>
      <w:r>
        <w:rPr>
          <w:rFonts w:cs="Arial"/>
          <w:lang w:val="en"/>
        </w:rPr>
        <w:t>The recommendation to</w:t>
      </w:r>
      <w:r w:rsidRPr="0032145D">
        <w:rPr>
          <w:rFonts w:cs="Arial"/>
          <w:lang w:val="en"/>
        </w:rPr>
        <w:t xml:space="preserve"> </w:t>
      </w:r>
      <w:r>
        <w:rPr>
          <w:rFonts w:cs="Arial"/>
          <w:lang w:val="en"/>
        </w:rPr>
        <w:t xml:space="preserve">remove the </w:t>
      </w:r>
      <w:r w:rsidRPr="0032145D">
        <w:rPr>
          <w:rFonts w:cs="Arial"/>
          <w:lang w:val="en"/>
        </w:rPr>
        <w:t>current</w:t>
      </w:r>
      <w:r>
        <w:rPr>
          <w:rFonts w:cs="Arial"/>
          <w:lang w:val="en"/>
        </w:rPr>
        <w:t xml:space="preserve"> claiming</w:t>
      </w:r>
      <w:r w:rsidRPr="0032145D">
        <w:rPr>
          <w:rFonts w:cs="Arial"/>
          <w:lang w:val="en"/>
        </w:rPr>
        <w:t xml:space="preserve"> restrictions </w:t>
      </w:r>
      <w:r>
        <w:rPr>
          <w:rFonts w:cs="Arial"/>
          <w:lang w:val="en"/>
        </w:rPr>
        <w:t>on these diagnostic services will benefit patients as it will allow practitioners to provide specific therapeutic services during the same episode of care.</w:t>
      </w:r>
      <w:r w:rsidR="00C22AE4">
        <w:rPr>
          <w:rFonts w:cs="Arial"/>
          <w:lang w:val="en"/>
        </w:rPr>
        <w:t xml:space="preserve"> </w:t>
      </w:r>
      <w:r>
        <w:rPr>
          <w:rFonts w:cs="Arial"/>
          <w:lang w:val="en"/>
        </w:rPr>
        <w:t>This will mean that patients will not be required to undergo a second sedation.</w:t>
      </w:r>
      <w:bookmarkStart w:id="194" w:name="_Toc457307439"/>
    </w:p>
    <w:p w14:paraId="3DEFAF3F" w14:textId="6A23F936" w:rsidR="003A2574" w:rsidRPr="00AB6E8A" w:rsidRDefault="003A2574" w:rsidP="00AB6E8A">
      <w:pPr>
        <w:pStyle w:val="Caption"/>
      </w:pPr>
      <w:bookmarkStart w:id="195" w:name="_Toc458527797"/>
      <w:r w:rsidRPr="00AB6E8A">
        <w:t xml:space="preserve">Table </w:t>
      </w:r>
      <w:fldSimple w:instr=" SEQ Table \* ARABIC ">
        <w:r w:rsidR="00A1715D">
          <w:rPr>
            <w:noProof/>
          </w:rPr>
          <w:t>21</w:t>
        </w:r>
      </w:fldSimple>
      <w:r w:rsidR="00AB6E8A">
        <w:t>:</w:t>
      </w:r>
      <w:r w:rsidR="00AB6E8A">
        <w:tab/>
      </w:r>
      <w:r w:rsidRPr="00AB6E8A">
        <w:t>Current Endoscopic Ultrasound items</w:t>
      </w:r>
      <w:bookmarkEnd w:id="194"/>
      <w:bookmarkEnd w:id="195"/>
    </w:p>
    <w:tbl>
      <w:tblPr>
        <w:tblW w:w="9094" w:type="dxa"/>
        <w:tblInd w:w="60" w:type="dxa"/>
        <w:tblBorders>
          <w:top w:val="single" w:sz="4" w:space="0" w:color="B56011"/>
          <w:bottom w:val="single" w:sz="4" w:space="0" w:color="B56011"/>
          <w:insideH w:val="single" w:sz="4" w:space="0" w:color="B56011"/>
        </w:tblBorders>
        <w:tblLayout w:type="fixed"/>
        <w:tblCellMar>
          <w:left w:w="60" w:type="dxa"/>
          <w:right w:w="60" w:type="dxa"/>
        </w:tblCellMar>
        <w:tblLook w:val="0000" w:firstRow="0" w:lastRow="0" w:firstColumn="0" w:lastColumn="0" w:noHBand="0" w:noVBand="0"/>
        <w:tblDescription w:val="Table 21 shows the current endoscopic ultrasound item numbers, descriptors, schedule fees, number of services in 2014-15 and the percentage change in services from 2011-12 to 2014-15."/>
      </w:tblPr>
      <w:tblGrid>
        <w:gridCol w:w="851"/>
        <w:gridCol w:w="4678"/>
        <w:gridCol w:w="1188"/>
        <w:gridCol w:w="1188"/>
        <w:gridCol w:w="1189"/>
      </w:tblGrid>
      <w:tr w:rsidR="00AB6E8A" w:rsidRPr="00032DE1" w14:paraId="74125E8A" w14:textId="77777777" w:rsidTr="00AB6E8A">
        <w:trPr>
          <w:trHeight w:val="274"/>
        </w:trPr>
        <w:tc>
          <w:tcPr>
            <w:tcW w:w="851" w:type="dxa"/>
            <w:shd w:val="clear" w:color="auto" w:fill="auto"/>
            <w:vAlign w:val="center"/>
          </w:tcPr>
          <w:p w14:paraId="2F22C620" w14:textId="49C01C0C" w:rsidR="003A2574" w:rsidRPr="00E564FA" w:rsidRDefault="00AB6E8A" w:rsidP="00921CD9">
            <w:pPr>
              <w:pStyle w:val="Tableheading"/>
            </w:pPr>
            <w:r>
              <w:t xml:space="preserve">Item </w:t>
            </w:r>
          </w:p>
        </w:tc>
        <w:tc>
          <w:tcPr>
            <w:tcW w:w="4678" w:type="dxa"/>
            <w:shd w:val="clear" w:color="auto" w:fill="auto"/>
            <w:vAlign w:val="center"/>
          </w:tcPr>
          <w:p w14:paraId="641782FA" w14:textId="77777777" w:rsidR="003A2574" w:rsidRPr="00E564FA" w:rsidRDefault="003A2574" w:rsidP="00921CD9">
            <w:pPr>
              <w:pStyle w:val="Tableheading"/>
            </w:pPr>
            <w:r w:rsidRPr="00E564FA">
              <w:t>Item Descriptor</w:t>
            </w:r>
          </w:p>
        </w:tc>
        <w:tc>
          <w:tcPr>
            <w:tcW w:w="1188" w:type="dxa"/>
            <w:shd w:val="clear" w:color="auto" w:fill="auto"/>
            <w:vAlign w:val="center"/>
          </w:tcPr>
          <w:p w14:paraId="7508AA5A" w14:textId="77777777" w:rsidR="003A2574" w:rsidRPr="00E564FA" w:rsidRDefault="003A2574" w:rsidP="00921CD9">
            <w:pPr>
              <w:pStyle w:val="Tableheading"/>
            </w:pPr>
            <w:r w:rsidRPr="00E564FA">
              <w:t>Schedule Fee</w:t>
            </w:r>
          </w:p>
        </w:tc>
        <w:tc>
          <w:tcPr>
            <w:tcW w:w="1188" w:type="dxa"/>
            <w:shd w:val="clear" w:color="auto" w:fill="auto"/>
            <w:vAlign w:val="center"/>
          </w:tcPr>
          <w:p w14:paraId="687C305C" w14:textId="1E37EF5E" w:rsidR="003A2574" w:rsidRPr="00E564FA" w:rsidRDefault="003A2574" w:rsidP="00921CD9">
            <w:pPr>
              <w:pStyle w:val="Tableheading"/>
            </w:pPr>
            <w:r w:rsidRPr="00E564FA">
              <w:t>Services 2014</w:t>
            </w:r>
            <w:r w:rsidR="003C6DB0">
              <w:t>–</w:t>
            </w:r>
            <w:r w:rsidRPr="00E564FA">
              <w:t>15</w:t>
            </w:r>
          </w:p>
        </w:tc>
        <w:tc>
          <w:tcPr>
            <w:tcW w:w="1189" w:type="dxa"/>
            <w:shd w:val="clear" w:color="auto" w:fill="auto"/>
            <w:vAlign w:val="center"/>
          </w:tcPr>
          <w:p w14:paraId="7F582863" w14:textId="38D8FD03" w:rsidR="003A2574" w:rsidRPr="002036DF" w:rsidRDefault="003A2574" w:rsidP="003C6DB0">
            <w:pPr>
              <w:pStyle w:val="Tableheading"/>
            </w:pPr>
            <w:r w:rsidRPr="002036DF">
              <w:t>Service Change 2011</w:t>
            </w:r>
            <w:r w:rsidR="003C6DB0">
              <w:t>–</w:t>
            </w:r>
            <w:r w:rsidRPr="002036DF">
              <w:t>12 to 2014</w:t>
            </w:r>
            <w:r w:rsidR="003C6DB0">
              <w:t>–</w:t>
            </w:r>
            <w:r w:rsidRPr="002036DF">
              <w:t>15</w:t>
            </w:r>
          </w:p>
        </w:tc>
      </w:tr>
      <w:tr w:rsidR="00AB6E8A" w:rsidRPr="00213F12" w14:paraId="0FCD12CB" w14:textId="77777777" w:rsidTr="00AB6E8A">
        <w:trPr>
          <w:trHeight w:val="274"/>
        </w:trPr>
        <w:tc>
          <w:tcPr>
            <w:tcW w:w="851" w:type="dxa"/>
            <w:shd w:val="clear" w:color="auto" w:fill="auto"/>
          </w:tcPr>
          <w:p w14:paraId="7FC1C8A5" w14:textId="77777777" w:rsidR="003A2574" w:rsidRPr="00E564FA" w:rsidRDefault="003A2574" w:rsidP="00921CD9">
            <w:pPr>
              <w:pStyle w:val="Tabletext"/>
            </w:pPr>
            <w:r w:rsidRPr="00E564FA">
              <w:t>30688</w:t>
            </w:r>
          </w:p>
        </w:tc>
        <w:tc>
          <w:tcPr>
            <w:tcW w:w="4678" w:type="dxa"/>
            <w:shd w:val="clear" w:color="auto" w:fill="auto"/>
            <w:vAlign w:val="center"/>
          </w:tcPr>
          <w:p w14:paraId="483B4D2A" w14:textId="77777777" w:rsidR="003A2574" w:rsidRPr="00E564FA" w:rsidRDefault="003A2574" w:rsidP="00921CD9">
            <w:pPr>
              <w:pStyle w:val="Tabletext"/>
            </w:pPr>
            <w:r w:rsidRPr="00E564FA">
              <w:t>ENDOSCOPIC ULTRASOUND (endoscopy with ultrasound imaging), with or without biopsy, for the staging of 1 or more of oesophageal, gastric or pancreatic cancer, not in association with another item in this Subgroup and not being a service associated with the routine monitoring of chronic pancreatitis. (Anaes.)</w:t>
            </w:r>
          </w:p>
        </w:tc>
        <w:tc>
          <w:tcPr>
            <w:tcW w:w="1188" w:type="dxa"/>
            <w:shd w:val="clear" w:color="auto" w:fill="auto"/>
          </w:tcPr>
          <w:p w14:paraId="260C1B67" w14:textId="77777777" w:rsidR="003A2574" w:rsidRPr="00E564FA" w:rsidRDefault="003A2574" w:rsidP="00921CD9">
            <w:pPr>
              <w:pStyle w:val="Tabletext"/>
            </w:pPr>
            <w:r w:rsidRPr="00E564FA">
              <w:t>$364.90</w:t>
            </w:r>
          </w:p>
        </w:tc>
        <w:tc>
          <w:tcPr>
            <w:tcW w:w="1188" w:type="dxa"/>
            <w:shd w:val="clear" w:color="auto" w:fill="auto"/>
          </w:tcPr>
          <w:p w14:paraId="3983FB69" w14:textId="77777777" w:rsidR="003A2574" w:rsidRPr="00E564FA" w:rsidRDefault="003A2574" w:rsidP="00921CD9">
            <w:pPr>
              <w:pStyle w:val="Tabletext"/>
            </w:pPr>
            <w:r w:rsidRPr="00E564FA">
              <w:t>1,545</w:t>
            </w:r>
          </w:p>
        </w:tc>
        <w:tc>
          <w:tcPr>
            <w:tcW w:w="1189" w:type="dxa"/>
            <w:shd w:val="clear" w:color="auto" w:fill="auto"/>
          </w:tcPr>
          <w:p w14:paraId="1750BF71" w14:textId="77777777" w:rsidR="003A2574" w:rsidRPr="002036DF" w:rsidRDefault="003A2574" w:rsidP="006C6BE7">
            <w:pPr>
              <w:pStyle w:val="Tabletext"/>
            </w:pPr>
            <w:r w:rsidRPr="002036DF">
              <w:t>19%</w:t>
            </w:r>
          </w:p>
        </w:tc>
      </w:tr>
      <w:tr w:rsidR="00AB6E8A" w:rsidRPr="00213F12" w14:paraId="57D21DC4" w14:textId="77777777" w:rsidTr="00AB6E8A">
        <w:trPr>
          <w:trHeight w:val="274"/>
        </w:trPr>
        <w:tc>
          <w:tcPr>
            <w:tcW w:w="851" w:type="dxa"/>
            <w:shd w:val="clear" w:color="auto" w:fill="auto"/>
          </w:tcPr>
          <w:p w14:paraId="4956A6D3" w14:textId="77777777" w:rsidR="003A2574" w:rsidRPr="00E564FA" w:rsidRDefault="003A2574" w:rsidP="00921CD9">
            <w:pPr>
              <w:pStyle w:val="Tabletext"/>
            </w:pPr>
            <w:r w:rsidRPr="00E564FA">
              <w:t>30690</w:t>
            </w:r>
          </w:p>
        </w:tc>
        <w:tc>
          <w:tcPr>
            <w:tcW w:w="4678" w:type="dxa"/>
            <w:shd w:val="clear" w:color="auto" w:fill="auto"/>
            <w:vAlign w:val="center"/>
          </w:tcPr>
          <w:p w14:paraId="1C4AC585" w14:textId="0830A519" w:rsidR="003A2574" w:rsidRPr="00E564FA" w:rsidRDefault="003A2574" w:rsidP="00921CD9">
            <w:pPr>
              <w:pStyle w:val="Tabletext"/>
            </w:pPr>
            <w:r w:rsidRPr="00E564FA">
              <w:t>ENDOSCOPIC ULTRASOUND (endoscopy with ultrasound imaging), with or without biopsy,</w:t>
            </w:r>
            <w:r w:rsidR="00C22AE4">
              <w:t xml:space="preserve"> </w:t>
            </w:r>
            <w:r w:rsidRPr="00E564FA">
              <w:t>WITH FINE NEEDLE ASPIRATION, including aspiration of the locoregional lymph nodes if performed, for the staging of 1 or more of oesophageal, gastric or pancreatic cancer, not in association with another item in this Subgroup and not being a service associated with the routine monitoring of chronic pancreatitis. (Anaes.)</w:t>
            </w:r>
          </w:p>
        </w:tc>
        <w:tc>
          <w:tcPr>
            <w:tcW w:w="1188" w:type="dxa"/>
            <w:shd w:val="clear" w:color="auto" w:fill="auto"/>
          </w:tcPr>
          <w:p w14:paraId="7B884320" w14:textId="77777777" w:rsidR="003A2574" w:rsidRPr="00E564FA" w:rsidRDefault="003A2574" w:rsidP="00921CD9">
            <w:pPr>
              <w:pStyle w:val="Tabletext"/>
            </w:pPr>
            <w:r w:rsidRPr="00E564FA">
              <w:t>$563.30</w:t>
            </w:r>
          </w:p>
        </w:tc>
        <w:tc>
          <w:tcPr>
            <w:tcW w:w="1188" w:type="dxa"/>
            <w:shd w:val="clear" w:color="auto" w:fill="auto"/>
          </w:tcPr>
          <w:p w14:paraId="35840B3A" w14:textId="77777777" w:rsidR="003A2574" w:rsidRPr="00E564FA" w:rsidRDefault="003A2574" w:rsidP="00921CD9">
            <w:pPr>
              <w:pStyle w:val="Tabletext"/>
            </w:pPr>
            <w:r w:rsidRPr="00E564FA">
              <w:t>779</w:t>
            </w:r>
          </w:p>
        </w:tc>
        <w:tc>
          <w:tcPr>
            <w:tcW w:w="1189" w:type="dxa"/>
            <w:shd w:val="clear" w:color="auto" w:fill="auto"/>
          </w:tcPr>
          <w:p w14:paraId="25AF796D" w14:textId="77777777" w:rsidR="003A2574" w:rsidRPr="002036DF" w:rsidRDefault="003A2574" w:rsidP="006C6BE7">
            <w:pPr>
              <w:pStyle w:val="Tabletext"/>
            </w:pPr>
            <w:r w:rsidRPr="002036DF">
              <w:t>-6%</w:t>
            </w:r>
          </w:p>
        </w:tc>
      </w:tr>
      <w:tr w:rsidR="00AB6E8A" w:rsidRPr="00213F12" w14:paraId="4F333354" w14:textId="77777777" w:rsidTr="00AB6E8A">
        <w:trPr>
          <w:trHeight w:val="274"/>
        </w:trPr>
        <w:tc>
          <w:tcPr>
            <w:tcW w:w="851" w:type="dxa"/>
            <w:shd w:val="clear" w:color="auto" w:fill="auto"/>
          </w:tcPr>
          <w:p w14:paraId="32CCD9DF" w14:textId="77777777" w:rsidR="003A2574" w:rsidRPr="00E564FA" w:rsidRDefault="003A2574" w:rsidP="00921CD9">
            <w:pPr>
              <w:pStyle w:val="Tabletext"/>
            </w:pPr>
            <w:r w:rsidRPr="00E564FA">
              <w:t>30692</w:t>
            </w:r>
          </w:p>
        </w:tc>
        <w:tc>
          <w:tcPr>
            <w:tcW w:w="4678" w:type="dxa"/>
            <w:shd w:val="clear" w:color="auto" w:fill="auto"/>
            <w:vAlign w:val="center"/>
          </w:tcPr>
          <w:p w14:paraId="77CF088A" w14:textId="77777777" w:rsidR="003A2574" w:rsidRPr="00E564FA" w:rsidRDefault="003A2574" w:rsidP="00921CD9">
            <w:pPr>
              <w:pStyle w:val="Tabletext"/>
            </w:pPr>
            <w:r w:rsidRPr="00E564FA">
              <w:t>ENDOSCOPIC ULTRASOUND (endoscopy with ultrasound imaging), with or without biopsy, for the diagnosis of 1 or more of pancreatic, biliary or gastric submucosal tumours, not in association with another item in this Subgroup and not being a service associated with the routine monitoring of chronic pancreatitis. (Anaes.)</w:t>
            </w:r>
          </w:p>
        </w:tc>
        <w:tc>
          <w:tcPr>
            <w:tcW w:w="1188" w:type="dxa"/>
            <w:shd w:val="clear" w:color="auto" w:fill="auto"/>
          </w:tcPr>
          <w:p w14:paraId="5C878FBD" w14:textId="77777777" w:rsidR="003A2574" w:rsidRPr="00E564FA" w:rsidRDefault="003A2574" w:rsidP="00921CD9">
            <w:pPr>
              <w:pStyle w:val="Tabletext"/>
            </w:pPr>
            <w:r w:rsidRPr="00E564FA">
              <w:t>$364.90</w:t>
            </w:r>
          </w:p>
        </w:tc>
        <w:tc>
          <w:tcPr>
            <w:tcW w:w="1188" w:type="dxa"/>
            <w:shd w:val="clear" w:color="auto" w:fill="auto"/>
          </w:tcPr>
          <w:p w14:paraId="57A23E5E" w14:textId="77777777" w:rsidR="003A2574" w:rsidRPr="00E564FA" w:rsidRDefault="003A2574" w:rsidP="00921CD9">
            <w:pPr>
              <w:pStyle w:val="Tabletext"/>
            </w:pPr>
            <w:r w:rsidRPr="00E564FA">
              <w:t>3,085</w:t>
            </w:r>
          </w:p>
        </w:tc>
        <w:tc>
          <w:tcPr>
            <w:tcW w:w="1189" w:type="dxa"/>
            <w:shd w:val="clear" w:color="auto" w:fill="auto"/>
          </w:tcPr>
          <w:p w14:paraId="063F8DE5" w14:textId="77777777" w:rsidR="003A2574" w:rsidRPr="002036DF" w:rsidRDefault="003A2574" w:rsidP="006C6BE7">
            <w:pPr>
              <w:pStyle w:val="Tabletext"/>
            </w:pPr>
            <w:r w:rsidRPr="002036DF">
              <w:t>40%</w:t>
            </w:r>
          </w:p>
        </w:tc>
      </w:tr>
      <w:tr w:rsidR="00AB6E8A" w:rsidRPr="00213F12" w14:paraId="01E87894" w14:textId="77777777" w:rsidTr="00AB6E8A">
        <w:trPr>
          <w:trHeight w:val="274"/>
        </w:trPr>
        <w:tc>
          <w:tcPr>
            <w:tcW w:w="851" w:type="dxa"/>
            <w:shd w:val="clear" w:color="auto" w:fill="auto"/>
          </w:tcPr>
          <w:p w14:paraId="7A44ECA3" w14:textId="77777777" w:rsidR="003A2574" w:rsidRPr="00E564FA" w:rsidRDefault="003A2574" w:rsidP="00921CD9">
            <w:pPr>
              <w:pStyle w:val="Tabletext"/>
            </w:pPr>
            <w:r w:rsidRPr="00E564FA">
              <w:t>30694</w:t>
            </w:r>
          </w:p>
        </w:tc>
        <w:tc>
          <w:tcPr>
            <w:tcW w:w="4678" w:type="dxa"/>
            <w:shd w:val="clear" w:color="auto" w:fill="auto"/>
            <w:vAlign w:val="center"/>
          </w:tcPr>
          <w:p w14:paraId="41372239" w14:textId="325D44FD" w:rsidR="003A2574" w:rsidRPr="00E564FA" w:rsidRDefault="003A2574" w:rsidP="00921CD9">
            <w:pPr>
              <w:pStyle w:val="Tabletext"/>
            </w:pPr>
            <w:r w:rsidRPr="00E564FA">
              <w:t>ENDOSCOPIC ULTRASOUND (endoscopy with ultrasound imaging), with or without biopsy,</w:t>
            </w:r>
            <w:r w:rsidR="00C22AE4">
              <w:t xml:space="preserve"> </w:t>
            </w:r>
            <w:r w:rsidRPr="00E564FA">
              <w:t>WITH FINE NEEDLE ASPIRATION for the diagnosis of 1 or more of pancreatic, biliary or gastric submucosal tumours,</w:t>
            </w:r>
            <w:r w:rsidR="00C22AE4">
              <w:t xml:space="preserve"> </w:t>
            </w:r>
            <w:r w:rsidRPr="00E564FA">
              <w:t>not in association with another item in this Subgroup and not being a service associated with the routine monitoring of chronic pancreatitis. (Anaes.)</w:t>
            </w:r>
          </w:p>
        </w:tc>
        <w:tc>
          <w:tcPr>
            <w:tcW w:w="1188" w:type="dxa"/>
            <w:shd w:val="clear" w:color="auto" w:fill="auto"/>
          </w:tcPr>
          <w:p w14:paraId="7B28CC08" w14:textId="77777777" w:rsidR="003A2574" w:rsidRPr="00E564FA" w:rsidRDefault="003A2574" w:rsidP="00921CD9">
            <w:pPr>
              <w:pStyle w:val="Tabletext"/>
            </w:pPr>
            <w:r w:rsidRPr="00E564FA">
              <w:t>$563.30</w:t>
            </w:r>
          </w:p>
        </w:tc>
        <w:tc>
          <w:tcPr>
            <w:tcW w:w="1188" w:type="dxa"/>
            <w:shd w:val="clear" w:color="auto" w:fill="auto"/>
          </w:tcPr>
          <w:p w14:paraId="67283B40" w14:textId="77777777" w:rsidR="003A2574" w:rsidRPr="00E564FA" w:rsidRDefault="003A2574" w:rsidP="00921CD9">
            <w:pPr>
              <w:pStyle w:val="Tabletext"/>
            </w:pPr>
            <w:r w:rsidRPr="00E564FA">
              <w:t>1,689</w:t>
            </w:r>
          </w:p>
        </w:tc>
        <w:tc>
          <w:tcPr>
            <w:tcW w:w="1189" w:type="dxa"/>
            <w:shd w:val="clear" w:color="auto" w:fill="auto"/>
          </w:tcPr>
          <w:p w14:paraId="0D75F945" w14:textId="77777777" w:rsidR="003A2574" w:rsidRPr="002036DF" w:rsidRDefault="003A2574" w:rsidP="006C6BE7">
            <w:pPr>
              <w:pStyle w:val="Tabletext"/>
            </w:pPr>
            <w:r w:rsidRPr="002036DF">
              <w:t>61%</w:t>
            </w:r>
          </w:p>
        </w:tc>
      </w:tr>
    </w:tbl>
    <w:p w14:paraId="70966372" w14:textId="77777777" w:rsidR="00283332" w:rsidRDefault="003A2574" w:rsidP="00275472">
      <w:pPr>
        <w:pStyle w:val="TableUnder"/>
      </w:pPr>
      <w:r w:rsidRPr="00094CD8">
        <w:t>Source: Publicly available MBS Data (Department of Human Services website)</w:t>
      </w:r>
      <w:bookmarkStart w:id="196" w:name="_Toc457307440"/>
    </w:p>
    <w:p w14:paraId="74344575" w14:textId="0A3B06CA" w:rsidR="003A2574" w:rsidRPr="00AB6E8A" w:rsidRDefault="003A2574" w:rsidP="00AB6E8A">
      <w:pPr>
        <w:pStyle w:val="Caption"/>
      </w:pPr>
      <w:bookmarkStart w:id="197" w:name="_Toc458527798"/>
      <w:r w:rsidRPr="00AB6E8A">
        <w:lastRenderedPageBreak/>
        <w:t xml:space="preserve">Table </w:t>
      </w:r>
      <w:fldSimple w:instr=" SEQ Table \* ARABIC ">
        <w:r w:rsidR="00A1715D">
          <w:rPr>
            <w:noProof/>
          </w:rPr>
          <w:t>22</w:t>
        </w:r>
      </w:fldSimple>
      <w:r w:rsidR="00AB6E8A">
        <w:t>:</w:t>
      </w:r>
      <w:r w:rsidR="00AB6E8A">
        <w:tab/>
      </w:r>
      <w:r w:rsidRPr="00AB6E8A">
        <w:t xml:space="preserve"> Subsequent gastroenterology services </w:t>
      </w:r>
      <w:r w:rsidR="00C76223">
        <w:t xml:space="preserve">(items 30484, 30485, 30494) </w:t>
      </w:r>
      <w:r w:rsidRPr="00AB6E8A">
        <w:t>performed on patients in the month preceding Endoscopic Ultrasound items 30688 to 30696</w:t>
      </w:r>
      <w:bookmarkEnd w:id="196"/>
      <w:bookmarkEnd w:id="197"/>
    </w:p>
    <w:tbl>
      <w:tblPr>
        <w:tblW w:w="9087" w:type="dxa"/>
        <w:tblInd w:w="93" w:type="dxa"/>
        <w:tblBorders>
          <w:top w:val="single" w:sz="4" w:space="0" w:color="B56011"/>
          <w:bottom w:val="single" w:sz="4" w:space="0" w:color="B56011"/>
          <w:insideH w:val="single" w:sz="4" w:space="0" w:color="B56011"/>
        </w:tblBorders>
        <w:tblLayout w:type="fixed"/>
        <w:tblLook w:val="04A0" w:firstRow="1" w:lastRow="0" w:firstColumn="1" w:lastColumn="0" w:noHBand="0" w:noVBand="1"/>
        <w:tblDescription w:val="Table 22 shows the numbers of endoscopic ultrasound services for items 30484, 30485 and 30494 that took place in the month before items 30688 and 30696 were available."/>
      </w:tblPr>
      <w:tblGrid>
        <w:gridCol w:w="866"/>
        <w:gridCol w:w="4570"/>
        <w:gridCol w:w="1809"/>
        <w:gridCol w:w="1842"/>
      </w:tblGrid>
      <w:tr w:rsidR="003A2574" w:rsidRPr="001C0660" w14:paraId="7C23D8A6" w14:textId="77777777" w:rsidTr="001C0660">
        <w:trPr>
          <w:trHeight w:val="354"/>
        </w:trPr>
        <w:tc>
          <w:tcPr>
            <w:tcW w:w="866" w:type="dxa"/>
            <w:shd w:val="clear" w:color="DCE6F1" w:fill="auto"/>
            <w:noWrap/>
            <w:vAlign w:val="center"/>
            <w:hideMark/>
          </w:tcPr>
          <w:p w14:paraId="14599729" w14:textId="77777777" w:rsidR="003A2574" w:rsidRPr="001C0660" w:rsidRDefault="003A2574" w:rsidP="001C0660">
            <w:pPr>
              <w:pStyle w:val="Tableheading"/>
            </w:pPr>
            <w:r w:rsidRPr="001C0660">
              <w:t>Item #</w:t>
            </w:r>
          </w:p>
        </w:tc>
        <w:tc>
          <w:tcPr>
            <w:tcW w:w="4570" w:type="dxa"/>
            <w:shd w:val="clear" w:color="DCE6F1" w:fill="auto"/>
            <w:vAlign w:val="center"/>
          </w:tcPr>
          <w:p w14:paraId="4C08CAE6" w14:textId="77777777" w:rsidR="003A2574" w:rsidRPr="001C0660" w:rsidRDefault="003A2574" w:rsidP="001C0660">
            <w:pPr>
              <w:pStyle w:val="Tableheading"/>
            </w:pPr>
            <w:r w:rsidRPr="001C0660">
              <w:t>Descriptor (brief)</w:t>
            </w:r>
          </w:p>
        </w:tc>
        <w:tc>
          <w:tcPr>
            <w:tcW w:w="1809" w:type="dxa"/>
            <w:shd w:val="clear" w:color="DCE6F1" w:fill="auto"/>
            <w:vAlign w:val="center"/>
            <w:hideMark/>
          </w:tcPr>
          <w:p w14:paraId="66556721" w14:textId="485FEB89" w:rsidR="003A2574" w:rsidRPr="001C0660" w:rsidRDefault="003A2574" w:rsidP="001C0660">
            <w:pPr>
              <w:pStyle w:val="Tableheading"/>
            </w:pPr>
            <w:r w:rsidRPr="001C0660">
              <w:t>2013</w:t>
            </w:r>
            <w:r w:rsidR="003C6DB0">
              <w:t>–</w:t>
            </w:r>
            <w:r w:rsidRPr="001C0660">
              <w:t>14</w:t>
            </w:r>
            <w:r w:rsidR="00921CD9" w:rsidRPr="001C0660">
              <w:t xml:space="preserve"> </w:t>
            </w:r>
            <w:r w:rsidRPr="001C0660">
              <w:t>Services</w:t>
            </w:r>
          </w:p>
        </w:tc>
        <w:tc>
          <w:tcPr>
            <w:tcW w:w="1842" w:type="dxa"/>
            <w:shd w:val="clear" w:color="DCE6F1" w:fill="auto"/>
            <w:vAlign w:val="center"/>
            <w:hideMark/>
          </w:tcPr>
          <w:p w14:paraId="5842221F" w14:textId="7FB145EC" w:rsidR="003A2574" w:rsidRPr="001C0660" w:rsidRDefault="003A2574" w:rsidP="001C0660">
            <w:pPr>
              <w:pStyle w:val="Tableheading"/>
            </w:pPr>
            <w:r w:rsidRPr="001C0660">
              <w:t>2014</w:t>
            </w:r>
            <w:r w:rsidR="003C6DB0">
              <w:t>–</w:t>
            </w:r>
            <w:r w:rsidRPr="001C0660">
              <w:t>15</w:t>
            </w:r>
            <w:r w:rsidR="00921CD9" w:rsidRPr="001C0660">
              <w:t xml:space="preserve"> </w:t>
            </w:r>
            <w:r w:rsidRPr="001C0660">
              <w:t>Services</w:t>
            </w:r>
          </w:p>
        </w:tc>
      </w:tr>
      <w:tr w:rsidR="003A2574" w:rsidRPr="007F5993" w14:paraId="154178A4" w14:textId="77777777" w:rsidTr="00921CD9">
        <w:trPr>
          <w:trHeight w:val="300"/>
        </w:trPr>
        <w:tc>
          <w:tcPr>
            <w:tcW w:w="866" w:type="dxa"/>
            <w:shd w:val="clear" w:color="auto" w:fill="auto"/>
            <w:noWrap/>
            <w:vAlign w:val="bottom"/>
            <w:hideMark/>
          </w:tcPr>
          <w:p w14:paraId="063B4CE6" w14:textId="77777777" w:rsidR="003A2574" w:rsidRPr="007F5993" w:rsidRDefault="003A2574" w:rsidP="00921CD9">
            <w:pPr>
              <w:pStyle w:val="Tabletext"/>
            </w:pPr>
            <w:r w:rsidRPr="007F5993">
              <w:t>30484</w:t>
            </w:r>
          </w:p>
        </w:tc>
        <w:tc>
          <w:tcPr>
            <w:tcW w:w="4570" w:type="dxa"/>
          </w:tcPr>
          <w:p w14:paraId="2C01B8F2" w14:textId="77777777" w:rsidR="003A2574" w:rsidRPr="007F5993" w:rsidRDefault="003A2574" w:rsidP="00921CD9">
            <w:pPr>
              <w:pStyle w:val="Tabletext"/>
            </w:pPr>
            <w:r w:rsidRPr="007F5993">
              <w:t>ERCP</w:t>
            </w:r>
          </w:p>
        </w:tc>
        <w:tc>
          <w:tcPr>
            <w:tcW w:w="1809" w:type="dxa"/>
            <w:shd w:val="clear" w:color="auto" w:fill="auto"/>
            <w:vAlign w:val="center"/>
            <w:hideMark/>
          </w:tcPr>
          <w:p w14:paraId="5920E7E4" w14:textId="77777777" w:rsidR="003A2574" w:rsidRPr="007F5993" w:rsidRDefault="003A2574" w:rsidP="001C0660">
            <w:pPr>
              <w:pStyle w:val="TableTextDecimalAlign"/>
            </w:pPr>
            <w:r w:rsidRPr="007F5993">
              <w:t>143</w:t>
            </w:r>
          </w:p>
        </w:tc>
        <w:tc>
          <w:tcPr>
            <w:tcW w:w="1842" w:type="dxa"/>
            <w:shd w:val="clear" w:color="auto" w:fill="auto"/>
            <w:vAlign w:val="center"/>
            <w:hideMark/>
          </w:tcPr>
          <w:p w14:paraId="5E6CF6B5" w14:textId="77777777" w:rsidR="003A2574" w:rsidRPr="007F5993" w:rsidRDefault="003A2574" w:rsidP="001C0660">
            <w:pPr>
              <w:pStyle w:val="TableTextDecimalAlign"/>
            </w:pPr>
            <w:r w:rsidRPr="007F5993">
              <w:t>124</w:t>
            </w:r>
          </w:p>
        </w:tc>
      </w:tr>
      <w:tr w:rsidR="003A2574" w:rsidRPr="007F5993" w14:paraId="60A6EE76" w14:textId="77777777" w:rsidTr="00921CD9">
        <w:trPr>
          <w:trHeight w:val="300"/>
        </w:trPr>
        <w:tc>
          <w:tcPr>
            <w:tcW w:w="866" w:type="dxa"/>
            <w:shd w:val="clear" w:color="auto" w:fill="auto"/>
            <w:noWrap/>
            <w:vAlign w:val="bottom"/>
            <w:hideMark/>
          </w:tcPr>
          <w:p w14:paraId="0BBDDADD" w14:textId="77777777" w:rsidR="003A2574" w:rsidRPr="007F5993" w:rsidRDefault="003A2574" w:rsidP="00921CD9">
            <w:pPr>
              <w:pStyle w:val="Tabletext"/>
            </w:pPr>
            <w:r w:rsidRPr="007F5993">
              <w:t>30485</w:t>
            </w:r>
          </w:p>
        </w:tc>
        <w:tc>
          <w:tcPr>
            <w:tcW w:w="4570" w:type="dxa"/>
          </w:tcPr>
          <w:p w14:paraId="0D81F501" w14:textId="77777777" w:rsidR="003A2574" w:rsidRPr="007F5993" w:rsidRDefault="003A2574" w:rsidP="00921CD9">
            <w:pPr>
              <w:pStyle w:val="Tabletext"/>
            </w:pPr>
            <w:r w:rsidRPr="007F5993">
              <w:t>Endoscopic sphincterotomy</w:t>
            </w:r>
          </w:p>
        </w:tc>
        <w:tc>
          <w:tcPr>
            <w:tcW w:w="1809" w:type="dxa"/>
            <w:shd w:val="clear" w:color="auto" w:fill="auto"/>
            <w:vAlign w:val="center"/>
            <w:hideMark/>
          </w:tcPr>
          <w:p w14:paraId="4DA0DAFD" w14:textId="77777777" w:rsidR="003A2574" w:rsidRPr="007F5993" w:rsidRDefault="003A2574" w:rsidP="001C0660">
            <w:pPr>
              <w:pStyle w:val="TableTextDecimalAlign"/>
            </w:pPr>
            <w:r w:rsidRPr="007F5993">
              <w:t>123</w:t>
            </w:r>
          </w:p>
        </w:tc>
        <w:tc>
          <w:tcPr>
            <w:tcW w:w="1842" w:type="dxa"/>
            <w:shd w:val="clear" w:color="auto" w:fill="auto"/>
            <w:vAlign w:val="center"/>
            <w:hideMark/>
          </w:tcPr>
          <w:p w14:paraId="2EFDFB85" w14:textId="77777777" w:rsidR="003A2574" w:rsidRPr="007F5993" w:rsidRDefault="003A2574" w:rsidP="001C0660">
            <w:pPr>
              <w:pStyle w:val="TableTextDecimalAlign"/>
            </w:pPr>
            <w:r w:rsidRPr="007F5993">
              <w:t>105</w:t>
            </w:r>
          </w:p>
        </w:tc>
      </w:tr>
      <w:tr w:rsidR="003A2574" w:rsidRPr="007F5993" w14:paraId="3A903DC8" w14:textId="77777777" w:rsidTr="00921CD9">
        <w:trPr>
          <w:trHeight w:val="300"/>
        </w:trPr>
        <w:tc>
          <w:tcPr>
            <w:tcW w:w="866" w:type="dxa"/>
            <w:shd w:val="clear" w:color="auto" w:fill="auto"/>
            <w:noWrap/>
            <w:vAlign w:val="bottom"/>
            <w:hideMark/>
          </w:tcPr>
          <w:p w14:paraId="7F171A34" w14:textId="77777777" w:rsidR="003A2574" w:rsidRPr="007F5993" w:rsidRDefault="003A2574" w:rsidP="00921CD9">
            <w:pPr>
              <w:pStyle w:val="Tabletext"/>
            </w:pPr>
            <w:r w:rsidRPr="007F5993">
              <w:t>30494</w:t>
            </w:r>
          </w:p>
        </w:tc>
        <w:tc>
          <w:tcPr>
            <w:tcW w:w="4570" w:type="dxa"/>
          </w:tcPr>
          <w:p w14:paraId="345527F7" w14:textId="77777777" w:rsidR="003A2574" w:rsidRPr="007F5993" w:rsidRDefault="003A2574" w:rsidP="00921CD9">
            <w:pPr>
              <w:pStyle w:val="Tabletext"/>
            </w:pPr>
            <w:r w:rsidRPr="007F5993">
              <w:t>Endoscopic biliary dilatation</w:t>
            </w:r>
          </w:p>
        </w:tc>
        <w:tc>
          <w:tcPr>
            <w:tcW w:w="1809" w:type="dxa"/>
            <w:shd w:val="clear" w:color="auto" w:fill="auto"/>
            <w:vAlign w:val="center"/>
            <w:hideMark/>
          </w:tcPr>
          <w:p w14:paraId="41EAF7F0" w14:textId="77777777" w:rsidR="003A2574" w:rsidRPr="007F5993" w:rsidRDefault="003A2574" w:rsidP="001C0660">
            <w:pPr>
              <w:pStyle w:val="TableTextDecimalAlign"/>
            </w:pPr>
            <w:r w:rsidRPr="007F5993">
              <w:t>5</w:t>
            </w:r>
          </w:p>
        </w:tc>
        <w:tc>
          <w:tcPr>
            <w:tcW w:w="1842" w:type="dxa"/>
            <w:shd w:val="clear" w:color="auto" w:fill="auto"/>
            <w:vAlign w:val="center"/>
            <w:hideMark/>
          </w:tcPr>
          <w:p w14:paraId="6E36776B" w14:textId="77777777" w:rsidR="003A2574" w:rsidRPr="007F5993" w:rsidRDefault="003A2574" w:rsidP="001C0660">
            <w:pPr>
              <w:pStyle w:val="TableTextDecimalAlign"/>
            </w:pPr>
            <w:r w:rsidRPr="007F5993">
              <w:t>6</w:t>
            </w:r>
          </w:p>
        </w:tc>
      </w:tr>
    </w:tbl>
    <w:p w14:paraId="1D87B675" w14:textId="7E223775" w:rsidR="00AB6E8A" w:rsidRPr="003175F5" w:rsidRDefault="003A2574" w:rsidP="00275472">
      <w:pPr>
        <w:pStyle w:val="TableUnder"/>
      </w:pPr>
      <w:bookmarkStart w:id="198" w:name="_Toc456188387"/>
      <w:r w:rsidRPr="005F7A73">
        <w:t>Source: Departm</w:t>
      </w:r>
      <w:r>
        <w:t>ent of Health (unpublished MBS data</w:t>
      </w:r>
      <w:r w:rsidRPr="005F7A73">
        <w:t>)</w:t>
      </w:r>
      <w:bookmarkStart w:id="199" w:name="_Toc457307523"/>
      <w:r w:rsidR="00AB6E8A">
        <w:br w:type="page"/>
      </w:r>
    </w:p>
    <w:p w14:paraId="036EE0EE" w14:textId="75A4CD7E" w:rsidR="004270CD" w:rsidRPr="001E1249" w:rsidRDefault="004270CD" w:rsidP="003175F5">
      <w:pPr>
        <w:pStyle w:val="Heading1"/>
      </w:pPr>
      <w:bookmarkStart w:id="200" w:name="_Toc485731772"/>
      <w:bookmarkStart w:id="201" w:name="_Ref457362141"/>
      <w:r>
        <w:lastRenderedPageBreak/>
        <w:t>Items</w:t>
      </w:r>
      <w:r w:rsidRPr="001E1249">
        <w:t xml:space="preserve"> </w:t>
      </w:r>
      <w:r>
        <w:t xml:space="preserve">requiring </w:t>
      </w:r>
      <w:r w:rsidR="006D2B91">
        <w:t xml:space="preserve">further </w:t>
      </w:r>
      <w:r w:rsidRPr="003175F5">
        <w:t>assessment</w:t>
      </w:r>
      <w:bookmarkEnd w:id="200"/>
      <w:r w:rsidR="006D2B91">
        <w:t xml:space="preserve"> </w:t>
      </w:r>
    </w:p>
    <w:p w14:paraId="4D7127D9" w14:textId="45A87C37" w:rsidR="003A2574" w:rsidRPr="00980478" w:rsidRDefault="003A2574" w:rsidP="003175F5">
      <w:pPr>
        <w:pStyle w:val="Heading2"/>
      </w:pPr>
      <w:r w:rsidRPr="00980478">
        <w:t xml:space="preserve">Balloon Enteroscopy (items, </w:t>
      </w:r>
      <w:r w:rsidRPr="003175F5">
        <w:t>30680</w:t>
      </w:r>
      <w:r w:rsidRPr="00980478">
        <w:t>, 30682, 30684, 30686)</w:t>
      </w:r>
      <w:bookmarkEnd w:id="198"/>
      <w:bookmarkEnd w:id="199"/>
      <w:bookmarkEnd w:id="201"/>
    </w:p>
    <w:p w14:paraId="091280D5" w14:textId="77777777" w:rsidR="003A2574" w:rsidRPr="00A71047" w:rsidRDefault="003A2574" w:rsidP="004412C0">
      <w:pPr>
        <w:pStyle w:val="Heading3"/>
      </w:pPr>
      <w:bookmarkStart w:id="202" w:name="_Toc457307524"/>
      <w:r w:rsidRPr="004412C0">
        <w:t>Issues</w:t>
      </w:r>
      <w:bookmarkEnd w:id="202"/>
    </w:p>
    <w:p w14:paraId="25E52C6B" w14:textId="26EC9E95" w:rsidR="003A2574" w:rsidRDefault="003A2574" w:rsidP="00AB6E8A">
      <w:r w:rsidRPr="00BD184C">
        <w:t>The Committee reviewed these services to dete</w:t>
      </w:r>
      <w:r>
        <w:t xml:space="preserve">rmine if the current clinical </w:t>
      </w:r>
      <w:r w:rsidRPr="00BD184C">
        <w:t>indication could be expanded to include some capacity to manage small bowel diseases without anaemia or bleeding, specifically, but not restricted to, Crohn</w:t>
      </w:r>
      <w:r>
        <w:t>’</w:t>
      </w:r>
      <w:r w:rsidRPr="00BD184C">
        <w:t>s disease.</w:t>
      </w:r>
      <w:r w:rsidR="00C22AE4">
        <w:t xml:space="preserve"> </w:t>
      </w:r>
    </w:p>
    <w:p w14:paraId="63E5D1D2" w14:textId="0EA2D304" w:rsidR="003A2574" w:rsidRPr="00387EB5" w:rsidRDefault="003A2574" w:rsidP="00387EB5">
      <w:pPr>
        <w:pStyle w:val="Caption"/>
      </w:pPr>
      <w:bookmarkStart w:id="203" w:name="_Toc457307441"/>
      <w:bookmarkStart w:id="204" w:name="_Toc458527799"/>
      <w:r w:rsidRPr="00387EB5">
        <w:t xml:space="preserve">Table </w:t>
      </w:r>
      <w:fldSimple w:instr=" SEQ Table \* ARABIC ">
        <w:r w:rsidR="00A1715D">
          <w:rPr>
            <w:noProof/>
          </w:rPr>
          <w:t>23</w:t>
        </w:r>
      </w:fldSimple>
      <w:r w:rsidR="00387EB5">
        <w:t>:</w:t>
      </w:r>
      <w:r w:rsidR="00387EB5">
        <w:tab/>
      </w:r>
      <w:r w:rsidRPr="00387EB5">
        <w:t>Current Balloon Enteroscopy items</w:t>
      </w:r>
      <w:bookmarkEnd w:id="203"/>
      <w:bookmarkEnd w:id="204"/>
    </w:p>
    <w:tbl>
      <w:tblPr>
        <w:tblW w:w="9214" w:type="dxa"/>
        <w:tblInd w:w="60" w:type="dxa"/>
        <w:tblBorders>
          <w:top w:val="single" w:sz="4" w:space="0" w:color="B56011"/>
          <w:bottom w:val="single" w:sz="4" w:space="0" w:color="B56011"/>
          <w:insideH w:val="single" w:sz="4" w:space="0" w:color="B56011"/>
        </w:tblBorders>
        <w:tblLayout w:type="fixed"/>
        <w:tblCellMar>
          <w:left w:w="60" w:type="dxa"/>
          <w:right w:w="60" w:type="dxa"/>
        </w:tblCellMar>
        <w:tblLook w:val="0000" w:firstRow="0" w:lastRow="0" w:firstColumn="0" w:lastColumn="0" w:noHBand="0" w:noVBand="0"/>
        <w:tblDescription w:val="Table 23 shows current balloon enteroscopy items, descriptors, schedule fees, number of services in 2014-15 and the percentage change in services from 2011-12 to 2014-15"/>
      </w:tblPr>
      <w:tblGrid>
        <w:gridCol w:w="851"/>
        <w:gridCol w:w="4819"/>
        <w:gridCol w:w="1181"/>
        <w:gridCol w:w="1181"/>
        <w:gridCol w:w="1182"/>
      </w:tblGrid>
      <w:tr w:rsidR="00387EB5" w:rsidRPr="00387EB5" w14:paraId="7B4789F5" w14:textId="77777777" w:rsidTr="00387EB5">
        <w:trPr>
          <w:trHeight w:val="274"/>
          <w:tblHeader/>
        </w:trPr>
        <w:tc>
          <w:tcPr>
            <w:tcW w:w="851" w:type="dxa"/>
            <w:shd w:val="clear" w:color="auto" w:fill="auto"/>
            <w:vAlign w:val="center"/>
          </w:tcPr>
          <w:p w14:paraId="02AF540A" w14:textId="080E6D18" w:rsidR="003A2574" w:rsidRPr="00387EB5" w:rsidRDefault="00387EB5" w:rsidP="003175F5">
            <w:pPr>
              <w:pStyle w:val="Tableheading"/>
            </w:pPr>
            <w:r w:rsidRPr="00387EB5">
              <w:t xml:space="preserve">Item </w:t>
            </w:r>
          </w:p>
        </w:tc>
        <w:tc>
          <w:tcPr>
            <w:tcW w:w="4819" w:type="dxa"/>
            <w:shd w:val="clear" w:color="auto" w:fill="auto"/>
            <w:vAlign w:val="center"/>
          </w:tcPr>
          <w:p w14:paraId="1B37A295" w14:textId="77777777" w:rsidR="003A2574" w:rsidRPr="00387EB5" w:rsidRDefault="003A2574" w:rsidP="003175F5">
            <w:pPr>
              <w:pStyle w:val="Tableheading"/>
            </w:pPr>
            <w:r w:rsidRPr="00387EB5">
              <w:t>Item Descriptor</w:t>
            </w:r>
          </w:p>
        </w:tc>
        <w:tc>
          <w:tcPr>
            <w:tcW w:w="1181" w:type="dxa"/>
            <w:shd w:val="clear" w:color="auto" w:fill="auto"/>
            <w:vAlign w:val="center"/>
          </w:tcPr>
          <w:p w14:paraId="4064E248" w14:textId="77777777" w:rsidR="003A2574" w:rsidRPr="00387EB5" w:rsidRDefault="003A2574" w:rsidP="003175F5">
            <w:pPr>
              <w:pStyle w:val="Tableheading"/>
            </w:pPr>
            <w:r w:rsidRPr="00387EB5">
              <w:t>Schedule Fee</w:t>
            </w:r>
          </w:p>
        </w:tc>
        <w:tc>
          <w:tcPr>
            <w:tcW w:w="1181" w:type="dxa"/>
            <w:shd w:val="clear" w:color="auto" w:fill="auto"/>
            <w:vAlign w:val="center"/>
          </w:tcPr>
          <w:p w14:paraId="7949BED1" w14:textId="63CC4E97" w:rsidR="003A2574" w:rsidRPr="00387EB5" w:rsidRDefault="003A2574" w:rsidP="003175F5">
            <w:pPr>
              <w:pStyle w:val="Tableheading"/>
            </w:pPr>
            <w:r w:rsidRPr="00387EB5">
              <w:t>Services 2014</w:t>
            </w:r>
            <w:r w:rsidR="003C6DB0">
              <w:t>–</w:t>
            </w:r>
            <w:r w:rsidRPr="00387EB5">
              <w:t>15</w:t>
            </w:r>
          </w:p>
        </w:tc>
        <w:tc>
          <w:tcPr>
            <w:tcW w:w="1182" w:type="dxa"/>
            <w:shd w:val="clear" w:color="auto" w:fill="auto"/>
            <w:vAlign w:val="center"/>
          </w:tcPr>
          <w:p w14:paraId="1D2A4FE3" w14:textId="512DB4F9" w:rsidR="003A2574" w:rsidRPr="002036DF" w:rsidRDefault="003A2574" w:rsidP="002036DF">
            <w:pPr>
              <w:pStyle w:val="Tableheading"/>
            </w:pPr>
            <w:r w:rsidRPr="002036DF">
              <w:t>Service Change 2011</w:t>
            </w:r>
            <w:r w:rsidR="003C6DB0">
              <w:t>–</w:t>
            </w:r>
            <w:r w:rsidRPr="002036DF">
              <w:t>12 to 2014</w:t>
            </w:r>
            <w:r w:rsidR="003C6DB0">
              <w:t>–</w:t>
            </w:r>
            <w:r w:rsidRPr="002036DF">
              <w:t>15</w:t>
            </w:r>
          </w:p>
        </w:tc>
      </w:tr>
      <w:tr w:rsidR="00387EB5" w:rsidRPr="00846113" w14:paraId="3AC05BCC" w14:textId="77777777" w:rsidTr="00387EB5">
        <w:trPr>
          <w:trHeight w:val="274"/>
        </w:trPr>
        <w:tc>
          <w:tcPr>
            <w:tcW w:w="851" w:type="dxa"/>
            <w:shd w:val="clear" w:color="auto" w:fill="auto"/>
          </w:tcPr>
          <w:p w14:paraId="02847BB0" w14:textId="77777777" w:rsidR="003A2574" w:rsidRPr="00846113" w:rsidRDefault="003A2574" w:rsidP="003175F5">
            <w:pPr>
              <w:pStyle w:val="Tabletext"/>
            </w:pPr>
            <w:r w:rsidRPr="00846113">
              <w:t>30680</w:t>
            </w:r>
          </w:p>
        </w:tc>
        <w:tc>
          <w:tcPr>
            <w:tcW w:w="4819" w:type="dxa"/>
            <w:shd w:val="clear" w:color="auto" w:fill="auto"/>
          </w:tcPr>
          <w:p w14:paraId="2F89AFD5" w14:textId="4CD41F4A" w:rsidR="003A2574" w:rsidRPr="00846113" w:rsidRDefault="003A2574" w:rsidP="00196603">
            <w:pPr>
              <w:pStyle w:val="NormalBulleted10pt"/>
            </w:pPr>
            <w:r w:rsidRPr="00846113">
              <w:t>Balloon enteroscopy, examination of the small bowel (oral approach), with or without biopsy, WITHOUT intraprocedural therapy, for diagnosis of patients with obscure gastrointestinal bleeding, not in association with another item in this subgroup</w:t>
            </w:r>
            <w:r w:rsidR="00C22AE4">
              <w:t xml:space="preserve"> </w:t>
            </w:r>
            <w:r w:rsidRPr="00846113">
              <w:t>(with the exception of item 30682 or 30686)</w:t>
            </w:r>
          </w:p>
          <w:p w14:paraId="502B4E41" w14:textId="77777777" w:rsidR="003A2574" w:rsidRPr="00846113" w:rsidRDefault="003A2574" w:rsidP="00196603">
            <w:pPr>
              <w:pStyle w:val="NormalBulleted10pt"/>
            </w:pPr>
            <w:r w:rsidRPr="00846113">
              <w:t>The patient to whom the service is provided must:</w:t>
            </w:r>
          </w:p>
          <w:p w14:paraId="2865F638" w14:textId="0D8A1B84" w:rsidR="003A2574" w:rsidRPr="00196603" w:rsidRDefault="003A2574" w:rsidP="00FA1377">
            <w:pPr>
              <w:pStyle w:val="ListParagraph"/>
              <w:numPr>
                <w:ilvl w:val="1"/>
                <w:numId w:val="33"/>
              </w:numPr>
              <w:spacing w:before="60" w:line="240" w:lineRule="auto"/>
              <w:ind w:left="720" w:hanging="360"/>
              <w:rPr>
                <w:sz w:val="20"/>
                <w:szCs w:val="20"/>
              </w:rPr>
            </w:pPr>
            <w:r w:rsidRPr="00196603">
              <w:rPr>
                <w:sz w:val="20"/>
                <w:szCs w:val="20"/>
              </w:rPr>
              <w:t>have recurrent or persistent bleeding; and</w:t>
            </w:r>
          </w:p>
          <w:p w14:paraId="6AA39DAE" w14:textId="15778648" w:rsidR="003A2574" w:rsidRPr="006F1674" w:rsidRDefault="003A2574" w:rsidP="00FA1377">
            <w:pPr>
              <w:pStyle w:val="ListParagraph"/>
              <w:numPr>
                <w:ilvl w:val="1"/>
                <w:numId w:val="33"/>
              </w:numPr>
              <w:spacing w:before="60" w:line="240" w:lineRule="auto"/>
              <w:ind w:left="720" w:hanging="360"/>
              <w:rPr>
                <w:sz w:val="20"/>
                <w:szCs w:val="20"/>
              </w:rPr>
            </w:pPr>
            <w:r w:rsidRPr="006F1674">
              <w:rPr>
                <w:sz w:val="20"/>
                <w:szCs w:val="20"/>
              </w:rPr>
              <w:t>be anaemic or have active bleeding; and</w:t>
            </w:r>
          </w:p>
          <w:p w14:paraId="21E50629" w14:textId="106B408D" w:rsidR="003A2574" w:rsidRPr="006F1674" w:rsidRDefault="003A2574" w:rsidP="006F1674">
            <w:pPr>
              <w:spacing w:before="60" w:line="240" w:lineRule="auto"/>
              <w:ind w:left="360"/>
              <w:rPr>
                <w:sz w:val="20"/>
                <w:szCs w:val="20"/>
              </w:rPr>
            </w:pPr>
            <w:r w:rsidRPr="006F1674">
              <w:rPr>
                <w:sz w:val="20"/>
                <w:szCs w:val="20"/>
              </w:rPr>
              <w:t>(iii)</w:t>
            </w:r>
            <w:r w:rsidRPr="006F1674">
              <w:rPr>
                <w:sz w:val="20"/>
                <w:szCs w:val="20"/>
              </w:rPr>
              <w:tab/>
              <w:t>have had an upper gastrointestinal endoscopy and a colonoscopy performed which did not identify the cause of the bleeding.</w:t>
            </w:r>
            <w:r w:rsidR="00C22AE4" w:rsidRPr="006F1674">
              <w:rPr>
                <w:sz w:val="20"/>
                <w:szCs w:val="20"/>
              </w:rPr>
              <w:t xml:space="preserve"> </w:t>
            </w:r>
            <w:r w:rsidRPr="006F1674">
              <w:rPr>
                <w:sz w:val="20"/>
                <w:szCs w:val="20"/>
              </w:rPr>
              <w:t>(Anaes.)</w:t>
            </w:r>
          </w:p>
        </w:tc>
        <w:tc>
          <w:tcPr>
            <w:tcW w:w="1181" w:type="dxa"/>
            <w:shd w:val="clear" w:color="auto" w:fill="auto"/>
          </w:tcPr>
          <w:p w14:paraId="6A2A2696" w14:textId="77777777" w:rsidR="003A2574" w:rsidRPr="00846113" w:rsidRDefault="003A2574" w:rsidP="003175F5">
            <w:pPr>
              <w:pStyle w:val="Tabletext"/>
              <w:rPr>
                <w:color w:val="000000"/>
              </w:rPr>
            </w:pPr>
            <w:r w:rsidRPr="00846113">
              <w:t>$1,170.00</w:t>
            </w:r>
          </w:p>
        </w:tc>
        <w:tc>
          <w:tcPr>
            <w:tcW w:w="1181" w:type="dxa"/>
            <w:shd w:val="clear" w:color="auto" w:fill="auto"/>
          </w:tcPr>
          <w:p w14:paraId="6E174492" w14:textId="77777777" w:rsidR="003A2574" w:rsidRPr="001C0660" w:rsidRDefault="003A2574" w:rsidP="001C0660">
            <w:pPr>
              <w:pStyle w:val="Tabletext"/>
            </w:pPr>
            <w:r w:rsidRPr="001C0660">
              <w:t>302</w:t>
            </w:r>
          </w:p>
        </w:tc>
        <w:tc>
          <w:tcPr>
            <w:tcW w:w="1182" w:type="dxa"/>
            <w:shd w:val="clear" w:color="auto" w:fill="auto"/>
          </w:tcPr>
          <w:p w14:paraId="7C754AB7" w14:textId="3576E341" w:rsidR="003A2574" w:rsidRPr="001C0660" w:rsidRDefault="003A2574" w:rsidP="001C0660">
            <w:pPr>
              <w:pStyle w:val="Tabletext"/>
            </w:pPr>
            <w:r w:rsidRPr="001C0660">
              <w:t>60%</w:t>
            </w:r>
          </w:p>
        </w:tc>
      </w:tr>
      <w:tr w:rsidR="00387EB5" w:rsidRPr="00846113" w14:paraId="742822D4" w14:textId="77777777" w:rsidTr="00387EB5">
        <w:trPr>
          <w:trHeight w:val="274"/>
        </w:trPr>
        <w:tc>
          <w:tcPr>
            <w:tcW w:w="851" w:type="dxa"/>
            <w:shd w:val="clear" w:color="auto" w:fill="auto"/>
          </w:tcPr>
          <w:p w14:paraId="008E6AC5" w14:textId="77777777" w:rsidR="003A2574" w:rsidRPr="00846113" w:rsidRDefault="003A2574" w:rsidP="003175F5">
            <w:pPr>
              <w:pStyle w:val="Tabletext"/>
            </w:pPr>
            <w:r w:rsidRPr="00846113">
              <w:t>30682</w:t>
            </w:r>
          </w:p>
        </w:tc>
        <w:tc>
          <w:tcPr>
            <w:tcW w:w="4819" w:type="dxa"/>
            <w:shd w:val="clear" w:color="auto" w:fill="auto"/>
          </w:tcPr>
          <w:p w14:paraId="72A2A9E1" w14:textId="77777777" w:rsidR="003A2574" w:rsidRPr="00846113" w:rsidRDefault="003A2574" w:rsidP="00196603">
            <w:pPr>
              <w:pStyle w:val="NormalBulleted10pt"/>
            </w:pPr>
            <w:r w:rsidRPr="00846113">
              <w:t>Balloon enteroscopy, examination of the small bowel (anal approach), with or without biopsy, WITHOUT intraprocedural therapy, for diagnosis of patients with obscure gastrointestinal bleeding, not in association with another item in this subgroup (with the exception of item 30680 or 30684)</w:t>
            </w:r>
          </w:p>
          <w:p w14:paraId="655C2448" w14:textId="77777777" w:rsidR="003A2574" w:rsidRPr="00846113" w:rsidRDefault="003A2574" w:rsidP="00196603">
            <w:pPr>
              <w:pStyle w:val="NormalBulleted10pt"/>
            </w:pPr>
            <w:r w:rsidRPr="00846113">
              <w:t>The patient to whom the service is provided must:</w:t>
            </w:r>
          </w:p>
          <w:p w14:paraId="1AE8DA2A" w14:textId="59651888" w:rsidR="003A2574" w:rsidRPr="006F1674" w:rsidRDefault="003A2574" w:rsidP="00FA1377">
            <w:pPr>
              <w:pStyle w:val="ListParagraph"/>
              <w:numPr>
                <w:ilvl w:val="1"/>
                <w:numId w:val="42"/>
              </w:numPr>
              <w:spacing w:before="60" w:line="240" w:lineRule="auto"/>
              <w:ind w:left="720" w:hanging="360"/>
              <w:rPr>
                <w:sz w:val="20"/>
                <w:szCs w:val="20"/>
              </w:rPr>
            </w:pPr>
            <w:r w:rsidRPr="006F1674">
              <w:rPr>
                <w:sz w:val="20"/>
                <w:szCs w:val="20"/>
              </w:rPr>
              <w:t>have recurrent or persistent bleeding; and</w:t>
            </w:r>
          </w:p>
          <w:p w14:paraId="72064855" w14:textId="5EDE0239" w:rsidR="003A2574" w:rsidRPr="006F1674" w:rsidRDefault="003A2574" w:rsidP="00FA1377">
            <w:pPr>
              <w:pStyle w:val="ListParagraph"/>
              <w:numPr>
                <w:ilvl w:val="1"/>
                <w:numId w:val="42"/>
              </w:numPr>
              <w:spacing w:before="60" w:line="240" w:lineRule="auto"/>
              <w:ind w:left="720" w:hanging="360"/>
              <w:rPr>
                <w:sz w:val="20"/>
                <w:szCs w:val="20"/>
              </w:rPr>
            </w:pPr>
            <w:r w:rsidRPr="006F1674">
              <w:rPr>
                <w:sz w:val="20"/>
                <w:szCs w:val="20"/>
              </w:rPr>
              <w:t>be anaemic or have active bleeding; and</w:t>
            </w:r>
          </w:p>
          <w:p w14:paraId="2793E81E" w14:textId="1F7CAD3D" w:rsidR="003A2574" w:rsidRPr="006F1674" w:rsidRDefault="003A2574" w:rsidP="006F1674">
            <w:pPr>
              <w:spacing w:before="60" w:line="240" w:lineRule="auto"/>
              <w:ind w:left="360"/>
              <w:rPr>
                <w:sz w:val="20"/>
                <w:szCs w:val="20"/>
              </w:rPr>
            </w:pPr>
            <w:r w:rsidRPr="006F1674">
              <w:rPr>
                <w:sz w:val="20"/>
                <w:szCs w:val="20"/>
              </w:rPr>
              <w:t>(iii)</w:t>
            </w:r>
            <w:r w:rsidRPr="006F1674">
              <w:rPr>
                <w:sz w:val="20"/>
                <w:szCs w:val="20"/>
              </w:rPr>
              <w:tab/>
              <w:t>have had an upper gastrointestinal endoscopy and a colonoscopy performed which did not identify the cause of the bleeding.</w:t>
            </w:r>
            <w:r w:rsidR="00387EB5" w:rsidRPr="006F1674">
              <w:rPr>
                <w:sz w:val="20"/>
                <w:szCs w:val="20"/>
              </w:rPr>
              <w:t xml:space="preserve"> </w:t>
            </w:r>
            <w:r w:rsidRPr="006F1674">
              <w:rPr>
                <w:sz w:val="20"/>
                <w:szCs w:val="20"/>
              </w:rPr>
              <w:t>(Anaes.)</w:t>
            </w:r>
          </w:p>
        </w:tc>
        <w:tc>
          <w:tcPr>
            <w:tcW w:w="1181" w:type="dxa"/>
            <w:shd w:val="clear" w:color="auto" w:fill="auto"/>
          </w:tcPr>
          <w:p w14:paraId="703C9F16" w14:textId="77777777" w:rsidR="003A2574" w:rsidRPr="00846113" w:rsidRDefault="003A2574" w:rsidP="003175F5">
            <w:pPr>
              <w:pStyle w:val="Tabletext"/>
              <w:rPr>
                <w:color w:val="000000"/>
              </w:rPr>
            </w:pPr>
            <w:r w:rsidRPr="00846113">
              <w:t>$1,170.00</w:t>
            </w:r>
          </w:p>
        </w:tc>
        <w:tc>
          <w:tcPr>
            <w:tcW w:w="1181" w:type="dxa"/>
            <w:shd w:val="clear" w:color="auto" w:fill="auto"/>
          </w:tcPr>
          <w:p w14:paraId="60B0072D" w14:textId="77777777" w:rsidR="003A2574" w:rsidRPr="001C0660" w:rsidRDefault="003A2574" w:rsidP="001C0660">
            <w:pPr>
              <w:pStyle w:val="Tabletext"/>
            </w:pPr>
            <w:r w:rsidRPr="001C0660">
              <w:t>239</w:t>
            </w:r>
          </w:p>
        </w:tc>
        <w:tc>
          <w:tcPr>
            <w:tcW w:w="1182" w:type="dxa"/>
            <w:shd w:val="clear" w:color="auto" w:fill="auto"/>
          </w:tcPr>
          <w:p w14:paraId="5C1030AC" w14:textId="77777777" w:rsidR="003A2574" w:rsidRPr="001C0660" w:rsidRDefault="003A2574" w:rsidP="001C0660">
            <w:pPr>
              <w:pStyle w:val="Tabletext"/>
            </w:pPr>
            <w:r w:rsidRPr="001C0660">
              <w:t>44%</w:t>
            </w:r>
          </w:p>
        </w:tc>
      </w:tr>
      <w:tr w:rsidR="00387EB5" w:rsidRPr="00846113" w14:paraId="306D38FF" w14:textId="77777777" w:rsidTr="00387EB5">
        <w:trPr>
          <w:trHeight w:val="274"/>
        </w:trPr>
        <w:tc>
          <w:tcPr>
            <w:tcW w:w="851" w:type="dxa"/>
            <w:shd w:val="clear" w:color="auto" w:fill="auto"/>
          </w:tcPr>
          <w:p w14:paraId="42CD11E1" w14:textId="77777777" w:rsidR="003A2574" w:rsidRPr="00846113" w:rsidRDefault="003A2574" w:rsidP="003175F5">
            <w:pPr>
              <w:pStyle w:val="Tabletext"/>
            </w:pPr>
            <w:r w:rsidRPr="00846113">
              <w:t>30684</w:t>
            </w:r>
          </w:p>
        </w:tc>
        <w:tc>
          <w:tcPr>
            <w:tcW w:w="4819" w:type="dxa"/>
            <w:shd w:val="clear" w:color="auto" w:fill="auto"/>
          </w:tcPr>
          <w:p w14:paraId="5033D01C" w14:textId="77777777" w:rsidR="003A2574" w:rsidRPr="00846113" w:rsidRDefault="003A2574" w:rsidP="00196603">
            <w:pPr>
              <w:pStyle w:val="NormalBulleted10pt"/>
            </w:pPr>
            <w:r w:rsidRPr="00846113">
              <w:t>Balloon enteroscopy, examination of the small bowel (oral approach), with or without biopsy, WITH 1 or more of the following procedures (snare polypectomy, removal of foreign body, diathermy, heater probe, laser coagulation or argon plasma coagulation), for diagnosis and management of patients with obscure gastrointestinal bleeding, not in association with another item in this subgroup (with the exception of item 30682 or 30686)</w:t>
            </w:r>
          </w:p>
          <w:p w14:paraId="6EC3A72C" w14:textId="77777777" w:rsidR="003A2574" w:rsidRPr="00846113" w:rsidRDefault="003A2574" w:rsidP="00196603">
            <w:pPr>
              <w:pStyle w:val="NormalBulleted10pt"/>
            </w:pPr>
            <w:r w:rsidRPr="00846113">
              <w:t>The patient to whom the service is provided must:</w:t>
            </w:r>
          </w:p>
          <w:p w14:paraId="62F13D7E" w14:textId="4D50157B" w:rsidR="003A2574" w:rsidRPr="006F1674" w:rsidRDefault="003A2574" w:rsidP="00FA1377">
            <w:pPr>
              <w:pStyle w:val="ListParagraph"/>
              <w:numPr>
                <w:ilvl w:val="1"/>
                <w:numId w:val="29"/>
              </w:numPr>
              <w:spacing w:before="60" w:line="240" w:lineRule="auto"/>
              <w:ind w:left="720" w:hanging="360"/>
              <w:rPr>
                <w:sz w:val="20"/>
                <w:szCs w:val="20"/>
              </w:rPr>
            </w:pPr>
            <w:r w:rsidRPr="006F1674">
              <w:rPr>
                <w:sz w:val="20"/>
                <w:szCs w:val="20"/>
              </w:rPr>
              <w:t>have recurrent or persistent bleeding; and</w:t>
            </w:r>
          </w:p>
          <w:p w14:paraId="5BD0E403" w14:textId="04098A8D" w:rsidR="003A2574" w:rsidRPr="006F1674" w:rsidRDefault="003A2574" w:rsidP="00FA1377">
            <w:pPr>
              <w:pStyle w:val="ListParagraph"/>
              <w:numPr>
                <w:ilvl w:val="1"/>
                <w:numId w:val="29"/>
              </w:numPr>
              <w:spacing w:before="60" w:line="240" w:lineRule="auto"/>
              <w:ind w:left="720" w:hanging="360"/>
              <w:rPr>
                <w:sz w:val="20"/>
                <w:szCs w:val="20"/>
              </w:rPr>
            </w:pPr>
            <w:r w:rsidRPr="006F1674">
              <w:rPr>
                <w:sz w:val="20"/>
                <w:szCs w:val="20"/>
              </w:rPr>
              <w:t>be anaemic or have active bleeding; and</w:t>
            </w:r>
          </w:p>
          <w:p w14:paraId="77C82DBD" w14:textId="51C8CCE3" w:rsidR="003A2574" w:rsidRPr="006F1674" w:rsidRDefault="003A2574" w:rsidP="006F1674">
            <w:pPr>
              <w:pStyle w:val="ListParagraph"/>
              <w:spacing w:before="60" w:line="240" w:lineRule="auto"/>
              <w:rPr>
                <w:sz w:val="20"/>
                <w:szCs w:val="20"/>
              </w:rPr>
            </w:pPr>
            <w:r w:rsidRPr="006F1674">
              <w:rPr>
                <w:sz w:val="20"/>
                <w:szCs w:val="20"/>
              </w:rPr>
              <w:lastRenderedPageBreak/>
              <w:t>(iii)</w:t>
            </w:r>
            <w:r w:rsidRPr="006F1674">
              <w:rPr>
                <w:sz w:val="20"/>
                <w:szCs w:val="20"/>
              </w:rPr>
              <w:tab/>
              <w:t>have had an upper gastrointestinal endoscopy and a colonoscopy performed which did not identify the cause of the bleeding.</w:t>
            </w:r>
            <w:r w:rsidR="00C22AE4" w:rsidRPr="006F1674">
              <w:rPr>
                <w:sz w:val="20"/>
                <w:szCs w:val="20"/>
              </w:rPr>
              <w:t xml:space="preserve"> </w:t>
            </w:r>
            <w:r w:rsidRPr="006F1674">
              <w:rPr>
                <w:sz w:val="20"/>
                <w:szCs w:val="20"/>
              </w:rPr>
              <w:t>(Anaes.)</w:t>
            </w:r>
          </w:p>
        </w:tc>
        <w:tc>
          <w:tcPr>
            <w:tcW w:w="1181" w:type="dxa"/>
            <w:shd w:val="clear" w:color="auto" w:fill="auto"/>
          </w:tcPr>
          <w:p w14:paraId="558FA604" w14:textId="77777777" w:rsidR="003A2574" w:rsidRPr="00846113" w:rsidRDefault="003A2574" w:rsidP="003175F5">
            <w:pPr>
              <w:pStyle w:val="Tabletext"/>
              <w:rPr>
                <w:color w:val="000000"/>
              </w:rPr>
            </w:pPr>
            <w:r w:rsidRPr="00846113">
              <w:lastRenderedPageBreak/>
              <w:t>$1,439.85</w:t>
            </w:r>
          </w:p>
        </w:tc>
        <w:tc>
          <w:tcPr>
            <w:tcW w:w="1181" w:type="dxa"/>
            <w:shd w:val="clear" w:color="auto" w:fill="auto"/>
          </w:tcPr>
          <w:p w14:paraId="02E0D920" w14:textId="77777777" w:rsidR="003A2574" w:rsidRPr="001C0660" w:rsidRDefault="003A2574" w:rsidP="001C0660">
            <w:pPr>
              <w:pStyle w:val="Tabletext"/>
            </w:pPr>
            <w:r w:rsidRPr="001C0660">
              <w:t>364</w:t>
            </w:r>
          </w:p>
        </w:tc>
        <w:tc>
          <w:tcPr>
            <w:tcW w:w="1182" w:type="dxa"/>
            <w:shd w:val="clear" w:color="auto" w:fill="auto"/>
          </w:tcPr>
          <w:p w14:paraId="06F642CC" w14:textId="77777777" w:rsidR="003A2574" w:rsidRPr="001C0660" w:rsidRDefault="003A2574" w:rsidP="001C0660">
            <w:pPr>
              <w:pStyle w:val="Tabletext"/>
            </w:pPr>
            <w:r w:rsidRPr="001C0660">
              <w:t>144%</w:t>
            </w:r>
          </w:p>
        </w:tc>
      </w:tr>
      <w:tr w:rsidR="00387EB5" w:rsidRPr="00846113" w14:paraId="7C5B28E8" w14:textId="77777777" w:rsidTr="00387EB5">
        <w:trPr>
          <w:trHeight w:val="274"/>
        </w:trPr>
        <w:tc>
          <w:tcPr>
            <w:tcW w:w="851" w:type="dxa"/>
            <w:shd w:val="clear" w:color="auto" w:fill="auto"/>
          </w:tcPr>
          <w:p w14:paraId="69305189" w14:textId="77777777" w:rsidR="003A2574" w:rsidRPr="00846113" w:rsidRDefault="003A2574" w:rsidP="003175F5">
            <w:pPr>
              <w:pStyle w:val="Tabletext"/>
            </w:pPr>
            <w:r w:rsidRPr="00846113">
              <w:t>30686</w:t>
            </w:r>
          </w:p>
        </w:tc>
        <w:tc>
          <w:tcPr>
            <w:tcW w:w="4819" w:type="dxa"/>
            <w:shd w:val="clear" w:color="auto" w:fill="auto"/>
          </w:tcPr>
          <w:p w14:paraId="7DB4ED97" w14:textId="77777777" w:rsidR="003A2574" w:rsidRPr="00846113" w:rsidRDefault="003A2574" w:rsidP="006F1674">
            <w:pPr>
              <w:pStyle w:val="NormalBulleted10pt"/>
            </w:pPr>
            <w:r w:rsidRPr="00846113">
              <w:t>Balloon enteroscopy, examination of the small bowel (anal approach), with or without biopsy, WITH 1 or more of the following procedures (snare polypectomy, removal of foreign body, diathermy, heater probe, laser coagulation or argon plasma coagulation), for diagnosis and management of patients with obscure gastrointestinal bleeding, not in association with another item in this subgroup (with the exception of item 30680 or 30684)</w:t>
            </w:r>
          </w:p>
          <w:p w14:paraId="210BA2E8" w14:textId="77777777" w:rsidR="003A2574" w:rsidRPr="00846113" w:rsidRDefault="003A2574" w:rsidP="006F1674">
            <w:pPr>
              <w:pStyle w:val="NormalBulleted10pt"/>
            </w:pPr>
            <w:r w:rsidRPr="00846113">
              <w:t>The patient to whom the service is provided must:</w:t>
            </w:r>
          </w:p>
          <w:p w14:paraId="56756B3B" w14:textId="482E4738" w:rsidR="003A2574" w:rsidRPr="006F1674" w:rsidRDefault="003A2574" w:rsidP="00FA1377">
            <w:pPr>
              <w:pStyle w:val="ListParagraph"/>
              <w:numPr>
                <w:ilvl w:val="1"/>
                <w:numId w:val="27"/>
              </w:numPr>
              <w:spacing w:before="60" w:line="240" w:lineRule="auto"/>
              <w:ind w:left="720" w:hanging="360"/>
              <w:rPr>
                <w:sz w:val="20"/>
                <w:szCs w:val="20"/>
              </w:rPr>
            </w:pPr>
            <w:r w:rsidRPr="006F1674">
              <w:rPr>
                <w:sz w:val="20"/>
                <w:szCs w:val="20"/>
              </w:rPr>
              <w:t>have recurrent or persistent bleeding; and</w:t>
            </w:r>
          </w:p>
          <w:p w14:paraId="719FA52D" w14:textId="6B288ED6" w:rsidR="003A2574" w:rsidRPr="006F1674" w:rsidRDefault="003A2574" w:rsidP="00FA1377">
            <w:pPr>
              <w:pStyle w:val="ListParagraph"/>
              <w:numPr>
                <w:ilvl w:val="1"/>
                <w:numId w:val="27"/>
              </w:numPr>
              <w:spacing w:before="60" w:line="240" w:lineRule="auto"/>
              <w:ind w:left="720" w:hanging="360"/>
              <w:rPr>
                <w:sz w:val="20"/>
                <w:szCs w:val="20"/>
              </w:rPr>
            </w:pPr>
            <w:r w:rsidRPr="006F1674">
              <w:rPr>
                <w:sz w:val="20"/>
                <w:szCs w:val="20"/>
              </w:rPr>
              <w:t>be anaemic or have active bleeding; and</w:t>
            </w:r>
          </w:p>
          <w:p w14:paraId="14909B06" w14:textId="6546C9D8" w:rsidR="003A2574" w:rsidRPr="006F1674" w:rsidRDefault="003A2574" w:rsidP="006F1674">
            <w:pPr>
              <w:spacing w:before="60" w:line="240" w:lineRule="auto"/>
              <w:ind w:left="360"/>
              <w:rPr>
                <w:sz w:val="20"/>
                <w:szCs w:val="20"/>
              </w:rPr>
            </w:pPr>
            <w:r w:rsidRPr="006F1674">
              <w:rPr>
                <w:sz w:val="20"/>
                <w:szCs w:val="20"/>
              </w:rPr>
              <w:t>(iii)</w:t>
            </w:r>
            <w:r w:rsidRPr="006F1674">
              <w:rPr>
                <w:sz w:val="20"/>
                <w:szCs w:val="20"/>
              </w:rPr>
              <w:tab/>
              <w:t>have had an upper gastrointestinal endoscopy and a colonoscopy performed which did not identify the cause of the bleeding. (Anaes.)</w:t>
            </w:r>
          </w:p>
        </w:tc>
        <w:tc>
          <w:tcPr>
            <w:tcW w:w="1181" w:type="dxa"/>
            <w:shd w:val="clear" w:color="auto" w:fill="auto"/>
          </w:tcPr>
          <w:p w14:paraId="0A97E969" w14:textId="77777777" w:rsidR="003A2574" w:rsidRPr="00846113" w:rsidRDefault="003A2574" w:rsidP="003175F5">
            <w:pPr>
              <w:pStyle w:val="Tabletext"/>
              <w:rPr>
                <w:color w:val="000000"/>
              </w:rPr>
            </w:pPr>
            <w:r w:rsidRPr="00846113">
              <w:t>$1,439.85</w:t>
            </w:r>
          </w:p>
        </w:tc>
        <w:tc>
          <w:tcPr>
            <w:tcW w:w="1181" w:type="dxa"/>
            <w:shd w:val="clear" w:color="auto" w:fill="auto"/>
          </w:tcPr>
          <w:p w14:paraId="00E2056A" w14:textId="77777777" w:rsidR="003A2574" w:rsidRPr="001C0660" w:rsidRDefault="003A2574" w:rsidP="001C0660">
            <w:pPr>
              <w:pStyle w:val="Tabletext"/>
            </w:pPr>
            <w:r w:rsidRPr="001C0660">
              <w:t>105</w:t>
            </w:r>
          </w:p>
        </w:tc>
        <w:tc>
          <w:tcPr>
            <w:tcW w:w="1182" w:type="dxa"/>
            <w:shd w:val="clear" w:color="auto" w:fill="auto"/>
          </w:tcPr>
          <w:p w14:paraId="79F663AF" w14:textId="77777777" w:rsidR="003A2574" w:rsidRPr="001C0660" w:rsidRDefault="003A2574" w:rsidP="001C0660">
            <w:pPr>
              <w:pStyle w:val="Tabletext"/>
            </w:pPr>
            <w:r w:rsidRPr="001C0660">
              <w:t>48%</w:t>
            </w:r>
          </w:p>
        </w:tc>
      </w:tr>
    </w:tbl>
    <w:p w14:paraId="503D4D15" w14:textId="77777777" w:rsidR="003A2574" w:rsidRPr="00094CD8" w:rsidRDefault="003A2574" w:rsidP="00275472">
      <w:pPr>
        <w:pStyle w:val="TableUnder"/>
      </w:pPr>
      <w:r w:rsidRPr="00094CD8">
        <w:t>Source: Publicly available MBS Data (Department of Human Services website)</w:t>
      </w:r>
    </w:p>
    <w:p w14:paraId="5AC301C2" w14:textId="77777777" w:rsidR="003A2574" w:rsidRDefault="003A2574" w:rsidP="004412C0">
      <w:pPr>
        <w:pStyle w:val="Heading3"/>
      </w:pPr>
      <w:bookmarkStart w:id="205" w:name="_Toc457307525"/>
      <w:r w:rsidRPr="004412C0">
        <w:t>Rationale</w:t>
      </w:r>
      <w:bookmarkEnd w:id="205"/>
    </w:p>
    <w:p w14:paraId="0627553C" w14:textId="0B8B5186" w:rsidR="003A2574" w:rsidRDefault="003A2574" w:rsidP="00387EB5">
      <w:r w:rsidRPr="00BD184C">
        <w:t>The Committee noted that an important emerging clinical gap is the enteroscopic management (diagnosis and therapy) of small bowel strictures in the absence of anaemia or bleeding.</w:t>
      </w:r>
      <w:r w:rsidR="00C22AE4">
        <w:t xml:space="preserve"> </w:t>
      </w:r>
      <w:r w:rsidRPr="00BD184C">
        <w:t>With enhanced small bowel cross-sectional imaging, increasing numbers of patients with enteric masses and strictures are being referred for balloon enteroscopy for characterization and treatment.</w:t>
      </w:r>
      <w:r w:rsidR="00C22AE4">
        <w:t xml:space="preserve"> </w:t>
      </w:r>
    </w:p>
    <w:p w14:paraId="2DFD8589" w14:textId="28DA2908" w:rsidR="003A2574" w:rsidRDefault="003A2574" w:rsidP="00387EB5">
      <w:r w:rsidRPr="00BD184C">
        <w:t xml:space="preserve">Currently these items are restricted to </w:t>
      </w:r>
      <w:r>
        <w:t xml:space="preserve">patients who present with </w:t>
      </w:r>
      <w:r w:rsidRPr="00BD184C">
        <w:t>bleeding and anaemia, similar to capsule endoscopy, and the therapeutic</w:t>
      </w:r>
      <w:r>
        <w:t xml:space="preserve"> interventions</w:t>
      </w:r>
      <w:r w:rsidRPr="00BD184C">
        <w:t xml:space="preserve"> available do not include balloon dilatation.</w:t>
      </w:r>
      <w:r w:rsidR="00C22AE4">
        <w:t xml:space="preserve"> </w:t>
      </w:r>
      <w:r w:rsidRPr="00BD184C">
        <w:t>This significantly restricts the management of these patients, and exposes them to unnecessary other tests and procedures, including surgery.</w:t>
      </w:r>
      <w:r w:rsidR="00C22AE4">
        <w:t xml:space="preserve"> </w:t>
      </w:r>
    </w:p>
    <w:p w14:paraId="71F8AF16" w14:textId="6C750A4D" w:rsidR="003A2574" w:rsidRDefault="003A2574" w:rsidP="00387EB5">
      <w:r>
        <w:t>The Committee noted that in its November 2013 assessment for these services (MSAC application 1206) MSAC reported that balloon enteroscopy may be useful in patients with small bowel disease who present without bleeding.</w:t>
      </w:r>
      <w:r w:rsidR="00C22AE4">
        <w:t xml:space="preserve"> </w:t>
      </w:r>
      <w:r>
        <w:t>However, the applicant had not sought MBS listing for these conditions.</w:t>
      </w:r>
      <w:r w:rsidR="00C22AE4">
        <w:t xml:space="preserve"> </w:t>
      </w:r>
      <w:r w:rsidRPr="00BD184C">
        <w:t xml:space="preserve">The Committee noted that an expansion of the clinical conditions </w:t>
      </w:r>
      <w:r>
        <w:t xml:space="preserve">for these services </w:t>
      </w:r>
      <w:r w:rsidRPr="00BD184C">
        <w:t xml:space="preserve">would need to be referred </w:t>
      </w:r>
      <w:r>
        <w:t xml:space="preserve">back to MSAC </w:t>
      </w:r>
      <w:r w:rsidRPr="00BD184C">
        <w:t>for assessment</w:t>
      </w:r>
      <w:r>
        <w:t>.</w:t>
      </w:r>
    </w:p>
    <w:p w14:paraId="488C2FA3" w14:textId="42F94DE1" w:rsidR="00592755" w:rsidRDefault="00592755" w:rsidP="00592755">
      <w:r>
        <w:t xml:space="preserve">For clarity, the </w:t>
      </w:r>
      <w:r w:rsidR="005C1B84">
        <w:t>C</w:t>
      </w:r>
      <w:r>
        <w:t xml:space="preserve">ommittee noted the difference between balloon enteroscopy (where a balloon attached to the endoscope (single balloon) or to the endoscope and associated overtube (double balloon) to enable passage of the endoscope through the small bowel, and endoscopic balloon dilatation which is a therapeutic procedure using a </w:t>
      </w:r>
      <w:r w:rsidR="005D62E7">
        <w:t>‘</w:t>
      </w:r>
      <w:r>
        <w:t>through the scope</w:t>
      </w:r>
      <w:r w:rsidR="005D62E7">
        <w:t>’</w:t>
      </w:r>
      <w:r>
        <w:t xml:space="preserve"> balloon which is inflated to treat strictures in the bowel, in this case, through a single or double balloon enteroscope.</w:t>
      </w:r>
    </w:p>
    <w:p w14:paraId="6C61C26B" w14:textId="3C56D456" w:rsidR="003A2574" w:rsidRPr="00F563E5" w:rsidRDefault="007161FD" w:rsidP="00813502">
      <w:pPr>
        <w:pStyle w:val="Rec"/>
        <w:numPr>
          <w:ilvl w:val="0"/>
          <w:numId w:val="0"/>
        </w:numPr>
      </w:pPr>
      <w:bookmarkStart w:id="206" w:name="_Toc485731773"/>
      <w:r>
        <w:lastRenderedPageBreak/>
        <w:t>Recommendation 8:</w:t>
      </w:r>
      <w:r>
        <w:tab/>
      </w:r>
      <w:r w:rsidR="00387EB5">
        <w:t>Balloon Enteroscopy</w:t>
      </w:r>
      <w:bookmarkEnd w:id="206"/>
    </w:p>
    <w:p w14:paraId="7D6C8492" w14:textId="77777777" w:rsidR="003A2574" w:rsidRDefault="003A2574" w:rsidP="003A2574">
      <w:r w:rsidRPr="00BD184C">
        <w:t>The Committee recommends a</w:t>
      </w:r>
      <w:r>
        <w:t>n</w:t>
      </w:r>
      <w:r w:rsidRPr="00BD184C">
        <w:t xml:space="preserve"> MSAC</w:t>
      </w:r>
      <w:r>
        <w:t xml:space="preserve"> </w:t>
      </w:r>
      <w:r w:rsidRPr="00BD184C">
        <w:t xml:space="preserve">assessment to </w:t>
      </w:r>
      <w:r>
        <w:t xml:space="preserve">expand the conditions for these </w:t>
      </w:r>
      <w:r w:rsidRPr="00BD184C">
        <w:t>items</w:t>
      </w:r>
      <w:r>
        <w:t xml:space="preserve"> </w:t>
      </w:r>
      <w:r w:rsidRPr="00BD184C">
        <w:t>to manage small bowel diseases without anaemia or bleeding, specifically, but not restricted to, Crohn</w:t>
      </w:r>
      <w:r>
        <w:t>’</w:t>
      </w:r>
      <w:r w:rsidRPr="00BD184C">
        <w:t>s disease</w:t>
      </w:r>
      <w:r w:rsidRPr="00657E31">
        <w:t>.</w:t>
      </w:r>
    </w:p>
    <w:p w14:paraId="4726BF10" w14:textId="77777777" w:rsidR="003A2574" w:rsidRDefault="003A2574" w:rsidP="003175F5">
      <w:pPr>
        <w:pStyle w:val="Heading3"/>
      </w:pPr>
      <w:bookmarkStart w:id="207" w:name="_Toc457307527"/>
      <w:r w:rsidRPr="003175F5">
        <w:t>Recommendation</w:t>
      </w:r>
      <w:r>
        <w:t xml:space="preserve"> Impact Statement</w:t>
      </w:r>
      <w:bookmarkEnd w:id="207"/>
    </w:p>
    <w:p w14:paraId="76BBC952" w14:textId="1B2B69D8" w:rsidR="005318D3" w:rsidRPr="00FA1377" w:rsidRDefault="003A2574" w:rsidP="004304F5">
      <w:pPr>
        <w:widowControl w:val="0"/>
        <w:autoSpaceDE w:val="0"/>
        <w:autoSpaceDN w:val="0"/>
        <w:adjustRightInd w:val="0"/>
        <w:rPr>
          <w:rFonts w:eastAsiaTheme="minorHAnsi"/>
        </w:rPr>
      </w:pPr>
      <w:r>
        <w:rPr>
          <w:rFonts w:cs="Arial"/>
          <w:iCs/>
        </w:rPr>
        <w:t xml:space="preserve">No changes to these items have been recommended. However, MSAC will be asked to </w:t>
      </w:r>
      <w:r w:rsidRPr="0032145D">
        <w:rPr>
          <w:rFonts w:cs="Arial"/>
          <w:iCs/>
        </w:rPr>
        <w:t>review</w:t>
      </w:r>
      <w:r>
        <w:rPr>
          <w:rFonts w:cs="Arial"/>
          <w:iCs/>
        </w:rPr>
        <w:t xml:space="preserve"> these items </w:t>
      </w:r>
      <w:r w:rsidRPr="0032145D">
        <w:rPr>
          <w:rFonts w:cs="Arial"/>
          <w:iCs/>
        </w:rPr>
        <w:t xml:space="preserve">to expand </w:t>
      </w:r>
      <w:r>
        <w:rPr>
          <w:rFonts w:cs="Arial"/>
          <w:iCs/>
        </w:rPr>
        <w:t xml:space="preserve">the </w:t>
      </w:r>
      <w:r w:rsidRPr="0032145D">
        <w:rPr>
          <w:rFonts w:cs="Arial"/>
          <w:iCs/>
        </w:rPr>
        <w:t xml:space="preserve">conditions </w:t>
      </w:r>
      <w:r>
        <w:rPr>
          <w:rFonts w:cs="Arial"/>
          <w:iCs/>
        </w:rPr>
        <w:t>and patient population to better manage a range of small bowel diseases.</w:t>
      </w:r>
      <w:r w:rsidR="00C22AE4">
        <w:rPr>
          <w:rFonts w:cs="Arial"/>
          <w:iCs/>
        </w:rPr>
        <w:t xml:space="preserve"> </w:t>
      </w:r>
      <w:bookmarkStart w:id="208" w:name="_Toc457307528"/>
      <w:r w:rsidR="005318D3">
        <w:br w:type="page"/>
      </w:r>
    </w:p>
    <w:p w14:paraId="2C9B30CA" w14:textId="73253DAB" w:rsidR="003A2574" w:rsidRDefault="003A2574" w:rsidP="003175F5">
      <w:pPr>
        <w:pStyle w:val="Heading1"/>
      </w:pPr>
      <w:bookmarkStart w:id="209" w:name="_Toc485731774"/>
      <w:r>
        <w:lastRenderedPageBreak/>
        <w:t xml:space="preserve">New </w:t>
      </w:r>
      <w:r w:rsidRPr="003175F5">
        <w:t>Items</w:t>
      </w:r>
      <w:bookmarkEnd w:id="208"/>
      <w:bookmarkEnd w:id="209"/>
    </w:p>
    <w:p w14:paraId="58AB83AF" w14:textId="77777777" w:rsidR="003A2574" w:rsidRPr="008D3569" w:rsidRDefault="003A2574" w:rsidP="003175F5">
      <w:pPr>
        <w:pStyle w:val="Heading2"/>
      </w:pPr>
      <w:bookmarkStart w:id="210" w:name="_Toc456188389"/>
      <w:bookmarkStart w:id="211" w:name="_Toc457307529"/>
      <w:bookmarkStart w:id="212" w:name="_Ref457362198"/>
      <w:r w:rsidRPr="008D3569">
        <w:t>Endoscopic Mucosal Resection</w:t>
      </w:r>
      <w:bookmarkEnd w:id="210"/>
      <w:bookmarkEnd w:id="211"/>
      <w:bookmarkEnd w:id="212"/>
    </w:p>
    <w:p w14:paraId="46E7A34C" w14:textId="77777777" w:rsidR="003A2574" w:rsidRPr="00A71047" w:rsidRDefault="003A2574" w:rsidP="003175F5">
      <w:pPr>
        <w:pStyle w:val="Heading3"/>
      </w:pPr>
      <w:bookmarkStart w:id="213" w:name="_Toc457307530"/>
      <w:r w:rsidRPr="003175F5">
        <w:t>Issues</w:t>
      </w:r>
      <w:bookmarkEnd w:id="213"/>
    </w:p>
    <w:p w14:paraId="3F706277" w14:textId="6F6E6423" w:rsidR="003A2574" w:rsidRDefault="003A2574" w:rsidP="003A2574">
      <w:r w:rsidRPr="00A92982">
        <w:t xml:space="preserve">The </w:t>
      </w:r>
      <w:r>
        <w:t>Committee proposes that consideration be given to adding a new MBS item for the removal of very large polyps by Endoscopic Mucosal Resection (EMR).</w:t>
      </w:r>
      <w:r w:rsidR="00C22AE4">
        <w:t xml:space="preserve"> </w:t>
      </w:r>
      <w:r>
        <w:t>The Committee noted that if surgery is currently the only approach for the removal of very large polyps then EMR would need to meet an evidence threshold for clinical safety.</w:t>
      </w:r>
      <w:r w:rsidR="00C22AE4">
        <w:t xml:space="preserve"> </w:t>
      </w:r>
      <w:r>
        <w:t>If a fee greater than colonoscopy is envisaged then cost effectiveness must also be considered.</w:t>
      </w:r>
      <w:r w:rsidR="00C22AE4">
        <w:t xml:space="preserve"> </w:t>
      </w:r>
    </w:p>
    <w:p w14:paraId="557E507D" w14:textId="77777777" w:rsidR="003A2574" w:rsidRDefault="003A2574" w:rsidP="003175F5">
      <w:pPr>
        <w:pStyle w:val="Heading3"/>
      </w:pPr>
      <w:bookmarkStart w:id="214" w:name="_Toc457307531"/>
      <w:r w:rsidRPr="003175F5">
        <w:t>Rationale</w:t>
      </w:r>
      <w:bookmarkEnd w:id="214"/>
    </w:p>
    <w:p w14:paraId="69E29C68" w14:textId="67035555" w:rsidR="003A2574" w:rsidRDefault="003A2574" w:rsidP="003A2574">
      <w:r w:rsidRPr="00D707B3">
        <w:t xml:space="preserve">The Committee </w:t>
      </w:r>
      <w:r>
        <w:t>considered research evidence on the safety, clinical effectiveness and cost-effectiveness of this procedure and noted the widespread use in public hospitals.</w:t>
      </w:r>
      <w:r w:rsidR="00C22AE4">
        <w:t xml:space="preserve"> </w:t>
      </w:r>
      <w:r>
        <w:t xml:space="preserve">The Committee noted the range of EMR </w:t>
      </w:r>
      <w:r w:rsidRPr="00387EB5">
        <w:t>complexity, time and expertise required to perform the procedure and considered if the service should be restricted</w:t>
      </w:r>
      <w:r>
        <w:t xml:space="preserve"> to specialist to specialist referrals and or if specifying the size of the </w:t>
      </w:r>
      <w:r w:rsidRPr="00D707B3">
        <w:t>resected specimen</w:t>
      </w:r>
      <w:r>
        <w:t xml:space="preserve"> is required.</w:t>
      </w:r>
      <w:r w:rsidR="00C22AE4">
        <w:t xml:space="preserve"> </w:t>
      </w:r>
    </w:p>
    <w:p w14:paraId="3597292F" w14:textId="1655CB64" w:rsidR="003A2574" w:rsidRPr="0090316A" w:rsidRDefault="003A2574" w:rsidP="003A2574">
      <w:pPr>
        <w:rPr>
          <w:rFonts w:cs="Arial"/>
          <w:szCs w:val="22"/>
        </w:rPr>
      </w:pPr>
      <w:r w:rsidRPr="0090316A">
        <w:rPr>
          <w:rFonts w:cs="Arial"/>
          <w:szCs w:val="22"/>
        </w:rPr>
        <w:t>The Committee agreed that it should not be restricted to tertiary referral as this would prevent experienced specialists from completing the procedure if found during a normal colonoscopy. It would also mean that the patient would undergo an unnecessary second sedation for the removal at a later date.</w:t>
      </w:r>
      <w:r w:rsidR="00C22AE4">
        <w:rPr>
          <w:rFonts w:cs="Arial"/>
          <w:szCs w:val="22"/>
        </w:rPr>
        <w:t xml:space="preserve"> </w:t>
      </w:r>
      <w:r w:rsidRPr="0090316A">
        <w:rPr>
          <w:rFonts w:cs="Arial"/>
          <w:szCs w:val="22"/>
        </w:rPr>
        <w:t>The Committee agreed that the resected specimen should e</w:t>
      </w:r>
      <w:r>
        <w:rPr>
          <w:rFonts w:cs="Arial"/>
          <w:szCs w:val="22"/>
        </w:rPr>
        <w:t xml:space="preserve">xceed a diameter of around 2.5 </w:t>
      </w:r>
      <w:r w:rsidRPr="0090316A">
        <w:rPr>
          <w:rFonts w:cs="Arial"/>
          <w:szCs w:val="22"/>
        </w:rPr>
        <w:t>- 3.0 cm on the understanding the polyp may have been removed in bits but if pieced together would achieve this dimension.</w:t>
      </w:r>
    </w:p>
    <w:p w14:paraId="712BB02A" w14:textId="6A1CCE44" w:rsidR="00387EB5" w:rsidRPr="008D3569" w:rsidRDefault="007161FD" w:rsidP="00813502">
      <w:pPr>
        <w:pStyle w:val="Rec"/>
        <w:numPr>
          <w:ilvl w:val="0"/>
          <w:numId w:val="0"/>
        </w:numPr>
      </w:pPr>
      <w:bookmarkStart w:id="215" w:name="_Toc485731775"/>
      <w:r>
        <w:t xml:space="preserve">Recommendation 9: </w:t>
      </w:r>
      <w:r>
        <w:tab/>
      </w:r>
      <w:r w:rsidR="00387EB5" w:rsidRPr="008D3569">
        <w:t>Endoscopic Mucosal Resection</w:t>
      </w:r>
      <w:bookmarkEnd w:id="215"/>
    </w:p>
    <w:p w14:paraId="27477DED" w14:textId="25338ACA" w:rsidR="003A2574" w:rsidRDefault="003A2574" w:rsidP="009E718C">
      <w:r>
        <w:t xml:space="preserve">The Committee recommends an </w:t>
      </w:r>
      <w:r w:rsidR="004E269C">
        <w:t xml:space="preserve">assessment by the </w:t>
      </w:r>
      <w:r>
        <w:t>M</w:t>
      </w:r>
      <w:r w:rsidR="004E269C">
        <w:t xml:space="preserve">edical </w:t>
      </w:r>
      <w:r>
        <w:t>S</w:t>
      </w:r>
      <w:r w:rsidR="004E269C">
        <w:t xml:space="preserve">ervices </w:t>
      </w:r>
      <w:r>
        <w:t>A</w:t>
      </w:r>
      <w:r w:rsidR="004E269C">
        <w:t xml:space="preserve">dvisory </w:t>
      </w:r>
      <w:r>
        <w:t>C</w:t>
      </w:r>
      <w:r w:rsidR="004E269C">
        <w:t>ommittee (MSAC)</w:t>
      </w:r>
      <w:r>
        <w:t xml:space="preserve"> of EMR to enable consideration of public funding for this procedure. The Committee recommends that </w:t>
      </w:r>
      <w:r w:rsidR="004E269C">
        <w:t xml:space="preserve">the </w:t>
      </w:r>
      <w:r>
        <w:t>G</w:t>
      </w:r>
      <w:r w:rsidR="004E269C">
        <w:t xml:space="preserve">astroenterological </w:t>
      </w:r>
      <w:r>
        <w:t>S</w:t>
      </w:r>
      <w:r w:rsidR="004E269C">
        <w:t xml:space="preserve">ociety of </w:t>
      </w:r>
      <w:r>
        <w:t>A</w:t>
      </w:r>
      <w:r w:rsidR="004E269C">
        <w:t>ustralia (GESA)</w:t>
      </w:r>
      <w:r>
        <w:t xml:space="preserve"> submit an application to MSAC and request an expedited assessment.</w:t>
      </w:r>
    </w:p>
    <w:p w14:paraId="7CB6B268" w14:textId="77777777" w:rsidR="003A2574" w:rsidRDefault="003A2574" w:rsidP="003175F5">
      <w:pPr>
        <w:pStyle w:val="Heading3"/>
      </w:pPr>
      <w:bookmarkStart w:id="216" w:name="_Toc457307533"/>
      <w:r w:rsidRPr="007A66E4">
        <w:t xml:space="preserve">Recommendation Impact </w:t>
      </w:r>
      <w:r w:rsidRPr="003175F5">
        <w:t>Statement</w:t>
      </w:r>
      <w:bookmarkEnd w:id="216"/>
    </w:p>
    <w:p w14:paraId="4B5B11A4" w14:textId="523F4FB0" w:rsidR="003A2574" w:rsidRPr="007A66E4" w:rsidRDefault="003A2574" w:rsidP="003A2574">
      <w:pPr>
        <w:rPr>
          <w:lang w:val="en-US" w:eastAsia="en-US"/>
        </w:rPr>
      </w:pPr>
      <w:r w:rsidRPr="0032145D">
        <w:t xml:space="preserve">The Committee recommends </w:t>
      </w:r>
      <w:r>
        <w:t xml:space="preserve">GESA sponsor </w:t>
      </w:r>
      <w:r w:rsidRPr="0032145D">
        <w:t xml:space="preserve">an MSAC </w:t>
      </w:r>
      <w:r>
        <w:t>application for public funding</w:t>
      </w:r>
      <w:r w:rsidRPr="0032145D">
        <w:t xml:space="preserve"> of EMR</w:t>
      </w:r>
      <w:r>
        <w:t xml:space="preserve"> for the removal of very large polyps.</w:t>
      </w:r>
      <w:r w:rsidR="00C22AE4">
        <w:t xml:space="preserve"> </w:t>
      </w:r>
      <w:r>
        <w:t>This would be an alternative to surgery and would benefit the patient as it would be less invasive and recovery time would be reduced.</w:t>
      </w:r>
      <w:r w:rsidR="00C22AE4">
        <w:t xml:space="preserve"> </w:t>
      </w:r>
    </w:p>
    <w:p w14:paraId="7FC0A308" w14:textId="77777777" w:rsidR="003A2574" w:rsidRPr="009A25E6" w:rsidRDefault="003A2574" w:rsidP="004304F5">
      <w:pPr>
        <w:pStyle w:val="Heading1"/>
      </w:pPr>
      <w:bookmarkStart w:id="217" w:name="_Toc456188390"/>
      <w:bookmarkStart w:id="218" w:name="_Toc457307534"/>
      <w:bookmarkStart w:id="219" w:name="_Ref457362214"/>
      <w:bookmarkStart w:id="220" w:name="_Toc485731776"/>
      <w:r w:rsidRPr="004304F5">
        <w:lastRenderedPageBreak/>
        <w:t>Obsolete</w:t>
      </w:r>
      <w:r w:rsidRPr="009A25E6">
        <w:t xml:space="preserve"> items</w:t>
      </w:r>
      <w:bookmarkEnd w:id="217"/>
      <w:bookmarkEnd w:id="218"/>
      <w:bookmarkEnd w:id="219"/>
      <w:bookmarkEnd w:id="220"/>
    </w:p>
    <w:p w14:paraId="1C3B5DAC" w14:textId="77777777" w:rsidR="003A2574" w:rsidRPr="00856BC8" w:rsidRDefault="003A2574" w:rsidP="004304F5">
      <w:pPr>
        <w:pStyle w:val="Heading2"/>
      </w:pPr>
      <w:bookmarkStart w:id="221" w:name="_Toc457307535"/>
      <w:r w:rsidRPr="00856BC8">
        <w:t xml:space="preserve">First round of </w:t>
      </w:r>
      <w:r w:rsidRPr="004304F5">
        <w:t>obsolete</w:t>
      </w:r>
      <w:r w:rsidRPr="00856BC8">
        <w:t xml:space="preserve"> items</w:t>
      </w:r>
      <w:bookmarkEnd w:id="221"/>
    </w:p>
    <w:p w14:paraId="2C855B63" w14:textId="77777777" w:rsidR="003A2574" w:rsidRDefault="003A2574" w:rsidP="004304F5">
      <w:pPr>
        <w:pStyle w:val="Heading3"/>
      </w:pPr>
      <w:bookmarkStart w:id="222" w:name="_Toc457307536"/>
      <w:r w:rsidRPr="004304F5">
        <w:t>Issue</w:t>
      </w:r>
      <w:bookmarkEnd w:id="222"/>
    </w:p>
    <w:p w14:paraId="130FBEE2" w14:textId="77777777" w:rsidR="003A2574" w:rsidRPr="001E664D" w:rsidRDefault="003A2574" w:rsidP="00D05F24">
      <w:pPr>
        <w:rPr>
          <w:lang w:val="en-US" w:eastAsia="en-US"/>
        </w:rPr>
      </w:pPr>
      <w:r>
        <w:rPr>
          <w:lang w:val="en-US" w:eastAsia="en-US"/>
        </w:rPr>
        <w:t>The Committee was asked by the Taskforce to identify obsolete services that have no clinical purpose in contemporary practice as they have been superseded by another procedure, or the service identified is better covered under another item.</w:t>
      </w:r>
    </w:p>
    <w:p w14:paraId="5E1A9660" w14:textId="77777777" w:rsidR="003A2574" w:rsidRDefault="003A2574" w:rsidP="004304F5">
      <w:pPr>
        <w:pStyle w:val="Heading3"/>
      </w:pPr>
      <w:bookmarkStart w:id="223" w:name="_Toc457307537"/>
      <w:r w:rsidRPr="004304F5">
        <w:t>Rationale</w:t>
      </w:r>
      <w:bookmarkEnd w:id="223"/>
    </w:p>
    <w:p w14:paraId="3D07DC82" w14:textId="676112AC" w:rsidR="003A2574" w:rsidRDefault="003A2574" w:rsidP="00D05F24">
      <w:r>
        <w:t>The Committee reviewed items 13500 and 13503 and noted the low level of services.</w:t>
      </w:r>
      <w:r w:rsidR="00C22AE4">
        <w:t xml:space="preserve"> </w:t>
      </w:r>
      <w:r>
        <w:t>The Committee agreed that these items are no longer part of contemporary clinical practice.</w:t>
      </w:r>
      <w:r w:rsidR="00C22AE4">
        <w:t xml:space="preserve"> </w:t>
      </w:r>
    </w:p>
    <w:p w14:paraId="71A335D3" w14:textId="7D22419B" w:rsidR="003A2574" w:rsidRDefault="003A2574" w:rsidP="00D05F24">
      <w:r>
        <w:t>The Committee reviewed items 32078 and 32081 and agreed that these have been superseded by other sigmoidoscopy services.</w:t>
      </w:r>
      <w:r w:rsidR="00C22AE4">
        <w:t xml:space="preserve"> </w:t>
      </w:r>
    </w:p>
    <w:p w14:paraId="1D54CE40" w14:textId="752C51D4" w:rsidR="003A2574" w:rsidRPr="00930E08" w:rsidRDefault="003A2574" w:rsidP="00D05F24">
      <w:r>
        <w:t>It should be noted that items relating to flexible sigmoidoscopy, including with polypectomy, remain in the schedule.</w:t>
      </w:r>
      <w:r w:rsidR="00C22AE4">
        <w:t xml:space="preserve"> </w:t>
      </w:r>
      <w:r>
        <w:t>For example, MBS items 32084 (flexible fibreoptic sigmoidoscopy or fibreoptic colonoscopy up to the hepatic flexure, with or without biopsy) and item 32087 (endoscopic examination of the colon up to the hepatic flexure by flexible fibreoptic sigmoidoscopy or fibreoptic colonoscopy for the removal of 1 or more polyps or the treatment of radiation proctitis, angiodysplasia or post-polypectomy by argon plasma coagulation) provide for sigmoidoscopy examination and treatment.</w:t>
      </w:r>
      <w:r w:rsidR="00C22AE4">
        <w:t xml:space="preserve"> </w:t>
      </w:r>
    </w:p>
    <w:p w14:paraId="5979249F" w14:textId="6E21FD89" w:rsidR="003A2574" w:rsidRPr="00144D77" w:rsidRDefault="007161FD" w:rsidP="00813502">
      <w:pPr>
        <w:pStyle w:val="Rec"/>
        <w:numPr>
          <w:ilvl w:val="0"/>
          <w:numId w:val="0"/>
        </w:numPr>
      </w:pPr>
      <w:bookmarkStart w:id="224" w:name="_Toc485731777"/>
      <w:r>
        <w:t>Recommendation 10:</w:t>
      </w:r>
      <w:r>
        <w:tab/>
      </w:r>
      <w:r w:rsidR="00980478">
        <w:t xml:space="preserve">1. </w:t>
      </w:r>
      <w:r w:rsidR="00387EB5">
        <w:t>Obsolete items – first round</w:t>
      </w:r>
      <w:bookmarkEnd w:id="224"/>
    </w:p>
    <w:p w14:paraId="177ECA85" w14:textId="77777777" w:rsidR="003A2574" w:rsidRPr="00CF604A" w:rsidRDefault="003A2574" w:rsidP="00D05F24">
      <w:r>
        <w:t>The Committee recommend</w:t>
      </w:r>
      <w:r w:rsidRPr="00CF604A">
        <w:t xml:space="preserve"> items </w:t>
      </w:r>
      <w:r>
        <w:t xml:space="preserve">13500, 13503, 32087 and 32081 </w:t>
      </w:r>
      <w:r w:rsidRPr="00CF604A">
        <w:t>be removed from the MBS</w:t>
      </w:r>
      <w:r>
        <w:t xml:space="preserve"> as they have no clinical purpose in contemporary practice as they have been superseded by another service or procedure, or the service identified is better covered under another item</w:t>
      </w:r>
      <w:r w:rsidRPr="00CF604A">
        <w:t>:</w:t>
      </w:r>
    </w:p>
    <w:p w14:paraId="2350EBF6" w14:textId="461DCE8D" w:rsidR="003175F5" w:rsidRDefault="003A2574" w:rsidP="003175F5">
      <w:r w:rsidRPr="00930E08">
        <w:t>In December 2015, these items were included in open public consultation</w:t>
      </w:r>
      <w:r>
        <w:t xml:space="preserve"> for obsolete items</w:t>
      </w:r>
      <w:r w:rsidRPr="00930E08">
        <w:t>.</w:t>
      </w:r>
      <w:r w:rsidR="00C22AE4">
        <w:t xml:space="preserve"> </w:t>
      </w:r>
      <w:r>
        <w:t>Public c</w:t>
      </w:r>
      <w:r w:rsidRPr="00930E08">
        <w:t>omments received were considered by the Committee and in February 2016 the MBS Review Taskforce recommended to Government that these items be removed from the MBS.</w:t>
      </w:r>
      <w:r w:rsidR="00C22AE4">
        <w:t xml:space="preserve"> </w:t>
      </w:r>
      <w:r w:rsidRPr="00930E08">
        <w:t>The Government agreed with this recommendation with an effective date of 1 July 2016.</w:t>
      </w:r>
      <w:bookmarkStart w:id="225" w:name="_Toc457307442"/>
      <w:r w:rsidR="003175F5">
        <w:br w:type="page"/>
      </w:r>
    </w:p>
    <w:p w14:paraId="254E9BBD" w14:textId="24A793DD" w:rsidR="003A2574" w:rsidRPr="009E718C" w:rsidRDefault="003A2574" w:rsidP="009E718C">
      <w:pPr>
        <w:pStyle w:val="Caption"/>
      </w:pPr>
      <w:bookmarkStart w:id="226" w:name="_Toc458527800"/>
      <w:r w:rsidRPr="00D05F24">
        <w:lastRenderedPageBreak/>
        <w:t xml:space="preserve">Table </w:t>
      </w:r>
      <w:fldSimple w:instr=" SEQ Table \* ARABIC ">
        <w:r w:rsidR="00A1715D">
          <w:rPr>
            <w:noProof/>
          </w:rPr>
          <w:t>24</w:t>
        </w:r>
      </w:fldSimple>
      <w:r w:rsidR="009E718C">
        <w:t>:</w:t>
      </w:r>
      <w:r w:rsidR="009E718C">
        <w:tab/>
      </w:r>
      <w:r w:rsidRPr="00D05F24">
        <w:t>First round recommendations</w:t>
      </w:r>
      <w:r w:rsidR="00FD609A">
        <w:t>–</w:t>
      </w:r>
      <w:r w:rsidRPr="00D05F24">
        <w:t>obsolete items</w:t>
      </w:r>
      <w:bookmarkEnd w:id="225"/>
      <w:bookmarkEnd w:id="226"/>
    </w:p>
    <w:tbl>
      <w:tblPr>
        <w:tblW w:w="9072" w:type="dxa"/>
        <w:tblInd w:w="60" w:type="dxa"/>
        <w:tblBorders>
          <w:top w:val="single" w:sz="4" w:space="0" w:color="B56011"/>
          <w:bottom w:val="single" w:sz="4" w:space="0" w:color="B56011"/>
          <w:insideH w:val="single" w:sz="4" w:space="0" w:color="B56011"/>
        </w:tblBorders>
        <w:tblLayout w:type="fixed"/>
        <w:tblCellMar>
          <w:left w:w="60" w:type="dxa"/>
          <w:right w:w="60" w:type="dxa"/>
        </w:tblCellMar>
        <w:tblLook w:val="0000" w:firstRow="0" w:lastRow="0" w:firstColumn="0" w:lastColumn="0" w:noHBand="0" w:noVBand="0"/>
        <w:tblDescription w:val="Table 24 shows items deemed obsolete in the committee's first round of recommendations.Item descriptors, schedule fees and  number of services in 2014-15 are listed."/>
      </w:tblPr>
      <w:tblGrid>
        <w:gridCol w:w="700"/>
        <w:gridCol w:w="9"/>
        <w:gridCol w:w="5528"/>
        <w:gridCol w:w="1276"/>
        <w:gridCol w:w="1559"/>
      </w:tblGrid>
      <w:tr w:rsidR="003A2574" w:rsidRPr="002C10AA" w14:paraId="6FD5484A" w14:textId="77777777" w:rsidTr="00D05F24">
        <w:tc>
          <w:tcPr>
            <w:tcW w:w="700" w:type="dxa"/>
            <w:shd w:val="clear" w:color="auto" w:fill="auto"/>
          </w:tcPr>
          <w:p w14:paraId="53B97056" w14:textId="24470C21" w:rsidR="003A2574" w:rsidRPr="00213F12" w:rsidRDefault="00387EB5" w:rsidP="003175F5">
            <w:pPr>
              <w:pStyle w:val="Tableheading"/>
            </w:pPr>
            <w:r>
              <w:t xml:space="preserve">Item </w:t>
            </w:r>
          </w:p>
        </w:tc>
        <w:tc>
          <w:tcPr>
            <w:tcW w:w="5537" w:type="dxa"/>
            <w:gridSpan w:val="2"/>
            <w:shd w:val="clear" w:color="auto" w:fill="auto"/>
            <w:vAlign w:val="center"/>
          </w:tcPr>
          <w:p w14:paraId="0C176272" w14:textId="77777777" w:rsidR="003A2574" w:rsidRPr="002C10AA" w:rsidRDefault="003A2574" w:rsidP="003175F5">
            <w:pPr>
              <w:pStyle w:val="Tableheading"/>
            </w:pPr>
            <w:r w:rsidRPr="002C10AA">
              <w:t>Item Descriptor</w:t>
            </w:r>
          </w:p>
        </w:tc>
        <w:tc>
          <w:tcPr>
            <w:tcW w:w="1276" w:type="dxa"/>
            <w:vAlign w:val="center"/>
          </w:tcPr>
          <w:p w14:paraId="782862A9" w14:textId="77777777" w:rsidR="003A2574" w:rsidRPr="002C10AA" w:rsidRDefault="003A2574" w:rsidP="003175F5">
            <w:pPr>
              <w:pStyle w:val="Tableheading"/>
            </w:pPr>
            <w:r w:rsidRPr="002C10AA">
              <w:t>Schedule Fee</w:t>
            </w:r>
          </w:p>
        </w:tc>
        <w:tc>
          <w:tcPr>
            <w:tcW w:w="1559" w:type="dxa"/>
            <w:vAlign w:val="center"/>
          </w:tcPr>
          <w:p w14:paraId="405DF6E3" w14:textId="6AC4BE14" w:rsidR="003A2574" w:rsidRPr="002C10AA" w:rsidRDefault="003A2574" w:rsidP="003175F5">
            <w:pPr>
              <w:pStyle w:val="Tableheading"/>
            </w:pPr>
            <w:r w:rsidRPr="002C10AA">
              <w:t>Services 2014</w:t>
            </w:r>
            <w:r w:rsidR="00FD609A">
              <w:t>–</w:t>
            </w:r>
            <w:r w:rsidRPr="002C10AA">
              <w:t>15</w:t>
            </w:r>
          </w:p>
        </w:tc>
      </w:tr>
      <w:tr w:rsidR="003A2574" w:rsidRPr="008D3569" w14:paraId="0F9499A6" w14:textId="77777777" w:rsidTr="00283332">
        <w:trPr>
          <w:trHeight w:val="581"/>
        </w:trPr>
        <w:tc>
          <w:tcPr>
            <w:tcW w:w="700" w:type="dxa"/>
            <w:shd w:val="clear" w:color="auto" w:fill="auto"/>
          </w:tcPr>
          <w:p w14:paraId="64433950" w14:textId="77777777" w:rsidR="003A2574" w:rsidRPr="00B26A7A" w:rsidRDefault="003A2574" w:rsidP="003175F5">
            <w:pPr>
              <w:pStyle w:val="Tabletext"/>
            </w:pPr>
            <w:r w:rsidRPr="00B26A7A">
              <w:t>13500</w:t>
            </w:r>
          </w:p>
        </w:tc>
        <w:tc>
          <w:tcPr>
            <w:tcW w:w="5537" w:type="dxa"/>
            <w:gridSpan w:val="2"/>
            <w:shd w:val="clear" w:color="auto" w:fill="auto"/>
          </w:tcPr>
          <w:p w14:paraId="01FAAAC7" w14:textId="77777777" w:rsidR="003A2574" w:rsidRPr="008D3569" w:rsidRDefault="003A2574" w:rsidP="003175F5">
            <w:pPr>
              <w:pStyle w:val="Tabletext"/>
            </w:pPr>
            <w:r w:rsidRPr="008D3569">
              <w:t>GASTRIC HYPOTHERMIA by closed circuit circulation of refrigerant IN THE ABSENCE OF GASTROINTESTINAL HAEMORRHAGE</w:t>
            </w:r>
          </w:p>
        </w:tc>
        <w:tc>
          <w:tcPr>
            <w:tcW w:w="1276" w:type="dxa"/>
          </w:tcPr>
          <w:p w14:paraId="08763950" w14:textId="77777777" w:rsidR="003A2574" w:rsidRPr="008D3569" w:rsidRDefault="003A2574" w:rsidP="001C0660">
            <w:pPr>
              <w:pStyle w:val="TableTextDecimalAlign"/>
            </w:pPr>
            <w:r w:rsidRPr="008D3569">
              <w:t>$180.30</w:t>
            </w:r>
          </w:p>
        </w:tc>
        <w:tc>
          <w:tcPr>
            <w:tcW w:w="1559" w:type="dxa"/>
          </w:tcPr>
          <w:p w14:paraId="3A815B33" w14:textId="77777777" w:rsidR="003A2574" w:rsidRPr="008D3569" w:rsidRDefault="003A2574" w:rsidP="001C0660">
            <w:pPr>
              <w:pStyle w:val="TableTextDecimalAlign"/>
            </w:pPr>
            <w:r w:rsidRPr="008D3569">
              <w:t>9</w:t>
            </w:r>
          </w:p>
        </w:tc>
      </w:tr>
      <w:tr w:rsidR="003A2574" w:rsidRPr="00213F12" w14:paraId="6B91A08E" w14:textId="77777777" w:rsidTr="00283332">
        <w:trPr>
          <w:trHeight w:val="663"/>
        </w:trPr>
        <w:tc>
          <w:tcPr>
            <w:tcW w:w="700" w:type="dxa"/>
            <w:shd w:val="clear" w:color="auto" w:fill="auto"/>
          </w:tcPr>
          <w:p w14:paraId="52D72F99" w14:textId="77777777" w:rsidR="003A2574" w:rsidRPr="00213F12" w:rsidRDefault="003A2574" w:rsidP="003175F5">
            <w:pPr>
              <w:pStyle w:val="Tabletext"/>
            </w:pPr>
            <w:r w:rsidRPr="00213F12">
              <w:t>13503</w:t>
            </w:r>
          </w:p>
        </w:tc>
        <w:tc>
          <w:tcPr>
            <w:tcW w:w="5537" w:type="dxa"/>
            <w:gridSpan w:val="2"/>
            <w:shd w:val="clear" w:color="auto" w:fill="auto"/>
          </w:tcPr>
          <w:p w14:paraId="2449E690" w14:textId="77777777" w:rsidR="003A2574" w:rsidRPr="001C0660" w:rsidRDefault="003A2574" w:rsidP="001C0660">
            <w:pPr>
              <w:pStyle w:val="Tabletext"/>
            </w:pPr>
            <w:r w:rsidRPr="001C0660">
              <w:t>GASTRIC HYPOTHERMIA by closed circuit circulation of refrigerant FOR UPPER GASTROINTESTINAL HAEMORRHAGE</w:t>
            </w:r>
          </w:p>
        </w:tc>
        <w:tc>
          <w:tcPr>
            <w:tcW w:w="1276" w:type="dxa"/>
          </w:tcPr>
          <w:p w14:paraId="421EDDF5" w14:textId="77777777" w:rsidR="003A2574" w:rsidRPr="00213F12" w:rsidRDefault="003A2574" w:rsidP="001C0660">
            <w:pPr>
              <w:pStyle w:val="TableTextDecimalAlign"/>
            </w:pPr>
            <w:r w:rsidRPr="00213F12">
              <w:t>$360.70</w:t>
            </w:r>
          </w:p>
        </w:tc>
        <w:tc>
          <w:tcPr>
            <w:tcW w:w="1559" w:type="dxa"/>
          </w:tcPr>
          <w:p w14:paraId="3535C9F6" w14:textId="77777777" w:rsidR="003A2574" w:rsidRPr="00213F12" w:rsidRDefault="003A2574" w:rsidP="001C0660">
            <w:pPr>
              <w:pStyle w:val="TableTextDecimalAlign"/>
            </w:pPr>
            <w:r>
              <w:t>0</w:t>
            </w:r>
          </w:p>
        </w:tc>
      </w:tr>
      <w:tr w:rsidR="003A2574" w:rsidRPr="002C10AA" w14:paraId="0269FDCD" w14:textId="77777777" w:rsidTr="00D05F24">
        <w:tc>
          <w:tcPr>
            <w:tcW w:w="709" w:type="dxa"/>
            <w:gridSpan w:val="2"/>
            <w:shd w:val="clear" w:color="auto" w:fill="auto"/>
          </w:tcPr>
          <w:p w14:paraId="4CC95EA6" w14:textId="77777777" w:rsidR="003A2574" w:rsidRPr="002C10AA" w:rsidRDefault="003A2574" w:rsidP="003175F5">
            <w:pPr>
              <w:pStyle w:val="Tabletext"/>
            </w:pPr>
            <w:r w:rsidRPr="002C10AA">
              <w:t>32078</w:t>
            </w:r>
          </w:p>
        </w:tc>
        <w:tc>
          <w:tcPr>
            <w:tcW w:w="5528" w:type="dxa"/>
            <w:shd w:val="clear" w:color="auto" w:fill="auto"/>
          </w:tcPr>
          <w:p w14:paraId="6440D1E8" w14:textId="77777777" w:rsidR="003A2574" w:rsidRPr="001C0660" w:rsidRDefault="003A2574" w:rsidP="001C0660">
            <w:pPr>
              <w:pStyle w:val="Tabletext"/>
            </w:pPr>
            <w:r w:rsidRPr="001C0660">
              <w:t>SIGMOIDOSCOPIC EXAMINATION with diathermy OR resection of 1 or more polyps where the time taken is less than or equal to 45 minutes (Anaes.)</w:t>
            </w:r>
          </w:p>
        </w:tc>
        <w:tc>
          <w:tcPr>
            <w:tcW w:w="1276" w:type="dxa"/>
          </w:tcPr>
          <w:p w14:paraId="25C195B0" w14:textId="77777777" w:rsidR="003A2574" w:rsidRPr="002C10AA" w:rsidRDefault="003A2574" w:rsidP="001C0660">
            <w:pPr>
              <w:pStyle w:val="TableTextDecimalAlign"/>
            </w:pPr>
            <w:r w:rsidRPr="002C10AA">
              <w:t>$168.55</w:t>
            </w:r>
          </w:p>
        </w:tc>
        <w:tc>
          <w:tcPr>
            <w:tcW w:w="1559" w:type="dxa"/>
          </w:tcPr>
          <w:p w14:paraId="0E9843B4" w14:textId="77777777" w:rsidR="003A2574" w:rsidRPr="002C10AA" w:rsidRDefault="003A2574" w:rsidP="001C0660">
            <w:pPr>
              <w:pStyle w:val="TableTextDecimalAlign"/>
            </w:pPr>
            <w:r>
              <w:t>151</w:t>
            </w:r>
          </w:p>
        </w:tc>
      </w:tr>
      <w:tr w:rsidR="003A2574" w:rsidRPr="002C10AA" w14:paraId="4952628A" w14:textId="77777777" w:rsidTr="00D05F24">
        <w:tc>
          <w:tcPr>
            <w:tcW w:w="709" w:type="dxa"/>
            <w:gridSpan w:val="2"/>
            <w:shd w:val="clear" w:color="auto" w:fill="auto"/>
          </w:tcPr>
          <w:p w14:paraId="373A57CC" w14:textId="77777777" w:rsidR="003A2574" w:rsidRPr="002C10AA" w:rsidRDefault="003A2574" w:rsidP="003175F5">
            <w:pPr>
              <w:pStyle w:val="Tabletext"/>
            </w:pPr>
            <w:r w:rsidRPr="002C10AA">
              <w:t>32081</w:t>
            </w:r>
          </w:p>
        </w:tc>
        <w:tc>
          <w:tcPr>
            <w:tcW w:w="5528" w:type="dxa"/>
            <w:shd w:val="clear" w:color="auto" w:fill="auto"/>
          </w:tcPr>
          <w:p w14:paraId="5446FB09" w14:textId="77777777" w:rsidR="003A2574" w:rsidRPr="001C0660" w:rsidRDefault="003A2574" w:rsidP="001C0660">
            <w:pPr>
              <w:pStyle w:val="Tabletext"/>
            </w:pPr>
            <w:r w:rsidRPr="001C0660">
              <w:t>SIGMOIDOSCOPIC EXAMINATION with diathermy OR resection of 1 or more polyps where the time taken is greater than 45 minutes (Anaes.)</w:t>
            </w:r>
          </w:p>
        </w:tc>
        <w:tc>
          <w:tcPr>
            <w:tcW w:w="1276" w:type="dxa"/>
          </w:tcPr>
          <w:p w14:paraId="42197584" w14:textId="77777777" w:rsidR="003A2574" w:rsidRPr="002C10AA" w:rsidRDefault="003A2574" w:rsidP="001C0660">
            <w:pPr>
              <w:pStyle w:val="TableTextDecimalAlign"/>
            </w:pPr>
            <w:r w:rsidRPr="002C10AA">
              <w:t>$231.45</w:t>
            </w:r>
          </w:p>
        </w:tc>
        <w:tc>
          <w:tcPr>
            <w:tcW w:w="1559" w:type="dxa"/>
          </w:tcPr>
          <w:p w14:paraId="65BE1C59" w14:textId="77777777" w:rsidR="003A2574" w:rsidRPr="002C10AA" w:rsidRDefault="003A2574" w:rsidP="001C0660">
            <w:pPr>
              <w:pStyle w:val="TableTextDecimalAlign"/>
            </w:pPr>
            <w:r>
              <w:t>27</w:t>
            </w:r>
          </w:p>
        </w:tc>
      </w:tr>
    </w:tbl>
    <w:p w14:paraId="6F4AEE16" w14:textId="77777777" w:rsidR="00387EB5" w:rsidRPr="00387EB5" w:rsidRDefault="00387EB5" w:rsidP="005318D3">
      <w:pPr>
        <w:pStyle w:val="TableUnder"/>
      </w:pPr>
      <w:r w:rsidRPr="00387EB5">
        <w:t>Source: Publicly available MBS Data (Department of Human Services website)</w:t>
      </w:r>
    </w:p>
    <w:p w14:paraId="3D6609D8" w14:textId="77777777" w:rsidR="003A2574" w:rsidRPr="00856BC8" w:rsidRDefault="003A2574" w:rsidP="004304F5">
      <w:pPr>
        <w:pStyle w:val="Heading2"/>
      </w:pPr>
      <w:bookmarkStart w:id="227" w:name="_Toc457307539"/>
      <w:r w:rsidRPr="00856BC8">
        <w:t xml:space="preserve">Second round of </w:t>
      </w:r>
      <w:r w:rsidRPr="004304F5">
        <w:t>obsolete</w:t>
      </w:r>
      <w:r w:rsidRPr="00856BC8">
        <w:t xml:space="preserve"> items</w:t>
      </w:r>
      <w:bookmarkEnd w:id="227"/>
    </w:p>
    <w:p w14:paraId="0E9484CE" w14:textId="77777777" w:rsidR="003A2574" w:rsidRPr="00144D77" w:rsidRDefault="003A2574" w:rsidP="004304F5">
      <w:pPr>
        <w:pStyle w:val="Heading3"/>
      </w:pPr>
      <w:bookmarkStart w:id="228" w:name="_Toc457307540"/>
      <w:r w:rsidRPr="004304F5">
        <w:t>Issue</w:t>
      </w:r>
      <w:bookmarkEnd w:id="228"/>
    </w:p>
    <w:p w14:paraId="72B78470" w14:textId="3FA52153" w:rsidR="003A2574" w:rsidRDefault="003A2574" w:rsidP="003A2574">
      <w:r w:rsidRPr="00930E08">
        <w:t xml:space="preserve">The Committee identified a further two items </w:t>
      </w:r>
      <w:r>
        <w:t xml:space="preserve">it considers </w:t>
      </w:r>
      <w:r w:rsidRPr="00930E08">
        <w:t xml:space="preserve">obsolete and </w:t>
      </w:r>
      <w:r>
        <w:t>should be</w:t>
      </w:r>
      <w:r w:rsidRPr="00930E08">
        <w:t xml:space="preserve"> removed from the MBS.</w:t>
      </w:r>
      <w:r w:rsidR="00C22AE4">
        <w:t xml:space="preserve"> </w:t>
      </w:r>
    </w:p>
    <w:p w14:paraId="05609FF9" w14:textId="77777777" w:rsidR="003A2574" w:rsidRDefault="003A2574" w:rsidP="004304F5">
      <w:pPr>
        <w:pStyle w:val="Heading3"/>
      </w:pPr>
      <w:bookmarkStart w:id="229" w:name="_Toc457307541"/>
      <w:r w:rsidRPr="004304F5">
        <w:t>Rationale</w:t>
      </w:r>
      <w:bookmarkEnd w:id="229"/>
    </w:p>
    <w:p w14:paraId="66E5BA7E" w14:textId="7B110088" w:rsidR="003A2574" w:rsidRDefault="003A2574" w:rsidP="003A2574">
      <w:r>
        <w:t>Item 30487 for small bowel intubation with biopsy has been identified by the Committee as obsolete as it</w:t>
      </w:r>
      <w:r w:rsidRPr="00930E08">
        <w:t xml:space="preserve"> has been superseded by another procedure, i.e. </w:t>
      </w:r>
      <w:r>
        <w:t>Push E</w:t>
      </w:r>
      <w:r w:rsidRPr="00930E08">
        <w:t xml:space="preserve">nteroscopy which the Committee </w:t>
      </w:r>
      <w:r>
        <w:t>agrees should</w:t>
      </w:r>
      <w:r w:rsidRPr="00930E08">
        <w:t xml:space="preserve"> be included in </w:t>
      </w:r>
      <w:r>
        <w:t xml:space="preserve">the </w:t>
      </w:r>
      <w:r w:rsidRPr="00930E08">
        <w:t>upper GI interventional item 30478</w:t>
      </w:r>
      <w:r>
        <w:t>.</w:t>
      </w:r>
      <w:r w:rsidR="00C22AE4">
        <w:t xml:space="preserve"> </w:t>
      </w:r>
      <w:r>
        <w:t xml:space="preserve">More detail on Push Enteroscopy is provided in Section </w:t>
      </w:r>
      <w:r w:rsidR="00D05F24">
        <w:t>6.2</w:t>
      </w:r>
      <w:r w:rsidR="009E718C">
        <w:fldChar w:fldCharType="begin"/>
      </w:r>
      <w:r w:rsidR="009E718C">
        <w:instrText xml:space="preserve"> REF _Ref457530748 \r \h </w:instrText>
      </w:r>
      <w:r w:rsidR="009E718C">
        <w:fldChar w:fldCharType="separate"/>
      </w:r>
      <w:r w:rsidR="00A1715D">
        <w:t>6.2</w:t>
      </w:r>
      <w:r w:rsidR="009E718C">
        <w:fldChar w:fldCharType="end"/>
      </w:r>
      <w:r w:rsidR="000E31B2">
        <w:t>.</w:t>
      </w:r>
      <w:r w:rsidR="00C22AE4">
        <w:t xml:space="preserve"> </w:t>
      </w:r>
    </w:p>
    <w:p w14:paraId="163065F8" w14:textId="187CFC0F" w:rsidR="003A2574" w:rsidRDefault="003A2574" w:rsidP="003A2574">
      <w:r>
        <w:t xml:space="preserve">Item 30493 for biliary manometry was </w:t>
      </w:r>
      <w:r w:rsidRPr="002E5F5C">
        <w:t>included in the public consultation</w:t>
      </w:r>
      <w:r>
        <w:t xml:space="preserve"> for obsolete items in December 2015.</w:t>
      </w:r>
      <w:r w:rsidR="00C22AE4">
        <w:t xml:space="preserve"> </w:t>
      </w:r>
      <w:r>
        <w:t>The Committee</w:t>
      </w:r>
      <w:r w:rsidRPr="002E5F5C">
        <w:t xml:space="preserve"> </w:t>
      </w:r>
      <w:r>
        <w:t xml:space="preserve">reviewed the comments received and sought further expert </w:t>
      </w:r>
      <w:r w:rsidRPr="002E5F5C">
        <w:t>opinion</w:t>
      </w:r>
      <w:r>
        <w:t xml:space="preserve"> on the procedure.</w:t>
      </w:r>
      <w:r w:rsidR="00C22AE4">
        <w:t xml:space="preserve"> </w:t>
      </w:r>
      <w:r>
        <w:t xml:space="preserve">The advice received </w:t>
      </w:r>
      <w:r w:rsidRPr="002E5F5C">
        <w:t>confirmed that biliary manometry is not supported by the published literature and should be removed</w:t>
      </w:r>
      <w:r>
        <w:t xml:space="preserve"> from the MBS.</w:t>
      </w:r>
      <w:r w:rsidR="00C22AE4">
        <w:t xml:space="preserve"> </w:t>
      </w:r>
      <w:r>
        <w:t>The Committee agreed that this item is obsolete</w:t>
      </w:r>
      <w:r w:rsidRPr="002E5F5C">
        <w:t>.</w:t>
      </w:r>
      <w:r>
        <w:t xml:space="preserve"> </w:t>
      </w:r>
    </w:p>
    <w:p w14:paraId="2A6645E6" w14:textId="6FBEF576" w:rsidR="00387EB5" w:rsidRPr="00144D77" w:rsidRDefault="00980478" w:rsidP="00813502">
      <w:pPr>
        <w:pStyle w:val="Rec"/>
        <w:numPr>
          <w:ilvl w:val="0"/>
          <w:numId w:val="0"/>
        </w:numPr>
      </w:pPr>
      <w:bookmarkStart w:id="230" w:name="_Toc485731778"/>
      <w:bookmarkStart w:id="231" w:name="_Toc457307542"/>
      <w:r>
        <w:t>Recommendation 10:</w:t>
      </w:r>
      <w:r>
        <w:tab/>
        <w:t xml:space="preserve">2. </w:t>
      </w:r>
      <w:r w:rsidR="00387EB5">
        <w:t xml:space="preserve">Obsolete items – </w:t>
      </w:r>
      <w:r w:rsidR="00387EB5" w:rsidRPr="009A3675">
        <w:t>second</w:t>
      </w:r>
      <w:r w:rsidR="00387EB5">
        <w:t xml:space="preserve"> round</w:t>
      </w:r>
      <w:bookmarkEnd w:id="230"/>
    </w:p>
    <w:bookmarkEnd w:id="231"/>
    <w:p w14:paraId="3DE7448D" w14:textId="430897C2" w:rsidR="00E55EE5" w:rsidRDefault="003A2574" w:rsidP="003A2574">
      <w:r>
        <w:t>The Committee recommends</w:t>
      </w:r>
      <w:r w:rsidRPr="00CF604A">
        <w:t xml:space="preserve"> </w:t>
      </w:r>
      <w:r>
        <w:t>the removal of item</w:t>
      </w:r>
      <w:r w:rsidRPr="00CF604A">
        <w:t xml:space="preserve"> </w:t>
      </w:r>
      <w:r>
        <w:t xml:space="preserve">30487 </w:t>
      </w:r>
      <w:r w:rsidRPr="00CF604A">
        <w:t>from the MBS</w:t>
      </w:r>
      <w:r>
        <w:t xml:space="preserve"> as it has no clinical purpose in contemporary practice.</w:t>
      </w:r>
      <w:r w:rsidR="00C22AE4">
        <w:t xml:space="preserve"> </w:t>
      </w:r>
      <w:r>
        <w:t>The Committee recommends that the service provided under item 30487, push enteroscopy, is better covered under another item for interventional upper GI endoscopic procedures item 30478.</w:t>
      </w:r>
      <w:r w:rsidR="00C22AE4">
        <w:t xml:space="preserve"> </w:t>
      </w:r>
    </w:p>
    <w:p w14:paraId="6395D49B" w14:textId="1D99647B" w:rsidR="003A2574" w:rsidRDefault="00E55EE5" w:rsidP="003A2574">
      <w:r>
        <w:t xml:space="preserve">The Committee recommends the removal of item 30493 from the MBS as it is not supported by the published literature and has no place in contemporary clinical practice. </w:t>
      </w:r>
    </w:p>
    <w:p w14:paraId="060A3992" w14:textId="77777777" w:rsidR="003A2574" w:rsidRDefault="003A2574" w:rsidP="003175F5">
      <w:pPr>
        <w:pStyle w:val="Heading3"/>
      </w:pPr>
      <w:bookmarkStart w:id="232" w:name="_Toc457307543"/>
      <w:r w:rsidRPr="003175F5">
        <w:lastRenderedPageBreak/>
        <w:t>Recommendation</w:t>
      </w:r>
      <w:r>
        <w:t xml:space="preserve"> Impact Statement</w:t>
      </w:r>
      <w:bookmarkEnd w:id="232"/>
    </w:p>
    <w:p w14:paraId="37ED968B" w14:textId="18765631" w:rsidR="009E718C" w:rsidRPr="00673DF9" w:rsidRDefault="003A2574" w:rsidP="003A2574">
      <w:pPr>
        <w:widowControl w:val="0"/>
        <w:autoSpaceDE w:val="0"/>
        <w:autoSpaceDN w:val="0"/>
        <w:adjustRightInd w:val="0"/>
        <w:rPr>
          <w:rFonts w:cs="Arial"/>
          <w:lang w:val="en"/>
        </w:rPr>
      </w:pPr>
      <w:r w:rsidRPr="00673DF9">
        <w:rPr>
          <w:rFonts w:cs="Arial"/>
        </w:rPr>
        <w:t xml:space="preserve">The </w:t>
      </w:r>
      <w:r>
        <w:rPr>
          <w:rFonts w:cs="Arial"/>
        </w:rPr>
        <w:t>removal of these items from the MBS is not expected to have an impact on providers or patients. Removing obsolete items from the MBS will benefit providers as it will minimise confusion about which item should be claimed for services and will benefit patients as there will be no Medicare benefit for outdated services, thereby incentivising current clinical practice.</w:t>
      </w:r>
    </w:p>
    <w:p w14:paraId="689C0BF2" w14:textId="63F3BE77" w:rsidR="003A2574" w:rsidRPr="00387EB5" w:rsidRDefault="003A2574" w:rsidP="00387EB5">
      <w:pPr>
        <w:pStyle w:val="Caption"/>
      </w:pPr>
      <w:bookmarkStart w:id="233" w:name="_Toc457307443"/>
      <w:bookmarkStart w:id="234" w:name="_Toc458527801"/>
      <w:r w:rsidRPr="00387EB5">
        <w:t xml:space="preserve">Table </w:t>
      </w:r>
      <w:fldSimple w:instr=" SEQ Table \* ARABIC ">
        <w:r w:rsidR="00A1715D">
          <w:rPr>
            <w:noProof/>
          </w:rPr>
          <w:t>25</w:t>
        </w:r>
      </w:fldSimple>
      <w:r w:rsidR="00387EB5">
        <w:t>:</w:t>
      </w:r>
      <w:r w:rsidR="00387EB5">
        <w:tab/>
      </w:r>
      <w:r w:rsidRPr="00387EB5">
        <w:t>Second round recommendations - obsolete items</w:t>
      </w:r>
      <w:bookmarkEnd w:id="233"/>
      <w:bookmarkEnd w:id="234"/>
    </w:p>
    <w:tbl>
      <w:tblPr>
        <w:tblW w:w="8364" w:type="dxa"/>
        <w:tblInd w:w="60" w:type="dxa"/>
        <w:tblBorders>
          <w:top w:val="single" w:sz="4" w:space="0" w:color="B56011"/>
          <w:bottom w:val="single" w:sz="4" w:space="0" w:color="B56011"/>
          <w:insideH w:val="single" w:sz="4" w:space="0" w:color="B56011"/>
        </w:tblBorders>
        <w:tblLayout w:type="fixed"/>
        <w:tblCellMar>
          <w:left w:w="60" w:type="dxa"/>
          <w:right w:w="60" w:type="dxa"/>
        </w:tblCellMar>
        <w:tblLook w:val="0000" w:firstRow="0" w:lastRow="0" w:firstColumn="0" w:lastColumn="0" w:noHBand="0" w:noVBand="0"/>
        <w:tblDescription w:val="Table 25 shows items deemed obsolete in the committee's second round of recommendations. Item descriptors, schedule fees and number of services in 2014-15 are listed."/>
      </w:tblPr>
      <w:tblGrid>
        <w:gridCol w:w="709"/>
        <w:gridCol w:w="5528"/>
        <w:gridCol w:w="1134"/>
        <w:gridCol w:w="993"/>
      </w:tblGrid>
      <w:tr w:rsidR="003A2574" w:rsidRPr="00213F12" w14:paraId="6487263A" w14:textId="77777777" w:rsidTr="00387EB5">
        <w:tc>
          <w:tcPr>
            <w:tcW w:w="709" w:type="dxa"/>
            <w:shd w:val="clear" w:color="auto" w:fill="auto"/>
            <w:vAlign w:val="center"/>
          </w:tcPr>
          <w:p w14:paraId="45831EC7" w14:textId="34DAADEF" w:rsidR="003A2574" w:rsidRPr="00213F12" w:rsidRDefault="00387EB5" w:rsidP="003175F5">
            <w:pPr>
              <w:pStyle w:val="Tableheading"/>
            </w:pPr>
            <w:r>
              <w:t xml:space="preserve">Item </w:t>
            </w:r>
          </w:p>
        </w:tc>
        <w:tc>
          <w:tcPr>
            <w:tcW w:w="5528" w:type="dxa"/>
            <w:shd w:val="clear" w:color="auto" w:fill="auto"/>
            <w:vAlign w:val="center"/>
          </w:tcPr>
          <w:p w14:paraId="5240864B" w14:textId="77777777" w:rsidR="003A2574" w:rsidRPr="00213F12" w:rsidRDefault="003A2574" w:rsidP="003175F5">
            <w:pPr>
              <w:pStyle w:val="Tableheading"/>
            </w:pPr>
            <w:r w:rsidRPr="00213F12">
              <w:t>Item Descriptor</w:t>
            </w:r>
          </w:p>
        </w:tc>
        <w:tc>
          <w:tcPr>
            <w:tcW w:w="1134" w:type="dxa"/>
            <w:shd w:val="clear" w:color="auto" w:fill="auto"/>
            <w:vAlign w:val="center"/>
          </w:tcPr>
          <w:p w14:paraId="106CC876" w14:textId="77777777" w:rsidR="003A2574" w:rsidRPr="00213F12" w:rsidRDefault="003A2574" w:rsidP="003175F5">
            <w:pPr>
              <w:pStyle w:val="Tableheading"/>
            </w:pPr>
            <w:r w:rsidRPr="00213F12">
              <w:t>Schedule Fee</w:t>
            </w:r>
          </w:p>
        </w:tc>
        <w:tc>
          <w:tcPr>
            <w:tcW w:w="993" w:type="dxa"/>
            <w:shd w:val="clear" w:color="auto" w:fill="auto"/>
            <w:vAlign w:val="center"/>
          </w:tcPr>
          <w:p w14:paraId="385308D8" w14:textId="77777777" w:rsidR="003A2574" w:rsidRPr="00213F12" w:rsidRDefault="003A2574" w:rsidP="003175F5">
            <w:pPr>
              <w:pStyle w:val="Tableheading"/>
            </w:pPr>
            <w:r w:rsidRPr="00213F12">
              <w:t>Services 2014-15</w:t>
            </w:r>
          </w:p>
        </w:tc>
      </w:tr>
      <w:tr w:rsidR="003A2574" w:rsidRPr="002C10AA" w14:paraId="066F87C1" w14:textId="77777777" w:rsidTr="00387EB5">
        <w:tc>
          <w:tcPr>
            <w:tcW w:w="709" w:type="dxa"/>
            <w:shd w:val="clear" w:color="auto" w:fill="auto"/>
          </w:tcPr>
          <w:p w14:paraId="2FD25E28" w14:textId="77777777" w:rsidR="003A2574" w:rsidRPr="002C10AA" w:rsidRDefault="003A2574" w:rsidP="003175F5">
            <w:pPr>
              <w:pStyle w:val="Tabletext"/>
            </w:pPr>
            <w:r w:rsidRPr="002C10AA">
              <w:t>30487</w:t>
            </w:r>
          </w:p>
        </w:tc>
        <w:tc>
          <w:tcPr>
            <w:tcW w:w="5528" w:type="dxa"/>
            <w:shd w:val="clear" w:color="auto" w:fill="auto"/>
          </w:tcPr>
          <w:p w14:paraId="3472EB44" w14:textId="77777777" w:rsidR="003A2574" w:rsidRPr="00283332" w:rsidRDefault="003A2574" w:rsidP="00283332">
            <w:pPr>
              <w:pStyle w:val="Tabletext"/>
            </w:pPr>
            <w:r w:rsidRPr="00283332">
              <w:t>SMALL BOWEL INTUBATION with biopsy, as an independent procedure (Anaes.)</w:t>
            </w:r>
          </w:p>
        </w:tc>
        <w:tc>
          <w:tcPr>
            <w:tcW w:w="1134" w:type="dxa"/>
            <w:shd w:val="clear" w:color="auto" w:fill="auto"/>
          </w:tcPr>
          <w:p w14:paraId="37B8552A" w14:textId="77777777" w:rsidR="003A2574" w:rsidRPr="002C10AA" w:rsidRDefault="003A2574" w:rsidP="001C0660">
            <w:pPr>
              <w:pStyle w:val="TableTextDecimalAlign"/>
            </w:pPr>
            <w:r w:rsidRPr="002C10AA">
              <w:t>$180.90</w:t>
            </w:r>
          </w:p>
        </w:tc>
        <w:tc>
          <w:tcPr>
            <w:tcW w:w="993" w:type="dxa"/>
            <w:shd w:val="clear" w:color="auto" w:fill="auto"/>
          </w:tcPr>
          <w:p w14:paraId="35A7EE58" w14:textId="77777777" w:rsidR="003A2574" w:rsidRPr="002C10AA" w:rsidRDefault="003A2574" w:rsidP="00283332">
            <w:pPr>
              <w:pStyle w:val="TableTextDecimalAlign"/>
            </w:pPr>
            <w:r>
              <w:t>2,297</w:t>
            </w:r>
          </w:p>
        </w:tc>
      </w:tr>
      <w:tr w:rsidR="003A2574" w:rsidRPr="002C10AA" w14:paraId="0AC169C5" w14:textId="77777777" w:rsidTr="00387EB5">
        <w:trPr>
          <w:trHeight w:val="366"/>
        </w:trPr>
        <w:tc>
          <w:tcPr>
            <w:tcW w:w="709" w:type="dxa"/>
            <w:shd w:val="clear" w:color="auto" w:fill="auto"/>
          </w:tcPr>
          <w:p w14:paraId="7FB7AC29" w14:textId="77777777" w:rsidR="003A2574" w:rsidRPr="002C10AA" w:rsidRDefault="003A2574" w:rsidP="003175F5">
            <w:pPr>
              <w:pStyle w:val="Tabletext"/>
            </w:pPr>
            <w:r w:rsidRPr="002C10AA">
              <w:t>30493</w:t>
            </w:r>
          </w:p>
        </w:tc>
        <w:tc>
          <w:tcPr>
            <w:tcW w:w="5528" w:type="dxa"/>
            <w:shd w:val="clear" w:color="auto" w:fill="auto"/>
          </w:tcPr>
          <w:p w14:paraId="445491D0" w14:textId="77777777" w:rsidR="003A2574" w:rsidRPr="00283332" w:rsidRDefault="003A2574" w:rsidP="00283332">
            <w:pPr>
              <w:pStyle w:val="Tabletext"/>
            </w:pPr>
            <w:r w:rsidRPr="00283332">
              <w:t>BILIARY MANOMETRY (Anaes.)</w:t>
            </w:r>
          </w:p>
        </w:tc>
        <w:tc>
          <w:tcPr>
            <w:tcW w:w="1134" w:type="dxa"/>
            <w:shd w:val="clear" w:color="auto" w:fill="auto"/>
          </w:tcPr>
          <w:p w14:paraId="7B6AA835" w14:textId="77777777" w:rsidR="003A2574" w:rsidRPr="002C10AA" w:rsidRDefault="003A2574" w:rsidP="001C0660">
            <w:pPr>
              <w:pStyle w:val="TableTextDecimalAlign"/>
            </w:pPr>
            <w:r w:rsidRPr="002C10AA">
              <w:t>$333.20</w:t>
            </w:r>
          </w:p>
        </w:tc>
        <w:tc>
          <w:tcPr>
            <w:tcW w:w="993" w:type="dxa"/>
            <w:shd w:val="clear" w:color="auto" w:fill="auto"/>
          </w:tcPr>
          <w:p w14:paraId="45C3FCAE" w14:textId="77777777" w:rsidR="003A2574" w:rsidRPr="002C10AA" w:rsidRDefault="003A2574" w:rsidP="00283332">
            <w:pPr>
              <w:pStyle w:val="TableTextDecimalAlign"/>
            </w:pPr>
            <w:r>
              <w:t>17</w:t>
            </w:r>
          </w:p>
        </w:tc>
      </w:tr>
    </w:tbl>
    <w:p w14:paraId="47B276E0" w14:textId="65F4868E" w:rsidR="00AB6E8A" w:rsidRDefault="003A2574" w:rsidP="00275472">
      <w:pPr>
        <w:pStyle w:val="TableUnder"/>
        <w:rPr>
          <w:bCs/>
        </w:rPr>
      </w:pPr>
      <w:r w:rsidRPr="00094CD8">
        <w:t>Source: Publicly available MBS Data (Department of Human Services website)</w:t>
      </w:r>
      <w:bookmarkStart w:id="235" w:name="_Toc456188391"/>
      <w:bookmarkStart w:id="236" w:name="_Toc457307544"/>
      <w:r w:rsidR="00AB6E8A">
        <w:br w:type="page"/>
      </w:r>
    </w:p>
    <w:p w14:paraId="4FB1CF63" w14:textId="04B6078B" w:rsidR="003A2574" w:rsidRPr="000F1746" w:rsidRDefault="003A2574" w:rsidP="003175F5">
      <w:pPr>
        <w:pStyle w:val="Heading1"/>
      </w:pPr>
      <w:bookmarkStart w:id="237" w:name="_Toc485731779"/>
      <w:r w:rsidRPr="000F1746">
        <w:lastRenderedPageBreak/>
        <w:t xml:space="preserve">General MBS </w:t>
      </w:r>
      <w:r w:rsidRPr="003175F5">
        <w:t>issues</w:t>
      </w:r>
      <w:bookmarkEnd w:id="237"/>
      <w:r w:rsidRPr="000F1746">
        <w:t xml:space="preserve"> </w:t>
      </w:r>
      <w:bookmarkEnd w:id="235"/>
      <w:bookmarkEnd w:id="236"/>
    </w:p>
    <w:p w14:paraId="4C26B9E3" w14:textId="3A17D113" w:rsidR="00980478" w:rsidRDefault="00980478" w:rsidP="003175F5">
      <w:pPr>
        <w:pStyle w:val="Rec"/>
        <w:numPr>
          <w:ilvl w:val="0"/>
          <w:numId w:val="0"/>
        </w:numPr>
        <w:ind w:left="2041" w:hanging="2041"/>
      </w:pPr>
      <w:bookmarkStart w:id="238" w:name="_Toc485731780"/>
      <w:r>
        <w:t xml:space="preserve">Generic MBS Issues </w:t>
      </w:r>
      <w:r w:rsidRPr="003175F5">
        <w:t>identified</w:t>
      </w:r>
      <w:r>
        <w:t xml:space="preserve"> by the </w:t>
      </w:r>
      <w:r w:rsidR="00480CCB">
        <w:t>Committee</w:t>
      </w:r>
      <w:bookmarkEnd w:id="238"/>
    </w:p>
    <w:p w14:paraId="736DD77D" w14:textId="5669CB04" w:rsidR="003A2574" w:rsidRPr="0090316A" w:rsidRDefault="003A2574" w:rsidP="00AB6E8A">
      <w:r w:rsidRPr="0090316A">
        <w:t>The Committee has identified several issues for noting which have broader application across the MBS and should be considered by the Taskforce.</w:t>
      </w:r>
      <w:r w:rsidR="00C22AE4">
        <w:t xml:space="preserve"> </w:t>
      </w:r>
    </w:p>
    <w:p w14:paraId="49B74133" w14:textId="59BC793B" w:rsidR="003A2574" w:rsidRDefault="003A2574" w:rsidP="00FA1377">
      <w:pPr>
        <w:pStyle w:val="ListParagraph"/>
        <w:numPr>
          <w:ilvl w:val="0"/>
          <w:numId w:val="50"/>
        </w:numPr>
        <w:ind w:left="360"/>
      </w:pPr>
      <w:r w:rsidRPr="004C4C03">
        <w:t>The Committee examined data on co-claiming of services – that is where more than one item per patient is claimed by the same provider on the same day.</w:t>
      </w:r>
      <w:r w:rsidR="00C22AE4">
        <w:t xml:space="preserve"> </w:t>
      </w:r>
      <w:r w:rsidRPr="004C4C03">
        <w:t xml:space="preserve">The Committee notes there is significant variation in the co-claiming of services between doctors, and that the level of co-claiming has increased in some areas. </w:t>
      </w:r>
    </w:p>
    <w:p w14:paraId="2972BC0D" w14:textId="5BF9016D" w:rsidR="003A2574" w:rsidRPr="004C4C03" w:rsidRDefault="003A2574" w:rsidP="00FA1377">
      <w:pPr>
        <w:pStyle w:val="ListParagraph"/>
        <w:numPr>
          <w:ilvl w:val="0"/>
          <w:numId w:val="50"/>
        </w:numPr>
        <w:ind w:left="360"/>
      </w:pPr>
      <w:r w:rsidRPr="004C4C03">
        <w:t>The Committee is generally supportive of limiting co-claiming of consultation services on the same day as a planned procedure e.g. colonoscopy.</w:t>
      </w:r>
    </w:p>
    <w:p w14:paraId="243F0E69" w14:textId="0F6890BF" w:rsidR="003A2574" w:rsidRPr="00AB6E8A" w:rsidRDefault="003A2574" w:rsidP="00FA1377">
      <w:pPr>
        <w:pStyle w:val="ListParagraph"/>
        <w:numPr>
          <w:ilvl w:val="0"/>
          <w:numId w:val="50"/>
        </w:numPr>
        <w:ind w:left="360"/>
      </w:pPr>
      <w:r w:rsidRPr="0090316A">
        <w:t>The Committee noted the implications of including high cost consumables in the item fee for services performed in out-of-hospital settings.</w:t>
      </w:r>
      <w:r w:rsidR="00C22AE4">
        <w:t xml:space="preserve"> </w:t>
      </w:r>
      <w:r w:rsidRPr="0090316A">
        <w:t>The Committee noted that the MBS may not be the best vehicle for funding high cost consumable</w:t>
      </w:r>
      <w:r w:rsidR="009E718C">
        <w:t>s</w:t>
      </w:r>
      <w:r w:rsidRPr="0090316A">
        <w:t xml:space="preserve"> that are integral to the service for reasons including:</w:t>
      </w:r>
    </w:p>
    <w:p w14:paraId="22189DD3" w14:textId="77777777" w:rsidR="003A2574" w:rsidRPr="0090316A" w:rsidRDefault="003A2574" w:rsidP="00FA1377">
      <w:pPr>
        <w:pStyle w:val="ListParagraph"/>
        <w:numPr>
          <w:ilvl w:val="0"/>
          <w:numId w:val="51"/>
        </w:numPr>
      </w:pPr>
      <w:r w:rsidRPr="0090316A">
        <w:t>device and consumable costs usually reduce over time and there is no ready ability in the MBS to adjust pricing accordingly.</w:t>
      </w:r>
    </w:p>
    <w:p w14:paraId="256B6CAA" w14:textId="77777777" w:rsidR="003A2574" w:rsidRPr="0090316A" w:rsidRDefault="003A2574" w:rsidP="00FA1377">
      <w:pPr>
        <w:pStyle w:val="ListParagraph"/>
        <w:numPr>
          <w:ilvl w:val="0"/>
          <w:numId w:val="51"/>
        </w:numPr>
      </w:pPr>
      <w:r w:rsidRPr="0090316A">
        <w:t>depending on the location of the service the consumable cost may or may not be borne by the health professional who receives the MBS benefit.</w:t>
      </w:r>
    </w:p>
    <w:p w14:paraId="25347466" w14:textId="77777777" w:rsidR="003A2574" w:rsidRPr="0090316A" w:rsidRDefault="003A2574" w:rsidP="00FA1377">
      <w:pPr>
        <w:pStyle w:val="ListParagraph"/>
        <w:numPr>
          <w:ilvl w:val="0"/>
          <w:numId w:val="51"/>
        </w:numPr>
      </w:pPr>
      <w:r w:rsidRPr="0090316A">
        <w:t>any other available funding sources will vary according to whether it is an in-hospital vs out-of-hospital service and whether it is a private hospital or public hospital service.</w:t>
      </w:r>
    </w:p>
    <w:p w14:paraId="2DF9B71B" w14:textId="360FFBA5" w:rsidR="00AB6E8A" w:rsidRPr="004304F5" w:rsidRDefault="003A2574" w:rsidP="00FA1377">
      <w:pPr>
        <w:pStyle w:val="ListParagraph"/>
        <w:numPr>
          <w:ilvl w:val="0"/>
          <w:numId w:val="50"/>
        </w:numPr>
        <w:ind w:left="360"/>
        <w:rPr>
          <w:rFonts w:eastAsiaTheme="minorHAnsi"/>
          <w:lang w:val="en-US" w:eastAsia="en-US"/>
        </w:rPr>
      </w:pPr>
      <w:r w:rsidRPr="0090316A">
        <w:t>It is the Committee’s view that the lack of funding for high cost consumables through the MBS, private health insurance subsidies and public hospital budgets is compromising access to services with proven clinical value.</w:t>
      </w:r>
      <w:r w:rsidR="00C22AE4">
        <w:t xml:space="preserve"> </w:t>
      </w:r>
      <w:r w:rsidRPr="0090316A">
        <w:t>This issue is evident in item 30687, an endoscopic procedure providing radiofrequency ablation for the treatment of Barrett’s Oesophagus.</w:t>
      </w:r>
      <w:r w:rsidR="00C22AE4">
        <w:t xml:space="preserve"> </w:t>
      </w:r>
      <w:r w:rsidRPr="0090316A">
        <w:t>The funding of the high cost disposable radiofrequency ablation device is not covered under the MBS item and private health insurers will not pick up the costs of the device as it is not listed on the prosthesis list.</w:t>
      </w:r>
      <w:r w:rsidR="00C22AE4">
        <w:t xml:space="preserve"> </w:t>
      </w:r>
      <w:bookmarkStart w:id="239" w:name="_Toc457307546"/>
      <w:r w:rsidR="00AB6E8A">
        <w:br w:type="page"/>
      </w:r>
    </w:p>
    <w:p w14:paraId="24B370E4" w14:textId="31B5FEB8" w:rsidR="003A2574" w:rsidRDefault="003A2574" w:rsidP="003A2574">
      <w:pPr>
        <w:pStyle w:val="Heading1"/>
        <w:spacing w:before="320" w:after="160" w:line="240" w:lineRule="auto"/>
        <w:ind w:left="432" w:hanging="432"/>
      </w:pPr>
      <w:bookmarkStart w:id="240" w:name="_Toc485731781"/>
      <w:r>
        <w:lastRenderedPageBreak/>
        <w:t>References</w:t>
      </w:r>
      <w:bookmarkEnd w:id="239"/>
      <w:bookmarkEnd w:id="240"/>
    </w:p>
    <w:p w14:paraId="35B6BC17" w14:textId="5FF24D9D" w:rsidR="003A2574" w:rsidRPr="0056457E" w:rsidRDefault="003A2574" w:rsidP="003A2574">
      <w:pPr>
        <w:pStyle w:val="Bibliography"/>
        <w:rPr>
          <w:noProof/>
          <w:sz w:val="20"/>
          <w:szCs w:val="20"/>
        </w:rPr>
      </w:pPr>
      <w:r w:rsidRPr="0056457E">
        <w:rPr>
          <w:rStyle w:val="IntenseEmphasis"/>
          <w:sz w:val="20"/>
          <w:szCs w:val="20"/>
        </w:rPr>
        <w:fldChar w:fldCharType="begin"/>
      </w:r>
      <w:r w:rsidRPr="0056457E">
        <w:rPr>
          <w:rStyle w:val="IntenseEmphasis"/>
          <w:sz w:val="20"/>
          <w:szCs w:val="20"/>
        </w:rPr>
        <w:instrText xml:space="preserve"> BIBLIOGRAPHY  \l 3081 </w:instrText>
      </w:r>
      <w:r w:rsidRPr="0056457E">
        <w:rPr>
          <w:rStyle w:val="IntenseEmphasis"/>
          <w:sz w:val="20"/>
          <w:szCs w:val="20"/>
        </w:rPr>
        <w:fldChar w:fldCharType="separate"/>
      </w:r>
      <w:r w:rsidRPr="0056457E">
        <w:rPr>
          <w:noProof/>
          <w:sz w:val="20"/>
          <w:szCs w:val="20"/>
        </w:rPr>
        <w:t xml:space="preserve">Australian Bureau of Statistics. (2015, 12 01). </w:t>
      </w:r>
      <w:r w:rsidRPr="0056457E">
        <w:rPr>
          <w:i/>
          <w:iCs/>
          <w:noProof/>
          <w:sz w:val="20"/>
          <w:szCs w:val="20"/>
        </w:rPr>
        <w:t>3101.0 - Australian Demographic Statistics, Dec 2015 .</w:t>
      </w:r>
      <w:r w:rsidRPr="0056457E">
        <w:rPr>
          <w:noProof/>
          <w:sz w:val="20"/>
          <w:szCs w:val="20"/>
        </w:rPr>
        <w:t xml:space="preserve"> Retrieved 7 1, 2016, from http://www.abs.gov.au/AUSSTATS/abs@.nsf/DetailsPage/3101.0Dec%202015?OpenDocument</w:t>
      </w:r>
    </w:p>
    <w:p w14:paraId="3E5A9DE4" w14:textId="77777777" w:rsidR="003A2574" w:rsidRPr="0056457E" w:rsidRDefault="003A2574" w:rsidP="003A2574">
      <w:pPr>
        <w:pStyle w:val="Bibliography"/>
        <w:rPr>
          <w:noProof/>
          <w:sz w:val="20"/>
          <w:szCs w:val="20"/>
        </w:rPr>
      </w:pPr>
      <w:r w:rsidRPr="0056457E">
        <w:rPr>
          <w:noProof/>
          <w:sz w:val="20"/>
          <w:szCs w:val="20"/>
        </w:rPr>
        <w:t xml:space="preserve">Australian Commission on Safety and Quality in Healthcare. (2015, 11 1). </w:t>
      </w:r>
      <w:r w:rsidRPr="0056457E">
        <w:rPr>
          <w:i/>
          <w:iCs/>
          <w:noProof/>
          <w:sz w:val="20"/>
          <w:szCs w:val="20"/>
        </w:rPr>
        <w:t>Australian Atlas of Healthcare Variation 2015.</w:t>
      </w:r>
      <w:r w:rsidRPr="0056457E">
        <w:rPr>
          <w:noProof/>
          <w:sz w:val="20"/>
          <w:szCs w:val="20"/>
        </w:rPr>
        <w:t xml:space="preserve"> Retrieved 7 1, 2016, from http://www.safetyandquality.gov.au/search/atlas</w:t>
      </w:r>
    </w:p>
    <w:p w14:paraId="3567FE02" w14:textId="77777777" w:rsidR="003A2574" w:rsidRPr="0056457E" w:rsidRDefault="003A2574" w:rsidP="003A2574">
      <w:pPr>
        <w:pStyle w:val="Bibliography"/>
        <w:rPr>
          <w:noProof/>
          <w:sz w:val="20"/>
          <w:szCs w:val="20"/>
        </w:rPr>
      </w:pPr>
      <w:r w:rsidRPr="0056457E">
        <w:rPr>
          <w:noProof/>
          <w:sz w:val="20"/>
          <w:szCs w:val="20"/>
        </w:rPr>
        <w:t xml:space="preserve">Australian Government Department of Human Services. (n.d.). </w:t>
      </w:r>
      <w:r w:rsidRPr="0056457E">
        <w:rPr>
          <w:i/>
          <w:iCs/>
          <w:noProof/>
          <w:sz w:val="20"/>
          <w:szCs w:val="20"/>
        </w:rPr>
        <w:t>Health Professionals website</w:t>
      </w:r>
      <w:r w:rsidRPr="0056457E">
        <w:rPr>
          <w:noProof/>
          <w:sz w:val="20"/>
          <w:szCs w:val="20"/>
        </w:rPr>
        <w:t>. Retrieved 7 1, 2016, from https://www.humanservices.gov.au/health-professionals</w:t>
      </w:r>
    </w:p>
    <w:p w14:paraId="718865D2" w14:textId="77777777" w:rsidR="003A2574" w:rsidRPr="0056457E" w:rsidRDefault="003A2574" w:rsidP="003A2574">
      <w:pPr>
        <w:pStyle w:val="Bibliography"/>
        <w:rPr>
          <w:noProof/>
          <w:sz w:val="20"/>
          <w:szCs w:val="20"/>
        </w:rPr>
      </w:pPr>
      <w:r w:rsidRPr="0056457E">
        <w:rPr>
          <w:noProof/>
          <w:sz w:val="20"/>
          <w:szCs w:val="20"/>
        </w:rPr>
        <w:t xml:space="preserve">Australian Government Department of Human Services. (2016, 2 12). </w:t>
      </w:r>
      <w:r w:rsidRPr="0056457E">
        <w:rPr>
          <w:i/>
          <w:iCs/>
          <w:noProof/>
          <w:sz w:val="20"/>
          <w:szCs w:val="20"/>
        </w:rPr>
        <w:t>Medicare Statistics.</w:t>
      </w:r>
      <w:r w:rsidRPr="0056457E">
        <w:rPr>
          <w:noProof/>
          <w:sz w:val="20"/>
          <w:szCs w:val="20"/>
        </w:rPr>
        <w:t xml:space="preserve"> Retrieved 7 1, 2016, from https://www.humanservices.gov.au/corporate/statistical-information-and-data/medicare-statistics#a1</w:t>
      </w:r>
    </w:p>
    <w:p w14:paraId="18B713FD" w14:textId="77777777" w:rsidR="003A2574" w:rsidRPr="0056457E" w:rsidRDefault="003A2574" w:rsidP="003A2574">
      <w:pPr>
        <w:pStyle w:val="Bibliography"/>
        <w:rPr>
          <w:noProof/>
          <w:sz w:val="20"/>
          <w:szCs w:val="20"/>
        </w:rPr>
      </w:pPr>
      <w:r w:rsidRPr="0056457E">
        <w:rPr>
          <w:noProof/>
          <w:sz w:val="20"/>
          <w:szCs w:val="20"/>
        </w:rPr>
        <w:t xml:space="preserve">Australian Government. (2016, 5 5). </w:t>
      </w:r>
      <w:r w:rsidRPr="0056457E">
        <w:rPr>
          <w:i/>
          <w:iCs/>
          <w:noProof/>
          <w:sz w:val="20"/>
          <w:szCs w:val="20"/>
        </w:rPr>
        <w:t>Health Insurance (General Medical Services Table) Regulation 2016.</w:t>
      </w:r>
      <w:r w:rsidRPr="0056457E">
        <w:rPr>
          <w:noProof/>
          <w:sz w:val="20"/>
          <w:szCs w:val="20"/>
        </w:rPr>
        <w:t xml:space="preserve"> Retrieved 7 1, 2016, from https://www.legislation.gov.au/Details/F2016L00769</w:t>
      </w:r>
    </w:p>
    <w:p w14:paraId="42869D90" w14:textId="77777777" w:rsidR="003A2574" w:rsidRPr="0056457E" w:rsidRDefault="003A2574" w:rsidP="003A2574">
      <w:pPr>
        <w:pStyle w:val="Bibliography"/>
        <w:rPr>
          <w:noProof/>
          <w:sz w:val="20"/>
          <w:szCs w:val="20"/>
        </w:rPr>
      </w:pPr>
      <w:r w:rsidRPr="0056457E">
        <w:rPr>
          <w:noProof/>
          <w:sz w:val="20"/>
          <w:szCs w:val="20"/>
        </w:rPr>
        <w:t xml:space="preserve">Australian Government. (n.d.). </w:t>
      </w:r>
      <w:r w:rsidRPr="0056457E">
        <w:rPr>
          <w:i/>
          <w:iCs/>
          <w:noProof/>
          <w:sz w:val="20"/>
          <w:szCs w:val="20"/>
        </w:rPr>
        <w:t>MyGov</w:t>
      </w:r>
      <w:r w:rsidRPr="0056457E">
        <w:rPr>
          <w:noProof/>
          <w:sz w:val="20"/>
          <w:szCs w:val="20"/>
        </w:rPr>
        <w:t>. Retrieved 7 1, 2016, from https://my.gov.au/mygov/content/html/about.html</w:t>
      </w:r>
    </w:p>
    <w:p w14:paraId="4157702F" w14:textId="77777777" w:rsidR="003A2574" w:rsidRPr="0056457E" w:rsidRDefault="003A2574" w:rsidP="003A2574">
      <w:pPr>
        <w:pStyle w:val="Bibliography"/>
        <w:rPr>
          <w:noProof/>
          <w:sz w:val="20"/>
          <w:szCs w:val="20"/>
        </w:rPr>
      </w:pPr>
      <w:r w:rsidRPr="0056457E">
        <w:rPr>
          <w:noProof/>
          <w:sz w:val="20"/>
          <w:szCs w:val="20"/>
        </w:rPr>
        <w:t xml:space="preserve">Australian Government National Health and Medical Research Council. (2012). </w:t>
      </w:r>
      <w:r w:rsidRPr="0056457E">
        <w:rPr>
          <w:i/>
          <w:iCs/>
          <w:noProof/>
          <w:sz w:val="20"/>
          <w:szCs w:val="20"/>
        </w:rPr>
        <w:t>Clinical Practice Guidelines for Surveillance Colonoscopy – in adenoma follow-up; following curative resection of colorectal cancer; and for cancer surveillance in inflammatory bowel disease.</w:t>
      </w:r>
      <w:r w:rsidRPr="0056457E">
        <w:rPr>
          <w:noProof/>
          <w:sz w:val="20"/>
          <w:szCs w:val="20"/>
        </w:rPr>
        <w:t xml:space="preserve"> Retrieved 7 1, 2016, from https://www.nhmrc.gov.au/guidelines-publications/ext8</w:t>
      </w:r>
    </w:p>
    <w:p w14:paraId="527790DE" w14:textId="77777777" w:rsidR="003A2574" w:rsidRPr="0056457E" w:rsidRDefault="003A2574" w:rsidP="003A2574">
      <w:pPr>
        <w:pStyle w:val="Bibliography"/>
        <w:rPr>
          <w:noProof/>
          <w:sz w:val="20"/>
          <w:szCs w:val="20"/>
        </w:rPr>
      </w:pPr>
      <w:r w:rsidRPr="0056457E">
        <w:rPr>
          <w:noProof/>
          <w:sz w:val="20"/>
          <w:szCs w:val="20"/>
        </w:rPr>
        <w:t xml:space="preserve">Australian Government National Health and Medical Research Council. (2005). </w:t>
      </w:r>
      <w:r w:rsidRPr="0056457E">
        <w:rPr>
          <w:i/>
          <w:iCs/>
          <w:noProof/>
          <w:sz w:val="20"/>
          <w:szCs w:val="20"/>
        </w:rPr>
        <w:t>Clinical Practice Guidelines for the Prevention, Early Detection and Management of Colorectal Cancer.</w:t>
      </w:r>
      <w:r w:rsidRPr="0056457E">
        <w:rPr>
          <w:noProof/>
          <w:sz w:val="20"/>
          <w:szCs w:val="20"/>
        </w:rPr>
        <w:t xml:space="preserve"> Retrieved 7 1, 2016, from https://www.nhmrc.gov.au/guidelines-publications/cp106</w:t>
      </w:r>
    </w:p>
    <w:p w14:paraId="4FFD6DAA" w14:textId="77777777" w:rsidR="003A2574" w:rsidRPr="0056457E" w:rsidRDefault="003A2574" w:rsidP="003A2574">
      <w:pPr>
        <w:pStyle w:val="Bibliography"/>
        <w:rPr>
          <w:noProof/>
          <w:sz w:val="20"/>
          <w:szCs w:val="20"/>
        </w:rPr>
      </w:pPr>
      <w:r w:rsidRPr="0056457E">
        <w:rPr>
          <w:noProof/>
          <w:sz w:val="20"/>
          <w:szCs w:val="20"/>
        </w:rPr>
        <w:t xml:space="preserve">Australian Government National Health and Medical Research Council. (2005). </w:t>
      </w:r>
      <w:r w:rsidRPr="0056457E">
        <w:rPr>
          <w:i/>
          <w:iCs/>
          <w:noProof/>
          <w:sz w:val="20"/>
          <w:szCs w:val="20"/>
        </w:rPr>
        <w:t>Clinical Practice Guidelines for the Prevention, Early Detection and Management of Colorectal Cancer.</w:t>
      </w:r>
      <w:r w:rsidRPr="0056457E">
        <w:rPr>
          <w:noProof/>
          <w:sz w:val="20"/>
          <w:szCs w:val="20"/>
        </w:rPr>
        <w:t xml:space="preserve"> Retrieved 7 1, 2016, from https://www.nhmrc.gov.au/guidelines-publications/cp106</w:t>
      </w:r>
    </w:p>
    <w:p w14:paraId="4864E481" w14:textId="77777777" w:rsidR="003A2574" w:rsidRPr="0056457E" w:rsidRDefault="003A2574" w:rsidP="003A2574">
      <w:pPr>
        <w:pStyle w:val="Bibliography"/>
        <w:rPr>
          <w:noProof/>
          <w:sz w:val="20"/>
          <w:szCs w:val="20"/>
        </w:rPr>
      </w:pPr>
      <w:r w:rsidRPr="0056457E">
        <w:rPr>
          <w:noProof/>
          <w:sz w:val="20"/>
          <w:szCs w:val="20"/>
        </w:rPr>
        <w:t xml:space="preserve">Australian Government National Health and Medical Research Council. (2000). </w:t>
      </w:r>
      <w:r w:rsidRPr="0056457E">
        <w:rPr>
          <w:i/>
          <w:iCs/>
          <w:noProof/>
          <w:sz w:val="20"/>
          <w:szCs w:val="20"/>
        </w:rPr>
        <w:t>Guidelines for the Prevention, Early Detection and Management of Colorectal Cancer: A Guide for General Practitioners.</w:t>
      </w:r>
      <w:r w:rsidRPr="0056457E">
        <w:rPr>
          <w:noProof/>
          <w:sz w:val="20"/>
          <w:szCs w:val="20"/>
        </w:rPr>
        <w:t xml:space="preserve"> Retrieved 7 1, 2016, from https://www.nhmrc.gov.au/guidelines-publications/cp64</w:t>
      </w:r>
    </w:p>
    <w:p w14:paraId="619F0938" w14:textId="77777777" w:rsidR="003A2574" w:rsidRPr="0056457E" w:rsidRDefault="003A2574" w:rsidP="003A2574">
      <w:pPr>
        <w:pStyle w:val="Bibliography"/>
        <w:rPr>
          <w:noProof/>
          <w:sz w:val="20"/>
          <w:szCs w:val="20"/>
        </w:rPr>
      </w:pPr>
      <w:r w:rsidRPr="0056457E">
        <w:rPr>
          <w:noProof/>
          <w:sz w:val="20"/>
          <w:szCs w:val="20"/>
        </w:rPr>
        <w:t xml:space="preserve">Australian Institute of Health and Welfare. (2015, 3 19). </w:t>
      </w:r>
      <w:r w:rsidRPr="0056457E">
        <w:rPr>
          <w:i/>
          <w:iCs/>
          <w:noProof/>
          <w:sz w:val="20"/>
          <w:szCs w:val="20"/>
        </w:rPr>
        <w:t>Admitted patient care 2013–14: Australian hospital statistics.</w:t>
      </w:r>
      <w:r w:rsidRPr="0056457E">
        <w:rPr>
          <w:noProof/>
          <w:sz w:val="20"/>
          <w:szCs w:val="20"/>
        </w:rPr>
        <w:t xml:space="preserve"> Retrieved 7 1, 2016, from http://www.aihw.gov.au/publication-detail/?id=60129550483</w:t>
      </w:r>
    </w:p>
    <w:p w14:paraId="2D3199D0" w14:textId="77777777" w:rsidR="003A2574" w:rsidRPr="0056457E" w:rsidRDefault="003A2574" w:rsidP="003A2574">
      <w:pPr>
        <w:pStyle w:val="Bibliography"/>
        <w:rPr>
          <w:noProof/>
          <w:sz w:val="20"/>
          <w:szCs w:val="20"/>
        </w:rPr>
      </w:pPr>
      <w:r w:rsidRPr="0056457E">
        <w:rPr>
          <w:noProof/>
          <w:sz w:val="20"/>
          <w:szCs w:val="20"/>
        </w:rPr>
        <w:t xml:space="preserve">Bahin, F. F. (2016). Comparison of the histopathological effects of two. </w:t>
      </w:r>
      <w:r w:rsidRPr="0056457E">
        <w:rPr>
          <w:i/>
          <w:iCs/>
          <w:noProof/>
          <w:sz w:val="20"/>
          <w:szCs w:val="20"/>
        </w:rPr>
        <w:t>Endoscopy</w:t>
      </w:r>
      <w:r w:rsidRPr="0056457E">
        <w:rPr>
          <w:noProof/>
          <w:sz w:val="20"/>
          <w:szCs w:val="20"/>
        </w:rPr>
        <w:t xml:space="preserve"> </w:t>
      </w:r>
      <w:r w:rsidRPr="0056457E">
        <w:rPr>
          <w:i/>
          <w:iCs/>
          <w:noProof/>
          <w:sz w:val="20"/>
          <w:szCs w:val="20"/>
        </w:rPr>
        <w:t>, 48</w:t>
      </w:r>
      <w:r w:rsidRPr="0056457E">
        <w:rPr>
          <w:noProof/>
          <w:sz w:val="20"/>
          <w:szCs w:val="20"/>
        </w:rPr>
        <w:t>, 117-122.</w:t>
      </w:r>
    </w:p>
    <w:p w14:paraId="62E68CB0" w14:textId="77777777" w:rsidR="003A2574" w:rsidRPr="0056457E" w:rsidRDefault="003A2574" w:rsidP="003A2574">
      <w:pPr>
        <w:pStyle w:val="Bibliography"/>
        <w:rPr>
          <w:noProof/>
          <w:sz w:val="20"/>
          <w:szCs w:val="20"/>
        </w:rPr>
      </w:pPr>
      <w:r w:rsidRPr="0056457E">
        <w:rPr>
          <w:noProof/>
          <w:sz w:val="20"/>
          <w:szCs w:val="20"/>
        </w:rPr>
        <w:t xml:space="preserve">Bahin, F. F. (2016). Efficacy of viscous budesonide slurry for prevention. </w:t>
      </w:r>
      <w:r w:rsidRPr="0056457E">
        <w:rPr>
          <w:i/>
          <w:iCs/>
          <w:noProof/>
          <w:sz w:val="20"/>
          <w:szCs w:val="20"/>
        </w:rPr>
        <w:t>Endoscopy</w:t>
      </w:r>
      <w:r w:rsidRPr="0056457E">
        <w:rPr>
          <w:noProof/>
          <w:sz w:val="20"/>
          <w:szCs w:val="20"/>
        </w:rPr>
        <w:t xml:space="preserve"> </w:t>
      </w:r>
      <w:r w:rsidRPr="0056457E">
        <w:rPr>
          <w:i/>
          <w:iCs/>
          <w:noProof/>
          <w:sz w:val="20"/>
          <w:szCs w:val="20"/>
        </w:rPr>
        <w:t>, 48</w:t>
      </w:r>
      <w:r w:rsidRPr="0056457E">
        <w:rPr>
          <w:noProof/>
          <w:sz w:val="20"/>
          <w:szCs w:val="20"/>
        </w:rPr>
        <w:t>, 71-74.</w:t>
      </w:r>
    </w:p>
    <w:p w14:paraId="41B02AC2" w14:textId="77777777" w:rsidR="003A2574" w:rsidRPr="0056457E" w:rsidRDefault="003A2574" w:rsidP="003A2574">
      <w:pPr>
        <w:pStyle w:val="Bibliography"/>
        <w:rPr>
          <w:noProof/>
          <w:sz w:val="20"/>
          <w:szCs w:val="20"/>
        </w:rPr>
      </w:pPr>
      <w:r w:rsidRPr="0056457E">
        <w:rPr>
          <w:noProof/>
          <w:sz w:val="20"/>
          <w:szCs w:val="20"/>
        </w:rPr>
        <w:t xml:space="preserve">Burgess, N. G. (2016). Clinical and endoscopic predictors of cytological. </w:t>
      </w:r>
      <w:r w:rsidRPr="0056457E">
        <w:rPr>
          <w:i/>
          <w:iCs/>
          <w:noProof/>
          <w:sz w:val="20"/>
          <w:szCs w:val="20"/>
        </w:rPr>
        <w:t>Gut</w:t>
      </w:r>
      <w:r w:rsidRPr="0056457E">
        <w:rPr>
          <w:noProof/>
          <w:sz w:val="20"/>
          <w:szCs w:val="20"/>
        </w:rPr>
        <w:t xml:space="preserve"> </w:t>
      </w:r>
      <w:r w:rsidRPr="0056457E">
        <w:rPr>
          <w:i/>
          <w:iCs/>
          <w:noProof/>
          <w:sz w:val="20"/>
          <w:szCs w:val="20"/>
        </w:rPr>
        <w:t>, 65</w:t>
      </w:r>
      <w:r w:rsidRPr="0056457E">
        <w:rPr>
          <w:noProof/>
          <w:sz w:val="20"/>
          <w:szCs w:val="20"/>
        </w:rPr>
        <w:t>, 437-446.</w:t>
      </w:r>
    </w:p>
    <w:p w14:paraId="1E6520C2" w14:textId="77777777" w:rsidR="003A2574" w:rsidRPr="0056457E" w:rsidRDefault="003A2574" w:rsidP="003A2574">
      <w:pPr>
        <w:pStyle w:val="Bibliography"/>
        <w:rPr>
          <w:noProof/>
          <w:sz w:val="20"/>
          <w:szCs w:val="20"/>
        </w:rPr>
      </w:pPr>
      <w:r w:rsidRPr="0056457E">
        <w:rPr>
          <w:noProof/>
          <w:sz w:val="20"/>
          <w:szCs w:val="20"/>
        </w:rPr>
        <w:t xml:space="preserve">Cancer Council Australia. (2015). </w:t>
      </w:r>
      <w:r w:rsidRPr="0056457E">
        <w:rPr>
          <w:i/>
          <w:iCs/>
          <w:noProof/>
          <w:sz w:val="20"/>
          <w:szCs w:val="20"/>
        </w:rPr>
        <w:t>Cancer Council Australia Surveillance Colonoscopy Guidelines Working Party</w:t>
      </w:r>
      <w:r w:rsidRPr="0056457E">
        <w:rPr>
          <w:noProof/>
          <w:sz w:val="20"/>
          <w:szCs w:val="20"/>
        </w:rPr>
        <w:t>. Retrieved 7 1, 2016, from http://www.cancer.org.au/content/pdf/wiki/Algorithm_for_Colonoscopic_Surveillance_Intervals_-_IBD.pdf</w:t>
      </w:r>
    </w:p>
    <w:p w14:paraId="28A66282" w14:textId="77777777" w:rsidR="003A2574" w:rsidRPr="0056457E" w:rsidRDefault="003A2574" w:rsidP="003A2574">
      <w:pPr>
        <w:pStyle w:val="Bibliography"/>
        <w:rPr>
          <w:noProof/>
          <w:sz w:val="20"/>
          <w:szCs w:val="20"/>
        </w:rPr>
      </w:pPr>
      <w:r w:rsidRPr="0056457E">
        <w:rPr>
          <w:noProof/>
          <w:sz w:val="20"/>
          <w:szCs w:val="20"/>
        </w:rPr>
        <w:lastRenderedPageBreak/>
        <w:t xml:space="preserve">Cancer Council Australia Surveillance Colonoscopy Guidelines. (2013). </w:t>
      </w:r>
      <w:r w:rsidRPr="0056457E">
        <w:rPr>
          <w:i/>
          <w:iCs/>
          <w:noProof/>
          <w:sz w:val="20"/>
          <w:szCs w:val="20"/>
        </w:rPr>
        <w:t>colonoscopic surveillance intervals - following surgery for colorectal cancer.</w:t>
      </w:r>
      <w:r w:rsidRPr="0056457E">
        <w:rPr>
          <w:noProof/>
          <w:sz w:val="20"/>
          <w:szCs w:val="20"/>
        </w:rPr>
        <w:t xml:space="preserve"> Retrieved 7 1, 2016, from http://wiki.cancer.org.au/australiawiki/images/3/34/Algorithm_for_Colonoscopic_Surveillance_Intervals_-_Following_Surgery_for_Colorectal_Cancer.pdf</w:t>
      </w:r>
    </w:p>
    <w:p w14:paraId="121DD944" w14:textId="77777777" w:rsidR="003A2574" w:rsidRPr="0056457E" w:rsidRDefault="003A2574" w:rsidP="003A2574">
      <w:pPr>
        <w:pStyle w:val="Bibliography"/>
        <w:rPr>
          <w:noProof/>
          <w:sz w:val="20"/>
          <w:szCs w:val="20"/>
        </w:rPr>
      </w:pPr>
      <w:r w:rsidRPr="0056457E">
        <w:rPr>
          <w:noProof/>
          <w:sz w:val="20"/>
          <w:szCs w:val="20"/>
        </w:rPr>
        <w:t xml:space="preserve">Cancer Council Australia Surveillance Colonoscopy Guidelines Working Party. (2015). </w:t>
      </w:r>
      <w:r w:rsidRPr="0056457E">
        <w:rPr>
          <w:i/>
          <w:iCs/>
          <w:noProof/>
          <w:sz w:val="20"/>
          <w:szCs w:val="20"/>
        </w:rPr>
        <w:t>Colonoscopic surveillance intervals– inflammatory bowel disease.</w:t>
      </w:r>
      <w:r w:rsidRPr="0056457E">
        <w:rPr>
          <w:noProof/>
          <w:sz w:val="20"/>
          <w:szCs w:val="20"/>
        </w:rPr>
        <w:t xml:space="preserve"> Retrieved 7 1, 2016, from http://www.cancer.org.au/content/pdf/wiki/Algorithm_for_Colonoscopic_Surveillance_Intervals_-_IBD.pdf</w:t>
      </w:r>
    </w:p>
    <w:p w14:paraId="1E24B67C" w14:textId="77777777" w:rsidR="003A2574" w:rsidRPr="0056457E" w:rsidRDefault="003A2574" w:rsidP="003A2574">
      <w:pPr>
        <w:pStyle w:val="Bibliography"/>
        <w:rPr>
          <w:noProof/>
          <w:sz w:val="20"/>
          <w:szCs w:val="20"/>
        </w:rPr>
      </w:pPr>
      <w:r w:rsidRPr="0056457E">
        <w:rPr>
          <w:noProof/>
          <w:sz w:val="20"/>
          <w:szCs w:val="20"/>
        </w:rPr>
        <w:t xml:space="preserve">Cancer Council Australia Surveillance Colonoscopy Guidelines Working Party. (2013). </w:t>
      </w:r>
      <w:r w:rsidRPr="0056457E">
        <w:rPr>
          <w:i/>
          <w:iCs/>
          <w:noProof/>
          <w:sz w:val="20"/>
          <w:szCs w:val="20"/>
        </w:rPr>
        <w:t>Guidelines for colorectal cancer screening-family history.</w:t>
      </w:r>
      <w:r w:rsidRPr="0056457E">
        <w:rPr>
          <w:noProof/>
          <w:sz w:val="20"/>
          <w:szCs w:val="20"/>
        </w:rPr>
        <w:t xml:space="preserve"> Retrieved 7 1, 2016, from http://www.outpatientsouth.tas.gov.au/__data/assets/pdf_file/0007/192535/Screening_FHx_Algorithm_Nov_20131.pdf</w:t>
      </w:r>
    </w:p>
    <w:p w14:paraId="0179700B" w14:textId="7141752D" w:rsidR="003A2574" w:rsidRPr="0056457E" w:rsidRDefault="003A2574" w:rsidP="003A2574">
      <w:pPr>
        <w:pStyle w:val="Bibliography"/>
        <w:rPr>
          <w:noProof/>
          <w:sz w:val="20"/>
          <w:szCs w:val="20"/>
        </w:rPr>
      </w:pPr>
      <w:r w:rsidRPr="0056457E">
        <w:rPr>
          <w:noProof/>
          <w:sz w:val="20"/>
          <w:szCs w:val="20"/>
        </w:rPr>
        <w:t xml:space="preserve">Department of Health. (2016). </w:t>
      </w:r>
      <w:r w:rsidR="00062E38" w:rsidRPr="0056457E">
        <w:rPr>
          <w:noProof/>
          <w:sz w:val="20"/>
          <w:szCs w:val="20"/>
        </w:rPr>
        <w:t>Capsule Endoscopy for obscure gastrointestinal bleeding</w:t>
      </w:r>
      <w:r w:rsidRPr="0056457E">
        <w:rPr>
          <w:noProof/>
          <w:sz w:val="20"/>
          <w:szCs w:val="20"/>
        </w:rPr>
        <w:t xml:space="preserve"> Rapid Review. Canberra: Internal Document.</w:t>
      </w:r>
    </w:p>
    <w:p w14:paraId="500C4914" w14:textId="0EB1A143" w:rsidR="00062E38" w:rsidRPr="0056457E" w:rsidRDefault="00062E38" w:rsidP="00062E38">
      <w:pPr>
        <w:pStyle w:val="Bibliography"/>
        <w:rPr>
          <w:noProof/>
          <w:sz w:val="20"/>
          <w:szCs w:val="20"/>
        </w:rPr>
      </w:pPr>
      <w:r w:rsidRPr="0056457E">
        <w:rPr>
          <w:noProof/>
          <w:sz w:val="20"/>
          <w:szCs w:val="20"/>
        </w:rPr>
        <w:t>Department of Health. (2016). Push Enteroscopy Rapid Review. Canberra: Internal Document.</w:t>
      </w:r>
    </w:p>
    <w:p w14:paraId="2ACC03EE" w14:textId="77777777" w:rsidR="003A2574" w:rsidRPr="0056457E" w:rsidRDefault="003A2574" w:rsidP="003A2574">
      <w:pPr>
        <w:pStyle w:val="Bibliography"/>
        <w:rPr>
          <w:noProof/>
          <w:sz w:val="20"/>
          <w:szCs w:val="20"/>
        </w:rPr>
      </w:pPr>
      <w:r w:rsidRPr="0056457E">
        <w:rPr>
          <w:noProof/>
          <w:sz w:val="20"/>
          <w:szCs w:val="20"/>
        </w:rPr>
        <w:t xml:space="preserve">Elshaug, A., Watt, A., Mundy, L., &amp; Willis , C. (2012). Over 150 potentially low-value health care practices: an Australian study. </w:t>
      </w:r>
      <w:r w:rsidRPr="0056457E">
        <w:rPr>
          <w:i/>
          <w:iCs/>
          <w:noProof/>
          <w:sz w:val="20"/>
          <w:szCs w:val="20"/>
        </w:rPr>
        <w:t>The Medical Journal of Australia</w:t>
      </w:r>
      <w:r w:rsidRPr="0056457E">
        <w:rPr>
          <w:noProof/>
          <w:sz w:val="20"/>
          <w:szCs w:val="20"/>
        </w:rPr>
        <w:t xml:space="preserve"> , 556-560.</w:t>
      </w:r>
    </w:p>
    <w:p w14:paraId="6FBF8233" w14:textId="77777777" w:rsidR="003A2574" w:rsidRPr="0056457E" w:rsidRDefault="003A2574" w:rsidP="003A2574">
      <w:pPr>
        <w:pStyle w:val="Bibliography"/>
        <w:rPr>
          <w:noProof/>
          <w:sz w:val="20"/>
          <w:szCs w:val="20"/>
        </w:rPr>
      </w:pPr>
      <w:r w:rsidRPr="0056457E">
        <w:rPr>
          <w:noProof/>
          <w:sz w:val="20"/>
          <w:szCs w:val="20"/>
        </w:rPr>
        <w:t xml:space="preserve">Friedland et Al., S. (2014). Outcomes of repeat colonoscopy in patients with polyps referred for surgery without biopsy proven cancer. </w:t>
      </w:r>
      <w:r w:rsidRPr="0056457E">
        <w:rPr>
          <w:i/>
          <w:iCs/>
          <w:noProof/>
          <w:sz w:val="20"/>
          <w:szCs w:val="20"/>
        </w:rPr>
        <w:t>Gastrointestinal Endoscopy</w:t>
      </w:r>
      <w:r w:rsidRPr="0056457E">
        <w:rPr>
          <w:noProof/>
          <w:sz w:val="20"/>
          <w:szCs w:val="20"/>
        </w:rPr>
        <w:t xml:space="preserve"> </w:t>
      </w:r>
      <w:r w:rsidRPr="0056457E">
        <w:rPr>
          <w:i/>
          <w:iCs/>
          <w:noProof/>
          <w:sz w:val="20"/>
          <w:szCs w:val="20"/>
        </w:rPr>
        <w:t>, 79</w:t>
      </w:r>
      <w:r w:rsidRPr="0056457E">
        <w:rPr>
          <w:noProof/>
          <w:sz w:val="20"/>
          <w:szCs w:val="20"/>
        </w:rPr>
        <w:t xml:space="preserve"> (2), 101-107.</w:t>
      </w:r>
    </w:p>
    <w:p w14:paraId="20F2C179" w14:textId="77777777" w:rsidR="003A2574" w:rsidRPr="0056457E" w:rsidRDefault="003A2574" w:rsidP="003A2574">
      <w:pPr>
        <w:pStyle w:val="Bibliography"/>
        <w:rPr>
          <w:noProof/>
          <w:sz w:val="20"/>
          <w:szCs w:val="20"/>
        </w:rPr>
      </w:pPr>
      <w:r w:rsidRPr="0056457E">
        <w:rPr>
          <w:noProof/>
          <w:sz w:val="20"/>
          <w:szCs w:val="20"/>
        </w:rPr>
        <w:t xml:space="preserve">Gottumukkala, R. S. (2016). Outcome of EMR as an alternative to surgery in patients with complex colon polyps. </w:t>
      </w:r>
      <w:r w:rsidRPr="0056457E">
        <w:rPr>
          <w:i/>
          <w:iCs/>
          <w:noProof/>
          <w:sz w:val="20"/>
          <w:szCs w:val="20"/>
        </w:rPr>
        <w:t>Gastrointestinal Endoscopy</w:t>
      </w:r>
      <w:r w:rsidRPr="0056457E">
        <w:rPr>
          <w:noProof/>
          <w:sz w:val="20"/>
          <w:szCs w:val="20"/>
        </w:rPr>
        <w:t xml:space="preserve"> </w:t>
      </w:r>
      <w:r w:rsidRPr="0056457E">
        <w:rPr>
          <w:i/>
          <w:iCs/>
          <w:noProof/>
          <w:sz w:val="20"/>
          <w:szCs w:val="20"/>
        </w:rPr>
        <w:t>, 84</w:t>
      </w:r>
      <w:r w:rsidRPr="0056457E">
        <w:rPr>
          <w:noProof/>
          <w:sz w:val="20"/>
          <w:szCs w:val="20"/>
        </w:rPr>
        <w:t xml:space="preserve"> (2), 315-325.</w:t>
      </w:r>
    </w:p>
    <w:p w14:paraId="1BF50039" w14:textId="77777777" w:rsidR="003A2574" w:rsidRPr="0056457E" w:rsidRDefault="003A2574" w:rsidP="003A2574">
      <w:pPr>
        <w:pStyle w:val="Bibliography"/>
        <w:rPr>
          <w:noProof/>
          <w:sz w:val="20"/>
          <w:szCs w:val="20"/>
        </w:rPr>
      </w:pPr>
      <w:r w:rsidRPr="0056457E">
        <w:rPr>
          <w:noProof/>
          <w:sz w:val="20"/>
          <w:szCs w:val="20"/>
        </w:rPr>
        <w:t xml:space="preserve">Jayanna, M. e. (2016). Cost Analysis of Endoscopic Mucosal Resection vs Surgery. </w:t>
      </w:r>
      <w:r w:rsidRPr="0056457E">
        <w:rPr>
          <w:i/>
          <w:iCs/>
          <w:noProof/>
          <w:sz w:val="20"/>
          <w:szCs w:val="20"/>
        </w:rPr>
        <w:t>Clinical Gastroenterology and Hepatology</w:t>
      </w:r>
      <w:r w:rsidRPr="0056457E">
        <w:rPr>
          <w:noProof/>
          <w:sz w:val="20"/>
          <w:szCs w:val="20"/>
        </w:rPr>
        <w:t xml:space="preserve"> </w:t>
      </w:r>
      <w:r w:rsidRPr="0056457E">
        <w:rPr>
          <w:i/>
          <w:iCs/>
          <w:noProof/>
          <w:sz w:val="20"/>
          <w:szCs w:val="20"/>
        </w:rPr>
        <w:t>, 14</w:t>
      </w:r>
      <w:r w:rsidRPr="0056457E">
        <w:rPr>
          <w:noProof/>
          <w:sz w:val="20"/>
          <w:szCs w:val="20"/>
        </w:rPr>
        <w:t>, 271-278.</w:t>
      </w:r>
    </w:p>
    <w:p w14:paraId="21164634" w14:textId="77777777" w:rsidR="003A2574" w:rsidRPr="0056457E" w:rsidRDefault="003A2574" w:rsidP="003A2574">
      <w:pPr>
        <w:pStyle w:val="Bibliography"/>
        <w:rPr>
          <w:noProof/>
          <w:sz w:val="20"/>
          <w:szCs w:val="20"/>
        </w:rPr>
      </w:pPr>
      <w:r w:rsidRPr="0056457E">
        <w:rPr>
          <w:noProof/>
          <w:sz w:val="20"/>
          <w:szCs w:val="20"/>
        </w:rPr>
        <w:t xml:space="preserve">Keswani, R. N. (unpublished). Adverse events after surgery for nonmalignant colon polyps are common and associated with increased length of stay and costs. </w:t>
      </w:r>
      <w:r w:rsidRPr="0056457E">
        <w:rPr>
          <w:i/>
          <w:iCs/>
          <w:noProof/>
          <w:sz w:val="20"/>
          <w:szCs w:val="20"/>
        </w:rPr>
        <w:t>Gastrointestinal Endoscopy</w:t>
      </w:r>
      <w:r w:rsidRPr="0056457E">
        <w:rPr>
          <w:noProof/>
          <w:sz w:val="20"/>
          <w:szCs w:val="20"/>
        </w:rPr>
        <w:t xml:space="preserve"> .</w:t>
      </w:r>
    </w:p>
    <w:p w14:paraId="6E8FF4E8" w14:textId="77777777" w:rsidR="003A2574" w:rsidRPr="0056457E" w:rsidRDefault="003A2574" w:rsidP="003A2574">
      <w:pPr>
        <w:pStyle w:val="Bibliography"/>
        <w:rPr>
          <w:noProof/>
          <w:sz w:val="20"/>
          <w:szCs w:val="20"/>
        </w:rPr>
      </w:pPr>
      <w:r w:rsidRPr="0056457E">
        <w:rPr>
          <w:noProof/>
          <w:sz w:val="20"/>
          <w:szCs w:val="20"/>
        </w:rPr>
        <w:t xml:space="preserve">Klein, A. e. (2016). Endoscopic submucosal dissection for early gastric cancer – applying the expanded resection criteria in a western tertiary center. </w:t>
      </w:r>
      <w:r w:rsidRPr="0056457E">
        <w:rPr>
          <w:i/>
          <w:iCs/>
          <w:noProof/>
          <w:sz w:val="20"/>
          <w:szCs w:val="20"/>
        </w:rPr>
        <w:t>unpublished</w:t>
      </w:r>
      <w:r w:rsidRPr="0056457E">
        <w:rPr>
          <w:noProof/>
          <w:sz w:val="20"/>
          <w:szCs w:val="20"/>
        </w:rPr>
        <w:t xml:space="preserve"> .</w:t>
      </w:r>
    </w:p>
    <w:p w14:paraId="23B35514" w14:textId="77777777" w:rsidR="003A2574" w:rsidRPr="0056457E" w:rsidRDefault="003A2574" w:rsidP="003A2574">
      <w:pPr>
        <w:pStyle w:val="Bibliography"/>
        <w:rPr>
          <w:noProof/>
          <w:sz w:val="20"/>
          <w:szCs w:val="20"/>
        </w:rPr>
      </w:pPr>
      <w:r w:rsidRPr="0056457E">
        <w:rPr>
          <w:noProof/>
          <w:sz w:val="20"/>
          <w:szCs w:val="20"/>
        </w:rPr>
        <w:t xml:space="preserve">Law et Al., R. (2016). Endoscopic resection is cost-effective compared with laparoscopic resection in the management of complex colon polyps: an economic analysis. </w:t>
      </w:r>
      <w:r w:rsidRPr="0056457E">
        <w:rPr>
          <w:i/>
          <w:iCs/>
          <w:noProof/>
          <w:sz w:val="20"/>
          <w:szCs w:val="20"/>
        </w:rPr>
        <w:t>Gastrointestinal Endoscopy</w:t>
      </w:r>
      <w:r w:rsidRPr="0056457E">
        <w:rPr>
          <w:noProof/>
          <w:sz w:val="20"/>
          <w:szCs w:val="20"/>
        </w:rPr>
        <w:t xml:space="preserve"> </w:t>
      </w:r>
      <w:r w:rsidRPr="0056457E">
        <w:rPr>
          <w:i/>
          <w:iCs/>
          <w:noProof/>
          <w:sz w:val="20"/>
          <w:szCs w:val="20"/>
        </w:rPr>
        <w:t>, 83</w:t>
      </w:r>
      <w:r w:rsidRPr="0056457E">
        <w:rPr>
          <w:noProof/>
          <w:sz w:val="20"/>
          <w:szCs w:val="20"/>
        </w:rPr>
        <w:t xml:space="preserve"> (6), 1248-1257.</w:t>
      </w:r>
    </w:p>
    <w:p w14:paraId="31D3B037" w14:textId="77777777" w:rsidR="003A2574" w:rsidRPr="0056457E" w:rsidRDefault="003A2574" w:rsidP="003A2574">
      <w:pPr>
        <w:pStyle w:val="Bibliography"/>
        <w:rPr>
          <w:noProof/>
          <w:sz w:val="20"/>
          <w:szCs w:val="20"/>
        </w:rPr>
      </w:pPr>
      <w:r w:rsidRPr="0056457E">
        <w:rPr>
          <w:noProof/>
          <w:sz w:val="20"/>
          <w:szCs w:val="20"/>
        </w:rPr>
        <w:t xml:space="preserve">Lee, E. Y., &amp; Bourke, J. M. (2016). Endoscopic mucosal resection should be the first-line treatment for large laterally spreading colorectal lesions. </w:t>
      </w:r>
      <w:r w:rsidRPr="0056457E">
        <w:rPr>
          <w:i/>
          <w:iCs/>
          <w:noProof/>
          <w:sz w:val="20"/>
          <w:szCs w:val="20"/>
        </w:rPr>
        <w:t>unpublished</w:t>
      </w:r>
      <w:r w:rsidRPr="0056457E">
        <w:rPr>
          <w:noProof/>
          <w:sz w:val="20"/>
          <w:szCs w:val="20"/>
        </w:rPr>
        <w:t xml:space="preserve"> .</w:t>
      </w:r>
    </w:p>
    <w:p w14:paraId="211C008E" w14:textId="77777777" w:rsidR="003A2574" w:rsidRPr="0056457E" w:rsidRDefault="003A2574" w:rsidP="003A2574">
      <w:pPr>
        <w:pStyle w:val="Bibliography"/>
        <w:rPr>
          <w:noProof/>
          <w:sz w:val="20"/>
          <w:szCs w:val="20"/>
        </w:rPr>
      </w:pPr>
      <w:r w:rsidRPr="0056457E">
        <w:rPr>
          <w:noProof/>
          <w:sz w:val="20"/>
          <w:szCs w:val="20"/>
        </w:rPr>
        <w:t xml:space="preserve">Moss, A. (2014). From gastroenterologist to surgeon to gastroenterologist for management of large sessile colonic polyps: something new under the sun? </w:t>
      </w:r>
      <w:r w:rsidRPr="0056457E">
        <w:rPr>
          <w:i/>
          <w:iCs/>
          <w:noProof/>
          <w:sz w:val="20"/>
          <w:szCs w:val="20"/>
        </w:rPr>
        <w:t>Gastrointestinal Endoscopy</w:t>
      </w:r>
      <w:r w:rsidRPr="0056457E">
        <w:rPr>
          <w:noProof/>
          <w:sz w:val="20"/>
          <w:szCs w:val="20"/>
        </w:rPr>
        <w:t xml:space="preserve"> </w:t>
      </w:r>
      <w:r w:rsidRPr="0056457E">
        <w:rPr>
          <w:i/>
          <w:iCs/>
          <w:noProof/>
          <w:sz w:val="20"/>
          <w:szCs w:val="20"/>
        </w:rPr>
        <w:t>, 1</w:t>
      </w:r>
      <w:r w:rsidRPr="0056457E">
        <w:rPr>
          <w:noProof/>
          <w:sz w:val="20"/>
          <w:szCs w:val="20"/>
        </w:rPr>
        <w:t xml:space="preserve"> (79), 108-110.</w:t>
      </w:r>
    </w:p>
    <w:p w14:paraId="4A4E0181" w14:textId="77777777" w:rsidR="003A2574" w:rsidRPr="0056457E" w:rsidRDefault="003A2574" w:rsidP="003A2574">
      <w:pPr>
        <w:pStyle w:val="Bibliography"/>
        <w:rPr>
          <w:noProof/>
          <w:sz w:val="20"/>
          <w:szCs w:val="20"/>
        </w:rPr>
      </w:pPr>
      <w:r w:rsidRPr="0056457E">
        <w:rPr>
          <w:noProof/>
          <w:sz w:val="20"/>
          <w:szCs w:val="20"/>
        </w:rPr>
        <w:t xml:space="preserve">National Institute for Health and Care Excellence (NICE UK). (2014). </w:t>
      </w:r>
      <w:r w:rsidRPr="0056457E">
        <w:rPr>
          <w:i/>
          <w:iCs/>
          <w:noProof/>
          <w:sz w:val="20"/>
          <w:szCs w:val="20"/>
        </w:rPr>
        <w:t>Cut NHS waste through NICE’s ‘do not do’ database</w:t>
      </w:r>
      <w:r w:rsidRPr="0056457E">
        <w:rPr>
          <w:noProof/>
          <w:sz w:val="20"/>
          <w:szCs w:val="20"/>
        </w:rPr>
        <w:t>. Retrieved 7 22, 2016, from https://www.nice.org.uk/news/article/cut-nhs-waste-through-nice%E2%80%99s-%E2%80%98do-not-do%E2%80%99-database</w:t>
      </w:r>
    </w:p>
    <w:p w14:paraId="2D9C9B5D" w14:textId="77777777" w:rsidR="003A2574" w:rsidRPr="0056457E" w:rsidRDefault="003A2574" w:rsidP="003A2574">
      <w:pPr>
        <w:pStyle w:val="Bibliography"/>
        <w:rPr>
          <w:noProof/>
          <w:sz w:val="20"/>
          <w:szCs w:val="20"/>
        </w:rPr>
      </w:pPr>
      <w:r w:rsidRPr="0056457E">
        <w:rPr>
          <w:noProof/>
          <w:sz w:val="20"/>
          <w:szCs w:val="20"/>
        </w:rPr>
        <w:lastRenderedPageBreak/>
        <w:t xml:space="preserve">NICE. (2016, n/a n/a). </w:t>
      </w:r>
      <w:r w:rsidRPr="0056457E">
        <w:rPr>
          <w:i/>
          <w:iCs/>
          <w:noProof/>
          <w:sz w:val="20"/>
          <w:szCs w:val="20"/>
        </w:rPr>
        <w:t>Phototherapy for Psoriasis</w:t>
      </w:r>
      <w:r w:rsidRPr="0056457E">
        <w:rPr>
          <w:noProof/>
          <w:sz w:val="20"/>
          <w:szCs w:val="20"/>
        </w:rPr>
        <w:t>. Retrieved from NICE: http://pathways.nice.org.uk/pathways/psoriasis#path=view%3A/pathways/psoriasis/phototherapy-for-psoriasis.xml&amp;content=view-index</w:t>
      </w:r>
    </w:p>
    <w:p w14:paraId="6C010F08" w14:textId="77777777" w:rsidR="003A2574" w:rsidRPr="0056457E" w:rsidRDefault="003A2574" w:rsidP="003A2574">
      <w:pPr>
        <w:pStyle w:val="Bibliography"/>
        <w:rPr>
          <w:noProof/>
          <w:sz w:val="20"/>
          <w:szCs w:val="20"/>
        </w:rPr>
      </w:pPr>
      <w:r w:rsidRPr="0056457E">
        <w:rPr>
          <w:noProof/>
          <w:sz w:val="20"/>
          <w:szCs w:val="20"/>
        </w:rPr>
        <w:t xml:space="preserve">NPS Medicine Wise. (2016). </w:t>
      </w:r>
      <w:r w:rsidRPr="0056457E">
        <w:rPr>
          <w:i/>
          <w:iCs/>
          <w:noProof/>
          <w:sz w:val="20"/>
          <w:szCs w:val="20"/>
        </w:rPr>
        <w:t>choosing wisely</w:t>
      </w:r>
      <w:r w:rsidRPr="0056457E">
        <w:rPr>
          <w:noProof/>
          <w:sz w:val="20"/>
          <w:szCs w:val="20"/>
        </w:rPr>
        <w:t>. Retrieved 7 22, 2016, from http://www.choosingwisely.org.au/home</w:t>
      </w:r>
    </w:p>
    <w:p w14:paraId="7FAA9459" w14:textId="77777777" w:rsidR="003A2574" w:rsidRPr="0056457E" w:rsidRDefault="003A2574" w:rsidP="003A2574">
      <w:pPr>
        <w:pStyle w:val="Bibliography"/>
        <w:rPr>
          <w:noProof/>
          <w:sz w:val="20"/>
          <w:szCs w:val="20"/>
        </w:rPr>
      </w:pPr>
      <w:r w:rsidRPr="0056457E">
        <w:rPr>
          <w:noProof/>
          <w:sz w:val="20"/>
          <w:szCs w:val="20"/>
        </w:rPr>
        <w:t xml:space="preserve">NPS MedicineWise. (2016). </w:t>
      </w:r>
      <w:r w:rsidRPr="0056457E">
        <w:rPr>
          <w:i/>
          <w:iCs/>
          <w:noProof/>
          <w:sz w:val="20"/>
          <w:szCs w:val="20"/>
        </w:rPr>
        <w:t>Choosing Wisely Australia</w:t>
      </w:r>
      <w:r w:rsidRPr="0056457E">
        <w:rPr>
          <w:noProof/>
          <w:sz w:val="20"/>
          <w:szCs w:val="20"/>
        </w:rPr>
        <w:t>. Retrieved 7 22, 2016, from http://www.choosingwisely.org.au/home</w:t>
      </w:r>
    </w:p>
    <w:p w14:paraId="4E0A10A5" w14:textId="77777777" w:rsidR="003A2574" w:rsidRPr="0056457E" w:rsidRDefault="003A2574" w:rsidP="003A2574">
      <w:pPr>
        <w:pStyle w:val="Bibliography"/>
        <w:rPr>
          <w:noProof/>
          <w:sz w:val="20"/>
          <w:szCs w:val="20"/>
        </w:rPr>
      </w:pPr>
      <w:r w:rsidRPr="0056457E">
        <w:rPr>
          <w:noProof/>
          <w:sz w:val="20"/>
          <w:szCs w:val="20"/>
        </w:rPr>
        <w:t xml:space="preserve">Raju, G. e. (n.d.). Outcome of Endoscopic Mucosal Resection As an Alternative to Surgery in Patients with Complex Colon Polyps. </w:t>
      </w:r>
      <w:r w:rsidRPr="0056457E">
        <w:rPr>
          <w:i/>
          <w:iCs/>
          <w:noProof/>
          <w:sz w:val="20"/>
          <w:szCs w:val="20"/>
        </w:rPr>
        <w:t>not published</w:t>
      </w:r>
      <w:r w:rsidRPr="0056457E">
        <w:rPr>
          <w:noProof/>
          <w:sz w:val="20"/>
          <w:szCs w:val="20"/>
        </w:rPr>
        <w:t xml:space="preserve"> .</w:t>
      </w:r>
    </w:p>
    <w:p w14:paraId="3C1C359C" w14:textId="6E89002B" w:rsidR="001E5746" w:rsidRPr="004304F5" w:rsidRDefault="003A2574" w:rsidP="004304F5">
      <w:pPr>
        <w:pStyle w:val="Bibliography"/>
        <w:rPr>
          <w:rFonts w:eastAsiaTheme="minorHAnsi"/>
        </w:rPr>
      </w:pPr>
      <w:r w:rsidRPr="0056457E">
        <w:rPr>
          <w:noProof/>
          <w:sz w:val="20"/>
          <w:szCs w:val="20"/>
        </w:rPr>
        <w:t xml:space="preserve">Royal Australian College of General Practitioners. (n.d.). </w:t>
      </w:r>
      <w:r w:rsidRPr="0056457E">
        <w:rPr>
          <w:i/>
          <w:iCs/>
          <w:noProof/>
          <w:sz w:val="20"/>
          <w:szCs w:val="20"/>
        </w:rPr>
        <w:t>guidelines for preventive activities in general practice (the red book)</w:t>
      </w:r>
      <w:r w:rsidRPr="0056457E">
        <w:rPr>
          <w:noProof/>
          <w:sz w:val="20"/>
          <w:szCs w:val="20"/>
        </w:rPr>
        <w:t>. Retrieved 7 1, 2016, from http://www.racgp.org.au/your-practice/guidelines/redbook/</w:t>
      </w:r>
      <w:r w:rsidRPr="0056457E">
        <w:rPr>
          <w:rStyle w:val="IntenseEmphasis"/>
          <w:sz w:val="20"/>
          <w:szCs w:val="20"/>
        </w:rPr>
        <w:fldChar w:fldCharType="end"/>
      </w:r>
      <w:bookmarkStart w:id="241" w:name="_Toc456565026"/>
      <w:bookmarkStart w:id="242" w:name="_Toc457053440"/>
      <w:r w:rsidR="001E5746">
        <w:br w:type="page"/>
      </w:r>
    </w:p>
    <w:p w14:paraId="25135011" w14:textId="647A1FA0" w:rsidR="00DD112E" w:rsidRPr="00DD112E" w:rsidRDefault="00DD112E" w:rsidP="00700528">
      <w:pPr>
        <w:pStyle w:val="Heading1"/>
      </w:pPr>
      <w:bookmarkStart w:id="243" w:name="_Toc485731782"/>
      <w:r w:rsidRPr="00DD112E">
        <w:lastRenderedPageBreak/>
        <w:t>Acronyms and Abbreviations</w:t>
      </w:r>
      <w:bookmarkEnd w:id="241"/>
      <w:bookmarkEnd w:id="242"/>
      <w:bookmarkEnd w:id="243"/>
    </w:p>
    <w:tbl>
      <w:tblPr>
        <w:tblStyle w:val="TableGrid"/>
        <w:tblW w:w="0" w:type="auto"/>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ook w:val="04A0" w:firstRow="1" w:lastRow="0" w:firstColumn="1" w:lastColumn="0" w:noHBand="0" w:noVBand="1"/>
        <w:tblDescription w:val="Acronyms used in the text, and what each stands for."/>
      </w:tblPr>
      <w:tblGrid>
        <w:gridCol w:w="2330"/>
        <w:gridCol w:w="6696"/>
      </w:tblGrid>
      <w:tr w:rsidR="003175F5" w:rsidRPr="003175F5" w14:paraId="5B1B6CFA" w14:textId="77777777" w:rsidTr="003175F5">
        <w:trPr>
          <w:tblHeader/>
        </w:trPr>
        <w:tc>
          <w:tcPr>
            <w:tcW w:w="2376" w:type="dxa"/>
            <w:shd w:val="clear" w:color="auto" w:fill="auto"/>
          </w:tcPr>
          <w:p w14:paraId="4473B0CB" w14:textId="46309C8B" w:rsidR="003175F5" w:rsidRPr="003175F5" w:rsidRDefault="003175F5" w:rsidP="0018105F">
            <w:pPr>
              <w:pStyle w:val="Tableheading"/>
            </w:pPr>
            <w:r w:rsidRPr="003175F5">
              <w:t xml:space="preserve">Term </w:t>
            </w:r>
          </w:p>
        </w:tc>
        <w:tc>
          <w:tcPr>
            <w:tcW w:w="6866" w:type="dxa"/>
            <w:shd w:val="clear" w:color="auto" w:fill="auto"/>
          </w:tcPr>
          <w:p w14:paraId="25522328" w14:textId="51F265A6" w:rsidR="003175F5" w:rsidRPr="003175F5" w:rsidRDefault="003175F5" w:rsidP="0018105F">
            <w:pPr>
              <w:pStyle w:val="Tableheading"/>
            </w:pPr>
            <w:r w:rsidRPr="003175F5">
              <w:t>Description</w:t>
            </w:r>
          </w:p>
        </w:tc>
      </w:tr>
      <w:tr w:rsidR="002E2A73" w14:paraId="6D0D70F0" w14:textId="77777777" w:rsidTr="003A2574">
        <w:tc>
          <w:tcPr>
            <w:tcW w:w="2376" w:type="dxa"/>
            <w:shd w:val="clear" w:color="auto" w:fill="auto"/>
          </w:tcPr>
          <w:p w14:paraId="3E04D56B" w14:textId="77777777" w:rsidR="002E2A73" w:rsidRPr="003A2574" w:rsidRDefault="002E2A73" w:rsidP="00CA0DFC">
            <w:pPr>
              <w:rPr>
                <w:b/>
              </w:rPr>
            </w:pPr>
            <w:bookmarkStart w:id="244" w:name="_Toc456565027"/>
            <w:r w:rsidRPr="003A2574">
              <w:rPr>
                <w:b/>
              </w:rPr>
              <w:t>AC</w:t>
            </w:r>
            <w:r>
              <w:rPr>
                <w:b/>
              </w:rPr>
              <w:t>SQ</w:t>
            </w:r>
            <w:r w:rsidRPr="003A2574">
              <w:rPr>
                <w:b/>
              </w:rPr>
              <w:t>HC</w:t>
            </w:r>
          </w:p>
        </w:tc>
        <w:tc>
          <w:tcPr>
            <w:tcW w:w="6866" w:type="dxa"/>
            <w:shd w:val="clear" w:color="auto" w:fill="auto"/>
          </w:tcPr>
          <w:p w14:paraId="5A7C491B" w14:textId="77777777" w:rsidR="002E2A73" w:rsidRPr="001C0660" w:rsidRDefault="002E2A73" w:rsidP="001C0660">
            <w:r w:rsidRPr="001C0660">
              <w:t>Australian Commission on Safety and Quality in Health Care</w:t>
            </w:r>
          </w:p>
        </w:tc>
      </w:tr>
      <w:tr w:rsidR="002E2A73" w14:paraId="36A4119E" w14:textId="77777777" w:rsidTr="003A2574">
        <w:tc>
          <w:tcPr>
            <w:tcW w:w="2376" w:type="dxa"/>
            <w:shd w:val="clear" w:color="auto" w:fill="auto"/>
          </w:tcPr>
          <w:p w14:paraId="37B2A91D" w14:textId="77777777" w:rsidR="002E2A73" w:rsidRPr="003A2574" w:rsidRDefault="002E2A73" w:rsidP="003A2574">
            <w:pPr>
              <w:rPr>
                <w:b/>
              </w:rPr>
            </w:pPr>
            <w:r w:rsidRPr="003A2574">
              <w:rPr>
                <w:b/>
                <w:color w:val="000000" w:themeColor="text1"/>
              </w:rPr>
              <w:t>APC</w:t>
            </w:r>
          </w:p>
        </w:tc>
        <w:tc>
          <w:tcPr>
            <w:tcW w:w="6866" w:type="dxa"/>
            <w:shd w:val="clear" w:color="auto" w:fill="auto"/>
          </w:tcPr>
          <w:p w14:paraId="5C0E962D" w14:textId="77777777" w:rsidR="002E2A73" w:rsidRPr="001C0660" w:rsidRDefault="002E2A73" w:rsidP="001C0660">
            <w:r w:rsidRPr="001C0660">
              <w:t>Argon Plasma Coagulation</w:t>
            </w:r>
          </w:p>
        </w:tc>
      </w:tr>
      <w:tr w:rsidR="002E2A73" w14:paraId="59180E2B" w14:textId="77777777" w:rsidTr="003A2574">
        <w:tc>
          <w:tcPr>
            <w:tcW w:w="2376" w:type="dxa"/>
            <w:shd w:val="clear" w:color="auto" w:fill="auto"/>
          </w:tcPr>
          <w:p w14:paraId="4F44A8FF" w14:textId="77777777" w:rsidR="002E2A73" w:rsidRPr="003A2574" w:rsidRDefault="002E2A73" w:rsidP="003A2574">
            <w:pPr>
              <w:rPr>
                <w:b/>
              </w:rPr>
            </w:pPr>
            <w:r w:rsidRPr="003A2574">
              <w:rPr>
                <w:b/>
              </w:rPr>
              <w:t>CE</w:t>
            </w:r>
          </w:p>
        </w:tc>
        <w:tc>
          <w:tcPr>
            <w:tcW w:w="6866" w:type="dxa"/>
            <w:shd w:val="clear" w:color="auto" w:fill="auto"/>
          </w:tcPr>
          <w:p w14:paraId="18142D3C" w14:textId="77777777" w:rsidR="002E2A73" w:rsidRPr="001C0660" w:rsidRDefault="002E2A73" w:rsidP="001C0660">
            <w:r w:rsidRPr="001C0660">
              <w:t>Capsule endoscopy</w:t>
            </w:r>
          </w:p>
        </w:tc>
      </w:tr>
      <w:tr w:rsidR="002E2A73" w14:paraId="46DE6983" w14:textId="77777777" w:rsidTr="003A2574">
        <w:tc>
          <w:tcPr>
            <w:tcW w:w="2376" w:type="dxa"/>
            <w:shd w:val="clear" w:color="auto" w:fill="auto"/>
          </w:tcPr>
          <w:p w14:paraId="0AE46A61" w14:textId="77777777" w:rsidR="002E2A73" w:rsidRPr="003A2574" w:rsidRDefault="002E2A73" w:rsidP="003A2574">
            <w:pPr>
              <w:rPr>
                <w:b/>
              </w:rPr>
            </w:pPr>
            <w:r w:rsidRPr="003A2574">
              <w:rPr>
                <w:rFonts w:cs="Arial"/>
                <w:b/>
                <w:color w:val="000000" w:themeColor="text1"/>
                <w:szCs w:val="22"/>
              </w:rPr>
              <w:t>EMR</w:t>
            </w:r>
          </w:p>
        </w:tc>
        <w:tc>
          <w:tcPr>
            <w:tcW w:w="6866" w:type="dxa"/>
            <w:shd w:val="clear" w:color="auto" w:fill="auto"/>
          </w:tcPr>
          <w:p w14:paraId="77D1CE25" w14:textId="77777777" w:rsidR="002E2A73" w:rsidRPr="001C0660" w:rsidRDefault="002E2A73" w:rsidP="001C0660">
            <w:r w:rsidRPr="001C0660">
              <w:t>Endoscopic Mucosal Resection</w:t>
            </w:r>
          </w:p>
        </w:tc>
      </w:tr>
      <w:tr w:rsidR="002E2A73" w14:paraId="0619F11E" w14:textId="77777777" w:rsidTr="003A2574">
        <w:tc>
          <w:tcPr>
            <w:tcW w:w="2376" w:type="dxa"/>
            <w:shd w:val="clear" w:color="auto" w:fill="auto"/>
          </w:tcPr>
          <w:p w14:paraId="5D829B08" w14:textId="77777777" w:rsidR="002E2A73" w:rsidRPr="003A2574" w:rsidRDefault="002E2A73" w:rsidP="003A2574">
            <w:pPr>
              <w:rPr>
                <w:b/>
              </w:rPr>
            </w:pPr>
            <w:r w:rsidRPr="003A2574">
              <w:rPr>
                <w:b/>
              </w:rPr>
              <w:t>ENT</w:t>
            </w:r>
          </w:p>
        </w:tc>
        <w:tc>
          <w:tcPr>
            <w:tcW w:w="6866" w:type="dxa"/>
            <w:shd w:val="clear" w:color="auto" w:fill="auto"/>
          </w:tcPr>
          <w:p w14:paraId="768276F1" w14:textId="77777777" w:rsidR="002E2A73" w:rsidRPr="001C0660" w:rsidRDefault="002E2A73" w:rsidP="001C0660">
            <w:r w:rsidRPr="001C0660">
              <w:t>Ear Nose and Throat</w:t>
            </w:r>
          </w:p>
        </w:tc>
      </w:tr>
      <w:tr w:rsidR="002E2A73" w14:paraId="6762DB77" w14:textId="77777777" w:rsidTr="003A2574">
        <w:tc>
          <w:tcPr>
            <w:tcW w:w="2376" w:type="dxa"/>
            <w:shd w:val="clear" w:color="auto" w:fill="auto"/>
          </w:tcPr>
          <w:p w14:paraId="2C43BF3A" w14:textId="77777777" w:rsidR="002E2A73" w:rsidRPr="003A2574" w:rsidRDefault="002E2A73" w:rsidP="003A2574">
            <w:pPr>
              <w:rPr>
                <w:b/>
              </w:rPr>
            </w:pPr>
            <w:r>
              <w:rPr>
                <w:b/>
              </w:rPr>
              <w:t>ERCP</w:t>
            </w:r>
          </w:p>
        </w:tc>
        <w:tc>
          <w:tcPr>
            <w:tcW w:w="6866" w:type="dxa"/>
            <w:shd w:val="clear" w:color="auto" w:fill="auto"/>
          </w:tcPr>
          <w:p w14:paraId="3E0BD7CE" w14:textId="77777777" w:rsidR="002E2A73" w:rsidRPr="001C0660" w:rsidRDefault="002E2A73" w:rsidP="001C0660">
            <w:r w:rsidRPr="001C0660">
              <w:t>Endoscopic Retrograde Cholangiopancreatography</w:t>
            </w:r>
          </w:p>
        </w:tc>
      </w:tr>
      <w:tr w:rsidR="002E2A73" w14:paraId="7B121B10" w14:textId="77777777" w:rsidTr="003A2574">
        <w:tc>
          <w:tcPr>
            <w:tcW w:w="2376" w:type="dxa"/>
            <w:shd w:val="clear" w:color="auto" w:fill="auto"/>
          </w:tcPr>
          <w:p w14:paraId="568A5812" w14:textId="77777777" w:rsidR="002E2A73" w:rsidRPr="003A2574" w:rsidRDefault="002E2A73" w:rsidP="003A2574">
            <w:pPr>
              <w:rPr>
                <w:b/>
              </w:rPr>
            </w:pPr>
            <w:r w:rsidRPr="003A2574">
              <w:rPr>
                <w:b/>
              </w:rPr>
              <w:t>EUS</w:t>
            </w:r>
          </w:p>
        </w:tc>
        <w:tc>
          <w:tcPr>
            <w:tcW w:w="6866" w:type="dxa"/>
            <w:shd w:val="clear" w:color="auto" w:fill="auto"/>
          </w:tcPr>
          <w:p w14:paraId="14617D56" w14:textId="77777777" w:rsidR="002E2A73" w:rsidRPr="001C0660" w:rsidRDefault="002E2A73" w:rsidP="001C0660">
            <w:r w:rsidRPr="001C0660">
              <w:t>Endoscopic Ultrasound</w:t>
            </w:r>
          </w:p>
        </w:tc>
      </w:tr>
      <w:tr w:rsidR="002E2A73" w14:paraId="65C83413" w14:textId="77777777" w:rsidTr="003A2574">
        <w:tc>
          <w:tcPr>
            <w:tcW w:w="2376" w:type="dxa"/>
            <w:shd w:val="clear" w:color="auto" w:fill="auto"/>
          </w:tcPr>
          <w:p w14:paraId="00A53851" w14:textId="77777777" w:rsidR="002E2A73" w:rsidRPr="003A2574" w:rsidRDefault="002E2A73" w:rsidP="003A2574">
            <w:pPr>
              <w:rPr>
                <w:b/>
              </w:rPr>
            </w:pPr>
            <w:r w:rsidRPr="003A2574">
              <w:rPr>
                <w:rFonts w:cs="Arial"/>
                <w:b/>
                <w:szCs w:val="22"/>
              </w:rPr>
              <w:t>FOBT</w:t>
            </w:r>
          </w:p>
        </w:tc>
        <w:tc>
          <w:tcPr>
            <w:tcW w:w="6866" w:type="dxa"/>
            <w:shd w:val="clear" w:color="auto" w:fill="auto"/>
          </w:tcPr>
          <w:p w14:paraId="5D6E2682" w14:textId="77777777" w:rsidR="002E2A73" w:rsidRPr="001C0660" w:rsidRDefault="002E2A73" w:rsidP="001C0660">
            <w:r w:rsidRPr="001C0660">
              <w:t>Faecal occult blood test</w:t>
            </w:r>
          </w:p>
        </w:tc>
      </w:tr>
      <w:tr w:rsidR="002E2A73" w14:paraId="363E9A3C" w14:textId="77777777" w:rsidTr="003A2574">
        <w:tc>
          <w:tcPr>
            <w:tcW w:w="2376" w:type="dxa"/>
            <w:shd w:val="clear" w:color="auto" w:fill="auto"/>
          </w:tcPr>
          <w:p w14:paraId="4C82A2F4" w14:textId="77777777" w:rsidR="002E2A73" w:rsidRPr="003A2574" w:rsidRDefault="002E2A73" w:rsidP="003A2574">
            <w:pPr>
              <w:rPr>
                <w:b/>
              </w:rPr>
            </w:pPr>
            <w:r w:rsidRPr="003A2574">
              <w:rPr>
                <w:b/>
              </w:rPr>
              <w:t>GAVE</w:t>
            </w:r>
          </w:p>
        </w:tc>
        <w:tc>
          <w:tcPr>
            <w:tcW w:w="6866" w:type="dxa"/>
            <w:shd w:val="clear" w:color="auto" w:fill="auto"/>
          </w:tcPr>
          <w:p w14:paraId="4AB2539D" w14:textId="77777777" w:rsidR="002E2A73" w:rsidRPr="001C0660" w:rsidRDefault="002E2A73" w:rsidP="001C0660">
            <w:r w:rsidRPr="001C0660">
              <w:t>Gastric antral vascular ectasia</w:t>
            </w:r>
          </w:p>
        </w:tc>
      </w:tr>
      <w:tr w:rsidR="002E2A73" w14:paraId="6535A4A7" w14:textId="77777777" w:rsidTr="003A2574">
        <w:tc>
          <w:tcPr>
            <w:tcW w:w="2376" w:type="dxa"/>
            <w:shd w:val="clear" w:color="auto" w:fill="auto"/>
          </w:tcPr>
          <w:p w14:paraId="1AAFAE5D" w14:textId="77777777" w:rsidR="002E2A73" w:rsidRPr="003A2574" w:rsidRDefault="002E2A73" w:rsidP="003A2574">
            <w:pPr>
              <w:rPr>
                <w:b/>
              </w:rPr>
            </w:pPr>
            <w:r w:rsidRPr="003A2574">
              <w:rPr>
                <w:b/>
              </w:rPr>
              <w:t>GESA</w:t>
            </w:r>
          </w:p>
        </w:tc>
        <w:tc>
          <w:tcPr>
            <w:tcW w:w="6866" w:type="dxa"/>
            <w:shd w:val="clear" w:color="auto" w:fill="auto"/>
          </w:tcPr>
          <w:p w14:paraId="60C0F2F6" w14:textId="77777777" w:rsidR="002E2A73" w:rsidRPr="001C0660" w:rsidRDefault="002E2A73" w:rsidP="001C0660">
            <w:r w:rsidRPr="001C0660">
              <w:t>Gastroenterological Society of Australia</w:t>
            </w:r>
          </w:p>
        </w:tc>
      </w:tr>
      <w:tr w:rsidR="002E2A73" w14:paraId="289032F7" w14:textId="77777777" w:rsidTr="003A2574">
        <w:tc>
          <w:tcPr>
            <w:tcW w:w="2376" w:type="dxa"/>
            <w:shd w:val="clear" w:color="auto" w:fill="auto"/>
          </w:tcPr>
          <w:p w14:paraId="55FA79FA" w14:textId="77777777" w:rsidR="002E2A73" w:rsidRPr="003A2574" w:rsidRDefault="002E2A73" w:rsidP="003A2574">
            <w:pPr>
              <w:rPr>
                <w:b/>
              </w:rPr>
            </w:pPr>
            <w:r w:rsidRPr="003A2574">
              <w:rPr>
                <w:b/>
              </w:rPr>
              <w:t>HPOS</w:t>
            </w:r>
          </w:p>
        </w:tc>
        <w:tc>
          <w:tcPr>
            <w:tcW w:w="6866" w:type="dxa"/>
            <w:shd w:val="clear" w:color="auto" w:fill="auto"/>
          </w:tcPr>
          <w:p w14:paraId="05264776" w14:textId="77777777" w:rsidR="002E2A73" w:rsidRPr="001C0660" w:rsidRDefault="002E2A73" w:rsidP="001C0660">
            <w:r w:rsidRPr="001C0660">
              <w:t>Health Professionals Online System</w:t>
            </w:r>
          </w:p>
        </w:tc>
      </w:tr>
      <w:tr w:rsidR="002E2A73" w14:paraId="3B4E5D87" w14:textId="77777777" w:rsidTr="003A2574">
        <w:tc>
          <w:tcPr>
            <w:tcW w:w="2376" w:type="dxa"/>
            <w:shd w:val="clear" w:color="auto" w:fill="auto"/>
            <w:hideMark/>
          </w:tcPr>
          <w:p w14:paraId="3EFFF0F1" w14:textId="77777777" w:rsidR="002E2A73" w:rsidRPr="003A2574" w:rsidRDefault="002E2A73" w:rsidP="003A2574">
            <w:pPr>
              <w:rPr>
                <w:b/>
              </w:rPr>
            </w:pPr>
            <w:r w:rsidRPr="003A2574">
              <w:rPr>
                <w:b/>
              </w:rPr>
              <w:t>MBS</w:t>
            </w:r>
          </w:p>
        </w:tc>
        <w:tc>
          <w:tcPr>
            <w:tcW w:w="6866" w:type="dxa"/>
            <w:shd w:val="clear" w:color="auto" w:fill="auto"/>
            <w:hideMark/>
          </w:tcPr>
          <w:p w14:paraId="7BCB24C4" w14:textId="77777777" w:rsidR="002E2A73" w:rsidRPr="001C0660" w:rsidRDefault="002E2A73" w:rsidP="001C0660">
            <w:r w:rsidRPr="001C0660">
              <w:t>Medicare Benefits Schedule</w:t>
            </w:r>
          </w:p>
        </w:tc>
      </w:tr>
      <w:tr w:rsidR="002E2A73" w14:paraId="72D1AB50" w14:textId="77777777" w:rsidTr="003A2574">
        <w:tc>
          <w:tcPr>
            <w:tcW w:w="2376" w:type="dxa"/>
            <w:shd w:val="clear" w:color="auto" w:fill="auto"/>
          </w:tcPr>
          <w:p w14:paraId="4866D44A" w14:textId="77777777" w:rsidR="002E2A73" w:rsidRPr="003A2574" w:rsidRDefault="002E2A73" w:rsidP="003A2574">
            <w:pPr>
              <w:rPr>
                <w:b/>
              </w:rPr>
            </w:pPr>
            <w:r w:rsidRPr="003A2574">
              <w:rPr>
                <w:rFonts w:cs="Arial"/>
                <w:b/>
                <w:color w:val="000000" w:themeColor="text1"/>
                <w:szCs w:val="22"/>
              </w:rPr>
              <w:t>MSAC</w:t>
            </w:r>
          </w:p>
        </w:tc>
        <w:tc>
          <w:tcPr>
            <w:tcW w:w="6866" w:type="dxa"/>
            <w:shd w:val="clear" w:color="auto" w:fill="auto"/>
          </w:tcPr>
          <w:p w14:paraId="2BEB0954" w14:textId="77777777" w:rsidR="002E2A73" w:rsidRPr="001C0660" w:rsidRDefault="002E2A73" w:rsidP="001C0660">
            <w:r w:rsidRPr="001C0660">
              <w:t>Medical Services Advisory Committee</w:t>
            </w:r>
          </w:p>
        </w:tc>
      </w:tr>
      <w:tr w:rsidR="002E2A73" w14:paraId="6E03E347" w14:textId="77777777" w:rsidTr="003A2574">
        <w:tc>
          <w:tcPr>
            <w:tcW w:w="2376" w:type="dxa"/>
            <w:shd w:val="clear" w:color="auto" w:fill="auto"/>
          </w:tcPr>
          <w:p w14:paraId="70A6070F" w14:textId="77777777" w:rsidR="002E2A73" w:rsidRPr="003A2574" w:rsidRDefault="002E2A73" w:rsidP="003A2574">
            <w:pPr>
              <w:rPr>
                <w:b/>
              </w:rPr>
            </w:pPr>
            <w:r w:rsidRPr="003A2574">
              <w:rPr>
                <w:rFonts w:cs="Arial"/>
                <w:b/>
                <w:szCs w:val="22"/>
              </w:rPr>
              <w:t>NHMRC</w:t>
            </w:r>
          </w:p>
        </w:tc>
        <w:tc>
          <w:tcPr>
            <w:tcW w:w="6866" w:type="dxa"/>
            <w:shd w:val="clear" w:color="auto" w:fill="auto"/>
          </w:tcPr>
          <w:p w14:paraId="2C69B2FA" w14:textId="77777777" w:rsidR="002E2A73" w:rsidRPr="001C0660" w:rsidRDefault="002E2A73" w:rsidP="001C0660">
            <w:r w:rsidRPr="001C0660">
              <w:t>National Health and Medical Research Council</w:t>
            </w:r>
          </w:p>
        </w:tc>
      </w:tr>
      <w:tr w:rsidR="002E2A73" w14:paraId="18642962" w14:textId="77777777" w:rsidTr="003A2574">
        <w:tc>
          <w:tcPr>
            <w:tcW w:w="2376" w:type="dxa"/>
            <w:shd w:val="clear" w:color="auto" w:fill="auto"/>
          </w:tcPr>
          <w:p w14:paraId="26331F6B" w14:textId="77777777" w:rsidR="002E2A73" w:rsidRPr="003A2574" w:rsidRDefault="002E2A73" w:rsidP="003A2574">
            <w:pPr>
              <w:rPr>
                <w:b/>
              </w:rPr>
            </w:pPr>
            <w:r w:rsidRPr="003A2574">
              <w:rPr>
                <w:b/>
              </w:rPr>
              <w:t>NICE UK</w:t>
            </w:r>
          </w:p>
        </w:tc>
        <w:tc>
          <w:tcPr>
            <w:tcW w:w="6866" w:type="dxa"/>
            <w:shd w:val="clear" w:color="auto" w:fill="auto"/>
          </w:tcPr>
          <w:p w14:paraId="124912D5" w14:textId="77777777" w:rsidR="002E2A73" w:rsidRPr="001C0660" w:rsidRDefault="002E2A73" w:rsidP="001C0660">
            <w:r w:rsidRPr="001C0660">
              <w:t>National Institute for Health and Care Excellence</w:t>
            </w:r>
          </w:p>
        </w:tc>
      </w:tr>
      <w:tr w:rsidR="002E2A73" w14:paraId="17A4514D" w14:textId="77777777" w:rsidTr="003A2574">
        <w:tc>
          <w:tcPr>
            <w:tcW w:w="2376" w:type="dxa"/>
            <w:shd w:val="clear" w:color="auto" w:fill="auto"/>
          </w:tcPr>
          <w:p w14:paraId="55944A53" w14:textId="77777777" w:rsidR="002E2A73" w:rsidRPr="003A2574" w:rsidRDefault="002E2A73" w:rsidP="003A2574">
            <w:pPr>
              <w:rPr>
                <w:b/>
              </w:rPr>
            </w:pPr>
            <w:r w:rsidRPr="003A2574">
              <w:rPr>
                <w:rFonts w:cs="Arial"/>
                <w:b/>
                <w:color w:val="000000" w:themeColor="text1"/>
                <w:szCs w:val="22"/>
              </w:rPr>
              <w:t>PE</w:t>
            </w:r>
          </w:p>
        </w:tc>
        <w:tc>
          <w:tcPr>
            <w:tcW w:w="6866" w:type="dxa"/>
            <w:shd w:val="clear" w:color="auto" w:fill="auto"/>
          </w:tcPr>
          <w:p w14:paraId="34F4350F" w14:textId="77777777" w:rsidR="002E2A73" w:rsidRPr="001C0660" w:rsidRDefault="002E2A73" w:rsidP="001C0660">
            <w:r w:rsidRPr="001C0660">
              <w:t>Push Enteroscopy</w:t>
            </w:r>
          </w:p>
        </w:tc>
      </w:tr>
      <w:tr w:rsidR="002E2A73" w14:paraId="0A2536B8" w14:textId="77777777" w:rsidTr="003A2574">
        <w:tc>
          <w:tcPr>
            <w:tcW w:w="2376" w:type="dxa"/>
            <w:shd w:val="clear" w:color="auto" w:fill="auto"/>
          </w:tcPr>
          <w:p w14:paraId="15CFAA14" w14:textId="77777777" w:rsidR="002E2A73" w:rsidRPr="003A2574" w:rsidRDefault="002E2A73" w:rsidP="003A2574">
            <w:pPr>
              <w:rPr>
                <w:b/>
              </w:rPr>
            </w:pPr>
            <w:r w:rsidRPr="003A2574">
              <w:rPr>
                <w:b/>
              </w:rPr>
              <w:t>SES</w:t>
            </w:r>
          </w:p>
        </w:tc>
        <w:tc>
          <w:tcPr>
            <w:tcW w:w="6866" w:type="dxa"/>
            <w:shd w:val="clear" w:color="auto" w:fill="auto"/>
          </w:tcPr>
          <w:p w14:paraId="5ABC7018" w14:textId="77777777" w:rsidR="002E2A73" w:rsidRPr="001C0660" w:rsidRDefault="002E2A73" w:rsidP="001C0660">
            <w:r w:rsidRPr="001C0660">
              <w:t>Socioeconomic status</w:t>
            </w:r>
          </w:p>
        </w:tc>
      </w:tr>
      <w:tr w:rsidR="002E2A73" w14:paraId="32F3E6F0" w14:textId="77777777" w:rsidTr="003A2574">
        <w:tc>
          <w:tcPr>
            <w:tcW w:w="2376" w:type="dxa"/>
            <w:shd w:val="clear" w:color="auto" w:fill="auto"/>
          </w:tcPr>
          <w:p w14:paraId="50B0D6D5" w14:textId="77777777" w:rsidR="002E2A73" w:rsidRPr="003A2574" w:rsidRDefault="002E2A73" w:rsidP="003A2574">
            <w:pPr>
              <w:rPr>
                <w:b/>
              </w:rPr>
            </w:pPr>
            <w:r w:rsidRPr="003A2574">
              <w:rPr>
                <w:b/>
              </w:rPr>
              <w:t>the Committee / GCC</w:t>
            </w:r>
          </w:p>
        </w:tc>
        <w:tc>
          <w:tcPr>
            <w:tcW w:w="6866" w:type="dxa"/>
            <w:shd w:val="clear" w:color="auto" w:fill="auto"/>
          </w:tcPr>
          <w:p w14:paraId="2B2E86BE" w14:textId="77777777" w:rsidR="002E2A73" w:rsidRPr="001C0660" w:rsidRDefault="002E2A73" w:rsidP="001C0660">
            <w:r w:rsidRPr="001C0660">
              <w:t>Gastroenterology Clinical Committee</w:t>
            </w:r>
          </w:p>
        </w:tc>
      </w:tr>
      <w:tr w:rsidR="002E2A73" w14:paraId="12A081C3" w14:textId="77777777" w:rsidTr="003A2574">
        <w:tc>
          <w:tcPr>
            <w:tcW w:w="2376" w:type="dxa"/>
            <w:shd w:val="clear" w:color="auto" w:fill="auto"/>
          </w:tcPr>
          <w:p w14:paraId="51EF5CB4" w14:textId="77777777" w:rsidR="002E2A73" w:rsidRPr="003A2574" w:rsidRDefault="002E2A73" w:rsidP="003A2574">
            <w:pPr>
              <w:rPr>
                <w:b/>
              </w:rPr>
            </w:pPr>
            <w:r w:rsidRPr="003A2574">
              <w:rPr>
                <w:b/>
              </w:rPr>
              <w:t>the Taskforce</w:t>
            </w:r>
          </w:p>
        </w:tc>
        <w:tc>
          <w:tcPr>
            <w:tcW w:w="6866" w:type="dxa"/>
            <w:shd w:val="clear" w:color="auto" w:fill="auto"/>
          </w:tcPr>
          <w:p w14:paraId="66C44539" w14:textId="77777777" w:rsidR="002E2A73" w:rsidRPr="001C0660" w:rsidRDefault="002E2A73" w:rsidP="001C0660">
            <w:r w:rsidRPr="001C0660">
              <w:t>Review Taskforce</w:t>
            </w:r>
          </w:p>
        </w:tc>
      </w:tr>
    </w:tbl>
    <w:p w14:paraId="7615729C" w14:textId="77777777" w:rsidR="00DD112E" w:rsidRDefault="00DD112E" w:rsidP="004304F5">
      <w:pPr>
        <w:rPr>
          <w:rFonts w:eastAsiaTheme="minorHAnsi"/>
          <w:lang w:val="en-US" w:eastAsia="en-US"/>
        </w:rPr>
      </w:pPr>
      <w:r>
        <w:br w:type="page"/>
      </w:r>
    </w:p>
    <w:p w14:paraId="2FDAB67F" w14:textId="77777777" w:rsidR="00DD112E" w:rsidRPr="00DD112E" w:rsidRDefault="00DD112E" w:rsidP="00700528">
      <w:pPr>
        <w:pStyle w:val="Heading1"/>
      </w:pPr>
      <w:bookmarkStart w:id="245" w:name="_Toc457053441"/>
      <w:bookmarkStart w:id="246" w:name="_Toc485731783"/>
      <w:r w:rsidRPr="00DD112E">
        <w:lastRenderedPageBreak/>
        <w:t>Glossary</w:t>
      </w:r>
      <w:bookmarkEnd w:id="244"/>
      <w:bookmarkEnd w:id="245"/>
      <w:bookmarkEnd w:id="246"/>
    </w:p>
    <w:tbl>
      <w:tblPr>
        <w:tblStyle w:val="TableGrid3"/>
        <w:tblW w:w="0" w:type="auto"/>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ook w:val="04A0" w:firstRow="1" w:lastRow="0" w:firstColumn="1" w:lastColumn="0" w:noHBand="0" w:noVBand="1"/>
        <w:tblDescription w:val="Terms used in the text, and their meaning."/>
      </w:tblPr>
      <w:tblGrid>
        <w:gridCol w:w="2753"/>
        <w:gridCol w:w="6273"/>
      </w:tblGrid>
      <w:tr w:rsidR="003175F5" w:rsidRPr="005364D9" w14:paraId="1EA606EF" w14:textId="77777777" w:rsidTr="003175F5">
        <w:trPr>
          <w:tblHeader/>
        </w:trPr>
        <w:tc>
          <w:tcPr>
            <w:tcW w:w="2802" w:type="dxa"/>
          </w:tcPr>
          <w:p w14:paraId="27B96B11" w14:textId="6264C734" w:rsidR="003175F5" w:rsidRPr="003A2574" w:rsidRDefault="003175F5" w:rsidP="002036DF">
            <w:pPr>
              <w:pStyle w:val="Tableheading"/>
            </w:pPr>
            <w:r>
              <w:t>Term</w:t>
            </w:r>
          </w:p>
        </w:tc>
        <w:tc>
          <w:tcPr>
            <w:tcW w:w="6440" w:type="dxa"/>
          </w:tcPr>
          <w:p w14:paraId="0F4D2C38" w14:textId="4F3B0190" w:rsidR="003175F5" w:rsidRPr="006C6BE7" w:rsidRDefault="003175F5" w:rsidP="006C6BE7">
            <w:pPr>
              <w:pStyle w:val="Tableheading"/>
            </w:pPr>
            <w:r w:rsidRPr="006C6BE7">
              <w:t>Description</w:t>
            </w:r>
          </w:p>
        </w:tc>
      </w:tr>
      <w:tr w:rsidR="003A2574" w:rsidRPr="005364D9" w14:paraId="4CFD10E8" w14:textId="77777777" w:rsidTr="003A2574">
        <w:tc>
          <w:tcPr>
            <w:tcW w:w="2802" w:type="dxa"/>
          </w:tcPr>
          <w:p w14:paraId="6765CB07" w14:textId="77777777" w:rsidR="003A2574" w:rsidRPr="003A2574" w:rsidRDefault="003A2574" w:rsidP="0018105F">
            <w:pPr>
              <w:pStyle w:val="Tabletext"/>
            </w:pPr>
            <w:r w:rsidRPr="003A2574">
              <w:t>Department, The</w:t>
            </w:r>
          </w:p>
        </w:tc>
        <w:tc>
          <w:tcPr>
            <w:tcW w:w="6440" w:type="dxa"/>
          </w:tcPr>
          <w:p w14:paraId="472AB8B7" w14:textId="77777777" w:rsidR="003A2574" w:rsidRPr="001C0660" w:rsidRDefault="003A2574" w:rsidP="001C0660">
            <w:pPr>
              <w:pStyle w:val="Tabletext"/>
            </w:pPr>
            <w:r w:rsidRPr="001C0660">
              <w:t>Australian Government Department of Health</w:t>
            </w:r>
          </w:p>
        </w:tc>
      </w:tr>
      <w:tr w:rsidR="003A2574" w:rsidRPr="005364D9" w14:paraId="1E08CEE9" w14:textId="77777777" w:rsidTr="003A2574">
        <w:tc>
          <w:tcPr>
            <w:tcW w:w="2802" w:type="dxa"/>
          </w:tcPr>
          <w:p w14:paraId="237E789D" w14:textId="77777777" w:rsidR="003A2574" w:rsidRPr="003A2574" w:rsidRDefault="003A2574" w:rsidP="0018105F">
            <w:pPr>
              <w:pStyle w:val="Tabletext"/>
            </w:pPr>
            <w:r w:rsidRPr="003A2574">
              <w:t>DHS</w:t>
            </w:r>
          </w:p>
        </w:tc>
        <w:tc>
          <w:tcPr>
            <w:tcW w:w="6440" w:type="dxa"/>
          </w:tcPr>
          <w:p w14:paraId="45E5DAD4" w14:textId="77777777" w:rsidR="003A2574" w:rsidRPr="001C0660" w:rsidRDefault="003A2574" w:rsidP="001C0660">
            <w:pPr>
              <w:pStyle w:val="Tabletext"/>
            </w:pPr>
            <w:r w:rsidRPr="001C0660">
              <w:t>Australian Government Department of Human Services</w:t>
            </w:r>
          </w:p>
        </w:tc>
      </w:tr>
      <w:tr w:rsidR="003A2574" w:rsidRPr="005364D9" w14:paraId="6245429B" w14:textId="77777777" w:rsidTr="003A2574">
        <w:tc>
          <w:tcPr>
            <w:tcW w:w="2802" w:type="dxa"/>
          </w:tcPr>
          <w:p w14:paraId="52F67698" w14:textId="77777777" w:rsidR="003A2574" w:rsidRPr="003A2574" w:rsidRDefault="003A2574" w:rsidP="0018105F">
            <w:pPr>
              <w:pStyle w:val="Tabletext"/>
            </w:pPr>
            <w:r w:rsidRPr="003A2574">
              <w:t>GP</w:t>
            </w:r>
          </w:p>
        </w:tc>
        <w:tc>
          <w:tcPr>
            <w:tcW w:w="6440" w:type="dxa"/>
          </w:tcPr>
          <w:p w14:paraId="543076AA" w14:textId="77777777" w:rsidR="003A2574" w:rsidRPr="001C0660" w:rsidRDefault="003A2574" w:rsidP="001C0660">
            <w:pPr>
              <w:pStyle w:val="Tabletext"/>
            </w:pPr>
            <w:r w:rsidRPr="001C0660">
              <w:t>General practitioner</w:t>
            </w:r>
          </w:p>
        </w:tc>
      </w:tr>
      <w:tr w:rsidR="003A2574" w:rsidRPr="005364D9" w14:paraId="4A0CD99E" w14:textId="77777777" w:rsidTr="003A2574">
        <w:tc>
          <w:tcPr>
            <w:tcW w:w="2802" w:type="dxa"/>
          </w:tcPr>
          <w:p w14:paraId="16190EE6" w14:textId="5CA34D52" w:rsidR="003A2574" w:rsidRPr="003A2574" w:rsidRDefault="003A2574" w:rsidP="0018105F">
            <w:pPr>
              <w:pStyle w:val="Tabletext"/>
            </w:pPr>
            <w:r w:rsidRPr="003A2574">
              <w:rPr>
                <w:rFonts w:eastAsiaTheme="minorHAnsi" w:cstheme="minorBidi"/>
                <w:lang w:eastAsia="en-US"/>
              </w:rPr>
              <w:t>High</w:t>
            </w:r>
            <w:r w:rsidR="00BF1B51">
              <w:t>–</w:t>
            </w:r>
            <w:r w:rsidRPr="003A2574">
              <w:rPr>
                <w:rFonts w:eastAsiaTheme="minorHAnsi" w:cstheme="minorBidi"/>
                <w:lang w:eastAsia="en-US"/>
              </w:rPr>
              <w:t>value care</w:t>
            </w:r>
          </w:p>
        </w:tc>
        <w:tc>
          <w:tcPr>
            <w:tcW w:w="6440" w:type="dxa"/>
          </w:tcPr>
          <w:p w14:paraId="5A5D582F" w14:textId="77777777" w:rsidR="003A2574" w:rsidRPr="001C0660" w:rsidRDefault="003A2574" w:rsidP="001C0660">
            <w:pPr>
              <w:pStyle w:val="Tabletext"/>
            </w:pPr>
            <w:r w:rsidRPr="001C0660">
              <w:t>Services of proven efficacy reflecting current best medical practice, or for which the potential benefit to consumers exceeds the risk and costs</w:t>
            </w:r>
            <w:r w:rsidRPr="001C0660">
              <w:rPr>
                <w:rFonts w:eastAsiaTheme="minorHAnsi"/>
              </w:rPr>
              <w:t>.</w:t>
            </w:r>
          </w:p>
        </w:tc>
      </w:tr>
      <w:tr w:rsidR="003A2574" w:rsidRPr="005364D9" w14:paraId="50C4933F" w14:textId="77777777" w:rsidTr="003A2574">
        <w:tc>
          <w:tcPr>
            <w:tcW w:w="2802" w:type="dxa"/>
          </w:tcPr>
          <w:p w14:paraId="6A05545E" w14:textId="77777777" w:rsidR="003A2574" w:rsidRPr="003A2574" w:rsidRDefault="003A2574" w:rsidP="0018105F">
            <w:pPr>
              <w:pStyle w:val="Tabletext"/>
            </w:pPr>
            <w:r w:rsidRPr="003A2574">
              <w:rPr>
                <w:rFonts w:eastAsiaTheme="minorHAnsi" w:cstheme="minorBidi"/>
                <w:lang w:eastAsia="en-US"/>
              </w:rPr>
              <w:t>Inappropriate use / misuse</w:t>
            </w:r>
          </w:p>
        </w:tc>
        <w:tc>
          <w:tcPr>
            <w:tcW w:w="6440" w:type="dxa"/>
          </w:tcPr>
          <w:p w14:paraId="69828F69" w14:textId="77777777" w:rsidR="003A2574" w:rsidRPr="001C0660" w:rsidRDefault="003A2574" w:rsidP="001C0660">
            <w:pPr>
              <w:pStyle w:val="Tabletext"/>
            </w:pPr>
            <w:r w:rsidRPr="001C0660">
              <w:rPr>
                <w:rFonts w:eastAsiaTheme="minorHAnsi"/>
              </w:rPr>
              <w:t>The use of MBS services for purposes other than those intended. This includes a range of behaviours ranging from failing to adhere to particular item descriptors or rules, through to deliberate fraud.</w:t>
            </w:r>
          </w:p>
        </w:tc>
      </w:tr>
      <w:tr w:rsidR="003A2574" w:rsidRPr="005364D9" w14:paraId="7093B44C" w14:textId="77777777" w:rsidTr="003A2574">
        <w:tc>
          <w:tcPr>
            <w:tcW w:w="2802" w:type="dxa"/>
          </w:tcPr>
          <w:p w14:paraId="2051CB81" w14:textId="77777777" w:rsidR="003A2574" w:rsidRPr="003A2574" w:rsidRDefault="003A2574" w:rsidP="0018105F">
            <w:pPr>
              <w:pStyle w:val="Tabletext"/>
            </w:pPr>
            <w:r w:rsidRPr="003A2574">
              <w:rPr>
                <w:rFonts w:eastAsiaTheme="minorHAnsi" w:cstheme="minorBidi"/>
                <w:lang w:eastAsia="en-US"/>
              </w:rPr>
              <w:t>Low-value care</w:t>
            </w:r>
          </w:p>
        </w:tc>
        <w:tc>
          <w:tcPr>
            <w:tcW w:w="6440" w:type="dxa"/>
          </w:tcPr>
          <w:p w14:paraId="7CF8D1C0" w14:textId="77777777" w:rsidR="003A2574" w:rsidRPr="001C0660" w:rsidRDefault="003A2574" w:rsidP="001C0660">
            <w:pPr>
              <w:pStyle w:val="Tabletext"/>
            </w:pPr>
            <w:r w:rsidRPr="001C0660">
              <w:t>The use of an intervention which evidence suggests confers no or very little benefit on patients, or that the risk of harm exceeds the likely benefit, or, more broadly, that the added costs of the intervention do not provide proportional added benefits.</w:t>
            </w:r>
          </w:p>
        </w:tc>
      </w:tr>
      <w:tr w:rsidR="003A2574" w:rsidRPr="005364D9" w14:paraId="05A147DB" w14:textId="77777777" w:rsidTr="003A2574">
        <w:tc>
          <w:tcPr>
            <w:tcW w:w="2802" w:type="dxa"/>
          </w:tcPr>
          <w:p w14:paraId="6D78CA0F" w14:textId="77777777" w:rsidR="003A2574" w:rsidRPr="003A2574" w:rsidRDefault="003A2574" w:rsidP="0018105F">
            <w:pPr>
              <w:pStyle w:val="Tabletext"/>
            </w:pPr>
            <w:r w:rsidRPr="003A2574">
              <w:t>MBS item</w:t>
            </w:r>
          </w:p>
        </w:tc>
        <w:tc>
          <w:tcPr>
            <w:tcW w:w="6440" w:type="dxa"/>
          </w:tcPr>
          <w:p w14:paraId="4DEC846E" w14:textId="77777777" w:rsidR="003A2574" w:rsidRPr="001C0660" w:rsidRDefault="003A2574" w:rsidP="001C0660">
            <w:pPr>
              <w:pStyle w:val="Tabletext"/>
            </w:pPr>
            <w:r w:rsidRPr="001C0660">
              <w:t>An administrative object listed in the MBS and used for the purposes of claiming and paying Medicare benefits, comprising an item number, service descriptor and supporting information, Schedule fee and Medicare benefits.</w:t>
            </w:r>
          </w:p>
        </w:tc>
      </w:tr>
      <w:tr w:rsidR="003A2574" w:rsidRPr="005364D9" w14:paraId="0E32AF56" w14:textId="77777777" w:rsidTr="003A2574">
        <w:tc>
          <w:tcPr>
            <w:tcW w:w="2802" w:type="dxa"/>
          </w:tcPr>
          <w:p w14:paraId="174E5283" w14:textId="77777777" w:rsidR="003A2574" w:rsidRPr="003A2574" w:rsidRDefault="003A2574" w:rsidP="0018105F">
            <w:pPr>
              <w:pStyle w:val="Tabletext"/>
            </w:pPr>
            <w:r w:rsidRPr="003A2574">
              <w:t>MBS service</w:t>
            </w:r>
          </w:p>
        </w:tc>
        <w:tc>
          <w:tcPr>
            <w:tcW w:w="6440" w:type="dxa"/>
          </w:tcPr>
          <w:p w14:paraId="32C016AD" w14:textId="77777777" w:rsidR="003A2574" w:rsidRPr="001C0660" w:rsidRDefault="003A2574" w:rsidP="001C0660">
            <w:pPr>
              <w:pStyle w:val="Tabletext"/>
            </w:pPr>
            <w:r w:rsidRPr="001C0660">
              <w:t>The actual medical consultation, procedure, test to which the relevant MBS item refers.</w:t>
            </w:r>
          </w:p>
        </w:tc>
      </w:tr>
      <w:tr w:rsidR="003A2574" w:rsidRPr="005364D9" w14:paraId="77EF493F" w14:textId="77777777" w:rsidTr="003A2574">
        <w:tc>
          <w:tcPr>
            <w:tcW w:w="2802" w:type="dxa"/>
          </w:tcPr>
          <w:p w14:paraId="497D2A78" w14:textId="77777777" w:rsidR="003A2574" w:rsidRPr="003A2574" w:rsidRDefault="003A2574" w:rsidP="0018105F">
            <w:pPr>
              <w:pStyle w:val="Tabletext"/>
            </w:pPr>
            <w:r w:rsidRPr="003A2574">
              <w:rPr>
                <w:rFonts w:eastAsiaTheme="minorHAnsi" w:cstheme="minorBidi"/>
                <w:lang w:eastAsia="en-US"/>
              </w:rPr>
              <w:t>MSAC</w:t>
            </w:r>
          </w:p>
        </w:tc>
        <w:tc>
          <w:tcPr>
            <w:tcW w:w="6440" w:type="dxa"/>
          </w:tcPr>
          <w:p w14:paraId="61D30838" w14:textId="77777777" w:rsidR="003A2574" w:rsidRPr="001C0660" w:rsidRDefault="003A2574" w:rsidP="001C0660">
            <w:pPr>
              <w:pStyle w:val="Tabletext"/>
            </w:pPr>
            <w:r w:rsidRPr="001C0660">
              <w:rPr>
                <w:rFonts w:eastAsiaTheme="minorHAnsi"/>
              </w:rPr>
              <w:t>Medical Services Advisory Committee</w:t>
            </w:r>
          </w:p>
        </w:tc>
      </w:tr>
      <w:tr w:rsidR="003A2574" w:rsidRPr="005364D9" w14:paraId="0ACFE9DD" w14:textId="77777777" w:rsidTr="003A2574">
        <w:tc>
          <w:tcPr>
            <w:tcW w:w="2802" w:type="dxa"/>
          </w:tcPr>
          <w:p w14:paraId="31D9EE39" w14:textId="77777777" w:rsidR="003A2574" w:rsidRPr="003A2574" w:rsidRDefault="003A2574" w:rsidP="0018105F">
            <w:pPr>
              <w:pStyle w:val="Tabletext"/>
            </w:pPr>
            <w:r w:rsidRPr="003A2574">
              <w:t>Multiple operation rule</w:t>
            </w:r>
          </w:p>
        </w:tc>
        <w:tc>
          <w:tcPr>
            <w:tcW w:w="6440" w:type="dxa"/>
          </w:tcPr>
          <w:p w14:paraId="1094CFC2" w14:textId="77777777" w:rsidR="003A2574" w:rsidRPr="001C0660" w:rsidRDefault="003A2574" w:rsidP="001C0660">
            <w:pPr>
              <w:pStyle w:val="Tabletext"/>
            </w:pPr>
            <w:r w:rsidRPr="001C0660">
              <w:t>A rule governing the amount of Medicare benefit payable for multiple operations performed on a patient on the one occasion. In general, the fees for two or more operations are calculated by the following rule:</w:t>
            </w:r>
          </w:p>
          <w:p w14:paraId="37F31128" w14:textId="6ED0CF6A" w:rsidR="003A2574" w:rsidRPr="00D05F24" w:rsidRDefault="003A2574" w:rsidP="0018105F">
            <w:pPr>
              <w:pStyle w:val="NormalBulleted10pt"/>
            </w:pPr>
            <w:r w:rsidRPr="00D05F24">
              <w:t>100</w:t>
            </w:r>
            <w:r w:rsidR="00BF1B51">
              <w:t xml:space="preserve"> per cent</w:t>
            </w:r>
            <w:r w:rsidRPr="00D05F24">
              <w:t xml:space="preserve"> for the item with the greatest Schedule fee</w:t>
            </w:r>
          </w:p>
          <w:p w14:paraId="02E5F08B" w14:textId="587C49EF" w:rsidR="003A2574" w:rsidRPr="00D05F24" w:rsidRDefault="003A2574" w:rsidP="0018105F">
            <w:pPr>
              <w:pStyle w:val="NormalBulleted10pt"/>
            </w:pPr>
            <w:r w:rsidRPr="00D05F24">
              <w:t>plus 50</w:t>
            </w:r>
            <w:r w:rsidR="00BF1B51">
              <w:t xml:space="preserve"> per cent</w:t>
            </w:r>
            <w:r w:rsidRPr="00D05F24">
              <w:t xml:space="preserve"> for the item with the next greatest Schedule fee</w:t>
            </w:r>
          </w:p>
          <w:p w14:paraId="4A49C323" w14:textId="698CE747" w:rsidR="003A2574" w:rsidRPr="003A2574" w:rsidRDefault="003A2574" w:rsidP="00BF1B51">
            <w:pPr>
              <w:pStyle w:val="NormalBulleted10pt"/>
            </w:pPr>
            <w:r w:rsidRPr="00D05F24">
              <w:t>plus 25</w:t>
            </w:r>
            <w:r w:rsidR="00BF1B51">
              <w:t xml:space="preserve"> per cent</w:t>
            </w:r>
            <w:r w:rsidRPr="00D05F24">
              <w:t xml:space="preserve"> for each other item.</w:t>
            </w:r>
          </w:p>
        </w:tc>
      </w:tr>
      <w:tr w:rsidR="003A2574" w:rsidRPr="005364D9" w14:paraId="5D370665" w14:textId="77777777" w:rsidTr="003A2574">
        <w:tc>
          <w:tcPr>
            <w:tcW w:w="2802" w:type="dxa"/>
          </w:tcPr>
          <w:p w14:paraId="654B8D16" w14:textId="77777777" w:rsidR="003A2574" w:rsidRPr="003A2574" w:rsidRDefault="003A2574" w:rsidP="0018105F">
            <w:pPr>
              <w:pStyle w:val="Tabletext"/>
            </w:pPr>
            <w:r w:rsidRPr="003A2574">
              <w:t>Multiple services rules (diagnostic imaging)</w:t>
            </w:r>
          </w:p>
        </w:tc>
        <w:tc>
          <w:tcPr>
            <w:tcW w:w="6440" w:type="dxa"/>
          </w:tcPr>
          <w:p w14:paraId="1E7081FA" w14:textId="77777777" w:rsidR="003A2574" w:rsidRPr="001C0660" w:rsidRDefault="003A2574" w:rsidP="001C0660">
            <w:pPr>
              <w:pStyle w:val="Tabletext"/>
            </w:pPr>
            <w:r w:rsidRPr="001C0660">
              <w:t>A set of rules governing the amount of Medicare benefit payable for multiple diagnostic imaging services provided to a patient at the same attendance (same day). See MBS Explanatory Note DIJ for more information.</w:t>
            </w:r>
          </w:p>
        </w:tc>
      </w:tr>
      <w:tr w:rsidR="003A2574" w:rsidRPr="005364D9" w14:paraId="1203FDA8" w14:textId="77777777" w:rsidTr="003A2574">
        <w:tc>
          <w:tcPr>
            <w:tcW w:w="2802" w:type="dxa"/>
          </w:tcPr>
          <w:p w14:paraId="22FD41D6" w14:textId="77777777" w:rsidR="003A2574" w:rsidRPr="003A2574" w:rsidRDefault="003A2574" w:rsidP="0018105F">
            <w:pPr>
              <w:pStyle w:val="Tabletext"/>
            </w:pPr>
            <w:r w:rsidRPr="003A2574">
              <w:rPr>
                <w:rFonts w:eastAsiaTheme="minorHAnsi" w:cstheme="minorBidi"/>
                <w:lang w:eastAsia="en-US"/>
              </w:rPr>
              <w:t>Obsolete services</w:t>
            </w:r>
          </w:p>
        </w:tc>
        <w:tc>
          <w:tcPr>
            <w:tcW w:w="6440" w:type="dxa"/>
          </w:tcPr>
          <w:p w14:paraId="68D36CDB" w14:textId="77777777" w:rsidR="003A2574" w:rsidRPr="001C0660" w:rsidRDefault="003A2574" w:rsidP="001C0660">
            <w:pPr>
              <w:pStyle w:val="Tabletext"/>
            </w:pPr>
            <w:r w:rsidRPr="001C0660">
              <w:t>Services that should no longer be performed as they do not represent current clinical best practice and have been superseded by superior tests or procedures.</w:t>
            </w:r>
          </w:p>
        </w:tc>
      </w:tr>
      <w:tr w:rsidR="003A2574" w:rsidRPr="005364D9" w14:paraId="11A37CD1" w14:textId="77777777" w:rsidTr="003A2574">
        <w:tc>
          <w:tcPr>
            <w:tcW w:w="2802" w:type="dxa"/>
          </w:tcPr>
          <w:p w14:paraId="3E26BF51" w14:textId="77777777" w:rsidR="003A2574" w:rsidRPr="003A2574" w:rsidRDefault="003A2574" w:rsidP="0018105F">
            <w:pPr>
              <w:pStyle w:val="Tabletext"/>
            </w:pPr>
            <w:r w:rsidRPr="003A2574">
              <w:t>Pathology episode coning</w:t>
            </w:r>
          </w:p>
        </w:tc>
        <w:tc>
          <w:tcPr>
            <w:tcW w:w="6440" w:type="dxa"/>
          </w:tcPr>
          <w:p w14:paraId="6F86637C" w14:textId="77777777" w:rsidR="003A2574" w:rsidRPr="003A2574" w:rsidRDefault="003A2574" w:rsidP="0018105F">
            <w:pPr>
              <w:pStyle w:val="Tabletext"/>
            </w:pPr>
            <w:r w:rsidRPr="003A2574">
              <w:t>An arrangement governing the amount of Medicare benefit payable for multiple pathology services performed in a single patient episode. When more than three pathology services are requested by a general practitioner in a patient episode, the benefits payable are equivalent to the sum of the benefits for the three items with the highest Schedule fees.</w:t>
            </w:r>
          </w:p>
        </w:tc>
      </w:tr>
      <w:tr w:rsidR="003A2574" w:rsidRPr="005364D9" w14:paraId="538ED8F8" w14:textId="77777777" w:rsidTr="003A2574">
        <w:tc>
          <w:tcPr>
            <w:tcW w:w="2802" w:type="dxa"/>
          </w:tcPr>
          <w:p w14:paraId="47F81FA3" w14:textId="77777777" w:rsidR="003A2574" w:rsidRPr="003A2574" w:rsidRDefault="003A2574" w:rsidP="0018105F">
            <w:pPr>
              <w:pStyle w:val="Tabletext"/>
            </w:pPr>
            <w:r w:rsidRPr="003A2574">
              <w:lastRenderedPageBreak/>
              <w:t>PBS</w:t>
            </w:r>
          </w:p>
        </w:tc>
        <w:tc>
          <w:tcPr>
            <w:tcW w:w="6440" w:type="dxa"/>
          </w:tcPr>
          <w:p w14:paraId="14E29585" w14:textId="77777777" w:rsidR="003A2574" w:rsidRPr="003A2574" w:rsidRDefault="003A2574" w:rsidP="0018105F">
            <w:pPr>
              <w:pStyle w:val="Tabletext"/>
            </w:pPr>
            <w:r w:rsidRPr="003A2574">
              <w:t>Pharmaceutical Benefits Scheme</w:t>
            </w:r>
          </w:p>
        </w:tc>
      </w:tr>
      <w:tr w:rsidR="003A2574" w:rsidRPr="005364D9" w14:paraId="61B35D95" w14:textId="77777777" w:rsidTr="003A2574">
        <w:tc>
          <w:tcPr>
            <w:tcW w:w="2802" w:type="dxa"/>
          </w:tcPr>
          <w:p w14:paraId="2A269124" w14:textId="77777777" w:rsidR="003A2574" w:rsidRPr="003A2574" w:rsidRDefault="003A2574" w:rsidP="0018105F">
            <w:pPr>
              <w:pStyle w:val="Tabletext"/>
            </w:pPr>
            <w:r w:rsidRPr="003A2574">
              <w:rPr>
                <w:rFonts w:eastAsiaTheme="minorHAnsi" w:cstheme="minorBidi"/>
                <w:lang w:eastAsia="en-US"/>
              </w:rPr>
              <w:t>PHCAG</w:t>
            </w:r>
          </w:p>
        </w:tc>
        <w:tc>
          <w:tcPr>
            <w:tcW w:w="6440" w:type="dxa"/>
          </w:tcPr>
          <w:p w14:paraId="249ACCE6" w14:textId="77777777" w:rsidR="003A2574" w:rsidRPr="003A2574" w:rsidRDefault="003A2574" w:rsidP="0018105F">
            <w:pPr>
              <w:pStyle w:val="Tabletext"/>
            </w:pPr>
            <w:r w:rsidRPr="003A2574">
              <w:rPr>
                <w:rFonts w:eastAsiaTheme="minorHAnsi" w:cstheme="minorBidi"/>
                <w:lang w:eastAsia="en-US"/>
              </w:rPr>
              <w:t>Primary Health Care Advisory Group</w:t>
            </w:r>
          </w:p>
        </w:tc>
      </w:tr>
    </w:tbl>
    <w:p w14:paraId="6204361A" w14:textId="77777777" w:rsidR="00DD112E" w:rsidRDefault="00DD112E" w:rsidP="004304F5"/>
    <w:p w14:paraId="569C6DB1" w14:textId="77777777" w:rsidR="00B964DD" w:rsidRDefault="00B964DD" w:rsidP="00F85147">
      <w:pPr>
        <w:pStyle w:val="AppendixStyle1"/>
        <w:rPr>
          <w:b w:val="0"/>
          <w:bCs/>
          <w:i/>
          <w:smallCaps/>
        </w:rPr>
        <w:sectPr w:rsidR="00B964DD" w:rsidSect="00A84D48">
          <w:endnotePr>
            <w:numFmt w:val="decimal"/>
          </w:endnotePr>
          <w:type w:val="oddPage"/>
          <w:pgSz w:w="11906" w:h="16838" w:code="9"/>
          <w:pgMar w:top="1440" w:right="1440" w:bottom="1276" w:left="1440" w:header="720" w:footer="720" w:gutter="0"/>
          <w:paperSrc w:first="2" w:other="2"/>
          <w:cols w:space="720"/>
          <w:docGrid w:linePitch="326"/>
        </w:sectPr>
      </w:pPr>
    </w:p>
    <w:p w14:paraId="4A290EDE" w14:textId="588586EC" w:rsidR="00F85147" w:rsidRPr="00F85147" w:rsidRDefault="003A2574" w:rsidP="001815E3">
      <w:pPr>
        <w:pStyle w:val="AppendixStyle1"/>
      </w:pPr>
      <w:bookmarkStart w:id="247" w:name="_Toc457053442"/>
      <w:bookmarkStart w:id="248" w:name="_Toc485731784"/>
      <w:r>
        <w:lastRenderedPageBreak/>
        <w:t xml:space="preserve">Full list of </w:t>
      </w:r>
      <w:r w:rsidR="00F85147" w:rsidRPr="00F85147">
        <w:t>MBS items</w:t>
      </w:r>
      <w:r>
        <w:t xml:space="preserve"> under review</w:t>
      </w:r>
      <w:bookmarkEnd w:id="247"/>
      <w:bookmarkEnd w:id="248"/>
    </w:p>
    <w:p w14:paraId="4E3ADAF3" w14:textId="2D28F183" w:rsidR="00AD071A" w:rsidRPr="00AD071A" w:rsidRDefault="00AD071A" w:rsidP="00AD071A">
      <w:pPr>
        <w:pStyle w:val="Caption"/>
      </w:pPr>
      <w:r>
        <w:t>Table A1:</w:t>
      </w:r>
      <w:r>
        <w:tab/>
        <w:t>Group D1 – Miscellaneous Diagnostic Procedures and Investigations</w:t>
      </w:r>
      <w:r w:rsidRPr="00AD071A">
        <w:t>: Subgroup 7—Gastroenterology and colorectal</w:t>
      </w:r>
    </w:p>
    <w:tbl>
      <w:tblPr>
        <w:tblStyle w:val="TableGrid"/>
        <w:tblW w:w="9072" w:type="dxa"/>
        <w:tblLook w:val="04A0" w:firstRow="1" w:lastRow="0" w:firstColumn="1" w:lastColumn="0" w:noHBand="0" w:noVBand="1"/>
        <w:tblDescription w:val="Table A1 lists item numbers and descriptors of Miscellaneous Diagnostic Procedures and Investigations: Subgroup 7—Gastroenterology and colorectal reviewed by the Committee."/>
      </w:tblPr>
      <w:tblGrid>
        <w:gridCol w:w="1526"/>
        <w:gridCol w:w="7546"/>
      </w:tblGrid>
      <w:tr w:rsidR="003A2574" w:rsidRPr="00E641BB" w14:paraId="0CE302D9" w14:textId="77777777" w:rsidTr="00AD071A">
        <w:trPr>
          <w:trHeight w:val="300"/>
          <w:tblHeader/>
        </w:trPr>
        <w:tc>
          <w:tcPr>
            <w:tcW w:w="1526" w:type="dxa"/>
            <w:tcBorders>
              <w:top w:val="single" w:sz="4" w:space="0" w:color="B56011"/>
              <w:left w:val="nil"/>
              <w:bottom w:val="single" w:sz="4" w:space="0" w:color="B56011"/>
              <w:right w:val="nil"/>
            </w:tcBorders>
            <w:shd w:val="clear" w:color="auto" w:fill="auto"/>
            <w:noWrap/>
            <w:hideMark/>
          </w:tcPr>
          <w:p w14:paraId="6138034F" w14:textId="34AA6961" w:rsidR="003A2574" w:rsidRPr="00E641BB" w:rsidRDefault="00AA154A" w:rsidP="00AD071A">
            <w:pPr>
              <w:pStyle w:val="Tableheading"/>
              <w:rPr>
                <w:lang w:eastAsia="en-US"/>
              </w:rPr>
            </w:pPr>
            <w:r>
              <w:rPr>
                <w:lang w:eastAsia="en-US"/>
              </w:rPr>
              <w:t>Item</w:t>
            </w:r>
          </w:p>
        </w:tc>
        <w:tc>
          <w:tcPr>
            <w:tcW w:w="7546" w:type="dxa"/>
            <w:tcBorders>
              <w:top w:val="single" w:sz="4" w:space="0" w:color="B56011"/>
              <w:left w:val="nil"/>
              <w:bottom w:val="single" w:sz="4" w:space="0" w:color="B56011"/>
              <w:right w:val="nil"/>
            </w:tcBorders>
            <w:shd w:val="clear" w:color="auto" w:fill="auto"/>
            <w:noWrap/>
            <w:hideMark/>
          </w:tcPr>
          <w:p w14:paraId="3CE3DEB1" w14:textId="77777777" w:rsidR="003A2574" w:rsidRPr="00E641BB" w:rsidRDefault="003A2574" w:rsidP="00AD071A">
            <w:pPr>
              <w:pStyle w:val="Tableheading"/>
              <w:rPr>
                <w:lang w:eastAsia="en-US"/>
              </w:rPr>
            </w:pPr>
            <w:r w:rsidRPr="00E641BB">
              <w:rPr>
                <w:lang w:eastAsia="en-US"/>
              </w:rPr>
              <w:t>Description</w:t>
            </w:r>
          </w:p>
        </w:tc>
      </w:tr>
      <w:tr w:rsidR="003A2574" w:rsidRPr="00E641BB" w14:paraId="21F6B175" w14:textId="77777777" w:rsidTr="00AD071A">
        <w:trPr>
          <w:trHeight w:val="226"/>
        </w:trPr>
        <w:tc>
          <w:tcPr>
            <w:tcW w:w="1526" w:type="dxa"/>
            <w:tcBorders>
              <w:top w:val="single" w:sz="4" w:space="0" w:color="B56011"/>
              <w:left w:val="nil"/>
              <w:bottom w:val="single" w:sz="4" w:space="0" w:color="B56011"/>
              <w:right w:val="nil"/>
            </w:tcBorders>
            <w:shd w:val="clear" w:color="auto" w:fill="auto"/>
            <w:noWrap/>
            <w:hideMark/>
          </w:tcPr>
          <w:p w14:paraId="7BF0EA70" w14:textId="77777777" w:rsidR="003A2574" w:rsidRPr="00AA154A" w:rsidRDefault="003A2574" w:rsidP="00AD071A">
            <w:pPr>
              <w:pStyle w:val="Tabletext"/>
              <w:rPr>
                <w:lang w:eastAsia="en-US"/>
              </w:rPr>
            </w:pPr>
            <w:r w:rsidRPr="00AA154A">
              <w:rPr>
                <w:lang w:eastAsia="en-US"/>
              </w:rPr>
              <w:t>11800</w:t>
            </w:r>
          </w:p>
        </w:tc>
        <w:tc>
          <w:tcPr>
            <w:tcW w:w="7546" w:type="dxa"/>
            <w:tcBorders>
              <w:top w:val="single" w:sz="4" w:space="0" w:color="B56011"/>
              <w:left w:val="nil"/>
              <w:bottom w:val="single" w:sz="4" w:space="0" w:color="B56011"/>
              <w:right w:val="nil"/>
            </w:tcBorders>
            <w:shd w:val="clear" w:color="auto" w:fill="auto"/>
            <w:hideMark/>
          </w:tcPr>
          <w:p w14:paraId="645EBFF3" w14:textId="77777777" w:rsidR="003A2574" w:rsidRPr="00FA1377" w:rsidRDefault="003A2574" w:rsidP="00FA1377">
            <w:pPr>
              <w:pStyle w:val="Tabletext"/>
            </w:pPr>
            <w:r w:rsidRPr="00FA1377">
              <w:t>Oesophageal motility test, manometric</w:t>
            </w:r>
          </w:p>
        </w:tc>
      </w:tr>
      <w:tr w:rsidR="003A2574" w:rsidRPr="00E641BB" w14:paraId="1F6B2B2C" w14:textId="77777777" w:rsidTr="00AD071A">
        <w:trPr>
          <w:trHeight w:val="2048"/>
        </w:trPr>
        <w:tc>
          <w:tcPr>
            <w:tcW w:w="1526" w:type="dxa"/>
            <w:tcBorders>
              <w:top w:val="single" w:sz="4" w:space="0" w:color="B56011"/>
              <w:left w:val="nil"/>
              <w:bottom w:val="single" w:sz="4" w:space="0" w:color="B56011"/>
              <w:right w:val="nil"/>
            </w:tcBorders>
            <w:shd w:val="clear" w:color="auto" w:fill="auto"/>
            <w:noWrap/>
            <w:hideMark/>
          </w:tcPr>
          <w:p w14:paraId="1002A9BA" w14:textId="77777777" w:rsidR="003A2574" w:rsidRPr="00AA154A" w:rsidRDefault="003A2574" w:rsidP="00AD071A">
            <w:pPr>
              <w:pStyle w:val="Tabletext"/>
              <w:rPr>
                <w:lang w:eastAsia="en-US"/>
              </w:rPr>
            </w:pPr>
            <w:r w:rsidRPr="00AA154A">
              <w:rPr>
                <w:lang w:eastAsia="en-US"/>
              </w:rPr>
              <w:t>11801</w:t>
            </w:r>
          </w:p>
        </w:tc>
        <w:tc>
          <w:tcPr>
            <w:tcW w:w="7546" w:type="dxa"/>
            <w:tcBorders>
              <w:top w:val="single" w:sz="4" w:space="0" w:color="B56011"/>
              <w:left w:val="nil"/>
              <w:bottom w:val="single" w:sz="4" w:space="0" w:color="B56011"/>
              <w:right w:val="nil"/>
            </w:tcBorders>
            <w:shd w:val="clear" w:color="auto" w:fill="auto"/>
            <w:hideMark/>
          </w:tcPr>
          <w:p w14:paraId="1AB86175" w14:textId="77777777" w:rsidR="009D1F65" w:rsidRDefault="003A2574" w:rsidP="009D1F65">
            <w:pPr>
              <w:pStyle w:val="Tabletext"/>
              <w:rPr>
                <w:lang w:eastAsia="en-US"/>
              </w:rPr>
            </w:pPr>
            <w:r w:rsidRPr="00A84E3C">
              <w:rPr>
                <w:lang w:eastAsia="en-US"/>
              </w:rPr>
              <w:t>Clinical assessment of gastro-oesophageal reflux disease that involves 48-hour catheter-free wireless ambulatory oesophageal pH monitoring, including administration of the device and associated endoscopy procedure for placement, analysis and interpretation of the data and all attendances for providing the service, if:</w:t>
            </w:r>
          </w:p>
          <w:p w14:paraId="3E8C5D7F" w14:textId="77496367" w:rsidR="009D1F65" w:rsidRPr="009D1F65" w:rsidRDefault="003A2574" w:rsidP="00FA1377">
            <w:pPr>
              <w:pStyle w:val="NormalBulleted10pt"/>
              <w:numPr>
                <w:ilvl w:val="1"/>
                <w:numId w:val="50"/>
              </w:numPr>
              <w:ind w:left="720"/>
              <w:rPr>
                <w:lang w:eastAsia="en-US"/>
              </w:rPr>
            </w:pPr>
            <w:r w:rsidRPr="00A84E3C">
              <w:rPr>
                <w:lang w:eastAsia="en-US"/>
              </w:rPr>
              <w:t>a catheter-based ambulatory oesophageal pH monitoring:</w:t>
            </w:r>
          </w:p>
          <w:p w14:paraId="62A34E74" w14:textId="77777777" w:rsidR="009D1F65" w:rsidRDefault="003A2574" w:rsidP="009D1F65">
            <w:pPr>
              <w:pStyle w:val="NormalBulleted10pt"/>
              <w:numPr>
                <w:ilvl w:val="0"/>
                <w:numId w:val="0"/>
              </w:numPr>
              <w:ind w:left="720"/>
              <w:rPr>
                <w:lang w:eastAsia="en-US"/>
              </w:rPr>
            </w:pPr>
            <w:r w:rsidRPr="00A84E3C">
              <w:rPr>
                <w:lang w:eastAsia="en-US"/>
              </w:rPr>
              <w:t>(i) has been attempted on the patient but failed due to clinical complications; or</w:t>
            </w:r>
          </w:p>
          <w:p w14:paraId="7772AD59" w14:textId="77777777" w:rsidR="009D1F65" w:rsidRDefault="003A2574" w:rsidP="009D1F65">
            <w:pPr>
              <w:pStyle w:val="NormalBulleted10pt"/>
              <w:numPr>
                <w:ilvl w:val="0"/>
                <w:numId w:val="0"/>
              </w:numPr>
              <w:ind w:left="720"/>
              <w:rPr>
                <w:lang w:eastAsia="en-US"/>
              </w:rPr>
            </w:pPr>
            <w:r w:rsidRPr="00A84E3C">
              <w:rPr>
                <w:lang w:eastAsia="en-US"/>
              </w:rPr>
              <w:t>(ii) is not clinically appropriate for the patient due to anatomical reasons (nasopharyngeal anatomy) preventing the use of catheter-based pH monitoring; and</w:t>
            </w:r>
          </w:p>
          <w:p w14:paraId="5135FE57" w14:textId="0571159D" w:rsidR="003A2574" w:rsidRPr="009D1F65" w:rsidRDefault="003A2574" w:rsidP="00FA1377">
            <w:pPr>
              <w:pStyle w:val="NormalBulleted10pt"/>
              <w:numPr>
                <w:ilvl w:val="1"/>
                <w:numId w:val="50"/>
              </w:numPr>
              <w:ind w:left="720"/>
              <w:rPr>
                <w:lang w:eastAsia="en-US"/>
              </w:rPr>
            </w:pPr>
            <w:r w:rsidRPr="009D1F65">
              <w:t>the</w:t>
            </w:r>
            <w:r w:rsidRPr="00A84E3C">
              <w:rPr>
                <w:lang w:eastAsia="en-US"/>
              </w:rPr>
              <w:t xml:space="preserve"> service is performed by a specialist or consultant physician with endoscopic training that is recognised by the Conjoint Committee for the Recognition of Training in Gastrointestinal Endoscopy (Anaes.)</w:t>
            </w:r>
          </w:p>
        </w:tc>
      </w:tr>
      <w:tr w:rsidR="003A2574" w:rsidRPr="00E641BB" w14:paraId="78774F7D" w14:textId="77777777" w:rsidTr="00AD071A">
        <w:trPr>
          <w:trHeight w:val="392"/>
        </w:trPr>
        <w:tc>
          <w:tcPr>
            <w:tcW w:w="1526" w:type="dxa"/>
            <w:tcBorders>
              <w:top w:val="single" w:sz="4" w:space="0" w:color="B56011"/>
              <w:left w:val="nil"/>
              <w:bottom w:val="single" w:sz="4" w:space="0" w:color="B56011"/>
              <w:right w:val="nil"/>
            </w:tcBorders>
            <w:shd w:val="clear" w:color="auto" w:fill="auto"/>
            <w:noWrap/>
            <w:hideMark/>
          </w:tcPr>
          <w:p w14:paraId="6D63E91C" w14:textId="77777777" w:rsidR="003A2574" w:rsidRPr="00AA154A" w:rsidRDefault="003A2574" w:rsidP="00AD071A">
            <w:pPr>
              <w:pStyle w:val="Tabletext"/>
              <w:rPr>
                <w:lang w:eastAsia="en-US"/>
              </w:rPr>
            </w:pPr>
            <w:r w:rsidRPr="00AA154A">
              <w:rPr>
                <w:lang w:eastAsia="en-US"/>
              </w:rPr>
              <w:t>11810</w:t>
            </w:r>
          </w:p>
        </w:tc>
        <w:tc>
          <w:tcPr>
            <w:tcW w:w="7546" w:type="dxa"/>
            <w:tcBorders>
              <w:top w:val="single" w:sz="4" w:space="0" w:color="B56011"/>
              <w:left w:val="nil"/>
              <w:bottom w:val="single" w:sz="4" w:space="0" w:color="B56011"/>
              <w:right w:val="nil"/>
            </w:tcBorders>
            <w:shd w:val="clear" w:color="auto" w:fill="auto"/>
            <w:hideMark/>
          </w:tcPr>
          <w:p w14:paraId="2CF2C4DE" w14:textId="77777777" w:rsidR="003A2574" w:rsidRPr="00A84E3C" w:rsidRDefault="003A2574" w:rsidP="009D1F65">
            <w:pPr>
              <w:pStyle w:val="Tabletext"/>
              <w:rPr>
                <w:lang w:eastAsia="en-US"/>
              </w:rPr>
            </w:pPr>
            <w:r w:rsidRPr="00A84E3C">
              <w:rPr>
                <w:lang w:eastAsia="en-US"/>
              </w:rPr>
              <w:t>Clinical assessment of gastro-oesophageal reflux disease involving 24-hour pH monitoring, including analysis, interpretation and report and including any associated consultation</w:t>
            </w:r>
          </w:p>
        </w:tc>
      </w:tr>
      <w:tr w:rsidR="003A2574" w:rsidRPr="00E641BB" w14:paraId="3E13B7AC" w14:textId="77777777" w:rsidTr="00AD071A">
        <w:trPr>
          <w:trHeight w:val="2782"/>
        </w:trPr>
        <w:tc>
          <w:tcPr>
            <w:tcW w:w="1526" w:type="dxa"/>
            <w:tcBorders>
              <w:top w:val="single" w:sz="4" w:space="0" w:color="B56011"/>
              <w:left w:val="nil"/>
              <w:bottom w:val="single" w:sz="4" w:space="0" w:color="B56011"/>
              <w:right w:val="nil"/>
            </w:tcBorders>
            <w:shd w:val="clear" w:color="auto" w:fill="auto"/>
            <w:noWrap/>
            <w:hideMark/>
          </w:tcPr>
          <w:p w14:paraId="14315C42" w14:textId="77777777" w:rsidR="003A2574" w:rsidRPr="00AA154A" w:rsidRDefault="003A2574" w:rsidP="00AD071A">
            <w:pPr>
              <w:pStyle w:val="Tabletext"/>
              <w:rPr>
                <w:lang w:eastAsia="en-US"/>
              </w:rPr>
            </w:pPr>
            <w:r w:rsidRPr="00AA154A">
              <w:rPr>
                <w:lang w:eastAsia="en-US"/>
              </w:rPr>
              <w:t>11820</w:t>
            </w:r>
          </w:p>
        </w:tc>
        <w:tc>
          <w:tcPr>
            <w:tcW w:w="7546" w:type="dxa"/>
            <w:tcBorders>
              <w:top w:val="single" w:sz="4" w:space="0" w:color="B56011"/>
              <w:left w:val="nil"/>
              <w:bottom w:val="single" w:sz="4" w:space="0" w:color="B56011"/>
              <w:right w:val="nil"/>
            </w:tcBorders>
            <w:shd w:val="clear" w:color="auto" w:fill="auto"/>
            <w:hideMark/>
          </w:tcPr>
          <w:p w14:paraId="57786C0F" w14:textId="77777777" w:rsidR="009D1F65" w:rsidRDefault="003A2574" w:rsidP="009D1F65">
            <w:pPr>
              <w:pStyle w:val="Tabletext"/>
              <w:rPr>
                <w:lang w:eastAsia="en-US"/>
              </w:rPr>
            </w:pPr>
            <w:r w:rsidRPr="00A84E3C">
              <w:rPr>
                <w:lang w:eastAsia="en-US"/>
              </w:rPr>
              <w:t>Capsule endoscopy to investigate an episode of obscure gastrointestinal bleeding, using a capsule endoscopy device (including administration of the capsule, associated endoscopy procedure if required for placement, imaging, image reading and interpretation, and all attendances for providing the service on the day the capsule is administered) if:</w:t>
            </w:r>
          </w:p>
          <w:p w14:paraId="20DA2844" w14:textId="4991964B" w:rsidR="009D1F65" w:rsidRPr="009D1F65" w:rsidRDefault="003A2574" w:rsidP="00FA1377">
            <w:pPr>
              <w:pStyle w:val="ListParagraph"/>
              <w:numPr>
                <w:ilvl w:val="1"/>
                <w:numId w:val="51"/>
              </w:numPr>
              <w:spacing w:before="40" w:afterLines="40" w:after="96" w:line="288" w:lineRule="auto"/>
              <w:ind w:left="720"/>
              <w:rPr>
                <w:rFonts w:cs="Arial"/>
                <w:sz w:val="20"/>
                <w:szCs w:val="20"/>
                <w:u w:val="single"/>
                <w:lang w:eastAsia="en-US"/>
              </w:rPr>
            </w:pPr>
            <w:r w:rsidRPr="009D1F65">
              <w:rPr>
                <w:rFonts w:cs="Arial"/>
                <w:sz w:val="20"/>
                <w:szCs w:val="20"/>
                <w:lang w:eastAsia="en-US"/>
              </w:rPr>
              <w:t>the patient to whom the service is provided:</w:t>
            </w:r>
          </w:p>
          <w:p w14:paraId="4075C927" w14:textId="77777777" w:rsidR="009D1F65" w:rsidRDefault="003A2574" w:rsidP="009D1F65">
            <w:pPr>
              <w:pStyle w:val="NormalBulleted10pt"/>
              <w:numPr>
                <w:ilvl w:val="0"/>
                <w:numId w:val="0"/>
              </w:numPr>
              <w:ind w:left="720"/>
              <w:rPr>
                <w:szCs w:val="20"/>
                <w:lang w:eastAsia="en-US"/>
              </w:rPr>
            </w:pPr>
            <w:r w:rsidRPr="00A84E3C">
              <w:rPr>
                <w:szCs w:val="20"/>
                <w:lang w:eastAsia="en-US"/>
              </w:rPr>
              <w:t>(i) has recurrent or persistent bleeding; and</w:t>
            </w:r>
          </w:p>
          <w:p w14:paraId="3D03DB94" w14:textId="77777777" w:rsidR="009D1F65" w:rsidRDefault="003A2574" w:rsidP="009D1F65">
            <w:pPr>
              <w:pStyle w:val="NormalBulleted10pt"/>
              <w:numPr>
                <w:ilvl w:val="0"/>
                <w:numId w:val="0"/>
              </w:numPr>
              <w:ind w:left="720"/>
              <w:rPr>
                <w:szCs w:val="20"/>
                <w:lang w:eastAsia="en-US"/>
              </w:rPr>
            </w:pPr>
            <w:r w:rsidRPr="00A84E3C">
              <w:rPr>
                <w:szCs w:val="20"/>
                <w:lang w:eastAsia="en-US"/>
              </w:rPr>
              <w:t>(ii) is anaemic or has active bleeding; and</w:t>
            </w:r>
          </w:p>
          <w:p w14:paraId="3A895FA7" w14:textId="6481FFB0" w:rsidR="009D1F65" w:rsidRPr="009D1F65" w:rsidRDefault="003A2574" w:rsidP="00FA1377">
            <w:pPr>
              <w:pStyle w:val="ListParagraph"/>
              <w:numPr>
                <w:ilvl w:val="1"/>
                <w:numId w:val="51"/>
              </w:numPr>
              <w:spacing w:before="40" w:afterLines="40" w:after="96" w:line="288" w:lineRule="auto"/>
              <w:ind w:left="720"/>
              <w:rPr>
                <w:rFonts w:cs="Arial"/>
                <w:sz w:val="20"/>
                <w:szCs w:val="20"/>
                <w:lang w:eastAsia="en-US"/>
              </w:rPr>
            </w:pPr>
            <w:r w:rsidRPr="009D1F65">
              <w:rPr>
                <w:rFonts w:cs="Arial"/>
                <w:sz w:val="20"/>
                <w:szCs w:val="20"/>
                <w:lang w:eastAsia="en-US"/>
              </w:rPr>
              <w:t>an upper gastrointestinal endoscopy and a colonoscopy have been performed on the patient and have not identified the cause of the bleeding; and</w:t>
            </w:r>
          </w:p>
          <w:p w14:paraId="5652A43B" w14:textId="22E64FC2" w:rsidR="009D1F65" w:rsidRPr="009D1F65" w:rsidRDefault="003A2574" w:rsidP="00FA1377">
            <w:pPr>
              <w:pStyle w:val="ListParagraph"/>
              <w:numPr>
                <w:ilvl w:val="1"/>
                <w:numId w:val="51"/>
              </w:numPr>
              <w:spacing w:before="40" w:afterLines="40" w:after="96" w:line="288" w:lineRule="auto"/>
              <w:ind w:left="720"/>
              <w:rPr>
                <w:rFonts w:cs="Arial"/>
                <w:sz w:val="20"/>
                <w:szCs w:val="20"/>
                <w:lang w:eastAsia="en-US"/>
              </w:rPr>
            </w:pPr>
            <w:r w:rsidRPr="009D1F65">
              <w:rPr>
                <w:rFonts w:cs="Arial"/>
                <w:sz w:val="20"/>
                <w:szCs w:val="20"/>
                <w:lang w:eastAsia="en-US"/>
              </w:rPr>
              <w:t>the service has not been provided to the same patient on more than 2 occasions in the preceding 12 months; and</w:t>
            </w:r>
          </w:p>
          <w:p w14:paraId="34B38795" w14:textId="01C2B68A" w:rsidR="009D1F65" w:rsidRDefault="003A2574" w:rsidP="00FA1377">
            <w:pPr>
              <w:pStyle w:val="ListParagraph"/>
              <w:numPr>
                <w:ilvl w:val="1"/>
                <w:numId w:val="51"/>
              </w:numPr>
              <w:spacing w:before="40" w:afterLines="40" w:after="96" w:line="288" w:lineRule="auto"/>
              <w:ind w:left="720"/>
              <w:rPr>
                <w:rFonts w:cs="Arial"/>
                <w:sz w:val="20"/>
                <w:szCs w:val="20"/>
                <w:lang w:eastAsia="en-US"/>
              </w:rPr>
            </w:pPr>
            <w:r w:rsidRPr="009D1F65">
              <w:rPr>
                <w:rFonts w:cs="Arial"/>
                <w:sz w:val="20"/>
                <w:szCs w:val="20"/>
                <w:lang w:eastAsia="en-US"/>
              </w:rPr>
              <w:t>the service is performed by a specialist or consultant physician with endoscopic training that is recognised by the Conjoint Committee for the Recognition of Training in Gastrointestinal Endoscopy; and</w:t>
            </w:r>
          </w:p>
          <w:p w14:paraId="44AD0E8B" w14:textId="340F34A6" w:rsidR="003A2574" w:rsidRPr="009D1F65" w:rsidRDefault="003A2574" w:rsidP="00FA1377">
            <w:pPr>
              <w:pStyle w:val="ListParagraph"/>
              <w:numPr>
                <w:ilvl w:val="1"/>
                <w:numId w:val="51"/>
              </w:numPr>
              <w:spacing w:before="40" w:afterLines="40" w:after="96" w:line="288" w:lineRule="auto"/>
              <w:ind w:left="720"/>
              <w:rPr>
                <w:rFonts w:cs="Arial"/>
                <w:sz w:val="20"/>
                <w:szCs w:val="20"/>
                <w:lang w:eastAsia="en-US"/>
              </w:rPr>
            </w:pPr>
            <w:r w:rsidRPr="009D1F65">
              <w:rPr>
                <w:sz w:val="20"/>
                <w:szCs w:val="20"/>
                <w:lang w:eastAsia="en-US"/>
              </w:rPr>
              <w:t>the service is not associated with balloon enteroscopy</w:t>
            </w:r>
          </w:p>
        </w:tc>
      </w:tr>
      <w:tr w:rsidR="003A2574" w:rsidRPr="00E641BB" w14:paraId="2B744F04" w14:textId="77777777" w:rsidTr="00AD071A">
        <w:trPr>
          <w:trHeight w:val="312"/>
        </w:trPr>
        <w:tc>
          <w:tcPr>
            <w:tcW w:w="1526" w:type="dxa"/>
            <w:tcBorders>
              <w:top w:val="single" w:sz="4" w:space="0" w:color="B56011"/>
              <w:left w:val="nil"/>
              <w:bottom w:val="single" w:sz="4" w:space="0" w:color="B56011"/>
              <w:right w:val="nil"/>
            </w:tcBorders>
            <w:shd w:val="clear" w:color="auto" w:fill="auto"/>
            <w:noWrap/>
            <w:hideMark/>
          </w:tcPr>
          <w:p w14:paraId="157A1EC6" w14:textId="77777777" w:rsidR="003A2574" w:rsidRPr="00AA154A" w:rsidRDefault="003A2574" w:rsidP="00AD071A">
            <w:pPr>
              <w:pStyle w:val="Tabletext"/>
              <w:rPr>
                <w:lang w:eastAsia="en-US"/>
              </w:rPr>
            </w:pPr>
            <w:r w:rsidRPr="00AA154A">
              <w:rPr>
                <w:lang w:eastAsia="en-US"/>
              </w:rPr>
              <w:t>11823</w:t>
            </w:r>
          </w:p>
        </w:tc>
        <w:tc>
          <w:tcPr>
            <w:tcW w:w="7546" w:type="dxa"/>
            <w:tcBorders>
              <w:top w:val="single" w:sz="4" w:space="0" w:color="B56011"/>
              <w:left w:val="nil"/>
              <w:bottom w:val="single" w:sz="4" w:space="0" w:color="B56011"/>
              <w:right w:val="nil"/>
            </w:tcBorders>
            <w:shd w:val="clear" w:color="auto" w:fill="auto"/>
            <w:hideMark/>
          </w:tcPr>
          <w:p w14:paraId="6C4C3B12" w14:textId="77777777" w:rsidR="009D1F65" w:rsidRDefault="003A2574" w:rsidP="009D1F65">
            <w:pPr>
              <w:pStyle w:val="Tabletext"/>
              <w:rPr>
                <w:lang w:eastAsia="en-US"/>
              </w:rPr>
            </w:pPr>
            <w:r w:rsidRPr="00A84E3C">
              <w:rPr>
                <w:lang w:eastAsia="en-US"/>
              </w:rPr>
              <w:t>Capsule endoscopy to conduct small bowel surveillance of a patient diagnosed with Peutz-Jeghers Syndrome, using a capsule endoscopy device approved by the Therapeutic Goods Administration (including administration of the capsule, imaging, image reading and interpretation, and all attendances for providing the service on the day the capsule is administered) if:</w:t>
            </w:r>
          </w:p>
          <w:p w14:paraId="1EFA3175" w14:textId="71EAA916" w:rsidR="009D1F65" w:rsidRPr="009D1F65" w:rsidRDefault="003A2574" w:rsidP="00FA1377">
            <w:pPr>
              <w:pStyle w:val="ListParagraph"/>
              <w:numPr>
                <w:ilvl w:val="1"/>
                <w:numId w:val="25"/>
              </w:numPr>
              <w:spacing w:before="40" w:afterLines="40" w:after="96" w:line="288" w:lineRule="auto"/>
              <w:ind w:left="761"/>
              <w:rPr>
                <w:rFonts w:cs="Arial"/>
                <w:sz w:val="20"/>
                <w:szCs w:val="20"/>
                <w:lang w:eastAsia="en-US"/>
              </w:rPr>
            </w:pPr>
            <w:r w:rsidRPr="009D1F65">
              <w:rPr>
                <w:rFonts w:cs="Arial"/>
                <w:sz w:val="20"/>
                <w:szCs w:val="20"/>
                <w:lang w:eastAsia="en-US"/>
              </w:rPr>
              <w:t>the service is performed by a specialist or consultant physician with endoscopic training that is recognised by the Conjoint Committee for the Recognition of Training in Gastrointestinal Endoscopy; and</w:t>
            </w:r>
          </w:p>
          <w:p w14:paraId="767E4F53" w14:textId="7C5275C2" w:rsidR="009D1F65" w:rsidRPr="009D1F65" w:rsidRDefault="003A2574" w:rsidP="00FA1377">
            <w:pPr>
              <w:pStyle w:val="ListParagraph"/>
              <w:numPr>
                <w:ilvl w:val="1"/>
                <w:numId w:val="25"/>
              </w:numPr>
              <w:spacing w:before="40" w:afterLines="40" w:after="96" w:line="288" w:lineRule="auto"/>
              <w:ind w:left="761"/>
              <w:rPr>
                <w:rFonts w:cs="Arial"/>
                <w:sz w:val="20"/>
                <w:szCs w:val="20"/>
                <w:lang w:eastAsia="en-US"/>
              </w:rPr>
            </w:pPr>
            <w:r w:rsidRPr="009D1F65">
              <w:rPr>
                <w:rFonts w:cs="Arial"/>
                <w:sz w:val="20"/>
                <w:szCs w:val="20"/>
                <w:lang w:eastAsia="en-US"/>
              </w:rPr>
              <w:t>the item is performed only once in any 2 year period; and</w:t>
            </w:r>
          </w:p>
          <w:p w14:paraId="08FB4AE1" w14:textId="66B61258" w:rsidR="003A2574" w:rsidRPr="009D1F65" w:rsidRDefault="003A2574" w:rsidP="009D1F65">
            <w:pPr>
              <w:spacing w:before="40" w:afterLines="40" w:after="96" w:line="288" w:lineRule="auto"/>
              <w:ind w:left="401"/>
              <w:rPr>
                <w:rFonts w:cs="Arial"/>
                <w:sz w:val="20"/>
                <w:szCs w:val="20"/>
                <w:lang w:eastAsia="en-US"/>
              </w:rPr>
            </w:pPr>
            <w:r w:rsidRPr="009D1F65">
              <w:rPr>
                <w:rFonts w:cs="Arial"/>
                <w:sz w:val="20"/>
                <w:szCs w:val="20"/>
                <w:lang w:eastAsia="en-US"/>
              </w:rPr>
              <w:lastRenderedPageBreak/>
              <w:t>(c) the service is not associated with balloon enteroscopy</w:t>
            </w:r>
          </w:p>
        </w:tc>
      </w:tr>
      <w:tr w:rsidR="003A2574" w:rsidRPr="00E641BB" w14:paraId="13423A8B" w14:textId="77777777" w:rsidTr="00AD071A">
        <w:trPr>
          <w:trHeight w:val="401"/>
        </w:trPr>
        <w:tc>
          <w:tcPr>
            <w:tcW w:w="1526" w:type="dxa"/>
            <w:tcBorders>
              <w:top w:val="single" w:sz="4" w:space="0" w:color="B56011"/>
              <w:left w:val="nil"/>
              <w:bottom w:val="single" w:sz="4" w:space="0" w:color="B56011"/>
              <w:right w:val="nil"/>
            </w:tcBorders>
            <w:shd w:val="clear" w:color="auto" w:fill="auto"/>
            <w:noWrap/>
            <w:hideMark/>
          </w:tcPr>
          <w:p w14:paraId="2808058D" w14:textId="77777777" w:rsidR="003A2574" w:rsidRPr="00AA154A" w:rsidRDefault="003A2574" w:rsidP="00AD071A">
            <w:pPr>
              <w:pStyle w:val="Tabletext"/>
              <w:rPr>
                <w:lang w:eastAsia="en-US"/>
              </w:rPr>
            </w:pPr>
            <w:r w:rsidRPr="00AA154A">
              <w:rPr>
                <w:lang w:eastAsia="en-US"/>
              </w:rPr>
              <w:lastRenderedPageBreak/>
              <w:t>11830</w:t>
            </w:r>
          </w:p>
        </w:tc>
        <w:tc>
          <w:tcPr>
            <w:tcW w:w="7546" w:type="dxa"/>
            <w:tcBorders>
              <w:top w:val="single" w:sz="4" w:space="0" w:color="B56011"/>
              <w:left w:val="nil"/>
              <w:bottom w:val="single" w:sz="4" w:space="0" w:color="B56011"/>
              <w:right w:val="nil"/>
            </w:tcBorders>
            <w:shd w:val="clear" w:color="auto" w:fill="auto"/>
            <w:hideMark/>
          </w:tcPr>
          <w:p w14:paraId="56C9B56F" w14:textId="77777777" w:rsidR="003A2574" w:rsidRPr="00A84E3C" w:rsidRDefault="003A2574" w:rsidP="009D1F65">
            <w:pPr>
              <w:pStyle w:val="Tabletext"/>
              <w:rPr>
                <w:lang w:eastAsia="en-US"/>
              </w:rPr>
            </w:pPr>
            <w:r w:rsidRPr="00A84E3C">
              <w:rPr>
                <w:lang w:eastAsia="en-US"/>
              </w:rPr>
              <w:t>Diagnosis of abnormalities of the pelvic floor involving anal manometry or measurement of anorectal sensation or measurement of the rectosphincteric reflex</w:t>
            </w:r>
          </w:p>
        </w:tc>
      </w:tr>
    </w:tbl>
    <w:p w14:paraId="3D2E84AD" w14:textId="0D6D5C21" w:rsidR="0056457E" w:rsidRPr="00E641BB" w:rsidRDefault="00AD071A" w:rsidP="00AD071A">
      <w:pPr>
        <w:pStyle w:val="Caption"/>
      </w:pPr>
      <w:r>
        <w:t>Table A2:</w:t>
      </w:r>
      <w:r w:rsidR="00C22AE4">
        <w:t xml:space="preserve"> </w:t>
      </w:r>
      <w:r>
        <w:t>Group T1 -</w:t>
      </w:r>
      <w:r w:rsidRPr="00E641BB">
        <w:t xml:space="preserve"> </w:t>
      </w:r>
      <w:r>
        <w:t xml:space="preserve">Miscellaneous Therapeutic Procedures: </w:t>
      </w:r>
      <w:r w:rsidRPr="00E641BB">
        <w:t>Subgroup 6 - Gastroenterology</w:t>
      </w:r>
    </w:p>
    <w:tbl>
      <w:tblPr>
        <w:tblStyle w:val="TableGrid"/>
        <w:tblW w:w="9011" w:type="dxa"/>
        <w:tblLayout w:type="fixed"/>
        <w:tblLook w:val="04A0" w:firstRow="1" w:lastRow="0" w:firstColumn="1" w:lastColumn="0" w:noHBand="0" w:noVBand="1"/>
        <w:tblDescription w:val="Table A2 lists item numbers and descriptors of group T1 Miscellaneous Therapeutic Procedures, Subgroup 6—Gastroenterology reviewed by the Committee."/>
      </w:tblPr>
      <w:tblGrid>
        <w:gridCol w:w="945"/>
        <w:gridCol w:w="8066"/>
      </w:tblGrid>
      <w:tr w:rsidR="004412C0" w:rsidRPr="00E641BB" w14:paraId="219AB7EB" w14:textId="77777777" w:rsidTr="004412C0">
        <w:trPr>
          <w:trHeight w:val="377"/>
          <w:tblHeader/>
        </w:trPr>
        <w:tc>
          <w:tcPr>
            <w:tcW w:w="945" w:type="dxa"/>
            <w:tcBorders>
              <w:top w:val="single" w:sz="4" w:space="0" w:color="B56011"/>
              <w:left w:val="nil"/>
              <w:bottom w:val="single" w:sz="4" w:space="0" w:color="B56011"/>
              <w:right w:val="nil"/>
            </w:tcBorders>
            <w:shd w:val="clear" w:color="auto" w:fill="auto"/>
            <w:noWrap/>
          </w:tcPr>
          <w:p w14:paraId="57A21AF1" w14:textId="478E688C" w:rsidR="004412C0" w:rsidRPr="00AA154A" w:rsidRDefault="004412C0" w:rsidP="004412C0">
            <w:pPr>
              <w:pStyle w:val="Tableheading"/>
              <w:rPr>
                <w:lang w:eastAsia="en-US"/>
              </w:rPr>
            </w:pPr>
            <w:r>
              <w:rPr>
                <w:lang w:eastAsia="en-US"/>
              </w:rPr>
              <w:t>Item</w:t>
            </w:r>
          </w:p>
        </w:tc>
        <w:tc>
          <w:tcPr>
            <w:tcW w:w="8066" w:type="dxa"/>
            <w:tcBorders>
              <w:top w:val="single" w:sz="4" w:space="0" w:color="B56011"/>
              <w:left w:val="nil"/>
              <w:bottom w:val="single" w:sz="4" w:space="0" w:color="B56011"/>
              <w:right w:val="nil"/>
            </w:tcBorders>
            <w:shd w:val="clear" w:color="auto" w:fill="auto"/>
          </w:tcPr>
          <w:p w14:paraId="00F0668C" w14:textId="3D4D8E5A" w:rsidR="004412C0" w:rsidRPr="009D1F65" w:rsidRDefault="004412C0" w:rsidP="004412C0">
            <w:pPr>
              <w:pStyle w:val="Tableheading"/>
            </w:pPr>
            <w:r>
              <w:t>Description</w:t>
            </w:r>
          </w:p>
        </w:tc>
      </w:tr>
      <w:tr w:rsidR="003A2574" w:rsidRPr="00E641BB" w14:paraId="2CF4E9B2" w14:textId="77777777" w:rsidTr="004412C0">
        <w:trPr>
          <w:trHeight w:val="497"/>
        </w:trPr>
        <w:tc>
          <w:tcPr>
            <w:tcW w:w="945" w:type="dxa"/>
            <w:tcBorders>
              <w:top w:val="single" w:sz="4" w:space="0" w:color="B56011"/>
              <w:left w:val="nil"/>
              <w:bottom w:val="single" w:sz="4" w:space="0" w:color="B56011"/>
              <w:right w:val="nil"/>
            </w:tcBorders>
            <w:shd w:val="clear" w:color="auto" w:fill="auto"/>
            <w:noWrap/>
            <w:hideMark/>
          </w:tcPr>
          <w:p w14:paraId="5331AE01" w14:textId="77777777" w:rsidR="003A2574" w:rsidRPr="00AA154A" w:rsidRDefault="003A2574" w:rsidP="00AD071A">
            <w:pPr>
              <w:pStyle w:val="Tabletext"/>
              <w:rPr>
                <w:lang w:eastAsia="en-US"/>
              </w:rPr>
            </w:pPr>
            <w:r w:rsidRPr="00AA154A">
              <w:rPr>
                <w:lang w:eastAsia="en-US"/>
              </w:rPr>
              <w:t>13500</w:t>
            </w:r>
          </w:p>
        </w:tc>
        <w:tc>
          <w:tcPr>
            <w:tcW w:w="8066" w:type="dxa"/>
            <w:tcBorders>
              <w:top w:val="single" w:sz="4" w:space="0" w:color="B56011"/>
              <w:left w:val="nil"/>
              <w:bottom w:val="single" w:sz="4" w:space="0" w:color="B56011"/>
              <w:right w:val="nil"/>
            </w:tcBorders>
            <w:shd w:val="clear" w:color="auto" w:fill="auto"/>
            <w:hideMark/>
          </w:tcPr>
          <w:p w14:paraId="33ED2D70" w14:textId="1B78FC28" w:rsidR="003A2574" w:rsidRPr="00A84E3C" w:rsidRDefault="003A2574" w:rsidP="009D1F65">
            <w:pPr>
              <w:pStyle w:val="Tabletext"/>
              <w:rPr>
                <w:lang w:eastAsia="en-US"/>
              </w:rPr>
            </w:pPr>
            <w:r w:rsidRPr="00813502">
              <w:rPr>
                <w:b/>
                <w:color w:val="FF0000"/>
              </w:rPr>
              <w:t>Removed</w:t>
            </w:r>
            <w:r w:rsidRPr="002A1B1A">
              <w:rPr>
                <w:b/>
                <w:bCs/>
                <w:color w:val="FF0000"/>
                <w:lang w:eastAsia="en-US"/>
              </w:rPr>
              <w:t xml:space="preserve"> </w:t>
            </w:r>
            <w:r w:rsidRPr="00A84E3C">
              <w:rPr>
                <w:b/>
                <w:bCs/>
                <w:color w:val="FF0000"/>
                <w:lang w:eastAsia="en-US"/>
              </w:rPr>
              <w:t xml:space="preserve">in </w:t>
            </w:r>
            <w:r w:rsidR="000D04C1">
              <w:rPr>
                <w:b/>
                <w:bCs/>
                <w:color w:val="FF0000"/>
                <w:lang w:eastAsia="en-US"/>
              </w:rPr>
              <w:t>Round</w:t>
            </w:r>
            <w:r w:rsidR="000D04C1" w:rsidRPr="00A84E3C">
              <w:rPr>
                <w:b/>
                <w:bCs/>
                <w:color w:val="FF0000"/>
                <w:lang w:eastAsia="en-US"/>
              </w:rPr>
              <w:t xml:space="preserve"> </w:t>
            </w:r>
            <w:r w:rsidRPr="00A84E3C">
              <w:rPr>
                <w:b/>
                <w:bCs/>
                <w:color w:val="FF0000"/>
                <w:lang w:eastAsia="en-US"/>
              </w:rPr>
              <w:t>1</w:t>
            </w:r>
            <w:r w:rsidR="00B01759">
              <w:rPr>
                <w:b/>
                <w:bCs/>
                <w:color w:val="FF0000"/>
                <w:lang w:eastAsia="en-US"/>
              </w:rPr>
              <w:t xml:space="preserve"> - </w:t>
            </w:r>
            <w:r w:rsidRPr="00A84E3C">
              <w:rPr>
                <w:lang w:eastAsia="en-US"/>
              </w:rPr>
              <w:t>Gastric hypothermia by closed circuit circulation of refrigerant in the absence of gastrointestinal haemorrhage</w:t>
            </w:r>
          </w:p>
        </w:tc>
      </w:tr>
      <w:tr w:rsidR="003A2574" w:rsidRPr="00E641BB" w14:paraId="2ECA0CFB" w14:textId="77777777" w:rsidTr="004412C0">
        <w:trPr>
          <w:trHeight w:val="547"/>
        </w:trPr>
        <w:tc>
          <w:tcPr>
            <w:tcW w:w="945" w:type="dxa"/>
            <w:tcBorders>
              <w:top w:val="single" w:sz="4" w:space="0" w:color="B56011"/>
              <w:left w:val="nil"/>
              <w:bottom w:val="single" w:sz="4" w:space="0" w:color="B56011"/>
              <w:right w:val="nil"/>
            </w:tcBorders>
            <w:shd w:val="clear" w:color="auto" w:fill="auto"/>
            <w:noWrap/>
            <w:hideMark/>
          </w:tcPr>
          <w:p w14:paraId="4AB61A7E" w14:textId="77777777" w:rsidR="003A2574" w:rsidRPr="00AA154A" w:rsidRDefault="003A2574" w:rsidP="00AD071A">
            <w:pPr>
              <w:pStyle w:val="Tabletext"/>
              <w:rPr>
                <w:lang w:eastAsia="en-US"/>
              </w:rPr>
            </w:pPr>
            <w:r w:rsidRPr="00AA154A">
              <w:rPr>
                <w:lang w:eastAsia="en-US"/>
              </w:rPr>
              <w:t>13503</w:t>
            </w:r>
          </w:p>
        </w:tc>
        <w:tc>
          <w:tcPr>
            <w:tcW w:w="8066" w:type="dxa"/>
            <w:tcBorders>
              <w:top w:val="single" w:sz="4" w:space="0" w:color="B56011"/>
              <w:left w:val="nil"/>
              <w:bottom w:val="single" w:sz="4" w:space="0" w:color="B56011"/>
              <w:right w:val="nil"/>
            </w:tcBorders>
            <w:shd w:val="clear" w:color="auto" w:fill="auto"/>
            <w:hideMark/>
          </w:tcPr>
          <w:p w14:paraId="472342E4" w14:textId="46BEAF1C" w:rsidR="003A2574" w:rsidRPr="00A84E3C" w:rsidRDefault="003A2574" w:rsidP="009D1F65">
            <w:pPr>
              <w:pStyle w:val="Tabletext"/>
              <w:rPr>
                <w:rFonts w:cs="Arial"/>
                <w:lang w:eastAsia="en-US"/>
              </w:rPr>
            </w:pPr>
            <w:r w:rsidRPr="00A84E3C">
              <w:rPr>
                <w:rFonts w:cs="Arial"/>
                <w:b/>
                <w:bCs/>
                <w:color w:val="FF0000"/>
                <w:lang w:eastAsia="en-US"/>
              </w:rPr>
              <w:t xml:space="preserve">Removed in </w:t>
            </w:r>
            <w:r w:rsidR="000D04C1">
              <w:rPr>
                <w:rFonts w:cs="Arial"/>
                <w:b/>
                <w:bCs/>
                <w:color w:val="FF0000"/>
                <w:lang w:eastAsia="en-US"/>
              </w:rPr>
              <w:t>Round</w:t>
            </w:r>
            <w:r w:rsidR="000D04C1" w:rsidRPr="00A84E3C">
              <w:rPr>
                <w:rFonts w:cs="Arial"/>
                <w:b/>
                <w:bCs/>
                <w:color w:val="FF0000"/>
                <w:lang w:eastAsia="en-US"/>
              </w:rPr>
              <w:t xml:space="preserve"> </w:t>
            </w:r>
            <w:r w:rsidRPr="00A84E3C">
              <w:rPr>
                <w:rFonts w:cs="Arial"/>
                <w:b/>
                <w:bCs/>
                <w:color w:val="FF0000"/>
                <w:lang w:eastAsia="en-US"/>
              </w:rPr>
              <w:t>1</w:t>
            </w:r>
            <w:r w:rsidR="009D1F65">
              <w:rPr>
                <w:rFonts w:cs="Arial"/>
                <w:b/>
                <w:bCs/>
                <w:color w:val="FF0000"/>
                <w:lang w:eastAsia="en-US"/>
              </w:rPr>
              <w:t xml:space="preserve"> – </w:t>
            </w:r>
            <w:r w:rsidRPr="00A84E3C">
              <w:rPr>
                <w:rFonts w:cs="Arial"/>
                <w:lang w:eastAsia="en-US"/>
              </w:rPr>
              <w:t>Gastric hypothermia by closed circuit circulation of refrigerant in the absence of gastrointestinal haemorrhage</w:t>
            </w:r>
          </w:p>
        </w:tc>
      </w:tr>
    </w:tbl>
    <w:p w14:paraId="00BEFC64" w14:textId="7F5C7643" w:rsidR="00AA154A" w:rsidRPr="002036DF" w:rsidRDefault="00AD071A" w:rsidP="002036DF">
      <w:pPr>
        <w:pStyle w:val="Caption"/>
      </w:pPr>
      <w:r w:rsidRPr="002036DF">
        <w:t>Table A3: Group T8 — Surgical operations: Subgroup 1 - General</w:t>
      </w:r>
    </w:p>
    <w:tbl>
      <w:tblPr>
        <w:tblStyle w:val="TableGrid"/>
        <w:tblW w:w="9242" w:type="dxa"/>
        <w:tblLook w:val="04A0" w:firstRow="1" w:lastRow="0" w:firstColumn="1" w:lastColumn="0" w:noHBand="0" w:noVBand="1"/>
        <w:tblDescription w:val="Table A3 lists item numbers and descriptors of group T8, surgical operations, subgroup 1 –  general reviewed by the Committee."/>
      </w:tblPr>
      <w:tblGrid>
        <w:gridCol w:w="1014"/>
        <w:gridCol w:w="8228"/>
      </w:tblGrid>
      <w:tr w:rsidR="004412C0" w:rsidRPr="00E641BB" w14:paraId="6F081485" w14:textId="77777777" w:rsidTr="004412C0">
        <w:trPr>
          <w:trHeight w:val="386"/>
          <w:tblHeader/>
        </w:trPr>
        <w:tc>
          <w:tcPr>
            <w:tcW w:w="1014" w:type="dxa"/>
            <w:tcBorders>
              <w:top w:val="single" w:sz="4" w:space="0" w:color="B56011"/>
              <w:left w:val="nil"/>
              <w:bottom w:val="single" w:sz="4" w:space="0" w:color="B56011"/>
              <w:right w:val="nil"/>
            </w:tcBorders>
            <w:shd w:val="clear" w:color="auto" w:fill="auto"/>
            <w:noWrap/>
          </w:tcPr>
          <w:p w14:paraId="0244F2C3" w14:textId="240829AE" w:rsidR="004412C0" w:rsidRPr="00AA154A" w:rsidRDefault="004412C0" w:rsidP="004412C0">
            <w:pPr>
              <w:pStyle w:val="Tableheading"/>
              <w:rPr>
                <w:lang w:eastAsia="en-US"/>
              </w:rPr>
            </w:pPr>
            <w:r>
              <w:rPr>
                <w:lang w:eastAsia="en-US"/>
              </w:rPr>
              <w:t>Item</w:t>
            </w:r>
          </w:p>
        </w:tc>
        <w:tc>
          <w:tcPr>
            <w:tcW w:w="8228" w:type="dxa"/>
            <w:tcBorders>
              <w:top w:val="single" w:sz="4" w:space="0" w:color="B56011"/>
              <w:left w:val="nil"/>
              <w:bottom w:val="single" w:sz="4" w:space="0" w:color="B56011"/>
              <w:right w:val="nil"/>
            </w:tcBorders>
            <w:shd w:val="clear" w:color="auto" w:fill="auto"/>
          </w:tcPr>
          <w:p w14:paraId="2A21D57E" w14:textId="6833B952" w:rsidR="004412C0" w:rsidRPr="00E641BB" w:rsidRDefault="004412C0" w:rsidP="004412C0">
            <w:pPr>
              <w:pStyle w:val="Tableheading"/>
              <w:rPr>
                <w:lang w:eastAsia="en-US"/>
              </w:rPr>
            </w:pPr>
            <w:r>
              <w:rPr>
                <w:lang w:eastAsia="en-US"/>
              </w:rPr>
              <w:t>Description</w:t>
            </w:r>
          </w:p>
        </w:tc>
      </w:tr>
      <w:tr w:rsidR="003A2574" w:rsidRPr="00E641BB" w14:paraId="0CDCFDF6" w14:textId="77777777" w:rsidTr="004412C0">
        <w:trPr>
          <w:trHeight w:val="503"/>
        </w:trPr>
        <w:tc>
          <w:tcPr>
            <w:tcW w:w="1014" w:type="dxa"/>
            <w:tcBorders>
              <w:top w:val="single" w:sz="4" w:space="0" w:color="B56011"/>
              <w:left w:val="nil"/>
              <w:bottom w:val="single" w:sz="4" w:space="0" w:color="B56011"/>
              <w:right w:val="nil"/>
            </w:tcBorders>
            <w:shd w:val="clear" w:color="auto" w:fill="auto"/>
            <w:noWrap/>
            <w:hideMark/>
          </w:tcPr>
          <w:p w14:paraId="3C4F49C2" w14:textId="77777777" w:rsidR="003A2574" w:rsidRPr="00AA154A" w:rsidRDefault="003A2574" w:rsidP="00AD071A">
            <w:pPr>
              <w:pStyle w:val="Tabletext"/>
              <w:rPr>
                <w:lang w:eastAsia="en-US"/>
              </w:rPr>
            </w:pPr>
            <w:r w:rsidRPr="00AA154A">
              <w:rPr>
                <w:lang w:eastAsia="en-US"/>
              </w:rPr>
              <w:t>30473</w:t>
            </w:r>
          </w:p>
        </w:tc>
        <w:tc>
          <w:tcPr>
            <w:tcW w:w="8228" w:type="dxa"/>
            <w:tcBorders>
              <w:top w:val="single" w:sz="4" w:space="0" w:color="B56011"/>
              <w:left w:val="nil"/>
              <w:bottom w:val="single" w:sz="4" w:space="0" w:color="B56011"/>
              <w:right w:val="nil"/>
            </w:tcBorders>
            <w:shd w:val="clear" w:color="auto" w:fill="auto"/>
            <w:hideMark/>
          </w:tcPr>
          <w:p w14:paraId="48CD73B7" w14:textId="77777777" w:rsidR="003A2574" w:rsidRPr="00E641BB" w:rsidRDefault="003A2574" w:rsidP="009D1F65">
            <w:pPr>
              <w:pStyle w:val="Tabletext"/>
              <w:rPr>
                <w:lang w:eastAsia="en-US"/>
              </w:rPr>
            </w:pPr>
            <w:r w:rsidRPr="00E641BB">
              <w:rPr>
                <w:lang w:eastAsia="en-US"/>
              </w:rPr>
              <w:t>Oesophagoscopy (other than a service to which item 41816 or 41822 applies), gastroscopy, duodenoscopy or panendoscopy (one or more such procedures), with or without biopsy, other than a service associated with a service to which item 30476 or 30478 applies (Anaes.)</w:t>
            </w:r>
          </w:p>
        </w:tc>
      </w:tr>
      <w:tr w:rsidR="003A2574" w:rsidRPr="00E641BB" w14:paraId="776054A2" w14:textId="77777777" w:rsidTr="004412C0">
        <w:trPr>
          <w:trHeight w:val="300"/>
        </w:trPr>
        <w:tc>
          <w:tcPr>
            <w:tcW w:w="1014" w:type="dxa"/>
            <w:tcBorders>
              <w:top w:val="single" w:sz="4" w:space="0" w:color="B56011"/>
              <w:left w:val="nil"/>
              <w:bottom w:val="single" w:sz="4" w:space="0" w:color="B56011"/>
              <w:right w:val="nil"/>
            </w:tcBorders>
            <w:shd w:val="clear" w:color="auto" w:fill="auto"/>
            <w:noWrap/>
            <w:hideMark/>
          </w:tcPr>
          <w:p w14:paraId="15078EFA" w14:textId="77777777" w:rsidR="003A2574" w:rsidRPr="00AA154A" w:rsidRDefault="003A2574" w:rsidP="00AD071A">
            <w:pPr>
              <w:pStyle w:val="Tabletext"/>
              <w:rPr>
                <w:lang w:eastAsia="en-US"/>
              </w:rPr>
            </w:pPr>
            <w:r w:rsidRPr="00AA154A">
              <w:rPr>
                <w:lang w:eastAsia="en-US"/>
              </w:rPr>
              <w:t>30475</w:t>
            </w:r>
          </w:p>
        </w:tc>
        <w:tc>
          <w:tcPr>
            <w:tcW w:w="8228" w:type="dxa"/>
            <w:tcBorders>
              <w:top w:val="single" w:sz="4" w:space="0" w:color="B56011"/>
              <w:left w:val="nil"/>
              <w:bottom w:val="single" w:sz="4" w:space="0" w:color="B56011"/>
              <w:right w:val="nil"/>
            </w:tcBorders>
            <w:shd w:val="clear" w:color="auto" w:fill="auto"/>
            <w:hideMark/>
          </w:tcPr>
          <w:p w14:paraId="5E04C0AB" w14:textId="77777777" w:rsidR="003A2574" w:rsidRPr="00E641BB" w:rsidRDefault="003A2574" w:rsidP="009D1F65">
            <w:pPr>
              <w:pStyle w:val="Tabletext"/>
              <w:rPr>
                <w:lang w:eastAsia="en-US"/>
              </w:rPr>
            </w:pPr>
            <w:r w:rsidRPr="00E641BB">
              <w:rPr>
                <w:lang w:eastAsia="en-US"/>
              </w:rPr>
              <w:t>Endoscopy with balloon dilatation of gastric or gastroduodenal stricture (Anaes.)</w:t>
            </w:r>
          </w:p>
        </w:tc>
      </w:tr>
      <w:tr w:rsidR="003A2574" w:rsidRPr="00E641BB" w14:paraId="3C3DD555" w14:textId="77777777" w:rsidTr="004412C0">
        <w:trPr>
          <w:trHeight w:val="670"/>
        </w:trPr>
        <w:tc>
          <w:tcPr>
            <w:tcW w:w="1014" w:type="dxa"/>
            <w:tcBorders>
              <w:top w:val="single" w:sz="4" w:space="0" w:color="B56011"/>
              <w:left w:val="nil"/>
              <w:bottom w:val="single" w:sz="4" w:space="0" w:color="B56011"/>
              <w:right w:val="nil"/>
            </w:tcBorders>
            <w:shd w:val="clear" w:color="auto" w:fill="auto"/>
            <w:noWrap/>
            <w:hideMark/>
          </w:tcPr>
          <w:p w14:paraId="459BB600" w14:textId="77777777" w:rsidR="003A2574" w:rsidRPr="00AA154A" w:rsidRDefault="003A2574" w:rsidP="00AD071A">
            <w:pPr>
              <w:pStyle w:val="Tabletext"/>
              <w:rPr>
                <w:lang w:eastAsia="en-US"/>
              </w:rPr>
            </w:pPr>
            <w:r w:rsidRPr="00AA154A">
              <w:rPr>
                <w:lang w:eastAsia="en-US"/>
              </w:rPr>
              <w:t>30476</w:t>
            </w:r>
          </w:p>
        </w:tc>
        <w:tc>
          <w:tcPr>
            <w:tcW w:w="8228" w:type="dxa"/>
            <w:tcBorders>
              <w:top w:val="single" w:sz="4" w:space="0" w:color="B56011"/>
              <w:left w:val="nil"/>
              <w:bottom w:val="single" w:sz="4" w:space="0" w:color="B56011"/>
              <w:right w:val="nil"/>
            </w:tcBorders>
            <w:shd w:val="clear" w:color="auto" w:fill="auto"/>
            <w:hideMark/>
          </w:tcPr>
          <w:p w14:paraId="01A1EE41" w14:textId="77777777" w:rsidR="003A2574" w:rsidRPr="00E641BB" w:rsidRDefault="003A2574" w:rsidP="009D1F65">
            <w:pPr>
              <w:pStyle w:val="Tabletext"/>
              <w:rPr>
                <w:lang w:eastAsia="en-US"/>
              </w:rPr>
            </w:pPr>
            <w:r w:rsidRPr="00E641BB">
              <w:rPr>
                <w:lang w:eastAsia="en-US"/>
              </w:rPr>
              <w:t>Oesophagoscopy (other than a service to which item 41816 or 41822 applies), gastroscopy, duodenoscopy or panendoscopy (one or more such procedures), with endoscopic sclerosing injection or banding of oesophageal or gastric varices, other than a service associated with a service to which item 30473 or 30478 applies (Anaes.)</w:t>
            </w:r>
          </w:p>
        </w:tc>
      </w:tr>
      <w:tr w:rsidR="003A2574" w:rsidRPr="00E641BB" w14:paraId="5FF34335" w14:textId="77777777" w:rsidTr="004412C0">
        <w:trPr>
          <w:trHeight w:val="950"/>
        </w:trPr>
        <w:tc>
          <w:tcPr>
            <w:tcW w:w="1014" w:type="dxa"/>
            <w:tcBorders>
              <w:top w:val="single" w:sz="4" w:space="0" w:color="B56011"/>
              <w:left w:val="nil"/>
              <w:bottom w:val="single" w:sz="4" w:space="0" w:color="B56011"/>
              <w:right w:val="nil"/>
            </w:tcBorders>
            <w:shd w:val="clear" w:color="auto" w:fill="auto"/>
            <w:noWrap/>
            <w:hideMark/>
          </w:tcPr>
          <w:p w14:paraId="2B2DEDAE" w14:textId="77777777" w:rsidR="003A2574" w:rsidRPr="00AA154A" w:rsidRDefault="003A2574" w:rsidP="00AD071A">
            <w:pPr>
              <w:pStyle w:val="Tabletext"/>
              <w:rPr>
                <w:lang w:eastAsia="en-US"/>
              </w:rPr>
            </w:pPr>
            <w:r w:rsidRPr="00AA154A">
              <w:rPr>
                <w:lang w:eastAsia="en-US"/>
              </w:rPr>
              <w:t>30478</w:t>
            </w:r>
          </w:p>
        </w:tc>
        <w:tc>
          <w:tcPr>
            <w:tcW w:w="8228" w:type="dxa"/>
            <w:tcBorders>
              <w:top w:val="single" w:sz="4" w:space="0" w:color="B56011"/>
              <w:left w:val="nil"/>
              <w:bottom w:val="single" w:sz="4" w:space="0" w:color="B56011"/>
              <w:right w:val="nil"/>
            </w:tcBorders>
            <w:shd w:val="clear" w:color="auto" w:fill="auto"/>
            <w:hideMark/>
          </w:tcPr>
          <w:p w14:paraId="1C03FC50" w14:textId="77777777" w:rsidR="003A2574" w:rsidRPr="00E641BB" w:rsidRDefault="003A2574" w:rsidP="009D1F65">
            <w:pPr>
              <w:pStyle w:val="Tabletext"/>
              <w:rPr>
                <w:lang w:eastAsia="en-US"/>
              </w:rPr>
            </w:pPr>
            <w:r w:rsidRPr="00E641BB">
              <w:rPr>
                <w:lang w:eastAsia="en-US"/>
              </w:rPr>
              <w:t>Oesophagoscopy (other than a service to which item 41816, 41822 or 41825 applies), gastroscopy, duodenoscopy or panendoscopy (one or more such procedures), with one or more of the following endoscopic procedures—polypectomy, removal of foreign body, diathermy, heater probe or laser coagulation, or sclerosing injection of bleeding upper gastrointestinal lesions, other than a service associated with a service to which item 30473 or 30476 applies (Anaes.)</w:t>
            </w:r>
          </w:p>
        </w:tc>
      </w:tr>
      <w:tr w:rsidR="003A2574" w:rsidRPr="00E641BB" w14:paraId="407F1C58" w14:textId="77777777" w:rsidTr="004412C0">
        <w:trPr>
          <w:trHeight w:val="340"/>
        </w:trPr>
        <w:tc>
          <w:tcPr>
            <w:tcW w:w="1014" w:type="dxa"/>
            <w:tcBorders>
              <w:top w:val="single" w:sz="4" w:space="0" w:color="B56011"/>
              <w:left w:val="nil"/>
              <w:bottom w:val="single" w:sz="4" w:space="0" w:color="B56011"/>
              <w:right w:val="nil"/>
            </w:tcBorders>
            <w:shd w:val="clear" w:color="auto" w:fill="auto"/>
            <w:noWrap/>
            <w:hideMark/>
          </w:tcPr>
          <w:p w14:paraId="1266204C" w14:textId="77777777" w:rsidR="003A2574" w:rsidRPr="00AA154A" w:rsidRDefault="003A2574" w:rsidP="00AD071A">
            <w:pPr>
              <w:pStyle w:val="Tabletext"/>
              <w:rPr>
                <w:lang w:eastAsia="en-US"/>
              </w:rPr>
            </w:pPr>
            <w:r w:rsidRPr="00AA154A">
              <w:rPr>
                <w:lang w:eastAsia="en-US"/>
              </w:rPr>
              <w:t>30479</w:t>
            </w:r>
          </w:p>
        </w:tc>
        <w:tc>
          <w:tcPr>
            <w:tcW w:w="8228" w:type="dxa"/>
            <w:tcBorders>
              <w:top w:val="single" w:sz="4" w:space="0" w:color="B56011"/>
              <w:left w:val="nil"/>
              <w:bottom w:val="single" w:sz="4" w:space="0" w:color="B56011"/>
              <w:right w:val="nil"/>
            </w:tcBorders>
            <w:shd w:val="clear" w:color="auto" w:fill="auto"/>
            <w:hideMark/>
          </w:tcPr>
          <w:p w14:paraId="72F1C77E" w14:textId="77777777" w:rsidR="003A2574" w:rsidRPr="00E641BB" w:rsidRDefault="003A2574" w:rsidP="009D1F65">
            <w:pPr>
              <w:pStyle w:val="Tabletext"/>
              <w:rPr>
                <w:lang w:eastAsia="en-US"/>
              </w:rPr>
            </w:pPr>
            <w:r w:rsidRPr="00E641BB">
              <w:rPr>
                <w:lang w:eastAsia="en-US"/>
              </w:rPr>
              <w:t>Endoscopy with laser therapy or argon plasma coagulation, for the treatment of neoplasia, benign vascular lesions, strictures of the gastrointestinal tract, tumorous overgrowth through or over oesophageal stents, peptic ulcers, angiodysplasia, gastric antral vascular ectasia (GAVE) or post-polypectomy bleeding, one or more of (Anaes.)</w:t>
            </w:r>
          </w:p>
        </w:tc>
      </w:tr>
      <w:tr w:rsidR="003A2574" w:rsidRPr="00E641BB" w14:paraId="4FF3495C" w14:textId="77777777" w:rsidTr="004412C0">
        <w:trPr>
          <w:trHeight w:val="279"/>
        </w:trPr>
        <w:tc>
          <w:tcPr>
            <w:tcW w:w="1014" w:type="dxa"/>
            <w:tcBorders>
              <w:top w:val="single" w:sz="4" w:space="0" w:color="B56011"/>
              <w:left w:val="nil"/>
              <w:bottom w:val="single" w:sz="4" w:space="0" w:color="B56011"/>
              <w:right w:val="nil"/>
            </w:tcBorders>
            <w:shd w:val="clear" w:color="auto" w:fill="auto"/>
            <w:noWrap/>
            <w:hideMark/>
          </w:tcPr>
          <w:p w14:paraId="676F2146" w14:textId="77777777" w:rsidR="003A2574" w:rsidRPr="00AA154A" w:rsidRDefault="003A2574" w:rsidP="00AD071A">
            <w:pPr>
              <w:pStyle w:val="Tabletext"/>
              <w:rPr>
                <w:lang w:eastAsia="en-US"/>
              </w:rPr>
            </w:pPr>
            <w:r w:rsidRPr="00AA154A">
              <w:rPr>
                <w:lang w:eastAsia="en-US"/>
              </w:rPr>
              <w:t>30481</w:t>
            </w:r>
          </w:p>
        </w:tc>
        <w:tc>
          <w:tcPr>
            <w:tcW w:w="8228" w:type="dxa"/>
            <w:tcBorders>
              <w:top w:val="single" w:sz="4" w:space="0" w:color="B56011"/>
              <w:left w:val="nil"/>
              <w:bottom w:val="single" w:sz="4" w:space="0" w:color="B56011"/>
              <w:right w:val="nil"/>
            </w:tcBorders>
            <w:shd w:val="clear" w:color="auto" w:fill="auto"/>
            <w:hideMark/>
          </w:tcPr>
          <w:p w14:paraId="2D5C7B4F" w14:textId="77777777" w:rsidR="003A2574" w:rsidRPr="00E641BB" w:rsidRDefault="003A2574" w:rsidP="009D1F65">
            <w:pPr>
              <w:pStyle w:val="Tabletext"/>
              <w:rPr>
                <w:lang w:eastAsia="en-US"/>
              </w:rPr>
            </w:pPr>
            <w:r w:rsidRPr="00E641BB">
              <w:rPr>
                <w:lang w:eastAsia="en-US"/>
              </w:rPr>
              <w:t>Percutaneous gastrostomy (initial procedure), including any associated imaging services (Anaes.)</w:t>
            </w:r>
          </w:p>
        </w:tc>
      </w:tr>
      <w:tr w:rsidR="003A2574" w:rsidRPr="00E641BB" w14:paraId="6F132D46" w14:textId="77777777" w:rsidTr="004412C0">
        <w:trPr>
          <w:trHeight w:val="283"/>
        </w:trPr>
        <w:tc>
          <w:tcPr>
            <w:tcW w:w="1014" w:type="dxa"/>
            <w:tcBorders>
              <w:top w:val="single" w:sz="4" w:space="0" w:color="B56011"/>
              <w:left w:val="nil"/>
              <w:bottom w:val="single" w:sz="4" w:space="0" w:color="B56011"/>
              <w:right w:val="nil"/>
            </w:tcBorders>
            <w:shd w:val="clear" w:color="auto" w:fill="auto"/>
            <w:noWrap/>
            <w:hideMark/>
          </w:tcPr>
          <w:p w14:paraId="43522916" w14:textId="77777777" w:rsidR="003A2574" w:rsidRPr="00AA154A" w:rsidRDefault="003A2574" w:rsidP="00AD071A">
            <w:pPr>
              <w:pStyle w:val="Tabletext"/>
              <w:rPr>
                <w:lang w:eastAsia="en-US"/>
              </w:rPr>
            </w:pPr>
            <w:r w:rsidRPr="00AA154A">
              <w:rPr>
                <w:lang w:eastAsia="en-US"/>
              </w:rPr>
              <w:t>30482</w:t>
            </w:r>
          </w:p>
        </w:tc>
        <w:tc>
          <w:tcPr>
            <w:tcW w:w="8228" w:type="dxa"/>
            <w:tcBorders>
              <w:top w:val="single" w:sz="4" w:space="0" w:color="B56011"/>
              <w:left w:val="nil"/>
              <w:bottom w:val="single" w:sz="4" w:space="0" w:color="B56011"/>
              <w:right w:val="nil"/>
            </w:tcBorders>
            <w:shd w:val="clear" w:color="auto" w:fill="auto"/>
            <w:hideMark/>
          </w:tcPr>
          <w:p w14:paraId="41FF0297" w14:textId="77777777" w:rsidR="003A2574" w:rsidRPr="00E641BB" w:rsidRDefault="003A2574" w:rsidP="009D1F65">
            <w:pPr>
              <w:pStyle w:val="Tabletext"/>
              <w:rPr>
                <w:lang w:eastAsia="en-US"/>
              </w:rPr>
            </w:pPr>
            <w:r w:rsidRPr="00E641BB">
              <w:rPr>
                <w:lang w:eastAsia="en-US"/>
              </w:rPr>
              <w:t>Percutaneous gastrostomy (repeat procedure), including any associated imaging services (Anaes.)</w:t>
            </w:r>
          </w:p>
        </w:tc>
      </w:tr>
      <w:tr w:rsidR="003A2574" w:rsidRPr="00E641BB" w14:paraId="02EE2EE1" w14:textId="77777777" w:rsidTr="004412C0">
        <w:trPr>
          <w:trHeight w:val="401"/>
        </w:trPr>
        <w:tc>
          <w:tcPr>
            <w:tcW w:w="1014" w:type="dxa"/>
            <w:tcBorders>
              <w:top w:val="single" w:sz="4" w:space="0" w:color="B56011"/>
              <w:left w:val="nil"/>
              <w:bottom w:val="single" w:sz="4" w:space="0" w:color="B56011"/>
              <w:right w:val="nil"/>
            </w:tcBorders>
            <w:shd w:val="clear" w:color="auto" w:fill="auto"/>
            <w:noWrap/>
            <w:hideMark/>
          </w:tcPr>
          <w:p w14:paraId="4DBCCF23" w14:textId="77777777" w:rsidR="003A2574" w:rsidRPr="00AA154A" w:rsidRDefault="003A2574" w:rsidP="00AD071A">
            <w:pPr>
              <w:pStyle w:val="Tabletext"/>
              <w:rPr>
                <w:lang w:eastAsia="en-US"/>
              </w:rPr>
            </w:pPr>
            <w:r w:rsidRPr="00AA154A">
              <w:rPr>
                <w:lang w:eastAsia="en-US"/>
              </w:rPr>
              <w:t>30483</w:t>
            </w:r>
          </w:p>
        </w:tc>
        <w:tc>
          <w:tcPr>
            <w:tcW w:w="8228" w:type="dxa"/>
            <w:tcBorders>
              <w:top w:val="single" w:sz="4" w:space="0" w:color="B56011"/>
              <w:left w:val="nil"/>
              <w:bottom w:val="single" w:sz="4" w:space="0" w:color="B56011"/>
              <w:right w:val="nil"/>
            </w:tcBorders>
            <w:shd w:val="clear" w:color="auto" w:fill="auto"/>
            <w:hideMark/>
          </w:tcPr>
          <w:p w14:paraId="5F636388" w14:textId="77777777" w:rsidR="003A2574" w:rsidRPr="00E641BB" w:rsidRDefault="003A2574" w:rsidP="009D1F65">
            <w:pPr>
              <w:pStyle w:val="Tabletext"/>
              <w:rPr>
                <w:lang w:eastAsia="en-US"/>
              </w:rPr>
            </w:pPr>
            <w:r w:rsidRPr="00E641BB">
              <w:rPr>
                <w:lang w:eastAsia="en-US"/>
              </w:rPr>
              <w:t>Gastrostomy button, caecostomy antegrade enema device (chait etc.) or stomal indwelling device, non-endoscopic insertion of, or non-endoscopic replacement of, on a person 10 years of age or over (Anaes.)</w:t>
            </w:r>
          </w:p>
        </w:tc>
      </w:tr>
      <w:tr w:rsidR="003A2574" w:rsidRPr="00E641BB" w14:paraId="45986CB3" w14:textId="77777777" w:rsidTr="004412C0">
        <w:trPr>
          <w:trHeight w:val="300"/>
        </w:trPr>
        <w:tc>
          <w:tcPr>
            <w:tcW w:w="1014" w:type="dxa"/>
            <w:tcBorders>
              <w:top w:val="single" w:sz="4" w:space="0" w:color="B56011"/>
              <w:left w:val="nil"/>
              <w:bottom w:val="single" w:sz="4" w:space="0" w:color="B56011"/>
              <w:right w:val="nil"/>
            </w:tcBorders>
            <w:shd w:val="clear" w:color="auto" w:fill="auto"/>
            <w:noWrap/>
            <w:hideMark/>
          </w:tcPr>
          <w:p w14:paraId="06891262" w14:textId="77777777" w:rsidR="003A2574" w:rsidRPr="00AA154A" w:rsidRDefault="003A2574" w:rsidP="00AD071A">
            <w:pPr>
              <w:pStyle w:val="Tabletext"/>
              <w:rPr>
                <w:lang w:eastAsia="en-US"/>
              </w:rPr>
            </w:pPr>
            <w:r w:rsidRPr="00AA154A">
              <w:rPr>
                <w:lang w:eastAsia="en-US"/>
              </w:rPr>
              <w:t>30484</w:t>
            </w:r>
          </w:p>
        </w:tc>
        <w:tc>
          <w:tcPr>
            <w:tcW w:w="8228" w:type="dxa"/>
            <w:tcBorders>
              <w:top w:val="single" w:sz="4" w:space="0" w:color="B56011"/>
              <w:left w:val="nil"/>
              <w:bottom w:val="single" w:sz="4" w:space="0" w:color="B56011"/>
              <w:right w:val="nil"/>
            </w:tcBorders>
            <w:shd w:val="clear" w:color="auto" w:fill="auto"/>
            <w:hideMark/>
          </w:tcPr>
          <w:p w14:paraId="5392E643" w14:textId="77777777" w:rsidR="003A2574" w:rsidRPr="00E641BB" w:rsidRDefault="003A2574" w:rsidP="009D1F65">
            <w:pPr>
              <w:pStyle w:val="Tabletext"/>
              <w:rPr>
                <w:lang w:eastAsia="en-US"/>
              </w:rPr>
            </w:pPr>
            <w:r w:rsidRPr="00E641BB">
              <w:rPr>
                <w:lang w:eastAsia="en-US"/>
              </w:rPr>
              <w:t>Endoscopic retrograde cholangio-pancreatography (Anaes.)</w:t>
            </w:r>
          </w:p>
        </w:tc>
      </w:tr>
      <w:tr w:rsidR="003A2574" w:rsidRPr="00E641BB" w14:paraId="24BE95F7" w14:textId="77777777" w:rsidTr="004412C0">
        <w:trPr>
          <w:trHeight w:val="199"/>
        </w:trPr>
        <w:tc>
          <w:tcPr>
            <w:tcW w:w="1014" w:type="dxa"/>
            <w:tcBorders>
              <w:top w:val="single" w:sz="4" w:space="0" w:color="B56011"/>
              <w:left w:val="nil"/>
              <w:bottom w:val="single" w:sz="4" w:space="0" w:color="B56011"/>
              <w:right w:val="nil"/>
            </w:tcBorders>
            <w:shd w:val="clear" w:color="auto" w:fill="auto"/>
            <w:noWrap/>
            <w:hideMark/>
          </w:tcPr>
          <w:p w14:paraId="038EEDD1" w14:textId="77777777" w:rsidR="003A2574" w:rsidRPr="00AA154A" w:rsidRDefault="003A2574" w:rsidP="00AD071A">
            <w:pPr>
              <w:pStyle w:val="Tabletext"/>
              <w:rPr>
                <w:lang w:eastAsia="en-US"/>
              </w:rPr>
            </w:pPr>
            <w:r w:rsidRPr="00AA154A">
              <w:rPr>
                <w:lang w:eastAsia="en-US"/>
              </w:rPr>
              <w:t>30485</w:t>
            </w:r>
          </w:p>
        </w:tc>
        <w:tc>
          <w:tcPr>
            <w:tcW w:w="8228" w:type="dxa"/>
            <w:tcBorders>
              <w:top w:val="single" w:sz="4" w:space="0" w:color="B56011"/>
              <w:left w:val="nil"/>
              <w:bottom w:val="single" w:sz="4" w:space="0" w:color="B56011"/>
              <w:right w:val="nil"/>
            </w:tcBorders>
            <w:shd w:val="clear" w:color="auto" w:fill="auto"/>
            <w:hideMark/>
          </w:tcPr>
          <w:p w14:paraId="1D4615CA" w14:textId="77777777" w:rsidR="003A2574" w:rsidRPr="00E641BB" w:rsidRDefault="003A2574" w:rsidP="009D1F65">
            <w:pPr>
              <w:pStyle w:val="Tabletext"/>
              <w:rPr>
                <w:lang w:eastAsia="en-US"/>
              </w:rPr>
            </w:pPr>
            <w:r w:rsidRPr="00E641BB">
              <w:rPr>
                <w:lang w:eastAsia="en-US"/>
              </w:rPr>
              <w:t>Endoscopic sphincterotomy with or without extraction of stones from common bile duct (Anaes.)</w:t>
            </w:r>
          </w:p>
        </w:tc>
      </w:tr>
      <w:tr w:rsidR="003A2574" w:rsidRPr="00E641BB" w14:paraId="6AEDD25A" w14:textId="77777777" w:rsidTr="004412C0">
        <w:trPr>
          <w:trHeight w:val="245"/>
        </w:trPr>
        <w:tc>
          <w:tcPr>
            <w:tcW w:w="1014" w:type="dxa"/>
            <w:tcBorders>
              <w:top w:val="single" w:sz="4" w:space="0" w:color="B56011"/>
              <w:left w:val="nil"/>
              <w:bottom w:val="single" w:sz="4" w:space="0" w:color="B56011"/>
              <w:right w:val="nil"/>
            </w:tcBorders>
            <w:shd w:val="clear" w:color="auto" w:fill="auto"/>
            <w:noWrap/>
            <w:hideMark/>
          </w:tcPr>
          <w:p w14:paraId="3E8BE552" w14:textId="77777777" w:rsidR="003A2574" w:rsidRPr="00AA154A" w:rsidRDefault="003A2574" w:rsidP="00AD071A">
            <w:pPr>
              <w:pStyle w:val="Tabletext"/>
              <w:rPr>
                <w:lang w:eastAsia="en-US"/>
              </w:rPr>
            </w:pPr>
            <w:r w:rsidRPr="00AA154A">
              <w:rPr>
                <w:lang w:eastAsia="en-US"/>
              </w:rPr>
              <w:lastRenderedPageBreak/>
              <w:t>30487</w:t>
            </w:r>
          </w:p>
        </w:tc>
        <w:tc>
          <w:tcPr>
            <w:tcW w:w="8228" w:type="dxa"/>
            <w:tcBorders>
              <w:top w:val="single" w:sz="4" w:space="0" w:color="B56011"/>
              <w:left w:val="nil"/>
              <w:bottom w:val="single" w:sz="4" w:space="0" w:color="B56011"/>
              <w:right w:val="nil"/>
            </w:tcBorders>
            <w:shd w:val="clear" w:color="auto" w:fill="auto"/>
            <w:hideMark/>
          </w:tcPr>
          <w:p w14:paraId="17E9444C" w14:textId="77777777" w:rsidR="003A2574" w:rsidRPr="00E641BB" w:rsidRDefault="003A2574" w:rsidP="009D1F65">
            <w:pPr>
              <w:pStyle w:val="Tabletext"/>
              <w:rPr>
                <w:lang w:eastAsia="en-US"/>
              </w:rPr>
            </w:pPr>
            <w:r w:rsidRPr="00E641BB">
              <w:rPr>
                <w:lang w:eastAsia="en-US"/>
              </w:rPr>
              <w:t>Small bowel intubation with biopsy, as an independent procedure (Anaes.)</w:t>
            </w:r>
          </w:p>
        </w:tc>
      </w:tr>
      <w:tr w:rsidR="003A2574" w:rsidRPr="00E641BB" w14:paraId="0824FA59" w14:textId="77777777" w:rsidTr="004412C0">
        <w:trPr>
          <w:trHeight w:val="263"/>
        </w:trPr>
        <w:tc>
          <w:tcPr>
            <w:tcW w:w="1014" w:type="dxa"/>
            <w:tcBorders>
              <w:top w:val="single" w:sz="4" w:space="0" w:color="B56011"/>
              <w:left w:val="nil"/>
              <w:bottom w:val="single" w:sz="4" w:space="0" w:color="B56011"/>
              <w:right w:val="nil"/>
            </w:tcBorders>
            <w:shd w:val="clear" w:color="auto" w:fill="auto"/>
            <w:noWrap/>
            <w:hideMark/>
          </w:tcPr>
          <w:p w14:paraId="40ABB01F" w14:textId="77777777" w:rsidR="003A2574" w:rsidRPr="00AA154A" w:rsidRDefault="003A2574" w:rsidP="00AD071A">
            <w:pPr>
              <w:pStyle w:val="Tabletext"/>
              <w:rPr>
                <w:lang w:eastAsia="en-US"/>
              </w:rPr>
            </w:pPr>
            <w:r w:rsidRPr="00AA154A">
              <w:rPr>
                <w:lang w:eastAsia="en-US"/>
              </w:rPr>
              <w:t>30488</w:t>
            </w:r>
          </w:p>
        </w:tc>
        <w:tc>
          <w:tcPr>
            <w:tcW w:w="8228" w:type="dxa"/>
            <w:tcBorders>
              <w:top w:val="single" w:sz="4" w:space="0" w:color="B56011"/>
              <w:left w:val="nil"/>
              <w:bottom w:val="single" w:sz="4" w:space="0" w:color="B56011"/>
              <w:right w:val="nil"/>
            </w:tcBorders>
            <w:shd w:val="clear" w:color="auto" w:fill="auto"/>
            <w:hideMark/>
          </w:tcPr>
          <w:p w14:paraId="15905E9F" w14:textId="77777777" w:rsidR="003A2574" w:rsidRPr="00E641BB" w:rsidRDefault="003A2574" w:rsidP="009D1F65">
            <w:pPr>
              <w:pStyle w:val="Tabletext"/>
              <w:rPr>
                <w:b/>
                <w:color w:val="FF0000"/>
                <w:lang w:eastAsia="en-US"/>
              </w:rPr>
            </w:pPr>
            <w:r w:rsidRPr="00E641BB">
              <w:rPr>
                <w:b/>
                <w:color w:val="FF0000"/>
                <w:lang w:eastAsia="en-US"/>
              </w:rPr>
              <w:t>Item referred to Diagnostic Imaging Clinical Committee</w:t>
            </w:r>
          </w:p>
          <w:p w14:paraId="5E8AA691" w14:textId="77777777" w:rsidR="003A2574" w:rsidRPr="00E641BB" w:rsidRDefault="003A2574" w:rsidP="009D1F65">
            <w:pPr>
              <w:pStyle w:val="Tabletext"/>
              <w:rPr>
                <w:lang w:eastAsia="en-US"/>
              </w:rPr>
            </w:pPr>
            <w:r w:rsidRPr="00E641BB">
              <w:rPr>
                <w:lang w:eastAsia="en-US"/>
              </w:rPr>
              <w:t>Small bowel intubation—as an independent procedure (Anaes.)</w:t>
            </w:r>
          </w:p>
        </w:tc>
      </w:tr>
      <w:tr w:rsidR="003A2574" w:rsidRPr="00E641BB" w14:paraId="4B7468A8" w14:textId="77777777" w:rsidTr="004412C0">
        <w:trPr>
          <w:trHeight w:val="300"/>
        </w:trPr>
        <w:tc>
          <w:tcPr>
            <w:tcW w:w="1014" w:type="dxa"/>
            <w:tcBorders>
              <w:top w:val="single" w:sz="4" w:space="0" w:color="B56011"/>
              <w:left w:val="nil"/>
              <w:bottom w:val="single" w:sz="4" w:space="0" w:color="B56011"/>
              <w:right w:val="nil"/>
            </w:tcBorders>
            <w:shd w:val="clear" w:color="auto" w:fill="auto"/>
            <w:noWrap/>
            <w:hideMark/>
          </w:tcPr>
          <w:p w14:paraId="0DA4CA81" w14:textId="77777777" w:rsidR="003A2574" w:rsidRPr="00AA154A" w:rsidRDefault="003A2574" w:rsidP="00AD071A">
            <w:pPr>
              <w:pStyle w:val="Tabletext"/>
              <w:rPr>
                <w:lang w:eastAsia="en-US"/>
              </w:rPr>
            </w:pPr>
            <w:r w:rsidRPr="00AA154A">
              <w:rPr>
                <w:lang w:eastAsia="en-US"/>
              </w:rPr>
              <w:t>30490</w:t>
            </w:r>
          </w:p>
        </w:tc>
        <w:tc>
          <w:tcPr>
            <w:tcW w:w="8228" w:type="dxa"/>
            <w:tcBorders>
              <w:top w:val="single" w:sz="4" w:space="0" w:color="B56011"/>
              <w:left w:val="nil"/>
              <w:bottom w:val="single" w:sz="4" w:space="0" w:color="B56011"/>
              <w:right w:val="nil"/>
            </w:tcBorders>
            <w:shd w:val="clear" w:color="auto" w:fill="auto"/>
            <w:hideMark/>
          </w:tcPr>
          <w:p w14:paraId="05F963C0" w14:textId="77777777" w:rsidR="003A2574" w:rsidRPr="00E641BB" w:rsidRDefault="003A2574" w:rsidP="009D1F65">
            <w:pPr>
              <w:pStyle w:val="Tabletext"/>
              <w:rPr>
                <w:lang w:eastAsia="en-US"/>
              </w:rPr>
            </w:pPr>
            <w:r w:rsidRPr="00E641BB">
              <w:rPr>
                <w:lang w:eastAsia="en-US"/>
              </w:rPr>
              <w:t>Oesophageal prosthesis, insertion of, including endoscopy and dilatation (Anaes.)</w:t>
            </w:r>
          </w:p>
        </w:tc>
      </w:tr>
      <w:tr w:rsidR="003A2574" w:rsidRPr="00E641BB" w14:paraId="31D31841" w14:textId="77777777" w:rsidTr="004412C0">
        <w:trPr>
          <w:trHeight w:val="300"/>
        </w:trPr>
        <w:tc>
          <w:tcPr>
            <w:tcW w:w="1014" w:type="dxa"/>
            <w:tcBorders>
              <w:top w:val="single" w:sz="4" w:space="0" w:color="B56011"/>
              <w:left w:val="nil"/>
              <w:bottom w:val="single" w:sz="4" w:space="0" w:color="B56011"/>
              <w:right w:val="nil"/>
            </w:tcBorders>
            <w:shd w:val="clear" w:color="auto" w:fill="auto"/>
            <w:noWrap/>
            <w:hideMark/>
          </w:tcPr>
          <w:p w14:paraId="4BDFDFCE" w14:textId="77777777" w:rsidR="003A2574" w:rsidRPr="00AA154A" w:rsidRDefault="003A2574" w:rsidP="00AD071A">
            <w:pPr>
              <w:pStyle w:val="Tabletext"/>
              <w:rPr>
                <w:lang w:eastAsia="en-US"/>
              </w:rPr>
            </w:pPr>
            <w:r w:rsidRPr="00AA154A">
              <w:rPr>
                <w:lang w:eastAsia="en-US"/>
              </w:rPr>
              <w:t>30491</w:t>
            </w:r>
          </w:p>
        </w:tc>
        <w:tc>
          <w:tcPr>
            <w:tcW w:w="8228" w:type="dxa"/>
            <w:tcBorders>
              <w:top w:val="single" w:sz="4" w:space="0" w:color="B56011"/>
              <w:left w:val="nil"/>
              <w:bottom w:val="single" w:sz="4" w:space="0" w:color="B56011"/>
              <w:right w:val="nil"/>
            </w:tcBorders>
            <w:shd w:val="clear" w:color="auto" w:fill="auto"/>
            <w:hideMark/>
          </w:tcPr>
          <w:p w14:paraId="6699B574" w14:textId="77777777" w:rsidR="003A2574" w:rsidRPr="00E641BB" w:rsidRDefault="003A2574" w:rsidP="009D1F65">
            <w:pPr>
              <w:pStyle w:val="Tabletext"/>
              <w:rPr>
                <w:lang w:eastAsia="en-US"/>
              </w:rPr>
            </w:pPr>
            <w:r w:rsidRPr="00E641BB">
              <w:rPr>
                <w:lang w:eastAsia="en-US"/>
              </w:rPr>
              <w:t>Bile duct, endoscopic stenting of (including endoscopy and dilatation) (Anaes.)</w:t>
            </w:r>
          </w:p>
        </w:tc>
      </w:tr>
      <w:tr w:rsidR="003A2574" w:rsidRPr="00E641BB" w14:paraId="1C534E50" w14:textId="77777777" w:rsidTr="004412C0">
        <w:trPr>
          <w:trHeight w:val="237"/>
        </w:trPr>
        <w:tc>
          <w:tcPr>
            <w:tcW w:w="1014" w:type="dxa"/>
            <w:tcBorders>
              <w:top w:val="single" w:sz="4" w:space="0" w:color="B56011"/>
              <w:left w:val="nil"/>
              <w:bottom w:val="single" w:sz="4" w:space="0" w:color="B56011"/>
              <w:right w:val="nil"/>
            </w:tcBorders>
            <w:shd w:val="clear" w:color="auto" w:fill="auto"/>
            <w:noWrap/>
            <w:hideMark/>
          </w:tcPr>
          <w:p w14:paraId="0A564BC9" w14:textId="77777777" w:rsidR="003A2574" w:rsidRPr="00AA154A" w:rsidRDefault="003A2574" w:rsidP="00AD071A">
            <w:pPr>
              <w:pStyle w:val="Tabletext"/>
              <w:rPr>
                <w:lang w:eastAsia="en-US"/>
              </w:rPr>
            </w:pPr>
            <w:r w:rsidRPr="00AA154A">
              <w:rPr>
                <w:lang w:eastAsia="en-US"/>
              </w:rPr>
              <w:t>30492</w:t>
            </w:r>
          </w:p>
        </w:tc>
        <w:tc>
          <w:tcPr>
            <w:tcW w:w="8228" w:type="dxa"/>
            <w:tcBorders>
              <w:top w:val="single" w:sz="4" w:space="0" w:color="B56011"/>
              <w:left w:val="nil"/>
              <w:bottom w:val="single" w:sz="4" w:space="0" w:color="B56011"/>
              <w:right w:val="nil"/>
            </w:tcBorders>
            <w:shd w:val="clear" w:color="auto" w:fill="auto"/>
            <w:hideMark/>
          </w:tcPr>
          <w:p w14:paraId="2BA60D27" w14:textId="77777777" w:rsidR="003A2574" w:rsidRPr="00E641BB" w:rsidRDefault="003A2574" w:rsidP="009D1F65">
            <w:pPr>
              <w:pStyle w:val="Tabletext"/>
              <w:rPr>
                <w:lang w:eastAsia="en-US"/>
              </w:rPr>
            </w:pPr>
            <w:r w:rsidRPr="00E641BB">
              <w:rPr>
                <w:lang w:eastAsia="en-US"/>
              </w:rPr>
              <w:t>Bile duct, percutaneous stenting of (including dilatation when performed), using interventional imaging techniques (H) (Anaes.)</w:t>
            </w:r>
          </w:p>
        </w:tc>
      </w:tr>
      <w:tr w:rsidR="003A2574" w:rsidRPr="00E641BB" w14:paraId="6AE1E4FA" w14:textId="77777777" w:rsidTr="004412C0">
        <w:trPr>
          <w:trHeight w:val="300"/>
        </w:trPr>
        <w:tc>
          <w:tcPr>
            <w:tcW w:w="1014" w:type="dxa"/>
            <w:tcBorders>
              <w:top w:val="single" w:sz="4" w:space="0" w:color="B56011"/>
              <w:left w:val="nil"/>
              <w:bottom w:val="single" w:sz="4" w:space="0" w:color="B56011"/>
              <w:right w:val="nil"/>
            </w:tcBorders>
            <w:shd w:val="clear" w:color="auto" w:fill="auto"/>
            <w:noWrap/>
            <w:hideMark/>
          </w:tcPr>
          <w:p w14:paraId="42F00EEE" w14:textId="77777777" w:rsidR="003A2574" w:rsidRPr="00AA154A" w:rsidRDefault="003A2574" w:rsidP="00AD071A">
            <w:pPr>
              <w:pStyle w:val="Tabletext"/>
              <w:rPr>
                <w:lang w:eastAsia="en-US"/>
              </w:rPr>
            </w:pPr>
            <w:r w:rsidRPr="00AA154A">
              <w:rPr>
                <w:lang w:eastAsia="en-US"/>
              </w:rPr>
              <w:t>30493</w:t>
            </w:r>
          </w:p>
        </w:tc>
        <w:tc>
          <w:tcPr>
            <w:tcW w:w="8228" w:type="dxa"/>
            <w:tcBorders>
              <w:top w:val="single" w:sz="4" w:space="0" w:color="B56011"/>
              <w:left w:val="nil"/>
              <w:bottom w:val="single" w:sz="4" w:space="0" w:color="B56011"/>
              <w:right w:val="nil"/>
            </w:tcBorders>
            <w:shd w:val="clear" w:color="auto" w:fill="auto"/>
            <w:hideMark/>
          </w:tcPr>
          <w:p w14:paraId="0E799F53" w14:textId="77777777" w:rsidR="003A2574" w:rsidRPr="00E641BB" w:rsidRDefault="003A2574" w:rsidP="009D1F65">
            <w:pPr>
              <w:pStyle w:val="Tabletext"/>
              <w:rPr>
                <w:lang w:eastAsia="en-US"/>
              </w:rPr>
            </w:pPr>
            <w:r w:rsidRPr="00E641BB">
              <w:rPr>
                <w:lang w:eastAsia="en-US"/>
              </w:rPr>
              <w:t>Biliary manometry (Anaes.)</w:t>
            </w:r>
          </w:p>
        </w:tc>
      </w:tr>
      <w:tr w:rsidR="003A2574" w:rsidRPr="00E641BB" w14:paraId="42E8A05C" w14:textId="77777777" w:rsidTr="004412C0">
        <w:trPr>
          <w:trHeight w:val="272"/>
        </w:trPr>
        <w:tc>
          <w:tcPr>
            <w:tcW w:w="1014" w:type="dxa"/>
            <w:tcBorders>
              <w:top w:val="single" w:sz="4" w:space="0" w:color="B56011"/>
              <w:left w:val="nil"/>
              <w:bottom w:val="single" w:sz="4" w:space="0" w:color="B56011"/>
              <w:right w:val="nil"/>
            </w:tcBorders>
            <w:shd w:val="clear" w:color="auto" w:fill="auto"/>
            <w:noWrap/>
            <w:hideMark/>
          </w:tcPr>
          <w:p w14:paraId="771A4301" w14:textId="77777777" w:rsidR="003A2574" w:rsidRPr="00AA154A" w:rsidRDefault="003A2574" w:rsidP="00AD071A">
            <w:pPr>
              <w:pStyle w:val="Tabletext"/>
              <w:rPr>
                <w:lang w:eastAsia="en-US"/>
              </w:rPr>
            </w:pPr>
            <w:r w:rsidRPr="00AA154A">
              <w:rPr>
                <w:lang w:eastAsia="en-US"/>
              </w:rPr>
              <w:t>30494</w:t>
            </w:r>
          </w:p>
        </w:tc>
        <w:tc>
          <w:tcPr>
            <w:tcW w:w="8228" w:type="dxa"/>
            <w:tcBorders>
              <w:top w:val="single" w:sz="4" w:space="0" w:color="B56011"/>
              <w:left w:val="nil"/>
              <w:bottom w:val="single" w:sz="4" w:space="0" w:color="B56011"/>
              <w:right w:val="nil"/>
            </w:tcBorders>
            <w:shd w:val="clear" w:color="auto" w:fill="auto"/>
            <w:hideMark/>
          </w:tcPr>
          <w:p w14:paraId="458964B0" w14:textId="77777777" w:rsidR="003A2574" w:rsidRPr="00E641BB" w:rsidRDefault="003A2574" w:rsidP="009D1F65">
            <w:pPr>
              <w:pStyle w:val="Tabletext"/>
              <w:rPr>
                <w:lang w:eastAsia="en-US"/>
              </w:rPr>
            </w:pPr>
            <w:r w:rsidRPr="00E641BB">
              <w:rPr>
                <w:lang w:eastAsia="en-US"/>
              </w:rPr>
              <w:t>Endoscopic biliary dilatation (H) (Anaes.)</w:t>
            </w:r>
          </w:p>
        </w:tc>
      </w:tr>
      <w:tr w:rsidR="003A2574" w:rsidRPr="00E641BB" w14:paraId="016EA28C" w14:textId="77777777" w:rsidTr="004412C0">
        <w:trPr>
          <w:trHeight w:val="262"/>
        </w:trPr>
        <w:tc>
          <w:tcPr>
            <w:tcW w:w="1014" w:type="dxa"/>
            <w:tcBorders>
              <w:top w:val="single" w:sz="4" w:space="0" w:color="B56011"/>
              <w:left w:val="nil"/>
              <w:bottom w:val="single" w:sz="4" w:space="0" w:color="B56011"/>
              <w:right w:val="nil"/>
            </w:tcBorders>
            <w:shd w:val="clear" w:color="auto" w:fill="auto"/>
            <w:noWrap/>
            <w:hideMark/>
          </w:tcPr>
          <w:p w14:paraId="715CBCE4" w14:textId="77777777" w:rsidR="003A2574" w:rsidRPr="00AA154A" w:rsidRDefault="003A2574" w:rsidP="00AD071A">
            <w:pPr>
              <w:pStyle w:val="Tabletext"/>
              <w:rPr>
                <w:lang w:eastAsia="en-US"/>
              </w:rPr>
            </w:pPr>
            <w:r w:rsidRPr="00AA154A">
              <w:rPr>
                <w:lang w:eastAsia="en-US"/>
              </w:rPr>
              <w:t>30495</w:t>
            </w:r>
          </w:p>
        </w:tc>
        <w:tc>
          <w:tcPr>
            <w:tcW w:w="8228" w:type="dxa"/>
            <w:tcBorders>
              <w:top w:val="single" w:sz="4" w:space="0" w:color="B56011"/>
              <w:left w:val="nil"/>
              <w:bottom w:val="single" w:sz="4" w:space="0" w:color="B56011"/>
              <w:right w:val="nil"/>
            </w:tcBorders>
            <w:shd w:val="clear" w:color="auto" w:fill="auto"/>
            <w:hideMark/>
          </w:tcPr>
          <w:p w14:paraId="0DC75E02" w14:textId="77777777" w:rsidR="003A2574" w:rsidRPr="00E641BB" w:rsidRDefault="003A2574" w:rsidP="009D1F65">
            <w:pPr>
              <w:pStyle w:val="Tabletext"/>
              <w:rPr>
                <w:b/>
                <w:color w:val="FF0000"/>
                <w:lang w:eastAsia="en-US"/>
              </w:rPr>
            </w:pPr>
            <w:r w:rsidRPr="00E641BB">
              <w:rPr>
                <w:b/>
                <w:color w:val="FF0000"/>
                <w:lang w:eastAsia="en-US"/>
              </w:rPr>
              <w:t>Item referred to Diagnostic Imaging Clinical Committee</w:t>
            </w:r>
          </w:p>
          <w:p w14:paraId="346E2AD9" w14:textId="77777777" w:rsidR="003A2574" w:rsidRPr="00E641BB" w:rsidRDefault="003A2574" w:rsidP="00737E5B">
            <w:pPr>
              <w:pStyle w:val="NormalBulleted10pt"/>
              <w:rPr>
                <w:lang w:eastAsia="en-US"/>
              </w:rPr>
            </w:pPr>
            <w:r w:rsidRPr="00E641BB">
              <w:rPr>
                <w:lang w:eastAsia="en-US"/>
              </w:rPr>
              <w:t>Percutaneous biliary dilatation for biliary stricture using interventional imaging techniques (H) (Anaes.)</w:t>
            </w:r>
          </w:p>
        </w:tc>
      </w:tr>
      <w:tr w:rsidR="003A2574" w:rsidRPr="00E641BB" w14:paraId="1B149F88" w14:textId="77777777" w:rsidTr="004412C0">
        <w:trPr>
          <w:trHeight w:val="1399"/>
        </w:trPr>
        <w:tc>
          <w:tcPr>
            <w:tcW w:w="1014" w:type="dxa"/>
            <w:tcBorders>
              <w:top w:val="single" w:sz="4" w:space="0" w:color="B56011"/>
              <w:left w:val="nil"/>
              <w:bottom w:val="single" w:sz="4" w:space="0" w:color="B56011"/>
              <w:right w:val="nil"/>
            </w:tcBorders>
            <w:shd w:val="clear" w:color="auto" w:fill="auto"/>
            <w:noWrap/>
            <w:hideMark/>
          </w:tcPr>
          <w:p w14:paraId="0C5E94ED" w14:textId="77777777" w:rsidR="003A2574" w:rsidRPr="00AA154A" w:rsidRDefault="003A2574" w:rsidP="00AD071A">
            <w:pPr>
              <w:pStyle w:val="Tabletext"/>
              <w:rPr>
                <w:lang w:eastAsia="en-US"/>
              </w:rPr>
            </w:pPr>
            <w:r w:rsidRPr="00AA154A">
              <w:rPr>
                <w:lang w:eastAsia="en-US"/>
              </w:rPr>
              <w:t>30680</w:t>
            </w:r>
          </w:p>
        </w:tc>
        <w:tc>
          <w:tcPr>
            <w:tcW w:w="8228" w:type="dxa"/>
            <w:tcBorders>
              <w:top w:val="single" w:sz="4" w:space="0" w:color="B56011"/>
              <w:left w:val="nil"/>
              <w:bottom w:val="single" w:sz="4" w:space="0" w:color="B56011"/>
              <w:right w:val="nil"/>
            </w:tcBorders>
            <w:shd w:val="clear" w:color="auto" w:fill="auto"/>
            <w:hideMark/>
          </w:tcPr>
          <w:p w14:paraId="61B731AF" w14:textId="77777777" w:rsidR="009A3675" w:rsidRDefault="003A2574" w:rsidP="009A3675">
            <w:pPr>
              <w:pStyle w:val="Tabletext"/>
              <w:rPr>
                <w:lang w:eastAsia="en-US"/>
              </w:rPr>
            </w:pPr>
            <w:r w:rsidRPr="00E641BB">
              <w:rPr>
                <w:lang w:eastAsia="en-US"/>
              </w:rPr>
              <w:t>Balloon enteroscopy, examination of the small bowel (oral approach), with or without biopsy, without intraprocedural therapy, for diagnosis of patients with obscure gastrointestinal bleeding if the patient:</w:t>
            </w:r>
          </w:p>
          <w:p w14:paraId="360C4E81" w14:textId="5E775EB5" w:rsidR="009A3675" w:rsidRDefault="003A2574" w:rsidP="00FA1377">
            <w:pPr>
              <w:pStyle w:val="Tabletext"/>
              <w:numPr>
                <w:ilvl w:val="0"/>
                <w:numId w:val="78"/>
              </w:numPr>
              <w:rPr>
                <w:lang w:eastAsia="en-US"/>
              </w:rPr>
            </w:pPr>
            <w:r w:rsidRPr="00E641BB">
              <w:rPr>
                <w:lang w:eastAsia="en-US"/>
              </w:rPr>
              <w:t>has recurrent or persistent bleeding; and</w:t>
            </w:r>
          </w:p>
          <w:p w14:paraId="207AA333" w14:textId="77777777" w:rsidR="009A3675" w:rsidRDefault="003A2574" w:rsidP="00FA1377">
            <w:pPr>
              <w:pStyle w:val="Tabletext"/>
              <w:numPr>
                <w:ilvl w:val="0"/>
                <w:numId w:val="78"/>
              </w:numPr>
              <w:rPr>
                <w:lang w:eastAsia="en-US"/>
              </w:rPr>
            </w:pPr>
            <w:r w:rsidRPr="00E641BB">
              <w:rPr>
                <w:lang w:eastAsia="en-US"/>
              </w:rPr>
              <w:t>is anaemic or has active bleeding; and</w:t>
            </w:r>
          </w:p>
          <w:p w14:paraId="4AA7EAD5" w14:textId="77777777" w:rsidR="009A3675" w:rsidRDefault="003A2574" w:rsidP="00FA1377">
            <w:pPr>
              <w:pStyle w:val="Tabletext"/>
              <w:numPr>
                <w:ilvl w:val="0"/>
                <w:numId w:val="78"/>
              </w:numPr>
              <w:rPr>
                <w:lang w:eastAsia="en-US"/>
              </w:rPr>
            </w:pPr>
            <w:r w:rsidRPr="00E641BB">
              <w:rPr>
                <w:lang w:eastAsia="en-US"/>
              </w:rPr>
              <w:t>has had an upper gastrointestinal endoscopy and a colonoscopy performed that did not identify the cause of the bleeding;</w:t>
            </w:r>
          </w:p>
          <w:p w14:paraId="23840731" w14:textId="14722E7A" w:rsidR="003A2574" w:rsidRPr="00E641BB" w:rsidRDefault="003A2574" w:rsidP="009A3675">
            <w:pPr>
              <w:pStyle w:val="Tabletext"/>
              <w:rPr>
                <w:lang w:eastAsia="en-US"/>
              </w:rPr>
            </w:pPr>
            <w:r w:rsidRPr="00E641BB">
              <w:rPr>
                <w:lang w:eastAsia="en-US"/>
              </w:rPr>
              <w:t xml:space="preserve">not in association with another </w:t>
            </w:r>
            <w:r w:rsidRPr="009A3675">
              <w:t>item</w:t>
            </w:r>
            <w:r w:rsidRPr="00E641BB">
              <w:rPr>
                <w:lang w:eastAsia="en-US"/>
              </w:rPr>
              <w:t xml:space="preserve"> in this Subgroup (other than item 30682 or 30686) (Anaes.)</w:t>
            </w:r>
          </w:p>
        </w:tc>
      </w:tr>
      <w:tr w:rsidR="003A2574" w:rsidRPr="00E641BB" w14:paraId="7AD15407" w14:textId="77777777" w:rsidTr="004412C0">
        <w:trPr>
          <w:trHeight w:val="214"/>
        </w:trPr>
        <w:tc>
          <w:tcPr>
            <w:tcW w:w="1014" w:type="dxa"/>
            <w:tcBorders>
              <w:top w:val="single" w:sz="4" w:space="0" w:color="B56011"/>
              <w:left w:val="nil"/>
              <w:bottom w:val="single" w:sz="4" w:space="0" w:color="B56011"/>
              <w:right w:val="nil"/>
            </w:tcBorders>
            <w:shd w:val="clear" w:color="auto" w:fill="auto"/>
            <w:noWrap/>
            <w:hideMark/>
          </w:tcPr>
          <w:p w14:paraId="0138F37F" w14:textId="77777777" w:rsidR="003A2574" w:rsidRPr="00AA154A" w:rsidRDefault="003A2574" w:rsidP="00AD071A">
            <w:pPr>
              <w:pStyle w:val="Tabletext"/>
              <w:rPr>
                <w:lang w:eastAsia="en-US"/>
              </w:rPr>
            </w:pPr>
            <w:r w:rsidRPr="00AA154A">
              <w:rPr>
                <w:lang w:eastAsia="en-US"/>
              </w:rPr>
              <w:t>30682</w:t>
            </w:r>
          </w:p>
        </w:tc>
        <w:tc>
          <w:tcPr>
            <w:tcW w:w="8228" w:type="dxa"/>
            <w:tcBorders>
              <w:top w:val="single" w:sz="4" w:space="0" w:color="B56011"/>
              <w:left w:val="nil"/>
              <w:bottom w:val="single" w:sz="4" w:space="0" w:color="B56011"/>
              <w:right w:val="nil"/>
            </w:tcBorders>
            <w:shd w:val="clear" w:color="auto" w:fill="auto"/>
            <w:hideMark/>
          </w:tcPr>
          <w:p w14:paraId="7FD5949F" w14:textId="77777777" w:rsidR="009A3675" w:rsidRDefault="003A2574" w:rsidP="009A3675">
            <w:pPr>
              <w:pStyle w:val="Tabletext"/>
              <w:rPr>
                <w:lang w:eastAsia="en-US"/>
              </w:rPr>
            </w:pPr>
            <w:r w:rsidRPr="00E641BB">
              <w:rPr>
                <w:lang w:eastAsia="en-US"/>
              </w:rPr>
              <w:t>Balloon enteroscopy, examination of the small bowel (anal approach), with or without biopsy, without intraprocedural therapy, for diagnosis of patients with obscure gastrointestinal bleeding if the patient:</w:t>
            </w:r>
          </w:p>
          <w:p w14:paraId="59980D11" w14:textId="4A177B86" w:rsidR="009A3675" w:rsidRDefault="003A2574" w:rsidP="00FA1377">
            <w:pPr>
              <w:pStyle w:val="Tabletext"/>
              <w:numPr>
                <w:ilvl w:val="0"/>
                <w:numId w:val="79"/>
              </w:numPr>
              <w:rPr>
                <w:lang w:eastAsia="en-US"/>
              </w:rPr>
            </w:pPr>
            <w:r w:rsidRPr="00E641BB">
              <w:rPr>
                <w:lang w:eastAsia="en-US"/>
              </w:rPr>
              <w:t>has recurrent or persistent bleeding; and</w:t>
            </w:r>
          </w:p>
          <w:p w14:paraId="0FBE7AE7" w14:textId="77777777" w:rsidR="009A3675" w:rsidRDefault="003A2574" w:rsidP="00FA1377">
            <w:pPr>
              <w:pStyle w:val="Tabletext"/>
              <w:numPr>
                <w:ilvl w:val="0"/>
                <w:numId w:val="79"/>
              </w:numPr>
              <w:rPr>
                <w:lang w:eastAsia="en-US"/>
              </w:rPr>
            </w:pPr>
            <w:r w:rsidRPr="00E641BB">
              <w:rPr>
                <w:lang w:eastAsia="en-US"/>
              </w:rPr>
              <w:t>is anaemic or has active bleeding; and</w:t>
            </w:r>
          </w:p>
          <w:p w14:paraId="21CC8D80" w14:textId="77777777" w:rsidR="009A3675" w:rsidRDefault="003A2574" w:rsidP="00FA1377">
            <w:pPr>
              <w:pStyle w:val="Tabletext"/>
              <w:numPr>
                <w:ilvl w:val="0"/>
                <w:numId w:val="79"/>
              </w:numPr>
              <w:rPr>
                <w:lang w:eastAsia="en-US"/>
              </w:rPr>
            </w:pPr>
            <w:r w:rsidRPr="00E641BB">
              <w:rPr>
                <w:lang w:eastAsia="en-US"/>
              </w:rPr>
              <w:t>has had an upper gastrointestinal endoscopy and a colonoscopy performed that did not identify the cause of the bleeding;</w:t>
            </w:r>
          </w:p>
          <w:p w14:paraId="00E20B1F" w14:textId="58AEFB40" w:rsidR="003A2574" w:rsidRPr="00E641BB" w:rsidRDefault="003A2574" w:rsidP="009A3675">
            <w:pPr>
              <w:pStyle w:val="Tabletext"/>
              <w:rPr>
                <w:lang w:eastAsia="en-US"/>
              </w:rPr>
            </w:pPr>
            <w:r w:rsidRPr="00E641BB">
              <w:rPr>
                <w:lang w:eastAsia="en-US"/>
              </w:rPr>
              <w:t>not in association with another item in this Subgroup (other than item 30680 or 30684) (Anaes.)</w:t>
            </w:r>
          </w:p>
        </w:tc>
      </w:tr>
      <w:tr w:rsidR="003A2574" w:rsidRPr="00E641BB" w14:paraId="2E1DFE0C" w14:textId="77777777" w:rsidTr="009A3675">
        <w:trPr>
          <w:trHeight w:val="166"/>
        </w:trPr>
        <w:tc>
          <w:tcPr>
            <w:tcW w:w="1014" w:type="dxa"/>
            <w:tcBorders>
              <w:top w:val="single" w:sz="4" w:space="0" w:color="B56011"/>
              <w:left w:val="nil"/>
              <w:bottom w:val="single" w:sz="4" w:space="0" w:color="B56011"/>
              <w:right w:val="nil"/>
            </w:tcBorders>
            <w:shd w:val="clear" w:color="auto" w:fill="auto"/>
            <w:noWrap/>
            <w:hideMark/>
          </w:tcPr>
          <w:p w14:paraId="4B91813B" w14:textId="77777777" w:rsidR="003A2574" w:rsidRPr="00AA154A" w:rsidRDefault="003A2574" w:rsidP="00AD071A">
            <w:pPr>
              <w:pStyle w:val="Tabletext"/>
              <w:rPr>
                <w:lang w:eastAsia="en-US"/>
              </w:rPr>
            </w:pPr>
            <w:r w:rsidRPr="00AA154A">
              <w:rPr>
                <w:lang w:eastAsia="en-US"/>
              </w:rPr>
              <w:t>30684</w:t>
            </w:r>
          </w:p>
        </w:tc>
        <w:tc>
          <w:tcPr>
            <w:tcW w:w="8228" w:type="dxa"/>
            <w:tcBorders>
              <w:top w:val="single" w:sz="4" w:space="0" w:color="B56011"/>
              <w:left w:val="nil"/>
              <w:bottom w:val="single" w:sz="4" w:space="0" w:color="B56011"/>
              <w:right w:val="nil"/>
            </w:tcBorders>
            <w:shd w:val="clear" w:color="auto" w:fill="auto"/>
            <w:hideMark/>
          </w:tcPr>
          <w:p w14:paraId="5993E790" w14:textId="77777777" w:rsidR="009A3675" w:rsidRDefault="003A2574" w:rsidP="009A3675">
            <w:pPr>
              <w:pStyle w:val="Tabletext"/>
              <w:rPr>
                <w:lang w:eastAsia="en-US"/>
              </w:rPr>
            </w:pPr>
            <w:r w:rsidRPr="00E641BB">
              <w:rPr>
                <w:lang w:eastAsia="en-US"/>
              </w:rPr>
              <w:t>Balloon enteroscopy, examination of the small bowel (oral approach), with or without biopsy, with one or more of the following procedures—snare polypectomy, removal of foreign body, diathermy, heater probe, laser coagulation or argon plasma coagulation, for diagnosis and management of patients with obscure gastrointestinal bleeding if the patient:</w:t>
            </w:r>
          </w:p>
          <w:p w14:paraId="760B59B7" w14:textId="3E08FA6E" w:rsidR="009A3675" w:rsidRDefault="003A2574" w:rsidP="00FA1377">
            <w:pPr>
              <w:pStyle w:val="Tabletext"/>
              <w:numPr>
                <w:ilvl w:val="0"/>
                <w:numId w:val="80"/>
              </w:numPr>
              <w:rPr>
                <w:lang w:eastAsia="en-US"/>
              </w:rPr>
            </w:pPr>
            <w:r w:rsidRPr="00E641BB">
              <w:rPr>
                <w:lang w:eastAsia="en-US"/>
              </w:rPr>
              <w:t>has recurrent or persistent bleeding; and</w:t>
            </w:r>
          </w:p>
          <w:p w14:paraId="203B8CCD" w14:textId="6A25D484" w:rsidR="009A3675" w:rsidRDefault="003A2574" w:rsidP="00FA1377">
            <w:pPr>
              <w:pStyle w:val="Tabletext"/>
              <w:numPr>
                <w:ilvl w:val="0"/>
                <w:numId w:val="80"/>
              </w:numPr>
              <w:rPr>
                <w:lang w:eastAsia="en-US"/>
              </w:rPr>
            </w:pPr>
            <w:r w:rsidRPr="00E641BB">
              <w:rPr>
                <w:lang w:eastAsia="en-US"/>
              </w:rPr>
              <w:t>is anaemic or has active bleeding; and</w:t>
            </w:r>
          </w:p>
          <w:p w14:paraId="02E40503" w14:textId="77777777" w:rsidR="009A3675" w:rsidRDefault="003A2574" w:rsidP="00FA1377">
            <w:pPr>
              <w:pStyle w:val="Tabletext"/>
              <w:numPr>
                <w:ilvl w:val="0"/>
                <w:numId w:val="80"/>
              </w:numPr>
              <w:rPr>
                <w:lang w:eastAsia="en-US"/>
              </w:rPr>
            </w:pPr>
            <w:r w:rsidRPr="00E641BB">
              <w:rPr>
                <w:lang w:eastAsia="en-US"/>
              </w:rPr>
              <w:t>has had an upper gastrointestinal endoscopy and a colonoscopy performed that did not identify the cause of the bleeding;</w:t>
            </w:r>
          </w:p>
          <w:p w14:paraId="2817A4E7" w14:textId="6880CCE9" w:rsidR="003A2574" w:rsidRPr="00E641BB" w:rsidRDefault="003A2574" w:rsidP="009A3675">
            <w:pPr>
              <w:pStyle w:val="Tabletext"/>
              <w:rPr>
                <w:lang w:eastAsia="en-US"/>
              </w:rPr>
            </w:pPr>
            <w:r w:rsidRPr="00E641BB">
              <w:rPr>
                <w:lang w:eastAsia="en-US"/>
              </w:rPr>
              <w:lastRenderedPageBreak/>
              <w:t xml:space="preserve">not in association with another </w:t>
            </w:r>
            <w:r w:rsidRPr="009A3675">
              <w:t>item</w:t>
            </w:r>
            <w:r w:rsidRPr="00E641BB">
              <w:rPr>
                <w:lang w:eastAsia="en-US"/>
              </w:rPr>
              <w:t xml:space="preserve"> in this Subgroup (other than item 30682 or 30686) (Anaes.)</w:t>
            </w:r>
          </w:p>
        </w:tc>
      </w:tr>
      <w:tr w:rsidR="003A2574" w:rsidRPr="00E641BB" w14:paraId="234BB149" w14:textId="77777777" w:rsidTr="004412C0">
        <w:trPr>
          <w:trHeight w:val="1692"/>
        </w:trPr>
        <w:tc>
          <w:tcPr>
            <w:tcW w:w="1014" w:type="dxa"/>
            <w:tcBorders>
              <w:top w:val="single" w:sz="4" w:space="0" w:color="B56011"/>
              <w:left w:val="nil"/>
              <w:bottom w:val="single" w:sz="4" w:space="0" w:color="B56011"/>
              <w:right w:val="nil"/>
            </w:tcBorders>
            <w:shd w:val="clear" w:color="auto" w:fill="auto"/>
            <w:noWrap/>
            <w:hideMark/>
          </w:tcPr>
          <w:p w14:paraId="4FA7DAD0" w14:textId="77777777" w:rsidR="003A2574" w:rsidRPr="00AA154A" w:rsidRDefault="003A2574" w:rsidP="00AD071A">
            <w:pPr>
              <w:pStyle w:val="Tabletext"/>
              <w:rPr>
                <w:lang w:eastAsia="en-US"/>
              </w:rPr>
            </w:pPr>
            <w:r w:rsidRPr="00AA154A">
              <w:rPr>
                <w:lang w:eastAsia="en-US"/>
              </w:rPr>
              <w:lastRenderedPageBreak/>
              <w:t>30686</w:t>
            </w:r>
          </w:p>
        </w:tc>
        <w:tc>
          <w:tcPr>
            <w:tcW w:w="8228" w:type="dxa"/>
            <w:tcBorders>
              <w:top w:val="single" w:sz="4" w:space="0" w:color="B56011"/>
              <w:left w:val="nil"/>
              <w:bottom w:val="single" w:sz="4" w:space="0" w:color="B56011"/>
              <w:right w:val="nil"/>
            </w:tcBorders>
            <w:shd w:val="clear" w:color="auto" w:fill="auto"/>
            <w:hideMark/>
          </w:tcPr>
          <w:p w14:paraId="36554C3E" w14:textId="77777777" w:rsidR="009A3675" w:rsidRDefault="003A2574" w:rsidP="009A3675">
            <w:pPr>
              <w:pStyle w:val="Tabletext"/>
              <w:rPr>
                <w:lang w:eastAsia="en-US"/>
              </w:rPr>
            </w:pPr>
            <w:r w:rsidRPr="00E641BB">
              <w:rPr>
                <w:lang w:eastAsia="en-US"/>
              </w:rPr>
              <w:t xml:space="preserve">Balloon enteroscopy, examination of the </w:t>
            </w:r>
            <w:r w:rsidRPr="009A3675">
              <w:t>small</w:t>
            </w:r>
            <w:r w:rsidRPr="00E641BB">
              <w:rPr>
                <w:lang w:eastAsia="en-US"/>
              </w:rPr>
              <w:t xml:space="preserve"> bowel (anal approach), with or without biopsy, with one or more of the following procedures—snare polypectomy, removal of foreign body, diathermy, heater probe, laser coagulation or argon plasma coagulation, for diagnosis and management of patients with obscure gastrointestinal bleeding if the patient:</w:t>
            </w:r>
          </w:p>
          <w:p w14:paraId="3D86B96F" w14:textId="5163C211" w:rsidR="009A3675" w:rsidRDefault="003A2574" w:rsidP="00FA1377">
            <w:pPr>
              <w:pStyle w:val="Tabletext"/>
              <w:numPr>
                <w:ilvl w:val="0"/>
                <w:numId w:val="81"/>
              </w:numPr>
              <w:rPr>
                <w:lang w:eastAsia="en-US"/>
              </w:rPr>
            </w:pPr>
            <w:r w:rsidRPr="00E641BB">
              <w:rPr>
                <w:lang w:eastAsia="en-US"/>
              </w:rPr>
              <w:t>has recurrent or persistent bleeding; and</w:t>
            </w:r>
          </w:p>
          <w:p w14:paraId="6E67BE1C" w14:textId="7B46D3C6" w:rsidR="009A3675" w:rsidRDefault="003A2574" w:rsidP="00FA1377">
            <w:pPr>
              <w:pStyle w:val="Tabletext"/>
              <w:numPr>
                <w:ilvl w:val="0"/>
                <w:numId w:val="81"/>
              </w:numPr>
              <w:rPr>
                <w:lang w:eastAsia="en-US"/>
              </w:rPr>
            </w:pPr>
            <w:r w:rsidRPr="00E641BB">
              <w:rPr>
                <w:lang w:eastAsia="en-US"/>
              </w:rPr>
              <w:t>is anaemic or has active bleeding; and</w:t>
            </w:r>
          </w:p>
          <w:p w14:paraId="59DA8433" w14:textId="77777777" w:rsidR="009A3675" w:rsidRDefault="003A2574" w:rsidP="00FA1377">
            <w:pPr>
              <w:pStyle w:val="Tabletext"/>
              <w:numPr>
                <w:ilvl w:val="0"/>
                <w:numId w:val="81"/>
              </w:numPr>
              <w:rPr>
                <w:lang w:eastAsia="en-US"/>
              </w:rPr>
            </w:pPr>
            <w:r w:rsidRPr="00E641BB">
              <w:rPr>
                <w:lang w:eastAsia="en-US"/>
              </w:rPr>
              <w:t>has had an upper gastrointestinal endoscopy and a colonoscopy performed that did not identify the cause of the bleeding;</w:t>
            </w:r>
          </w:p>
          <w:p w14:paraId="75825033" w14:textId="590D6903" w:rsidR="003A2574" w:rsidRPr="00E641BB" w:rsidRDefault="003A2574" w:rsidP="009A3675">
            <w:pPr>
              <w:pStyle w:val="Tabletext"/>
              <w:rPr>
                <w:lang w:eastAsia="en-US"/>
              </w:rPr>
            </w:pPr>
            <w:r w:rsidRPr="00E641BB">
              <w:rPr>
                <w:lang w:eastAsia="en-US"/>
              </w:rPr>
              <w:t>not in association with another item in this Subgroup (other than item 30680 or 30684) (Anaes.)</w:t>
            </w:r>
          </w:p>
        </w:tc>
      </w:tr>
      <w:tr w:rsidR="003A2574" w:rsidRPr="00E641BB" w14:paraId="3C8ADBD1" w14:textId="77777777" w:rsidTr="004412C0">
        <w:trPr>
          <w:trHeight w:val="480"/>
        </w:trPr>
        <w:tc>
          <w:tcPr>
            <w:tcW w:w="1014" w:type="dxa"/>
            <w:tcBorders>
              <w:top w:val="single" w:sz="4" w:space="0" w:color="B56011"/>
              <w:left w:val="nil"/>
              <w:bottom w:val="single" w:sz="4" w:space="0" w:color="B56011"/>
              <w:right w:val="nil"/>
            </w:tcBorders>
            <w:shd w:val="clear" w:color="auto" w:fill="auto"/>
            <w:noWrap/>
            <w:hideMark/>
          </w:tcPr>
          <w:p w14:paraId="29DD01A2" w14:textId="77777777" w:rsidR="003A2574" w:rsidRPr="00AA154A" w:rsidRDefault="003A2574" w:rsidP="00AD071A">
            <w:pPr>
              <w:pStyle w:val="Tabletext"/>
              <w:rPr>
                <w:lang w:eastAsia="en-US"/>
              </w:rPr>
            </w:pPr>
            <w:r w:rsidRPr="00AA154A">
              <w:rPr>
                <w:lang w:eastAsia="en-US"/>
              </w:rPr>
              <w:t>30687</w:t>
            </w:r>
          </w:p>
        </w:tc>
        <w:tc>
          <w:tcPr>
            <w:tcW w:w="8228" w:type="dxa"/>
            <w:tcBorders>
              <w:top w:val="single" w:sz="4" w:space="0" w:color="B56011"/>
              <w:left w:val="nil"/>
              <w:bottom w:val="single" w:sz="4" w:space="0" w:color="B56011"/>
              <w:right w:val="nil"/>
            </w:tcBorders>
            <w:shd w:val="clear" w:color="auto" w:fill="auto"/>
            <w:hideMark/>
          </w:tcPr>
          <w:p w14:paraId="1E945B9A" w14:textId="77777777" w:rsidR="003A2574" w:rsidRPr="00E641BB" w:rsidRDefault="003A2574" w:rsidP="00737E5B">
            <w:pPr>
              <w:pStyle w:val="Tabletext"/>
              <w:rPr>
                <w:lang w:eastAsia="en-US"/>
              </w:rPr>
            </w:pPr>
            <w:r w:rsidRPr="00E641BB">
              <w:rPr>
                <w:lang w:eastAsia="en-US"/>
              </w:rPr>
              <w:t>Endoscopy with radiofrequency ablation of mucosal metaplasia for the treatment of Barrett’s Oesophagus in a single course of treatment, following diagnosis of high grade dysplasia confirmed by histological examination (Anaes.)</w:t>
            </w:r>
          </w:p>
        </w:tc>
      </w:tr>
      <w:tr w:rsidR="003A2574" w:rsidRPr="00E641BB" w14:paraId="34E25A4F" w14:textId="77777777" w:rsidTr="004412C0">
        <w:trPr>
          <w:trHeight w:val="699"/>
        </w:trPr>
        <w:tc>
          <w:tcPr>
            <w:tcW w:w="1014" w:type="dxa"/>
            <w:tcBorders>
              <w:top w:val="single" w:sz="4" w:space="0" w:color="B56011"/>
              <w:left w:val="nil"/>
              <w:bottom w:val="single" w:sz="4" w:space="0" w:color="B56011"/>
              <w:right w:val="nil"/>
            </w:tcBorders>
            <w:shd w:val="clear" w:color="auto" w:fill="auto"/>
            <w:noWrap/>
            <w:hideMark/>
          </w:tcPr>
          <w:p w14:paraId="361FB598" w14:textId="77777777" w:rsidR="003A2574" w:rsidRPr="00AA154A" w:rsidRDefault="003A2574" w:rsidP="00AD071A">
            <w:pPr>
              <w:pStyle w:val="Tabletext"/>
              <w:rPr>
                <w:lang w:eastAsia="en-US"/>
              </w:rPr>
            </w:pPr>
            <w:r w:rsidRPr="00AA154A">
              <w:rPr>
                <w:lang w:eastAsia="en-US"/>
              </w:rPr>
              <w:t>30688</w:t>
            </w:r>
          </w:p>
        </w:tc>
        <w:tc>
          <w:tcPr>
            <w:tcW w:w="8228" w:type="dxa"/>
            <w:tcBorders>
              <w:top w:val="single" w:sz="4" w:space="0" w:color="B56011"/>
              <w:left w:val="nil"/>
              <w:bottom w:val="single" w:sz="4" w:space="0" w:color="B56011"/>
              <w:right w:val="nil"/>
            </w:tcBorders>
            <w:shd w:val="clear" w:color="auto" w:fill="auto"/>
            <w:hideMark/>
          </w:tcPr>
          <w:p w14:paraId="79866BCC" w14:textId="77777777" w:rsidR="003A2574" w:rsidRPr="00E641BB" w:rsidRDefault="003A2574" w:rsidP="00737E5B">
            <w:pPr>
              <w:pStyle w:val="Tabletext"/>
              <w:rPr>
                <w:lang w:eastAsia="en-US"/>
              </w:rPr>
            </w:pPr>
            <w:r w:rsidRPr="00E641BB">
              <w:rPr>
                <w:lang w:eastAsia="en-US"/>
              </w:rPr>
              <w:t>Endoscopic ultrasound (endoscopy with ultrasound imaging), with or without biopsy, for the staging of one or more of oesophageal, gastric or pancreatic cancer, not in association with another item in this Subgroup and other than a service associated with the routine monitoring of chronic pancreatitis (Anaes.)</w:t>
            </w:r>
          </w:p>
        </w:tc>
      </w:tr>
      <w:tr w:rsidR="003A2574" w:rsidRPr="00E641BB" w14:paraId="778BC3E9" w14:textId="77777777" w:rsidTr="004412C0">
        <w:trPr>
          <w:trHeight w:val="699"/>
        </w:trPr>
        <w:tc>
          <w:tcPr>
            <w:tcW w:w="1014" w:type="dxa"/>
            <w:tcBorders>
              <w:top w:val="single" w:sz="4" w:space="0" w:color="B56011"/>
              <w:left w:val="nil"/>
              <w:bottom w:val="single" w:sz="4" w:space="0" w:color="B56011"/>
              <w:right w:val="nil"/>
            </w:tcBorders>
            <w:shd w:val="clear" w:color="auto" w:fill="auto"/>
            <w:noWrap/>
            <w:hideMark/>
          </w:tcPr>
          <w:p w14:paraId="6AAF636F" w14:textId="77777777" w:rsidR="003A2574" w:rsidRPr="00AA154A" w:rsidRDefault="003A2574" w:rsidP="00AD071A">
            <w:pPr>
              <w:pStyle w:val="Tabletext"/>
              <w:rPr>
                <w:lang w:eastAsia="en-US"/>
              </w:rPr>
            </w:pPr>
            <w:r w:rsidRPr="00AA154A">
              <w:rPr>
                <w:lang w:eastAsia="en-US"/>
              </w:rPr>
              <w:t>30690</w:t>
            </w:r>
          </w:p>
        </w:tc>
        <w:tc>
          <w:tcPr>
            <w:tcW w:w="8228" w:type="dxa"/>
            <w:tcBorders>
              <w:top w:val="single" w:sz="4" w:space="0" w:color="B56011"/>
              <w:left w:val="nil"/>
              <w:bottom w:val="single" w:sz="4" w:space="0" w:color="B56011"/>
              <w:right w:val="nil"/>
            </w:tcBorders>
            <w:shd w:val="clear" w:color="auto" w:fill="auto"/>
            <w:hideMark/>
          </w:tcPr>
          <w:p w14:paraId="65869840" w14:textId="77777777" w:rsidR="003A2574" w:rsidRPr="00E641BB" w:rsidRDefault="003A2574" w:rsidP="00737E5B">
            <w:pPr>
              <w:pStyle w:val="Tabletext"/>
              <w:rPr>
                <w:lang w:eastAsia="en-US"/>
              </w:rPr>
            </w:pPr>
            <w:r w:rsidRPr="00E641BB">
              <w:rPr>
                <w:lang w:eastAsia="en-US"/>
              </w:rPr>
              <w:t>Endoscopic ultrasound (endoscopy with ultrasound imaging), with or without biopsy, with fine needle aspiration (including aspiration of the locoregional lymph nodes if performed, for the staging of one or more of oesophageal, gastric or pancreatic cancer), not in association with another item in this Subgroup and other than a service associated with the routine monitoring of chronic pancreatitis (Anaes.)</w:t>
            </w:r>
          </w:p>
        </w:tc>
      </w:tr>
      <w:tr w:rsidR="003A2574" w:rsidRPr="00E641BB" w14:paraId="56AEA9A4" w14:textId="77777777" w:rsidTr="004412C0">
        <w:trPr>
          <w:trHeight w:val="709"/>
        </w:trPr>
        <w:tc>
          <w:tcPr>
            <w:tcW w:w="1014" w:type="dxa"/>
            <w:tcBorders>
              <w:top w:val="single" w:sz="4" w:space="0" w:color="B56011"/>
              <w:left w:val="nil"/>
              <w:bottom w:val="single" w:sz="4" w:space="0" w:color="B56011"/>
              <w:right w:val="nil"/>
            </w:tcBorders>
            <w:shd w:val="clear" w:color="auto" w:fill="auto"/>
            <w:noWrap/>
            <w:hideMark/>
          </w:tcPr>
          <w:p w14:paraId="47E7BABA" w14:textId="77777777" w:rsidR="003A2574" w:rsidRPr="00AA154A" w:rsidRDefault="003A2574" w:rsidP="00AD071A">
            <w:pPr>
              <w:pStyle w:val="Tabletext"/>
              <w:rPr>
                <w:lang w:eastAsia="en-US"/>
              </w:rPr>
            </w:pPr>
            <w:r w:rsidRPr="00AA154A">
              <w:rPr>
                <w:lang w:eastAsia="en-US"/>
              </w:rPr>
              <w:t>30692</w:t>
            </w:r>
          </w:p>
        </w:tc>
        <w:tc>
          <w:tcPr>
            <w:tcW w:w="8228" w:type="dxa"/>
            <w:tcBorders>
              <w:top w:val="single" w:sz="4" w:space="0" w:color="B56011"/>
              <w:left w:val="nil"/>
              <w:bottom w:val="single" w:sz="4" w:space="0" w:color="B56011"/>
              <w:right w:val="nil"/>
            </w:tcBorders>
            <w:shd w:val="clear" w:color="auto" w:fill="auto"/>
            <w:hideMark/>
          </w:tcPr>
          <w:p w14:paraId="1FF35FCB" w14:textId="77777777" w:rsidR="003A2574" w:rsidRPr="00E641BB" w:rsidRDefault="003A2574" w:rsidP="00737E5B">
            <w:pPr>
              <w:pStyle w:val="Tabletext"/>
              <w:rPr>
                <w:lang w:eastAsia="en-US"/>
              </w:rPr>
            </w:pPr>
            <w:r w:rsidRPr="00E641BB">
              <w:rPr>
                <w:lang w:eastAsia="en-US"/>
              </w:rPr>
              <w:t>Endoscopic ultrasound (endoscopy with ultrasound imaging), with or without biopsy, for the diagnosis of one or more of pancreatic, biliary or gastric submucosal tumours, not in association with another item in this Subgroup and other than a service associated with the routine monitoring of chronic pancreatitis (Anaes.)</w:t>
            </w:r>
          </w:p>
        </w:tc>
      </w:tr>
      <w:tr w:rsidR="003A2574" w:rsidRPr="00E641BB" w14:paraId="1DD0F2CA" w14:textId="77777777" w:rsidTr="004412C0">
        <w:trPr>
          <w:trHeight w:val="691"/>
        </w:trPr>
        <w:tc>
          <w:tcPr>
            <w:tcW w:w="1014" w:type="dxa"/>
            <w:tcBorders>
              <w:top w:val="single" w:sz="4" w:space="0" w:color="B56011"/>
              <w:left w:val="nil"/>
              <w:bottom w:val="single" w:sz="4" w:space="0" w:color="B56011"/>
              <w:right w:val="nil"/>
            </w:tcBorders>
            <w:shd w:val="clear" w:color="auto" w:fill="auto"/>
            <w:noWrap/>
            <w:hideMark/>
          </w:tcPr>
          <w:p w14:paraId="05AEC994" w14:textId="77777777" w:rsidR="003A2574" w:rsidRPr="00AA154A" w:rsidRDefault="003A2574" w:rsidP="00AD071A">
            <w:pPr>
              <w:pStyle w:val="Tabletext"/>
              <w:rPr>
                <w:lang w:eastAsia="en-US"/>
              </w:rPr>
            </w:pPr>
            <w:r w:rsidRPr="00AA154A">
              <w:rPr>
                <w:lang w:eastAsia="en-US"/>
              </w:rPr>
              <w:t>30694</w:t>
            </w:r>
          </w:p>
        </w:tc>
        <w:tc>
          <w:tcPr>
            <w:tcW w:w="8228" w:type="dxa"/>
            <w:tcBorders>
              <w:top w:val="single" w:sz="4" w:space="0" w:color="B56011"/>
              <w:left w:val="nil"/>
              <w:bottom w:val="single" w:sz="4" w:space="0" w:color="B56011"/>
              <w:right w:val="nil"/>
            </w:tcBorders>
            <w:shd w:val="clear" w:color="auto" w:fill="auto"/>
            <w:hideMark/>
          </w:tcPr>
          <w:p w14:paraId="1D77F3CE" w14:textId="77777777" w:rsidR="003A2574" w:rsidRPr="00E641BB" w:rsidRDefault="003A2574" w:rsidP="00737E5B">
            <w:pPr>
              <w:pStyle w:val="Tabletext"/>
              <w:rPr>
                <w:lang w:eastAsia="en-US"/>
              </w:rPr>
            </w:pPr>
            <w:r w:rsidRPr="00E641BB">
              <w:rPr>
                <w:lang w:eastAsia="en-US"/>
              </w:rPr>
              <w:t>Endoscopic ultrasound (endoscopy with ultrasound imaging), with or without biopsy, with fine needle aspiration for the diagnosis of one or more of pancreatic, biliary or gastric submucosal tumours, not in association with another item in this Subgroup and other than a service associated with the routine monitoring of chronic pancreatitis (Anaes.)</w:t>
            </w:r>
          </w:p>
        </w:tc>
      </w:tr>
      <w:tr w:rsidR="003A2574" w:rsidRPr="00E641BB" w14:paraId="53527F2D" w14:textId="77777777" w:rsidTr="004412C0">
        <w:trPr>
          <w:trHeight w:val="417"/>
        </w:trPr>
        <w:tc>
          <w:tcPr>
            <w:tcW w:w="1014" w:type="dxa"/>
            <w:tcBorders>
              <w:top w:val="single" w:sz="4" w:space="0" w:color="B56011"/>
              <w:left w:val="nil"/>
              <w:bottom w:val="single" w:sz="4" w:space="0" w:color="B56011"/>
              <w:right w:val="nil"/>
            </w:tcBorders>
            <w:shd w:val="clear" w:color="auto" w:fill="auto"/>
            <w:noWrap/>
            <w:hideMark/>
          </w:tcPr>
          <w:p w14:paraId="73FEF7C3" w14:textId="77777777" w:rsidR="003A2574" w:rsidRPr="00AA154A" w:rsidRDefault="003A2574" w:rsidP="00AD071A">
            <w:pPr>
              <w:pStyle w:val="Tabletext"/>
              <w:rPr>
                <w:lang w:eastAsia="en-US"/>
              </w:rPr>
            </w:pPr>
            <w:r w:rsidRPr="00AA154A">
              <w:rPr>
                <w:lang w:eastAsia="en-US"/>
              </w:rPr>
              <w:t>31456</w:t>
            </w:r>
          </w:p>
        </w:tc>
        <w:tc>
          <w:tcPr>
            <w:tcW w:w="8228" w:type="dxa"/>
            <w:tcBorders>
              <w:top w:val="single" w:sz="4" w:space="0" w:color="B56011"/>
              <w:left w:val="nil"/>
              <w:bottom w:val="single" w:sz="4" w:space="0" w:color="B56011"/>
              <w:right w:val="nil"/>
            </w:tcBorders>
            <w:shd w:val="clear" w:color="auto" w:fill="auto"/>
            <w:hideMark/>
          </w:tcPr>
          <w:p w14:paraId="1773DF84" w14:textId="77777777" w:rsidR="003A2574" w:rsidRPr="00E641BB" w:rsidRDefault="003A2574" w:rsidP="00737E5B">
            <w:pPr>
              <w:pStyle w:val="Tabletext"/>
              <w:rPr>
                <w:lang w:eastAsia="en-US"/>
              </w:rPr>
            </w:pPr>
            <w:r w:rsidRPr="00E641BB">
              <w:rPr>
                <w:lang w:eastAsia="en-US"/>
              </w:rPr>
              <w:t>Gastroscopy and insertion of nasogastric or nasoenteral feeding tube, if blind insertion of the feeding tube has failed or is inappropriate due to the patient’s medical condition (H) (Anaes.)</w:t>
            </w:r>
          </w:p>
        </w:tc>
      </w:tr>
      <w:tr w:rsidR="003A2574" w:rsidRPr="00E641BB" w14:paraId="6734C5C6" w14:textId="77777777" w:rsidTr="004412C0">
        <w:trPr>
          <w:trHeight w:val="274"/>
        </w:trPr>
        <w:tc>
          <w:tcPr>
            <w:tcW w:w="1014" w:type="dxa"/>
            <w:tcBorders>
              <w:top w:val="single" w:sz="4" w:space="0" w:color="B56011"/>
              <w:left w:val="nil"/>
              <w:bottom w:val="single" w:sz="4" w:space="0" w:color="B56011"/>
              <w:right w:val="nil"/>
            </w:tcBorders>
            <w:shd w:val="clear" w:color="auto" w:fill="auto"/>
            <w:noWrap/>
            <w:hideMark/>
          </w:tcPr>
          <w:p w14:paraId="1EE5D258" w14:textId="77777777" w:rsidR="003A2574" w:rsidRPr="00AA154A" w:rsidRDefault="003A2574" w:rsidP="00AD071A">
            <w:pPr>
              <w:pStyle w:val="Tabletext"/>
              <w:rPr>
                <w:lang w:eastAsia="en-US"/>
              </w:rPr>
            </w:pPr>
            <w:r w:rsidRPr="00AA154A">
              <w:rPr>
                <w:lang w:eastAsia="en-US"/>
              </w:rPr>
              <w:t>31458</w:t>
            </w:r>
          </w:p>
        </w:tc>
        <w:tc>
          <w:tcPr>
            <w:tcW w:w="8228" w:type="dxa"/>
            <w:tcBorders>
              <w:top w:val="single" w:sz="4" w:space="0" w:color="B56011"/>
              <w:left w:val="nil"/>
              <w:bottom w:val="single" w:sz="4" w:space="0" w:color="B56011"/>
              <w:right w:val="nil"/>
            </w:tcBorders>
            <w:shd w:val="clear" w:color="auto" w:fill="auto"/>
            <w:hideMark/>
          </w:tcPr>
          <w:p w14:paraId="37DDE05E" w14:textId="77777777" w:rsidR="009A3675" w:rsidRDefault="003A2574" w:rsidP="009A3675">
            <w:pPr>
              <w:pStyle w:val="Tabletext"/>
              <w:rPr>
                <w:lang w:eastAsia="en-US"/>
              </w:rPr>
            </w:pPr>
            <w:r w:rsidRPr="00E641BB">
              <w:rPr>
                <w:lang w:eastAsia="en-US"/>
              </w:rPr>
              <w:t>Gastroscopy and insertion of nasogastric or nasoenteral feeding tube if:</w:t>
            </w:r>
          </w:p>
          <w:p w14:paraId="7343534D" w14:textId="36C5724E" w:rsidR="009A3675" w:rsidRDefault="003A2574" w:rsidP="00FA1377">
            <w:pPr>
              <w:pStyle w:val="Tabletext"/>
              <w:numPr>
                <w:ilvl w:val="0"/>
                <w:numId w:val="82"/>
              </w:numPr>
              <w:rPr>
                <w:lang w:eastAsia="en-US"/>
              </w:rPr>
            </w:pPr>
            <w:r w:rsidRPr="00E641BB">
              <w:rPr>
                <w:lang w:eastAsia="en-US"/>
              </w:rPr>
              <w:t>blind insertion of the feeding tube has failed or is inappropriate due to the patient’s medical condition; and</w:t>
            </w:r>
          </w:p>
          <w:p w14:paraId="359CECFB" w14:textId="77777777" w:rsidR="009A3675" w:rsidRDefault="003A2574" w:rsidP="00FA1377">
            <w:pPr>
              <w:pStyle w:val="Tabletext"/>
              <w:numPr>
                <w:ilvl w:val="0"/>
                <w:numId w:val="82"/>
              </w:numPr>
              <w:rPr>
                <w:lang w:eastAsia="en-US"/>
              </w:rPr>
            </w:pPr>
            <w:r w:rsidRPr="00E641BB">
              <w:rPr>
                <w:lang w:eastAsia="en-US"/>
              </w:rPr>
              <w:t>the use of imaging intensification is clinically indicated</w:t>
            </w:r>
          </w:p>
          <w:p w14:paraId="71C32A25" w14:textId="7D1A25E8" w:rsidR="003A2574" w:rsidRPr="00E641BB" w:rsidRDefault="003A2574" w:rsidP="009A3675">
            <w:pPr>
              <w:pStyle w:val="Tabletext"/>
              <w:rPr>
                <w:lang w:eastAsia="en-US"/>
              </w:rPr>
            </w:pPr>
            <w:r w:rsidRPr="00E641BB">
              <w:rPr>
                <w:lang w:eastAsia="en-US"/>
              </w:rPr>
              <w:t>(H) (Anaes.)</w:t>
            </w:r>
          </w:p>
        </w:tc>
      </w:tr>
    </w:tbl>
    <w:p w14:paraId="1868152C" w14:textId="41B6EE9B" w:rsidR="00AD071A" w:rsidRDefault="00AD071A" w:rsidP="00AD071A">
      <w:pPr>
        <w:pStyle w:val="Caption"/>
      </w:pPr>
      <w:r>
        <w:lastRenderedPageBreak/>
        <w:t xml:space="preserve">Table A4: </w:t>
      </w:r>
      <w:r w:rsidRPr="00E641BB">
        <w:t>Group T8</w:t>
      </w:r>
      <w:r>
        <w:t xml:space="preserve"> </w:t>
      </w:r>
      <w:r w:rsidRPr="00E641BB">
        <w:t>— Surgical operations</w:t>
      </w:r>
      <w:r w:rsidRPr="00AD071A">
        <w:t>: Subgroup 2 - Colorectal</w:t>
      </w:r>
    </w:p>
    <w:tbl>
      <w:tblPr>
        <w:tblStyle w:val="TableGrid"/>
        <w:tblW w:w="9242" w:type="dxa"/>
        <w:tblLook w:val="04A0" w:firstRow="1" w:lastRow="0" w:firstColumn="1" w:lastColumn="0" w:noHBand="0" w:noVBand="1"/>
        <w:tblDescription w:val="Table A4 lists item numbers and descriptors of group T8, surgical operations, subgroup 2 –  colorectal reviewed by the Committee."/>
      </w:tblPr>
      <w:tblGrid>
        <w:gridCol w:w="1093"/>
        <w:gridCol w:w="8149"/>
      </w:tblGrid>
      <w:tr w:rsidR="00AD071A" w:rsidRPr="00E641BB" w14:paraId="57F6973A" w14:textId="77777777" w:rsidTr="00AD071A">
        <w:trPr>
          <w:trHeight w:val="392"/>
          <w:tblHeader/>
        </w:trPr>
        <w:tc>
          <w:tcPr>
            <w:tcW w:w="1093" w:type="dxa"/>
            <w:tcBorders>
              <w:top w:val="single" w:sz="4" w:space="0" w:color="B56011"/>
              <w:left w:val="nil"/>
              <w:bottom w:val="single" w:sz="4" w:space="0" w:color="B56011"/>
              <w:right w:val="nil"/>
            </w:tcBorders>
            <w:shd w:val="clear" w:color="auto" w:fill="auto"/>
            <w:noWrap/>
          </w:tcPr>
          <w:p w14:paraId="216F1A3C" w14:textId="2A147E43" w:rsidR="00AD071A" w:rsidRPr="00AA154A" w:rsidRDefault="00AD071A" w:rsidP="00AD071A">
            <w:pPr>
              <w:pStyle w:val="Tableheading"/>
              <w:rPr>
                <w:lang w:eastAsia="en-US"/>
              </w:rPr>
            </w:pPr>
            <w:r>
              <w:rPr>
                <w:lang w:eastAsia="en-US"/>
              </w:rPr>
              <w:t xml:space="preserve">Item </w:t>
            </w:r>
          </w:p>
        </w:tc>
        <w:tc>
          <w:tcPr>
            <w:tcW w:w="8149" w:type="dxa"/>
            <w:tcBorders>
              <w:top w:val="single" w:sz="4" w:space="0" w:color="B56011"/>
              <w:left w:val="nil"/>
              <w:bottom w:val="single" w:sz="4" w:space="0" w:color="B56011"/>
              <w:right w:val="nil"/>
            </w:tcBorders>
            <w:shd w:val="clear" w:color="auto" w:fill="auto"/>
          </w:tcPr>
          <w:p w14:paraId="3E4E2BE4" w14:textId="6F3CA348" w:rsidR="00AD071A" w:rsidRPr="00E641BB" w:rsidRDefault="00AD071A" w:rsidP="00AD071A">
            <w:pPr>
              <w:pStyle w:val="Tableheading"/>
              <w:rPr>
                <w:lang w:eastAsia="en-US"/>
              </w:rPr>
            </w:pPr>
            <w:r>
              <w:rPr>
                <w:lang w:eastAsia="en-US"/>
              </w:rPr>
              <w:t>Description</w:t>
            </w:r>
          </w:p>
        </w:tc>
      </w:tr>
      <w:tr w:rsidR="003A2574" w:rsidRPr="00E641BB" w14:paraId="581D1676" w14:textId="77777777" w:rsidTr="000D04C1">
        <w:trPr>
          <w:trHeight w:val="834"/>
        </w:trPr>
        <w:tc>
          <w:tcPr>
            <w:tcW w:w="1093" w:type="dxa"/>
            <w:tcBorders>
              <w:top w:val="single" w:sz="4" w:space="0" w:color="B56011"/>
              <w:left w:val="nil"/>
              <w:bottom w:val="single" w:sz="4" w:space="0" w:color="B56011"/>
              <w:right w:val="nil"/>
            </w:tcBorders>
            <w:shd w:val="clear" w:color="auto" w:fill="auto"/>
            <w:noWrap/>
            <w:hideMark/>
          </w:tcPr>
          <w:p w14:paraId="6E943257" w14:textId="77777777" w:rsidR="003A2574" w:rsidRPr="00AA154A" w:rsidRDefault="003A2574" w:rsidP="00AD071A">
            <w:pPr>
              <w:pStyle w:val="Tabletext"/>
              <w:rPr>
                <w:lang w:eastAsia="en-US"/>
              </w:rPr>
            </w:pPr>
            <w:r w:rsidRPr="00AA154A">
              <w:rPr>
                <w:lang w:eastAsia="en-US"/>
              </w:rPr>
              <w:t>32023</w:t>
            </w:r>
          </w:p>
        </w:tc>
        <w:tc>
          <w:tcPr>
            <w:tcW w:w="8149" w:type="dxa"/>
            <w:tcBorders>
              <w:top w:val="single" w:sz="4" w:space="0" w:color="B56011"/>
              <w:left w:val="nil"/>
              <w:bottom w:val="single" w:sz="4" w:space="0" w:color="B56011"/>
              <w:right w:val="nil"/>
            </w:tcBorders>
            <w:shd w:val="clear" w:color="auto" w:fill="auto"/>
            <w:hideMark/>
          </w:tcPr>
          <w:p w14:paraId="0822BBBA" w14:textId="77777777" w:rsidR="00737E5B" w:rsidRDefault="003A2574" w:rsidP="00737E5B">
            <w:pPr>
              <w:pStyle w:val="Tabletext"/>
              <w:rPr>
                <w:lang w:eastAsia="en-US"/>
              </w:rPr>
            </w:pPr>
            <w:r w:rsidRPr="00E641BB">
              <w:rPr>
                <w:lang w:eastAsia="en-US"/>
              </w:rPr>
              <w:t>Endoscopic insertion of stent or stents for large bowel obstruction, stricture or stenosis, including colonoscopy and any image intensification, where the obstruction is due to:</w:t>
            </w:r>
          </w:p>
          <w:p w14:paraId="41A1A285" w14:textId="0DC34EFE" w:rsidR="00737E5B" w:rsidRPr="00737E5B" w:rsidRDefault="003A2574" w:rsidP="00FA1377">
            <w:pPr>
              <w:pStyle w:val="ListParagraph"/>
              <w:numPr>
                <w:ilvl w:val="0"/>
                <w:numId w:val="69"/>
              </w:numPr>
              <w:spacing w:before="40" w:afterLines="40" w:after="96"/>
              <w:rPr>
                <w:rFonts w:cs="Arial"/>
                <w:sz w:val="20"/>
                <w:szCs w:val="20"/>
                <w:lang w:eastAsia="en-US"/>
              </w:rPr>
            </w:pPr>
            <w:r w:rsidRPr="00737E5B">
              <w:rPr>
                <w:rFonts w:cs="Arial"/>
                <w:sz w:val="20"/>
                <w:szCs w:val="20"/>
                <w:lang w:eastAsia="en-US"/>
              </w:rPr>
              <w:t>a pre-diagnosed colorectal cancer, or cancer of an organ adjacent to the bowel; or</w:t>
            </w:r>
          </w:p>
          <w:p w14:paraId="465C25A5" w14:textId="6F2D1F9A" w:rsidR="003A2574" w:rsidRPr="00737E5B" w:rsidRDefault="003A2574" w:rsidP="00FA1377">
            <w:pPr>
              <w:pStyle w:val="ListParagraph"/>
              <w:numPr>
                <w:ilvl w:val="0"/>
                <w:numId w:val="69"/>
              </w:numPr>
              <w:spacing w:before="40" w:afterLines="40" w:after="96"/>
              <w:rPr>
                <w:rFonts w:cs="Arial"/>
                <w:sz w:val="20"/>
                <w:szCs w:val="20"/>
                <w:lang w:eastAsia="en-US"/>
              </w:rPr>
            </w:pPr>
            <w:r w:rsidRPr="00737E5B">
              <w:rPr>
                <w:rFonts w:cs="Arial"/>
                <w:sz w:val="20"/>
                <w:szCs w:val="20"/>
                <w:lang w:eastAsia="en-US"/>
              </w:rPr>
              <w:t>an unknown diagnosis (H) (Anaes.)</w:t>
            </w:r>
          </w:p>
        </w:tc>
      </w:tr>
      <w:tr w:rsidR="003A2574" w:rsidRPr="00E641BB" w14:paraId="15AC8370" w14:textId="77777777" w:rsidTr="000D04C1">
        <w:trPr>
          <w:trHeight w:val="300"/>
        </w:trPr>
        <w:tc>
          <w:tcPr>
            <w:tcW w:w="1093" w:type="dxa"/>
            <w:tcBorders>
              <w:top w:val="single" w:sz="4" w:space="0" w:color="B56011"/>
              <w:left w:val="nil"/>
              <w:bottom w:val="single" w:sz="4" w:space="0" w:color="B56011"/>
              <w:right w:val="nil"/>
            </w:tcBorders>
            <w:shd w:val="clear" w:color="auto" w:fill="auto"/>
            <w:noWrap/>
            <w:hideMark/>
          </w:tcPr>
          <w:p w14:paraId="6EF39FCE" w14:textId="77777777" w:rsidR="003A2574" w:rsidRPr="00AA154A" w:rsidRDefault="003A2574" w:rsidP="00AD071A">
            <w:pPr>
              <w:pStyle w:val="Tabletext"/>
              <w:rPr>
                <w:lang w:eastAsia="en-US"/>
              </w:rPr>
            </w:pPr>
            <w:r w:rsidRPr="00AA154A">
              <w:rPr>
                <w:lang w:eastAsia="en-US"/>
              </w:rPr>
              <w:t>32072</w:t>
            </w:r>
          </w:p>
        </w:tc>
        <w:tc>
          <w:tcPr>
            <w:tcW w:w="8149" w:type="dxa"/>
            <w:tcBorders>
              <w:top w:val="single" w:sz="4" w:space="0" w:color="B56011"/>
              <w:left w:val="nil"/>
              <w:bottom w:val="single" w:sz="4" w:space="0" w:color="B56011"/>
              <w:right w:val="nil"/>
            </w:tcBorders>
            <w:shd w:val="clear" w:color="auto" w:fill="auto"/>
            <w:hideMark/>
          </w:tcPr>
          <w:p w14:paraId="1346941B" w14:textId="77777777" w:rsidR="003A2574" w:rsidRPr="00E641BB" w:rsidRDefault="003A2574" w:rsidP="00737E5B">
            <w:pPr>
              <w:pStyle w:val="Tabletext"/>
              <w:rPr>
                <w:lang w:eastAsia="en-US"/>
              </w:rPr>
            </w:pPr>
            <w:r w:rsidRPr="00E641BB">
              <w:rPr>
                <w:lang w:eastAsia="en-US"/>
              </w:rPr>
              <w:t>Sigmoidoscopic examination (with rigid sigmoidoscope), with or without biopsy</w:t>
            </w:r>
          </w:p>
        </w:tc>
      </w:tr>
      <w:tr w:rsidR="003A2574" w:rsidRPr="00E641BB" w14:paraId="30E0746F" w14:textId="77777777" w:rsidTr="000D04C1">
        <w:trPr>
          <w:trHeight w:val="454"/>
        </w:trPr>
        <w:tc>
          <w:tcPr>
            <w:tcW w:w="1093" w:type="dxa"/>
            <w:tcBorders>
              <w:top w:val="single" w:sz="4" w:space="0" w:color="B56011"/>
              <w:left w:val="nil"/>
              <w:bottom w:val="single" w:sz="4" w:space="0" w:color="B56011"/>
              <w:right w:val="nil"/>
            </w:tcBorders>
            <w:shd w:val="clear" w:color="auto" w:fill="auto"/>
            <w:noWrap/>
            <w:hideMark/>
          </w:tcPr>
          <w:p w14:paraId="163B18F0" w14:textId="77777777" w:rsidR="003A2574" w:rsidRPr="00AA154A" w:rsidRDefault="003A2574" w:rsidP="00AD071A">
            <w:pPr>
              <w:pStyle w:val="Tabletext"/>
              <w:rPr>
                <w:lang w:eastAsia="en-US"/>
              </w:rPr>
            </w:pPr>
            <w:r w:rsidRPr="00AA154A">
              <w:rPr>
                <w:lang w:eastAsia="en-US"/>
              </w:rPr>
              <w:t>32075</w:t>
            </w:r>
          </w:p>
        </w:tc>
        <w:tc>
          <w:tcPr>
            <w:tcW w:w="8149" w:type="dxa"/>
            <w:tcBorders>
              <w:top w:val="single" w:sz="4" w:space="0" w:color="B56011"/>
              <w:left w:val="nil"/>
              <w:bottom w:val="single" w:sz="4" w:space="0" w:color="B56011"/>
              <w:right w:val="nil"/>
            </w:tcBorders>
            <w:shd w:val="clear" w:color="auto" w:fill="auto"/>
            <w:hideMark/>
          </w:tcPr>
          <w:p w14:paraId="743859F8" w14:textId="77777777" w:rsidR="003A2574" w:rsidRPr="00E641BB" w:rsidRDefault="003A2574" w:rsidP="00737E5B">
            <w:pPr>
              <w:pStyle w:val="Tabletext"/>
              <w:rPr>
                <w:lang w:eastAsia="en-US"/>
              </w:rPr>
            </w:pPr>
            <w:r w:rsidRPr="00E641BB">
              <w:rPr>
                <w:lang w:eastAsia="en-US"/>
              </w:rPr>
              <w:t>Sigmoidoscopic examination (with rigid sigmoidoscope), under general anaesthesia, with or without biopsy, other than a service associated with a service to which another item in this Group applies (Anaes.)</w:t>
            </w:r>
          </w:p>
        </w:tc>
      </w:tr>
      <w:tr w:rsidR="003A2574" w:rsidRPr="00E641BB" w14:paraId="27FA7E77" w14:textId="77777777" w:rsidTr="000D04C1">
        <w:trPr>
          <w:trHeight w:val="404"/>
        </w:trPr>
        <w:tc>
          <w:tcPr>
            <w:tcW w:w="1093" w:type="dxa"/>
            <w:tcBorders>
              <w:top w:val="single" w:sz="4" w:space="0" w:color="B56011"/>
              <w:left w:val="nil"/>
              <w:bottom w:val="single" w:sz="4" w:space="0" w:color="B56011"/>
              <w:right w:val="nil"/>
            </w:tcBorders>
            <w:shd w:val="clear" w:color="auto" w:fill="auto"/>
            <w:noWrap/>
            <w:hideMark/>
          </w:tcPr>
          <w:p w14:paraId="2DDF8B2F" w14:textId="77777777" w:rsidR="003A2574" w:rsidRPr="00AA154A" w:rsidRDefault="003A2574" w:rsidP="00AD071A">
            <w:pPr>
              <w:pStyle w:val="Tabletext"/>
              <w:rPr>
                <w:lang w:eastAsia="en-US"/>
              </w:rPr>
            </w:pPr>
            <w:r w:rsidRPr="00AA154A">
              <w:rPr>
                <w:lang w:eastAsia="en-US"/>
              </w:rPr>
              <w:t>32078</w:t>
            </w:r>
          </w:p>
        </w:tc>
        <w:tc>
          <w:tcPr>
            <w:tcW w:w="8149" w:type="dxa"/>
            <w:tcBorders>
              <w:top w:val="single" w:sz="4" w:space="0" w:color="B56011"/>
              <w:left w:val="nil"/>
              <w:bottom w:val="single" w:sz="4" w:space="0" w:color="B56011"/>
              <w:right w:val="nil"/>
            </w:tcBorders>
            <w:shd w:val="clear" w:color="auto" w:fill="auto"/>
            <w:hideMark/>
          </w:tcPr>
          <w:p w14:paraId="73EB6123" w14:textId="4DD658DF" w:rsidR="003A2574" w:rsidRPr="00E641BB" w:rsidRDefault="003A2574" w:rsidP="00737E5B">
            <w:pPr>
              <w:pStyle w:val="Tabletext"/>
              <w:rPr>
                <w:b/>
                <w:bCs/>
                <w:lang w:eastAsia="en-US"/>
              </w:rPr>
            </w:pPr>
            <w:r w:rsidRPr="00E641BB">
              <w:rPr>
                <w:b/>
                <w:bCs/>
                <w:color w:val="FF0000"/>
                <w:lang w:eastAsia="en-US"/>
              </w:rPr>
              <w:t xml:space="preserve">Removed in </w:t>
            </w:r>
            <w:r w:rsidR="000D04C1">
              <w:rPr>
                <w:b/>
                <w:bCs/>
                <w:color w:val="FF0000"/>
                <w:lang w:eastAsia="en-US"/>
              </w:rPr>
              <w:t>Round</w:t>
            </w:r>
            <w:r w:rsidR="000D04C1" w:rsidRPr="00E641BB">
              <w:rPr>
                <w:b/>
                <w:bCs/>
                <w:color w:val="FF0000"/>
                <w:lang w:eastAsia="en-US"/>
              </w:rPr>
              <w:t xml:space="preserve"> </w:t>
            </w:r>
            <w:r w:rsidRPr="00E641BB">
              <w:rPr>
                <w:b/>
                <w:bCs/>
                <w:color w:val="FF0000"/>
                <w:lang w:eastAsia="en-US"/>
              </w:rPr>
              <w:t>1</w:t>
            </w:r>
            <w:r w:rsidR="00C33118">
              <w:rPr>
                <w:b/>
                <w:bCs/>
                <w:color w:val="FF0000"/>
                <w:lang w:eastAsia="en-US"/>
              </w:rPr>
              <w:t xml:space="preserve"> – </w:t>
            </w:r>
            <w:r w:rsidRPr="00E641BB">
              <w:rPr>
                <w:lang w:eastAsia="en-US"/>
              </w:rPr>
              <w:t>Sigmoidoscopic examination with diathermy or resection of one or more polyps, if the time taken is less than or equal to 45 minutes (Anaes.)</w:t>
            </w:r>
          </w:p>
        </w:tc>
      </w:tr>
      <w:tr w:rsidR="003A2574" w:rsidRPr="00E641BB" w14:paraId="53FB4FF9" w14:textId="77777777" w:rsidTr="000D04C1">
        <w:trPr>
          <w:trHeight w:val="497"/>
        </w:trPr>
        <w:tc>
          <w:tcPr>
            <w:tcW w:w="1093" w:type="dxa"/>
            <w:tcBorders>
              <w:top w:val="single" w:sz="4" w:space="0" w:color="B56011"/>
              <w:left w:val="nil"/>
              <w:bottom w:val="single" w:sz="4" w:space="0" w:color="B56011"/>
              <w:right w:val="nil"/>
            </w:tcBorders>
            <w:shd w:val="clear" w:color="auto" w:fill="auto"/>
            <w:noWrap/>
            <w:hideMark/>
          </w:tcPr>
          <w:p w14:paraId="4FD273B8" w14:textId="77777777" w:rsidR="003A2574" w:rsidRPr="00AA154A" w:rsidRDefault="003A2574" w:rsidP="00AD071A">
            <w:pPr>
              <w:pStyle w:val="Tabletext"/>
              <w:rPr>
                <w:lang w:eastAsia="en-US"/>
              </w:rPr>
            </w:pPr>
            <w:r w:rsidRPr="00AA154A">
              <w:rPr>
                <w:lang w:eastAsia="en-US"/>
              </w:rPr>
              <w:t>32081</w:t>
            </w:r>
          </w:p>
        </w:tc>
        <w:tc>
          <w:tcPr>
            <w:tcW w:w="8149" w:type="dxa"/>
            <w:tcBorders>
              <w:top w:val="single" w:sz="4" w:space="0" w:color="B56011"/>
              <w:left w:val="nil"/>
              <w:bottom w:val="single" w:sz="4" w:space="0" w:color="B56011"/>
              <w:right w:val="nil"/>
            </w:tcBorders>
            <w:shd w:val="clear" w:color="auto" w:fill="auto"/>
            <w:hideMark/>
          </w:tcPr>
          <w:p w14:paraId="57AE478A" w14:textId="30031DD8" w:rsidR="003A2574" w:rsidRPr="00E641BB" w:rsidRDefault="003A2574" w:rsidP="00737E5B">
            <w:pPr>
              <w:pStyle w:val="Tabletext"/>
              <w:rPr>
                <w:lang w:eastAsia="en-US"/>
              </w:rPr>
            </w:pPr>
            <w:r w:rsidRPr="00E641BB">
              <w:rPr>
                <w:b/>
                <w:bCs/>
                <w:color w:val="FF0000"/>
                <w:lang w:eastAsia="en-US"/>
              </w:rPr>
              <w:t xml:space="preserve">Removed in </w:t>
            </w:r>
            <w:r w:rsidR="000D04C1">
              <w:rPr>
                <w:b/>
                <w:bCs/>
                <w:color w:val="FF0000"/>
                <w:lang w:eastAsia="en-US"/>
              </w:rPr>
              <w:t xml:space="preserve">Round </w:t>
            </w:r>
            <w:r w:rsidRPr="00E641BB">
              <w:rPr>
                <w:b/>
                <w:bCs/>
                <w:color w:val="FF0000"/>
                <w:lang w:eastAsia="en-US"/>
              </w:rPr>
              <w:t>1</w:t>
            </w:r>
            <w:r w:rsidR="00C33118">
              <w:rPr>
                <w:b/>
                <w:bCs/>
                <w:color w:val="FF0000"/>
                <w:lang w:eastAsia="en-US"/>
              </w:rPr>
              <w:t xml:space="preserve"> – </w:t>
            </w:r>
            <w:r w:rsidRPr="00E641BB">
              <w:rPr>
                <w:lang w:eastAsia="en-US"/>
              </w:rPr>
              <w:t>Sigmoidoscopic examination with diathermy or resection of one or more polyps, if the time taken is greater than 45 minutes (Anaes.)</w:t>
            </w:r>
          </w:p>
        </w:tc>
      </w:tr>
      <w:tr w:rsidR="003A2574" w:rsidRPr="00E641BB" w14:paraId="5E36DA6D" w14:textId="77777777" w:rsidTr="000D04C1">
        <w:trPr>
          <w:trHeight w:val="277"/>
        </w:trPr>
        <w:tc>
          <w:tcPr>
            <w:tcW w:w="1093" w:type="dxa"/>
            <w:tcBorders>
              <w:top w:val="single" w:sz="4" w:space="0" w:color="B56011"/>
              <w:left w:val="nil"/>
              <w:bottom w:val="single" w:sz="4" w:space="0" w:color="B56011"/>
              <w:right w:val="nil"/>
            </w:tcBorders>
            <w:shd w:val="clear" w:color="auto" w:fill="auto"/>
            <w:noWrap/>
            <w:hideMark/>
          </w:tcPr>
          <w:p w14:paraId="6B37F14D" w14:textId="77777777" w:rsidR="003A2574" w:rsidRPr="00AA154A" w:rsidRDefault="003A2574" w:rsidP="00AD071A">
            <w:pPr>
              <w:pStyle w:val="Tabletext"/>
              <w:rPr>
                <w:lang w:eastAsia="en-US"/>
              </w:rPr>
            </w:pPr>
            <w:r w:rsidRPr="00AA154A">
              <w:rPr>
                <w:lang w:eastAsia="en-US"/>
              </w:rPr>
              <w:t>32084</w:t>
            </w:r>
          </w:p>
        </w:tc>
        <w:tc>
          <w:tcPr>
            <w:tcW w:w="8149" w:type="dxa"/>
            <w:tcBorders>
              <w:top w:val="single" w:sz="4" w:space="0" w:color="B56011"/>
              <w:left w:val="nil"/>
              <w:bottom w:val="single" w:sz="4" w:space="0" w:color="B56011"/>
              <w:right w:val="nil"/>
            </w:tcBorders>
            <w:shd w:val="clear" w:color="auto" w:fill="auto"/>
            <w:hideMark/>
          </w:tcPr>
          <w:p w14:paraId="5C30FBC0" w14:textId="77777777" w:rsidR="003A2574" w:rsidRPr="00E641BB" w:rsidRDefault="003A2574" w:rsidP="00737E5B">
            <w:pPr>
              <w:pStyle w:val="Tabletext"/>
              <w:rPr>
                <w:lang w:eastAsia="en-US"/>
              </w:rPr>
            </w:pPr>
            <w:r w:rsidRPr="00E641BB">
              <w:rPr>
                <w:lang w:eastAsia="en-US"/>
              </w:rPr>
              <w:t>Flexible fibreoptic sigmoidoscopy or fibreoptic colonoscopy up to the hepatic flexure, with or without biopsy (Anaes.)</w:t>
            </w:r>
          </w:p>
        </w:tc>
      </w:tr>
      <w:tr w:rsidR="003A2574" w:rsidRPr="00E641BB" w14:paraId="6233BCA9" w14:textId="77777777" w:rsidTr="000D04C1">
        <w:trPr>
          <w:trHeight w:val="422"/>
        </w:trPr>
        <w:tc>
          <w:tcPr>
            <w:tcW w:w="1093" w:type="dxa"/>
            <w:tcBorders>
              <w:top w:val="single" w:sz="4" w:space="0" w:color="B56011"/>
              <w:left w:val="nil"/>
              <w:bottom w:val="single" w:sz="4" w:space="0" w:color="B56011"/>
              <w:right w:val="nil"/>
            </w:tcBorders>
            <w:shd w:val="clear" w:color="auto" w:fill="auto"/>
            <w:noWrap/>
            <w:hideMark/>
          </w:tcPr>
          <w:p w14:paraId="79667417" w14:textId="77777777" w:rsidR="003A2574" w:rsidRPr="00AA154A" w:rsidRDefault="003A2574" w:rsidP="00AD071A">
            <w:pPr>
              <w:pStyle w:val="Tabletext"/>
              <w:rPr>
                <w:lang w:eastAsia="en-US"/>
              </w:rPr>
            </w:pPr>
            <w:r w:rsidRPr="00AA154A">
              <w:rPr>
                <w:lang w:eastAsia="en-US"/>
              </w:rPr>
              <w:t>32087</w:t>
            </w:r>
          </w:p>
        </w:tc>
        <w:tc>
          <w:tcPr>
            <w:tcW w:w="8149" w:type="dxa"/>
            <w:tcBorders>
              <w:top w:val="single" w:sz="4" w:space="0" w:color="B56011"/>
              <w:left w:val="nil"/>
              <w:bottom w:val="single" w:sz="4" w:space="0" w:color="B56011"/>
              <w:right w:val="nil"/>
            </w:tcBorders>
            <w:shd w:val="clear" w:color="auto" w:fill="auto"/>
            <w:hideMark/>
          </w:tcPr>
          <w:p w14:paraId="6A809728" w14:textId="77777777" w:rsidR="003A2574" w:rsidRPr="00E641BB" w:rsidRDefault="003A2574" w:rsidP="00737E5B">
            <w:pPr>
              <w:pStyle w:val="Tabletext"/>
              <w:rPr>
                <w:lang w:eastAsia="en-US"/>
              </w:rPr>
            </w:pPr>
            <w:r w:rsidRPr="00E641BB">
              <w:rPr>
                <w:lang w:eastAsia="en-US"/>
              </w:rPr>
              <w:t>Endoscopic examination of the colon up to the hepatic flexure by flexible fibreoptic sigmoidoscopy or fibreoptic colonoscopy for the removal of one or more polyps or the treatment of radiation proctitis, angiodysplasia or post-polypectomy bleeding by argon plasma coagulation, one or more of (Anaes.)</w:t>
            </w:r>
          </w:p>
        </w:tc>
      </w:tr>
      <w:tr w:rsidR="003A2574" w:rsidRPr="00E641BB" w14:paraId="0995CDAD" w14:textId="77777777" w:rsidTr="000D04C1">
        <w:trPr>
          <w:trHeight w:val="231"/>
        </w:trPr>
        <w:tc>
          <w:tcPr>
            <w:tcW w:w="1093" w:type="dxa"/>
            <w:tcBorders>
              <w:top w:val="single" w:sz="4" w:space="0" w:color="B56011"/>
              <w:left w:val="nil"/>
              <w:bottom w:val="single" w:sz="4" w:space="0" w:color="B56011"/>
              <w:right w:val="nil"/>
            </w:tcBorders>
            <w:shd w:val="clear" w:color="auto" w:fill="auto"/>
            <w:noWrap/>
            <w:hideMark/>
          </w:tcPr>
          <w:p w14:paraId="75D98525" w14:textId="77777777" w:rsidR="003A2574" w:rsidRPr="00AA154A" w:rsidRDefault="003A2574" w:rsidP="00AD071A">
            <w:pPr>
              <w:pStyle w:val="Tabletext"/>
              <w:rPr>
                <w:lang w:eastAsia="en-US"/>
              </w:rPr>
            </w:pPr>
            <w:r w:rsidRPr="00AA154A">
              <w:rPr>
                <w:lang w:eastAsia="en-US"/>
              </w:rPr>
              <w:t>32090</w:t>
            </w:r>
          </w:p>
        </w:tc>
        <w:tc>
          <w:tcPr>
            <w:tcW w:w="8149" w:type="dxa"/>
            <w:tcBorders>
              <w:top w:val="single" w:sz="4" w:space="0" w:color="B56011"/>
              <w:left w:val="nil"/>
              <w:bottom w:val="single" w:sz="4" w:space="0" w:color="B56011"/>
              <w:right w:val="nil"/>
            </w:tcBorders>
            <w:shd w:val="clear" w:color="auto" w:fill="auto"/>
            <w:hideMark/>
          </w:tcPr>
          <w:p w14:paraId="34D5CFE8" w14:textId="77777777" w:rsidR="003A2574" w:rsidRPr="00E641BB" w:rsidRDefault="003A2574" w:rsidP="00737E5B">
            <w:pPr>
              <w:pStyle w:val="Tabletext"/>
              <w:rPr>
                <w:lang w:eastAsia="en-US"/>
              </w:rPr>
            </w:pPr>
            <w:r w:rsidRPr="00E641BB">
              <w:rPr>
                <w:lang w:eastAsia="en-US"/>
              </w:rPr>
              <w:t>Fibreoptic colonoscopy—examination of colon beyond the hepatic flexure with or without biopsy (Anaes.)</w:t>
            </w:r>
          </w:p>
        </w:tc>
      </w:tr>
      <w:tr w:rsidR="003A2574" w:rsidRPr="00E641BB" w14:paraId="4A511FE1" w14:textId="77777777" w:rsidTr="000D04C1">
        <w:trPr>
          <w:trHeight w:val="405"/>
        </w:trPr>
        <w:tc>
          <w:tcPr>
            <w:tcW w:w="1093" w:type="dxa"/>
            <w:tcBorders>
              <w:top w:val="single" w:sz="4" w:space="0" w:color="B56011"/>
              <w:left w:val="nil"/>
              <w:bottom w:val="single" w:sz="4" w:space="0" w:color="B56011"/>
              <w:right w:val="nil"/>
            </w:tcBorders>
            <w:shd w:val="clear" w:color="auto" w:fill="auto"/>
            <w:noWrap/>
            <w:hideMark/>
          </w:tcPr>
          <w:p w14:paraId="530029E2" w14:textId="77777777" w:rsidR="003A2574" w:rsidRPr="00AA154A" w:rsidRDefault="003A2574" w:rsidP="00AD071A">
            <w:pPr>
              <w:pStyle w:val="Tabletext"/>
              <w:rPr>
                <w:lang w:eastAsia="en-US"/>
              </w:rPr>
            </w:pPr>
            <w:r w:rsidRPr="00AA154A">
              <w:rPr>
                <w:lang w:eastAsia="en-US"/>
              </w:rPr>
              <w:t>32093</w:t>
            </w:r>
          </w:p>
        </w:tc>
        <w:tc>
          <w:tcPr>
            <w:tcW w:w="8149" w:type="dxa"/>
            <w:tcBorders>
              <w:top w:val="single" w:sz="4" w:space="0" w:color="B56011"/>
              <w:left w:val="nil"/>
              <w:bottom w:val="single" w:sz="4" w:space="0" w:color="B56011"/>
              <w:right w:val="nil"/>
            </w:tcBorders>
            <w:shd w:val="clear" w:color="auto" w:fill="auto"/>
            <w:hideMark/>
          </w:tcPr>
          <w:p w14:paraId="48539A3E" w14:textId="77777777" w:rsidR="003A2574" w:rsidRPr="00E641BB" w:rsidRDefault="003A2574" w:rsidP="00737E5B">
            <w:pPr>
              <w:pStyle w:val="Tabletext"/>
              <w:rPr>
                <w:lang w:eastAsia="en-US"/>
              </w:rPr>
            </w:pPr>
            <w:r w:rsidRPr="00E641BB">
              <w:rPr>
                <w:lang w:eastAsia="en-US"/>
              </w:rPr>
              <w:t>Endoscopic examination of the colon beyond the hepatic flexure by fibreoptic colonoscopy for the removal of one or more polyps, or the treatment of radiation proctitis, angiodysplasia or post-polypectomy bleeding by argon plasma coagulation, one or more of (Anaes.)</w:t>
            </w:r>
          </w:p>
        </w:tc>
      </w:tr>
      <w:tr w:rsidR="003A2574" w:rsidRPr="00E641BB" w14:paraId="10BE1D2C" w14:textId="77777777" w:rsidTr="000D04C1">
        <w:trPr>
          <w:trHeight w:val="100"/>
        </w:trPr>
        <w:tc>
          <w:tcPr>
            <w:tcW w:w="1093" w:type="dxa"/>
            <w:tcBorders>
              <w:top w:val="single" w:sz="4" w:space="0" w:color="B56011"/>
              <w:left w:val="nil"/>
              <w:bottom w:val="single" w:sz="4" w:space="0" w:color="B56011"/>
              <w:right w:val="nil"/>
            </w:tcBorders>
            <w:shd w:val="clear" w:color="auto" w:fill="auto"/>
            <w:noWrap/>
            <w:hideMark/>
          </w:tcPr>
          <w:p w14:paraId="2540CF09" w14:textId="77777777" w:rsidR="003A2574" w:rsidRPr="00AA154A" w:rsidRDefault="003A2574" w:rsidP="00AD071A">
            <w:pPr>
              <w:pStyle w:val="Tabletext"/>
              <w:rPr>
                <w:lang w:eastAsia="en-US"/>
              </w:rPr>
            </w:pPr>
            <w:r w:rsidRPr="00AA154A">
              <w:rPr>
                <w:lang w:eastAsia="en-US"/>
              </w:rPr>
              <w:t>32094</w:t>
            </w:r>
          </w:p>
        </w:tc>
        <w:tc>
          <w:tcPr>
            <w:tcW w:w="8149" w:type="dxa"/>
            <w:tcBorders>
              <w:top w:val="single" w:sz="4" w:space="0" w:color="B56011"/>
              <w:left w:val="nil"/>
              <w:bottom w:val="single" w:sz="4" w:space="0" w:color="B56011"/>
              <w:right w:val="nil"/>
            </w:tcBorders>
            <w:shd w:val="clear" w:color="auto" w:fill="auto"/>
            <w:hideMark/>
          </w:tcPr>
          <w:p w14:paraId="42534D02" w14:textId="77777777" w:rsidR="003A2574" w:rsidRPr="00E641BB" w:rsidRDefault="003A2574" w:rsidP="00737E5B">
            <w:pPr>
              <w:pStyle w:val="Tabletext"/>
              <w:rPr>
                <w:lang w:eastAsia="en-US"/>
              </w:rPr>
            </w:pPr>
            <w:r w:rsidRPr="00E641BB">
              <w:rPr>
                <w:lang w:eastAsia="en-US"/>
              </w:rPr>
              <w:t>Endoscopic dilatation of colorectal strictures including colonoscopy (H) (Anaes.)</w:t>
            </w:r>
          </w:p>
        </w:tc>
      </w:tr>
      <w:tr w:rsidR="003A2574" w:rsidRPr="00E641BB" w14:paraId="19861AF2" w14:textId="77777777" w:rsidTr="000D04C1">
        <w:trPr>
          <w:trHeight w:val="273"/>
        </w:trPr>
        <w:tc>
          <w:tcPr>
            <w:tcW w:w="1093" w:type="dxa"/>
            <w:tcBorders>
              <w:top w:val="single" w:sz="4" w:space="0" w:color="B56011"/>
              <w:left w:val="nil"/>
              <w:bottom w:val="single" w:sz="4" w:space="0" w:color="B56011"/>
              <w:right w:val="nil"/>
            </w:tcBorders>
            <w:shd w:val="clear" w:color="auto" w:fill="auto"/>
            <w:noWrap/>
            <w:hideMark/>
          </w:tcPr>
          <w:p w14:paraId="6871D37C" w14:textId="77777777" w:rsidR="003A2574" w:rsidRPr="00AA154A" w:rsidRDefault="003A2574" w:rsidP="00AD071A">
            <w:pPr>
              <w:pStyle w:val="Tabletext"/>
              <w:rPr>
                <w:lang w:eastAsia="en-US"/>
              </w:rPr>
            </w:pPr>
            <w:r w:rsidRPr="00AA154A">
              <w:rPr>
                <w:lang w:eastAsia="en-US"/>
              </w:rPr>
              <w:t>32095</w:t>
            </w:r>
          </w:p>
        </w:tc>
        <w:tc>
          <w:tcPr>
            <w:tcW w:w="8149" w:type="dxa"/>
            <w:tcBorders>
              <w:top w:val="single" w:sz="4" w:space="0" w:color="B56011"/>
              <w:left w:val="nil"/>
              <w:bottom w:val="single" w:sz="4" w:space="0" w:color="B56011"/>
              <w:right w:val="nil"/>
            </w:tcBorders>
            <w:shd w:val="clear" w:color="auto" w:fill="auto"/>
            <w:hideMark/>
          </w:tcPr>
          <w:p w14:paraId="71CB2638" w14:textId="77777777" w:rsidR="003A2574" w:rsidRPr="00E641BB" w:rsidRDefault="003A2574" w:rsidP="00737E5B">
            <w:pPr>
              <w:pStyle w:val="Tabletext"/>
              <w:rPr>
                <w:lang w:eastAsia="en-US"/>
              </w:rPr>
            </w:pPr>
            <w:r w:rsidRPr="00E641BB">
              <w:rPr>
                <w:lang w:eastAsia="en-US"/>
              </w:rPr>
              <w:t>Endoscopic examination of small bowel with flexible endoscope passed by stoma, with or without biopsies (Anaes.)</w:t>
            </w:r>
          </w:p>
        </w:tc>
      </w:tr>
    </w:tbl>
    <w:p w14:paraId="534D48D6" w14:textId="77777777" w:rsidR="00283332" w:rsidRDefault="00283332" w:rsidP="00AD071A">
      <w:pPr>
        <w:pStyle w:val="Caption"/>
      </w:pPr>
      <w:r>
        <w:br w:type="page"/>
      </w:r>
    </w:p>
    <w:p w14:paraId="4F79E484" w14:textId="6A18C513" w:rsidR="00AD071A" w:rsidRDefault="00AD071A" w:rsidP="00AD071A">
      <w:pPr>
        <w:pStyle w:val="Caption"/>
      </w:pPr>
      <w:r>
        <w:lastRenderedPageBreak/>
        <w:t xml:space="preserve">Table A5: </w:t>
      </w:r>
      <w:r w:rsidRPr="00E641BB">
        <w:t>Group T8</w:t>
      </w:r>
      <w:r>
        <w:t xml:space="preserve"> </w:t>
      </w:r>
      <w:r w:rsidRPr="00E641BB">
        <w:t>— Surgical operations</w:t>
      </w:r>
      <w:r>
        <w:t>:</w:t>
      </w:r>
      <w:r w:rsidRPr="006C6BE7">
        <w:t xml:space="preserve"> </w:t>
      </w:r>
      <w:r w:rsidRPr="00737E5B">
        <w:t>Subgroup 8 – Ears, Nose and Throat</w:t>
      </w:r>
    </w:p>
    <w:tbl>
      <w:tblPr>
        <w:tblStyle w:val="TableGrid"/>
        <w:tblW w:w="9242" w:type="dxa"/>
        <w:tblLook w:val="04A0" w:firstRow="1" w:lastRow="0" w:firstColumn="1" w:lastColumn="0" w:noHBand="0" w:noVBand="1"/>
        <w:tblDescription w:val="Table A5 lists item numbers and descriptors of group T8, surgical operations, subgroup 8 –  ears, nose and throat reviewed by the Committee."/>
      </w:tblPr>
      <w:tblGrid>
        <w:gridCol w:w="1093"/>
        <w:gridCol w:w="8149"/>
      </w:tblGrid>
      <w:tr w:rsidR="00AD071A" w:rsidRPr="00E641BB" w14:paraId="21CDBA62" w14:textId="77777777" w:rsidTr="00AD071A">
        <w:trPr>
          <w:trHeight w:val="416"/>
          <w:tblHeader/>
        </w:trPr>
        <w:tc>
          <w:tcPr>
            <w:tcW w:w="1093" w:type="dxa"/>
            <w:tcBorders>
              <w:top w:val="single" w:sz="4" w:space="0" w:color="B56011"/>
              <w:left w:val="nil"/>
              <w:bottom w:val="single" w:sz="4" w:space="0" w:color="B56011"/>
              <w:right w:val="nil"/>
            </w:tcBorders>
            <w:shd w:val="clear" w:color="auto" w:fill="auto"/>
            <w:noWrap/>
          </w:tcPr>
          <w:p w14:paraId="734527CE" w14:textId="6C740F60" w:rsidR="00AD071A" w:rsidRPr="00AA154A" w:rsidRDefault="00AD071A" w:rsidP="00AD071A">
            <w:pPr>
              <w:pStyle w:val="Tableheading"/>
            </w:pPr>
            <w:r>
              <w:t>Item</w:t>
            </w:r>
          </w:p>
        </w:tc>
        <w:tc>
          <w:tcPr>
            <w:tcW w:w="8149" w:type="dxa"/>
            <w:tcBorders>
              <w:top w:val="single" w:sz="4" w:space="0" w:color="B56011"/>
              <w:left w:val="nil"/>
              <w:bottom w:val="single" w:sz="4" w:space="0" w:color="B56011"/>
              <w:right w:val="nil"/>
            </w:tcBorders>
            <w:shd w:val="clear" w:color="auto" w:fill="auto"/>
          </w:tcPr>
          <w:p w14:paraId="3F14F37C" w14:textId="3B7EC48B" w:rsidR="00AD071A" w:rsidRPr="00E641BB" w:rsidRDefault="00AD071A" w:rsidP="00AD071A">
            <w:pPr>
              <w:pStyle w:val="Tableheading"/>
            </w:pPr>
            <w:r>
              <w:t>Description</w:t>
            </w:r>
          </w:p>
        </w:tc>
      </w:tr>
      <w:tr w:rsidR="003A2574" w:rsidRPr="00E641BB" w14:paraId="57C6E876" w14:textId="77777777" w:rsidTr="000D04C1">
        <w:trPr>
          <w:trHeight w:val="416"/>
        </w:trPr>
        <w:tc>
          <w:tcPr>
            <w:tcW w:w="1093" w:type="dxa"/>
            <w:tcBorders>
              <w:top w:val="single" w:sz="4" w:space="0" w:color="B56011"/>
              <w:left w:val="nil"/>
              <w:bottom w:val="single" w:sz="4" w:space="0" w:color="B56011"/>
              <w:right w:val="nil"/>
            </w:tcBorders>
            <w:shd w:val="clear" w:color="auto" w:fill="auto"/>
            <w:noWrap/>
            <w:hideMark/>
          </w:tcPr>
          <w:p w14:paraId="48C47F45" w14:textId="77777777" w:rsidR="003A2574" w:rsidRPr="00AA154A" w:rsidRDefault="003A2574" w:rsidP="00AD071A">
            <w:pPr>
              <w:pStyle w:val="Tabletext"/>
              <w:rPr>
                <w:lang w:eastAsia="en-US"/>
              </w:rPr>
            </w:pPr>
            <w:r w:rsidRPr="00AA154A">
              <w:rPr>
                <w:lang w:eastAsia="en-US"/>
              </w:rPr>
              <w:t>41819</w:t>
            </w:r>
          </w:p>
        </w:tc>
        <w:tc>
          <w:tcPr>
            <w:tcW w:w="8149" w:type="dxa"/>
            <w:tcBorders>
              <w:top w:val="single" w:sz="4" w:space="0" w:color="B56011"/>
              <w:left w:val="nil"/>
              <w:bottom w:val="single" w:sz="4" w:space="0" w:color="B56011"/>
              <w:right w:val="nil"/>
            </w:tcBorders>
            <w:shd w:val="clear" w:color="auto" w:fill="auto"/>
            <w:hideMark/>
          </w:tcPr>
          <w:p w14:paraId="35534D3D" w14:textId="77777777" w:rsidR="003A2574" w:rsidRPr="00E641BB" w:rsidRDefault="003A2574" w:rsidP="00737E5B">
            <w:pPr>
              <w:pStyle w:val="Tabletext"/>
              <w:rPr>
                <w:lang w:eastAsia="en-US"/>
              </w:rPr>
            </w:pPr>
            <w:r w:rsidRPr="00E641BB">
              <w:rPr>
                <w:lang w:eastAsia="en-US"/>
              </w:rPr>
              <w:t>Dilatation of stricture of upper gastro-intestinal tract using bougie or balloon over endoscopically inserted guidewire, including endoscopy with flexible or rigid endoscope (Anaes.)</w:t>
            </w:r>
          </w:p>
        </w:tc>
      </w:tr>
      <w:tr w:rsidR="003A2574" w:rsidRPr="00E641BB" w14:paraId="13334744" w14:textId="77777777" w:rsidTr="000D04C1">
        <w:trPr>
          <w:trHeight w:val="416"/>
        </w:trPr>
        <w:tc>
          <w:tcPr>
            <w:tcW w:w="1093" w:type="dxa"/>
            <w:tcBorders>
              <w:top w:val="single" w:sz="4" w:space="0" w:color="B56011"/>
              <w:left w:val="nil"/>
              <w:bottom w:val="single" w:sz="4" w:space="0" w:color="B56011"/>
              <w:right w:val="nil"/>
            </w:tcBorders>
            <w:shd w:val="clear" w:color="auto" w:fill="auto"/>
            <w:noWrap/>
            <w:hideMark/>
          </w:tcPr>
          <w:p w14:paraId="04D0E5C4" w14:textId="77777777" w:rsidR="003A2574" w:rsidRPr="00AA154A" w:rsidRDefault="003A2574" w:rsidP="00AD071A">
            <w:pPr>
              <w:pStyle w:val="Tabletext"/>
              <w:rPr>
                <w:lang w:eastAsia="en-US"/>
              </w:rPr>
            </w:pPr>
            <w:r w:rsidRPr="00AA154A">
              <w:rPr>
                <w:lang w:eastAsia="en-US"/>
              </w:rPr>
              <w:t>41820</w:t>
            </w:r>
          </w:p>
        </w:tc>
        <w:tc>
          <w:tcPr>
            <w:tcW w:w="8149" w:type="dxa"/>
            <w:tcBorders>
              <w:top w:val="single" w:sz="4" w:space="0" w:color="B56011"/>
              <w:left w:val="nil"/>
              <w:bottom w:val="single" w:sz="4" w:space="0" w:color="B56011"/>
              <w:right w:val="nil"/>
            </w:tcBorders>
            <w:shd w:val="clear" w:color="auto" w:fill="auto"/>
            <w:hideMark/>
          </w:tcPr>
          <w:p w14:paraId="5D0B3D15" w14:textId="77777777" w:rsidR="003A2574" w:rsidRPr="00E641BB" w:rsidRDefault="003A2574" w:rsidP="00737E5B">
            <w:pPr>
              <w:pStyle w:val="Tabletext"/>
              <w:rPr>
                <w:lang w:eastAsia="en-US"/>
              </w:rPr>
            </w:pPr>
            <w:r w:rsidRPr="00E641BB">
              <w:rPr>
                <w:lang w:eastAsia="en-US"/>
              </w:rPr>
              <w:t>Dilatation of stricture of upper gastro-intestinal tract using bougie or balloon over endoscopically inserted guidewire, including endoscopy with flexible or rigid endoscope, if the use of imaging intensification is clinically indicated (Anaes.)</w:t>
            </w:r>
          </w:p>
        </w:tc>
      </w:tr>
      <w:tr w:rsidR="003A2574" w:rsidRPr="00E641BB" w14:paraId="74378947" w14:textId="77777777" w:rsidTr="000D04C1">
        <w:trPr>
          <w:trHeight w:val="300"/>
        </w:trPr>
        <w:tc>
          <w:tcPr>
            <w:tcW w:w="1093" w:type="dxa"/>
            <w:tcBorders>
              <w:top w:val="single" w:sz="4" w:space="0" w:color="B56011"/>
              <w:left w:val="nil"/>
              <w:bottom w:val="single" w:sz="4" w:space="0" w:color="B56011"/>
              <w:right w:val="nil"/>
            </w:tcBorders>
            <w:shd w:val="clear" w:color="auto" w:fill="auto"/>
            <w:noWrap/>
            <w:hideMark/>
          </w:tcPr>
          <w:p w14:paraId="3141C01D" w14:textId="77777777" w:rsidR="003A2574" w:rsidRPr="00AA154A" w:rsidRDefault="003A2574" w:rsidP="00AD071A">
            <w:pPr>
              <w:pStyle w:val="Tabletext"/>
              <w:rPr>
                <w:lang w:eastAsia="en-US"/>
              </w:rPr>
            </w:pPr>
            <w:r w:rsidRPr="00AA154A">
              <w:rPr>
                <w:lang w:eastAsia="en-US"/>
              </w:rPr>
              <w:t>41828</w:t>
            </w:r>
          </w:p>
        </w:tc>
        <w:tc>
          <w:tcPr>
            <w:tcW w:w="8149" w:type="dxa"/>
            <w:tcBorders>
              <w:top w:val="single" w:sz="4" w:space="0" w:color="B56011"/>
              <w:left w:val="nil"/>
              <w:bottom w:val="single" w:sz="4" w:space="0" w:color="B56011"/>
              <w:right w:val="nil"/>
            </w:tcBorders>
            <w:shd w:val="clear" w:color="auto" w:fill="auto"/>
            <w:hideMark/>
          </w:tcPr>
          <w:p w14:paraId="4273EC28" w14:textId="77777777" w:rsidR="003A2574" w:rsidRPr="00E641BB" w:rsidRDefault="003A2574" w:rsidP="00737E5B">
            <w:pPr>
              <w:pStyle w:val="Tabletext"/>
              <w:rPr>
                <w:lang w:eastAsia="en-US"/>
              </w:rPr>
            </w:pPr>
            <w:r w:rsidRPr="00E641BB">
              <w:rPr>
                <w:lang w:eastAsia="en-US"/>
              </w:rPr>
              <w:t>Oesophageal stricture, dilatation of, without oesophagoscopy (Anaes.)</w:t>
            </w:r>
          </w:p>
        </w:tc>
      </w:tr>
      <w:tr w:rsidR="003A2574" w:rsidRPr="00E641BB" w14:paraId="5D61BB30" w14:textId="77777777" w:rsidTr="000D04C1">
        <w:trPr>
          <w:trHeight w:val="300"/>
        </w:trPr>
        <w:tc>
          <w:tcPr>
            <w:tcW w:w="1093" w:type="dxa"/>
            <w:tcBorders>
              <w:top w:val="single" w:sz="4" w:space="0" w:color="B56011"/>
              <w:left w:val="nil"/>
              <w:bottom w:val="single" w:sz="4" w:space="0" w:color="B56011"/>
              <w:right w:val="nil"/>
            </w:tcBorders>
            <w:shd w:val="clear" w:color="auto" w:fill="auto"/>
            <w:noWrap/>
            <w:hideMark/>
          </w:tcPr>
          <w:p w14:paraId="119A6554" w14:textId="77777777" w:rsidR="003A2574" w:rsidRPr="00AA154A" w:rsidRDefault="003A2574" w:rsidP="00AD071A">
            <w:pPr>
              <w:pStyle w:val="Tabletext"/>
              <w:rPr>
                <w:lang w:eastAsia="en-US"/>
              </w:rPr>
            </w:pPr>
            <w:r w:rsidRPr="00AA154A">
              <w:rPr>
                <w:lang w:eastAsia="en-US"/>
              </w:rPr>
              <w:t>41831</w:t>
            </w:r>
          </w:p>
        </w:tc>
        <w:tc>
          <w:tcPr>
            <w:tcW w:w="8149" w:type="dxa"/>
            <w:tcBorders>
              <w:top w:val="single" w:sz="4" w:space="0" w:color="B56011"/>
              <w:left w:val="nil"/>
              <w:bottom w:val="single" w:sz="4" w:space="0" w:color="B56011"/>
              <w:right w:val="nil"/>
            </w:tcBorders>
            <w:shd w:val="clear" w:color="auto" w:fill="auto"/>
            <w:hideMark/>
          </w:tcPr>
          <w:p w14:paraId="6B2DF6CB" w14:textId="77777777" w:rsidR="003A2574" w:rsidRPr="00E641BB" w:rsidRDefault="003A2574" w:rsidP="00737E5B">
            <w:pPr>
              <w:pStyle w:val="Tabletext"/>
              <w:rPr>
                <w:lang w:eastAsia="en-US"/>
              </w:rPr>
            </w:pPr>
            <w:r w:rsidRPr="00E641BB">
              <w:rPr>
                <w:lang w:eastAsia="en-US"/>
              </w:rPr>
              <w:t>Oesophagus, endoscopic pneumatic dilatation of (Anaes.) (Assist.)</w:t>
            </w:r>
          </w:p>
        </w:tc>
      </w:tr>
      <w:tr w:rsidR="003A2574" w:rsidRPr="00E641BB" w14:paraId="38F8212F" w14:textId="77777777" w:rsidTr="000D04C1">
        <w:trPr>
          <w:trHeight w:val="300"/>
        </w:trPr>
        <w:tc>
          <w:tcPr>
            <w:tcW w:w="1093" w:type="dxa"/>
            <w:tcBorders>
              <w:top w:val="single" w:sz="4" w:space="0" w:color="B56011"/>
              <w:left w:val="nil"/>
              <w:bottom w:val="single" w:sz="4" w:space="0" w:color="B56011"/>
              <w:right w:val="nil"/>
            </w:tcBorders>
            <w:shd w:val="clear" w:color="auto" w:fill="auto"/>
            <w:noWrap/>
            <w:hideMark/>
          </w:tcPr>
          <w:p w14:paraId="0956FA94" w14:textId="77777777" w:rsidR="003A2574" w:rsidRPr="00AA154A" w:rsidRDefault="003A2574" w:rsidP="00AD071A">
            <w:pPr>
              <w:pStyle w:val="Tabletext"/>
              <w:rPr>
                <w:lang w:eastAsia="en-US"/>
              </w:rPr>
            </w:pPr>
            <w:r w:rsidRPr="00AA154A">
              <w:rPr>
                <w:lang w:eastAsia="en-US"/>
              </w:rPr>
              <w:t>41832</w:t>
            </w:r>
          </w:p>
        </w:tc>
        <w:tc>
          <w:tcPr>
            <w:tcW w:w="8149" w:type="dxa"/>
            <w:tcBorders>
              <w:top w:val="single" w:sz="4" w:space="0" w:color="B56011"/>
              <w:left w:val="nil"/>
              <w:bottom w:val="single" w:sz="4" w:space="0" w:color="B56011"/>
              <w:right w:val="nil"/>
            </w:tcBorders>
            <w:shd w:val="clear" w:color="auto" w:fill="auto"/>
            <w:hideMark/>
          </w:tcPr>
          <w:p w14:paraId="68D7C6F2" w14:textId="77777777" w:rsidR="003A2574" w:rsidRPr="00E641BB" w:rsidRDefault="003A2574" w:rsidP="00737E5B">
            <w:pPr>
              <w:pStyle w:val="Tabletext"/>
              <w:rPr>
                <w:lang w:eastAsia="en-US"/>
              </w:rPr>
            </w:pPr>
            <w:r w:rsidRPr="00E641BB">
              <w:rPr>
                <w:lang w:eastAsia="en-US"/>
              </w:rPr>
              <w:t>Oesophagus, balloon dilatation of, using interventional imaging techniques (Anaes.)</w:t>
            </w:r>
          </w:p>
        </w:tc>
      </w:tr>
    </w:tbl>
    <w:p w14:paraId="6DEC9123" w14:textId="3CA4BA2A" w:rsidR="003A2574" w:rsidRPr="001E1249" w:rsidRDefault="003A2574" w:rsidP="00250799">
      <w:pPr>
        <w:pStyle w:val="AppendixStyle2"/>
      </w:pPr>
      <w:bookmarkStart w:id="249" w:name="_Toc456188393"/>
      <w:bookmarkStart w:id="250" w:name="_Toc457307551"/>
      <w:r w:rsidRPr="001E1249">
        <w:t>Items not requiring amendment</w:t>
      </w:r>
      <w:bookmarkEnd w:id="249"/>
      <w:bookmarkEnd w:id="250"/>
    </w:p>
    <w:p w14:paraId="2788D85D" w14:textId="0C001EB1" w:rsidR="003A2574" w:rsidRPr="006B41BA" w:rsidRDefault="003A2574" w:rsidP="00AA154A">
      <w:r w:rsidRPr="006B41BA">
        <w:t xml:space="preserve">The Committee advises that 29 items do not require any amendment as these items support clinically valuable services and no specific issues relating to their use have been identified. </w:t>
      </w:r>
      <w:r w:rsidR="00250799">
        <w:t>These i</w:t>
      </w:r>
      <w:r w:rsidR="00250799" w:rsidRPr="00F9510A">
        <w:t>tems have been grouped into broad categories</w:t>
      </w:r>
      <w:r w:rsidR="00250799">
        <w:t xml:space="preserve"> in the following table</w:t>
      </w:r>
      <w:r w:rsidR="00250799" w:rsidRPr="00F9510A">
        <w:t>. This means that items are not necessarily ordered numerically</w:t>
      </w:r>
      <w:r w:rsidR="00250799">
        <w:t>.</w:t>
      </w:r>
      <w:r w:rsidRPr="006B41BA">
        <w:t xml:space="preserve"> </w:t>
      </w:r>
    </w:p>
    <w:p w14:paraId="241311AA" w14:textId="5004B0A1" w:rsidR="003A2574" w:rsidRDefault="003A2574" w:rsidP="00AA154A">
      <w:r w:rsidRPr="006B41BA">
        <w:t xml:space="preserve">In some cases the items specified as not requiring descriptor amendment may have a </w:t>
      </w:r>
      <w:r w:rsidR="00AA154A">
        <w:t>fee or co-claiming rules issue.</w:t>
      </w:r>
    </w:p>
    <w:p w14:paraId="6BAE87EF" w14:textId="5721DD76" w:rsidR="00250799" w:rsidRPr="00AA154A" w:rsidRDefault="00250799" w:rsidP="00737E5B">
      <w:pPr>
        <w:pStyle w:val="Caption"/>
      </w:pPr>
      <w:r>
        <w:t xml:space="preserve">Table A6: Items related to </w:t>
      </w:r>
      <w:r w:rsidRPr="00737E5B">
        <w:t>Gastro-oesophageal reflux disease</w:t>
      </w:r>
    </w:p>
    <w:tbl>
      <w:tblPr>
        <w:tblW w:w="9498" w:type="dxa"/>
        <w:tblInd w:w="60" w:type="dxa"/>
        <w:tblBorders>
          <w:top w:val="single" w:sz="4" w:space="0" w:color="B56011"/>
          <w:bottom w:val="single" w:sz="4" w:space="0" w:color="B56011"/>
          <w:insideH w:val="single" w:sz="4" w:space="0" w:color="B56011"/>
        </w:tblBorders>
        <w:tblLayout w:type="fixed"/>
        <w:tblCellMar>
          <w:left w:w="60" w:type="dxa"/>
          <w:right w:w="60" w:type="dxa"/>
        </w:tblCellMar>
        <w:tblLook w:val="0000" w:firstRow="0" w:lastRow="0" w:firstColumn="0" w:lastColumn="0" w:noHBand="0" w:noVBand="0"/>
        <w:tblDescription w:val="Table A6 lists details of items for gastrointestinal reflux disease that do not require amendment."/>
      </w:tblPr>
      <w:tblGrid>
        <w:gridCol w:w="1701"/>
        <w:gridCol w:w="916"/>
        <w:gridCol w:w="3904"/>
        <w:gridCol w:w="833"/>
        <w:gridCol w:w="1010"/>
        <w:gridCol w:w="1134"/>
      </w:tblGrid>
      <w:tr w:rsidR="00B83B04" w:rsidRPr="00004AD6" w14:paraId="0B517BD5" w14:textId="77777777" w:rsidTr="00BF1B51">
        <w:trPr>
          <w:tblHeader/>
        </w:trPr>
        <w:tc>
          <w:tcPr>
            <w:tcW w:w="1701" w:type="dxa"/>
          </w:tcPr>
          <w:p w14:paraId="0401F7A2" w14:textId="66D79603" w:rsidR="00B83B04" w:rsidRPr="00004AD6" w:rsidRDefault="00B23829" w:rsidP="00250799">
            <w:pPr>
              <w:pStyle w:val="Tableheading"/>
            </w:pPr>
            <w:r>
              <w:t>Procedure</w:t>
            </w:r>
          </w:p>
        </w:tc>
        <w:tc>
          <w:tcPr>
            <w:tcW w:w="916" w:type="dxa"/>
            <w:shd w:val="clear" w:color="auto" w:fill="auto"/>
            <w:vAlign w:val="center"/>
          </w:tcPr>
          <w:p w14:paraId="0A997E0E" w14:textId="7A4A007F" w:rsidR="00B83B04" w:rsidRPr="00004AD6" w:rsidRDefault="00B83B04" w:rsidP="00250799">
            <w:pPr>
              <w:pStyle w:val="Tableheading"/>
            </w:pPr>
            <w:r w:rsidRPr="00004AD6">
              <w:t xml:space="preserve">Item </w:t>
            </w:r>
          </w:p>
        </w:tc>
        <w:tc>
          <w:tcPr>
            <w:tcW w:w="3904" w:type="dxa"/>
            <w:shd w:val="clear" w:color="auto" w:fill="auto"/>
            <w:vAlign w:val="center"/>
          </w:tcPr>
          <w:p w14:paraId="3D8583A7" w14:textId="77777777" w:rsidR="00B83B04" w:rsidRPr="00004AD6" w:rsidRDefault="00B83B04" w:rsidP="00250799">
            <w:pPr>
              <w:pStyle w:val="Tableheading"/>
            </w:pPr>
            <w:r w:rsidRPr="00004AD6">
              <w:t>Item Descriptor</w:t>
            </w:r>
          </w:p>
        </w:tc>
        <w:tc>
          <w:tcPr>
            <w:tcW w:w="833" w:type="dxa"/>
            <w:shd w:val="clear" w:color="auto" w:fill="auto"/>
            <w:vAlign w:val="center"/>
          </w:tcPr>
          <w:p w14:paraId="461869B8" w14:textId="77777777" w:rsidR="00B83B04" w:rsidRPr="00004AD6" w:rsidRDefault="00B83B04" w:rsidP="00250799">
            <w:pPr>
              <w:pStyle w:val="Tableheading"/>
            </w:pPr>
            <w:r w:rsidRPr="00004AD6">
              <w:t>Schedule Fee</w:t>
            </w:r>
          </w:p>
        </w:tc>
        <w:tc>
          <w:tcPr>
            <w:tcW w:w="1010" w:type="dxa"/>
            <w:shd w:val="clear" w:color="auto" w:fill="auto"/>
            <w:vAlign w:val="center"/>
          </w:tcPr>
          <w:p w14:paraId="319C9FB2" w14:textId="71A5D03E" w:rsidR="00B83B04" w:rsidRPr="00004AD6" w:rsidRDefault="00B83B04" w:rsidP="00250799">
            <w:pPr>
              <w:pStyle w:val="Tableheading"/>
            </w:pPr>
            <w:r w:rsidRPr="00004AD6">
              <w:t>Services 2014</w:t>
            </w:r>
            <w:r w:rsidR="00BF1B51">
              <w:t>–</w:t>
            </w:r>
            <w:r w:rsidRPr="00004AD6">
              <w:t>15</w:t>
            </w:r>
          </w:p>
        </w:tc>
        <w:tc>
          <w:tcPr>
            <w:tcW w:w="1134" w:type="dxa"/>
            <w:shd w:val="clear" w:color="auto" w:fill="auto"/>
            <w:vAlign w:val="center"/>
          </w:tcPr>
          <w:p w14:paraId="60A7400F" w14:textId="500A4201" w:rsidR="00B83B04" w:rsidRPr="00004AD6" w:rsidRDefault="00B83B04" w:rsidP="00250799">
            <w:pPr>
              <w:pStyle w:val="Tableheading"/>
            </w:pPr>
            <w:r w:rsidRPr="00004AD6">
              <w:t>Service change 2011</w:t>
            </w:r>
            <w:r w:rsidR="00BF1B51">
              <w:t>–</w:t>
            </w:r>
            <w:r w:rsidRPr="00004AD6">
              <w:t>12 to 2014</w:t>
            </w:r>
            <w:r w:rsidR="00BF1B51">
              <w:t>–</w:t>
            </w:r>
            <w:r w:rsidRPr="00004AD6">
              <w:t>15</w:t>
            </w:r>
          </w:p>
        </w:tc>
      </w:tr>
      <w:tr w:rsidR="00B23829" w14:paraId="1304C1C6" w14:textId="77777777" w:rsidTr="00BF1B51">
        <w:tc>
          <w:tcPr>
            <w:tcW w:w="1701" w:type="dxa"/>
            <w:vMerge w:val="restart"/>
          </w:tcPr>
          <w:p w14:paraId="4F9C8370" w14:textId="4C81D454" w:rsidR="00B23829" w:rsidRPr="002036DF" w:rsidRDefault="00B23829" w:rsidP="002036DF">
            <w:pPr>
              <w:pStyle w:val="Tabletext"/>
              <w:rPr>
                <w:b/>
              </w:rPr>
            </w:pPr>
            <w:r w:rsidRPr="002036DF">
              <w:rPr>
                <w:b/>
              </w:rPr>
              <w:t>Gastro-oesophageal reflux disease</w:t>
            </w:r>
          </w:p>
        </w:tc>
        <w:tc>
          <w:tcPr>
            <w:tcW w:w="916" w:type="dxa"/>
            <w:shd w:val="clear" w:color="auto" w:fill="auto"/>
          </w:tcPr>
          <w:p w14:paraId="468ECF4B" w14:textId="14F68016" w:rsidR="00B23829" w:rsidRPr="00EE1FC5" w:rsidRDefault="00B23829" w:rsidP="00004AD6">
            <w:pPr>
              <w:spacing w:before="40" w:after="40" w:line="288" w:lineRule="auto"/>
              <w:rPr>
                <w:b/>
                <w:sz w:val="20"/>
                <w:szCs w:val="20"/>
              </w:rPr>
            </w:pPr>
            <w:r w:rsidRPr="00EE1FC5">
              <w:rPr>
                <w:b/>
                <w:sz w:val="20"/>
                <w:szCs w:val="20"/>
              </w:rPr>
              <w:t>11800</w:t>
            </w:r>
          </w:p>
        </w:tc>
        <w:tc>
          <w:tcPr>
            <w:tcW w:w="3904" w:type="dxa"/>
            <w:shd w:val="clear" w:color="auto" w:fill="auto"/>
          </w:tcPr>
          <w:p w14:paraId="6FB35240" w14:textId="77777777" w:rsidR="00B23829" w:rsidRPr="00EE1FC5" w:rsidRDefault="00B23829" w:rsidP="00004AD6">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line="288" w:lineRule="auto"/>
              <w:rPr>
                <w:color w:val="000000"/>
                <w:sz w:val="20"/>
                <w:szCs w:val="20"/>
              </w:rPr>
            </w:pPr>
            <w:r w:rsidRPr="00802846">
              <w:rPr>
                <w:color w:val="000000"/>
                <w:sz w:val="20"/>
                <w:szCs w:val="20"/>
              </w:rPr>
              <w:t>OESOPH</w:t>
            </w:r>
            <w:r>
              <w:rPr>
                <w:color w:val="000000"/>
                <w:sz w:val="20"/>
                <w:szCs w:val="20"/>
              </w:rPr>
              <w:t>AGEAL MOTILITY TEST, manometric</w:t>
            </w:r>
          </w:p>
        </w:tc>
        <w:tc>
          <w:tcPr>
            <w:tcW w:w="833" w:type="dxa"/>
            <w:shd w:val="clear" w:color="auto" w:fill="auto"/>
          </w:tcPr>
          <w:p w14:paraId="4D675191" w14:textId="77777777" w:rsidR="00B23829" w:rsidRPr="00802846" w:rsidRDefault="00B23829" w:rsidP="003C441A">
            <w:pPr>
              <w:pStyle w:val="TableTextDecimalAlign"/>
            </w:pPr>
            <w:r w:rsidRPr="00802846">
              <w:t>$174.45</w:t>
            </w:r>
          </w:p>
        </w:tc>
        <w:tc>
          <w:tcPr>
            <w:tcW w:w="1010" w:type="dxa"/>
            <w:shd w:val="clear" w:color="auto" w:fill="auto"/>
          </w:tcPr>
          <w:p w14:paraId="0FB10C4F" w14:textId="77777777" w:rsidR="00B23829" w:rsidRPr="00802846" w:rsidRDefault="00B23829" w:rsidP="00004AD6">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line="288" w:lineRule="auto"/>
              <w:jc w:val="right"/>
              <w:rPr>
                <w:color w:val="000000"/>
                <w:sz w:val="20"/>
                <w:szCs w:val="20"/>
              </w:rPr>
            </w:pPr>
            <w:r>
              <w:rPr>
                <w:color w:val="000000"/>
                <w:sz w:val="20"/>
                <w:szCs w:val="20"/>
              </w:rPr>
              <w:t>5,150</w:t>
            </w:r>
          </w:p>
        </w:tc>
        <w:tc>
          <w:tcPr>
            <w:tcW w:w="1134" w:type="dxa"/>
            <w:shd w:val="clear" w:color="auto" w:fill="auto"/>
          </w:tcPr>
          <w:p w14:paraId="1631E401" w14:textId="77777777" w:rsidR="00B23829" w:rsidRDefault="00B23829" w:rsidP="00004AD6">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line="288" w:lineRule="auto"/>
              <w:jc w:val="right"/>
              <w:rPr>
                <w:color w:val="000000"/>
                <w:sz w:val="20"/>
                <w:szCs w:val="20"/>
              </w:rPr>
            </w:pPr>
            <w:r>
              <w:rPr>
                <w:color w:val="000000"/>
                <w:sz w:val="20"/>
                <w:szCs w:val="20"/>
              </w:rPr>
              <w:t>7%</w:t>
            </w:r>
          </w:p>
        </w:tc>
      </w:tr>
      <w:tr w:rsidR="00B23829" w14:paraId="54E876D1" w14:textId="77777777" w:rsidTr="00BF1B51">
        <w:tc>
          <w:tcPr>
            <w:tcW w:w="1701" w:type="dxa"/>
            <w:vMerge/>
          </w:tcPr>
          <w:p w14:paraId="28EC264D" w14:textId="77777777" w:rsidR="00B23829" w:rsidRPr="00EE1FC5" w:rsidRDefault="00B23829" w:rsidP="00004AD6">
            <w:pPr>
              <w:spacing w:before="40" w:after="40" w:line="288" w:lineRule="auto"/>
              <w:rPr>
                <w:b/>
                <w:sz w:val="20"/>
                <w:szCs w:val="20"/>
              </w:rPr>
            </w:pPr>
          </w:p>
        </w:tc>
        <w:tc>
          <w:tcPr>
            <w:tcW w:w="916" w:type="dxa"/>
            <w:shd w:val="clear" w:color="auto" w:fill="auto"/>
          </w:tcPr>
          <w:p w14:paraId="388A8061" w14:textId="426B4969" w:rsidR="00B23829" w:rsidRPr="00EE1FC5" w:rsidRDefault="00B23829" w:rsidP="00004AD6">
            <w:pPr>
              <w:spacing w:before="40" w:after="40" w:line="288" w:lineRule="auto"/>
              <w:rPr>
                <w:b/>
                <w:sz w:val="20"/>
                <w:szCs w:val="20"/>
              </w:rPr>
            </w:pPr>
            <w:r w:rsidRPr="00EE1FC5">
              <w:rPr>
                <w:b/>
                <w:sz w:val="20"/>
                <w:szCs w:val="20"/>
              </w:rPr>
              <w:t>11801</w:t>
            </w:r>
          </w:p>
        </w:tc>
        <w:tc>
          <w:tcPr>
            <w:tcW w:w="3904" w:type="dxa"/>
            <w:shd w:val="clear" w:color="auto" w:fill="auto"/>
          </w:tcPr>
          <w:p w14:paraId="346BCC9A" w14:textId="77777777" w:rsidR="00B23829" w:rsidRPr="00802846" w:rsidRDefault="00B23829" w:rsidP="00004AD6">
            <w:pPr>
              <w:autoSpaceDE w:val="0"/>
              <w:autoSpaceDN w:val="0"/>
              <w:adjustRightInd w:val="0"/>
              <w:spacing w:before="40" w:after="40" w:line="288" w:lineRule="auto"/>
              <w:rPr>
                <w:sz w:val="20"/>
                <w:szCs w:val="20"/>
              </w:rPr>
            </w:pPr>
            <w:r w:rsidRPr="00802846">
              <w:rPr>
                <w:sz w:val="20"/>
                <w:szCs w:val="20"/>
              </w:rPr>
              <w:t xml:space="preserve">CLINICAL ASSESSMENT OF GASTRO-OESOPHAGEAL REFLUX DISEASE that involves 48 hour catheter-free wireless ambulatory oesophageal pH monitoring including administration of the device and associated endoscopy procedure for placement, analysis and interpretation of the data and all attendances for providing the service, if </w:t>
            </w:r>
          </w:p>
          <w:p w14:paraId="3A978461" w14:textId="1C3EB5A5" w:rsidR="00B23829" w:rsidRPr="00BF1B51" w:rsidRDefault="00B23829" w:rsidP="00BF1B51">
            <w:pPr>
              <w:pStyle w:val="ListParagraph"/>
              <w:numPr>
                <w:ilvl w:val="0"/>
                <w:numId w:val="83"/>
              </w:numPr>
              <w:tabs>
                <w:tab w:val="left" w:pos="709"/>
                <w:tab w:val="left" w:pos="1140"/>
              </w:tabs>
              <w:autoSpaceDE w:val="0"/>
              <w:autoSpaceDN w:val="0"/>
              <w:adjustRightInd w:val="0"/>
              <w:spacing w:before="40" w:after="40" w:line="288" w:lineRule="auto"/>
              <w:rPr>
                <w:sz w:val="20"/>
                <w:szCs w:val="20"/>
              </w:rPr>
            </w:pPr>
            <w:r w:rsidRPr="00BF1B51">
              <w:rPr>
                <w:sz w:val="20"/>
                <w:szCs w:val="20"/>
              </w:rPr>
              <w:t>has been attempted on the patient but failed due to clinical complications, or</w:t>
            </w:r>
          </w:p>
          <w:p w14:paraId="5FBA6992" w14:textId="32C60E37" w:rsidR="00B23829" w:rsidRPr="00802846" w:rsidRDefault="00BF1B51" w:rsidP="00C22AE4">
            <w:pPr>
              <w:tabs>
                <w:tab w:val="left" w:pos="709"/>
              </w:tabs>
              <w:autoSpaceDE w:val="0"/>
              <w:autoSpaceDN w:val="0"/>
              <w:adjustRightInd w:val="0"/>
              <w:spacing w:before="40" w:after="40" w:line="288" w:lineRule="auto"/>
              <w:ind w:left="658" w:hanging="375"/>
              <w:rPr>
                <w:sz w:val="20"/>
                <w:szCs w:val="20"/>
              </w:rPr>
            </w:pPr>
            <w:r>
              <w:rPr>
                <w:sz w:val="20"/>
                <w:szCs w:val="20"/>
              </w:rPr>
              <w:tab/>
              <w:t>(ii)</w:t>
            </w:r>
            <w:r w:rsidR="00B23829" w:rsidRPr="00802846">
              <w:rPr>
                <w:sz w:val="20"/>
                <w:szCs w:val="20"/>
              </w:rPr>
              <w:t>is not clinically appropriate for the patient due to anatomical reasons (nasopharyngeal anatomy)</w:t>
            </w:r>
            <w:r w:rsidR="00B23829">
              <w:rPr>
                <w:sz w:val="20"/>
                <w:szCs w:val="20"/>
              </w:rPr>
              <w:t xml:space="preserve"> </w:t>
            </w:r>
            <w:r w:rsidR="00B23829" w:rsidRPr="00802846">
              <w:rPr>
                <w:sz w:val="20"/>
                <w:szCs w:val="20"/>
              </w:rPr>
              <w:t>preventing the use of catheter-based pH monitoring; (a)</w:t>
            </w:r>
            <w:r w:rsidR="00B23829" w:rsidRPr="00802846">
              <w:rPr>
                <w:sz w:val="20"/>
                <w:szCs w:val="20"/>
              </w:rPr>
              <w:tab/>
              <w:t xml:space="preserve">a catheter-based </w:t>
            </w:r>
            <w:r w:rsidR="00B23829" w:rsidRPr="00802846">
              <w:rPr>
                <w:sz w:val="20"/>
                <w:szCs w:val="20"/>
              </w:rPr>
              <w:lastRenderedPageBreak/>
              <w:t>ambulatory oesophageal pH-m</w:t>
            </w:r>
            <w:r w:rsidR="00B23829">
              <w:rPr>
                <w:sz w:val="20"/>
                <w:szCs w:val="20"/>
              </w:rPr>
              <w:t>o</w:t>
            </w:r>
            <w:r w:rsidR="00B23829" w:rsidRPr="00802846">
              <w:rPr>
                <w:sz w:val="20"/>
                <w:szCs w:val="20"/>
              </w:rPr>
              <w:t>nitoring:</w:t>
            </w:r>
          </w:p>
          <w:p w14:paraId="61BE4E29" w14:textId="77777777" w:rsidR="00B23829" w:rsidRPr="00802846" w:rsidRDefault="00B23829" w:rsidP="00004AD6">
            <w:pPr>
              <w:tabs>
                <w:tab w:val="left" w:pos="709"/>
                <w:tab w:val="left" w:pos="1134"/>
              </w:tabs>
              <w:autoSpaceDE w:val="0"/>
              <w:autoSpaceDN w:val="0"/>
              <w:adjustRightInd w:val="0"/>
              <w:spacing w:before="40" w:after="40" w:line="288" w:lineRule="auto"/>
              <w:ind w:left="1083" w:hanging="800"/>
              <w:rPr>
                <w:sz w:val="20"/>
                <w:szCs w:val="20"/>
              </w:rPr>
            </w:pPr>
            <w:r w:rsidRPr="00802846">
              <w:rPr>
                <w:sz w:val="20"/>
                <w:szCs w:val="20"/>
              </w:rPr>
              <w:t xml:space="preserve"> and</w:t>
            </w:r>
          </w:p>
          <w:p w14:paraId="5CC95B53" w14:textId="77777777" w:rsidR="00B23829" w:rsidRPr="00802846" w:rsidRDefault="00B23829" w:rsidP="00004AD6">
            <w:pPr>
              <w:tabs>
                <w:tab w:val="left" w:pos="709"/>
                <w:tab w:val="left" w:pos="1140"/>
              </w:tabs>
              <w:autoSpaceDE w:val="0"/>
              <w:autoSpaceDN w:val="0"/>
              <w:adjustRightInd w:val="0"/>
              <w:spacing w:before="40" w:after="40" w:line="288" w:lineRule="auto"/>
              <w:ind w:left="658" w:hanging="375"/>
              <w:rPr>
                <w:sz w:val="20"/>
                <w:szCs w:val="20"/>
              </w:rPr>
            </w:pPr>
            <w:r w:rsidRPr="00802846">
              <w:rPr>
                <w:sz w:val="20"/>
                <w:szCs w:val="20"/>
              </w:rPr>
              <w:t>(b)</w:t>
            </w:r>
            <w:r w:rsidRPr="00802846">
              <w:rPr>
                <w:sz w:val="20"/>
                <w:szCs w:val="20"/>
              </w:rPr>
              <w:tab/>
              <w:t xml:space="preserve">the services is performed by a specialist or consultant physician with endoscopic </w:t>
            </w:r>
            <w:r>
              <w:rPr>
                <w:sz w:val="20"/>
                <w:szCs w:val="20"/>
              </w:rPr>
              <w:t>training that is recognised by t</w:t>
            </w:r>
            <w:r w:rsidRPr="00802846">
              <w:rPr>
                <w:sz w:val="20"/>
                <w:szCs w:val="20"/>
              </w:rPr>
              <w:t xml:space="preserve">he Conjoint Committee for the Recognition of Training in Gastrointestinal Endoscopy. </w:t>
            </w:r>
          </w:p>
          <w:p w14:paraId="33C17697" w14:textId="77777777" w:rsidR="00B23829" w:rsidRPr="00802846" w:rsidRDefault="00B23829" w:rsidP="00004AD6">
            <w:pPr>
              <w:tabs>
                <w:tab w:val="left" w:pos="709"/>
                <w:tab w:val="left" w:pos="1140"/>
              </w:tabs>
              <w:autoSpaceDE w:val="0"/>
              <w:autoSpaceDN w:val="0"/>
              <w:adjustRightInd w:val="0"/>
              <w:spacing w:before="40" w:after="40" w:line="288" w:lineRule="auto"/>
              <w:rPr>
                <w:sz w:val="20"/>
                <w:szCs w:val="20"/>
              </w:rPr>
            </w:pPr>
            <w:r w:rsidRPr="00802846">
              <w:rPr>
                <w:sz w:val="20"/>
                <w:szCs w:val="20"/>
              </w:rPr>
              <w:t>Not in association with another item in Category 2, sub-group 7 (Anaes.)</w:t>
            </w:r>
          </w:p>
        </w:tc>
        <w:tc>
          <w:tcPr>
            <w:tcW w:w="833" w:type="dxa"/>
            <w:shd w:val="clear" w:color="auto" w:fill="auto"/>
          </w:tcPr>
          <w:p w14:paraId="1FEF46DD" w14:textId="77777777" w:rsidR="00B23829" w:rsidRPr="00802846" w:rsidRDefault="00B23829" w:rsidP="00FA1377">
            <w:pPr>
              <w:pStyle w:val="TableTextDecimalAlign"/>
            </w:pPr>
            <w:r w:rsidRPr="00802846">
              <w:lastRenderedPageBreak/>
              <w:t>$263.00</w:t>
            </w:r>
          </w:p>
        </w:tc>
        <w:tc>
          <w:tcPr>
            <w:tcW w:w="1010" w:type="dxa"/>
            <w:shd w:val="clear" w:color="auto" w:fill="auto"/>
          </w:tcPr>
          <w:p w14:paraId="397E551E" w14:textId="77777777" w:rsidR="00B23829" w:rsidRPr="00802846" w:rsidRDefault="00B23829" w:rsidP="00FA1377">
            <w:pPr>
              <w:pStyle w:val="TableTextDecimalAlign"/>
            </w:pPr>
            <w:r>
              <w:t>0</w:t>
            </w:r>
          </w:p>
        </w:tc>
        <w:tc>
          <w:tcPr>
            <w:tcW w:w="1134" w:type="dxa"/>
            <w:shd w:val="clear" w:color="auto" w:fill="auto"/>
          </w:tcPr>
          <w:p w14:paraId="3E9428A7" w14:textId="77777777" w:rsidR="00B23829" w:rsidRDefault="00B23829" w:rsidP="00FA1377">
            <w:pPr>
              <w:pStyle w:val="TableTextDecimalAlign"/>
            </w:pPr>
            <w:r>
              <w:t>n/a</w:t>
            </w:r>
          </w:p>
        </w:tc>
      </w:tr>
      <w:tr w:rsidR="00B23829" w14:paraId="03743A72" w14:textId="77777777" w:rsidTr="00BF1B51">
        <w:tc>
          <w:tcPr>
            <w:tcW w:w="1701" w:type="dxa"/>
            <w:vMerge/>
          </w:tcPr>
          <w:p w14:paraId="60AE3E39" w14:textId="77777777" w:rsidR="00B23829" w:rsidRPr="00EE1FC5" w:rsidRDefault="00B23829" w:rsidP="00004AD6">
            <w:pPr>
              <w:spacing w:before="40" w:after="40" w:line="288" w:lineRule="auto"/>
              <w:rPr>
                <w:b/>
                <w:sz w:val="20"/>
                <w:szCs w:val="20"/>
              </w:rPr>
            </w:pPr>
          </w:p>
        </w:tc>
        <w:tc>
          <w:tcPr>
            <w:tcW w:w="916" w:type="dxa"/>
            <w:shd w:val="clear" w:color="auto" w:fill="auto"/>
          </w:tcPr>
          <w:p w14:paraId="75231C32" w14:textId="068613B2" w:rsidR="00B23829" w:rsidRPr="00EE1FC5" w:rsidRDefault="00B23829" w:rsidP="00004AD6">
            <w:pPr>
              <w:spacing w:before="40" w:after="40" w:line="288" w:lineRule="auto"/>
              <w:rPr>
                <w:b/>
                <w:sz w:val="20"/>
                <w:szCs w:val="20"/>
              </w:rPr>
            </w:pPr>
            <w:r w:rsidRPr="00EE1FC5">
              <w:rPr>
                <w:b/>
                <w:sz w:val="20"/>
                <w:szCs w:val="20"/>
              </w:rPr>
              <w:t>11810</w:t>
            </w:r>
          </w:p>
        </w:tc>
        <w:tc>
          <w:tcPr>
            <w:tcW w:w="3904" w:type="dxa"/>
            <w:shd w:val="clear" w:color="auto" w:fill="auto"/>
          </w:tcPr>
          <w:p w14:paraId="5EFD960F" w14:textId="7C80662F" w:rsidR="00B23829" w:rsidRPr="00802846" w:rsidRDefault="00B23829" w:rsidP="00250799">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line="288" w:lineRule="auto"/>
              <w:rPr>
                <w:sz w:val="20"/>
                <w:szCs w:val="20"/>
              </w:rPr>
            </w:pPr>
            <w:r w:rsidRPr="00802846">
              <w:rPr>
                <w:color w:val="000000"/>
                <w:sz w:val="20"/>
                <w:szCs w:val="20"/>
              </w:rPr>
              <w:t>CLINICAL ASSESSMENT of GASTRO-OESOPHAGEAL REFLUX DISEASE involving 24 hour pH monitoring, including analysis, interpretation and report and including any associated consultation</w:t>
            </w:r>
          </w:p>
        </w:tc>
        <w:tc>
          <w:tcPr>
            <w:tcW w:w="833" w:type="dxa"/>
            <w:shd w:val="clear" w:color="auto" w:fill="auto"/>
          </w:tcPr>
          <w:p w14:paraId="4172ACDE" w14:textId="77777777" w:rsidR="00B23829" w:rsidRPr="00802846" w:rsidRDefault="00B23829" w:rsidP="003C441A">
            <w:pPr>
              <w:pStyle w:val="TableTextDecimalAlign"/>
            </w:pPr>
            <w:r w:rsidRPr="00802846">
              <w:t>$174.45</w:t>
            </w:r>
          </w:p>
        </w:tc>
        <w:tc>
          <w:tcPr>
            <w:tcW w:w="1010" w:type="dxa"/>
            <w:shd w:val="clear" w:color="auto" w:fill="auto"/>
          </w:tcPr>
          <w:p w14:paraId="675E9E4F" w14:textId="77777777" w:rsidR="00B23829" w:rsidRPr="00802846" w:rsidRDefault="00B23829" w:rsidP="00004AD6">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line="288" w:lineRule="auto"/>
              <w:jc w:val="right"/>
              <w:rPr>
                <w:color w:val="000000"/>
                <w:sz w:val="20"/>
                <w:szCs w:val="20"/>
              </w:rPr>
            </w:pPr>
            <w:r>
              <w:rPr>
                <w:color w:val="000000"/>
                <w:sz w:val="20"/>
                <w:szCs w:val="20"/>
              </w:rPr>
              <w:t>3,935</w:t>
            </w:r>
          </w:p>
        </w:tc>
        <w:tc>
          <w:tcPr>
            <w:tcW w:w="1134" w:type="dxa"/>
            <w:shd w:val="clear" w:color="auto" w:fill="auto"/>
          </w:tcPr>
          <w:p w14:paraId="33EC187D" w14:textId="77777777" w:rsidR="00B23829" w:rsidRDefault="00B23829" w:rsidP="00004AD6">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line="288" w:lineRule="auto"/>
              <w:jc w:val="right"/>
              <w:rPr>
                <w:color w:val="000000"/>
                <w:sz w:val="20"/>
                <w:szCs w:val="20"/>
              </w:rPr>
            </w:pPr>
            <w:r>
              <w:rPr>
                <w:color w:val="000000"/>
                <w:sz w:val="20"/>
                <w:szCs w:val="20"/>
              </w:rPr>
              <w:t>19%</w:t>
            </w:r>
          </w:p>
        </w:tc>
      </w:tr>
      <w:tr w:rsidR="00B23829" w14:paraId="45077178" w14:textId="77777777" w:rsidTr="00BF1B51">
        <w:tc>
          <w:tcPr>
            <w:tcW w:w="1701" w:type="dxa"/>
          </w:tcPr>
          <w:p w14:paraId="6EF7C240" w14:textId="30B9AF01" w:rsidR="00B23829" w:rsidRPr="00EE1FC5" w:rsidRDefault="00B23829" w:rsidP="00004AD6">
            <w:pPr>
              <w:spacing w:before="40" w:after="40" w:line="288" w:lineRule="auto"/>
              <w:rPr>
                <w:b/>
                <w:sz w:val="20"/>
                <w:szCs w:val="20"/>
              </w:rPr>
            </w:pPr>
            <w:r>
              <w:rPr>
                <w:b/>
                <w:color w:val="000000"/>
                <w:sz w:val="20"/>
                <w:szCs w:val="20"/>
              </w:rPr>
              <w:t>Diagnosis of abnormalities of the pelvic floor</w:t>
            </w:r>
          </w:p>
        </w:tc>
        <w:tc>
          <w:tcPr>
            <w:tcW w:w="916" w:type="dxa"/>
            <w:shd w:val="clear" w:color="auto" w:fill="auto"/>
          </w:tcPr>
          <w:p w14:paraId="05A8F655" w14:textId="2B5B772D" w:rsidR="00B23829" w:rsidRPr="00EE1FC5" w:rsidRDefault="00B23829" w:rsidP="00004AD6">
            <w:pPr>
              <w:spacing w:before="40" w:after="40" w:line="288" w:lineRule="auto"/>
              <w:rPr>
                <w:b/>
                <w:sz w:val="20"/>
                <w:szCs w:val="20"/>
              </w:rPr>
            </w:pPr>
            <w:r w:rsidRPr="00EE1FC5">
              <w:rPr>
                <w:b/>
                <w:sz w:val="20"/>
                <w:szCs w:val="20"/>
              </w:rPr>
              <w:t>11830</w:t>
            </w:r>
          </w:p>
        </w:tc>
        <w:tc>
          <w:tcPr>
            <w:tcW w:w="3904" w:type="dxa"/>
            <w:shd w:val="clear" w:color="auto" w:fill="auto"/>
          </w:tcPr>
          <w:p w14:paraId="3DFEDFBD" w14:textId="5CF9216E" w:rsidR="00B23829" w:rsidRPr="00802846" w:rsidRDefault="00B23829" w:rsidP="004304F5">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line="288" w:lineRule="auto"/>
              <w:rPr>
                <w:color w:val="000000"/>
                <w:sz w:val="20"/>
                <w:szCs w:val="20"/>
              </w:rPr>
            </w:pPr>
            <w:r w:rsidRPr="00802846">
              <w:rPr>
                <w:color w:val="000000"/>
                <w:sz w:val="20"/>
                <w:szCs w:val="20"/>
              </w:rPr>
              <w:t>DIAGNOSIS of ABNORMALITIES of the PELVIC FLOOR involving anal manometry or measurement of anorectal sensation or measurement of the rectosphincteric reflex</w:t>
            </w:r>
          </w:p>
        </w:tc>
        <w:tc>
          <w:tcPr>
            <w:tcW w:w="833" w:type="dxa"/>
            <w:shd w:val="clear" w:color="auto" w:fill="auto"/>
          </w:tcPr>
          <w:p w14:paraId="75DA2CB9" w14:textId="77777777" w:rsidR="00B23829" w:rsidRPr="00802846" w:rsidRDefault="00B23829" w:rsidP="00004AD6">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line="288" w:lineRule="auto"/>
              <w:jc w:val="right"/>
              <w:rPr>
                <w:color w:val="000000"/>
                <w:sz w:val="20"/>
                <w:szCs w:val="20"/>
              </w:rPr>
            </w:pPr>
            <w:r w:rsidRPr="00802846">
              <w:rPr>
                <w:color w:val="000000"/>
                <w:sz w:val="20"/>
                <w:szCs w:val="20"/>
              </w:rPr>
              <w:t>$186.80</w:t>
            </w:r>
          </w:p>
        </w:tc>
        <w:tc>
          <w:tcPr>
            <w:tcW w:w="1010" w:type="dxa"/>
            <w:shd w:val="clear" w:color="auto" w:fill="auto"/>
          </w:tcPr>
          <w:p w14:paraId="4DF2B7F5" w14:textId="77777777" w:rsidR="00B23829" w:rsidRPr="00802846" w:rsidRDefault="00B23829" w:rsidP="00004AD6">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line="288" w:lineRule="auto"/>
              <w:jc w:val="right"/>
              <w:rPr>
                <w:color w:val="000000"/>
                <w:sz w:val="20"/>
                <w:szCs w:val="20"/>
              </w:rPr>
            </w:pPr>
            <w:r>
              <w:rPr>
                <w:color w:val="000000"/>
                <w:sz w:val="20"/>
                <w:szCs w:val="20"/>
              </w:rPr>
              <w:t>5,141</w:t>
            </w:r>
          </w:p>
        </w:tc>
        <w:tc>
          <w:tcPr>
            <w:tcW w:w="1134" w:type="dxa"/>
            <w:shd w:val="clear" w:color="auto" w:fill="auto"/>
          </w:tcPr>
          <w:p w14:paraId="73880A7E" w14:textId="77777777" w:rsidR="00B23829" w:rsidRDefault="00B23829" w:rsidP="00004AD6">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line="288" w:lineRule="auto"/>
              <w:jc w:val="right"/>
              <w:rPr>
                <w:color w:val="000000"/>
                <w:sz w:val="20"/>
                <w:szCs w:val="20"/>
              </w:rPr>
            </w:pPr>
            <w:r>
              <w:rPr>
                <w:color w:val="000000"/>
                <w:sz w:val="20"/>
                <w:szCs w:val="20"/>
              </w:rPr>
              <w:t>7%</w:t>
            </w:r>
          </w:p>
        </w:tc>
      </w:tr>
      <w:tr w:rsidR="00B83B04" w14:paraId="07154223" w14:textId="77777777" w:rsidTr="00BF1B51">
        <w:tc>
          <w:tcPr>
            <w:tcW w:w="1701" w:type="dxa"/>
          </w:tcPr>
          <w:p w14:paraId="12A1E77F" w14:textId="4ADAEB47" w:rsidR="00B83B04" w:rsidRPr="00EE1FC5" w:rsidRDefault="00B83B04" w:rsidP="00004AD6">
            <w:pPr>
              <w:spacing w:before="40" w:after="40" w:line="288" w:lineRule="auto"/>
              <w:rPr>
                <w:b/>
                <w:sz w:val="20"/>
                <w:szCs w:val="20"/>
              </w:rPr>
            </w:pPr>
            <w:r>
              <w:rPr>
                <w:b/>
                <w:color w:val="000000"/>
                <w:sz w:val="20"/>
                <w:szCs w:val="20"/>
              </w:rPr>
              <w:t>Capsule endoscopy</w:t>
            </w:r>
          </w:p>
        </w:tc>
        <w:tc>
          <w:tcPr>
            <w:tcW w:w="916" w:type="dxa"/>
            <w:shd w:val="clear" w:color="auto" w:fill="auto"/>
          </w:tcPr>
          <w:p w14:paraId="08A0D7A9" w14:textId="05330DB7" w:rsidR="00B83B04" w:rsidRPr="00EE1FC5" w:rsidRDefault="00B83B04" w:rsidP="00004AD6">
            <w:pPr>
              <w:spacing w:before="40" w:after="40" w:line="288" w:lineRule="auto"/>
              <w:rPr>
                <w:b/>
                <w:sz w:val="20"/>
                <w:szCs w:val="20"/>
              </w:rPr>
            </w:pPr>
            <w:r w:rsidRPr="00EE1FC5">
              <w:rPr>
                <w:b/>
                <w:sz w:val="20"/>
                <w:szCs w:val="20"/>
              </w:rPr>
              <w:t>11823</w:t>
            </w:r>
          </w:p>
        </w:tc>
        <w:tc>
          <w:tcPr>
            <w:tcW w:w="3904" w:type="dxa"/>
            <w:shd w:val="clear" w:color="auto" w:fill="auto"/>
          </w:tcPr>
          <w:p w14:paraId="1D7E2D90" w14:textId="77777777" w:rsidR="00B83B04" w:rsidRPr="00802846" w:rsidRDefault="00B83B04" w:rsidP="00004AD6">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line="288" w:lineRule="auto"/>
              <w:rPr>
                <w:color w:val="000000"/>
                <w:sz w:val="20"/>
                <w:szCs w:val="20"/>
              </w:rPr>
            </w:pPr>
            <w:r w:rsidRPr="00802846">
              <w:rPr>
                <w:color w:val="000000"/>
                <w:sz w:val="20"/>
                <w:szCs w:val="20"/>
              </w:rPr>
              <w:t>Capsule endoscopy to conduct small bowel surveillance of a patient diagnosed with Peutz-Jeghers Syndrome, using a</w:t>
            </w:r>
            <w:r>
              <w:rPr>
                <w:color w:val="000000"/>
                <w:sz w:val="20"/>
                <w:szCs w:val="20"/>
              </w:rPr>
              <w:t xml:space="preserve"> </w:t>
            </w:r>
            <w:r w:rsidRPr="00802846">
              <w:rPr>
                <w:color w:val="000000"/>
                <w:sz w:val="20"/>
                <w:szCs w:val="20"/>
              </w:rPr>
              <w:t>capsule endoscopy device approved by the Therapeutic Goods Administration (including administration of the capsule, imaging, image reading and interpretation, and all attendances for providing the service on the day the capsule is administered) if:</w:t>
            </w:r>
          </w:p>
          <w:p w14:paraId="0CA6A583" w14:textId="77777777" w:rsidR="00B83B04" w:rsidRPr="00802846" w:rsidRDefault="00B83B04" w:rsidP="00004AD6">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line="288" w:lineRule="auto"/>
              <w:rPr>
                <w:color w:val="000000"/>
                <w:sz w:val="20"/>
                <w:szCs w:val="20"/>
              </w:rPr>
            </w:pPr>
            <w:r w:rsidRPr="00802846">
              <w:rPr>
                <w:color w:val="000000"/>
                <w:sz w:val="20"/>
                <w:szCs w:val="20"/>
              </w:rPr>
              <w:t>(a) the service is performed by a specialist or consultant physician with endoscopic training that is recognised by</w:t>
            </w:r>
          </w:p>
          <w:p w14:paraId="70284EE8" w14:textId="77777777" w:rsidR="00B83B04" w:rsidRPr="00802846" w:rsidRDefault="00B83B04" w:rsidP="00004AD6">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line="288" w:lineRule="auto"/>
              <w:rPr>
                <w:color w:val="000000"/>
                <w:sz w:val="20"/>
                <w:szCs w:val="20"/>
              </w:rPr>
            </w:pPr>
            <w:r w:rsidRPr="00802846">
              <w:rPr>
                <w:color w:val="000000"/>
                <w:sz w:val="20"/>
                <w:szCs w:val="20"/>
              </w:rPr>
              <w:t>the Conjoint Committee for the Recognition of Training in Gastrointestinal Endoscopy; and</w:t>
            </w:r>
          </w:p>
          <w:p w14:paraId="5567FC96" w14:textId="77777777" w:rsidR="00B83B04" w:rsidRPr="00802846" w:rsidRDefault="00B83B04" w:rsidP="00004AD6">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line="288" w:lineRule="auto"/>
              <w:rPr>
                <w:color w:val="000000"/>
                <w:sz w:val="20"/>
                <w:szCs w:val="20"/>
              </w:rPr>
            </w:pPr>
            <w:r w:rsidRPr="00802846">
              <w:rPr>
                <w:color w:val="000000"/>
                <w:sz w:val="20"/>
                <w:szCs w:val="20"/>
              </w:rPr>
              <w:t>(b) the item is performed only once in any 2 year period; and</w:t>
            </w:r>
          </w:p>
          <w:p w14:paraId="1151EC53" w14:textId="77777777" w:rsidR="00B83B04" w:rsidRPr="00802846" w:rsidRDefault="00B83B04" w:rsidP="00004AD6">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line="288" w:lineRule="auto"/>
              <w:rPr>
                <w:color w:val="000000"/>
                <w:sz w:val="20"/>
                <w:szCs w:val="20"/>
              </w:rPr>
            </w:pPr>
            <w:r w:rsidRPr="00802846">
              <w:rPr>
                <w:color w:val="000000"/>
                <w:sz w:val="20"/>
                <w:szCs w:val="20"/>
              </w:rPr>
              <w:t>(c) the service is not assoc</w:t>
            </w:r>
            <w:r>
              <w:rPr>
                <w:color w:val="000000"/>
                <w:sz w:val="20"/>
                <w:szCs w:val="20"/>
              </w:rPr>
              <w:t>iated with balloon enteroscopy.</w:t>
            </w:r>
          </w:p>
        </w:tc>
        <w:tc>
          <w:tcPr>
            <w:tcW w:w="833" w:type="dxa"/>
            <w:shd w:val="clear" w:color="auto" w:fill="auto"/>
          </w:tcPr>
          <w:p w14:paraId="0EE3D9DD" w14:textId="77777777" w:rsidR="00B83B04" w:rsidRPr="00802846" w:rsidRDefault="00B83B04" w:rsidP="00004AD6">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line="288" w:lineRule="auto"/>
              <w:jc w:val="right"/>
              <w:rPr>
                <w:color w:val="000000"/>
                <w:sz w:val="20"/>
                <w:szCs w:val="20"/>
              </w:rPr>
            </w:pPr>
            <w:r w:rsidRPr="00802846">
              <w:rPr>
                <w:color w:val="000000"/>
                <w:sz w:val="20"/>
                <w:szCs w:val="20"/>
              </w:rPr>
              <w:t>$2,039.20</w:t>
            </w:r>
          </w:p>
        </w:tc>
        <w:tc>
          <w:tcPr>
            <w:tcW w:w="1010" w:type="dxa"/>
            <w:shd w:val="clear" w:color="auto" w:fill="auto"/>
          </w:tcPr>
          <w:p w14:paraId="56299F1E" w14:textId="77777777" w:rsidR="00B83B04" w:rsidRPr="00802846" w:rsidRDefault="00B83B04" w:rsidP="00004AD6">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line="288" w:lineRule="auto"/>
              <w:jc w:val="right"/>
              <w:rPr>
                <w:color w:val="000000"/>
                <w:sz w:val="20"/>
                <w:szCs w:val="20"/>
              </w:rPr>
            </w:pPr>
            <w:r>
              <w:rPr>
                <w:color w:val="000000"/>
                <w:sz w:val="20"/>
                <w:szCs w:val="20"/>
              </w:rPr>
              <w:t>62</w:t>
            </w:r>
          </w:p>
        </w:tc>
        <w:tc>
          <w:tcPr>
            <w:tcW w:w="1134" w:type="dxa"/>
            <w:shd w:val="clear" w:color="auto" w:fill="auto"/>
          </w:tcPr>
          <w:p w14:paraId="15CA25B5" w14:textId="77777777" w:rsidR="00B83B04" w:rsidRDefault="00B83B04" w:rsidP="00004AD6">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line="288" w:lineRule="auto"/>
              <w:jc w:val="right"/>
              <w:rPr>
                <w:color w:val="000000"/>
                <w:sz w:val="20"/>
                <w:szCs w:val="20"/>
              </w:rPr>
            </w:pPr>
            <w:r>
              <w:rPr>
                <w:color w:val="000000"/>
                <w:sz w:val="20"/>
                <w:szCs w:val="20"/>
              </w:rPr>
              <w:t>59%</w:t>
            </w:r>
          </w:p>
        </w:tc>
      </w:tr>
      <w:tr w:rsidR="00B23829" w14:paraId="0408BA11" w14:textId="77777777" w:rsidTr="00BF1B51">
        <w:tc>
          <w:tcPr>
            <w:tcW w:w="1701" w:type="dxa"/>
            <w:vMerge w:val="restart"/>
          </w:tcPr>
          <w:p w14:paraId="0BC4374E" w14:textId="451E46BC" w:rsidR="00B23829" w:rsidRPr="00EE1FC5" w:rsidRDefault="00B23829" w:rsidP="00004AD6">
            <w:pPr>
              <w:spacing w:before="40" w:after="40" w:line="288" w:lineRule="auto"/>
              <w:rPr>
                <w:b/>
                <w:sz w:val="20"/>
                <w:szCs w:val="20"/>
              </w:rPr>
            </w:pPr>
            <w:r>
              <w:rPr>
                <w:b/>
                <w:color w:val="000000"/>
                <w:sz w:val="20"/>
                <w:szCs w:val="20"/>
              </w:rPr>
              <w:t xml:space="preserve">Oesophagoscopy and endoscopic </w:t>
            </w:r>
            <w:r>
              <w:rPr>
                <w:b/>
                <w:color w:val="000000"/>
                <w:sz w:val="20"/>
                <w:szCs w:val="20"/>
              </w:rPr>
              <w:lastRenderedPageBreak/>
              <w:t>procedures on the Oesophagus</w:t>
            </w:r>
          </w:p>
        </w:tc>
        <w:tc>
          <w:tcPr>
            <w:tcW w:w="916" w:type="dxa"/>
            <w:shd w:val="clear" w:color="auto" w:fill="auto"/>
          </w:tcPr>
          <w:p w14:paraId="6A6D3188" w14:textId="7299A7B8" w:rsidR="00B23829" w:rsidRPr="00EE1FC5" w:rsidRDefault="00B23829" w:rsidP="00004AD6">
            <w:pPr>
              <w:spacing w:before="40" w:after="40" w:line="288" w:lineRule="auto"/>
              <w:rPr>
                <w:b/>
                <w:sz w:val="20"/>
                <w:szCs w:val="20"/>
              </w:rPr>
            </w:pPr>
            <w:r w:rsidRPr="00EE1FC5">
              <w:rPr>
                <w:b/>
                <w:sz w:val="20"/>
                <w:szCs w:val="20"/>
              </w:rPr>
              <w:lastRenderedPageBreak/>
              <w:t>30490</w:t>
            </w:r>
          </w:p>
        </w:tc>
        <w:tc>
          <w:tcPr>
            <w:tcW w:w="3904" w:type="dxa"/>
            <w:shd w:val="clear" w:color="auto" w:fill="auto"/>
          </w:tcPr>
          <w:p w14:paraId="7A12223E" w14:textId="77777777" w:rsidR="00B23829" w:rsidRPr="00802846" w:rsidRDefault="00B23829" w:rsidP="00004AD6">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line="288" w:lineRule="auto"/>
              <w:rPr>
                <w:color w:val="000000"/>
                <w:sz w:val="20"/>
                <w:szCs w:val="20"/>
              </w:rPr>
            </w:pPr>
            <w:r w:rsidRPr="00802846">
              <w:rPr>
                <w:color w:val="000000"/>
                <w:sz w:val="20"/>
                <w:szCs w:val="20"/>
              </w:rPr>
              <w:t>OESOPHAGEAL PROSTHESIS, insertion of, including en</w:t>
            </w:r>
            <w:r>
              <w:rPr>
                <w:color w:val="000000"/>
                <w:sz w:val="20"/>
                <w:szCs w:val="20"/>
              </w:rPr>
              <w:t>doscopy and dilatation (Anaes.)</w:t>
            </w:r>
          </w:p>
        </w:tc>
        <w:tc>
          <w:tcPr>
            <w:tcW w:w="833" w:type="dxa"/>
            <w:shd w:val="clear" w:color="auto" w:fill="auto"/>
          </w:tcPr>
          <w:p w14:paraId="24B89DAF" w14:textId="77777777" w:rsidR="00B23829" w:rsidRPr="00802846" w:rsidRDefault="00B23829" w:rsidP="00004AD6">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line="288" w:lineRule="auto"/>
              <w:jc w:val="right"/>
              <w:rPr>
                <w:color w:val="000000"/>
                <w:sz w:val="20"/>
                <w:szCs w:val="20"/>
              </w:rPr>
            </w:pPr>
            <w:r w:rsidRPr="00802846">
              <w:rPr>
                <w:color w:val="000000"/>
                <w:sz w:val="20"/>
                <w:szCs w:val="20"/>
              </w:rPr>
              <w:t>$526.40</w:t>
            </w:r>
          </w:p>
        </w:tc>
        <w:tc>
          <w:tcPr>
            <w:tcW w:w="1010" w:type="dxa"/>
            <w:shd w:val="clear" w:color="auto" w:fill="auto"/>
          </w:tcPr>
          <w:p w14:paraId="59861179" w14:textId="77777777" w:rsidR="00B23829" w:rsidRPr="00802846" w:rsidRDefault="00B23829" w:rsidP="00004AD6">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line="288" w:lineRule="auto"/>
              <w:jc w:val="right"/>
              <w:rPr>
                <w:color w:val="000000"/>
                <w:sz w:val="20"/>
                <w:szCs w:val="20"/>
              </w:rPr>
            </w:pPr>
            <w:r>
              <w:rPr>
                <w:color w:val="000000"/>
                <w:sz w:val="20"/>
                <w:szCs w:val="20"/>
              </w:rPr>
              <w:t>529</w:t>
            </w:r>
          </w:p>
        </w:tc>
        <w:tc>
          <w:tcPr>
            <w:tcW w:w="1134" w:type="dxa"/>
            <w:shd w:val="clear" w:color="auto" w:fill="auto"/>
          </w:tcPr>
          <w:p w14:paraId="07593311" w14:textId="77777777" w:rsidR="00B23829" w:rsidRDefault="00B23829" w:rsidP="00004AD6">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line="288" w:lineRule="auto"/>
              <w:jc w:val="right"/>
              <w:rPr>
                <w:color w:val="000000"/>
                <w:sz w:val="20"/>
                <w:szCs w:val="20"/>
              </w:rPr>
            </w:pPr>
            <w:r>
              <w:rPr>
                <w:color w:val="000000"/>
                <w:sz w:val="20"/>
                <w:szCs w:val="20"/>
              </w:rPr>
              <w:t>0%</w:t>
            </w:r>
          </w:p>
        </w:tc>
      </w:tr>
      <w:tr w:rsidR="00B23829" w14:paraId="353B049B" w14:textId="77777777" w:rsidTr="00BF1B51">
        <w:tc>
          <w:tcPr>
            <w:tcW w:w="1701" w:type="dxa"/>
            <w:vMerge/>
          </w:tcPr>
          <w:p w14:paraId="36EDC602" w14:textId="77777777" w:rsidR="00B23829" w:rsidRPr="00EE1FC5" w:rsidRDefault="00B23829" w:rsidP="00004AD6">
            <w:pPr>
              <w:spacing w:before="40" w:after="40" w:line="288" w:lineRule="auto"/>
              <w:rPr>
                <w:b/>
                <w:sz w:val="20"/>
                <w:szCs w:val="20"/>
              </w:rPr>
            </w:pPr>
          </w:p>
        </w:tc>
        <w:tc>
          <w:tcPr>
            <w:tcW w:w="916" w:type="dxa"/>
            <w:shd w:val="clear" w:color="auto" w:fill="auto"/>
          </w:tcPr>
          <w:p w14:paraId="5DD6DC11" w14:textId="018A6FC0" w:rsidR="00B23829" w:rsidRPr="00EE1FC5" w:rsidRDefault="00B23829" w:rsidP="00004AD6">
            <w:pPr>
              <w:spacing w:before="40" w:after="40" w:line="288" w:lineRule="auto"/>
              <w:rPr>
                <w:b/>
                <w:sz w:val="20"/>
                <w:szCs w:val="20"/>
              </w:rPr>
            </w:pPr>
            <w:r w:rsidRPr="00EE1FC5">
              <w:rPr>
                <w:b/>
                <w:sz w:val="20"/>
                <w:szCs w:val="20"/>
              </w:rPr>
              <w:t>30687</w:t>
            </w:r>
          </w:p>
        </w:tc>
        <w:tc>
          <w:tcPr>
            <w:tcW w:w="3904" w:type="dxa"/>
            <w:shd w:val="clear" w:color="auto" w:fill="auto"/>
          </w:tcPr>
          <w:p w14:paraId="16C5535E" w14:textId="77777777" w:rsidR="00B23829" w:rsidRPr="00802846" w:rsidRDefault="00B23829" w:rsidP="00004AD6">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line="288" w:lineRule="auto"/>
              <w:rPr>
                <w:color w:val="000000"/>
                <w:sz w:val="20"/>
                <w:szCs w:val="20"/>
              </w:rPr>
            </w:pPr>
            <w:r w:rsidRPr="00802846">
              <w:rPr>
                <w:color w:val="000000"/>
                <w:sz w:val="20"/>
                <w:szCs w:val="20"/>
              </w:rPr>
              <w:t>ENDOSCOPY with RADIOFREQUENCY ABLATION of mucosal metaplasia for the treatment of Barrett's Oesophagus in a single course of treatment, following diagnosis of high grade dysplasia confirmed by histological examination (Anaes.)</w:t>
            </w:r>
          </w:p>
        </w:tc>
        <w:tc>
          <w:tcPr>
            <w:tcW w:w="833" w:type="dxa"/>
            <w:shd w:val="clear" w:color="auto" w:fill="auto"/>
          </w:tcPr>
          <w:p w14:paraId="2B1BF2CC" w14:textId="77777777" w:rsidR="00B23829" w:rsidRPr="00802846" w:rsidRDefault="00B23829" w:rsidP="00004AD6">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line="288" w:lineRule="auto"/>
              <w:jc w:val="right"/>
              <w:rPr>
                <w:color w:val="000000"/>
                <w:sz w:val="20"/>
                <w:szCs w:val="20"/>
              </w:rPr>
            </w:pPr>
            <w:r w:rsidRPr="00802846">
              <w:rPr>
                <w:color w:val="000000"/>
                <w:sz w:val="20"/>
                <w:szCs w:val="20"/>
              </w:rPr>
              <w:t>$476.10</w:t>
            </w:r>
          </w:p>
        </w:tc>
        <w:tc>
          <w:tcPr>
            <w:tcW w:w="1010" w:type="dxa"/>
            <w:shd w:val="clear" w:color="auto" w:fill="auto"/>
          </w:tcPr>
          <w:p w14:paraId="6A3E580B" w14:textId="77777777" w:rsidR="00B23829" w:rsidRPr="00802846" w:rsidRDefault="00B23829" w:rsidP="00004AD6">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line="288" w:lineRule="auto"/>
              <w:jc w:val="right"/>
              <w:rPr>
                <w:color w:val="000000"/>
                <w:sz w:val="20"/>
                <w:szCs w:val="20"/>
              </w:rPr>
            </w:pPr>
            <w:r>
              <w:rPr>
                <w:color w:val="000000"/>
                <w:sz w:val="20"/>
                <w:szCs w:val="20"/>
              </w:rPr>
              <w:t>247</w:t>
            </w:r>
          </w:p>
        </w:tc>
        <w:tc>
          <w:tcPr>
            <w:tcW w:w="1134" w:type="dxa"/>
            <w:shd w:val="clear" w:color="auto" w:fill="auto"/>
          </w:tcPr>
          <w:p w14:paraId="74C49953" w14:textId="77777777" w:rsidR="00B23829" w:rsidRDefault="00B23829" w:rsidP="00004AD6">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line="288" w:lineRule="auto"/>
              <w:jc w:val="right"/>
              <w:rPr>
                <w:color w:val="000000"/>
                <w:sz w:val="20"/>
                <w:szCs w:val="20"/>
              </w:rPr>
            </w:pPr>
            <w:r>
              <w:rPr>
                <w:color w:val="000000"/>
                <w:sz w:val="20"/>
                <w:szCs w:val="20"/>
              </w:rPr>
              <w:t>n/a</w:t>
            </w:r>
          </w:p>
        </w:tc>
      </w:tr>
      <w:tr w:rsidR="00B23829" w14:paraId="69E24BFB" w14:textId="77777777" w:rsidTr="00BF1B51">
        <w:tc>
          <w:tcPr>
            <w:tcW w:w="1701" w:type="dxa"/>
            <w:vMerge w:val="restart"/>
          </w:tcPr>
          <w:p w14:paraId="7BD2D5B1" w14:textId="42DE6619" w:rsidR="00B23829" w:rsidRPr="00EE1FC5" w:rsidRDefault="00B23829" w:rsidP="00004AD6">
            <w:pPr>
              <w:spacing w:before="40" w:after="40" w:line="288" w:lineRule="auto"/>
              <w:rPr>
                <w:b/>
                <w:sz w:val="20"/>
                <w:szCs w:val="20"/>
              </w:rPr>
            </w:pPr>
            <w:r>
              <w:rPr>
                <w:b/>
                <w:color w:val="000000"/>
                <w:sz w:val="20"/>
                <w:szCs w:val="20"/>
              </w:rPr>
              <w:t>Dilatation of upper GI tract</w:t>
            </w:r>
          </w:p>
        </w:tc>
        <w:tc>
          <w:tcPr>
            <w:tcW w:w="916" w:type="dxa"/>
            <w:shd w:val="clear" w:color="auto" w:fill="auto"/>
          </w:tcPr>
          <w:p w14:paraId="768F3180" w14:textId="2C27541E" w:rsidR="00B23829" w:rsidRPr="00EE1FC5" w:rsidRDefault="00B23829" w:rsidP="00004AD6">
            <w:pPr>
              <w:spacing w:before="40" w:after="40" w:line="288" w:lineRule="auto"/>
              <w:rPr>
                <w:b/>
                <w:sz w:val="20"/>
                <w:szCs w:val="20"/>
              </w:rPr>
            </w:pPr>
            <w:r w:rsidRPr="00EE1FC5">
              <w:rPr>
                <w:b/>
                <w:sz w:val="20"/>
                <w:szCs w:val="20"/>
              </w:rPr>
              <w:t>41828</w:t>
            </w:r>
          </w:p>
        </w:tc>
        <w:tc>
          <w:tcPr>
            <w:tcW w:w="3904" w:type="dxa"/>
            <w:shd w:val="clear" w:color="auto" w:fill="auto"/>
          </w:tcPr>
          <w:p w14:paraId="6E6AF8B4" w14:textId="77777777" w:rsidR="00B23829" w:rsidRPr="00802846" w:rsidRDefault="00B23829" w:rsidP="00004AD6">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line="288" w:lineRule="auto"/>
              <w:rPr>
                <w:color w:val="000000"/>
                <w:sz w:val="20"/>
                <w:szCs w:val="20"/>
              </w:rPr>
            </w:pPr>
            <w:r w:rsidRPr="00802846">
              <w:rPr>
                <w:color w:val="000000"/>
                <w:sz w:val="20"/>
                <w:szCs w:val="20"/>
              </w:rPr>
              <w:t>OESOPHAGEAL STRICTURE, dilatation of, without oesophagoscopy (Anaes.)</w:t>
            </w:r>
          </w:p>
        </w:tc>
        <w:tc>
          <w:tcPr>
            <w:tcW w:w="833" w:type="dxa"/>
            <w:shd w:val="clear" w:color="auto" w:fill="auto"/>
          </w:tcPr>
          <w:p w14:paraId="18D3FF50" w14:textId="77777777" w:rsidR="00B23829" w:rsidRPr="00802846" w:rsidRDefault="00B23829" w:rsidP="00004AD6">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line="288" w:lineRule="auto"/>
              <w:jc w:val="right"/>
              <w:rPr>
                <w:color w:val="000000"/>
                <w:sz w:val="20"/>
                <w:szCs w:val="20"/>
              </w:rPr>
            </w:pPr>
            <w:r w:rsidRPr="00802846">
              <w:rPr>
                <w:color w:val="000000"/>
                <w:sz w:val="20"/>
                <w:szCs w:val="20"/>
              </w:rPr>
              <w:t>$52.20</w:t>
            </w:r>
          </w:p>
        </w:tc>
        <w:tc>
          <w:tcPr>
            <w:tcW w:w="1010" w:type="dxa"/>
            <w:shd w:val="clear" w:color="auto" w:fill="auto"/>
          </w:tcPr>
          <w:p w14:paraId="17F66586" w14:textId="77777777" w:rsidR="00B23829" w:rsidRPr="00802846" w:rsidRDefault="00B23829" w:rsidP="00004AD6">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line="288" w:lineRule="auto"/>
              <w:jc w:val="right"/>
              <w:rPr>
                <w:color w:val="000000"/>
                <w:sz w:val="20"/>
                <w:szCs w:val="20"/>
              </w:rPr>
            </w:pPr>
            <w:r>
              <w:rPr>
                <w:color w:val="000000"/>
                <w:sz w:val="20"/>
                <w:szCs w:val="20"/>
              </w:rPr>
              <w:t>21</w:t>
            </w:r>
          </w:p>
        </w:tc>
        <w:tc>
          <w:tcPr>
            <w:tcW w:w="1134" w:type="dxa"/>
            <w:shd w:val="clear" w:color="auto" w:fill="auto"/>
          </w:tcPr>
          <w:p w14:paraId="62A187C4" w14:textId="77777777" w:rsidR="00B23829" w:rsidRDefault="00B23829" w:rsidP="00004AD6">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line="288" w:lineRule="auto"/>
              <w:jc w:val="right"/>
              <w:rPr>
                <w:color w:val="000000"/>
                <w:sz w:val="20"/>
                <w:szCs w:val="20"/>
              </w:rPr>
            </w:pPr>
            <w:r>
              <w:rPr>
                <w:color w:val="000000"/>
                <w:sz w:val="20"/>
                <w:szCs w:val="20"/>
              </w:rPr>
              <w:t>11%</w:t>
            </w:r>
          </w:p>
        </w:tc>
      </w:tr>
      <w:tr w:rsidR="00B23829" w14:paraId="6E832DB1" w14:textId="77777777" w:rsidTr="00BF1B51">
        <w:tc>
          <w:tcPr>
            <w:tcW w:w="1701" w:type="dxa"/>
            <w:vMerge/>
          </w:tcPr>
          <w:p w14:paraId="1F83848C" w14:textId="77777777" w:rsidR="00B23829" w:rsidRPr="00EE1FC5" w:rsidRDefault="00B23829" w:rsidP="00004AD6">
            <w:pPr>
              <w:spacing w:before="40" w:after="40" w:line="288" w:lineRule="auto"/>
              <w:rPr>
                <w:b/>
                <w:sz w:val="20"/>
                <w:szCs w:val="20"/>
              </w:rPr>
            </w:pPr>
          </w:p>
        </w:tc>
        <w:tc>
          <w:tcPr>
            <w:tcW w:w="916" w:type="dxa"/>
            <w:shd w:val="clear" w:color="auto" w:fill="auto"/>
          </w:tcPr>
          <w:p w14:paraId="2989DDF6" w14:textId="625CDC7D" w:rsidR="00B23829" w:rsidRPr="00EE1FC5" w:rsidRDefault="00B23829" w:rsidP="00004AD6">
            <w:pPr>
              <w:spacing w:before="40" w:after="40" w:line="288" w:lineRule="auto"/>
              <w:rPr>
                <w:b/>
                <w:sz w:val="20"/>
                <w:szCs w:val="20"/>
              </w:rPr>
            </w:pPr>
            <w:r w:rsidRPr="00EE1FC5">
              <w:rPr>
                <w:b/>
                <w:sz w:val="20"/>
                <w:szCs w:val="20"/>
              </w:rPr>
              <w:t>41832</w:t>
            </w:r>
          </w:p>
        </w:tc>
        <w:tc>
          <w:tcPr>
            <w:tcW w:w="3904" w:type="dxa"/>
            <w:shd w:val="clear" w:color="auto" w:fill="auto"/>
          </w:tcPr>
          <w:p w14:paraId="2914F0EC" w14:textId="77777777" w:rsidR="00B23829" w:rsidRPr="00802846" w:rsidRDefault="00B23829" w:rsidP="00004AD6">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line="288" w:lineRule="auto"/>
              <w:rPr>
                <w:color w:val="000000"/>
                <w:sz w:val="20"/>
                <w:szCs w:val="20"/>
              </w:rPr>
            </w:pPr>
            <w:r w:rsidRPr="00802846">
              <w:rPr>
                <w:color w:val="000000"/>
                <w:sz w:val="20"/>
                <w:szCs w:val="20"/>
              </w:rPr>
              <w:t>OESOPHAGUS, balloon dilatation of, using interventional imaging techniques (Anaes.)</w:t>
            </w:r>
          </w:p>
        </w:tc>
        <w:tc>
          <w:tcPr>
            <w:tcW w:w="833" w:type="dxa"/>
            <w:shd w:val="clear" w:color="auto" w:fill="auto"/>
          </w:tcPr>
          <w:p w14:paraId="236B5D4F" w14:textId="77777777" w:rsidR="00B23829" w:rsidRPr="00802846" w:rsidRDefault="00B23829" w:rsidP="00004AD6">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line="288" w:lineRule="auto"/>
              <w:jc w:val="right"/>
              <w:rPr>
                <w:color w:val="000000"/>
                <w:sz w:val="20"/>
                <w:szCs w:val="20"/>
              </w:rPr>
            </w:pPr>
            <w:r w:rsidRPr="00802846">
              <w:rPr>
                <w:color w:val="000000"/>
                <w:sz w:val="20"/>
                <w:szCs w:val="20"/>
              </w:rPr>
              <w:t>$228.50</w:t>
            </w:r>
          </w:p>
        </w:tc>
        <w:tc>
          <w:tcPr>
            <w:tcW w:w="1010" w:type="dxa"/>
            <w:shd w:val="clear" w:color="auto" w:fill="auto"/>
          </w:tcPr>
          <w:p w14:paraId="68E775CA" w14:textId="77777777" w:rsidR="00B23829" w:rsidRPr="00802846" w:rsidRDefault="00B23829" w:rsidP="00004AD6">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line="288" w:lineRule="auto"/>
              <w:jc w:val="right"/>
              <w:rPr>
                <w:color w:val="000000"/>
                <w:sz w:val="20"/>
                <w:szCs w:val="20"/>
              </w:rPr>
            </w:pPr>
            <w:r>
              <w:rPr>
                <w:color w:val="000000"/>
                <w:sz w:val="20"/>
                <w:szCs w:val="20"/>
              </w:rPr>
              <w:t>114</w:t>
            </w:r>
          </w:p>
        </w:tc>
        <w:tc>
          <w:tcPr>
            <w:tcW w:w="1134" w:type="dxa"/>
            <w:shd w:val="clear" w:color="auto" w:fill="auto"/>
          </w:tcPr>
          <w:p w14:paraId="129EBB46" w14:textId="77777777" w:rsidR="00B23829" w:rsidRDefault="00B23829" w:rsidP="00004AD6">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line="288" w:lineRule="auto"/>
              <w:jc w:val="right"/>
              <w:rPr>
                <w:color w:val="000000"/>
                <w:sz w:val="20"/>
                <w:szCs w:val="20"/>
              </w:rPr>
            </w:pPr>
            <w:r>
              <w:rPr>
                <w:color w:val="000000"/>
                <w:sz w:val="20"/>
                <w:szCs w:val="20"/>
              </w:rPr>
              <w:t>46%</w:t>
            </w:r>
          </w:p>
        </w:tc>
      </w:tr>
      <w:tr w:rsidR="00B23829" w14:paraId="465D5081" w14:textId="77777777" w:rsidTr="00BF1B51">
        <w:tc>
          <w:tcPr>
            <w:tcW w:w="1701" w:type="dxa"/>
            <w:vMerge w:val="restart"/>
          </w:tcPr>
          <w:p w14:paraId="2F56982F" w14:textId="367E5984" w:rsidR="00B23829" w:rsidRPr="00EE1FC5" w:rsidRDefault="00B23829" w:rsidP="00004AD6">
            <w:pPr>
              <w:spacing w:before="40" w:after="40" w:line="288" w:lineRule="auto"/>
              <w:rPr>
                <w:b/>
                <w:sz w:val="20"/>
                <w:szCs w:val="20"/>
              </w:rPr>
            </w:pPr>
            <w:r>
              <w:rPr>
                <w:b/>
                <w:color w:val="000000"/>
                <w:sz w:val="20"/>
                <w:szCs w:val="20"/>
              </w:rPr>
              <w:t>Gastrostomy</w:t>
            </w:r>
          </w:p>
        </w:tc>
        <w:tc>
          <w:tcPr>
            <w:tcW w:w="916" w:type="dxa"/>
            <w:shd w:val="clear" w:color="auto" w:fill="auto"/>
          </w:tcPr>
          <w:p w14:paraId="6C5F52C8" w14:textId="49968AC6" w:rsidR="00B23829" w:rsidRPr="00EE1FC5" w:rsidRDefault="00B23829" w:rsidP="00004AD6">
            <w:pPr>
              <w:spacing w:before="40" w:after="40" w:line="288" w:lineRule="auto"/>
              <w:rPr>
                <w:b/>
                <w:sz w:val="20"/>
                <w:szCs w:val="20"/>
              </w:rPr>
            </w:pPr>
            <w:r w:rsidRPr="00EE1FC5">
              <w:rPr>
                <w:b/>
                <w:sz w:val="20"/>
                <w:szCs w:val="20"/>
              </w:rPr>
              <w:t>30481</w:t>
            </w:r>
          </w:p>
        </w:tc>
        <w:tc>
          <w:tcPr>
            <w:tcW w:w="3904" w:type="dxa"/>
            <w:shd w:val="clear" w:color="auto" w:fill="auto"/>
          </w:tcPr>
          <w:p w14:paraId="1FF7ACFB" w14:textId="77777777" w:rsidR="00B23829" w:rsidRPr="00802846" w:rsidRDefault="00B23829" w:rsidP="00004AD6">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line="288" w:lineRule="auto"/>
              <w:rPr>
                <w:color w:val="000000"/>
                <w:sz w:val="20"/>
                <w:szCs w:val="20"/>
              </w:rPr>
            </w:pPr>
            <w:r w:rsidRPr="00802846">
              <w:rPr>
                <w:color w:val="000000"/>
                <w:sz w:val="20"/>
                <w:szCs w:val="20"/>
              </w:rPr>
              <w:t>PERCUTANEOUS GASTROSTOMY (initial procedure), including any associated imaging services (Anaes.)</w:t>
            </w:r>
          </w:p>
        </w:tc>
        <w:tc>
          <w:tcPr>
            <w:tcW w:w="833" w:type="dxa"/>
            <w:shd w:val="clear" w:color="auto" w:fill="auto"/>
          </w:tcPr>
          <w:p w14:paraId="7BB3E96E" w14:textId="77777777" w:rsidR="00B23829" w:rsidRPr="00802846" w:rsidRDefault="00B23829" w:rsidP="00004AD6">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line="288" w:lineRule="auto"/>
              <w:jc w:val="right"/>
              <w:rPr>
                <w:color w:val="000000"/>
                <w:sz w:val="20"/>
                <w:szCs w:val="20"/>
              </w:rPr>
            </w:pPr>
            <w:r w:rsidRPr="00802846">
              <w:rPr>
                <w:color w:val="000000"/>
                <w:sz w:val="20"/>
                <w:szCs w:val="20"/>
              </w:rPr>
              <w:t>$357.00</w:t>
            </w:r>
          </w:p>
        </w:tc>
        <w:tc>
          <w:tcPr>
            <w:tcW w:w="1010" w:type="dxa"/>
            <w:shd w:val="clear" w:color="auto" w:fill="auto"/>
          </w:tcPr>
          <w:p w14:paraId="400F0F68" w14:textId="77777777" w:rsidR="00B23829" w:rsidRPr="00802846" w:rsidRDefault="00B23829" w:rsidP="00004AD6">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line="288" w:lineRule="auto"/>
              <w:jc w:val="right"/>
              <w:rPr>
                <w:color w:val="000000"/>
                <w:sz w:val="20"/>
                <w:szCs w:val="20"/>
              </w:rPr>
            </w:pPr>
            <w:r>
              <w:rPr>
                <w:color w:val="000000"/>
                <w:sz w:val="20"/>
                <w:szCs w:val="20"/>
              </w:rPr>
              <w:t>776</w:t>
            </w:r>
          </w:p>
        </w:tc>
        <w:tc>
          <w:tcPr>
            <w:tcW w:w="1134" w:type="dxa"/>
            <w:shd w:val="clear" w:color="auto" w:fill="auto"/>
          </w:tcPr>
          <w:p w14:paraId="1CCED8BB" w14:textId="77777777" w:rsidR="00B23829" w:rsidRDefault="00B23829" w:rsidP="00004AD6">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line="288" w:lineRule="auto"/>
              <w:jc w:val="right"/>
              <w:rPr>
                <w:color w:val="000000"/>
                <w:sz w:val="20"/>
                <w:szCs w:val="20"/>
              </w:rPr>
            </w:pPr>
            <w:r>
              <w:rPr>
                <w:color w:val="000000"/>
                <w:sz w:val="20"/>
                <w:szCs w:val="20"/>
              </w:rPr>
              <w:t>-4%</w:t>
            </w:r>
          </w:p>
        </w:tc>
      </w:tr>
      <w:tr w:rsidR="00B23829" w14:paraId="2142C298" w14:textId="77777777" w:rsidTr="00BF1B51">
        <w:tc>
          <w:tcPr>
            <w:tcW w:w="1701" w:type="dxa"/>
            <w:vMerge/>
          </w:tcPr>
          <w:p w14:paraId="667FAE4A" w14:textId="77777777" w:rsidR="00B23829" w:rsidRPr="00EE1FC5" w:rsidRDefault="00B23829" w:rsidP="00004AD6">
            <w:pPr>
              <w:spacing w:before="40" w:after="40" w:line="288" w:lineRule="auto"/>
              <w:rPr>
                <w:b/>
                <w:sz w:val="20"/>
                <w:szCs w:val="20"/>
              </w:rPr>
            </w:pPr>
          </w:p>
        </w:tc>
        <w:tc>
          <w:tcPr>
            <w:tcW w:w="916" w:type="dxa"/>
            <w:shd w:val="clear" w:color="auto" w:fill="auto"/>
          </w:tcPr>
          <w:p w14:paraId="04E64526" w14:textId="28191D24" w:rsidR="00B23829" w:rsidRPr="00EE1FC5" w:rsidRDefault="00B23829" w:rsidP="00004AD6">
            <w:pPr>
              <w:spacing w:before="40" w:after="40" w:line="288" w:lineRule="auto"/>
              <w:rPr>
                <w:b/>
                <w:sz w:val="20"/>
                <w:szCs w:val="20"/>
              </w:rPr>
            </w:pPr>
            <w:r w:rsidRPr="00EE1FC5">
              <w:rPr>
                <w:b/>
                <w:sz w:val="20"/>
                <w:szCs w:val="20"/>
              </w:rPr>
              <w:t>30482</w:t>
            </w:r>
          </w:p>
        </w:tc>
        <w:tc>
          <w:tcPr>
            <w:tcW w:w="3904" w:type="dxa"/>
            <w:shd w:val="clear" w:color="auto" w:fill="auto"/>
          </w:tcPr>
          <w:p w14:paraId="10F785F2" w14:textId="77777777" w:rsidR="00B23829" w:rsidRPr="00802846" w:rsidRDefault="00B23829" w:rsidP="00004AD6">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line="288" w:lineRule="auto"/>
              <w:rPr>
                <w:color w:val="000000"/>
                <w:sz w:val="20"/>
                <w:szCs w:val="20"/>
              </w:rPr>
            </w:pPr>
            <w:r w:rsidRPr="00802846">
              <w:rPr>
                <w:color w:val="000000"/>
                <w:sz w:val="20"/>
                <w:szCs w:val="20"/>
              </w:rPr>
              <w:t>PERCUTANEOUS GASTROSTOMY (repeat procedure), including any associated imaging services (Anaes.)</w:t>
            </w:r>
          </w:p>
        </w:tc>
        <w:tc>
          <w:tcPr>
            <w:tcW w:w="833" w:type="dxa"/>
            <w:shd w:val="clear" w:color="auto" w:fill="auto"/>
          </w:tcPr>
          <w:p w14:paraId="02DA3ECE" w14:textId="77777777" w:rsidR="00B23829" w:rsidRPr="00802846" w:rsidRDefault="00B23829" w:rsidP="00004AD6">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line="288" w:lineRule="auto"/>
              <w:jc w:val="right"/>
              <w:rPr>
                <w:color w:val="000000"/>
                <w:sz w:val="20"/>
                <w:szCs w:val="20"/>
              </w:rPr>
            </w:pPr>
            <w:r w:rsidRPr="00802846">
              <w:rPr>
                <w:color w:val="000000"/>
                <w:sz w:val="20"/>
                <w:szCs w:val="20"/>
              </w:rPr>
              <w:t>$253.85</w:t>
            </w:r>
          </w:p>
        </w:tc>
        <w:tc>
          <w:tcPr>
            <w:tcW w:w="1010" w:type="dxa"/>
            <w:shd w:val="clear" w:color="auto" w:fill="auto"/>
          </w:tcPr>
          <w:p w14:paraId="09A8068F" w14:textId="77777777" w:rsidR="00B23829" w:rsidRPr="00802846" w:rsidRDefault="00B23829" w:rsidP="00004AD6">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line="288" w:lineRule="auto"/>
              <w:jc w:val="right"/>
              <w:rPr>
                <w:color w:val="000000"/>
                <w:sz w:val="20"/>
                <w:szCs w:val="20"/>
              </w:rPr>
            </w:pPr>
            <w:r>
              <w:rPr>
                <w:color w:val="000000"/>
                <w:sz w:val="20"/>
                <w:szCs w:val="20"/>
              </w:rPr>
              <w:t>587</w:t>
            </w:r>
          </w:p>
        </w:tc>
        <w:tc>
          <w:tcPr>
            <w:tcW w:w="1134" w:type="dxa"/>
            <w:shd w:val="clear" w:color="auto" w:fill="auto"/>
          </w:tcPr>
          <w:p w14:paraId="0E104564" w14:textId="77777777" w:rsidR="00B23829" w:rsidRDefault="00B23829" w:rsidP="00004AD6">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line="288" w:lineRule="auto"/>
              <w:jc w:val="right"/>
              <w:rPr>
                <w:color w:val="000000"/>
                <w:sz w:val="20"/>
                <w:szCs w:val="20"/>
              </w:rPr>
            </w:pPr>
            <w:r>
              <w:rPr>
                <w:color w:val="000000"/>
                <w:sz w:val="20"/>
                <w:szCs w:val="20"/>
              </w:rPr>
              <w:t>27%</w:t>
            </w:r>
          </w:p>
        </w:tc>
      </w:tr>
      <w:tr w:rsidR="00B23829" w14:paraId="15C4A55D" w14:textId="77777777" w:rsidTr="00BF1B51">
        <w:tc>
          <w:tcPr>
            <w:tcW w:w="1701" w:type="dxa"/>
            <w:vMerge/>
          </w:tcPr>
          <w:p w14:paraId="14048CC8" w14:textId="77777777" w:rsidR="00B23829" w:rsidRPr="00EE1FC5" w:rsidRDefault="00B23829" w:rsidP="00004AD6">
            <w:pPr>
              <w:spacing w:before="40" w:after="40" w:line="288" w:lineRule="auto"/>
              <w:rPr>
                <w:b/>
                <w:sz w:val="20"/>
                <w:szCs w:val="20"/>
              </w:rPr>
            </w:pPr>
          </w:p>
        </w:tc>
        <w:tc>
          <w:tcPr>
            <w:tcW w:w="916" w:type="dxa"/>
            <w:shd w:val="clear" w:color="auto" w:fill="auto"/>
          </w:tcPr>
          <w:p w14:paraId="1930116F" w14:textId="4B4E4046" w:rsidR="00B23829" w:rsidRPr="00EE1FC5" w:rsidRDefault="00B23829" w:rsidP="00004AD6">
            <w:pPr>
              <w:spacing w:before="40" w:after="40" w:line="288" w:lineRule="auto"/>
              <w:rPr>
                <w:b/>
                <w:sz w:val="20"/>
                <w:szCs w:val="20"/>
              </w:rPr>
            </w:pPr>
            <w:r w:rsidRPr="00EE1FC5">
              <w:rPr>
                <w:b/>
                <w:sz w:val="20"/>
                <w:szCs w:val="20"/>
              </w:rPr>
              <w:t>30483</w:t>
            </w:r>
          </w:p>
        </w:tc>
        <w:tc>
          <w:tcPr>
            <w:tcW w:w="3904" w:type="dxa"/>
            <w:shd w:val="clear" w:color="auto" w:fill="auto"/>
          </w:tcPr>
          <w:p w14:paraId="641980BD" w14:textId="510236B2" w:rsidR="00B23829" w:rsidRPr="00802846" w:rsidRDefault="00B23829" w:rsidP="004304F5">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line="288" w:lineRule="auto"/>
              <w:rPr>
                <w:color w:val="000000"/>
                <w:sz w:val="20"/>
                <w:szCs w:val="20"/>
              </w:rPr>
            </w:pPr>
            <w:r w:rsidRPr="00802846">
              <w:rPr>
                <w:color w:val="000000"/>
                <w:sz w:val="20"/>
                <w:szCs w:val="20"/>
              </w:rPr>
              <w:t>GASTROSTOMY BUTTON, CAECOSTOMY ANTEGRADE ENEMA DEVICE (CHAIT etc) or STOMAL INDWELLING DEVICE non-endoscopic insertion of, or non-endoscopic replacement of, on a person 10 years of age or over (Anaes.)</w:t>
            </w:r>
          </w:p>
        </w:tc>
        <w:tc>
          <w:tcPr>
            <w:tcW w:w="833" w:type="dxa"/>
            <w:shd w:val="clear" w:color="auto" w:fill="auto"/>
          </w:tcPr>
          <w:p w14:paraId="416CB7B4" w14:textId="77777777" w:rsidR="00B23829" w:rsidRPr="00802846" w:rsidRDefault="00B23829" w:rsidP="00004AD6">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line="288" w:lineRule="auto"/>
              <w:jc w:val="right"/>
              <w:rPr>
                <w:color w:val="000000"/>
                <w:sz w:val="20"/>
                <w:szCs w:val="20"/>
              </w:rPr>
            </w:pPr>
            <w:r w:rsidRPr="00802846">
              <w:rPr>
                <w:color w:val="000000"/>
                <w:sz w:val="20"/>
                <w:szCs w:val="20"/>
              </w:rPr>
              <w:t>$177.05</w:t>
            </w:r>
          </w:p>
        </w:tc>
        <w:tc>
          <w:tcPr>
            <w:tcW w:w="1010" w:type="dxa"/>
            <w:shd w:val="clear" w:color="auto" w:fill="auto"/>
          </w:tcPr>
          <w:p w14:paraId="02D038E1" w14:textId="77777777" w:rsidR="00B23829" w:rsidRPr="00802846" w:rsidRDefault="00B23829" w:rsidP="00004AD6">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line="288" w:lineRule="auto"/>
              <w:jc w:val="right"/>
              <w:rPr>
                <w:color w:val="000000"/>
                <w:sz w:val="20"/>
                <w:szCs w:val="20"/>
              </w:rPr>
            </w:pPr>
            <w:r>
              <w:rPr>
                <w:color w:val="000000"/>
                <w:sz w:val="20"/>
                <w:szCs w:val="20"/>
              </w:rPr>
              <w:t>483</w:t>
            </w:r>
          </w:p>
        </w:tc>
        <w:tc>
          <w:tcPr>
            <w:tcW w:w="1134" w:type="dxa"/>
            <w:shd w:val="clear" w:color="auto" w:fill="auto"/>
          </w:tcPr>
          <w:p w14:paraId="0922C3F8" w14:textId="77777777" w:rsidR="00B23829" w:rsidRDefault="00B23829" w:rsidP="00004AD6">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line="288" w:lineRule="auto"/>
              <w:jc w:val="right"/>
              <w:rPr>
                <w:color w:val="000000"/>
                <w:sz w:val="20"/>
                <w:szCs w:val="20"/>
              </w:rPr>
            </w:pPr>
            <w:r>
              <w:rPr>
                <w:color w:val="000000"/>
                <w:sz w:val="20"/>
                <w:szCs w:val="20"/>
              </w:rPr>
              <w:t>-21%</w:t>
            </w:r>
          </w:p>
        </w:tc>
      </w:tr>
      <w:tr w:rsidR="00B23829" w14:paraId="0ECFF99C" w14:textId="77777777" w:rsidTr="00BF1B51">
        <w:tc>
          <w:tcPr>
            <w:tcW w:w="1701" w:type="dxa"/>
            <w:vMerge w:val="restart"/>
          </w:tcPr>
          <w:p w14:paraId="341AC95F" w14:textId="5ECCA92E" w:rsidR="00B23829" w:rsidRPr="00EE1FC5" w:rsidRDefault="00B23829" w:rsidP="00004AD6">
            <w:pPr>
              <w:spacing w:before="40" w:after="40" w:line="288" w:lineRule="auto"/>
              <w:rPr>
                <w:b/>
                <w:sz w:val="20"/>
                <w:szCs w:val="20"/>
              </w:rPr>
            </w:pPr>
            <w:r>
              <w:rPr>
                <w:b/>
                <w:color w:val="000000"/>
                <w:sz w:val="20"/>
                <w:szCs w:val="20"/>
              </w:rPr>
              <w:t>Examinations and procedures on bile ducts/Pancreas</w:t>
            </w:r>
          </w:p>
        </w:tc>
        <w:tc>
          <w:tcPr>
            <w:tcW w:w="916" w:type="dxa"/>
            <w:shd w:val="clear" w:color="auto" w:fill="auto"/>
          </w:tcPr>
          <w:p w14:paraId="062B217D" w14:textId="6C953B8F" w:rsidR="00B23829" w:rsidRPr="00EE1FC5" w:rsidRDefault="00B23829" w:rsidP="00004AD6">
            <w:pPr>
              <w:spacing w:before="40" w:after="40" w:line="288" w:lineRule="auto"/>
              <w:rPr>
                <w:b/>
                <w:sz w:val="20"/>
                <w:szCs w:val="20"/>
              </w:rPr>
            </w:pPr>
            <w:r w:rsidRPr="00EE1FC5">
              <w:rPr>
                <w:b/>
                <w:sz w:val="20"/>
                <w:szCs w:val="20"/>
              </w:rPr>
              <w:t>30484</w:t>
            </w:r>
          </w:p>
        </w:tc>
        <w:tc>
          <w:tcPr>
            <w:tcW w:w="3904" w:type="dxa"/>
            <w:shd w:val="clear" w:color="auto" w:fill="auto"/>
          </w:tcPr>
          <w:p w14:paraId="3FB06F7C" w14:textId="77777777" w:rsidR="00B23829" w:rsidRPr="00802846" w:rsidRDefault="00B23829" w:rsidP="00004AD6">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line="288" w:lineRule="auto"/>
              <w:rPr>
                <w:color w:val="000000"/>
                <w:sz w:val="20"/>
                <w:szCs w:val="20"/>
              </w:rPr>
            </w:pPr>
            <w:r w:rsidRPr="00802846">
              <w:rPr>
                <w:color w:val="000000"/>
                <w:sz w:val="20"/>
                <w:szCs w:val="20"/>
              </w:rPr>
              <w:t xml:space="preserve">ENDOSCOPIC RETROGRADE CHOLANGIOPANCREATOGRAPHY (Anaes.) </w:t>
            </w:r>
          </w:p>
        </w:tc>
        <w:tc>
          <w:tcPr>
            <w:tcW w:w="833" w:type="dxa"/>
            <w:shd w:val="clear" w:color="auto" w:fill="auto"/>
          </w:tcPr>
          <w:p w14:paraId="6EB1AEED" w14:textId="77777777" w:rsidR="00B23829" w:rsidRPr="00802846" w:rsidRDefault="00B23829" w:rsidP="00004AD6">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line="288" w:lineRule="auto"/>
              <w:jc w:val="right"/>
              <w:rPr>
                <w:color w:val="000000"/>
                <w:sz w:val="20"/>
                <w:szCs w:val="20"/>
              </w:rPr>
            </w:pPr>
            <w:r w:rsidRPr="00802846">
              <w:rPr>
                <w:color w:val="000000"/>
                <w:sz w:val="20"/>
                <w:szCs w:val="20"/>
              </w:rPr>
              <w:t>$364.90</w:t>
            </w:r>
          </w:p>
        </w:tc>
        <w:tc>
          <w:tcPr>
            <w:tcW w:w="1010" w:type="dxa"/>
            <w:shd w:val="clear" w:color="auto" w:fill="auto"/>
          </w:tcPr>
          <w:p w14:paraId="3190B3DB" w14:textId="77777777" w:rsidR="00B23829" w:rsidRPr="00802846" w:rsidRDefault="00B23829" w:rsidP="00004AD6">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line="288" w:lineRule="auto"/>
              <w:jc w:val="right"/>
              <w:rPr>
                <w:color w:val="000000"/>
                <w:sz w:val="20"/>
                <w:szCs w:val="20"/>
              </w:rPr>
            </w:pPr>
            <w:r>
              <w:rPr>
                <w:color w:val="000000"/>
                <w:sz w:val="20"/>
                <w:szCs w:val="20"/>
              </w:rPr>
              <w:t>6,924</w:t>
            </w:r>
          </w:p>
        </w:tc>
        <w:tc>
          <w:tcPr>
            <w:tcW w:w="1134" w:type="dxa"/>
            <w:shd w:val="clear" w:color="auto" w:fill="auto"/>
          </w:tcPr>
          <w:p w14:paraId="1750B8D8" w14:textId="77777777" w:rsidR="00B23829" w:rsidRDefault="00B23829" w:rsidP="00004AD6">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line="288" w:lineRule="auto"/>
              <w:jc w:val="right"/>
              <w:rPr>
                <w:color w:val="000000"/>
                <w:sz w:val="20"/>
                <w:szCs w:val="20"/>
              </w:rPr>
            </w:pPr>
            <w:r>
              <w:rPr>
                <w:color w:val="000000"/>
                <w:sz w:val="20"/>
                <w:szCs w:val="20"/>
              </w:rPr>
              <w:t>9%</w:t>
            </w:r>
          </w:p>
        </w:tc>
      </w:tr>
      <w:tr w:rsidR="00B23829" w14:paraId="6AE06128" w14:textId="77777777" w:rsidTr="00BF1B51">
        <w:tc>
          <w:tcPr>
            <w:tcW w:w="1701" w:type="dxa"/>
            <w:vMerge/>
          </w:tcPr>
          <w:p w14:paraId="1EB0A83C" w14:textId="77777777" w:rsidR="00B23829" w:rsidRPr="00EE1FC5" w:rsidRDefault="00B23829" w:rsidP="00004AD6">
            <w:pPr>
              <w:spacing w:before="40" w:after="40" w:line="288" w:lineRule="auto"/>
              <w:rPr>
                <w:b/>
                <w:sz w:val="20"/>
                <w:szCs w:val="20"/>
              </w:rPr>
            </w:pPr>
          </w:p>
        </w:tc>
        <w:tc>
          <w:tcPr>
            <w:tcW w:w="916" w:type="dxa"/>
            <w:shd w:val="clear" w:color="auto" w:fill="auto"/>
          </w:tcPr>
          <w:p w14:paraId="5BA77F8E" w14:textId="02AC1510" w:rsidR="00B23829" w:rsidRPr="00EE1FC5" w:rsidRDefault="00B23829" w:rsidP="00004AD6">
            <w:pPr>
              <w:spacing w:before="40" w:after="40" w:line="288" w:lineRule="auto"/>
              <w:rPr>
                <w:b/>
                <w:sz w:val="20"/>
                <w:szCs w:val="20"/>
              </w:rPr>
            </w:pPr>
            <w:r w:rsidRPr="00EE1FC5">
              <w:rPr>
                <w:b/>
                <w:sz w:val="20"/>
                <w:szCs w:val="20"/>
              </w:rPr>
              <w:t>30485</w:t>
            </w:r>
          </w:p>
        </w:tc>
        <w:tc>
          <w:tcPr>
            <w:tcW w:w="3904" w:type="dxa"/>
            <w:shd w:val="clear" w:color="auto" w:fill="auto"/>
          </w:tcPr>
          <w:p w14:paraId="43D55908" w14:textId="77777777" w:rsidR="00B23829" w:rsidRPr="00802846" w:rsidRDefault="00B23829" w:rsidP="00004AD6">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line="288" w:lineRule="auto"/>
              <w:rPr>
                <w:color w:val="000000"/>
                <w:sz w:val="20"/>
                <w:szCs w:val="20"/>
              </w:rPr>
            </w:pPr>
            <w:r w:rsidRPr="00802846">
              <w:rPr>
                <w:color w:val="000000"/>
                <w:sz w:val="20"/>
                <w:szCs w:val="20"/>
              </w:rPr>
              <w:t>ENDOSCOPIC SPHINCTEROTOMY with or without extraction of stones from common bile duct (Anaes.)</w:t>
            </w:r>
          </w:p>
        </w:tc>
        <w:tc>
          <w:tcPr>
            <w:tcW w:w="833" w:type="dxa"/>
            <w:shd w:val="clear" w:color="auto" w:fill="auto"/>
          </w:tcPr>
          <w:p w14:paraId="6AC557B4" w14:textId="77777777" w:rsidR="00B23829" w:rsidRPr="00802846" w:rsidRDefault="00B23829" w:rsidP="00004AD6">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line="288" w:lineRule="auto"/>
              <w:jc w:val="right"/>
              <w:rPr>
                <w:color w:val="000000"/>
                <w:sz w:val="20"/>
                <w:szCs w:val="20"/>
              </w:rPr>
            </w:pPr>
            <w:r w:rsidRPr="00802846">
              <w:rPr>
                <w:color w:val="000000"/>
                <w:sz w:val="20"/>
                <w:szCs w:val="20"/>
              </w:rPr>
              <w:t>$563.30</w:t>
            </w:r>
          </w:p>
        </w:tc>
        <w:tc>
          <w:tcPr>
            <w:tcW w:w="1010" w:type="dxa"/>
            <w:shd w:val="clear" w:color="auto" w:fill="auto"/>
          </w:tcPr>
          <w:p w14:paraId="2FC27F64" w14:textId="77777777" w:rsidR="00B23829" w:rsidRPr="00802846" w:rsidRDefault="00B23829" w:rsidP="00004AD6">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line="288" w:lineRule="auto"/>
              <w:jc w:val="right"/>
              <w:rPr>
                <w:color w:val="000000"/>
                <w:sz w:val="20"/>
                <w:szCs w:val="20"/>
              </w:rPr>
            </w:pPr>
            <w:r>
              <w:rPr>
                <w:color w:val="000000"/>
                <w:sz w:val="20"/>
                <w:szCs w:val="20"/>
              </w:rPr>
              <w:t>4,918</w:t>
            </w:r>
          </w:p>
        </w:tc>
        <w:tc>
          <w:tcPr>
            <w:tcW w:w="1134" w:type="dxa"/>
            <w:shd w:val="clear" w:color="auto" w:fill="auto"/>
          </w:tcPr>
          <w:p w14:paraId="539DE17D" w14:textId="77777777" w:rsidR="00B23829" w:rsidRDefault="00B23829" w:rsidP="00004AD6">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line="288" w:lineRule="auto"/>
              <w:jc w:val="right"/>
              <w:rPr>
                <w:color w:val="000000"/>
                <w:sz w:val="20"/>
                <w:szCs w:val="20"/>
              </w:rPr>
            </w:pPr>
            <w:r>
              <w:rPr>
                <w:color w:val="000000"/>
                <w:sz w:val="20"/>
                <w:szCs w:val="20"/>
              </w:rPr>
              <w:t>8%</w:t>
            </w:r>
          </w:p>
        </w:tc>
      </w:tr>
      <w:tr w:rsidR="00B23829" w14:paraId="4D91469A" w14:textId="77777777" w:rsidTr="00BF1B51">
        <w:tc>
          <w:tcPr>
            <w:tcW w:w="1701" w:type="dxa"/>
            <w:vMerge/>
          </w:tcPr>
          <w:p w14:paraId="070BDA55" w14:textId="77777777" w:rsidR="00B23829" w:rsidRPr="00EE1FC5" w:rsidRDefault="00B23829" w:rsidP="00004AD6">
            <w:pPr>
              <w:spacing w:before="40" w:after="40" w:line="288" w:lineRule="auto"/>
              <w:rPr>
                <w:b/>
                <w:sz w:val="20"/>
                <w:szCs w:val="20"/>
              </w:rPr>
            </w:pPr>
          </w:p>
        </w:tc>
        <w:tc>
          <w:tcPr>
            <w:tcW w:w="916" w:type="dxa"/>
            <w:shd w:val="clear" w:color="auto" w:fill="auto"/>
          </w:tcPr>
          <w:p w14:paraId="3CFC3930" w14:textId="7A32B9B9" w:rsidR="00B23829" w:rsidRPr="00EE1FC5" w:rsidRDefault="00B23829" w:rsidP="00004AD6">
            <w:pPr>
              <w:spacing w:before="40" w:after="40" w:line="288" w:lineRule="auto"/>
              <w:rPr>
                <w:b/>
                <w:sz w:val="20"/>
                <w:szCs w:val="20"/>
              </w:rPr>
            </w:pPr>
            <w:r w:rsidRPr="00EE1FC5">
              <w:rPr>
                <w:b/>
                <w:sz w:val="20"/>
                <w:szCs w:val="20"/>
              </w:rPr>
              <w:t>30491</w:t>
            </w:r>
          </w:p>
        </w:tc>
        <w:tc>
          <w:tcPr>
            <w:tcW w:w="3904" w:type="dxa"/>
            <w:shd w:val="clear" w:color="auto" w:fill="auto"/>
          </w:tcPr>
          <w:p w14:paraId="332AB171" w14:textId="77777777" w:rsidR="00B23829" w:rsidRPr="00802846" w:rsidRDefault="00B23829" w:rsidP="00004AD6">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line="288" w:lineRule="auto"/>
              <w:rPr>
                <w:color w:val="000000"/>
                <w:sz w:val="20"/>
                <w:szCs w:val="20"/>
              </w:rPr>
            </w:pPr>
            <w:r w:rsidRPr="00802846">
              <w:rPr>
                <w:color w:val="000000"/>
                <w:sz w:val="20"/>
                <w:szCs w:val="20"/>
              </w:rPr>
              <w:t>BILE DUCT, ENDOSCOPIC STENTING OF (including endoscopy and dilatation) (Anaes.)</w:t>
            </w:r>
          </w:p>
        </w:tc>
        <w:tc>
          <w:tcPr>
            <w:tcW w:w="833" w:type="dxa"/>
            <w:shd w:val="clear" w:color="auto" w:fill="auto"/>
          </w:tcPr>
          <w:p w14:paraId="07E60F13" w14:textId="77777777" w:rsidR="00B23829" w:rsidRPr="00802846" w:rsidRDefault="00B23829" w:rsidP="00004AD6">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line="288" w:lineRule="auto"/>
              <w:jc w:val="right"/>
              <w:rPr>
                <w:color w:val="000000"/>
                <w:sz w:val="20"/>
                <w:szCs w:val="20"/>
              </w:rPr>
            </w:pPr>
            <w:r w:rsidRPr="00802846">
              <w:rPr>
                <w:color w:val="000000"/>
                <w:sz w:val="20"/>
                <w:szCs w:val="20"/>
              </w:rPr>
              <w:t>$555.35</w:t>
            </w:r>
          </w:p>
        </w:tc>
        <w:tc>
          <w:tcPr>
            <w:tcW w:w="1010" w:type="dxa"/>
            <w:shd w:val="clear" w:color="auto" w:fill="auto"/>
          </w:tcPr>
          <w:p w14:paraId="1FDD0945" w14:textId="77777777" w:rsidR="00B23829" w:rsidRPr="00802846" w:rsidRDefault="00B23829" w:rsidP="00004AD6">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line="288" w:lineRule="auto"/>
              <w:jc w:val="right"/>
              <w:rPr>
                <w:color w:val="000000"/>
                <w:sz w:val="20"/>
                <w:szCs w:val="20"/>
              </w:rPr>
            </w:pPr>
            <w:r>
              <w:rPr>
                <w:color w:val="000000"/>
                <w:sz w:val="20"/>
                <w:szCs w:val="20"/>
              </w:rPr>
              <w:t>3,312</w:t>
            </w:r>
          </w:p>
        </w:tc>
        <w:tc>
          <w:tcPr>
            <w:tcW w:w="1134" w:type="dxa"/>
            <w:shd w:val="clear" w:color="auto" w:fill="auto"/>
          </w:tcPr>
          <w:p w14:paraId="7DB96CD6" w14:textId="77777777" w:rsidR="00B23829" w:rsidRDefault="00B23829" w:rsidP="00004AD6">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line="288" w:lineRule="auto"/>
              <w:jc w:val="right"/>
              <w:rPr>
                <w:color w:val="000000"/>
                <w:sz w:val="20"/>
                <w:szCs w:val="20"/>
              </w:rPr>
            </w:pPr>
            <w:r>
              <w:rPr>
                <w:color w:val="000000"/>
                <w:sz w:val="20"/>
                <w:szCs w:val="20"/>
              </w:rPr>
              <w:t>21%</w:t>
            </w:r>
          </w:p>
        </w:tc>
      </w:tr>
      <w:tr w:rsidR="00B23829" w14:paraId="4F86F8A6" w14:textId="77777777" w:rsidTr="00BF1B51">
        <w:trPr>
          <w:trHeight w:val="756"/>
        </w:trPr>
        <w:tc>
          <w:tcPr>
            <w:tcW w:w="1701" w:type="dxa"/>
            <w:vMerge/>
          </w:tcPr>
          <w:p w14:paraId="28D9477D" w14:textId="77777777" w:rsidR="00B23829" w:rsidRPr="00EE1FC5" w:rsidRDefault="00B23829" w:rsidP="00004AD6">
            <w:pPr>
              <w:spacing w:before="40" w:after="40" w:line="288" w:lineRule="auto"/>
              <w:rPr>
                <w:b/>
                <w:sz w:val="20"/>
                <w:szCs w:val="20"/>
              </w:rPr>
            </w:pPr>
          </w:p>
        </w:tc>
        <w:tc>
          <w:tcPr>
            <w:tcW w:w="916" w:type="dxa"/>
            <w:shd w:val="clear" w:color="auto" w:fill="auto"/>
          </w:tcPr>
          <w:p w14:paraId="594E5B55" w14:textId="6CC3A68C" w:rsidR="00B23829" w:rsidRPr="00EE1FC5" w:rsidRDefault="00B23829" w:rsidP="00004AD6">
            <w:pPr>
              <w:spacing w:before="40" w:after="40" w:line="288" w:lineRule="auto"/>
              <w:rPr>
                <w:b/>
                <w:sz w:val="20"/>
                <w:szCs w:val="20"/>
              </w:rPr>
            </w:pPr>
            <w:r w:rsidRPr="00EE1FC5">
              <w:rPr>
                <w:b/>
                <w:sz w:val="20"/>
                <w:szCs w:val="20"/>
              </w:rPr>
              <w:t>30492</w:t>
            </w:r>
          </w:p>
        </w:tc>
        <w:tc>
          <w:tcPr>
            <w:tcW w:w="3904" w:type="dxa"/>
            <w:shd w:val="clear" w:color="auto" w:fill="auto"/>
          </w:tcPr>
          <w:p w14:paraId="2E12C078" w14:textId="77777777" w:rsidR="00B23829" w:rsidRPr="00802846" w:rsidRDefault="00B23829" w:rsidP="00004AD6">
            <w:pPr>
              <w:tabs>
                <w:tab w:val="left" w:pos="576"/>
                <w:tab w:val="left" w:pos="1170"/>
                <w:tab w:val="left" w:pos="1710"/>
                <w:tab w:val="left" w:pos="2304"/>
                <w:tab w:val="left" w:pos="2880"/>
                <w:tab w:val="left" w:pos="3456"/>
                <w:tab w:val="left" w:pos="4050"/>
                <w:tab w:val="left" w:pos="4590"/>
                <w:tab w:val="left" w:pos="5040"/>
                <w:tab w:val="left" w:pos="5616"/>
                <w:tab w:val="left" w:pos="6210"/>
                <w:tab w:val="left" w:pos="6750"/>
                <w:tab w:val="left" w:pos="7344"/>
                <w:tab w:val="left" w:pos="7920"/>
                <w:tab w:val="left" w:pos="8480"/>
              </w:tabs>
              <w:autoSpaceDE w:val="0"/>
              <w:autoSpaceDN w:val="0"/>
              <w:adjustRightInd w:val="0"/>
              <w:spacing w:before="40" w:after="40" w:line="288" w:lineRule="auto"/>
              <w:rPr>
                <w:color w:val="000000"/>
                <w:sz w:val="20"/>
                <w:szCs w:val="20"/>
              </w:rPr>
            </w:pPr>
            <w:r w:rsidRPr="00802846">
              <w:rPr>
                <w:color w:val="000000"/>
                <w:sz w:val="20"/>
                <w:szCs w:val="20"/>
              </w:rPr>
              <w:t>BILE DUCT, PERCUTANEOUS STENTING OF (including dilatation when performed), using interventional imaging techniques - but not including imaging (Anaes.)</w:t>
            </w:r>
          </w:p>
        </w:tc>
        <w:tc>
          <w:tcPr>
            <w:tcW w:w="833" w:type="dxa"/>
            <w:shd w:val="clear" w:color="auto" w:fill="auto"/>
          </w:tcPr>
          <w:p w14:paraId="206E8759" w14:textId="77777777" w:rsidR="00B23829" w:rsidRPr="00802846" w:rsidRDefault="00B23829" w:rsidP="00004AD6">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line="288" w:lineRule="auto"/>
              <w:jc w:val="right"/>
              <w:rPr>
                <w:color w:val="000000"/>
                <w:sz w:val="20"/>
                <w:szCs w:val="20"/>
              </w:rPr>
            </w:pPr>
            <w:r w:rsidRPr="00802846">
              <w:rPr>
                <w:color w:val="000000"/>
                <w:sz w:val="20"/>
                <w:szCs w:val="20"/>
              </w:rPr>
              <w:t>$787.30</w:t>
            </w:r>
          </w:p>
        </w:tc>
        <w:tc>
          <w:tcPr>
            <w:tcW w:w="1010" w:type="dxa"/>
            <w:shd w:val="clear" w:color="auto" w:fill="auto"/>
          </w:tcPr>
          <w:p w14:paraId="4B4B2D4F" w14:textId="77777777" w:rsidR="00B23829" w:rsidRPr="00802846" w:rsidRDefault="00B23829" w:rsidP="00004AD6">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line="288" w:lineRule="auto"/>
              <w:jc w:val="right"/>
              <w:rPr>
                <w:color w:val="000000"/>
                <w:sz w:val="20"/>
                <w:szCs w:val="20"/>
              </w:rPr>
            </w:pPr>
            <w:r>
              <w:rPr>
                <w:color w:val="000000"/>
                <w:sz w:val="20"/>
                <w:szCs w:val="20"/>
              </w:rPr>
              <w:t>220</w:t>
            </w:r>
          </w:p>
        </w:tc>
        <w:tc>
          <w:tcPr>
            <w:tcW w:w="1134" w:type="dxa"/>
            <w:shd w:val="clear" w:color="auto" w:fill="auto"/>
          </w:tcPr>
          <w:p w14:paraId="1E161095" w14:textId="77777777" w:rsidR="00B23829" w:rsidRDefault="00B23829" w:rsidP="00004AD6">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line="288" w:lineRule="auto"/>
              <w:jc w:val="right"/>
              <w:rPr>
                <w:color w:val="000000"/>
                <w:sz w:val="20"/>
                <w:szCs w:val="20"/>
              </w:rPr>
            </w:pPr>
            <w:r>
              <w:rPr>
                <w:color w:val="000000"/>
                <w:sz w:val="20"/>
                <w:szCs w:val="20"/>
              </w:rPr>
              <w:t>12%</w:t>
            </w:r>
          </w:p>
        </w:tc>
      </w:tr>
      <w:tr w:rsidR="00B23829" w14:paraId="0D720A81" w14:textId="77777777" w:rsidTr="00BF1B51">
        <w:tc>
          <w:tcPr>
            <w:tcW w:w="1701" w:type="dxa"/>
            <w:vMerge/>
          </w:tcPr>
          <w:p w14:paraId="1A890ABC" w14:textId="77777777" w:rsidR="00B23829" w:rsidRPr="00EE1FC5" w:rsidRDefault="00B23829" w:rsidP="00004AD6">
            <w:pPr>
              <w:spacing w:before="40" w:after="40" w:line="288" w:lineRule="auto"/>
              <w:rPr>
                <w:b/>
                <w:sz w:val="20"/>
                <w:szCs w:val="20"/>
              </w:rPr>
            </w:pPr>
          </w:p>
        </w:tc>
        <w:tc>
          <w:tcPr>
            <w:tcW w:w="916" w:type="dxa"/>
            <w:shd w:val="clear" w:color="auto" w:fill="auto"/>
          </w:tcPr>
          <w:p w14:paraId="07FDCDF4" w14:textId="32985F34" w:rsidR="00B23829" w:rsidRPr="00EE1FC5" w:rsidRDefault="00B23829" w:rsidP="00004AD6">
            <w:pPr>
              <w:spacing w:before="40" w:after="40" w:line="288" w:lineRule="auto"/>
              <w:rPr>
                <w:b/>
                <w:sz w:val="20"/>
                <w:szCs w:val="20"/>
              </w:rPr>
            </w:pPr>
            <w:r w:rsidRPr="00EE1FC5">
              <w:rPr>
                <w:b/>
                <w:sz w:val="20"/>
                <w:szCs w:val="20"/>
              </w:rPr>
              <w:t>30494</w:t>
            </w:r>
          </w:p>
        </w:tc>
        <w:tc>
          <w:tcPr>
            <w:tcW w:w="3904" w:type="dxa"/>
            <w:shd w:val="clear" w:color="auto" w:fill="auto"/>
          </w:tcPr>
          <w:p w14:paraId="2ED2AE5B" w14:textId="77777777" w:rsidR="00B23829" w:rsidRPr="00802846" w:rsidRDefault="00B23829" w:rsidP="00004AD6">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line="288" w:lineRule="auto"/>
              <w:rPr>
                <w:color w:val="000000"/>
                <w:sz w:val="20"/>
                <w:szCs w:val="20"/>
              </w:rPr>
            </w:pPr>
            <w:r w:rsidRPr="00802846">
              <w:rPr>
                <w:color w:val="000000"/>
                <w:sz w:val="20"/>
                <w:szCs w:val="20"/>
              </w:rPr>
              <w:t>ENDOSCOPIC BILIARY DILATATION (Anaes.)</w:t>
            </w:r>
          </w:p>
        </w:tc>
        <w:tc>
          <w:tcPr>
            <w:tcW w:w="833" w:type="dxa"/>
            <w:shd w:val="clear" w:color="auto" w:fill="auto"/>
          </w:tcPr>
          <w:p w14:paraId="6377B30C" w14:textId="77777777" w:rsidR="00B23829" w:rsidRPr="00802846" w:rsidRDefault="00B23829" w:rsidP="00004AD6">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line="288" w:lineRule="auto"/>
              <w:jc w:val="right"/>
              <w:rPr>
                <w:color w:val="000000"/>
                <w:sz w:val="20"/>
                <w:szCs w:val="20"/>
              </w:rPr>
            </w:pPr>
            <w:r w:rsidRPr="00802846">
              <w:rPr>
                <w:color w:val="000000"/>
                <w:sz w:val="20"/>
                <w:szCs w:val="20"/>
              </w:rPr>
              <w:t>$420.50</w:t>
            </w:r>
          </w:p>
        </w:tc>
        <w:tc>
          <w:tcPr>
            <w:tcW w:w="1010" w:type="dxa"/>
            <w:shd w:val="clear" w:color="auto" w:fill="auto"/>
          </w:tcPr>
          <w:p w14:paraId="021CB2F9" w14:textId="77777777" w:rsidR="00B23829" w:rsidRPr="00802846" w:rsidRDefault="00B23829" w:rsidP="00004AD6">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line="288" w:lineRule="auto"/>
              <w:jc w:val="right"/>
              <w:rPr>
                <w:color w:val="000000"/>
                <w:sz w:val="20"/>
                <w:szCs w:val="20"/>
              </w:rPr>
            </w:pPr>
            <w:r>
              <w:rPr>
                <w:color w:val="000000"/>
                <w:sz w:val="20"/>
                <w:szCs w:val="20"/>
              </w:rPr>
              <w:t>573</w:t>
            </w:r>
          </w:p>
        </w:tc>
        <w:tc>
          <w:tcPr>
            <w:tcW w:w="1134" w:type="dxa"/>
            <w:shd w:val="clear" w:color="auto" w:fill="auto"/>
          </w:tcPr>
          <w:p w14:paraId="220AA53E" w14:textId="77777777" w:rsidR="00B23829" w:rsidRDefault="00B23829" w:rsidP="00004AD6">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line="288" w:lineRule="auto"/>
              <w:jc w:val="right"/>
              <w:rPr>
                <w:color w:val="000000"/>
                <w:sz w:val="20"/>
                <w:szCs w:val="20"/>
              </w:rPr>
            </w:pPr>
            <w:r>
              <w:rPr>
                <w:color w:val="000000"/>
                <w:sz w:val="20"/>
                <w:szCs w:val="20"/>
              </w:rPr>
              <w:t>59%</w:t>
            </w:r>
          </w:p>
        </w:tc>
      </w:tr>
      <w:tr w:rsidR="00B23829" w14:paraId="7017CE4D" w14:textId="77777777" w:rsidTr="00BF1B51">
        <w:tc>
          <w:tcPr>
            <w:tcW w:w="1701" w:type="dxa"/>
            <w:vMerge/>
          </w:tcPr>
          <w:p w14:paraId="04ECBA04" w14:textId="77777777" w:rsidR="00B23829" w:rsidRPr="00EE1FC5" w:rsidRDefault="00B23829" w:rsidP="00004AD6">
            <w:pPr>
              <w:spacing w:before="40" w:after="40" w:line="288" w:lineRule="auto"/>
              <w:rPr>
                <w:b/>
                <w:sz w:val="20"/>
                <w:szCs w:val="20"/>
              </w:rPr>
            </w:pPr>
          </w:p>
        </w:tc>
        <w:tc>
          <w:tcPr>
            <w:tcW w:w="916" w:type="dxa"/>
            <w:shd w:val="clear" w:color="auto" w:fill="auto"/>
          </w:tcPr>
          <w:p w14:paraId="6B09AC36" w14:textId="166D94A8" w:rsidR="00B23829" w:rsidRPr="00EE1FC5" w:rsidRDefault="00B23829" w:rsidP="00004AD6">
            <w:pPr>
              <w:spacing w:before="40" w:after="40" w:line="288" w:lineRule="auto"/>
              <w:rPr>
                <w:b/>
                <w:sz w:val="20"/>
                <w:szCs w:val="20"/>
              </w:rPr>
            </w:pPr>
            <w:r w:rsidRPr="00EE1FC5">
              <w:rPr>
                <w:b/>
                <w:sz w:val="20"/>
                <w:szCs w:val="20"/>
              </w:rPr>
              <w:t>30495</w:t>
            </w:r>
          </w:p>
        </w:tc>
        <w:tc>
          <w:tcPr>
            <w:tcW w:w="3904" w:type="dxa"/>
            <w:shd w:val="clear" w:color="auto" w:fill="auto"/>
          </w:tcPr>
          <w:p w14:paraId="6D207A0B" w14:textId="77777777" w:rsidR="00B23829" w:rsidRPr="00802846" w:rsidRDefault="00B23829" w:rsidP="00004AD6">
            <w:pPr>
              <w:tabs>
                <w:tab w:val="left" w:pos="576"/>
                <w:tab w:val="left" w:pos="1170"/>
                <w:tab w:val="left" w:pos="1710"/>
                <w:tab w:val="left" w:pos="2304"/>
                <w:tab w:val="left" w:pos="2880"/>
                <w:tab w:val="left" w:pos="3456"/>
                <w:tab w:val="left" w:pos="4050"/>
                <w:tab w:val="left" w:pos="4590"/>
                <w:tab w:val="left" w:pos="5040"/>
                <w:tab w:val="left" w:pos="5616"/>
                <w:tab w:val="left" w:pos="6210"/>
                <w:tab w:val="left" w:pos="6750"/>
                <w:tab w:val="left" w:pos="7344"/>
                <w:tab w:val="left" w:pos="7920"/>
                <w:tab w:val="left" w:pos="8496"/>
              </w:tabs>
              <w:autoSpaceDE w:val="0"/>
              <w:autoSpaceDN w:val="0"/>
              <w:adjustRightInd w:val="0"/>
              <w:spacing w:before="40" w:after="40" w:line="288" w:lineRule="auto"/>
              <w:rPr>
                <w:color w:val="000000"/>
                <w:sz w:val="20"/>
                <w:szCs w:val="20"/>
              </w:rPr>
            </w:pPr>
            <w:r w:rsidRPr="00802846">
              <w:rPr>
                <w:color w:val="000000"/>
                <w:sz w:val="20"/>
                <w:szCs w:val="20"/>
              </w:rPr>
              <w:t>PERCUTANEOUS BILIARY DILATATION for biliary stricture, using interventional imaging techniques - but not including imaging (Anaes.)</w:t>
            </w:r>
          </w:p>
        </w:tc>
        <w:tc>
          <w:tcPr>
            <w:tcW w:w="833" w:type="dxa"/>
            <w:shd w:val="clear" w:color="auto" w:fill="auto"/>
          </w:tcPr>
          <w:p w14:paraId="11F6DD87" w14:textId="77777777" w:rsidR="00B23829" w:rsidRPr="00802846" w:rsidRDefault="00B23829" w:rsidP="00004AD6">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line="288" w:lineRule="auto"/>
              <w:jc w:val="right"/>
              <w:rPr>
                <w:color w:val="000000"/>
                <w:sz w:val="20"/>
                <w:szCs w:val="20"/>
              </w:rPr>
            </w:pPr>
            <w:r w:rsidRPr="00802846">
              <w:rPr>
                <w:color w:val="000000"/>
                <w:sz w:val="20"/>
                <w:szCs w:val="20"/>
              </w:rPr>
              <w:t>$787.30</w:t>
            </w:r>
          </w:p>
        </w:tc>
        <w:tc>
          <w:tcPr>
            <w:tcW w:w="1010" w:type="dxa"/>
            <w:shd w:val="clear" w:color="auto" w:fill="auto"/>
          </w:tcPr>
          <w:p w14:paraId="469D3C50" w14:textId="77777777" w:rsidR="00B23829" w:rsidRPr="00802846" w:rsidRDefault="00B23829" w:rsidP="00004AD6">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line="288" w:lineRule="auto"/>
              <w:jc w:val="right"/>
              <w:rPr>
                <w:color w:val="000000"/>
                <w:sz w:val="20"/>
                <w:szCs w:val="20"/>
              </w:rPr>
            </w:pPr>
            <w:r>
              <w:rPr>
                <w:color w:val="000000"/>
                <w:sz w:val="20"/>
                <w:szCs w:val="20"/>
              </w:rPr>
              <w:t>73</w:t>
            </w:r>
          </w:p>
        </w:tc>
        <w:tc>
          <w:tcPr>
            <w:tcW w:w="1134" w:type="dxa"/>
            <w:shd w:val="clear" w:color="auto" w:fill="auto"/>
          </w:tcPr>
          <w:p w14:paraId="191FB2B7" w14:textId="77777777" w:rsidR="00B23829" w:rsidRDefault="00B23829" w:rsidP="00004AD6">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line="288" w:lineRule="auto"/>
              <w:jc w:val="right"/>
              <w:rPr>
                <w:color w:val="000000"/>
                <w:sz w:val="20"/>
                <w:szCs w:val="20"/>
              </w:rPr>
            </w:pPr>
            <w:r>
              <w:rPr>
                <w:color w:val="000000"/>
                <w:sz w:val="20"/>
                <w:szCs w:val="20"/>
              </w:rPr>
              <w:t>20%</w:t>
            </w:r>
          </w:p>
        </w:tc>
      </w:tr>
      <w:tr w:rsidR="00B23829" w14:paraId="4A0206A4" w14:textId="77777777" w:rsidTr="00BF1B51">
        <w:tc>
          <w:tcPr>
            <w:tcW w:w="1701" w:type="dxa"/>
            <w:vMerge w:val="restart"/>
          </w:tcPr>
          <w:p w14:paraId="4B485DBB" w14:textId="602B4813" w:rsidR="00B23829" w:rsidRPr="00EE1FC5" w:rsidRDefault="00B23829" w:rsidP="00004AD6">
            <w:pPr>
              <w:spacing w:before="40" w:after="40" w:line="288" w:lineRule="auto"/>
              <w:rPr>
                <w:b/>
                <w:sz w:val="20"/>
                <w:szCs w:val="20"/>
              </w:rPr>
            </w:pPr>
            <w:r>
              <w:rPr>
                <w:b/>
                <w:color w:val="000000"/>
                <w:sz w:val="20"/>
                <w:szCs w:val="20"/>
              </w:rPr>
              <w:t>Insertion of nasogastric tube</w:t>
            </w:r>
          </w:p>
        </w:tc>
        <w:tc>
          <w:tcPr>
            <w:tcW w:w="916" w:type="dxa"/>
            <w:shd w:val="clear" w:color="auto" w:fill="auto"/>
          </w:tcPr>
          <w:p w14:paraId="67928E1E" w14:textId="3105EC56" w:rsidR="00B23829" w:rsidRPr="00EE1FC5" w:rsidRDefault="00B23829" w:rsidP="00004AD6">
            <w:pPr>
              <w:spacing w:before="40" w:after="40" w:line="288" w:lineRule="auto"/>
              <w:rPr>
                <w:b/>
                <w:sz w:val="20"/>
                <w:szCs w:val="20"/>
              </w:rPr>
            </w:pPr>
            <w:r w:rsidRPr="00EE1FC5">
              <w:rPr>
                <w:b/>
                <w:sz w:val="20"/>
                <w:szCs w:val="20"/>
              </w:rPr>
              <w:t>31456</w:t>
            </w:r>
          </w:p>
        </w:tc>
        <w:tc>
          <w:tcPr>
            <w:tcW w:w="3904" w:type="dxa"/>
            <w:shd w:val="clear" w:color="auto" w:fill="auto"/>
          </w:tcPr>
          <w:p w14:paraId="7C630164" w14:textId="77777777" w:rsidR="00B23829" w:rsidRPr="00802846" w:rsidRDefault="00B23829" w:rsidP="00004AD6">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line="288" w:lineRule="auto"/>
              <w:rPr>
                <w:color w:val="000000"/>
                <w:sz w:val="20"/>
                <w:szCs w:val="20"/>
              </w:rPr>
            </w:pPr>
            <w:r w:rsidRPr="00802846">
              <w:rPr>
                <w:color w:val="000000"/>
                <w:sz w:val="20"/>
                <w:szCs w:val="20"/>
              </w:rPr>
              <w:t xml:space="preserve">GASTROSCOPY and insertion of nasogastric or nasoenteral feeding tube, where blind </w:t>
            </w:r>
            <w:r w:rsidRPr="00802846">
              <w:rPr>
                <w:color w:val="000000"/>
                <w:sz w:val="20"/>
                <w:szCs w:val="20"/>
              </w:rPr>
              <w:lastRenderedPageBreak/>
              <w:t>insertion of the feeding tube has failed or is inappropriate due to the patie</w:t>
            </w:r>
            <w:r>
              <w:rPr>
                <w:color w:val="000000"/>
                <w:sz w:val="20"/>
                <w:szCs w:val="20"/>
              </w:rPr>
              <w:t>nt's medical condition (Anaes.)</w:t>
            </w:r>
          </w:p>
        </w:tc>
        <w:tc>
          <w:tcPr>
            <w:tcW w:w="833" w:type="dxa"/>
            <w:shd w:val="clear" w:color="auto" w:fill="auto"/>
          </w:tcPr>
          <w:p w14:paraId="7D395A20" w14:textId="77777777" w:rsidR="00B23829" w:rsidRPr="00802846" w:rsidRDefault="00B23829" w:rsidP="00004AD6">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line="288" w:lineRule="auto"/>
              <w:jc w:val="right"/>
              <w:rPr>
                <w:color w:val="000000"/>
                <w:sz w:val="20"/>
                <w:szCs w:val="20"/>
              </w:rPr>
            </w:pPr>
            <w:r w:rsidRPr="00802846">
              <w:rPr>
                <w:color w:val="000000"/>
                <w:sz w:val="20"/>
                <w:szCs w:val="20"/>
              </w:rPr>
              <w:lastRenderedPageBreak/>
              <w:t>$245.55</w:t>
            </w:r>
          </w:p>
        </w:tc>
        <w:tc>
          <w:tcPr>
            <w:tcW w:w="1010" w:type="dxa"/>
            <w:shd w:val="clear" w:color="auto" w:fill="auto"/>
          </w:tcPr>
          <w:p w14:paraId="1C43871F" w14:textId="77777777" w:rsidR="00B23829" w:rsidRPr="00802846" w:rsidRDefault="00B23829" w:rsidP="00004AD6">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line="288" w:lineRule="auto"/>
              <w:jc w:val="right"/>
              <w:rPr>
                <w:color w:val="000000"/>
                <w:sz w:val="20"/>
                <w:szCs w:val="20"/>
              </w:rPr>
            </w:pPr>
            <w:r>
              <w:rPr>
                <w:color w:val="000000"/>
                <w:sz w:val="20"/>
                <w:szCs w:val="20"/>
              </w:rPr>
              <w:t>412</w:t>
            </w:r>
          </w:p>
        </w:tc>
        <w:tc>
          <w:tcPr>
            <w:tcW w:w="1134" w:type="dxa"/>
            <w:shd w:val="clear" w:color="auto" w:fill="auto"/>
          </w:tcPr>
          <w:p w14:paraId="65A36FB9" w14:textId="77777777" w:rsidR="00B23829" w:rsidRDefault="00B23829" w:rsidP="00004AD6">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line="288" w:lineRule="auto"/>
              <w:jc w:val="right"/>
              <w:rPr>
                <w:color w:val="000000"/>
                <w:sz w:val="20"/>
                <w:szCs w:val="20"/>
              </w:rPr>
            </w:pPr>
            <w:r>
              <w:rPr>
                <w:color w:val="000000"/>
                <w:sz w:val="20"/>
                <w:szCs w:val="20"/>
              </w:rPr>
              <w:t>110%</w:t>
            </w:r>
          </w:p>
        </w:tc>
      </w:tr>
      <w:tr w:rsidR="00B23829" w14:paraId="296AC2AF" w14:textId="77777777" w:rsidTr="00BF1B51">
        <w:tc>
          <w:tcPr>
            <w:tcW w:w="1701" w:type="dxa"/>
            <w:vMerge/>
          </w:tcPr>
          <w:p w14:paraId="78662544" w14:textId="77777777" w:rsidR="00B23829" w:rsidRPr="00EE1FC5" w:rsidRDefault="00B23829" w:rsidP="00004AD6">
            <w:pPr>
              <w:spacing w:before="40" w:after="40" w:line="288" w:lineRule="auto"/>
              <w:rPr>
                <w:b/>
                <w:sz w:val="20"/>
                <w:szCs w:val="20"/>
              </w:rPr>
            </w:pPr>
          </w:p>
        </w:tc>
        <w:tc>
          <w:tcPr>
            <w:tcW w:w="916" w:type="dxa"/>
            <w:shd w:val="clear" w:color="auto" w:fill="auto"/>
          </w:tcPr>
          <w:p w14:paraId="4AC593C6" w14:textId="3240BB81" w:rsidR="00B23829" w:rsidRPr="00EE1FC5" w:rsidRDefault="00B23829" w:rsidP="00004AD6">
            <w:pPr>
              <w:spacing w:before="40" w:after="40" w:line="288" w:lineRule="auto"/>
              <w:rPr>
                <w:b/>
                <w:sz w:val="20"/>
                <w:szCs w:val="20"/>
              </w:rPr>
            </w:pPr>
            <w:r w:rsidRPr="00EE1FC5">
              <w:rPr>
                <w:b/>
                <w:sz w:val="20"/>
                <w:szCs w:val="20"/>
              </w:rPr>
              <w:t>31458</w:t>
            </w:r>
          </w:p>
        </w:tc>
        <w:tc>
          <w:tcPr>
            <w:tcW w:w="3904" w:type="dxa"/>
            <w:shd w:val="clear" w:color="auto" w:fill="auto"/>
          </w:tcPr>
          <w:p w14:paraId="18C2F6BD" w14:textId="77777777" w:rsidR="00B23829" w:rsidRPr="00802846" w:rsidRDefault="00B23829" w:rsidP="00004AD6">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line="288" w:lineRule="auto"/>
              <w:rPr>
                <w:color w:val="000000"/>
                <w:sz w:val="20"/>
                <w:szCs w:val="20"/>
              </w:rPr>
            </w:pPr>
            <w:r w:rsidRPr="00802846">
              <w:rPr>
                <w:color w:val="000000"/>
                <w:sz w:val="20"/>
                <w:szCs w:val="20"/>
              </w:rPr>
              <w:t>GASTROSCOPY and insertion of nasogastric or nasoenteral feeding tube, where blind insertion of the feeding tube has failed or is inappropriate due to the patient's medical condition, and where the use of imaging intensification i</w:t>
            </w:r>
            <w:r>
              <w:rPr>
                <w:color w:val="000000"/>
                <w:sz w:val="20"/>
                <w:szCs w:val="20"/>
              </w:rPr>
              <w:t>s clinically indicated (Anaes.)</w:t>
            </w:r>
          </w:p>
        </w:tc>
        <w:tc>
          <w:tcPr>
            <w:tcW w:w="833" w:type="dxa"/>
            <w:shd w:val="clear" w:color="auto" w:fill="auto"/>
          </w:tcPr>
          <w:p w14:paraId="0A80620B" w14:textId="77777777" w:rsidR="00B23829" w:rsidRPr="00802846" w:rsidRDefault="00B23829" w:rsidP="00004AD6">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line="288" w:lineRule="auto"/>
              <w:jc w:val="right"/>
              <w:rPr>
                <w:color w:val="000000"/>
                <w:sz w:val="20"/>
                <w:szCs w:val="20"/>
              </w:rPr>
            </w:pPr>
            <w:r w:rsidRPr="00802846">
              <w:rPr>
                <w:color w:val="000000"/>
                <w:sz w:val="20"/>
                <w:szCs w:val="20"/>
              </w:rPr>
              <w:t>$294.65</w:t>
            </w:r>
          </w:p>
        </w:tc>
        <w:tc>
          <w:tcPr>
            <w:tcW w:w="1010" w:type="dxa"/>
            <w:shd w:val="clear" w:color="auto" w:fill="auto"/>
          </w:tcPr>
          <w:p w14:paraId="7A3DE801" w14:textId="77777777" w:rsidR="00B23829" w:rsidRPr="00802846" w:rsidRDefault="00B23829" w:rsidP="00004AD6">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line="288" w:lineRule="auto"/>
              <w:jc w:val="right"/>
              <w:rPr>
                <w:color w:val="000000"/>
                <w:sz w:val="20"/>
                <w:szCs w:val="20"/>
              </w:rPr>
            </w:pPr>
            <w:r>
              <w:rPr>
                <w:color w:val="000000"/>
                <w:sz w:val="20"/>
                <w:szCs w:val="20"/>
              </w:rPr>
              <w:t>114</w:t>
            </w:r>
          </w:p>
        </w:tc>
        <w:tc>
          <w:tcPr>
            <w:tcW w:w="1134" w:type="dxa"/>
            <w:shd w:val="clear" w:color="auto" w:fill="auto"/>
          </w:tcPr>
          <w:p w14:paraId="33FA6E6B" w14:textId="77777777" w:rsidR="00B23829" w:rsidRDefault="00B23829" w:rsidP="00004AD6">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line="288" w:lineRule="auto"/>
              <w:jc w:val="right"/>
              <w:rPr>
                <w:color w:val="000000"/>
                <w:sz w:val="20"/>
                <w:szCs w:val="20"/>
              </w:rPr>
            </w:pPr>
            <w:r>
              <w:rPr>
                <w:color w:val="000000"/>
                <w:sz w:val="20"/>
                <w:szCs w:val="20"/>
              </w:rPr>
              <w:t>54%</w:t>
            </w:r>
          </w:p>
        </w:tc>
      </w:tr>
      <w:tr w:rsidR="00B23829" w14:paraId="64557939" w14:textId="77777777" w:rsidTr="00BF1B51">
        <w:tc>
          <w:tcPr>
            <w:tcW w:w="1701" w:type="dxa"/>
            <w:vMerge w:val="restart"/>
          </w:tcPr>
          <w:p w14:paraId="7DE173BC" w14:textId="5E652905" w:rsidR="00B23829" w:rsidRPr="00EE1FC5" w:rsidRDefault="00B23829" w:rsidP="00004AD6">
            <w:pPr>
              <w:spacing w:before="40" w:after="40" w:line="288" w:lineRule="auto"/>
              <w:rPr>
                <w:b/>
                <w:sz w:val="20"/>
                <w:szCs w:val="20"/>
              </w:rPr>
            </w:pPr>
            <w:r>
              <w:rPr>
                <w:b/>
                <w:color w:val="000000"/>
                <w:sz w:val="20"/>
                <w:szCs w:val="20"/>
              </w:rPr>
              <w:t>Examination of the bowel – colonoscopy and sigmoidoscopy</w:t>
            </w:r>
          </w:p>
        </w:tc>
        <w:tc>
          <w:tcPr>
            <w:tcW w:w="916" w:type="dxa"/>
            <w:shd w:val="clear" w:color="auto" w:fill="auto"/>
          </w:tcPr>
          <w:p w14:paraId="52CBFEAB" w14:textId="2FDAF478" w:rsidR="00B23829" w:rsidRPr="00EE1FC5" w:rsidRDefault="00B23829" w:rsidP="00004AD6">
            <w:pPr>
              <w:spacing w:before="40" w:after="40" w:line="288" w:lineRule="auto"/>
              <w:rPr>
                <w:b/>
                <w:sz w:val="20"/>
                <w:szCs w:val="20"/>
              </w:rPr>
            </w:pPr>
            <w:r w:rsidRPr="00EE1FC5">
              <w:rPr>
                <w:b/>
                <w:sz w:val="20"/>
                <w:szCs w:val="20"/>
              </w:rPr>
              <w:t>32023</w:t>
            </w:r>
          </w:p>
        </w:tc>
        <w:tc>
          <w:tcPr>
            <w:tcW w:w="3904" w:type="dxa"/>
            <w:shd w:val="clear" w:color="auto" w:fill="auto"/>
          </w:tcPr>
          <w:p w14:paraId="76F5D10A" w14:textId="77777777" w:rsidR="00B23829" w:rsidRPr="00802846" w:rsidRDefault="00B23829" w:rsidP="00004AD6">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line="288" w:lineRule="auto"/>
              <w:rPr>
                <w:color w:val="000000"/>
                <w:sz w:val="20"/>
                <w:szCs w:val="20"/>
              </w:rPr>
            </w:pPr>
            <w:r w:rsidRPr="00802846">
              <w:rPr>
                <w:color w:val="000000"/>
                <w:sz w:val="20"/>
                <w:szCs w:val="20"/>
              </w:rPr>
              <w:t xml:space="preserve">Endoscopic insertion of stent or stents for large bowel obstruction, stricture or stenosis, including colonoscopy and any image intensification, where the obstruction is due to: </w:t>
            </w:r>
          </w:p>
          <w:p w14:paraId="4F61748D" w14:textId="77777777" w:rsidR="00B23829" w:rsidRPr="00802846" w:rsidRDefault="00B23829" w:rsidP="00004AD6">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line="288" w:lineRule="auto"/>
              <w:rPr>
                <w:color w:val="000000"/>
                <w:sz w:val="20"/>
                <w:szCs w:val="20"/>
              </w:rPr>
            </w:pPr>
            <w:r w:rsidRPr="00802846">
              <w:rPr>
                <w:color w:val="000000"/>
                <w:sz w:val="20"/>
                <w:szCs w:val="20"/>
              </w:rPr>
              <w:t>a) a pre-diagnosed colorectal cancer, or cancer of an organ adjacent to the bowel; or</w:t>
            </w:r>
          </w:p>
          <w:p w14:paraId="68C1323E" w14:textId="77777777" w:rsidR="00B23829" w:rsidRPr="00802846" w:rsidRDefault="00B23829" w:rsidP="00004AD6">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line="288" w:lineRule="auto"/>
              <w:rPr>
                <w:color w:val="000000"/>
                <w:sz w:val="20"/>
                <w:szCs w:val="20"/>
              </w:rPr>
            </w:pPr>
            <w:r w:rsidRPr="00802846">
              <w:rPr>
                <w:color w:val="000000"/>
                <w:sz w:val="20"/>
                <w:szCs w:val="20"/>
              </w:rPr>
              <w:t>b) an unknown diagnosis</w:t>
            </w:r>
            <w:r>
              <w:rPr>
                <w:color w:val="000000"/>
                <w:sz w:val="20"/>
                <w:szCs w:val="20"/>
              </w:rPr>
              <w:t xml:space="preserve"> </w:t>
            </w:r>
            <w:r w:rsidRPr="00802846">
              <w:rPr>
                <w:color w:val="000000"/>
                <w:sz w:val="20"/>
                <w:szCs w:val="20"/>
              </w:rPr>
              <w:t>(Anaes.)</w:t>
            </w:r>
          </w:p>
        </w:tc>
        <w:tc>
          <w:tcPr>
            <w:tcW w:w="833" w:type="dxa"/>
            <w:shd w:val="clear" w:color="auto" w:fill="auto"/>
          </w:tcPr>
          <w:p w14:paraId="56B15960" w14:textId="77777777" w:rsidR="00B23829" w:rsidRPr="00802846" w:rsidRDefault="00B23829" w:rsidP="00004AD6">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line="288" w:lineRule="auto"/>
              <w:jc w:val="right"/>
              <w:rPr>
                <w:color w:val="000000"/>
                <w:sz w:val="20"/>
                <w:szCs w:val="20"/>
              </w:rPr>
            </w:pPr>
            <w:r w:rsidRPr="00802846">
              <w:rPr>
                <w:color w:val="000000"/>
                <w:sz w:val="20"/>
                <w:szCs w:val="20"/>
              </w:rPr>
              <w:t>$555.35</w:t>
            </w:r>
          </w:p>
        </w:tc>
        <w:tc>
          <w:tcPr>
            <w:tcW w:w="1010" w:type="dxa"/>
            <w:shd w:val="clear" w:color="auto" w:fill="auto"/>
          </w:tcPr>
          <w:p w14:paraId="6CBEA472" w14:textId="77777777" w:rsidR="00B23829" w:rsidRPr="00802846" w:rsidRDefault="00B23829" w:rsidP="00004AD6">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line="288" w:lineRule="auto"/>
              <w:jc w:val="right"/>
              <w:rPr>
                <w:color w:val="000000"/>
                <w:sz w:val="20"/>
                <w:szCs w:val="20"/>
              </w:rPr>
            </w:pPr>
            <w:r>
              <w:rPr>
                <w:color w:val="000000"/>
                <w:sz w:val="20"/>
                <w:szCs w:val="20"/>
              </w:rPr>
              <w:t>70</w:t>
            </w:r>
          </w:p>
        </w:tc>
        <w:tc>
          <w:tcPr>
            <w:tcW w:w="1134" w:type="dxa"/>
            <w:shd w:val="clear" w:color="auto" w:fill="auto"/>
          </w:tcPr>
          <w:p w14:paraId="68B78AD2" w14:textId="77777777" w:rsidR="00B23829" w:rsidRDefault="00B23829" w:rsidP="00004AD6">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line="288" w:lineRule="auto"/>
              <w:jc w:val="right"/>
              <w:rPr>
                <w:color w:val="000000"/>
                <w:sz w:val="20"/>
                <w:szCs w:val="20"/>
              </w:rPr>
            </w:pPr>
            <w:r>
              <w:rPr>
                <w:color w:val="000000"/>
                <w:sz w:val="20"/>
                <w:szCs w:val="20"/>
              </w:rPr>
              <w:t>n/a</w:t>
            </w:r>
          </w:p>
        </w:tc>
      </w:tr>
      <w:tr w:rsidR="00B23829" w14:paraId="392E39F9" w14:textId="77777777" w:rsidTr="00BF1B51">
        <w:tc>
          <w:tcPr>
            <w:tcW w:w="1701" w:type="dxa"/>
            <w:vMerge/>
          </w:tcPr>
          <w:p w14:paraId="2A6D6856" w14:textId="77777777" w:rsidR="00B23829" w:rsidRPr="00EE1FC5" w:rsidRDefault="00B23829" w:rsidP="00004AD6">
            <w:pPr>
              <w:spacing w:before="40" w:after="40" w:line="288" w:lineRule="auto"/>
              <w:rPr>
                <w:b/>
                <w:sz w:val="20"/>
                <w:szCs w:val="20"/>
              </w:rPr>
            </w:pPr>
          </w:p>
        </w:tc>
        <w:tc>
          <w:tcPr>
            <w:tcW w:w="916" w:type="dxa"/>
            <w:shd w:val="clear" w:color="auto" w:fill="auto"/>
          </w:tcPr>
          <w:p w14:paraId="3E185EDE" w14:textId="4D21F2D3" w:rsidR="00B23829" w:rsidRPr="00EE1FC5" w:rsidRDefault="00B23829" w:rsidP="00004AD6">
            <w:pPr>
              <w:spacing w:before="40" w:after="40" w:line="288" w:lineRule="auto"/>
              <w:rPr>
                <w:b/>
                <w:sz w:val="20"/>
                <w:szCs w:val="20"/>
              </w:rPr>
            </w:pPr>
            <w:r w:rsidRPr="00EE1FC5">
              <w:rPr>
                <w:b/>
                <w:sz w:val="20"/>
                <w:szCs w:val="20"/>
              </w:rPr>
              <w:t>32072</w:t>
            </w:r>
          </w:p>
        </w:tc>
        <w:tc>
          <w:tcPr>
            <w:tcW w:w="3904" w:type="dxa"/>
            <w:shd w:val="clear" w:color="auto" w:fill="auto"/>
          </w:tcPr>
          <w:p w14:paraId="47FC3859" w14:textId="77777777" w:rsidR="00B23829" w:rsidRPr="00802846" w:rsidRDefault="00B23829" w:rsidP="00004AD6">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line="288" w:lineRule="auto"/>
              <w:rPr>
                <w:color w:val="000000"/>
                <w:sz w:val="20"/>
                <w:szCs w:val="20"/>
              </w:rPr>
            </w:pPr>
            <w:r w:rsidRPr="00802846">
              <w:rPr>
                <w:color w:val="000000"/>
                <w:sz w:val="20"/>
                <w:szCs w:val="20"/>
              </w:rPr>
              <w:t>SIGMOIDOSCOPIC EXAMINATION (with rigid sigmoid</w:t>
            </w:r>
            <w:r>
              <w:rPr>
                <w:color w:val="000000"/>
                <w:sz w:val="20"/>
                <w:szCs w:val="20"/>
              </w:rPr>
              <w:t>oscope), with or without biopsy</w:t>
            </w:r>
          </w:p>
        </w:tc>
        <w:tc>
          <w:tcPr>
            <w:tcW w:w="833" w:type="dxa"/>
            <w:shd w:val="clear" w:color="auto" w:fill="auto"/>
          </w:tcPr>
          <w:p w14:paraId="320A9609" w14:textId="77777777" w:rsidR="00B23829" w:rsidRPr="00802846" w:rsidRDefault="00B23829" w:rsidP="00004AD6">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line="288" w:lineRule="auto"/>
              <w:jc w:val="right"/>
              <w:rPr>
                <w:color w:val="000000"/>
                <w:sz w:val="20"/>
                <w:szCs w:val="20"/>
              </w:rPr>
            </w:pPr>
            <w:r w:rsidRPr="00802846">
              <w:rPr>
                <w:color w:val="000000"/>
                <w:sz w:val="20"/>
                <w:szCs w:val="20"/>
              </w:rPr>
              <w:t>$47.85</w:t>
            </w:r>
          </w:p>
        </w:tc>
        <w:tc>
          <w:tcPr>
            <w:tcW w:w="1010" w:type="dxa"/>
            <w:shd w:val="clear" w:color="auto" w:fill="auto"/>
          </w:tcPr>
          <w:p w14:paraId="5B2A99BB" w14:textId="77777777" w:rsidR="00B23829" w:rsidRPr="00802846" w:rsidRDefault="00B23829" w:rsidP="00004AD6">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line="288" w:lineRule="auto"/>
              <w:jc w:val="right"/>
              <w:rPr>
                <w:color w:val="000000"/>
                <w:sz w:val="20"/>
                <w:szCs w:val="20"/>
              </w:rPr>
            </w:pPr>
            <w:r>
              <w:rPr>
                <w:color w:val="000000"/>
                <w:sz w:val="20"/>
                <w:szCs w:val="20"/>
              </w:rPr>
              <w:t>22,488</w:t>
            </w:r>
          </w:p>
        </w:tc>
        <w:tc>
          <w:tcPr>
            <w:tcW w:w="1134" w:type="dxa"/>
            <w:shd w:val="clear" w:color="auto" w:fill="auto"/>
          </w:tcPr>
          <w:p w14:paraId="0C587932" w14:textId="77777777" w:rsidR="00B23829" w:rsidRDefault="00B23829" w:rsidP="00004AD6">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line="288" w:lineRule="auto"/>
              <w:jc w:val="right"/>
              <w:rPr>
                <w:color w:val="000000"/>
                <w:sz w:val="20"/>
                <w:szCs w:val="20"/>
              </w:rPr>
            </w:pPr>
            <w:r>
              <w:rPr>
                <w:color w:val="000000"/>
                <w:sz w:val="20"/>
                <w:szCs w:val="20"/>
              </w:rPr>
              <w:t>-20%</w:t>
            </w:r>
          </w:p>
        </w:tc>
      </w:tr>
      <w:tr w:rsidR="00B23829" w14:paraId="6B6489E4" w14:textId="77777777" w:rsidTr="00BF1B51">
        <w:tc>
          <w:tcPr>
            <w:tcW w:w="1701" w:type="dxa"/>
            <w:vMerge/>
          </w:tcPr>
          <w:p w14:paraId="72E42B46" w14:textId="77777777" w:rsidR="00B23829" w:rsidRPr="00EE1FC5" w:rsidRDefault="00B23829" w:rsidP="00004AD6">
            <w:pPr>
              <w:spacing w:before="40" w:after="40" w:line="288" w:lineRule="auto"/>
              <w:rPr>
                <w:b/>
                <w:sz w:val="20"/>
                <w:szCs w:val="20"/>
              </w:rPr>
            </w:pPr>
          </w:p>
        </w:tc>
        <w:tc>
          <w:tcPr>
            <w:tcW w:w="916" w:type="dxa"/>
            <w:shd w:val="clear" w:color="auto" w:fill="auto"/>
          </w:tcPr>
          <w:p w14:paraId="3D72D1E2" w14:textId="4248835C" w:rsidR="00B23829" w:rsidRPr="00EE1FC5" w:rsidRDefault="00B23829" w:rsidP="00004AD6">
            <w:pPr>
              <w:spacing w:before="40" w:after="40" w:line="288" w:lineRule="auto"/>
              <w:rPr>
                <w:b/>
                <w:sz w:val="20"/>
                <w:szCs w:val="20"/>
              </w:rPr>
            </w:pPr>
            <w:r w:rsidRPr="00EE1FC5">
              <w:rPr>
                <w:b/>
                <w:sz w:val="20"/>
                <w:szCs w:val="20"/>
              </w:rPr>
              <w:t>32075</w:t>
            </w:r>
          </w:p>
        </w:tc>
        <w:tc>
          <w:tcPr>
            <w:tcW w:w="3904" w:type="dxa"/>
            <w:shd w:val="clear" w:color="auto" w:fill="auto"/>
          </w:tcPr>
          <w:p w14:paraId="78EAAF6D" w14:textId="66D69903" w:rsidR="00B23829" w:rsidRPr="00802846" w:rsidRDefault="00B23829" w:rsidP="00C22AE4">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line="288" w:lineRule="auto"/>
              <w:rPr>
                <w:color w:val="000000"/>
                <w:sz w:val="20"/>
                <w:szCs w:val="20"/>
              </w:rPr>
            </w:pPr>
            <w:r w:rsidRPr="00802846">
              <w:rPr>
                <w:color w:val="000000"/>
                <w:sz w:val="20"/>
                <w:szCs w:val="20"/>
              </w:rPr>
              <w:t>SIGMOIDOSCOPIC EXAMINATION (with rigid sigmoidoscope), UNDER GENERAL ANAESTHESIA, with or without biopsy, not being a service associated with a service to which another item in this Group applies (Anaes.)</w:t>
            </w:r>
          </w:p>
        </w:tc>
        <w:tc>
          <w:tcPr>
            <w:tcW w:w="833" w:type="dxa"/>
            <w:shd w:val="clear" w:color="auto" w:fill="auto"/>
          </w:tcPr>
          <w:p w14:paraId="5E58F11E" w14:textId="77777777" w:rsidR="00B23829" w:rsidRPr="00802846" w:rsidRDefault="00B23829" w:rsidP="00004AD6">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line="288" w:lineRule="auto"/>
              <w:jc w:val="right"/>
              <w:rPr>
                <w:color w:val="000000"/>
                <w:sz w:val="20"/>
                <w:szCs w:val="20"/>
              </w:rPr>
            </w:pPr>
            <w:r w:rsidRPr="00802846">
              <w:rPr>
                <w:color w:val="000000"/>
                <w:sz w:val="20"/>
                <w:szCs w:val="20"/>
              </w:rPr>
              <w:t>$75.05</w:t>
            </w:r>
          </w:p>
        </w:tc>
        <w:tc>
          <w:tcPr>
            <w:tcW w:w="1010" w:type="dxa"/>
            <w:shd w:val="clear" w:color="auto" w:fill="auto"/>
          </w:tcPr>
          <w:p w14:paraId="1526E3F1" w14:textId="77777777" w:rsidR="00B23829" w:rsidRPr="00802846" w:rsidRDefault="00B23829" w:rsidP="00004AD6">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line="288" w:lineRule="auto"/>
              <w:jc w:val="right"/>
              <w:rPr>
                <w:color w:val="000000"/>
                <w:sz w:val="20"/>
                <w:szCs w:val="20"/>
              </w:rPr>
            </w:pPr>
            <w:r>
              <w:rPr>
                <w:color w:val="000000"/>
                <w:sz w:val="20"/>
                <w:szCs w:val="20"/>
              </w:rPr>
              <w:t>225</w:t>
            </w:r>
          </w:p>
        </w:tc>
        <w:tc>
          <w:tcPr>
            <w:tcW w:w="1134" w:type="dxa"/>
            <w:shd w:val="clear" w:color="auto" w:fill="auto"/>
          </w:tcPr>
          <w:p w14:paraId="10035870" w14:textId="77777777" w:rsidR="00B23829" w:rsidRDefault="00B23829" w:rsidP="00004AD6">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line="288" w:lineRule="auto"/>
              <w:jc w:val="right"/>
              <w:rPr>
                <w:color w:val="000000"/>
                <w:sz w:val="20"/>
                <w:szCs w:val="20"/>
              </w:rPr>
            </w:pPr>
            <w:r>
              <w:rPr>
                <w:color w:val="000000"/>
                <w:sz w:val="20"/>
                <w:szCs w:val="20"/>
              </w:rPr>
              <w:t>0.4%</w:t>
            </w:r>
          </w:p>
        </w:tc>
      </w:tr>
      <w:tr w:rsidR="00B23829" w14:paraId="06582D25" w14:textId="77777777" w:rsidTr="00BF1B51">
        <w:tc>
          <w:tcPr>
            <w:tcW w:w="1701" w:type="dxa"/>
            <w:vMerge/>
          </w:tcPr>
          <w:p w14:paraId="2A040859" w14:textId="77777777" w:rsidR="00B23829" w:rsidRPr="00EE1FC5" w:rsidRDefault="00B23829" w:rsidP="00004AD6">
            <w:pPr>
              <w:spacing w:before="40" w:after="40" w:line="288" w:lineRule="auto"/>
              <w:rPr>
                <w:b/>
                <w:sz w:val="20"/>
                <w:szCs w:val="20"/>
              </w:rPr>
            </w:pPr>
          </w:p>
        </w:tc>
        <w:tc>
          <w:tcPr>
            <w:tcW w:w="916" w:type="dxa"/>
            <w:shd w:val="clear" w:color="auto" w:fill="auto"/>
          </w:tcPr>
          <w:p w14:paraId="0B0ADB6E" w14:textId="365D07E1" w:rsidR="00B23829" w:rsidRPr="00EE1FC5" w:rsidRDefault="00B23829" w:rsidP="00004AD6">
            <w:pPr>
              <w:spacing w:before="40" w:after="40" w:line="288" w:lineRule="auto"/>
              <w:rPr>
                <w:b/>
                <w:sz w:val="20"/>
                <w:szCs w:val="20"/>
              </w:rPr>
            </w:pPr>
            <w:r w:rsidRPr="00EE1FC5">
              <w:rPr>
                <w:b/>
                <w:sz w:val="20"/>
                <w:szCs w:val="20"/>
              </w:rPr>
              <w:t>32094</w:t>
            </w:r>
          </w:p>
        </w:tc>
        <w:tc>
          <w:tcPr>
            <w:tcW w:w="3904" w:type="dxa"/>
            <w:shd w:val="clear" w:color="auto" w:fill="auto"/>
          </w:tcPr>
          <w:p w14:paraId="3A90B825" w14:textId="77777777" w:rsidR="00B23829" w:rsidRPr="00802846" w:rsidRDefault="00B23829" w:rsidP="00004AD6">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line="288" w:lineRule="auto"/>
              <w:rPr>
                <w:color w:val="000000"/>
                <w:sz w:val="20"/>
                <w:szCs w:val="20"/>
              </w:rPr>
            </w:pPr>
            <w:r w:rsidRPr="00802846">
              <w:rPr>
                <w:color w:val="000000"/>
                <w:sz w:val="20"/>
                <w:szCs w:val="20"/>
              </w:rPr>
              <w:t>ENDOSCOPIC DILATATION OF COLORECTAL STRICTURES including colonoscopy (Anaes.)</w:t>
            </w:r>
          </w:p>
        </w:tc>
        <w:tc>
          <w:tcPr>
            <w:tcW w:w="833" w:type="dxa"/>
            <w:shd w:val="clear" w:color="auto" w:fill="auto"/>
          </w:tcPr>
          <w:p w14:paraId="5CF52B39" w14:textId="77777777" w:rsidR="00B23829" w:rsidRPr="00802846" w:rsidRDefault="00B23829" w:rsidP="00004AD6">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line="288" w:lineRule="auto"/>
              <w:jc w:val="right"/>
              <w:rPr>
                <w:color w:val="000000"/>
                <w:sz w:val="20"/>
                <w:szCs w:val="20"/>
              </w:rPr>
            </w:pPr>
            <w:r w:rsidRPr="00802846">
              <w:rPr>
                <w:color w:val="000000"/>
                <w:sz w:val="20"/>
                <w:szCs w:val="20"/>
              </w:rPr>
              <w:t>$551.85</w:t>
            </w:r>
          </w:p>
        </w:tc>
        <w:tc>
          <w:tcPr>
            <w:tcW w:w="1010" w:type="dxa"/>
            <w:shd w:val="clear" w:color="auto" w:fill="auto"/>
          </w:tcPr>
          <w:p w14:paraId="448803FF" w14:textId="77777777" w:rsidR="00B23829" w:rsidRPr="00802846" w:rsidRDefault="00B23829" w:rsidP="00004AD6">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line="288" w:lineRule="auto"/>
              <w:jc w:val="right"/>
              <w:rPr>
                <w:color w:val="000000"/>
                <w:sz w:val="20"/>
                <w:szCs w:val="20"/>
              </w:rPr>
            </w:pPr>
            <w:r>
              <w:rPr>
                <w:color w:val="000000"/>
                <w:sz w:val="20"/>
                <w:szCs w:val="20"/>
              </w:rPr>
              <w:t>768</w:t>
            </w:r>
          </w:p>
        </w:tc>
        <w:tc>
          <w:tcPr>
            <w:tcW w:w="1134" w:type="dxa"/>
            <w:shd w:val="clear" w:color="auto" w:fill="auto"/>
          </w:tcPr>
          <w:p w14:paraId="310E22C2" w14:textId="77777777" w:rsidR="00B23829" w:rsidRDefault="00B23829" w:rsidP="00004AD6">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line="288" w:lineRule="auto"/>
              <w:jc w:val="right"/>
              <w:rPr>
                <w:color w:val="000000"/>
                <w:sz w:val="20"/>
                <w:szCs w:val="20"/>
              </w:rPr>
            </w:pPr>
            <w:r>
              <w:rPr>
                <w:color w:val="000000"/>
                <w:sz w:val="20"/>
                <w:szCs w:val="20"/>
              </w:rPr>
              <w:t>4%</w:t>
            </w:r>
          </w:p>
        </w:tc>
      </w:tr>
      <w:tr w:rsidR="00B23829" w14:paraId="0FB8D277" w14:textId="77777777" w:rsidTr="00BF1B51">
        <w:tc>
          <w:tcPr>
            <w:tcW w:w="1701" w:type="dxa"/>
            <w:vMerge/>
          </w:tcPr>
          <w:p w14:paraId="44509299" w14:textId="77777777" w:rsidR="00B23829" w:rsidRPr="00EE1FC5" w:rsidRDefault="00B23829" w:rsidP="00004AD6">
            <w:pPr>
              <w:spacing w:before="40" w:after="40" w:line="288" w:lineRule="auto"/>
              <w:rPr>
                <w:b/>
                <w:sz w:val="20"/>
                <w:szCs w:val="20"/>
              </w:rPr>
            </w:pPr>
          </w:p>
        </w:tc>
        <w:tc>
          <w:tcPr>
            <w:tcW w:w="916" w:type="dxa"/>
            <w:shd w:val="clear" w:color="auto" w:fill="auto"/>
          </w:tcPr>
          <w:p w14:paraId="7FC88E8C" w14:textId="77C10E5A" w:rsidR="00B23829" w:rsidRPr="00EE1FC5" w:rsidRDefault="00B23829" w:rsidP="00004AD6">
            <w:pPr>
              <w:spacing w:before="40" w:after="40" w:line="288" w:lineRule="auto"/>
              <w:rPr>
                <w:b/>
                <w:sz w:val="20"/>
                <w:szCs w:val="20"/>
              </w:rPr>
            </w:pPr>
            <w:r w:rsidRPr="00EE1FC5">
              <w:rPr>
                <w:b/>
                <w:sz w:val="20"/>
                <w:szCs w:val="20"/>
              </w:rPr>
              <w:t>32095</w:t>
            </w:r>
          </w:p>
        </w:tc>
        <w:tc>
          <w:tcPr>
            <w:tcW w:w="3904" w:type="dxa"/>
            <w:shd w:val="clear" w:color="auto" w:fill="auto"/>
          </w:tcPr>
          <w:p w14:paraId="4C119435" w14:textId="77777777" w:rsidR="00B23829" w:rsidRPr="00802846" w:rsidRDefault="00B23829" w:rsidP="00004AD6">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line="288" w:lineRule="auto"/>
              <w:rPr>
                <w:color w:val="000000"/>
                <w:sz w:val="20"/>
                <w:szCs w:val="20"/>
              </w:rPr>
            </w:pPr>
            <w:r w:rsidRPr="00802846">
              <w:rPr>
                <w:color w:val="000000"/>
                <w:sz w:val="20"/>
                <w:szCs w:val="20"/>
              </w:rPr>
              <w:t>ENDOSCOPIC EXAMINATION of SMALL BOWEL with flexible endoscope passed by stoma, wi</w:t>
            </w:r>
            <w:r>
              <w:rPr>
                <w:color w:val="000000"/>
                <w:sz w:val="20"/>
                <w:szCs w:val="20"/>
              </w:rPr>
              <w:t>th or without biopsies (Anaes.)</w:t>
            </w:r>
          </w:p>
        </w:tc>
        <w:tc>
          <w:tcPr>
            <w:tcW w:w="833" w:type="dxa"/>
            <w:shd w:val="clear" w:color="auto" w:fill="auto"/>
          </w:tcPr>
          <w:p w14:paraId="596F9F20" w14:textId="77777777" w:rsidR="00B23829" w:rsidRPr="00802846" w:rsidRDefault="00B23829" w:rsidP="00004AD6">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line="288" w:lineRule="auto"/>
              <w:jc w:val="right"/>
              <w:rPr>
                <w:color w:val="000000"/>
                <w:sz w:val="20"/>
                <w:szCs w:val="20"/>
              </w:rPr>
            </w:pPr>
            <w:r w:rsidRPr="00802846">
              <w:rPr>
                <w:color w:val="000000"/>
                <w:sz w:val="20"/>
                <w:szCs w:val="20"/>
              </w:rPr>
              <w:t>$127.80</w:t>
            </w:r>
          </w:p>
        </w:tc>
        <w:tc>
          <w:tcPr>
            <w:tcW w:w="1010" w:type="dxa"/>
            <w:shd w:val="clear" w:color="auto" w:fill="auto"/>
          </w:tcPr>
          <w:p w14:paraId="2A3881B7" w14:textId="77777777" w:rsidR="00B23829" w:rsidRPr="00802846" w:rsidRDefault="00B23829" w:rsidP="00004AD6">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line="288" w:lineRule="auto"/>
              <w:jc w:val="right"/>
              <w:rPr>
                <w:color w:val="000000"/>
                <w:sz w:val="20"/>
                <w:szCs w:val="20"/>
              </w:rPr>
            </w:pPr>
            <w:r>
              <w:rPr>
                <w:color w:val="000000"/>
                <w:sz w:val="20"/>
                <w:szCs w:val="20"/>
              </w:rPr>
              <w:t>272</w:t>
            </w:r>
          </w:p>
        </w:tc>
        <w:tc>
          <w:tcPr>
            <w:tcW w:w="1134" w:type="dxa"/>
            <w:shd w:val="clear" w:color="auto" w:fill="auto"/>
          </w:tcPr>
          <w:p w14:paraId="54D52352" w14:textId="77777777" w:rsidR="00B23829" w:rsidRDefault="00B23829" w:rsidP="00004AD6">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line="288" w:lineRule="auto"/>
              <w:jc w:val="right"/>
              <w:rPr>
                <w:color w:val="000000"/>
                <w:sz w:val="20"/>
                <w:szCs w:val="20"/>
              </w:rPr>
            </w:pPr>
            <w:r>
              <w:rPr>
                <w:color w:val="000000"/>
                <w:sz w:val="20"/>
                <w:szCs w:val="20"/>
              </w:rPr>
              <w:t>9%</w:t>
            </w:r>
          </w:p>
        </w:tc>
      </w:tr>
    </w:tbl>
    <w:p w14:paraId="75BE09D6" w14:textId="7BA61309" w:rsidR="00F85147" w:rsidRDefault="003A2574" w:rsidP="00275472">
      <w:pPr>
        <w:pStyle w:val="TableUnder"/>
        <w:rPr>
          <w:i/>
          <w:smallCaps/>
          <w:sz w:val="20"/>
          <w:szCs w:val="20"/>
        </w:rPr>
      </w:pPr>
      <w:r w:rsidRPr="00094CD8">
        <w:t>Source: Publicly available MBS Data (Department of Human Services website)</w:t>
      </w:r>
    </w:p>
    <w:p w14:paraId="168C4EEE" w14:textId="77777777" w:rsidR="00F85147" w:rsidRDefault="00F85147" w:rsidP="00F85147">
      <w:pPr>
        <w:pStyle w:val="AppendixStyle1"/>
        <w:spacing w:before="180" w:after="60" w:line="240" w:lineRule="auto"/>
        <w:ind w:left="714" w:hanging="357"/>
        <w:rPr>
          <w:i/>
          <w:color w:val="000000" w:themeColor="text1"/>
        </w:rPr>
        <w:sectPr w:rsidR="00F85147" w:rsidSect="00151F01">
          <w:headerReference w:type="even" r:id="rId24"/>
          <w:headerReference w:type="default" r:id="rId25"/>
          <w:footerReference w:type="default" r:id="rId26"/>
          <w:headerReference w:type="first" r:id="rId27"/>
          <w:endnotePr>
            <w:numFmt w:val="decimal"/>
          </w:endnotePr>
          <w:pgSz w:w="11906" w:h="16838" w:code="9"/>
          <w:pgMar w:top="1440" w:right="1440" w:bottom="1276" w:left="1440" w:header="720" w:footer="720" w:gutter="0"/>
          <w:paperSrc w:first="2" w:other="2"/>
          <w:cols w:space="720"/>
          <w:docGrid w:linePitch="326"/>
        </w:sectPr>
      </w:pPr>
    </w:p>
    <w:p w14:paraId="1FBCC16D" w14:textId="799F9353" w:rsidR="00F85147" w:rsidRPr="00156B1C" w:rsidRDefault="00E8524B" w:rsidP="001815E3">
      <w:pPr>
        <w:pStyle w:val="AppendixStyle1"/>
      </w:pPr>
      <w:bookmarkStart w:id="251" w:name="_Toc485731785"/>
      <w:r>
        <w:lastRenderedPageBreak/>
        <w:t xml:space="preserve">Summary </w:t>
      </w:r>
      <w:r w:rsidR="00D37F0C">
        <w:t>for Consumers</w:t>
      </w:r>
      <w:bookmarkEnd w:id="251"/>
    </w:p>
    <w:p w14:paraId="27553895" w14:textId="34058BC6" w:rsidR="00F85147" w:rsidRPr="001F3D23" w:rsidRDefault="00004AD6" w:rsidP="005B353E">
      <w:pPr>
        <w:pStyle w:val="AppendixStyle2"/>
      </w:pPr>
      <w:r>
        <w:t>Gastroenterology</w:t>
      </w:r>
      <w:r w:rsidR="00D37F0C">
        <w:t xml:space="preserve"> Clinical Committee </w:t>
      </w:r>
      <w:r w:rsidR="00F85147" w:rsidRPr="001F3D23">
        <w:t>recommendations</w:t>
      </w:r>
    </w:p>
    <w:p w14:paraId="0B6878A2" w14:textId="6EC24825" w:rsidR="00F85147" w:rsidRDefault="00F85147" w:rsidP="00FA1377">
      <w:r w:rsidRPr="001F3D23">
        <w:t>Th</w:t>
      </w:r>
      <w:r w:rsidR="005B353E">
        <w:t xml:space="preserve">is </w:t>
      </w:r>
      <w:r w:rsidR="002C154A">
        <w:t>appendix</w:t>
      </w:r>
      <w:r w:rsidR="005B353E">
        <w:t xml:space="preserve"> </w:t>
      </w:r>
      <w:r w:rsidRPr="001F3D23">
        <w:t>describes the medical service, recommendation</w:t>
      </w:r>
      <w:r w:rsidR="00D37F0C">
        <w:t>s</w:t>
      </w:r>
      <w:r w:rsidRPr="001F3D23">
        <w:t xml:space="preserve"> of the Clinical Experts and why the </w:t>
      </w:r>
      <w:r w:rsidRPr="00FA1377">
        <w:t>recommendation</w:t>
      </w:r>
      <w:r w:rsidRPr="001F3D23">
        <w:t xml:space="preserve"> has been made.</w:t>
      </w:r>
    </w:p>
    <w:p w14:paraId="601297B6" w14:textId="26CAA3F8" w:rsidR="00417EFF" w:rsidRDefault="00417EFF" w:rsidP="00417EFF">
      <w:pPr>
        <w:pStyle w:val="Caption"/>
      </w:pPr>
      <w:r>
        <w:t>Table B1: Recommendation – colo</w:t>
      </w:r>
      <w:r w:rsidR="006B6FD4">
        <w:t>no</w:t>
      </w:r>
      <w:r>
        <w:t>scopy</w:t>
      </w:r>
    </w:p>
    <w:tbl>
      <w:tblPr>
        <w:tblStyle w:val="TableGrid"/>
        <w:tblW w:w="14425" w:type="dxa"/>
        <w:tblInd w:w="108"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ayout w:type="fixed"/>
        <w:tblLook w:val="04A0" w:firstRow="1" w:lastRow="0" w:firstColumn="1" w:lastColumn="0" w:noHBand="0" w:noVBand="1"/>
        <w:tblDescription w:val="Table B1 lists the items for colonoscopy, and provides recommendations for these items by the clinical experts and why the recommendation have been made."/>
      </w:tblPr>
      <w:tblGrid>
        <w:gridCol w:w="2126"/>
        <w:gridCol w:w="3118"/>
        <w:gridCol w:w="3086"/>
        <w:gridCol w:w="2977"/>
        <w:gridCol w:w="3118"/>
      </w:tblGrid>
      <w:tr w:rsidR="00417EFF" w:rsidRPr="00175E49" w14:paraId="4218C9ED" w14:textId="77777777" w:rsidTr="00CA489F">
        <w:trPr>
          <w:tblHeader/>
        </w:trPr>
        <w:tc>
          <w:tcPr>
            <w:tcW w:w="2126" w:type="dxa"/>
          </w:tcPr>
          <w:p w14:paraId="15E6D317" w14:textId="77777777" w:rsidR="00417EFF" w:rsidRPr="00226A36" w:rsidRDefault="00417EFF" w:rsidP="0018105F">
            <w:pPr>
              <w:pStyle w:val="Tableheading"/>
            </w:pPr>
            <w:r w:rsidRPr="00226A36">
              <w:t xml:space="preserve">Item </w:t>
            </w:r>
          </w:p>
        </w:tc>
        <w:tc>
          <w:tcPr>
            <w:tcW w:w="3118" w:type="dxa"/>
          </w:tcPr>
          <w:p w14:paraId="533CCEEE" w14:textId="77777777" w:rsidR="00417EFF" w:rsidRPr="00226A36" w:rsidRDefault="00417EFF" w:rsidP="0018105F">
            <w:pPr>
              <w:pStyle w:val="Tableheading"/>
            </w:pPr>
            <w:r w:rsidRPr="00226A36">
              <w:t xml:space="preserve">What it does </w:t>
            </w:r>
          </w:p>
        </w:tc>
        <w:tc>
          <w:tcPr>
            <w:tcW w:w="3086" w:type="dxa"/>
          </w:tcPr>
          <w:p w14:paraId="5EDB556E" w14:textId="77777777" w:rsidR="00417EFF" w:rsidRPr="00226A36" w:rsidRDefault="00417EFF" w:rsidP="0018105F">
            <w:pPr>
              <w:pStyle w:val="Tableheading"/>
            </w:pPr>
            <w:r w:rsidRPr="00226A36">
              <w:t>Committee Recommendation</w:t>
            </w:r>
          </w:p>
        </w:tc>
        <w:tc>
          <w:tcPr>
            <w:tcW w:w="2977" w:type="dxa"/>
          </w:tcPr>
          <w:p w14:paraId="1F69360E" w14:textId="77777777" w:rsidR="00417EFF" w:rsidRPr="00226A36" w:rsidRDefault="00417EFF" w:rsidP="0018105F">
            <w:pPr>
              <w:pStyle w:val="Tableheading"/>
            </w:pPr>
            <w:r w:rsidRPr="00226A36">
              <w:t>What would be different</w:t>
            </w:r>
          </w:p>
        </w:tc>
        <w:tc>
          <w:tcPr>
            <w:tcW w:w="3118" w:type="dxa"/>
          </w:tcPr>
          <w:p w14:paraId="224B6971" w14:textId="77777777" w:rsidR="00417EFF" w:rsidRPr="00226A36" w:rsidRDefault="00417EFF" w:rsidP="0018105F">
            <w:pPr>
              <w:pStyle w:val="Tableheading"/>
            </w:pPr>
            <w:r w:rsidRPr="00226A36">
              <w:t>Why</w:t>
            </w:r>
          </w:p>
        </w:tc>
      </w:tr>
      <w:tr w:rsidR="00417EFF" w:rsidRPr="00D451F3" w14:paraId="4D749365" w14:textId="77777777" w:rsidTr="00CA489F">
        <w:tc>
          <w:tcPr>
            <w:tcW w:w="2126" w:type="dxa"/>
          </w:tcPr>
          <w:p w14:paraId="2E599FBA" w14:textId="77777777" w:rsidR="00417EFF" w:rsidRPr="00226A36" w:rsidRDefault="00417EFF" w:rsidP="00CA489F">
            <w:pPr>
              <w:spacing w:before="60"/>
              <w:rPr>
                <w:b/>
                <w:sz w:val="20"/>
                <w:szCs w:val="20"/>
              </w:rPr>
            </w:pPr>
            <w:r>
              <w:rPr>
                <w:b/>
                <w:sz w:val="20"/>
                <w:szCs w:val="20"/>
              </w:rPr>
              <w:t>32090 and 32093</w:t>
            </w:r>
          </w:p>
        </w:tc>
        <w:tc>
          <w:tcPr>
            <w:tcW w:w="3118" w:type="dxa"/>
          </w:tcPr>
          <w:p w14:paraId="3F5170B9" w14:textId="77777777" w:rsidR="00417EFF" w:rsidRDefault="00417EFF" w:rsidP="00FA1377">
            <w:pPr>
              <w:pStyle w:val="ListParagraph"/>
              <w:numPr>
                <w:ilvl w:val="0"/>
                <w:numId w:val="70"/>
              </w:numPr>
              <w:spacing w:before="60"/>
              <w:rPr>
                <w:sz w:val="20"/>
                <w:szCs w:val="20"/>
              </w:rPr>
            </w:pPr>
            <w:r w:rsidRPr="00B26A7A">
              <w:rPr>
                <w:sz w:val="20"/>
                <w:szCs w:val="20"/>
              </w:rPr>
              <w:t xml:space="preserve">A diagnostic procedure (32090) using an endoscope to visually examine the colon (with or without biopsy) </w:t>
            </w:r>
          </w:p>
          <w:p w14:paraId="325E2DFE" w14:textId="77777777" w:rsidR="00417EFF" w:rsidRPr="00B26A7A" w:rsidRDefault="00417EFF" w:rsidP="00FA1377">
            <w:pPr>
              <w:pStyle w:val="ListParagraph"/>
              <w:numPr>
                <w:ilvl w:val="0"/>
                <w:numId w:val="70"/>
              </w:numPr>
              <w:spacing w:before="60"/>
              <w:rPr>
                <w:sz w:val="20"/>
                <w:szCs w:val="20"/>
              </w:rPr>
            </w:pPr>
            <w:r>
              <w:rPr>
                <w:sz w:val="20"/>
                <w:szCs w:val="20"/>
              </w:rPr>
              <w:t xml:space="preserve">A </w:t>
            </w:r>
            <w:r w:rsidRPr="00B26A7A">
              <w:rPr>
                <w:sz w:val="20"/>
                <w:szCs w:val="20"/>
              </w:rPr>
              <w:t>therapeutic procedure (32093) using an endoscope to visually examine the colon to provide treatments or to remove polyps</w:t>
            </w:r>
          </w:p>
        </w:tc>
        <w:tc>
          <w:tcPr>
            <w:tcW w:w="3086" w:type="dxa"/>
          </w:tcPr>
          <w:p w14:paraId="6217395F" w14:textId="77777777" w:rsidR="00417EFF" w:rsidRPr="00B26A7A" w:rsidRDefault="00417EFF" w:rsidP="00FA1377">
            <w:pPr>
              <w:pStyle w:val="ListParagraph"/>
              <w:numPr>
                <w:ilvl w:val="0"/>
                <w:numId w:val="71"/>
              </w:numPr>
              <w:spacing w:before="60"/>
              <w:rPr>
                <w:sz w:val="20"/>
                <w:szCs w:val="20"/>
              </w:rPr>
            </w:pPr>
            <w:r w:rsidRPr="00B26A7A">
              <w:rPr>
                <w:sz w:val="20"/>
                <w:szCs w:val="20"/>
              </w:rPr>
              <w:t xml:space="preserve">Align MBS reimburse of items with approved clinical guidelines </w:t>
            </w:r>
            <w:r>
              <w:rPr>
                <w:sz w:val="20"/>
                <w:szCs w:val="20"/>
              </w:rPr>
              <w:t>and algorithms</w:t>
            </w:r>
          </w:p>
          <w:p w14:paraId="3000D205" w14:textId="77777777" w:rsidR="00417EFF" w:rsidRDefault="00417EFF" w:rsidP="00FA1377">
            <w:pPr>
              <w:pStyle w:val="ListParagraph"/>
              <w:numPr>
                <w:ilvl w:val="0"/>
                <w:numId w:val="71"/>
              </w:numPr>
              <w:spacing w:before="60"/>
              <w:rPr>
                <w:sz w:val="20"/>
                <w:szCs w:val="20"/>
              </w:rPr>
            </w:pPr>
            <w:r w:rsidRPr="00B26A7A">
              <w:rPr>
                <w:sz w:val="20"/>
                <w:szCs w:val="20"/>
              </w:rPr>
              <w:t>Restructure services to better describe clinical indications and intervals for repeat testing</w:t>
            </w:r>
          </w:p>
          <w:p w14:paraId="2A85E1DC" w14:textId="77777777" w:rsidR="00417EFF" w:rsidRDefault="00417EFF" w:rsidP="00FA1377">
            <w:pPr>
              <w:pStyle w:val="ListParagraph"/>
              <w:numPr>
                <w:ilvl w:val="0"/>
                <w:numId w:val="71"/>
              </w:numPr>
              <w:spacing w:before="60"/>
              <w:rPr>
                <w:sz w:val="20"/>
                <w:szCs w:val="20"/>
              </w:rPr>
            </w:pPr>
            <w:r w:rsidRPr="006A17CC">
              <w:rPr>
                <w:sz w:val="20"/>
                <w:szCs w:val="20"/>
              </w:rPr>
              <w:t>Amend item to better define the extent of the examination ‘</w:t>
            </w:r>
            <w:r>
              <w:rPr>
                <w:sz w:val="20"/>
                <w:szCs w:val="20"/>
              </w:rPr>
              <w:t>to</w:t>
            </w:r>
            <w:r w:rsidRPr="006A17CC">
              <w:rPr>
                <w:sz w:val="20"/>
                <w:szCs w:val="20"/>
              </w:rPr>
              <w:t xml:space="preserve"> the caecum’ </w:t>
            </w:r>
          </w:p>
          <w:p w14:paraId="6D3678CE" w14:textId="77777777" w:rsidR="00417EFF" w:rsidRDefault="00417EFF" w:rsidP="00FA1377">
            <w:pPr>
              <w:pStyle w:val="ListParagraph"/>
              <w:numPr>
                <w:ilvl w:val="0"/>
                <w:numId w:val="71"/>
              </w:numPr>
              <w:spacing w:before="60"/>
              <w:rPr>
                <w:sz w:val="20"/>
                <w:szCs w:val="20"/>
              </w:rPr>
            </w:pPr>
            <w:r>
              <w:rPr>
                <w:sz w:val="20"/>
                <w:szCs w:val="20"/>
              </w:rPr>
              <w:t>Amend the existing NBCSP items to align the examination requirements ‘to the caecum’</w:t>
            </w:r>
          </w:p>
          <w:p w14:paraId="5DC56667" w14:textId="59C0EFB3" w:rsidR="00417EFF" w:rsidRDefault="00417EFF" w:rsidP="00FA1377">
            <w:pPr>
              <w:pStyle w:val="ListParagraph"/>
              <w:numPr>
                <w:ilvl w:val="0"/>
                <w:numId w:val="71"/>
              </w:numPr>
              <w:spacing w:before="60"/>
              <w:rPr>
                <w:sz w:val="20"/>
                <w:szCs w:val="20"/>
              </w:rPr>
            </w:pPr>
            <w:r>
              <w:rPr>
                <w:sz w:val="20"/>
                <w:szCs w:val="20"/>
              </w:rPr>
              <w:t>R</w:t>
            </w:r>
            <w:r w:rsidRPr="006A17CC">
              <w:rPr>
                <w:sz w:val="20"/>
                <w:szCs w:val="20"/>
              </w:rPr>
              <w:t>emove out-of-date terminology ‘fibreoptic’</w:t>
            </w:r>
            <w:r>
              <w:rPr>
                <w:sz w:val="20"/>
                <w:szCs w:val="20"/>
              </w:rPr>
              <w:t xml:space="preserve"> and ‘flexible’</w:t>
            </w:r>
            <w:r w:rsidRPr="006A17CC">
              <w:rPr>
                <w:sz w:val="20"/>
                <w:szCs w:val="20"/>
              </w:rPr>
              <w:t>.</w:t>
            </w:r>
            <w:r w:rsidR="003C4F52">
              <w:rPr>
                <w:sz w:val="20"/>
                <w:szCs w:val="20"/>
              </w:rPr>
              <w:t xml:space="preserve"> </w:t>
            </w:r>
          </w:p>
          <w:p w14:paraId="78F66916" w14:textId="77777777" w:rsidR="00417EFF" w:rsidRDefault="00417EFF" w:rsidP="00FA1377">
            <w:pPr>
              <w:pStyle w:val="ListParagraph"/>
              <w:numPr>
                <w:ilvl w:val="0"/>
                <w:numId w:val="71"/>
              </w:numPr>
              <w:spacing w:before="60"/>
              <w:rPr>
                <w:sz w:val="20"/>
                <w:szCs w:val="20"/>
              </w:rPr>
            </w:pPr>
            <w:r>
              <w:rPr>
                <w:sz w:val="20"/>
                <w:szCs w:val="20"/>
              </w:rPr>
              <w:t xml:space="preserve">Place restrictions on claiming with other colonoscopy services (same day, same </w:t>
            </w:r>
            <w:r>
              <w:rPr>
                <w:sz w:val="20"/>
                <w:szCs w:val="20"/>
              </w:rPr>
              <w:lastRenderedPageBreak/>
              <w:t>practitioner) during a single episode of anaesthesia</w:t>
            </w:r>
          </w:p>
          <w:p w14:paraId="175F3BAD" w14:textId="2AC7BE50" w:rsidR="00417EFF" w:rsidRPr="00226A36" w:rsidRDefault="00417EFF" w:rsidP="00FA1377">
            <w:pPr>
              <w:pStyle w:val="ListParagraph"/>
              <w:numPr>
                <w:ilvl w:val="0"/>
                <w:numId w:val="71"/>
              </w:numPr>
              <w:spacing w:before="60"/>
              <w:rPr>
                <w:sz w:val="20"/>
                <w:szCs w:val="20"/>
              </w:rPr>
            </w:pPr>
            <w:r>
              <w:rPr>
                <w:sz w:val="20"/>
                <w:szCs w:val="20"/>
              </w:rPr>
              <w:t>Create a new item for the treatment of conditions radiation proctitis, angiodysplasia or post-polypectomy bleeding and remove restrictions on the therapy APC for controlling bleeding</w:t>
            </w:r>
          </w:p>
        </w:tc>
        <w:tc>
          <w:tcPr>
            <w:tcW w:w="2977" w:type="dxa"/>
          </w:tcPr>
          <w:p w14:paraId="3B811026" w14:textId="77777777" w:rsidR="00417EFF" w:rsidRDefault="00417EFF" w:rsidP="00FA1377">
            <w:pPr>
              <w:pStyle w:val="ListParagraph"/>
              <w:numPr>
                <w:ilvl w:val="0"/>
                <w:numId w:val="72"/>
              </w:numPr>
              <w:spacing w:before="60"/>
              <w:rPr>
                <w:sz w:val="20"/>
                <w:szCs w:val="20"/>
              </w:rPr>
            </w:pPr>
            <w:r w:rsidRPr="0047745A">
              <w:rPr>
                <w:sz w:val="20"/>
                <w:szCs w:val="20"/>
              </w:rPr>
              <w:lastRenderedPageBreak/>
              <w:t xml:space="preserve">Practitioners will be guided by the item descriptors and the approved clinical guidelines </w:t>
            </w:r>
          </w:p>
          <w:p w14:paraId="61555366" w14:textId="77777777" w:rsidR="00417EFF" w:rsidRDefault="00417EFF" w:rsidP="00FA1377">
            <w:pPr>
              <w:pStyle w:val="ListParagraph"/>
              <w:numPr>
                <w:ilvl w:val="0"/>
                <w:numId w:val="72"/>
              </w:numPr>
              <w:spacing w:before="60"/>
              <w:rPr>
                <w:sz w:val="20"/>
                <w:szCs w:val="20"/>
              </w:rPr>
            </w:pPr>
            <w:r>
              <w:rPr>
                <w:sz w:val="20"/>
                <w:szCs w:val="20"/>
              </w:rPr>
              <w:t>Patient</w:t>
            </w:r>
            <w:r w:rsidRPr="0047745A">
              <w:rPr>
                <w:sz w:val="20"/>
                <w:szCs w:val="20"/>
              </w:rPr>
              <w:t xml:space="preserve"> </w:t>
            </w:r>
            <w:r>
              <w:rPr>
                <w:sz w:val="20"/>
                <w:szCs w:val="20"/>
              </w:rPr>
              <w:t xml:space="preserve">indications and conditions will be better described and they </w:t>
            </w:r>
            <w:r w:rsidRPr="0047745A">
              <w:rPr>
                <w:sz w:val="20"/>
                <w:szCs w:val="20"/>
              </w:rPr>
              <w:t>will not undergo unnecessary colonoscopy or too frequent testing</w:t>
            </w:r>
            <w:r>
              <w:rPr>
                <w:sz w:val="20"/>
                <w:szCs w:val="20"/>
              </w:rPr>
              <w:t xml:space="preserve">. </w:t>
            </w:r>
          </w:p>
          <w:p w14:paraId="216D68D7" w14:textId="77777777" w:rsidR="00417EFF" w:rsidRDefault="00417EFF" w:rsidP="00FA1377">
            <w:pPr>
              <w:pStyle w:val="ListParagraph"/>
              <w:numPr>
                <w:ilvl w:val="0"/>
                <w:numId w:val="72"/>
              </w:numPr>
              <w:spacing w:before="60"/>
              <w:rPr>
                <w:sz w:val="20"/>
                <w:szCs w:val="20"/>
              </w:rPr>
            </w:pPr>
            <w:r w:rsidRPr="0047745A">
              <w:rPr>
                <w:sz w:val="20"/>
                <w:szCs w:val="20"/>
              </w:rPr>
              <w:t>Patients will benefit from this quality measure which will require a more comprehensive and complete examination to be performed</w:t>
            </w:r>
            <w:r>
              <w:rPr>
                <w:sz w:val="20"/>
                <w:szCs w:val="20"/>
              </w:rPr>
              <w:t xml:space="preserve"> </w:t>
            </w:r>
          </w:p>
          <w:p w14:paraId="7D5BD273" w14:textId="77777777" w:rsidR="00417EFF" w:rsidRDefault="00417EFF" w:rsidP="00FA1377">
            <w:pPr>
              <w:pStyle w:val="ListParagraph"/>
              <w:numPr>
                <w:ilvl w:val="0"/>
                <w:numId w:val="72"/>
              </w:numPr>
              <w:spacing w:before="60"/>
              <w:rPr>
                <w:sz w:val="20"/>
                <w:szCs w:val="20"/>
              </w:rPr>
            </w:pPr>
            <w:r>
              <w:rPr>
                <w:sz w:val="20"/>
                <w:szCs w:val="20"/>
              </w:rPr>
              <w:t xml:space="preserve">NBCSP patients will benefit from this quality measure which will require a more comprehensive and </w:t>
            </w:r>
            <w:r>
              <w:rPr>
                <w:sz w:val="20"/>
                <w:szCs w:val="20"/>
              </w:rPr>
              <w:lastRenderedPageBreak/>
              <w:t>complete examination to be performed.</w:t>
            </w:r>
          </w:p>
          <w:p w14:paraId="46A57785" w14:textId="77777777" w:rsidR="00417EFF" w:rsidRDefault="00417EFF" w:rsidP="00FA1377">
            <w:pPr>
              <w:pStyle w:val="ListParagraph"/>
              <w:numPr>
                <w:ilvl w:val="0"/>
                <w:numId w:val="72"/>
              </w:numPr>
              <w:spacing w:before="60"/>
              <w:rPr>
                <w:sz w:val="20"/>
                <w:szCs w:val="20"/>
              </w:rPr>
            </w:pPr>
            <w:r>
              <w:rPr>
                <w:sz w:val="20"/>
                <w:szCs w:val="20"/>
              </w:rPr>
              <w:t xml:space="preserve">The updated wording will reflect contemporary clinical practice. </w:t>
            </w:r>
          </w:p>
          <w:p w14:paraId="54E6F8D0" w14:textId="77777777" w:rsidR="00417EFF" w:rsidRDefault="00417EFF" w:rsidP="00FA1377">
            <w:pPr>
              <w:pStyle w:val="ListParagraph"/>
              <w:numPr>
                <w:ilvl w:val="0"/>
                <w:numId w:val="72"/>
              </w:numPr>
              <w:spacing w:before="60"/>
              <w:rPr>
                <w:sz w:val="20"/>
                <w:szCs w:val="20"/>
              </w:rPr>
            </w:pPr>
            <w:r>
              <w:rPr>
                <w:sz w:val="20"/>
                <w:szCs w:val="20"/>
              </w:rPr>
              <w:t>These services will not able to be billed with other colonoscopy services on the same day, same patient and practitioner unless under a separate sedation/anaesthesia.</w:t>
            </w:r>
          </w:p>
          <w:p w14:paraId="3BE4390D" w14:textId="77777777" w:rsidR="00417EFF" w:rsidRPr="0047745A" w:rsidRDefault="00417EFF" w:rsidP="00FA1377">
            <w:pPr>
              <w:pStyle w:val="ListParagraph"/>
              <w:numPr>
                <w:ilvl w:val="0"/>
                <w:numId w:val="72"/>
              </w:numPr>
              <w:spacing w:before="60"/>
              <w:rPr>
                <w:sz w:val="20"/>
                <w:szCs w:val="20"/>
              </w:rPr>
            </w:pPr>
            <w:r>
              <w:rPr>
                <w:sz w:val="20"/>
                <w:szCs w:val="20"/>
              </w:rPr>
              <w:t>A new item for the treatment of specified conditions will simplify the items.</w:t>
            </w:r>
          </w:p>
        </w:tc>
        <w:tc>
          <w:tcPr>
            <w:tcW w:w="3118" w:type="dxa"/>
          </w:tcPr>
          <w:p w14:paraId="3D6D7A5E" w14:textId="77777777" w:rsidR="00417EFF" w:rsidRDefault="00417EFF" w:rsidP="00FA1377">
            <w:pPr>
              <w:pStyle w:val="ListParagraph"/>
              <w:numPr>
                <w:ilvl w:val="0"/>
                <w:numId w:val="73"/>
              </w:numPr>
              <w:spacing w:before="60"/>
              <w:rPr>
                <w:sz w:val="20"/>
                <w:szCs w:val="20"/>
              </w:rPr>
            </w:pPr>
            <w:r w:rsidRPr="000C6482">
              <w:rPr>
                <w:sz w:val="20"/>
                <w:szCs w:val="20"/>
              </w:rPr>
              <w:lastRenderedPageBreak/>
              <w:t>To assist practitioner in determining the circumstances when these services are clinical appropriate</w:t>
            </w:r>
            <w:r>
              <w:rPr>
                <w:sz w:val="20"/>
                <w:szCs w:val="20"/>
              </w:rPr>
              <w:t>.</w:t>
            </w:r>
          </w:p>
          <w:p w14:paraId="2BFC4F67" w14:textId="77777777" w:rsidR="00417EFF" w:rsidRDefault="00417EFF" w:rsidP="00FA1377">
            <w:pPr>
              <w:pStyle w:val="ListParagraph"/>
              <w:numPr>
                <w:ilvl w:val="0"/>
                <w:numId w:val="73"/>
              </w:numPr>
              <w:spacing w:before="60"/>
              <w:rPr>
                <w:sz w:val="20"/>
                <w:szCs w:val="20"/>
              </w:rPr>
            </w:pPr>
            <w:r>
              <w:rPr>
                <w:sz w:val="20"/>
                <w:szCs w:val="20"/>
              </w:rPr>
              <w:t>The clinical circumstances for these service will be better defined</w:t>
            </w:r>
          </w:p>
          <w:p w14:paraId="097EE170" w14:textId="77777777" w:rsidR="00417EFF" w:rsidRDefault="00417EFF" w:rsidP="00FA1377">
            <w:pPr>
              <w:pStyle w:val="ListParagraph"/>
              <w:numPr>
                <w:ilvl w:val="0"/>
                <w:numId w:val="73"/>
              </w:numPr>
              <w:spacing w:before="60"/>
              <w:rPr>
                <w:sz w:val="20"/>
                <w:szCs w:val="20"/>
              </w:rPr>
            </w:pPr>
            <w:r>
              <w:rPr>
                <w:sz w:val="20"/>
                <w:szCs w:val="20"/>
              </w:rPr>
              <w:t>The clinical requirements for a complete and comprehensive examination will be better defined</w:t>
            </w:r>
          </w:p>
          <w:p w14:paraId="639B2FF2" w14:textId="77777777" w:rsidR="00417EFF" w:rsidRDefault="00417EFF" w:rsidP="00FA1377">
            <w:pPr>
              <w:pStyle w:val="ListParagraph"/>
              <w:numPr>
                <w:ilvl w:val="0"/>
                <w:numId w:val="73"/>
              </w:numPr>
              <w:spacing w:before="60"/>
              <w:rPr>
                <w:sz w:val="20"/>
                <w:szCs w:val="20"/>
              </w:rPr>
            </w:pPr>
            <w:r>
              <w:rPr>
                <w:sz w:val="20"/>
                <w:szCs w:val="20"/>
              </w:rPr>
              <w:t>The clinical requirements for a complete and comprehensive examination will be better defined for NBCSP patients</w:t>
            </w:r>
          </w:p>
          <w:p w14:paraId="538B41D6" w14:textId="77777777" w:rsidR="00417EFF" w:rsidRDefault="00417EFF" w:rsidP="00FA1377">
            <w:pPr>
              <w:pStyle w:val="ListParagraph"/>
              <w:numPr>
                <w:ilvl w:val="0"/>
                <w:numId w:val="73"/>
              </w:numPr>
              <w:spacing w:before="60"/>
              <w:rPr>
                <w:sz w:val="20"/>
                <w:szCs w:val="20"/>
              </w:rPr>
            </w:pPr>
            <w:r>
              <w:rPr>
                <w:sz w:val="20"/>
                <w:szCs w:val="20"/>
              </w:rPr>
              <w:t>The items should reflect contemporary changes to practices and procedures</w:t>
            </w:r>
          </w:p>
          <w:p w14:paraId="2069904D" w14:textId="16A69278" w:rsidR="00417EFF" w:rsidRDefault="00417EFF" w:rsidP="00FA1377">
            <w:pPr>
              <w:pStyle w:val="ListParagraph"/>
              <w:numPr>
                <w:ilvl w:val="0"/>
                <w:numId w:val="73"/>
              </w:numPr>
              <w:spacing w:before="60"/>
              <w:rPr>
                <w:sz w:val="20"/>
                <w:szCs w:val="20"/>
              </w:rPr>
            </w:pPr>
            <w:r>
              <w:rPr>
                <w:sz w:val="20"/>
                <w:szCs w:val="20"/>
              </w:rPr>
              <w:t xml:space="preserve">Patients would effectively pay twice for the same service if </w:t>
            </w:r>
            <w:r>
              <w:rPr>
                <w:sz w:val="20"/>
                <w:szCs w:val="20"/>
              </w:rPr>
              <w:lastRenderedPageBreak/>
              <w:t>other colonoscopy services were</w:t>
            </w:r>
            <w:r w:rsidR="003C4F52">
              <w:rPr>
                <w:sz w:val="20"/>
                <w:szCs w:val="20"/>
              </w:rPr>
              <w:t xml:space="preserve"> </w:t>
            </w:r>
            <w:r>
              <w:rPr>
                <w:sz w:val="20"/>
                <w:szCs w:val="20"/>
              </w:rPr>
              <w:t>allowed to be billed together</w:t>
            </w:r>
          </w:p>
          <w:p w14:paraId="61066599" w14:textId="0C476A5A" w:rsidR="00417EFF" w:rsidRPr="00226A36" w:rsidRDefault="00417EFF" w:rsidP="00FA1377">
            <w:pPr>
              <w:pStyle w:val="ListParagraph"/>
              <w:numPr>
                <w:ilvl w:val="0"/>
                <w:numId w:val="73"/>
              </w:numPr>
              <w:spacing w:before="60"/>
              <w:rPr>
                <w:sz w:val="20"/>
                <w:szCs w:val="20"/>
              </w:rPr>
            </w:pPr>
            <w:r>
              <w:rPr>
                <w:sz w:val="20"/>
                <w:szCs w:val="20"/>
              </w:rPr>
              <w:t>Separating the specified treatments from the removal of polyp/lesion will simplify the intent of the item.</w:t>
            </w:r>
          </w:p>
        </w:tc>
      </w:tr>
    </w:tbl>
    <w:p w14:paraId="3C2BDD81" w14:textId="3A23CAA8" w:rsidR="00417EFF" w:rsidRDefault="00417EFF" w:rsidP="002C154A">
      <w:pPr>
        <w:pStyle w:val="Caption"/>
      </w:pPr>
      <w:r>
        <w:lastRenderedPageBreak/>
        <w:t>Table B2: Recommendation 2 – s</w:t>
      </w:r>
      <w:r w:rsidRPr="00417EFF">
        <w:t>ame day upper and lower gastrointestinal services endoscopy</w:t>
      </w:r>
    </w:p>
    <w:tbl>
      <w:tblPr>
        <w:tblStyle w:val="TableGrid"/>
        <w:tblW w:w="14425" w:type="dxa"/>
        <w:tblInd w:w="108"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ayout w:type="fixed"/>
        <w:tblLook w:val="04A0" w:firstRow="1" w:lastRow="0" w:firstColumn="1" w:lastColumn="0" w:noHBand="0" w:noVBand="1"/>
        <w:tblDescription w:val="Table B2 lists the items for same day upper and lower gastrointestinal services colonoscopy, and provides recommendations for these items by the clinical experts and why the recommendation have been made"/>
      </w:tblPr>
      <w:tblGrid>
        <w:gridCol w:w="2126"/>
        <w:gridCol w:w="3118"/>
        <w:gridCol w:w="3086"/>
        <w:gridCol w:w="2977"/>
        <w:gridCol w:w="3118"/>
      </w:tblGrid>
      <w:tr w:rsidR="00417EFF" w:rsidRPr="00175E49" w14:paraId="55D4D290" w14:textId="77777777" w:rsidTr="00CA489F">
        <w:trPr>
          <w:tblHeader/>
        </w:trPr>
        <w:tc>
          <w:tcPr>
            <w:tcW w:w="2126" w:type="dxa"/>
          </w:tcPr>
          <w:p w14:paraId="2206D0A6" w14:textId="77777777" w:rsidR="00417EFF" w:rsidRPr="00226A36" w:rsidRDefault="00417EFF" w:rsidP="0018105F">
            <w:pPr>
              <w:pStyle w:val="Tableheading"/>
            </w:pPr>
            <w:r w:rsidRPr="00226A36">
              <w:t xml:space="preserve">Item </w:t>
            </w:r>
          </w:p>
        </w:tc>
        <w:tc>
          <w:tcPr>
            <w:tcW w:w="3118" w:type="dxa"/>
          </w:tcPr>
          <w:p w14:paraId="7A7F439F" w14:textId="77777777" w:rsidR="00417EFF" w:rsidRPr="00226A36" w:rsidRDefault="00417EFF" w:rsidP="0018105F">
            <w:pPr>
              <w:pStyle w:val="Tableheading"/>
            </w:pPr>
            <w:r w:rsidRPr="00226A36">
              <w:t xml:space="preserve">What it does </w:t>
            </w:r>
          </w:p>
        </w:tc>
        <w:tc>
          <w:tcPr>
            <w:tcW w:w="3086" w:type="dxa"/>
          </w:tcPr>
          <w:p w14:paraId="7F522A5C" w14:textId="77777777" w:rsidR="00417EFF" w:rsidRPr="00226A36" w:rsidRDefault="00417EFF" w:rsidP="0018105F">
            <w:pPr>
              <w:pStyle w:val="Tableheading"/>
            </w:pPr>
            <w:r w:rsidRPr="00226A36">
              <w:t>Committee Recommendation</w:t>
            </w:r>
          </w:p>
        </w:tc>
        <w:tc>
          <w:tcPr>
            <w:tcW w:w="2977" w:type="dxa"/>
          </w:tcPr>
          <w:p w14:paraId="0E301884" w14:textId="77777777" w:rsidR="00417EFF" w:rsidRPr="00226A36" w:rsidRDefault="00417EFF" w:rsidP="0018105F">
            <w:pPr>
              <w:pStyle w:val="Tableheading"/>
            </w:pPr>
            <w:r w:rsidRPr="00226A36">
              <w:t>What would be different</w:t>
            </w:r>
          </w:p>
        </w:tc>
        <w:tc>
          <w:tcPr>
            <w:tcW w:w="3118" w:type="dxa"/>
          </w:tcPr>
          <w:p w14:paraId="662934A0" w14:textId="77777777" w:rsidR="00417EFF" w:rsidRPr="00226A36" w:rsidRDefault="00417EFF" w:rsidP="0018105F">
            <w:pPr>
              <w:pStyle w:val="Tableheading"/>
            </w:pPr>
            <w:r w:rsidRPr="00226A36">
              <w:t>Why</w:t>
            </w:r>
          </w:p>
        </w:tc>
      </w:tr>
      <w:tr w:rsidR="00417EFF" w:rsidRPr="00D451F3" w14:paraId="316B6ABC" w14:textId="77777777" w:rsidTr="00CA489F">
        <w:tc>
          <w:tcPr>
            <w:tcW w:w="2126" w:type="dxa"/>
          </w:tcPr>
          <w:p w14:paraId="7FF0054F" w14:textId="17BE7EA1" w:rsidR="00417EFF" w:rsidRPr="00226A36" w:rsidRDefault="00417EFF" w:rsidP="00417EFF">
            <w:pPr>
              <w:spacing w:before="60"/>
              <w:rPr>
                <w:b/>
                <w:sz w:val="20"/>
                <w:szCs w:val="20"/>
              </w:rPr>
            </w:pPr>
            <w:r>
              <w:rPr>
                <w:b/>
                <w:sz w:val="20"/>
                <w:szCs w:val="20"/>
              </w:rPr>
              <w:t>30473, 32090, 32093</w:t>
            </w:r>
          </w:p>
        </w:tc>
        <w:tc>
          <w:tcPr>
            <w:tcW w:w="3118" w:type="dxa"/>
          </w:tcPr>
          <w:p w14:paraId="3608A8F4" w14:textId="77777777" w:rsidR="00417EFF" w:rsidRPr="00283332" w:rsidRDefault="00417EFF" w:rsidP="00283332">
            <w:pPr>
              <w:pStyle w:val="Tabletext"/>
            </w:pPr>
            <w:r w:rsidRPr="00283332">
              <w:t>Endoscopic examination of the upper and lower gastrointestinal tract during the same episode of care</w:t>
            </w:r>
          </w:p>
        </w:tc>
        <w:tc>
          <w:tcPr>
            <w:tcW w:w="3086" w:type="dxa"/>
          </w:tcPr>
          <w:p w14:paraId="054658DC" w14:textId="77777777" w:rsidR="00417EFF" w:rsidRPr="00283332" w:rsidRDefault="00417EFF" w:rsidP="00283332">
            <w:pPr>
              <w:pStyle w:val="Tabletext"/>
            </w:pPr>
            <w:r w:rsidRPr="00283332">
              <w:t xml:space="preserve">The Gastroenterological Society of Australia to consider the development of clinical practice guidelines on when it is appropriate for both services to be performed </w:t>
            </w:r>
          </w:p>
        </w:tc>
        <w:tc>
          <w:tcPr>
            <w:tcW w:w="2977" w:type="dxa"/>
          </w:tcPr>
          <w:p w14:paraId="76CB9695" w14:textId="77777777" w:rsidR="00417EFF" w:rsidRPr="00226A36" w:rsidRDefault="00417EFF" w:rsidP="00283332">
            <w:pPr>
              <w:pStyle w:val="Tabletext"/>
            </w:pPr>
            <w:r>
              <w:t xml:space="preserve">Only clinically relevant services will be provided. </w:t>
            </w:r>
          </w:p>
        </w:tc>
        <w:tc>
          <w:tcPr>
            <w:tcW w:w="3118" w:type="dxa"/>
          </w:tcPr>
          <w:p w14:paraId="7B5CC7D7" w14:textId="77777777" w:rsidR="00417EFF" w:rsidRPr="00226A36" w:rsidRDefault="00417EFF" w:rsidP="00283332">
            <w:pPr>
              <w:pStyle w:val="Tabletext"/>
            </w:pPr>
            <w:r>
              <w:t>To assist practitioner in determining the clinical circumstances when both services are appropriate.</w:t>
            </w:r>
          </w:p>
        </w:tc>
      </w:tr>
    </w:tbl>
    <w:p w14:paraId="0A226308" w14:textId="27390DD1" w:rsidR="00417EFF" w:rsidRDefault="00417EFF" w:rsidP="002C154A">
      <w:pPr>
        <w:pStyle w:val="Caption"/>
      </w:pPr>
      <w:r>
        <w:lastRenderedPageBreak/>
        <w:t>Table B</w:t>
      </w:r>
      <w:r w:rsidR="002C154A">
        <w:t>3</w:t>
      </w:r>
      <w:r>
        <w:t xml:space="preserve">: Recommendation </w:t>
      </w:r>
      <w:r w:rsidRPr="00417EFF">
        <w:t>3.1</w:t>
      </w:r>
      <w:r>
        <w:t xml:space="preserve"> –</w:t>
      </w:r>
      <w:r w:rsidRPr="00417EFF">
        <w:t xml:space="preserve"> Capsule Endoscopy item amendments</w:t>
      </w:r>
      <w:r>
        <w:t xml:space="preserve"> and </w:t>
      </w:r>
      <w:r w:rsidR="002C154A" w:rsidRPr="002C154A">
        <w:t>Recommendation 3.2</w:t>
      </w:r>
      <w:r w:rsidR="002C154A">
        <w:t xml:space="preserve"> –</w:t>
      </w:r>
      <w:r w:rsidR="002C154A" w:rsidRPr="002C154A">
        <w:t xml:space="preserve"> Capsule Endoscopy fee review</w:t>
      </w:r>
    </w:p>
    <w:tbl>
      <w:tblPr>
        <w:tblStyle w:val="TableGrid"/>
        <w:tblW w:w="14425" w:type="dxa"/>
        <w:tblInd w:w="108"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ayout w:type="fixed"/>
        <w:tblLook w:val="04A0" w:firstRow="1" w:lastRow="0" w:firstColumn="1" w:lastColumn="0" w:noHBand="0" w:noVBand="1"/>
        <w:tblDescription w:val="Table B3 lists the item for capsular endoscopy, and provides recommendations for this item by the clinical experts and why the recommendation have been made."/>
      </w:tblPr>
      <w:tblGrid>
        <w:gridCol w:w="2126"/>
        <w:gridCol w:w="3118"/>
        <w:gridCol w:w="3086"/>
        <w:gridCol w:w="2977"/>
        <w:gridCol w:w="3118"/>
      </w:tblGrid>
      <w:tr w:rsidR="002C154A" w:rsidRPr="00175E49" w14:paraId="430987F0" w14:textId="77777777" w:rsidTr="00CA489F">
        <w:trPr>
          <w:tblHeader/>
        </w:trPr>
        <w:tc>
          <w:tcPr>
            <w:tcW w:w="2126" w:type="dxa"/>
          </w:tcPr>
          <w:p w14:paraId="3E481CD1" w14:textId="77777777" w:rsidR="002C154A" w:rsidRPr="00226A36" w:rsidRDefault="002C154A" w:rsidP="0018105F">
            <w:pPr>
              <w:pStyle w:val="Tableheading"/>
            </w:pPr>
            <w:r w:rsidRPr="00226A36">
              <w:t xml:space="preserve">Item </w:t>
            </w:r>
          </w:p>
        </w:tc>
        <w:tc>
          <w:tcPr>
            <w:tcW w:w="3118" w:type="dxa"/>
          </w:tcPr>
          <w:p w14:paraId="6F864BA0" w14:textId="77777777" w:rsidR="002C154A" w:rsidRPr="00226A36" w:rsidRDefault="002C154A" w:rsidP="0018105F">
            <w:pPr>
              <w:pStyle w:val="Tableheading"/>
            </w:pPr>
            <w:r w:rsidRPr="00226A36">
              <w:t xml:space="preserve">What it does </w:t>
            </w:r>
          </w:p>
        </w:tc>
        <w:tc>
          <w:tcPr>
            <w:tcW w:w="3086" w:type="dxa"/>
          </w:tcPr>
          <w:p w14:paraId="0E1020D4" w14:textId="77777777" w:rsidR="002C154A" w:rsidRPr="00226A36" w:rsidRDefault="002C154A" w:rsidP="0018105F">
            <w:pPr>
              <w:pStyle w:val="Tableheading"/>
            </w:pPr>
            <w:r w:rsidRPr="00226A36">
              <w:t>Committee Recommendation</w:t>
            </w:r>
          </w:p>
        </w:tc>
        <w:tc>
          <w:tcPr>
            <w:tcW w:w="2977" w:type="dxa"/>
          </w:tcPr>
          <w:p w14:paraId="1BC8277B" w14:textId="77777777" w:rsidR="002C154A" w:rsidRPr="00226A36" w:rsidRDefault="002C154A" w:rsidP="0018105F">
            <w:pPr>
              <w:pStyle w:val="Tableheading"/>
            </w:pPr>
            <w:r w:rsidRPr="00226A36">
              <w:t>What would be different</w:t>
            </w:r>
          </w:p>
        </w:tc>
        <w:tc>
          <w:tcPr>
            <w:tcW w:w="3118" w:type="dxa"/>
          </w:tcPr>
          <w:p w14:paraId="689F5194" w14:textId="77777777" w:rsidR="002C154A" w:rsidRPr="00226A36" w:rsidRDefault="002C154A" w:rsidP="0018105F">
            <w:pPr>
              <w:pStyle w:val="Tableheading"/>
            </w:pPr>
            <w:r w:rsidRPr="00226A36">
              <w:t>Why</w:t>
            </w:r>
          </w:p>
        </w:tc>
      </w:tr>
      <w:tr w:rsidR="002C154A" w:rsidRPr="00D451F3" w14:paraId="43849A70" w14:textId="77777777" w:rsidTr="00CA489F">
        <w:tc>
          <w:tcPr>
            <w:tcW w:w="2126" w:type="dxa"/>
          </w:tcPr>
          <w:p w14:paraId="6555D7BD" w14:textId="77777777" w:rsidR="002C154A" w:rsidRPr="00226A36" w:rsidRDefault="002C154A" w:rsidP="00CA489F">
            <w:pPr>
              <w:spacing w:before="60"/>
              <w:rPr>
                <w:b/>
                <w:sz w:val="20"/>
                <w:szCs w:val="20"/>
              </w:rPr>
            </w:pPr>
            <w:r>
              <w:rPr>
                <w:b/>
                <w:sz w:val="20"/>
                <w:szCs w:val="20"/>
              </w:rPr>
              <w:t>11820</w:t>
            </w:r>
          </w:p>
        </w:tc>
        <w:tc>
          <w:tcPr>
            <w:tcW w:w="3118" w:type="dxa"/>
          </w:tcPr>
          <w:p w14:paraId="29426C5E" w14:textId="30568E02" w:rsidR="002C154A" w:rsidRPr="00D01596" w:rsidRDefault="002C154A" w:rsidP="00283332">
            <w:pPr>
              <w:pStyle w:val="Tabletext"/>
            </w:pPr>
            <w:r w:rsidRPr="00D01596">
              <w:t>Capsule endoscopy</w:t>
            </w:r>
            <w:r>
              <w:t xml:space="preserve"> (CE)</w:t>
            </w:r>
            <w:r w:rsidRPr="00D01596">
              <w:t xml:space="preserve"> is used to diagnose obscure gastrointestinal </w:t>
            </w:r>
            <w:r w:rsidRPr="001C0660">
              <w:t>bleeding. CE is a way to record images of the digestive tract for use in medicine. The capsule is the size and shape of a pill and contains a miniature camera which the patient swallows and images are taken of the gastrointestinal tract</w:t>
            </w:r>
          </w:p>
        </w:tc>
        <w:tc>
          <w:tcPr>
            <w:tcW w:w="3086" w:type="dxa"/>
          </w:tcPr>
          <w:p w14:paraId="74440B8A" w14:textId="7CC867A0" w:rsidR="002C154A" w:rsidRPr="00B26A7A" w:rsidRDefault="006838CC" w:rsidP="00FA1377">
            <w:pPr>
              <w:pStyle w:val="ListParagraph"/>
              <w:numPr>
                <w:ilvl w:val="0"/>
                <w:numId w:val="74"/>
              </w:numPr>
              <w:spacing w:before="60"/>
              <w:rPr>
                <w:sz w:val="20"/>
                <w:szCs w:val="20"/>
              </w:rPr>
            </w:pPr>
            <w:r>
              <w:rPr>
                <w:sz w:val="20"/>
                <w:szCs w:val="20"/>
              </w:rPr>
              <w:t>Amend</w:t>
            </w:r>
            <w:r w:rsidR="002C154A" w:rsidRPr="00B26A7A">
              <w:rPr>
                <w:sz w:val="20"/>
                <w:szCs w:val="20"/>
              </w:rPr>
              <w:t xml:space="preserve"> the item to better define the clinical conditions and indications for the service to ensure the intended patient group receives this service</w:t>
            </w:r>
          </w:p>
          <w:p w14:paraId="717BB294" w14:textId="77777777" w:rsidR="002C154A" w:rsidRPr="00B26A7A" w:rsidRDefault="002C154A" w:rsidP="00FA1377">
            <w:pPr>
              <w:pStyle w:val="ListParagraph"/>
              <w:numPr>
                <w:ilvl w:val="0"/>
                <w:numId w:val="74"/>
              </w:numPr>
              <w:spacing w:before="60"/>
              <w:rPr>
                <w:sz w:val="20"/>
                <w:szCs w:val="20"/>
              </w:rPr>
            </w:pPr>
            <w:r w:rsidRPr="00B26A7A">
              <w:rPr>
                <w:sz w:val="20"/>
                <w:szCs w:val="20"/>
              </w:rPr>
              <w:t>Storage requirements for CE imaging to be provided in the explanatory notes to the item</w:t>
            </w:r>
          </w:p>
          <w:p w14:paraId="317EC4F0" w14:textId="77777777" w:rsidR="002C154A" w:rsidRPr="00B26A7A" w:rsidRDefault="002C154A" w:rsidP="00FA1377">
            <w:pPr>
              <w:pStyle w:val="ListParagraph"/>
              <w:numPr>
                <w:ilvl w:val="0"/>
                <w:numId w:val="74"/>
              </w:numPr>
              <w:spacing w:before="60"/>
              <w:rPr>
                <w:sz w:val="20"/>
                <w:szCs w:val="20"/>
              </w:rPr>
            </w:pPr>
            <w:r w:rsidRPr="00B26A7A">
              <w:rPr>
                <w:sz w:val="20"/>
                <w:szCs w:val="20"/>
              </w:rPr>
              <w:t xml:space="preserve">A fee review by MSAC </w:t>
            </w:r>
          </w:p>
        </w:tc>
        <w:tc>
          <w:tcPr>
            <w:tcW w:w="2977" w:type="dxa"/>
          </w:tcPr>
          <w:p w14:paraId="6755F7B0" w14:textId="3573C5AF" w:rsidR="002C154A" w:rsidRPr="00B26A7A" w:rsidRDefault="002C154A" w:rsidP="00FA1377">
            <w:pPr>
              <w:pStyle w:val="ListParagraph"/>
              <w:numPr>
                <w:ilvl w:val="0"/>
                <w:numId w:val="75"/>
              </w:numPr>
              <w:spacing w:before="60"/>
              <w:rPr>
                <w:sz w:val="20"/>
                <w:szCs w:val="20"/>
              </w:rPr>
            </w:pPr>
            <w:r w:rsidRPr="00B26A7A">
              <w:rPr>
                <w:sz w:val="20"/>
                <w:szCs w:val="20"/>
              </w:rPr>
              <w:t>The item will better target patients whose indications and conditions require this service.</w:t>
            </w:r>
            <w:r w:rsidR="003C4F52">
              <w:rPr>
                <w:sz w:val="20"/>
                <w:szCs w:val="20"/>
              </w:rPr>
              <w:t xml:space="preserve"> </w:t>
            </w:r>
          </w:p>
          <w:p w14:paraId="680C063C" w14:textId="77777777" w:rsidR="002C154A" w:rsidRPr="00B26A7A" w:rsidRDefault="002C154A" w:rsidP="00FA1377">
            <w:pPr>
              <w:pStyle w:val="ListParagraph"/>
              <w:numPr>
                <w:ilvl w:val="0"/>
                <w:numId w:val="75"/>
              </w:numPr>
              <w:spacing w:before="60"/>
              <w:rPr>
                <w:sz w:val="20"/>
                <w:szCs w:val="20"/>
              </w:rPr>
            </w:pPr>
            <w:r>
              <w:rPr>
                <w:sz w:val="20"/>
                <w:szCs w:val="20"/>
              </w:rPr>
              <w:t>Practitioners will be aware of st</w:t>
            </w:r>
            <w:r w:rsidRPr="00B26A7A">
              <w:rPr>
                <w:sz w:val="20"/>
                <w:szCs w:val="20"/>
              </w:rPr>
              <w:t>orage requirements for imaging</w:t>
            </w:r>
            <w:r>
              <w:rPr>
                <w:sz w:val="20"/>
                <w:szCs w:val="20"/>
              </w:rPr>
              <w:t>.</w:t>
            </w:r>
          </w:p>
          <w:p w14:paraId="305809D5" w14:textId="77777777" w:rsidR="002C154A" w:rsidRPr="00B26A7A" w:rsidRDefault="002C154A" w:rsidP="00FA1377">
            <w:pPr>
              <w:pStyle w:val="ListParagraph"/>
              <w:numPr>
                <w:ilvl w:val="0"/>
                <w:numId w:val="75"/>
              </w:numPr>
              <w:spacing w:before="60"/>
              <w:rPr>
                <w:sz w:val="20"/>
                <w:szCs w:val="20"/>
              </w:rPr>
            </w:pPr>
            <w:r w:rsidRPr="00B26A7A">
              <w:rPr>
                <w:sz w:val="20"/>
                <w:szCs w:val="20"/>
              </w:rPr>
              <w:t>A fee review will determine if the item is appropriately priced</w:t>
            </w:r>
          </w:p>
        </w:tc>
        <w:tc>
          <w:tcPr>
            <w:tcW w:w="3118" w:type="dxa"/>
          </w:tcPr>
          <w:p w14:paraId="3C7E08A5" w14:textId="2CC6F98B" w:rsidR="002C154A" w:rsidRPr="00B26A7A" w:rsidRDefault="002C154A" w:rsidP="00FA1377">
            <w:pPr>
              <w:pStyle w:val="ListParagraph"/>
              <w:numPr>
                <w:ilvl w:val="0"/>
                <w:numId w:val="76"/>
              </w:numPr>
              <w:spacing w:before="60"/>
              <w:rPr>
                <w:sz w:val="20"/>
                <w:szCs w:val="20"/>
              </w:rPr>
            </w:pPr>
            <w:r w:rsidRPr="00B26A7A">
              <w:rPr>
                <w:sz w:val="20"/>
                <w:szCs w:val="20"/>
              </w:rPr>
              <w:t>Iron deficiency anaemia (rather than just anaemia) better describes blood loss symptoms</w:t>
            </w:r>
            <w:r>
              <w:rPr>
                <w:sz w:val="20"/>
                <w:szCs w:val="20"/>
              </w:rPr>
              <w:t>.</w:t>
            </w:r>
            <w:r w:rsidR="003C4F52">
              <w:rPr>
                <w:sz w:val="20"/>
                <w:szCs w:val="20"/>
              </w:rPr>
              <w:t xml:space="preserve"> </w:t>
            </w:r>
            <w:r>
              <w:rPr>
                <w:sz w:val="20"/>
                <w:szCs w:val="20"/>
              </w:rPr>
              <w:t xml:space="preserve">Investigations for possible causes should be undertake and </w:t>
            </w:r>
            <w:r w:rsidRPr="00B26A7A">
              <w:rPr>
                <w:sz w:val="20"/>
                <w:szCs w:val="20"/>
              </w:rPr>
              <w:t xml:space="preserve">eliminated prior to </w:t>
            </w:r>
            <w:r>
              <w:rPr>
                <w:sz w:val="20"/>
                <w:szCs w:val="20"/>
              </w:rPr>
              <w:t>performing</w:t>
            </w:r>
            <w:r w:rsidRPr="00B26A7A">
              <w:rPr>
                <w:sz w:val="20"/>
                <w:szCs w:val="20"/>
              </w:rPr>
              <w:t xml:space="preserve"> CE.</w:t>
            </w:r>
            <w:r w:rsidR="003C4F52">
              <w:rPr>
                <w:sz w:val="20"/>
                <w:szCs w:val="20"/>
              </w:rPr>
              <w:t xml:space="preserve"> </w:t>
            </w:r>
          </w:p>
          <w:p w14:paraId="4A1E7ABB" w14:textId="77777777" w:rsidR="002C154A" w:rsidRPr="00B26A7A" w:rsidRDefault="002C154A" w:rsidP="00FA1377">
            <w:pPr>
              <w:pStyle w:val="ListParagraph"/>
              <w:numPr>
                <w:ilvl w:val="0"/>
                <w:numId w:val="76"/>
              </w:numPr>
              <w:spacing w:before="60"/>
              <w:rPr>
                <w:sz w:val="20"/>
                <w:szCs w:val="20"/>
              </w:rPr>
            </w:pPr>
            <w:r w:rsidRPr="00B26A7A">
              <w:rPr>
                <w:sz w:val="20"/>
                <w:szCs w:val="20"/>
              </w:rPr>
              <w:t>Advice on storage requirements will support good record keeping for auditing purposes and continuity of care for patients.</w:t>
            </w:r>
          </w:p>
          <w:p w14:paraId="0E573B24" w14:textId="77777777" w:rsidR="002C154A" w:rsidRPr="00B26A7A" w:rsidRDefault="002C154A" w:rsidP="00FA1377">
            <w:pPr>
              <w:pStyle w:val="ListParagraph"/>
              <w:numPr>
                <w:ilvl w:val="0"/>
                <w:numId w:val="76"/>
              </w:numPr>
              <w:spacing w:before="60"/>
              <w:rPr>
                <w:sz w:val="20"/>
                <w:szCs w:val="20"/>
              </w:rPr>
            </w:pPr>
            <w:r w:rsidRPr="00B26A7A">
              <w:rPr>
                <w:sz w:val="20"/>
                <w:szCs w:val="20"/>
              </w:rPr>
              <w:t>It is important that the fee represents value for money for the patient and is not driving service volumes.</w:t>
            </w:r>
          </w:p>
        </w:tc>
      </w:tr>
    </w:tbl>
    <w:p w14:paraId="4B2CF6DF" w14:textId="77777777" w:rsidR="002C154A" w:rsidRDefault="002C154A" w:rsidP="00DC1E95">
      <w:pPr>
        <w:pStyle w:val="Caption"/>
      </w:pPr>
      <w:r>
        <w:br w:type="page"/>
      </w:r>
    </w:p>
    <w:p w14:paraId="4BAB29FF" w14:textId="4D0B724E" w:rsidR="00DC1E95" w:rsidRDefault="00DC1E95" w:rsidP="00DC1E95">
      <w:pPr>
        <w:pStyle w:val="Caption"/>
      </w:pPr>
      <w:r>
        <w:lastRenderedPageBreak/>
        <w:t xml:space="preserve">Table B4: </w:t>
      </w:r>
      <w:r w:rsidR="002C154A">
        <w:t>Recommendation 4.1 – Endoscopic upper gastrointestinal services and Recommendation 4.2 – Push Enteroscopy</w:t>
      </w:r>
    </w:p>
    <w:tbl>
      <w:tblPr>
        <w:tblStyle w:val="TableGrid"/>
        <w:tblW w:w="14430" w:type="dxa"/>
        <w:tblInd w:w="108"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ayout w:type="fixed"/>
        <w:tblLook w:val="04A0" w:firstRow="1" w:lastRow="0" w:firstColumn="1" w:lastColumn="0" w:noHBand="0" w:noVBand="1"/>
        <w:tblDescription w:val="Table B4 lists the items for endoscopic upper gastrintestinal services, and provides recommendations for these items by the clinical experts and why the recommendation have been made. Push enteroscopy is recommended for inclusion in one of the items."/>
      </w:tblPr>
      <w:tblGrid>
        <w:gridCol w:w="2127"/>
        <w:gridCol w:w="3119"/>
        <w:gridCol w:w="3087"/>
        <w:gridCol w:w="2978"/>
        <w:gridCol w:w="3119"/>
      </w:tblGrid>
      <w:tr w:rsidR="00DC1E95" w14:paraId="695695F5" w14:textId="77777777" w:rsidTr="00D15E14">
        <w:trPr>
          <w:tblHeader/>
        </w:trPr>
        <w:tc>
          <w:tcPr>
            <w:tcW w:w="2127" w:type="dxa"/>
            <w:tcBorders>
              <w:top w:val="single" w:sz="4" w:space="0" w:color="B56011"/>
              <w:left w:val="nil"/>
              <w:bottom w:val="single" w:sz="4" w:space="0" w:color="B56011"/>
              <w:right w:val="nil"/>
            </w:tcBorders>
            <w:hideMark/>
          </w:tcPr>
          <w:p w14:paraId="694A4F44" w14:textId="77777777" w:rsidR="00DC1E95" w:rsidRDefault="00DC1E95" w:rsidP="0018105F">
            <w:pPr>
              <w:pStyle w:val="Tableheading"/>
            </w:pPr>
            <w:r>
              <w:t xml:space="preserve">Item </w:t>
            </w:r>
          </w:p>
        </w:tc>
        <w:tc>
          <w:tcPr>
            <w:tcW w:w="3119" w:type="dxa"/>
            <w:tcBorders>
              <w:top w:val="single" w:sz="4" w:space="0" w:color="B56011"/>
              <w:left w:val="nil"/>
              <w:bottom w:val="single" w:sz="4" w:space="0" w:color="B56011"/>
              <w:right w:val="nil"/>
            </w:tcBorders>
            <w:hideMark/>
          </w:tcPr>
          <w:p w14:paraId="62CFD7B1" w14:textId="77777777" w:rsidR="00DC1E95" w:rsidRDefault="00DC1E95" w:rsidP="0018105F">
            <w:pPr>
              <w:pStyle w:val="Tableheading"/>
            </w:pPr>
            <w:r>
              <w:t xml:space="preserve">What it does </w:t>
            </w:r>
          </w:p>
        </w:tc>
        <w:tc>
          <w:tcPr>
            <w:tcW w:w="3087" w:type="dxa"/>
            <w:tcBorders>
              <w:top w:val="single" w:sz="4" w:space="0" w:color="B56011"/>
              <w:left w:val="nil"/>
              <w:bottom w:val="single" w:sz="4" w:space="0" w:color="B56011"/>
              <w:right w:val="nil"/>
            </w:tcBorders>
            <w:hideMark/>
          </w:tcPr>
          <w:p w14:paraId="5A928208" w14:textId="77777777" w:rsidR="00DC1E95" w:rsidRDefault="00DC1E95" w:rsidP="0018105F">
            <w:pPr>
              <w:pStyle w:val="Tableheading"/>
            </w:pPr>
            <w:r>
              <w:t>Committee Recommendation</w:t>
            </w:r>
          </w:p>
        </w:tc>
        <w:tc>
          <w:tcPr>
            <w:tcW w:w="2978" w:type="dxa"/>
            <w:tcBorders>
              <w:top w:val="single" w:sz="4" w:space="0" w:color="B56011"/>
              <w:left w:val="nil"/>
              <w:bottom w:val="single" w:sz="4" w:space="0" w:color="B56011"/>
              <w:right w:val="nil"/>
            </w:tcBorders>
            <w:hideMark/>
          </w:tcPr>
          <w:p w14:paraId="419359DA" w14:textId="77777777" w:rsidR="00DC1E95" w:rsidRDefault="00DC1E95" w:rsidP="0018105F">
            <w:pPr>
              <w:pStyle w:val="Tableheading"/>
            </w:pPr>
            <w:r>
              <w:t>What would be different</w:t>
            </w:r>
          </w:p>
        </w:tc>
        <w:tc>
          <w:tcPr>
            <w:tcW w:w="3119" w:type="dxa"/>
            <w:tcBorders>
              <w:top w:val="single" w:sz="4" w:space="0" w:color="B56011"/>
              <w:left w:val="nil"/>
              <w:bottom w:val="single" w:sz="4" w:space="0" w:color="B56011"/>
              <w:right w:val="nil"/>
            </w:tcBorders>
            <w:hideMark/>
          </w:tcPr>
          <w:p w14:paraId="4CEADE14" w14:textId="77777777" w:rsidR="00DC1E95" w:rsidRDefault="00DC1E95" w:rsidP="0018105F">
            <w:pPr>
              <w:pStyle w:val="Tableheading"/>
            </w:pPr>
            <w:r>
              <w:t>Why</w:t>
            </w:r>
          </w:p>
        </w:tc>
      </w:tr>
      <w:tr w:rsidR="004C0F7F" w14:paraId="546EF19C" w14:textId="77777777" w:rsidTr="00DC1E95">
        <w:tc>
          <w:tcPr>
            <w:tcW w:w="2127" w:type="dxa"/>
            <w:tcBorders>
              <w:top w:val="single" w:sz="4" w:space="0" w:color="B56011"/>
              <w:left w:val="nil"/>
              <w:bottom w:val="single" w:sz="4" w:space="0" w:color="B56011"/>
              <w:right w:val="nil"/>
            </w:tcBorders>
            <w:hideMark/>
          </w:tcPr>
          <w:p w14:paraId="6572AE0F" w14:textId="77777777" w:rsidR="004C0F7F" w:rsidRDefault="004C0F7F">
            <w:pPr>
              <w:spacing w:before="60"/>
              <w:rPr>
                <w:b/>
                <w:sz w:val="20"/>
                <w:szCs w:val="20"/>
              </w:rPr>
            </w:pPr>
            <w:r>
              <w:rPr>
                <w:b/>
                <w:sz w:val="20"/>
                <w:szCs w:val="20"/>
              </w:rPr>
              <w:t>30473</w:t>
            </w:r>
          </w:p>
        </w:tc>
        <w:tc>
          <w:tcPr>
            <w:tcW w:w="3119" w:type="dxa"/>
            <w:tcBorders>
              <w:top w:val="single" w:sz="4" w:space="0" w:color="B56011"/>
              <w:left w:val="nil"/>
              <w:bottom w:val="single" w:sz="4" w:space="0" w:color="B56011"/>
              <w:right w:val="nil"/>
            </w:tcBorders>
            <w:hideMark/>
          </w:tcPr>
          <w:p w14:paraId="7B8C5AC0" w14:textId="77777777" w:rsidR="004C0F7F" w:rsidRDefault="004C0F7F" w:rsidP="00283332">
            <w:pPr>
              <w:pStyle w:val="Tabletext"/>
            </w:pPr>
            <w:r>
              <w:t>A diagnostic procedure that uses a digital scope to visually examine the gastrointestinal tract</w:t>
            </w:r>
          </w:p>
        </w:tc>
        <w:tc>
          <w:tcPr>
            <w:tcW w:w="3087" w:type="dxa"/>
            <w:tcBorders>
              <w:top w:val="single" w:sz="4" w:space="0" w:color="B56011"/>
              <w:left w:val="nil"/>
              <w:bottom w:val="single" w:sz="4" w:space="0" w:color="B56011"/>
              <w:right w:val="nil"/>
            </w:tcBorders>
            <w:hideMark/>
          </w:tcPr>
          <w:p w14:paraId="528267C4" w14:textId="77777777" w:rsidR="004C0F7F" w:rsidRDefault="004C0F7F" w:rsidP="00283332">
            <w:pPr>
              <w:pStyle w:val="Tabletext"/>
            </w:pPr>
            <w:r>
              <w:t>Stop the billing of this item with item 30479</w:t>
            </w:r>
          </w:p>
        </w:tc>
        <w:tc>
          <w:tcPr>
            <w:tcW w:w="2978" w:type="dxa"/>
            <w:tcBorders>
              <w:top w:val="single" w:sz="4" w:space="0" w:color="B56011"/>
              <w:left w:val="nil"/>
              <w:bottom w:val="single" w:sz="4" w:space="0" w:color="B56011"/>
              <w:right w:val="nil"/>
            </w:tcBorders>
            <w:hideMark/>
          </w:tcPr>
          <w:p w14:paraId="6FD3B952" w14:textId="09C7A62B" w:rsidR="004C0F7F" w:rsidRDefault="004C0F7F" w:rsidP="00283332">
            <w:pPr>
              <w:pStyle w:val="Tabletext"/>
            </w:pPr>
            <w:r>
              <w:t>This service will not be able to be claimed with another item that provides the same endoscopic procedure when performed as part of a therapeutic service.</w:t>
            </w:r>
            <w:r w:rsidR="00C22AE4">
              <w:t xml:space="preserve"> </w:t>
            </w:r>
          </w:p>
        </w:tc>
        <w:tc>
          <w:tcPr>
            <w:tcW w:w="3119" w:type="dxa"/>
            <w:tcBorders>
              <w:top w:val="single" w:sz="4" w:space="0" w:color="B56011"/>
              <w:left w:val="nil"/>
              <w:bottom w:val="single" w:sz="4" w:space="0" w:color="B56011"/>
              <w:right w:val="nil"/>
            </w:tcBorders>
            <w:hideMark/>
          </w:tcPr>
          <w:p w14:paraId="287966F1" w14:textId="57513E3D" w:rsidR="004C0F7F" w:rsidRDefault="004C0F7F" w:rsidP="00283332">
            <w:pPr>
              <w:pStyle w:val="Tabletext"/>
            </w:pPr>
            <w:r>
              <w:t>Where endoscope is required as part of a therapeutic procedure, item 30473 should not be co-claimed.</w:t>
            </w:r>
            <w:r w:rsidR="00C22AE4">
              <w:t xml:space="preserve"> </w:t>
            </w:r>
            <w:r>
              <w:t>Patient may</w:t>
            </w:r>
            <w:r w:rsidR="00C22AE4">
              <w:t xml:space="preserve"> </w:t>
            </w:r>
            <w:r>
              <w:t xml:space="preserve">pay twice for the same service if these services were not restricted. </w:t>
            </w:r>
          </w:p>
        </w:tc>
      </w:tr>
      <w:tr w:rsidR="004C0F7F" w14:paraId="2E9C861B" w14:textId="77777777" w:rsidTr="00DC1E95">
        <w:tc>
          <w:tcPr>
            <w:tcW w:w="2127" w:type="dxa"/>
            <w:tcBorders>
              <w:top w:val="single" w:sz="4" w:space="0" w:color="B56011"/>
              <w:left w:val="nil"/>
              <w:bottom w:val="single" w:sz="4" w:space="0" w:color="B56011"/>
              <w:right w:val="nil"/>
            </w:tcBorders>
            <w:hideMark/>
          </w:tcPr>
          <w:p w14:paraId="3F37C124" w14:textId="77777777" w:rsidR="004C0F7F" w:rsidRDefault="004C0F7F">
            <w:pPr>
              <w:spacing w:before="60"/>
              <w:rPr>
                <w:b/>
                <w:sz w:val="20"/>
                <w:szCs w:val="20"/>
              </w:rPr>
            </w:pPr>
            <w:r>
              <w:rPr>
                <w:b/>
                <w:sz w:val="20"/>
                <w:szCs w:val="20"/>
              </w:rPr>
              <w:t>30476</w:t>
            </w:r>
          </w:p>
        </w:tc>
        <w:tc>
          <w:tcPr>
            <w:tcW w:w="3119" w:type="dxa"/>
            <w:tcBorders>
              <w:top w:val="single" w:sz="4" w:space="0" w:color="B56011"/>
              <w:left w:val="nil"/>
              <w:bottom w:val="single" w:sz="4" w:space="0" w:color="B56011"/>
              <w:right w:val="nil"/>
            </w:tcBorders>
            <w:hideMark/>
          </w:tcPr>
          <w:p w14:paraId="58F96941" w14:textId="77777777" w:rsidR="004C0F7F" w:rsidRDefault="004C0F7F" w:rsidP="00283332">
            <w:pPr>
              <w:pStyle w:val="Tabletext"/>
            </w:pPr>
            <w:r>
              <w:t>A procedure that uses a digital scope to visually examine the gastrointestinal tract and provide treatment</w:t>
            </w:r>
          </w:p>
        </w:tc>
        <w:tc>
          <w:tcPr>
            <w:tcW w:w="3087" w:type="dxa"/>
            <w:tcBorders>
              <w:top w:val="single" w:sz="4" w:space="0" w:color="B56011"/>
              <w:left w:val="nil"/>
              <w:bottom w:val="single" w:sz="4" w:space="0" w:color="B56011"/>
              <w:right w:val="nil"/>
            </w:tcBorders>
            <w:hideMark/>
          </w:tcPr>
          <w:p w14:paraId="7347C105" w14:textId="77777777" w:rsidR="004C0F7F" w:rsidRDefault="004C0F7F" w:rsidP="00283332">
            <w:pPr>
              <w:pStyle w:val="Tabletext"/>
            </w:pPr>
            <w:r>
              <w:t>Consolidate this service with item 30478</w:t>
            </w:r>
          </w:p>
        </w:tc>
        <w:tc>
          <w:tcPr>
            <w:tcW w:w="2978" w:type="dxa"/>
            <w:tcBorders>
              <w:top w:val="single" w:sz="4" w:space="0" w:color="B56011"/>
              <w:left w:val="nil"/>
              <w:bottom w:val="single" w:sz="4" w:space="0" w:color="B56011"/>
              <w:right w:val="nil"/>
            </w:tcBorders>
            <w:hideMark/>
          </w:tcPr>
          <w:p w14:paraId="22C4D7ED" w14:textId="77777777" w:rsidR="004C0F7F" w:rsidRDefault="004C0F7F" w:rsidP="00283332">
            <w:pPr>
              <w:pStyle w:val="Tabletext"/>
            </w:pPr>
            <w:r>
              <w:t xml:space="preserve">These services will be combined with item 30478 to create one general upper interventional item </w:t>
            </w:r>
          </w:p>
        </w:tc>
        <w:tc>
          <w:tcPr>
            <w:tcW w:w="3119" w:type="dxa"/>
            <w:tcBorders>
              <w:top w:val="single" w:sz="4" w:space="0" w:color="B56011"/>
              <w:left w:val="nil"/>
              <w:bottom w:val="single" w:sz="4" w:space="0" w:color="B56011"/>
              <w:right w:val="nil"/>
            </w:tcBorders>
            <w:hideMark/>
          </w:tcPr>
          <w:p w14:paraId="749C635B" w14:textId="04A93F02" w:rsidR="004C0F7F" w:rsidRDefault="004C0F7F" w:rsidP="00283332">
            <w:pPr>
              <w:pStyle w:val="Tabletext"/>
            </w:pPr>
            <w:r>
              <w:t>Consolidate services</w:t>
            </w:r>
            <w:r w:rsidR="00C22AE4">
              <w:t xml:space="preserve"> </w:t>
            </w:r>
            <w:r>
              <w:t xml:space="preserve">to simplify the item structure for upper gastrointestinal endoscopy services and minimise confusion about which items should be billed by the practitioner </w:t>
            </w:r>
          </w:p>
        </w:tc>
      </w:tr>
      <w:tr w:rsidR="004C0F7F" w14:paraId="43E00C53" w14:textId="77777777" w:rsidTr="00DC1E95">
        <w:tc>
          <w:tcPr>
            <w:tcW w:w="2127" w:type="dxa"/>
            <w:tcBorders>
              <w:top w:val="single" w:sz="4" w:space="0" w:color="B56011"/>
              <w:left w:val="nil"/>
              <w:bottom w:val="single" w:sz="4" w:space="0" w:color="B56011"/>
              <w:right w:val="nil"/>
            </w:tcBorders>
            <w:hideMark/>
          </w:tcPr>
          <w:p w14:paraId="45D190F3" w14:textId="77777777" w:rsidR="004C0F7F" w:rsidRDefault="004C0F7F">
            <w:pPr>
              <w:spacing w:before="60"/>
              <w:rPr>
                <w:b/>
                <w:sz w:val="20"/>
                <w:szCs w:val="20"/>
              </w:rPr>
            </w:pPr>
            <w:r>
              <w:rPr>
                <w:b/>
                <w:sz w:val="20"/>
                <w:szCs w:val="20"/>
              </w:rPr>
              <w:t>30478</w:t>
            </w:r>
          </w:p>
        </w:tc>
        <w:tc>
          <w:tcPr>
            <w:tcW w:w="3119" w:type="dxa"/>
            <w:tcBorders>
              <w:top w:val="single" w:sz="4" w:space="0" w:color="B56011"/>
              <w:left w:val="nil"/>
              <w:bottom w:val="single" w:sz="4" w:space="0" w:color="B56011"/>
              <w:right w:val="nil"/>
            </w:tcBorders>
            <w:hideMark/>
          </w:tcPr>
          <w:p w14:paraId="13B29DA3" w14:textId="77777777" w:rsidR="004C0F7F" w:rsidRDefault="004C0F7F" w:rsidP="00283332">
            <w:pPr>
              <w:pStyle w:val="Tabletext"/>
            </w:pPr>
            <w:r>
              <w:t>A procedure that uses a digital scope to visually examine the gastrointestinal tract and provide treatment</w:t>
            </w:r>
          </w:p>
        </w:tc>
        <w:tc>
          <w:tcPr>
            <w:tcW w:w="3087" w:type="dxa"/>
            <w:tcBorders>
              <w:top w:val="single" w:sz="4" w:space="0" w:color="B56011"/>
              <w:left w:val="nil"/>
              <w:bottom w:val="single" w:sz="4" w:space="0" w:color="B56011"/>
              <w:right w:val="nil"/>
            </w:tcBorders>
            <w:hideMark/>
          </w:tcPr>
          <w:p w14:paraId="46562425" w14:textId="77777777" w:rsidR="004C0F7F" w:rsidRDefault="004C0F7F" w:rsidP="00FA1377">
            <w:pPr>
              <w:pStyle w:val="ListParagraph"/>
              <w:numPr>
                <w:ilvl w:val="0"/>
                <w:numId w:val="54"/>
              </w:numPr>
              <w:spacing w:before="60"/>
              <w:rPr>
                <w:sz w:val="20"/>
                <w:szCs w:val="20"/>
              </w:rPr>
            </w:pPr>
            <w:r>
              <w:rPr>
                <w:sz w:val="20"/>
                <w:szCs w:val="20"/>
              </w:rPr>
              <w:t>Consolidate this service with item 30476 to form a general therapeutic service (without laser therapy).</w:t>
            </w:r>
          </w:p>
          <w:p w14:paraId="71B5868A" w14:textId="77777777" w:rsidR="004C0F7F" w:rsidRDefault="004C0F7F" w:rsidP="00FA1377">
            <w:pPr>
              <w:pStyle w:val="ListParagraph"/>
              <w:numPr>
                <w:ilvl w:val="0"/>
                <w:numId w:val="54"/>
              </w:numPr>
              <w:spacing w:before="60"/>
              <w:rPr>
                <w:sz w:val="20"/>
                <w:szCs w:val="20"/>
              </w:rPr>
            </w:pPr>
            <w:r>
              <w:rPr>
                <w:sz w:val="20"/>
                <w:szCs w:val="20"/>
              </w:rPr>
              <w:t>Argon Plasma Coagulation (APC) a procedure to control bleeding in the gastrointestinal tract should be moved from item 30479 into this item.</w:t>
            </w:r>
          </w:p>
          <w:p w14:paraId="5BF759F0" w14:textId="7FC78477" w:rsidR="004C0F7F" w:rsidRDefault="004C0F7F" w:rsidP="00FA1377">
            <w:pPr>
              <w:pStyle w:val="ListParagraph"/>
              <w:numPr>
                <w:ilvl w:val="0"/>
                <w:numId w:val="54"/>
              </w:numPr>
              <w:spacing w:before="60"/>
              <w:rPr>
                <w:sz w:val="20"/>
                <w:szCs w:val="20"/>
              </w:rPr>
            </w:pPr>
            <w:r>
              <w:rPr>
                <w:sz w:val="20"/>
                <w:szCs w:val="20"/>
              </w:rPr>
              <w:t xml:space="preserve">The Committee recommends Push Enteroscopy (a digital scope to examine the small </w:t>
            </w:r>
            <w:r>
              <w:rPr>
                <w:sz w:val="20"/>
                <w:szCs w:val="20"/>
              </w:rPr>
              <w:lastRenderedPageBreak/>
              <w:t>bowel)</w:t>
            </w:r>
            <w:r w:rsidR="00C22AE4">
              <w:rPr>
                <w:sz w:val="20"/>
                <w:szCs w:val="20"/>
              </w:rPr>
              <w:t xml:space="preserve"> </w:t>
            </w:r>
            <w:r>
              <w:rPr>
                <w:sz w:val="20"/>
                <w:szCs w:val="20"/>
              </w:rPr>
              <w:t>currently performed under item 304</w:t>
            </w:r>
            <w:r w:rsidR="003B37B7">
              <w:rPr>
                <w:sz w:val="20"/>
                <w:szCs w:val="20"/>
              </w:rPr>
              <w:t>87</w:t>
            </w:r>
            <w:r>
              <w:rPr>
                <w:sz w:val="20"/>
                <w:szCs w:val="20"/>
              </w:rPr>
              <w:t xml:space="preserve"> for small bowel intubation to be included in this item </w:t>
            </w:r>
          </w:p>
          <w:p w14:paraId="3B422521" w14:textId="77777777" w:rsidR="004C0F7F" w:rsidRDefault="004C0F7F" w:rsidP="00FA1377">
            <w:pPr>
              <w:pStyle w:val="ListParagraph"/>
              <w:numPr>
                <w:ilvl w:val="0"/>
                <w:numId w:val="54"/>
              </w:numPr>
              <w:spacing w:before="60"/>
              <w:rPr>
                <w:sz w:val="20"/>
                <w:szCs w:val="20"/>
              </w:rPr>
            </w:pPr>
            <w:r>
              <w:rPr>
                <w:sz w:val="20"/>
                <w:szCs w:val="20"/>
              </w:rPr>
              <w:t>Stop billing of this item with item 30479</w:t>
            </w:r>
          </w:p>
        </w:tc>
        <w:tc>
          <w:tcPr>
            <w:tcW w:w="2978" w:type="dxa"/>
            <w:tcBorders>
              <w:top w:val="single" w:sz="4" w:space="0" w:color="B56011"/>
              <w:left w:val="nil"/>
              <w:bottom w:val="single" w:sz="4" w:space="0" w:color="B56011"/>
              <w:right w:val="nil"/>
            </w:tcBorders>
            <w:hideMark/>
          </w:tcPr>
          <w:p w14:paraId="73972DC4" w14:textId="0A022DFB" w:rsidR="004C0F7F" w:rsidRDefault="004C0F7F" w:rsidP="00FA1377">
            <w:pPr>
              <w:pStyle w:val="ListParagraph"/>
              <w:numPr>
                <w:ilvl w:val="0"/>
                <w:numId w:val="55"/>
              </w:numPr>
              <w:spacing w:before="60"/>
              <w:rPr>
                <w:sz w:val="20"/>
                <w:szCs w:val="20"/>
              </w:rPr>
            </w:pPr>
            <w:r>
              <w:rPr>
                <w:sz w:val="20"/>
                <w:szCs w:val="20"/>
              </w:rPr>
              <w:lastRenderedPageBreak/>
              <w:t>The consolidation of items 30476 and 30478 will combine pathologies and treatments previously listed under item 30476.</w:t>
            </w:r>
            <w:r w:rsidR="00C22AE4">
              <w:rPr>
                <w:sz w:val="20"/>
                <w:szCs w:val="20"/>
              </w:rPr>
              <w:t xml:space="preserve"> </w:t>
            </w:r>
            <w:r>
              <w:rPr>
                <w:sz w:val="20"/>
                <w:szCs w:val="20"/>
              </w:rPr>
              <w:t>This change will not alter the fee or the intent of this item.</w:t>
            </w:r>
          </w:p>
          <w:p w14:paraId="09C39CB0" w14:textId="77777777" w:rsidR="004C0F7F" w:rsidRDefault="004C0F7F" w:rsidP="00FA1377">
            <w:pPr>
              <w:pStyle w:val="ListParagraph"/>
              <w:numPr>
                <w:ilvl w:val="0"/>
                <w:numId w:val="55"/>
              </w:numPr>
              <w:spacing w:before="60"/>
              <w:rPr>
                <w:sz w:val="20"/>
                <w:szCs w:val="20"/>
              </w:rPr>
            </w:pPr>
            <w:r>
              <w:rPr>
                <w:sz w:val="20"/>
                <w:szCs w:val="20"/>
              </w:rPr>
              <w:t>The use of APC under this item will benefit patients as the fee will be lower than currently under item 30479.</w:t>
            </w:r>
          </w:p>
          <w:p w14:paraId="305EAF61" w14:textId="77777777" w:rsidR="004C0F7F" w:rsidRDefault="004C0F7F" w:rsidP="00FA1377">
            <w:pPr>
              <w:pStyle w:val="ListParagraph"/>
              <w:numPr>
                <w:ilvl w:val="0"/>
                <w:numId w:val="55"/>
              </w:numPr>
              <w:spacing w:before="60"/>
              <w:rPr>
                <w:sz w:val="20"/>
                <w:szCs w:val="20"/>
              </w:rPr>
            </w:pPr>
            <w:r>
              <w:rPr>
                <w:sz w:val="20"/>
                <w:szCs w:val="20"/>
              </w:rPr>
              <w:t xml:space="preserve">The addition of Push Enteroscopy will allow the </w:t>
            </w:r>
            <w:r>
              <w:rPr>
                <w:sz w:val="20"/>
                <w:szCs w:val="20"/>
              </w:rPr>
              <w:lastRenderedPageBreak/>
              <w:t>removal of lesions in the small bowel under this item</w:t>
            </w:r>
          </w:p>
          <w:p w14:paraId="3B7AF2DB" w14:textId="7D69B381" w:rsidR="004C0F7F" w:rsidRDefault="004C0F7F" w:rsidP="00FA1377">
            <w:pPr>
              <w:pStyle w:val="ListParagraph"/>
              <w:numPr>
                <w:ilvl w:val="0"/>
                <w:numId w:val="55"/>
              </w:numPr>
              <w:spacing w:before="60"/>
              <w:rPr>
                <w:sz w:val="20"/>
                <w:szCs w:val="20"/>
              </w:rPr>
            </w:pPr>
            <w:r>
              <w:rPr>
                <w:sz w:val="20"/>
                <w:szCs w:val="20"/>
              </w:rPr>
              <w:t>This service will not be able to be claimed with item 30479.</w:t>
            </w:r>
            <w:r w:rsidR="00C22AE4">
              <w:rPr>
                <w:sz w:val="20"/>
                <w:szCs w:val="20"/>
              </w:rPr>
              <w:t xml:space="preserve"> </w:t>
            </w:r>
          </w:p>
        </w:tc>
        <w:tc>
          <w:tcPr>
            <w:tcW w:w="3119" w:type="dxa"/>
            <w:tcBorders>
              <w:top w:val="single" w:sz="4" w:space="0" w:color="B56011"/>
              <w:left w:val="nil"/>
              <w:bottom w:val="single" w:sz="4" w:space="0" w:color="B56011"/>
              <w:right w:val="nil"/>
            </w:tcBorders>
            <w:hideMark/>
          </w:tcPr>
          <w:p w14:paraId="76C3947F" w14:textId="77777777" w:rsidR="004C0F7F" w:rsidRDefault="004C0F7F" w:rsidP="00FA1377">
            <w:pPr>
              <w:pStyle w:val="ListParagraph"/>
              <w:numPr>
                <w:ilvl w:val="0"/>
                <w:numId w:val="56"/>
              </w:numPr>
              <w:spacing w:before="60"/>
              <w:rPr>
                <w:sz w:val="20"/>
                <w:szCs w:val="20"/>
              </w:rPr>
            </w:pPr>
            <w:r>
              <w:rPr>
                <w:sz w:val="20"/>
                <w:szCs w:val="20"/>
              </w:rPr>
              <w:lastRenderedPageBreak/>
              <w:t>Need to simplify the item structure these services and minimise confusion about which items should be billed by the practitioner</w:t>
            </w:r>
          </w:p>
          <w:p w14:paraId="4824BD47" w14:textId="77777777" w:rsidR="004C0F7F" w:rsidRDefault="004C0F7F" w:rsidP="00FA1377">
            <w:pPr>
              <w:pStyle w:val="ListParagraph"/>
              <w:numPr>
                <w:ilvl w:val="0"/>
                <w:numId w:val="56"/>
              </w:numPr>
              <w:spacing w:before="60"/>
              <w:rPr>
                <w:sz w:val="20"/>
                <w:szCs w:val="20"/>
              </w:rPr>
            </w:pPr>
            <w:r>
              <w:rPr>
                <w:sz w:val="20"/>
                <w:szCs w:val="20"/>
              </w:rPr>
              <w:t>APC is more appropriately provided under item 30478 (lower fee than item 30479) as it no more time consuming of the skills required than other forms of non -laser endoscopic interventions.</w:t>
            </w:r>
          </w:p>
          <w:p w14:paraId="447E316C" w14:textId="77777777" w:rsidR="004C0F7F" w:rsidRDefault="004C0F7F" w:rsidP="00FA1377">
            <w:pPr>
              <w:pStyle w:val="ListParagraph"/>
              <w:numPr>
                <w:ilvl w:val="0"/>
                <w:numId w:val="56"/>
              </w:numPr>
              <w:spacing w:before="60"/>
              <w:rPr>
                <w:sz w:val="20"/>
                <w:szCs w:val="20"/>
              </w:rPr>
            </w:pPr>
            <w:r>
              <w:rPr>
                <w:sz w:val="20"/>
                <w:szCs w:val="20"/>
              </w:rPr>
              <w:lastRenderedPageBreak/>
              <w:t>Push Enteroscopy is an upper gastrointestinal examination or procedure and it is appropriate for this service to be provided under this item 30478.</w:t>
            </w:r>
          </w:p>
          <w:p w14:paraId="383AD3E7" w14:textId="77777777" w:rsidR="004C0F7F" w:rsidRDefault="004C0F7F" w:rsidP="00FA1377">
            <w:pPr>
              <w:pStyle w:val="ListParagraph"/>
              <w:numPr>
                <w:ilvl w:val="0"/>
                <w:numId w:val="56"/>
              </w:numPr>
              <w:spacing w:before="60"/>
              <w:rPr>
                <w:sz w:val="20"/>
                <w:szCs w:val="20"/>
              </w:rPr>
            </w:pPr>
            <w:r>
              <w:rPr>
                <w:sz w:val="20"/>
                <w:szCs w:val="20"/>
              </w:rPr>
              <w:t xml:space="preserve">The patient could effectively pay twice for the same service if both 30478 and 30479 items were able to be billed together </w:t>
            </w:r>
          </w:p>
        </w:tc>
      </w:tr>
      <w:tr w:rsidR="004C0F7F" w14:paraId="05700C75" w14:textId="77777777" w:rsidTr="00DC1E95">
        <w:tc>
          <w:tcPr>
            <w:tcW w:w="2127" w:type="dxa"/>
            <w:tcBorders>
              <w:top w:val="single" w:sz="4" w:space="0" w:color="B56011"/>
              <w:left w:val="nil"/>
              <w:bottom w:val="single" w:sz="4" w:space="0" w:color="B56011"/>
              <w:right w:val="nil"/>
            </w:tcBorders>
            <w:hideMark/>
          </w:tcPr>
          <w:p w14:paraId="0545A9F7" w14:textId="77777777" w:rsidR="004C0F7F" w:rsidRDefault="004C0F7F">
            <w:pPr>
              <w:spacing w:before="60"/>
              <w:rPr>
                <w:b/>
                <w:sz w:val="20"/>
                <w:szCs w:val="20"/>
              </w:rPr>
            </w:pPr>
            <w:r>
              <w:rPr>
                <w:b/>
                <w:sz w:val="20"/>
                <w:szCs w:val="20"/>
              </w:rPr>
              <w:lastRenderedPageBreak/>
              <w:t>30479</w:t>
            </w:r>
          </w:p>
        </w:tc>
        <w:tc>
          <w:tcPr>
            <w:tcW w:w="3119" w:type="dxa"/>
            <w:tcBorders>
              <w:top w:val="single" w:sz="4" w:space="0" w:color="B56011"/>
              <w:left w:val="nil"/>
              <w:bottom w:val="single" w:sz="4" w:space="0" w:color="B56011"/>
              <w:right w:val="nil"/>
            </w:tcBorders>
            <w:hideMark/>
          </w:tcPr>
          <w:p w14:paraId="5C962C17" w14:textId="77777777" w:rsidR="004C0F7F" w:rsidRDefault="004C0F7F" w:rsidP="00283332">
            <w:pPr>
              <w:pStyle w:val="Tabletext"/>
            </w:pPr>
            <w:r>
              <w:t>A procedure that uses a digital scope to visually examine the gastrointestinal tract and provide laser therapy to treat specified pathologies</w:t>
            </w:r>
          </w:p>
        </w:tc>
        <w:tc>
          <w:tcPr>
            <w:tcW w:w="3087" w:type="dxa"/>
            <w:tcBorders>
              <w:top w:val="single" w:sz="4" w:space="0" w:color="B56011"/>
              <w:left w:val="nil"/>
              <w:bottom w:val="single" w:sz="4" w:space="0" w:color="B56011"/>
              <w:right w:val="nil"/>
            </w:tcBorders>
            <w:hideMark/>
          </w:tcPr>
          <w:p w14:paraId="08265383" w14:textId="77777777" w:rsidR="004C0F7F" w:rsidRDefault="004C0F7F" w:rsidP="00FA1377">
            <w:pPr>
              <w:pStyle w:val="ListParagraph"/>
              <w:numPr>
                <w:ilvl w:val="0"/>
                <w:numId w:val="57"/>
              </w:numPr>
              <w:spacing w:before="60"/>
              <w:rPr>
                <w:sz w:val="20"/>
                <w:szCs w:val="20"/>
              </w:rPr>
            </w:pPr>
            <w:r>
              <w:rPr>
                <w:sz w:val="20"/>
                <w:szCs w:val="20"/>
              </w:rPr>
              <w:t>Remove APC from this item and add it to the general therapeutic item 30478.</w:t>
            </w:r>
          </w:p>
          <w:p w14:paraId="415E844F" w14:textId="77777777" w:rsidR="004C0F7F" w:rsidRDefault="004C0F7F" w:rsidP="00FA1377">
            <w:pPr>
              <w:pStyle w:val="ListParagraph"/>
              <w:numPr>
                <w:ilvl w:val="0"/>
                <w:numId w:val="57"/>
              </w:numPr>
              <w:spacing w:before="60"/>
              <w:rPr>
                <w:sz w:val="20"/>
                <w:szCs w:val="20"/>
              </w:rPr>
            </w:pPr>
            <w:r>
              <w:rPr>
                <w:sz w:val="20"/>
                <w:szCs w:val="20"/>
              </w:rPr>
              <w:t>Stop billing of this item with item 30473 and 30478</w:t>
            </w:r>
          </w:p>
        </w:tc>
        <w:tc>
          <w:tcPr>
            <w:tcW w:w="2978" w:type="dxa"/>
            <w:tcBorders>
              <w:top w:val="single" w:sz="4" w:space="0" w:color="B56011"/>
              <w:left w:val="nil"/>
              <w:bottom w:val="single" w:sz="4" w:space="0" w:color="B56011"/>
              <w:right w:val="nil"/>
            </w:tcBorders>
            <w:hideMark/>
          </w:tcPr>
          <w:p w14:paraId="62069B9F" w14:textId="77777777" w:rsidR="004C0F7F" w:rsidRDefault="004C0F7F" w:rsidP="00FA1377">
            <w:pPr>
              <w:pStyle w:val="ListParagraph"/>
              <w:numPr>
                <w:ilvl w:val="0"/>
                <w:numId w:val="58"/>
              </w:numPr>
              <w:spacing w:before="60"/>
              <w:rPr>
                <w:sz w:val="20"/>
                <w:szCs w:val="20"/>
              </w:rPr>
            </w:pPr>
            <w:r>
              <w:rPr>
                <w:sz w:val="20"/>
                <w:szCs w:val="20"/>
              </w:rPr>
              <w:t>APC will not be provided in this item.</w:t>
            </w:r>
          </w:p>
          <w:p w14:paraId="328D0332" w14:textId="77777777" w:rsidR="004C0F7F" w:rsidRDefault="004C0F7F" w:rsidP="00FA1377">
            <w:pPr>
              <w:pStyle w:val="ListParagraph"/>
              <w:numPr>
                <w:ilvl w:val="0"/>
                <w:numId w:val="58"/>
              </w:numPr>
              <w:spacing w:before="60"/>
              <w:rPr>
                <w:sz w:val="20"/>
                <w:szCs w:val="20"/>
              </w:rPr>
            </w:pPr>
            <w:r>
              <w:rPr>
                <w:sz w:val="20"/>
                <w:szCs w:val="20"/>
              </w:rPr>
              <w:t xml:space="preserve">This service cannot be claimed with item 30478 </w:t>
            </w:r>
          </w:p>
        </w:tc>
        <w:tc>
          <w:tcPr>
            <w:tcW w:w="3119" w:type="dxa"/>
            <w:tcBorders>
              <w:top w:val="single" w:sz="4" w:space="0" w:color="B56011"/>
              <w:left w:val="nil"/>
              <w:bottom w:val="single" w:sz="4" w:space="0" w:color="B56011"/>
              <w:right w:val="nil"/>
            </w:tcBorders>
            <w:hideMark/>
          </w:tcPr>
          <w:p w14:paraId="66C0663C" w14:textId="77777777" w:rsidR="004C0F7F" w:rsidRDefault="004C0F7F" w:rsidP="00FA1377">
            <w:pPr>
              <w:pStyle w:val="ListParagraph"/>
              <w:numPr>
                <w:ilvl w:val="0"/>
                <w:numId w:val="59"/>
              </w:numPr>
              <w:spacing w:before="60"/>
              <w:rPr>
                <w:sz w:val="20"/>
                <w:szCs w:val="20"/>
              </w:rPr>
            </w:pPr>
            <w:r>
              <w:rPr>
                <w:sz w:val="20"/>
                <w:szCs w:val="20"/>
              </w:rPr>
              <w:t>APC is more appropriately provided under item 30478 as it no more time consuming of the skills required than other forms of non-laser endoscopic interventions</w:t>
            </w:r>
          </w:p>
          <w:p w14:paraId="7E1EFA2A" w14:textId="77777777" w:rsidR="004C0F7F" w:rsidRDefault="004C0F7F" w:rsidP="00FA1377">
            <w:pPr>
              <w:pStyle w:val="ListParagraph"/>
              <w:numPr>
                <w:ilvl w:val="0"/>
                <w:numId w:val="59"/>
              </w:numPr>
              <w:spacing w:before="60"/>
            </w:pPr>
            <w:r>
              <w:rPr>
                <w:sz w:val="20"/>
                <w:szCs w:val="20"/>
              </w:rPr>
              <w:t>Patients could effectively pay twice for the same service if both 30478 and 30479 were allowed to be billed together.</w:t>
            </w:r>
          </w:p>
        </w:tc>
      </w:tr>
    </w:tbl>
    <w:p w14:paraId="40A36FC7" w14:textId="77777777" w:rsidR="002C154A" w:rsidRDefault="002C154A" w:rsidP="00DC1E95">
      <w:pPr>
        <w:pStyle w:val="Caption"/>
      </w:pPr>
      <w:r>
        <w:br w:type="page"/>
      </w:r>
    </w:p>
    <w:p w14:paraId="44A3C1B7" w14:textId="1CDF6146" w:rsidR="00DC1E95" w:rsidRDefault="00DC1E95" w:rsidP="00DC1E95">
      <w:pPr>
        <w:pStyle w:val="Caption"/>
      </w:pPr>
      <w:r>
        <w:lastRenderedPageBreak/>
        <w:t>Table B5: Recommendation 5</w:t>
      </w:r>
      <w:r w:rsidR="002C154A">
        <w:t xml:space="preserve"> –</w:t>
      </w:r>
      <w:r w:rsidR="00C22AE4">
        <w:t xml:space="preserve"> </w:t>
      </w:r>
      <w:r>
        <w:t>Endoscopic upper gastrointestinal stricture services</w:t>
      </w:r>
    </w:p>
    <w:tbl>
      <w:tblPr>
        <w:tblStyle w:val="TableGrid"/>
        <w:tblW w:w="14430" w:type="dxa"/>
        <w:tblInd w:w="108"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ayout w:type="fixed"/>
        <w:tblLook w:val="04A0" w:firstRow="1" w:lastRow="0" w:firstColumn="1" w:lastColumn="0" w:noHBand="0" w:noVBand="1"/>
        <w:tblDescription w:val="Table B5 lists the items for endoscopic upper gastrintestinal stricture services, and provides recommendations for these items by the clinical experts and why the recommendation have been made. "/>
      </w:tblPr>
      <w:tblGrid>
        <w:gridCol w:w="2127"/>
        <w:gridCol w:w="3119"/>
        <w:gridCol w:w="3087"/>
        <w:gridCol w:w="2978"/>
        <w:gridCol w:w="3119"/>
      </w:tblGrid>
      <w:tr w:rsidR="00DC1E95" w14:paraId="26C181A0" w14:textId="77777777" w:rsidTr="00D15E14">
        <w:trPr>
          <w:tblHeader/>
        </w:trPr>
        <w:tc>
          <w:tcPr>
            <w:tcW w:w="2127" w:type="dxa"/>
            <w:tcBorders>
              <w:top w:val="single" w:sz="4" w:space="0" w:color="B56011"/>
              <w:left w:val="nil"/>
              <w:bottom w:val="single" w:sz="4" w:space="0" w:color="B56011"/>
              <w:right w:val="nil"/>
            </w:tcBorders>
            <w:hideMark/>
          </w:tcPr>
          <w:p w14:paraId="650AB08C" w14:textId="77777777" w:rsidR="00DC1E95" w:rsidRDefault="00DC1E95" w:rsidP="0018105F">
            <w:pPr>
              <w:pStyle w:val="Tableheading"/>
            </w:pPr>
            <w:r>
              <w:t xml:space="preserve">Item </w:t>
            </w:r>
          </w:p>
        </w:tc>
        <w:tc>
          <w:tcPr>
            <w:tcW w:w="3119" w:type="dxa"/>
            <w:tcBorders>
              <w:top w:val="single" w:sz="4" w:space="0" w:color="B56011"/>
              <w:left w:val="nil"/>
              <w:bottom w:val="single" w:sz="4" w:space="0" w:color="B56011"/>
              <w:right w:val="nil"/>
            </w:tcBorders>
            <w:hideMark/>
          </w:tcPr>
          <w:p w14:paraId="6623E045" w14:textId="77777777" w:rsidR="00DC1E95" w:rsidRDefault="00DC1E95" w:rsidP="0018105F">
            <w:pPr>
              <w:pStyle w:val="Tableheading"/>
            </w:pPr>
            <w:r>
              <w:t xml:space="preserve">What it does </w:t>
            </w:r>
          </w:p>
        </w:tc>
        <w:tc>
          <w:tcPr>
            <w:tcW w:w="3087" w:type="dxa"/>
            <w:tcBorders>
              <w:top w:val="single" w:sz="4" w:space="0" w:color="B56011"/>
              <w:left w:val="nil"/>
              <w:bottom w:val="single" w:sz="4" w:space="0" w:color="B56011"/>
              <w:right w:val="nil"/>
            </w:tcBorders>
            <w:hideMark/>
          </w:tcPr>
          <w:p w14:paraId="095FA91C" w14:textId="77777777" w:rsidR="00DC1E95" w:rsidRDefault="00DC1E95" w:rsidP="0018105F">
            <w:pPr>
              <w:pStyle w:val="Tableheading"/>
            </w:pPr>
            <w:r>
              <w:t>Committee Recommendation</w:t>
            </w:r>
          </w:p>
        </w:tc>
        <w:tc>
          <w:tcPr>
            <w:tcW w:w="2978" w:type="dxa"/>
            <w:tcBorders>
              <w:top w:val="single" w:sz="4" w:space="0" w:color="B56011"/>
              <w:left w:val="nil"/>
              <w:bottom w:val="single" w:sz="4" w:space="0" w:color="B56011"/>
              <w:right w:val="nil"/>
            </w:tcBorders>
            <w:hideMark/>
          </w:tcPr>
          <w:p w14:paraId="35E75C2F" w14:textId="77777777" w:rsidR="00DC1E95" w:rsidRDefault="00DC1E95" w:rsidP="0018105F">
            <w:pPr>
              <w:pStyle w:val="Tableheading"/>
            </w:pPr>
            <w:r>
              <w:t>What would be different</w:t>
            </w:r>
          </w:p>
        </w:tc>
        <w:tc>
          <w:tcPr>
            <w:tcW w:w="3119" w:type="dxa"/>
            <w:tcBorders>
              <w:top w:val="single" w:sz="4" w:space="0" w:color="B56011"/>
              <w:left w:val="nil"/>
              <w:bottom w:val="single" w:sz="4" w:space="0" w:color="B56011"/>
              <w:right w:val="nil"/>
            </w:tcBorders>
            <w:hideMark/>
          </w:tcPr>
          <w:p w14:paraId="07C835B8" w14:textId="77777777" w:rsidR="00DC1E95" w:rsidRDefault="00DC1E95" w:rsidP="0018105F">
            <w:pPr>
              <w:pStyle w:val="Tableheading"/>
            </w:pPr>
            <w:r>
              <w:t>Why</w:t>
            </w:r>
          </w:p>
        </w:tc>
      </w:tr>
      <w:tr w:rsidR="004C0F7F" w14:paraId="600F179A" w14:textId="77777777" w:rsidTr="00DC1E95">
        <w:tc>
          <w:tcPr>
            <w:tcW w:w="2127" w:type="dxa"/>
            <w:tcBorders>
              <w:top w:val="single" w:sz="4" w:space="0" w:color="B56011"/>
              <w:left w:val="nil"/>
              <w:bottom w:val="single" w:sz="4" w:space="0" w:color="B56011"/>
              <w:right w:val="nil"/>
            </w:tcBorders>
            <w:hideMark/>
          </w:tcPr>
          <w:p w14:paraId="6BF8E0E0" w14:textId="77777777" w:rsidR="004C0F7F" w:rsidRDefault="004C0F7F">
            <w:pPr>
              <w:spacing w:before="60"/>
              <w:rPr>
                <w:b/>
                <w:sz w:val="20"/>
                <w:szCs w:val="20"/>
              </w:rPr>
            </w:pPr>
            <w:r>
              <w:rPr>
                <w:b/>
                <w:sz w:val="20"/>
                <w:szCs w:val="20"/>
              </w:rPr>
              <w:t>30475, 41819 and 41820</w:t>
            </w:r>
          </w:p>
        </w:tc>
        <w:tc>
          <w:tcPr>
            <w:tcW w:w="3119" w:type="dxa"/>
            <w:tcBorders>
              <w:top w:val="single" w:sz="4" w:space="0" w:color="B56011"/>
              <w:left w:val="nil"/>
              <w:bottom w:val="single" w:sz="4" w:space="0" w:color="B56011"/>
              <w:right w:val="nil"/>
            </w:tcBorders>
            <w:hideMark/>
          </w:tcPr>
          <w:p w14:paraId="45D7DD46" w14:textId="77777777" w:rsidR="004C0F7F" w:rsidRDefault="004C0F7F" w:rsidP="00283332">
            <w:pPr>
              <w:pStyle w:val="Tabletext"/>
            </w:pPr>
            <w:r>
              <w:t xml:space="preserve">A group of procedures that use a digital scope and balloon to open up restrictions in the upper gastrointestinal tract </w:t>
            </w:r>
          </w:p>
        </w:tc>
        <w:tc>
          <w:tcPr>
            <w:tcW w:w="3087" w:type="dxa"/>
            <w:tcBorders>
              <w:top w:val="single" w:sz="4" w:space="0" w:color="B56011"/>
              <w:left w:val="nil"/>
              <w:bottom w:val="single" w:sz="4" w:space="0" w:color="B56011"/>
              <w:right w:val="nil"/>
            </w:tcBorders>
            <w:hideMark/>
          </w:tcPr>
          <w:p w14:paraId="05508F7D" w14:textId="77777777" w:rsidR="004C0F7F" w:rsidRDefault="004C0F7F" w:rsidP="00283332">
            <w:pPr>
              <w:pStyle w:val="Tabletext"/>
            </w:pPr>
            <w:r>
              <w:t>Consolidation of these services to allow any endoscopic technique to be performed for the throat through to the stomach and duodenum under item 30475The fee should be the fee for item 41819 which is higher than 30475 but lower than 41820</w:t>
            </w:r>
          </w:p>
        </w:tc>
        <w:tc>
          <w:tcPr>
            <w:tcW w:w="2978" w:type="dxa"/>
            <w:tcBorders>
              <w:top w:val="single" w:sz="4" w:space="0" w:color="B56011"/>
              <w:left w:val="nil"/>
              <w:bottom w:val="single" w:sz="4" w:space="0" w:color="B56011"/>
              <w:right w:val="nil"/>
            </w:tcBorders>
            <w:hideMark/>
          </w:tcPr>
          <w:p w14:paraId="7E9D65B4" w14:textId="2228DAB6" w:rsidR="004C0F7F" w:rsidRDefault="004C0F7F" w:rsidP="00283332">
            <w:pPr>
              <w:pStyle w:val="Tabletext"/>
            </w:pPr>
            <w:r>
              <w:t>Services will be provided under a single item and patients will all receive the same rebate.</w:t>
            </w:r>
            <w:r w:rsidR="00C22AE4">
              <w:t xml:space="preserve"> </w:t>
            </w:r>
          </w:p>
        </w:tc>
        <w:tc>
          <w:tcPr>
            <w:tcW w:w="3119" w:type="dxa"/>
            <w:tcBorders>
              <w:top w:val="single" w:sz="4" w:space="0" w:color="B56011"/>
              <w:left w:val="nil"/>
              <w:bottom w:val="single" w:sz="4" w:space="0" w:color="B56011"/>
              <w:right w:val="nil"/>
            </w:tcBorders>
            <w:hideMark/>
          </w:tcPr>
          <w:p w14:paraId="7753AC8A" w14:textId="6052EFE2" w:rsidR="004C0F7F" w:rsidRDefault="004C0F7F" w:rsidP="00283332">
            <w:pPr>
              <w:pStyle w:val="Tabletext"/>
            </w:pPr>
            <w:r>
              <w:t>Need to simplify the item structure for these services and to minimise confusion about which items should be billed by the practitioner.</w:t>
            </w:r>
            <w:r w:rsidR="00C22AE4">
              <w:t xml:space="preserve"> </w:t>
            </w:r>
            <w:r>
              <w:t>Patient rebates for these services should be the same.</w:t>
            </w:r>
          </w:p>
        </w:tc>
      </w:tr>
      <w:tr w:rsidR="004C0F7F" w14:paraId="7C84A6EF" w14:textId="77777777" w:rsidTr="00DC1E95">
        <w:tc>
          <w:tcPr>
            <w:tcW w:w="2127" w:type="dxa"/>
            <w:tcBorders>
              <w:top w:val="single" w:sz="4" w:space="0" w:color="B56011"/>
              <w:left w:val="nil"/>
              <w:bottom w:val="single" w:sz="4" w:space="0" w:color="B56011"/>
              <w:right w:val="nil"/>
            </w:tcBorders>
            <w:hideMark/>
          </w:tcPr>
          <w:p w14:paraId="3E095752" w14:textId="77777777" w:rsidR="004C0F7F" w:rsidRDefault="004C0F7F">
            <w:pPr>
              <w:spacing w:before="60"/>
              <w:rPr>
                <w:b/>
                <w:sz w:val="20"/>
                <w:szCs w:val="20"/>
              </w:rPr>
            </w:pPr>
            <w:r>
              <w:rPr>
                <w:b/>
                <w:sz w:val="20"/>
                <w:szCs w:val="20"/>
              </w:rPr>
              <w:t>41831</w:t>
            </w:r>
          </w:p>
        </w:tc>
        <w:tc>
          <w:tcPr>
            <w:tcW w:w="3119" w:type="dxa"/>
            <w:tcBorders>
              <w:top w:val="single" w:sz="4" w:space="0" w:color="B56011"/>
              <w:left w:val="nil"/>
              <w:bottom w:val="single" w:sz="4" w:space="0" w:color="B56011"/>
              <w:right w:val="nil"/>
            </w:tcBorders>
            <w:hideMark/>
          </w:tcPr>
          <w:p w14:paraId="0767BF9B" w14:textId="77777777" w:rsidR="004C0F7F" w:rsidRDefault="004C0F7F" w:rsidP="00283332">
            <w:pPr>
              <w:pStyle w:val="Tabletext"/>
            </w:pPr>
            <w:r>
              <w:t xml:space="preserve">Procedure that uses air or gas under pressure in a balloon that relieves the lower oesophageal muscle tension </w:t>
            </w:r>
          </w:p>
        </w:tc>
        <w:tc>
          <w:tcPr>
            <w:tcW w:w="3087" w:type="dxa"/>
            <w:tcBorders>
              <w:top w:val="single" w:sz="4" w:space="0" w:color="B56011"/>
              <w:left w:val="nil"/>
              <w:bottom w:val="single" w:sz="4" w:space="0" w:color="B56011"/>
              <w:right w:val="nil"/>
            </w:tcBorders>
            <w:hideMark/>
          </w:tcPr>
          <w:p w14:paraId="322E567B" w14:textId="77777777" w:rsidR="004C0F7F" w:rsidRDefault="004C0F7F" w:rsidP="00283332">
            <w:pPr>
              <w:pStyle w:val="Tabletext"/>
            </w:pPr>
            <w:r>
              <w:t>Amend item to indicate that the service is specific to the treatment of achalasia ( a type of narrowing)</w:t>
            </w:r>
          </w:p>
        </w:tc>
        <w:tc>
          <w:tcPr>
            <w:tcW w:w="2978" w:type="dxa"/>
            <w:tcBorders>
              <w:top w:val="single" w:sz="4" w:space="0" w:color="B56011"/>
              <w:left w:val="nil"/>
              <w:bottom w:val="single" w:sz="4" w:space="0" w:color="B56011"/>
              <w:right w:val="nil"/>
            </w:tcBorders>
            <w:hideMark/>
          </w:tcPr>
          <w:p w14:paraId="36B876DD" w14:textId="77777777" w:rsidR="004C0F7F" w:rsidRDefault="004C0F7F" w:rsidP="00283332">
            <w:pPr>
              <w:pStyle w:val="Tabletext"/>
            </w:pPr>
            <w:r>
              <w:t>The item will better target patients whose indications and conditions require this service</w:t>
            </w:r>
          </w:p>
        </w:tc>
        <w:tc>
          <w:tcPr>
            <w:tcW w:w="3119" w:type="dxa"/>
            <w:tcBorders>
              <w:top w:val="single" w:sz="4" w:space="0" w:color="B56011"/>
              <w:left w:val="nil"/>
              <w:bottom w:val="single" w:sz="4" w:space="0" w:color="B56011"/>
              <w:right w:val="nil"/>
            </w:tcBorders>
            <w:hideMark/>
          </w:tcPr>
          <w:p w14:paraId="5DB4CF61" w14:textId="77777777" w:rsidR="004C0F7F" w:rsidRDefault="004C0F7F" w:rsidP="00283332">
            <w:pPr>
              <w:pStyle w:val="Tabletext"/>
            </w:pPr>
            <w:r>
              <w:t>The clinical circumstances for this service will be better defined.</w:t>
            </w:r>
          </w:p>
        </w:tc>
      </w:tr>
    </w:tbl>
    <w:p w14:paraId="3DAE6954" w14:textId="77777777" w:rsidR="002C154A" w:rsidRDefault="002C154A" w:rsidP="00DC1E95">
      <w:pPr>
        <w:pStyle w:val="Caption"/>
      </w:pPr>
      <w:r>
        <w:br w:type="page"/>
      </w:r>
    </w:p>
    <w:p w14:paraId="5789A394" w14:textId="0FE77634" w:rsidR="00DC1E95" w:rsidRDefault="002C154A" w:rsidP="00DC1E95">
      <w:pPr>
        <w:pStyle w:val="Caption"/>
      </w:pPr>
      <w:r>
        <w:lastRenderedPageBreak/>
        <w:t>Table B6: Recommendation 6 –</w:t>
      </w:r>
      <w:r w:rsidR="00DC1E95">
        <w:t xml:space="preserve"> Sigmoidoscopy/Colonoscopy</w:t>
      </w:r>
    </w:p>
    <w:tbl>
      <w:tblPr>
        <w:tblStyle w:val="TableGrid"/>
        <w:tblW w:w="14430" w:type="dxa"/>
        <w:tblInd w:w="108"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ayout w:type="fixed"/>
        <w:tblLook w:val="04A0" w:firstRow="1" w:lastRow="0" w:firstColumn="1" w:lastColumn="0" w:noHBand="0" w:noVBand="1"/>
        <w:tblDescription w:val="Table B6 lists the items for sigmoidoscopy/colonoscopy, and provides recommendations for these items by the clinical experts and why the recommendation have been made. "/>
      </w:tblPr>
      <w:tblGrid>
        <w:gridCol w:w="2127"/>
        <w:gridCol w:w="3119"/>
        <w:gridCol w:w="3087"/>
        <w:gridCol w:w="2978"/>
        <w:gridCol w:w="3119"/>
      </w:tblGrid>
      <w:tr w:rsidR="00DC1E95" w14:paraId="520596E7" w14:textId="77777777" w:rsidTr="00DC1E95">
        <w:trPr>
          <w:tblHeader/>
        </w:trPr>
        <w:tc>
          <w:tcPr>
            <w:tcW w:w="2127" w:type="dxa"/>
            <w:tcBorders>
              <w:top w:val="single" w:sz="4" w:space="0" w:color="B56011"/>
              <w:left w:val="nil"/>
              <w:bottom w:val="single" w:sz="4" w:space="0" w:color="B56011"/>
              <w:right w:val="nil"/>
            </w:tcBorders>
            <w:hideMark/>
          </w:tcPr>
          <w:p w14:paraId="66C318E6" w14:textId="77777777" w:rsidR="00DC1E95" w:rsidRDefault="00DC1E95" w:rsidP="0018105F">
            <w:pPr>
              <w:pStyle w:val="Tableheading"/>
            </w:pPr>
            <w:r>
              <w:t xml:space="preserve">Item </w:t>
            </w:r>
          </w:p>
        </w:tc>
        <w:tc>
          <w:tcPr>
            <w:tcW w:w="3119" w:type="dxa"/>
            <w:tcBorders>
              <w:top w:val="single" w:sz="4" w:space="0" w:color="B56011"/>
              <w:left w:val="nil"/>
              <w:bottom w:val="single" w:sz="4" w:space="0" w:color="B56011"/>
              <w:right w:val="nil"/>
            </w:tcBorders>
            <w:hideMark/>
          </w:tcPr>
          <w:p w14:paraId="659F2D48" w14:textId="77777777" w:rsidR="00DC1E95" w:rsidRDefault="00DC1E95" w:rsidP="0018105F">
            <w:pPr>
              <w:pStyle w:val="Tableheading"/>
            </w:pPr>
            <w:r>
              <w:t xml:space="preserve">What it does </w:t>
            </w:r>
          </w:p>
        </w:tc>
        <w:tc>
          <w:tcPr>
            <w:tcW w:w="3087" w:type="dxa"/>
            <w:tcBorders>
              <w:top w:val="single" w:sz="4" w:space="0" w:color="B56011"/>
              <w:left w:val="nil"/>
              <w:bottom w:val="single" w:sz="4" w:space="0" w:color="B56011"/>
              <w:right w:val="nil"/>
            </w:tcBorders>
            <w:hideMark/>
          </w:tcPr>
          <w:p w14:paraId="26991B6B" w14:textId="77777777" w:rsidR="00DC1E95" w:rsidRDefault="00DC1E95" w:rsidP="0018105F">
            <w:pPr>
              <w:pStyle w:val="Tableheading"/>
            </w:pPr>
            <w:r>
              <w:t>Committee Recommendation</w:t>
            </w:r>
          </w:p>
        </w:tc>
        <w:tc>
          <w:tcPr>
            <w:tcW w:w="2978" w:type="dxa"/>
            <w:tcBorders>
              <w:top w:val="single" w:sz="4" w:space="0" w:color="B56011"/>
              <w:left w:val="nil"/>
              <w:bottom w:val="single" w:sz="4" w:space="0" w:color="B56011"/>
              <w:right w:val="nil"/>
            </w:tcBorders>
            <w:hideMark/>
          </w:tcPr>
          <w:p w14:paraId="5ABD9FCD" w14:textId="77777777" w:rsidR="00DC1E95" w:rsidRDefault="00DC1E95" w:rsidP="0018105F">
            <w:pPr>
              <w:pStyle w:val="Tableheading"/>
            </w:pPr>
            <w:r>
              <w:t>What would be different</w:t>
            </w:r>
          </w:p>
        </w:tc>
        <w:tc>
          <w:tcPr>
            <w:tcW w:w="3119" w:type="dxa"/>
            <w:tcBorders>
              <w:top w:val="single" w:sz="4" w:space="0" w:color="B56011"/>
              <w:left w:val="nil"/>
              <w:bottom w:val="single" w:sz="4" w:space="0" w:color="B56011"/>
              <w:right w:val="nil"/>
            </w:tcBorders>
            <w:hideMark/>
          </w:tcPr>
          <w:p w14:paraId="37A863B3" w14:textId="77777777" w:rsidR="00DC1E95" w:rsidRDefault="00DC1E95" w:rsidP="0018105F">
            <w:pPr>
              <w:pStyle w:val="Tableheading"/>
            </w:pPr>
            <w:r>
              <w:t>Why</w:t>
            </w:r>
          </w:p>
        </w:tc>
      </w:tr>
      <w:tr w:rsidR="004C0F7F" w14:paraId="669F25BB" w14:textId="77777777" w:rsidTr="00DC1E95">
        <w:tc>
          <w:tcPr>
            <w:tcW w:w="2127" w:type="dxa"/>
            <w:tcBorders>
              <w:top w:val="single" w:sz="4" w:space="0" w:color="B56011"/>
              <w:left w:val="nil"/>
              <w:bottom w:val="single" w:sz="4" w:space="0" w:color="B56011"/>
              <w:right w:val="nil"/>
            </w:tcBorders>
            <w:hideMark/>
          </w:tcPr>
          <w:p w14:paraId="6295277B" w14:textId="77777777" w:rsidR="004C0F7F" w:rsidRPr="006C6BE7" w:rsidRDefault="004C0F7F" w:rsidP="006C6BE7">
            <w:pPr>
              <w:pStyle w:val="Tabletext"/>
              <w:rPr>
                <w:b/>
                <w:bCs/>
              </w:rPr>
            </w:pPr>
            <w:r w:rsidRPr="006C6BE7">
              <w:rPr>
                <w:b/>
                <w:bCs/>
              </w:rPr>
              <w:t>32084</w:t>
            </w:r>
          </w:p>
        </w:tc>
        <w:tc>
          <w:tcPr>
            <w:tcW w:w="3119" w:type="dxa"/>
            <w:tcBorders>
              <w:top w:val="single" w:sz="4" w:space="0" w:color="B56011"/>
              <w:left w:val="nil"/>
              <w:bottom w:val="single" w:sz="4" w:space="0" w:color="B56011"/>
              <w:right w:val="nil"/>
            </w:tcBorders>
            <w:hideMark/>
          </w:tcPr>
          <w:p w14:paraId="0F1894F2" w14:textId="77777777" w:rsidR="004C0F7F" w:rsidRDefault="004C0F7F" w:rsidP="00283332">
            <w:pPr>
              <w:pStyle w:val="Tabletext"/>
            </w:pPr>
            <w:r>
              <w:t>A diagnostic procedure using digital scope to visually examine the colon and can include biopsy</w:t>
            </w:r>
          </w:p>
        </w:tc>
        <w:tc>
          <w:tcPr>
            <w:tcW w:w="3087" w:type="dxa"/>
            <w:tcBorders>
              <w:top w:val="single" w:sz="4" w:space="0" w:color="B56011"/>
              <w:left w:val="nil"/>
              <w:bottom w:val="single" w:sz="4" w:space="0" w:color="B56011"/>
              <w:right w:val="nil"/>
            </w:tcBorders>
            <w:hideMark/>
          </w:tcPr>
          <w:p w14:paraId="3D16B3AC" w14:textId="1685357E" w:rsidR="004C0F7F" w:rsidRDefault="004C0F7F" w:rsidP="00FA1377">
            <w:pPr>
              <w:pStyle w:val="ListParagraph"/>
              <w:numPr>
                <w:ilvl w:val="0"/>
                <w:numId w:val="60"/>
              </w:numPr>
              <w:spacing w:before="60"/>
              <w:rPr>
                <w:sz w:val="20"/>
                <w:szCs w:val="20"/>
              </w:rPr>
            </w:pPr>
            <w:r>
              <w:rPr>
                <w:sz w:val="20"/>
                <w:szCs w:val="20"/>
              </w:rPr>
              <w:t>Amend item to better define the extent of the examination which ‘has not reach the caecum’ and remove out-of-date terminology.</w:t>
            </w:r>
            <w:r w:rsidR="00C22AE4">
              <w:rPr>
                <w:sz w:val="20"/>
                <w:szCs w:val="20"/>
              </w:rPr>
              <w:t xml:space="preserve"> </w:t>
            </w:r>
          </w:p>
          <w:p w14:paraId="2AF7AA52" w14:textId="77777777" w:rsidR="004C0F7F" w:rsidRDefault="004C0F7F" w:rsidP="00FA1377">
            <w:pPr>
              <w:pStyle w:val="ListParagraph"/>
              <w:numPr>
                <w:ilvl w:val="0"/>
                <w:numId w:val="60"/>
              </w:numPr>
              <w:spacing w:before="60"/>
              <w:rPr>
                <w:sz w:val="20"/>
                <w:szCs w:val="20"/>
              </w:rPr>
            </w:pPr>
            <w:r>
              <w:rPr>
                <w:sz w:val="20"/>
                <w:szCs w:val="20"/>
              </w:rPr>
              <w:t>Stop the billing of more than one colonoscopy service during the same episode of sedation/anaesthesia</w:t>
            </w:r>
          </w:p>
        </w:tc>
        <w:tc>
          <w:tcPr>
            <w:tcW w:w="2978" w:type="dxa"/>
            <w:tcBorders>
              <w:top w:val="single" w:sz="4" w:space="0" w:color="B56011"/>
              <w:left w:val="nil"/>
              <w:bottom w:val="single" w:sz="4" w:space="0" w:color="B56011"/>
              <w:right w:val="nil"/>
            </w:tcBorders>
          </w:tcPr>
          <w:p w14:paraId="7A4DE7A6" w14:textId="3A75E39E" w:rsidR="004C0F7F" w:rsidRDefault="004C0F7F" w:rsidP="00FA1377">
            <w:pPr>
              <w:pStyle w:val="ListParagraph"/>
              <w:numPr>
                <w:ilvl w:val="0"/>
                <w:numId w:val="61"/>
              </w:numPr>
              <w:spacing w:before="60"/>
              <w:rPr>
                <w:sz w:val="20"/>
                <w:szCs w:val="20"/>
              </w:rPr>
            </w:pPr>
            <w:r>
              <w:rPr>
                <w:sz w:val="20"/>
                <w:szCs w:val="20"/>
              </w:rPr>
              <w:t>Patients will benefit from this quality measure which will require a more comprehensive and complete examination to be performed.</w:t>
            </w:r>
            <w:r w:rsidR="00C22AE4">
              <w:rPr>
                <w:sz w:val="20"/>
                <w:szCs w:val="20"/>
              </w:rPr>
              <w:t xml:space="preserve"> </w:t>
            </w:r>
          </w:p>
          <w:p w14:paraId="7911E067" w14:textId="59040BB8" w:rsidR="004C0F7F" w:rsidRDefault="004C0F7F" w:rsidP="00FA1377">
            <w:pPr>
              <w:pStyle w:val="ListParagraph"/>
              <w:numPr>
                <w:ilvl w:val="0"/>
                <w:numId w:val="62"/>
              </w:numPr>
              <w:spacing w:before="60"/>
              <w:rPr>
                <w:sz w:val="20"/>
                <w:szCs w:val="20"/>
              </w:rPr>
            </w:pPr>
            <w:r>
              <w:rPr>
                <w:sz w:val="20"/>
                <w:szCs w:val="20"/>
              </w:rPr>
              <w:t>These services will not able to be billed with other colonoscopy services on the same day, same patient and practitioner unless under a separate sedation/anaesthesia.</w:t>
            </w:r>
          </w:p>
        </w:tc>
        <w:tc>
          <w:tcPr>
            <w:tcW w:w="3119" w:type="dxa"/>
            <w:tcBorders>
              <w:top w:val="single" w:sz="4" w:space="0" w:color="B56011"/>
              <w:left w:val="nil"/>
              <w:bottom w:val="single" w:sz="4" w:space="0" w:color="B56011"/>
              <w:right w:val="nil"/>
            </w:tcBorders>
            <w:hideMark/>
          </w:tcPr>
          <w:p w14:paraId="3DDAD517" w14:textId="77777777" w:rsidR="004C0F7F" w:rsidRDefault="004C0F7F" w:rsidP="00FA1377">
            <w:pPr>
              <w:pStyle w:val="ListParagraph"/>
              <w:numPr>
                <w:ilvl w:val="0"/>
                <w:numId w:val="63"/>
              </w:numPr>
              <w:spacing w:before="60"/>
              <w:rPr>
                <w:sz w:val="20"/>
                <w:szCs w:val="20"/>
              </w:rPr>
            </w:pPr>
            <w:r>
              <w:rPr>
                <w:sz w:val="20"/>
                <w:szCs w:val="20"/>
              </w:rPr>
              <w:t xml:space="preserve">To better define the clinical requirements for a complete and comprehensive examination </w:t>
            </w:r>
          </w:p>
          <w:p w14:paraId="0F2DAEFF" w14:textId="2D99F235" w:rsidR="004C0F7F" w:rsidRDefault="004C0F7F" w:rsidP="00FA1377">
            <w:pPr>
              <w:pStyle w:val="ListParagraph"/>
              <w:numPr>
                <w:ilvl w:val="0"/>
                <w:numId w:val="63"/>
              </w:numPr>
              <w:spacing w:before="60"/>
              <w:rPr>
                <w:sz w:val="20"/>
                <w:szCs w:val="20"/>
              </w:rPr>
            </w:pPr>
            <w:r>
              <w:rPr>
                <w:sz w:val="20"/>
                <w:szCs w:val="20"/>
              </w:rPr>
              <w:t>Patients could effectively pay twice for the same service if other colonoscopy services were</w:t>
            </w:r>
            <w:r w:rsidR="00C22AE4">
              <w:rPr>
                <w:sz w:val="20"/>
                <w:szCs w:val="20"/>
              </w:rPr>
              <w:t xml:space="preserve"> </w:t>
            </w:r>
            <w:r>
              <w:rPr>
                <w:sz w:val="20"/>
                <w:szCs w:val="20"/>
              </w:rPr>
              <w:t>allowed to be billed together</w:t>
            </w:r>
          </w:p>
        </w:tc>
      </w:tr>
      <w:tr w:rsidR="004C0F7F" w14:paraId="3DFC295F" w14:textId="77777777" w:rsidTr="00DC1E95">
        <w:tc>
          <w:tcPr>
            <w:tcW w:w="2127" w:type="dxa"/>
            <w:tcBorders>
              <w:top w:val="single" w:sz="4" w:space="0" w:color="B56011"/>
              <w:left w:val="nil"/>
              <w:bottom w:val="single" w:sz="4" w:space="0" w:color="B56011"/>
              <w:right w:val="nil"/>
            </w:tcBorders>
            <w:hideMark/>
          </w:tcPr>
          <w:p w14:paraId="02776083" w14:textId="77777777" w:rsidR="004C0F7F" w:rsidRPr="006C6BE7" w:rsidRDefault="004C0F7F" w:rsidP="006C6BE7">
            <w:pPr>
              <w:pStyle w:val="Tabletext"/>
              <w:rPr>
                <w:b/>
                <w:bCs/>
              </w:rPr>
            </w:pPr>
            <w:r w:rsidRPr="006C6BE7">
              <w:rPr>
                <w:b/>
                <w:bCs/>
              </w:rPr>
              <w:t>32087</w:t>
            </w:r>
          </w:p>
        </w:tc>
        <w:tc>
          <w:tcPr>
            <w:tcW w:w="3119" w:type="dxa"/>
            <w:tcBorders>
              <w:top w:val="single" w:sz="4" w:space="0" w:color="B56011"/>
              <w:left w:val="nil"/>
              <w:bottom w:val="single" w:sz="4" w:space="0" w:color="B56011"/>
              <w:right w:val="nil"/>
            </w:tcBorders>
            <w:hideMark/>
          </w:tcPr>
          <w:p w14:paraId="38BE3272" w14:textId="77777777" w:rsidR="004C0F7F" w:rsidRDefault="004C0F7F" w:rsidP="00283332">
            <w:pPr>
              <w:pStyle w:val="Tabletext"/>
            </w:pPr>
            <w:r>
              <w:t>A therapeutic procedure using a digital scope to visually examine the colon and to provide treatment or remove polyps (small clump of cells that forms on the lining of the colon)</w:t>
            </w:r>
          </w:p>
        </w:tc>
        <w:tc>
          <w:tcPr>
            <w:tcW w:w="3087" w:type="dxa"/>
            <w:tcBorders>
              <w:top w:val="single" w:sz="4" w:space="0" w:color="B56011"/>
              <w:left w:val="nil"/>
              <w:bottom w:val="single" w:sz="4" w:space="0" w:color="B56011"/>
              <w:right w:val="nil"/>
            </w:tcBorders>
            <w:hideMark/>
          </w:tcPr>
          <w:p w14:paraId="73A20360" w14:textId="39CBE8AA" w:rsidR="004C0F7F" w:rsidRDefault="004C0F7F" w:rsidP="00FA1377">
            <w:pPr>
              <w:pStyle w:val="ListParagraph"/>
              <w:numPr>
                <w:ilvl w:val="0"/>
                <w:numId w:val="64"/>
              </w:numPr>
              <w:spacing w:before="60"/>
              <w:rPr>
                <w:sz w:val="20"/>
                <w:szCs w:val="20"/>
              </w:rPr>
            </w:pPr>
            <w:r>
              <w:rPr>
                <w:sz w:val="20"/>
                <w:szCs w:val="20"/>
              </w:rPr>
              <w:t xml:space="preserve">Amend item to better define the extent of the examination which ‘has not reach the caecum’ (a </w:t>
            </w:r>
            <w:r>
              <w:rPr>
                <w:rFonts w:cs="Arial"/>
                <w:color w:val="545454"/>
                <w:sz w:val="20"/>
                <w:szCs w:val="20"/>
                <w:shd w:val="clear" w:color="auto" w:fill="FFFFFF"/>
              </w:rPr>
              <w:t>pouch that marks the beginning of the large intestine)</w:t>
            </w:r>
            <w:r w:rsidR="00C22AE4">
              <w:rPr>
                <w:rFonts w:cs="Arial"/>
                <w:color w:val="545454"/>
                <w:sz w:val="20"/>
                <w:szCs w:val="20"/>
                <w:shd w:val="clear" w:color="auto" w:fill="FFFFFF"/>
              </w:rPr>
              <w:t xml:space="preserve"> </w:t>
            </w:r>
            <w:r>
              <w:rPr>
                <w:sz w:val="20"/>
                <w:szCs w:val="20"/>
              </w:rPr>
              <w:t>and remove out-of-date terminology ‘.</w:t>
            </w:r>
            <w:r w:rsidR="00C22AE4">
              <w:rPr>
                <w:sz w:val="20"/>
                <w:szCs w:val="20"/>
              </w:rPr>
              <w:t xml:space="preserve"> </w:t>
            </w:r>
          </w:p>
          <w:p w14:paraId="2968610E" w14:textId="77777777" w:rsidR="004C0F7F" w:rsidRDefault="004C0F7F" w:rsidP="00FA1377">
            <w:pPr>
              <w:pStyle w:val="ListParagraph"/>
              <w:numPr>
                <w:ilvl w:val="0"/>
                <w:numId w:val="64"/>
              </w:numPr>
              <w:spacing w:before="60"/>
              <w:rPr>
                <w:sz w:val="20"/>
                <w:szCs w:val="20"/>
              </w:rPr>
            </w:pPr>
            <w:r>
              <w:rPr>
                <w:sz w:val="20"/>
                <w:szCs w:val="20"/>
              </w:rPr>
              <w:t>Remove restrictive requirements that only APC can be used to control bleeding.</w:t>
            </w:r>
          </w:p>
          <w:p w14:paraId="24600E36" w14:textId="77777777" w:rsidR="004C0F7F" w:rsidRDefault="004C0F7F" w:rsidP="00FA1377">
            <w:pPr>
              <w:pStyle w:val="ListParagraph"/>
              <w:numPr>
                <w:ilvl w:val="0"/>
                <w:numId w:val="64"/>
              </w:numPr>
              <w:spacing w:before="60"/>
              <w:rPr>
                <w:sz w:val="20"/>
                <w:szCs w:val="20"/>
              </w:rPr>
            </w:pPr>
            <w:r>
              <w:rPr>
                <w:sz w:val="20"/>
                <w:szCs w:val="20"/>
              </w:rPr>
              <w:lastRenderedPageBreak/>
              <w:t xml:space="preserve">Stop the billing of more than one colonoscopy service same patient, same practitioner during the same episode of sedation/anaesthesia </w:t>
            </w:r>
          </w:p>
        </w:tc>
        <w:tc>
          <w:tcPr>
            <w:tcW w:w="2978" w:type="dxa"/>
            <w:tcBorders>
              <w:top w:val="single" w:sz="4" w:space="0" w:color="B56011"/>
              <w:left w:val="nil"/>
              <w:bottom w:val="single" w:sz="4" w:space="0" w:color="B56011"/>
              <w:right w:val="nil"/>
            </w:tcBorders>
            <w:hideMark/>
          </w:tcPr>
          <w:p w14:paraId="140DE2F8" w14:textId="2A3EFFB7" w:rsidR="004C0F7F" w:rsidRDefault="004C0F7F" w:rsidP="00FA1377">
            <w:pPr>
              <w:pStyle w:val="ListParagraph"/>
              <w:numPr>
                <w:ilvl w:val="0"/>
                <w:numId w:val="65"/>
              </w:numPr>
              <w:spacing w:before="60"/>
              <w:rPr>
                <w:sz w:val="20"/>
                <w:szCs w:val="20"/>
              </w:rPr>
            </w:pPr>
            <w:r>
              <w:rPr>
                <w:sz w:val="20"/>
                <w:szCs w:val="20"/>
              </w:rPr>
              <w:lastRenderedPageBreak/>
              <w:t>Patients will benefit from this quality measure which will require a more comprehensive and complete examination to be performed.</w:t>
            </w:r>
            <w:r w:rsidR="00C22AE4">
              <w:rPr>
                <w:sz w:val="20"/>
                <w:szCs w:val="20"/>
              </w:rPr>
              <w:t xml:space="preserve"> </w:t>
            </w:r>
          </w:p>
          <w:p w14:paraId="73C90428" w14:textId="77777777" w:rsidR="004C0F7F" w:rsidRDefault="004C0F7F" w:rsidP="00FA1377">
            <w:pPr>
              <w:pStyle w:val="ListParagraph"/>
              <w:numPr>
                <w:ilvl w:val="0"/>
                <w:numId w:val="65"/>
              </w:numPr>
              <w:spacing w:before="60"/>
              <w:rPr>
                <w:sz w:val="20"/>
                <w:szCs w:val="20"/>
              </w:rPr>
            </w:pPr>
            <w:r>
              <w:rPr>
                <w:sz w:val="20"/>
                <w:szCs w:val="20"/>
              </w:rPr>
              <w:t>Practitioners will benefit with the removal of APC as they will be able to select a therapy that best suits the clinical indications of the patient.</w:t>
            </w:r>
          </w:p>
          <w:p w14:paraId="01B157FD" w14:textId="77777777" w:rsidR="004C0F7F" w:rsidRDefault="004C0F7F" w:rsidP="00FA1377">
            <w:pPr>
              <w:pStyle w:val="ListParagraph"/>
              <w:numPr>
                <w:ilvl w:val="0"/>
                <w:numId w:val="65"/>
              </w:numPr>
              <w:spacing w:before="60"/>
              <w:rPr>
                <w:sz w:val="20"/>
                <w:szCs w:val="20"/>
              </w:rPr>
            </w:pPr>
            <w:r>
              <w:rPr>
                <w:sz w:val="20"/>
                <w:szCs w:val="20"/>
              </w:rPr>
              <w:lastRenderedPageBreak/>
              <w:t>These services will not be able to be billed with other colonoscopy services on the same day, same patient and practitioner unless under a separate sedation/anaesthesia.</w:t>
            </w:r>
          </w:p>
        </w:tc>
        <w:tc>
          <w:tcPr>
            <w:tcW w:w="3119" w:type="dxa"/>
            <w:tcBorders>
              <w:top w:val="single" w:sz="4" w:space="0" w:color="B56011"/>
              <w:left w:val="nil"/>
              <w:bottom w:val="single" w:sz="4" w:space="0" w:color="B56011"/>
              <w:right w:val="nil"/>
            </w:tcBorders>
          </w:tcPr>
          <w:p w14:paraId="0B89364B" w14:textId="77777777" w:rsidR="004C0F7F" w:rsidRDefault="004C0F7F" w:rsidP="00FA1377">
            <w:pPr>
              <w:pStyle w:val="ListParagraph"/>
              <w:numPr>
                <w:ilvl w:val="0"/>
                <w:numId w:val="66"/>
              </w:numPr>
              <w:spacing w:before="60"/>
              <w:rPr>
                <w:sz w:val="20"/>
                <w:szCs w:val="20"/>
              </w:rPr>
            </w:pPr>
            <w:r>
              <w:rPr>
                <w:sz w:val="20"/>
                <w:szCs w:val="20"/>
              </w:rPr>
              <w:lastRenderedPageBreak/>
              <w:t>The clinical requirements for a complete and comprehensive examination will be better defined.</w:t>
            </w:r>
          </w:p>
          <w:p w14:paraId="29F48343" w14:textId="77777777" w:rsidR="004C0F7F" w:rsidRDefault="004C0F7F" w:rsidP="00FA1377">
            <w:pPr>
              <w:pStyle w:val="ListParagraph"/>
              <w:numPr>
                <w:ilvl w:val="0"/>
                <w:numId w:val="66"/>
              </w:numPr>
              <w:spacing w:before="60"/>
              <w:rPr>
                <w:sz w:val="20"/>
                <w:szCs w:val="20"/>
              </w:rPr>
            </w:pPr>
            <w:r>
              <w:rPr>
                <w:sz w:val="20"/>
                <w:szCs w:val="20"/>
              </w:rPr>
              <w:t>Use of APC is too restrictive and other therapies should be available.</w:t>
            </w:r>
          </w:p>
          <w:p w14:paraId="245C6BA9" w14:textId="5EE98237" w:rsidR="004C0F7F" w:rsidRDefault="004C0F7F" w:rsidP="00FA1377">
            <w:pPr>
              <w:pStyle w:val="ListParagraph"/>
              <w:numPr>
                <w:ilvl w:val="0"/>
                <w:numId w:val="66"/>
              </w:numPr>
              <w:spacing w:before="60"/>
              <w:rPr>
                <w:sz w:val="20"/>
                <w:szCs w:val="20"/>
              </w:rPr>
            </w:pPr>
            <w:r>
              <w:rPr>
                <w:sz w:val="20"/>
                <w:szCs w:val="20"/>
              </w:rPr>
              <w:t>Patients could effectively pay twice for the same service if other colonoscopy services were</w:t>
            </w:r>
            <w:r w:rsidR="00C22AE4">
              <w:rPr>
                <w:sz w:val="20"/>
                <w:szCs w:val="20"/>
              </w:rPr>
              <w:t xml:space="preserve"> </w:t>
            </w:r>
            <w:r>
              <w:rPr>
                <w:sz w:val="20"/>
                <w:szCs w:val="20"/>
              </w:rPr>
              <w:t>allowed to be billed together</w:t>
            </w:r>
          </w:p>
          <w:p w14:paraId="089B042F" w14:textId="77777777" w:rsidR="004C0F7F" w:rsidRDefault="004C0F7F">
            <w:pPr>
              <w:spacing w:before="60"/>
              <w:rPr>
                <w:sz w:val="20"/>
                <w:szCs w:val="20"/>
              </w:rPr>
            </w:pPr>
          </w:p>
        </w:tc>
      </w:tr>
    </w:tbl>
    <w:p w14:paraId="439FC654" w14:textId="28491447" w:rsidR="005918A7" w:rsidRDefault="005918A7" w:rsidP="005918A7">
      <w:pPr>
        <w:pStyle w:val="Caption"/>
      </w:pPr>
      <w:r>
        <w:lastRenderedPageBreak/>
        <w:t xml:space="preserve">Table B7: </w:t>
      </w:r>
      <w:r w:rsidRPr="005918A7">
        <w:t>Recommendation 7</w:t>
      </w:r>
      <w:r w:rsidR="002C154A">
        <w:t xml:space="preserve"> – </w:t>
      </w:r>
      <w:r w:rsidRPr="005918A7">
        <w:t>Endoscopic Ultrasound (EUS)</w:t>
      </w:r>
    </w:p>
    <w:tbl>
      <w:tblPr>
        <w:tblStyle w:val="TableGrid"/>
        <w:tblW w:w="14430" w:type="dxa"/>
        <w:tblInd w:w="108"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ayout w:type="fixed"/>
        <w:tblLook w:val="04A0" w:firstRow="1" w:lastRow="0" w:firstColumn="1" w:lastColumn="0" w:noHBand="0" w:noVBand="1"/>
        <w:tblDescription w:val="Table B7 lists the items for endoscopic ultrasound, and provides recommendations for these items by the clinical experts and why the recommendation have been made. "/>
      </w:tblPr>
      <w:tblGrid>
        <w:gridCol w:w="2127"/>
        <w:gridCol w:w="3119"/>
        <w:gridCol w:w="3087"/>
        <w:gridCol w:w="2978"/>
        <w:gridCol w:w="3119"/>
      </w:tblGrid>
      <w:tr w:rsidR="005918A7" w14:paraId="28109ABA" w14:textId="77777777" w:rsidTr="00D15E14">
        <w:trPr>
          <w:tblHeader/>
        </w:trPr>
        <w:tc>
          <w:tcPr>
            <w:tcW w:w="2127" w:type="dxa"/>
            <w:tcBorders>
              <w:top w:val="single" w:sz="4" w:space="0" w:color="B56011"/>
              <w:left w:val="nil"/>
              <w:bottom w:val="single" w:sz="4" w:space="0" w:color="B56011"/>
              <w:right w:val="nil"/>
            </w:tcBorders>
            <w:hideMark/>
          </w:tcPr>
          <w:p w14:paraId="1FDF294E" w14:textId="77777777" w:rsidR="005918A7" w:rsidRDefault="005918A7" w:rsidP="0018105F">
            <w:pPr>
              <w:pStyle w:val="Tableheading"/>
            </w:pPr>
            <w:r>
              <w:t xml:space="preserve">Item </w:t>
            </w:r>
          </w:p>
        </w:tc>
        <w:tc>
          <w:tcPr>
            <w:tcW w:w="3119" w:type="dxa"/>
            <w:tcBorders>
              <w:top w:val="single" w:sz="4" w:space="0" w:color="B56011"/>
              <w:left w:val="nil"/>
              <w:bottom w:val="single" w:sz="4" w:space="0" w:color="B56011"/>
              <w:right w:val="nil"/>
            </w:tcBorders>
            <w:hideMark/>
          </w:tcPr>
          <w:p w14:paraId="4F405E64" w14:textId="77777777" w:rsidR="005918A7" w:rsidRDefault="005918A7" w:rsidP="0018105F">
            <w:pPr>
              <w:pStyle w:val="Tableheading"/>
            </w:pPr>
            <w:r>
              <w:t xml:space="preserve">What it does </w:t>
            </w:r>
          </w:p>
        </w:tc>
        <w:tc>
          <w:tcPr>
            <w:tcW w:w="3087" w:type="dxa"/>
            <w:tcBorders>
              <w:top w:val="single" w:sz="4" w:space="0" w:color="B56011"/>
              <w:left w:val="nil"/>
              <w:bottom w:val="single" w:sz="4" w:space="0" w:color="B56011"/>
              <w:right w:val="nil"/>
            </w:tcBorders>
            <w:hideMark/>
          </w:tcPr>
          <w:p w14:paraId="7371FFFC" w14:textId="77777777" w:rsidR="005918A7" w:rsidRDefault="005918A7" w:rsidP="0018105F">
            <w:pPr>
              <w:pStyle w:val="Tableheading"/>
            </w:pPr>
            <w:r>
              <w:t>Committee Recommendation</w:t>
            </w:r>
          </w:p>
        </w:tc>
        <w:tc>
          <w:tcPr>
            <w:tcW w:w="2978" w:type="dxa"/>
            <w:tcBorders>
              <w:top w:val="single" w:sz="4" w:space="0" w:color="B56011"/>
              <w:left w:val="nil"/>
              <w:bottom w:val="single" w:sz="4" w:space="0" w:color="B56011"/>
              <w:right w:val="nil"/>
            </w:tcBorders>
            <w:hideMark/>
          </w:tcPr>
          <w:p w14:paraId="777668B2" w14:textId="77777777" w:rsidR="005918A7" w:rsidRDefault="005918A7" w:rsidP="0018105F">
            <w:pPr>
              <w:pStyle w:val="Tableheading"/>
            </w:pPr>
            <w:r>
              <w:t>What would be different</w:t>
            </w:r>
          </w:p>
        </w:tc>
        <w:tc>
          <w:tcPr>
            <w:tcW w:w="3119" w:type="dxa"/>
            <w:tcBorders>
              <w:top w:val="single" w:sz="4" w:space="0" w:color="B56011"/>
              <w:left w:val="nil"/>
              <w:bottom w:val="single" w:sz="4" w:space="0" w:color="B56011"/>
              <w:right w:val="nil"/>
            </w:tcBorders>
            <w:hideMark/>
          </w:tcPr>
          <w:p w14:paraId="149B6223" w14:textId="77777777" w:rsidR="005918A7" w:rsidRDefault="005918A7" w:rsidP="0018105F">
            <w:pPr>
              <w:pStyle w:val="Tableheading"/>
            </w:pPr>
            <w:r>
              <w:t>Why</w:t>
            </w:r>
          </w:p>
        </w:tc>
      </w:tr>
      <w:tr w:rsidR="004C0F7F" w14:paraId="745430C9" w14:textId="77777777" w:rsidTr="00DC1E95">
        <w:tc>
          <w:tcPr>
            <w:tcW w:w="2127" w:type="dxa"/>
            <w:tcBorders>
              <w:top w:val="single" w:sz="4" w:space="0" w:color="B56011"/>
              <w:left w:val="nil"/>
              <w:bottom w:val="single" w:sz="4" w:space="0" w:color="B56011"/>
              <w:right w:val="nil"/>
            </w:tcBorders>
            <w:hideMark/>
          </w:tcPr>
          <w:p w14:paraId="05C98F95" w14:textId="77777777" w:rsidR="004C0F7F" w:rsidRPr="006C6BE7" w:rsidRDefault="004C0F7F" w:rsidP="006C6BE7">
            <w:pPr>
              <w:pStyle w:val="Tabletext"/>
              <w:rPr>
                <w:b/>
                <w:bCs/>
              </w:rPr>
            </w:pPr>
            <w:r w:rsidRPr="006C6BE7">
              <w:rPr>
                <w:b/>
                <w:bCs/>
              </w:rPr>
              <w:t>30688 to 30694</w:t>
            </w:r>
          </w:p>
        </w:tc>
        <w:tc>
          <w:tcPr>
            <w:tcW w:w="3119" w:type="dxa"/>
            <w:tcBorders>
              <w:top w:val="single" w:sz="4" w:space="0" w:color="B56011"/>
              <w:left w:val="nil"/>
              <w:bottom w:val="single" w:sz="4" w:space="0" w:color="B56011"/>
              <w:right w:val="nil"/>
            </w:tcBorders>
            <w:hideMark/>
          </w:tcPr>
          <w:p w14:paraId="20960B2B" w14:textId="2ABA8935" w:rsidR="004C0F7F" w:rsidRDefault="004C0F7F" w:rsidP="00283332">
            <w:pPr>
              <w:pStyle w:val="Tabletext"/>
            </w:pPr>
            <w:r>
              <w:t>A group of diagnostic services that use endoscopic ultrasound</w:t>
            </w:r>
            <w:r w:rsidR="00C22AE4">
              <w:t xml:space="preserve"> </w:t>
            </w:r>
            <w:r>
              <w:t>to assess the spread of cancer</w:t>
            </w:r>
          </w:p>
        </w:tc>
        <w:tc>
          <w:tcPr>
            <w:tcW w:w="3087" w:type="dxa"/>
            <w:tcBorders>
              <w:top w:val="single" w:sz="4" w:space="0" w:color="B56011"/>
              <w:left w:val="nil"/>
              <w:bottom w:val="single" w:sz="4" w:space="0" w:color="B56011"/>
              <w:right w:val="nil"/>
            </w:tcBorders>
            <w:hideMark/>
          </w:tcPr>
          <w:p w14:paraId="37372166" w14:textId="77777777" w:rsidR="004C0F7F" w:rsidRDefault="004C0F7F" w:rsidP="00283332">
            <w:pPr>
              <w:pStyle w:val="Tabletext"/>
            </w:pPr>
            <w:r>
              <w:t>Removal of current claiming restrictions on these services to allow other specified therapeutic procedures to be provided.</w:t>
            </w:r>
          </w:p>
        </w:tc>
        <w:tc>
          <w:tcPr>
            <w:tcW w:w="2978" w:type="dxa"/>
            <w:tcBorders>
              <w:top w:val="single" w:sz="4" w:space="0" w:color="B56011"/>
              <w:left w:val="nil"/>
              <w:bottom w:val="single" w:sz="4" w:space="0" w:color="B56011"/>
              <w:right w:val="nil"/>
            </w:tcBorders>
            <w:hideMark/>
          </w:tcPr>
          <w:p w14:paraId="59092969" w14:textId="7F6C7C24" w:rsidR="004C0F7F" w:rsidRDefault="004C0F7F" w:rsidP="00283332">
            <w:pPr>
              <w:pStyle w:val="Tabletext"/>
            </w:pPr>
            <w:r>
              <w:t>A patient having EUS staging for cancer will be able to a have certain other procedure performed at the same time, such as bile duct stenting if this is clinically indicated.</w:t>
            </w:r>
            <w:r w:rsidR="00C22AE4">
              <w:t xml:space="preserve"> </w:t>
            </w:r>
            <w:r>
              <w:t>Patients will benefit as this will eliminate the need for a second anaesthesia on another day.</w:t>
            </w:r>
          </w:p>
        </w:tc>
        <w:tc>
          <w:tcPr>
            <w:tcW w:w="3119" w:type="dxa"/>
            <w:tcBorders>
              <w:top w:val="single" w:sz="4" w:space="0" w:color="B56011"/>
              <w:left w:val="nil"/>
              <w:bottom w:val="single" w:sz="4" w:space="0" w:color="B56011"/>
              <w:right w:val="nil"/>
            </w:tcBorders>
            <w:hideMark/>
          </w:tcPr>
          <w:p w14:paraId="4F867570" w14:textId="77777777" w:rsidR="004C0F7F" w:rsidRDefault="004C0F7F" w:rsidP="00283332">
            <w:pPr>
              <w:pStyle w:val="Tabletext"/>
            </w:pPr>
            <w:r>
              <w:t>The current claiming restrictions on EUS items means that patients, who requires therapeutic services identified by the EUS, are required to undergo a second sedation on another day to receive these services.</w:t>
            </w:r>
          </w:p>
        </w:tc>
      </w:tr>
    </w:tbl>
    <w:p w14:paraId="06CAAC85" w14:textId="77777777" w:rsidR="002C154A" w:rsidRDefault="002C154A" w:rsidP="005918A7">
      <w:pPr>
        <w:pStyle w:val="Caption"/>
      </w:pPr>
      <w:r>
        <w:br w:type="page"/>
      </w:r>
    </w:p>
    <w:p w14:paraId="4897F605" w14:textId="43A407C3" w:rsidR="00DC1E95" w:rsidRDefault="005918A7" w:rsidP="005918A7">
      <w:pPr>
        <w:pStyle w:val="Caption"/>
      </w:pPr>
      <w:r>
        <w:lastRenderedPageBreak/>
        <w:t>Table B8: Recommendation 8</w:t>
      </w:r>
      <w:r w:rsidR="002C154A">
        <w:t xml:space="preserve"> –</w:t>
      </w:r>
      <w:r>
        <w:t xml:space="preserve"> Balloon Enteroscopy</w:t>
      </w:r>
    </w:p>
    <w:tbl>
      <w:tblPr>
        <w:tblStyle w:val="TableGrid"/>
        <w:tblW w:w="14430" w:type="dxa"/>
        <w:tblInd w:w="108"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ayout w:type="fixed"/>
        <w:tblLook w:val="04A0" w:firstRow="1" w:lastRow="0" w:firstColumn="1" w:lastColumn="0" w:noHBand="0" w:noVBand="1"/>
        <w:tblDescription w:val="Table B4 lists the items for balloon enteroscopy, and provides recommendations for these items by the clinical experts and why the recommendation have been made. "/>
      </w:tblPr>
      <w:tblGrid>
        <w:gridCol w:w="2127"/>
        <w:gridCol w:w="3119"/>
        <w:gridCol w:w="3087"/>
        <w:gridCol w:w="2978"/>
        <w:gridCol w:w="3119"/>
      </w:tblGrid>
      <w:tr w:rsidR="005918A7" w14:paraId="1D164ED8" w14:textId="77777777" w:rsidTr="00D15E14">
        <w:trPr>
          <w:tblHeader/>
        </w:trPr>
        <w:tc>
          <w:tcPr>
            <w:tcW w:w="2127" w:type="dxa"/>
            <w:tcBorders>
              <w:top w:val="single" w:sz="4" w:space="0" w:color="B56011"/>
              <w:left w:val="nil"/>
              <w:bottom w:val="single" w:sz="4" w:space="0" w:color="B56011"/>
              <w:right w:val="nil"/>
            </w:tcBorders>
            <w:hideMark/>
          </w:tcPr>
          <w:p w14:paraId="6B403B5A" w14:textId="77777777" w:rsidR="005918A7" w:rsidRDefault="005918A7" w:rsidP="0018105F">
            <w:pPr>
              <w:pStyle w:val="Tableheading"/>
            </w:pPr>
            <w:r>
              <w:t xml:space="preserve">Item </w:t>
            </w:r>
          </w:p>
        </w:tc>
        <w:tc>
          <w:tcPr>
            <w:tcW w:w="3119" w:type="dxa"/>
            <w:tcBorders>
              <w:top w:val="single" w:sz="4" w:space="0" w:color="B56011"/>
              <w:left w:val="nil"/>
              <w:bottom w:val="single" w:sz="4" w:space="0" w:color="B56011"/>
              <w:right w:val="nil"/>
            </w:tcBorders>
            <w:hideMark/>
          </w:tcPr>
          <w:p w14:paraId="1A31CAA2" w14:textId="77777777" w:rsidR="005918A7" w:rsidRDefault="005918A7" w:rsidP="0018105F">
            <w:pPr>
              <w:pStyle w:val="Tableheading"/>
            </w:pPr>
            <w:r>
              <w:t xml:space="preserve">What it does </w:t>
            </w:r>
          </w:p>
        </w:tc>
        <w:tc>
          <w:tcPr>
            <w:tcW w:w="3087" w:type="dxa"/>
            <w:tcBorders>
              <w:top w:val="single" w:sz="4" w:space="0" w:color="B56011"/>
              <w:left w:val="nil"/>
              <w:bottom w:val="single" w:sz="4" w:space="0" w:color="B56011"/>
              <w:right w:val="nil"/>
            </w:tcBorders>
            <w:hideMark/>
          </w:tcPr>
          <w:p w14:paraId="033761BA" w14:textId="77777777" w:rsidR="005918A7" w:rsidRDefault="005918A7" w:rsidP="0018105F">
            <w:pPr>
              <w:pStyle w:val="Tableheading"/>
            </w:pPr>
            <w:r>
              <w:t>Committee Recommendation</w:t>
            </w:r>
          </w:p>
        </w:tc>
        <w:tc>
          <w:tcPr>
            <w:tcW w:w="2978" w:type="dxa"/>
            <w:tcBorders>
              <w:top w:val="single" w:sz="4" w:space="0" w:color="B56011"/>
              <w:left w:val="nil"/>
              <w:bottom w:val="single" w:sz="4" w:space="0" w:color="B56011"/>
              <w:right w:val="nil"/>
            </w:tcBorders>
            <w:hideMark/>
          </w:tcPr>
          <w:p w14:paraId="7EACCADF" w14:textId="77777777" w:rsidR="005918A7" w:rsidRDefault="005918A7" w:rsidP="0018105F">
            <w:pPr>
              <w:pStyle w:val="Tableheading"/>
            </w:pPr>
            <w:r>
              <w:t>What would be different</w:t>
            </w:r>
          </w:p>
        </w:tc>
        <w:tc>
          <w:tcPr>
            <w:tcW w:w="3119" w:type="dxa"/>
            <w:tcBorders>
              <w:top w:val="single" w:sz="4" w:space="0" w:color="B56011"/>
              <w:left w:val="nil"/>
              <w:bottom w:val="single" w:sz="4" w:space="0" w:color="B56011"/>
              <w:right w:val="nil"/>
            </w:tcBorders>
            <w:hideMark/>
          </w:tcPr>
          <w:p w14:paraId="45EFD6F5" w14:textId="77777777" w:rsidR="005918A7" w:rsidRDefault="005918A7" w:rsidP="0018105F">
            <w:pPr>
              <w:pStyle w:val="Tableheading"/>
            </w:pPr>
            <w:r>
              <w:t>Why</w:t>
            </w:r>
          </w:p>
        </w:tc>
      </w:tr>
      <w:tr w:rsidR="004C0F7F" w14:paraId="1B2DA6B3" w14:textId="77777777" w:rsidTr="00DC1E95">
        <w:tc>
          <w:tcPr>
            <w:tcW w:w="2127" w:type="dxa"/>
            <w:tcBorders>
              <w:top w:val="single" w:sz="4" w:space="0" w:color="B56011"/>
              <w:left w:val="nil"/>
              <w:bottom w:val="single" w:sz="4" w:space="0" w:color="B56011"/>
              <w:right w:val="nil"/>
            </w:tcBorders>
            <w:hideMark/>
          </w:tcPr>
          <w:p w14:paraId="3B9EB8FF" w14:textId="77777777" w:rsidR="004C0F7F" w:rsidRPr="002036DF" w:rsidRDefault="004C0F7F" w:rsidP="002036DF">
            <w:pPr>
              <w:pStyle w:val="Tabletext"/>
              <w:rPr>
                <w:b/>
                <w:bCs/>
              </w:rPr>
            </w:pPr>
            <w:r w:rsidRPr="002036DF">
              <w:rPr>
                <w:b/>
                <w:bCs/>
              </w:rPr>
              <w:t>30680 to 30686</w:t>
            </w:r>
          </w:p>
        </w:tc>
        <w:tc>
          <w:tcPr>
            <w:tcW w:w="3119" w:type="dxa"/>
            <w:tcBorders>
              <w:top w:val="single" w:sz="4" w:space="0" w:color="B56011"/>
              <w:left w:val="nil"/>
              <w:bottom w:val="single" w:sz="4" w:space="0" w:color="B56011"/>
              <w:right w:val="nil"/>
            </w:tcBorders>
            <w:hideMark/>
          </w:tcPr>
          <w:p w14:paraId="532BF31D" w14:textId="77777777" w:rsidR="004C0F7F" w:rsidRDefault="004C0F7F" w:rsidP="00283332">
            <w:pPr>
              <w:pStyle w:val="Tabletext"/>
            </w:pPr>
            <w:r>
              <w:t>A group of diagnostic procedures used to assess the spread of cancer</w:t>
            </w:r>
          </w:p>
        </w:tc>
        <w:tc>
          <w:tcPr>
            <w:tcW w:w="3087" w:type="dxa"/>
            <w:tcBorders>
              <w:top w:val="single" w:sz="4" w:space="0" w:color="B56011"/>
              <w:left w:val="nil"/>
              <w:bottom w:val="single" w:sz="4" w:space="0" w:color="B56011"/>
              <w:right w:val="nil"/>
            </w:tcBorders>
            <w:hideMark/>
          </w:tcPr>
          <w:p w14:paraId="581A8FA0" w14:textId="53A30725" w:rsidR="004C0F7F" w:rsidRDefault="004C0F7F" w:rsidP="00283332">
            <w:pPr>
              <w:pStyle w:val="Tabletext"/>
            </w:pPr>
            <w:r>
              <w:t>An assessment by the Medical Services Advisory Committee(MSAC)</w:t>
            </w:r>
            <w:r w:rsidR="00C22AE4">
              <w:t xml:space="preserve"> </w:t>
            </w:r>
            <w:r>
              <w:t>to expand the conditions for these items to manage small bowel disease without anaemia or bleeding</w:t>
            </w:r>
          </w:p>
        </w:tc>
        <w:tc>
          <w:tcPr>
            <w:tcW w:w="2978" w:type="dxa"/>
            <w:tcBorders>
              <w:top w:val="single" w:sz="4" w:space="0" w:color="B56011"/>
              <w:left w:val="nil"/>
              <w:bottom w:val="single" w:sz="4" w:space="0" w:color="B56011"/>
              <w:right w:val="nil"/>
            </w:tcBorders>
            <w:hideMark/>
          </w:tcPr>
          <w:p w14:paraId="0E04E324" w14:textId="418A6AB9" w:rsidR="004C0F7F" w:rsidRDefault="004C0F7F" w:rsidP="00283332">
            <w:pPr>
              <w:pStyle w:val="Tabletext"/>
            </w:pPr>
            <w:r>
              <w:t>The service will better target patients whose indications and conditions require these services.</w:t>
            </w:r>
            <w:r w:rsidR="00C22AE4">
              <w:t xml:space="preserve"> </w:t>
            </w:r>
            <w:r>
              <w:t>These patients will benefit as they will not be exposed to unnecessary other tests and procedures, including surgery, to manage their condition</w:t>
            </w:r>
            <w:r w:rsidR="00C22AE4">
              <w:t xml:space="preserve"> </w:t>
            </w:r>
          </w:p>
        </w:tc>
        <w:tc>
          <w:tcPr>
            <w:tcW w:w="3119" w:type="dxa"/>
            <w:tcBorders>
              <w:top w:val="single" w:sz="4" w:space="0" w:color="B56011"/>
              <w:left w:val="nil"/>
              <w:bottom w:val="single" w:sz="4" w:space="0" w:color="B56011"/>
              <w:right w:val="nil"/>
            </w:tcBorders>
            <w:hideMark/>
          </w:tcPr>
          <w:p w14:paraId="6C8A92C6" w14:textId="3A06251C" w:rsidR="004C0F7F" w:rsidRDefault="004C0F7F" w:rsidP="00283332">
            <w:pPr>
              <w:pStyle w:val="Tabletext"/>
            </w:pPr>
            <w:r>
              <w:t>Currently the items are restricted to patients who present with bleeding and anaemia.</w:t>
            </w:r>
            <w:r w:rsidR="00C22AE4">
              <w:t xml:space="preserve"> </w:t>
            </w:r>
            <w:r>
              <w:t>This significantly restricts the management of patients with small bowel disease without these symptoms.</w:t>
            </w:r>
          </w:p>
        </w:tc>
      </w:tr>
    </w:tbl>
    <w:p w14:paraId="7747E96D" w14:textId="77777777" w:rsidR="005918A7" w:rsidRDefault="005918A7">
      <w:r>
        <w:br w:type="page"/>
      </w:r>
    </w:p>
    <w:p w14:paraId="23D1A591" w14:textId="0A26383B" w:rsidR="00DC1E95" w:rsidRDefault="005918A7" w:rsidP="005918A7">
      <w:pPr>
        <w:pStyle w:val="Caption"/>
      </w:pPr>
      <w:r>
        <w:lastRenderedPageBreak/>
        <w:t>Table B9: Recommendation 9: Endoscopic Mucosal Resection</w:t>
      </w:r>
    </w:p>
    <w:tbl>
      <w:tblPr>
        <w:tblStyle w:val="TableGrid"/>
        <w:tblW w:w="14430" w:type="dxa"/>
        <w:tblInd w:w="108"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ayout w:type="fixed"/>
        <w:tblLook w:val="04A0" w:firstRow="1" w:lastRow="0" w:firstColumn="1" w:lastColumn="0" w:noHBand="0" w:noVBand="1"/>
        <w:tblDescription w:val="Table B9 lists the items for endoscopic mucosal resection, and provides recommendations for these items by the clinical experts and why the recommendation have been made. "/>
      </w:tblPr>
      <w:tblGrid>
        <w:gridCol w:w="2127"/>
        <w:gridCol w:w="3119"/>
        <w:gridCol w:w="3087"/>
        <w:gridCol w:w="2978"/>
        <w:gridCol w:w="3119"/>
      </w:tblGrid>
      <w:tr w:rsidR="005918A7" w14:paraId="095B786F" w14:textId="77777777" w:rsidTr="00D15E14">
        <w:trPr>
          <w:tblHeader/>
        </w:trPr>
        <w:tc>
          <w:tcPr>
            <w:tcW w:w="2127" w:type="dxa"/>
            <w:tcBorders>
              <w:top w:val="single" w:sz="4" w:space="0" w:color="B56011"/>
              <w:left w:val="nil"/>
              <w:bottom w:val="single" w:sz="4" w:space="0" w:color="B56011"/>
              <w:right w:val="nil"/>
            </w:tcBorders>
            <w:hideMark/>
          </w:tcPr>
          <w:p w14:paraId="670BF44D" w14:textId="77777777" w:rsidR="005918A7" w:rsidRDefault="005918A7" w:rsidP="0018105F">
            <w:pPr>
              <w:pStyle w:val="Tableheading"/>
            </w:pPr>
            <w:r>
              <w:t xml:space="preserve">Item </w:t>
            </w:r>
          </w:p>
        </w:tc>
        <w:tc>
          <w:tcPr>
            <w:tcW w:w="3119" w:type="dxa"/>
            <w:tcBorders>
              <w:top w:val="single" w:sz="4" w:space="0" w:color="B56011"/>
              <w:left w:val="nil"/>
              <w:bottom w:val="single" w:sz="4" w:space="0" w:color="B56011"/>
              <w:right w:val="nil"/>
            </w:tcBorders>
            <w:hideMark/>
          </w:tcPr>
          <w:p w14:paraId="50A81227" w14:textId="77777777" w:rsidR="005918A7" w:rsidRDefault="005918A7" w:rsidP="0018105F">
            <w:pPr>
              <w:pStyle w:val="Tableheading"/>
            </w:pPr>
            <w:r>
              <w:t xml:space="preserve">What it does </w:t>
            </w:r>
          </w:p>
        </w:tc>
        <w:tc>
          <w:tcPr>
            <w:tcW w:w="3087" w:type="dxa"/>
            <w:tcBorders>
              <w:top w:val="single" w:sz="4" w:space="0" w:color="B56011"/>
              <w:left w:val="nil"/>
              <w:bottom w:val="single" w:sz="4" w:space="0" w:color="B56011"/>
              <w:right w:val="nil"/>
            </w:tcBorders>
            <w:hideMark/>
          </w:tcPr>
          <w:p w14:paraId="5ACD3663" w14:textId="77777777" w:rsidR="005918A7" w:rsidRDefault="005918A7" w:rsidP="0018105F">
            <w:pPr>
              <w:pStyle w:val="Tableheading"/>
            </w:pPr>
            <w:r>
              <w:t>Committee Recommendation</w:t>
            </w:r>
          </w:p>
        </w:tc>
        <w:tc>
          <w:tcPr>
            <w:tcW w:w="2978" w:type="dxa"/>
            <w:tcBorders>
              <w:top w:val="single" w:sz="4" w:space="0" w:color="B56011"/>
              <w:left w:val="nil"/>
              <w:bottom w:val="single" w:sz="4" w:space="0" w:color="B56011"/>
              <w:right w:val="nil"/>
            </w:tcBorders>
            <w:hideMark/>
          </w:tcPr>
          <w:p w14:paraId="0DAC541A" w14:textId="77777777" w:rsidR="005918A7" w:rsidRDefault="005918A7" w:rsidP="0018105F">
            <w:pPr>
              <w:pStyle w:val="Tableheading"/>
            </w:pPr>
            <w:r>
              <w:t>What would be different</w:t>
            </w:r>
          </w:p>
        </w:tc>
        <w:tc>
          <w:tcPr>
            <w:tcW w:w="3119" w:type="dxa"/>
            <w:tcBorders>
              <w:top w:val="single" w:sz="4" w:space="0" w:color="B56011"/>
              <w:left w:val="nil"/>
              <w:bottom w:val="single" w:sz="4" w:space="0" w:color="B56011"/>
              <w:right w:val="nil"/>
            </w:tcBorders>
            <w:hideMark/>
          </w:tcPr>
          <w:p w14:paraId="27231EA5" w14:textId="77777777" w:rsidR="005918A7" w:rsidRDefault="005918A7" w:rsidP="0018105F">
            <w:pPr>
              <w:pStyle w:val="Tableheading"/>
            </w:pPr>
            <w:r>
              <w:t>Why</w:t>
            </w:r>
          </w:p>
        </w:tc>
      </w:tr>
      <w:tr w:rsidR="004C0F7F" w14:paraId="3797C274" w14:textId="77777777" w:rsidTr="00DC1E95">
        <w:tc>
          <w:tcPr>
            <w:tcW w:w="2127" w:type="dxa"/>
            <w:tcBorders>
              <w:top w:val="single" w:sz="4" w:space="0" w:color="B56011"/>
              <w:left w:val="nil"/>
              <w:bottom w:val="single" w:sz="4" w:space="0" w:color="B56011"/>
              <w:right w:val="nil"/>
            </w:tcBorders>
            <w:hideMark/>
          </w:tcPr>
          <w:p w14:paraId="11403A63" w14:textId="77777777" w:rsidR="004C0F7F" w:rsidRPr="002036DF" w:rsidRDefault="004C0F7F" w:rsidP="002036DF">
            <w:pPr>
              <w:pStyle w:val="Tabletext"/>
              <w:rPr>
                <w:b/>
                <w:bCs/>
              </w:rPr>
            </w:pPr>
            <w:r w:rsidRPr="002036DF">
              <w:rPr>
                <w:b/>
                <w:bCs/>
              </w:rPr>
              <w:t>New item</w:t>
            </w:r>
          </w:p>
        </w:tc>
        <w:tc>
          <w:tcPr>
            <w:tcW w:w="3119" w:type="dxa"/>
            <w:tcBorders>
              <w:top w:val="single" w:sz="4" w:space="0" w:color="B56011"/>
              <w:left w:val="nil"/>
              <w:bottom w:val="single" w:sz="4" w:space="0" w:color="B56011"/>
              <w:right w:val="nil"/>
            </w:tcBorders>
            <w:hideMark/>
          </w:tcPr>
          <w:p w14:paraId="680CB0A5" w14:textId="2B642B2D" w:rsidR="004C0F7F" w:rsidRDefault="004C0F7F" w:rsidP="00283332">
            <w:pPr>
              <w:pStyle w:val="Tabletext"/>
            </w:pPr>
            <w:r>
              <w:t>A procedure to remove very large polyps by using an internal digital scope</w:t>
            </w:r>
            <w:r w:rsidR="00C22AE4">
              <w:t xml:space="preserve"> </w:t>
            </w:r>
          </w:p>
        </w:tc>
        <w:tc>
          <w:tcPr>
            <w:tcW w:w="3087" w:type="dxa"/>
            <w:tcBorders>
              <w:top w:val="single" w:sz="4" w:space="0" w:color="B56011"/>
              <w:left w:val="nil"/>
              <w:bottom w:val="single" w:sz="4" w:space="0" w:color="B56011"/>
              <w:right w:val="nil"/>
            </w:tcBorders>
            <w:hideMark/>
          </w:tcPr>
          <w:p w14:paraId="49E18B20" w14:textId="733B48B6" w:rsidR="004C0F7F" w:rsidRDefault="004C0F7F" w:rsidP="00283332">
            <w:pPr>
              <w:pStyle w:val="Tabletext"/>
            </w:pPr>
            <w:r>
              <w:t>An assessment by MSAC to consider public funding for this service.</w:t>
            </w:r>
            <w:r w:rsidR="00C22AE4">
              <w:t xml:space="preserve"> </w:t>
            </w:r>
            <w:r>
              <w:t>The Gastroenterological Society of Australia to submit an application and request an expedited assessment by MSAC</w:t>
            </w:r>
          </w:p>
        </w:tc>
        <w:tc>
          <w:tcPr>
            <w:tcW w:w="2978" w:type="dxa"/>
            <w:tcBorders>
              <w:top w:val="single" w:sz="4" w:space="0" w:color="B56011"/>
              <w:left w:val="nil"/>
              <w:bottom w:val="single" w:sz="4" w:space="0" w:color="B56011"/>
              <w:right w:val="nil"/>
            </w:tcBorders>
            <w:hideMark/>
          </w:tcPr>
          <w:p w14:paraId="6CA314A7" w14:textId="77777777" w:rsidR="004C0F7F" w:rsidRDefault="004C0F7F" w:rsidP="00283332">
            <w:pPr>
              <w:pStyle w:val="Tabletext"/>
            </w:pPr>
            <w:r>
              <w:t xml:space="preserve">Patients would not require surgery to remove these polyps which would be safer for the patient </w:t>
            </w:r>
          </w:p>
        </w:tc>
        <w:tc>
          <w:tcPr>
            <w:tcW w:w="3119" w:type="dxa"/>
            <w:tcBorders>
              <w:top w:val="single" w:sz="4" w:space="0" w:color="B56011"/>
              <w:left w:val="nil"/>
              <w:bottom w:val="single" w:sz="4" w:space="0" w:color="B56011"/>
              <w:right w:val="nil"/>
            </w:tcBorders>
            <w:hideMark/>
          </w:tcPr>
          <w:p w14:paraId="475C3631" w14:textId="67A71EFC" w:rsidR="004C0F7F" w:rsidRDefault="004C0F7F" w:rsidP="00283332">
            <w:pPr>
              <w:pStyle w:val="Tabletext"/>
            </w:pPr>
            <w:r>
              <w:t>EMR has widespread use in public hospitals but currently under the MBS the only approach for the removal of very large polyps is surgery.</w:t>
            </w:r>
            <w:r w:rsidR="00C22AE4">
              <w:t xml:space="preserve"> </w:t>
            </w:r>
          </w:p>
        </w:tc>
      </w:tr>
    </w:tbl>
    <w:p w14:paraId="593095DB" w14:textId="6B6C0A3E" w:rsidR="005918A7" w:rsidRDefault="005918A7" w:rsidP="005918A7">
      <w:pPr>
        <w:pStyle w:val="Caption"/>
      </w:pPr>
      <w:r>
        <w:t>Table B10: Recommendation 10.2: Obsolete items – second round</w:t>
      </w:r>
    </w:p>
    <w:tbl>
      <w:tblPr>
        <w:tblStyle w:val="TableGrid"/>
        <w:tblW w:w="14430" w:type="dxa"/>
        <w:tblInd w:w="108"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ayout w:type="fixed"/>
        <w:tblLook w:val="04A0" w:firstRow="1" w:lastRow="0" w:firstColumn="1" w:lastColumn="0" w:noHBand="0" w:noVBand="1"/>
        <w:tblDescription w:val="Table B10 lists the items deemed by the Committee to be obsolete in the second review round, and why the recommendation to remove the items from the MBS has been made. "/>
      </w:tblPr>
      <w:tblGrid>
        <w:gridCol w:w="2127"/>
        <w:gridCol w:w="3119"/>
        <w:gridCol w:w="3087"/>
        <w:gridCol w:w="2978"/>
        <w:gridCol w:w="3119"/>
      </w:tblGrid>
      <w:tr w:rsidR="005918A7" w14:paraId="352701A1" w14:textId="77777777" w:rsidTr="00D15E14">
        <w:trPr>
          <w:tblHeader/>
        </w:trPr>
        <w:tc>
          <w:tcPr>
            <w:tcW w:w="2127" w:type="dxa"/>
            <w:tcBorders>
              <w:top w:val="single" w:sz="4" w:space="0" w:color="B56011"/>
              <w:left w:val="nil"/>
              <w:bottom w:val="single" w:sz="4" w:space="0" w:color="B56011"/>
              <w:right w:val="nil"/>
            </w:tcBorders>
            <w:hideMark/>
          </w:tcPr>
          <w:p w14:paraId="43F3A9B9" w14:textId="77777777" w:rsidR="005918A7" w:rsidRDefault="005918A7" w:rsidP="002036DF">
            <w:pPr>
              <w:pStyle w:val="Tableheading"/>
            </w:pPr>
            <w:r>
              <w:t xml:space="preserve">Item </w:t>
            </w:r>
          </w:p>
        </w:tc>
        <w:tc>
          <w:tcPr>
            <w:tcW w:w="3119" w:type="dxa"/>
            <w:tcBorders>
              <w:top w:val="single" w:sz="4" w:space="0" w:color="B56011"/>
              <w:left w:val="nil"/>
              <w:bottom w:val="single" w:sz="4" w:space="0" w:color="B56011"/>
              <w:right w:val="nil"/>
            </w:tcBorders>
            <w:hideMark/>
          </w:tcPr>
          <w:p w14:paraId="75C2EEE7" w14:textId="77777777" w:rsidR="005918A7" w:rsidRDefault="005918A7" w:rsidP="002036DF">
            <w:pPr>
              <w:pStyle w:val="Tableheading"/>
            </w:pPr>
            <w:r>
              <w:t xml:space="preserve">What it does </w:t>
            </w:r>
          </w:p>
        </w:tc>
        <w:tc>
          <w:tcPr>
            <w:tcW w:w="3087" w:type="dxa"/>
            <w:tcBorders>
              <w:top w:val="single" w:sz="4" w:space="0" w:color="B56011"/>
              <w:left w:val="nil"/>
              <w:bottom w:val="single" w:sz="4" w:space="0" w:color="B56011"/>
              <w:right w:val="nil"/>
            </w:tcBorders>
            <w:hideMark/>
          </w:tcPr>
          <w:p w14:paraId="525405CF" w14:textId="77777777" w:rsidR="005918A7" w:rsidRDefault="005918A7" w:rsidP="002036DF">
            <w:pPr>
              <w:pStyle w:val="Tableheading"/>
            </w:pPr>
            <w:r>
              <w:t>Committee Recommendation</w:t>
            </w:r>
          </w:p>
        </w:tc>
        <w:tc>
          <w:tcPr>
            <w:tcW w:w="2978" w:type="dxa"/>
            <w:tcBorders>
              <w:top w:val="single" w:sz="4" w:space="0" w:color="B56011"/>
              <w:left w:val="nil"/>
              <w:bottom w:val="single" w:sz="4" w:space="0" w:color="B56011"/>
              <w:right w:val="nil"/>
            </w:tcBorders>
            <w:hideMark/>
          </w:tcPr>
          <w:p w14:paraId="7C6FB3A2" w14:textId="77777777" w:rsidR="005918A7" w:rsidRDefault="005918A7" w:rsidP="002036DF">
            <w:pPr>
              <w:pStyle w:val="Tableheading"/>
            </w:pPr>
            <w:r>
              <w:t>What would be different</w:t>
            </w:r>
          </w:p>
        </w:tc>
        <w:tc>
          <w:tcPr>
            <w:tcW w:w="3119" w:type="dxa"/>
            <w:tcBorders>
              <w:top w:val="single" w:sz="4" w:space="0" w:color="B56011"/>
              <w:left w:val="nil"/>
              <w:bottom w:val="single" w:sz="4" w:space="0" w:color="B56011"/>
              <w:right w:val="nil"/>
            </w:tcBorders>
            <w:hideMark/>
          </w:tcPr>
          <w:p w14:paraId="644B3B18" w14:textId="77777777" w:rsidR="005918A7" w:rsidRDefault="005918A7" w:rsidP="002036DF">
            <w:pPr>
              <w:pStyle w:val="Tableheading"/>
            </w:pPr>
            <w:r>
              <w:t>Why</w:t>
            </w:r>
          </w:p>
        </w:tc>
      </w:tr>
      <w:tr w:rsidR="004C0F7F" w14:paraId="165926FF" w14:textId="77777777" w:rsidTr="00DC1E95">
        <w:tc>
          <w:tcPr>
            <w:tcW w:w="2127" w:type="dxa"/>
            <w:tcBorders>
              <w:top w:val="single" w:sz="4" w:space="0" w:color="B56011"/>
              <w:left w:val="nil"/>
              <w:bottom w:val="single" w:sz="4" w:space="0" w:color="B56011"/>
              <w:right w:val="nil"/>
            </w:tcBorders>
            <w:hideMark/>
          </w:tcPr>
          <w:p w14:paraId="3DB0EF65" w14:textId="77777777" w:rsidR="004C0F7F" w:rsidRPr="002036DF" w:rsidRDefault="004C0F7F" w:rsidP="002036DF">
            <w:pPr>
              <w:pStyle w:val="Tabletext"/>
              <w:rPr>
                <w:b/>
              </w:rPr>
            </w:pPr>
            <w:r w:rsidRPr="002036DF">
              <w:rPr>
                <w:b/>
              </w:rPr>
              <w:t>30487</w:t>
            </w:r>
          </w:p>
        </w:tc>
        <w:tc>
          <w:tcPr>
            <w:tcW w:w="3119" w:type="dxa"/>
            <w:tcBorders>
              <w:top w:val="single" w:sz="4" w:space="0" w:color="B56011"/>
              <w:left w:val="nil"/>
              <w:bottom w:val="single" w:sz="4" w:space="0" w:color="B56011"/>
              <w:right w:val="nil"/>
            </w:tcBorders>
            <w:hideMark/>
          </w:tcPr>
          <w:p w14:paraId="47DCBE26" w14:textId="77777777" w:rsidR="004C0F7F" w:rsidRDefault="004C0F7F" w:rsidP="00283332">
            <w:pPr>
              <w:pStyle w:val="Tabletext"/>
            </w:pPr>
            <w:r>
              <w:t>Diagnostic procedure performed on the small bowel</w:t>
            </w:r>
          </w:p>
        </w:tc>
        <w:tc>
          <w:tcPr>
            <w:tcW w:w="3087" w:type="dxa"/>
            <w:tcBorders>
              <w:top w:val="single" w:sz="4" w:space="0" w:color="B56011"/>
              <w:left w:val="nil"/>
              <w:bottom w:val="single" w:sz="4" w:space="0" w:color="B56011"/>
              <w:right w:val="nil"/>
            </w:tcBorders>
            <w:hideMark/>
          </w:tcPr>
          <w:p w14:paraId="7A778414" w14:textId="77777777" w:rsidR="004C0F7F" w:rsidRDefault="004C0F7F" w:rsidP="00283332">
            <w:pPr>
              <w:pStyle w:val="Tabletext"/>
            </w:pPr>
            <w:r>
              <w:t>To remove item 30487 from the MBS if Push Enteroscopy service is moved to the upper GI endoscopy item 30478</w:t>
            </w:r>
          </w:p>
        </w:tc>
        <w:tc>
          <w:tcPr>
            <w:tcW w:w="2978" w:type="dxa"/>
            <w:tcBorders>
              <w:top w:val="single" w:sz="4" w:space="0" w:color="B56011"/>
              <w:left w:val="nil"/>
              <w:bottom w:val="single" w:sz="4" w:space="0" w:color="B56011"/>
              <w:right w:val="nil"/>
            </w:tcBorders>
            <w:hideMark/>
          </w:tcPr>
          <w:p w14:paraId="5612F005" w14:textId="77777777" w:rsidR="004C0F7F" w:rsidRDefault="004C0F7F" w:rsidP="00283332">
            <w:pPr>
              <w:pStyle w:val="Tabletext"/>
            </w:pPr>
            <w:r>
              <w:t>The service will no longer attract a MBS rebate</w:t>
            </w:r>
          </w:p>
        </w:tc>
        <w:tc>
          <w:tcPr>
            <w:tcW w:w="3119" w:type="dxa"/>
            <w:tcBorders>
              <w:top w:val="single" w:sz="4" w:space="0" w:color="B56011"/>
              <w:left w:val="nil"/>
              <w:bottom w:val="single" w:sz="4" w:space="0" w:color="B56011"/>
              <w:right w:val="nil"/>
            </w:tcBorders>
            <w:hideMark/>
          </w:tcPr>
          <w:p w14:paraId="2F8EDA4A" w14:textId="27204802" w:rsidR="004C0F7F" w:rsidRDefault="004C0F7F" w:rsidP="00283332">
            <w:pPr>
              <w:pStyle w:val="Tabletext"/>
            </w:pPr>
            <w:r>
              <w:t>This item has been used for push enteroscopy services but if push enteroscopy is moved under the more appropriate upper GI endoscopic interventional items then item 30487 has no clinical purpose in contemporary practice.</w:t>
            </w:r>
            <w:r w:rsidR="00C22AE4">
              <w:t xml:space="preserve"> </w:t>
            </w:r>
          </w:p>
        </w:tc>
      </w:tr>
      <w:tr w:rsidR="004C0F7F" w14:paraId="2B17E544" w14:textId="77777777" w:rsidTr="00DC1E95">
        <w:tc>
          <w:tcPr>
            <w:tcW w:w="2127" w:type="dxa"/>
            <w:tcBorders>
              <w:top w:val="single" w:sz="4" w:space="0" w:color="B56011"/>
              <w:left w:val="nil"/>
              <w:bottom w:val="single" w:sz="4" w:space="0" w:color="B56011"/>
              <w:right w:val="nil"/>
            </w:tcBorders>
            <w:hideMark/>
          </w:tcPr>
          <w:p w14:paraId="7539BD81" w14:textId="77777777" w:rsidR="004C0F7F" w:rsidRPr="002036DF" w:rsidRDefault="004C0F7F" w:rsidP="002036DF">
            <w:pPr>
              <w:pStyle w:val="Tabletext"/>
              <w:rPr>
                <w:b/>
              </w:rPr>
            </w:pPr>
            <w:r w:rsidRPr="002036DF">
              <w:rPr>
                <w:b/>
              </w:rPr>
              <w:t>30493</w:t>
            </w:r>
          </w:p>
        </w:tc>
        <w:tc>
          <w:tcPr>
            <w:tcW w:w="3119" w:type="dxa"/>
            <w:tcBorders>
              <w:top w:val="single" w:sz="4" w:space="0" w:color="B56011"/>
              <w:left w:val="nil"/>
              <w:bottom w:val="single" w:sz="4" w:space="0" w:color="B56011"/>
              <w:right w:val="nil"/>
            </w:tcBorders>
            <w:hideMark/>
          </w:tcPr>
          <w:p w14:paraId="4327F8E5" w14:textId="77777777" w:rsidR="004C0F7F" w:rsidRDefault="004C0F7F" w:rsidP="00283332">
            <w:pPr>
              <w:pStyle w:val="Tabletext"/>
            </w:pPr>
            <w:r>
              <w:t>Diagnostic test that measures the pressure of the sphincter (</w:t>
            </w:r>
            <w:r w:rsidRPr="001C0660">
              <w:t>a ring-shaped muscle that regula</w:t>
            </w:r>
            <w:r>
              <w:t>tes the flow of bile and pancreatic secretions</w:t>
            </w:r>
          </w:p>
        </w:tc>
        <w:tc>
          <w:tcPr>
            <w:tcW w:w="3087" w:type="dxa"/>
            <w:tcBorders>
              <w:top w:val="single" w:sz="4" w:space="0" w:color="B56011"/>
              <w:left w:val="nil"/>
              <w:bottom w:val="single" w:sz="4" w:space="0" w:color="B56011"/>
              <w:right w:val="nil"/>
            </w:tcBorders>
            <w:hideMark/>
          </w:tcPr>
          <w:p w14:paraId="6F844CEB" w14:textId="77777777" w:rsidR="004C0F7F" w:rsidRDefault="004C0F7F" w:rsidP="00283332">
            <w:pPr>
              <w:pStyle w:val="Tabletext"/>
            </w:pPr>
            <w:r>
              <w:t>To remove item 30493 from the MBS</w:t>
            </w:r>
          </w:p>
        </w:tc>
        <w:tc>
          <w:tcPr>
            <w:tcW w:w="2978" w:type="dxa"/>
            <w:tcBorders>
              <w:top w:val="single" w:sz="4" w:space="0" w:color="B56011"/>
              <w:left w:val="nil"/>
              <w:bottom w:val="single" w:sz="4" w:space="0" w:color="B56011"/>
              <w:right w:val="nil"/>
            </w:tcBorders>
            <w:hideMark/>
          </w:tcPr>
          <w:p w14:paraId="4187CA82" w14:textId="77777777" w:rsidR="004C0F7F" w:rsidRDefault="004C0F7F" w:rsidP="00283332">
            <w:pPr>
              <w:pStyle w:val="Tabletext"/>
            </w:pPr>
            <w:r>
              <w:t>The service will no longer attract a MBS rebate</w:t>
            </w:r>
          </w:p>
        </w:tc>
        <w:tc>
          <w:tcPr>
            <w:tcW w:w="3119" w:type="dxa"/>
            <w:tcBorders>
              <w:top w:val="single" w:sz="4" w:space="0" w:color="B56011"/>
              <w:left w:val="nil"/>
              <w:bottom w:val="single" w:sz="4" w:space="0" w:color="B56011"/>
              <w:right w:val="nil"/>
            </w:tcBorders>
            <w:hideMark/>
          </w:tcPr>
          <w:p w14:paraId="1170AFE0" w14:textId="2364F805" w:rsidR="004C0F7F" w:rsidRDefault="004C0F7F" w:rsidP="00283332">
            <w:pPr>
              <w:pStyle w:val="Tabletext"/>
            </w:pPr>
            <w:r>
              <w:t>The service is not supported by the published literature and has no place in contemporary clinical practice.</w:t>
            </w:r>
            <w:r w:rsidR="00C22AE4">
              <w:t xml:space="preserve"> </w:t>
            </w:r>
          </w:p>
        </w:tc>
      </w:tr>
    </w:tbl>
    <w:p w14:paraId="15C03C39" w14:textId="0A5D6DA3" w:rsidR="00F85147" w:rsidRDefault="005918A7" w:rsidP="00F85147">
      <w:r>
        <w:t xml:space="preserve">Note: </w:t>
      </w:r>
      <w:r w:rsidRPr="006B6FD4">
        <w:t>Items 13500, 13503, 32078 and 32081 were removed from the MBS on 1 July 2016</w:t>
      </w:r>
    </w:p>
    <w:p w14:paraId="0AD31EDE" w14:textId="77777777" w:rsidR="00F85147" w:rsidRDefault="00F85147" w:rsidP="00F85147">
      <w:pPr>
        <w:rPr>
          <w:lang w:val="en-US" w:eastAsia="en-US"/>
        </w:rPr>
        <w:sectPr w:rsidR="00F85147" w:rsidSect="00F85147">
          <w:headerReference w:type="even" r:id="rId28"/>
          <w:headerReference w:type="default" r:id="rId29"/>
          <w:footerReference w:type="default" r:id="rId30"/>
          <w:headerReference w:type="first" r:id="rId31"/>
          <w:endnotePr>
            <w:numFmt w:val="decimal"/>
          </w:endnotePr>
          <w:pgSz w:w="16838" w:h="11906" w:orient="landscape" w:code="9"/>
          <w:pgMar w:top="1440" w:right="1440" w:bottom="1440" w:left="1276" w:header="720" w:footer="720" w:gutter="0"/>
          <w:paperSrc w:first="2" w:other="2"/>
          <w:cols w:space="720"/>
          <w:docGrid w:linePitch="326"/>
        </w:sectPr>
      </w:pPr>
    </w:p>
    <w:p w14:paraId="6053DB0D" w14:textId="3CFEFEB6" w:rsidR="00F85147" w:rsidRPr="00156B1C" w:rsidRDefault="00360A76" w:rsidP="001815E3">
      <w:pPr>
        <w:pStyle w:val="AppendixStyle1"/>
      </w:pPr>
      <w:bookmarkStart w:id="252" w:name="_Toc485731786"/>
      <w:r>
        <w:lastRenderedPageBreak/>
        <w:t>Rapid Review Report on Capsule Endoscopy</w:t>
      </w:r>
      <w:bookmarkEnd w:id="252"/>
    </w:p>
    <w:p w14:paraId="1D7E71DF" w14:textId="5E90E263" w:rsidR="00360A76" w:rsidRPr="00360A76" w:rsidRDefault="00360A76" w:rsidP="006A175E">
      <w:pPr>
        <w:pStyle w:val="AppendixStyle2"/>
      </w:pPr>
      <w:r w:rsidRPr="00360A76">
        <w:t>Capsule Endoscopy in the Investigation of OGIB – Updated evidence from 2008 onwards</w:t>
      </w:r>
    </w:p>
    <w:p w14:paraId="4F4501C3" w14:textId="77777777" w:rsidR="00360A76" w:rsidRPr="000D5177" w:rsidRDefault="00360A76" w:rsidP="006A175E">
      <w:pPr>
        <w:pStyle w:val="Heading3"/>
      </w:pPr>
      <w:r w:rsidRPr="000D5177">
        <w:t xml:space="preserve">Introduction </w:t>
      </w:r>
    </w:p>
    <w:p w14:paraId="25617F7E" w14:textId="6E37A5DA" w:rsidR="00360A76" w:rsidRPr="000D5177" w:rsidRDefault="00360A76" w:rsidP="00360A76">
      <w:pPr>
        <w:jc w:val="both"/>
        <w:rPr>
          <w:szCs w:val="22"/>
        </w:rPr>
      </w:pPr>
      <w:r w:rsidRPr="000D5177">
        <w:rPr>
          <w:szCs w:val="22"/>
        </w:rPr>
        <w:t>Video capsule endoscopy (VCE) was developed in 2000, and approved by the FDA for clinical use in 2001.</w:t>
      </w:r>
      <w:r w:rsidRPr="000D5177">
        <w:rPr>
          <w:szCs w:val="22"/>
          <w:vertAlign w:val="superscript"/>
        </w:rPr>
        <w:fldChar w:fldCharType="begin"/>
      </w:r>
      <w:r w:rsidRPr="000D5177">
        <w:rPr>
          <w:szCs w:val="22"/>
          <w:vertAlign w:val="superscript"/>
        </w:rPr>
        <w:instrText xml:space="preserve"> ADDIN EN.CITE &lt;EndNote&gt;&lt;Cite&gt;&lt;Author&gt;Li&lt;/Author&gt;&lt;Year&gt;2014&lt;/Year&gt;&lt;RecNum&gt;26&lt;/RecNum&gt;&lt;DisplayText&gt;(1)&lt;/DisplayText&gt;&lt;record&gt;&lt;rec-number&gt;26&lt;/rec-number&gt;&lt;foreign-keys&gt;&lt;key app="EN" db-id="efzrzxttdz2psseepxapxaxrzxavdd2ztd22" timestamp="1457265680"&gt;26&lt;/key&gt;&lt;/foreign-keys&gt;&lt;ref-type name="Journal Article"&gt;17&lt;/ref-type&gt;&lt;contributors&gt;&lt;authors&gt;&lt;author&gt;Li, XL&lt;/author&gt;&lt;author&gt;Shen, JT&lt;/author&gt;&lt;author&gt;Li, YP&lt;/author&gt;&lt;author&gt;Tang, CW&lt;/author&gt;&lt;author&gt;Huang, LB&lt;/author&gt;&lt;author&gt;Li, CC&lt;/author&gt;&lt;author&gt;Yu, JJ&lt;/author&gt;&lt;author&gt;Wang, YJ, Yang, ZX&lt;/author&gt;&lt;/authors&gt;&lt;/contributors&gt;&lt;titles&gt;&lt;title&gt;Capsule endoscopy in diagnosis of small bowel diseases: a health technology assessment &lt;/title&gt;&lt;secondary-title&gt;JEBM&lt;/secondary-title&gt;&lt;/titles&gt;&lt;periodical&gt;&lt;full-title&gt;JEBM&lt;/full-title&gt;&lt;/periodical&gt;&lt;pages&gt;84-102&lt;/pages&gt;&lt;volume&gt;7&lt;/volume&gt;&lt;dates&gt;&lt;year&gt;2014&lt;/year&gt;&lt;/dates&gt;&lt;urls&gt;&lt;/urls&gt;&lt;/record&gt;&lt;/Cite&gt;&lt;/EndNote&gt;</w:instrText>
      </w:r>
      <w:r w:rsidRPr="000D5177">
        <w:rPr>
          <w:szCs w:val="22"/>
          <w:vertAlign w:val="superscript"/>
        </w:rPr>
        <w:fldChar w:fldCharType="separate"/>
      </w:r>
      <w:r w:rsidRPr="000D5177">
        <w:rPr>
          <w:noProof/>
          <w:szCs w:val="22"/>
          <w:vertAlign w:val="superscript"/>
        </w:rPr>
        <w:t>(1)</w:t>
      </w:r>
      <w:r w:rsidRPr="000D5177">
        <w:rPr>
          <w:szCs w:val="22"/>
          <w:vertAlign w:val="superscript"/>
        </w:rPr>
        <w:fldChar w:fldCharType="end"/>
      </w:r>
      <w:r w:rsidRPr="000D5177">
        <w:rPr>
          <w:szCs w:val="22"/>
        </w:rPr>
        <w:t xml:space="preserve"> Since then, it has been increasingly utilized in the diagnosis of small bowel pathology, particularly obscure gastrointestinal bleeding (OGIB). Its utility has been attributed to its efficacy in terms of diagnostic yield, safety profile and patient tolerance. CE has also been shown to be well tolerated in the paediatric population, with a study by Dupont-Lucas et al</w:t>
      </w:r>
      <w:r w:rsidRPr="000D5177">
        <w:rPr>
          <w:szCs w:val="22"/>
          <w:vertAlign w:val="superscript"/>
        </w:rPr>
        <w:fldChar w:fldCharType="begin"/>
      </w:r>
      <w:r w:rsidRPr="000D5177">
        <w:rPr>
          <w:szCs w:val="22"/>
          <w:vertAlign w:val="superscript"/>
        </w:rPr>
        <w:instrText xml:space="preserve"> ADDIN EN.CITE &lt;EndNote&gt;&lt;Cite&gt;&lt;Author&gt;Dupont-Lucas&lt;/Author&gt;&lt;Year&gt;2010&lt;/Year&gt;&lt;RecNum&gt;19&lt;/RecNum&gt;&lt;DisplayText&gt;(2)&lt;/DisplayText&gt;&lt;record&gt;&lt;rec-number&gt;19&lt;/rec-number&gt;&lt;foreign-keys&gt;&lt;key app="EN" db-id="efzrzxttdz2psseepxapxaxrzxavdd2ztd22" timestamp="1457211061"&gt;19&lt;/key&gt;&lt;/foreign-keys&gt;&lt;ref-type name="Journal Article"&gt;17&lt;/ref-type&gt;&lt;contributors&gt;&lt;authors&gt;&lt;author&gt;Dupont-Lucas, C&lt;/author&gt;&lt;author&gt;Bellaiche, &lt;/author&gt;&lt;author&gt;Mouterde, O&lt;/author&gt;&lt;author&gt;Bernard, O&lt;/author&gt;&lt;author&gt;Besnard, M&lt;/author&gt;&lt;author&gt;Campeotto, F&lt;/author&gt;&lt;author&gt;Languepin, J&lt;/author&gt;&lt;author&gt;Mosca, A&lt;/author&gt;&lt;author&gt;Goulet, O&lt;/author&gt;&lt;author&gt;Vannerom, PY&lt;/author&gt;&lt;author&gt;Mougenot, JF&lt;/author&gt;&lt;author&gt;Cardey, J&lt;/author&gt;&lt;author&gt;Cezard, JP&lt;/author&gt;&lt;author&gt;Viala, J&lt;/author&gt;&lt;/authors&gt;&lt;/contributors&gt;&lt;titles&gt;&lt;title&gt;Capsule endoscopy in children: which are the best indications&lt;/title&gt;&lt;secondary-title&gt;Arch Pediatr&lt;/secondary-title&gt;&lt;/titles&gt;&lt;periodical&gt;&lt;full-title&gt;Arch Pediatr&lt;/full-title&gt;&lt;/periodical&gt;&lt;pages&gt;1264-72&lt;/pages&gt;&lt;volume&gt;17&lt;/volume&gt;&lt;number&gt;9&lt;/number&gt;&lt;dates&gt;&lt;year&gt;2010&lt;/year&gt;&lt;/dates&gt;&lt;urls&gt;&lt;/urls&gt;&lt;/record&gt;&lt;/Cite&gt;&lt;/EndNote&gt;</w:instrText>
      </w:r>
      <w:r w:rsidRPr="000D5177">
        <w:rPr>
          <w:szCs w:val="22"/>
          <w:vertAlign w:val="superscript"/>
        </w:rPr>
        <w:fldChar w:fldCharType="separate"/>
      </w:r>
      <w:r w:rsidRPr="000D5177">
        <w:rPr>
          <w:noProof/>
          <w:szCs w:val="22"/>
          <w:vertAlign w:val="superscript"/>
        </w:rPr>
        <w:t>(2)</w:t>
      </w:r>
      <w:r w:rsidRPr="000D5177">
        <w:rPr>
          <w:szCs w:val="22"/>
          <w:vertAlign w:val="superscript"/>
        </w:rPr>
        <w:fldChar w:fldCharType="end"/>
      </w:r>
      <w:r w:rsidRPr="000D5177">
        <w:rPr>
          <w:szCs w:val="22"/>
        </w:rPr>
        <w:t xml:space="preserve"> demonstrating higher diagnostic yield for polyposis syndromes (62</w:t>
      </w:r>
      <w:r w:rsidR="00BF1B51">
        <w:rPr>
          <w:szCs w:val="22"/>
        </w:rPr>
        <w:t xml:space="preserve"> per cent</w:t>
      </w:r>
      <w:r w:rsidRPr="000D5177">
        <w:rPr>
          <w:szCs w:val="22"/>
        </w:rPr>
        <w:t>), unresponsive Crohns disease (88</w:t>
      </w:r>
      <w:r w:rsidR="00BF1B51">
        <w:rPr>
          <w:szCs w:val="22"/>
        </w:rPr>
        <w:t xml:space="preserve"> per cent</w:t>
      </w:r>
      <w:r w:rsidRPr="000D5177">
        <w:rPr>
          <w:szCs w:val="22"/>
        </w:rPr>
        <w:t>), and graft-versus-host disease (88</w:t>
      </w:r>
      <w:r w:rsidR="00BF1B51">
        <w:rPr>
          <w:szCs w:val="22"/>
        </w:rPr>
        <w:t xml:space="preserve"> per cent</w:t>
      </w:r>
      <w:r w:rsidRPr="000D5177">
        <w:rPr>
          <w:szCs w:val="22"/>
        </w:rPr>
        <w:t>).</w:t>
      </w:r>
      <w:r w:rsidR="00C22AE4">
        <w:rPr>
          <w:szCs w:val="22"/>
        </w:rPr>
        <w:t xml:space="preserve"> </w:t>
      </w:r>
      <w:r w:rsidRPr="000D5177">
        <w:rPr>
          <w:szCs w:val="22"/>
        </w:rPr>
        <w:t>CE is said to have a positive impact on patient management and outcomes, however the data is inconsistent, with variability in use of outcome variables and definitions. Mylonaki et al</w:t>
      </w:r>
      <w:r w:rsidRPr="000D5177">
        <w:rPr>
          <w:szCs w:val="22"/>
          <w:vertAlign w:val="superscript"/>
        </w:rPr>
        <w:fldChar w:fldCharType="begin"/>
      </w:r>
      <w:r w:rsidRPr="000D5177">
        <w:rPr>
          <w:szCs w:val="22"/>
          <w:vertAlign w:val="superscript"/>
        </w:rPr>
        <w:instrText xml:space="preserve"> ADDIN EN.CITE &lt;EndNote&gt;&lt;Cite&gt;&lt;Author&gt;Mylonaki&lt;/Author&gt;&lt;Year&gt;2003&lt;/Year&gt;&lt;RecNum&gt;36&lt;/RecNum&gt;&lt;DisplayText&gt;(3)&lt;/DisplayText&gt;&lt;record&gt;&lt;rec-number&gt;36&lt;/rec-number&gt;&lt;foreign-keys&gt;&lt;key app="EN" db-id="efzrzxttdz2psseepxapxaxrzxavdd2ztd22" timestamp="1457331635"&gt;36&lt;/key&gt;&lt;/foreign-keys&gt;&lt;ref-type name="Journal Article"&gt;17&lt;/ref-type&gt;&lt;contributors&gt;&lt;authors&gt;&lt;author&gt;Mylonaki, M&lt;/author&gt;&lt;author&gt;Fritscher-Ravens, A&lt;/author&gt;&lt;author&gt;Swain, P&lt;/author&gt;&lt;/authors&gt;&lt;/contributors&gt;&lt;titles&gt;&lt;title&gt;Wireless capsule endoscopy: a comparison with push enteroscopy in patients with gastroscopy and colonoscopy negative gastrointestinal bleeding&lt;/title&gt;&lt;secondary-title&gt;Gut&lt;/secondary-title&gt;&lt;/titles&gt;&lt;periodical&gt;&lt;full-title&gt;Gut&lt;/full-title&gt;&lt;/periodical&gt;&lt;pages&gt;1122-6&lt;/pages&gt;&lt;volume&gt;52&lt;/volume&gt;&lt;number&gt;8&lt;/number&gt;&lt;dates&gt;&lt;year&gt;2003&lt;/year&gt;&lt;/dates&gt;&lt;urls&gt;&lt;/urls&gt;&lt;/record&gt;&lt;/Cite&gt;&lt;/EndNote&gt;</w:instrText>
      </w:r>
      <w:r w:rsidRPr="000D5177">
        <w:rPr>
          <w:szCs w:val="22"/>
          <w:vertAlign w:val="superscript"/>
        </w:rPr>
        <w:fldChar w:fldCharType="separate"/>
      </w:r>
      <w:r w:rsidRPr="000D5177">
        <w:rPr>
          <w:noProof/>
          <w:szCs w:val="22"/>
          <w:vertAlign w:val="superscript"/>
        </w:rPr>
        <w:t>(3)</w:t>
      </w:r>
      <w:r w:rsidRPr="000D5177">
        <w:rPr>
          <w:szCs w:val="22"/>
          <w:vertAlign w:val="superscript"/>
        </w:rPr>
        <w:fldChar w:fldCharType="end"/>
      </w:r>
      <w:r w:rsidRPr="000D5177">
        <w:rPr>
          <w:szCs w:val="22"/>
        </w:rPr>
        <w:t>, in a study comparing CE to PE, found the former to not only detect more lesions, but to alter management in 71</w:t>
      </w:r>
      <w:r w:rsidR="00BF1B51">
        <w:rPr>
          <w:szCs w:val="22"/>
        </w:rPr>
        <w:t xml:space="preserve"> per cent</w:t>
      </w:r>
      <w:r w:rsidRPr="000D5177">
        <w:rPr>
          <w:szCs w:val="22"/>
        </w:rPr>
        <w:t xml:space="preserve"> of subjects. Sidhu et al</w:t>
      </w:r>
      <w:r w:rsidRPr="000D5177">
        <w:rPr>
          <w:szCs w:val="22"/>
          <w:vertAlign w:val="superscript"/>
        </w:rPr>
        <w:fldChar w:fldCharType="begin"/>
      </w:r>
      <w:r w:rsidRPr="000D5177">
        <w:rPr>
          <w:szCs w:val="22"/>
          <w:vertAlign w:val="superscript"/>
        </w:rPr>
        <w:instrText xml:space="preserve"> ADDIN EN.CITE &lt;EndNote&gt;&lt;Cite&gt;&lt;Author&gt;Sidhu&lt;/Author&gt;&lt;Year&gt;2007&lt;/Year&gt;&lt;RecNum&gt;37&lt;/RecNum&gt;&lt;DisplayText&gt;(4)&lt;/DisplayText&gt;&lt;record&gt;&lt;rec-number&gt;37&lt;/rec-number&gt;&lt;foreign-keys&gt;&lt;key app="EN" db-id="efzrzxttdz2psseepxapxaxrzxavdd2ztd22" timestamp="1457334616"&gt;37&lt;/key&gt;&lt;/foreign-keys&gt;&lt;ref-type name="Journal Article"&gt;17&lt;/ref-type&gt;&lt;contributors&gt;&lt;authors&gt;&lt;author&gt;Sidhu, R&lt;/author&gt;&lt;author&gt;Sanders, DS&lt;/author&gt;&lt;author&gt;Kapur, K&lt;/author&gt;&lt;author&gt;Hurlstone, DP&lt;/author&gt;&lt;author&gt;McAlindon, ME&lt;/author&gt;&lt;/authors&gt;&lt;/contributors&gt;&lt;titles&gt;&lt;title&gt;Capsule endoscopy changes patient management in routine clinical practice&lt;/title&gt;&lt;secondary-title&gt;Dig Dis Sci&lt;/secondary-title&gt;&lt;/titles&gt;&lt;periodical&gt;&lt;full-title&gt;Dig Dis Sci&lt;/full-title&gt;&lt;/periodical&gt;&lt;pages&gt;1382-6&lt;/pages&gt;&lt;volume&gt;52&lt;/volume&gt;&lt;number&gt;5&lt;/number&gt;&lt;dates&gt;&lt;year&gt;2007&lt;/year&gt;&lt;/dates&gt;&lt;urls&gt;&lt;/urls&gt;&lt;/record&gt;&lt;/Cite&gt;&lt;/EndNote&gt;</w:instrText>
      </w:r>
      <w:r w:rsidRPr="000D5177">
        <w:rPr>
          <w:szCs w:val="22"/>
          <w:vertAlign w:val="superscript"/>
        </w:rPr>
        <w:fldChar w:fldCharType="separate"/>
      </w:r>
      <w:r w:rsidRPr="000D5177">
        <w:rPr>
          <w:noProof/>
          <w:szCs w:val="22"/>
          <w:vertAlign w:val="superscript"/>
        </w:rPr>
        <w:t>(4)</w:t>
      </w:r>
      <w:r w:rsidRPr="000D5177">
        <w:rPr>
          <w:szCs w:val="22"/>
          <w:vertAlign w:val="superscript"/>
        </w:rPr>
        <w:fldChar w:fldCharType="end"/>
      </w:r>
      <w:r w:rsidRPr="000D5177">
        <w:rPr>
          <w:szCs w:val="22"/>
        </w:rPr>
        <w:t xml:space="preserve"> by comparison, in a study focusing on CE, found an overall diagnostic yield to be 39</w:t>
      </w:r>
      <w:r w:rsidR="00BF1B51">
        <w:rPr>
          <w:szCs w:val="22"/>
        </w:rPr>
        <w:t xml:space="preserve"> per cent</w:t>
      </w:r>
      <w:r w:rsidRPr="000D5177">
        <w:rPr>
          <w:szCs w:val="22"/>
        </w:rPr>
        <w:t xml:space="preserve"> (66</w:t>
      </w:r>
      <w:r w:rsidR="00BF1B51">
        <w:rPr>
          <w:szCs w:val="22"/>
        </w:rPr>
        <w:t xml:space="preserve"> per cent</w:t>
      </w:r>
      <w:r w:rsidRPr="000D5177">
        <w:rPr>
          <w:szCs w:val="22"/>
        </w:rPr>
        <w:t xml:space="preserve"> in overt bleeding) with alteration in management in 26</w:t>
      </w:r>
      <w:r w:rsidR="00BF1B51">
        <w:rPr>
          <w:szCs w:val="22"/>
        </w:rPr>
        <w:t xml:space="preserve"> per cent</w:t>
      </w:r>
      <w:r w:rsidRPr="000D5177">
        <w:rPr>
          <w:szCs w:val="22"/>
        </w:rPr>
        <w:t xml:space="preserve"> of patients.</w:t>
      </w:r>
      <w:r w:rsidR="00C22AE4">
        <w:rPr>
          <w:szCs w:val="22"/>
        </w:rPr>
        <w:t xml:space="preserve"> </w:t>
      </w:r>
    </w:p>
    <w:p w14:paraId="3F1671B8" w14:textId="77B980EE" w:rsidR="00360A76" w:rsidRPr="000D5177" w:rsidRDefault="00360A76" w:rsidP="00360A76">
      <w:pPr>
        <w:jc w:val="both"/>
        <w:rPr>
          <w:szCs w:val="22"/>
        </w:rPr>
      </w:pPr>
      <w:r w:rsidRPr="000D5177">
        <w:rPr>
          <w:szCs w:val="22"/>
        </w:rPr>
        <w:t>There is insufficient data from which to estimate incidence of OGIB in the Australian population.</w:t>
      </w:r>
      <w:r w:rsidR="00C22AE4">
        <w:rPr>
          <w:szCs w:val="22"/>
        </w:rPr>
        <w:t xml:space="preserve"> </w:t>
      </w:r>
      <w:r w:rsidRPr="000D5177">
        <w:rPr>
          <w:szCs w:val="22"/>
        </w:rPr>
        <w:t>International literature estimates the incidence of acute gastrointestinal bleeding in the US to be between 40 and 150 episodes per 100,000 persons with a mortality rate of 4</w:t>
      </w:r>
      <w:r w:rsidR="00BF1B51">
        <w:t>–</w:t>
      </w:r>
      <w:r w:rsidRPr="000D5177">
        <w:rPr>
          <w:szCs w:val="22"/>
        </w:rPr>
        <w:t>10</w:t>
      </w:r>
      <w:r w:rsidR="00BF1B51">
        <w:rPr>
          <w:szCs w:val="22"/>
        </w:rPr>
        <w:t xml:space="preserve"> per cent</w:t>
      </w:r>
      <w:r w:rsidRPr="000D5177">
        <w:rPr>
          <w:szCs w:val="22"/>
        </w:rPr>
        <w:t>.</w:t>
      </w:r>
      <w:r w:rsidRPr="000D5177">
        <w:rPr>
          <w:szCs w:val="22"/>
          <w:vertAlign w:val="superscript"/>
        </w:rPr>
        <w:fldChar w:fldCharType="begin"/>
      </w:r>
      <w:r w:rsidRPr="000D5177">
        <w:rPr>
          <w:szCs w:val="22"/>
          <w:vertAlign w:val="superscript"/>
        </w:rPr>
        <w:instrText xml:space="preserve"> ADDIN EN.CITE &lt;EndNote&gt;&lt;Cite&gt;&lt;Author&gt;Kim&lt;/Author&gt;&lt;Year&gt;2014&lt;/Year&gt;&lt;RecNum&gt;32&lt;/RecNum&gt;&lt;DisplayText&gt;(5)&lt;/DisplayText&gt;&lt;record&gt;&lt;rec-number&gt;32&lt;/rec-number&gt;&lt;foreign-keys&gt;&lt;key app="EN" db-id="efzrzxttdz2psseepxapxaxrzxavdd2ztd22" timestamp="1457318892"&gt;32&lt;/key&gt;&lt;/foreign-keys&gt;&lt;ref-type name="Journal Article"&gt;17&lt;/ref-type&gt;&lt;contributors&gt;&lt;authors&gt;&lt;author&gt;Kim, BSK&lt;/author&gt;&lt;author&gt;Li, BT&lt;/author&gt;&lt;author&gt;Engel, A&lt;/author&gt;&lt;author&gt;Samra, JS&lt;/author&gt;&lt;author&gt;Clarke, S&lt;/author&gt;&lt;author&gt;Norton, ID&lt;/author&gt;&lt;author&gt;Li, AE&lt;/author&gt;&lt;/authors&gt;&lt;/contributors&gt;&lt;titles&gt;&lt;title&gt;Diagnosis of gastrointestinal bleeding: A practical guide for clinicians &lt;/title&gt;&lt;secondary-title&gt;World J Gastroenterol Pathophysiol&lt;/secondary-title&gt;&lt;/titles&gt;&lt;periodical&gt;&lt;full-title&gt;World J Gastroenterol Pathophysiol&lt;/full-title&gt;&lt;/periodical&gt;&lt;pages&gt;467-478&lt;/pages&gt;&lt;volume&gt;5&lt;/volume&gt;&lt;number&gt;4&lt;/number&gt;&lt;dates&gt;&lt;year&gt;2014&lt;/year&gt;&lt;/dates&gt;&lt;urls&gt;&lt;/urls&gt;&lt;/record&gt;&lt;/Cite&gt;&lt;/EndNote&gt;</w:instrText>
      </w:r>
      <w:r w:rsidRPr="000D5177">
        <w:rPr>
          <w:szCs w:val="22"/>
          <w:vertAlign w:val="superscript"/>
        </w:rPr>
        <w:fldChar w:fldCharType="separate"/>
      </w:r>
      <w:r w:rsidRPr="000D5177">
        <w:rPr>
          <w:noProof/>
          <w:szCs w:val="22"/>
          <w:vertAlign w:val="superscript"/>
        </w:rPr>
        <w:t>(5)</w:t>
      </w:r>
      <w:r w:rsidRPr="000D5177">
        <w:rPr>
          <w:szCs w:val="22"/>
          <w:vertAlign w:val="superscript"/>
        </w:rPr>
        <w:fldChar w:fldCharType="end"/>
      </w:r>
      <w:r w:rsidRPr="000D5177">
        <w:rPr>
          <w:szCs w:val="22"/>
        </w:rPr>
        <w:t xml:space="preserve"> Chronic occult gastrointestinal bleeding tends to occur in the setting of positive FOBT or iron deficiency anaemia.</w:t>
      </w:r>
      <w:r w:rsidR="00C22AE4">
        <w:rPr>
          <w:szCs w:val="22"/>
        </w:rPr>
        <w:t xml:space="preserve"> </w:t>
      </w:r>
      <w:r w:rsidRPr="000D5177">
        <w:rPr>
          <w:szCs w:val="22"/>
        </w:rPr>
        <w:t>In the US, about 5</w:t>
      </w:r>
      <w:r w:rsidR="00BF1B51">
        <w:rPr>
          <w:szCs w:val="22"/>
        </w:rPr>
        <w:t xml:space="preserve"> per cent</w:t>
      </w:r>
      <w:r w:rsidRPr="000D5177">
        <w:rPr>
          <w:szCs w:val="22"/>
        </w:rPr>
        <w:t xml:space="preserve"> of adult women and 2</w:t>
      </w:r>
      <w:r w:rsidR="00BF1B51">
        <w:rPr>
          <w:szCs w:val="22"/>
        </w:rPr>
        <w:t xml:space="preserve"> per cent</w:t>
      </w:r>
      <w:r w:rsidRPr="000D5177">
        <w:rPr>
          <w:szCs w:val="22"/>
        </w:rPr>
        <w:t xml:space="preserve"> of adult men have iron deficiency anaemia. </w:t>
      </w:r>
      <w:r w:rsidRPr="000D5177">
        <w:rPr>
          <w:szCs w:val="22"/>
          <w:vertAlign w:val="superscript"/>
        </w:rPr>
        <w:fldChar w:fldCharType="begin"/>
      </w:r>
      <w:r w:rsidRPr="000D5177">
        <w:rPr>
          <w:szCs w:val="22"/>
          <w:vertAlign w:val="superscript"/>
        </w:rPr>
        <w:instrText xml:space="preserve"> ADDIN EN.CITE &lt;EndNote&gt;&lt;Cite&gt;&lt;Author&gt;Kim&lt;/Author&gt;&lt;Year&gt;2014&lt;/Year&gt;&lt;RecNum&gt;32&lt;/RecNum&gt;&lt;DisplayText&gt;(5)&lt;/DisplayText&gt;&lt;record&gt;&lt;rec-number&gt;32&lt;/rec-number&gt;&lt;foreign-keys&gt;&lt;key app="EN" db-id="efzrzxttdz2psseepxapxaxrzxavdd2ztd22" timestamp="1457318892"&gt;32&lt;/key&gt;&lt;/foreign-keys&gt;&lt;ref-type name="Journal Article"&gt;17&lt;/ref-type&gt;&lt;contributors&gt;&lt;authors&gt;&lt;author&gt;Kim, BSK&lt;/author&gt;&lt;author&gt;Li, BT&lt;/author&gt;&lt;author&gt;Engel, A&lt;/author&gt;&lt;author&gt;Samra, JS&lt;/author&gt;&lt;author&gt;Clarke, S&lt;/author&gt;&lt;author&gt;Norton, ID&lt;/author&gt;&lt;author&gt;Li, AE&lt;/author&gt;&lt;/authors&gt;&lt;/contributors&gt;&lt;titles&gt;&lt;title&gt;Diagnosis of gastrointestinal bleeding: A practical guide for clinicians &lt;/title&gt;&lt;secondary-title&gt;World J Gastroenterol Pathophysiol&lt;/secondary-title&gt;&lt;/titles&gt;&lt;periodical&gt;&lt;full-title&gt;World J Gastroenterol Pathophysiol&lt;/full-title&gt;&lt;/periodical&gt;&lt;pages&gt;467-478&lt;/pages&gt;&lt;volume&gt;5&lt;/volume&gt;&lt;number&gt;4&lt;/number&gt;&lt;dates&gt;&lt;year&gt;2014&lt;/year&gt;&lt;/dates&gt;&lt;urls&gt;&lt;/urls&gt;&lt;/record&gt;&lt;/Cite&gt;&lt;/EndNote&gt;</w:instrText>
      </w:r>
      <w:r w:rsidRPr="000D5177">
        <w:rPr>
          <w:szCs w:val="22"/>
          <w:vertAlign w:val="superscript"/>
        </w:rPr>
        <w:fldChar w:fldCharType="separate"/>
      </w:r>
      <w:r w:rsidRPr="000D5177">
        <w:rPr>
          <w:noProof/>
          <w:szCs w:val="22"/>
          <w:vertAlign w:val="superscript"/>
        </w:rPr>
        <w:t>(5)</w:t>
      </w:r>
      <w:r w:rsidRPr="000D5177">
        <w:rPr>
          <w:szCs w:val="22"/>
          <w:vertAlign w:val="superscript"/>
        </w:rPr>
        <w:fldChar w:fldCharType="end"/>
      </w:r>
      <w:r w:rsidRPr="000D5177">
        <w:rPr>
          <w:szCs w:val="22"/>
        </w:rPr>
        <w:t xml:space="preserve"> Various health information sites</w:t>
      </w:r>
      <w:r w:rsidRPr="000D5177">
        <w:rPr>
          <w:szCs w:val="22"/>
          <w:vertAlign w:val="superscript"/>
        </w:rPr>
        <w:fldChar w:fldCharType="begin"/>
      </w:r>
      <w:r w:rsidRPr="000D5177">
        <w:rPr>
          <w:szCs w:val="22"/>
          <w:vertAlign w:val="superscript"/>
        </w:rPr>
        <w:instrText xml:space="preserve"> ADDIN EN.CITE &lt;EndNote&gt;&lt;Cite&gt;&lt;Author&gt;ECI&lt;/Author&gt;&lt;Year&gt;2015&lt;/Year&gt;&lt;RecNum&gt;34&lt;/RecNum&gt;&lt;DisplayText&gt;(6)&lt;/DisplayText&gt;&lt;record&gt;&lt;rec-number&gt;34&lt;/rec-number&gt;&lt;foreign-keys&gt;&lt;key app="EN" db-id="efzrzxttdz2psseepxapxaxrzxavdd2ztd22" timestamp="1457329714"&gt;34&lt;/key&gt;&lt;/foreign-keys&gt;&lt;ref-type name="Web Page"&gt;12&lt;/ref-type&gt;&lt;contributors&gt;&lt;authors&gt;&lt;author&gt;ECI&lt;/author&gt;&lt;/authors&gt;&lt;/contributors&gt;&lt;titles&gt;&lt;title&gt;Upper GI bleeding&lt;/title&gt;&lt;/titles&gt;&lt;dates&gt;&lt;year&gt;2015&lt;/year&gt;&lt;/dates&gt;&lt;publisher&gt;ACI&lt;/publisher&gt;&lt;urls&gt;&lt;related-urls&gt;&lt;url&gt;http://www.ecinsw.com.au/ugi-bleeds&lt;/url&gt;&lt;/related-urls&gt;&lt;/urls&gt;&lt;/record&gt;&lt;/Cite&gt;&lt;/EndNote&gt;</w:instrText>
      </w:r>
      <w:r w:rsidRPr="000D5177">
        <w:rPr>
          <w:szCs w:val="22"/>
          <w:vertAlign w:val="superscript"/>
        </w:rPr>
        <w:fldChar w:fldCharType="separate"/>
      </w:r>
      <w:r w:rsidRPr="000D5177">
        <w:rPr>
          <w:noProof/>
          <w:szCs w:val="22"/>
          <w:vertAlign w:val="superscript"/>
        </w:rPr>
        <w:t>(6)</w:t>
      </w:r>
      <w:r w:rsidRPr="000D5177">
        <w:rPr>
          <w:szCs w:val="22"/>
          <w:vertAlign w:val="superscript"/>
        </w:rPr>
        <w:fldChar w:fldCharType="end"/>
      </w:r>
      <w:r w:rsidRPr="000D5177">
        <w:rPr>
          <w:szCs w:val="22"/>
        </w:rPr>
        <w:t xml:space="preserve"> in Australia have specified a similar incidence range (50 – 150 per 100,000) for gastrointestinal haemorrhage, however it is unclear where t</w:t>
      </w:r>
      <w:r w:rsidR="000D5177">
        <w:rPr>
          <w:szCs w:val="22"/>
        </w:rPr>
        <w:t xml:space="preserve">hese figures are derived from. </w:t>
      </w:r>
    </w:p>
    <w:p w14:paraId="5B157137" w14:textId="77777777" w:rsidR="00360A76" w:rsidRPr="000D5177" w:rsidRDefault="00360A76" w:rsidP="006A175E">
      <w:pPr>
        <w:pStyle w:val="Heading3"/>
      </w:pPr>
      <w:r w:rsidRPr="000D5177">
        <w:t>Diagnostic yield of capsule endoscopy</w:t>
      </w:r>
    </w:p>
    <w:p w14:paraId="60A52EDC" w14:textId="2957FB91" w:rsidR="00360A76" w:rsidRPr="000D5177" w:rsidRDefault="00360A76" w:rsidP="00360A76">
      <w:pPr>
        <w:jc w:val="both"/>
        <w:rPr>
          <w:szCs w:val="22"/>
        </w:rPr>
      </w:pPr>
      <w:r w:rsidRPr="000D5177">
        <w:rPr>
          <w:szCs w:val="22"/>
        </w:rPr>
        <w:t>There are numerous studies evaluating diagnostic yield of CE, either alone or in comparison with other modalities. Table 1 is a summary of the main relevant studies since 2008.</w:t>
      </w:r>
      <w:r w:rsidR="00C22AE4">
        <w:rPr>
          <w:szCs w:val="22"/>
        </w:rPr>
        <w:t xml:space="preserve"> </w:t>
      </w:r>
    </w:p>
    <w:p w14:paraId="3C038CA2" w14:textId="4525D1FE" w:rsidR="00360A76" w:rsidRPr="000D5177" w:rsidRDefault="00360A76" w:rsidP="003C59B2">
      <w:pPr>
        <w:pStyle w:val="Caption"/>
      </w:pPr>
      <w:r w:rsidRPr="000D5177">
        <w:t xml:space="preserve">Table </w:t>
      </w:r>
      <w:r w:rsidR="003C59B2">
        <w:t>C</w:t>
      </w:r>
      <w:r w:rsidRPr="000D5177">
        <w:t>1</w:t>
      </w:r>
      <w:r w:rsidR="003C59B2">
        <w:t>:</w:t>
      </w:r>
      <w:r w:rsidR="00C22AE4">
        <w:t xml:space="preserve"> </w:t>
      </w:r>
      <w:r w:rsidRPr="000D5177">
        <w:t>Studies 2008 onwards relating to diagnostic yield of capsule endoscopy</w:t>
      </w:r>
    </w:p>
    <w:tbl>
      <w:tblPr>
        <w:tblStyle w:val="TableGrid"/>
        <w:tblW w:w="9180" w:type="dxa"/>
        <w:tblLayout w:type="fixed"/>
        <w:tblLook w:val="04A0" w:firstRow="1" w:lastRow="0" w:firstColumn="1" w:lastColumn="0" w:noHBand="0" w:noVBand="1"/>
        <w:tblDescription w:val="Table C1 summarises various studies from 2008 of diagnostic yield of capsule endoscopy, providing the study authors, study design, study subjects, diagnostic yields and complications."/>
      </w:tblPr>
      <w:tblGrid>
        <w:gridCol w:w="1475"/>
        <w:gridCol w:w="1786"/>
        <w:gridCol w:w="2234"/>
        <w:gridCol w:w="2079"/>
        <w:gridCol w:w="1606"/>
      </w:tblGrid>
      <w:tr w:rsidR="000D5177" w:rsidRPr="003C59B2" w14:paraId="19A624BD" w14:textId="77777777" w:rsidTr="000D5177">
        <w:trPr>
          <w:tblHeader/>
        </w:trPr>
        <w:tc>
          <w:tcPr>
            <w:tcW w:w="1475" w:type="dxa"/>
            <w:shd w:val="clear" w:color="auto" w:fill="D9D9D9"/>
          </w:tcPr>
          <w:p w14:paraId="6F36ED1A" w14:textId="77777777" w:rsidR="00360A76" w:rsidRPr="003C59B2" w:rsidRDefault="00360A76" w:rsidP="003C59B2">
            <w:pPr>
              <w:pStyle w:val="Tableheading"/>
            </w:pPr>
            <w:r w:rsidRPr="003C59B2">
              <w:t xml:space="preserve">Study </w:t>
            </w:r>
          </w:p>
        </w:tc>
        <w:tc>
          <w:tcPr>
            <w:tcW w:w="1786" w:type="dxa"/>
            <w:shd w:val="clear" w:color="auto" w:fill="D9D9D9"/>
          </w:tcPr>
          <w:p w14:paraId="2932FEE0" w14:textId="77777777" w:rsidR="00360A76" w:rsidRPr="003C59B2" w:rsidRDefault="00360A76" w:rsidP="003C59B2">
            <w:pPr>
              <w:pStyle w:val="Tableheading"/>
            </w:pPr>
            <w:r w:rsidRPr="003C59B2">
              <w:t>Design</w:t>
            </w:r>
          </w:p>
        </w:tc>
        <w:tc>
          <w:tcPr>
            <w:tcW w:w="2234" w:type="dxa"/>
            <w:shd w:val="clear" w:color="auto" w:fill="D9D9D9"/>
          </w:tcPr>
          <w:p w14:paraId="246897BE" w14:textId="77777777" w:rsidR="00360A76" w:rsidRPr="003C59B2" w:rsidRDefault="00360A76" w:rsidP="003C59B2">
            <w:pPr>
              <w:pStyle w:val="Tableheading"/>
            </w:pPr>
            <w:r w:rsidRPr="003C59B2">
              <w:t>Subjects</w:t>
            </w:r>
          </w:p>
        </w:tc>
        <w:tc>
          <w:tcPr>
            <w:tcW w:w="2079" w:type="dxa"/>
            <w:shd w:val="clear" w:color="auto" w:fill="D9D9D9"/>
          </w:tcPr>
          <w:p w14:paraId="5B92089F" w14:textId="77777777" w:rsidR="00360A76" w:rsidRPr="003C59B2" w:rsidRDefault="00360A76" w:rsidP="003C59B2">
            <w:pPr>
              <w:pStyle w:val="Tableheading"/>
            </w:pPr>
            <w:r w:rsidRPr="003C59B2">
              <w:t>Diagnostic Yield</w:t>
            </w:r>
          </w:p>
        </w:tc>
        <w:tc>
          <w:tcPr>
            <w:tcW w:w="1606" w:type="dxa"/>
            <w:shd w:val="clear" w:color="auto" w:fill="D9D9D9"/>
          </w:tcPr>
          <w:p w14:paraId="0C61A93C" w14:textId="77777777" w:rsidR="00360A76" w:rsidRPr="003C59B2" w:rsidRDefault="00360A76" w:rsidP="003C59B2">
            <w:pPr>
              <w:pStyle w:val="Tableheading"/>
            </w:pPr>
            <w:r w:rsidRPr="003C59B2">
              <w:t>Complications</w:t>
            </w:r>
          </w:p>
        </w:tc>
      </w:tr>
      <w:tr w:rsidR="000D5177" w:rsidRPr="000D5177" w14:paraId="0A756BB4" w14:textId="77777777" w:rsidTr="000D5177">
        <w:tc>
          <w:tcPr>
            <w:tcW w:w="1475" w:type="dxa"/>
          </w:tcPr>
          <w:p w14:paraId="36FD8CBC" w14:textId="280DA38B" w:rsidR="00360A76" w:rsidRPr="000D5177" w:rsidRDefault="00360A76" w:rsidP="003C59B2">
            <w:pPr>
              <w:pStyle w:val="Tabletext"/>
            </w:pPr>
            <w:r w:rsidRPr="000D5177">
              <w:t xml:space="preserve">Pandey et al 2016 </w:t>
            </w:r>
            <w:r w:rsidRPr="000D5177">
              <w:rPr>
                <w:vertAlign w:val="superscript"/>
              </w:rPr>
              <w:fldChar w:fldCharType="begin"/>
            </w:r>
            <w:r w:rsidRPr="000D5177">
              <w:rPr>
                <w:vertAlign w:val="superscript"/>
              </w:rPr>
              <w:instrText xml:space="preserve"> ADDIN EN.CITE &lt;EndNote&gt;&lt;Cite&gt;&lt;Author&gt;Pandey&lt;/Author&gt;&lt;Year&gt;2016&lt;/Year&gt;&lt;RecNum&gt;2&lt;/RecNum&gt;&lt;DisplayText&gt;(7)&lt;/DisplayText&gt;&lt;record&gt;&lt;rec-number&gt;2&lt;/rec-number&gt;&lt;foreign-keys&gt;&lt;key app="EN" db-id="efzrzxttdz2psseepxapxaxrzxavdd2ztd22" timestamp="1456968199"&gt;2&lt;/key&gt;&lt;/foreign-keys&gt;&lt;ref-type name="Journal Article"&gt;17&lt;/ref-type&gt;&lt;contributors&gt;&lt;authors&gt;&lt;author&gt;Pandey, V&lt;/author&gt;&lt;author&gt;Ingle, M&lt;/author&gt;&lt;author&gt;Pandav, N&lt;/author&gt;&lt;author&gt;Parikh, P&lt;/author&gt;&lt;author&gt;Patel, J&lt;/author&gt;&lt;author&gt;Phadke, A&lt;/author&gt;&lt;author&gt;Sawant, P&lt;/author&gt;&lt;/authors&gt;&lt;/contributors&gt;&lt;titles&gt;&lt;title&gt;The role of casule endoscopy in etiological diagnosis and management of obscure gastrointestinal bleeding&lt;/title&gt;&lt;secondary-title&gt;Intest Res&lt;/secondary-title&gt;&lt;/titles&gt;&lt;periodical&gt;&lt;full-title&gt;Intest Res&lt;/full-title&gt;&lt;/periodical&gt;&lt;pages&gt;69-74&lt;/pages&gt;&lt;volume&gt;14&lt;/volume&gt;&lt;number&gt;1&lt;/number&gt;&lt;dates&gt;&lt;year&gt;2016&lt;/year&gt;&lt;/dates&gt;&lt;urls&gt;&lt;/urls&gt;&lt;/record&gt;&lt;/Cite&gt;&lt;/EndNote&gt;</w:instrText>
            </w:r>
            <w:r w:rsidRPr="000D5177">
              <w:rPr>
                <w:vertAlign w:val="superscript"/>
              </w:rPr>
              <w:fldChar w:fldCharType="separate"/>
            </w:r>
            <w:r w:rsidRPr="000D5177">
              <w:rPr>
                <w:noProof/>
                <w:vertAlign w:val="superscript"/>
              </w:rPr>
              <w:t>(7)</w:t>
            </w:r>
            <w:r w:rsidRPr="000D5177">
              <w:rPr>
                <w:vertAlign w:val="superscript"/>
              </w:rPr>
              <w:fldChar w:fldCharType="end"/>
            </w:r>
            <w:r w:rsidR="003C59B2">
              <w:t xml:space="preserve">, </w:t>
            </w:r>
            <w:r w:rsidRPr="000D5177">
              <w:t>Mumbai</w:t>
            </w:r>
          </w:p>
        </w:tc>
        <w:tc>
          <w:tcPr>
            <w:tcW w:w="1786" w:type="dxa"/>
          </w:tcPr>
          <w:p w14:paraId="380CD21A" w14:textId="77777777" w:rsidR="00360A76" w:rsidRPr="000D5177" w:rsidRDefault="00360A76" w:rsidP="003C59B2">
            <w:pPr>
              <w:pStyle w:val="Tabletext"/>
            </w:pPr>
            <w:r w:rsidRPr="000D5177">
              <w:t xml:space="preserve">Prospective single centre observational </w:t>
            </w:r>
          </w:p>
        </w:tc>
        <w:tc>
          <w:tcPr>
            <w:tcW w:w="2234" w:type="dxa"/>
          </w:tcPr>
          <w:p w14:paraId="5EE50610" w14:textId="77777777" w:rsidR="00360A76" w:rsidRPr="000D5177" w:rsidRDefault="00360A76" w:rsidP="00C33118">
            <w:pPr>
              <w:pStyle w:val="NormalBulleted"/>
            </w:pPr>
            <w:r w:rsidRPr="000D5177">
              <w:t>68 pts</w:t>
            </w:r>
          </w:p>
          <w:p w14:paraId="13266CC1" w14:textId="77777777" w:rsidR="00360A76" w:rsidRPr="000D5177" w:rsidRDefault="00360A76" w:rsidP="00C33118">
            <w:pPr>
              <w:pStyle w:val="NormalBulleted"/>
            </w:pPr>
            <w:r w:rsidRPr="000D5177">
              <w:t>16-77 yo</w:t>
            </w:r>
          </w:p>
          <w:p w14:paraId="4426F2E4" w14:textId="77777777" w:rsidR="00360A76" w:rsidRPr="000D5177" w:rsidRDefault="00360A76" w:rsidP="00C33118">
            <w:pPr>
              <w:pStyle w:val="NormalBulleted"/>
            </w:pPr>
            <w:r w:rsidRPr="000D5177">
              <w:t>OGIB</w:t>
            </w:r>
          </w:p>
        </w:tc>
        <w:tc>
          <w:tcPr>
            <w:tcW w:w="2079" w:type="dxa"/>
          </w:tcPr>
          <w:p w14:paraId="2540F94F" w14:textId="77777777" w:rsidR="00360A76" w:rsidRPr="000D5177" w:rsidRDefault="00360A76" w:rsidP="00C33118">
            <w:pPr>
              <w:pStyle w:val="NormalBulleted"/>
            </w:pPr>
            <w:r w:rsidRPr="000D5177">
              <w:t>Positive – 65%</w:t>
            </w:r>
          </w:p>
          <w:p w14:paraId="48A9156E" w14:textId="77777777" w:rsidR="00360A76" w:rsidRPr="000D5177" w:rsidRDefault="00360A76" w:rsidP="00C33118">
            <w:pPr>
              <w:pStyle w:val="NormalBulleted"/>
            </w:pPr>
            <w:r w:rsidRPr="000D5177">
              <w:t>Equivocal – 17.65%</w:t>
            </w:r>
          </w:p>
          <w:p w14:paraId="19A7EC9D" w14:textId="77777777" w:rsidR="00360A76" w:rsidRPr="000D5177" w:rsidRDefault="00360A76" w:rsidP="00C33118">
            <w:pPr>
              <w:pStyle w:val="NormalBulleted"/>
            </w:pPr>
            <w:r w:rsidRPr="000D5177">
              <w:t>Negative – 17.65%</w:t>
            </w:r>
          </w:p>
        </w:tc>
        <w:tc>
          <w:tcPr>
            <w:tcW w:w="1606" w:type="dxa"/>
          </w:tcPr>
          <w:p w14:paraId="5A2CF9BB" w14:textId="77777777" w:rsidR="00360A76" w:rsidRPr="000D5177" w:rsidRDefault="00360A76" w:rsidP="003C59B2">
            <w:pPr>
              <w:pStyle w:val="Tabletext"/>
            </w:pPr>
            <w:r w:rsidRPr="000D5177">
              <w:t>Capsule retention - 2.94%</w:t>
            </w:r>
          </w:p>
        </w:tc>
      </w:tr>
      <w:tr w:rsidR="000D5177" w:rsidRPr="000D5177" w14:paraId="1F807293" w14:textId="77777777" w:rsidTr="000D5177">
        <w:tc>
          <w:tcPr>
            <w:tcW w:w="1475" w:type="dxa"/>
          </w:tcPr>
          <w:p w14:paraId="55B19A07" w14:textId="77777777" w:rsidR="00360A76" w:rsidRPr="000D5177" w:rsidRDefault="00360A76" w:rsidP="003C59B2">
            <w:pPr>
              <w:pStyle w:val="Tabletext"/>
            </w:pPr>
            <w:r w:rsidRPr="000D5177">
              <w:lastRenderedPageBreak/>
              <w:t>Segarajasingam et al 2015</w:t>
            </w:r>
            <w:r w:rsidRPr="000D5177">
              <w:rPr>
                <w:vertAlign w:val="superscript"/>
              </w:rPr>
              <w:fldChar w:fldCharType="begin"/>
            </w:r>
            <w:r w:rsidRPr="000D5177">
              <w:rPr>
                <w:vertAlign w:val="superscript"/>
              </w:rPr>
              <w:instrText xml:space="preserve"> ADDIN EN.CITE &lt;EndNote&gt;&lt;Cite&gt;&lt;Author&gt;Segarajasingam&lt;/Author&gt;&lt;Year&gt;2015&lt;/Year&gt;&lt;RecNum&gt;3&lt;/RecNum&gt;&lt;DisplayText&gt;(8)&lt;/DisplayText&gt;&lt;record&gt;&lt;rec-number&gt;3&lt;/rec-number&gt;&lt;foreign-keys&gt;&lt;key app="EN" db-id="efzrzxttdz2psseepxapxaxrzxavdd2ztd22" timestamp="1456969501"&gt;3&lt;/key&gt;&lt;/foreign-keys&gt;&lt;ref-type name="Journal Article"&gt;17&lt;/ref-type&gt;&lt;contributors&gt;&lt;authors&gt;&lt;author&gt;Segarajasingam, DS&lt;/author&gt;&lt;author&gt;Hanley, SC&lt;/author&gt;&lt;author&gt;Barkun, AN&lt;/author&gt;&lt;author&gt;Waschke, KA&lt;/author&gt;&lt;author&gt;Burtin, P&lt;/author&gt;&lt;author&gt;Parent, J&lt;/author&gt;&lt;author&gt;Mayrand, S&lt;/author&gt;&lt;author&gt;Fallone, CA&lt;/author&gt;&lt;author&gt;Jobin, G&lt;/author&gt;&lt;author&gt;Seidman, EG&lt;/author&gt;&lt;author&gt;Martel, M&lt;/author&gt;&lt;/authors&gt;&lt;/contributors&gt;&lt;titles&gt;&lt;title&gt;Randomized controlled trial comparing outcomes of video capsule endoscoy with push enteroscopy in obscure gastrointestinal bleeding&lt;/title&gt;&lt;secondary-title&gt;CAn J Gastroenterol Hepatol&lt;/secondary-title&gt;&lt;/titles&gt;&lt;periodical&gt;&lt;full-title&gt;CAn J Gastroenterol Hepatol&lt;/full-title&gt;&lt;/periodical&gt;&lt;pages&gt;85-90&lt;/pages&gt;&lt;volume&gt;29&lt;/volume&gt;&lt;number&gt;2&lt;/number&gt;&lt;dates&gt;&lt;year&gt;2015&lt;/year&gt;&lt;/dates&gt;&lt;urls&gt;&lt;/urls&gt;&lt;/record&gt;&lt;/Cite&gt;&lt;/EndNote&gt;</w:instrText>
            </w:r>
            <w:r w:rsidRPr="000D5177">
              <w:rPr>
                <w:vertAlign w:val="superscript"/>
              </w:rPr>
              <w:fldChar w:fldCharType="separate"/>
            </w:r>
            <w:r w:rsidRPr="000D5177">
              <w:rPr>
                <w:noProof/>
                <w:vertAlign w:val="superscript"/>
              </w:rPr>
              <w:t>(8)</w:t>
            </w:r>
            <w:r w:rsidRPr="000D5177">
              <w:rPr>
                <w:vertAlign w:val="superscript"/>
              </w:rPr>
              <w:fldChar w:fldCharType="end"/>
            </w:r>
          </w:p>
        </w:tc>
        <w:tc>
          <w:tcPr>
            <w:tcW w:w="1786" w:type="dxa"/>
          </w:tcPr>
          <w:p w14:paraId="196EDCE1" w14:textId="77777777" w:rsidR="00360A76" w:rsidRPr="000D5177" w:rsidRDefault="00360A76" w:rsidP="00C33118">
            <w:pPr>
              <w:pStyle w:val="NormalBulleted"/>
            </w:pPr>
            <w:r w:rsidRPr="000D5177">
              <w:t>RCT</w:t>
            </w:r>
          </w:p>
          <w:p w14:paraId="4D1C7183" w14:textId="77777777" w:rsidR="00360A76" w:rsidRPr="000D5177" w:rsidRDefault="00360A76" w:rsidP="00C33118">
            <w:pPr>
              <w:pStyle w:val="NormalBulleted"/>
            </w:pPr>
            <w:r w:rsidRPr="000D5177">
              <w:t>VCE vs PE</w:t>
            </w:r>
          </w:p>
        </w:tc>
        <w:tc>
          <w:tcPr>
            <w:tcW w:w="2234" w:type="dxa"/>
          </w:tcPr>
          <w:p w14:paraId="250CD1AF" w14:textId="4188EC6D" w:rsidR="00360A76" w:rsidRPr="000D5177" w:rsidRDefault="00360A76" w:rsidP="00C33118">
            <w:pPr>
              <w:pStyle w:val="Tabletext"/>
            </w:pPr>
            <w:r w:rsidRPr="000D5177">
              <w:t>79 pts (40 VCE 39 PE)</w:t>
            </w:r>
          </w:p>
        </w:tc>
        <w:tc>
          <w:tcPr>
            <w:tcW w:w="2079" w:type="dxa"/>
          </w:tcPr>
          <w:p w14:paraId="77D4DED8" w14:textId="77777777" w:rsidR="00360A76" w:rsidRPr="000D5177" w:rsidRDefault="00360A76" w:rsidP="00C33118">
            <w:pPr>
              <w:pStyle w:val="NormalBulleted"/>
            </w:pPr>
            <w:r w:rsidRPr="000D5177">
              <w:t>VCE – 72.5%</w:t>
            </w:r>
          </w:p>
          <w:p w14:paraId="3C75EE1E" w14:textId="77777777" w:rsidR="00360A76" w:rsidRPr="000D5177" w:rsidRDefault="00360A76" w:rsidP="00C33118">
            <w:pPr>
              <w:pStyle w:val="NormalBulleted"/>
            </w:pPr>
            <w:r w:rsidRPr="000D5177">
              <w:t>PE – 48.7%</w:t>
            </w:r>
          </w:p>
        </w:tc>
        <w:tc>
          <w:tcPr>
            <w:tcW w:w="1606" w:type="dxa"/>
          </w:tcPr>
          <w:p w14:paraId="133CD33C" w14:textId="274F69C5" w:rsidR="00360A76" w:rsidRPr="000D5177" w:rsidRDefault="00FB05A0" w:rsidP="003C59B2">
            <w:pPr>
              <w:pStyle w:val="Tabletext"/>
            </w:pPr>
            <w:r>
              <w:t>Not specified</w:t>
            </w:r>
          </w:p>
        </w:tc>
      </w:tr>
      <w:tr w:rsidR="000D5177" w:rsidRPr="000D5177" w14:paraId="19F26B90" w14:textId="77777777" w:rsidTr="000D5177">
        <w:tc>
          <w:tcPr>
            <w:tcW w:w="1475" w:type="dxa"/>
          </w:tcPr>
          <w:p w14:paraId="1DB839B6" w14:textId="77777777" w:rsidR="00360A76" w:rsidRPr="000D5177" w:rsidRDefault="00360A76" w:rsidP="003C59B2">
            <w:pPr>
              <w:pStyle w:val="Tabletext"/>
            </w:pPr>
            <w:r w:rsidRPr="000D5177">
              <w:t>Aniwan et al 2014</w:t>
            </w:r>
            <w:r w:rsidRPr="000D5177">
              <w:rPr>
                <w:vertAlign w:val="superscript"/>
              </w:rPr>
              <w:fldChar w:fldCharType="begin"/>
            </w:r>
            <w:r w:rsidRPr="000D5177">
              <w:rPr>
                <w:vertAlign w:val="superscript"/>
              </w:rPr>
              <w:instrText xml:space="preserve"> ADDIN EN.CITE &lt;EndNote&gt;&lt;Cite&gt;&lt;Author&gt;Aniwan&lt;/Author&gt;&lt;Year&gt;2014&lt;/Year&gt;&lt;RecNum&gt;4&lt;/RecNum&gt;&lt;DisplayText&gt;(9)&lt;/DisplayText&gt;&lt;record&gt;&lt;rec-number&gt;4&lt;/rec-number&gt;&lt;foreign-keys&gt;&lt;key app="EN" db-id="efzrzxttdz2psseepxapxaxrzxavdd2ztd22" timestamp="1456970872"&gt;4&lt;/key&gt;&lt;/foreign-keys&gt;&lt;ref-type name="Journal Article"&gt;17&lt;/ref-type&gt;&lt;contributors&gt;&lt;authors&gt;&lt;author&gt;Aniwan, S&lt;/author&gt;&lt;author&gt;Viriyautsahakul, V&lt;/author&gt;&lt;author&gt;Angsuwatcharakon, P&lt;/author&gt;&lt;author&gt;Kongkam, P&lt;/author&gt;&lt;author&gt;Treeprasertsuk, S&lt;/author&gt;&lt;author&gt;Rerknimitr, R&lt;/author&gt;&lt;author&gt;Kullavanijaya, P&lt;/author&gt;&lt;/authors&gt;&lt;/contributors&gt;&lt;titles&gt;&lt;title&gt;Comparison of urgent video capsule endoscopy and urgent double-balloon endoscopy in massive obscure gastrointestinal bleeding&lt;/title&gt;&lt;secondary-title&gt;Hepatogastroenterology&lt;/secondary-title&gt;&lt;/titles&gt;&lt;periodical&gt;&lt;full-title&gt;Hepatogastroenterology&lt;/full-title&gt;&lt;/periodical&gt;&lt;pages&gt;1990-4&lt;/pages&gt;&lt;volume&gt;61&lt;/volume&gt;&lt;number&gt;135&lt;/number&gt;&lt;dates&gt;&lt;year&gt;2014&lt;/year&gt;&lt;/dates&gt;&lt;urls&gt;&lt;/urls&gt;&lt;/record&gt;&lt;/Cite&gt;&lt;/EndNote&gt;</w:instrText>
            </w:r>
            <w:r w:rsidRPr="000D5177">
              <w:rPr>
                <w:vertAlign w:val="superscript"/>
              </w:rPr>
              <w:fldChar w:fldCharType="separate"/>
            </w:r>
            <w:r w:rsidRPr="000D5177">
              <w:rPr>
                <w:noProof/>
                <w:vertAlign w:val="superscript"/>
              </w:rPr>
              <w:t>(9)</w:t>
            </w:r>
            <w:r w:rsidRPr="000D5177">
              <w:rPr>
                <w:vertAlign w:val="superscript"/>
              </w:rPr>
              <w:fldChar w:fldCharType="end"/>
            </w:r>
          </w:p>
        </w:tc>
        <w:tc>
          <w:tcPr>
            <w:tcW w:w="1786" w:type="dxa"/>
          </w:tcPr>
          <w:p w14:paraId="3F8AB975" w14:textId="77777777" w:rsidR="00360A76" w:rsidRPr="000D5177" w:rsidRDefault="00360A76" w:rsidP="003C59B2">
            <w:pPr>
              <w:pStyle w:val="Tabletext"/>
            </w:pPr>
            <w:r w:rsidRPr="000D5177">
              <w:t xml:space="preserve">DBE vs VCE </w:t>
            </w:r>
          </w:p>
        </w:tc>
        <w:tc>
          <w:tcPr>
            <w:tcW w:w="2234" w:type="dxa"/>
          </w:tcPr>
          <w:p w14:paraId="4DE7D45D" w14:textId="6A6872F0" w:rsidR="00360A76" w:rsidRPr="000D5177" w:rsidRDefault="00360A76" w:rsidP="00C33118">
            <w:pPr>
              <w:pStyle w:val="Tabletext"/>
            </w:pPr>
            <w:r w:rsidRPr="000D5177">
              <w:t>30 pts</w:t>
            </w:r>
            <w:r w:rsidR="00C33118">
              <w:t xml:space="preserve">; </w:t>
            </w:r>
            <w:r w:rsidRPr="000D5177">
              <w:t>massive OGIB</w:t>
            </w:r>
          </w:p>
        </w:tc>
        <w:tc>
          <w:tcPr>
            <w:tcW w:w="2079" w:type="dxa"/>
          </w:tcPr>
          <w:p w14:paraId="51CAD1F8" w14:textId="77777777" w:rsidR="00360A76" w:rsidRPr="000D5177" w:rsidRDefault="00360A76" w:rsidP="00C33118">
            <w:pPr>
              <w:pStyle w:val="NormalBulleted"/>
            </w:pPr>
            <w:r w:rsidRPr="000D5177">
              <w:t>DBE – 87%</w:t>
            </w:r>
          </w:p>
          <w:p w14:paraId="6CE5FD4B" w14:textId="77777777" w:rsidR="00360A76" w:rsidRPr="000D5177" w:rsidRDefault="00360A76" w:rsidP="00C33118">
            <w:pPr>
              <w:pStyle w:val="NormalBulleted"/>
            </w:pPr>
            <w:r w:rsidRPr="000D5177">
              <w:t>VCE 60%</w:t>
            </w:r>
          </w:p>
        </w:tc>
        <w:tc>
          <w:tcPr>
            <w:tcW w:w="1606" w:type="dxa"/>
          </w:tcPr>
          <w:p w14:paraId="4E331D28" w14:textId="296BCACA" w:rsidR="00360A76" w:rsidRPr="000D5177" w:rsidRDefault="00FB05A0" w:rsidP="003C59B2">
            <w:pPr>
              <w:pStyle w:val="Tabletext"/>
            </w:pPr>
            <w:r>
              <w:t>Not specified</w:t>
            </w:r>
          </w:p>
        </w:tc>
      </w:tr>
      <w:tr w:rsidR="000D5177" w:rsidRPr="000D5177" w14:paraId="0DB258BF" w14:textId="77777777" w:rsidTr="000D5177">
        <w:tc>
          <w:tcPr>
            <w:tcW w:w="1475" w:type="dxa"/>
          </w:tcPr>
          <w:p w14:paraId="04153999" w14:textId="77777777" w:rsidR="00360A76" w:rsidRPr="000D5177" w:rsidRDefault="00360A76" w:rsidP="003C59B2">
            <w:pPr>
              <w:pStyle w:val="Tabletext"/>
            </w:pPr>
            <w:r w:rsidRPr="000D5177">
              <w:t>He et al 2014</w:t>
            </w:r>
            <w:r w:rsidRPr="000D5177">
              <w:rPr>
                <w:vertAlign w:val="superscript"/>
              </w:rPr>
              <w:fldChar w:fldCharType="begin"/>
            </w:r>
            <w:r w:rsidRPr="000D5177">
              <w:rPr>
                <w:vertAlign w:val="superscript"/>
              </w:rPr>
              <w:instrText xml:space="preserve"> ADDIN EN.CITE &lt;EndNote&gt;&lt;Cite&gt;&lt;Author&gt;He&lt;/Author&gt;&lt;Year&gt;2014&lt;/Year&gt;&lt;RecNum&gt;5&lt;/RecNum&gt;&lt;DisplayText&gt;(10)&lt;/DisplayText&gt;&lt;record&gt;&lt;rec-number&gt;5&lt;/rec-number&gt;&lt;foreign-keys&gt;&lt;key app="EN" db-id="efzrzxttdz2psseepxapxaxrzxavdd2ztd22" timestamp="1456987423"&gt;5&lt;/key&gt;&lt;/foreign-keys&gt;&lt;ref-type name="Journal Article"&gt;17&lt;/ref-type&gt;&lt;contributors&gt;&lt;authors&gt;&lt;author&gt;He, B&lt;/author&gt;&lt;author&gt;Gong, S&lt;/author&gt;&lt;author&gt;Hu, C&lt;/author&gt;&lt;author&gt;Fan, J&lt;/author&gt;&lt;author&gt;Qian, J&lt;/author&gt;&lt;author&gt;Huang, S&lt;/author&gt;&lt;author&gt;Cui, L&lt;/author&gt;&lt;author&gt;Ji, Y&lt;/author&gt;&lt;/authors&gt;&lt;/contributors&gt;&lt;titles&gt;&lt;title&gt;Obscure gastrointestinal bleeding: diagnostic performance of 64-section multiphase CT enterography compared with capsule endoscopy&lt;/title&gt;&lt;secondary-title&gt;Br J Radiol&lt;/secondary-title&gt;&lt;/titles&gt;&lt;periodical&gt;&lt;full-title&gt;Br J Radiol&lt;/full-title&gt;&lt;/periodical&gt;&lt;volume&gt;87&lt;/volume&gt;&lt;number&gt;1043&lt;/number&gt;&lt;dates&gt;&lt;year&gt;2014&lt;/year&gt;&lt;/dates&gt;&lt;urls&gt;&lt;/urls&gt;&lt;/record&gt;&lt;/Cite&gt;&lt;/EndNote&gt;</w:instrText>
            </w:r>
            <w:r w:rsidRPr="000D5177">
              <w:rPr>
                <w:vertAlign w:val="superscript"/>
              </w:rPr>
              <w:fldChar w:fldCharType="separate"/>
            </w:r>
            <w:r w:rsidRPr="000D5177">
              <w:rPr>
                <w:noProof/>
                <w:vertAlign w:val="superscript"/>
              </w:rPr>
              <w:t>(10)</w:t>
            </w:r>
            <w:r w:rsidRPr="000D5177">
              <w:rPr>
                <w:vertAlign w:val="superscript"/>
              </w:rPr>
              <w:fldChar w:fldCharType="end"/>
            </w:r>
          </w:p>
        </w:tc>
        <w:tc>
          <w:tcPr>
            <w:tcW w:w="1786" w:type="dxa"/>
          </w:tcPr>
          <w:p w14:paraId="3D4F6498" w14:textId="77777777" w:rsidR="00360A76" w:rsidRPr="000D5177" w:rsidRDefault="00360A76" w:rsidP="003C59B2">
            <w:pPr>
              <w:pStyle w:val="Tabletext"/>
            </w:pPr>
            <w:r w:rsidRPr="000D5177">
              <w:t>Randomized, single blinded, MSCT vs CE</w:t>
            </w:r>
          </w:p>
        </w:tc>
        <w:tc>
          <w:tcPr>
            <w:tcW w:w="2234" w:type="dxa"/>
          </w:tcPr>
          <w:p w14:paraId="29D2F609" w14:textId="77777777" w:rsidR="00360A76" w:rsidRPr="000D5177" w:rsidRDefault="00360A76" w:rsidP="003C59B2">
            <w:pPr>
              <w:pStyle w:val="Tabletext"/>
            </w:pPr>
            <w:r w:rsidRPr="000D5177">
              <w:t>127 pts with OGIB including overt and obscure</w:t>
            </w:r>
          </w:p>
        </w:tc>
        <w:tc>
          <w:tcPr>
            <w:tcW w:w="2079" w:type="dxa"/>
          </w:tcPr>
          <w:p w14:paraId="1D357071" w14:textId="77777777" w:rsidR="00360A76" w:rsidRPr="000D5177" w:rsidRDefault="00360A76" w:rsidP="00C33118">
            <w:pPr>
              <w:pStyle w:val="NormalBulleted"/>
            </w:pPr>
            <w:r w:rsidRPr="000D5177">
              <w:t>MSCT – 47.56%</w:t>
            </w:r>
          </w:p>
          <w:p w14:paraId="2627693B" w14:textId="77777777" w:rsidR="00360A76" w:rsidRPr="000D5177" w:rsidRDefault="00360A76" w:rsidP="00C33118">
            <w:pPr>
              <w:pStyle w:val="NormalBulleted"/>
            </w:pPr>
            <w:r w:rsidRPr="000D5177">
              <w:t>CE – 68.66%</w:t>
            </w:r>
          </w:p>
        </w:tc>
        <w:tc>
          <w:tcPr>
            <w:tcW w:w="1606" w:type="dxa"/>
          </w:tcPr>
          <w:p w14:paraId="50FCCF87" w14:textId="2E9558DE" w:rsidR="00360A76" w:rsidRPr="000D5177" w:rsidRDefault="00360A76" w:rsidP="003C59B2">
            <w:pPr>
              <w:pStyle w:val="Tabletext"/>
            </w:pPr>
            <w:r w:rsidRPr="000D5177">
              <w:t>Capsule retention -</w:t>
            </w:r>
            <w:r w:rsidR="00C22AE4">
              <w:t xml:space="preserve"> </w:t>
            </w:r>
            <w:r w:rsidRPr="000D5177">
              <w:t>1.47%</w:t>
            </w:r>
          </w:p>
        </w:tc>
      </w:tr>
      <w:tr w:rsidR="000D5177" w:rsidRPr="000D5177" w14:paraId="1988AC84" w14:textId="77777777" w:rsidTr="000D5177">
        <w:tc>
          <w:tcPr>
            <w:tcW w:w="1475" w:type="dxa"/>
          </w:tcPr>
          <w:p w14:paraId="0E033DAE" w14:textId="77777777" w:rsidR="00360A76" w:rsidRPr="000D5177" w:rsidRDefault="00360A76" w:rsidP="003C59B2">
            <w:pPr>
              <w:pStyle w:val="Tabletext"/>
            </w:pPr>
            <w:r w:rsidRPr="000D5177">
              <w:t>Katsinelos et al 2014</w:t>
            </w:r>
            <w:r w:rsidRPr="000D5177">
              <w:rPr>
                <w:vertAlign w:val="superscript"/>
              </w:rPr>
              <w:fldChar w:fldCharType="begin"/>
            </w:r>
            <w:r w:rsidRPr="000D5177">
              <w:rPr>
                <w:vertAlign w:val="superscript"/>
              </w:rPr>
              <w:instrText xml:space="preserve"> ADDIN EN.CITE &lt;EndNote&gt;&lt;Cite&gt;&lt;Author&gt;Katsinelos&lt;/Author&gt;&lt;Year&gt;2014&lt;/Year&gt;&lt;RecNum&gt;6&lt;/RecNum&gt;&lt;DisplayText&gt;(11)&lt;/DisplayText&gt;&lt;record&gt;&lt;rec-number&gt;6&lt;/rec-number&gt;&lt;foreign-keys&gt;&lt;key app="EN" db-id="efzrzxttdz2psseepxapxaxrzxavdd2ztd22" timestamp="1457089799"&gt;6&lt;/key&gt;&lt;/foreign-keys&gt;&lt;ref-type name="Journal Article"&gt;17&lt;/ref-type&gt;&lt;contributors&gt;&lt;authors&gt;&lt;author&gt;Katsinelos, P&lt;/author&gt;&lt;author&gt;Lazaraki, G&lt;/author&gt;&lt;author&gt;Gkagkalis, A&lt;/author&gt;&lt;author&gt;Gatopolou, A&lt;/author&gt;&lt;author&gt;Patsavela, S&lt;/author&gt;&lt;author&gt;Varitimiadis, K&lt;/author&gt;&lt;author&gt;Mimidis, K&lt;/author&gt;&lt;author&gt;Paroutoglou, G&lt;/author&gt;&lt;author&gt;Koufokotsios, A&lt;/author&gt;&lt;author&gt;Maris, T&lt;/author&gt;&lt;author&gt;Terzoudis, S&lt;/author&gt;&lt;author&gt;Gigi, E&lt;/author&gt;&lt;author&gt;Chatzimavroudis, G&lt;/author&gt;&lt;author&gt;Zavos, C&lt;/author&gt;&lt;author&gt;Kountouras, J&lt;/author&gt;&lt;/authors&gt;&lt;/contributors&gt;&lt;titles&gt;&lt;title&gt;The role of capsule endoscopy in the evaluation and treatment of obscure-overt gastrointestinal bleeding during daily clinical practice: a prospective multicenter study&lt;/title&gt;&lt;secondary-title&gt;Scand J Gastroenterol&lt;/secondary-title&gt;&lt;/titles&gt;&lt;periodical&gt;&lt;full-title&gt;Scand J Gastroenterol&lt;/full-title&gt;&lt;/periodical&gt;&lt;pages&gt;862-70&lt;/pages&gt;&lt;volume&gt;49&lt;/volume&gt;&lt;number&gt;7&lt;/number&gt;&lt;dates&gt;&lt;year&gt;2014&lt;/year&gt;&lt;/dates&gt;&lt;urls&gt;&lt;/urls&gt;&lt;/record&gt;&lt;/Cite&gt;&lt;/EndNote&gt;</w:instrText>
            </w:r>
            <w:r w:rsidRPr="000D5177">
              <w:rPr>
                <w:vertAlign w:val="superscript"/>
              </w:rPr>
              <w:fldChar w:fldCharType="separate"/>
            </w:r>
            <w:r w:rsidRPr="000D5177">
              <w:rPr>
                <w:noProof/>
                <w:vertAlign w:val="superscript"/>
              </w:rPr>
              <w:t>(11)</w:t>
            </w:r>
            <w:r w:rsidRPr="000D5177">
              <w:rPr>
                <w:vertAlign w:val="superscript"/>
              </w:rPr>
              <w:fldChar w:fldCharType="end"/>
            </w:r>
          </w:p>
        </w:tc>
        <w:tc>
          <w:tcPr>
            <w:tcW w:w="1786" w:type="dxa"/>
          </w:tcPr>
          <w:p w14:paraId="2D61E8B8" w14:textId="77777777" w:rsidR="00360A76" w:rsidRPr="000D5177" w:rsidRDefault="00360A76" w:rsidP="003C59B2">
            <w:pPr>
              <w:pStyle w:val="Tabletext"/>
            </w:pPr>
            <w:r w:rsidRPr="000D5177">
              <w:t>Prospective multicenter</w:t>
            </w:r>
          </w:p>
        </w:tc>
        <w:tc>
          <w:tcPr>
            <w:tcW w:w="2234" w:type="dxa"/>
          </w:tcPr>
          <w:p w14:paraId="2029B0A4" w14:textId="77777777" w:rsidR="00360A76" w:rsidRPr="000D5177" w:rsidRDefault="00360A76" w:rsidP="00C33118">
            <w:pPr>
              <w:pStyle w:val="NormalBulleted"/>
            </w:pPr>
            <w:r w:rsidRPr="000D5177">
              <w:t xml:space="preserve">118 pts </w:t>
            </w:r>
          </w:p>
          <w:p w14:paraId="7A6A363A" w14:textId="77777777" w:rsidR="00360A76" w:rsidRPr="000D5177" w:rsidRDefault="00360A76" w:rsidP="00C33118">
            <w:pPr>
              <w:pStyle w:val="NormalBulleted"/>
            </w:pPr>
            <w:r w:rsidRPr="000D5177">
              <w:t>median age 66</w:t>
            </w:r>
          </w:p>
        </w:tc>
        <w:tc>
          <w:tcPr>
            <w:tcW w:w="2079" w:type="dxa"/>
          </w:tcPr>
          <w:p w14:paraId="57AF472E" w14:textId="77777777" w:rsidR="00360A76" w:rsidRPr="000D5177" w:rsidRDefault="00360A76" w:rsidP="003C59B2">
            <w:pPr>
              <w:pStyle w:val="Tabletext"/>
            </w:pPr>
            <w:r w:rsidRPr="000D5177">
              <w:t>CE 66.9%</w:t>
            </w:r>
          </w:p>
        </w:tc>
        <w:tc>
          <w:tcPr>
            <w:tcW w:w="1606" w:type="dxa"/>
          </w:tcPr>
          <w:p w14:paraId="7A4A9024" w14:textId="4005611F" w:rsidR="00360A76" w:rsidRPr="000D5177" w:rsidRDefault="00FB05A0" w:rsidP="003C59B2">
            <w:pPr>
              <w:pStyle w:val="Tabletext"/>
            </w:pPr>
            <w:r>
              <w:t>Not specified</w:t>
            </w:r>
          </w:p>
        </w:tc>
      </w:tr>
      <w:tr w:rsidR="000D5177" w:rsidRPr="000D5177" w14:paraId="1C2FF005" w14:textId="77777777" w:rsidTr="000D5177">
        <w:tc>
          <w:tcPr>
            <w:tcW w:w="1475" w:type="dxa"/>
          </w:tcPr>
          <w:p w14:paraId="2B4F0C1C" w14:textId="77777777" w:rsidR="00360A76" w:rsidRPr="000D5177" w:rsidRDefault="00360A76" w:rsidP="003C59B2">
            <w:pPr>
              <w:pStyle w:val="Tabletext"/>
            </w:pPr>
            <w:r w:rsidRPr="000D5177">
              <w:t>Khan et al 2013</w:t>
            </w:r>
            <w:r w:rsidRPr="000D5177">
              <w:rPr>
                <w:vertAlign w:val="superscript"/>
              </w:rPr>
              <w:fldChar w:fldCharType="begin"/>
            </w:r>
            <w:r w:rsidRPr="000D5177">
              <w:rPr>
                <w:vertAlign w:val="superscript"/>
              </w:rPr>
              <w:instrText xml:space="preserve"> ADDIN EN.CITE &lt;EndNote&gt;&lt;Cite&gt;&lt;Author&gt;Khan&lt;/Author&gt;&lt;Year&gt;2013&lt;/Year&gt;&lt;RecNum&gt;7&lt;/RecNum&gt;&lt;DisplayText&gt;(12)&lt;/DisplayText&gt;&lt;record&gt;&lt;rec-number&gt;7&lt;/rec-number&gt;&lt;foreign-keys&gt;&lt;key app="EN" db-id="efzrzxttdz2psseepxapxaxrzxavdd2ztd22" timestamp="1457090872"&gt;7&lt;/key&gt;&lt;/foreign-keys&gt;&lt;ref-type name="Journal Article"&gt;17&lt;/ref-type&gt;&lt;contributors&gt;&lt;authors&gt;&lt;author&gt;Khan, MI&lt;/author&gt;&lt;author&gt;Johnston, M&lt;/author&gt;&lt;author&gt;Cunliffe, R&lt;/author&gt;&lt;author&gt;Claydon, A&lt;/author&gt;&lt;/authors&gt;&lt;/contributors&gt;&lt;titles&gt;&lt;title&gt;The role of capsule endoscopy in small bowel pathology: a review of 122 cases&lt;/title&gt;&lt;secondary-title&gt;NZ Med J&lt;/secondary-title&gt;&lt;/titles&gt;&lt;periodical&gt;&lt;full-title&gt;NZ Med J&lt;/full-title&gt;&lt;/periodical&gt;&lt;pages&gt;16-26&lt;/pages&gt;&lt;volume&gt;126&lt;/volume&gt;&lt;number&gt;1369&lt;/number&gt;&lt;dates&gt;&lt;year&gt;2013&lt;/year&gt;&lt;/dates&gt;&lt;urls&gt;&lt;/urls&gt;&lt;/record&gt;&lt;/Cite&gt;&lt;/EndNote&gt;</w:instrText>
            </w:r>
            <w:r w:rsidRPr="000D5177">
              <w:rPr>
                <w:vertAlign w:val="superscript"/>
              </w:rPr>
              <w:fldChar w:fldCharType="separate"/>
            </w:r>
            <w:r w:rsidRPr="000D5177">
              <w:rPr>
                <w:noProof/>
                <w:vertAlign w:val="superscript"/>
              </w:rPr>
              <w:t>(12)</w:t>
            </w:r>
            <w:r w:rsidRPr="000D5177">
              <w:rPr>
                <w:vertAlign w:val="superscript"/>
              </w:rPr>
              <w:fldChar w:fldCharType="end"/>
            </w:r>
          </w:p>
        </w:tc>
        <w:tc>
          <w:tcPr>
            <w:tcW w:w="1786" w:type="dxa"/>
          </w:tcPr>
          <w:p w14:paraId="129064F1" w14:textId="77777777" w:rsidR="00360A76" w:rsidRPr="000D5177" w:rsidRDefault="00360A76" w:rsidP="003C59B2">
            <w:pPr>
              <w:pStyle w:val="Tabletext"/>
            </w:pPr>
            <w:r w:rsidRPr="000D5177">
              <w:t xml:space="preserve">Retrospective </w:t>
            </w:r>
          </w:p>
        </w:tc>
        <w:tc>
          <w:tcPr>
            <w:tcW w:w="2234" w:type="dxa"/>
          </w:tcPr>
          <w:p w14:paraId="487D3210" w14:textId="77777777" w:rsidR="00360A76" w:rsidRPr="000D5177" w:rsidRDefault="00360A76" w:rsidP="003C59B2">
            <w:pPr>
              <w:pStyle w:val="Tabletext"/>
            </w:pPr>
            <w:r w:rsidRPr="000D5177">
              <w:t xml:space="preserve">122 pts 70% with obscure GI bleeding </w:t>
            </w:r>
          </w:p>
        </w:tc>
        <w:tc>
          <w:tcPr>
            <w:tcW w:w="2079" w:type="dxa"/>
          </w:tcPr>
          <w:p w14:paraId="05F678B7" w14:textId="77777777" w:rsidR="00360A76" w:rsidRPr="000D5177" w:rsidRDefault="00360A76" w:rsidP="003C59B2">
            <w:pPr>
              <w:pStyle w:val="Tabletext"/>
            </w:pPr>
            <w:r w:rsidRPr="000D5177">
              <w:t>Overall diagnostic yield 52%</w:t>
            </w:r>
          </w:p>
        </w:tc>
        <w:tc>
          <w:tcPr>
            <w:tcW w:w="1606" w:type="dxa"/>
          </w:tcPr>
          <w:p w14:paraId="5B81C358" w14:textId="11E2ACA1" w:rsidR="00360A76" w:rsidRPr="000D5177" w:rsidRDefault="00FB05A0" w:rsidP="003C59B2">
            <w:pPr>
              <w:pStyle w:val="Tabletext"/>
            </w:pPr>
            <w:r>
              <w:t>Not specified</w:t>
            </w:r>
          </w:p>
        </w:tc>
      </w:tr>
      <w:tr w:rsidR="000D5177" w:rsidRPr="000D5177" w14:paraId="18770792" w14:textId="77777777" w:rsidTr="000D5177">
        <w:tc>
          <w:tcPr>
            <w:tcW w:w="1475" w:type="dxa"/>
          </w:tcPr>
          <w:p w14:paraId="7617BC9D" w14:textId="77777777" w:rsidR="00360A76" w:rsidRPr="000D5177" w:rsidRDefault="00360A76" w:rsidP="003C59B2">
            <w:pPr>
              <w:pStyle w:val="Tabletext"/>
            </w:pPr>
            <w:r w:rsidRPr="000D5177">
              <w:t>Leung et al 2012</w:t>
            </w:r>
            <w:r w:rsidRPr="000D5177">
              <w:rPr>
                <w:vertAlign w:val="superscript"/>
              </w:rPr>
              <w:fldChar w:fldCharType="begin"/>
            </w:r>
            <w:r w:rsidRPr="000D5177">
              <w:rPr>
                <w:vertAlign w:val="superscript"/>
              </w:rPr>
              <w:instrText xml:space="preserve"> ADDIN EN.CITE &lt;EndNote&gt;&lt;Cite&gt;&lt;Author&gt;Leung&lt;/Author&gt;&lt;Year&gt;2012&lt;/Year&gt;&lt;RecNum&gt;8&lt;/RecNum&gt;&lt;DisplayText&gt;(13)&lt;/DisplayText&gt;&lt;record&gt;&lt;rec-number&gt;8&lt;/rec-number&gt;&lt;foreign-keys&gt;&lt;key app="EN" db-id="efzrzxttdz2psseepxapxaxrzxavdd2ztd22" timestamp="1457163124"&gt;8&lt;/key&gt;&lt;/foreign-keys&gt;&lt;ref-type name="Journal Article"&gt;17&lt;/ref-type&gt;&lt;contributors&gt;&lt;authors&gt;&lt;author&gt;Leung, WK&lt;/author&gt;&lt;author&gt;Ho, SS&lt;/author&gt;&lt;author&gt;Suen, BY&lt;/author&gt;&lt;author&gt;Lai, LH&lt;/author&gt;&lt;author&gt;Yu, S&lt;/author&gt;&lt;author&gt;Ng, EK&lt;/author&gt;&lt;author&gt;Ng, SS&lt;/author&gt;&lt;author&gt;Chiu, PW&lt;/author&gt;&lt;author&gt;Sung, JJ&lt;/author&gt;&lt;author&gt;Chan, FK, Lau, JY&lt;/author&gt;&lt;/authors&gt;&lt;/contributors&gt;&lt;titles&gt;&lt;title&gt;Capsule endoscopy or angiography in patients with acute overt obscure gastrointestinal bleeding: a prospective randomized study with long-term follow-up&lt;/title&gt;&lt;secondary-title&gt;Am J Gastroenterol&lt;/secondary-title&gt;&lt;/titles&gt;&lt;periodical&gt;&lt;full-title&gt;Am J Gastroenterol&lt;/full-title&gt;&lt;/periodical&gt;&lt;pages&gt;1370-6&lt;/pages&gt;&lt;volume&gt;107&lt;/volume&gt;&lt;number&gt;9&lt;/number&gt;&lt;dates&gt;&lt;year&gt;2012&lt;/year&gt;&lt;/dates&gt;&lt;urls&gt;&lt;/urls&gt;&lt;/record&gt;&lt;/Cite&gt;&lt;/EndNote&gt;</w:instrText>
            </w:r>
            <w:r w:rsidRPr="000D5177">
              <w:rPr>
                <w:vertAlign w:val="superscript"/>
              </w:rPr>
              <w:fldChar w:fldCharType="separate"/>
            </w:r>
            <w:r w:rsidRPr="000D5177">
              <w:rPr>
                <w:noProof/>
                <w:vertAlign w:val="superscript"/>
              </w:rPr>
              <w:t>(13)</w:t>
            </w:r>
            <w:r w:rsidRPr="000D5177">
              <w:rPr>
                <w:vertAlign w:val="superscript"/>
              </w:rPr>
              <w:fldChar w:fldCharType="end"/>
            </w:r>
          </w:p>
        </w:tc>
        <w:tc>
          <w:tcPr>
            <w:tcW w:w="1786" w:type="dxa"/>
          </w:tcPr>
          <w:p w14:paraId="07ABDA36" w14:textId="77777777" w:rsidR="00360A76" w:rsidRPr="000D5177" w:rsidRDefault="00360A76" w:rsidP="003C59B2">
            <w:pPr>
              <w:pStyle w:val="Tabletext"/>
            </w:pPr>
            <w:r w:rsidRPr="000D5177">
              <w:t xml:space="preserve">Prospective randomized </w:t>
            </w:r>
          </w:p>
          <w:p w14:paraId="66DEF0CD" w14:textId="77777777" w:rsidR="00360A76" w:rsidRPr="000D5177" w:rsidRDefault="00360A76" w:rsidP="003C59B2">
            <w:pPr>
              <w:pStyle w:val="Tabletext"/>
            </w:pPr>
            <w:r w:rsidRPr="000D5177">
              <w:t>CE vs angiography</w:t>
            </w:r>
          </w:p>
        </w:tc>
        <w:tc>
          <w:tcPr>
            <w:tcW w:w="2234" w:type="dxa"/>
          </w:tcPr>
          <w:p w14:paraId="11C8E89A" w14:textId="77777777" w:rsidR="00360A76" w:rsidRPr="000D5177" w:rsidRDefault="00360A76" w:rsidP="003C59B2">
            <w:pPr>
              <w:pStyle w:val="Tabletext"/>
            </w:pPr>
            <w:r w:rsidRPr="000D5177">
              <w:t>60 pts with OGIB</w:t>
            </w:r>
          </w:p>
        </w:tc>
        <w:tc>
          <w:tcPr>
            <w:tcW w:w="2079" w:type="dxa"/>
          </w:tcPr>
          <w:p w14:paraId="639026A6" w14:textId="77777777" w:rsidR="00360A76" w:rsidRPr="000D5177" w:rsidRDefault="00360A76" w:rsidP="00C33118">
            <w:pPr>
              <w:pStyle w:val="NormalBulleted"/>
            </w:pPr>
            <w:r w:rsidRPr="000D5177">
              <w:t xml:space="preserve">CE – 53.3% </w:t>
            </w:r>
          </w:p>
          <w:p w14:paraId="2C278BD1" w14:textId="77777777" w:rsidR="00360A76" w:rsidRPr="000D5177" w:rsidRDefault="00360A76" w:rsidP="00C33118">
            <w:pPr>
              <w:pStyle w:val="NormalBulleted"/>
            </w:pPr>
            <w:r w:rsidRPr="000D5177">
              <w:t>Angio - 20%</w:t>
            </w:r>
          </w:p>
        </w:tc>
        <w:tc>
          <w:tcPr>
            <w:tcW w:w="1606" w:type="dxa"/>
          </w:tcPr>
          <w:p w14:paraId="042B9EC8" w14:textId="76C6331A" w:rsidR="00360A76" w:rsidRPr="000D5177" w:rsidRDefault="00FB05A0" w:rsidP="003C59B2">
            <w:pPr>
              <w:pStyle w:val="Tabletext"/>
            </w:pPr>
            <w:r>
              <w:t>Not specified</w:t>
            </w:r>
          </w:p>
        </w:tc>
      </w:tr>
      <w:tr w:rsidR="000D5177" w:rsidRPr="000D5177" w14:paraId="6697FAEA" w14:textId="77777777" w:rsidTr="000D5177">
        <w:tc>
          <w:tcPr>
            <w:tcW w:w="1475" w:type="dxa"/>
          </w:tcPr>
          <w:p w14:paraId="296A2643" w14:textId="77777777" w:rsidR="00360A76" w:rsidRPr="000D5177" w:rsidRDefault="00360A76" w:rsidP="003C59B2">
            <w:pPr>
              <w:pStyle w:val="Tabletext"/>
            </w:pPr>
            <w:r w:rsidRPr="000D5177">
              <w:t>Shishido et al 2012</w:t>
            </w:r>
            <w:r w:rsidRPr="000D5177">
              <w:rPr>
                <w:vertAlign w:val="superscript"/>
              </w:rPr>
              <w:fldChar w:fldCharType="begin"/>
            </w:r>
            <w:r w:rsidRPr="000D5177">
              <w:rPr>
                <w:vertAlign w:val="superscript"/>
              </w:rPr>
              <w:instrText xml:space="preserve"> ADDIN EN.CITE &lt;EndNote&gt;&lt;Cite&gt;&lt;Author&gt;Shishido&lt;/Author&gt;&lt;Year&gt;2012&lt;/Year&gt;&lt;RecNum&gt;9&lt;/RecNum&gt;&lt;DisplayText&gt;(14)&lt;/DisplayText&gt;&lt;record&gt;&lt;rec-number&gt;9&lt;/rec-number&gt;&lt;foreign-keys&gt;&lt;key app="EN" db-id="efzrzxttdz2psseepxapxaxrzxavdd2ztd22" timestamp="1457163881"&gt;9&lt;/key&gt;&lt;/foreign-keys&gt;&lt;ref-type name="Journal Article"&gt;17&lt;/ref-type&gt;&lt;contributors&gt;&lt;authors&gt;&lt;author&gt;Shishido, T&lt;/author&gt;&lt;author&gt;Oka, S&lt;/author&gt;&lt;author&gt;Tanaka, S&lt;/author&gt;&lt;author&gt;Aoyama, T&lt;/author&gt;&lt;author&gt;Watari, I&lt;/author&gt;&lt;author&gt;Imagawa, H&lt;/author&gt;&lt;author&gt;Yoshida, S&lt;/author&gt;&lt;author&gt;Chayama, K&lt;/author&gt;&lt;/authors&gt;&lt;/contributors&gt;&lt;titles&gt;&lt;title&gt;Diagnostic yield of capsule endoscopy vs double-balloon endoscopy for patients who have undergone total enteroscopy with obscure gastrointestinal bleeding&lt;/title&gt;&lt;secondary-title&gt;Hepatogastroenterology&lt;/secondary-title&gt;&lt;/titles&gt;&lt;periodical&gt;&lt;full-title&gt;Hepatogastroenterology&lt;/full-title&gt;&lt;/periodical&gt;&lt;pages&gt;955-9&lt;/pages&gt;&lt;volume&gt;59&lt;/volume&gt;&lt;number&gt;116&lt;/number&gt;&lt;dates&gt;&lt;year&gt;2012&lt;/year&gt;&lt;/dates&gt;&lt;urls&gt;&lt;/urls&gt;&lt;/record&gt;&lt;/Cite&gt;&lt;/EndNote&gt;</w:instrText>
            </w:r>
            <w:r w:rsidRPr="000D5177">
              <w:rPr>
                <w:vertAlign w:val="superscript"/>
              </w:rPr>
              <w:fldChar w:fldCharType="separate"/>
            </w:r>
            <w:r w:rsidRPr="000D5177">
              <w:rPr>
                <w:noProof/>
                <w:vertAlign w:val="superscript"/>
              </w:rPr>
              <w:t>(14)</w:t>
            </w:r>
            <w:r w:rsidRPr="000D5177">
              <w:rPr>
                <w:vertAlign w:val="superscript"/>
              </w:rPr>
              <w:fldChar w:fldCharType="end"/>
            </w:r>
          </w:p>
        </w:tc>
        <w:tc>
          <w:tcPr>
            <w:tcW w:w="1786" w:type="dxa"/>
          </w:tcPr>
          <w:p w14:paraId="684A90FC" w14:textId="77777777" w:rsidR="00360A76" w:rsidRPr="000D5177" w:rsidRDefault="00360A76" w:rsidP="003C59B2">
            <w:pPr>
              <w:pStyle w:val="Tabletext"/>
            </w:pPr>
            <w:r w:rsidRPr="000D5177">
              <w:t>Prospective</w:t>
            </w:r>
          </w:p>
          <w:p w14:paraId="0FA8F9AD" w14:textId="77777777" w:rsidR="00360A76" w:rsidRPr="000D5177" w:rsidRDefault="00360A76" w:rsidP="003C59B2">
            <w:pPr>
              <w:pStyle w:val="Tabletext"/>
            </w:pPr>
            <w:r w:rsidRPr="000D5177">
              <w:t>CE vs DBE</w:t>
            </w:r>
          </w:p>
        </w:tc>
        <w:tc>
          <w:tcPr>
            <w:tcW w:w="2234" w:type="dxa"/>
          </w:tcPr>
          <w:p w14:paraId="09B1DCAD" w14:textId="3298C34D" w:rsidR="00360A76" w:rsidRPr="000D5177" w:rsidRDefault="00360A76" w:rsidP="0020210D">
            <w:pPr>
              <w:pStyle w:val="Tabletext"/>
            </w:pPr>
            <w:r w:rsidRPr="000D5177">
              <w:t>118 pts with OGIB (mean age 62.9 +/- 18.4)</w:t>
            </w:r>
          </w:p>
        </w:tc>
        <w:tc>
          <w:tcPr>
            <w:tcW w:w="2079" w:type="dxa"/>
          </w:tcPr>
          <w:p w14:paraId="076B97CB" w14:textId="77777777" w:rsidR="00360A76" w:rsidRPr="000D5177" w:rsidRDefault="00360A76" w:rsidP="003C59B2">
            <w:pPr>
              <w:pStyle w:val="Tabletext"/>
            </w:pPr>
            <w:r w:rsidRPr="000D5177">
              <w:t>CE - 44.9%</w:t>
            </w:r>
          </w:p>
          <w:p w14:paraId="48E14A50" w14:textId="0F6DA943" w:rsidR="00360A76" w:rsidRPr="000D5177" w:rsidRDefault="00360A76" w:rsidP="0020210D">
            <w:pPr>
              <w:pStyle w:val="Tabletext"/>
            </w:pPr>
            <w:r w:rsidRPr="000D5177">
              <w:t>DBE – 53.4%</w:t>
            </w:r>
          </w:p>
        </w:tc>
        <w:tc>
          <w:tcPr>
            <w:tcW w:w="1606" w:type="dxa"/>
          </w:tcPr>
          <w:p w14:paraId="05ECC040" w14:textId="2CA35AE4" w:rsidR="00360A76" w:rsidRPr="000D5177" w:rsidRDefault="00FB05A0" w:rsidP="003C59B2">
            <w:pPr>
              <w:pStyle w:val="Tabletext"/>
            </w:pPr>
            <w:r>
              <w:t>Not specified</w:t>
            </w:r>
          </w:p>
        </w:tc>
      </w:tr>
      <w:tr w:rsidR="000D5177" w:rsidRPr="000D5177" w14:paraId="188933F8" w14:textId="77777777" w:rsidTr="000D5177">
        <w:tc>
          <w:tcPr>
            <w:tcW w:w="1475" w:type="dxa"/>
          </w:tcPr>
          <w:p w14:paraId="6F81CE87" w14:textId="77777777" w:rsidR="00360A76" w:rsidRPr="000D5177" w:rsidRDefault="00360A76" w:rsidP="003C59B2">
            <w:pPr>
              <w:pStyle w:val="Tabletext"/>
            </w:pPr>
            <w:r w:rsidRPr="000D5177">
              <w:t>Lecleire et al 2012</w:t>
            </w:r>
            <w:r w:rsidRPr="000D5177">
              <w:rPr>
                <w:vertAlign w:val="superscript"/>
              </w:rPr>
              <w:fldChar w:fldCharType="begin"/>
            </w:r>
            <w:r w:rsidRPr="000D5177">
              <w:rPr>
                <w:vertAlign w:val="superscript"/>
              </w:rPr>
              <w:instrText xml:space="preserve"> ADDIN EN.CITE &lt;EndNote&gt;&lt;Cite&gt;&lt;Author&gt;Lecleire&lt;/Author&gt;&lt;Year&gt;2012&lt;/Year&gt;&lt;RecNum&gt;11&lt;/RecNum&gt;&lt;DisplayText&gt;(15)&lt;/DisplayText&gt;&lt;record&gt;&lt;rec-number&gt;11&lt;/rec-number&gt;&lt;foreign-keys&gt;&lt;key app="EN" db-id="efzrzxttdz2psseepxapxaxrzxavdd2ztd22" timestamp="1457165789"&gt;11&lt;/key&gt;&lt;/foreign-keys&gt;&lt;ref-type name="Journal Article"&gt;17&lt;/ref-type&gt;&lt;contributors&gt;&lt;authors&gt;&lt;author&gt;Lecleire, S&lt;/author&gt;&lt;author&gt;Iwanicki-Caron, I&lt;/author&gt;&lt;author&gt;Di-Fiore, A&lt;/author&gt;&lt;author&gt;Elie, C&lt;/author&gt;&lt;author&gt;Alhameedi, R&lt;/author&gt;&lt;author&gt;Ramirez, S&lt;/author&gt;&lt;author&gt;Herve, S&lt;/author&gt;&lt;author&gt;Ben-Soussan, E&lt;/author&gt;&lt;author&gt;Ducrotte, P&lt;/author&gt;&lt;author&gt;Antoinetti, M&lt;/author&gt;&lt;/authors&gt;&lt;/contributors&gt;&lt;titles&gt;&lt;title&gt;Yield and impact of emergency capsule enteroscopy in severe obscure-overt gastrointestinal bleeding&lt;/title&gt;&lt;secondary-title&gt;Endoscopy&lt;/secondary-title&gt;&lt;/titles&gt;&lt;periodical&gt;&lt;full-title&gt;Endoscopy&lt;/full-title&gt;&lt;/periodical&gt;&lt;pages&gt;337-42&lt;/pages&gt;&lt;volume&gt;44&lt;/volume&gt;&lt;number&gt;4&lt;/number&gt;&lt;dates&gt;&lt;year&gt;2012&lt;/year&gt;&lt;/dates&gt;&lt;urls&gt;&lt;/urls&gt;&lt;/record&gt;&lt;/Cite&gt;&lt;/EndNote&gt;</w:instrText>
            </w:r>
            <w:r w:rsidRPr="000D5177">
              <w:rPr>
                <w:vertAlign w:val="superscript"/>
              </w:rPr>
              <w:fldChar w:fldCharType="separate"/>
            </w:r>
            <w:r w:rsidRPr="000D5177">
              <w:rPr>
                <w:noProof/>
                <w:vertAlign w:val="superscript"/>
              </w:rPr>
              <w:t>(15)</w:t>
            </w:r>
            <w:r w:rsidRPr="000D5177">
              <w:rPr>
                <w:vertAlign w:val="superscript"/>
              </w:rPr>
              <w:fldChar w:fldCharType="end"/>
            </w:r>
          </w:p>
        </w:tc>
        <w:tc>
          <w:tcPr>
            <w:tcW w:w="1786" w:type="dxa"/>
          </w:tcPr>
          <w:p w14:paraId="61DD03FB" w14:textId="77777777" w:rsidR="00360A76" w:rsidRPr="000D5177" w:rsidRDefault="00360A76" w:rsidP="003C59B2">
            <w:pPr>
              <w:pStyle w:val="Tabletext"/>
            </w:pPr>
            <w:r w:rsidRPr="000D5177">
              <w:t>Retrospective</w:t>
            </w:r>
          </w:p>
        </w:tc>
        <w:tc>
          <w:tcPr>
            <w:tcW w:w="2234" w:type="dxa"/>
          </w:tcPr>
          <w:p w14:paraId="76EEA699" w14:textId="77777777" w:rsidR="00360A76" w:rsidRPr="000D5177" w:rsidRDefault="00360A76" w:rsidP="003C59B2">
            <w:pPr>
              <w:pStyle w:val="Tabletext"/>
            </w:pPr>
            <w:r w:rsidRPr="000D5177">
              <w:t>5744 pts with severe OGIB who underwent emergency CE in 24-48 hrs following negative upper and lower endoscopy</w:t>
            </w:r>
          </w:p>
        </w:tc>
        <w:tc>
          <w:tcPr>
            <w:tcW w:w="2079" w:type="dxa"/>
          </w:tcPr>
          <w:p w14:paraId="3C7A236F" w14:textId="77777777" w:rsidR="00360A76" w:rsidRPr="000D5177" w:rsidRDefault="00360A76" w:rsidP="003C59B2">
            <w:pPr>
              <w:pStyle w:val="Tabletext"/>
            </w:pPr>
            <w:r w:rsidRPr="000D5177">
              <w:t>CE – 67%</w:t>
            </w:r>
          </w:p>
        </w:tc>
        <w:tc>
          <w:tcPr>
            <w:tcW w:w="1606" w:type="dxa"/>
          </w:tcPr>
          <w:p w14:paraId="34AE29E0" w14:textId="363DAA97" w:rsidR="00360A76" w:rsidRPr="000D5177" w:rsidRDefault="00FB05A0" w:rsidP="003C59B2">
            <w:pPr>
              <w:pStyle w:val="Tabletext"/>
            </w:pPr>
            <w:r>
              <w:t>Not specified</w:t>
            </w:r>
          </w:p>
        </w:tc>
      </w:tr>
      <w:tr w:rsidR="000D5177" w:rsidRPr="000D5177" w14:paraId="63947AA1" w14:textId="77777777" w:rsidTr="000D5177">
        <w:tc>
          <w:tcPr>
            <w:tcW w:w="1475" w:type="dxa"/>
          </w:tcPr>
          <w:p w14:paraId="629B7068" w14:textId="77777777" w:rsidR="00360A76" w:rsidRPr="000D5177" w:rsidRDefault="00360A76" w:rsidP="003C59B2">
            <w:pPr>
              <w:pStyle w:val="Tabletext"/>
            </w:pPr>
            <w:r w:rsidRPr="000D5177">
              <w:t>Heo et al 2012</w:t>
            </w:r>
            <w:r w:rsidRPr="000D5177">
              <w:rPr>
                <w:vertAlign w:val="superscript"/>
              </w:rPr>
              <w:fldChar w:fldCharType="begin"/>
            </w:r>
            <w:r w:rsidRPr="000D5177">
              <w:rPr>
                <w:vertAlign w:val="superscript"/>
              </w:rPr>
              <w:instrText xml:space="preserve"> ADDIN EN.CITE &lt;EndNote&gt;&lt;Cite&gt;&lt;Author&gt;Heo&lt;/Author&gt;&lt;Year&gt;2012&lt;/Year&gt;&lt;RecNum&gt;12&lt;/RecNum&gt;&lt;DisplayText&gt;(16)&lt;/DisplayText&gt;&lt;record&gt;&lt;rec-number&gt;12&lt;/rec-number&gt;&lt;foreign-keys&gt;&lt;key app="EN" db-id="efzrzxttdz2psseepxapxaxrzxavdd2ztd22" timestamp="1457166497"&gt;12&lt;/key&gt;&lt;/foreign-keys&gt;&lt;ref-type name="Journal Article"&gt;17&lt;/ref-type&gt;&lt;contributors&gt;&lt;authors&gt;&lt;author&gt;Heo, HM&lt;/author&gt;&lt;author&gt;Park, CH&lt;/author&gt;&lt;author&gt;Lim, JS&lt;/author&gt;&lt;author&gt;Lee, JH&lt;/author&gt;&lt;author&gt;Kim, BK, &lt;/author&gt;&lt;author&gt;Cheon, JH&lt;/author&gt;&lt;author&gt;Kim, TI&lt;/author&gt;&lt;author&gt;Kim, WH&lt;/author&gt;&lt;author&gt;Hong, SP&lt;/author&gt;&lt;/authors&gt;&lt;/contributors&gt;&lt;titles&gt;&lt;title&gt;The role of capsule endoscopy after negative CT enterography in patients with obscure gastrointestinal bleeding&lt;/title&gt;&lt;secondary-title&gt;Eur Radiol&lt;/secondary-title&gt;&lt;/titles&gt;&lt;periodical&gt;&lt;full-title&gt;Eur Radiol&lt;/full-title&gt;&lt;/periodical&gt;&lt;pages&gt;1159-66&lt;/pages&gt;&lt;volume&gt;22&lt;/volume&gt;&lt;number&gt;6&lt;/number&gt;&lt;dates&gt;&lt;year&gt;2012&lt;/year&gt;&lt;/dates&gt;&lt;urls&gt;&lt;/urls&gt;&lt;/record&gt;&lt;/Cite&gt;&lt;/EndNote&gt;</w:instrText>
            </w:r>
            <w:r w:rsidRPr="000D5177">
              <w:rPr>
                <w:vertAlign w:val="superscript"/>
              </w:rPr>
              <w:fldChar w:fldCharType="separate"/>
            </w:r>
            <w:r w:rsidRPr="000D5177">
              <w:rPr>
                <w:noProof/>
                <w:vertAlign w:val="superscript"/>
              </w:rPr>
              <w:t>(16)</w:t>
            </w:r>
            <w:r w:rsidRPr="000D5177">
              <w:rPr>
                <w:vertAlign w:val="superscript"/>
              </w:rPr>
              <w:fldChar w:fldCharType="end"/>
            </w:r>
          </w:p>
        </w:tc>
        <w:tc>
          <w:tcPr>
            <w:tcW w:w="1786" w:type="dxa"/>
          </w:tcPr>
          <w:p w14:paraId="00343248" w14:textId="77777777" w:rsidR="00360A76" w:rsidRPr="000D5177" w:rsidRDefault="00360A76" w:rsidP="003C59B2">
            <w:pPr>
              <w:pStyle w:val="Tabletext"/>
            </w:pPr>
            <w:r w:rsidRPr="000D5177">
              <w:t xml:space="preserve">Retrospective </w:t>
            </w:r>
          </w:p>
        </w:tc>
        <w:tc>
          <w:tcPr>
            <w:tcW w:w="2234" w:type="dxa"/>
          </w:tcPr>
          <w:p w14:paraId="6D79A83B" w14:textId="77777777" w:rsidR="00360A76" w:rsidRPr="000D5177" w:rsidRDefault="00360A76" w:rsidP="003C59B2">
            <w:pPr>
              <w:pStyle w:val="Tabletext"/>
            </w:pPr>
            <w:r w:rsidRPr="000D5177">
              <w:t>30 pts with OGIB receiving CE after negative CT enterography</w:t>
            </w:r>
          </w:p>
        </w:tc>
        <w:tc>
          <w:tcPr>
            <w:tcW w:w="2079" w:type="dxa"/>
          </w:tcPr>
          <w:p w14:paraId="6F37C27D" w14:textId="77777777" w:rsidR="00360A76" w:rsidRPr="000D5177" w:rsidRDefault="00360A76" w:rsidP="003C59B2">
            <w:pPr>
              <w:pStyle w:val="Tabletext"/>
            </w:pPr>
            <w:r w:rsidRPr="000D5177">
              <w:t>CE - 57%</w:t>
            </w:r>
          </w:p>
        </w:tc>
        <w:tc>
          <w:tcPr>
            <w:tcW w:w="1606" w:type="dxa"/>
          </w:tcPr>
          <w:p w14:paraId="492D2295" w14:textId="4690A603" w:rsidR="00360A76" w:rsidRPr="000D5177" w:rsidRDefault="00FB05A0" w:rsidP="003C59B2">
            <w:pPr>
              <w:pStyle w:val="Tabletext"/>
            </w:pPr>
            <w:r>
              <w:t>Not specified</w:t>
            </w:r>
          </w:p>
        </w:tc>
      </w:tr>
      <w:tr w:rsidR="000D5177" w:rsidRPr="000D5177" w14:paraId="3DCDBF61" w14:textId="77777777" w:rsidTr="000D5177">
        <w:tc>
          <w:tcPr>
            <w:tcW w:w="1475" w:type="dxa"/>
          </w:tcPr>
          <w:p w14:paraId="52315DC9" w14:textId="77777777" w:rsidR="00360A76" w:rsidRPr="000D5177" w:rsidRDefault="00360A76" w:rsidP="003C59B2">
            <w:pPr>
              <w:pStyle w:val="Tabletext"/>
            </w:pPr>
            <w:r w:rsidRPr="000D5177">
              <w:t xml:space="preserve">Cuyle et al </w:t>
            </w:r>
            <w:r w:rsidRPr="000D5177">
              <w:rPr>
                <w:vertAlign w:val="superscript"/>
              </w:rPr>
              <w:fldChar w:fldCharType="begin"/>
            </w:r>
            <w:r w:rsidRPr="000D5177">
              <w:rPr>
                <w:vertAlign w:val="superscript"/>
              </w:rPr>
              <w:instrText xml:space="preserve"> ADDIN EN.CITE &lt;EndNote&gt;&lt;Cite&gt;&lt;Author&gt;Cuyle&lt;/Author&gt;&lt;Year&gt;2011&lt;/Year&gt;&lt;RecNum&gt;13&lt;/RecNum&gt;&lt;DisplayText&gt;(17)&lt;/DisplayText&gt;&lt;record&gt;&lt;rec-number&gt;13&lt;/rec-number&gt;&lt;foreign-keys&gt;&lt;key app="EN" db-id="efzrzxttdz2psseepxapxaxrzxavdd2ztd22" timestamp="1457167028"&gt;13&lt;/key&gt;&lt;/foreign-keys&gt;&lt;ref-type name="Journal Article"&gt;17&lt;/ref-type&gt;&lt;contributors&gt;&lt;authors&gt;&lt;author&gt;Cuyle, PJ&lt;/author&gt;&lt;author&gt;Schoofs, N&lt;/author&gt;&lt;author&gt;Bossuyt, P&lt;/author&gt;&lt;author&gt;Moons, V&lt;/author&gt;&lt;author&gt;Van Olmen, G&lt;/author&gt;&lt;author&gt;Hiele, M&lt;/author&gt;&lt;author&gt;Christiaens, P&lt;/author&gt;&lt;/authors&gt;&lt;/contributors&gt;&lt;titles&gt;&lt;title&gt;Single-centre experience on use of videocapsule endoscopy for obscure gastrointestinal bleeding in 120 consecutive patients&lt;/title&gt;&lt;secondary-title&gt;Acta Gastroenterol Belg&lt;/secondary-title&gt;&lt;/titles&gt;&lt;periodical&gt;&lt;full-title&gt;Acta Gastroenterol Belg&lt;/full-title&gt;&lt;/periodical&gt;&lt;pages&gt;400-6&lt;/pages&gt;&lt;volume&gt;74&lt;/volume&gt;&lt;number&gt;3&lt;/number&gt;&lt;dates&gt;&lt;year&gt;2011&lt;/year&gt;&lt;/dates&gt;&lt;urls&gt;&lt;/urls&gt;&lt;/record&gt;&lt;/Cite&gt;&lt;/EndNote&gt;</w:instrText>
            </w:r>
            <w:r w:rsidRPr="000D5177">
              <w:rPr>
                <w:vertAlign w:val="superscript"/>
              </w:rPr>
              <w:fldChar w:fldCharType="separate"/>
            </w:r>
            <w:r w:rsidRPr="000D5177">
              <w:rPr>
                <w:noProof/>
                <w:vertAlign w:val="superscript"/>
              </w:rPr>
              <w:t>(17)</w:t>
            </w:r>
            <w:r w:rsidRPr="000D5177">
              <w:rPr>
                <w:vertAlign w:val="superscript"/>
              </w:rPr>
              <w:fldChar w:fldCharType="end"/>
            </w:r>
          </w:p>
        </w:tc>
        <w:tc>
          <w:tcPr>
            <w:tcW w:w="1786" w:type="dxa"/>
          </w:tcPr>
          <w:p w14:paraId="4AE7C60E" w14:textId="77777777" w:rsidR="00360A76" w:rsidRPr="000D5177" w:rsidRDefault="00360A76" w:rsidP="003C59B2">
            <w:pPr>
              <w:pStyle w:val="Tabletext"/>
            </w:pPr>
            <w:r w:rsidRPr="000D5177">
              <w:t>Retrospective</w:t>
            </w:r>
          </w:p>
        </w:tc>
        <w:tc>
          <w:tcPr>
            <w:tcW w:w="2234" w:type="dxa"/>
          </w:tcPr>
          <w:p w14:paraId="38A5DF5A" w14:textId="77777777" w:rsidR="00360A76" w:rsidRPr="000D5177" w:rsidRDefault="00360A76" w:rsidP="003C59B2">
            <w:pPr>
              <w:pStyle w:val="Tabletext"/>
            </w:pPr>
            <w:r w:rsidRPr="000D5177">
              <w:t xml:space="preserve">120 pts with OGIB </w:t>
            </w:r>
          </w:p>
        </w:tc>
        <w:tc>
          <w:tcPr>
            <w:tcW w:w="2079" w:type="dxa"/>
          </w:tcPr>
          <w:p w14:paraId="4E76587C" w14:textId="77777777" w:rsidR="00360A76" w:rsidRPr="000D5177" w:rsidRDefault="00360A76" w:rsidP="003C59B2">
            <w:pPr>
              <w:pStyle w:val="Tabletext"/>
            </w:pPr>
            <w:r w:rsidRPr="000D5177">
              <w:t>CE – 47.5%</w:t>
            </w:r>
          </w:p>
          <w:p w14:paraId="2D2D7041" w14:textId="77777777" w:rsidR="00360A76" w:rsidRPr="000D5177" w:rsidRDefault="00360A76" w:rsidP="003C59B2">
            <w:pPr>
              <w:pStyle w:val="Tabletext"/>
            </w:pPr>
            <w:r w:rsidRPr="000D5177">
              <w:t>No difference between overt and occult group</w:t>
            </w:r>
          </w:p>
          <w:p w14:paraId="433833F9" w14:textId="77777777" w:rsidR="00360A76" w:rsidRPr="000D5177" w:rsidRDefault="00360A76" w:rsidP="003C59B2">
            <w:pPr>
              <w:pStyle w:val="Tabletext"/>
            </w:pPr>
            <w:r w:rsidRPr="000D5177">
              <w:t xml:space="preserve">Presence of CVS comorbidity was assoc with statistically significant increase in diagnostic yield </w:t>
            </w:r>
          </w:p>
        </w:tc>
        <w:tc>
          <w:tcPr>
            <w:tcW w:w="1606" w:type="dxa"/>
          </w:tcPr>
          <w:p w14:paraId="5E2EA070" w14:textId="77777777" w:rsidR="00360A76" w:rsidRPr="000D5177" w:rsidRDefault="00360A76" w:rsidP="003C59B2">
            <w:pPr>
              <w:pStyle w:val="Tabletext"/>
            </w:pPr>
            <w:r w:rsidRPr="000D5177">
              <w:t>1 case capsule retention</w:t>
            </w:r>
          </w:p>
        </w:tc>
      </w:tr>
      <w:tr w:rsidR="000D5177" w:rsidRPr="000D5177" w14:paraId="324104B9" w14:textId="77777777" w:rsidTr="000D5177">
        <w:tc>
          <w:tcPr>
            <w:tcW w:w="1475" w:type="dxa"/>
          </w:tcPr>
          <w:p w14:paraId="1933CC26" w14:textId="77777777" w:rsidR="00360A76" w:rsidRPr="000D5177" w:rsidRDefault="00360A76" w:rsidP="003C59B2">
            <w:pPr>
              <w:pStyle w:val="Tabletext"/>
            </w:pPr>
            <w:r w:rsidRPr="000D5177">
              <w:lastRenderedPageBreak/>
              <w:t>Calabrese et al 2013</w:t>
            </w:r>
            <w:r w:rsidRPr="000D5177">
              <w:rPr>
                <w:vertAlign w:val="superscript"/>
              </w:rPr>
              <w:fldChar w:fldCharType="begin"/>
            </w:r>
            <w:r w:rsidRPr="000D5177">
              <w:rPr>
                <w:vertAlign w:val="superscript"/>
              </w:rPr>
              <w:instrText xml:space="preserve"> ADDIN EN.CITE &lt;EndNote&gt;&lt;Cite&gt;&lt;Author&gt;Calabrese&lt;/Author&gt;&lt;Year&gt;2013&lt;/Year&gt;&lt;RecNum&gt;14&lt;/RecNum&gt;&lt;DisplayText&gt;(18)&lt;/DisplayText&gt;&lt;record&gt;&lt;rec-number&gt;14&lt;/rec-number&gt;&lt;foreign-keys&gt;&lt;key app="EN" db-id="efzrzxttdz2psseepxapxaxrzxavdd2ztd22" timestamp="1457172598"&gt;14&lt;/key&gt;&lt;/foreign-keys&gt;&lt;ref-type name="Journal Article"&gt;17&lt;/ref-type&gt;&lt;contributors&gt;&lt;authors&gt;&lt;author&gt;Calabrese, C&lt;/author&gt;&lt;author&gt;Liguori, G&lt;/author&gt;&lt;author&gt;Gionchetti, P&lt;/author&gt;&lt;author&gt;Rizzello, F&lt;/author&gt;&lt;author&gt;Laureti, S&lt;/author&gt;&lt;author&gt;Di Simone, MP&lt;/author&gt;&lt;author&gt;Poggioli, G&lt;/author&gt;&lt;author&gt;Campieri, M&lt;/author&gt;&lt;/authors&gt;&lt;/contributors&gt;&lt;titles&gt;&lt;title&gt;Obscure gastrointestinal bleeding: single centre experience of capsule endoscopy&lt;/title&gt;&lt;secondary-title&gt;Intern Emerg Med&lt;/secondary-title&gt;&lt;/titles&gt;&lt;periodical&gt;&lt;full-title&gt;Intern Emerg Med&lt;/full-title&gt;&lt;/periodical&gt;&lt;pages&gt;681-7&lt;/pages&gt;&lt;volume&gt;8&lt;/volume&gt;&lt;number&gt;8&lt;/number&gt;&lt;dates&gt;&lt;year&gt;2013&lt;/year&gt;&lt;/dates&gt;&lt;urls&gt;&lt;/urls&gt;&lt;/record&gt;&lt;/Cite&gt;&lt;/EndNote&gt;</w:instrText>
            </w:r>
            <w:r w:rsidRPr="000D5177">
              <w:rPr>
                <w:vertAlign w:val="superscript"/>
              </w:rPr>
              <w:fldChar w:fldCharType="separate"/>
            </w:r>
            <w:r w:rsidRPr="000D5177">
              <w:rPr>
                <w:noProof/>
                <w:vertAlign w:val="superscript"/>
              </w:rPr>
              <w:t>(18)</w:t>
            </w:r>
            <w:r w:rsidRPr="000D5177">
              <w:rPr>
                <w:vertAlign w:val="superscript"/>
              </w:rPr>
              <w:fldChar w:fldCharType="end"/>
            </w:r>
          </w:p>
        </w:tc>
        <w:tc>
          <w:tcPr>
            <w:tcW w:w="1786" w:type="dxa"/>
          </w:tcPr>
          <w:p w14:paraId="732B9476" w14:textId="77777777" w:rsidR="00360A76" w:rsidRPr="000D5177" w:rsidRDefault="00360A76" w:rsidP="003C59B2">
            <w:pPr>
              <w:pStyle w:val="Tabletext"/>
            </w:pPr>
            <w:r w:rsidRPr="000D5177">
              <w:t>Retrospective review</w:t>
            </w:r>
          </w:p>
        </w:tc>
        <w:tc>
          <w:tcPr>
            <w:tcW w:w="2234" w:type="dxa"/>
          </w:tcPr>
          <w:p w14:paraId="69EB57B8" w14:textId="77777777" w:rsidR="00360A76" w:rsidRPr="000D5177" w:rsidRDefault="00360A76" w:rsidP="003C59B2">
            <w:pPr>
              <w:pStyle w:val="Tabletext"/>
            </w:pPr>
            <w:r w:rsidRPr="000D5177">
              <w:t>346 pts with OGIB</w:t>
            </w:r>
          </w:p>
        </w:tc>
        <w:tc>
          <w:tcPr>
            <w:tcW w:w="2079" w:type="dxa"/>
          </w:tcPr>
          <w:p w14:paraId="04911A92" w14:textId="77777777" w:rsidR="00360A76" w:rsidRPr="000D5177" w:rsidRDefault="00360A76" w:rsidP="003C59B2">
            <w:pPr>
              <w:pStyle w:val="Tabletext"/>
            </w:pPr>
            <w:r w:rsidRPr="000D5177">
              <w:t>CE - 59.5%</w:t>
            </w:r>
          </w:p>
        </w:tc>
        <w:tc>
          <w:tcPr>
            <w:tcW w:w="1606" w:type="dxa"/>
          </w:tcPr>
          <w:p w14:paraId="4DB4F5A8" w14:textId="77777777" w:rsidR="00360A76" w:rsidRPr="000D5177" w:rsidRDefault="00360A76" w:rsidP="003C59B2">
            <w:pPr>
              <w:pStyle w:val="Tabletext"/>
            </w:pPr>
            <w:r w:rsidRPr="000D5177">
              <w:t>Capsule retention – 1.4%</w:t>
            </w:r>
          </w:p>
        </w:tc>
      </w:tr>
      <w:tr w:rsidR="000D5177" w:rsidRPr="000D5177" w14:paraId="6739E555" w14:textId="77777777" w:rsidTr="000D5177">
        <w:tc>
          <w:tcPr>
            <w:tcW w:w="1475" w:type="dxa"/>
          </w:tcPr>
          <w:p w14:paraId="035F0D1F" w14:textId="77777777" w:rsidR="00360A76" w:rsidRPr="000D5177" w:rsidRDefault="00360A76" w:rsidP="003C59B2">
            <w:pPr>
              <w:pStyle w:val="Tabletext"/>
            </w:pPr>
            <w:r w:rsidRPr="000D5177">
              <w:t>Goenka et al 2011</w:t>
            </w:r>
            <w:r w:rsidRPr="000D5177">
              <w:rPr>
                <w:vertAlign w:val="superscript"/>
              </w:rPr>
              <w:fldChar w:fldCharType="begin"/>
            </w:r>
            <w:r w:rsidRPr="000D5177">
              <w:rPr>
                <w:vertAlign w:val="superscript"/>
              </w:rPr>
              <w:instrText xml:space="preserve"> ADDIN EN.CITE &lt;EndNote&gt;&lt;Cite&gt;&lt;Author&gt;Goenka&lt;/Author&gt;&lt;Year&gt;2011&lt;/Year&gt;&lt;RecNum&gt;15&lt;/RecNum&gt;&lt;DisplayText&gt;(19)&lt;/DisplayText&gt;&lt;record&gt;&lt;rec-number&gt;15&lt;/rec-number&gt;&lt;foreign-keys&gt;&lt;key app="EN" db-id="efzrzxttdz2psseepxapxaxrzxavdd2ztd22" timestamp="1457178395"&gt;15&lt;/key&gt;&lt;/foreign-keys&gt;&lt;ref-type name="Journal Article"&gt;17&lt;/ref-type&gt;&lt;contributors&gt;&lt;authors&gt;&lt;author&gt;Goenka, MK&lt;/author&gt;&lt;author&gt;Majumder, S&lt;/author&gt;&lt;author&gt;Kumar, S&lt;/author&gt;&lt;author&gt;Sethy, PK&lt;/author&gt;&lt;author&gt;Goenka, U&lt;/author&gt;&lt;/authors&gt;&lt;/contributors&gt;&lt;titles&gt;&lt;title&gt;Single center experience of capsule endoscopy in patients with obscure gastrointestinal bleeding&lt;/title&gt;&lt;secondary-title&gt;World J Gastroenterol&lt;/secondary-title&gt;&lt;/titles&gt;&lt;periodical&gt;&lt;full-title&gt;World J Gastroenterol&lt;/full-title&gt;&lt;/periodical&gt;&lt;pages&gt;774-8&lt;/pages&gt;&lt;volume&gt;17&lt;/volume&gt;&lt;number&gt;6&lt;/number&gt;&lt;dates&gt;&lt;year&gt;2011&lt;/year&gt;&lt;/dates&gt;&lt;urls&gt;&lt;/urls&gt;&lt;/record&gt;&lt;/Cite&gt;&lt;/EndNote&gt;</w:instrText>
            </w:r>
            <w:r w:rsidRPr="000D5177">
              <w:rPr>
                <w:vertAlign w:val="superscript"/>
              </w:rPr>
              <w:fldChar w:fldCharType="separate"/>
            </w:r>
            <w:r w:rsidRPr="000D5177">
              <w:rPr>
                <w:noProof/>
                <w:vertAlign w:val="superscript"/>
              </w:rPr>
              <w:t>(19)</w:t>
            </w:r>
            <w:r w:rsidRPr="000D5177">
              <w:rPr>
                <w:vertAlign w:val="superscript"/>
              </w:rPr>
              <w:fldChar w:fldCharType="end"/>
            </w:r>
          </w:p>
        </w:tc>
        <w:tc>
          <w:tcPr>
            <w:tcW w:w="1786" w:type="dxa"/>
          </w:tcPr>
          <w:p w14:paraId="7086FE8E" w14:textId="77777777" w:rsidR="00360A76" w:rsidRPr="000D5177" w:rsidRDefault="00360A76" w:rsidP="003C59B2">
            <w:pPr>
              <w:pStyle w:val="Tabletext"/>
            </w:pPr>
            <w:r w:rsidRPr="000D5177">
              <w:t>Retrospective review</w:t>
            </w:r>
          </w:p>
        </w:tc>
        <w:tc>
          <w:tcPr>
            <w:tcW w:w="2234" w:type="dxa"/>
          </w:tcPr>
          <w:p w14:paraId="05E07271" w14:textId="77777777" w:rsidR="00360A76" w:rsidRPr="000D5177" w:rsidRDefault="00360A76" w:rsidP="003C59B2">
            <w:pPr>
              <w:pStyle w:val="Tabletext"/>
            </w:pPr>
            <w:r w:rsidRPr="000D5177">
              <w:t>385 pts with OGIB</w:t>
            </w:r>
          </w:p>
        </w:tc>
        <w:tc>
          <w:tcPr>
            <w:tcW w:w="2079" w:type="dxa"/>
          </w:tcPr>
          <w:p w14:paraId="0E931F69" w14:textId="77777777" w:rsidR="00360A76" w:rsidRPr="000D5177" w:rsidRDefault="00360A76" w:rsidP="003C59B2">
            <w:pPr>
              <w:pStyle w:val="Tabletext"/>
            </w:pPr>
            <w:r w:rsidRPr="000D5177">
              <w:t>CE – 74% some lesion detected</w:t>
            </w:r>
          </w:p>
          <w:p w14:paraId="3D28C820" w14:textId="77777777" w:rsidR="00360A76" w:rsidRPr="000D5177" w:rsidRDefault="00360A76" w:rsidP="003C59B2">
            <w:pPr>
              <w:pStyle w:val="Tabletext"/>
            </w:pPr>
            <w:r w:rsidRPr="000D5177">
              <w:t>58% definitive cause of OGIB detected</w:t>
            </w:r>
          </w:p>
        </w:tc>
        <w:tc>
          <w:tcPr>
            <w:tcW w:w="1606" w:type="dxa"/>
          </w:tcPr>
          <w:p w14:paraId="60924A51" w14:textId="1FC36F94" w:rsidR="00360A76" w:rsidRPr="000D5177" w:rsidRDefault="00FB05A0" w:rsidP="003C59B2">
            <w:pPr>
              <w:pStyle w:val="Tabletext"/>
            </w:pPr>
            <w:r>
              <w:t>Not specified</w:t>
            </w:r>
          </w:p>
        </w:tc>
      </w:tr>
      <w:tr w:rsidR="000D5177" w:rsidRPr="000D5177" w14:paraId="65C5E265" w14:textId="77777777" w:rsidTr="000D5177">
        <w:tc>
          <w:tcPr>
            <w:tcW w:w="1475" w:type="dxa"/>
          </w:tcPr>
          <w:p w14:paraId="331FDAE7" w14:textId="77777777" w:rsidR="00360A76" w:rsidRPr="000D5177" w:rsidRDefault="00360A76" w:rsidP="003C59B2">
            <w:pPr>
              <w:pStyle w:val="Tabletext"/>
            </w:pPr>
            <w:r w:rsidRPr="000D5177">
              <w:t>Qureshi et al 2010</w:t>
            </w:r>
            <w:r w:rsidRPr="000D5177">
              <w:rPr>
                <w:vertAlign w:val="superscript"/>
              </w:rPr>
              <w:fldChar w:fldCharType="begin"/>
            </w:r>
            <w:r w:rsidRPr="000D5177">
              <w:rPr>
                <w:vertAlign w:val="superscript"/>
              </w:rPr>
              <w:instrText xml:space="preserve"> ADDIN EN.CITE &lt;EndNote&gt;&lt;Cite&gt;&lt;Author&gt;Qureshi&lt;/Author&gt;&lt;Year&gt;2010&lt;/Year&gt;&lt;RecNum&gt;16&lt;/RecNum&gt;&lt;DisplayText&gt;(20)&lt;/DisplayText&gt;&lt;record&gt;&lt;rec-number&gt;16&lt;/rec-number&gt;&lt;foreign-keys&gt;&lt;key app="EN" db-id="efzrzxttdz2psseepxapxaxrzxavdd2ztd22" timestamp="1457178702"&gt;16&lt;/key&gt;&lt;/foreign-keys&gt;&lt;ref-type name="Journal Article"&gt;17&lt;/ref-type&gt;&lt;contributors&gt;&lt;authors&gt;&lt;author&gt;Qureshi, S&lt;/author&gt;&lt;author&gt;Ghazanfar, S&lt;/author&gt;&lt;author&gt;Dawood, A&lt;/author&gt;&lt;author&gt;Zubair, M&lt;/author&gt;&lt;author&gt;Leghari, A&lt;/author&gt;&lt;author&gt;Niaz, SK&lt;/author&gt;&lt;author&gt;Quraishy, MS&lt;/author&gt;&lt;/authors&gt;&lt;/contributors&gt;&lt;titles&gt;&lt;title&gt;An experience of capsule endoscopy from a tertiary care hospital in Pakistan&lt;/title&gt;&lt;secondary-title&gt;J Pak Med Assoc&lt;/secondary-title&gt;&lt;/titles&gt;&lt;periodical&gt;&lt;full-title&gt;J Pak Med Assoc&lt;/full-title&gt;&lt;/periodical&gt;&lt;pages&gt;1001-5&lt;/pages&gt;&lt;volume&gt;60&lt;/volume&gt;&lt;number&gt;12&lt;/number&gt;&lt;dates&gt;&lt;year&gt;2010&lt;/year&gt;&lt;/dates&gt;&lt;urls&gt;&lt;/urls&gt;&lt;/record&gt;&lt;/Cite&gt;&lt;/EndNote&gt;</w:instrText>
            </w:r>
            <w:r w:rsidRPr="000D5177">
              <w:rPr>
                <w:vertAlign w:val="superscript"/>
              </w:rPr>
              <w:fldChar w:fldCharType="separate"/>
            </w:r>
            <w:r w:rsidRPr="000D5177">
              <w:rPr>
                <w:noProof/>
                <w:vertAlign w:val="superscript"/>
              </w:rPr>
              <w:t>(20)</w:t>
            </w:r>
            <w:r w:rsidRPr="000D5177">
              <w:rPr>
                <w:vertAlign w:val="superscript"/>
              </w:rPr>
              <w:fldChar w:fldCharType="end"/>
            </w:r>
          </w:p>
        </w:tc>
        <w:tc>
          <w:tcPr>
            <w:tcW w:w="1786" w:type="dxa"/>
          </w:tcPr>
          <w:p w14:paraId="681D8E68" w14:textId="77777777" w:rsidR="00360A76" w:rsidRPr="000D5177" w:rsidRDefault="00360A76" w:rsidP="003C59B2">
            <w:pPr>
              <w:pStyle w:val="Tabletext"/>
            </w:pPr>
            <w:r w:rsidRPr="000D5177">
              <w:t xml:space="preserve">Prospective descriptive </w:t>
            </w:r>
          </w:p>
        </w:tc>
        <w:tc>
          <w:tcPr>
            <w:tcW w:w="2234" w:type="dxa"/>
          </w:tcPr>
          <w:p w14:paraId="50ED185A" w14:textId="77777777" w:rsidR="00360A76" w:rsidRPr="000D5177" w:rsidRDefault="00360A76" w:rsidP="003C59B2">
            <w:pPr>
              <w:pStyle w:val="Tabletext"/>
            </w:pPr>
            <w:r w:rsidRPr="000D5177">
              <w:t>28 pts with OGIB</w:t>
            </w:r>
          </w:p>
        </w:tc>
        <w:tc>
          <w:tcPr>
            <w:tcW w:w="2079" w:type="dxa"/>
          </w:tcPr>
          <w:p w14:paraId="32CC161A" w14:textId="77777777" w:rsidR="00360A76" w:rsidRPr="000D5177" w:rsidRDefault="00360A76" w:rsidP="003C59B2">
            <w:pPr>
              <w:pStyle w:val="Tabletext"/>
            </w:pPr>
            <w:r w:rsidRPr="000D5177">
              <w:t>CE – 64.28%</w:t>
            </w:r>
          </w:p>
        </w:tc>
        <w:tc>
          <w:tcPr>
            <w:tcW w:w="1606" w:type="dxa"/>
          </w:tcPr>
          <w:p w14:paraId="5A78C261" w14:textId="77777777" w:rsidR="00360A76" w:rsidRPr="000D5177" w:rsidRDefault="00360A76" w:rsidP="003C59B2">
            <w:pPr>
              <w:pStyle w:val="Tabletext"/>
            </w:pPr>
            <w:r w:rsidRPr="000D5177">
              <w:t>Capsule retention – 7.1%</w:t>
            </w:r>
          </w:p>
        </w:tc>
      </w:tr>
      <w:tr w:rsidR="000D5177" w:rsidRPr="000D5177" w14:paraId="2E4A455F" w14:textId="77777777" w:rsidTr="000D5177">
        <w:tc>
          <w:tcPr>
            <w:tcW w:w="1475" w:type="dxa"/>
          </w:tcPr>
          <w:p w14:paraId="738B30C1" w14:textId="77777777" w:rsidR="00360A76" w:rsidRPr="000D5177" w:rsidRDefault="00360A76" w:rsidP="003C59B2">
            <w:pPr>
              <w:pStyle w:val="Tabletext"/>
            </w:pPr>
            <w:r w:rsidRPr="000D5177">
              <w:t>Katsinelos et al 2011</w:t>
            </w:r>
            <w:r w:rsidRPr="000D5177">
              <w:rPr>
                <w:vertAlign w:val="superscript"/>
              </w:rPr>
              <w:fldChar w:fldCharType="begin"/>
            </w:r>
            <w:r w:rsidRPr="000D5177">
              <w:rPr>
                <w:vertAlign w:val="superscript"/>
              </w:rPr>
              <w:instrText xml:space="preserve"> ADDIN EN.CITE &lt;EndNote&gt;&lt;Cite&gt;&lt;Author&gt;Katsinelos&lt;/Author&gt;&lt;Year&gt;2011&lt;/Year&gt;&lt;RecNum&gt;17&lt;/RecNum&gt;&lt;DisplayText&gt;(21)&lt;/DisplayText&gt;&lt;record&gt;&lt;rec-number&gt;17&lt;/rec-number&gt;&lt;foreign-keys&gt;&lt;key app="EN" db-id="efzrzxttdz2psseepxapxaxrzxavdd2ztd22" timestamp="1457179323"&gt;17&lt;/key&gt;&lt;/foreign-keys&gt;&lt;ref-type name="Journal Article"&gt;17&lt;/ref-type&gt;&lt;contributors&gt;&lt;authors&gt;&lt;author&gt;Katsinelos, P&lt;/author&gt;&lt;author&gt;Chatzimavroudis, G&lt;/author&gt;&lt;author&gt;Terzoudis, S&lt;/author&gt;&lt;author&gt;Patsis, I&lt;/author&gt;&lt;author&gt;Fasoulas, K&lt;/author&gt;&lt;author&gt;Katsinelos, T&lt;/author&gt;&lt;author&gt;Kokonis, G&lt;/author&gt;&lt;author&gt;Zavos, C&lt;/author&gt;&lt;author&gt;Vasiliadis, T&lt;/author&gt;&lt;author&gt;Kountouras, J&lt;/author&gt;&lt;/authors&gt;&lt;/contributors&gt;&lt;titles&gt;&lt;title&gt;Diagnostic yield and clinical impact of capsule endoscopy in obscure gastrointestinal bleeding during routine clinical practice: a single-center experience&lt;/title&gt;&lt;secondary-title&gt;Med Princ Pract&lt;/secondary-title&gt;&lt;/titles&gt;&lt;periodical&gt;&lt;full-title&gt;Med Princ Pract&lt;/full-title&gt;&lt;/periodical&gt;&lt;pages&gt;60-5&lt;/pages&gt;&lt;volume&gt;20&lt;/volume&gt;&lt;number&gt;1&lt;/number&gt;&lt;dates&gt;&lt;year&gt;2011&lt;/year&gt;&lt;/dates&gt;&lt;urls&gt;&lt;/urls&gt;&lt;/record&gt;&lt;/Cite&gt;&lt;/EndNote&gt;</w:instrText>
            </w:r>
            <w:r w:rsidRPr="000D5177">
              <w:rPr>
                <w:vertAlign w:val="superscript"/>
              </w:rPr>
              <w:fldChar w:fldCharType="separate"/>
            </w:r>
            <w:r w:rsidRPr="000D5177">
              <w:rPr>
                <w:noProof/>
                <w:vertAlign w:val="superscript"/>
              </w:rPr>
              <w:t>(21)</w:t>
            </w:r>
            <w:r w:rsidRPr="000D5177">
              <w:rPr>
                <w:vertAlign w:val="superscript"/>
              </w:rPr>
              <w:fldChar w:fldCharType="end"/>
            </w:r>
          </w:p>
        </w:tc>
        <w:tc>
          <w:tcPr>
            <w:tcW w:w="1786" w:type="dxa"/>
          </w:tcPr>
          <w:p w14:paraId="3DDA43D1" w14:textId="77777777" w:rsidR="00360A76" w:rsidRPr="000D5177" w:rsidRDefault="00360A76" w:rsidP="003C59B2">
            <w:pPr>
              <w:pStyle w:val="Tabletext"/>
            </w:pPr>
            <w:r w:rsidRPr="000D5177">
              <w:t>Prospective</w:t>
            </w:r>
          </w:p>
        </w:tc>
        <w:tc>
          <w:tcPr>
            <w:tcW w:w="2234" w:type="dxa"/>
          </w:tcPr>
          <w:p w14:paraId="79686B62" w14:textId="77777777" w:rsidR="00360A76" w:rsidRPr="000D5177" w:rsidRDefault="00360A76" w:rsidP="003C59B2">
            <w:pPr>
              <w:pStyle w:val="Tabletext"/>
            </w:pPr>
            <w:r w:rsidRPr="000D5177">
              <w:t>63 pts with OGIB</w:t>
            </w:r>
          </w:p>
        </w:tc>
        <w:tc>
          <w:tcPr>
            <w:tcW w:w="2079" w:type="dxa"/>
          </w:tcPr>
          <w:p w14:paraId="35EC933A" w14:textId="77777777" w:rsidR="00360A76" w:rsidRPr="000D5177" w:rsidRDefault="00360A76" w:rsidP="003C59B2">
            <w:pPr>
              <w:pStyle w:val="Tabletext"/>
            </w:pPr>
            <w:r w:rsidRPr="000D5177">
              <w:t>CE - 44.44%</w:t>
            </w:r>
          </w:p>
          <w:p w14:paraId="4FD8DF07" w14:textId="77777777" w:rsidR="00360A76" w:rsidRPr="000D5177" w:rsidRDefault="00360A76" w:rsidP="003C59B2">
            <w:pPr>
              <w:pStyle w:val="Tabletext"/>
            </w:pPr>
            <w:r w:rsidRPr="000D5177">
              <w:t>(60% in overt bleeders vs 34.21% in occult)</w:t>
            </w:r>
          </w:p>
        </w:tc>
        <w:tc>
          <w:tcPr>
            <w:tcW w:w="1606" w:type="dxa"/>
          </w:tcPr>
          <w:p w14:paraId="4DF0E9E8" w14:textId="75607109" w:rsidR="00360A76" w:rsidRPr="000D5177" w:rsidRDefault="00FB05A0" w:rsidP="003C59B2">
            <w:pPr>
              <w:pStyle w:val="Tabletext"/>
            </w:pPr>
            <w:r>
              <w:t>Not specified</w:t>
            </w:r>
          </w:p>
        </w:tc>
      </w:tr>
      <w:tr w:rsidR="000D5177" w:rsidRPr="000D5177" w14:paraId="62505E0E" w14:textId="77777777" w:rsidTr="000D5177">
        <w:tc>
          <w:tcPr>
            <w:tcW w:w="1475" w:type="dxa"/>
          </w:tcPr>
          <w:p w14:paraId="72540A0D" w14:textId="77777777" w:rsidR="00360A76" w:rsidRPr="000D5177" w:rsidRDefault="00360A76" w:rsidP="003C59B2">
            <w:pPr>
              <w:pStyle w:val="Tabletext"/>
            </w:pPr>
            <w:r w:rsidRPr="000D5177">
              <w:t>Teshima et al 2011</w:t>
            </w:r>
            <w:r w:rsidRPr="000D5177">
              <w:rPr>
                <w:vertAlign w:val="superscript"/>
              </w:rPr>
              <w:fldChar w:fldCharType="begin"/>
            </w:r>
            <w:r w:rsidRPr="000D5177">
              <w:rPr>
                <w:vertAlign w:val="superscript"/>
              </w:rPr>
              <w:instrText xml:space="preserve"> ADDIN EN.CITE &lt;EndNote&gt;&lt;Cite&gt;&lt;Author&gt;Teshima&lt;/Author&gt;&lt;Year&gt;2011&lt;/Year&gt;&lt;RecNum&gt;18&lt;/RecNum&gt;&lt;DisplayText&gt;(22)&lt;/DisplayText&gt;&lt;record&gt;&lt;rec-number&gt;18&lt;/rec-number&gt;&lt;foreign-keys&gt;&lt;key app="EN" db-id="efzrzxttdz2psseepxapxaxrzxavdd2ztd22" timestamp="1457180693"&gt;18&lt;/key&gt;&lt;/foreign-keys&gt;&lt;ref-type name="Journal Article"&gt;17&lt;/ref-type&gt;&lt;contributors&gt;&lt;authors&gt;&lt;author&gt;Teshima, CW&lt;/author&gt;&lt;author&gt;Kuipers, EJ&lt;/author&gt;&lt;author&gt;van Zanten, SV&lt;/author&gt;&lt;author&gt;Mensink, PB&lt;/author&gt;&lt;/authors&gt;&lt;/contributors&gt;&lt;titles&gt;&lt;title&gt;Double balloon enteroscopy and capsule endoscopy for obscure gastrointestinal bleeding: an updated meta-analysis&lt;/title&gt;&lt;secondary-title&gt;J Gastroenterol Hepatol&lt;/secondary-title&gt;&lt;/titles&gt;&lt;periodical&gt;&lt;full-title&gt;J Gastroenterol Hepatol&lt;/full-title&gt;&lt;/periodical&gt;&lt;pages&gt;796-801&lt;/pages&gt;&lt;volume&gt;26&lt;/volume&gt;&lt;number&gt;5&lt;/number&gt;&lt;dates&gt;&lt;year&gt;2011&lt;/year&gt;&lt;/dates&gt;&lt;urls&gt;&lt;/urls&gt;&lt;/record&gt;&lt;/Cite&gt;&lt;/EndNote&gt;</w:instrText>
            </w:r>
            <w:r w:rsidRPr="000D5177">
              <w:rPr>
                <w:vertAlign w:val="superscript"/>
              </w:rPr>
              <w:fldChar w:fldCharType="separate"/>
            </w:r>
            <w:r w:rsidRPr="000D5177">
              <w:rPr>
                <w:noProof/>
                <w:vertAlign w:val="superscript"/>
              </w:rPr>
              <w:t>(22)</w:t>
            </w:r>
            <w:r w:rsidRPr="000D5177">
              <w:rPr>
                <w:vertAlign w:val="superscript"/>
              </w:rPr>
              <w:fldChar w:fldCharType="end"/>
            </w:r>
          </w:p>
        </w:tc>
        <w:tc>
          <w:tcPr>
            <w:tcW w:w="1786" w:type="dxa"/>
          </w:tcPr>
          <w:p w14:paraId="1D128BF0" w14:textId="77777777" w:rsidR="00360A76" w:rsidRPr="000D5177" w:rsidRDefault="00360A76" w:rsidP="003C59B2">
            <w:pPr>
              <w:pStyle w:val="Tabletext"/>
            </w:pPr>
            <w:r w:rsidRPr="000D5177">
              <w:t>Meta-analysis</w:t>
            </w:r>
          </w:p>
        </w:tc>
        <w:tc>
          <w:tcPr>
            <w:tcW w:w="2234" w:type="dxa"/>
          </w:tcPr>
          <w:p w14:paraId="6B8F295C" w14:textId="77777777" w:rsidR="00360A76" w:rsidRPr="000D5177" w:rsidRDefault="00360A76" w:rsidP="003C59B2">
            <w:pPr>
              <w:pStyle w:val="Tabletext"/>
            </w:pPr>
            <w:r w:rsidRPr="000D5177">
              <w:t>10 eligible studies</w:t>
            </w:r>
          </w:p>
        </w:tc>
        <w:tc>
          <w:tcPr>
            <w:tcW w:w="2079" w:type="dxa"/>
          </w:tcPr>
          <w:p w14:paraId="6E32B0F2" w14:textId="77777777" w:rsidR="00360A76" w:rsidRPr="000D5177" w:rsidRDefault="00360A76" w:rsidP="003C59B2">
            <w:pPr>
              <w:pStyle w:val="Tabletext"/>
            </w:pPr>
            <w:r w:rsidRPr="000D5177">
              <w:t>Pooled diagnostic yield CE - 62%</w:t>
            </w:r>
          </w:p>
          <w:p w14:paraId="29BB1DF0" w14:textId="77777777" w:rsidR="00360A76" w:rsidRPr="000D5177" w:rsidRDefault="00360A76" w:rsidP="003C59B2">
            <w:pPr>
              <w:pStyle w:val="Tabletext"/>
            </w:pPr>
            <w:r w:rsidRPr="000D5177">
              <w:t>DBE – 56%</w:t>
            </w:r>
          </w:p>
          <w:p w14:paraId="0A785AEE" w14:textId="77777777" w:rsidR="00360A76" w:rsidRPr="000D5177" w:rsidRDefault="00360A76" w:rsidP="003C59B2">
            <w:pPr>
              <w:pStyle w:val="Tabletext"/>
            </w:pPr>
            <w:r w:rsidRPr="000D5177">
              <w:t>DY of DBE after positive CE – 75%</w:t>
            </w:r>
          </w:p>
        </w:tc>
        <w:tc>
          <w:tcPr>
            <w:tcW w:w="1606" w:type="dxa"/>
          </w:tcPr>
          <w:p w14:paraId="46450EAA" w14:textId="0FDD6E7E" w:rsidR="00360A76" w:rsidRPr="000D5177" w:rsidRDefault="00FB05A0" w:rsidP="003C59B2">
            <w:pPr>
              <w:pStyle w:val="Tabletext"/>
            </w:pPr>
            <w:r>
              <w:t>Not specified</w:t>
            </w:r>
          </w:p>
        </w:tc>
      </w:tr>
      <w:tr w:rsidR="000D5177" w:rsidRPr="000D5177" w14:paraId="597B1066" w14:textId="77777777" w:rsidTr="000D5177">
        <w:tc>
          <w:tcPr>
            <w:tcW w:w="1475" w:type="dxa"/>
          </w:tcPr>
          <w:p w14:paraId="4035382C" w14:textId="77777777" w:rsidR="00360A76" w:rsidRPr="000D5177" w:rsidRDefault="00360A76" w:rsidP="003C59B2">
            <w:pPr>
              <w:pStyle w:val="Tabletext"/>
            </w:pPr>
            <w:r w:rsidRPr="000D5177">
              <w:t>Van Turenhout et al 2010</w:t>
            </w:r>
            <w:r w:rsidRPr="000D5177">
              <w:rPr>
                <w:vertAlign w:val="superscript"/>
              </w:rPr>
              <w:fldChar w:fldCharType="begin"/>
            </w:r>
            <w:r w:rsidRPr="000D5177">
              <w:rPr>
                <w:vertAlign w:val="superscript"/>
              </w:rPr>
              <w:instrText xml:space="preserve"> ADDIN EN.CITE &lt;EndNote&gt;&lt;Cite&gt;&lt;Author&gt;van Turenhout&lt;/Author&gt;&lt;Year&gt;2010&lt;/Year&gt;&lt;RecNum&gt;20&lt;/RecNum&gt;&lt;DisplayText&gt;(23)&lt;/DisplayText&gt;&lt;record&gt;&lt;rec-number&gt;20&lt;/rec-number&gt;&lt;foreign-keys&gt;&lt;key app="EN" db-id="efzrzxttdz2psseepxapxaxrzxavdd2ztd22" timestamp="1457211383"&gt;20&lt;/key&gt;&lt;/foreign-keys&gt;&lt;ref-type name="Journal Article"&gt;17&lt;/ref-type&gt;&lt;contributors&gt;&lt;authors&gt;&lt;author&gt;van Turenhout, ST&lt;/author&gt;&lt;author&gt;Jacobs, MA&lt;/author&gt;&lt;author&gt;van Weyenberg, SJ&lt;/author&gt;&lt;author&gt;Herdes, E&lt;/author&gt;&lt;author&gt;Stam, F&lt;/author&gt;&lt;author&gt;Mulder, CJ&lt;/author&gt;&lt;author&gt;Bouma, G&lt;/author&gt;&lt;/authors&gt;&lt;/contributors&gt;&lt;titles&gt;&lt;title&gt;Diagnostic yield of capsule endoscopy in a tertiary hospital in patients with obscure gastrointestinal bleeding&lt;/title&gt;&lt;secondary-title&gt;J Gastrointestin Liver Dis&lt;/secondary-title&gt;&lt;/titles&gt;&lt;periodical&gt;&lt;full-title&gt;J Gastrointestin Liver Dis&lt;/full-title&gt;&lt;/periodical&gt;&lt;pages&gt;141-5&lt;/pages&gt;&lt;volume&gt;19&lt;/volume&gt;&lt;number&gt;2&lt;/number&gt;&lt;dates&gt;&lt;year&gt;2010&lt;/year&gt;&lt;/dates&gt;&lt;urls&gt;&lt;/urls&gt;&lt;/record&gt;&lt;/Cite&gt;&lt;/EndNote&gt;</w:instrText>
            </w:r>
            <w:r w:rsidRPr="000D5177">
              <w:rPr>
                <w:vertAlign w:val="superscript"/>
              </w:rPr>
              <w:fldChar w:fldCharType="separate"/>
            </w:r>
            <w:r w:rsidRPr="000D5177">
              <w:rPr>
                <w:noProof/>
                <w:vertAlign w:val="superscript"/>
              </w:rPr>
              <w:t>(23)</w:t>
            </w:r>
            <w:r w:rsidRPr="000D5177">
              <w:rPr>
                <w:vertAlign w:val="superscript"/>
              </w:rPr>
              <w:fldChar w:fldCharType="end"/>
            </w:r>
          </w:p>
        </w:tc>
        <w:tc>
          <w:tcPr>
            <w:tcW w:w="1786" w:type="dxa"/>
          </w:tcPr>
          <w:p w14:paraId="54B8B7D7" w14:textId="77777777" w:rsidR="00360A76" w:rsidRPr="000D5177" w:rsidRDefault="00360A76" w:rsidP="003C59B2">
            <w:pPr>
              <w:pStyle w:val="Tabletext"/>
            </w:pPr>
            <w:r w:rsidRPr="000D5177">
              <w:t>Retrospective review</w:t>
            </w:r>
          </w:p>
        </w:tc>
        <w:tc>
          <w:tcPr>
            <w:tcW w:w="2234" w:type="dxa"/>
          </w:tcPr>
          <w:p w14:paraId="4D71945D" w14:textId="77777777" w:rsidR="00360A76" w:rsidRPr="000D5177" w:rsidRDefault="00360A76" w:rsidP="003C59B2">
            <w:pPr>
              <w:pStyle w:val="Tabletext"/>
            </w:pPr>
            <w:r w:rsidRPr="000D5177">
              <w:t>240 pts with GI bleeding or IDA</w:t>
            </w:r>
          </w:p>
        </w:tc>
        <w:tc>
          <w:tcPr>
            <w:tcW w:w="2079" w:type="dxa"/>
          </w:tcPr>
          <w:p w14:paraId="195584C9" w14:textId="05A053F6" w:rsidR="00360A76" w:rsidRPr="000D5177" w:rsidRDefault="00360A76" w:rsidP="003C59B2">
            <w:pPr>
              <w:pStyle w:val="Tabletext"/>
            </w:pPr>
            <w:r w:rsidRPr="000D5177">
              <w:t>CE - 49%</w:t>
            </w:r>
          </w:p>
        </w:tc>
        <w:tc>
          <w:tcPr>
            <w:tcW w:w="1606" w:type="dxa"/>
          </w:tcPr>
          <w:p w14:paraId="00D3D410" w14:textId="3CE493CB" w:rsidR="00360A76" w:rsidRPr="000D5177" w:rsidRDefault="00FB05A0" w:rsidP="003C59B2">
            <w:pPr>
              <w:pStyle w:val="Tabletext"/>
            </w:pPr>
            <w:r>
              <w:t>Not specified</w:t>
            </w:r>
          </w:p>
        </w:tc>
      </w:tr>
      <w:tr w:rsidR="000D5177" w:rsidRPr="000D5177" w14:paraId="6446A15C" w14:textId="77777777" w:rsidTr="000D5177">
        <w:tc>
          <w:tcPr>
            <w:tcW w:w="1475" w:type="dxa"/>
          </w:tcPr>
          <w:p w14:paraId="613107CC" w14:textId="77777777" w:rsidR="00360A76" w:rsidRPr="000D5177" w:rsidRDefault="00360A76" w:rsidP="003C59B2">
            <w:pPr>
              <w:pStyle w:val="Tabletext"/>
            </w:pPr>
            <w:r w:rsidRPr="000D5177">
              <w:t>Sidhu et al 2009</w:t>
            </w:r>
            <w:r w:rsidRPr="000D5177">
              <w:rPr>
                <w:vertAlign w:val="superscript"/>
              </w:rPr>
              <w:fldChar w:fldCharType="begin"/>
            </w:r>
            <w:r w:rsidRPr="000D5177">
              <w:rPr>
                <w:vertAlign w:val="superscript"/>
              </w:rPr>
              <w:instrText xml:space="preserve"> ADDIN EN.CITE &lt;EndNote&gt;&lt;Cite&gt;&lt;Author&gt;Sidhu&lt;/Author&gt;&lt;Year&gt;2009&lt;/Year&gt;&lt;RecNum&gt;22&lt;/RecNum&gt;&lt;DisplayText&gt;(24)&lt;/DisplayText&gt;&lt;record&gt;&lt;rec-number&gt;22&lt;/rec-number&gt;&lt;foreign-keys&gt;&lt;key app="EN" db-id="efzrzxttdz2psseepxapxaxrzxavdd2ztd22" timestamp="1457213385"&gt;22&lt;/key&gt;&lt;/foreign-keys&gt;&lt;ref-type name="Journal Article"&gt;17&lt;/ref-type&gt;&lt;contributors&gt;&lt;authors&gt;&lt;author&gt;Sidhu, R&lt;/author&gt;&lt;author&gt;Sanders, DS&lt;/author&gt;&lt;author&gt;Kapur, K&lt;/author&gt;&lt;author&gt;Leeds, JS&lt;/author&gt;&lt;author&gt;McAlindon, M&lt;/author&gt;&lt;/authors&gt;&lt;/contributors&gt;&lt;titles&gt;&lt;title&gt;Factors predicting the diagnostic yield and intervention in obscure gastrointestinal bleeding investigated using capsule endoscopy&lt;/title&gt;&lt;secondary-title&gt;J Gastroenterol Liver Dis&lt;/secondary-title&gt;&lt;/titles&gt;&lt;periodical&gt;&lt;full-title&gt;J Gastroenterol Liver Dis&lt;/full-title&gt;&lt;/periodical&gt;&lt;pages&gt;273-8&lt;/pages&gt;&lt;volume&gt;18&lt;/volume&gt;&lt;number&gt;3&lt;/number&gt;&lt;dates&gt;&lt;year&gt;2009&lt;/year&gt;&lt;/dates&gt;&lt;urls&gt;&lt;/urls&gt;&lt;/record&gt;&lt;/Cite&gt;&lt;/EndNote&gt;</w:instrText>
            </w:r>
            <w:r w:rsidRPr="000D5177">
              <w:rPr>
                <w:vertAlign w:val="superscript"/>
              </w:rPr>
              <w:fldChar w:fldCharType="separate"/>
            </w:r>
            <w:r w:rsidRPr="000D5177">
              <w:rPr>
                <w:noProof/>
                <w:vertAlign w:val="superscript"/>
              </w:rPr>
              <w:t>(24)</w:t>
            </w:r>
            <w:r w:rsidRPr="000D5177">
              <w:rPr>
                <w:vertAlign w:val="superscript"/>
              </w:rPr>
              <w:fldChar w:fldCharType="end"/>
            </w:r>
          </w:p>
        </w:tc>
        <w:tc>
          <w:tcPr>
            <w:tcW w:w="1786" w:type="dxa"/>
          </w:tcPr>
          <w:p w14:paraId="3105143F" w14:textId="77777777" w:rsidR="00360A76" w:rsidRPr="000D5177" w:rsidRDefault="00360A76" w:rsidP="003C59B2">
            <w:pPr>
              <w:pStyle w:val="Tabletext"/>
            </w:pPr>
            <w:r w:rsidRPr="000D5177">
              <w:t xml:space="preserve">Retrospective </w:t>
            </w:r>
          </w:p>
        </w:tc>
        <w:tc>
          <w:tcPr>
            <w:tcW w:w="2234" w:type="dxa"/>
          </w:tcPr>
          <w:p w14:paraId="2AE68762" w14:textId="77777777" w:rsidR="00360A76" w:rsidRPr="000D5177" w:rsidRDefault="00360A76" w:rsidP="003C59B2">
            <w:pPr>
              <w:pStyle w:val="Tabletext"/>
            </w:pPr>
            <w:r w:rsidRPr="000D5177">
              <w:t>427 pts</w:t>
            </w:r>
          </w:p>
        </w:tc>
        <w:tc>
          <w:tcPr>
            <w:tcW w:w="2079" w:type="dxa"/>
          </w:tcPr>
          <w:p w14:paraId="68E493EA" w14:textId="77777777" w:rsidR="00360A76" w:rsidRPr="000D5177" w:rsidRDefault="00360A76" w:rsidP="003C59B2">
            <w:pPr>
              <w:pStyle w:val="Tabletext"/>
            </w:pPr>
            <w:r w:rsidRPr="000D5177">
              <w:t>Diagnostic yield 50% with change in management in 30%</w:t>
            </w:r>
          </w:p>
        </w:tc>
        <w:tc>
          <w:tcPr>
            <w:tcW w:w="1606" w:type="dxa"/>
          </w:tcPr>
          <w:p w14:paraId="240B65A1" w14:textId="2806992E" w:rsidR="00360A76" w:rsidRPr="000D5177" w:rsidRDefault="00FB05A0" w:rsidP="003C59B2">
            <w:pPr>
              <w:pStyle w:val="Tabletext"/>
            </w:pPr>
            <w:r>
              <w:t>Not specified</w:t>
            </w:r>
          </w:p>
        </w:tc>
      </w:tr>
      <w:tr w:rsidR="000D5177" w:rsidRPr="000D5177" w14:paraId="2B2F929B" w14:textId="77777777" w:rsidTr="000D5177">
        <w:tc>
          <w:tcPr>
            <w:tcW w:w="1475" w:type="dxa"/>
          </w:tcPr>
          <w:p w14:paraId="04A93864" w14:textId="77777777" w:rsidR="00360A76" w:rsidRPr="000D5177" w:rsidRDefault="00360A76" w:rsidP="003C59B2">
            <w:pPr>
              <w:pStyle w:val="Tabletext"/>
            </w:pPr>
            <w:r w:rsidRPr="000D5177">
              <w:t>Kameda et al 2008</w:t>
            </w:r>
            <w:r w:rsidRPr="000D5177">
              <w:rPr>
                <w:vertAlign w:val="superscript"/>
              </w:rPr>
              <w:fldChar w:fldCharType="begin"/>
            </w:r>
            <w:r w:rsidRPr="000D5177">
              <w:rPr>
                <w:vertAlign w:val="superscript"/>
              </w:rPr>
              <w:instrText xml:space="preserve"> ADDIN EN.CITE &lt;EndNote&gt;&lt;Cite&gt;&lt;Author&gt;Kameda&lt;/Author&gt;&lt;Year&gt;2008&lt;/Year&gt;&lt;RecNum&gt;23&lt;/RecNum&gt;&lt;DisplayText&gt;(25)&lt;/DisplayText&gt;&lt;record&gt;&lt;rec-number&gt;23&lt;/rec-number&gt;&lt;foreign-keys&gt;&lt;key app="EN" db-id="efzrzxttdz2psseepxapxaxrzxavdd2ztd22" timestamp="1457214403"&gt;23&lt;/key&gt;&lt;/foreign-keys&gt;&lt;ref-type name="Journal Article"&gt;17&lt;/ref-type&gt;&lt;contributors&gt;&lt;authors&gt;&lt;author&gt;Kameda, N&lt;/author&gt;&lt;author&gt;Higuchi, K&lt;/author&gt;&lt;author&gt;Shiba, M&lt;/author&gt;&lt;author&gt;Machida, H&lt;/author&gt;&lt;author&gt;Okazaki, H&lt;/author&gt;&lt;author&gt;Yamagami, H&lt;/author&gt;&lt;author&gt;Tanigawa, T&lt;/author&gt;&lt;author&gt;Watanabe, K&lt;/author&gt;&lt;author&gt;Watanabe, T&lt;/author&gt;&lt;author&gt;Tominaga, K&lt;/author&gt;&lt;author&gt;Fujiwara, Y&lt;/author&gt;&lt;author&gt;Oshitani, N&lt;/author&gt;&lt;author&gt;Arakawa, T&lt;/author&gt;&lt;/authors&gt;&lt;/contributors&gt;&lt;titles&gt;&lt;title&gt;A prospective, single-blind trial comparing wireless capsule endoscopy and double-balloon enteroscopy in patients with obscure gastrointestinal bleeding&lt;/title&gt;&lt;secondary-title&gt;J Gastroenterol&lt;/secondary-title&gt;&lt;/titles&gt;&lt;periodical&gt;&lt;full-title&gt;J Gastroenterol&lt;/full-title&gt;&lt;/periodical&gt;&lt;pages&gt;434-40&lt;/pages&gt;&lt;volume&gt;43&lt;/volume&gt;&lt;number&gt;6&lt;/number&gt;&lt;dates&gt;&lt;year&gt;2008&lt;/year&gt;&lt;/dates&gt;&lt;urls&gt;&lt;/urls&gt;&lt;/record&gt;&lt;/Cite&gt;&lt;/EndNote&gt;</w:instrText>
            </w:r>
            <w:r w:rsidRPr="000D5177">
              <w:rPr>
                <w:vertAlign w:val="superscript"/>
              </w:rPr>
              <w:fldChar w:fldCharType="separate"/>
            </w:r>
            <w:r w:rsidRPr="000D5177">
              <w:rPr>
                <w:noProof/>
                <w:vertAlign w:val="superscript"/>
              </w:rPr>
              <w:t>(25)</w:t>
            </w:r>
            <w:r w:rsidRPr="000D5177">
              <w:rPr>
                <w:vertAlign w:val="superscript"/>
              </w:rPr>
              <w:fldChar w:fldCharType="end"/>
            </w:r>
          </w:p>
        </w:tc>
        <w:tc>
          <w:tcPr>
            <w:tcW w:w="1786" w:type="dxa"/>
          </w:tcPr>
          <w:p w14:paraId="6AE5125E" w14:textId="77777777" w:rsidR="00360A76" w:rsidRPr="000D5177" w:rsidRDefault="00360A76" w:rsidP="003C59B2">
            <w:pPr>
              <w:pStyle w:val="Tabletext"/>
            </w:pPr>
            <w:r w:rsidRPr="000D5177">
              <w:t xml:space="preserve">Prospective, single blind, CE vs DBE </w:t>
            </w:r>
          </w:p>
        </w:tc>
        <w:tc>
          <w:tcPr>
            <w:tcW w:w="2234" w:type="dxa"/>
          </w:tcPr>
          <w:p w14:paraId="70FE8945" w14:textId="77777777" w:rsidR="00360A76" w:rsidRPr="000D5177" w:rsidRDefault="00360A76" w:rsidP="003C59B2">
            <w:pPr>
              <w:pStyle w:val="Tabletext"/>
            </w:pPr>
            <w:r w:rsidRPr="000D5177">
              <w:t>32 pts with obscure GI bleeding</w:t>
            </w:r>
          </w:p>
        </w:tc>
        <w:tc>
          <w:tcPr>
            <w:tcW w:w="2079" w:type="dxa"/>
          </w:tcPr>
          <w:p w14:paraId="6FE51646" w14:textId="77777777" w:rsidR="00360A76" w:rsidRPr="000D5177" w:rsidRDefault="00360A76" w:rsidP="003C59B2">
            <w:pPr>
              <w:pStyle w:val="Tabletext"/>
            </w:pPr>
            <w:r w:rsidRPr="000D5177">
              <w:t>CE – 71.9%</w:t>
            </w:r>
          </w:p>
          <w:p w14:paraId="42945F29" w14:textId="77777777" w:rsidR="00360A76" w:rsidRPr="000D5177" w:rsidRDefault="00360A76" w:rsidP="003C59B2">
            <w:pPr>
              <w:pStyle w:val="Tabletext"/>
            </w:pPr>
            <w:r w:rsidRPr="000D5177">
              <w:t>DBE – 65.6%</w:t>
            </w:r>
          </w:p>
          <w:p w14:paraId="511378BE" w14:textId="77777777" w:rsidR="00360A76" w:rsidRPr="000D5177" w:rsidRDefault="00360A76" w:rsidP="003C59B2">
            <w:pPr>
              <w:pStyle w:val="Tabletext"/>
            </w:pPr>
            <w:r w:rsidRPr="000D5177">
              <w:t>Difference in diagnostic yield not significant</w:t>
            </w:r>
          </w:p>
        </w:tc>
        <w:tc>
          <w:tcPr>
            <w:tcW w:w="1606" w:type="dxa"/>
          </w:tcPr>
          <w:p w14:paraId="730BEA7C" w14:textId="202F49A9" w:rsidR="00360A76" w:rsidRPr="000D5177" w:rsidRDefault="00FB05A0" w:rsidP="003C59B2">
            <w:pPr>
              <w:pStyle w:val="Tabletext"/>
            </w:pPr>
            <w:r>
              <w:t>Not specified</w:t>
            </w:r>
          </w:p>
        </w:tc>
      </w:tr>
      <w:tr w:rsidR="000D5177" w:rsidRPr="000D5177" w14:paraId="1BFC86E7" w14:textId="77777777" w:rsidTr="000D5177">
        <w:tc>
          <w:tcPr>
            <w:tcW w:w="1475" w:type="dxa"/>
          </w:tcPr>
          <w:p w14:paraId="5B180C03" w14:textId="77777777" w:rsidR="00360A76" w:rsidRPr="000D5177" w:rsidRDefault="00360A76" w:rsidP="003C59B2">
            <w:pPr>
              <w:pStyle w:val="Tabletext"/>
            </w:pPr>
            <w:r w:rsidRPr="000D5177">
              <w:t>Pasha et al 2008</w:t>
            </w:r>
            <w:r w:rsidRPr="000D5177">
              <w:rPr>
                <w:vertAlign w:val="superscript"/>
              </w:rPr>
              <w:fldChar w:fldCharType="begin"/>
            </w:r>
            <w:r w:rsidRPr="000D5177">
              <w:rPr>
                <w:vertAlign w:val="superscript"/>
              </w:rPr>
              <w:instrText xml:space="preserve"> ADDIN EN.CITE &lt;EndNote&gt;&lt;Cite&gt;&lt;Author&gt;Pasha&lt;/Author&gt;&lt;Year&gt;2008&lt;/Year&gt;&lt;RecNum&gt;33&lt;/RecNum&gt;&lt;DisplayText&gt;(26)&lt;/DisplayText&gt;&lt;record&gt;&lt;rec-number&gt;33&lt;/rec-number&gt;&lt;foreign-keys&gt;&lt;key app="EN" db-id="efzrzxttdz2psseepxapxaxrzxavdd2ztd22" timestamp="1457322056"&gt;33&lt;/key&gt;&lt;/foreign-keys&gt;&lt;ref-type name="Journal Article"&gt;17&lt;/ref-type&gt;&lt;contributors&gt;&lt;authors&gt;&lt;author&gt;Pasha, SF&lt;/author&gt;&lt;author&gt;Leighton, JA&lt;/author&gt;&lt;author&gt;Das, A&lt;/author&gt;&lt;author&gt;Harrison, ME&lt;/author&gt;&lt;author&gt;Decker, GA&lt;/author&gt;&lt;author&gt;Fleischer, DE&lt;/author&gt;&lt;author&gt;Sharma, VK&lt;/author&gt;&lt;/authors&gt;&lt;/contributors&gt;&lt;titles&gt;&lt;title&gt;Double-balloon enteroscopy and capsule endoscopy have comparable diagnostic yield in small-bowel disease: a meta-analysis&lt;/title&gt;&lt;secondary-title&gt;Clin Gastroenterol Hepatol&lt;/secondary-title&gt;&lt;/titles&gt;&lt;periodical&gt;&lt;full-title&gt;Clin Gastroenterol Hepatol&lt;/full-title&gt;&lt;/periodical&gt;&lt;pages&gt;671-6&lt;/pages&gt;&lt;volume&gt;6&lt;/volume&gt;&lt;number&gt;6&lt;/number&gt;&lt;dates&gt;&lt;year&gt;2008&lt;/year&gt;&lt;/dates&gt;&lt;urls&gt;&lt;/urls&gt;&lt;/record&gt;&lt;/Cite&gt;&lt;/EndNote&gt;</w:instrText>
            </w:r>
            <w:r w:rsidRPr="000D5177">
              <w:rPr>
                <w:vertAlign w:val="superscript"/>
              </w:rPr>
              <w:fldChar w:fldCharType="separate"/>
            </w:r>
            <w:r w:rsidRPr="000D5177">
              <w:rPr>
                <w:noProof/>
                <w:vertAlign w:val="superscript"/>
              </w:rPr>
              <w:t>(26)</w:t>
            </w:r>
            <w:r w:rsidRPr="000D5177">
              <w:rPr>
                <w:vertAlign w:val="superscript"/>
              </w:rPr>
              <w:fldChar w:fldCharType="end"/>
            </w:r>
          </w:p>
        </w:tc>
        <w:tc>
          <w:tcPr>
            <w:tcW w:w="1786" w:type="dxa"/>
          </w:tcPr>
          <w:p w14:paraId="4491C8C6" w14:textId="77777777" w:rsidR="00360A76" w:rsidRPr="000D5177" w:rsidRDefault="00360A76" w:rsidP="003C59B2">
            <w:pPr>
              <w:pStyle w:val="Tabletext"/>
            </w:pPr>
            <w:r w:rsidRPr="000D5177">
              <w:t>Meta-analysis</w:t>
            </w:r>
          </w:p>
        </w:tc>
        <w:tc>
          <w:tcPr>
            <w:tcW w:w="2234" w:type="dxa"/>
          </w:tcPr>
          <w:p w14:paraId="27D02D2C" w14:textId="77777777" w:rsidR="00360A76" w:rsidRPr="000D5177" w:rsidRDefault="00360A76" w:rsidP="003C59B2">
            <w:pPr>
              <w:pStyle w:val="Tabletext"/>
            </w:pPr>
            <w:r w:rsidRPr="000D5177">
              <w:t>11 studies comparing DBE and CE</w:t>
            </w:r>
          </w:p>
        </w:tc>
        <w:tc>
          <w:tcPr>
            <w:tcW w:w="2079" w:type="dxa"/>
          </w:tcPr>
          <w:p w14:paraId="7861B145" w14:textId="77777777" w:rsidR="00360A76" w:rsidRPr="000D5177" w:rsidRDefault="00360A76" w:rsidP="003C59B2">
            <w:pPr>
              <w:pStyle w:val="Tabletext"/>
            </w:pPr>
            <w:r w:rsidRPr="000D5177">
              <w:t>DBE and CE have comparable diagnostic yield in small bowel disease including OGIB</w:t>
            </w:r>
          </w:p>
        </w:tc>
        <w:tc>
          <w:tcPr>
            <w:tcW w:w="1606" w:type="dxa"/>
          </w:tcPr>
          <w:p w14:paraId="56DA9E6C" w14:textId="5129AAF7" w:rsidR="00360A76" w:rsidRPr="000D5177" w:rsidRDefault="00FB05A0" w:rsidP="003C59B2">
            <w:pPr>
              <w:pStyle w:val="Tabletext"/>
            </w:pPr>
            <w:r>
              <w:t>Not specified</w:t>
            </w:r>
          </w:p>
        </w:tc>
      </w:tr>
    </w:tbl>
    <w:p w14:paraId="66AD5305" w14:textId="77777777" w:rsidR="00360A76" w:rsidRPr="000D5177" w:rsidRDefault="00360A76" w:rsidP="006A175E">
      <w:pPr>
        <w:pStyle w:val="Heading4"/>
      </w:pPr>
      <w:r w:rsidRPr="000D5177">
        <w:t>Factors affecting diagnostic yield of CE</w:t>
      </w:r>
    </w:p>
    <w:p w14:paraId="2256DF74" w14:textId="3A17A967" w:rsidR="00360A76" w:rsidRPr="000D5177" w:rsidRDefault="00360A76" w:rsidP="00360A76">
      <w:pPr>
        <w:jc w:val="both"/>
        <w:rPr>
          <w:szCs w:val="22"/>
        </w:rPr>
      </w:pPr>
      <w:r w:rsidRPr="000D5177">
        <w:rPr>
          <w:szCs w:val="22"/>
        </w:rPr>
        <w:t>The yield of CE may be affected by multiple factors, including poor visualization of the mucosa, and the rate of gastric emptying and small bowel transit, which could result in exhaustion of capsule batteries prior to reaching the ileo-caecal valve.</w:t>
      </w:r>
      <w:r w:rsidRPr="000D5177">
        <w:rPr>
          <w:szCs w:val="22"/>
          <w:vertAlign w:val="superscript"/>
        </w:rPr>
        <w:fldChar w:fldCharType="begin"/>
      </w:r>
      <w:r w:rsidRPr="000D5177">
        <w:rPr>
          <w:szCs w:val="22"/>
          <w:vertAlign w:val="superscript"/>
        </w:rPr>
        <w:instrText xml:space="preserve"> ADDIN EN.CITE &lt;EndNote&gt;&lt;Cite&gt;&lt;Author&gt;Sidhu&lt;/Author&gt;&lt;Year&gt;2008&lt;/Year&gt;&lt;RecNum&gt;28&lt;/RecNum&gt;&lt;DisplayText&gt;(27)&lt;/DisplayText&gt;&lt;record&gt;&lt;rec-number&gt;28&lt;/rec-number&gt;&lt;foreign-keys&gt;&lt;key app="EN" db-id="efzrzxttdz2psseepxapxaxrzxavdd2ztd22" timestamp="1457273825"&gt;28&lt;/key&gt;&lt;/foreign-keys&gt;&lt;ref-type name="Journal Article"&gt;17&lt;/ref-type&gt;&lt;contributors&gt;&lt;authors&gt;&lt;author&gt;Sidhu, R&lt;/author&gt;&lt;author&gt;Sanders, DS&lt;/author&gt;&lt;author&gt;Morris, AJ&lt;/author&gt;&lt;author&gt;McAlindon, ME&lt;/author&gt;&lt;/authors&gt;&lt;/contributors&gt;&lt;titles&gt;&lt;title&gt;Guidelines on small bowel enteroscopy and capsule endoscopy in adults &lt;/title&gt;&lt;secondary-title&gt;Gut&lt;/secondary-title&gt;&lt;/titles&gt;&lt;periodical&gt;&lt;full-title&gt;Gut&lt;/full-title&gt;&lt;/periodical&gt;&lt;pages&gt;125-136&lt;/pages&gt;&lt;volume&gt;57&lt;/volume&gt;&lt;dates&gt;&lt;year&gt;2008&lt;/year&gt;&lt;/dates&gt;&lt;urls&gt;&lt;/urls&gt;&lt;/record&gt;&lt;/Cite&gt;&lt;/EndNote&gt;</w:instrText>
      </w:r>
      <w:r w:rsidRPr="000D5177">
        <w:rPr>
          <w:szCs w:val="22"/>
          <w:vertAlign w:val="superscript"/>
        </w:rPr>
        <w:fldChar w:fldCharType="separate"/>
      </w:r>
      <w:r w:rsidRPr="000D5177">
        <w:rPr>
          <w:noProof/>
          <w:szCs w:val="22"/>
          <w:vertAlign w:val="superscript"/>
        </w:rPr>
        <w:t>(27)</w:t>
      </w:r>
      <w:r w:rsidRPr="000D5177">
        <w:rPr>
          <w:szCs w:val="22"/>
          <w:vertAlign w:val="superscript"/>
        </w:rPr>
        <w:fldChar w:fldCharType="end"/>
      </w:r>
      <w:r w:rsidRPr="000D5177">
        <w:rPr>
          <w:szCs w:val="22"/>
        </w:rPr>
        <w:t xml:space="preserve"> Such incomplete examination occurs in 10 </w:t>
      </w:r>
      <w:r w:rsidR="00BF1B51">
        <w:rPr>
          <w:szCs w:val="22"/>
        </w:rPr>
        <w:t>–</w:t>
      </w:r>
      <w:r w:rsidRPr="000D5177">
        <w:rPr>
          <w:szCs w:val="22"/>
        </w:rPr>
        <w:t xml:space="preserve"> 25</w:t>
      </w:r>
      <w:r w:rsidR="00BF1B51">
        <w:rPr>
          <w:szCs w:val="22"/>
        </w:rPr>
        <w:t xml:space="preserve"> per cent</w:t>
      </w:r>
      <w:r w:rsidRPr="000D5177">
        <w:rPr>
          <w:szCs w:val="22"/>
        </w:rPr>
        <w:t xml:space="preserve"> of cases.</w:t>
      </w:r>
      <w:r w:rsidR="00C22AE4">
        <w:rPr>
          <w:szCs w:val="22"/>
        </w:rPr>
        <w:t xml:space="preserve"> </w:t>
      </w:r>
      <w:r w:rsidRPr="000D5177">
        <w:rPr>
          <w:szCs w:val="22"/>
        </w:rPr>
        <w:t>Diagnostic yield is improved in overt bleeding</w:t>
      </w:r>
      <w:r w:rsidRPr="000D5177">
        <w:rPr>
          <w:szCs w:val="22"/>
          <w:vertAlign w:val="superscript"/>
        </w:rPr>
        <w:fldChar w:fldCharType="begin"/>
      </w:r>
      <w:r w:rsidRPr="000D5177">
        <w:rPr>
          <w:szCs w:val="22"/>
          <w:vertAlign w:val="superscript"/>
        </w:rPr>
        <w:instrText xml:space="preserve"> ADDIN EN.CITE &lt;EndNote&gt;&lt;Cite&gt;&lt;Author&gt;Esaki&lt;/Author&gt;&lt;Year&gt;2010&lt;/Year&gt;&lt;RecNum&gt;21&lt;/RecNum&gt;&lt;DisplayText&gt;(28)&lt;/DisplayText&gt;&lt;record&gt;&lt;rec-number&gt;21&lt;/rec-number&gt;&lt;foreign-keys&gt;&lt;key app="EN" db-id="efzrzxttdz2psseepxapxaxrzxavdd2ztd22" timestamp="1457212496"&gt;21&lt;/key&gt;&lt;/foreign-keys&gt;&lt;ref-type name="Journal Article"&gt;17&lt;/ref-type&gt;&lt;contributors&gt;&lt;authors&gt;&lt;author&gt;Esaki, M&lt;/author&gt;&lt;author&gt;Matsumoto, T&lt;/author&gt;&lt;author&gt;Yada, S&lt;/author&gt;&lt;author&gt;Yanaru-Fujisawa, R&lt;/author&gt;&lt;author&gt;Kudo, T&lt;/author&gt;&lt;author&gt;Yanai, S&lt;/author&gt;&lt;author&gt;Nakamura, S&lt;/author&gt;&lt;author&gt;Iida, M&lt;/author&gt;&lt;/authors&gt;&lt;/contributors&gt;&lt;titles&gt;&lt;title&gt;Factors associated with the clinical impact of capsule endoscopy in patients with overt obscure gastrointestinal bleeding&lt;/title&gt;&lt;secondary-title&gt;Dig Dis Sci&lt;/secondary-title&gt;&lt;/titles&gt;&lt;periodical&gt;&lt;full-title&gt;Dig Dis Sci&lt;/full-title&gt;&lt;/periodical&gt;&lt;pages&gt;2294-301&lt;/pages&gt;&lt;volume&gt;55&lt;/volume&gt;&lt;number&gt;8&lt;/number&gt;&lt;dates&gt;&lt;year&gt;2010&lt;/year&gt;&lt;/dates&gt;&lt;urls&gt;&lt;/urls&gt;&lt;/record&gt;&lt;/Cite&gt;&lt;/EndNote&gt;</w:instrText>
      </w:r>
      <w:r w:rsidRPr="000D5177">
        <w:rPr>
          <w:szCs w:val="22"/>
          <w:vertAlign w:val="superscript"/>
        </w:rPr>
        <w:fldChar w:fldCharType="separate"/>
      </w:r>
      <w:r w:rsidRPr="000D5177">
        <w:rPr>
          <w:noProof/>
          <w:szCs w:val="22"/>
          <w:vertAlign w:val="superscript"/>
        </w:rPr>
        <w:t>(28)</w:t>
      </w:r>
      <w:r w:rsidRPr="000D5177">
        <w:rPr>
          <w:szCs w:val="22"/>
          <w:vertAlign w:val="superscript"/>
        </w:rPr>
        <w:fldChar w:fldCharType="end"/>
      </w:r>
      <w:r w:rsidRPr="000D5177">
        <w:rPr>
          <w:szCs w:val="22"/>
        </w:rPr>
        <w:t>, patients with haemoglobin &lt; 10 g/dL, longer duration of bleeding (&gt;6 months) and more than one episode of bleeding.</w:t>
      </w:r>
      <w:r w:rsidRPr="000D5177">
        <w:rPr>
          <w:szCs w:val="22"/>
          <w:vertAlign w:val="superscript"/>
        </w:rPr>
        <w:fldChar w:fldCharType="begin"/>
      </w:r>
      <w:r w:rsidRPr="000D5177">
        <w:rPr>
          <w:szCs w:val="22"/>
          <w:vertAlign w:val="superscript"/>
        </w:rPr>
        <w:instrText xml:space="preserve"> ADDIN EN.CITE &lt;EndNote&gt;&lt;Cite&gt;&lt;Author&gt;Pasha&lt;/Author&gt;&lt;Year&gt;2009&lt;/Year&gt;&lt;RecNum&gt;31&lt;/RecNum&gt;&lt;DisplayText&gt;(29)&lt;/DisplayText&gt;&lt;record&gt;&lt;rec-number&gt;31&lt;/rec-number&gt;&lt;foreign-keys&gt;&lt;key app="EN" db-id="efzrzxttdz2psseepxapxaxrzxavdd2ztd22" timestamp="1457304737"&gt;31&lt;/key&gt;&lt;/foreign-keys&gt;&lt;ref-type name="Journal Article"&gt;17&lt;/ref-type&gt;&lt;contributors&gt;&lt;authors&gt;&lt;author&gt;Pasha, SF&lt;/author&gt;&lt;author&gt;Hara, AK&lt;/author&gt;&lt;author&gt;Leighton, JA&lt;/author&gt;&lt;/authors&gt;&lt;/contributors&gt;&lt;titles&gt;&lt;title&gt;Diagnostic Evaluation and Management of Obscure Gastrointestinal Bleeding: A Changing Paradigm&lt;/title&gt;&lt;secondary-title&gt;Gastroenterol Hepatol&lt;/secondary-title&gt;&lt;/titles&gt;&lt;periodical&gt;&lt;full-title&gt;Gastroenterol Hepatol&lt;/full-title&gt;&lt;/periodical&gt;&lt;pages&gt;839-850&lt;/pages&gt;&lt;volume&gt;5&lt;/volume&gt;&lt;number&gt;12&lt;/number&gt;&lt;dates&gt;&lt;year&gt;2009&lt;/year&gt;&lt;/dates&gt;&lt;urls&gt;&lt;/urls&gt;&lt;/record&gt;&lt;/Cite&gt;&lt;/EndNote&gt;</w:instrText>
      </w:r>
      <w:r w:rsidRPr="000D5177">
        <w:rPr>
          <w:szCs w:val="22"/>
          <w:vertAlign w:val="superscript"/>
        </w:rPr>
        <w:fldChar w:fldCharType="separate"/>
      </w:r>
      <w:r w:rsidRPr="000D5177">
        <w:rPr>
          <w:noProof/>
          <w:szCs w:val="22"/>
          <w:vertAlign w:val="superscript"/>
        </w:rPr>
        <w:t>(29)</w:t>
      </w:r>
      <w:r w:rsidRPr="000D5177">
        <w:rPr>
          <w:szCs w:val="22"/>
          <w:vertAlign w:val="superscript"/>
        </w:rPr>
        <w:fldChar w:fldCharType="end"/>
      </w:r>
      <w:r w:rsidRPr="000D5177">
        <w:rPr>
          <w:szCs w:val="22"/>
        </w:rPr>
        <w:t xml:space="preserve"> It has also been </w:t>
      </w:r>
      <w:r w:rsidRPr="000D5177">
        <w:rPr>
          <w:szCs w:val="22"/>
        </w:rPr>
        <w:lastRenderedPageBreak/>
        <w:t xml:space="preserve">shown that earlier timing of CE, particularly within 48 hours of overt bleeding, has the greatest potential for lesion detection. </w:t>
      </w:r>
      <w:r w:rsidRPr="000D5177">
        <w:rPr>
          <w:szCs w:val="22"/>
          <w:vertAlign w:val="superscript"/>
        </w:rPr>
        <w:fldChar w:fldCharType="begin">
          <w:fldData xml:space="preserve">PEVuZE5vdGU+PENpdGU+PEF1dGhvcj5Hb2Vua2E8L0F1dGhvcj48WWVhcj4yMDExPC9ZZWFyPjxS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</w:fldData>
        </w:fldChar>
      </w:r>
      <w:r w:rsidRPr="000D5177">
        <w:rPr>
          <w:szCs w:val="22"/>
          <w:vertAlign w:val="superscript"/>
        </w:rPr>
        <w:instrText xml:space="preserve"> ADDIN EN.CITE </w:instrText>
      </w:r>
      <w:r w:rsidRPr="000D5177">
        <w:rPr>
          <w:szCs w:val="22"/>
          <w:vertAlign w:val="superscript"/>
        </w:rPr>
        <w:fldChar w:fldCharType="begin">
          <w:fldData xml:space="preserve">PEVuZE5vdGU+PENpdGU+PEF1dGhvcj5Hb2Vua2E8L0F1dGhvcj48WWVhcj4yMDExPC9ZZWFyPjxS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</w:fldData>
        </w:fldChar>
      </w:r>
      <w:r w:rsidRPr="000D5177">
        <w:rPr>
          <w:szCs w:val="22"/>
          <w:vertAlign w:val="superscript"/>
        </w:rPr>
        <w:instrText xml:space="preserve"> ADDIN EN.CITE.DATA </w:instrText>
      </w:r>
      <w:r w:rsidRPr="000D5177">
        <w:rPr>
          <w:szCs w:val="22"/>
          <w:vertAlign w:val="superscript"/>
        </w:rPr>
      </w:r>
      <w:r w:rsidRPr="000D5177">
        <w:rPr>
          <w:szCs w:val="22"/>
          <w:vertAlign w:val="superscript"/>
        </w:rPr>
        <w:fldChar w:fldCharType="end"/>
      </w:r>
      <w:r w:rsidRPr="000D5177">
        <w:rPr>
          <w:szCs w:val="22"/>
          <w:vertAlign w:val="superscript"/>
        </w:rPr>
      </w:r>
      <w:r w:rsidRPr="000D5177">
        <w:rPr>
          <w:szCs w:val="22"/>
          <w:vertAlign w:val="superscript"/>
        </w:rPr>
        <w:fldChar w:fldCharType="separate"/>
      </w:r>
      <w:r w:rsidRPr="000D5177">
        <w:rPr>
          <w:noProof/>
          <w:szCs w:val="22"/>
          <w:vertAlign w:val="superscript"/>
        </w:rPr>
        <w:t>(19, 21, 30)</w:t>
      </w:r>
      <w:r w:rsidRPr="000D5177">
        <w:rPr>
          <w:szCs w:val="22"/>
          <w:vertAlign w:val="superscript"/>
        </w:rPr>
        <w:fldChar w:fldCharType="end"/>
      </w:r>
      <w:r w:rsidRPr="000D5177">
        <w:rPr>
          <w:szCs w:val="22"/>
        </w:rPr>
        <w:t xml:space="preserve"> Sidhu et al found that increasing age, anti-coagulation and liver co-morbidity were significant predictors of a positive diagnostic yield, whilst the presence of co-morbidity or diagnosis of angiodysplasia could predict a change in management. </w:t>
      </w:r>
      <w:r w:rsidRPr="000D5177">
        <w:rPr>
          <w:szCs w:val="22"/>
          <w:vertAlign w:val="superscript"/>
        </w:rPr>
        <w:fldChar w:fldCharType="begin"/>
      </w:r>
      <w:r w:rsidRPr="000D5177">
        <w:rPr>
          <w:szCs w:val="22"/>
          <w:vertAlign w:val="superscript"/>
        </w:rPr>
        <w:instrText xml:space="preserve"> ADDIN EN.CITE &lt;EndNote&gt;&lt;Cite&gt;&lt;Author&gt;Sidhu&lt;/Author&gt;&lt;Year&gt;2009&lt;/Year&gt;&lt;RecNum&gt;22&lt;/RecNum&gt;&lt;DisplayText&gt;(24)&lt;/DisplayText&gt;&lt;record&gt;&lt;rec-number&gt;22&lt;/rec-number&gt;&lt;foreign-keys&gt;&lt;key app="EN" db-id="efzrzxttdz2psseepxapxaxrzxavdd2ztd22" timestamp="1457213385"&gt;22&lt;/key&gt;&lt;/foreign-keys&gt;&lt;ref-type name="Journal Article"&gt;17&lt;/ref-type&gt;&lt;contributors&gt;&lt;authors&gt;&lt;author&gt;Sidhu, R&lt;/author&gt;&lt;author&gt;Sanders, DS&lt;/author&gt;&lt;author&gt;Kapur, K&lt;/author&gt;&lt;author&gt;Leeds, JS&lt;/author&gt;&lt;author&gt;McAlindon, M&lt;/author&gt;&lt;/authors&gt;&lt;/contributors&gt;&lt;titles&gt;&lt;title&gt;Factors predicting the diagnostic yield and intervention in obscure gastrointestinal bleeding investigated using capsule endoscopy&lt;/title&gt;&lt;secondary-title&gt;J Gastroenterol Liver Dis&lt;/secondary-title&gt;&lt;/titles&gt;&lt;periodical&gt;&lt;full-title&gt;J Gastroenterol Liver Dis&lt;/full-title&gt;&lt;/periodical&gt;&lt;pages&gt;273-8&lt;/pages&gt;&lt;volume&gt;18&lt;/volume&gt;&lt;number&gt;3&lt;/number&gt;&lt;dates&gt;&lt;year&gt;2009&lt;/year&gt;&lt;/dates&gt;&lt;urls&gt;&lt;/urls&gt;&lt;/record&gt;&lt;/Cite&gt;&lt;/EndNote&gt;</w:instrText>
      </w:r>
      <w:r w:rsidRPr="000D5177">
        <w:rPr>
          <w:szCs w:val="22"/>
          <w:vertAlign w:val="superscript"/>
        </w:rPr>
        <w:fldChar w:fldCharType="separate"/>
      </w:r>
      <w:r w:rsidRPr="000D5177">
        <w:rPr>
          <w:noProof/>
          <w:szCs w:val="22"/>
          <w:vertAlign w:val="superscript"/>
        </w:rPr>
        <w:t>(24)</w:t>
      </w:r>
      <w:r w:rsidRPr="000D5177">
        <w:rPr>
          <w:szCs w:val="22"/>
          <w:vertAlign w:val="superscript"/>
        </w:rPr>
        <w:fldChar w:fldCharType="end"/>
      </w:r>
      <w:r w:rsidRPr="000D5177">
        <w:rPr>
          <w:szCs w:val="22"/>
        </w:rPr>
        <w:t xml:space="preserve"> </w:t>
      </w:r>
    </w:p>
    <w:p w14:paraId="6891D9D7" w14:textId="77777777" w:rsidR="00360A76" w:rsidRPr="000D5177" w:rsidRDefault="00360A76" w:rsidP="006A175E">
      <w:pPr>
        <w:pStyle w:val="Heading3"/>
      </w:pPr>
      <w:r w:rsidRPr="000D5177">
        <w:t xml:space="preserve">Recent guidelines </w:t>
      </w:r>
    </w:p>
    <w:p w14:paraId="3E5F0238" w14:textId="77777777" w:rsidR="00360A76" w:rsidRPr="000D5177" w:rsidRDefault="00360A76" w:rsidP="006A175E">
      <w:pPr>
        <w:pStyle w:val="Heading4"/>
      </w:pPr>
      <w:r w:rsidRPr="000D5177">
        <w:t xml:space="preserve">ESGE Clinical Guideline </w:t>
      </w:r>
      <w:r w:rsidRPr="000D5177">
        <w:rPr>
          <w:vertAlign w:val="superscript"/>
        </w:rPr>
        <w:fldChar w:fldCharType="begin"/>
      </w:r>
      <w:r w:rsidRPr="000D5177">
        <w:rPr>
          <w:vertAlign w:val="superscript"/>
        </w:rPr>
        <w:instrText xml:space="preserve"> ADDIN EN.CITE &lt;EndNote&gt;&lt;Cite&gt;&lt;Author&gt;Pennazio&lt;/Author&gt;&lt;Year&gt;2015&lt;/Year&gt;&lt;RecNum&gt;1&lt;/RecNum&gt;&lt;DisplayText&gt;(31)&lt;/DisplayText&gt;&lt;record&gt;&lt;rec-number&gt;1&lt;/rec-number&gt;&lt;foreign-keys&gt;&lt;key app="EN" db-id="efzrzxttdz2psseepxapxaxrzxavdd2ztd22" timestamp="1456806738"&gt;1&lt;/key&gt;&lt;/foreign-keys&gt;&lt;ref-type name="Journal Article"&gt;17&lt;/ref-type&gt;&lt;contributors&gt;&lt;authors&gt;&lt;author&gt;Pennazio, M&lt;/author&gt;&lt;author&gt;Spada, C&lt;/author&gt;&lt;author&gt;Eliakim, R&lt;/author&gt;&lt;author&gt;Keuchel, M&lt;/author&gt;&lt;author&gt;May, A&lt;/author&gt;&lt;author&gt;Mulder, CJ&lt;/author&gt;&lt;author&gt;Rondonotti, E&lt;/author&gt;&lt;author&gt;Adler, SN&lt;/author&gt;&lt;author&gt;ALbert, J&lt;/author&gt;&lt;author&gt;Baltes, P&lt;/author&gt;&lt;author&gt;Barbaro, F&lt;/author&gt;&lt;author&gt;Cellier, C&lt;/author&gt;&lt;author&gt;Charton, JP&lt;/author&gt;&lt;author&gt;Delvaux, M&lt;/author&gt;&lt;author&gt;Despott, EJ&lt;/author&gt;&lt;author&gt;Domagk, D&lt;/author&gt;&lt;author&gt;Klein, A&lt;/author&gt;&lt;author&gt;McAlindon, M&lt;/author&gt;&lt;author&gt;Rosa, B&lt;/author&gt;&lt;author&gt;Rowse, G&lt;/author&gt;&lt;author&gt;Sanders, DS&lt;/author&gt;&lt;author&gt;Saurin, JC&lt;/author&gt;&lt;author&gt;Sidhu, R&lt;/author&gt;&lt;author&gt;Dumonceau, JM&lt;/author&gt;&lt;author&gt;Hassan, C&lt;/author&gt;&lt;author&gt;Gralnek, IM &lt;/author&gt;&lt;/authors&gt;&lt;/contributors&gt;&lt;titles&gt;&lt;title&gt;Small-bowel capsule endoscopy and device-assisted enteroscopy for diagnosis and treatment of small-bowel disorders: European Society of Gastrointestinal Endoscopy (ESGE) Clinical Guideline&lt;/title&gt;&lt;secondary-title&gt;Endoscopy&lt;/secondary-title&gt;&lt;/titles&gt;&lt;periodical&gt;&lt;full-title&gt;Endoscopy&lt;/full-title&gt;&lt;/periodical&gt;&lt;pages&gt;352-376&lt;/pages&gt;&lt;volume&gt;47&lt;/volume&gt;&lt;dates&gt;&lt;year&gt;2015&lt;/year&gt;&lt;/dates&gt;&lt;urls&gt;&lt;/urls&gt;&lt;/record&gt;&lt;/Cite&gt;&lt;/EndNote&gt;</w:instrText>
      </w:r>
      <w:r w:rsidRPr="000D5177">
        <w:rPr>
          <w:vertAlign w:val="superscript"/>
        </w:rPr>
        <w:fldChar w:fldCharType="separate"/>
      </w:r>
      <w:r w:rsidRPr="000D5177">
        <w:rPr>
          <w:noProof/>
          <w:vertAlign w:val="superscript"/>
        </w:rPr>
        <w:t>(31)</w:t>
      </w:r>
      <w:r w:rsidRPr="000D5177">
        <w:rPr>
          <w:vertAlign w:val="superscript"/>
        </w:rPr>
        <w:fldChar w:fldCharType="end"/>
      </w:r>
    </w:p>
    <w:p w14:paraId="5DE4F483" w14:textId="6B579FE3" w:rsidR="00360A76" w:rsidRPr="000D5177" w:rsidRDefault="00360A76" w:rsidP="00360A76">
      <w:pPr>
        <w:jc w:val="both"/>
        <w:rPr>
          <w:szCs w:val="22"/>
        </w:rPr>
      </w:pPr>
      <w:r w:rsidRPr="000D5177">
        <w:rPr>
          <w:szCs w:val="22"/>
        </w:rPr>
        <w:t>The European Society of Gastrointestinal Endoscopy (ESGE) recommends video capsule endoscopy as a first line investigation in patients with obscure gastrointestinal bleeding. The recommendation in patients with overt obscure GI bleeding is to perform the capsule endoscopy as soon as practicable after the bleeding episode, preferably within 14 days.</w:t>
      </w:r>
      <w:r w:rsidR="00C22AE4">
        <w:rPr>
          <w:szCs w:val="22"/>
        </w:rPr>
        <w:t xml:space="preserve"> </w:t>
      </w:r>
      <w:r w:rsidRPr="000D5177">
        <w:rPr>
          <w:szCs w:val="22"/>
        </w:rPr>
        <w:t>In those with positive findings on capsule endoscopy, ESGE recommends device-assisted enteroscopy to confirm and potentially treat lesions. Figure 1 below is a flow chart taken from ESGE guidelines, which summarises recommendations in the investigation of OGIB.</w:t>
      </w:r>
      <w:r w:rsidRPr="000D5177">
        <w:rPr>
          <w:szCs w:val="22"/>
          <w:vertAlign w:val="superscript"/>
        </w:rPr>
        <w:fldChar w:fldCharType="begin"/>
      </w:r>
      <w:r w:rsidRPr="000D5177">
        <w:rPr>
          <w:szCs w:val="22"/>
          <w:vertAlign w:val="superscript"/>
        </w:rPr>
        <w:instrText xml:space="preserve"> ADDIN EN.CITE &lt;EndNote&gt;&lt;Cite&gt;&lt;Author&gt;Pennazio&lt;/Author&gt;&lt;Year&gt;2015&lt;/Year&gt;&lt;RecNum&gt;1&lt;/RecNum&gt;&lt;DisplayText&gt;(31)&lt;/DisplayText&gt;&lt;record&gt;&lt;rec-number&gt;1&lt;/rec-number&gt;&lt;foreign-keys&gt;&lt;key app="EN" db-id="efzrzxttdz2psseepxapxaxrzxavdd2ztd22" timestamp="1456806738"&gt;1&lt;/key&gt;&lt;/foreign-keys&gt;&lt;ref-type name="Journal Article"&gt;17&lt;/ref-type&gt;&lt;contributors&gt;&lt;authors&gt;&lt;author&gt;Pennazio, M&lt;/author&gt;&lt;author&gt;Spada, C&lt;/author&gt;&lt;author&gt;Eliakim, R&lt;/author&gt;&lt;author&gt;Keuchel, M&lt;/author&gt;&lt;author&gt;May, A&lt;/author&gt;&lt;author&gt;Mulder, CJ&lt;/author&gt;&lt;author&gt;Rondonotti, E&lt;/author&gt;&lt;author&gt;Adler, SN&lt;/author&gt;&lt;author&gt;ALbert, J&lt;/author&gt;&lt;author&gt;Baltes, P&lt;/author&gt;&lt;author&gt;Barbaro, F&lt;/author&gt;&lt;author&gt;Cellier, C&lt;/author&gt;&lt;author&gt;Charton, JP&lt;/author&gt;&lt;author&gt;Delvaux, M&lt;/author&gt;&lt;author&gt;Despott, EJ&lt;/author&gt;&lt;author&gt;Domagk, D&lt;/author&gt;&lt;author&gt;Klein, A&lt;/author&gt;&lt;author&gt;McAlindon, M&lt;/author&gt;&lt;author&gt;Rosa, B&lt;/author&gt;&lt;author&gt;Rowse, G&lt;/author&gt;&lt;author&gt;Sanders, DS&lt;/author&gt;&lt;author&gt;Saurin, JC&lt;/author&gt;&lt;author&gt;Sidhu, R&lt;/author&gt;&lt;author&gt;Dumonceau, JM&lt;/author&gt;&lt;author&gt;Hassan, C&lt;/author&gt;&lt;author&gt;Gralnek, IM &lt;/author&gt;&lt;/authors&gt;&lt;/contributors&gt;&lt;titles&gt;&lt;title&gt;Small-bowel capsule endoscopy and device-assisted enteroscopy for diagnosis and treatment of small-bowel disorders: European Society of Gastrointestinal Endoscopy (ESGE) Clinical Guideline&lt;/title&gt;&lt;secondary-title&gt;Endoscopy&lt;/secondary-title&gt;&lt;/titles&gt;&lt;periodical&gt;&lt;full-title&gt;Endoscopy&lt;/full-title&gt;&lt;/periodical&gt;&lt;pages&gt;352-376&lt;/pages&gt;&lt;volume&gt;47&lt;/volume&gt;&lt;dates&gt;&lt;year&gt;2015&lt;/year&gt;&lt;/dates&gt;&lt;urls&gt;&lt;/urls&gt;&lt;/record&gt;&lt;/Cite&gt;&lt;/EndNote&gt;</w:instrText>
      </w:r>
      <w:r w:rsidRPr="000D5177">
        <w:rPr>
          <w:szCs w:val="22"/>
          <w:vertAlign w:val="superscript"/>
        </w:rPr>
        <w:fldChar w:fldCharType="separate"/>
      </w:r>
      <w:r w:rsidRPr="000D5177">
        <w:rPr>
          <w:noProof/>
          <w:szCs w:val="22"/>
          <w:vertAlign w:val="superscript"/>
        </w:rPr>
        <w:t>(31)</w:t>
      </w:r>
      <w:r w:rsidRPr="000D5177">
        <w:rPr>
          <w:szCs w:val="22"/>
          <w:vertAlign w:val="superscript"/>
        </w:rPr>
        <w:fldChar w:fldCharType="end"/>
      </w:r>
    </w:p>
    <w:p w14:paraId="28B49CFD" w14:textId="28082013" w:rsidR="00360A76" w:rsidRPr="000D5177" w:rsidRDefault="00360A76" w:rsidP="006C6BE7">
      <w:r w:rsidRPr="000D5177">
        <w:rPr>
          <w:noProof/>
        </w:rPr>
        <w:drawing>
          <wp:inline distT="0" distB="0" distL="0" distR="0" wp14:anchorId="2B691BDF" wp14:editId="47325873">
            <wp:extent cx="5270500" cy="2632382"/>
            <wp:effectExtent l="0" t="0" r="6350" b="0"/>
            <wp:docPr id="7" name="Picture 7" descr="In patients with obscure gastrointestinal bleeding, small-bowel video capsule endoscopy, or VCE, should be done as soon as possible after the bleeding episode.&#10;When results from VCE are negative, a ‘wait and see’ approach will be taken. A clinical follow-up will check for recurrence of bleeding. If there is no recurrence of bleeding, no further action will be take. &#10;If bleeding does recur, options are to repeat VCE, use device-assisted endoscopy (DAE) or computed tomography enterography or enteroclysis. Upper and/or lower gastrointestinal endoscopy may also be considered case by case, to identify lesions overlooked at the initial endoscopy. If the result is positive, specific management will be undertaken.&#10;When results from VCE are positive, specific management will be undertaken. Further tests or treatments may also be considered.&#10;When VCE is contraindicated or unavailable, device-assisted endoscopy may be the preferred initial test to evaluate the small bowel.&#10;In patients with significant overt active bleeding and who are unsuitable for flexible endoscopy, computed tomography-angiography or angiography may also be considere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270500" cy="2632382"/>
                    </a:xfrm>
                    <a:prstGeom prst="rect">
                      <a:avLst/>
                    </a:prstGeom>
                    <a:noFill/>
                    <a:ln>
                      <a:noFill/>
                    </a:ln>
                  </pic:spPr>
                </pic:pic>
              </a:graphicData>
            </a:graphic>
          </wp:inline>
        </w:drawing>
      </w:r>
    </w:p>
    <w:p w14:paraId="05665EEB" w14:textId="008D1CAF" w:rsidR="006A175E" w:rsidRPr="000D5177" w:rsidRDefault="006A175E" w:rsidP="006A175E">
      <w:pPr>
        <w:pStyle w:val="CaptionFigure"/>
        <w:rPr>
          <w:vertAlign w:val="superscript"/>
        </w:rPr>
      </w:pPr>
      <w:r>
        <w:t>Figure 1</w:t>
      </w:r>
      <w:r w:rsidR="008507D5">
        <w:t>:</w:t>
      </w:r>
      <w:r w:rsidR="008507D5">
        <w:tab/>
        <w:t>Recommended approaches for diagnosis and treatment of obscure gastrointestinal bleeding</w:t>
      </w:r>
    </w:p>
    <w:p w14:paraId="33F76E1A" w14:textId="77777777" w:rsidR="00360A76" w:rsidRPr="000D5177" w:rsidRDefault="00360A76" w:rsidP="006A175E">
      <w:pPr>
        <w:pStyle w:val="Heading4"/>
      </w:pPr>
      <w:r w:rsidRPr="000D5177">
        <w:t>ACG Guidelines</w:t>
      </w:r>
      <w:r w:rsidRPr="000D5177">
        <w:rPr>
          <w:vertAlign w:val="superscript"/>
        </w:rPr>
        <w:fldChar w:fldCharType="begin"/>
      </w:r>
      <w:r w:rsidRPr="000D5177">
        <w:rPr>
          <w:vertAlign w:val="superscript"/>
        </w:rPr>
        <w:instrText xml:space="preserve"> ADDIN EN.CITE &lt;EndNote&gt;&lt;Cite&gt;&lt;Author&gt;Gerson&lt;/Author&gt;&lt;Year&gt;2015&lt;/Year&gt;&lt;RecNum&gt;24&lt;/RecNum&gt;&lt;DisplayText&gt;(32)&lt;/DisplayText&gt;&lt;record&gt;&lt;rec-number&gt;24&lt;/rec-number&gt;&lt;foreign-keys&gt;&lt;key app="EN" db-id="efzrzxttdz2psseepxapxaxrzxavdd2ztd22" timestamp="1457249504"&gt;24&lt;/key&gt;&lt;/foreign-keys&gt;&lt;ref-type name="Journal Article"&gt;17&lt;/ref-type&gt;&lt;contributors&gt;&lt;authors&gt;&lt;author&gt;Gerson, LB&lt;/author&gt;&lt;author&gt;FIdler, J&lt;/author&gt;&lt;author&gt;Cave, DR&lt;/author&gt;&lt;author&gt;Leighton, JA&lt;/author&gt;&lt;/authors&gt;&lt;/contributors&gt;&lt;titles&gt;&lt;title&gt;ACG Clinical Guideline: Diagnosis and Management of Small Bowel Bleeding&lt;/title&gt;&lt;secondary-title&gt;Am J Gastroenterol&lt;/secondary-title&gt;&lt;/titles&gt;&lt;periodical&gt;&lt;full-title&gt;Am J Gastroenterol&lt;/full-title&gt;&lt;/periodical&gt;&lt;pages&gt;1265-1287&lt;/pages&gt;&lt;volume&gt;110&lt;/volume&gt;&lt;dates&gt;&lt;year&gt;2015&lt;/year&gt;&lt;/dates&gt;&lt;urls&gt;&lt;/urls&gt;&lt;/record&gt;&lt;/Cite&gt;&lt;/EndNote&gt;</w:instrText>
      </w:r>
      <w:r w:rsidRPr="000D5177">
        <w:rPr>
          <w:vertAlign w:val="superscript"/>
        </w:rPr>
        <w:fldChar w:fldCharType="separate"/>
      </w:r>
      <w:r w:rsidRPr="000D5177">
        <w:rPr>
          <w:noProof/>
          <w:vertAlign w:val="superscript"/>
        </w:rPr>
        <w:t>(32)</w:t>
      </w:r>
      <w:r w:rsidRPr="000D5177">
        <w:rPr>
          <w:vertAlign w:val="superscript"/>
        </w:rPr>
        <w:fldChar w:fldCharType="end"/>
      </w:r>
    </w:p>
    <w:p w14:paraId="3647AD45" w14:textId="77777777" w:rsidR="00360A76" w:rsidRPr="000D5177" w:rsidRDefault="00360A76" w:rsidP="00360A76">
      <w:pPr>
        <w:jc w:val="both"/>
        <w:rPr>
          <w:szCs w:val="22"/>
        </w:rPr>
      </w:pPr>
      <w:r w:rsidRPr="000D5177">
        <w:rPr>
          <w:szCs w:val="22"/>
        </w:rPr>
        <w:t>The American College of Gastroenterology recommends that:</w:t>
      </w:r>
    </w:p>
    <w:p w14:paraId="76CEF107" w14:textId="77777777" w:rsidR="00360A76" w:rsidRPr="000D5177" w:rsidRDefault="00360A76" w:rsidP="00FA1377">
      <w:pPr>
        <w:pStyle w:val="ListParagraph"/>
        <w:numPr>
          <w:ilvl w:val="0"/>
          <w:numId w:val="45"/>
        </w:numPr>
        <w:spacing w:before="0" w:after="0" w:line="240" w:lineRule="auto"/>
        <w:jc w:val="both"/>
        <w:rPr>
          <w:szCs w:val="22"/>
        </w:rPr>
      </w:pPr>
      <w:r w:rsidRPr="000D5177">
        <w:rPr>
          <w:szCs w:val="22"/>
        </w:rPr>
        <w:t>VCE should be considered first line procedure for small bowel evaluation after upper and lower GI sources have been excluded, including second look endoscopy when indicated</w:t>
      </w:r>
    </w:p>
    <w:p w14:paraId="617A487A" w14:textId="02F0C89C" w:rsidR="00360A76" w:rsidRPr="000D5177" w:rsidRDefault="00360A76" w:rsidP="00FA1377">
      <w:pPr>
        <w:pStyle w:val="ListParagraph"/>
        <w:numPr>
          <w:ilvl w:val="0"/>
          <w:numId w:val="45"/>
        </w:numPr>
        <w:spacing w:before="0" w:after="0" w:line="240" w:lineRule="auto"/>
        <w:jc w:val="both"/>
        <w:rPr>
          <w:szCs w:val="22"/>
        </w:rPr>
      </w:pPr>
      <w:r w:rsidRPr="000D5177">
        <w:rPr>
          <w:szCs w:val="22"/>
        </w:rPr>
        <w:t xml:space="preserve">VCE should be performed before deep enteroscopy to improve diagnostic yield </w:t>
      </w:r>
    </w:p>
    <w:p w14:paraId="1ACFA705" w14:textId="26A15999" w:rsidR="000D5177" w:rsidRPr="002036DF" w:rsidRDefault="00360A76" w:rsidP="004304F5">
      <w:pPr>
        <w:jc w:val="both"/>
      </w:pPr>
      <w:r w:rsidRPr="000D5177">
        <w:rPr>
          <w:szCs w:val="22"/>
        </w:rPr>
        <w:t>Figure 2 below is the ACG algorithm for suspected small bowel bleeding.</w:t>
      </w:r>
      <w:r w:rsidRPr="000D5177">
        <w:rPr>
          <w:szCs w:val="22"/>
          <w:vertAlign w:val="superscript"/>
        </w:rPr>
        <w:fldChar w:fldCharType="begin"/>
      </w:r>
      <w:r w:rsidRPr="000D5177">
        <w:rPr>
          <w:szCs w:val="22"/>
          <w:vertAlign w:val="superscript"/>
        </w:rPr>
        <w:instrText xml:space="preserve"> ADDIN EN.CITE &lt;EndNote&gt;&lt;Cite&gt;&lt;Author&gt;Gerson&lt;/Author&gt;&lt;Year&gt;2015&lt;/Year&gt;&lt;RecNum&gt;24&lt;/RecNum&gt;&lt;DisplayText&gt;(32)&lt;/DisplayText&gt;&lt;record&gt;&lt;rec-number&gt;24&lt;/rec-number&gt;&lt;foreign-keys&gt;&lt;key app="EN" db-id="efzrzxttdz2psseepxapxaxrzxavdd2ztd22" timestamp="1457249504"&gt;24&lt;/key&gt;&lt;/foreign-keys&gt;&lt;ref-type name="Journal Article"&gt;17&lt;/ref-type&gt;&lt;contributors&gt;&lt;authors&gt;&lt;author&gt;Gerson, LB&lt;/author&gt;&lt;author&gt;FIdler, J&lt;/author&gt;&lt;author&gt;Cave, DR&lt;/author&gt;&lt;author&gt;Leighton, JA&lt;/author&gt;&lt;/authors&gt;&lt;/contributors&gt;&lt;titles&gt;&lt;title&gt;ACG Clinical Guideline: Diagnosis and Management of Small Bowel Bleeding&lt;/title&gt;&lt;secondary-title&gt;Am J Gastroenterol&lt;/secondary-title&gt;&lt;/titles&gt;&lt;periodical&gt;&lt;full-title&gt;Am J Gastroenterol&lt;/full-title&gt;&lt;/periodical&gt;&lt;pages&gt;1265-1287&lt;/pages&gt;&lt;volume&gt;110&lt;/volume&gt;&lt;dates&gt;&lt;year&gt;2015&lt;/year&gt;&lt;/dates&gt;&lt;urls&gt;&lt;/urls&gt;&lt;/record&gt;&lt;/Cite&gt;&lt;/EndNote&gt;</w:instrText>
      </w:r>
      <w:r w:rsidRPr="000D5177">
        <w:rPr>
          <w:szCs w:val="22"/>
          <w:vertAlign w:val="superscript"/>
        </w:rPr>
        <w:fldChar w:fldCharType="separate"/>
      </w:r>
      <w:r w:rsidRPr="000D5177">
        <w:rPr>
          <w:noProof/>
          <w:szCs w:val="22"/>
          <w:vertAlign w:val="superscript"/>
        </w:rPr>
        <w:t>(32)</w:t>
      </w:r>
      <w:r w:rsidRPr="000D5177">
        <w:rPr>
          <w:szCs w:val="22"/>
          <w:vertAlign w:val="superscript"/>
        </w:rPr>
        <w:fldChar w:fldCharType="end"/>
      </w:r>
      <w:r w:rsidR="000D5177" w:rsidRPr="002036DF">
        <w:br w:type="page"/>
      </w:r>
    </w:p>
    <w:p w14:paraId="75444B8F" w14:textId="77777777" w:rsidR="00360A76" w:rsidRPr="000D5177" w:rsidRDefault="00360A76" w:rsidP="00360A76">
      <w:pPr>
        <w:jc w:val="both"/>
        <w:rPr>
          <w:szCs w:val="22"/>
        </w:rPr>
      </w:pPr>
      <w:r w:rsidRPr="000D5177">
        <w:rPr>
          <w:noProof/>
          <w:szCs w:val="22"/>
        </w:rPr>
        <w:lastRenderedPageBreak/>
        <w:drawing>
          <wp:inline distT="0" distB="0" distL="0" distR="0" wp14:anchorId="27539FE0" wp14:editId="1097C699">
            <wp:extent cx="5270500" cy="2719882"/>
            <wp:effectExtent l="0" t="0" r="6350" b="4445"/>
            <wp:docPr id="8" name="Picture 8" descr="When bleeding from the small bowel is suspected, a repeat endoscopy may be warranted. If occult bleeding is found, treat accordingly. &#10;If overt bleeding is visible and a repeat endoscopy is negative, evaluate the small bowel for a possible obstruction using VCE as the preferred procedure. If VCE is contraindicated or unavailable, computed tomography enterography/enteroclysis or magnetic resonance enterography may be used.&#10;Where the result is positive using any of the procedures, specific treatment may include push or deep enteroscopy surgery, which may include intraoperative enteroscopy. &#10;If no obstruction is evident, determine if further evaluation is needed. Options for further evaluation include repeat endoscopy, VCE, Meckel’s scan and surgery (which may include intraoperative enteroscopy). Where further evaluation is not warranted, treat with iron supplements and ongoing observ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270500" cy="2719882"/>
                    </a:xfrm>
                    <a:prstGeom prst="rect">
                      <a:avLst/>
                    </a:prstGeom>
                    <a:noFill/>
                    <a:ln>
                      <a:noFill/>
                    </a:ln>
                  </pic:spPr>
                </pic:pic>
              </a:graphicData>
            </a:graphic>
          </wp:inline>
        </w:drawing>
      </w:r>
    </w:p>
    <w:p w14:paraId="72EDBE38" w14:textId="08270215" w:rsidR="006A175E" w:rsidRPr="006C6BE7" w:rsidRDefault="006A175E" w:rsidP="006C6BE7">
      <w:pPr>
        <w:pStyle w:val="Caption"/>
      </w:pPr>
      <w:r w:rsidRPr="006A175E">
        <w:t>Figure</w:t>
      </w:r>
      <w:r w:rsidRPr="006C6BE7">
        <w:t xml:space="preserve"> </w:t>
      </w:r>
      <w:r w:rsidRPr="006A175E">
        <w:t>2</w:t>
      </w:r>
      <w:r w:rsidR="00943E7E">
        <w:t xml:space="preserve">: </w:t>
      </w:r>
      <w:r w:rsidR="00943E7E" w:rsidRPr="00943E7E">
        <w:t>ACG algorithm for suspected small bowel bleeding</w:t>
      </w:r>
      <w:r w:rsidRPr="006A175E">
        <w:t xml:space="preserve"> </w:t>
      </w:r>
      <w:r w:rsidRPr="006A175E">
        <w:rPr>
          <w:vertAlign w:val="superscript"/>
        </w:rPr>
        <w:fldChar w:fldCharType="begin"/>
      </w:r>
      <w:r w:rsidRPr="006A175E">
        <w:rPr>
          <w:vertAlign w:val="superscript"/>
        </w:rPr>
        <w:instrText xml:space="preserve"> ADDIN EN.CITE &lt;EndNote&gt;&lt;Cite&gt;&lt;Author&gt;Gerson&lt;/Author&gt;&lt;Year&gt;2015&lt;/Year&gt;&lt;RecNum&gt;24&lt;/RecNum&gt;&lt;DisplayText&gt;(32)&lt;/DisplayText&gt;&lt;record&gt;&lt;rec-number&gt;24&lt;/rec-number&gt;&lt;foreign-keys&gt;&lt;key app="EN" db-id="efzrzxttdz2psseepxapxaxrzxavdd2ztd22" timestamp="1457249504"&gt;24&lt;/key&gt;&lt;/foreign-keys&gt;&lt;ref-type name="Journal Article"&gt;17&lt;/ref-type&gt;&lt;contributors&gt;&lt;authors&gt;&lt;author&gt;Gerson, LB&lt;/author&gt;&lt;author&gt;FIdler, J&lt;/author&gt;&lt;author&gt;Cave, DR&lt;/author&gt;&lt;author&gt;Leighton, JA&lt;/author&gt;&lt;/authors&gt;&lt;/contributors&gt;&lt;titles&gt;&lt;title&gt;ACG Clinical Guideline: Diagnosis and Management of Small Bowel Bleeding&lt;/title&gt;&lt;secondary-title&gt;Am J Gastroenterol&lt;/secondary-title&gt;&lt;/titles&gt;&lt;periodical&gt;&lt;full-title&gt;Am J Gastroenterol&lt;/full-title&gt;&lt;/periodical&gt;&lt;pages&gt;1265-1287&lt;/pages&gt;&lt;volume&gt;110&lt;/volume&gt;&lt;dates&gt;&lt;year&gt;2015&lt;/year&gt;&lt;/dates&gt;&lt;urls&gt;&lt;/urls&gt;&lt;/record&gt;&lt;/Cite&gt;&lt;/EndNote&gt;</w:instrText>
      </w:r>
      <w:r w:rsidRPr="006A175E">
        <w:rPr>
          <w:vertAlign w:val="superscript"/>
        </w:rPr>
        <w:fldChar w:fldCharType="separate"/>
      </w:r>
      <w:r w:rsidRPr="006A175E">
        <w:rPr>
          <w:vertAlign w:val="superscript"/>
        </w:rPr>
        <w:t>(32)</w:t>
      </w:r>
      <w:r w:rsidRPr="006A175E">
        <w:rPr>
          <w:vertAlign w:val="superscript"/>
        </w:rPr>
        <w:fldChar w:fldCharType="end"/>
      </w:r>
    </w:p>
    <w:p w14:paraId="3239B6FE" w14:textId="77777777" w:rsidR="00360A76" w:rsidRPr="000D5177" w:rsidRDefault="00360A76" w:rsidP="006A175E">
      <w:pPr>
        <w:pStyle w:val="Heading4"/>
      </w:pPr>
      <w:r w:rsidRPr="000D5177">
        <w:t xml:space="preserve">British Society of Gastroenterology Guidelines </w:t>
      </w:r>
      <w:r w:rsidRPr="000D5177">
        <w:rPr>
          <w:vertAlign w:val="superscript"/>
        </w:rPr>
        <w:fldChar w:fldCharType="begin"/>
      </w:r>
      <w:r w:rsidRPr="000D5177">
        <w:rPr>
          <w:vertAlign w:val="superscript"/>
        </w:rPr>
        <w:instrText xml:space="preserve"> ADDIN EN.CITE &lt;EndNote&gt;&lt;Cite&gt;&lt;Author&gt;Sidhu&lt;/Author&gt;&lt;Year&gt;2008&lt;/Year&gt;&lt;RecNum&gt;28&lt;/RecNum&gt;&lt;DisplayText&gt;(27)&lt;/DisplayText&gt;&lt;record&gt;&lt;rec-number&gt;28&lt;/rec-number&gt;&lt;foreign-keys&gt;&lt;key app="EN" db-id="efzrzxttdz2psseepxapxaxrzxavdd2ztd22" timestamp="1457273825"&gt;28&lt;/key&gt;&lt;/foreign-keys&gt;&lt;ref-type name="Journal Article"&gt;17&lt;/ref-type&gt;&lt;contributors&gt;&lt;authors&gt;&lt;author&gt;Sidhu, R&lt;/author&gt;&lt;author&gt;Sanders, DS&lt;/author&gt;&lt;author&gt;Morris, AJ&lt;/author&gt;&lt;author&gt;McAlindon, ME&lt;/author&gt;&lt;/authors&gt;&lt;/contributors&gt;&lt;titles&gt;&lt;title&gt;Guidelines on small bowel enteroscopy and capsule endoscopy in adults &lt;/title&gt;&lt;secondary-title&gt;Gut&lt;/secondary-title&gt;&lt;/titles&gt;&lt;periodical&gt;&lt;full-title&gt;Gut&lt;/full-title&gt;&lt;/periodical&gt;&lt;pages&gt;125-136&lt;/pages&gt;&lt;volume&gt;57&lt;/volume&gt;&lt;dates&gt;&lt;year&gt;2008&lt;/year&gt;&lt;/dates&gt;&lt;urls&gt;&lt;/urls&gt;&lt;/record&gt;&lt;/Cite&gt;&lt;/EndNote&gt;</w:instrText>
      </w:r>
      <w:r w:rsidRPr="000D5177">
        <w:rPr>
          <w:vertAlign w:val="superscript"/>
        </w:rPr>
        <w:fldChar w:fldCharType="separate"/>
      </w:r>
      <w:r w:rsidRPr="000D5177">
        <w:rPr>
          <w:noProof/>
          <w:vertAlign w:val="superscript"/>
        </w:rPr>
        <w:t>(27)</w:t>
      </w:r>
      <w:r w:rsidRPr="000D5177">
        <w:rPr>
          <w:vertAlign w:val="superscript"/>
        </w:rPr>
        <w:fldChar w:fldCharType="end"/>
      </w:r>
    </w:p>
    <w:p w14:paraId="6B2E075C" w14:textId="77777777" w:rsidR="00360A76" w:rsidRPr="000D5177" w:rsidRDefault="00360A76" w:rsidP="00360A76">
      <w:pPr>
        <w:jc w:val="both"/>
        <w:rPr>
          <w:szCs w:val="22"/>
        </w:rPr>
      </w:pPr>
      <w:r w:rsidRPr="000D5177">
        <w:rPr>
          <w:szCs w:val="22"/>
        </w:rPr>
        <w:t>BSG indications for capsule endoscopy:</w:t>
      </w:r>
    </w:p>
    <w:p w14:paraId="5FDD5380" w14:textId="77777777" w:rsidR="00360A76" w:rsidRPr="000D5177" w:rsidRDefault="00360A76" w:rsidP="00FA1377">
      <w:pPr>
        <w:pStyle w:val="ListParagraph"/>
        <w:numPr>
          <w:ilvl w:val="0"/>
          <w:numId w:val="45"/>
        </w:numPr>
        <w:spacing w:before="0" w:after="0" w:line="240" w:lineRule="auto"/>
        <w:jc w:val="both"/>
        <w:rPr>
          <w:szCs w:val="22"/>
        </w:rPr>
      </w:pPr>
      <w:r w:rsidRPr="000D5177">
        <w:rPr>
          <w:szCs w:val="22"/>
        </w:rPr>
        <w:t>OGIB</w:t>
      </w:r>
    </w:p>
    <w:p w14:paraId="48D931BD" w14:textId="77777777" w:rsidR="00360A76" w:rsidRPr="000D5177" w:rsidRDefault="00360A76" w:rsidP="00FA1377">
      <w:pPr>
        <w:pStyle w:val="ListParagraph"/>
        <w:numPr>
          <w:ilvl w:val="0"/>
          <w:numId w:val="45"/>
        </w:numPr>
        <w:spacing w:before="0" w:after="0" w:line="240" w:lineRule="auto"/>
        <w:jc w:val="both"/>
        <w:rPr>
          <w:szCs w:val="22"/>
        </w:rPr>
      </w:pPr>
      <w:r w:rsidRPr="000D5177">
        <w:rPr>
          <w:szCs w:val="22"/>
        </w:rPr>
        <w:t>Small bowel Crohn’s disease</w:t>
      </w:r>
    </w:p>
    <w:p w14:paraId="4F55EA23" w14:textId="77777777" w:rsidR="00360A76" w:rsidRPr="000D5177" w:rsidRDefault="00360A76" w:rsidP="00FA1377">
      <w:pPr>
        <w:pStyle w:val="ListParagraph"/>
        <w:numPr>
          <w:ilvl w:val="0"/>
          <w:numId w:val="45"/>
        </w:numPr>
        <w:spacing w:before="0" w:after="0" w:line="240" w:lineRule="auto"/>
        <w:jc w:val="both"/>
        <w:rPr>
          <w:szCs w:val="22"/>
        </w:rPr>
      </w:pPr>
      <w:r w:rsidRPr="000D5177">
        <w:rPr>
          <w:szCs w:val="22"/>
        </w:rPr>
        <w:t>Assessment of coeliac disease</w:t>
      </w:r>
    </w:p>
    <w:p w14:paraId="2E042FAF" w14:textId="77777777" w:rsidR="00360A76" w:rsidRPr="000D5177" w:rsidRDefault="00360A76" w:rsidP="00FA1377">
      <w:pPr>
        <w:pStyle w:val="ListParagraph"/>
        <w:numPr>
          <w:ilvl w:val="0"/>
          <w:numId w:val="45"/>
        </w:numPr>
        <w:spacing w:before="0" w:after="0" w:line="240" w:lineRule="auto"/>
        <w:jc w:val="both"/>
        <w:rPr>
          <w:szCs w:val="22"/>
        </w:rPr>
      </w:pPr>
      <w:r w:rsidRPr="000D5177">
        <w:rPr>
          <w:szCs w:val="22"/>
        </w:rPr>
        <w:t>Screening and surveillance for polyps in FAP</w:t>
      </w:r>
    </w:p>
    <w:p w14:paraId="0E2AE189" w14:textId="7BAE198B" w:rsidR="00360A76" w:rsidRPr="000D5177" w:rsidRDefault="00360A76" w:rsidP="00360A76">
      <w:pPr>
        <w:jc w:val="both"/>
        <w:rPr>
          <w:szCs w:val="22"/>
        </w:rPr>
      </w:pPr>
      <w:r w:rsidRPr="000D5177">
        <w:rPr>
          <w:szCs w:val="22"/>
        </w:rPr>
        <w:t>BSG recommendations relating to CE use in OGIB:</w:t>
      </w:r>
      <w:r w:rsidR="00C22AE4">
        <w:rPr>
          <w:szCs w:val="22"/>
        </w:rPr>
        <w:t xml:space="preserve"> </w:t>
      </w:r>
    </w:p>
    <w:p w14:paraId="1E1B09A2" w14:textId="77777777" w:rsidR="00360A76" w:rsidRPr="000D5177" w:rsidRDefault="00360A76" w:rsidP="00FA1377">
      <w:pPr>
        <w:pStyle w:val="ListParagraph"/>
        <w:numPr>
          <w:ilvl w:val="0"/>
          <w:numId w:val="45"/>
        </w:numPr>
        <w:spacing w:before="0" w:after="0" w:line="240" w:lineRule="auto"/>
        <w:jc w:val="both"/>
        <w:rPr>
          <w:szCs w:val="22"/>
        </w:rPr>
      </w:pPr>
      <w:r w:rsidRPr="000D5177">
        <w:rPr>
          <w:szCs w:val="22"/>
        </w:rPr>
        <w:t xml:space="preserve">Patients presenting with OGIB with negative gastroscopy and colonoscopy should undergo CE where there are no contraindications </w:t>
      </w:r>
    </w:p>
    <w:p w14:paraId="0E4D3C8F" w14:textId="77777777" w:rsidR="00360A76" w:rsidRPr="000D5177" w:rsidRDefault="00360A76" w:rsidP="00FA1377">
      <w:pPr>
        <w:pStyle w:val="ListParagraph"/>
        <w:numPr>
          <w:ilvl w:val="0"/>
          <w:numId w:val="45"/>
        </w:numPr>
        <w:spacing w:before="0" w:after="0" w:line="240" w:lineRule="auto"/>
        <w:jc w:val="both"/>
        <w:rPr>
          <w:szCs w:val="22"/>
        </w:rPr>
      </w:pPr>
      <w:r w:rsidRPr="000D5177">
        <w:rPr>
          <w:szCs w:val="22"/>
        </w:rPr>
        <w:t>If high suspicion of bleeding from upper GI source, a second look endoscopy should take place prior to CE</w:t>
      </w:r>
    </w:p>
    <w:p w14:paraId="4418EFF9" w14:textId="77777777" w:rsidR="00360A76" w:rsidRPr="000D5177" w:rsidRDefault="00360A76" w:rsidP="00FA1377">
      <w:pPr>
        <w:pStyle w:val="ListParagraph"/>
        <w:numPr>
          <w:ilvl w:val="0"/>
          <w:numId w:val="45"/>
        </w:numPr>
        <w:spacing w:before="0" w:after="0" w:line="240" w:lineRule="auto"/>
        <w:jc w:val="both"/>
        <w:rPr>
          <w:szCs w:val="22"/>
        </w:rPr>
      </w:pPr>
      <w:r w:rsidRPr="000D5177">
        <w:rPr>
          <w:szCs w:val="22"/>
        </w:rPr>
        <w:t>Patients with pathology/ sites of bleeding identified on CE should subsequently undergo either PE or DBE depending on location</w:t>
      </w:r>
    </w:p>
    <w:p w14:paraId="0BBAFBE0" w14:textId="48A59777" w:rsidR="00360A76" w:rsidRPr="000D5177" w:rsidRDefault="00360A76" w:rsidP="00FA1377">
      <w:pPr>
        <w:pStyle w:val="ListParagraph"/>
        <w:numPr>
          <w:ilvl w:val="0"/>
          <w:numId w:val="45"/>
        </w:numPr>
        <w:spacing w:before="0" w:after="0" w:line="240" w:lineRule="auto"/>
        <w:jc w:val="both"/>
        <w:rPr>
          <w:szCs w:val="22"/>
        </w:rPr>
      </w:pPr>
      <w:r w:rsidRPr="000D5177">
        <w:rPr>
          <w:szCs w:val="22"/>
        </w:rPr>
        <w:t>In patients with a negative CE and persistent OGIB, a second look CE may be considered.</w:t>
      </w:r>
      <w:r w:rsidR="00C22AE4">
        <w:rPr>
          <w:szCs w:val="22"/>
        </w:rPr>
        <w:t xml:space="preserve"> </w:t>
      </w:r>
      <w:r w:rsidRPr="000D5177">
        <w:rPr>
          <w:szCs w:val="22"/>
        </w:rPr>
        <w:t xml:space="preserve">If this is negative they should be referred for DBE </w:t>
      </w:r>
    </w:p>
    <w:p w14:paraId="1F5D80BE" w14:textId="77777777" w:rsidR="00360A76" w:rsidRPr="000D5177" w:rsidRDefault="00360A76" w:rsidP="00FA1377">
      <w:pPr>
        <w:pStyle w:val="ListParagraph"/>
        <w:numPr>
          <w:ilvl w:val="0"/>
          <w:numId w:val="45"/>
        </w:numPr>
        <w:spacing w:before="0" w:after="0" w:line="240" w:lineRule="auto"/>
        <w:jc w:val="both"/>
        <w:rPr>
          <w:szCs w:val="22"/>
        </w:rPr>
      </w:pPr>
      <w:r w:rsidRPr="000D5177">
        <w:rPr>
          <w:szCs w:val="22"/>
        </w:rPr>
        <w:t>Where patient has obstructive symptoms, an alternative imaging modality should be considered prior to CE</w:t>
      </w:r>
    </w:p>
    <w:p w14:paraId="3DB19A3B" w14:textId="77777777" w:rsidR="00360A76" w:rsidRPr="000D5177" w:rsidRDefault="00360A76" w:rsidP="006A175E">
      <w:pPr>
        <w:pStyle w:val="Heading3"/>
      </w:pPr>
      <w:r w:rsidRPr="000D5177">
        <w:t xml:space="preserve">Cost effectiveness </w:t>
      </w:r>
    </w:p>
    <w:p w14:paraId="6176B1BB" w14:textId="62F0BAE1" w:rsidR="00360A76" w:rsidRPr="000D5177" w:rsidRDefault="00360A76" w:rsidP="00360A76">
      <w:pPr>
        <w:jc w:val="both"/>
        <w:rPr>
          <w:szCs w:val="22"/>
        </w:rPr>
      </w:pPr>
      <w:r w:rsidRPr="000D5177">
        <w:rPr>
          <w:szCs w:val="22"/>
        </w:rPr>
        <w:t>Given the timeframe and lack of Australian data, it was not possible to perform a cost-effectiveness analysis for the use of capsule endoscopy in the investigation of OGIB.</w:t>
      </w:r>
      <w:r w:rsidR="00C22AE4">
        <w:rPr>
          <w:szCs w:val="22"/>
        </w:rPr>
        <w:t xml:space="preserve"> </w:t>
      </w:r>
      <w:r w:rsidRPr="000D5177">
        <w:rPr>
          <w:szCs w:val="22"/>
        </w:rPr>
        <w:t>Studies from overseas highlight the potential reduction in costs from use of CE, particularly when performed in settings with a large patient base and procedure numbers.</w:t>
      </w:r>
      <w:r w:rsidRPr="000D5177">
        <w:rPr>
          <w:szCs w:val="22"/>
          <w:vertAlign w:val="superscript"/>
        </w:rPr>
        <w:fldChar w:fldCharType="begin"/>
      </w:r>
      <w:r w:rsidRPr="000D5177">
        <w:rPr>
          <w:szCs w:val="22"/>
          <w:vertAlign w:val="superscript"/>
        </w:rPr>
        <w:instrText xml:space="preserve"> ADDIN EN.CITE &lt;EndNote&gt;&lt;Cite&gt;&lt;Author&gt;Li&lt;/Author&gt;&lt;Year&gt;2014&lt;/Year&gt;&lt;RecNum&gt;26&lt;/RecNum&gt;&lt;DisplayText&gt;(1)&lt;/DisplayText&gt;&lt;record&gt;&lt;rec-number&gt;26&lt;/rec-number&gt;&lt;foreign-keys&gt;&lt;key app="EN" db-id="efzrzxttdz2psseepxapxaxrzxavdd2ztd22" timestamp="1457265680"&gt;26&lt;/key&gt;&lt;/foreign-keys&gt;&lt;ref-type name="Journal Article"&gt;17&lt;/ref-type&gt;&lt;contributors&gt;&lt;authors&gt;&lt;author&gt;Li, XL&lt;/author&gt;&lt;author&gt;Shen, JT&lt;/author&gt;&lt;author&gt;Li, YP&lt;/author&gt;&lt;author&gt;Tang, CW&lt;/author&gt;&lt;author&gt;Huang, LB&lt;/author&gt;&lt;author&gt;Li, CC&lt;/author&gt;&lt;author&gt;Yu, JJ&lt;/author&gt;&lt;author&gt;Wang, YJ, Yang, ZX&lt;/author&gt;&lt;/authors&gt;&lt;/contributors&gt;&lt;titles&gt;&lt;title&gt;Capsule endoscopy in diagnosis of small bowel diseases: a health technology assessment &lt;/title&gt;&lt;secondary-title&gt;JEBM&lt;/secondary-title&gt;&lt;/titles&gt;&lt;periodical&gt;&lt;full-title&gt;JEBM&lt;/full-title&gt;&lt;/periodical&gt;&lt;pages&gt;84-102&lt;/pages&gt;&lt;volume&gt;7&lt;/volume&gt;&lt;dates&gt;&lt;year&gt;2014&lt;/year&gt;&lt;/dates&gt;&lt;urls&gt;&lt;/urls&gt;&lt;/record&gt;&lt;/Cite&gt;&lt;/EndNote&gt;</w:instrText>
      </w:r>
      <w:r w:rsidRPr="000D5177">
        <w:rPr>
          <w:szCs w:val="22"/>
          <w:vertAlign w:val="superscript"/>
        </w:rPr>
        <w:fldChar w:fldCharType="separate"/>
      </w:r>
      <w:r w:rsidRPr="000D5177">
        <w:rPr>
          <w:noProof/>
          <w:szCs w:val="22"/>
          <w:vertAlign w:val="superscript"/>
        </w:rPr>
        <w:t>(1)</w:t>
      </w:r>
      <w:r w:rsidRPr="000D5177">
        <w:rPr>
          <w:szCs w:val="22"/>
          <w:vertAlign w:val="superscript"/>
        </w:rPr>
        <w:fldChar w:fldCharType="end"/>
      </w:r>
      <w:r w:rsidRPr="000D5177">
        <w:rPr>
          <w:szCs w:val="22"/>
        </w:rPr>
        <w:t xml:space="preserve"> Whilst CE has definite advantages in terms of diagnostic yield, safety and ability to be performed in an outpatient setting, which may result in cost savings, it also has limitations in the lack of biopsy and therapeutic potential as well as the potential for technical barriers such as insufficie</w:t>
      </w:r>
      <w:r w:rsidR="00BF1B51">
        <w:rPr>
          <w:szCs w:val="22"/>
        </w:rPr>
        <w:t>nt power and poor visualization.</w:t>
      </w:r>
      <w:r w:rsidRPr="000D5177">
        <w:rPr>
          <w:szCs w:val="22"/>
          <w:vertAlign w:val="superscript"/>
        </w:rPr>
        <w:fldChar w:fldCharType="begin"/>
      </w:r>
      <w:r w:rsidRPr="000D5177">
        <w:rPr>
          <w:szCs w:val="22"/>
          <w:vertAlign w:val="superscript"/>
        </w:rPr>
        <w:instrText xml:space="preserve"> ADDIN EN.CITE &lt;EndNote&gt;&lt;Cite&gt;&lt;Author&gt;Li&lt;/Author&gt;&lt;Year&gt;2014&lt;/Year&gt;&lt;RecNum&gt;26&lt;/RecNum&gt;&lt;DisplayText&gt;(1)&lt;/DisplayText&gt;&lt;record&gt;&lt;rec-number&gt;26&lt;/rec-number&gt;&lt;foreign-keys&gt;&lt;key app="EN" db-id="efzrzxttdz2psseepxapxaxrzxavdd2ztd22" timestamp="1457265680"&gt;26&lt;/key&gt;&lt;/foreign-keys&gt;&lt;ref-type name="Journal Article"&gt;17&lt;/ref-type&gt;&lt;contributors&gt;&lt;authors&gt;&lt;author&gt;Li, XL&lt;/author&gt;&lt;author&gt;Shen, JT&lt;/author&gt;&lt;author&gt;Li, YP&lt;/author&gt;&lt;author&gt;Tang, CW&lt;/author&gt;&lt;author&gt;Huang, LB&lt;/author&gt;&lt;author&gt;Li, CC&lt;/author&gt;&lt;author&gt;Yu, JJ&lt;/author&gt;&lt;author&gt;Wang, YJ, Yang, ZX&lt;/author&gt;&lt;/authors&gt;&lt;/contributors&gt;&lt;titles&gt;&lt;title&gt;Capsule endoscopy in diagnosis of small bowel diseases: a health technology assessment &lt;/title&gt;&lt;secondary-title&gt;JEBM&lt;/secondary-title&gt;&lt;/titles&gt;&lt;periodical&gt;&lt;full-title&gt;JEBM&lt;/full-title&gt;&lt;/periodical&gt;&lt;pages&gt;84-102&lt;/pages&gt;&lt;volume&gt;7&lt;/volume&gt;&lt;dates&gt;&lt;year&gt;2014&lt;/year&gt;&lt;/dates&gt;&lt;urls&gt;&lt;/urls&gt;&lt;/record&gt;&lt;/Cite&gt;&lt;/EndNote&gt;</w:instrText>
      </w:r>
      <w:r w:rsidRPr="000D5177">
        <w:rPr>
          <w:szCs w:val="22"/>
          <w:vertAlign w:val="superscript"/>
        </w:rPr>
        <w:fldChar w:fldCharType="separate"/>
      </w:r>
      <w:r w:rsidRPr="000D5177">
        <w:rPr>
          <w:noProof/>
          <w:szCs w:val="22"/>
          <w:vertAlign w:val="superscript"/>
        </w:rPr>
        <w:t>(1)</w:t>
      </w:r>
      <w:r w:rsidRPr="000D5177">
        <w:rPr>
          <w:szCs w:val="22"/>
          <w:vertAlign w:val="superscript"/>
        </w:rPr>
        <w:fldChar w:fldCharType="end"/>
      </w:r>
    </w:p>
    <w:p w14:paraId="218D4D25" w14:textId="3E2E9D87" w:rsidR="00360A76" w:rsidRPr="000D5177" w:rsidRDefault="00360A76" w:rsidP="00360A76">
      <w:pPr>
        <w:jc w:val="both"/>
        <w:rPr>
          <w:szCs w:val="22"/>
        </w:rPr>
      </w:pPr>
      <w:r w:rsidRPr="000D5177">
        <w:rPr>
          <w:szCs w:val="22"/>
        </w:rPr>
        <w:lastRenderedPageBreak/>
        <w:t xml:space="preserve">A cost-effectiveness analysis conducted by Gerson et al </w:t>
      </w:r>
      <w:r w:rsidRPr="000D5177">
        <w:rPr>
          <w:szCs w:val="22"/>
          <w:vertAlign w:val="superscript"/>
        </w:rPr>
        <w:fldChar w:fldCharType="begin"/>
      </w:r>
      <w:r w:rsidRPr="000D5177">
        <w:rPr>
          <w:szCs w:val="22"/>
          <w:vertAlign w:val="superscript"/>
        </w:rPr>
        <w:instrText xml:space="preserve"> ADDIN EN.CITE &lt;EndNote&gt;&lt;Cite&gt;&lt;Author&gt;Gerson&lt;/Author&gt;&lt;Year&gt;2008&lt;/Year&gt;&lt;RecNum&gt;25&lt;/RecNum&gt;&lt;DisplayText&gt;(33)&lt;/DisplayText&gt;&lt;record&gt;&lt;rec-number&gt;25&lt;/rec-number&gt;&lt;foreign-keys&gt;&lt;key app="EN" db-id="efzrzxttdz2psseepxapxaxrzxavdd2ztd22" timestamp="1457260054"&gt;25&lt;/key&gt;&lt;/foreign-keys&gt;&lt;ref-type name="Journal Article"&gt;17&lt;/ref-type&gt;&lt;contributors&gt;&lt;authors&gt;&lt;author&gt;Gerson, LB&lt;/author&gt;&lt;author&gt;Kamal, A&lt;/author&gt;&lt;/authors&gt;&lt;/contributors&gt;&lt;titles&gt;&lt;title&gt;Cost-effectiveness analysis of management strategies for obscure GI bleeding&lt;/title&gt;&lt;secondary-title&gt;Gastrointestinal Endoscopy&lt;/secondary-title&gt;&lt;/titles&gt;&lt;periodical&gt;&lt;full-title&gt;Gastrointestinal Endoscopy&lt;/full-title&gt;&lt;/periodical&gt;&lt;pages&gt;920-36&lt;/pages&gt;&lt;volume&gt;68&lt;/volume&gt;&lt;number&gt;5&lt;/number&gt;&lt;dates&gt;&lt;year&gt;2008&lt;/year&gt;&lt;/dates&gt;&lt;urls&gt;&lt;/urls&gt;&lt;/record&gt;&lt;/Cite&gt;&lt;/EndNote&gt;</w:instrText>
      </w:r>
      <w:r w:rsidRPr="000D5177">
        <w:rPr>
          <w:szCs w:val="22"/>
          <w:vertAlign w:val="superscript"/>
        </w:rPr>
        <w:fldChar w:fldCharType="separate"/>
      </w:r>
      <w:r w:rsidRPr="000D5177">
        <w:rPr>
          <w:noProof/>
          <w:szCs w:val="22"/>
          <w:vertAlign w:val="superscript"/>
        </w:rPr>
        <w:t>(33)</w:t>
      </w:r>
      <w:r w:rsidRPr="000D5177">
        <w:rPr>
          <w:szCs w:val="22"/>
          <w:vertAlign w:val="superscript"/>
        </w:rPr>
        <w:fldChar w:fldCharType="end"/>
      </w:r>
      <w:r w:rsidRPr="000D5177">
        <w:rPr>
          <w:szCs w:val="22"/>
        </w:rPr>
        <w:t xml:space="preserve"> in the US setting, compared CE (and 4 other modalities) to no therapy in management of OGIB.</w:t>
      </w:r>
      <w:r w:rsidR="00C22AE4">
        <w:rPr>
          <w:szCs w:val="22"/>
        </w:rPr>
        <w:t xml:space="preserve"> </w:t>
      </w:r>
      <w:r w:rsidRPr="000D5177">
        <w:rPr>
          <w:szCs w:val="22"/>
        </w:rPr>
        <w:t>They found that initial DBE was the most cost effective approach, with other modalities being less effective and more expensive (with the exception of push enteroscopy which was less costly).</w:t>
      </w:r>
      <w:r w:rsidRPr="000D5177">
        <w:rPr>
          <w:szCs w:val="22"/>
          <w:vertAlign w:val="superscript"/>
        </w:rPr>
        <w:fldChar w:fldCharType="begin"/>
      </w:r>
      <w:r w:rsidRPr="000D5177">
        <w:rPr>
          <w:szCs w:val="22"/>
          <w:vertAlign w:val="superscript"/>
        </w:rPr>
        <w:instrText xml:space="preserve"> ADDIN EN.CITE &lt;EndNote&gt;&lt;Cite&gt;&lt;Author&gt;Gerson&lt;/Author&gt;&lt;Year&gt;2008&lt;/Year&gt;&lt;RecNum&gt;25&lt;/RecNum&gt;&lt;DisplayText&gt;(33)&lt;/DisplayText&gt;&lt;record&gt;&lt;rec-number&gt;25&lt;/rec-number&gt;&lt;foreign-keys&gt;&lt;key app="EN" db-id="efzrzxttdz2psseepxapxaxrzxavdd2ztd22" timestamp="1457260054"&gt;25&lt;/key&gt;&lt;/foreign-keys&gt;&lt;ref-type name="Journal Article"&gt;17&lt;/ref-type&gt;&lt;contributors&gt;&lt;authors&gt;&lt;author&gt;Gerson, LB&lt;/author&gt;&lt;author&gt;Kamal, A&lt;/author&gt;&lt;/authors&gt;&lt;/contributors&gt;&lt;titles&gt;&lt;title&gt;Cost-effectiveness analysis of management strategies for obscure GI bleeding&lt;/title&gt;&lt;secondary-title&gt;Gastrointestinal Endoscopy&lt;/secondary-title&gt;&lt;/titles&gt;&lt;periodical&gt;&lt;full-title&gt;Gastrointestinal Endoscopy&lt;/full-title&gt;&lt;/periodical&gt;&lt;pages&gt;920-36&lt;/pages&gt;&lt;volume&gt;68&lt;/volume&gt;&lt;number&gt;5&lt;/number&gt;&lt;dates&gt;&lt;year&gt;2008&lt;/year&gt;&lt;/dates&gt;&lt;urls&gt;&lt;/urls&gt;&lt;/record&gt;&lt;/Cite&gt;&lt;/EndNote&gt;</w:instrText>
      </w:r>
      <w:r w:rsidRPr="000D5177">
        <w:rPr>
          <w:szCs w:val="22"/>
          <w:vertAlign w:val="superscript"/>
        </w:rPr>
        <w:fldChar w:fldCharType="separate"/>
      </w:r>
      <w:r w:rsidRPr="000D5177">
        <w:rPr>
          <w:noProof/>
          <w:szCs w:val="22"/>
          <w:vertAlign w:val="superscript"/>
        </w:rPr>
        <w:t>(33)</w:t>
      </w:r>
      <w:r w:rsidRPr="000D5177">
        <w:rPr>
          <w:szCs w:val="22"/>
          <w:vertAlign w:val="superscript"/>
        </w:rPr>
        <w:fldChar w:fldCharType="end"/>
      </w:r>
    </w:p>
    <w:p w14:paraId="4447931A" w14:textId="7C3A228F" w:rsidR="00360A76" w:rsidRPr="000D5177" w:rsidRDefault="00360A76" w:rsidP="00360A76">
      <w:pPr>
        <w:jc w:val="both"/>
        <w:rPr>
          <w:szCs w:val="22"/>
        </w:rPr>
      </w:pPr>
      <w:r w:rsidRPr="000D5177">
        <w:rPr>
          <w:szCs w:val="22"/>
        </w:rPr>
        <w:t xml:space="preserve">The UK based BSG guidelines, suggest that in addition to its utility in the diagnostic pathway, CE is a cost-effective approach in its prevention of unnecessary cycles of investigations in patients. </w:t>
      </w:r>
      <w:r w:rsidRPr="000D5177">
        <w:rPr>
          <w:szCs w:val="22"/>
          <w:vertAlign w:val="superscript"/>
        </w:rPr>
        <w:fldChar w:fldCharType="begin"/>
      </w:r>
      <w:r w:rsidRPr="000D5177">
        <w:rPr>
          <w:szCs w:val="22"/>
          <w:vertAlign w:val="superscript"/>
        </w:rPr>
        <w:instrText xml:space="preserve"> ADDIN EN.CITE &lt;EndNote&gt;&lt;Cite&gt;&lt;Author&gt;Sidhu&lt;/Author&gt;&lt;Year&gt;2008&lt;/Year&gt;&lt;RecNum&gt;28&lt;/RecNum&gt;&lt;DisplayText&gt;(27)&lt;/DisplayText&gt;&lt;record&gt;&lt;rec-number&gt;28&lt;/rec-number&gt;&lt;foreign-keys&gt;&lt;key app="EN" db-id="efzrzxttdz2psseepxapxaxrzxavdd2ztd22" timestamp="1457273825"&gt;28&lt;/key&gt;&lt;/foreign-keys&gt;&lt;ref-type name="Journal Article"&gt;17&lt;/ref-type&gt;&lt;contributors&gt;&lt;authors&gt;&lt;author&gt;Sidhu, R&lt;/author&gt;&lt;author&gt;Sanders, DS&lt;/author&gt;&lt;author&gt;Morris, AJ&lt;/author&gt;&lt;author&gt;McAlindon, ME&lt;/author&gt;&lt;/authors&gt;&lt;/contributors&gt;&lt;titles&gt;&lt;title&gt;Guidelines on small bowel enteroscopy and capsule endoscopy in adults &lt;/title&gt;&lt;secondary-title&gt;Gut&lt;/secondary-title&gt;&lt;/titles&gt;&lt;periodical&gt;&lt;full-title&gt;Gut&lt;/full-title&gt;&lt;/periodical&gt;&lt;pages&gt;125-136&lt;/pages&gt;&lt;volume&gt;57&lt;/volume&gt;&lt;dates&gt;&lt;year&gt;2008&lt;/year&gt;&lt;/dates&gt;&lt;urls&gt;&lt;/urls&gt;&lt;/record&gt;&lt;/Cite&gt;&lt;/EndNote&gt;</w:instrText>
      </w:r>
      <w:r w:rsidRPr="000D5177">
        <w:rPr>
          <w:szCs w:val="22"/>
          <w:vertAlign w:val="superscript"/>
        </w:rPr>
        <w:fldChar w:fldCharType="separate"/>
      </w:r>
      <w:r w:rsidRPr="000D5177">
        <w:rPr>
          <w:noProof/>
          <w:szCs w:val="22"/>
          <w:vertAlign w:val="superscript"/>
        </w:rPr>
        <w:t>(27)</w:t>
      </w:r>
      <w:r w:rsidRPr="000D5177">
        <w:rPr>
          <w:szCs w:val="22"/>
          <w:vertAlign w:val="superscript"/>
        </w:rPr>
        <w:fldChar w:fldCharType="end"/>
      </w:r>
    </w:p>
    <w:p w14:paraId="08E32311" w14:textId="05CB5A9D" w:rsidR="00360A76" w:rsidRPr="000D5177" w:rsidRDefault="00360A76" w:rsidP="00360A76">
      <w:pPr>
        <w:jc w:val="both"/>
        <w:rPr>
          <w:szCs w:val="22"/>
        </w:rPr>
      </w:pPr>
      <w:r w:rsidRPr="000D5177">
        <w:rPr>
          <w:szCs w:val="22"/>
        </w:rPr>
        <w:t>Broadly speaking, in Australia, when considering the cost-effectiveness of CE, factors one would take into account would include the underlying pathology and natural history of disease, the rate of complications such as capsule retention and subsequent management costs, and the infrastructure and time considerations involved.</w:t>
      </w:r>
    </w:p>
    <w:p w14:paraId="7B14B7E3" w14:textId="19D42FCA" w:rsidR="00360A76" w:rsidRPr="000D5177" w:rsidRDefault="00360A76" w:rsidP="006A175E">
      <w:pPr>
        <w:pStyle w:val="Heading3"/>
      </w:pPr>
      <w:r w:rsidRPr="000D5177">
        <w:t>Discussion</w:t>
      </w:r>
    </w:p>
    <w:p w14:paraId="64DF8A4E" w14:textId="78F603CB" w:rsidR="00360A76" w:rsidRPr="000D5177" w:rsidRDefault="00360A76" w:rsidP="00360A76">
      <w:pPr>
        <w:jc w:val="both"/>
        <w:rPr>
          <w:szCs w:val="22"/>
        </w:rPr>
      </w:pPr>
      <w:r w:rsidRPr="000D5177">
        <w:rPr>
          <w:szCs w:val="22"/>
        </w:rPr>
        <w:t>CE is recognized as having an established role in the assessment of patients with OGIB who have had negative gastroscopy and colonoscopy.</w:t>
      </w:r>
      <w:r w:rsidRPr="000D5177">
        <w:rPr>
          <w:szCs w:val="22"/>
          <w:vertAlign w:val="superscript"/>
        </w:rPr>
        <w:fldChar w:fldCharType="begin"/>
      </w:r>
      <w:r w:rsidRPr="000D5177">
        <w:rPr>
          <w:szCs w:val="22"/>
          <w:vertAlign w:val="superscript"/>
        </w:rPr>
        <w:instrText xml:space="preserve"> ADDIN EN.CITE &lt;EndNote&gt;&lt;Cite&gt;&lt;Author&gt;Sidhu&lt;/Author&gt;&lt;Year&gt;2008&lt;/Year&gt;&lt;RecNum&gt;28&lt;/RecNum&gt;&lt;DisplayText&gt;(27)&lt;/DisplayText&gt;&lt;record&gt;&lt;rec-number&gt;28&lt;/rec-number&gt;&lt;foreign-keys&gt;&lt;key app="EN" db-id="efzrzxttdz2psseepxapxaxrzxavdd2ztd22" timestamp="1457273825"&gt;28&lt;/key&gt;&lt;/foreign-keys&gt;&lt;ref-type name="Journal Article"&gt;17&lt;/ref-type&gt;&lt;contributors&gt;&lt;authors&gt;&lt;author&gt;Sidhu, R&lt;/author&gt;&lt;author&gt;Sanders, DS&lt;/author&gt;&lt;author&gt;Morris, AJ&lt;/author&gt;&lt;author&gt;McAlindon, ME&lt;/author&gt;&lt;/authors&gt;&lt;/contributors&gt;&lt;titles&gt;&lt;title&gt;Guidelines on small bowel enteroscopy and capsule endoscopy in adults &lt;/title&gt;&lt;secondary-title&gt;Gut&lt;/secondary-title&gt;&lt;/titles&gt;&lt;periodical&gt;&lt;full-title&gt;Gut&lt;/full-title&gt;&lt;/periodical&gt;&lt;pages&gt;125-136&lt;/pages&gt;&lt;volume&gt;57&lt;/volume&gt;&lt;dates&gt;&lt;year&gt;2008&lt;/year&gt;&lt;/dates&gt;&lt;urls&gt;&lt;/urls&gt;&lt;/record&gt;&lt;/Cite&gt;&lt;/EndNote&gt;</w:instrText>
      </w:r>
      <w:r w:rsidRPr="000D5177">
        <w:rPr>
          <w:szCs w:val="22"/>
          <w:vertAlign w:val="superscript"/>
        </w:rPr>
        <w:fldChar w:fldCharType="separate"/>
      </w:r>
      <w:r w:rsidRPr="000D5177">
        <w:rPr>
          <w:noProof/>
          <w:szCs w:val="22"/>
          <w:vertAlign w:val="superscript"/>
        </w:rPr>
        <w:t>(27)</w:t>
      </w:r>
      <w:r w:rsidRPr="000D5177">
        <w:rPr>
          <w:szCs w:val="22"/>
          <w:vertAlign w:val="superscript"/>
        </w:rPr>
        <w:fldChar w:fldCharType="end"/>
      </w:r>
      <w:r w:rsidRPr="000D5177">
        <w:rPr>
          <w:szCs w:val="22"/>
        </w:rPr>
        <w:t xml:space="preserve"> Studies have shown CE to have superior diagnostic yield compared with push enteroscopy in this population, with a meta-analysis by Triester et al reporting yields of 63</w:t>
      </w:r>
      <w:r w:rsidR="00BF1B51">
        <w:rPr>
          <w:szCs w:val="22"/>
        </w:rPr>
        <w:t xml:space="preserve"> per cent</w:t>
      </w:r>
      <w:r w:rsidRPr="000D5177">
        <w:rPr>
          <w:szCs w:val="22"/>
        </w:rPr>
        <w:t xml:space="preserve"> versus 28</w:t>
      </w:r>
      <w:r w:rsidR="00BF1B51">
        <w:rPr>
          <w:szCs w:val="22"/>
        </w:rPr>
        <w:t xml:space="preserve"> per cent</w:t>
      </w:r>
      <w:r w:rsidRPr="000D5177">
        <w:rPr>
          <w:szCs w:val="22"/>
        </w:rPr>
        <w:t xml:space="preserve"> from PE.</w:t>
      </w:r>
      <w:r w:rsidRPr="000D5177">
        <w:rPr>
          <w:szCs w:val="22"/>
          <w:vertAlign w:val="superscript"/>
        </w:rPr>
        <w:fldChar w:fldCharType="begin"/>
      </w:r>
      <w:r w:rsidRPr="000D5177">
        <w:rPr>
          <w:szCs w:val="22"/>
          <w:vertAlign w:val="superscript"/>
        </w:rPr>
        <w:instrText xml:space="preserve"> ADDIN EN.CITE &lt;EndNote&gt;&lt;Cite&gt;&lt;Author&gt;Triester&lt;/Author&gt;&lt;Year&gt;2005&lt;/Year&gt;&lt;RecNum&gt;29&lt;/RecNum&gt;&lt;DisplayText&gt;(34)&lt;/DisplayText&gt;&lt;record&gt;&lt;rec-number&gt;29&lt;/rec-number&gt;&lt;foreign-keys&gt;&lt;key app="EN" db-id="efzrzxttdz2psseepxapxaxrzxavdd2ztd22" timestamp="1457274709"&gt;29&lt;/key&gt;&lt;/foreign-keys&gt;&lt;ref-type name="Journal Article"&gt;17&lt;/ref-type&gt;&lt;contributors&gt;&lt;authors&gt;&lt;author&gt;Triester, SL&lt;/author&gt;&lt;author&gt;Leighton, JA&lt;/author&gt;&lt;author&gt;Leontiadis, GI&lt;/author&gt;&lt;author&gt;Fleischer, DE&lt;/author&gt;&lt;author&gt;Hara, AK&lt;/author&gt;&lt;author&gt;Heigh, RI&lt;/author&gt;&lt;author&gt;Shiff, AD&lt;/author&gt;&lt;author&gt;Sharma, VK&lt;/author&gt;&lt;/authors&gt;&lt;/contributors&gt;&lt;titles&gt;&lt;title&gt;A meta-analysis of the yield of capsule endoscopy compared to other diagnostic modalities in patients with obscure gastrointestinal bleeding&lt;/title&gt;&lt;secondary-title&gt;Am J Gastroenterol&lt;/secondary-title&gt;&lt;/titles&gt;&lt;periodical&gt;&lt;full-title&gt;Am J Gastroenterol&lt;/full-title&gt;&lt;/periodical&gt;&lt;pages&gt;2407-18&lt;/pages&gt;&lt;volume&gt;100&lt;/volume&gt;&lt;number&gt;11&lt;/number&gt;&lt;dates&gt;&lt;year&gt;2005&lt;/year&gt;&lt;/dates&gt;&lt;urls&gt;&lt;/urls&gt;&lt;/record&gt;&lt;/Cite&gt;&lt;/EndNote&gt;</w:instrText>
      </w:r>
      <w:r w:rsidRPr="000D5177">
        <w:rPr>
          <w:szCs w:val="22"/>
          <w:vertAlign w:val="superscript"/>
        </w:rPr>
        <w:fldChar w:fldCharType="separate"/>
      </w:r>
      <w:r w:rsidRPr="000D5177">
        <w:rPr>
          <w:noProof/>
          <w:szCs w:val="22"/>
          <w:vertAlign w:val="superscript"/>
        </w:rPr>
        <w:t>(34)</w:t>
      </w:r>
      <w:r w:rsidRPr="000D5177">
        <w:rPr>
          <w:szCs w:val="22"/>
          <w:vertAlign w:val="superscript"/>
        </w:rPr>
        <w:fldChar w:fldCharType="end"/>
      </w:r>
      <w:r w:rsidRPr="000D5177">
        <w:rPr>
          <w:szCs w:val="22"/>
        </w:rPr>
        <w:t xml:space="preserve"> Diagnostic yield in CE has also been shown to be superior than barium follow-through and CT enteroclysis in OGIB patients.</w:t>
      </w:r>
      <w:r w:rsidRPr="000D5177">
        <w:rPr>
          <w:szCs w:val="22"/>
          <w:vertAlign w:val="superscript"/>
        </w:rPr>
        <w:fldChar w:fldCharType="begin"/>
      </w:r>
      <w:r w:rsidRPr="000D5177">
        <w:rPr>
          <w:szCs w:val="22"/>
          <w:vertAlign w:val="superscript"/>
        </w:rPr>
        <w:instrText xml:space="preserve"> ADDIN EN.CITE &lt;EndNote&gt;&lt;Cite&gt;&lt;Author&gt;Marmo&lt;/Author&gt;&lt;Year&gt;2005&lt;/Year&gt;&lt;RecNum&gt;30&lt;/RecNum&gt;&lt;DisplayText&gt;(35)&lt;/DisplayText&gt;&lt;record&gt;&lt;rec-number&gt;30&lt;/rec-number&gt;&lt;foreign-keys&gt;&lt;key app="EN" db-id="efzrzxttdz2psseepxapxaxrzxavdd2ztd22" timestamp="1457301751"&gt;30&lt;/key&gt;&lt;/foreign-keys&gt;&lt;ref-type name="Journal Article"&gt;17&lt;/ref-type&gt;&lt;contributors&gt;&lt;authors&gt;&lt;author&gt;Marmo, R&lt;/author&gt;&lt;author&gt;Rotondano, G&lt;/author&gt;&lt;author&gt;Piscopos, R&lt;/author&gt;&lt;author&gt;Bianco, MA&lt;/author&gt;&lt;author&gt;Cipoletta, L&lt;/author&gt;&lt;/authors&gt;&lt;/contributors&gt;&lt;titles&gt;&lt;title&gt;Meta-analysis: capsule enteroscopy vs conventional modalities in diagnosis of small bowel diseases &lt;/title&gt;&lt;secondary-title&gt;Aliment Pharmacol Ther&lt;/secondary-title&gt;&lt;/titles&gt;&lt;periodical&gt;&lt;full-title&gt;Aliment Pharmacol Ther&lt;/full-title&gt;&lt;/periodical&gt;&lt;pages&gt;595-604&lt;/pages&gt;&lt;volume&gt;22&lt;/volume&gt;&lt;number&gt;7&lt;/number&gt;&lt;dates&gt;&lt;year&gt;2005&lt;/year&gt;&lt;/dates&gt;&lt;urls&gt;&lt;/urls&gt;&lt;/record&gt;&lt;/Cite&gt;&lt;/EndNote&gt;</w:instrText>
      </w:r>
      <w:r w:rsidRPr="000D5177">
        <w:rPr>
          <w:szCs w:val="22"/>
          <w:vertAlign w:val="superscript"/>
        </w:rPr>
        <w:fldChar w:fldCharType="separate"/>
      </w:r>
      <w:r w:rsidRPr="000D5177">
        <w:rPr>
          <w:noProof/>
          <w:szCs w:val="22"/>
          <w:vertAlign w:val="superscript"/>
        </w:rPr>
        <w:t>(35)</w:t>
      </w:r>
      <w:r w:rsidRPr="000D5177">
        <w:rPr>
          <w:szCs w:val="22"/>
          <w:vertAlign w:val="superscript"/>
        </w:rPr>
        <w:fldChar w:fldCharType="end"/>
      </w:r>
      <w:r w:rsidRPr="000D5177">
        <w:rPr>
          <w:szCs w:val="22"/>
        </w:rPr>
        <w:t xml:space="preserve"> Comparisons to DBE have been more inconsistent, with a meta-analysis by Pasha et al</w:t>
      </w:r>
      <w:r w:rsidRPr="000D5177">
        <w:rPr>
          <w:szCs w:val="22"/>
          <w:vertAlign w:val="superscript"/>
        </w:rPr>
        <w:fldChar w:fldCharType="begin"/>
      </w:r>
      <w:r w:rsidRPr="000D5177">
        <w:rPr>
          <w:szCs w:val="22"/>
          <w:vertAlign w:val="superscript"/>
        </w:rPr>
        <w:instrText xml:space="preserve"> ADDIN EN.CITE &lt;EndNote&gt;&lt;Cite&gt;&lt;Author&gt;Pasha&lt;/Author&gt;&lt;Year&gt;2008&lt;/Year&gt;&lt;RecNum&gt;33&lt;/RecNum&gt;&lt;DisplayText&gt;(26)&lt;/DisplayText&gt;&lt;record&gt;&lt;rec-number&gt;33&lt;/rec-number&gt;&lt;foreign-keys&gt;&lt;key app="EN" db-id="efzrzxttdz2psseepxapxaxrzxavdd2ztd22" timestamp="1457322056"&gt;33&lt;/key&gt;&lt;/foreign-keys&gt;&lt;ref-type name="Journal Article"&gt;17&lt;/ref-type&gt;&lt;contributors&gt;&lt;authors&gt;&lt;author&gt;Pasha, SF&lt;/author&gt;&lt;author&gt;Leighton, JA&lt;/author&gt;&lt;author&gt;Das, A&lt;/author&gt;&lt;author&gt;Harrison, ME&lt;/author&gt;&lt;author&gt;Decker, GA&lt;/author&gt;&lt;author&gt;Fleischer, DE&lt;/author&gt;&lt;author&gt;Sharma, VK&lt;/author&gt;&lt;/authors&gt;&lt;/contributors&gt;&lt;titles&gt;&lt;title&gt;Double-balloon enteroscopy and capsule endoscopy have comparable diagnostic yield in small-bowel disease: a meta-analysis&lt;/title&gt;&lt;secondary-title&gt;Clin Gastroenterol Hepatol&lt;/secondary-title&gt;&lt;/titles&gt;&lt;periodical&gt;&lt;full-title&gt;Clin Gastroenterol Hepatol&lt;/full-title&gt;&lt;/periodical&gt;&lt;pages&gt;671-6&lt;/pages&gt;&lt;volume&gt;6&lt;/volume&gt;&lt;number&gt;6&lt;/number&gt;&lt;dates&gt;&lt;year&gt;2008&lt;/year&gt;&lt;/dates&gt;&lt;urls&gt;&lt;/urls&gt;&lt;/record&gt;&lt;/Cite&gt;&lt;/EndNote&gt;</w:instrText>
      </w:r>
      <w:r w:rsidRPr="000D5177">
        <w:rPr>
          <w:szCs w:val="22"/>
          <w:vertAlign w:val="superscript"/>
        </w:rPr>
        <w:fldChar w:fldCharType="separate"/>
      </w:r>
      <w:r w:rsidRPr="000D5177">
        <w:rPr>
          <w:noProof/>
          <w:szCs w:val="22"/>
          <w:vertAlign w:val="superscript"/>
        </w:rPr>
        <w:t>(26)</w:t>
      </w:r>
      <w:r w:rsidRPr="000D5177">
        <w:rPr>
          <w:szCs w:val="22"/>
          <w:vertAlign w:val="superscript"/>
        </w:rPr>
        <w:fldChar w:fldCharType="end"/>
      </w:r>
      <w:r w:rsidRPr="000D5177">
        <w:rPr>
          <w:szCs w:val="22"/>
        </w:rPr>
        <w:t xml:space="preserve"> finding DBE and CE to have comparable yields in diagnosis of small bowel disease (including OGIB).</w:t>
      </w:r>
      <w:r w:rsidR="00C22AE4">
        <w:rPr>
          <w:szCs w:val="22"/>
        </w:rPr>
        <w:t xml:space="preserve"> </w:t>
      </w:r>
    </w:p>
    <w:p w14:paraId="6EC9C280" w14:textId="21067BFB" w:rsidR="00360A76" w:rsidRPr="000D5177" w:rsidRDefault="00360A76" w:rsidP="00360A76">
      <w:pPr>
        <w:jc w:val="both"/>
        <w:rPr>
          <w:szCs w:val="22"/>
        </w:rPr>
      </w:pPr>
      <w:r w:rsidRPr="000D5177">
        <w:rPr>
          <w:szCs w:val="22"/>
        </w:rPr>
        <w:t>It must be noted that whilst the evidence base for the diagnostic efficacy of CE is increasing, there is a lack of high-level studies, the majority being retrospective analyses with small sample sizes.</w:t>
      </w:r>
      <w:r w:rsidR="00C22AE4">
        <w:rPr>
          <w:szCs w:val="22"/>
        </w:rPr>
        <w:t xml:space="preserve"> </w:t>
      </w:r>
      <w:r w:rsidRPr="000D5177">
        <w:rPr>
          <w:szCs w:val="22"/>
        </w:rPr>
        <w:t>There is also quite significant variability in diagnostic accuracy amongst studies, and no reference standard to which its diagnostic accuracy may be compared.</w:t>
      </w:r>
      <w:r w:rsidRPr="000D5177">
        <w:rPr>
          <w:szCs w:val="22"/>
          <w:vertAlign w:val="superscript"/>
        </w:rPr>
        <w:fldChar w:fldCharType="begin"/>
      </w:r>
      <w:r w:rsidRPr="000D5177">
        <w:rPr>
          <w:szCs w:val="22"/>
          <w:vertAlign w:val="superscript"/>
        </w:rPr>
        <w:instrText xml:space="preserve"> ADDIN EN.CITE &lt;EndNote&gt;&lt;Cite&gt;&lt;Author&gt;Ontario&lt;/Author&gt;&lt;Year&gt;2015&lt;/Year&gt;&lt;RecNum&gt;27&lt;/RecNum&gt;&lt;DisplayText&gt;(36)&lt;/DisplayText&gt;&lt;record&gt;&lt;rec-number&gt;27&lt;/rec-number&gt;&lt;foreign-keys&gt;&lt;key app="EN" db-id="efzrzxttdz2psseepxapxaxrzxavdd2ztd22" timestamp="1457269999"&gt;27&lt;/key&gt;&lt;/foreign-keys&gt;&lt;ref-type name="Report"&gt;27&lt;/ref-type&gt;&lt;contributors&gt;&lt;authors&gt;&lt;author&gt;Health Quality Ontario&lt;/author&gt;&lt;/authors&gt;&lt;/contributors&gt;&lt;titles&gt;&lt;title&gt;Capsule Endoscopy in the Assessment of Obscure Gastrointestinal Bleeding: An Evidence-Based Analysis&lt;/title&gt;&lt;secondary-title&gt;Ontario Health Technology Assessment Series&lt;/secondary-title&gt;&lt;/titles&gt;&lt;pages&gt;1-55&lt;/pages&gt;&lt;volume&gt;15&lt;/volume&gt;&lt;num-vols&gt;1&lt;/num-vols&gt;&lt;dates&gt;&lt;year&gt;2015&lt;/year&gt;&lt;/dates&gt;&lt;urls&gt;&lt;/urls&gt;&lt;/record&gt;&lt;/Cite&gt;&lt;/EndNote&gt;</w:instrText>
      </w:r>
      <w:r w:rsidRPr="000D5177">
        <w:rPr>
          <w:szCs w:val="22"/>
          <w:vertAlign w:val="superscript"/>
        </w:rPr>
        <w:fldChar w:fldCharType="separate"/>
      </w:r>
      <w:r w:rsidRPr="000D5177">
        <w:rPr>
          <w:noProof/>
          <w:szCs w:val="22"/>
          <w:vertAlign w:val="superscript"/>
        </w:rPr>
        <w:t>(36)</w:t>
      </w:r>
      <w:r w:rsidRPr="000D5177">
        <w:rPr>
          <w:szCs w:val="22"/>
          <w:vertAlign w:val="superscript"/>
        </w:rPr>
        <w:fldChar w:fldCharType="end"/>
      </w:r>
      <w:r w:rsidRPr="000D5177">
        <w:rPr>
          <w:szCs w:val="22"/>
        </w:rPr>
        <w:t xml:space="preserve"> Intraoperative enteroscopy has been previously expounded as the ideal standard, however due to significant associated morbidity and mortality, it cannot be routinely recommended for diagnostic purposes in OGIB.</w:t>
      </w:r>
      <w:r w:rsidRPr="000D5177">
        <w:rPr>
          <w:szCs w:val="22"/>
          <w:vertAlign w:val="superscript"/>
        </w:rPr>
        <w:fldChar w:fldCharType="begin"/>
      </w:r>
      <w:r w:rsidRPr="000D5177">
        <w:rPr>
          <w:szCs w:val="22"/>
          <w:vertAlign w:val="superscript"/>
        </w:rPr>
        <w:instrText xml:space="preserve"> ADDIN EN.CITE &lt;EndNote&gt;&lt;Cite&gt;&lt;Author&gt;Pennazio&lt;/Author&gt;&lt;Year&gt;2015&lt;/Year&gt;&lt;RecNum&gt;1&lt;/RecNum&gt;&lt;DisplayText&gt;(31)&lt;/DisplayText&gt;&lt;record&gt;&lt;rec-number&gt;1&lt;/rec-number&gt;&lt;foreign-keys&gt;&lt;key app="EN" db-id="efzrzxttdz2psseepxapxaxrzxavdd2ztd22" timestamp="1456806738"&gt;1&lt;/key&gt;&lt;/foreign-keys&gt;&lt;ref-type name="Journal Article"&gt;17&lt;/ref-type&gt;&lt;contributors&gt;&lt;authors&gt;&lt;author&gt;Pennazio, M&lt;/author&gt;&lt;author&gt;Spada, C&lt;/author&gt;&lt;author&gt;Eliakim, R&lt;/author&gt;&lt;author&gt;Keuchel, M&lt;/author&gt;&lt;author&gt;May, A&lt;/author&gt;&lt;author&gt;Mulder, CJ&lt;/author&gt;&lt;author&gt;Rondonotti, E&lt;/author&gt;&lt;author&gt;Adler, SN&lt;/author&gt;&lt;author&gt;ALbert, J&lt;/author&gt;&lt;author&gt;Baltes, P&lt;/author&gt;&lt;author&gt;Barbaro, F&lt;/author&gt;&lt;author&gt;Cellier, C&lt;/author&gt;&lt;author&gt;Charton, JP&lt;/author&gt;&lt;author&gt;Delvaux, M&lt;/author&gt;&lt;author&gt;Despott, EJ&lt;/author&gt;&lt;author&gt;Domagk, D&lt;/author&gt;&lt;author&gt;Klein, A&lt;/author&gt;&lt;author&gt;McAlindon, M&lt;/author&gt;&lt;author&gt;Rosa, B&lt;/author&gt;&lt;author&gt;Rowse, G&lt;/author&gt;&lt;author&gt;Sanders, DS&lt;/author&gt;&lt;author&gt;Saurin, JC&lt;/author&gt;&lt;author&gt;Sidhu, R&lt;/author&gt;&lt;author&gt;Dumonceau, JM&lt;/author&gt;&lt;author&gt;Hassan, C&lt;/author&gt;&lt;author&gt;Gralnek, IM &lt;/author&gt;&lt;/authors&gt;&lt;/contributors&gt;&lt;titles&gt;&lt;title&gt;Small-bowel capsule endoscopy and device-assisted enteroscopy for diagnosis and treatment of small-bowel disorders: European Society of Gastrointestinal Endoscopy (ESGE) Clinical Guideline&lt;/title&gt;&lt;secondary-title&gt;Endoscopy&lt;/secondary-title&gt;&lt;/titles&gt;&lt;periodical&gt;&lt;full-title&gt;Endoscopy&lt;/full-title&gt;&lt;/periodical&gt;&lt;pages&gt;352-376&lt;/pages&gt;&lt;volume&gt;47&lt;/volume&gt;&lt;dates&gt;&lt;year&gt;2015&lt;/year&gt;&lt;/dates&gt;&lt;urls&gt;&lt;/urls&gt;&lt;/record&gt;&lt;/Cite&gt;&lt;/EndNote&gt;</w:instrText>
      </w:r>
      <w:r w:rsidRPr="000D5177">
        <w:rPr>
          <w:szCs w:val="22"/>
          <w:vertAlign w:val="superscript"/>
        </w:rPr>
        <w:fldChar w:fldCharType="separate"/>
      </w:r>
      <w:r w:rsidRPr="000D5177">
        <w:rPr>
          <w:noProof/>
          <w:szCs w:val="22"/>
          <w:vertAlign w:val="superscript"/>
        </w:rPr>
        <w:t>(31)</w:t>
      </w:r>
      <w:r w:rsidRPr="000D5177">
        <w:rPr>
          <w:szCs w:val="22"/>
          <w:vertAlign w:val="superscript"/>
        </w:rPr>
        <w:fldChar w:fldCharType="end"/>
      </w:r>
      <w:r w:rsidRPr="000D5177">
        <w:rPr>
          <w:szCs w:val="22"/>
        </w:rPr>
        <w:t xml:space="preserve"> One of the few studies comparing CE to intraoperative enteroscopy (Hartmann et al</w:t>
      </w:r>
      <w:r w:rsidRPr="000D5177">
        <w:rPr>
          <w:szCs w:val="22"/>
          <w:vertAlign w:val="superscript"/>
        </w:rPr>
        <w:fldChar w:fldCharType="begin"/>
      </w:r>
      <w:r w:rsidRPr="000D5177">
        <w:rPr>
          <w:szCs w:val="22"/>
          <w:vertAlign w:val="superscript"/>
        </w:rPr>
        <w:instrText xml:space="preserve"> ADDIN EN.CITE &lt;EndNote&gt;&lt;Cite&gt;&lt;Author&gt;Hartmann&lt;/Author&gt;&lt;Year&gt;2005&lt;/Year&gt;&lt;RecNum&gt;35&lt;/RecNum&gt;&lt;DisplayText&gt;(37)&lt;/DisplayText&gt;&lt;record&gt;&lt;rec-number&gt;35&lt;/rec-number&gt;&lt;foreign-keys&gt;&lt;key app="EN" db-id="efzrzxttdz2psseepxapxaxrzxavdd2ztd22" timestamp="1457330986"&gt;35&lt;/key&gt;&lt;/foreign-keys&gt;&lt;ref-type name="Journal Article"&gt;17&lt;/ref-type&gt;&lt;contributors&gt;&lt;authors&gt;&lt;author&gt;Hartmann, D&lt;/author&gt;&lt;author&gt;Schmidt, H&lt;/author&gt;&lt;author&gt;Bolz, G&lt;/author&gt;&lt;/authors&gt;&lt;/contributors&gt;&lt;titles&gt;&lt;title&gt;A prospective two-center study comparing wireless capsule endoscopy with intraoperative enteroscopy in patients with obscure GI bleeding&lt;/title&gt;&lt;secondary-title&gt;Gastrointestinal Endoscopy&lt;/secondary-title&gt;&lt;/titles&gt;&lt;periodical&gt;&lt;full-title&gt;Gastrointestinal Endoscopy&lt;/full-title&gt;&lt;/periodical&gt;&lt;pages&gt;826-32&lt;/pages&gt;&lt;volume&gt;61&lt;/volume&gt;&lt;number&gt;7&lt;/number&gt;&lt;dates&gt;&lt;year&gt;2005&lt;/year&gt;&lt;/dates&gt;&lt;urls&gt;&lt;/urls&gt;&lt;/record&gt;&lt;/Cite&gt;&lt;/EndNote&gt;</w:instrText>
      </w:r>
      <w:r w:rsidRPr="000D5177">
        <w:rPr>
          <w:szCs w:val="22"/>
          <w:vertAlign w:val="superscript"/>
        </w:rPr>
        <w:fldChar w:fldCharType="separate"/>
      </w:r>
      <w:r w:rsidRPr="000D5177">
        <w:rPr>
          <w:noProof/>
          <w:szCs w:val="22"/>
          <w:vertAlign w:val="superscript"/>
        </w:rPr>
        <w:t>(37)</w:t>
      </w:r>
      <w:r w:rsidRPr="000D5177">
        <w:rPr>
          <w:szCs w:val="22"/>
          <w:vertAlign w:val="superscript"/>
        </w:rPr>
        <w:fldChar w:fldCharType="end"/>
      </w:r>
      <w:r w:rsidRPr="000D5177">
        <w:rPr>
          <w:szCs w:val="22"/>
        </w:rPr>
        <w:t>), found CE to have a sensitivity of 95</w:t>
      </w:r>
      <w:r w:rsidR="00BF1B51">
        <w:rPr>
          <w:szCs w:val="22"/>
        </w:rPr>
        <w:t xml:space="preserve"> per cent</w:t>
      </w:r>
      <w:r w:rsidRPr="000D5177">
        <w:rPr>
          <w:szCs w:val="22"/>
        </w:rPr>
        <w:t xml:space="preserve"> and a specificity of 75</w:t>
      </w:r>
      <w:r w:rsidR="00BF1B51">
        <w:rPr>
          <w:szCs w:val="22"/>
        </w:rPr>
        <w:t xml:space="preserve"> per cent</w:t>
      </w:r>
      <w:r w:rsidRPr="000D5177">
        <w:rPr>
          <w:szCs w:val="22"/>
        </w:rPr>
        <w:t xml:space="preserve">. In terms of distinguishing between occult and overt sub-types of OGIB, there is insufficient data available, resulting in the reporting of diagnostic yield as an overall value. </w:t>
      </w:r>
      <w:r w:rsidRPr="000D5177">
        <w:rPr>
          <w:szCs w:val="22"/>
          <w:vertAlign w:val="superscript"/>
        </w:rPr>
        <w:fldChar w:fldCharType="begin"/>
      </w:r>
      <w:r w:rsidRPr="000D5177">
        <w:rPr>
          <w:szCs w:val="22"/>
          <w:vertAlign w:val="superscript"/>
        </w:rPr>
        <w:instrText xml:space="preserve"> ADDIN EN.CITE &lt;EndNote&gt;&lt;Cite&gt;&lt;Author&gt;Pennazio&lt;/Author&gt;&lt;Year&gt;2015&lt;/Year&gt;&lt;RecNum&gt;1&lt;/RecNum&gt;&lt;DisplayText&gt;(31)&lt;/DisplayText&gt;&lt;record&gt;&lt;rec-number&gt;1&lt;/rec-number&gt;&lt;foreign-keys&gt;&lt;key app="EN" db-id="efzrzxttdz2psseepxapxaxrzxavdd2ztd22" timestamp="1456806738"&gt;1&lt;/key&gt;&lt;/foreign-keys&gt;&lt;ref-type name="Journal Article"&gt;17&lt;/ref-type&gt;&lt;contributors&gt;&lt;authors&gt;&lt;author&gt;Pennazio, M&lt;/author&gt;&lt;author&gt;Spada, C&lt;/author&gt;&lt;author&gt;Eliakim, R&lt;/author&gt;&lt;author&gt;Keuchel, M&lt;/author&gt;&lt;author&gt;May, A&lt;/author&gt;&lt;author&gt;Mulder, CJ&lt;/author&gt;&lt;author&gt;Rondonotti, E&lt;/author&gt;&lt;author&gt;Adler, SN&lt;/author&gt;&lt;author&gt;ALbert, J&lt;/author&gt;&lt;author&gt;Baltes, P&lt;/author&gt;&lt;author&gt;Barbaro, F&lt;/author&gt;&lt;author&gt;Cellier, C&lt;/author&gt;&lt;author&gt;Charton, JP&lt;/author&gt;&lt;author&gt;Delvaux, M&lt;/author&gt;&lt;author&gt;Despott, EJ&lt;/author&gt;&lt;author&gt;Domagk, D&lt;/author&gt;&lt;author&gt;Klein, A&lt;/author&gt;&lt;author&gt;McAlindon, M&lt;/author&gt;&lt;author&gt;Rosa, B&lt;/author&gt;&lt;author&gt;Rowse, G&lt;/author&gt;&lt;author&gt;Sanders, DS&lt;/author&gt;&lt;author&gt;Saurin, JC&lt;/author&gt;&lt;author&gt;Sidhu, R&lt;/author&gt;&lt;author&gt;Dumonceau, JM&lt;/author&gt;&lt;author&gt;Hassan, C&lt;/author&gt;&lt;author&gt;Gralnek, IM &lt;/author&gt;&lt;/authors&gt;&lt;/contributors&gt;&lt;titles&gt;&lt;title&gt;Small-bowel capsule endoscopy and device-assisted enteroscopy for diagnosis and treatment of small-bowel disorders: European Society of Gastrointestinal Endoscopy (ESGE) Clinical Guideline&lt;/title&gt;&lt;secondary-title&gt;Endoscopy&lt;/secondary-title&gt;&lt;/titles&gt;&lt;periodical&gt;&lt;full-title&gt;Endoscopy&lt;/full-title&gt;&lt;/periodical&gt;&lt;pages&gt;352-376&lt;/pages&gt;&lt;volume&gt;47&lt;/volume&gt;&lt;dates&gt;&lt;year&gt;2015&lt;/year&gt;&lt;/dates&gt;&lt;urls&gt;&lt;/urls&gt;&lt;/record&gt;&lt;/Cite&gt;&lt;/EndNote&gt;</w:instrText>
      </w:r>
      <w:r w:rsidRPr="000D5177">
        <w:rPr>
          <w:szCs w:val="22"/>
          <w:vertAlign w:val="superscript"/>
        </w:rPr>
        <w:fldChar w:fldCharType="separate"/>
      </w:r>
      <w:r w:rsidRPr="000D5177">
        <w:rPr>
          <w:noProof/>
          <w:szCs w:val="22"/>
          <w:vertAlign w:val="superscript"/>
        </w:rPr>
        <w:t>(31)</w:t>
      </w:r>
      <w:r w:rsidRPr="000D5177">
        <w:rPr>
          <w:szCs w:val="22"/>
          <w:vertAlign w:val="superscript"/>
        </w:rPr>
        <w:fldChar w:fldCharType="end"/>
      </w:r>
      <w:r w:rsidRPr="000D5177">
        <w:rPr>
          <w:szCs w:val="22"/>
        </w:rPr>
        <w:t xml:space="preserve"> </w:t>
      </w:r>
    </w:p>
    <w:p w14:paraId="47FD13B6" w14:textId="4306BCF5" w:rsidR="000D5177" w:rsidRPr="000D5177" w:rsidRDefault="00360A76" w:rsidP="004304F5">
      <w:pPr>
        <w:jc w:val="both"/>
        <w:rPr>
          <w:b/>
          <w:szCs w:val="22"/>
          <w:u w:val="single"/>
        </w:rPr>
      </w:pPr>
      <w:r w:rsidRPr="000D5177">
        <w:rPr>
          <w:szCs w:val="22"/>
        </w:rPr>
        <w:t>Whilst it is apparent that usage of CE in investigation of OGIB has increased dramatically over the past decade, the precise reasons for this are not clear.</w:t>
      </w:r>
      <w:r w:rsidR="00C22AE4">
        <w:rPr>
          <w:szCs w:val="22"/>
        </w:rPr>
        <w:t xml:space="preserve"> </w:t>
      </w:r>
      <w:r w:rsidRPr="000D5177">
        <w:rPr>
          <w:szCs w:val="22"/>
        </w:rPr>
        <w:t>Presumably, contributing factors would include the increasing evidence base as to diagnostic yield and subsequent change in guidelines recommending CE as first-line (after negative upper and lower endoscopies) in investigation of OGIB.</w:t>
      </w:r>
      <w:r w:rsidR="000D5177" w:rsidRPr="000D5177">
        <w:rPr>
          <w:b/>
          <w:szCs w:val="22"/>
          <w:u w:val="single"/>
        </w:rPr>
        <w:br w:type="page"/>
      </w:r>
    </w:p>
    <w:p w14:paraId="429AAE8C" w14:textId="0128EB36" w:rsidR="00360A76" w:rsidRPr="000D5177" w:rsidRDefault="00360A76" w:rsidP="006A175E">
      <w:pPr>
        <w:pStyle w:val="Heading3"/>
      </w:pPr>
      <w:r w:rsidRPr="000D5177">
        <w:lastRenderedPageBreak/>
        <w:t>References</w:t>
      </w:r>
    </w:p>
    <w:p w14:paraId="43270887" w14:textId="77777777" w:rsidR="00360A76" w:rsidRPr="000D5177" w:rsidRDefault="00360A76" w:rsidP="000D5177">
      <w:pPr>
        <w:pStyle w:val="EndNoteBibliography"/>
        <w:ind w:left="709" w:hanging="709"/>
        <w:rPr>
          <w:rFonts w:asciiTheme="minorHAnsi" w:hAnsiTheme="minorHAnsi"/>
          <w:noProof/>
          <w:sz w:val="20"/>
          <w:szCs w:val="20"/>
        </w:rPr>
      </w:pPr>
      <w:r w:rsidRPr="000D5177">
        <w:rPr>
          <w:rFonts w:asciiTheme="minorHAnsi" w:hAnsiTheme="minorHAnsi" w:cs="Times New Roman"/>
          <w:sz w:val="20"/>
          <w:szCs w:val="20"/>
        </w:rPr>
        <w:fldChar w:fldCharType="begin"/>
      </w:r>
      <w:r w:rsidRPr="000D5177">
        <w:rPr>
          <w:rFonts w:asciiTheme="minorHAnsi" w:hAnsiTheme="minorHAnsi" w:cs="Times New Roman"/>
          <w:sz w:val="20"/>
          <w:szCs w:val="20"/>
        </w:rPr>
        <w:instrText xml:space="preserve"> ADDIN EN.REFLIST </w:instrText>
      </w:r>
      <w:r w:rsidRPr="000D5177">
        <w:rPr>
          <w:rFonts w:asciiTheme="minorHAnsi" w:hAnsiTheme="minorHAnsi" w:cs="Times New Roman"/>
          <w:sz w:val="20"/>
          <w:szCs w:val="20"/>
        </w:rPr>
        <w:fldChar w:fldCharType="separate"/>
      </w:r>
      <w:r w:rsidRPr="000D5177">
        <w:rPr>
          <w:rFonts w:asciiTheme="minorHAnsi" w:hAnsiTheme="minorHAnsi"/>
          <w:noProof/>
          <w:sz w:val="20"/>
          <w:szCs w:val="20"/>
        </w:rPr>
        <w:t>1.</w:t>
      </w:r>
      <w:r w:rsidRPr="000D5177">
        <w:rPr>
          <w:rFonts w:asciiTheme="minorHAnsi" w:hAnsiTheme="minorHAnsi"/>
          <w:noProof/>
          <w:sz w:val="20"/>
          <w:szCs w:val="20"/>
        </w:rPr>
        <w:tab/>
        <w:t>Li X, Shen J, Li Y, Tang C, Huang L, Li C, et al. Capsule endoscopy in diagnosis of small bowel diseases: a health technology assessment JEBM. 2014;7:84-102.</w:t>
      </w:r>
    </w:p>
    <w:p w14:paraId="4B7EEA73" w14:textId="77777777" w:rsidR="00360A76" w:rsidRPr="000D5177" w:rsidRDefault="00360A76" w:rsidP="000D5177">
      <w:pPr>
        <w:pStyle w:val="EndNoteBibliography"/>
        <w:ind w:left="709" w:hanging="709"/>
        <w:rPr>
          <w:rFonts w:asciiTheme="minorHAnsi" w:hAnsiTheme="minorHAnsi"/>
          <w:noProof/>
          <w:sz w:val="20"/>
          <w:szCs w:val="20"/>
        </w:rPr>
      </w:pPr>
      <w:r w:rsidRPr="000D5177">
        <w:rPr>
          <w:rFonts w:asciiTheme="minorHAnsi" w:hAnsiTheme="minorHAnsi"/>
          <w:noProof/>
          <w:sz w:val="20"/>
          <w:szCs w:val="20"/>
        </w:rPr>
        <w:t>2.</w:t>
      </w:r>
      <w:r w:rsidRPr="000D5177">
        <w:rPr>
          <w:rFonts w:asciiTheme="minorHAnsi" w:hAnsiTheme="minorHAnsi"/>
          <w:noProof/>
          <w:sz w:val="20"/>
          <w:szCs w:val="20"/>
        </w:rPr>
        <w:tab/>
        <w:t>Dupont-Lucas C, Bellaiche, Mouterde O, Bernard O, Besnard M, Campeotto F, et al. Capsule endoscopy in children: which are the best indications. Arch Pediatr. 2010;17(9):1264-72.</w:t>
      </w:r>
    </w:p>
    <w:p w14:paraId="5EF51B96" w14:textId="77777777" w:rsidR="00360A76" w:rsidRPr="000D5177" w:rsidRDefault="00360A76" w:rsidP="000D5177">
      <w:pPr>
        <w:pStyle w:val="EndNoteBibliography"/>
        <w:ind w:left="709" w:hanging="709"/>
        <w:rPr>
          <w:rFonts w:asciiTheme="minorHAnsi" w:hAnsiTheme="minorHAnsi"/>
          <w:noProof/>
          <w:sz w:val="20"/>
          <w:szCs w:val="20"/>
        </w:rPr>
      </w:pPr>
      <w:r w:rsidRPr="000D5177">
        <w:rPr>
          <w:rFonts w:asciiTheme="minorHAnsi" w:hAnsiTheme="minorHAnsi"/>
          <w:noProof/>
          <w:sz w:val="20"/>
          <w:szCs w:val="20"/>
        </w:rPr>
        <w:t>3.</w:t>
      </w:r>
      <w:r w:rsidRPr="000D5177">
        <w:rPr>
          <w:rFonts w:asciiTheme="minorHAnsi" w:hAnsiTheme="minorHAnsi"/>
          <w:noProof/>
          <w:sz w:val="20"/>
          <w:szCs w:val="20"/>
        </w:rPr>
        <w:tab/>
        <w:t>Mylonaki M, Fritscher-Ravens A, Swain P. Wireless capsule endoscopy: a comparison with push enteroscopy in patients with gastroscopy and colonoscopy negative gastrointestinal bleeding. Gut. 2003;52(8):1122-6.</w:t>
      </w:r>
    </w:p>
    <w:p w14:paraId="7C303336" w14:textId="77777777" w:rsidR="00360A76" w:rsidRPr="000D5177" w:rsidRDefault="00360A76" w:rsidP="000D5177">
      <w:pPr>
        <w:pStyle w:val="EndNoteBibliography"/>
        <w:ind w:left="709" w:hanging="709"/>
        <w:rPr>
          <w:rFonts w:asciiTheme="minorHAnsi" w:hAnsiTheme="minorHAnsi"/>
          <w:noProof/>
          <w:sz w:val="20"/>
          <w:szCs w:val="20"/>
        </w:rPr>
      </w:pPr>
      <w:r w:rsidRPr="000D5177">
        <w:rPr>
          <w:rFonts w:asciiTheme="minorHAnsi" w:hAnsiTheme="minorHAnsi"/>
          <w:noProof/>
          <w:sz w:val="20"/>
          <w:szCs w:val="20"/>
        </w:rPr>
        <w:t>4.</w:t>
      </w:r>
      <w:r w:rsidRPr="000D5177">
        <w:rPr>
          <w:rFonts w:asciiTheme="minorHAnsi" w:hAnsiTheme="minorHAnsi"/>
          <w:noProof/>
          <w:sz w:val="20"/>
          <w:szCs w:val="20"/>
        </w:rPr>
        <w:tab/>
        <w:t>Sidhu R, Sanders D, Kapur K, Hurlstone D, McAlindon M. Capsule endoscopy changes patient management in routine clinical practice. Dig Dis Sci. 2007;52(5):1382-6.</w:t>
      </w:r>
    </w:p>
    <w:p w14:paraId="6029AA22" w14:textId="77777777" w:rsidR="00360A76" w:rsidRPr="000D5177" w:rsidRDefault="00360A76" w:rsidP="000D5177">
      <w:pPr>
        <w:pStyle w:val="EndNoteBibliography"/>
        <w:ind w:left="709" w:hanging="709"/>
        <w:rPr>
          <w:rFonts w:asciiTheme="minorHAnsi" w:hAnsiTheme="minorHAnsi"/>
          <w:noProof/>
          <w:sz w:val="20"/>
          <w:szCs w:val="20"/>
        </w:rPr>
      </w:pPr>
      <w:r w:rsidRPr="000D5177">
        <w:rPr>
          <w:rFonts w:asciiTheme="minorHAnsi" w:hAnsiTheme="minorHAnsi"/>
          <w:noProof/>
          <w:sz w:val="20"/>
          <w:szCs w:val="20"/>
        </w:rPr>
        <w:t>5.</w:t>
      </w:r>
      <w:r w:rsidRPr="000D5177">
        <w:rPr>
          <w:rFonts w:asciiTheme="minorHAnsi" w:hAnsiTheme="minorHAnsi"/>
          <w:noProof/>
          <w:sz w:val="20"/>
          <w:szCs w:val="20"/>
        </w:rPr>
        <w:tab/>
        <w:t>Kim B, Li B, Engel A, Samra J, Clarke S, Norton I, et al. Diagnosis of gastrointestinal bleeding: A practical guide for clinicians World J Gastroenterol Pathophysiol. 2014;5(4):467-78.</w:t>
      </w:r>
    </w:p>
    <w:p w14:paraId="3970BC95" w14:textId="03BDDC30" w:rsidR="00360A76" w:rsidRPr="000D5177" w:rsidRDefault="00360A76" w:rsidP="000D5177">
      <w:pPr>
        <w:pStyle w:val="EndNoteBibliography"/>
        <w:ind w:left="709" w:hanging="709"/>
        <w:rPr>
          <w:rFonts w:asciiTheme="minorHAnsi" w:hAnsiTheme="minorHAnsi"/>
          <w:noProof/>
          <w:sz w:val="20"/>
          <w:szCs w:val="20"/>
        </w:rPr>
      </w:pPr>
      <w:r w:rsidRPr="000D5177">
        <w:rPr>
          <w:rFonts w:asciiTheme="minorHAnsi" w:hAnsiTheme="minorHAnsi"/>
          <w:noProof/>
          <w:sz w:val="20"/>
          <w:szCs w:val="20"/>
        </w:rPr>
        <w:t>6.</w:t>
      </w:r>
      <w:r w:rsidRPr="000D5177">
        <w:rPr>
          <w:rFonts w:asciiTheme="minorHAnsi" w:hAnsiTheme="minorHAnsi"/>
          <w:noProof/>
          <w:sz w:val="20"/>
          <w:szCs w:val="20"/>
        </w:rPr>
        <w:tab/>
        <w:t xml:space="preserve">ECI. Upper GI bleeding: ACI; 2015. Available from: </w:t>
      </w:r>
      <w:r w:rsidRPr="006A175E">
        <w:rPr>
          <w:rFonts w:asciiTheme="minorHAnsi" w:hAnsiTheme="minorHAnsi"/>
          <w:noProof/>
          <w:sz w:val="20"/>
          <w:szCs w:val="20"/>
        </w:rPr>
        <w:t>http://www.ecinsw.com.au/ugi-bleeds</w:t>
      </w:r>
      <w:r w:rsidRPr="000D5177">
        <w:rPr>
          <w:rFonts w:asciiTheme="minorHAnsi" w:hAnsiTheme="minorHAnsi"/>
          <w:noProof/>
          <w:sz w:val="20"/>
          <w:szCs w:val="20"/>
        </w:rPr>
        <w:t>.</w:t>
      </w:r>
    </w:p>
    <w:p w14:paraId="34FF7EFD" w14:textId="77777777" w:rsidR="00360A76" w:rsidRPr="000D5177" w:rsidRDefault="00360A76" w:rsidP="000D5177">
      <w:pPr>
        <w:pStyle w:val="EndNoteBibliography"/>
        <w:ind w:left="709" w:hanging="709"/>
        <w:rPr>
          <w:rFonts w:asciiTheme="minorHAnsi" w:hAnsiTheme="minorHAnsi"/>
          <w:noProof/>
          <w:sz w:val="20"/>
          <w:szCs w:val="20"/>
        </w:rPr>
      </w:pPr>
      <w:r w:rsidRPr="000D5177">
        <w:rPr>
          <w:rFonts w:asciiTheme="minorHAnsi" w:hAnsiTheme="minorHAnsi"/>
          <w:noProof/>
          <w:sz w:val="20"/>
          <w:szCs w:val="20"/>
        </w:rPr>
        <w:t>7.</w:t>
      </w:r>
      <w:r w:rsidRPr="000D5177">
        <w:rPr>
          <w:rFonts w:asciiTheme="minorHAnsi" w:hAnsiTheme="minorHAnsi"/>
          <w:noProof/>
          <w:sz w:val="20"/>
          <w:szCs w:val="20"/>
        </w:rPr>
        <w:tab/>
        <w:t>Pandey V, Ingle M, Pandav N, Parikh P, Patel J, Phadke A, et al. The role of casule endoscopy in etiological diagnosis and management of obscure gastrointestinal bleeding. Intest Res. 2016;14(1):69-74.</w:t>
      </w:r>
    </w:p>
    <w:p w14:paraId="48B7881A" w14:textId="77777777" w:rsidR="00360A76" w:rsidRPr="000D5177" w:rsidRDefault="00360A76" w:rsidP="000D5177">
      <w:pPr>
        <w:pStyle w:val="EndNoteBibliography"/>
        <w:ind w:left="709" w:hanging="709"/>
        <w:rPr>
          <w:rFonts w:asciiTheme="minorHAnsi" w:hAnsiTheme="minorHAnsi"/>
          <w:noProof/>
          <w:sz w:val="20"/>
          <w:szCs w:val="20"/>
        </w:rPr>
      </w:pPr>
      <w:r w:rsidRPr="000D5177">
        <w:rPr>
          <w:rFonts w:asciiTheme="minorHAnsi" w:hAnsiTheme="minorHAnsi"/>
          <w:noProof/>
          <w:sz w:val="20"/>
          <w:szCs w:val="20"/>
        </w:rPr>
        <w:t>8.</w:t>
      </w:r>
      <w:r w:rsidRPr="000D5177">
        <w:rPr>
          <w:rFonts w:asciiTheme="minorHAnsi" w:hAnsiTheme="minorHAnsi"/>
          <w:noProof/>
          <w:sz w:val="20"/>
          <w:szCs w:val="20"/>
        </w:rPr>
        <w:tab/>
        <w:t>Segarajasingam D, Hanley S, Barkun A, Waschke K, Burtin P, Parent J, et al. Randomized controlled trial comparing outcomes of video capsule endoscoy with push enteroscopy in obscure gastrointestinal bleeding. CAn J Gastroenterol Hepatol. 2015;29(2):85-90.</w:t>
      </w:r>
    </w:p>
    <w:p w14:paraId="43ED1F44" w14:textId="77777777" w:rsidR="00360A76" w:rsidRPr="000D5177" w:rsidRDefault="00360A76" w:rsidP="000D5177">
      <w:pPr>
        <w:pStyle w:val="EndNoteBibliography"/>
        <w:ind w:left="709" w:hanging="709"/>
        <w:rPr>
          <w:rFonts w:asciiTheme="minorHAnsi" w:hAnsiTheme="minorHAnsi"/>
          <w:noProof/>
          <w:sz w:val="20"/>
          <w:szCs w:val="20"/>
        </w:rPr>
      </w:pPr>
      <w:r w:rsidRPr="000D5177">
        <w:rPr>
          <w:rFonts w:asciiTheme="minorHAnsi" w:hAnsiTheme="minorHAnsi"/>
          <w:noProof/>
          <w:sz w:val="20"/>
          <w:szCs w:val="20"/>
        </w:rPr>
        <w:t>9.</w:t>
      </w:r>
      <w:r w:rsidRPr="000D5177">
        <w:rPr>
          <w:rFonts w:asciiTheme="minorHAnsi" w:hAnsiTheme="minorHAnsi"/>
          <w:noProof/>
          <w:sz w:val="20"/>
          <w:szCs w:val="20"/>
        </w:rPr>
        <w:tab/>
        <w:t>Aniwan S, Viriyautsahakul V, Angsuwatcharakon P, Kongkam P, Treeprasertsuk S, Rerknimitr R, et al. Comparison of urgent video capsule endoscopy and urgent double-balloon endoscopy in massive obscure gastrointestinal bleeding. Hepatogastroenterology. 2014;61(135):1990-4.</w:t>
      </w:r>
    </w:p>
    <w:p w14:paraId="7AD55B07" w14:textId="77777777" w:rsidR="00360A76" w:rsidRPr="000D5177" w:rsidRDefault="00360A76" w:rsidP="000D5177">
      <w:pPr>
        <w:pStyle w:val="EndNoteBibliography"/>
        <w:ind w:left="709" w:hanging="709"/>
        <w:rPr>
          <w:rFonts w:asciiTheme="minorHAnsi" w:hAnsiTheme="minorHAnsi"/>
          <w:noProof/>
          <w:sz w:val="20"/>
          <w:szCs w:val="20"/>
        </w:rPr>
      </w:pPr>
      <w:r w:rsidRPr="000D5177">
        <w:rPr>
          <w:rFonts w:asciiTheme="minorHAnsi" w:hAnsiTheme="minorHAnsi"/>
          <w:noProof/>
          <w:sz w:val="20"/>
          <w:szCs w:val="20"/>
        </w:rPr>
        <w:t>10.</w:t>
      </w:r>
      <w:r w:rsidRPr="000D5177">
        <w:rPr>
          <w:rFonts w:asciiTheme="minorHAnsi" w:hAnsiTheme="minorHAnsi"/>
          <w:noProof/>
          <w:sz w:val="20"/>
          <w:szCs w:val="20"/>
        </w:rPr>
        <w:tab/>
        <w:t>He B, Gong S, Hu C, Fan J, Qian J, Huang S, et al. Obscure gastrointestinal bleeding: diagnostic performance of 64-section multiphase CT enterography compared with capsule endoscopy. Br J Radiol. 2014;87(1043).</w:t>
      </w:r>
    </w:p>
    <w:p w14:paraId="661207E3" w14:textId="77777777" w:rsidR="00360A76" w:rsidRPr="000D5177" w:rsidRDefault="00360A76" w:rsidP="000D5177">
      <w:pPr>
        <w:pStyle w:val="EndNoteBibliography"/>
        <w:ind w:left="709" w:hanging="709"/>
        <w:rPr>
          <w:rFonts w:asciiTheme="minorHAnsi" w:hAnsiTheme="minorHAnsi"/>
          <w:noProof/>
          <w:sz w:val="20"/>
          <w:szCs w:val="20"/>
        </w:rPr>
      </w:pPr>
      <w:r w:rsidRPr="000D5177">
        <w:rPr>
          <w:rFonts w:asciiTheme="minorHAnsi" w:hAnsiTheme="minorHAnsi"/>
          <w:noProof/>
          <w:sz w:val="20"/>
          <w:szCs w:val="20"/>
        </w:rPr>
        <w:t>11.</w:t>
      </w:r>
      <w:r w:rsidRPr="000D5177">
        <w:rPr>
          <w:rFonts w:asciiTheme="minorHAnsi" w:hAnsiTheme="minorHAnsi"/>
          <w:noProof/>
          <w:sz w:val="20"/>
          <w:szCs w:val="20"/>
        </w:rPr>
        <w:tab/>
        <w:t>Katsinelos P, Lazaraki G, Gkagkalis A, Gatopolou A, Patsavela S, Varitimiadis K, et al. The role of capsule endoscopy in the evaluation and treatment of obscure-overt gastrointestinal bleeding during daily clinical practice: a prospective multicenter study. Scand J Gastroenterol. 2014;49(7):862-70.</w:t>
      </w:r>
    </w:p>
    <w:p w14:paraId="5CC5827A" w14:textId="77777777" w:rsidR="00360A76" w:rsidRPr="000D5177" w:rsidRDefault="00360A76" w:rsidP="000D5177">
      <w:pPr>
        <w:pStyle w:val="EndNoteBibliography"/>
        <w:ind w:left="709" w:hanging="709"/>
        <w:rPr>
          <w:rFonts w:asciiTheme="minorHAnsi" w:hAnsiTheme="minorHAnsi"/>
          <w:noProof/>
          <w:sz w:val="20"/>
          <w:szCs w:val="20"/>
        </w:rPr>
      </w:pPr>
      <w:r w:rsidRPr="000D5177">
        <w:rPr>
          <w:rFonts w:asciiTheme="minorHAnsi" w:hAnsiTheme="minorHAnsi"/>
          <w:noProof/>
          <w:sz w:val="20"/>
          <w:szCs w:val="20"/>
        </w:rPr>
        <w:t>12.</w:t>
      </w:r>
      <w:r w:rsidRPr="000D5177">
        <w:rPr>
          <w:rFonts w:asciiTheme="minorHAnsi" w:hAnsiTheme="minorHAnsi"/>
          <w:noProof/>
          <w:sz w:val="20"/>
          <w:szCs w:val="20"/>
        </w:rPr>
        <w:tab/>
        <w:t>Khan M, Johnston M, Cunliffe R, Claydon A. The role of capsule endoscopy in small bowel pathology: a review of 122 cases. NZ Med J. 2013;126(1369):16-26.</w:t>
      </w:r>
    </w:p>
    <w:p w14:paraId="202B7B8E" w14:textId="77777777" w:rsidR="00360A76" w:rsidRPr="000D5177" w:rsidRDefault="00360A76" w:rsidP="000D5177">
      <w:pPr>
        <w:pStyle w:val="EndNoteBibliography"/>
        <w:ind w:left="709" w:hanging="709"/>
        <w:rPr>
          <w:rFonts w:asciiTheme="minorHAnsi" w:hAnsiTheme="minorHAnsi"/>
          <w:noProof/>
          <w:sz w:val="20"/>
          <w:szCs w:val="20"/>
        </w:rPr>
      </w:pPr>
      <w:r w:rsidRPr="000D5177">
        <w:rPr>
          <w:rFonts w:asciiTheme="minorHAnsi" w:hAnsiTheme="minorHAnsi"/>
          <w:noProof/>
          <w:sz w:val="20"/>
          <w:szCs w:val="20"/>
        </w:rPr>
        <w:t>13.</w:t>
      </w:r>
      <w:r w:rsidRPr="000D5177">
        <w:rPr>
          <w:rFonts w:asciiTheme="minorHAnsi" w:hAnsiTheme="minorHAnsi"/>
          <w:noProof/>
          <w:sz w:val="20"/>
          <w:szCs w:val="20"/>
        </w:rPr>
        <w:tab/>
        <w:t>Leung W, Ho S, Suen B, Lai L, Yu S, Ng E, et al. Capsule endoscopy or angiography in patients with acute overt obscure gastrointestinal bleeding: a prospective randomized study with long-term follow-up. Am J Gastroenterol. 2012;107(9):1370-6.</w:t>
      </w:r>
    </w:p>
    <w:p w14:paraId="3F2FCC61" w14:textId="77777777" w:rsidR="00360A76" w:rsidRPr="000D5177" w:rsidRDefault="00360A76" w:rsidP="000D5177">
      <w:pPr>
        <w:pStyle w:val="EndNoteBibliography"/>
        <w:ind w:left="709" w:hanging="709"/>
        <w:rPr>
          <w:rFonts w:asciiTheme="minorHAnsi" w:hAnsiTheme="minorHAnsi"/>
          <w:noProof/>
          <w:sz w:val="20"/>
          <w:szCs w:val="20"/>
        </w:rPr>
      </w:pPr>
      <w:r w:rsidRPr="000D5177">
        <w:rPr>
          <w:rFonts w:asciiTheme="minorHAnsi" w:hAnsiTheme="minorHAnsi"/>
          <w:noProof/>
          <w:sz w:val="20"/>
          <w:szCs w:val="20"/>
        </w:rPr>
        <w:t>14.</w:t>
      </w:r>
      <w:r w:rsidRPr="000D5177">
        <w:rPr>
          <w:rFonts w:asciiTheme="minorHAnsi" w:hAnsiTheme="minorHAnsi"/>
          <w:noProof/>
          <w:sz w:val="20"/>
          <w:szCs w:val="20"/>
        </w:rPr>
        <w:tab/>
        <w:t>Shishido T, Oka S, Tanaka S, Aoyama T, Watari I, Imagawa H, et al. Diagnostic yield of capsule endoscopy vs double-balloon endoscopy for patients who have undergone total enteroscopy with obscure gastrointestinal bleeding. Hepatogastroenterology. 2012;59(116):955-9.</w:t>
      </w:r>
    </w:p>
    <w:p w14:paraId="27C07E41" w14:textId="77777777" w:rsidR="00360A76" w:rsidRPr="000D5177" w:rsidRDefault="00360A76" w:rsidP="000D5177">
      <w:pPr>
        <w:pStyle w:val="EndNoteBibliography"/>
        <w:ind w:left="709" w:hanging="709"/>
        <w:rPr>
          <w:rFonts w:asciiTheme="minorHAnsi" w:hAnsiTheme="minorHAnsi"/>
          <w:noProof/>
          <w:sz w:val="20"/>
          <w:szCs w:val="20"/>
        </w:rPr>
      </w:pPr>
      <w:r w:rsidRPr="000D5177">
        <w:rPr>
          <w:rFonts w:asciiTheme="minorHAnsi" w:hAnsiTheme="minorHAnsi"/>
          <w:noProof/>
          <w:sz w:val="20"/>
          <w:szCs w:val="20"/>
        </w:rPr>
        <w:t>15.</w:t>
      </w:r>
      <w:r w:rsidRPr="000D5177">
        <w:rPr>
          <w:rFonts w:asciiTheme="minorHAnsi" w:hAnsiTheme="minorHAnsi"/>
          <w:noProof/>
          <w:sz w:val="20"/>
          <w:szCs w:val="20"/>
        </w:rPr>
        <w:tab/>
        <w:t>Lecleire S, Iwanicki-Caron I, Di-Fiore A, Elie C, Alhameedi R, Ramirez S, et al. Yield and impact of emergency capsule enteroscopy in severe obscure-overt gastrointestinal bleeding. Endoscopy. 2012;44(4):337-42.</w:t>
      </w:r>
    </w:p>
    <w:p w14:paraId="1EB8555D" w14:textId="77777777" w:rsidR="00360A76" w:rsidRPr="000D5177" w:rsidRDefault="00360A76" w:rsidP="000D5177">
      <w:pPr>
        <w:pStyle w:val="EndNoteBibliography"/>
        <w:ind w:left="709" w:hanging="709"/>
        <w:rPr>
          <w:rFonts w:asciiTheme="minorHAnsi" w:hAnsiTheme="minorHAnsi"/>
          <w:noProof/>
          <w:sz w:val="20"/>
          <w:szCs w:val="20"/>
        </w:rPr>
      </w:pPr>
      <w:r w:rsidRPr="000D5177">
        <w:rPr>
          <w:rFonts w:asciiTheme="minorHAnsi" w:hAnsiTheme="minorHAnsi"/>
          <w:noProof/>
          <w:sz w:val="20"/>
          <w:szCs w:val="20"/>
        </w:rPr>
        <w:t>16.</w:t>
      </w:r>
      <w:r w:rsidRPr="000D5177">
        <w:rPr>
          <w:rFonts w:asciiTheme="minorHAnsi" w:hAnsiTheme="minorHAnsi"/>
          <w:noProof/>
          <w:sz w:val="20"/>
          <w:szCs w:val="20"/>
        </w:rPr>
        <w:tab/>
        <w:t>Heo H, Park C, Lim J, Lee J, Kim B, Cheon J, et al. The role of capsule endoscopy after negative CT enterography in patients with obscure gastrointestinal bleeding. Eur Radiol. 2012;22(6):1159-66.</w:t>
      </w:r>
    </w:p>
    <w:p w14:paraId="20AF8AC8" w14:textId="77777777" w:rsidR="00360A76" w:rsidRPr="000D5177" w:rsidRDefault="00360A76" w:rsidP="000D5177">
      <w:pPr>
        <w:pStyle w:val="EndNoteBibliography"/>
        <w:ind w:left="709" w:hanging="709"/>
        <w:rPr>
          <w:rFonts w:asciiTheme="minorHAnsi" w:hAnsiTheme="minorHAnsi"/>
          <w:noProof/>
          <w:sz w:val="20"/>
          <w:szCs w:val="20"/>
        </w:rPr>
      </w:pPr>
      <w:r w:rsidRPr="000D5177">
        <w:rPr>
          <w:rFonts w:asciiTheme="minorHAnsi" w:hAnsiTheme="minorHAnsi"/>
          <w:noProof/>
          <w:sz w:val="20"/>
          <w:szCs w:val="20"/>
        </w:rPr>
        <w:t>17.</w:t>
      </w:r>
      <w:r w:rsidRPr="000D5177">
        <w:rPr>
          <w:rFonts w:asciiTheme="minorHAnsi" w:hAnsiTheme="minorHAnsi"/>
          <w:noProof/>
          <w:sz w:val="20"/>
          <w:szCs w:val="20"/>
        </w:rPr>
        <w:tab/>
        <w:t>Cuyle P, Schoofs N, Bossuyt P, Moons V, Van Olmen G, Hiele M, et al. Single-centre experience on use of videocapsule endoscopy for obscure gastrointestinal bleeding in 120 consecutive patients. Acta Gastroenterol Belg. 2011;74(3):400-6.</w:t>
      </w:r>
    </w:p>
    <w:p w14:paraId="096BE4C4" w14:textId="77777777" w:rsidR="00360A76" w:rsidRPr="000D5177" w:rsidRDefault="00360A76" w:rsidP="000D5177">
      <w:pPr>
        <w:pStyle w:val="EndNoteBibliography"/>
        <w:ind w:left="709" w:hanging="709"/>
        <w:rPr>
          <w:rFonts w:asciiTheme="minorHAnsi" w:hAnsiTheme="minorHAnsi"/>
          <w:noProof/>
          <w:sz w:val="20"/>
          <w:szCs w:val="20"/>
        </w:rPr>
      </w:pPr>
      <w:r w:rsidRPr="000D5177">
        <w:rPr>
          <w:rFonts w:asciiTheme="minorHAnsi" w:hAnsiTheme="minorHAnsi"/>
          <w:noProof/>
          <w:sz w:val="20"/>
          <w:szCs w:val="20"/>
        </w:rPr>
        <w:t>18.</w:t>
      </w:r>
      <w:r w:rsidRPr="000D5177">
        <w:rPr>
          <w:rFonts w:asciiTheme="minorHAnsi" w:hAnsiTheme="minorHAnsi"/>
          <w:noProof/>
          <w:sz w:val="20"/>
          <w:szCs w:val="20"/>
        </w:rPr>
        <w:tab/>
        <w:t>Calabrese C, Liguori G, Gionchetti P, Rizzello F, Laureti S, Di Simone M, et al. Obscure gastrointestinal bleeding: single centre experience of capsule endoscopy. Intern Emerg Med. 2013;8(8):681-7.</w:t>
      </w:r>
    </w:p>
    <w:p w14:paraId="0B33D8F8" w14:textId="77777777" w:rsidR="00360A76" w:rsidRPr="000D5177" w:rsidRDefault="00360A76" w:rsidP="000D5177">
      <w:pPr>
        <w:pStyle w:val="EndNoteBibliography"/>
        <w:ind w:left="709" w:hanging="709"/>
        <w:rPr>
          <w:rFonts w:asciiTheme="minorHAnsi" w:hAnsiTheme="minorHAnsi"/>
          <w:noProof/>
          <w:sz w:val="20"/>
          <w:szCs w:val="20"/>
        </w:rPr>
      </w:pPr>
      <w:r w:rsidRPr="000D5177">
        <w:rPr>
          <w:rFonts w:asciiTheme="minorHAnsi" w:hAnsiTheme="minorHAnsi"/>
          <w:noProof/>
          <w:sz w:val="20"/>
          <w:szCs w:val="20"/>
        </w:rPr>
        <w:t>19.</w:t>
      </w:r>
      <w:r w:rsidRPr="000D5177">
        <w:rPr>
          <w:rFonts w:asciiTheme="minorHAnsi" w:hAnsiTheme="minorHAnsi"/>
          <w:noProof/>
          <w:sz w:val="20"/>
          <w:szCs w:val="20"/>
        </w:rPr>
        <w:tab/>
        <w:t>Goenka M, Majumder S, Kumar S, Sethy P, Goenka U. Single center experience of capsule endoscopy in patients with obscure gastrointestinal bleeding. World J Gastroenterol. 2011;17(6):774-8.</w:t>
      </w:r>
    </w:p>
    <w:p w14:paraId="5F176A8C" w14:textId="77777777" w:rsidR="00360A76" w:rsidRPr="000D5177" w:rsidRDefault="00360A76" w:rsidP="000D5177">
      <w:pPr>
        <w:pStyle w:val="EndNoteBibliography"/>
        <w:ind w:left="709" w:hanging="709"/>
        <w:rPr>
          <w:rFonts w:asciiTheme="minorHAnsi" w:hAnsiTheme="minorHAnsi"/>
          <w:noProof/>
          <w:sz w:val="20"/>
          <w:szCs w:val="20"/>
        </w:rPr>
      </w:pPr>
      <w:r w:rsidRPr="000D5177">
        <w:rPr>
          <w:rFonts w:asciiTheme="minorHAnsi" w:hAnsiTheme="minorHAnsi"/>
          <w:noProof/>
          <w:sz w:val="20"/>
          <w:szCs w:val="20"/>
        </w:rPr>
        <w:t>20.</w:t>
      </w:r>
      <w:r w:rsidRPr="000D5177">
        <w:rPr>
          <w:rFonts w:asciiTheme="minorHAnsi" w:hAnsiTheme="minorHAnsi"/>
          <w:noProof/>
          <w:sz w:val="20"/>
          <w:szCs w:val="20"/>
        </w:rPr>
        <w:tab/>
        <w:t>Qureshi S, Ghazanfar S, Dawood A, Zubair M, Leghari A, Niaz S, et al. An experience of capsule endoscopy from a tertiary care hospital in Pakistan. J Pak Med Assoc. 2010;60(12):1001-5.</w:t>
      </w:r>
    </w:p>
    <w:p w14:paraId="205F6F80" w14:textId="77777777" w:rsidR="00360A76" w:rsidRPr="000D5177" w:rsidRDefault="00360A76" w:rsidP="000D5177">
      <w:pPr>
        <w:pStyle w:val="EndNoteBibliography"/>
        <w:ind w:left="709" w:hanging="709"/>
        <w:rPr>
          <w:rFonts w:asciiTheme="minorHAnsi" w:hAnsiTheme="minorHAnsi"/>
          <w:noProof/>
          <w:sz w:val="20"/>
          <w:szCs w:val="20"/>
        </w:rPr>
      </w:pPr>
      <w:r w:rsidRPr="000D5177">
        <w:rPr>
          <w:rFonts w:asciiTheme="minorHAnsi" w:hAnsiTheme="minorHAnsi"/>
          <w:noProof/>
          <w:sz w:val="20"/>
          <w:szCs w:val="20"/>
        </w:rPr>
        <w:t>21.</w:t>
      </w:r>
      <w:r w:rsidRPr="000D5177">
        <w:rPr>
          <w:rFonts w:asciiTheme="minorHAnsi" w:hAnsiTheme="minorHAnsi"/>
          <w:noProof/>
          <w:sz w:val="20"/>
          <w:szCs w:val="20"/>
        </w:rPr>
        <w:tab/>
        <w:t>Katsinelos P, Chatzimavroudis G, Terzoudis S, Patsis I, Fasoulas K, Katsinelos T, et al. Diagnostic yield and clinical impact of capsule endoscopy in obscure gastrointestinal bleeding during routine clinical practice: a single-center experience. Med Princ Pract. 2011;20(1):60-5.</w:t>
      </w:r>
    </w:p>
    <w:p w14:paraId="084557E5" w14:textId="77777777" w:rsidR="00360A76" w:rsidRPr="000D5177" w:rsidRDefault="00360A76" w:rsidP="000D5177">
      <w:pPr>
        <w:pStyle w:val="EndNoteBibliography"/>
        <w:ind w:left="709" w:hanging="709"/>
        <w:rPr>
          <w:rFonts w:asciiTheme="minorHAnsi" w:hAnsiTheme="minorHAnsi"/>
          <w:noProof/>
          <w:sz w:val="20"/>
          <w:szCs w:val="20"/>
        </w:rPr>
      </w:pPr>
      <w:r w:rsidRPr="000D5177">
        <w:rPr>
          <w:rFonts w:asciiTheme="minorHAnsi" w:hAnsiTheme="minorHAnsi"/>
          <w:noProof/>
          <w:sz w:val="20"/>
          <w:szCs w:val="20"/>
        </w:rPr>
        <w:t>22.</w:t>
      </w:r>
      <w:r w:rsidRPr="000D5177">
        <w:rPr>
          <w:rFonts w:asciiTheme="minorHAnsi" w:hAnsiTheme="minorHAnsi"/>
          <w:noProof/>
          <w:sz w:val="20"/>
          <w:szCs w:val="20"/>
        </w:rPr>
        <w:tab/>
        <w:t>Teshima C, Kuipers E, van Zanten S, Mensink P. Double balloon enteroscopy and capsule endoscopy for obscure gastrointestinal bleeding: an updated meta-analysis. J Gastroenterol Hepatol. 2011;26(5):796-801.</w:t>
      </w:r>
    </w:p>
    <w:p w14:paraId="6749B039" w14:textId="77777777" w:rsidR="00360A76" w:rsidRPr="000D5177" w:rsidRDefault="00360A76" w:rsidP="000D5177">
      <w:pPr>
        <w:pStyle w:val="EndNoteBibliography"/>
        <w:ind w:left="709" w:hanging="709"/>
        <w:rPr>
          <w:rFonts w:asciiTheme="minorHAnsi" w:hAnsiTheme="minorHAnsi"/>
          <w:noProof/>
          <w:sz w:val="20"/>
          <w:szCs w:val="20"/>
        </w:rPr>
      </w:pPr>
      <w:r w:rsidRPr="000D5177">
        <w:rPr>
          <w:rFonts w:asciiTheme="minorHAnsi" w:hAnsiTheme="minorHAnsi"/>
          <w:noProof/>
          <w:sz w:val="20"/>
          <w:szCs w:val="20"/>
        </w:rPr>
        <w:lastRenderedPageBreak/>
        <w:t>23.</w:t>
      </w:r>
      <w:r w:rsidRPr="000D5177">
        <w:rPr>
          <w:rFonts w:asciiTheme="minorHAnsi" w:hAnsiTheme="minorHAnsi"/>
          <w:noProof/>
          <w:sz w:val="20"/>
          <w:szCs w:val="20"/>
        </w:rPr>
        <w:tab/>
        <w:t>van Turenhout S, Jacobs M, van Weyenberg S, Herdes E, Stam F, Mulder C, et al. Diagnostic yield of capsule endoscopy in a tertiary hospital in patients with obscure gastrointestinal bleeding. J Gastrointestin Liver Dis. 2010;19(2):141-5.</w:t>
      </w:r>
    </w:p>
    <w:p w14:paraId="10FA7837" w14:textId="77777777" w:rsidR="00360A76" w:rsidRPr="000D5177" w:rsidRDefault="00360A76" w:rsidP="000D5177">
      <w:pPr>
        <w:pStyle w:val="EndNoteBibliography"/>
        <w:ind w:left="709" w:hanging="709"/>
        <w:rPr>
          <w:rFonts w:asciiTheme="minorHAnsi" w:hAnsiTheme="minorHAnsi"/>
          <w:noProof/>
          <w:sz w:val="20"/>
          <w:szCs w:val="20"/>
        </w:rPr>
      </w:pPr>
      <w:r w:rsidRPr="000D5177">
        <w:rPr>
          <w:rFonts w:asciiTheme="minorHAnsi" w:hAnsiTheme="minorHAnsi"/>
          <w:noProof/>
          <w:sz w:val="20"/>
          <w:szCs w:val="20"/>
        </w:rPr>
        <w:t>24.</w:t>
      </w:r>
      <w:r w:rsidRPr="000D5177">
        <w:rPr>
          <w:rFonts w:asciiTheme="minorHAnsi" w:hAnsiTheme="minorHAnsi"/>
          <w:noProof/>
          <w:sz w:val="20"/>
          <w:szCs w:val="20"/>
        </w:rPr>
        <w:tab/>
        <w:t>Sidhu R, Sanders D, Kapur K, Leeds J, McAlindon M. Factors predicting the diagnostic yield and intervention in obscure gastrointestinal bleeding investigated using capsule endoscopy. J Gastroenterol Liver Dis. 2009;18(3):273-8.</w:t>
      </w:r>
    </w:p>
    <w:p w14:paraId="73E292F8" w14:textId="77777777" w:rsidR="00360A76" w:rsidRPr="000D5177" w:rsidRDefault="00360A76" w:rsidP="000D5177">
      <w:pPr>
        <w:pStyle w:val="EndNoteBibliography"/>
        <w:ind w:left="709" w:hanging="709"/>
        <w:rPr>
          <w:rFonts w:asciiTheme="minorHAnsi" w:hAnsiTheme="minorHAnsi"/>
          <w:noProof/>
          <w:sz w:val="20"/>
          <w:szCs w:val="20"/>
        </w:rPr>
      </w:pPr>
      <w:r w:rsidRPr="000D5177">
        <w:rPr>
          <w:rFonts w:asciiTheme="minorHAnsi" w:hAnsiTheme="minorHAnsi"/>
          <w:noProof/>
          <w:sz w:val="20"/>
          <w:szCs w:val="20"/>
        </w:rPr>
        <w:t>25.</w:t>
      </w:r>
      <w:r w:rsidRPr="000D5177">
        <w:rPr>
          <w:rFonts w:asciiTheme="minorHAnsi" w:hAnsiTheme="minorHAnsi"/>
          <w:noProof/>
          <w:sz w:val="20"/>
          <w:szCs w:val="20"/>
        </w:rPr>
        <w:tab/>
        <w:t>Kameda N, Higuchi K, Shiba M, Machida H, Okazaki H, Yamagami H, et al. A prospective, single-blind trial comparing wireless capsule endoscopy and double-balloon enteroscopy in patients with obscure gastrointestinal bleeding. J Gastroenterol. 2008;43(6):434-40.</w:t>
      </w:r>
    </w:p>
    <w:p w14:paraId="562D2EC0" w14:textId="77777777" w:rsidR="00360A76" w:rsidRPr="000D5177" w:rsidRDefault="00360A76" w:rsidP="000D5177">
      <w:pPr>
        <w:pStyle w:val="EndNoteBibliography"/>
        <w:ind w:left="709" w:hanging="709"/>
        <w:rPr>
          <w:rFonts w:asciiTheme="minorHAnsi" w:hAnsiTheme="minorHAnsi"/>
          <w:noProof/>
          <w:sz w:val="20"/>
          <w:szCs w:val="20"/>
        </w:rPr>
      </w:pPr>
      <w:r w:rsidRPr="000D5177">
        <w:rPr>
          <w:rFonts w:asciiTheme="minorHAnsi" w:hAnsiTheme="minorHAnsi"/>
          <w:noProof/>
          <w:sz w:val="20"/>
          <w:szCs w:val="20"/>
        </w:rPr>
        <w:t>26.</w:t>
      </w:r>
      <w:r w:rsidRPr="000D5177">
        <w:rPr>
          <w:rFonts w:asciiTheme="minorHAnsi" w:hAnsiTheme="minorHAnsi"/>
          <w:noProof/>
          <w:sz w:val="20"/>
          <w:szCs w:val="20"/>
        </w:rPr>
        <w:tab/>
        <w:t>Pasha S, Leighton J, Das A, Harrison M, Decker G, Fleischer D, et al. Double-balloon enteroscopy and capsule endoscopy have comparable diagnostic yield in small-bowel disease: a meta-analysis. Clin Gastroenterol Hepatol. 2008;6(6):671-6.</w:t>
      </w:r>
    </w:p>
    <w:p w14:paraId="1E6762EE" w14:textId="77777777" w:rsidR="00360A76" w:rsidRPr="000D5177" w:rsidRDefault="00360A76" w:rsidP="000D5177">
      <w:pPr>
        <w:pStyle w:val="EndNoteBibliography"/>
        <w:ind w:left="709" w:hanging="709"/>
        <w:rPr>
          <w:rFonts w:asciiTheme="minorHAnsi" w:hAnsiTheme="minorHAnsi"/>
          <w:noProof/>
          <w:sz w:val="20"/>
          <w:szCs w:val="20"/>
        </w:rPr>
      </w:pPr>
      <w:r w:rsidRPr="000D5177">
        <w:rPr>
          <w:rFonts w:asciiTheme="minorHAnsi" w:hAnsiTheme="minorHAnsi"/>
          <w:noProof/>
          <w:sz w:val="20"/>
          <w:szCs w:val="20"/>
        </w:rPr>
        <w:t>27.</w:t>
      </w:r>
      <w:r w:rsidRPr="000D5177">
        <w:rPr>
          <w:rFonts w:asciiTheme="minorHAnsi" w:hAnsiTheme="minorHAnsi"/>
          <w:noProof/>
          <w:sz w:val="20"/>
          <w:szCs w:val="20"/>
        </w:rPr>
        <w:tab/>
        <w:t>Sidhu R, Sanders D, Morris A, McAlindon M. Guidelines on small bowel enteroscopy and capsule endoscopy in adults Gut. 2008;57:125-36.</w:t>
      </w:r>
    </w:p>
    <w:p w14:paraId="7F4AFC81" w14:textId="77777777" w:rsidR="00360A76" w:rsidRPr="000D5177" w:rsidRDefault="00360A76" w:rsidP="000D5177">
      <w:pPr>
        <w:pStyle w:val="EndNoteBibliography"/>
        <w:ind w:left="709" w:hanging="709"/>
        <w:rPr>
          <w:rFonts w:asciiTheme="minorHAnsi" w:hAnsiTheme="minorHAnsi"/>
          <w:noProof/>
          <w:sz w:val="20"/>
          <w:szCs w:val="20"/>
        </w:rPr>
      </w:pPr>
      <w:r w:rsidRPr="000D5177">
        <w:rPr>
          <w:rFonts w:asciiTheme="minorHAnsi" w:hAnsiTheme="minorHAnsi"/>
          <w:noProof/>
          <w:sz w:val="20"/>
          <w:szCs w:val="20"/>
        </w:rPr>
        <w:t>28.</w:t>
      </w:r>
      <w:r w:rsidRPr="000D5177">
        <w:rPr>
          <w:rFonts w:asciiTheme="minorHAnsi" w:hAnsiTheme="minorHAnsi"/>
          <w:noProof/>
          <w:sz w:val="20"/>
          <w:szCs w:val="20"/>
        </w:rPr>
        <w:tab/>
        <w:t>Esaki M, Matsumoto T, Yada S, Yanaru-Fujisawa R, Kudo T, Yanai S, et al. Factors associated with the clinical impact of capsule endoscopy in patients with overt obscure gastrointestinal bleeding. Dig Dis Sci. 2010;55(8):2294-301.</w:t>
      </w:r>
    </w:p>
    <w:p w14:paraId="7AC5DBF8" w14:textId="77777777" w:rsidR="00360A76" w:rsidRPr="000D5177" w:rsidRDefault="00360A76" w:rsidP="000D5177">
      <w:pPr>
        <w:pStyle w:val="EndNoteBibliography"/>
        <w:ind w:left="709" w:hanging="709"/>
        <w:rPr>
          <w:rFonts w:asciiTheme="minorHAnsi" w:hAnsiTheme="minorHAnsi"/>
          <w:noProof/>
          <w:sz w:val="20"/>
          <w:szCs w:val="20"/>
        </w:rPr>
      </w:pPr>
      <w:r w:rsidRPr="000D5177">
        <w:rPr>
          <w:rFonts w:asciiTheme="minorHAnsi" w:hAnsiTheme="minorHAnsi"/>
          <w:noProof/>
          <w:sz w:val="20"/>
          <w:szCs w:val="20"/>
        </w:rPr>
        <w:t>29.</w:t>
      </w:r>
      <w:r w:rsidRPr="000D5177">
        <w:rPr>
          <w:rFonts w:asciiTheme="minorHAnsi" w:hAnsiTheme="minorHAnsi"/>
          <w:noProof/>
          <w:sz w:val="20"/>
          <w:szCs w:val="20"/>
        </w:rPr>
        <w:tab/>
        <w:t>Pasha S, Hara A, Leighton J. Diagnostic Evaluation and Management of Obscure Gastrointestinal Bleeding: A Changing Paradigm. Gastroenterol Hepatol. 2009;5(12):839-50.</w:t>
      </w:r>
    </w:p>
    <w:p w14:paraId="1394A3B8" w14:textId="77777777" w:rsidR="00360A76" w:rsidRPr="000D5177" w:rsidRDefault="00360A76" w:rsidP="000D5177">
      <w:pPr>
        <w:pStyle w:val="EndNoteBibliography"/>
        <w:ind w:left="709" w:hanging="709"/>
        <w:rPr>
          <w:rFonts w:asciiTheme="minorHAnsi" w:hAnsiTheme="minorHAnsi"/>
          <w:noProof/>
          <w:sz w:val="20"/>
          <w:szCs w:val="20"/>
        </w:rPr>
      </w:pPr>
      <w:r w:rsidRPr="000D5177">
        <w:rPr>
          <w:rFonts w:asciiTheme="minorHAnsi" w:hAnsiTheme="minorHAnsi"/>
          <w:noProof/>
          <w:sz w:val="20"/>
          <w:szCs w:val="20"/>
        </w:rPr>
        <w:t>30.</w:t>
      </w:r>
      <w:r w:rsidRPr="000D5177">
        <w:rPr>
          <w:rFonts w:asciiTheme="minorHAnsi" w:hAnsiTheme="minorHAnsi"/>
          <w:noProof/>
          <w:sz w:val="20"/>
          <w:szCs w:val="20"/>
        </w:rPr>
        <w:tab/>
        <w:t>Yamada A, Watabe H, Kobayashi Y, Yoshida H, Koike K. Timing of capsule endoscopy influences the diagnosis and outcome in obscure-overt gastrointestinal bleeding Hepatogastroenterology. 2012;59(115):676-9.</w:t>
      </w:r>
    </w:p>
    <w:p w14:paraId="48598F9A" w14:textId="77777777" w:rsidR="00360A76" w:rsidRPr="000D5177" w:rsidRDefault="00360A76" w:rsidP="000D5177">
      <w:pPr>
        <w:pStyle w:val="EndNoteBibliography"/>
        <w:ind w:left="709" w:hanging="709"/>
        <w:rPr>
          <w:rFonts w:asciiTheme="minorHAnsi" w:hAnsiTheme="minorHAnsi"/>
          <w:noProof/>
          <w:sz w:val="20"/>
          <w:szCs w:val="20"/>
        </w:rPr>
      </w:pPr>
      <w:r w:rsidRPr="000D5177">
        <w:rPr>
          <w:rFonts w:asciiTheme="minorHAnsi" w:hAnsiTheme="minorHAnsi"/>
          <w:noProof/>
          <w:sz w:val="20"/>
          <w:szCs w:val="20"/>
        </w:rPr>
        <w:t>31.</w:t>
      </w:r>
      <w:r w:rsidRPr="000D5177">
        <w:rPr>
          <w:rFonts w:asciiTheme="minorHAnsi" w:hAnsiTheme="minorHAnsi"/>
          <w:noProof/>
          <w:sz w:val="20"/>
          <w:szCs w:val="20"/>
        </w:rPr>
        <w:tab/>
        <w:t>Pennazio M, Spada C, Eliakim R, Keuchel M, May A, Mulder C, et al. Small-bowel capsule endoscopy and device-assisted enteroscopy for diagnosis and treatment of small-bowel disorders: European Society of Gastrointestinal Endoscopy (ESGE) Clinical Guideline. Endoscopy. 2015;47:352-76.</w:t>
      </w:r>
    </w:p>
    <w:p w14:paraId="2EE6E4E8" w14:textId="77777777" w:rsidR="00360A76" w:rsidRPr="000D5177" w:rsidRDefault="00360A76" w:rsidP="000D5177">
      <w:pPr>
        <w:pStyle w:val="EndNoteBibliography"/>
        <w:ind w:left="709" w:hanging="709"/>
        <w:rPr>
          <w:rFonts w:asciiTheme="minorHAnsi" w:hAnsiTheme="minorHAnsi"/>
          <w:noProof/>
          <w:sz w:val="20"/>
          <w:szCs w:val="20"/>
        </w:rPr>
      </w:pPr>
      <w:r w:rsidRPr="000D5177">
        <w:rPr>
          <w:rFonts w:asciiTheme="minorHAnsi" w:hAnsiTheme="minorHAnsi"/>
          <w:noProof/>
          <w:sz w:val="20"/>
          <w:szCs w:val="20"/>
        </w:rPr>
        <w:t>32.</w:t>
      </w:r>
      <w:r w:rsidRPr="000D5177">
        <w:rPr>
          <w:rFonts w:asciiTheme="minorHAnsi" w:hAnsiTheme="minorHAnsi"/>
          <w:noProof/>
          <w:sz w:val="20"/>
          <w:szCs w:val="20"/>
        </w:rPr>
        <w:tab/>
        <w:t>Gerson L, FIdler J, Cave D, Leighton J. ACG Clinical Guideline: Diagnosis and Management of Small Bowel Bleeding. Am J Gastroenterol. 2015;110:1265-87.</w:t>
      </w:r>
    </w:p>
    <w:p w14:paraId="6AE86993" w14:textId="77777777" w:rsidR="00360A76" w:rsidRPr="000D5177" w:rsidRDefault="00360A76" w:rsidP="000D5177">
      <w:pPr>
        <w:pStyle w:val="EndNoteBibliography"/>
        <w:ind w:left="709" w:hanging="709"/>
        <w:rPr>
          <w:rFonts w:asciiTheme="minorHAnsi" w:hAnsiTheme="minorHAnsi"/>
          <w:noProof/>
          <w:sz w:val="20"/>
          <w:szCs w:val="20"/>
        </w:rPr>
      </w:pPr>
      <w:r w:rsidRPr="000D5177">
        <w:rPr>
          <w:rFonts w:asciiTheme="minorHAnsi" w:hAnsiTheme="minorHAnsi"/>
          <w:noProof/>
          <w:sz w:val="20"/>
          <w:szCs w:val="20"/>
        </w:rPr>
        <w:t>33.</w:t>
      </w:r>
      <w:r w:rsidRPr="000D5177">
        <w:rPr>
          <w:rFonts w:asciiTheme="minorHAnsi" w:hAnsiTheme="minorHAnsi"/>
          <w:noProof/>
          <w:sz w:val="20"/>
          <w:szCs w:val="20"/>
        </w:rPr>
        <w:tab/>
        <w:t>Gerson L, Kamal A. Cost-effectiveness analysis of management strategies for obscure GI bleeding. Gastrointestinal Endoscopy. 2008;68(5):920-36.</w:t>
      </w:r>
    </w:p>
    <w:p w14:paraId="71272FAD" w14:textId="77777777" w:rsidR="00360A76" w:rsidRPr="000D5177" w:rsidRDefault="00360A76" w:rsidP="000D5177">
      <w:pPr>
        <w:pStyle w:val="EndNoteBibliography"/>
        <w:ind w:left="709" w:hanging="709"/>
        <w:rPr>
          <w:rFonts w:asciiTheme="minorHAnsi" w:hAnsiTheme="minorHAnsi"/>
          <w:noProof/>
          <w:sz w:val="20"/>
          <w:szCs w:val="20"/>
        </w:rPr>
      </w:pPr>
      <w:r w:rsidRPr="000D5177">
        <w:rPr>
          <w:rFonts w:asciiTheme="minorHAnsi" w:hAnsiTheme="minorHAnsi"/>
          <w:noProof/>
          <w:sz w:val="20"/>
          <w:szCs w:val="20"/>
        </w:rPr>
        <w:t>34.</w:t>
      </w:r>
      <w:r w:rsidRPr="000D5177">
        <w:rPr>
          <w:rFonts w:asciiTheme="minorHAnsi" w:hAnsiTheme="minorHAnsi"/>
          <w:noProof/>
          <w:sz w:val="20"/>
          <w:szCs w:val="20"/>
        </w:rPr>
        <w:tab/>
        <w:t>Triester S, Leighton J, Leontiadis G, Fleischer D, Hara A, Heigh R, et al. A meta-analysis of the yield of capsule endoscopy compared to other diagnostic modalities in patients with obscure gastrointestinal bleeding. Am J Gastroenterol. 2005;100(11):2407-18.</w:t>
      </w:r>
    </w:p>
    <w:p w14:paraId="075CE2AF" w14:textId="77777777" w:rsidR="00360A76" w:rsidRPr="000D5177" w:rsidRDefault="00360A76" w:rsidP="000D5177">
      <w:pPr>
        <w:pStyle w:val="EndNoteBibliography"/>
        <w:ind w:left="709" w:hanging="709"/>
        <w:rPr>
          <w:rFonts w:asciiTheme="minorHAnsi" w:hAnsiTheme="minorHAnsi"/>
          <w:noProof/>
          <w:sz w:val="20"/>
          <w:szCs w:val="20"/>
        </w:rPr>
      </w:pPr>
      <w:r w:rsidRPr="000D5177">
        <w:rPr>
          <w:rFonts w:asciiTheme="minorHAnsi" w:hAnsiTheme="minorHAnsi"/>
          <w:noProof/>
          <w:sz w:val="20"/>
          <w:szCs w:val="20"/>
        </w:rPr>
        <w:t>35.</w:t>
      </w:r>
      <w:r w:rsidRPr="000D5177">
        <w:rPr>
          <w:rFonts w:asciiTheme="minorHAnsi" w:hAnsiTheme="minorHAnsi"/>
          <w:noProof/>
          <w:sz w:val="20"/>
          <w:szCs w:val="20"/>
        </w:rPr>
        <w:tab/>
        <w:t>Marmo R, Rotondano G, Piscopos R, Bianco M, Cipoletta L. Meta-analysis: capsule enteroscopy vs conventional modalities in diagnosis of small bowel diseases Aliment Pharmacol Ther. 2005;22(7):595-604.</w:t>
      </w:r>
    </w:p>
    <w:p w14:paraId="1170F72B" w14:textId="77777777" w:rsidR="00360A76" w:rsidRPr="000D5177" w:rsidRDefault="00360A76" w:rsidP="000D5177">
      <w:pPr>
        <w:pStyle w:val="EndNoteBibliography"/>
        <w:ind w:left="709" w:hanging="709"/>
        <w:rPr>
          <w:rFonts w:asciiTheme="minorHAnsi" w:hAnsiTheme="minorHAnsi"/>
          <w:noProof/>
          <w:sz w:val="20"/>
          <w:szCs w:val="20"/>
        </w:rPr>
      </w:pPr>
      <w:r w:rsidRPr="000D5177">
        <w:rPr>
          <w:rFonts w:asciiTheme="minorHAnsi" w:hAnsiTheme="minorHAnsi"/>
          <w:noProof/>
          <w:sz w:val="20"/>
          <w:szCs w:val="20"/>
        </w:rPr>
        <w:t>36.</w:t>
      </w:r>
      <w:r w:rsidRPr="000D5177">
        <w:rPr>
          <w:rFonts w:asciiTheme="minorHAnsi" w:hAnsiTheme="minorHAnsi"/>
          <w:noProof/>
          <w:sz w:val="20"/>
          <w:szCs w:val="20"/>
        </w:rPr>
        <w:tab/>
        <w:t>Ontario HQ. Capsule Endoscopy in the Assessment of Obscure Gastrointestinal Bleeding: An Evidence-Based Analysis. 2015.</w:t>
      </w:r>
    </w:p>
    <w:p w14:paraId="624A767D" w14:textId="37FF55AF" w:rsidR="00B964DD" w:rsidRDefault="00360A76" w:rsidP="004304F5">
      <w:pPr>
        <w:pStyle w:val="EndNoteBibliography"/>
        <w:ind w:left="709" w:hanging="709"/>
      </w:pPr>
      <w:r w:rsidRPr="000D5177">
        <w:rPr>
          <w:rFonts w:asciiTheme="minorHAnsi" w:hAnsiTheme="minorHAnsi"/>
          <w:noProof/>
          <w:sz w:val="20"/>
          <w:szCs w:val="20"/>
        </w:rPr>
        <w:t>37.</w:t>
      </w:r>
      <w:r w:rsidRPr="000D5177">
        <w:rPr>
          <w:rFonts w:asciiTheme="minorHAnsi" w:hAnsiTheme="minorHAnsi"/>
          <w:noProof/>
          <w:sz w:val="20"/>
          <w:szCs w:val="20"/>
        </w:rPr>
        <w:tab/>
        <w:t>Hartmann D, Schmidt H, Bolz G. A prospective two-center study comparing wireless capsule endoscopy with intraoperative enteroscopy in patients with obscure GI bleeding. Gastrointestinal Endoscopy. 2005;61(7):826-32.</w:t>
      </w:r>
      <w:r w:rsidRPr="000D5177">
        <w:rPr>
          <w:sz w:val="20"/>
          <w:szCs w:val="20"/>
        </w:rPr>
        <w:fldChar w:fldCharType="end"/>
      </w:r>
      <w:r w:rsidR="00B964DD">
        <w:rPr>
          <w:b/>
        </w:rPr>
        <w:br w:type="page"/>
      </w:r>
    </w:p>
    <w:p w14:paraId="600FF233" w14:textId="14C60FB8" w:rsidR="000D5177" w:rsidRPr="00156B1C" w:rsidRDefault="000D5177" w:rsidP="000D5177">
      <w:pPr>
        <w:pStyle w:val="AppendixStyle1"/>
      </w:pPr>
      <w:bookmarkStart w:id="253" w:name="_Toc485731787"/>
      <w:r>
        <w:lastRenderedPageBreak/>
        <w:t>Rapid Review Report on Push Enteroscopy</w:t>
      </w:r>
      <w:bookmarkEnd w:id="253"/>
    </w:p>
    <w:p w14:paraId="5ECB82AA" w14:textId="2D2AA3D2" w:rsidR="000D5177" w:rsidRPr="00360A76" w:rsidRDefault="000D5177" w:rsidP="006A175E">
      <w:pPr>
        <w:pStyle w:val="AppendixStyle2"/>
      </w:pPr>
      <w:r>
        <w:t>Push Enteroscopy – Summary of evidence</w:t>
      </w:r>
    </w:p>
    <w:p w14:paraId="2B005DC0" w14:textId="138CBEFA" w:rsidR="000D5177" w:rsidRPr="000D5177" w:rsidRDefault="000D5177" w:rsidP="006A175E">
      <w:pPr>
        <w:pStyle w:val="Heading3"/>
      </w:pPr>
      <w:r w:rsidRPr="000D5177">
        <w:t xml:space="preserve">Summary </w:t>
      </w:r>
    </w:p>
    <w:p w14:paraId="48196571" w14:textId="77777777" w:rsidR="000D5177" w:rsidRPr="000D5177" w:rsidRDefault="000D5177" w:rsidP="00FA1377">
      <w:pPr>
        <w:pStyle w:val="ListParagraph"/>
        <w:numPr>
          <w:ilvl w:val="0"/>
          <w:numId w:val="46"/>
        </w:numPr>
        <w:spacing w:before="0" w:after="0" w:line="240" w:lineRule="auto"/>
        <w:jc w:val="both"/>
        <w:rPr>
          <w:szCs w:val="22"/>
        </w:rPr>
      </w:pPr>
      <w:r w:rsidRPr="000D5177">
        <w:rPr>
          <w:szCs w:val="22"/>
        </w:rPr>
        <w:t>Push enteroscopy (PE) allows limited evaluation of the small bowel, particularly the proximal jejunum.</w:t>
      </w:r>
    </w:p>
    <w:p w14:paraId="11557FF6" w14:textId="77777777" w:rsidR="000D5177" w:rsidRPr="000D5177" w:rsidRDefault="000D5177" w:rsidP="00FA1377">
      <w:pPr>
        <w:pStyle w:val="ListParagraph"/>
        <w:numPr>
          <w:ilvl w:val="0"/>
          <w:numId w:val="46"/>
        </w:numPr>
        <w:spacing w:before="0" w:after="0" w:line="240" w:lineRule="auto"/>
        <w:jc w:val="both"/>
        <w:rPr>
          <w:szCs w:val="22"/>
        </w:rPr>
      </w:pPr>
      <w:r w:rsidRPr="000D5177">
        <w:rPr>
          <w:szCs w:val="22"/>
        </w:rPr>
        <w:t xml:space="preserve">Its main indication for use has been in the investigation of gastrointestinal bleeding where the source was unable to be identified on gastroscopy or colonoscopy, or where a proximal lesion is suspected. </w:t>
      </w:r>
    </w:p>
    <w:p w14:paraId="181AC707" w14:textId="77777777" w:rsidR="000D5177" w:rsidRPr="000D5177" w:rsidRDefault="000D5177" w:rsidP="00FA1377">
      <w:pPr>
        <w:pStyle w:val="ListParagraph"/>
        <w:numPr>
          <w:ilvl w:val="0"/>
          <w:numId w:val="46"/>
        </w:numPr>
        <w:spacing w:before="0" w:after="0" w:line="240" w:lineRule="auto"/>
        <w:jc w:val="both"/>
        <w:rPr>
          <w:szCs w:val="22"/>
        </w:rPr>
      </w:pPr>
      <w:r w:rsidRPr="000D5177">
        <w:rPr>
          <w:szCs w:val="22"/>
        </w:rPr>
        <w:t xml:space="preserve">Reported diagnostic yields of PE varies between 3 and 70% </w:t>
      </w:r>
    </w:p>
    <w:p w14:paraId="56521608" w14:textId="77777777" w:rsidR="000D5177" w:rsidRPr="000D5177" w:rsidRDefault="000D5177" w:rsidP="00FA1377">
      <w:pPr>
        <w:pStyle w:val="ListParagraph"/>
        <w:numPr>
          <w:ilvl w:val="0"/>
          <w:numId w:val="46"/>
        </w:numPr>
        <w:spacing w:before="0" w:after="0" w:line="240" w:lineRule="auto"/>
        <w:jc w:val="both"/>
        <w:rPr>
          <w:szCs w:val="22"/>
        </w:rPr>
      </w:pPr>
      <w:r w:rsidRPr="000D5177">
        <w:rPr>
          <w:szCs w:val="22"/>
        </w:rPr>
        <w:t>Push enteroscopy has been found to be safe and well tolerated with positive results in terms of patient management and outcomes</w:t>
      </w:r>
    </w:p>
    <w:p w14:paraId="26241D7B" w14:textId="77777777" w:rsidR="000D5177" w:rsidRPr="000D5177" w:rsidRDefault="000D5177" w:rsidP="00FA1377">
      <w:pPr>
        <w:pStyle w:val="ListParagraph"/>
        <w:numPr>
          <w:ilvl w:val="0"/>
          <w:numId w:val="46"/>
        </w:numPr>
        <w:spacing w:before="0" w:after="0" w:line="240" w:lineRule="auto"/>
        <w:jc w:val="both"/>
        <w:rPr>
          <w:szCs w:val="22"/>
        </w:rPr>
      </w:pPr>
      <w:r w:rsidRPr="000D5177">
        <w:rPr>
          <w:szCs w:val="22"/>
        </w:rPr>
        <w:t xml:space="preserve">Advantages of PE include its potential use in both diagnosis and therapy, reduction in patient discomfort and required sedation (compared with other deep enteroscopic procedures), and the potential reduction in health care costs. </w:t>
      </w:r>
    </w:p>
    <w:p w14:paraId="54546881" w14:textId="648B37FD" w:rsidR="000D5177" w:rsidRPr="000D5177" w:rsidRDefault="000D5177" w:rsidP="00FA1377">
      <w:pPr>
        <w:pStyle w:val="ListParagraph"/>
        <w:numPr>
          <w:ilvl w:val="0"/>
          <w:numId w:val="46"/>
        </w:numPr>
        <w:spacing w:before="0" w:after="0" w:line="240" w:lineRule="auto"/>
        <w:jc w:val="both"/>
        <w:rPr>
          <w:szCs w:val="22"/>
        </w:rPr>
      </w:pPr>
      <w:r w:rsidRPr="000D5177">
        <w:rPr>
          <w:szCs w:val="22"/>
        </w:rPr>
        <w:t xml:space="preserve">Disadvantages include its poor sensitivity (compared with other investigations), relative patient discomfort and potential for complications (compared with capsule endoscopy) </w:t>
      </w:r>
    </w:p>
    <w:p w14:paraId="4539FC06" w14:textId="77777777" w:rsidR="000D5177" w:rsidRPr="000D5177" w:rsidRDefault="000D5177" w:rsidP="006A175E">
      <w:pPr>
        <w:pStyle w:val="Heading3"/>
      </w:pPr>
      <w:r w:rsidRPr="000D5177">
        <w:t>Introduction</w:t>
      </w:r>
    </w:p>
    <w:p w14:paraId="5C863FE1" w14:textId="4211E4CC" w:rsidR="000D5177" w:rsidRPr="000D5177" w:rsidRDefault="000D5177" w:rsidP="000D5177">
      <w:pPr>
        <w:jc w:val="both"/>
        <w:rPr>
          <w:szCs w:val="22"/>
        </w:rPr>
      </w:pPr>
      <w:r w:rsidRPr="000D5177">
        <w:rPr>
          <w:szCs w:val="22"/>
        </w:rPr>
        <w:t>Push enteroscopy (PE) is an extended upper endoscopy, performed with a specially designed enteroscope (with or without an overtube) or a co</w:t>
      </w:r>
      <w:r w:rsidR="00BF1B51">
        <w:rPr>
          <w:szCs w:val="22"/>
        </w:rPr>
        <w:t>lonoscope (without an overtube).</w:t>
      </w:r>
      <w:r w:rsidRPr="000D5177">
        <w:rPr>
          <w:szCs w:val="22"/>
          <w:vertAlign w:val="superscript"/>
        </w:rPr>
        <w:fldChar w:fldCharType="begin"/>
      </w:r>
      <w:r w:rsidRPr="000D5177">
        <w:rPr>
          <w:szCs w:val="22"/>
          <w:vertAlign w:val="superscript"/>
        </w:rPr>
        <w:instrText xml:space="preserve"> ADDIN EN.CITE &lt;EndNote&gt;&lt;Cite&gt;&lt;Author&gt;Gerson&lt;/Author&gt;&lt;Year&gt;2015&lt;/Year&gt;&lt;RecNum&gt;1&lt;/RecNum&gt;&lt;DisplayText&gt;(1)&lt;/DisplayText&gt;&lt;record&gt;&lt;rec-number&gt;1&lt;/rec-number&gt;&lt;foreign-keys&gt;&lt;key app="EN" db-id="zw2rw0e9tpd2t7efza7vfzakeedpvwz5fxtd" timestamp="1454983716"&gt;1&lt;/key&gt;&lt;/foreign-keys&gt;&lt;ref-type name="Journal Article"&gt;17&lt;/ref-type&gt;&lt;contributors&gt;&lt;authors&gt;&lt;author&gt;Gerson, Lauren&lt;/author&gt;&lt;author&gt;Fidler, Jeff&lt;/author&gt;&lt;author&gt;Cave, David&lt;/author&gt;&lt;author&gt;Leighton, Jonathan &lt;/author&gt;&lt;/authors&gt;&lt;/contributors&gt;&lt;titles&gt;&lt;title&gt;ACG Clinical Guideline: Diagnosis and Management of Small Bowel Bleeding &lt;/title&gt;&lt;secondary-title&gt;American Journal of Gastroenterology&lt;/secondary-title&gt;&lt;/titles&gt;&lt;periodical&gt;&lt;full-title&gt;American Journal of Gastroenterology&lt;/full-title&gt;&lt;/periodical&gt;&lt;pages&gt;1265-1287&lt;/pages&gt;&lt;volume&gt;110&lt;/volume&gt;&lt;dates&gt;&lt;year&gt;2015&lt;/year&gt;&lt;/dates&gt;&lt;urls&gt;&lt;/urls&gt;&lt;/record&gt;&lt;/Cite&gt;&lt;/EndNote&gt;</w:instrText>
      </w:r>
      <w:r w:rsidRPr="000D5177">
        <w:rPr>
          <w:szCs w:val="22"/>
          <w:vertAlign w:val="superscript"/>
        </w:rPr>
        <w:fldChar w:fldCharType="separate"/>
      </w:r>
      <w:r w:rsidRPr="000D5177">
        <w:rPr>
          <w:noProof/>
          <w:szCs w:val="22"/>
          <w:vertAlign w:val="superscript"/>
        </w:rPr>
        <w:t>(1)</w:t>
      </w:r>
      <w:r w:rsidRPr="000D5177">
        <w:rPr>
          <w:szCs w:val="22"/>
          <w:vertAlign w:val="superscript"/>
        </w:rPr>
        <w:fldChar w:fldCharType="end"/>
      </w:r>
      <w:r w:rsidRPr="000D5177">
        <w:rPr>
          <w:szCs w:val="22"/>
        </w:rPr>
        <w:t xml:space="preserve"> It enables a limited evaluation of the small bowel, approximately 50-100 cm distal to the ligament of Treitz,</w:t>
      </w:r>
      <w:r w:rsidRPr="000D5177">
        <w:rPr>
          <w:szCs w:val="22"/>
          <w:vertAlign w:val="superscript"/>
        </w:rPr>
        <w:fldChar w:fldCharType="begin"/>
      </w:r>
      <w:r w:rsidRPr="000D5177">
        <w:rPr>
          <w:szCs w:val="22"/>
          <w:vertAlign w:val="superscript"/>
        </w:rPr>
        <w:instrText xml:space="preserve"> ADDIN EN.CITE &lt;EndNote&gt;&lt;Cite&gt;&lt;Author&gt;Pasha&lt;/Author&gt;&lt;Year&gt;2009&lt;/Year&gt;&lt;RecNum&gt;4&lt;/RecNum&gt;&lt;DisplayText&gt;(2)&lt;/DisplayText&gt;&lt;record&gt;&lt;rec-number&gt;4&lt;/rec-number&gt;&lt;foreign-keys&gt;&lt;key app="EN" db-id="zw2rw0e9tpd2t7efza7vfzakeedpvwz5fxtd" timestamp="1454984625"&gt;4&lt;/key&gt;&lt;/foreign-keys&gt;&lt;ref-type name="Journal Article"&gt;17&lt;/ref-type&gt;&lt;contributors&gt;&lt;authors&gt;&lt;author&gt;Pasha, SF&lt;/author&gt;&lt;author&gt;Hara, AK &lt;/author&gt;&lt;author&gt;Leighton, JA&lt;/author&gt;&lt;/authors&gt;&lt;/contributors&gt;&lt;titles&gt;&lt;title&gt;Diagnostic Evaluation and Management of Obscure Gastrointestinal Bleeding: A Changing Paradigm&lt;/title&gt;&lt;secondary-title&gt;Gastroenterology &amp;amp; Hepatology&lt;/secondary-title&gt;&lt;/titles&gt;&lt;periodical&gt;&lt;full-title&gt;Gastroenterology &amp;amp; Hepatology&lt;/full-title&gt;&lt;/periodical&gt;&lt;pages&gt;839 - 850&lt;/pages&gt;&lt;volume&gt;5&lt;/volume&gt;&lt;number&gt;12&lt;/number&gt;&lt;dates&gt;&lt;year&gt;2009&lt;/year&gt;&lt;/dates&gt;&lt;urls&gt;&lt;/urls&gt;&lt;/record&gt;&lt;/Cite&gt;&lt;/EndNote&gt;</w:instrText>
      </w:r>
      <w:r w:rsidRPr="000D5177">
        <w:rPr>
          <w:szCs w:val="22"/>
          <w:vertAlign w:val="superscript"/>
        </w:rPr>
        <w:fldChar w:fldCharType="separate"/>
      </w:r>
      <w:r w:rsidRPr="000D5177">
        <w:rPr>
          <w:noProof/>
          <w:szCs w:val="22"/>
          <w:vertAlign w:val="superscript"/>
        </w:rPr>
        <w:t>(2)</w:t>
      </w:r>
      <w:r w:rsidRPr="000D5177">
        <w:rPr>
          <w:szCs w:val="22"/>
          <w:vertAlign w:val="superscript"/>
        </w:rPr>
        <w:fldChar w:fldCharType="end"/>
      </w:r>
      <w:r w:rsidRPr="000D5177">
        <w:rPr>
          <w:szCs w:val="22"/>
          <w:vertAlign w:val="superscript"/>
        </w:rPr>
        <w:t xml:space="preserve"> </w:t>
      </w:r>
      <w:r w:rsidRPr="000D5177">
        <w:rPr>
          <w:szCs w:val="22"/>
        </w:rPr>
        <w:t>but permits tissue sampling and endoscopic treatments of the proximal jejunum.</w:t>
      </w:r>
      <w:r w:rsidRPr="000D5177">
        <w:rPr>
          <w:szCs w:val="22"/>
          <w:vertAlign w:val="superscript"/>
        </w:rPr>
        <w:fldChar w:fldCharType="begin"/>
      </w:r>
      <w:r w:rsidRPr="000D5177">
        <w:rPr>
          <w:szCs w:val="22"/>
          <w:vertAlign w:val="superscript"/>
        </w:rPr>
        <w:instrText xml:space="preserve"> ADDIN EN.CITE &lt;EndNote&gt;&lt;Cite&gt;&lt;Author&gt;Pennazio&lt;/Author&gt;&lt;Year&gt;2015&lt;/Year&gt;&lt;RecNum&gt;8&lt;/RecNum&gt;&lt;DisplayText&gt;(3)&lt;/DisplayText&gt;&lt;record&gt;&lt;rec-number&gt;8&lt;/rec-number&gt;&lt;foreign-keys&gt;&lt;key app="EN" db-id="zw2rw0e9tpd2t7efza7vfzakeedpvwz5fxtd" timestamp="1455418825"&gt;8&lt;/key&gt;&lt;/foreign-keys&gt;&lt;ref-type name="Journal Article"&gt;17&lt;/ref-type&gt;&lt;contributors&gt;&lt;authors&gt;&lt;author&gt;Pennazio, M&lt;/author&gt;&lt;author&gt;Spada, C&lt;/author&gt;&lt;author&gt;Eliakim, R&lt;/author&gt;&lt;author&gt;Keuchel, M&lt;/author&gt;&lt;author&gt;May, A&lt;/author&gt;&lt;author&gt;Mulder, CJ&lt;/author&gt;&lt;author&gt;Rondonotti, E&lt;/author&gt;&lt;author&gt;Adler, SN&lt;/author&gt;&lt;author&gt;Albert, J&lt;/author&gt;&lt;author&gt;Baltes, P&lt;/author&gt;&lt;author&gt;Barbaro, F&lt;/author&gt;&lt;author&gt;Cellier, C&lt;/author&gt;&lt;author&gt;Charton, JP&lt;/author&gt;&lt;author&gt;Delvaux, M&lt;/author&gt;&lt;author&gt;Despott, EJ&lt;/author&gt;&lt;author&gt;Domagk, D&lt;/author&gt;&lt;author&gt;Klein, A&lt;/author&gt;&lt;author&gt;McAlindon, ME&lt;/author&gt;&lt;author&gt;Rosa, B&lt;/author&gt;&lt;author&gt;Rowse, G&lt;/author&gt;&lt;author&gt;Sanders, DS&lt;/author&gt;&lt;author&gt;Saurin, JC&lt;/author&gt;&lt;author&gt;Sidhu, R&lt;/author&gt;&lt;author&gt;Dumonceau, J&lt;/author&gt;&lt;author&gt;Hassan, C&lt;/author&gt;&lt;author&gt;Grainek, IM&lt;/author&gt;&lt;/authors&gt;&lt;/contributors&gt;&lt;titles&gt;&lt;title&gt;Small-bowel capsule endoscopy and device-assisted enteroscopy for the diagnosis and treatment of small-bowel disorders : Clinical Guideline &lt;/title&gt;&lt;secondary-title&gt;Endoscopy &lt;/secondary-title&gt;&lt;/titles&gt;&lt;periodical&gt;&lt;full-title&gt;Endoscopy&lt;/full-title&gt;&lt;/periodical&gt;&lt;pages&gt;352-376&lt;/pages&gt;&lt;volume&gt;47&lt;/volume&gt;&lt;dates&gt;&lt;year&gt;2015&lt;/year&gt;&lt;/dates&gt;&lt;urls&gt;&lt;/urls&gt;&lt;/record&gt;&lt;/Cite&gt;&lt;/EndNote&gt;</w:instrText>
      </w:r>
      <w:r w:rsidRPr="000D5177">
        <w:rPr>
          <w:szCs w:val="22"/>
          <w:vertAlign w:val="superscript"/>
        </w:rPr>
        <w:fldChar w:fldCharType="separate"/>
      </w:r>
      <w:r w:rsidRPr="000D5177">
        <w:rPr>
          <w:noProof/>
          <w:szCs w:val="22"/>
          <w:vertAlign w:val="superscript"/>
        </w:rPr>
        <w:t>(3)</w:t>
      </w:r>
      <w:r w:rsidRPr="000D5177">
        <w:rPr>
          <w:szCs w:val="22"/>
          <w:vertAlign w:val="superscript"/>
        </w:rPr>
        <w:fldChar w:fldCharType="end"/>
      </w:r>
      <w:r w:rsidR="00C22AE4">
        <w:rPr>
          <w:szCs w:val="22"/>
          <w:vertAlign w:val="superscript"/>
        </w:rPr>
        <w:t xml:space="preserve"> </w:t>
      </w:r>
      <w:r w:rsidRPr="000D5177">
        <w:rPr>
          <w:szCs w:val="22"/>
        </w:rPr>
        <w:t xml:space="preserve">The use of an overtube may allow for deeper small bowel intubation up to 150 cm, however its use does not appear to result in any improvement in diagnostic yield, </w:t>
      </w:r>
      <w:r w:rsidRPr="000D5177">
        <w:rPr>
          <w:szCs w:val="22"/>
          <w:vertAlign w:val="superscript"/>
        </w:rPr>
        <w:fldChar w:fldCharType="begin"/>
      </w:r>
      <w:r w:rsidRPr="000D5177">
        <w:rPr>
          <w:szCs w:val="22"/>
          <w:vertAlign w:val="superscript"/>
        </w:rPr>
        <w:instrText xml:space="preserve"> ADDIN EN.CITE &lt;EndNote&gt;&lt;Cite&gt;&lt;Author&gt;Gerson&lt;/Author&gt;&lt;Year&gt;2015&lt;/Year&gt;&lt;RecNum&gt;1&lt;/RecNum&gt;&lt;DisplayText&gt;(1)&lt;/DisplayText&gt;&lt;record&gt;&lt;rec-number&gt;1&lt;/rec-number&gt;&lt;foreign-keys&gt;&lt;key app="EN" db-id="zw2rw0e9tpd2t7efza7vfzakeedpvwz5fxtd" timestamp="1454983716"&gt;1&lt;/key&gt;&lt;/foreign-keys&gt;&lt;ref-type name="Journal Article"&gt;17&lt;/ref-type&gt;&lt;contributors&gt;&lt;authors&gt;&lt;author&gt;Gerson, Lauren&lt;/author&gt;&lt;author&gt;Fidler, Jeff&lt;/author&gt;&lt;author&gt;Cave, David&lt;/author&gt;&lt;author&gt;Leighton, Jonathan &lt;/author&gt;&lt;/authors&gt;&lt;/contributors&gt;&lt;titles&gt;&lt;title&gt;ACG Clinical Guideline: Diagnosis and Management of Small Bowel Bleeding &lt;/title&gt;&lt;secondary-title&gt;American Journal of Gastroenterology&lt;/secondary-title&gt;&lt;/titles&gt;&lt;periodical&gt;&lt;full-title&gt;American Journal of Gastroenterology&lt;/full-title&gt;&lt;/periodical&gt;&lt;pages&gt;1265-1287&lt;/pages&gt;&lt;volume&gt;110&lt;/volume&gt;&lt;dates&gt;&lt;year&gt;2015&lt;/year&gt;&lt;/dates&gt;&lt;urls&gt;&lt;/urls&gt;&lt;/record&gt;&lt;/Cite&gt;&lt;/EndNote&gt;</w:instrText>
      </w:r>
      <w:r w:rsidRPr="000D5177">
        <w:rPr>
          <w:szCs w:val="22"/>
          <w:vertAlign w:val="superscript"/>
        </w:rPr>
        <w:fldChar w:fldCharType="separate"/>
      </w:r>
      <w:r w:rsidRPr="000D5177">
        <w:rPr>
          <w:noProof/>
          <w:szCs w:val="22"/>
          <w:vertAlign w:val="superscript"/>
        </w:rPr>
        <w:t>(1)</w:t>
      </w:r>
      <w:r w:rsidRPr="000D5177">
        <w:rPr>
          <w:szCs w:val="22"/>
          <w:vertAlign w:val="superscript"/>
        </w:rPr>
        <w:fldChar w:fldCharType="end"/>
      </w:r>
      <w:r w:rsidRPr="000D5177">
        <w:rPr>
          <w:szCs w:val="22"/>
        </w:rPr>
        <w:t xml:space="preserve"> and can be associated with complications such as pharyngeal and Mallory-Weiss tears, gastric mucosal avulsion and acute pancreatitis due to papillary trauma.</w:t>
      </w:r>
      <w:r w:rsidRPr="000D5177">
        <w:rPr>
          <w:szCs w:val="22"/>
          <w:vertAlign w:val="superscript"/>
        </w:rPr>
        <w:fldChar w:fldCharType="begin"/>
      </w:r>
      <w:r w:rsidRPr="000D5177">
        <w:rPr>
          <w:szCs w:val="22"/>
          <w:vertAlign w:val="superscript"/>
        </w:rPr>
        <w:instrText xml:space="preserve"> ADDIN EN.CITE &lt;EndNote&gt;&lt;Cite&gt;&lt;Author&gt;Nguyen&lt;/Author&gt;&lt;Year&gt;2005&lt;/Year&gt;&lt;RecNum&gt;5&lt;/RecNum&gt;&lt;DisplayText&gt;(4)&lt;/DisplayText&gt;&lt;record&gt;&lt;rec-number&gt;5&lt;/rec-number&gt;&lt;foreign-keys&gt;&lt;key app="EN" db-id="zw2rw0e9tpd2t7efza7vfzakeedpvwz5fxtd" timestamp="1454986250"&gt;5&lt;/key&gt;&lt;/foreign-keys&gt;&lt;ref-type name="Journal Article"&gt;17&lt;/ref-type&gt;&lt;contributors&gt;&lt;authors&gt;&lt;author&gt;Nguyen, NQ&lt;/author&gt;&lt;author&gt;Rayner, CK&lt;/author&gt;&lt;author&gt;Schoeman, MN&lt;/author&gt;&lt;/authors&gt;&lt;/contributors&gt;&lt;titles&gt;&lt;title&gt;Push enteroscopy alters management in a majority of patients with obscure gastrointestinal bleeding&lt;/title&gt;&lt;secondary-title&gt;Journal of Gastroenterology and Hepatology &lt;/secondary-title&gt;&lt;/titles&gt;&lt;periodical&gt;&lt;full-title&gt;Journal of Gastroenterology and Hepatology&lt;/full-title&gt;&lt;/periodical&gt;&lt;pages&gt;716-721&lt;/pages&gt;&lt;volume&gt;20&lt;/volume&gt;&lt;dates&gt;&lt;year&gt;2005&lt;/year&gt;&lt;/dates&gt;&lt;urls&gt;&lt;/urls&gt;&lt;/record&gt;&lt;/Cite&gt;&lt;/EndNote&gt;</w:instrText>
      </w:r>
      <w:r w:rsidRPr="000D5177">
        <w:rPr>
          <w:szCs w:val="22"/>
          <w:vertAlign w:val="superscript"/>
        </w:rPr>
        <w:fldChar w:fldCharType="separate"/>
      </w:r>
      <w:r w:rsidRPr="000D5177">
        <w:rPr>
          <w:noProof/>
          <w:szCs w:val="22"/>
          <w:vertAlign w:val="superscript"/>
        </w:rPr>
        <w:t>(4)</w:t>
      </w:r>
      <w:r w:rsidRPr="000D5177">
        <w:rPr>
          <w:szCs w:val="22"/>
          <w:vertAlign w:val="superscript"/>
        </w:rPr>
        <w:fldChar w:fldCharType="end"/>
      </w:r>
      <w:r w:rsidR="00C22AE4">
        <w:rPr>
          <w:szCs w:val="22"/>
        </w:rPr>
        <w:t xml:space="preserve"> </w:t>
      </w:r>
    </w:p>
    <w:p w14:paraId="254D8271" w14:textId="77777777" w:rsidR="000D5177" w:rsidRPr="000D5177" w:rsidRDefault="000D5177" w:rsidP="000D5177">
      <w:pPr>
        <w:jc w:val="both"/>
        <w:rPr>
          <w:szCs w:val="22"/>
        </w:rPr>
      </w:pPr>
      <w:r w:rsidRPr="000D5177">
        <w:rPr>
          <w:szCs w:val="22"/>
        </w:rPr>
        <w:t xml:space="preserve">Push enteroscopy has been utilized in the investigation of occult GI bleeding, abnormal radiographic findings, chronic diarrhoea and malabsorption, as well as in screening of polyposis, staging of inflammatory bowel disease and in non-specific chronic abdominal pain. </w:t>
      </w:r>
      <w:r w:rsidRPr="000D5177">
        <w:rPr>
          <w:szCs w:val="22"/>
          <w:vertAlign w:val="superscript"/>
        </w:rPr>
        <w:fldChar w:fldCharType="begin"/>
      </w:r>
      <w:r w:rsidRPr="000D5177">
        <w:rPr>
          <w:szCs w:val="22"/>
          <w:vertAlign w:val="superscript"/>
        </w:rPr>
        <w:instrText xml:space="preserve"> ADDIN EN.CITE &lt;EndNote&gt;&lt;Cite&gt;&lt;Author&gt;Rodriguez&lt;/Author&gt;&lt;Year&gt;2006&lt;/Year&gt;&lt;RecNum&gt;2&lt;/RecNum&gt;&lt;DisplayText&gt;(5)&lt;/DisplayText&gt;&lt;record&gt;&lt;rec-number&gt;2&lt;/rec-number&gt;&lt;foreign-keys&gt;&lt;key app="EN" db-id="zw2rw0e9tpd2t7efza7vfzakeedpvwz5fxtd" timestamp="1454983990"&gt;2&lt;/key&gt;&lt;/foreign-keys&gt;&lt;ref-type name="Journal Article"&gt;17&lt;/ref-type&gt;&lt;contributors&gt;&lt;authors&gt;&lt;author&gt;Rodriguez, BJ&lt;/author&gt;&lt;author&gt;Moyano, CO&lt;/author&gt;&lt;author&gt;Castro, RR&lt;/author&gt;&lt;author&gt;Alvarez, AC&lt;/author&gt;&lt;author&gt;Hernandez, MD&lt;/author&gt;&lt;author&gt;Delgado, DPH&lt;/author&gt;&lt;author&gt;Bautista, FP&lt;/author&gt;&lt;author&gt;Gutierrez, JH&lt;/author&gt;&lt;/authors&gt;&lt;/contributors&gt;&lt;titles&gt;&lt;title&gt;Diagnostic yield of 335 push video-enteroscopies &lt;/title&gt;&lt;secondary-title&gt;Revista Espanola de Enfermedades Digestivas (Madrid)&lt;/secondary-title&gt;&lt;/titles&gt;&lt;periodical&gt;&lt;full-title&gt;Revista Espanola de Enfermedades Digestivas (Madrid)&lt;/full-title&gt;&lt;/periodical&gt;&lt;pages&gt;82-92&lt;/pages&gt;&lt;volume&gt;98&lt;/volume&gt;&lt;number&gt;2&lt;/number&gt;&lt;dates&gt;&lt;year&gt;2006&lt;/year&gt;&lt;/dates&gt;&lt;urls&gt;&lt;/urls&gt;&lt;/record&gt;&lt;/Cite&gt;&lt;/EndNote&gt;</w:instrText>
      </w:r>
      <w:r w:rsidRPr="000D5177">
        <w:rPr>
          <w:szCs w:val="22"/>
          <w:vertAlign w:val="superscript"/>
        </w:rPr>
        <w:fldChar w:fldCharType="separate"/>
      </w:r>
      <w:r w:rsidRPr="000D5177">
        <w:rPr>
          <w:noProof/>
          <w:szCs w:val="22"/>
          <w:vertAlign w:val="superscript"/>
        </w:rPr>
        <w:t>(5)</w:t>
      </w:r>
      <w:r w:rsidRPr="000D5177">
        <w:rPr>
          <w:szCs w:val="22"/>
          <w:vertAlign w:val="superscript"/>
        </w:rPr>
        <w:fldChar w:fldCharType="end"/>
      </w:r>
      <w:r w:rsidRPr="000D5177">
        <w:rPr>
          <w:szCs w:val="22"/>
        </w:rPr>
        <w:t xml:space="preserve"> Its main indication, however, remains in the investigation of gastrointestinal bleeding, the cause of which has not been identified on endoscopy or colonoscopy</w:t>
      </w:r>
      <w:r w:rsidRPr="000D5177">
        <w:rPr>
          <w:szCs w:val="22"/>
          <w:vertAlign w:val="superscript"/>
        </w:rPr>
        <w:fldChar w:fldCharType="begin"/>
      </w:r>
      <w:r w:rsidRPr="000D5177">
        <w:rPr>
          <w:szCs w:val="22"/>
          <w:vertAlign w:val="superscript"/>
        </w:rPr>
        <w:instrText xml:space="preserve"> ADDIN EN.CITE &lt;EndNote&gt;&lt;Cite&gt;&lt;Author&gt;Sidhu&lt;/Author&gt;&lt;Year&gt;2008&lt;/Year&gt;&lt;RecNum&gt;3&lt;/RecNum&gt;&lt;DisplayText&gt;(6)&lt;/DisplayText&gt;&lt;record&gt;&lt;rec-number&gt;3&lt;/rec-number&gt;&lt;foreign-keys&gt;&lt;key app="EN" db-id="zw2rw0e9tpd2t7efza7vfzakeedpvwz5fxtd" timestamp="1454984234"&gt;3&lt;/key&gt;&lt;/foreign-keys&gt;&lt;ref-type name="Journal Article"&gt;17&lt;/ref-type&gt;&lt;contributors&gt;&lt;authors&gt;&lt;author&gt;Sidhu, R&lt;/author&gt;&lt;author&gt;Sanders, DS&lt;/author&gt;&lt;author&gt;Morris, AJ&lt;/author&gt;&lt;author&gt;McAlindon, ME&lt;/author&gt;&lt;/authors&gt;&lt;/contributors&gt;&lt;titles&gt;&lt;title&gt;Guidelines on small bowel enteroscopy and capsule endoscopy in adults &lt;/title&gt;&lt;secondary-title&gt;Gut&lt;/secondary-title&gt;&lt;/titles&gt;&lt;periodical&gt;&lt;full-title&gt;Gut&lt;/full-title&gt;&lt;/periodical&gt;&lt;pages&gt;125-136&lt;/pages&gt;&lt;volume&gt;57&lt;/volume&gt;&lt;dates&gt;&lt;year&gt;2008&lt;/year&gt;&lt;/dates&gt;&lt;urls&gt;&lt;/urls&gt;&lt;/record&gt;&lt;/Cite&gt;&lt;/EndNote&gt;</w:instrText>
      </w:r>
      <w:r w:rsidRPr="000D5177">
        <w:rPr>
          <w:szCs w:val="22"/>
          <w:vertAlign w:val="superscript"/>
        </w:rPr>
        <w:fldChar w:fldCharType="separate"/>
      </w:r>
      <w:r w:rsidRPr="000D5177">
        <w:rPr>
          <w:noProof/>
          <w:szCs w:val="22"/>
          <w:vertAlign w:val="superscript"/>
        </w:rPr>
        <w:t>(6)</w:t>
      </w:r>
      <w:r w:rsidRPr="000D5177">
        <w:rPr>
          <w:szCs w:val="22"/>
          <w:vertAlign w:val="superscript"/>
        </w:rPr>
        <w:fldChar w:fldCharType="end"/>
      </w:r>
      <w:r w:rsidRPr="000D5177">
        <w:rPr>
          <w:szCs w:val="22"/>
        </w:rPr>
        <w:t>.</w:t>
      </w:r>
    </w:p>
    <w:p w14:paraId="5E04DED9" w14:textId="4BEFDAB2" w:rsidR="000D5177" w:rsidRPr="000D5177" w:rsidRDefault="000D5177" w:rsidP="000D5177">
      <w:pPr>
        <w:jc w:val="both"/>
        <w:rPr>
          <w:szCs w:val="22"/>
        </w:rPr>
      </w:pPr>
      <w:r w:rsidRPr="000D5177">
        <w:rPr>
          <w:szCs w:val="22"/>
        </w:rPr>
        <w:t>The preponderance of evidence relating to the efficacy of push enteroscopy uses capsule endoscopy as the main comparator and OGIB as the main indication for investigation. There is limited discussion as to its therapeutic utility, except to note the potential for thermocoagulation or administration of other treatment where suspected lesions have been identified.</w:t>
      </w:r>
    </w:p>
    <w:p w14:paraId="7BE61800" w14:textId="77777777" w:rsidR="000D5177" w:rsidRPr="000D5177" w:rsidRDefault="000D5177" w:rsidP="006A175E">
      <w:pPr>
        <w:pStyle w:val="Heading3"/>
      </w:pPr>
      <w:r w:rsidRPr="000D5177">
        <w:t xml:space="preserve">Diagnostic Yield </w:t>
      </w:r>
    </w:p>
    <w:p w14:paraId="4533AACA" w14:textId="44FD1360" w:rsidR="000D5177" w:rsidRPr="000D5177" w:rsidRDefault="000D5177" w:rsidP="000D5177">
      <w:pPr>
        <w:jc w:val="both"/>
        <w:rPr>
          <w:szCs w:val="22"/>
        </w:rPr>
      </w:pPr>
      <w:r w:rsidRPr="000D5177">
        <w:rPr>
          <w:szCs w:val="22"/>
        </w:rPr>
        <w:t>A 2005 meta-analysis compared diagnostic yield of capsule endoscopy to push enteroscopy amongst other modalities.</w:t>
      </w:r>
      <w:r w:rsidRPr="000D5177">
        <w:rPr>
          <w:szCs w:val="22"/>
          <w:vertAlign w:val="superscript"/>
        </w:rPr>
        <w:fldChar w:fldCharType="begin"/>
      </w:r>
      <w:r w:rsidRPr="000D5177">
        <w:rPr>
          <w:szCs w:val="22"/>
          <w:vertAlign w:val="superscript"/>
        </w:rPr>
        <w:instrText xml:space="preserve"> ADDIN EN.CITE &lt;EndNote&gt;&lt;Cite&gt;&lt;Author&gt;Triester&lt;/Author&gt;&lt;Year&gt;2005&lt;/Year&gt;&lt;RecNum&gt;7&lt;/RecNum&gt;&lt;DisplayText&gt;(7)&lt;/DisplayText&gt;&lt;record&gt;&lt;rec-number&gt;7&lt;/rec-number&gt;&lt;foreign-keys&gt;&lt;key app="EN" db-id="zw2rw0e9tpd2t7efza7vfzakeedpvwz5fxtd" timestamp="1454995399"&gt;7&lt;/key&gt;&lt;/foreign-keys&gt;&lt;ref-type name="Journal Article"&gt;17&lt;/ref-type&gt;&lt;contributors&gt;&lt;authors&gt;&lt;author&gt;Triester, SL&lt;/author&gt;&lt;author&gt;Leighton, JA&lt;/author&gt;&lt;author&gt;Grigoris, LI&lt;/author&gt;&lt;author&gt;Fleischer, DE&lt;/author&gt;&lt;author&gt;Hara, AK&lt;/author&gt;&lt;author&gt;Heigh, RI&lt;/author&gt;&lt;author&gt;Shiff, AD&lt;/author&gt;&lt;author&gt;Sharma, VK&lt;/author&gt;&lt;/authors&gt;&lt;/contributors&gt;&lt;titles&gt;&lt;title&gt;A Meta-Analysis of the Yield of Capsule Endoscopy Compared to Other Diagnostic Modalities in Patients with Obscure Gastrointestinal Bleeding&lt;/title&gt;&lt;secondary-title&gt;American Journal of Gastroenterology&lt;/secondary-title&gt;&lt;/titles&gt;&lt;periodical&gt;&lt;full-title&gt;American Journal of Gastroenterology&lt;/full-title&gt;&lt;/periodical&gt;&lt;pages&gt;2407-2418 &lt;/pages&gt;&lt;volume&gt;100&lt;/volume&gt;&lt;dates&gt;&lt;year&gt;2005&lt;/year&gt;&lt;/dates&gt;&lt;urls&gt;&lt;/urls&gt;&lt;/record&gt;&lt;/Cite&gt;&lt;/EndNote&gt;</w:instrText>
      </w:r>
      <w:r w:rsidRPr="000D5177">
        <w:rPr>
          <w:szCs w:val="22"/>
          <w:vertAlign w:val="superscript"/>
        </w:rPr>
        <w:fldChar w:fldCharType="separate"/>
      </w:r>
      <w:r w:rsidRPr="000D5177">
        <w:rPr>
          <w:noProof/>
          <w:szCs w:val="22"/>
          <w:vertAlign w:val="superscript"/>
        </w:rPr>
        <w:t>(7)</w:t>
      </w:r>
      <w:r w:rsidRPr="000D5177">
        <w:rPr>
          <w:szCs w:val="22"/>
          <w:vertAlign w:val="superscript"/>
        </w:rPr>
        <w:fldChar w:fldCharType="end"/>
      </w:r>
      <w:r w:rsidRPr="000D5177">
        <w:rPr>
          <w:szCs w:val="22"/>
        </w:rPr>
        <w:t xml:space="preserve"> The diagnostic yield was found to be 56</w:t>
      </w:r>
      <w:r w:rsidR="00BF1B51">
        <w:rPr>
          <w:szCs w:val="22"/>
        </w:rPr>
        <w:t xml:space="preserve"> per cent</w:t>
      </w:r>
      <w:r w:rsidRPr="000D5177">
        <w:rPr>
          <w:szCs w:val="22"/>
        </w:rPr>
        <w:t xml:space="preserve"> and 26</w:t>
      </w:r>
      <w:r w:rsidR="00BF1B51">
        <w:rPr>
          <w:szCs w:val="22"/>
        </w:rPr>
        <w:t xml:space="preserve"> per cent</w:t>
      </w:r>
      <w:r w:rsidRPr="000D5177">
        <w:rPr>
          <w:szCs w:val="22"/>
        </w:rPr>
        <w:t xml:space="preserve"> respectively for clinically significant findings.</w:t>
      </w:r>
      <w:r w:rsidRPr="000D5177">
        <w:rPr>
          <w:szCs w:val="22"/>
          <w:vertAlign w:val="superscript"/>
        </w:rPr>
        <w:fldChar w:fldCharType="begin"/>
      </w:r>
      <w:r w:rsidRPr="000D5177">
        <w:rPr>
          <w:szCs w:val="22"/>
          <w:vertAlign w:val="superscript"/>
        </w:rPr>
        <w:instrText xml:space="preserve"> ADDIN EN.CITE &lt;EndNote&gt;&lt;Cite&gt;&lt;Author&gt;Triester&lt;/Author&gt;&lt;Year&gt;2005&lt;/Year&gt;&lt;RecNum&gt;7&lt;/RecNum&gt;&lt;DisplayText&gt;(7)&lt;/DisplayText&gt;&lt;record&gt;&lt;rec-number&gt;7&lt;/rec-number&gt;&lt;foreign-keys&gt;&lt;key app="EN" db-id="zw2rw0e9tpd2t7efza7vfzakeedpvwz5fxtd" timestamp="1454995399"&gt;7&lt;/key&gt;&lt;/foreign-keys&gt;&lt;ref-type name="Journal Article"&gt;17&lt;/ref-type&gt;&lt;contributors&gt;&lt;authors&gt;&lt;author&gt;Triester, SL&lt;/author&gt;&lt;author&gt;Leighton, JA&lt;/author&gt;&lt;author&gt;Grigoris, LI&lt;/author&gt;&lt;author&gt;Fleischer, DE&lt;/author&gt;&lt;author&gt;Hara, AK&lt;/author&gt;&lt;author&gt;Heigh, RI&lt;/author&gt;&lt;author&gt;Shiff, AD&lt;/author&gt;&lt;author&gt;Sharma, VK&lt;/author&gt;&lt;/authors&gt;&lt;/contributors&gt;&lt;titles&gt;&lt;title&gt;A Meta-Analysis of the Yield of Capsule Endoscopy Compared to Other Diagnostic Modalities in Patients with Obscure Gastrointestinal Bleeding&lt;/title&gt;&lt;secondary-title&gt;American Journal of Gastroenterology&lt;/secondary-title&gt;&lt;/titles&gt;&lt;periodical&gt;&lt;full-title&gt;American Journal of Gastroenterology&lt;/full-title&gt;&lt;/periodical&gt;&lt;pages&gt;2407-2418 &lt;/pages&gt;&lt;volume&gt;100&lt;/volume&gt;&lt;dates&gt;&lt;year&gt;2005&lt;/year&gt;&lt;/dates&gt;&lt;urls&gt;&lt;/urls&gt;&lt;/record&gt;&lt;/Cite&gt;&lt;/EndNote&gt;</w:instrText>
      </w:r>
      <w:r w:rsidRPr="000D5177">
        <w:rPr>
          <w:szCs w:val="22"/>
          <w:vertAlign w:val="superscript"/>
        </w:rPr>
        <w:fldChar w:fldCharType="separate"/>
      </w:r>
      <w:r w:rsidRPr="000D5177">
        <w:rPr>
          <w:noProof/>
          <w:szCs w:val="22"/>
          <w:vertAlign w:val="superscript"/>
        </w:rPr>
        <w:t>(7)</w:t>
      </w:r>
      <w:r w:rsidRPr="000D5177">
        <w:rPr>
          <w:szCs w:val="22"/>
          <w:vertAlign w:val="superscript"/>
        </w:rPr>
        <w:fldChar w:fldCharType="end"/>
      </w:r>
      <w:r w:rsidRPr="000D5177">
        <w:rPr>
          <w:szCs w:val="22"/>
        </w:rPr>
        <w:t xml:space="preserve"> Yield for vascular lesions was 36</w:t>
      </w:r>
      <w:r w:rsidR="00BF1B51">
        <w:rPr>
          <w:szCs w:val="22"/>
        </w:rPr>
        <w:t xml:space="preserve"> per cent</w:t>
      </w:r>
      <w:r w:rsidRPr="000D5177">
        <w:rPr>
          <w:szCs w:val="22"/>
        </w:rPr>
        <w:t xml:space="preserve"> for capsule endoscopy versus </w:t>
      </w:r>
      <w:r w:rsidRPr="000D5177">
        <w:rPr>
          <w:szCs w:val="22"/>
        </w:rPr>
        <w:lastRenderedPageBreak/>
        <w:t>20</w:t>
      </w:r>
      <w:r w:rsidR="00BF1B51">
        <w:rPr>
          <w:szCs w:val="22"/>
        </w:rPr>
        <w:t xml:space="preserve"> per cent</w:t>
      </w:r>
      <w:r w:rsidRPr="000D5177">
        <w:rPr>
          <w:szCs w:val="22"/>
        </w:rPr>
        <w:t xml:space="preserve"> for push enteroscopy and for inflammatory lesions, 11</w:t>
      </w:r>
      <w:r w:rsidR="00BF1B51">
        <w:rPr>
          <w:szCs w:val="22"/>
        </w:rPr>
        <w:t xml:space="preserve"> per cent</w:t>
      </w:r>
      <w:r w:rsidRPr="000D5177">
        <w:rPr>
          <w:szCs w:val="22"/>
        </w:rPr>
        <w:t xml:space="preserve"> and 2</w:t>
      </w:r>
      <w:r w:rsidR="00BF1B51">
        <w:rPr>
          <w:szCs w:val="22"/>
        </w:rPr>
        <w:t xml:space="preserve"> per cent</w:t>
      </w:r>
      <w:r w:rsidRPr="000D5177">
        <w:rPr>
          <w:szCs w:val="22"/>
        </w:rPr>
        <w:t xml:space="preserve"> respectively. There was no significant difference between the two procedures in terms of yield for tumours.</w:t>
      </w:r>
      <w:r w:rsidRPr="000D5177">
        <w:rPr>
          <w:szCs w:val="22"/>
          <w:vertAlign w:val="superscript"/>
        </w:rPr>
        <w:fldChar w:fldCharType="begin"/>
      </w:r>
      <w:r w:rsidRPr="000D5177">
        <w:rPr>
          <w:szCs w:val="22"/>
          <w:vertAlign w:val="superscript"/>
        </w:rPr>
        <w:instrText xml:space="preserve"> ADDIN EN.CITE &lt;EndNote&gt;&lt;Cite&gt;&lt;Author&gt;Triester&lt;/Author&gt;&lt;Year&gt;2005&lt;/Year&gt;&lt;RecNum&gt;7&lt;/RecNum&gt;&lt;DisplayText&gt;(7)&lt;/DisplayText&gt;&lt;record&gt;&lt;rec-number&gt;7&lt;/rec-number&gt;&lt;foreign-keys&gt;&lt;key app="EN" db-id="zw2rw0e9tpd2t7efza7vfzakeedpvwz5fxtd" timestamp="1454995399"&gt;7&lt;/key&gt;&lt;/foreign-keys&gt;&lt;ref-type name="Journal Article"&gt;17&lt;/ref-type&gt;&lt;contributors&gt;&lt;authors&gt;&lt;author&gt;Triester, SL&lt;/author&gt;&lt;author&gt;Leighton, JA&lt;/author&gt;&lt;author&gt;Grigoris, LI&lt;/author&gt;&lt;author&gt;Fleischer, DE&lt;/author&gt;&lt;author&gt;Hara, AK&lt;/author&gt;&lt;author&gt;Heigh, RI&lt;/author&gt;&lt;author&gt;Shiff, AD&lt;/author&gt;&lt;author&gt;Sharma, VK&lt;/author&gt;&lt;/authors&gt;&lt;/contributors&gt;&lt;titles&gt;&lt;title&gt;A Meta-Analysis of the Yield of Capsule Endoscopy Compared to Other Diagnostic Modalities in Patients with Obscure Gastrointestinal Bleeding&lt;/title&gt;&lt;secondary-title&gt;American Journal of Gastroenterology&lt;/secondary-title&gt;&lt;/titles&gt;&lt;periodical&gt;&lt;full-title&gt;American Journal of Gastroenterology&lt;/full-title&gt;&lt;/periodical&gt;&lt;pages&gt;2407-2418 &lt;/pages&gt;&lt;volume&gt;100&lt;/volume&gt;&lt;dates&gt;&lt;year&gt;2005&lt;/year&gt;&lt;/dates&gt;&lt;urls&gt;&lt;/urls&gt;&lt;/record&gt;&lt;/Cite&gt;&lt;/EndNote&gt;</w:instrText>
      </w:r>
      <w:r w:rsidRPr="000D5177">
        <w:rPr>
          <w:szCs w:val="22"/>
          <w:vertAlign w:val="superscript"/>
        </w:rPr>
        <w:fldChar w:fldCharType="separate"/>
      </w:r>
      <w:r w:rsidRPr="000D5177">
        <w:rPr>
          <w:noProof/>
          <w:szCs w:val="22"/>
          <w:vertAlign w:val="superscript"/>
        </w:rPr>
        <w:t>(7)</w:t>
      </w:r>
      <w:r w:rsidRPr="000D5177">
        <w:rPr>
          <w:szCs w:val="22"/>
          <w:vertAlign w:val="superscript"/>
        </w:rPr>
        <w:fldChar w:fldCharType="end"/>
      </w:r>
    </w:p>
    <w:p w14:paraId="6A2BEBB6" w14:textId="566B28A7" w:rsidR="000D5177" w:rsidRPr="000D5177" w:rsidRDefault="000D5177" w:rsidP="000D5177">
      <w:pPr>
        <w:jc w:val="both"/>
        <w:rPr>
          <w:szCs w:val="22"/>
        </w:rPr>
      </w:pPr>
      <w:r w:rsidRPr="000D5177">
        <w:rPr>
          <w:szCs w:val="22"/>
        </w:rPr>
        <w:t>De Leusse et al conducted a randomized prospective controlled trial in 2007</w:t>
      </w:r>
      <w:r w:rsidRPr="000D5177">
        <w:rPr>
          <w:szCs w:val="22"/>
          <w:vertAlign w:val="superscript"/>
        </w:rPr>
        <w:fldChar w:fldCharType="begin"/>
      </w:r>
      <w:r w:rsidRPr="000D5177">
        <w:rPr>
          <w:szCs w:val="22"/>
          <w:vertAlign w:val="superscript"/>
        </w:rPr>
        <w:instrText xml:space="preserve"> ADDIN EN.CITE &lt;EndNote&gt;&lt;Cite&gt;&lt;Author&gt;De Leusse&lt;/Author&gt;&lt;Year&gt;2007&lt;/Year&gt;&lt;RecNum&gt;9&lt;/RecNum&gt;&lt;DisplayText&gt;(8)&lt;/DisplayText&gt;&lt;record&gt;&lt;rec-number&gt;9&lt;/rec-number&gt;&lt;foreign-keys&gt;&lt;key app="EN" db-id="zw2rw0e9tpd2t7efza7vfzakeedpvwz5fxtd" timestamp="1455444144"&gt;9&lt;/key&gt;&lt;/foreign-keys&gt;&lt;ref-type name="Journal Article"&gt;17&lt;/ref-type&gt;&lt;contributors&gt;&lt;authors&gt;&lt;author&gt;De Leusse, A&lt;/author&gt;&lt;author&gt;Vahedi, K&lt;/author&gt;&lt;author&gt;Edery, J&lt;/author&gt;&lt;author&gt;Tiah, D&lt;/author&gt;&lt;author&gt;Fery-Lemonnier, E&lt;/author&gt;&lt;author&gt;Cellier, C&lt;/author&gt;&lt;author&gt;Bouhnik, Y&lt;/author&gt;&lt;author&gt;Jian, R&lt;/author&gt;&lt;/authors&gt;&lt;/contributors&gt;&lt;titles&gt;&lt;title&gt;Capsule Endoscopy or Push Enteroscopy for First-Line Exploration of Obscure Gastrointestinal Bleeding&lt;/title&gt;&lt;secondary-title&gt;Gastroenterology &lt;/secondary-title&gt;&lt;/titles&gt;&lt;periodical&gt;&lt;full-title&gt;Gastroenterology&lt;/full-title&gt;&lt;/periodical&gt;&lt;pages&gt;855-862&lt;/pages&gt;&lt;volume&gt;132&lt;/volume&gt;&lt;dates&gt;&lt;year&gt;2007&lt;/year&gt;&lt;/dates&gt;&lt;urls&gt;&lt;/urls&gt;&lt;/record&gt;&lt;/Cite&gt;&lt;/EndNote&gt;</w:instrText>
      </w:r>
      <w:r w:rsidRPr="000D5177">
        <w:rPr>
          <w:szCs w:val="22"/>
          <w:vertAlign w:val="superscript"/>
        </w:rPr>
        <w:fldChar w:fldCharType="separate"/>
      </w:r>
      <w:r w:rsidRPr="000D5177">
        <w:rPr>
          <w:noProof/>
          <w:szCs w:val="22"/>
          <w:vertAlign w:val="superscript"/>
        </w:rPr>
        <w:t>(8)</w:t>
      </w:r>
      <w:r w:rsidRPr="000D5177">
        <w:rPr>
          <w:szCs w:val="22"/>
          <w:vertAlign w:val="superscript"/>
        </w:rPr>
        <w:fldChar w:fldCharType="end"/>
      </w:r>
      <w:r w:rsidRPr="000D5177">
        <w:rPr>
          <w:szCs w:val="22"/>
        </w:rPr>
        <w:t>, where patients with obscure gastrointestinal bleeding were randomly allocated to either capsule endoscopy (CE) or push enteroscopy (PE) as first line investigation. A definitive source of bleeding was identified in 50% of those undertaking CE first and 24</w:t>
      </w:r>
      <w:r w:rsidR="00BF1B51">
        <w:rPr>
          <w:szCs w:val="22"/>
        </w:rPr>
        <w:t xml:space="preserve"> per cent</w:t>
      </w:r>
      <w:r w:rsidRPr="000D5177">
        <w:rPr>
          <w:szCs w:val="22"/>
        </w:rPr>
        <w:t xml:space="preserve"> of those utilising PE as first line investigation.</w:t>
      </w:r>
      <w:r w:rsidR="00C22AE4">
        <w:rPr>
          <w:szCs w:val="22"/>
        </w:rPr>
        <w:t xml:space="preserve"> </w:t>
      </w:r>
      <w:r w:rsidRPr="000D5177">
        <w:rPr>
          <w:szCs w:val="22"/>
        </w:rPr>
        <w:t>PE missed significantly more lesions than CE (26</w:t>
      </w:r>
      <w:r w:rsidR="00BF1B51">
        <w:rPr>
          <w:szCs w:val="22"/>
        </w:rPr>
        <w:t xml:space="preserve"> per cent</w:t>
      </w:r>
      <w:r w:rsidRPr="000D5177">
        <w:rPr>
          <w:szCs w:val="22"/>
        </w:rPr>
        <w:t xml:space="preserve"> vs 8</w:t>
      </w:r>
      <w:r w:rsidR="00BF1B51">
        <w:rPr>
          <w:szCs w:val="22"/>
        </w:rPr>
        <w:t xml:space="preserve"> per cent</w:t>
      </w:r>
      <w:r w:rsidRPr="000D5177">
        <w:rPr>
          <w:szCs w:val="22"/>
        </w:rPr>
        <w:t>), though the two strategies (CE then PE or vice versa) were not significantly different in terms of diagnostic yield (58</w:t>
      </w:r>
      <w:r w:rsidR="00BF1B51">
        <w:rPr>
          <w:szCs w:val="22"/>
        </w:rPr>
        <w:t xml:space="preserve"> per cent</w:t>
      </w:r>
      <w:r w:rsidRPr="000D5177">
        <w:rPr>
          <w:szCs w:val="22"/>
        </w:rPr>
        <w:t xml:space="preserve"> and 50</w:t>
      </w:r>
      <w:r w:rsidR="00BF1B51">
        <w:rPr>
          <w:szCs w:val="22"/>
        </w:rPr>
        <w:t xml:space="preserve"> per cent </w:t>
      </w:r>
      <w:r w:rsidRPr="000D5177">
        <w:rPr>
          <w:szCs w:val="22"/>
        </w:rPr>
        <w:t>respectively).</w:t>
      </w:r>
      <w:r w:rsidR="00C22AE4">
        <w:rPr>
          <w:szCs w:val="22"/>
        </w:rPr>
        <w:t xml:space="preserve"> </w:t>
      </w:r>
      <w:r w:rsidRPr="000D5177">
        <w:rPr>
          <w:szCs w:val="22"/>
        </w:rPr>
        <w:t>The higher sensitivity of CE in detection of lesions causing OGIB, led to the conclusion that CE rather than PE was the appropriate first line investigation, particularly when considering patient discomfort and potential health care costs.</w:t>
      </w:r>
      <w:r w:rsidRPr="000D5177">
        <w:rPr>
          <w:szCs w:val="22"/>
          <w:vertAlign w:val="superscript"/>
        </w:rPr>
        <w:fldChar w:fldCharType="begin"/>
      </w:r>
      <w:r w:rsidRPr="000D5177">
        <w:rPr>
          <w:szCs w:val="22"/>
          <w:vertAlign w:val="superscript"/>
        </w:rPr>
        <w:instrText xml:space="preserve"> ADDIN EN.CITE &lt;EndNote&gt;&lt;Cite&gt;&lt;Author&gt;De Leusse&lt;/Author&gt;&lt;Year&gt;2007&lt;/Year&gt;&lt;RecNum&gt;9&lt;/RecNum&gt;&lt;DisplayText&gt;(8)&lt;/DisplayText&gt;&lt;record&gt;&lt;rec-number&gt;9&lt;/rec-number&gt;&lt;foreign-keys&gt;&lt;key app="EN" db-id="zw2rw0e9tpd2t7efza7vfzakeedpvwz5fxtd" timestamp="1455444144"&gt;9&lt;/key&gt;&lt;/foreign-keys&gt;&lt;ref-type name="Journal Article"&gt;17&lt;/ref-type&gt;&lt;contributors&gt;&lt;authors&gt;&lt;author&gt;De Leusse, A&lt;/author&gt;&lt;author&gt;Vahedi, K&lt;/author&gt;&lt;author&gt;Edery, J&lt;/author&gt;&lt;author&gt;Tiah, D&lt;/author&gt;&lt;author&gt;Fery-Lemonnier, E&lt;/author&gt;&lt;author&gt;Cellier, C&lt;/author&gt;&lt;author&gt;Bouhnik, Y&lt;/author&gt;&lt;author&gt;Jian, R&lt;/author&gt;&lt;/authors&gt;&lt;/contributors&gt;&lt;titles&gt;&lt;title&gt;Capsule Endoscopy or Push Enteroscopy for First-Line Exploration of Obscure Gastrointestinal Bleeding&lt;/title&gt;&lt;secondary-title&gt;Gastroenterology &lt;/secondary-title&gt;&lt;/titles&gt;&lt;periodical&gt;&lt;full-title&gt;Gastroenterology&lt;/full-title&gt;&lt;/periodical&gt;&lt;pages&gt;855-862&lt;/pages&gt;&lt;volume&gt;132&lt;/volume&gt;&lt;dates&gt;&lt;year&gt;2007&lt;/year&gt;&lt;/dates&gt;&lt;urls&gt;&lt;/urls&gt;&lt;/record&gt;&lt;/Cite&gt;&lt;/EndNote&gt;</w:instrText>
      </w:r>
      <w:r w:rsidRPr="000D5177">
        <w:rPr>
          <w:szCs w:val="22"/>
          <w:vertAlign w:val="superscript"/>
        </w:rPr>
        <w:fldChar w:fldCharType="separate"/>
      </w:r>
      <w:r w:rsidRPr="000D5177">
        <w:rPr>
          <w:noProof/>
          <w:szCs w:val="22"/>
          <w:vertAlign w:val="superscript"/>
        </w:rPr>
        <w:t>(8)</w:t>
      </w:r>
      <w:r w:rsidRPr="000D5177">
        <w:rPr>
          <w:szCs w:val="22"/>
          <w:vertAlign w:val="superscript"/>
        </w:rPr>
        <w:fldChar w:fldCharType="end"/>
      </w:r>
      <w:r w:rsidR="00C22AE4">
        <w:rPr>
          <w:szCs w:val="22"/>
        </w:rPr>
        <w:t xml:space="preserve"> </w:t>
      </w:r>
    </w:p>
    <w:p w14:paraId="31FE8746" w14:textId="13362495" w:rsidR="000D5177" w:rsidRPr="000D5177" w:rsidRDefault="000D5177" w:rsidP="000D5177">
      <w:pPr>
        <w:jc w:val="both"/>
        <w:rPr>
          <w:szCs w:val="22"/>
        </w:rPr>
      </w:pPr>
      <w:r w:rsidRPr="000D5177">
        <w:rPr>
          <w:szCs w:val="22"/>
        </w:rPr>
        <w:t>An Australian study, undertaken at The Royal Adelaide Hospital utilized push enteroscopy in the evaluation of 55 patients with obscure gastrointestinal bleeding where prior gastroscopy and/or colonoscopy had not determined a cause.</w:t>
      </w:r>
      <w:r w:rsidRPr="000D5177">
        <w:rPr>
          <w:szCs w:val="22"/>
          <w:vertAlign w:val="superscript"/>
        </w:rPr>
        <w:fldChar w:fldCharType="begin"/>
      </w:r>
      <w:r w:rsidRPr="000D5177">
        <w:rPr>
          <w:szCs w:val="22"/>
          <w:vertAlign w:val="superscript"/>
        </w:rPr>
        <w:instrText xml:space="preserve"> ADDIN EN.CITE &lt;EndNote&gt;&lt;Cite&gt;&lt;Author&gt;Nguyen&lt;/Author&gt;&lt;Year&gt;2005&lt;/Year&gt;&lt;RecNum&gt;5&lt;/RecNum&gt;&lt;DisplayText&gt;(4)&lt;/DisplayText&gt;&lt;record&gt;&lt;rec-number&gt;5&lt;/rec-number&gt;&lt;foreign-keys&gt;&lt;key app="EN" db-id="zw2rw0e9tpd2t7efza7vfzakeedpvwz5fxtd" timestamp="1454986250"&gt;5&lt;/key&gt;&lt;/foreign-keys&gt;&lt;ref-type name="Journal Article"&gt;17&lt;/ref-type&gt;&lt;contributors&gt;&lt;authors&gt;&lt;author&gt;Nguyen, NQ&lt;/author&gt;&lt;author&gt;Rayner, CK&lt;/author&gt;&lt;author&gt;Schoeman, MN&lt;/author&gt;&lt;/authors&gt;&lt;/contributors&gt;&lt;titles&gt;&lt;title&gt;Push enteroscopy alters management in a majority of patients with obscure gastrointestinal bleeding&lt;/title&gt;&lt;secondary-title&gt;Journal of Gastroenterology and Hepatology &lt;/secondary-title&gt;&lt;/titles&gt;&lt;periodical&gt;&lt;full-title&gt;Journal of Gastroenterology and Hepatology&lt;/full-title&gt;&lt;/periodical&gt;&lt;pages&gt;716-721&lt;/pages&gt;&lt;volume&gt;20&lt;/volume&gt;&lt;dates&gt;&lt;year&gt;2005&lt;/year&gt;&lt;/dates&gt;&lt;urls&gt;&lt;/urls&gt;&lt;/record&gt;&lt;/Cite&gt;&lt;/EndNote&gt;</w:instrText>
      </w:r>
      <w:r w:rsidRPr="000D5177">
        <w:rPr>
          <w:szCs w:val="22"/>
          <w:vertAlign w:val="superscript"/>
        </w:rPr>
        <w:fldChar w:fldCharType="separate"/>
      </w:r>
      <w:r w:rsidRPr="000D5177">
        <w:rPr>
          <w:noProof/>
          <w:szCs w:val="22"/>
          <w:vertAlign w:val="superscript"/>
        </w:rPr>
        <w:t>(4)</w:t>
      </w:r>
      <w:r w:rsidRPr="000D5177">
        <w:rPr>
          <w:szCs w:val="22"/>
          <w:vertAlign w:val="superscript"/>
        </w:rPr>
        <w:fldChar w:fldCharType="end"/>
      </w:r>
      <w:r w:rsidRPr="000D5177">
        <w:rPr>
          <w:szCs w:val="22"/>
        </w:rPr>
        <w:t xml:space="preserve"> Diagnostic yield of push enteroscopy in this study was 69</w:t>
      </w:r>
      <w:r w:rsidR="00BF1B51">
        <w:rPr>
          <w:szCs w:val="22"/>
        </w:rPr>
        <w:t xml:space="preserve"> per cent</w:t>
      </w:r>
      <w:r w:rsidRPr="000D5177">
        <w:rPr>
          <w:szCs w:val="22"/>
        </w:rPr>
        <w:t>, 40</w:t>
      </w:r>
      <w:r w:rsidR="00BF1B51">
        <w:rPr>
          <w:szCs w:val="22"/>
        </w:rPr>
        <w:t xml:space="preserve"> per cent</w:t>
      </w:r>
      <w:r w:rsidRPr="000D5177">
        <w:rPr>
          <w:szCs w:val="22"/>
        </w:rPr>
        <w:t xml:space="preserve"> of which were lesions within the reach of standard endoscopy.</w:t>
      </w:r>
      <w:r w:rsidRPr="000D5177">
        <w:rPr>
          <w:szCs w:val="22"/>
          <w:vertAlign w:val="superscript"/>
        </w:rPr>
        <w:fldChar w:fldCharType="begin"/>
      </w:r>
      <w:r w:rsidRPr="000D5177">
        <w:rPr>
          <w:szCs w:val="22"/>
          <w:vertAlign w:val="superscript"/>
        </w:rPr>
        <w:instrText xml:space="preserve"> ADDIN EN.CITE &lt;EndNote&gt;&lt;Cite&gt;&lt;Author&gt;Nguyen&lt;/Author&gt;&lt;Year&gt;2005&lt;/Year&gt;&lt;RecNum&gt;5&lt;/RecNum&gt;&lt;DisplayText&gt;(4)&lt;/DisplayText&gt;&lt;record&gt;&lt;rec-number&gt;5&lt;/rec-number&gt;&lt;foreign-keys&gt;&lt;key app="EN" db-id="zw2rw0e9tpd2t7efza7vfzakeedpvwz5fxtd" timestamp="1454986250"&gt;5&lt;/key&gt;&lt;/foreign-keys&gt;&lt;ref-type name="Journal Article"&gt;17&lt;/ref-type&gt;&lt;contributors&gt;&lt;authors&gt;&lt;author&gt;Nguyen, NQ&lt;/author&gt;&lt;author&gt;Rayner, CK&lt;/author&gt;&lt;author&gt;Schoeman, MN&lt;/author&gt;&lt;/authors&gt;&lt;/contributors&gt;&lt;titles&gt;&lt;title&gt;Push enteroscopy alters management in a majority of patients with obscure gastrointestinal bleeding&lt;/title&gt;&lt;secondary-title&gt;Journal of Gastroenterology and Hepatology &lt;/secondary-title&gt;&lt;/titles&gt;&lt;periodical&gt;&lt;full-title&gt;Journal of Gastroenterology and Hepatology&lt;/full-title&gt;&lt;/periodical&gt;&lt;pages&gt;716-721&lt;/pages&gt;&lt;volume&gt;20&lt;/volume&gt;&lt;dates&gt;&lt;year&gt;2005&lt;/year&gt;&lt;/dates&gt;&lt;urls&gt;&lt;/urls&gt;&lt;/record&gt;&lt;/Cite&gt;&lt;/EndNote&gt;</w:instrText>
      </w:r>
      <w:r w:rsidRPr="000D5177">
        <w:rPr>
          <w:szCs w:val="22"/>
          <w:vertAlign w:val="superscript"/>
        </w:rPr>
        <w:fldChar w:fldCharType="separate"/>
      </w:r>
      <w:r w:rsidRPr="000D5177">
        <w:rPr>
          <w:noProof/>
          <w:szCs w:val="22"/>
          <w:vertAlign w:val="superscript"/>
        </w:rPr>
        <w:t>(4)</w:t>
      </w:r>
      <w:r w:rsidRPr="000D5177">
        <w:rPr>
          <w:szCs w:val="22"/>
          <w:vertAlign w:val="superscript"/>
        </w:rPr>
        <w:fldChar w:fldCharType="end"/>
      </w:r>
      <w:r w:rsidRPr="000D5177">
        <w:rPr>
          <w:szCs w:val="22"/>
        </w:rPr>
        <w:t xml:space="preserve"> Push enteroscopy was found to have altered management in 75</w:t>
      </w:r>
      <w:r w:rsidR="00BF1B51">
        <w:rPr>
          <w:szCs w:val="22"/>
        </w:rPr>
        <w:t xml:space="preserve"> per cent</w:t>
      </w:r>
      <w:r w:rsidRPr="000D5177">
        <w:rPr>
          <w:szCs w:val="22"/>
        </w:rPr>
        <w:t xml:space="preserve"> of patients, with two thirds of patients having a positive outcome on long term follow up, in terms of reduction in bleeding, transfusion requirements and resolution of anaemia.</w:t>
      </w:r>
      <w:r w:rsidRPr="000D5177">
        <w:rPr>
          <w:szCs w:val="22"/>
          <w:vertAlign w:val="superscript"/>
        </w:rPr>
        <w:fldChar w:fldCharType="begin"/>
      </w:r>
      <w:r w:rsidRPr="000D5177">
        <w:rPr>
          <w:szCs w:val="22"/>
          <w:vertAlign w:val="superscript"/>
        </w:rPr>
        <w:instrText xml:space="preserve"> ADDIN EN.CITE &lt;EndNote&gt;&lt;Cite&gt;&lt;Author&gt;Nguyen&lt;/Author&gt;&lt;Year&gt;2005&lt;/Year&gt;&lt;RecNum&gt;5&lt;/RecNum&gt;&lt;DisplayText&gt;(4)&lt;/DisplayText&gt;&lt;record&gt;&lt;rec-number&gt;5&lt;/rec-number&gt;&lt;foreign-keys&gt;&lt;key app="EN" db-id="zw2rw0e9tpd2t7efza7vfzakeedpvwz5fxtd" timestamp="1454986250"&gt;5&lt;/key&gt;&lt;/foreign-keys&gt;&lt;ref-type name="Journal Article"&gt;17&lt;/ref-type&gt;&lt;contributors&gt;&lt;authors&gt;&lt;author&gt;Nguyen, NQ&lt;/author&gt;&lt;author&gt;Rayner, CK&lt;/author&gt;&lt;author&gt;Schoeman, MN&lt;/author&gt;&lt;/authors&gt;&lt;/contributors&gt;&lt;titles&gt;&lt;title&gt;Push enteroscopy alters management in a majority of patients with obscure gastrointestinal bleeding&lt;/title&gt;&lt;secondary-title&gt;Journal of Gastroenterology and Hepatology &lt;/secondary-title&gt;&lt;/titles&gt;&lt;periodical&gt;&lt;full-title&gt;Journal of Gastroenterology and Hepatology&lt;/full-title&gt;&lt;/periodical&gt;&lt;pages&gt;716-721&lt;/pages&gt;&lt;volume&gt;20&lt;/volume&gt;&lt;dates&gt;&lt;year&gt;2005&lt;/year&gt;&lt;/dates&gt;&lt;urls&gt;&lt;/urls&gt;&lt;/record&gt;&lt;/Cite&gt;&lt;/EndNote&gt;</w:instrText>
      </w:r>
      <w:r w:rsidRPr="000D5177">
        <w:rPr>
          <w:szCs w:val="22"/>
          <w:vertAlign w:val="superscript"/>
        </w:rPr>
        <w:fldChar w:fldCharType="separate"/>
      </w:r>
      <w:r w:rsidRPr="000D5177">
        <w:rPr>
          <w:noProof/>
          <w:szCs w:val="22"/>
          <w:vertAlign w:val="superscript"/>
        </w:rPr>
        <w:t>(4)</w:t>
      </w:r>
      <w:r w:rsidRPr="000D5177">
        <w:rPr>
          <w:szCs w:val="22"/>
          <w:vertAlign w:val="superscript"/>
        </w:rPr>
        <w:fldChar w:fldCharType="end"/>
      </w:r>
      <w:r w:rsidRPr="000D5177">
        <w:rPr>
          <w:szCs w:val="22"/>
        </w:rPr>
        <w:t xml:space="preserve"> </w:t>
      </w:r>
    </w:p>
    <w:p w14:paraId="4CB4061A" w14:textId="6FFF4B82" w:rsidR="000D5177" w:rsidRPr="000D5177" w:rsidRDefault="000D5177" w:rsidP="000D5177">
      <w:pPr>
        <w:jc w:val="both"/>
        <w:rPr>
          <w:szCs w:val="22"/>
        </w:rPr>
      </w:pPr>
      <w:r w:rsidRPr="000D5177">
        <w:rPr>
          <w:szCs w:val="22"/>
        </w:rPr>
        <w:t>As indicated above, the diagnostic yield of PE varies considerably between studies and has been reported as anywhere between 3 and 70%.</w:t>
      </w:r>
      <w:r w:rsidRPr="000D5177">
        <w:rPr>
          <w:szCs w:val="22"/>
          <w:vertAlign w:val="superscript"/>
        </w:rPr>
        <w:fldChar w:fldCharType="begin"/>
      </w:r>
      <w:r w:rsidRPr="000D5177">
        <w:rPr>
          <w:szCs w:val="22"/>
          <w:vertAlign w:val="superscript"/>
        </w:rPr>
        <w:instrText xml:space="preserve"> ADDIN EN.CITE &lt;EndNote&gt;&lt;Cite&gt;&lt;Author&gt;Gerson&lt;/Author&gt;&lt;Year&gt;2015&lt;/Year&gt;&lt;RecNum&gt;1&lt;/RecNum&gt;&lt;DisplayText&gt;(1)&lt;/DisplayText&gt;&lt;record&gt;&lt;rec-number&gt;1&lt;/rec-number&gt;&lt;foreign-keys&gt;&lt;key app="EN" db-id="zw2rw0e9tpd2t7efza7vfzakeedpvwz5fxtd" timestamp="1454983716"&gt;1&lt;/key&gt;&lt;/foreign-keys&gt;&lt;ref-type name="Journal Article"&gt;17&lt;/ref-type&gt;&lt;contributors&gt;&lt;authors&gt;&lt;author&gt;Gerson, Lauren&lt;/author&gt;&lt;author&gt;Fidler, Jeff&lt;/author&gt;&lt;author&gt;Cave, David&lt;/author&gt;&lt;author&gt;Leighton, Jonathan &lt;/author&gt;&lt;/authors&gt;&lt;/contributors&gt;&lt;titles&gt;&lt;title&gt;ACG Clinical Guideline: Diagnosis and Management of Small Bowel Bleeding &lt;/title&gt;&lt;secondary-title&gt;American Journal of Gastroenterology&lt;/secondary-title&gt;&lt;/titles&gt;&lt;periodical&gt;&lt;full-title&gt;American Journal of Gastroenterology&lt;/full-title&gt;&lt;/periodical&gt;&lt;pages&gt;1265-1287&lt;/pages&gt;&lt;volume&gt;110&lt;/volume&gt;&lt;dates&gt;&lt;year&gt;2015&lt;/year&gt;&lt;/dates&gt;&lt;urls&gt;&lt;/urls&gt;&lt;/record&gt;&lt;/Cite&gt;&lt;/EndNote&gt;</w:instrText>
      </w:r>
      <w:r w:rsidRPr="000D5177">
        <w:rPr>
          <w:szCs w:val="22"/>
          <w:vertAlign w:val="superscript"/>
        </w:rPr>
        <w:fldChar w:fldCharType="separate"/>
      </w:r>
      <w:r w:rsidRPr="000D5177">
        <w:rPr>
          <w:noProof/>
          <w:szCs w:val="22"/>
          <w:vertAlign w:val="superscript"/>
        </w:rPr>
        <w:t>(1)</w:t>
      </w:r>
      <w:r w:rsidRPr="000D5177">
        <w:rPr>
          <w:szCs w:val="22"/>
          <w:vertAlign w:val="superscript"/>
        </w:rPr>
        <w:fldChar w:fldCharType="end"/>
      </w:r>
      <w:r w:rsidRPr="000D5177">
        <w:rPr>
          <w:szCs w:val="22"/>
        </w:rPr>
        <w:t xml:space="preserve"> This variation may be attributable to differences in indication for investigation, location and type of lesion, and factors relating to study methodology.</w:t>
      </w:r>
      <w:r w:rsidR="00C22AE4">
        <w:rPr>
          <w:szCs w:val="22"/>
        </w:rPr>
        <w:t xml:space="preserve"> </w:t>
      </w:r>
    </w:p>
    <w:p w14:paraId="315AE4E5" w14:textId="77777777" w:rsidR="000D5177" w:rsidRPr="000D5177" w:rsidRDefault="000D5177" w:rsidP="006A175E">
      <w:pPr>
        <w:pStyle w:val="Heading3"/>
      </w:pPr>
      <w:r w:rsidRPr="000D5177">
        <w:t xml:space="preserve">Therapeutic utility </w:t>
      </w:r>
    </w:p>
    <w:p w14:paraId="070BE9AE" w14:textId="074051DD" w:rsidR="000D5177" w:rsidRPr="000D5177" w:rsidRDefault="000D5177" w:rsidP="000D5177">
      <w:pPr>
        <w:jc w:val="both"/>
        <w:rPr>
          <w:szCs w:val="22"/>
        </w:rPr>
      </w:pPr>
      <w:r w:rsidRPr="000D5177">
        <w:rPr>
          <w:szCs w:val="22"/>
        </w:rPr>
        <w:t>One proposed advantage of push enteroscopy is that it may be used for both diagnostic and therapeutic purposes.</w:t>
      </w:r>
      <w:r w:rsidR="00C22AE4">
        <w:rPr>
          <w:szCs w:val="22"/>
        </w:rPr>
        <w:t xml:space="preserve"> </w:t>
      </w:r>
      <w:r w:rsidRPr="000D5177">
        <w:rPr>
          <w:szCs w:val="22"/>
        </w:rPr>
        <w:t xml:space="preserve">Therapeutic indications for PE include placement of jejunal feeding tubes, polypectomy and thermocoagulation of angiodysplastic lesions. </w:t>
      </w:r>
      <w:r w:rsidRPr="000D5177">
        <w:rPr>
          <w:szCs w:val="22"/>
          <w:vertAlign w:val="superscript"/>
        </w:rPr>
        <w:fldChar w:fldCharType="begin"/>
      </w:r>
      <w:r w:rsidRPr="000D5177">
        <w:rPr>
          <w:szCs w:val="22"/>
          <w:vertAlign w:val="superscript"/>
        </w:rPr>
        <w:instrText xml:space="preserve"> ADDIN EN.CITE &lt;EndNote&gt;&lt;Cite&gt;&lt;Author&gt;Davies&lt;/Author&gt;&lt;Year&gt;1995&lt;/Year&gt;&lt;RecNum&gt;12&lt;/RecNum&gt;&lt;DisplayText&gt;(9)&lt;/DisplayText&gt;&lt;record&gt;&lt;rec-number&gt;12&lt;/rec-number&gt;&lt;foreign-keys&gt;&lt;key app="EN" db-id="zw2rw0e9tpd2t7efza7vfzakeedpvwz5fxtd" timestamp="1456785262"&gt;12&lt;/key&gt;&lt;/foreign-keys&gt;&lt;ref-type name="Journal Article"&gt;17&lt;/ref-type&gt;&lt;contributors&gt;&lt;authors&gt;&lt;author&gt;Davies, GR&lt;/author&gt;&lt;author&gt;Benson, MJ&lt;/author&gt;&lt;author&gt;Gertner, DJ&lt;/author&gt;&lt;author&gt;Van Someren, RMN&lt;/author&gt;&lt;author&gt;Rampton, DS&lt;/author&gt;&lt;author&gt;Swain, CP&lt;/author&gt;&lt;/authors&gt;&lt;/contributors&gt;&lt;titles&gt;&lt;title&gt;Diagnostic and therapeutic push type enteroscopy in clinical use &lt;/title&gt;&lt;secondary-title&gt;Gut&lt;/secondary-title&gt;&lt;/titles&gt;&lt;periodical&gt;&lt;full-title&gt;Gut&lt;/full-title&gt;&lt;/periodical&gt;&lt;pages&gt;346-352&lt;/pages&gt;&lt;volume&gt;37&lt;/volume&gt;&lt;dates&gt;&lt;year&gt;1995&lt;/year&gt;&lt;/dates&gt;&lt;urls&gt;&lt;/urls&gt;&lt;/record&gt;&lt;/Cite&gt;&lt;/EndNote&gt;</w:instrText>
      </w:r>
      <w:r w:rsidRPr="000D5177">
        <w:rPr>
          <w:szCs w:val="22"/>
          <w:vertAlign w:val="superscript"/>
        </w:rPr>
        <w:fldChar w:fldCharType="separate"/>
      </w:r>
      <w:r w:rsidRPr="000D5177">
        <w:rPr>
          <w:noProof/>
          <w:szCs w:val="22"/>
          <w:vertAlign w:val="superscript"/>
        </w:rPr>
        <w:t>(9)</w:t>
      </w:r>
      <w:r w:rsidRPr="000D5177">
        <w:rPr>
          <w:szCs w:val="22"/>
          <w:vertAlign w:val="superscript"/>
        </w:rPr>
        <w:fldChar w:fldCharType="end"/>
      </w:r>
      <w:r w:rsidRPr="000D5177">
        <w:rPr>
          <w:szCs w:val="22"/>
        </w:rPr>
        <w:t xml:space="preserve"> Unfortunately, high-level evidence is lacking in terms of assessing the therapeutic efficacy of push enteroscopy particularly in comparison to other endoscopic therapies.</w:t>
      </w:r>
      <w:r w:rsidR="00C22AE4">
        <w:rPr>
          <w:szCs w:val="22"/>
        </w:rPr>
        <w:t xml:space="preserve"> </w:t>
      </w:r>
    </w:p>
    <w:p w14:paraId="641CCF50" w14:textId="05EF4BFB" w:rsidR="000D5177" w:rsidRPr="000D5177" w:rsidRDefault="000D5177" w:rsidP="000D5177">
      <w:pPr>
        <w:jc w:val="both"/>
        <w:rPr>
          <w:szCs w:val="22"/>
        </w:rPr>
      </w:pPr>
      <w:r w:rsidRPr="000D5177">
        <w:rPr>
          <w:szCs w:val="22"/>
        </w:rPr>
        <w:t>A 2015 systematic review by Romagnuolo et al</w:t>
      </w:r>
      <w:r w:rsidRPr="000D5177">
        <w:rPr>
          <w:szCs w:val="22"/>
          <w:vertAlign w:val="superscript"/>
        </w:rPr>
        <w:fldChar w:fldCharType="begin"/>
      </w:r>
      <w:r w:rsidRPr="000D5177">
        <w:rPr>
          <w:szCs w:val="22"/>
          <w:vertAlign w:val="superscript"/>
        </w:rPr>
        <w:instrText xml:space="preserve"> ADDIN EN.CITE &lt;EndNote&gt;&lt;Cite&gt;&lt;Author&gt;Romagnuolo&lt;/Author&gt;&lt;Year&gt;2015&lt;/Year&gt;&lt;RecNum&gt;13&lt;/RecNum&gt;&lt;DisplayText&gt;(10)&lt;/DisplayText&gt;&lt;record&gt;&lt;rec-number&gt;13&lt;/rec-number&gt;&lt;foreign-keys&gt;&lt;key app="EN" db-id="zw2rw0e9tpd2t7efza7vfzakeedpvwz5fxtd" timestamp="1456791743"&gt;13&lt;/key&gt;&lt;/foreign-keys&gt;&lt;ref-type name="Journal Article"&gt;17&lt;/ref-type&gt;&lt;contributors&gt;&lt;authors&gt;&lt;author&gt;Romagnuolo, J&lt;/author&gt;&lt;author&gt;Brock, AS&lt;/author&gt;&lt;author&gt;Ranney, N&lt;/author&gt;&lt;/authors&gt;&lt;/contributors&gt;&lt;titles&gt;&lt;title&gt;Is Endoscopic Therapy Effective for Angioectasia in Obscure Gastrointestinal Bleeding? A Systematic Review of the Literature &lt;/title&gt;&lt;secondary-title&gt;Journal of Clinical Gastroenterology &lt;/secondary-title&gt;&lt;/titles&gt;&lt;periodical&gt;&lt;full-title&gt;Journal of Clinical Gastroenterology&lt;/full-title&gt;&lt;/periodical&gt;&lt;pages&gt;823-830&lt;/pages&gt;&lt;volume&gt;49&lt;/volume&gt;&lt;number&gt;10&lt;/number&gt;&lt;dates&gt;&lt;year&gt;2015&lt;/year&gt;&lt;/dates&gt;&lt;urls&gt;&lt;/urls&gt;&lt;/record&gt;&lt;/Cite&gt;&lt;/EndNote&gt;</w:instrText>
      </w:r>
      <w:r w:rsidRPr="000D5177">
        <w:rPr>
          <w:szCs w:val="22"/>
          <w:vertAlign w:val="superscript"/>
        </w:rPr>
        <w:fldChar w:fldCharType="separate"/>
      </w:r>
      <w:r w:rsidRPr="000D5177">
        <w:rPr>
          <w:noProof/>
          <w:szCs w:val="22"/>
          <w:vertAlign w:val="superscript"/>
        </w:rPr>
        <w:t>(10)</w:t>
      </w:r>
      <w:r w:rsidRPr="000D5177">
        <w:rPr>
          <w:szCs w:val="22"/>
          <w:vertAlign w:val="superscript"/>
        </w:rPr>
        <w:fldChar w:fldCharType="end"/>
      </w:r>
      <w:r w:rsidRPr="000D5177">
        <w:rPr>
          <w:szCs w:val="22"/>
        </w:rPr>
        <w:t xml:space="preserve"> summarized the evidence relating to re-bleeding rates following therapeutic endoscopy (including push enteroscopy).</w:t>
      </w:r>
      <w:r w:rsidR="00C22AE4">
        <w:rPr>
          <w:szCs w:val="22"/>
        </w:rPr>
        <w:t xml:space="preserve"> </w:t>
      </w:r>
      <w:r w:rsidRPr="000D5177">
        <w:rPr>
          <w:szCs w:val="22"/>
        </w:rPr>
        <w:t xml:space="preserve">The authors reported 6 studies involving PE, with highly variable rates of re-bleeding, ranging from 0 </w:t>
      </w:r>
      <w:r w:rsidR="008A6560">
        <w:rPr>
          <w:szCs w:val="22"/>
        </w:rPr>
        <w:t>–</w:t>
      </w:r>
      <w:r w:rsidRPr="000D5177">
        <w:rPr>
          <w:szCs w:val="22"/>
        </w:rPr>
        <w:t xml:space="preserve"> 66</w:t>
      </w:r>
      <w:r w:rsidR="008A6560">
        <w:rPr>
          <w:szCs w:val="22"/>
        </w:rPr>
        <w:t xml:space="preserve"> per cent</w:t>
      </w:r>
      <w:r w:rsidRPr="000D5177">
        <w:rPr>
          <w:szCs w:val="22"/>
        </w:rPr>
        <w:t>.</w:t>
      </w:r>
      <w:r w:rsidRPr="000D5177">
        <w:rPr>
          <w:szCs w:val="22"/>
          <w:vertAlign w:val="superscript"/>
        </w:rPr>
        <w:fldChar w:fldCharType="begin"/>
      </w:r>
      <w:r w:rsidRPr="000D5177">
        <w:rPr>
          <w:szCs w:val="22"/>
          <w:vertAlign w:val="superscript"/>
        </w:rPr>
        <w:instrText xml:space="preserve"> ADDIN EN.CITE &lt;EndNote&gt;&lt;Cite&gt;&lt;Author&gt;Romagnuolo&lt;/Author&gt;&lt;Year&gt;2015&lt;/Year&gt;&lt;RecNum&gt;13&lt;/RecNum&gt;&lt;DisplayText&gt;(10)&lt;/DisplayText&gt;&lt;record&gt;&lt;rec-number&gt;13&lt;/rec-number&gt;&lt;foreign-keys&gt;&lt;key app="EN" db-id="zw2rw0e9tpd2t7efza7vfzakeedpvwz5fxtd" timestamp="1456791743"&gt;13&lt;/key&gt;&lt;/foreign-keys&gt;&lt;ref-type name="Journal Article"&gt;17&lt;/ref-type&gt;&lt;contributors&gt;&lt;authors&gt;&lt;author&gt;Romagnuolo, J&lt;/author&gt;&lt;author&gt;Brock, AS&lt;/author&gt;&lt;author&gt;Ranney, N&lt;/author&gt;&lt;/authors&gt;&lt;/contributors&gt;&lt;titles&gt;&lt;title&gt;Is Endoscopic Therapy Effective for Angioectasia in Obscure Gastrointestinal Bleeding? A Systematic Review of the Literature &lt;/title&gt;&lt;secondary-title&gt;Journal of Clinical Gastroenterology &lt;/secondary-title&gt;&lt;/titles&gt;&lt;periodical&gt;&lt;full-title&gt;Journal of Clinical Gastroenterology&lt;/full-title&gt;&lt;/periodical&gt;&lt;pages&gt;823-830&lt;/pages&gt;&lt;volume&gt;49&lt;/volume&gt;&lt;number&gt;10&lt;/number&gt;&lt;dates&gt;&lt;year&gt;2015&lt;/year&gt;&lt;/dates&gt;&lt;urls&gt;&lt;/urls&gt;&lt;/record&gt;&lt;/Cite&gt;&lt;/EndNote&gt;</w:instrText>
      </w:r>
      <w:r w:rsidRPr="000D5177">
        <w:rPr>
          <w:szCs w:val="22"/>
          <w:vertAlign w:val="superscript"/>
        </w:rPr>
        <w:fldChar w:fldCharType="separate"/>
      </w:r>
      <w:r w:rsidRPr="000D5177">
        <w:rPr>
          <w:noProof/>
          <w:szCs w:val="22"/>
          <w:vertAlign w:val="superscript"/>
        </w:rPr>
        <w:t>(10)</w:t>
      </w:r>
      <w:r w:rsidRPr="000D5177">
        <w:rPr>
          <w:szCs w:val="22"/>
          <w:vertAlign w:val="superscript"/>
        </w:rPr>
        <w:fldChar w:fldCharType="end"/>
      </w:r>
      <w:r w:rsidRPr="000D5177">
        <w:rPr>
          <w:szCs w:val="22"/>
        </w:rPr>
        <w:t xml:space="preserve"> The studies had differing (or inadequate) definitions of re-bleeding, with a variable case-mix.</w:t>
      </w:r>
      <w:r w:rsidR="00C22AE4">
        <w:rPr>
          <w:szCs w:val="22"/>
        </w:rPr>
        <w:t xml:space="preserve"> </w:t>
      </w:r>
      <w:r w:rsidRPr="000D5177">
        <w:rPr>
          <w:szCs w:val="22"/>
        </w:rPr>
        <w:t xml:space="preserve">The authors suggested that the assessment of therapeutic efficacy by reference to re-bleeding rates is misleading, given variability of lesions and therefore response to intervention. </w:t>
      </w:r>
      <w:r w:rsidRPr="000D5177">
        <w:rPr>
          <w:szCs w:val="22"/>
          <w:vertAlign w:val="superscript"/>
        </w:rPr>
        <w:fldChar w:fldCharType="begin"/>
      </w:r>
      <w:r w:rsidRPr="000D5177">
        <w:rPr>
          <w:szCs w:val="22"/>
          <w:vertAlign w:val="superscript"/>
        </w:rPr>
        <w:instrText xml:space="preserve"> ADDIN EN.CITE &lt;EndNote&gt;&lt;Cite&gt;&lt;Author&gt;Romagnuolo&lt;/Author&gt;&lt;Year&gt;2015&lt;/Year&gt;&lt;RecNum&gt;13&lt;/RecNum&gt;&lt;DisplayText&gt;(10)&lt;/DisplayText&gt;&lt;record&gt;&lt;rec-number&gt;13&lt;/rec-number&gt;&lt;foreign-keys&gt;&lt;key app="EN" db-id="zw2rw0e9tpd2t7efza7vfzakeedpvwz5fxtd" timestamp="1456791743"&gt;13&lt;/key&gt;&lt;/foreign-keys&gt;&lt;ref-type name="Journal Article"&gt;17&lt;/ref-type&gt;&lt;contributors&gt;&lt;authors&gt;&lt;author&gt;Romagnuolo, J&lt;/author&gt;&lt;author&gt;Brock, AS&lt;/author&gt;&lt;author&gt;Ranney, N&lt;/author&gt;&lt;/authors&gt;&lt;/contributors&gt;&lt;titles&gt;&lt;title&gt;Is Endoscopic Therapy Effective for Angioectasia in Obscure Gastrointestinal Bleeding? A Systematic Review of the Literature &lt;/title&gt;&lt;secondary-title&gt;Journal of Clinical Gastroenterology &lt;/secondary-title&gt;&lt;/titles&gt;&lt;periodical&gt;&lt;full-title&gt;Journal of Clinical Gastroenterology&lt;/full-title&gt;&lt;/periodical&gt;&lt;pages&gt;823-830&lt;/pages&gt;&lt;volume&gt;49&lt;/volume&gt;&lt;number&gt;10&lt;/number&gt;&lt;dates&gt;&lt;year&gt;2015&lt;/year&gt;&lt;/dates&gt;&lt;urls&gt;&lt;/urls&gt;&lt;/record&gt;&lt;/Cite&gt;&lt;/EndNote&gt;</w:instrText>
      </w:r>
      <w:r w:rsidRPr="000D5177">
        <w:rPr>
          <w:szCs w:val="22"/>
          <w:vertAlign w:val="superscript"/>
        </w:rPr>
        <w:fldChar w:fldCharType="separate"/>
      </w:r>
      <w:r w:rsidRPr="000D5177">
        <w:rPr>
          <w:noProof/>
          <w:szCs w:val="22"/>
          <w:vertAlign w:val="superscript"/>
        </w:rPr>
        <w:t>(10)</w:t>
      </w:r>
      <w:r w:rsidRPr="000D5177">
        <w:rPr>
          <w:szCs w:val="22"/>
          <w:vertAlign w:val="superscript"/>
        </w:rPr>
        <w:fldChar w:fldCharType="end"/>
      </w:r>
      <w:r w:rsidRPr="000D5177">
        <w:rPr>
          <w:szCs w:val="22"/>
        </w:rPr>
        <w:t xml:space="preserve"> They found insufficient data to support a reduction in re-bleeding rate from therapeutic endoscopy, and surmised that even if there were such reduction, the NNT would be significant.</w:t>
      </w:r>
      <w:r w:rsidRPr="000D5177">
        <w:rPr>
          <w:szCs w:val="22"/>
          <w:vertAlign w:val="superscript"/>
        </w:rPr>
        <w:fldChar w:fldCharType="begin"/>
      </w:r>
      <w:r w:rsidRPr="000D5177">
        <w:rPr>
          <w:szCs w:val="22"/>
          <w:vertAlign w:val="superscript"/>
        </w:rPr>
        <w:instrText xml:space="preserve"> ADDIN EN.CITE &lt;EndNote&gt;&lt;Cite&gt;&lt;Author&gt;Romagnuolo&lt;/Author&gt;&lt;Year&gt;2015&lt;/Year&gt;&lt;RecNum&gt;13&lt;/RecNum&gt;&lt;DisplayText&gt;(10)&lt;/DisplayText&gt;&lt;record&gt;&lt;rec-number&gt;13&lt;/rec-number&gt;&lt;foreign-keys&gt;&lt;key app="EN" db-id="zw2rw0e9tpd2t7efza7vfzakeedpvwz5fxtd" timestamp="1456791743"&gt;13&lt;/key&gt;&lt;/foreign-keys&gt;&lt;ref-type name="Journal Article"&gt;17&lt;/ref-type&gt;&lt;contributors&gt;&lt;authors&gt;&lt;author&gt;Romagnuolo, J&lt;/author&gt;&lt;author&gt;Brock, AS&lt;/author&gt;&lt;author&gt;Ranney, N&lt;/author&gt;&lt;/authors&gt;&lt;/contributors&gt;&lt;titles&gt;&lt;title&gt;Is Endoscopic Therapy Effective for Angioectasia in Obscure Gastrointestinal Bleeding? A Systematic Review of the Literature &lt;/title&gt;&lt;secondary-title&gt;Journal of Clinical Gastroenterology &lt;/secondary-title&gt;&lt;/titles&gt;&lt;periodical&gt;&lt;full-title&gt;Journal of Clinical Gastroenterology&lt;/full-title&gt;&lt;/periodical&gt;&lt;pages&gt;823-830&lt;/pages&gt;&lt;volume&gt;49&lt;/volume&gt;&lt;number&gt;10&lt;/number&gt;&lt;dates&gt;&lt;year&gt;2015&lt;/year&gt;&lt;/dates&gt;&lt;urls&gt;&lt;/urls&gt;&lt;/record&gt;&lt;/Cite&gt;&lt;/EndNote&gt;</w:instrText>
      </w:r>
      <w:r w:rsidRPr="000D5177">
        <w:rPr>
          <w:szCs w:val="22"/>
          <w:vertAlign w:val="superscript"/>
        </w:rPr>
        <w:fldChar w:fldCharType="separate"/>
      </w:r>
      <w:r w:rsidRPr="000D5177">
        <w:rPr>
          <w:noProof/>
          <w:szCs w:val="22"/>
          <w:vertAlign w:val="superscript"/>
        </w:rPr>
        <w:t>(10)</w:t>
      </w:r>
      <w:r w:rsidRPr="000D5177">
        <w:rPr>
          <w:szCs w:val="22"/>
          <w:vertAlign w:val="superscript"/>
        </w:rPr>
        <w:fldChar w:fldCharType="end"/>
      </w:r>
    </w:p>
    <w:p w14:paraId="234B923A" w14:textId="77777777" w:rsidR="004304F5" w:rsidRDefault="004304F5" w:rsidP="002036DF">
      <w:r>
        <w:br w:type="page"/>
      </w:r>
    </w:p>
    <w:p w14:paraId="404A2CF8" w14:textId="69880C45" w:rsidR="000D5177" w:rsidRPr="000D5177" w:rsidRDefault="000D5177" w:rsidP="006A175E">
      <w:pPr>
        <w:pStyle w:val="Heading3"/>
      </w:pPr>
      <w:r w:rsidRPr="000D5177">
        <w:lastRenderedPageBreak/>
        <w:t xml:space="preserve">Clinical Guidelines </w:t>
      </w:r>
    </w:p>
    <w:p w14:paraId="78587312" w14:textId="32BD5AD8" w:rsidR="000D5177" w:rsidRPr="000D5177" w:rsidRDefault="000D5177" w:rsidP="000D5177">
      <w:pPr>
        <w:jc w:val="both"/>
        <w:rPr>
          <w:szCs w:val="22"/>
        </w:rPr>
      </w:pPr>
      <w:r w:rsidRPr="000D5177">
        <w:rPr>
          <w:szCs w:val="22"/>
        </w:rPr>
        <w:t>I was unable to locate any official Australian guidelines regarding the use of push enteroscopy, although the literature suggests that push enteroscopy (or other deep enteroscopy) only be considered when upper endoscopy, colonoscopy and capsule endoscopy have failed to identify a source of bleeding.</w:t>
      </w:r>
      <w:r w:rsidRPr="000D5177">
        <w:rPr>
          <w:szCs w:val="22"/>
          <w:vertAlign w:val="superscript"/>
        </w:rPr>
        <w:fldChar w:fldCharType="begin"/>
      </w:r>
      <w:r w:rsidRPr="000D5177">
        <w:rPr>
          <w:szCs w:val="22"/>
          <w:vertAlign w:val="superscript"/>
        </w:rPr>
        <w:instrText xml:space="preserve"> ADDIN EN.CITE &lt;EndNote&gt;&lt;Cite&gt;&lt;Author&gt;Kim&lt;/Author&gt;&lt;Year&gt;2014&lt;/Year&gt;&lt;RecNum&gt;10&lt;/RecNum&gt;&lt;DisplayText&gt;(11)&lt;/DisplayText&gt;&lt;record&gt;&lt;rec-number&gt;10&lt;/rec-number&gt;&lt;foreign-keys&gt;&lt;key app="EN" db-id="zw2rw0e9tpd2t7efza7vfzakeedpvwz5fxtd" timestamp="1455446309"&gt;10&lt;/key&gt;&lt;/foreign-keys&gt;&lt;ref-type name="Journal Article"&gt;17&lt;/ref-type&gt;&lt;contributors&gt;&lt;authors&gt;&lt;author&gt;Kim, BSM&lt;/author&gt;&lt;author&gt;Li, BT&lt;/author&gt;&lt;author&gt;Enfel, A&lt;/author&gt;&lt;author&gt;Samra, JS&lt;/author&gt;&lt;author&gt;Clarke, S&lt;/author&gt;&lt;author&gt;Norton, ID&lt;/author&gt;&lt;author&gt;Li, AE&lt;/author&gt;&lt;/authors&gt;&lt;/contributors&gt;&lt;titles&gt;&lt;title&gt;Diagnosis of gastrointestinal bleedingL A practical guide for clinicians &lt;/title&gt;&lt;secondary-title&gt;World Journal of Gastrontestinal Pathophysiology&lt;/secondary-title&gt;&lt;/titles&gt;&lt;periodical&gt;&lt;full-title&gt;World Journal of Gastrontestinal Pathophysiology&lt;/full-title&gt;&lt;/periodical&gt;&lt;pages&gt;467-478&lt;/pages&gt;&lt;volume&gt;5&lt;/volume&gt;&lt;number&gt;4&lt;/number&gt;&lt;dates&gt;&lt;year&gt;2014&lt;/year&gt;&lt;/dates&gt;&lt;urls&gt;&lt;/urls&gt;&lt;/record&gt;&lt;/Cite&gt;&lt;/EndNote&gt;</w:instrText>
      </w:r>
      <w:r w:rsidRPr="000D5177">
        <w:rPr>
          <w:szCs w:val="22"/>
          <w:vertAlign w:val="superscript"/>
        </w:rPr>
        <w:fldChar w:fldCharType="separate"/>
      </w:r>
      <w:r w:rsidRPr="000D5177">
        <w:rPr>
          <w:noProof/>
          <w:szCs w:val="22"/>
          <w:vertAlign w:val="superscript"/>
        </w:rPr>
        <w:t>(11)</w:t>
      </w:r>
      <w:r w:rsidRPr="000D5177">
        <w:rPr>
          <w:szCs w:val="22"/>
          <w:vertAlign w:val="superscript"/>
        </w:rPr>
        <w:fldChar w:fldCharType="end"/>
      </w:r>
    </w:p>
    <w:p w14:paraId="74438414" w14:textId="77777777" w:rsidR="000D5177" w:rsidRPr="000D5177" w:rsidRDefault="000D5177" w:rsidP="006A175E">
      <w:pPr>
        <w:pStyle w:val="Heading4"/>
      </w:pPr>
      <w:r w:rsidRPr="000D5177">
        <w:t xml:space="preserve">European Society of Gastrointestinal Endoscopy (ESGE) Clinical Guideline </w:t>
      </w:r>
      <w:r w:rsidRPr="000D5177">
        <w:rPr>
          <w:vertAlign w:val="superscript"/>
        </w:rPr>
        <w:fldChar w:fldCharType="begin"/>
      </w:r>
      <w:r w:rsidRPr="000D5177">
        <w:rPr>
          <w:vertAlign w:val="superscript"/>
        </w:rPr>
        <w:instrText xml:space="preserve"> ADDIN EN.CITE &lt;EndNote&gt;&lt;Cite&gt;&lt;Author&gt;Pennazio&lt;/Author&gt;&lt;Year&gt;2015&lt;/Year&gt;&lt;RecNum&gt;8&lt;/RecNum&gt;&lt;DisplayText&gt;(3)&lt;/DisplayText&gt;&lt;record&gt;&lt;rec-number&gt;8&lt;/rec-number&gt;&lt;foreign-keys&gt;&lt;key app="EN" db-id="zw2rw0e9tpd2t7efza7vfzakeedpvwz5fxtd" timestamp="1455418825"&gt;8&lt;/key&gt;&lt;/foreign-keys&gt;&lt;ref-type name="Journal Article"&gt;17&lt;/ref-type&gt;&lt;contributors&gt;&lt;authors&gt;&lt;author&gt;Pennazio, M&lt;/author&gt;&lt;author&gt;Spada, C&lt;/author&gt;&lt;author&gt;Eliakim, R&lt;/author&gt;&lt;author&gt;Keuchel, M&lt;/author&gt;&lt;author&gt;May, A&lt;/author&gt;&lt;author&gt;Mulder, CJ&lt;/author&gt;&lt;author&gt;Rondonotti, E&lt;/author&gt;&lt;author&gt;Adler, SN&lt;/author&gt;&lt;author&gt;Albert, J&lt;/author&gt;&lt;author&gt;Baltes, P&lt;/author&gt;&lt;author&gt;Barbaro, F&lt;/author&gt;&lt;author&gt;Cellier, C&lt;/author&gt;&lt;author&gt;Charton, JP&lt;/author&gt;&lt;author&gt;Delvaux, M&lt;/author&gt;&lt;author&gt;Despott, EJ&lt;/author&gt;&lt;author&gt;Domagk, D&lt;/author&gt;&lt;author&gt;Klein, A&lt;/author&gt;&lt;author&gt;McAlindon, ME&lt;/author&gt;&lt;author&gt;Rosa, B&lt;/author&gt;&lt;author&gt;Rowse, G&lt;/author&gt;&lt;author&gt;Sanders, DS&lt;/author&gt;&lt;author&gt;Saurin, JC&lt;/author&gt;&lt;author&gt;Sidhu, R&lt;/author&gt;&lt;author&gt;Dumonceau, J&lt;/author&gt;&lt;author&gt;Hassan, C&lt;/author&gt;&lt;author&gt;Grainek, IM&lt;/author&gt;&lt;/authors&gt;&lt;/contributors&gt;&lt;titles&gt;&lt;title&gt;Small-bowel capsule endoscopy and device-assisted enteroscopy for the diagnosis and treatment of small-bowel disorders : Clinical Guideline &lt;/title&gt;&lt;secondary-title&gt;Endoscopy &lt;/secondary-title&gt;&lt;/titles&gt;&lt;periodical&gt;&lt;full-title&gt;Endoscopy&lt;/full-title&gt;&lt;/periodical&gt;&lt;pages&gt;352-376&lt;/pages&gt;&lt;volume&gt;47&lt;/volume&gt;&lt;dates&gt;&lt;year&gt;2015&lt;/year&gt;&lt;/dates&gt;&lt;urls&gt;&lt;/urls&gt;&lt;/record&gt;&lt;/Cite&gt;&lt;/EndNote&gt;</w:instrText>
      </w:r>
      <w:r w:rsidRPr="000D5177">
        <w:rPr>
          <w:vertAlign w:val="superscript"/>
        </w:rPr>
        <w:fldChar w:fldCharType="separate"/>
      </w:r>
      <w:r w:rsidRPr="000D5177">
        <w:rPr>
          <w:noProof/>
          <w:vertAlign w:val="superscript"/>
        </w:rPr>
        <w:t>(3)</w:t>
      </w:r>
      <w:r w:rsidRPr="000D5177">
        <w:rPr>
          <w:vertAlign w:val="superscript"/>
        </w:rPr>
        <w:fldChar w:fldCharType="end"/>
      </w:r>
    </w:p>
    <w:p w14:paraId="6C6A5DE9" w14:textId="77777777" w:rsidR="000D5177" w:rsidRPr="000D5177" w:rsidRDefault="000D5177" w:rsidP="00FA1377">
      <w:pPr>
        <w:pStyle w:val="ListParagraph"/>
        <w:numPr>
          <w:ilvl w:val="0"/>
          <w:numId w:val="47"/>
        </w:numPr>
        <w:spacing w:before="0" w:after="0" w:line="240" w:lineRule="auto"/>
        <w:jc w:val="both"/>
        <w:rPr>
          <w:szCs w:val="22"/>
        </w:rPr>
      </w:pPr>
      <w:r w:rsidRPr="000D5177">
        <w:rPr>
          <w:i/>
          <w:szCs w:val="22"/>
        </w:rPr>
        <w:t xml:space="preserve">Obscure Gastrointestinal Bleeding (OGIB)- </w:t>
      </w:r>
      <w:r w:rsidRPr="000D5177">
        <w:rPr>
          <w:szCs w:val="22"/>
        </w:rPr>
        <w:t xml:space="preserve">ESGE recommends against the use of push enteroscopy as first line in the investigation of obscure GI bleeding, due to low diagnostic yield compared with capsule endoscopy. </w:t>
      </w:r>
    </w:p>
    <w:p w14:paraId="47A1920E" w14:textId="62D0D1E3" w:rsidR="000D5177" w:rsidRPr="000D5177" w:rsidRDefault="000D5177" w:rsidP="00FA1377">
      <w:pPr>
        <w:pStyle w:val="ListParagraph"/>
        <w:numPr>
          <w:ilvl w:val="0"/>
          <w:numId w:val="47"/>
        </w:numPr>
        <w:spacing w:before="0" w:after="0" w:line="240" w:lineRule="auto"/>
        <w:jc w:val="both"/>
        <w:rPr>
          <w:szCs w:val="22"/>
        </w:rPr>
      </w:pPr>
      <w:r w:rsidRPr="000D5177">
        <w:rPr>
          <w:szCs w:val="22"/>
        </w:rPr>
        <w:t>The diagnostic yield of PE and device-assisted enteroscopy appear to be comparable when only considering proximal small bowel lesions (whilst in a comparison of overall diagnostic yield, device-assisted enteroscopy has been found to be superior).</w:t>
      </w:r>
      <w:r w:rsidR="00C22AE4">
        <w:rPr>
          <w:szCs w:val="22"/>
        </w:rPr>
        <w:t xml:space="preserve"> </w:t>
      </w:r>
      <w:r w:rsidRPr="000D5177">
        <w:rPr>
          <w:szCs w:val="22"/>
        </w:rPr>
        <w:t xml:space="preserve">PE is however, less challenging in terms of requirements for sedation, examination and x-ray exposure. </w:t>
      </w:r>
    </w:p>
    <w:p w14:paraId="1C6CF7D5" w14:textId="692CF811" w:rsidR="000D5177" w:rsidRPr="000D5177" w:rsidRDefault="000D5177" w:rsidP="00FA1377">
      <w:pPr>
        <w:pStyle w:val="ListParagraph"/>
        <w:numPr>
          <w:ilvl w:val="0"/>
          <w:numId w:val="47"/>
        </w:numPr>
        <w:spacing w:before="0" w:after="0" w:line="240" w:lineRule="auto"/>
        <w:jc w:val="both"/>
        <w:rPr>
          <w:szCs w:val="22"/>
        </w:rPr>
      </w:pPr>
      <w:r w:rsidRPr="000D5177">
        <w:rPr>
          <w:szCs w:val="22"/>
        </w:rPr>
        <w:t>Although studies have evaluated the diagnostic yield of PE, capsule endoscopy and other investigations, there is insufficient evidence as to their impact on clinical outcomes including cessation of bleeding, resolution of anaemia, mortality, number of endoscopic procedures, hospitalization rate and blood transfusions.</w:t>
      </w:r>
      <w:r w:rsidR="00C22AE4">
        <w:rPr>
          <w:szCs w:val="22"/>
        </w:rPr>
        <w:t xml:space="preserve"> </w:t>
      </w:r>
    </w:p>
    <w:p w14:paraId="1B6C6A91" w14:textId="7A6A00D9" w:rsidR="000D5177" w:rsidRPr="000D5177" w:rsidRDefault="000D5177" w:rsidP="00FA1377">
      <w:pPr>
        <w:pStyle w:val="ListParagraph"/>
        <w:numPr>
          <w:ilvl w:val="0"/>
          <w:numId w:val="47"/>
        </w:numPr>
        <w:spacing w:before="0" w:after="0" w:line="240" w:lineRule="auto"/>
        <w:jc w:val="both"/>
        <w:rPr>
          <w:szCs w:val="22"/>
        </w:rPr>
      </w:pPr>
      <w:r w:rsidRPr="000D5177">
        <w:rPr>
          <w:i/>
          <w:szCs w:val="22"/>
        </w:rPr>
        <w:t>Iron deficiency Anaemia (IDA)</w:t>
      </w:r>
      <w:r w:rsidR="00C22AE4">
        <w:rPr>
          <w:szCs w:val="22"/>
        </w:rPr>
        <w:t xml:space="preserve"> </w:t>
      </w:r>
      <w:r w:rsidRPr="000D5177">
        <w:rPr>
          <w:szCs w:val="22"/>
        </w:rPr>
        <w:t>– There is an absence of high level evidence evaluating the diagnostic yield of PE specifically in IDA, however, given the numbers of IDA patients included in studies focusing on OGIB, the authors have concluded the yield to be comparable (between 30</w:t>
      </w:r>
      <w:r w:rsidR="008A6560">
        <w:rPr>
          <w:szCs w:val="22"/>
        </w:rPr>
        <w:t xml:space="preserve"> per cent</w:t>
      </w:r>
      <w:r w:rsidRPr="000D5177">
        <w:rPr>
          <w:szCs w:val="22"/>
        </w:rPr>
        <w:t xml:space="preserve"> and 70</w:t>
      </w:r>
      <w:r w:rsidR="008A6560">
        <w:rPr>
          <w:szCs w:val="22"/>
        </w:rPr>
        <w:t xml:space="preserve"> per cent</w:t>
      </w:r>
      <w:r w:rsidRPr="000D5177">
        <w:rPr>
          <w:szCs w:val="22"/>
        </w:rPr>
        <w:t xml:space="preserve">). </w:t>
      </w:r>
    </w:p>
    <w:p w14:paraId="2940FB64" w14:textId="77777777" w:rsidR="000D5177" w:rsidRPr="000D5177" w:rsidRDefault="000D5177" w:rsidP="00FA1377">
      <w:pPr>
        <w:pStyle w:val="ListParagraph"/>
        <w:numPr>
          <w:ilvl w:val="0"/>
          <w:numId w:val="47"/>
        </w:numPr>
        <w:spacing w:before="0" w:after="0" w:line="240" w:lineRule="auto"/>
        <w:jc w:val="both"/>
        <w:rPr>
          <w:szCs w:val="22"/>
        </w:rPr>
      </w:pPr>
      <w:r w:rsidRPr="000D5177">
        <w:rPr>
          <w:i/>
          <w:szCs w:val="22"/>
        </w:rPr>
        <w:t xml:space="preserve">Crohns disease – </w:t>
      </w:r>
      <w:r w:rsidRPr="000D5177">
        <w:rPr>
          <w:szCs w:val="22"/>
        </w:rPr>
        <w:t xml:space="preserve">PE may provide direct endoscopic assessment and biopsies for histopathology, particularly where prior investigations have suggested a lesion in the proximal bowel </w:t>
      </w:r>
    </w:p>
    <w:p w14:paraId="3878F218" w14:textId="1AB40725" w:rsidR="000D5177" w:rsidRPr="000D5177" w:rsidRDefault="000D5177" w:rsidP="00FA1377">
      <w:pPr>
        <w:pStyle w:val="ListParagraph"/>
        <w:numPr>
          <w:ilvl w:val="0"/>
          <w:numId w:val="47"/>
        </w:numPr>
        <w:spacing w:before="0" w:after="0" w:line="240" w:lineRule="auto"/>
        <w:jc w:val="both"/>
        <w:rPr>
          <w:szCs w:val="22"/>
        </w:rPr>
      </w:pPr>
      <w:r w:rsidRPr="000D5177">
        <w:rPr>
          <w:i/>
          <w:szCs w:val="22"/>
        </w:rPr>
        <w:t xml:space="preserve">Small bowel tumours – </w:t>
      </w:r>
      <w:r w:rsidRPr="000D5177">
        <w:rPr>
          <w:szCs w:val="22"/>
        </w:rPr>
        <w:t>data is usually derived from larger series, and have shown no significant differences in diagnostic yield between PE and VCE.</w:t>
      </w:r>
      <w:r w:rsidR="00C22AE4">
        <w:rPr>
          <w:szCs w:val="22"/>
        </w:rPr>
        <w:t xml:space="preserve"> </w:t>
      </w:r>
      <w:r w:rsidRPr="000D5177">
        <w:rPr>
          <w:szCs w:val="22"/>
        </w:rPr>
        <w:t>PE could therefore be useful in work up of small bowel tumours located in the proximal jejunum.</w:t>
      </w:r>
    </w:p>
    <w:p w14:paraId="12EC62C8" w14:textId="77777777" w:rsidR="000D5177" w:rsidRPr="000D5177" w:rsidRDefault="000D5177" w:rsidP="006A175E">
      <w:pPr>
        <w:pStyle w:val="Heading4"/>
      </w:pPr>
      <w:r w:rsidRPr="000D5177">
        <w:t xml:space="preserve">UK guidelines </w:t>
      </w:r>
    </w:p>
    <w:p w14:paraId="119640E4" w14:textId="77777777" w:rsidR="000D5177" w:rsidRPr="000D5177" w:rsidRDefault="000D5177" w:rsidP="000D5177">
      <w:pPr>
        <w:jc w:val="both"/>
        <w:rPr>
          <w:szCs w:val="22"/>
        </w:rPr>
      </w:pPr>
      <w:r w:rsidRPr="000D5177">
        <w:rPr>
          <w:szCs w:val="22"/>
        </w:rPr>
        <w:t>The British Society of Gastroenterology developed guidelines</w:t>
      </w:r>
      <w:r w:rsidRPr="000D5177">
        <w:rPr>
          <w:szCs w:val="22"/>
          <w:vertAlign w:val="superscript"/>
        </w:rPr>
        <w:fldChar w:fldCharType="begin"/>
      </w:r>
      <w:r w:rsidRPr="000D5177">
        <w:rPr>
          <w:szCs w:val="22"/>
          <w:vertAlign w:val="superscript"/>
        </w:rPr>
        <w:instrText xml:space="preserve"> ADDIN EN.CITE &lt;EndNote&gt;&lt;Cite&gt;&lt;Author&gt;Sidhu&lt;/Author&gt;&lt;Year&gt;2008&lt;/Year&gt;&lt;RecNum&gt;3&lt;/RecNum&gt;&lt;DisplayText&gt;(6)&lt;/DisplayText&gt;&lt;record&gt;&lt;rec-number&gt;3&lt;/rec-number&gt;&lt;foreign-keys&gt;&lt;key app="EN" db-id="zw2rw0e9tpd2t7efza7vfzakeedpvwz5fxtd" timestamp="1454984234"&gt;3&lt;/key&gt;&lt;/foreign-keys&gt;&lt;ref-type name="Journal Article"&gt;17&lt;/ref-type&gt;&lt;contributors&gt;&lt;authors&gt;&lt;author&gt;Sidhu, R&lt;/author&gt;&lt;author&gt;Sanders, DS&lt;/author&gt;&lt;author&gt;Morris, AJ&lt;/author&gt;&lt;author&gt;McAlindon, ME&lt;/author&gt;&lt;/authors&gt;&lt;/contributors&gt;&lt;titles&gt;&lt;title&gt;Guidelines on small bowel enteroscopy and capsule endoscopy in adults &lt;/title&gt;&lt;secondary-title&gt;Gut&lt;/secondary-title&gt;&lt;/titles&gt;&lt;periodical&gt;&lt;full-title&gt;Gut&lt;/full-title&gt;&lt;/periodical&gt;&lt;pages&gt;125-136&lt;/pages&gt;&lt;volume&gt;57&lt;/volume&gt;&lt;dates&gt;&lt;year&gt;2008&lt;/year&gt;&lt;/dates&gt;&lt;urls&gt;&lt;/urls&gt;&lt;/record&gt;&lt;/Cite&gt;&lt;/EndNote&gt;</w:instrText>
      </w:r>
      <w:r w:rsidRPr="000D5177">
        <w:rPr>
          <w:szCs w:val="22"/>
          <w:vertAlign w:val="superscript"/>
        </w:rPr>
        <w:fldChar w:fldCharType="separate"/>
      </w:r>
      <w:r w:rsidRPr="000D5177">
        <w:rPr>
          <w:noProof/>
          <w:szCs w:val="22"/>
          <w:vertAlign w:val="superscript"/>
        </w:rPr>
        <w:t>(6)</w:t>
      </w:r>
      <w:r w:rsidRPr="000D5177">
        <w:rPr>
          <w:szCs w:val="22"/>
          <w:vertAlign w:val="superscript"/>
        </w:rPr>
        <w:fldChar w:fldCharType="end"/>
      </w:r>
      <w:r w:rsidRPr="000D5177">
        <w:rPr>
          <w:szCs w:val="22"/>
        </w:rPr>
        <w:t xml:space="preserve"> on small bowel enteroscopy and capsule endoscopy that outlined the following indications for use of push enteroscopy: </w:t>
      </w:r>
    </w:p>
    <w:p w14:paraId="4C442113" w14:textId="77777777" w:rsidR="000D5177" w:rsidRPr="000D5177" w:rsidRDefault="000D5177" w:rsidP="000D5177">
      <w:pPr>
        <w:jc w:val="both"/>
        <w:rPr>
          <w:szCs w:val="22"/>
        </w:rPr>
      </w:pPr>
      <w:r w:rsidRPr="000D5177">
        <w:rPr>
          <w:szCs w:val="22"/>
        </w:rPr>
        <w:t xml:space="preserve">a) Diagnostic </w:t>
      </w:r>
    </w:p>
    <w:p w14:paraId="6CB5C338" w14:textId="77777777" w:rsidR="000D5177" w:rsidRPr="000D5177" w:rsidRDefault="000D5177" w:rsidP="00FA1377">
      <w:pPr>
        <w:pStyle w:val="ListParagraph"/>
        <w:numPr>
          <w:ilvl w:val="0"/>
          <w:numId w:val="48"/>
        </w:numPr>
        <w:spacing w:before="0" w:after="0" w:line="240" w:lineRule="auto"/>
        <w:jc w:val="both"/>
        <w:rPr>
          <w:szCs w:val="22"/>
        </w:rPr>
      </w:pPr>
      <w:r w:rsidRPr="000D5177">
        <w:rPr>
          <w:szCs w:val="22"/>
        </w:rPr>
        <w:t>obscure gastrointestinal bleeding</w:t>
      </w:r>
    </w:p>
    <w:p w14:paraId="140F3C13" w14:textId="77777777" w:rsidR="000D5177" w:rsidRPr="000D5177" w:rsidRDefault="000D5177" w:rsidP="00FA1377">
      <w:pPr>
        <w:pStyle w:val="ListParagraph"/>
        <w:numPr>
          <w:ilvl w:val="1"/>
          <w:numId w:val="48"/>
        </w:numPr>
        <w:spacing w:before="0" w:after="0" w:line="240" w:lineRule="auto"/>
        <w:jc w:val="both"/>
        <w:rPr>
          <w:szCs w:val="22"/>
        </w:rPr>
      </w:pPr>
      <w:r w:rsidRPr="000D5177">
        <w:rPr>
          <w:szCs w:val="22"/>
        </w:rPr>
        <w:t>where initial gastroscopy and colonoscopy have failed to detect the source of bleeding</w:t>
      </w:r>
    </w:p>
    <w:p w14:paraId="27805AC7" w14:textId="77777777" w:rsidR="000D5177" w:rsidRPr="000D5177" w:rsidRDefault="000D5177" w:rsidP="00FA1377">
      <w:pPr>
        <w:pStyle w:val="ListParagraph"/>
        <w:numPr>
          <w:ilvl w:val="0"/>
          <w:numId w:val="48"/>
        </w:numPr>
        <w:spacing w:before="0" w:after="0" w:line="240" w:lineRule="auto"/>
        <w:jc w:val="both"/>
        <w:rPr>
          <w:szCs w:val="22"/>
        </w:rPr>
      </w:pPr>
      <w:r w:rsidRPr="000D5177">
        <w:rPr>
          <w:szCs w:val="22"/>
        </w:rPr>
        <w:t>malabsorption and unexplained diarrhoea</w:t>
      </w:r>
    </w:p>
    <w:p w14:paraId="02274EC7" w14:textId="77777777" w:rsidR="000D5177" w:rsidRPr="000D5177" w:rsidRDefault="000D5177" w:rsidP="00FA1377">
      <w:pPr>
        <w:pStyle w:val="ListParagraph"/>
        <w:numPr>
          <w:ilvl w:val="1"/>
          <w:numId w:val="48"/>
        </w:numPr>
        <w:spacing w:before="0" w:after="0" w:line="240" w:lineRule="auto"/>
        <w:jc w:val="both"/>
        <w:rPr>
          <w:szCs w:val="22"/>
        </w:rPr>
      </w:pPr>
      <w:r w:rsidRPr="000D5177">
        <w:rPr>
          <w:szCs w:val="22"/>
        </w:rPr>
        <w:t>Consider PE to obtain jejunal biopsies in patients suspected of malabsorption with positive anti-endomysial antibody and non-diagnostic duodenal biopsies.</w:t>
      </w:r>
    </w:p>
    <w:p w14:paraId="3905CA89" w14:textId="77777777" w:rsidR="000D5177" w:rsidRPr="000D5177" w:rsidRDefault="000D5177" w:rsidP="00FA1377">
      <w:pPr>
        <w:pStyle w:val="ListParagraph"/>
        <w:numPr>
          <w:ilvl w:val="0"/>
          <w:numId w:val="48"/>
        </w:numPr>
        <w:spacing w:before="0" w:after="0" w:line="240" w:lineRule="auto"/>
        <w:jc w:val="both"/>
        <w:rPr>
          <w:szCs w:val="22"/>
        </w:rPr>
      </w:pPr>
      <w:r w:rsidRPr="000D5177">
        <w:rPr>
          <w:szCs w:val="22"/>
        </w:rPr>
        <w:t>exploration of radiographic abnormalities of the proximal small bowel</w:t>
      </w:r>
    </w:p>
    <w:p w14:paraId="2E37C3FD" w14:textId="77777777" w:rsidR="000D5177" w:rsidRPr="000D5177" w:rsidRDefault="000D5177" w:rsidP="00FA1377">
      <w:pPr>
        <w:pStyle w:val="ListParagraph"/>
        <w:numPr>
          <w:ilvl w:val="1"/>
          <w:numId w:val="48"/>
        </w:numPr>
        <w:spacing w:before="0" w:after="0" w:line="240" w:lineRule="auto"/>
        <w:jc w:val="both"/>
        <w:rPr>
          <w:szCs w:val="22"/>
        </w:rPr>
      </w:pPr>
      <w:r w:rsidRPr="000D5177">
        <w:rPr>
          <w:szCs w:val="22"/>
        </w:rPr>
        <w:t>PE is useful in investigation of proximal small bowel abnormalities detected by radiology</w:t>
      </w:r>
    </w:p>
    <w:p w14:paraId="2C667FB4" w14:textId="77777777" w:rsidR="000D5177" w:rsidRPr="000D5177" w:rsidRDefault="000D5177" w:rsidP="00FA1377">
      <w:pPr>
        <w:pStyle w:val="ListParagraph"/>
        <w:numPr>
          <w:ilvl w:val="0"/>
          <w:numId w:val="48"/>
        </w:numPr>
        <w:spacing w:before="0" w:after="0" w:line="240" w:lineRule="auto"/>
        <w:jc w:val="both"/>
        <w:rPr>
          <w:szCs w:val="22"/>
        </w:rPr>
      </w:pPr>
      <w:r w:rsidRPr="000D5177">
        <w:rPr>
          <w:szCs w:val="22"/>
        </w:rPr>
        <w:t xml:space="preserve">Investigation of small bowel tumours </w:t>
      </w:r>
    </w:p>
    <w:p w14:paraId="733DD81B" w14:textId="77777777" w:rsidR="000D5177" w:rsidRPr="000D5177" w:rsidRDefault="000D5177" w:rsidP="00FA1377">
      <w:pPr>
        <w:pStyle w:val="ListParagraph"/>
        <w:numPr>
          <w:ilvl w:val="1"/>
          <w:numId w:val="48"/>
        </w:numPr>
        <w:spacing w:before="0" w:after="0" w:line="240" w:lineRule="auto"/>
        <w:jc w:val="both"/>
        <w:rPr>
          <w:szCs w:val="22"/>
        </w:rPr>
      </w:pPr>
      <w:r w:rsidRPr="000D5177">
        <w:rPr>
          <w:szCs w:val="22"/>
        </w:rPr>
        <w:t>PE offers the opportunity of taking biopsies when lesion has been identified (as long as lesion is within reach of enteroscope)</w:t>
      </w:r>
    </w:p>
    <w:p w14:paraId="34A93C53" w14:textId="77777777" w:rsidR="002036DF" w:rsidRPr="000D5177" w:rsidRDefault="000D5177" w:rsidP="002036DF">
      <w:pPr>
        <w:jc w:val="both"/>
        <w:rPr>
          <w:szCs w:val="22"/>
        </w:rPr>
      </w:pPr>
      <w:r w:rsidRPr="000D5177">
        <w:rPr>
          <w:szCs w:val="22"/>
        </w:rPr>
        <w:t>b) Therapeutic</w:t>
      </w:r>
    </w:p>
    <w:p w14:paraId="42B72827" w14:textId="77777777" w:rsidR="000D5177" w:rsidRPr="000D5177" w:rsidRDefault="000D5177" w:rsidP="00FA1377">
      <w:pPr>
        <w:pStyle w:val="ListParagraph"/>
        <w:numPr>
          <w:ilvl w:val="0"/>
          <w:numId w:val="48"/>
        </w:numPr>
        <w:spacing w:before="0" w:after="0" w:line="240" w:lineRule="auto"/>
        <w:jc w:val="both"/>
        <w:rPr>
          <w:szCs w:val="22"/>
        </w:rPr>
      </w:pPr>
      <w:r w:rsidRPr="000D5177">
        <w:rPr>
          <w:szCs w:val="22"/>
        </w:rPr>
        <w:t>Thermocoagulation of bleeding lesions</w:t>
      </w:r>
    </w:p>
    <w:p w14:paraId="078C313F" w14:textId="77777777" w:rsidR="000D5177" w:rsidRPr="000D5177" w:rsidRDefault="000D5177" w:rsidP="00FA1377">
      <w:pPr>
        <w:pStyle w:val="ListParagraph"/>
        <w:numPr>
          <w:ilvl w:val="1"/>
          <w:numId w:val="48"/>
        </w:numPr>
        <w:spacing w:before="0" w:after="0" w:line="240" w:lineRule="auto"/>
        <w:jc w:val="both"/>
        <w:rPr>
          <w:szCs w:val="22"/>
        </w:rPr>
      </w:pPr>
      <w:r w:rsidRPr="000D5177">
        <w:rPr>
          <w:szCs w:val="22"/>
        </w:rPr>
        <w:lastRenderedPageBreak/>
        <w:t>PE may be used in thermocoagulation of angioectasias (most common cause of bleeding in patients over 50)</w:t>
      </w:r>
    </w:p>
    <w:p w14:paraId="2849DF88" w14:textId="77777777" w:rsidR="000D5177" w:rsidRPr="000D5177" w:rsidRDefault="000D5177" w:rsidP="00FA1377">
      <w:pPr>
        <w:pStyle w:val="ListParagraph"/>
        <w:numPr>
          <w:ilvl w:val="0"/>
          <w:numId w:val="48"/>
        </w:numPr>
        <w:spacing w:before="0" w:after="0" w:line="240" w:lineRule="auto"/>
        <w:jc w:val="both"/>
        <w:rPr>
          <w:szCs w:val="22"/>
        </w:rPr>
      </w:pPr>
      <w:r w:rsidRPr="000D5177">
        <w:rPr>
          <w:szCs w:val="22"/>
        </w:rPr>
        <w:t>Placement of jejunostomy tubes</w:t>
      </w:r>
    </w:p>
    <w:p w14:paraId="35112D3D" w14:textId="77777777" w:rsidR="000D5177" w:rsidRPr="000D5177" w:rsidRDefault="000D5177" w:rsidP="00FA1377">
      <w:pPr>
        <w:pStyle w:val="ListParagraph"/>
        <w:numPr>
          <w:ilvl w:val="1"/>
          <w:numId w:val="48"/>
        </w:numPr>
        <w:spacing w:before="0" w:after="0" w:line="240" w:lineRule="auto"/>
        <w:jc w:val="both"/>
        <w:rPr>
          <w:szCs w:val="22"/>
        </w:rPr>
      </w:pPr>
      <w:r w:rsidRPr="000D5177">
        <w:rPr>
          <w:szCs w:val="22"/>
        </w:rPr>
        <w:t>PE is method of choice for endoscopically placed feeding jejunostomy</w:t>
      </w:r>
    </w:p>
    <w:p w14:paraId="6F0145EA" w14:textId="77777777" w:rsidR="000D5177" w:rsidRPr="000D5177" w:rsidRDefault="000D5177" w:rsidP="00FA1377">
      <w:pPr>
        <w:pStyle w:val="ListParagraph"/>
        <w:numPr>
          <w:ilvl w:val="0"/>
          <w:numId w:val="48"/>
        </w:numPr>
        <w:spacing w:before="0" w:after="0" w:line="240" w:lineRule="auto"/>
        <w:jc w:val="both"/>
        <w:rPr>
          <w:szCs w:val="22"/>
        </w:rPr>
      </w:pPr>
      <w:r w:rsidRPr="000D5177">
        <w:rPr>
          <w:szCs w:val="22"/>
        </w:rPr>
        <w:t>Stricture dilatation</w:t>
      </w:r>
      <w:r w:rsidRPr="000D5177">
        <w:rPr>
          <w:szCs w:val="22"/>
          <w:vertAlign w:val="superscript"/>
        </w:rPr>
        <w:fldChar w:fldCharType="begin"/>
      </w:r>
      <w:r w:rsidRPr="000D5177">
        <w:rPr>
          <w:szCs w:val="22"/>
          <w:vertAlign w:val="superscript"/>
        </w:rPr>
        <w:instrText xml:space="preserve"> ADDIN EN.CITE &lt;EndNote&gt;&lt;Cite&gt;&lt;Author&gt;O&amp;apos;Mahony&lt;/Author&gt;&lt;Year&gt;1996&lt;/Year&gt;&lt;RecNum&gt;11&lt;/RecNum&gt;&lt;DisplayText&gt;(12)&lt;/DisplayText&gt;&lt;record&gt;&lt;rec-number&gt;11&lt;/rec-number&gt;&lt;foreign-keys&gt;&lt;key app="EN" db-id="zw2rw0e9tpd2t7efza7vfzakeedpvwz5fxtd" timestamp="1456401383"&gt;11&lt;/key&gt;&lt;/foreign-keys&gt;&lt;ref-type name="Journal Article"&gt;17&lt;/ref-type&gt;&lt;contributors&gt;&lt;authors&gt;&lt;author&gt;O&amp;apos;Mahony, S&lt;/author&gt;&lt;author&gt;Morris, AJ&lt;/author&gt;&lt;author&gt;Straiton, M&lt;/author&gt;&lt;author&gt;Murray, L&lt;/author&gt;&lt;author&gt;MacKenzie, JF&lt;/author&gt;&lt;/authors&gt;&lt;/contributors&gt;&lt;titles&gt;&lt;title&gt;Push enteroscopy in the investigation of small-intestinal disease&lt;/title&gt;&lt;secondary-title&gt;Q J Med &lt;/secondary-title&gt;&lt;/titles&gt;&lt;periodical&gt;&lt;full-title&gt;Q J Med&lt;/full-title&gt;&lt;/periodical&gt;&lt;pages&gt;685-690&lt;/pages&gt;&lt;volume&gt;89&lt;/volume&gt;&lt;dates&gt;&lt;year&gt;1996&lt;/year&gt;&lt;/dates&gt;&lt;urls&gt;&lt;/urls&gt;&lt;/record&gt;&lt;/Cite&gt;&lt;/EndNote&gt;</w:instrText>
      </w:r>
      <w:r w:rsidRPr="000D5177">
        <w:rPr>
          <w:szCs w:val="22"/>
          <w:vertAlign w:val="superscript"/>
        </w:rPr>
        <w:fldChar w:fldCharType="separate"/>
      </w:r>
      <w:r w:rsidRPr="000D5177">
        <w:rPr>
          <w:noProof/>
          <w:szCs w:val="22"/>
          <w:vertAlign w:val="superscript"/>
        </w:rPr>
        <w:t>(12)</w:t>
      </w:r>
      <w:r w:rsidRPr="000D5177">
        <w:rPr>
          <w:szCs w:val="22"/>
          <w:vertAlign w:val="superscript"/>
        </w:rPr>
        <w:fldChar w:fldCharType="end"/>
      </w:r>
    </w:p>
    <w:p w14:paraId="1EE40A29" w14:textId="77777777" w:rsidR="000D5177" w:rsidRPr="000D5177" w:rsidRDefault="000D5177" w:rsidP="00FA1377">
      <w:pPr>
        <w:pStyle w:val="ListParagraph"/>
        <w:numPr>
          <w:ilvl w:val="0"/>
          <w:numId w:val="48"/>
        </w:numPr>
        <w:spacing w:before="0" w:after="0" w:line="240" w:lineRule="auto"/>
        <w:jc w:val="both"/>
        <w:rPr>
          <w:szCs w:val="22"/>
        </w:rPr>
      </w:pPr>
      <w:r w:rsidRPr="000D5177">
        <w:rPr>
          <w:szCs w:val="22"/>
        </w:rPr>
        <w:t>Polypectomy</w:t>
      </w:r>
      <w:r w:rsidRPr="000D5177">
        <w:rPr>
          <w:szCs w:val="22"/>
          <w:vertAlign w:val="superscript"/>
        </w:rPr>
        <w:fldChar w:fldCharType="begin"/>
      </w:r>
      <w:r w:rsidRPr="000D5177">
        <w:rPr>
          <w:szCs w:val="22"/>
          <w:vertAlign w:val="superscript"/>
        </w:rPr>
        <w:instrText xml:space="preserve"> ADDIN EN.CITE &lt;EndNote&gt;&lt;Cite&gt;&lt;Author&gt;O&amp;apos;Mahony&lt;/Author&gt;&lt;Year&gt;1996&lt;/Year&gt;&lt;RecNum&gt;11&lt;/RecNum&gt;&lt;DisplayText&gt;(12)&lt;/DisplayText&gt;&lt;record&gt;&lt;rec-number&gt;11&lt;/rec-number&gt;&lt;foreign-keys&gt;&lt;key app="EN" db-id="zw2rw0e9tpd2t7efza7vfzakeedpvwz5fxtd" timestamp="1456401383"&gt;11&lt;/key&gt;&lt;/foreign-keys&gt;&lt;ref-type name="Journal Article"&gt;17&lt;/ref-type&gt;&lt;contributors&gt;&lt;authors&gt;&lt;author&gt;O&amp;apos;Mahony, S&lt;/author&gt;&lt;author&gt;Morris, AJ&lt;/author&gt;&lt;author&gt;Straiton, M&lt;/author&gt;&lt;author&gt;Murray, L&lt;/author&gt;&lt;author&gt;MacKenzie, JF&lt;/author&gt;&lt;/authors&gt;&lt;/contributors&gt;&lt;titles&gt;&lt;title&gt;Push enteroscopy in the investigation of small-intestinal disease&lt;/title&gt;&lt;secondary-title&gt;Q J Med &lt;/secondary-title&gt;&lt;/titles&gt;&lt;periodical&gt;&lt;full-title&gt;Q J Med&lt;/full-title&gt;&lt;/periodical&gt;&lt;pages&gt;685-690&lt;/pages&gt;&lt;volume&gt;89&lt;/volume&gt;&lt;dates&gt;&lt;year&gt;1996&lt;/year&gt;&lt;/dates&gt;&lt;urls&gt;&lt;/urls&gt;&lt;/record&gt;&lt;/Cite&gt;&lt;/EndNote&gt;</w:instrText>
      </w:r>
      <w:r w:rsidRPr="000D5177">
        <w:rPr>
          <w:szCs w:val="22"/>
          <w:vertAlign w:val="superscript"/>
        </w:rPr>
        <w:fldChar w:fldCharType="separate"/>
      </w:r>
      <w:r w:rsidRPr="000D5177">
        <w:rPr>
          <w:noProof/>
          <w:szCs w:val="22"/>
          <w:vertAlign w:val="superscript"/>
        </w:rPr>
        <w:t>(12)</w:t>
      </w:r>
      <w:r w:rsidRPr="000D5177">
        <w:rPr>
          <w:szCs w:val="22"/>
          <w:vertAlign w:val="superscript"/>
        </w:rPr>
        <w:fldChar w:fldCharType="end"/>
      </w:r>
    </w:p>
    <w:p w14:paraId="2D668CF4" w14:textId="77777777" w:rsidR="000D5177" w:rsidRPr="000D5177" w:rsidRDefault="000D5177" w:rsidP="00FA1377">
      <w:pPr>
        <w:pStyle w:val="ListParagraph"/>
        <w:numPr>
          <w:ilvl w:val="0"/>
          <w:numId w:val="48"/>
        </w:numPr>
        <w:spacing w:before="0" w:after="0" w:line="240" w:lineRule="auto"/>
        <w:jc w:val="both"/>
        <w:rPr>
          <w:szCs w:val="22"/>
        </w:rPr>
      </w:pPr>
      <w:r w:rsidRPr="000D5177">
        <w:rPr>
          <w:szCs w:val="22"/>
        </w:rPr>
        <w:t>ERCP following Rouxen-Y reconstruction</w:t>
      </w:r>
      <w:r w:rsidRPr="000D5177">
        <w:rPr>
          <w:szCs w:val="22"/>
          <w:vertAlign w:val="superscript"/>
        </w:rPr>
        <w:fldChar w:fldCharType="begin"/>
      </w:r>
      <w:r w:rsidRPr="000D5177">
        <w:rPr>
          <w:szCs w:val="22"/>
          <w:vertAlign w:val="superscript"/>
        </w:rPr>
        <w:instrText xml:space="preserve"> ADDIN EN.CITE &lt;EndNote&gt;&lt;Cite&gt;&lt;Author&gt;O&amp;apos;Mahony&lt;/Author&gt;&lt;Year&gt;1996&lt;/Year&gt;&lt;RecNum&gt;11&lt;/RecNum&gt;&lt;DisplayText&gt;(12)&lt;/DisplayText&gt;&lt;record&gt;&lt;rec-number&gt;11&lt;/rec-number&gt;&lt;foreign-keys&gt;&lt;key app="EN" db-id="zw2rw0e9tpd2t7efza7vfzakeedpvwz5fxtd" timestamp="1456401383"&gt;11&lt;/key&gt;&lt;/foreign-keys&gt;&lt;ref-type name="Journal Article"&gt;17&lt;/ref-type&gt;&lt;contributors&gt;&lt;authors&gt;&lt;author&gt;O&amp;apos;Mahony, S&lt;/author&gt;&lt;author&gt;Morris, AJ&lt;/author&gt;&lt;author&gt;Straiton, M&lt;/author&gt;&lt;author&gt;Murray, L&lt;/author&gt;&lt;author&gt;MacKenzie, JF&lt;/author&gt;&lt;/authors&gt;&lt;/contributors&gt;&lt;titles&gt;&lt;title&gt;Push enteroscopy in the investigation of small-intestinal disease&lt;/title&gt;&lt;secondary-title&gt;Q J Med &lt;/secondary-title&gt;&lt;/titles&gt;&lt;periodical&gt;&lt;full-title&gt;Q J Med&lt;/full-title&gt;&lt;/periodical&gt;&lt;pages&gt;685-690&lt;/pages&gt;&lt;volume&gt;89&lt;/volume&gt;&lt;dates&gt;&lt;year&gt;1996&lt;/year&gt;&lt;/dates&gt;&lt;urls&gt;&lt;/urls&gt;&lt;/record&gt;&lt;/Cite&gt;&lt;/EndNote&gt;</w:instrText>
      </w:r>
      <w:r w:rsidRPr="000D5177">
        <w:rPr>
          <w:szCs w:val="22"/>
          <w:vertAlign w:val="superscript"/>
        </w:rPr>
        <w:fldChar w:fldCharType="separate"/>
      </w:r>
      <w:r w:rsidRPr="000D5177">
        <w:rPr>
          <w:noProof/>
          <w:szCs w:val="22"/>
          <w:vertAlign w:val="superscript"/>
        </w:rPr>
        <w:t>(12)</w:t>
      </w:r>
      <w:r w:rsidRPr="000D5177">
        <w:rPr>
          <w:szCs w:val="22"/>
          <w:vertAlign w:val="superscript"/>
        </w:rPr>
        <w:fldChar w:fldCharType="end"/>
      </w:r>
    </w:p>
    <w:p w14:paraId="523A401C" w14:textId="77777777" w:rsidR="000D5177" w:rsidRPr="000D5177" w:rsidRDefault="000D5177" w:rsidP="000D5177">
      <w:pPr>
        <w:jc w:val="both"/>
        <w:rPr>
          <w:szCs w:val="22"/>
        </w:rPr>
      </w:pPr>
      <w:r w:rsidRPr="000D5177">
        <w:rPr>
          <w:szCs w:val="22"/>
        </w:rPr>
        <w:t xml:space="preserve">c) Surveillance </w:t>
      </w:r>
    </w:p>
    <w:p w14:paraId="1FBA595A" w14:textId="77777777" w:rsidR="000D5177" w:rsidRPr="000D5177" w:rsidRDefault="000D5177" w:rsidP="00FA1377">
      <w:pPr>
        <w:pStyle w:val="ListParagraph"/>
        <w:numPr>
          <w:ilvl w:val="0"/>
          <w:numId w:val="49"/>
        </w:numPr>
        <w:spacing w:before="0" w:after="0" w:line="240" w:lineRule="auto"/>
        <w:jc w:val="both"/>
        <w:rPr>
          <w:szCs w:val="22"/>
        </w:rPr>
      </w:pPr>
      <w:r w:rsidRPr="000D5177">
        <w:rPr>
          <w:szCs w:val="22"/>
        </w:rPr>
        <w:t xml:space="preserve">Polyposis syndromes </w:t>
      </w:r>
    </w:p>
    <w:p w14:paraId="4B0289BE" w14:textId="77777777" w:rsidR="000D5177" w:rsidRPr="000D5177" w:rsidRDefault="000D5177" w:rsidP="00FA1377">
      <w:pPr>
        <w:pStyle w:val="ListParagraph"/>
        <w:numPr>
          <w:ilvl w:val="1"/>
          <w:numId w:val="49"/>
        </w:numPr>
        <w:spacing w:before="0" w:after="0" w:line="240" w:lineRule="auto"/>
        <w:jc w:val="both"/>
        <w:rPr>
          <w:szCs w:val="22"/>
        </w:rPr>
      </w:pPr>
      <w:r w:rsidRPr="000D5177">
        <w:rPr>
          <w:szCs w:val="22"/>
        </w:rPr>
        <w:t>PE may be used in endoscopic screening of FAP patients to identify high risk individuals.</w:t>
      </w:r>
    </w:p>
    <w:p w14:paraId="15BBD3C1" w14:textId="77777777" w:rsidR="000D5177" w:rsidRPr="000D5177" w:rsidRDefault="000D5177" w:rsidP="006A175E">
      <w:pPr>
        <w:pStyle w:val="Heading4"/>
      </w:pPr>
      <w:r w:rsidRPr="000D5177">
        <w:t>ACG Clinical Guideline: Diagnosis and Management of Small Bowel Bleeding</w:t>
      </w:r>
      <w:r w:rsidRPr="000D5177">
        <w:rPr>
          <w:vertAlign w:val="superscript"/>
        </w:rPr>
        <w:fldChar w:fldCharType="begin"/>
      </w:r>
      <w:r w:rsidRPr="000D5177">
        <w:rPr>
          <w:vertAlign w:val="superscript"/>
        </w:rPr>
        <w:instrText xml:space="preserve"> ADDIN EN.CITE &lt;EndNote&gt;&lt;Cite&gt;&lt;Author&gt;Gerson&lt;/Author&gt;&lt;Year&gt;2015&lt;/Year&gt;&lt;RecNum&gt;1&lt;/RecNum&gt;&lt;DisplayText&gt;(1)&lt;/DisplayText&gt;&lt;record&gt;&lt;rec-number&gt;1&lt;/rec-number&gt;&lt;foreign-keys&gt;&lt;key app="EN" db-id="zw2rw0e9tpd2t7efza7vfzakeedpvwz5fxtd" timestamp="1454983716"&gt;1&lt;/key&gt;&lt;/foreign-keys&gt;&lt;ref-type name="Journal Article"&gt;17&lt;/ref-type&gt;&lt;contributors&gt;&lt;authors&gt;&lt;author&gt;Gerson, Lauren&lt;/author&gt;&lt;author&gt;Fidler, Jeff&lt;/author&gt;&lt;author&gt;Cave, David&lt;/author&gt;&lt;author&gt;Leighton, Jonathan &lt;/author&gt;&lt;/authors&gt;&lt;/contributors&gt;&lt;titles&gt;&lt;title&gt;ACG Clinical Guideline: Diagnosis and Management of Small Bowel Bleeding &lt;/title&gt;&lt;secondary-title&gt;American Journal of Gastroenterology&lt;/secondary-title&gt;&lt;/titles&gt;&lt;periodical&gt;&lt;full-title&gt;American Journal of Gastroenterology&lt;/full-title&gt;&lt;/periodical&gt;&lt;pages&gt;1265-1287&lt;/pages&gt;&lt;volume&gt;110&lt;/volume&gt;&lt;dates&gt;&lt;year&gt;2015&lt;/year&gt;&lt;/dates&gt;&lt;urls&gt;&lt;/urls&gt;&lt;/record&gt;&lt;/Cite&gt;&lt;/EndNote&gt;</w:instrText>
      </w:r>
      <w:r w:rsidRPr="000D5177">
        <w:rPr>
          <w:vertAlign w:val="superscript"/>
        </w:rPr>
        <w:fldChar w:fldCharType="separate"/>
      </w:r>
      <w:r w:rsidRPr="000D5177">
        <w:rPr>
          <w:noProof/>
          <w:vertAlign w:val="superscript"/>
        </w:rPr>
        <w:t>(1)</w:t>
      </w:r>
      <w:r w:rsidRPr="000D5177">
        <w:rPr>
          <w:vertAlign w:val="superscript"/>
        </w:rPr>
        <w:fldChar w:fldCharType="end"/>
      </w:r>
    </w:p>
    <w:p w14:paraId="61B751D4" w14:textId="77777777" w:rsidR="000D5177" w:rsidRPr="000D5177" w:rsidRDefault="000D5177" w:rsidP="00FA1377">
      <w:pPr>
        <w:pStyle w:val="ListParagraph"/>
        <w:numPr>
          <w:ilvl w:val="0"/>
          <w:numId w:val="49"/>
        </w:numPr>
        <w:spacing w:before="0" w:after="0" w:line="240" w:lineRule="auto"/>
        <w:jc w:val="both"/>
        <w:rPr>
          <w:b/>
          <w:szCs w:val="22"/>
        </w:rPr>
      </w:pPr>
      <w:r w:rsidRPr="000D5177">
        <w:rPr>
          <w:szCs w:val="22"/>
        </w:rPr>
        <w:t xml:space="preserve">VCE should be first line procedure for small bowel investigation </w:t>
      </w:r>
    </w:p>
    <w:p w14:paraId="50CB0D21" w14:textId="77777777" w:rsidR="000D5177" w:rsidRPr="000D5177" w:rsidRDefault="000D5177" w:rsidP="00FA1377">
      <w:pPr>
        <w:pStyle w:val="ListParagraph"/>
        <w:numPr>
          <w:ilvl w:val="0"/>
          <w:numId w:val="49"/>
        </w:numPr>
        <w:spacing w:before="0" w:after="0" w:line="240" w:lineRule="auto"/>
        <w:jc w:val="both"/>
        <w:rPr>
          <w:b/>
          <w:szCs w:val="22"/>
        </w:rPr>
      </w:pPr>
      <w:r w:rsidRPr="000D5177">
        <w:rPr>
          <w:szCs w:val="22"/>
        </w:rPr>
        <w:t xml:space="preserve">PE can be performed as a second look examination in evaluation of suspected small bowel bleeding </w:t>
      </w:r>
    </w:p>
    <w:p w14:paraId="18C38009" w14:textId="77777777" w:rsidR="000D5177" w:rsidRPr="000D5177" w:rsidRDefault="000D5177" w:rsidP="00FA1377">
      <w:pPr>
        <w:pStyle w:val="ListParagraph"/>
        <w:numPr>
          <w:ilvl w:val="0"/>
          <w:numId w:val="49"/>
        </w:numPr>
        <w:spacing w:before="0" w:after="0" w:line="240" w:lineRule="auto"/>
        <w:jc w:val="both"/>
        <w:rPr>
          <w:b/>
          <w:szCs w:val="22"/>
        </w:rPr>
      </w:pPr>
      <w:r w:rsidRPr="000D5177">
        <w:rPr>
          <w:szCs w:val="22"/>
        </w:rPr>
        <w:t xml:space="preserve">Due to lower detection rate of lesions in duodenum and proximal jejunum, PE should be performed if proximal lesions suspected </w:t>
      </w:r>
    </w:p>
    <w:p w14:paraId="4CF9E253" w14:textId="77777777" w:rsidR="000D5177" w:rsidRPr="000D5177" w:rsidRDefault="000D5177" w:rsidP="006A175E">
      <w:pPr>
        <w:pStyle w:val="Heading3"/>
      </w:pPr>
      <w:r w:rsidRPr="000D5177">
        <w:t xml:space="preserve">Conclusion </w:t>
      </w:r>
    </w:p>
    <w:p w14:paraId="3DF6B1D5" w14:textId="4223F00A" w:rsidR="000D5177" w:rsidRPr="001C0660" w:rsidRDefault="000D5177" w:rsidP="004304F5">
      <w:pPr>
        <w:jc w:val="both"/>
      </w:pPr>
      <w:r w:rsidRPr="000D5177">
        <w:rPr>
          <w:szCs w:val="22"/>
        </w:rPr>
        <w:t>From the available evidence, it appears that whilst push enteroscopy may have a place in the diagnosis and possible treatment of lesions in the proximal small bowel, it is by no means the suggested first line procedure in the investigation of OGIB or other small bowel pathology.</w:t>
      </w:r>
      <w:r w:rsidR="00C22AE4">
        <w:rPr>
          <w:szCs w:val="22"/>
        </w:rPr>
        <w:t xml:space="preserve"> </w:t>
      </w:r>
      <w:r w:rsidRPr="000D5177">
        <w:rPr>
          <w:szCs w:val="22"/>
        </w:rPr>
        <w:t>It may have a place in confirming diagnosis of lesions in the proximal small bowel, with some potential therapeutic applications, and may be useful where capsule endoscopy is impractical or unavailable. The general consensus in the literature seems to be that its use be at the discretion of the treating team having taken into account relevant patient, diagnostic and practical considerations.</w:t>
      </w:r>
      <w:r>
        <w:rPr>
          <w:b/>
          <w:szCs w:val="22"/>
          <w:u w:val="single"/>
        </w:rPr>
        <w:br w:type="page"/>
      </w:r>
    </w:p>
    <w:p w14:paraId="1FCB3711" w14:textId="013A8B17" w:rsidR="000D5177" w:rsidRPr="000D5177" w:rsidRDefault="000D5177" w:rsidP="006A175E">
      <w:pPr>
        <w:pStyle w:val="Heading3"/>
      </w:pPr>
      <w:r w:rsidRPr="000D5177">
        <w:lastRenderedPageBreak/>
        <w:t>References</w:t>
      </w:r>
    </w:p>
    <w:p w14:paraId="520C43B8" w14:textId="77777777" w:rsidR="000D5177" w:rsidRPr="000D5177" w:rsidRDefault="000D5177" w:rsidP="000D5177">
      <w:pPr>
        <w:pStyle w:val="EndNoteBibliography"/>
        <w:ind w:left="567" w:hanging="567"/>
        <w:rPr>
          <w:rFonts w:asciiTheme="minorHAnsi" w:hAnsiTheme="minorHAnsi"/>
          <w:noProof/>
          <w:sz w:val="20"/>
          <w:szCs w:val="20"/>
        </w:rPr>
      </w:pPr>
      <w:r w:rsidRPr="000D5177">
        <w:rPr>
          <w:rFonts w:asciiTheme="minorHAnsi" w:hAnsiTheme="minorHAnsi" w:cs="Times New Roman"/>
          <w:b/>
          <w:sz w:val="22"/>
          <w:szCs w:val="22"/>
          <w:u w:val="single"/>
        </w:rPr>
        <w:fldChar w:fldCharType="begin"/>
      </w:r>
      <w:r w:rsidRPr="000D5177">
        <w:rPr>
          <w:rFonts w:asciiTheme="minorHAnsi" w:hAnsiTheme="minorHAnsi" w:cs="Times New Roman"/>
          <w:b/>
          <w:sz w:val="22"/>
          <w:szCs w:val="22"/>
          <w:u w:val="single"/>
        </w:rPr>
        <w:instrText xml:space="preserve"> ADDIN EN.REFLIST </w:instrText>
      </w:r>
      <w:r w:rsidRPr="000D5177">
        <w:rPr>
          <w:rFonts w:asciiTheme="minorHAnsi" w:hAnsiTheme="minorHAnsi" w:cs="Times New Roman"/>
          <w:b/>
          <w:sz w:val="22"/>
          <w:szCs w:val="22"/>
          <w:u w:val="single"/>
        </w:rPr>
        <w:fldChar w:fldCharType="separate"/>
      </w:r>
      <w:r w:rsidRPr="000D5177">
        <w:rPr>
          <w:rFonts w:asciiTheme="minorHAnsi" w:hAnsiTheme="minorHAnsi"/>
          <w:noProof/>
          <w:sz w:val="22"/>
          <w:szCs w:val="22"/>
        </w:rPr>
        <w:t>1.</w:t>
      </w:r>
      <w:r w:rsidRPr="000D5177">
        <w:rPr>
          <w:rFonts w:asciiTheme="minorHAnsi" w:hAnsiTheme="minorHAnsi"/>
          <w:noProof/>
          <w:sz w:val="22"/>
          <w:szCs w:val="22"/>
        </w:rPr>
        <w:tab/>
      </w:r>
      <w:r w:rsidRPr="000D5177">
        <w:rPr>
          <w:rFonts w:asciiTheme="minorHAnsi" w:hAnsiTheme="minorHAnsi"/>
          <w:noProof/>
          <w:sz w:val="20"/>
          <w:szCs w:val="20"/>
        </w:rPr>
        <w:t>Gerson L, Fidler J, Cave D, Leighton J. ACG Clinical Guideline: Diagnosis and Management of Small Bowel Bleeding American Journal of Gastroenterology. 2015;110:1265-87.</w:t>
      </w:r>
    </w:p>
    <w:p w14:paraId="3B8EBAB1" w14:textId="77777777" w:rsidR="000D5177" w:rsidRPr="000D5177" w:rsidRDefault="000D5177" w:rsidP="000D5177">
      <w:pPr>
        <w:pStyle w:val="EndNoteBibliography"/>
        <w:ind w:left="567" w:hanging="567"/>
        <w:rPr>
          <w:rFonts w:asciiTheme="minorHAnsi" w:hAnsiTheme="minorHAnsi"/>
          <w:noProof/>
          <w:sz w:val="20"/>
          <w:szCs w:val="20"/>
        </w:rPr>
      </w:pPr>
      <w:r w:rsidRPr="000D5177">
        <w:rPr>
          <w:rFonts w:asciiTheme="minorHAnsi" w:hAnsiTheme="minorHAnsi"/>
          <w:noProof/>
          <w:sz w:val="20"/>
          <w:szCs w:val="20"/>
        </w:rPr>
        <w:t>2.</w:t>
      </w:r>
      <w:r w:rsidRPr="000D5177">
        <w:rPr>
          <w:rFonts w:asciiTheme="minorHAnsi" w:hAnsiTheme="minorHAnsi"/>
          <w:noProof/>
          <w:sz w:val="20"/>
          <w:szCs w:val="20"/>
        </w:rPr>
        <w:tab/>
        <w:t>Pasha S, Hara A, Leighton J. Diagnostic Evaluation and Management of Obscure Gastrointestinal Bleeding: A Changing Paradigm. Gastroenterology &amp; Hepatology. 2009;5(12):839 - 50.</w:t>
      </w:r>
    </w:p>
    <w:p w14:paraId="6D9CF1C3" w14:textId="77777777" w:rsidR="000D5177" w:rsidRPr="000D5177" w:rsidRDefault="000D5177" w:rsidP="000D5177">
      <w:pPr>
        <w:pStyle w:val="EndNoteBibliography"/>
        <w:ind w:left="567" w:hanging="567"/>
        <w:rPr>
          <w:rFonts w:asciiTheme="minorHAnsi" w:hAnsiTheme="minorHAnsi"/>
          <w:noProof/>
          <w:sz w:val="20"/>
          <w:szCs w:val="20"/>
        </w:rPr>
      </w:pPr>
      <w:r w:rsidRPr="000D5177">
        <w:rPr>
          <w:rFonts w:asciiTheme="minorHAnsi" w:hAnsiTheme="minorHAnsi"/>
          <w:noProof/>
          <w:sz w:val="20"/>
          <w:szCs w:val="20"/>
        </w:rPr>
        <w:t>3.</w:t>
      </w:r>
      <w:r w:rsidRPr="000D5177">
        <w:rPr>
          <w:rFonts w:asciiTheme="minorHAnsi" w:hAnsiTheme="minorHAnsi"/>
          <w:noProof/>
          <w:sz w:val="20"/>
          <w:szCs w:val="20"/>
        </w:rPr>
        <w:tab/>
        <w:t>Pennazio M, Spada C, Eliakim R, Keuchel M, May A, Mulder C, et al. Small-bowel capsule endoscopy and device-assisted enteroscopy for the diagnosis and treatment of small-bowel disorders : Clinical Guideline Endoscopy 2015;47:352-76.</w:t>
      </w:r>
    </w:p>
    <w:p w14:paraId="38F3C166" w14:textId="77777777" w:rsidR="000D5177" w:rsidRPr="000D5177" w:rsidRDefault="000D5177" w:rsidP="000D5177">
      <w:pPr>
        <w:pStyle w:val="EndNoteBibliography"/>
        <w:ind w:left="567" w:hanging="567"/>
        <w:rPr>
          <w:rFonts w:asciiTheme="minorHAnsi" w:hAnsiTheme="minorHAnsi"/>
          <w:noProof/>
          <w:sz w:val="20"/>
          <w:szCs w:val="20"/>
        </w:rPr>
      </w:pPr>
      <w:r w:rsidRPr="000D5177">
        <w:rPr>
          <w:rFonts w:asciiTheme="minorHAnsi" w:hAnsiTheme="minorHAnsi"/>
          <w:noProof/>
          <w:sz w:val="20"/>
          <w:szCs w:val="20"/>
        </w:rPr>
        <w:t>4.</w:t>
      </w:r>
      <w:r w:rsidRPr="000D5177">
        <w:rPr>
          <w:rFonts w:asciiTheme="minorHAnsi" w:hAnsiTheme="minorHAnsi"/>
          <w:noProof/>
          <w:sz w:val="20"/>
          <w:szCs w:val="20"/>
        </w:rPr>
        <w:tab/>
        <w:t>Nguyen N, Rayner C, Schoeman M. Push enteroscopy alters management in a majority of patients with obscure gastrointestinal bleeding. Journal of Gastroenterology and Hepatology 2005;20:716-21.</w:t>
      </w:r>
    </w:p>
    <w:p w14:paraId="7A4F2DC2" w14:textId="77777777" w:rsidR="000D5177" w:rsidRPr="000D5177" w:rsidRDefault="000D5177" w:rsidP="000D5177">
      <w:pPr>
        <w:pStyle w:val="EndNoteBibliography"/>
        <w:ind w:left="567" w:hanging="567"/>
        <w:rPr>
          <w:rFonts w:asciiTheme="minorHAnsi" w:hAnsiTheme="minorHAnsi"/>
          <w:noProof/>
          <w:sz w:val="20"/>
          <w:szCs w:val="20"/>
        </w:rPr>
      </w:pPr>
      <w:r w:rsidRPr="000D5177">
        <w:rPr>
          <w:rFonts w:asciiTheme="minorHAnsi" w:hAnsiTheme="minorHAnsi"/>
          <w:noProof/>
          <w:sz w:val="20"/>
          <w:szCs w:val="20"/>
        </w:rPr>
        <w:t>5.</w:t>
      </w:r>
      <w:r w:rsidRPr="000D5177">
        <w:rPr>
          <w:rFonts w:asciiTheme="minorHAnsi" w:hAnsiTheme="minorHAnsi"/>
          <w:noProof/>
          <w:sz w:val="20"/>
          <w:szCs w:val="20"/>
        </w:rPr>
        <w:tab/>
        <w:t>Rodriguez B, Moyano C, Castro R, Alvarez A, Hernandez M, Delgado D, et al. Diagnostic yield of 335 push video-enteroscopies Revista Espanola de Enfermedades Digestivas (Madrid). 2006;98(2):82-92.</w:t>
      </w:r>
    </w:p>
    <w:p w14:paraId="4A9B6529" w14:textId="77777777" w:rsidR="000D5177" w:rsidRPr="000D5177" w:rsidRDefault="000D5177" w:rsidP="000D5177">
      <w:pPr>
        <w:pStyle w:val="EndNoteBibliography"/>
        <w:ind w:left="567" w:hanging="567"/>
        <w:rPr>
          <w:rFonts w:asciiTheme="minorHAnsi" w:hAnsiTheme="minorHAnsi"/>
          <w:noProof/>
          <w:sz w:val="20"/>
          <w:szCs w:val="20"/>
        </w:rPr>
      </w:pPr>
      <w:r w:rsidRPr="000D5177">
        <w:rPr>
          <w:rFonts w:asciiTheme="minorHAnsi" w:hAnsiTheme="minorHAnsi"/>
          <w:noProof/>
          <w:sz w:val="20"/>
          <w:szCs w:val="20"/>
        </w:rPr>
        <w:t>6.</w:t>
      </w:r>
      <w:r w:rsidRPr="000D5177">
        <w:rPr>
          <w:rFonts w:asciiTheme="minorHAnsi" w:hAnsiTheme="minorHAnsi"/>
          <w:noProof/>
          <w:sz w:val="20"/>
          <w:szCs w:val="20"/>
        </w:rPr>
        <w:tab/>
        <w:t>Sidhu R, Sanders D, Morris A, McAlindon M. Guidelines on small bowel enteroscopy and capsule endoscopy in adults Gut. 2008;57:125-36.</w:t>
      </w:r>
    </w:p>
    <w:p w14:paraId="4684AF22" w14:textId="77777777" w:rsidR="000D5177" w:rsidRPr="000D5177" w:rsidRDefault="000D5177" w:rsidP="000D5177">
      <w:pPr>
        <w:pStyle w:val="EndNoteBibliography"/>
        <w:ind w:left="567" w:hanging="567"/>
        <w:rPr>
          <w:rFonts w:asciiTheme="minorHAnsi" w:hAnsiTheme="minorHAnsi"/>
          <w:noProof/>
          <w:sz w:val="20"/>
          <w:szCs w:val="20"/>
        </w:rPr>
      </w:pPr>
      <w:r w:rsidRPr="000D5177">
        <w:rPr>
          <w:rFonts w:asciiTheme="minorHAnsi" w:hAnsiTheme="minorHAnsi"/>
          <w:noProof/>
          <w:sz w:val="20"/>
          <w:szCs w:val="20"/>
        </w:rPr>
        <w:t>7.</w:t>
      </w:r>
      <w:r w:rsidRPr="000D5177">
        <w:rPr>
          <w:rFonts w:asciiTheme="minorHAnsi" w:hAnsiTheme="minorHAnsi"/>
          <w:noProof/>
          <w:sz w:val="20"/>
          <w:szCs w:val="20"/>
        </w:rPr>
        <w:tab/>
        <w:t xml:space="preserve">Triester S, Leighton J, Grigoris L, Fleischer D, Hara A, Heigh R, et al. A Meta-Analysis of the Yield of Capsule Endoscopy Compared to Other Diagnostic Modalities in Patients with Obscure Gastrointestinal Bleeding. American Journal of Gastroenterology. 2005;100:2407-18 </w:t>
      </w:r>
    </w:p>
    <w:p w14:paraId="6B3F9200" w14:textId="77777777" w:rsidR="000D5177" w:rsidRPr="000D5177" w:rsidRDefault="000D5177" w:rsidP="000D5177">
      <w:pPr>
        <w:pStyle w:val="EndNoteBibliography"/>
        <w:ind w:left="567" w:hanging="567"/>
        <w:rPr>
          <w:rFonts w:asciiTheme="minorHAnsi" w:hAnsiTheme="minorHAnsi"/>
          <w:noProof/>
          <w:sz w:val="20"/>
          <w:szCs w:val="20"/>
        </w:rPr>
      </w:pPr>
      <w:r w:rsidRPr="000D5177">
        <w:rPr>
          <w:rFonts w:asciiTheme="minorHAnsi" w:hAnsiTheme="minorHAnsi"/>
          <w:noProof/>
          <w:sz w:val="20"/>
          <w:szCs w:val="20"/>
        </w:rPr>
        <w:t>8.</w:t>
      </w:r>
      <w:r w:rsidRPr="000D5177">
        <w:rPr>
          <w:rFonts w:asciiTheme="minorHAnsi" w:hAnsiTheme="minorHAnsi"/>
          <w:noProof/>
          <w:sz w:val="20"/>
          <w:szCs w:val="20"/>
        </w:rPr>
        <w:tab/>
        <w:t>De Leusse A, Vahedi K, Edery J, Tiah D, Fery-Lemonnier E, Cellier C, et al. Capsule Endoscopy or Push Enteroscopy for First-Line Exploration of Obscure Gastrointestinal Bleeding. Gastroenterology 2007;132:855-62.</w:t>
      </w:r>
    </w:p>
    <w:p w14:paraId="00D1045D" w14:textId="77777777" w:rsidR="000D5177" w:rsidRPr="000D5177" w:rsidRDefault="000D5177" w:rsidP="000D5177">
      <w:pPr>
        <w:pStyle w:val="EndNoteBibliography"/>
        <w:ind w:left="567" w:hanging="567"/>
        <w:rPr>
          <w:rFonts w:asciiTheme="minorHAnsi" w:hAnsiTheme="minorHAnsi"/>
          <w:noProof/>
          <w:sz w:val="20"/>
          <w:szCs w:val="20"/>
        </w:rPr>
      </w:pPr>
      <w:r w:rsidRPr="000D5177">
        <w:rPr>
          <w:rFonts w:asciiTheme="minorHAnsi" w:hAnsiTheme="minorHAnsi"/>
          <w:noProof/>
          <w:sz w:val="20"/>
          <w:szCs w:val="20"/>
        </w:rPr>
        <w:t>9.</w:t>
      </w:r>
      <w:r w:rsidRPr="000D5177">
        <w:rPr>
          <w:rFonts w:asciiTheme="minorHAnsi" w:hAnsiTheme="minorHAnsi"/>
          <w:noProof/>
          <w:sz w:val="20"/>
          <w:szCs w:val="20"/>
        </w:rPr>
        <w:tab/>
        <w:t>Davies G, Benson M, Gertner D, Van Someren R, Rampton D, Swain C. Diagnostic and therapeutic push type enteroscopy in clinical use Gut. 1995;37:346-52.</w:t>
      </w:r>
    </w:p>
    <w:p w14:paraId="6DA108B9" w14:textId="77777777" w:rsidR="000D5177" w:rsidRPr="000D5177" w:rsidRDefault="000D5177" w:rsidP="000D5177">
      <w:pPr>
        <w:pStyle w:val="EndNoteBibliography"/>
        <w:ind w:left="567" w:hanging="567"/>
        <w:rPr>
          <w:rFonts w:asciiTheme="minorHAnsi" w:hAnsiTheme="minorHAnsi"/>
          <w:noProof/>
          <w:sz w:val="20"/>
          <w:szCs w:val="20"/>
        </w:rPr>
      </w:pPr>
      <w:r w:rsidRPr="000D5177">
        <w:rPr>
          <w:rFonts w:asciiTheme="minorHAnsi" w:hAnsiTheme="minorHAnsi"/>
          <w:noProof/>
          <w:sz w:val="20"/>
          <w:szCs w:val="20"/>
        </w:rPr>
        <w:t>10.</w:t>
      </w:r>
      <w:r w:rsidRPr="000D5177">
        <w:rPr>
          <w:rFonts w:asciiTheme="minorHAnsi" w:hAnsiTheme="minorHAnsi"/>
          <w:noProof/>
          <w:sz w:val="20"/>
          <w:szCs w:val="20"/>
        </w:rPr>
        <w:tab/>
        <w:t>Romagnuolo J, Brock A, Ranney N. Is Endoscopic Therapy Effective for Angioectasia in Obscure Gastrointestinal Bleeding? A Systematic Review of the Literature Journal of Clinical Gastroenterology 2015;49(10):823-30.</w:t>
      </w:r>
    </w:p>
    <w:p w14:paraId="55D8901A" w14:textId="77777777" w:rsidR="000D5177" w:rsidRPr="000D5177" w:rsidRDefault="000D5177" w:rsidP="000D5177">
      <w:pPr>
        <w:pStyle w:val="EndNoteBibliography"/>
        <w:ind w:left="567" w:hanging="567"/>
        <w:rPr>
          <w:rFonts w:asciiTheme="minorHAnsi" w:hAnsiTheme="minorHAnsi"/>
          <w:noProof/>
          <w:sz w:val="20"/>
          <w:szCs w:val="20"/>
        </w:rPr>
      </w:pPr>
      <w:r w:rsidRPr="000D5177">
        <w:rPr>
          <w:rFonts w:asciiTheme="minorHAnsi" w:hAnsiTheme="minorHAnsi"/>
          <w:noProof/>
          <w:sz w:val="20"/>
          <w:szCs w:val="20"/>
        </w:rPr>
        <w:t>11.</w:t>
      </w:r>
      <w:r w:rsidRPr="000D5177">
        <w:rPr>
          <w:rFonts w:asciiTheme="minorHAnsi" w:hAnsiTheme="minorHAnsi"/>
          <w:noProof/>
          <w:sz w:val="20"/>
          <w:szCs w:val="20"/>
        </w:rPr>
        <w:tab/>
        <w:t>Kim B, Li B, Enfel A, Samra J, Clarke S, Norton I, et al. Diagnosis of gastrointestinal bleedingL A practical guide for clinicians World Journal of Gastrontestinal Pathophysiology. 2014;5(4):467-78.</w:t>
      </w:r>
    </w:p>
    <w:p w14:paraId="7C53DEE5" w14:textId="2D1A238B" w:rsidR="004304F5" w:rsidRDefault="000D5177" w:rsidP="004304F5">
      <w:pPr>
        <w:pStyle w:val="EndNoteBibliography"/>
        <w:ind w:left="567" w:hanging="567"/>
      </w:pPr>
      <w:r w:rsidRPr="000D5177">
        <w:rPr>
          <w:rFonts w:asciiTheme="minorHAnsi" w:hAnsiTheme="minorHAnsi"/>
          <w:noProof/>
          <w:sz w:val="20"/>
          <w:szCs w:val="20"/>
        </w:rPr>
        <w:t>12.</w:t>
      </w:r>
      <w:r w:rsidRPr="000D5177">
        <w:rPr>
          <w:rFonts w:asciiTheme="minorHAnsi" w:hAnsiTheme="minorHAnsi"/>
          <w:noProof/>
          <w:sz w:val="20"/>
          <w:szCs w:val="20"/>
        </w:rPr>
        <w:tab/>
        <w:t>O'Mahony S, Morris A, Straiton M, Murray L, MacKenzie J. Push enteroscopy in the investigation of small-intestinal disease. Q J Med 1996;89:685-90.</w:t>
      </w:r>
      <w:r w:rsidRPr="000D5177">
        <w:rPr>
          <w:b/>
          <w:szCs w:val="22"/>
          <w:u w:val="single"/>
        </w:rPr>
        <w:fldChar w:fldCharType="end"/>
      </w:r>
      <w:r w:rsidR="004304F5" w:rsidRPr="000D5177">
        <w:t xml:space="preserve"> </w:t>
      </w:r>
    </w:p>
    <w:p w14:paraId="6C7321F1" w14:textId="77777777" w:rsidR="00A86950" w:rsidRDefault="00A86950" w:rsidP="004304F5">
      <w:pPr>
        <w:pStyle w:val="EndNoteBibliography"/>
        <w:ind w:left="567" w:hanging="567"/>
      </w:pPr>
    </w:p>
    <w:p w14:paraId="17EA1A02" w14:textId="0AF47128" w:rsidR="00A86950" w:rsidRDefault="00A86950">
      <w:pPr>
        <w:spacing w:before="0" w:after="0" w:line="240" w:lineRule="auto"/>
        <w:rPr>
          <w:rFonts w:ascii="Cambria" w:eastAsiaTheme="minorEastAsia" w:hAnsi="Cambria" w:cstheme="minorBidi"/>
          <w:sz w:val="24"/>
          <w:lang w:val="en-US" w:eastAsia="en-US"/>
        </w:rPr>
      </w:pPr>
      <w:r>
        <w:br w:type="page"/>
      </w:r>
    </w:p>
    <w:p w14:paraId="6C2D1478" w14:textId="35DE9959" w:rsidR="00A86950" w:rsidRDefault="00A86950" w:rsidP="00A86950">
      <w:pPr>
        <w:pStyle w:val="AppendixStyle1"/>
        <w:numPr>
          <w:ilvl w:val="0"/>
          <w:numId w:val="0"/>
        </w:numPr>
        <w:ind w:left="360" w:hanging="360"/>
      </w:pPr>
      <w:bookmarkStart w:id="254" w:name="_Toc467685000"/>
      <w:bookmarkStart w:id="255" w:name="_Toc468440244"/>
      <w:bookmarkStart w:id="256" w:name="_Toc469492968"/>
      <w:bookmarkStart w:id="257" w:name="_Toc485731788"/>
      <w:r>
        <w:lastRenderedPageBreak/>
        <w:t>Addendum</w:t>
      </w:r>
      <w:bookmarkEnd w:id="254"/>
      <w:bookmarkEnd w:id="255"/>
      <w:bookmarkEnd w:id="256"/>
      <w:bookmarkEnd w:id="257"/>
    </w:p>
    <w:p w14:paraId="1877244D" w14:textId="77777777" w:rsidR="00A86950" w:rsidRDefault="00A86950" w:rsidP="00A86950">
      <w:pPr>
        <w:pStyle w:val="Title"/>
        <w:rPr>
          <w:sz w:val="60"/>
          <w:szCs w:val="60"/>
        </w:rPr>
      </w:pPr>
      <w:r>
        <w:rPr>
          <w:sz w:val="60"/>
          <w:szCs w:val="60"/>
        </w:rPr>
        <w:t>Addendum to the</w:t>
      </w:r>
    </w:p>
    <w:p w14:paraId="2DB8563F" w14:textId="77777777" w:rsidR="00A86950" w:rsidRPr="00375B6D" w:rsidRDefault="00A86950" w:rsidP="00A86950">
      <w:pPr>
        <w:pStyle w:val="Title"/>
        <w:rPr>
          <w:sz w:val="60"/>
          <w:szCs w:val="60"/>
        </w:rPr>
      </w:pPr>
      <w:r w:rsidRPr="00375B6D">
        <w:rPr>
          <w:sz w:val="60"/>
          <w:szCs w:val="60"/>
        </w:rPr>
        <w:t>Report</w:t>
      </w:r>
      <w:r>
        <w:rPr>
          <w:sz w:val="60"/>
          <w:szCs w:val="60"/>
        </w:rPr>
        <w:t xml:space="preserve"> from the</w:t>
      </w:r>
    </w:p>
    <w:p w14:paraId="13D1722D" w14:textId="77777777" w:rsidR="00A86950" w:rsidRPr="006F282D" w:rsidRDefault="00A86950" w:rsidP="00A86950">
      <w:pPr>
        <w:pStyle w:val="Title"/>
        <w:rPr>
          <w:sz w:val="60"/>
          <w:szCs w:val="60"/>
        </w:rPr>
      </w:pPr>
      <w:r>
        <w:rPr>
          <w:sz w:val="60"/>
          <w:szCs w:val="60"/>
        </w:rPr>
        <w:t>Gastroenterology</w:t>
      </w:r>
      <w:r w:rsidRPr="00375B6D">
        <w:rPr>
          <w:sz w:val="60"/>
          <w:szCs w:val="60"/>
        </w:rPr>
        <w:t xml:space="preserve"> Clinical Committee </w:t>
      </w:r>
    </w:p>
    <w:p w14:paraId="6515E02B" w14:textId="77777777" w:rsidR="00A86950" w:rsidRDefault="00A86950" w:rsidP="00A86950">
      <w:pPr>
        <w:spacing w:before="0" w:after="0" w:line="240" w:lineRule="auto"/>
        <w:rPr>
          <w:sz w:val="18"/>
          <w:szCs w:val="20"/>
        </w:rPr>
      </w:pPr>
      <w:r>
        <w:rPr>
          <w:szCs w:val="20"/>
        </w:rPr>
        <w:br w:type="page"/>
      </w:r>
    </w:p>
    <w:p w14:paraId="1345B7D4" w14:textId="77777777" w:rsidR="00A86950" w:rsidRPr="008C248B" w:rsidRDefault="00A86950" w:rsidP="00A86950">
      <w:pPr>
        <w:pStyle w:val="Heading2a"/>
      </w:pPr>
      <w:r w:rsidRPr="008C248B">
        <w:lastRenderedPageBreak/>
        <w:t>A.1 Public Consultation</w:t>
      </w:r>
    </w:p>
    <w:p w14:paraId="0D806CF9" w14:textId="1D5E5E18" w:rsidR="00A86950" w:rsidRPr="006D2EBF" w:rsidRDefault="00A86950" w:rsidP="00A86950">
      <w:r>
        <w:t xml:space="preserve">The Gastroenterology Clinical Committee report was released for public consultation on 9 September 2016 for four weeks. </w:t>
      </w:r>
    </w:p>
    <w:p w14:paraId="1B167163" w14:textId="42E07884" w:rsidR="00A86950" w:rsidRPr="008C248B" w:rsidRDefault="00A86950" w:rsidP="00A86950">
      <w:pPr>
        <w:pStyle w:val="Heading2a"/>
      </w:pPr>
      <w:r>
        <w:t>A.2 Gastroenterology</w:t>
      </w:r>
      <w:r w:rsidRPr="008C248B">
        <w:t xml:space="preserve"> Clinical Committee review of public consultation submissions</w:t>
      </w:r>
    </w:p>
    <w:p w14:paraId="4708B22A" w14:textId="1B81FEEE" w:rsidR="00A86950" w:rsidRDefault="00A86950" w:rsidP="00A86950">
      <w:r>
        <w:t>The Committee consider</w:t>
      </w:r>
      <w:r w:rsidR="00BF4B60">
        <w:t>ed</w:t>
      </w:r>
      <w:r>
        <w:t xml:space="preserve"> the feedback from the public consultation.  The Committee noted the main theme of the public feedback was around the proposed colonoscopy changes under Recommendation 1.  These included:</w:t>
      </w:r>
    </w:p>
    <w:p w14:paraId="33A7CEE0" w14:textId="77777777" w:rsidR="00A86950" w:rsidRDefault="00A86950" w:rsidP="00A86950">
      <w:pPr>
        <w:pStyle w:val="NormalBulleted"/>
        <w:spacing w:before="60"/>
      </w:pPr>
      <w:r>
        <w:t>Issue of reimbursement should be independent of approved guidelines</w:t>
      </w:r>
    </w:p>
    <w:p w14:paraId="47B82424" w14:textId="77777777" w:rsidR="00A86950" w:rsidRDefault="00A86950" w:rsidP="00A86950">
      <w:pPr>
        <w:pStyle w:val="NormalBulleted"/>
        <w:spacing w:before="60"/>
      </w:pPr>
      <w:r>
        <w:t xml:space="preserve">Guidelines change frequently and the MBS will not keep pace.  </w:t>
      </w:r>
    </w:p>
    <w:p w14:paraId="7E4F5ED4" w14:textId="77777777" w:rsidR="00A86950" w:rsidRPr="00744C76" w:rsidRDefault="00A86950" w:rsidP="00A86950">
      <w:pPr>
        <w:pStyle w:val="NormalBulleted"/>
        <w:spacing w:before="60"/>
      </w:pPr>
      <w:r>
        <w:t xml:space="preserve">Current guidelines do not cover all subtleties and linking these to the items ignores clinical judgement. </w:t>
      </w:r>
    </w:p>
    <w:p w14:paraId="45F5DE7B" w14:textId="77777777" w:rsidR="00A86950" w:rsidRDefault="00A86950" w:rsidP="00A86950">
      <w:pPr>
        <w:pStyle w:val="NormalBulleted"/>
        <w:spacing w:before="60"/>
      </w:pPr>
      <w:r>
        <w:t>Proposed items are complicated and there will be additional administrative costs without appropriate reimbursement.</w:t>
      </w:r>
    </w:p>
    <w:p w14:paraId="0464EB14" w14:textId="77777777" w:rsidR="00A86950" w:rsidRDefault="00A86950" w:rsidP="00A86950">
      <w:pPr>
        <w:pStyle w:val="NormalBulleted"/>
        <w:spacing w:before="60"/>
      </w:pPr>
      <w:r>
        <w:t xml:space="preserve">Reliable past history on colonoscopy and results is often difficult to obtain - open access endoscopy environments will be impacted by this requirement. </w:t>
      </w:r>
    </w:p>
    <w:p w14:paraId="2E9B224D" w14:textId="77777777" w:rsidR="00A86950" w:rsidRDefault="00A86950" w:rsidP="00A86950">
      <w:r>
        <w:t xml:space="preserve">The Committee agreed that based on the feedback the proposed colonoscopy items should be road-tested by practitioners using actual patients and actual case scenarios.  </w:t>
      </w:r>
    </w:p>
    <w:p w14:paraId="107FBB1E" w14:textId="524D2A56" w:rsidR="00A86950" w:rsidRDefault="00A86950" w:rsidP="00A86950">
      <w:r>
        <w:t>The results were considered by the Committee.  The Committee concluded that while testing was limited (107 patients involving 4 clinical environments) the results were mainly positive showing the majority of patients were ab</w:t>
      </w:r>
      <w:r w:rsidR="00BF4B60">
        <w:t xml:space="preserve">le to be assigned an item. </w:t>
      </w:r>
      <w:r>
        <w:t>A small number of patients (4) did not meet the requirements of the approved clinical guidelines</w:t>
      </w:r>
      <w:r w:rsidRPr="00CF3F05">
        <w:t xml:space="preserve"> </w:t>
      </w:r>
      <w:r>
        <w:t xml:space="preserve">and therefore could not be assigned an item.     </w:t>
      </w:r>
    </w:p>
    <w:p w14:paraId="0F3A2AE5" w14:textId="77777777" w:rsidR="00A86950" w:rsidRPr="0073295B" w:rsidRDefault="00A86950" w:rsidP="00A86950">
      <w:pPr>
        <w:pStyle w:val="NormalBulleted"/>
        <w:numPr>
          <w:ilvl w:val="0"/>
          <w:numId w:val="0"/>
        </w:numPr>
        <w:rPr>
          <w:color w:val="auto"/>
        </w:rPr>
      </w:pPr>
      <w:r>
        <w:rPr>
          <w:color w:val="auto"/>
        </w:rPr>
        <w:t>Based on these results t</w:t>
      </w:r>
      <w:r w:rsidRPr="0073295B">
        <w:rPr>
          <w:color w:val="auto"/>
        </w:rPr>
        <w:t xml:space="preserve">he </w:t>
      </w:r>
      <w:r>
        <w:rPr>
          <w:color w:val="auto"/>
        </w:rPr>
        <w:t>Committee recommends an education campaign be conducted on the use of the approved guidelines and a communication campaign be developed to introduce the items well in advance of implementation to enable administrative practises and procedures to be updated.  The Committee also recommends a structured process to review the performance of the items be implemented to inform any further modifications required.</w:t>
      </w:r>
    </w:p>
    <w:p w14:paraId="458C411F" w14:textId="77777777" w:rsidR="00A86950" w:rsidRPr="00D53642" w:rsidRDefault="00A86950" w:rsidP="00A86950">
      <w:pPr>
        <w:rPr>
          <w:lang w:val="en-US"/>
        </w:rPr>
      </w:pPr>
      <w:r>
        <w:rPr>
          <w:lang w:val="en-US"/>
        </w:rPr>
        <w:t>The Committee made minor amendments to Recommendation 1.</w:t>
      </w:r>
      <w:r w:rsidRPr="00A95CCD">
        <w:t xml:space="preserve"> </w:t>
      </w:r>
      <w:r>
        <w:t xml:space="preserve"> The Committee also made minor amendments to Recommendations 2, 3.1, 6, 7 and 9.  </w:t>
      </w:r>
    </w:p>
    <w:p w14:paraId="30AB295D" w14:textId="5642D915" w:rsidR="00A86950" w:rsidRPr="003423C5" w:rsidRDefault="00A86950" w:rsidP="00A86950">
      <w:pPr>
        <w:pStyle w:val="Heading2a"/>
      </w:pPr>
      <w:r>
        <w:t xml:space="preserve">A.3 </w:t>
      </w:r>
      <w:r w:rsidRPr="003423C5">
        <w:t>Amend</w:t>
      </w:r>
      <w:r>
        <w:t>ments to Recommendations</w:t>
      </w:r>
    </w:p>
    <w:p w14:paraId="315EAC3A" w14:textId="77777777" w:rsidR="00A86950" w:rsidRDefault="00A86950" w:rsidP="00A86950">
      <w:pPr>
        <w:rPr>
          <w:szCs w:val="20"/>
        </w:rPr>
      </w:pPr>
      <w:r>
        <w:rPr>
          <w:szCs w:val="20"/>
        </w:rPr>
        <w:t>The Committee considered the feedback from the public consultation and the road testing of the colonoscopy changes and agreed to the following amendments to recommendations:</w:t>
      </w:r>
    </w:p>
    <w:p w14:paraId="180205F0" w14:textId="77777777" w:rsidR="00A86950" w:rsidRPr="000455BA" w:rsidRDefault="00A86950" w:rsidP="00A86950">
      <w:pPr>
        <w:pStyle w:val="NormalBulleted"/>
        <w:numPr>
          <w:ilvl w:val="0"/>
          <w:numId w:val="0"/>
        </w:numPr>
        <w:rPr>
          <w:color w:val="auto"/>
          <w:u w:val="single"/>
        </w:rPr>
      </w:pPr>
      <w:r w:rsidRPr="000455BA">
        <w:rPr>
          <w:color w:val="auto"/>
          <w:u w:val="single"/>
        </w:rPr>
        <w:t xml:space="preserve">Recommendation 1 </w:t>
      </w:r>
    </w:p>
    <w:p w14:paraId="20AA8C00" w14:textId="77777777" w:rsidR="00A86950" w:rsidRDefault="00A86950" w:rsidP="00A86950">
      <w:pPr>
        <w:pStyle w:val="NormalBulleted"/>
        <w:rPr>
          <w:color w:val="auto"/>
        </w:rPr>
      </w:pPr>
      <w:r>
        <w:rPr>
          <w:color w:val="auto"/>
        </w:rPr>
        <w:t>Amend draft item descriptors A2 and B3 to remove ‘anaemia’</w:t>
      </w:r>
    </w:p>
    <w:p w14:paraId="49C99E3D" w14:textId="77777777" w:rsidR="00A86950" w:rsidRDefault="00A86950" w:rsidP="00A86950">
      <w:pPr>
        <w:pStyle w:val="NormalBulleted"/>
        <w:rPr>
          <w:color w:val="auto"/>
        </w:rPr>
      </w:pPr>
      <w:r>
        <w:rPr>
          <w:color w:val="auto"/>
        </w:rPr>
        <w:t>Amend ‘to the caecum’ requirements to exclude patients with obstructed right-sided tumours</w:t>
      </w:r>
    </w:p>
    <w:p w14:paraId="56C85384" w14:textId="77777777" w:rsidR="00A86950" w:rsidRDefault="00A86950" w:rsidP="00A86950">
      <w:pPr>
        <w:pStyle w:val="NormalBulleted"/>
        <w:rPr>
          <w:color w:val="auto"/>
        </w:rPr>
      </w:pPr>
      <w:r>
        <w:rPr>
          <w:color w:val="auto"/>
        </w:rPr>
        <w:lastRenderedPageBreak/>
        <w:t xml:space="preserve">Amend draft item descriptor B1 to introduce co-claiming restrictions with item 32212 to prevent and extra item being claimed if formalin is used. </w:t>
      </w:r>
    </w:p>
    <w:p w14:paraId="5E38C21F" w14:textId="77777777" w:rsidR="00A86950" w:rsidRPr="009B03E5" w:rsidRDefault="00A86950" w:rsidP="00A86950">
      <w:pPr>
        <w:pStyle w:val="NormalBulleted"/>
        <w:numPr>
          <w:ilvl w:val="0"/>
          <w:numId w:val="0"/>
        </w:numPr>
        <w:rPr>
          <w:color w:val="auto"/>
          <w:u w:val="single"/>
        </w:rPr>
      </w:pPr>
      <w:r w:rsidRPr="009B03E5">
        <w:rPr>
          <w:color w:val="auto"/>
          <w:u w:val="single"/>
        </w:rPr>
        <w:t>Recommendation 2</w:t>
      </w:r>
    </w:p>
    <w:p w14:paraId="427C10EE" w14:textId="77777777" w:rsidR="00A86950" w:rsidRPr="00134C88" w:rsidRDefault="00A86950" w:rsidP="00A86950">
      <w:pPr>
        <w:pStyle w:val="NormalBulleted"/>
        <w:rPr>
          <w:color w:val="auto"/>
        </w:rPr>
      </w:pPr>
      <w:r>
        <w:rPr>
          <w:color w:val="auto"/>
        </w:rPr>
        <w:t xml:space="preserve">All relevant stakeholder groups are to be consulted on the development of clinical guidelines and standards for the appropriate same day use of upper and lower endoscopy (not just the Gastroenterological Society of Australia)  </w:t>
      </w:r>
    </w:p>
    <w:p w14:paraId="2CA242FE" w14:textId="77777777" w:rsidR="00A86950" w:rsidRPr="00656684" w:rsidRDefault="00A86950" w:rsidP="00A86950">
      <w:pPr>
        <w:pStyle w:val="NormalBulleted"/>
        <w:numPr>
          <w:ilvl w:val="0"/>
          <w:numId w:val="0"/>
        </w:numPr>
        <w:ind w:left="431" w:hanging="431"/>
        <w:rPr>
          <w:color w:val="auto"/>
          <w:u w:val="single"/>
        </w:rPr>
      </w:pPr>
      <w:r w:rsidRPr="00656684">
        <w:rPr>
          <w:color w:val="auto"/>
          <w:u w:val="single"/>
        </w:rPr>
        <w:t>Recommendation 3.1</w:t>
      </w:r>
    </w:p>
    <w:p w14:paraId="67F0DD84" w14:textId="77777777" w:rsidR="00A86950" w:rsidRDefault="00A86950" w:rsidP="00A86950">
      <w:pPr>
        <w:pStyle w:val="NormalBulleted"/>
        <w:rPr>
          <w:color w:val="auto"/>
        </w:rPr>
      </w:pPr>
      <w:r>
        <w:rPr>
          <w:color w:val="auto"/>
        </w:rPr>
        <w:t xml:space="preserve">Amend draft item descriptor  11820 to remove the requirement for a duodenal biopsy </w:t>
      </w:r>
    </w:p>
    <w:p w14:paraId="1E6F0997" w14:textId="77777777" w:rsidR="00A86950" w:rsidRPr="00833432" w:rsidRDefault="00A86950" w:rsidP="00A86950">
      <w:pPr>
        <w:pStyle w:val="NormalBulleted"/>
        <w:numPr>
          <w:ilvl w:val="0"/>
          <w:numId w:val="0"/>
        </w:numPr>
        <w:rPr>
          <w:color w:val="auto"/>
          <w:u w:val="single"/>
        </w:rPr>
      </w:pPr>
      <w:r w:rsidRPr="00833432">
        <w:rPr>
          <w:color w:val="auto"/>
          <w:u w:val="single"/>
        </w:rPr>
        <w:t>Recommendation 6</w:t>
      </w:r>
    </w:p>
    <w:p w14:paraId="24CFAA44" w14:textId="77777777" w:rsidR="00A86950" w:rsidRDefault="00A86950" w:rsidP="00A86950">
      <w:pPr>
        <w:pStyle w:val="NormalBulleted"/>
        <w:rPr>
          <w:color w:val="auto"/>
        </w:rPr>
      </w:pPr>
      <w:r>
        <w:rPr>
          <w:color w:val="auto"/>
        </w:rPr>
        <w:t>Amend ‘which does not reach the caecum’ requirements to exclude patients with obstructed right-sided tumours</w:t>
      </w:r>
    </w:p>
    <w:p w14:paraId="4DC3C653" w14:textId="77777777" w:rsidR="00A86950" w:rsidRPr="00CE0B27" w:rsidRDefault="00A86950" w:rsidP="00A86950">
      <w:pPr>
        <w:pStyle w:val="NormalBulleted"/>
        <w:numPr>
          <w:ilvl w:val="0"/>
          <w:numId w:val="0"/>
        </w:numPr>
        <w:rPr>
          <w:color w:val="auto"/>
          <w:u w:val="single"/>
        </w:rPr>
      </w:pPr>
      <w:r>
        <w:rPr>
          <w:color w:val="auto"/>
          <w:u w:val="single"/>
        </w:rPr>
        <w:t>Recommendation 7</w:t>
      </w:r>
    </w:p>
    <w:p w14:paraId="6A9C2CE6" w14:textId="77777777" w:rsidR="00A86950" w:rsidRDefault="00A86950" w:rsidP="00A86950">
      <w:pPr>
        <w:pStyle w:val="NormalBulleted"/>
        <w:rPr>
          <w:color w:val="auto"/>
        </w:rPr>
      </w:pPr>
      <w:r>
        <w:rPr>
          <w:color w:val="auto"/>
        </w:rPr>
        <w:t>Amend restrictions to include Item 30491 (biliary stenting) for same day co-claiming with EUS items 30688, 30690, 30692 and 30694.</w:t>
      </w:r>
    </w:p>
    <w:p w14:paraId="04737017" w14:textId="77777777" w:rsidR="00A86950" w:rsidRPr="00CE0B27" w:rsidRDefault="00A86950" w:rsidP="00A86950">
      <w:pPr>
        <w:pStyle w:val="NormalBulleted"/>
        <w:numPr>
          <w:ilvl w:val="0"/>
          <w:numId w:val="0"/>
        </w:numPr>
        <w:rPr>
          <w:color w:val="auto"/>
          <w:u w:val="single"/>
        </w:rPr>
      </w:pPr>
      <w:r>
        <w:rPr>
          <w:color w:val="auto"/>
          <w:u w:val="single"/>
        </w:rPr>
        <w:t>Recommendation 9</w:t>
      </w:r>
    </w:p>
    <w:p w14:paraId="5B9FD17C" w14:textId="77777777" w:rsidR="00A86950" w:rsidRPr="003423C5" w:rsidRDefault="00A86950" w:rsidP="00A86950">
      <w:pPr>
        <w:pStyle w:val="NormalBulleted"/>
        <w:rPr>
          <w:color w:val="auto"/>
        </w:rPr>
      </w:pPr>
      <w:r>
        <w:rPr>
          <w:color w:val="auto"/>
        </w:rPr>
        <w:t>All relevant stakeholder groups are to be consulted on the development of an MSAC application for the public funding of Endoscopic Mucosal Resection.</w:t>
      </w:r>
    </w:p>
    <w:p w14:paraId="5EA5C85F" w14:textId="77777777" w:rsidR="00A86950" w:rsidRPr="000D5177" w:rsidRDefault="00A86950" w:rsidP="004304F5">
      <w:pPr>
        <w:pStyle w:val="EndNoteBibliography"/>
        <w:ind w:left="567" w:hanging="567"/>
      </w:pPr>
    </w:p>
    <w:sectPr w:rsidR="00A86950" w:rsidRPr="000D5177" w:rsidSect="00475E69">
      <w:headerReference w:type="even" r:id="rId34"/>
      <w:headerReference w:type="default" r:id="rId35"/>
      <w:footerReference w:type="default" r:id="rId36"/>
      <w:headerReference w:type="first" r:id="rId37"/>
      <w:endnotePr>
        <w:numFmt w:val="decimal"/>
      </w:endnotePr>
      <w:pgSz w:w="11906" w:h="16838" w:code="9"/>
      <w:pgMar w:top="1440" w:right="1440" w:bottom="1276" w:left="1440" w:header="720" w:footer="720" w:gutter="0"/>
      <w:paperSrc w:first="2" w:other="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8E4D23" w14:textId="77777777" w:rsidR="004935DB" w:rsidRDefault="004935DB" w:rsidP="000D1CF6">
      <w:r>
        <w:separator/>
      </w:r>
    </w:p>
    <w:p w14:paraId="443209B0" w14:textId="77777777" w:rsidR="004935DB" w:rsidRDefault="004935DB" w:rsidP="000D1CF6"/>
  </w:endnote>
  <w:endnote w:type="continuationSeparator" w:id="0">
    <w:p w14:paraId="7C2ABCD8" w14:textId="77777777" w:rsidR="004935DB" w:rsidRDefault="004935DB" w:rsidP="000D1CF6">
      <w:r>
        <w:continuationSeparator/>
      </w:r>
    </w:p>
    <w:p w14:paraId="0E9B9E16" w14:textId="77777777" w:rsidR="004935DB" w:rsidRDefault="004935DB" w:rsidP="000D1C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etica 45 Light">
    <w:charset w:val="00"/>
    <w:family w:val="auto"/>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4F888" w14:textId="4544856F" w:rsidR="004935DB" w:rsidRPr="001C53E1" w:rsidRDefault="004935DB" w:rsidP="00A84D48">
    <w:pPr>
      <w:pStyle w:val="Footer"/>
      <w:pBdr>
        <w:top w:val="single" w:sz="12" w:space="1" w:color="B56012"/>
      </w:pBdr>
    </w:pPr>
    <w:r w:rsidRPr="001C53E1">
      <w:rPr>
        <w:color w:val="01653F"/>
        <w:sz w:val="16"/>
      </w:rPr>
      <w:t xml:space="preserve">Preliminary Report from the </w:t>
    </w:r>
    <w:r>
      <w:rPr>
        <w:color w:val="01653F"/>
        <w:sz w:val="16"/>
      </w:rPr>
      <w:t>Gastroenterology</w:t>
    </w:r>
    <w:r w:rsidRPr="001C53E1">
      <w:rPr>
        <w:color w:val="01653F"/>
        <w:sz w:val="16"/>
      </w:rPr>
      <w:t xml:space="preserve"> Clinical Committee – 2016</w:t>
    </w:r>
    <w:r>
      <w:rPr>
        <w:color w:val="01653F"/>
        <w:sz w:val="16"/>
      </w:rPr>
      <w:tab/>
    </w:r>
    <w:r w:rsidRPr="001C53E1">
      <w:rPr>
        <w:color w:val="01653F"/>
        <w:sz w:val="16"/>
      </w:rPr>
      <w:t xml:space="preserve">Page </w:t>
    </w:r>
    <w:r w:rsidRPr="001C53E1">
      <w:rPr>
        <w:color w:val="01653F"/>
        <w:sz w:val="16"/>
      </w:rPr>
      <w:fldChar w:fldCharType="begin"/>
    </w:r>
    <w:r w:rsidRPr="001C53E1">
      <w:rPr>
        <w:color w:val="01653F"/>
        <w:sz w:val="16"/>
      </w:rPr>
      <w:instrText xml:space="preserve"> PAGE   \* MERGEFORMAT </w:instrText>
    </w:r>
    <w:r w:rsidRPr="001C53E1">
      <w:rPr>
        <w:color w:val="01653F"/>
        <w:sz w:val="16"/>
      </w:rPr>
      <w:fldChar w:fldCharType="separate"/>
    </w:r>
    <w:r w:rsidR="00910986">
      <w:rPr>
        <w:noProof/>
        <w:color w:val="01653F"/>
        <w:sz w:val="16"/>
      </w:rPr>
      <w:t>22</w:t>
    </w:r>
    <w:r w:rsidRPr="001C53E1">
      <w:rPr>
        <w:color w:val="01653F"/>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17B32" w14:textId="142FB912" w:rsidR="004935DB" w:rsidRPr="00B902C1" w:rsidRDefault="004935DB" w:rsidP="00B902C1">
    <w:pPr>
      <w:pStyle w:val="Footer"/>
      <w:pBdr>
        <w:top w:val="single" w:sz="12" w:space="1" w:color="B56012"/>
      </w:pBdr>
    </w:pPr>
    <w:r w:rsidRPr="001C53E1">
      <w:rPr>
        <w:color w:val="01653F"/>
        <w:sz w:val="16"/>
      </w:rPr>
      <w:t xml:space="preserve">Preliminary Report from the </w:t>
    </w:r>
    <w:r>
      <w:rPr>
        <w:color w:val="01653F"/>
        <w:sz w:val="16"/>
      </w:rPr>
      <w:t>Gastroenterology</w:t>
    </w:r>
    <w:r w:rsidRPr="001C53E1">
      <w:rPr>
        <w:color w:val="01653F"/>
        <w:sz w:val="16"/>
      </w:rPr>
      <w:t xml:space="preserve"> Clinical Committee – </w:t>
    </w:r>
    <w:r>
      <w:rPr>
        <w:color w:val="01653F"/>
        <w:sz w:val="16"/>
      </w:rPr>
      <w:t>August</w:t>
    </w:r>
    <w:r w:rsidRPr="001C53E1">
      <w:rPr>
        <w:color w:val="01653F"/>
        <w:sz w:val="16"/>
      </w:rPr>
      <w:t xml:space="preserve"> 2016</w:t>
    </w:r>
    <w:r>
      <w:rPr>
        <w:color w:val="01653F"/>
        <w:sz w:val="16"/>
      </w:rPr>
      <w:tab/>
    </w:r>
    <w:r w:rsidRPr="001C53E1">
      <w:rPr>
        <w:color w:val="01653F"/>
        <w:sz w:val="16"/>
      </w:rPr>
      <w:t xml:space="preserve">Page </w:t>
    </w:r>
    <w:r w:rsidRPr="001C53E1">
      <w:rPr>
        <w:color w:val="01653F"/>
        <w:sz w:val="16"/>
      </w:rPr>
      <w:fldChar w:fldCharType="begin"/>
    </w:r>
    <w:r w:rsidRPr="001C53E1">
      <w:rPr>
        <w:color w:val="01653F"/>
        <w:sz w:val="16"/>
      </w:rPr>
      <w:instrText xml:space="preserve"> PAGE   \* MERGEFORMAT </w:instrText>
    </w:r>
    <w:r w:rsidRPr="001C53E1">
      <w:rPr>
        <w:color w:val="01653F"/>
        <w:sz w:val="16"/>
      </w:rPr>
      <w:fldChar w:fldCharType="separate"/>
    </w:r>
    <w:r w:rsidR="00910986">
      <w:rPr>
        <w:noProof/>
        <w:color w:val="01653F"/>
        <w:sz w:val="16"/>
      </w:rPr>
      <w:t>77</w:t>
    </w:r>
    <w:r w:rsidRPr="001C53E1">
      <w:rPr>
        <w:color w:val="01653F"/>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ABB6D7" w14:textId="60BB468F" w:rsidR="004935DB" w:rsidRPr="001C53E1" w:rsidRDefault="004935DB" w:rsidP="006A175E">
    <w:pPr>
      <w:pStyle w:val="Footer"/>
      <w:pBdr>
        <w:top w:val="single" w:sz="12" w:space="1" w:color="B56012"/>
      </w:pBdr>
      <w:tabs>
        <w:tab w:val="clear" w:pos="9026"/>
        <w:tab w:val="right" w:pos="14122"/>
      </w:tabs>
    </w:pPr>
    <w:r w:rsidRPr="001C53E1">
      <w:rPr>
        <w:color w:val="01653F"/>
        <w:sz w:val="16"/>
      </w:rPr>
      <w:t xml:space="preserve">Preliminary Report from the </w:t>
    </w:r>
    <w:r>
      <w:rPr>
        <w:color w:val="01653F"/>
        <w:sz w:val="16"/>
      </w:rPr>
      <w:t>Gastroenterology</w:t>
    </w:r>
    <w:r w:rsidRPr="001C53E1">
      <w:rPr>
        <w:color w:val="01653F"/>
        <w:sz w:val="16"/>
      </w:rPr>
      <w:t xml:space="preserve"> Clinical Committee – </w:t>
    </w:r>
    <w:r>
      <w:rPr>
        <w:color w:val="01653F"/>
        <w:sz w:val="16"/>
      </w:rPr>
      <w:t>August</w:t>
    </w:r>
    <w:r w:rsidRPr="001C53E1">
      <w:rPr>
        <w:color w:val="01653F"/>
        <w:sz w:val="16"/>
      </w:rPr>
      <w:t xml:space="preserve"> 2016</w:t>
    </w:r>
    <w:r>
      <w:rPr>
        <w:color w:val="01653F"/>
        <w:sz w:val="16"/>
      </w:rPr>
      <w:tab/>
    </w:r>
    <w:r w:rsidRPr="001C53E1">
      <w:rPr>
        <w:color w:val="01653F"/>
        <w:sz w:val="16"/>
      </w:rPr>
      <w:t xml:space="preserve">Page </w:t>
    </w:r>
    <w:r w:rsidRPr="001C53E1">
      <w:rPr>
        <w:color w:val="01653F"/>
        <w:sz w:val="16"/>
      </w:rPr>
      <w:fldChar w:fldCharType="begin"/>
    </w:r>
    <w:r w:rsidRPr="001C53E1">
      <w:rPr>
        <w:color w:val="01653F"/>
        <w:sz w:val="16"/>
      </w:rPr>
      <w:instrText xml:space="preserve"> PAGE   \* MERGEFORMAT </w:instrText>
    </w:r>
    <w:r w:rsidRPr="001C53E1">
      <w:rPr>
        <w:color w:val="01653F"/>
        <w:sz w:val="16"/>
      </w:rPr>
      <w:fldChar w:fldCharType="separate"/>
    </w:r>
    <w:r w:rsidR="00910986">
      <w:rPr>
        <w:noProof/>
        <w:color w:val="01653F"/>
        <w:sz w:val="16"/>
      </w:rPr>
      <w:t>87</w:t>
    </w:r>
    <w:r w:rsidRPr="001C53E1">
      <w:rPr>
        <w:color w:val="01653F"/>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4DAB5" w14:textId="45C5A0B7" w:rsidR="004935DB" w:rsidRPr="0042649D" w:rsidRDefault="004935DB" w:rsidP="0042649D">
    <w:pPr>
      <w:pStyle w:val="Footer"/>
      <w:pBdr>
        <w:top w:val="single" w:sz="12" w:space="1" w:color="B56012"/>
      </w:pBdr>
      <w:rPr>
        <w:color w:val="01653F"/>
        <w:sz w:val="16"/>
      </w:rPr>
    </w:pPr>
    <w:r w:rsidRPr="001C53E1">
      <w:rPr>
        <w:color w:val="01653F"/>
        <w:sz w:val="16"/>
      </w:rPr>
      <w:t xml:space="preserve">Preliminary Report from the </w:t>
    </w:r>
    <w:r>
      <w:rPr>
        <w:color w:val="01653F"/>
        <w:sz w:val="16"/>
      </w:rPr>
      <w:t>Gastroenterology</w:t>
    </w:r>
    <w:r w:rsidRPr="001C53E1">
      <w:rPr>
        <w:color w:val="01653F"/>
        <w:sz w:val="16"/>
      </w:rPr>
      <w:t xml:space="preserve"> Clinical Committee – 2016</w:t>
    </w:r>
    <w:r>
      <w:rPr>
        <w:color w:val="01653F"/>
        <w:sz w:val="16"/>
      </w:rPr>
      <w:tab/>
    </w:r>
    <w:r w:rsidRPr="001C53E1">
      <w:rPr>
        <w:color w:val="01653F"/>
        <w:sz w:val="16"/>
      </w:rPr>
      <w:t xml:space="preserve">Page </w:t>
    </w:r>
    <w:r w:rsidRPr="001C53E1">
      <w:rPr>
        <w:color w:val="01653F"/>
        <w:sz w:val="16"/>
      </w:rPr>
      <w:fldChar w:fldCharType="begin"/>
    </w:r>
    <w:r w:rsidRPr="001C53E1">
      <w:rPr>
        <w:color w:val="01653F"/>
        <w:sz w:val="16"/>
      </w:rPr>
      <w:instrText xml:space="preserve"> PAGE   \* MERGEFORMAT </w:instrText>
    </w:r>
    <w:r w:rsidRPr="001C53E1">
      <w:rPr>
        <w:color w:val="01653F"/>
        <w:sz w:val="16"/>
      </w:rPr>
      <w:fldChar w:fldCharType="separate"/>
    </w:r>
    <w:r w:rsidR="00910986">
      <w:rPr>
        <w:noProof/>
        <w:color w:val="01653F"/>
        <w:sz w:val="16"/>
      </w:rPr>
      <w:t>103</w:t>
    </w:r>
    <w:r w:rsidRPr="001C53E1">
      <w:rPr>
        <w:color w:val="01653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B1A45" w14:textId="77777777" w:rsidR="004935DB" w:rsidRDefault="004935DB" w:rsidP="000D1CF6">
      <w:r>
        <w:separator/>
      </w:r>
    </w:p>
    <w:p w14:paraId="19EBCC91" w14:textId="77777777" w:rsidR="004935DB" w:rsidRDefault="004935DB" w:rsidP="000D1CF6"/>
  </w:footnote>
  <w:footnote w:type="continuationSeparator" w:id="0">
    <w:p w14:paraId="3B25981C" w14:textId="77777777" w:rsidR="004935DB" w:rsidRDefault="004935DB" w:rsidP="000D1CF6">
      <w:r>
        <w:continuationSeparator/>
      </w:r>
    </w:p>
    <w:p w14:paraId="2C4944C3" w14:textId="77777777" w:rsidR="004935DB" w:rsidRDefault="004935DB" w:rsidP="000D1CF6"/>
  </w:footnote>
  <w:footnote w:id="1">
    <w:p w14:paraId="56D47101" w14:textId="5327B632" w:rsidR="004935DB" w:rsidRPr="00E20AD0" w:rsidRDefault="004935DB" w:rsidP="00190F03">
      <w:pPr>
        <w:pStyle w:val="FootnoteText"/>
        <w:spacing w:before="0" w:after="0"/>
        <w:rPr>
          <w:rFonts w:asciiTheme="minorHAnsi" w:hAnsiTheme="minorHAnsi"/>
        </w:rPr>
      </w:pPr>
      <w:r w:rsidRPr="00E20AD0">
        <w:rPr>
          <w:rStyle w:val="FootnoteReference"/>
          <w:rFonts w:asciiTheme="minorHAnsi" w:hAnsiTheme="minorHAnsi"/>
        </w:rPr>
        <w:footnoteRef/>
      </w:r>
      <w:r w:rsidRPr="00E20AD0">
        <w:rPr>
          <w:rFonts w:asciiTheme="minorHAnsi" w:hAnsiTheme="minorHAnsi"/>
        </w:rPr>
        <w:t xml:space="preserve"> </w:t>
      </w:r>
      <w:r w:rsidRPr="00E20AD0">
        <w:rPr>
          <w:rStyle w:val="FootnoteReference"/>
          <w:rFonts w:asciiTheme="minorHAnsi" w:hAnsiTheme="minorHAnsi"/>
          <w:sz w:val="28"/>
          <w:szCs w:val="28"/>
        </w:rPr>
        <w:t>Adam G Elshaug, Amber M Watt, Linda Mundy and Cameron D Willis, Over 150 potentially low-value health care practices: an Australian study, Med J Aust 2012; 197 (10): 556-560</w:t>
      </w:r>
    </w:p>
  </w:footnote>
  <w:footnote w:id="2">
    <w:p w14:paraId="476CFD6D" w14:textId="2C852251" w:rsidR="004935DB" w:rsidRPr="00E20AD0" w:rsidRDefault="004935DB">
      <w:pPr>
        <w:pStyle w:val="FootnoteText"/>
        <w:rPr>
          <w:rFonts w:asciiTheme="minorHAnsi" w:hAnsiTheme="minorHAnsi"/>
        </w:rPr>
      </w:pPr>
      <w:r w:rsidRPr="00E20AD0">
        <w:rPr>
          <w:rStyle w:val="FootnoteReference"/>
          <w:rFonts w:asciiTheme="minorHAnsi" w:hAnsiTheme="minorHAnsi"/>
        </w:rPr>
        <w:footnoteRef/>
      </w:r>
      <w:r w:rsidRPr="00E20AD0">
        <w:rPr>
          <w:rFonts w:asciiTheme="minorHAnsi" w:hAnsiTheme="minorHAnsi"/>
        </w:rPr>
        <w:t xml:space="preserve"> </w:t>
      </w:r>
      <w:hyperlink r:id="rId1" w:history="1">
        <w:r w:rsidRPr="00E20AD0">
          <w:rPr>
            <w:rStyle w:val="FootnoteReference"/>
            <w:rFonts w:asciiTheme="minorHAnsi" w:hAnsiTheme="minorHAnsi"/>
            <w:sz w:val="28"/>
            <w:szCs w:val="28"/>
          </w:rPr>
          <w:t>http://www.abs.gov.au/AUSSTATS/abs@.nsf/DetailsPage/3101.0Dec%202015?OpenDocument</w:t>
        </w:r>
      </w:hyperlink>
    </w:p>
  </w:footnote>
  <w:footnote w:id="3">
    <w:p w14:paraId="13337A04" w14:textId="37A07101" w:rsidR="004935DB" w:rsidRPr="00E20AD0" w:rsidRDefault="004935DB">
      <w:pPr>
        <w:pStyle w:val="FootnoteText"/>
        <w:rPr>
          <w:rFonts w:asciiTheme="minorHAnsi" w:hAnsiTheme="minorHAnsi"/>
        </w:rPr>
      </w:pPr>
      <w:r w:rsidRPr="00E20AD0">
        <w:rPr>
          <w:rStyle w:val="FootnoteReference"/>
          <w:rFonts w:asciiTheme="minorHAnsi" w:hAnsiTheme="minorHAnsi"/>
        </w:rPr>
        <w:footnoteRef/>
      </w:r>
      <w:r w:rsidRPr="00E20AD0">
        <w:rPr>
          <w:rFonts w:asciiTheme="minorHAnsi" w:hAnsiTheme="minorHAnsi"/>
        </w:rPr>
        <w:t xml:space="preserve"> </w:t>
      </w:r>
      <w:r w:rsidRPr="00E20AD0">
        <w:rPr>
          <w:rStyle w:val="FootnoteReference"/>
          <w:rFonts w:asciiTheme="minorHAnsi" w:hAnsiTheme="minorHAnsi"/>
          <w:sz w:val="28"/>
          <w:szCs w:val="28"/>
        </w:rPr>
        <w:t xml:space="preserve"> </w:t>
      </w:r>
      <w:hyperlink r:id="rId2" w:history="1">
        <w:r w:rsidRPr="00E20AD0">
          <w:rPr>
            <w:rStyle w:val="FootnoteReference"/>
            <w:rFonts w:asciiTheme="minorHAnsi" w:hAnsiTheme="minorHAnsi"/>
            <w:sz w:val="28"/>
            <w:szCs w:val="28"/>
          </w:rPr>
          <w:t>http://www.aihw.gov.au/publication-detail/?id=60129550483</w:t>
        </w:r>
      </w:hyperlink>
    </w:p>
  </w:footnote>
  <w:footnote w:id="4">
    <w:p w14:paraId="16E1E6DA" w14:textId="4C9DF6AE" w:rsidR="004935DB" w:rsidRPr="00E20AD0" w:rsidRDefault="004935DB">
      <w:pPr>
        <w:pStyle w:val="FootnoteText"/>
        <w:rPr>
          <w:rFonts w:asciiTheme="minorHAnsi" w:hAnsiTheme="minorHAnsi"/>
        </w:rPr>
      </w:pPr>
      <w:r w:rsidRPr="00E20AD0">
        <w:rPr>
          <w:rStyle w:val="FootnoteReference"/>
          <w:rFonts w:asciiTheme="minorHAnsi" w:hAnsiTheme="minorHAnsi"/>
        </w:rPr>
        <w:footnoteRef/>
      </w:r>
      <w:r w:rsidRPr="00E20AD0">
        <w:rPr>
          <w:rFonts w:asciiTheme="minorHAnsi" w:hAnsiTheme="minorHAnsi"/>
        </w:rPr>
        <w:t xml:space="preserve"> </w:t>
      </w:r>
      <w:r w:rsidRPr="00E20AD0">
        <w:rPr>
          <w:rStyle w:val="FootnoteReference"/>
          <w:rFonts w:asciiTheme="minorHAnsi" w:hAnsiTheme="minorHAnsi"/>
          <w:sz w:val="28"/>
          <w:szCs w:val="28"/>
        </w:rPr>
        <w:t>Australian Commission on Safety and Quality in Healthcare, Australian Atlas of Healthcare Variation 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A6C1A" w14:textId="6CB2D4CB" w:rsidR="004935DB" w:rsidRDefault="004935D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C03320" w14:textId="51903AEC" w:rsidR="004935DB" w:rsidRDefault="004935D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EC5B0" w14:textId="25315BEF" w:rsidR="004935DB" w:rsidRDefault="004935D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AD95A" w14:textId="58FF348F" w:rsidR="004935DB" w:rsidRDefault="004935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9FE4B" w14:textId="6A123596" w:rsidR="004935DB" w:rsidRDefault="004935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3253D" w14:textId="3D331B80" w:rsidR="004935DB" w:rsidRDefault="004935D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46C76F" w14:textId="0CED9DB7" w:rsidR="004935DB" w:rsidRDefault="004935D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008C4C" w14:textId="12C81B53" w:rsidR="004935DB" w:rsidRDefault="004935D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7CCAE1" w14:textId="723C4345" w:rsidR="004935DB" w:rsidRDefault="004935D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75796" w14:textId="4CF54E23" w:rsidR="004935DB" w:rsidRDefault="004935D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99EA0" w14:textId="79C36B7B" w:rsidR="004935DB" w:rsidRDefault="004935D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922E45" w14:textId="21CCE837" w:rsidR="004935DB" w:rsidRDefault="004935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C5C84"/>
    <w:multiLevelType w:val="hybridMultilevel"/>
    <w:tmpl w:val="0722F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491942"/>
    <w:multiLevelType w:val="hybridMultilevel"/>
    <w:tmpl w:val="325430FC"/>
    <w:lvl w:ilvl="0" w:tplc="51DAAB38">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0B54C63"/>
    <w:multiLevelType w:val="hybridMultilevel"/>
    <w:tmpl w:val="60EE1BB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1E56210"/>
    <w:multiLevelType w:val="hybridMultilevel"/>
    <w:tmpl w:val="83F6ED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EA23D9"/>
    <w:multiLevelType w:val="hybridMultilevel"/>
    <w:tmpl w:val="A198DE02"/>
    <w:lvl w:ilvl="0" w:tplc="BE80A90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39B7080"/>
    <w:multiLevelType w:val="hybridMultilevel"/>
    <w:tmpl w:val="4C92F022"/>
    <w:lvl w:ilvl="0" w:tplc="0C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6D7D94"/>
    <w:multiLevelType w:val="hybridMultilevel"/>
    <w:tmpl w:val="CB1A21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7CB33E9"/>
    <w:multiLevelType w:val="hybridMultilevel"/>
    <w:tmpl w:val="80AE233C"/>
    <w:lvl w:ilvl="0" w:tplc="0C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636658"/>
    <w:multiLevelType w:val="hybridMultilevel"/>
    <w:tmpl w:val="2CD448E2"/>
    <w:lvl w:ilvl="0" w:tplc="0409000F">
      <w:start w:val="1"/>
      <w:numFmt w:val="decimal"/>
      <w:lvlText w:val="%1."/>
      <w:lvlJc w:val="left"/>
      <w:pPr>
        <w:ind w:left="360" w:hanging="360"/>
      </w:pPr>
    </w:lvl>
    <w:lvl w:ilvl="1" w:tplc="8610B7F2">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A547722"/>
    <w:multiLevelType w:val="hybridMultilevel"/>
    <w:tmpl w:val="A4C83D60"/>
    <w:lvl w:ilvl="0" w:tplc="390278A0">
      <w:start w:val="1"/>
      <w:numFmt w:val="lowerRoman"/>
      <w:lvlText w:val="%1"/>
      <w:lvlJc w:val="right"/>
      <w:pPr>
        <w:ind w:left="720" w:hanging="360"/>
      </w:pPr>
      <w:rPr>
        <w:rFonts w:hint="default"/>
      </w:rPr>
    </w:lvl>
    <w:lvl w:ilvl="1" w:tplc="07024C3A">
      <w:start w:val="1"/>
      <w:numFmt w:val="lowerLetter"/>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B3763EA"/>
    <w:multiLevelType w:val="hybridMultilevel"/>
    <w:tmpl w:val="804C6746"/>
    <w:lvl w:ilvl="0" w:tplc="390278A0">
      <w:start w:val="1"/>
      <w:numFmt w:val="lowerRoman"/>
      <w:lvlText w:val="%1"/>
      <w:lvlJc w:val="right"/>
      <w:pPr>
        <w:ind w:left="720" w:hanging="360"/>
      </w:pPr>
      <w:rPr>
        <w:rFonts w:hint="default"/>
      </w:rPr>
    </w:lvl>
    <w:lvl w:ilvl="1" w:tplc="390278A0">
      <w:start w:val="1"/>
      <w:numFmt w:val="lowerRoman"/>
      <w:lvlText w:val="%2"/>
      <w:lvlJc w:val="righ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2021C09"/>
    <w:multiLevelType w:val="hybridMultilevel"/>
    <w:tmpl w:val="7340004A"/>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3AB4CDC"/>
    <w:multiLevelType w:val="hybridMultilevel"/>
    <w:tmpl w:val="C6846F22"/>
    <w:lvl w:ilvl="0" w:tplc="0C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79181A"/>
    <w:multiLevelType w:val="hybridMultilevel"/>
    <w:tmpl w:val="8E5E2E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57860BE"/>
    <w:multiLevelType w:val="hybridMultilevel"/>
    <w:tmpl w:val="79C62C9E"/>
    <w:lvl w:ilvl="0" w:tplc="51DAAB38">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6BB4224"/>
    <w:multiLevelType w:val="hybridMultilevel"/>
    <w:tmpl w:val="1B0610DC"/>
    <w:lvl w:ilvl="0" w:tplc="1CD09CAE">
      <w:start w:val="1"/>
      <w:numFmt w:val="bullet"/>
      <w:pStyle w:val="BoxBullet"/>
      <w:lvlText w:val="∆"/>
      <w:lvlJc w:val="left"/>
      <w:pPr>
        <w:tabs>
          <w:tab w:val="num" w:pos="357"/>
        </w:tabs>
        <w:ind w:left="357" w:hanging="357"/>
      </w:pPr>
      <w:rPr>
        <w:rFonts w:ascii="Calibri" w:hAnsi="Calibri" w:hint="default"/>
        <w:color w:val="B5601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723834"/>
    <w:multiLevelType w:val="hybridMultilevel"/>
    <w:tmpl w:val="24FAD090"/>
    <w:lvl w:ilvl="0" w:tplc="307A066E">
      <w:start w:val="1"/>
      <w:numFmt w:val="upperLetter"/>
      <w:pStyle w:val="AppendixStyle1"/>
      <w:lvlText w:val="Appendix %1"/>
      <w:lvlJc w:val="left"/>
      <w:pPr>
        <w:ind w:left="360" w:hanging="360"/>
      </w:pPr>
      <w:rPr>
        <w:rFonts w:hint="default"/>
        <w:bCs w:val="0"/>
        <w:i w:val="0"/>
        <w:iCs w:val="0"/>
        <w:caps w:val="0"/>
        <w:smallCaps w:val="0"/>
        <w:strike w:val="0"/>
        <w:dstrike w:val="0"/>
        <w:vanish w:val="0"/>
        <w:color w:val="000000"/>
        <w:spacing w:val="0"/>
        <w:kern w:val="0"/>
        <w:position w:val="0"/>
        <w:sz w:val="32"/>
        <w:szCs w:val="3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8B93646"/>
    <w:multiLevelType w:val="hybridMultilevel"/>
    <w:tmpl w:val="086C5018"/>
    <w:lvl w:ilvl="0" w:tplc="A29E2B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6E2D59"/>
    <w:multiLevelType w:val="hybridMultilevel"/>
    <w:tmpl w:val="6702489A"/>
    <w:lvl w:ilvl="0" w:tplc="62944DBA">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E276C78"/>
    <w:multiLevelType w:val="hybridMultilevel"/>
    <w:tmpl w:val="7748A1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0B27BFD"/>
    <w:multiLevelType w:val="multilevel"/>
    <w:tmpl w:val="B3C89B00"/>
    <w:lvl w:ilvl="0">
      <w:start w:val="1"/>
      <w:numFmt w:val="bullet"/>
      <w:pStyle w:val="01squarebullet"/>
      <w:lvlText w:val=""/>
      <w:lvlJc w:val="left"/>
      <w:pPr>
        <w:tabs>
          <w:tab w:val="num" w:pos="357"/>
        </w:tabs>
        <w:ind w:left="360" w:hanging="360"/>
      </w:pPr>
      <w:rPr>
        <w:rFonts w:ascii="Symbol" w:hAnsi="Symbol" w:hint="default"/>
        <w:color w:val="auto"/>
        <w:sz w:val="24"/>
      </w:rPr>
    </w:lvl>
    <w:lvl w:ilvl="1">
      <w:start w:val="1"/>
      <w:numFmt w:val="bullet"/>
      <w:pStyle w:val="02dash"/>
      <w:lvlText w:val="–"/>
      <w:lvlJc w:val="left"/>
      <w:pPr>
        <w:tabs>
          <w:tab w:val="num" w:pos="646"/>
        </w:tabs>
        <w:ind w:left="644" w:hanging="284"/>
      </w:pPr>
      <w:rPr>
        <w:rFonts w:ascii="Arial" w:hAnsi="Arial" w:hint="default"/>
        <w:color w:val="auto"/>
        <w:sz w:val="24"/>
      </w:rPr>
    </w:lvl>
    <w:lvl w:ilvl="2">
      <w:start w:val="1"/>
      <w:numFmt w:val="bullet"/>
      <w:pStyle w:val="03opensquarebullet"/>
      <w:lvlText w:val="□"/>
      <w:lvlJc w:val="left"/>
      <w:pPr>
        <w:tabs>
          <w:tab w:val="num" w:pos="924"/>
        </w:tabs>
        <w:ind w:left="927" w:hanging="283"/>
      </w:pPr>
      <w:rPr>
        <w:rFonts w:ascii="Times New Roman" w:hAnsi="Times New Roman" w:cs="Times New Roman" w:hint="default"/>
        <w:color w:val="auto"/>
        <w:sz w:val="20"/>
      </w:rPr>
    </w:lvl>
    <w:lvl w:ilvl="3">
      <w:start w:val="1"/>
      <w:numFmt w:val="bullet"/>
      <w:pStyle w:val="04shortdash"/>
      <w:lvlText w:val="-"/>
      <w:lvlJc w:val="left"/>
      <w:pPr>
        <w:tabs>
          <w:tab w:val="num" w:pos="1213"/>
        </w:tabs>
        <w:ind w:left="1211" w:hanging="284"/>
      </w:pPr>
      <w:rPr>
        <w:rFonts w:ascii="Times New Roman" w:hAnsi="Times New Roman" w:cs="Times New Roman" w:hint="default"/>
        <w:color w:val="002960"/>
        <w:sz w:val="24"/>
      </w:rPr>
    </w:lvl>
    <w:lvl w:ilvl="4">
      <w:start w:val="1"/>
      <w:numFmt w:val="lowerLetter"/>
      <w:lvlText w:val="(%5)"/>
      <w:lvlJc w:val="left"/>
      <w:pPr>
        <w:tabs>
          <w:tab w:val="num" w:pos="1877"/>
        </w:tabs>
        <w:ind w:left="1877" w:hanging="360"/>
      </w:pPr>
      <w:rPr>
        <w:rFonts w:hint="default"/>
      </w:rPr>
    </w:lvl>
    <w:lvl w:ilvl="5">
      <w:start w:val="1"/>
      <w:numFmt w:val="lowerRoman"/>
      <w:lvlText w:val="(%6)"/>
      <w:lvlJc w:val="left"/>
      <w:pPr>
        <w:tabs>
          <w:tab w:val="num" w:pos="2237"/>
        </w:tabs>
        <w:ind w:left="2237" w:hanging="360"/>
      </w:pPr>
      <w:rPr>
        <w:rFonts w:hint="default"/>
      </w:rPr>
    </w:lvl>
    <w:lvl w:ilvl="6">
      <w:start w:val="1"/>
      <w:numFmt w:val="decimal"/>
      <w:lvlText w:val="%7."/>
      <w:lvlJc w:val="left"/>
      <w:pPr>
        <w:tabs>
          <w:tab w:val="num" w:pos="2597"/>
        </w:tabs>
        <w:ind w:left="2597" w:hanging="360"/>
      </w:pPr>
      <w:rPr>
        <w:rFonts w:hint="default"/>
      </w:rPr>
    </w:lvl>
    <w:lvl w:ilvl="7">
      <w:start w:val="1"/>
      <w:numFmt w:val="lowerLetter"/>
      <w:lvlText w:val="%8."/>
      <w:lvlJc w:val="left"/>
      <w:pPr>
        <w:tabs>
          <w:tab w:val="num" w:pos="2957"/>
        </w:tabs>
        <w:ind w:left="2957" w:hanging="360"/>
      </w:pPr>
      <w:rPr>
        <w:rFonts w:hint="default"/>
      </w:rPr>
    </w:lvl>
    <w:lvl w:ilvl="8">
      <w:start w:val="1"/>
      <w:numFmt w:val="lowerRoman"/>
      <w:lvlText w:val="%9."/>
      <w:lvlJc w:val="left"/>
      <w:pPr>
        <w:tabs>
          <w:tab w:val="num" w:pos="3317"/>
        </w:tabs>
        <w:ind w:left="3317" w:hanging="360"/>
      </w:pPr>
      <w:rPr>
        <w:rFonts w:hint="default"/>
      </w:rPr>
    </w:lvl>
  </w:abstractNum>
  <w:abstractNum w:abstractNumId="21" w15:restartNumberingAfterBreak="0">
    <w:nsid w:val="21131BE9"/>
    <w:multiLevelType w:val="hybridMultilevel"/>
    <w:tmpl w:val="6638E1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6D4EE7C6">
      <w:start w:val="1"/>
      <w:numFmt w:val="bullet"/>
      <w:pStyle w:val="Bullet3"/>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3DC62F7"/>
    <w:multiLevelType w:val="hybridMultilevel"/>
    <w:tmpl w:val="D2B4CDC0"/>
    <w:lvl w:ilvl="0" w:tplc="4358F99A">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4742B66"/>
    <w:multiLevelType w:val="hybridMultilevel"/>
    <w:tmpl w:val="4EF46102"/>
    <w:lvl w:ilvl="0" w:tplc="0C090001">
      <w:start w:val="1"/>
      <w:numFmt w:val="bullet"/>
      <w:lvlText w:val=""/>
      <w:lvlJc w:val="left"/>
      <w:pPr>
        <w:ind w:left="720" w:hanging="360"/>
      </w:pPr>
      <w:rPr>
        <w:rFonts w:ascii="Symbol" w:hAnsi="Symbol" w:hint="default"/>
      </w:rPr>
    </w:lvl>
    <w:lvl w:ilvl="1" w:tplc="016AB9E8">
      <w:start w:val="1"/>
      <w:numFmt w:val="bullet"/>
      <w:pStyle w:val="Bullet2"/>
      <w:lvlText w:val="–"/>
      <w:lvlJc w:val="left"/>
      <w:pPr>
        <w:ind w:left="1440" w:hanging="360"/>
      </w:pPr>
      <w:rPr>
        <w:rFonts w:ascii="Calibri" w:hAnsi="Calibri"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4785929"/>
    <w:multiLevelType w:val="hybridMultilevel"/>
    <w:tmpl w:val="A6049498"/>
    <w:lvl w:ilvl="0" w:tplc="0F1ACFA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48665A1"/>
    <w:multiLevelType w:val="hybridMultilevel"/>
    <w:tmpl w:val="588EC6D6"/>
    <w:lvl w:ilvl="0" w:tplc="390278A0">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4C95C99"/>
    <w:multiLevelType w:val="hybridMultilevel"/>
    <w:tmpl w:val="403CB1A4"/>
    <w:lvl w:ilvl="0" w:tplc="0C090017">
      <w:start w:val="1"/>
      <w:numFmt w:val="lowerLetter"/>
      <w:lvlText w:val="%1)"/>
      <w:lvlJc w:val="left"/>
      <w:pPr>
        <w:ind w:left="761" w:hanging="360"/>
      </w:pPr>
    </w:lvl>
    <w:lvl w:ilvl="1" w:tplc="0C090019" w:tentative="1">
      <w:start w:val="1"/>
      <w:numFmt w:val="lowerLetter"/>
      <w:lvlText w:val="%2."/>
      <w:lvlJc w:val="left"/>
      <w:pPr>
        <w:ind w:left="1481" w:hanging="360"/>
      </w:pPr>
    </w:lvl>
    <w:lvl w:ilvl="2" w:tplc="0C09001B" w:tentative="1">
      <w:start w:val="1"/>
      <w:numFmt w:val="lowerRoman"/>
      <w:lvlText w:val="%3."/>
      <w:lvlJc w:val="right"/>
      <w:pPr>
        <w:ind w:left="2201" w:hanging="180"/>
      </w:pPr>
    </w:lvl>
    <w:lvl w:ilvl="3" w:tplc="0C09000F" w:tentative="1">
      <w:start w:val="1"/>
      <w:numFmt w:val="decimal"/>
      <w:lvlText w:val="%4."/>
      <w:lvlJc w:val="left"/>
      <w:pPr>
        <w:ind w:left="2921" w:hanging="360"/>
      </w:pPr>
    </w:lvl>
    <w:lvl w:ilvl="4" w:tplc="0C090019" w:tentative="1">
      <w:start w:val="1"/>
      <w:numFmt w:val="lowerLetter"/>
      <w:lvlText w:val="%5."/>
      <w:lvlJc w:val="left"/>
      <w:pPr>
        <w:ind w:left="3641" w:hanging="360"/>
      </w:pPr>
    </w:lvl>
    <w:lvl w:ilvl="5" w:tplc="0C09001B" w:tentative="1">
      <w:start w:val="1"/>
      <w:numFmt w:val="lowerRoman"/>
      <w:lvlText w:val="%6."/>
      <w:lvlJc w:val="right"/>
      <w:pPr>
        <w:ind w:left="4361" w:hanging="180"/>
      </w:pPr>
    </w:lvl>
    <w:lvl w:ilvl="6" w:tplc="0C09000F" w:tentative="1">
      <w:start w:val="1"/>
      <w:numFmt w:val="decimal"/>
      <w:lvlText w:val="%7."/>
      <w:lvlJc w:val="left"/>
      <w:pPr>
        <w:ind w:left="5081" w:hanging="360"/>
      </w:pPr>
    </w:lvl>
    <w:lvl w:ilvl="7" w:tplc="0C090019" w:tentative="1">
      <w:start w:val="1"/>
      <w:numFmt w:val="lowerLetter"/>
      <w:lvlText w:val="%8."/>
      <w:lvlJc w:val="left"/>
      <w:pPr>
        <w:ind w:left="5801" w:hanging="360"/>
      </w:pPr>
    </w:lvl>
    <w:lvl w:ilvl="8" w:tplc="0C09001B" w:tentative="1">
      <w:start w:val="1"/>
      <w:numFmt w:val="lowerRoman"/>
      <w:lvlText w:val="%9."/>
      <w:lvlJc w:val="right"/>
      <w:pPr>
        <w:ind w:left="6521" w:hanging="180"/>
      </w:pPr>
    </w:lvl>
  </w:abstractNum>
  <w:abstractNum w:abstractNumId="27" w15:restartNumberingAfterBreak="0">
    <w:nsid w:val="2588123A"/>
    <w:multiLevelType w:val="hybridMultilevel"/>
    <w:tmpl w:val="64DCD0D6"/>
    <w:lvl w:ilvl="0" w:tplc="390278A0">
      <w:start w:val="1"/>
      <w:numFmt w:val="lowerRoman"/>
      <w:lvlText w:val="%1"/>
      <w:lvlJc w:val="right"/>
      <w:pPr>
        <w:ind w:left="720" w:hanging="360"/>
      </w:pPr>
      <w:rPr>
        <w:rFonts w:hint="default"/>
      </w:rPr>
    </w:lvl>
    <w:lvl w:ilvl="1" w:tplc="5FC2EF38">
      <w:start w:val="1"/>
      <w:numFmt w:val="lowerRoman"/>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2730282C"/>
    <w:multiLevelType w:val="hybridMultilevel"/>
    <w:tmpl w:val="D7FC7A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28D475C0"/>
    <w:multiLevelType w:val="hybridMultilevel"/>
    <w:tmpl w:val="1A6ACCE8"/>
    <w:lvl w:ilvl="0" w:tplc="62944DBA">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2AED0C50"/>
    <w:multiLevelType w:val="hybridMultilevel"/>
    <w:tmpl w:val="2D00E0FC"/>
    <w:lvl w:ilvl="0" w:tplc="53BCD790">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2C1F6A60"/>
    <w:multiLevelType w:val="hybridMultilevel"/>
    <w:tmpl w:val="6D2001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CCA0953"/>
    <w:multiLevelType w:val="hybridMultilevel"/>
    <w:tmpl w:val="7BC6DC32"/>
    <w:lvl w:ilvl="0" w:tplc="01C40830">
      <w:start w:val="9"/>
      <w:numFmt w:val="lowerLetter"/>
      <w:lvlText w:val="(%1)"/>
      <w:lvlJc w:val="left"/>
      <w:pPr>
        <w:ind w:left="1063" w:hanging="360"/>
      </w:pPr>
      <w:rPr>
        <w:rFonts w:hint="default"/>
      </w:rPr>
    </w:lvl>
    <w:lvl w:ilvl="1" w:tplc="0C090019" w:tentative="1">
      <w:start w:val="1"/>
      <w:numFmt w:val="lowerLetter"/>
      <w:lvlText w:val="%2."/>
      <w:lvlJc w:val="left"/>
      <w:pPr>
        <w:ind w:left="1783" w:hanging="360"/>
      </w:pPr>
    </w:lvl>
    <w:lvl w:ilvl="2" w:tplc="0C09001B" w:tentative="1">
      <w:start w:val="1"/>
      <w:numFmt w:val="lowerRoman"/>
      <w:lvlText w:val="%3."/>
      <w:lvlJc w:val="right"/>
      <w:pPr>
        <w:ind w:left="2503" w:hanging="180"/>
      </w:pPr>
    </w:lvl>
    <w:lvl w:ilvl="3" w:tplc="0C09000F" w:tentative="1">
      <w:start w:val="1"/>
      <w:numFmt w:val="decimal"/>
      <w:lvlText w:val="%4."/>
      <w:lvlJc w:val="left"/>
      <w:pPr>
        <w:ind w:left="3223" w:hanging="360"/>
      </w:pPr>
    </w:lvl>
    <w:lvl w:ilvl="4" w:tplc="0C090019" w:tentative="1">
      <w:start w:val="1"/>
      <w:numFmt w:val="lowerLetter"/>
      <w:lvlText w:val="%5."/>
      <w:lvlJc w:val="left"/>
      <w:pPr>
        <w:ind w:left="3943" w:hanging="360"/>
      </w:pPr>
    </w:lvl>
    <w:lvl w:ilvl="5" w:tplc="0C09001B" w:tentative="1">
      <w:start w:val="1"/>
      <w:numFmt w:val="lowerRoman"/>
      <w:lvlText w:val="%6."/>
      <w:lvlJc w:val="right"/>
      <w:pPr>
        <w:ind w:left="4663" w:hanging="180"/>
      </w:pPr>
    </w:lvl>
    <w:lvl w:ilvl="6" w:tplc="0C09000F" w:tentative="1">
      <w:start w:val="1"/>
      <w:numFmt w:val="decimal"/>
      <w:lvlText w:val="%7."/>
      <w:lvlJc w:val="left"/>
      <w:pPr>
        <w:ind w:left="5383" w:hanging="360"/>
      </w:pPr>
    </w:lvl>
    <w:lvl w:ilvl="7" w:tplc="0C090019" w:tentative="1">
      <w:start w:val="1"/>
      <w:numFmt w:val="lowerLetter"/>
      <w:lvlText w:val="%8."/>
      <w:lvlJc w:val="left"/>
      <w:pPr>
        <w:ind w:left="6103" w:hanging="360"/>
      </w:pPr>
    </w:lvl>
    <w:lvl w:ilvl="8" w:tplc="0C09001B" w:tentative="1">
      <w:start w:val="1"/>
      <w:numFmt w:val="lowerRoman"/>
      <w:lvlText w:val="%9."/>
      <w:lvlJc w:val="right"/>
      <w:pPr>
        <w:ind w:left="6823" w:hanging="180"/>
      </w:pPr>
    </w:lvl>
  </w:abstractNum>
  <w:abstractNum w:abstractNumId="33" w15:restartNumberingAfterBreak="0">
    <w:nsid w:val="30085BCA"/>
    <w:multiLevelType w:val="hybridMultilevel"/>
    <w:tmpl w:val="38B6EA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31D5700E"/>
    <w:multiLevelType w:val="hybridMultilevel"/>
    <w:tmpl w:val="34F866A4"/>
    <w:lvl w:ilvl="0" w:tplc="32FA1770">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334E742F"/>
    <w:multiLevelType w:val="hybridMultilevel"/>
    <w:tmpl w:val="191CBB9C"/>
    <w:lvl w:ilvl="0" w:tplc="0C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3DF327A"/>
    <w:multiLevelType w:val="hybridMultilevel"/>
    <w:tmpl w:val="8012C8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34137095"/>
    <w:multiLevelType w:val="hybridMultilevel"/>
    <w:tmpl w:val="22FCA82A"/>
    <w:lvl w:ilvl="0" w:tplc="2BA2650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343C2778"/>
    <w:multiLevelType w:val="hybridMultilevel"/>
    <w:tmpl w:val="BA04D786"/>
    <w:lvl w:ilvl="0" w:tplc="390278A0">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38F25204"/>
    <w:multiLevelType w:val="hybridMultilevel"/>
    <w:tmpl w:val="E27C61BE"/>
    <w:lvl w:ilvl="0" w:tplc="0C090017">
      <w:start w:val="1"/>
      <w:numFmt w:val="lowerLetter"/>
      <w:lvlText w:val="%1)"/>
      <w:lvlJc w:val="left"/>
      <w:pPr>
        <w:ind w:left="720" w:hanging="360"/>
      </w:pPr>
      <w:rPr>
        <w:rFonts w:hint="default"/>
      </w:rPr>
    </w:lvl>
    <w:lvl w:ilvl="1" w:tplc="0C94ECB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BB66FCB"/>
    <w:multiLevelType w:val="hybridMultilevel"/>
    <w:tmpl w:val="3754ED4E"/>
    <w:lvl w:ilvl="0" w:tplc="23FCE512">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3EBD189B"/>
    <w:multiLevelType w:val="hybridMultilevel"/>
    <w:tmpl w:val="BE64973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3F2D590A"/>
    <w:multiLevelType w:val="hybridMultilevel"/>
    <w:tmpl w:val="309C39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41D37CD2"/>
    <w:multiLevelType w:val="hybridMultilevel"/>
    <w:tmpl w:val="6A2EF096"/>
    <w:lvl w:ilvl="0" w:tplc="390278A0">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43B950C3"/>
    <w:multiLevelType w:val="hybridMultilevel"/>
    <w:tmpl w:val="2F705A36"/>
    <w:lvl w:ilvl="0" w:tplc="0409000F">
      <w:start w:val="1"/>
      <w:numFmt w:val="decimal"/>
      <w:lvlText w:val="%1."/>
      <w:lvlJc w:val="left"/>
      <w:pPr>
        <w:ind w:left="720" w:hanging="360"/>
      </w:pPr>
    </w:lvl>
    <w:lvl w:ilvl="1" w:tplc="56AC9EB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6920F19"/>
    <w:multiLevelType w:val="hybridMultilevel"/>
    <w:tmpl w:val="B5A29AF4"/>
    <w:lvl w:ilvl="0" w:tplc="51DAAB38">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48372A63"/>
    <w:multiLevelType w:val="hybridMultilevel"/>
    <w:tmpl w:val="786AF79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48620DCC"/>
    <w:multiLevelType w:val="hybridMultilevel"/>
    <w:tmpl w:val="A578882A"/>
    <w:lvl w:ilvl="0" w:tplc="3236BA98">
      <w:start w:val="1"/>
      <w:numFmt w:val="decimal"/>
      <w:pStyle w:val="Rec"/>
      <w:lvlText w:val="Recommendation %1."/>
      <w:lvlJc w:val="left"/>
      <w:pPr>
        <w:ind w:left="4168" w:hanging="2041"/>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914519F"/>
    <w:multiLevelType w:val="hybridMultilevel"/>
    <w:tmpl w:val="D9182D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E01466D"/>
    <w:multiLevelType w:val="hybridMultilevel"/>
    <w:tmpl w:val="30104238"/>
    <w:lvl w:ilvl="0" w:tplc="390278A0">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4F762491"/>
    <w:multiLevelType w:val="hybridMultilevel"/>
    <w:tmpl w:val="006445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4FBE6A72"/>
    <w:multiLevelType w:val="hybridMultilevel"/>
    <w:tmpl w:val="CCF8E5AC"/>
    <w:lvl w:ilvl="0" w:tplc="2F7889C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50FB0432"/>
    <w:multiLevelType w:val="hybridMultilevel"/>
    <w:tmpl w:val="2200C3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5168549C"/>
    <w:multiLevelType w:val="hybridMultilevel"/>
    <w:tmpl w:val="28A830B6"/>
    <w:lvl w:ilvl="0" w:tplc="390278A0">
      <w:start w:val="1"/>
      <w:numFmt w:val="lowerRoman"/>
      <w:lvlText w:val="%1"/>
      <w:lvlJc w:val="right"/>
      <w:pPr>
        <w:ind w:left="720" w:hanging="360"/>
      </w:pPr>
      <w:rPr>
        <w:rFonts w:hint="default"/>
      </w:rPr>
    </w:lvl>
    <w:lvl w:ilvl="1" w:tplc="29DC30B4">
      <w:start w:val="1"/>
      <w:numFmt w:val="lowerRoman"/>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517F4ED7"/>
    <w:multiLevelType w:val="hybridMultilevel"/>
    <w:tmpl w:val="A23207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52E67A6E"/>
    <w:multiLevelType w:val="hybridMultilevel"/>
    <w:tmpl w:val="3C4445E0"/>
    <w:lvl w:ilvl="0" w:tplc="AFEED0FA">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5A1E0D15"/>
    <w:multiLevelType w:val="hybridMultilevel"/>
    <w:tmpl w:val="5742FA38"/>
    <w:lvl w:ilvl="0" w:tplc="3064E60E">
      <w:start w:val="1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B383C8A"/>
    <w:multiLevelType w:val="hybridMultilevel"/>
    <w:tmpl w:val="4C92F022"/>
    <w:lvl w:ilvl="0" w:tplc="0C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B476BB1"/>
    <w:multiLevelType w:val="hybridMultilevel"/>
    <w:tmpl w:val="AC9EB1E8"/>
    <w:lvl w:ilvl="0" w:tplc="4AB0D2CE">
      <w:start w:val="2"/>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5F9806D5"/>
    <w:multiLevelType w:val="hybridMultilevel"/>
    <w:tmpl w:val="E8A4849A"/>
    <w:lvl w:ilvl="0" w:tplc="072A4802">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1B53B22"/>
    <w:multiLevelType w:val="hybridMultilevel"/>
    <w:tmpl w:val="E6D2C8C2"/>
    <w:lvl w:ilvl="0" w:tplc="7F0ED0DA">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62343E5F"/>
    <w:multiLevelType w:val="hybridMultilevel"/>
    <w:tmpl w:val="F95826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63312BBE"/>
    <w:multiLevelType w:val="hybridMultilevel"/>
    <w:tmpl w:val="BE6601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665D3963"/>
    <w:multiLevelType w:val="hybridMultilevel"/>
    <w:tmpl w:val="0C9C05CC"/>
    <w:lvl w:ilvl="0" w:tplc="390278A0">
      <w:start w:val="1"/>
      <w:numFmt w:val="lowerRoman"/>
      <w:lvlText w:val="%1"/>
      <w:lvlJc w:val="right"/>
      <w:pPr>
        <w:ind w:left="720" w:hanging="360"/>
      </w:pPr>
      <w:rPr>
        <w:rFonts w:hint="default"/>
      </w:rPr>
    </w:lvl>
    <w:lvl w:ilvl="1" w:tplc="C0527DFC">
      <w:start w:val="1"/>
      <w:numFmt w:val="lowerRoman"/>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67672A34"/>
    <w:multiLevelType w:val="hybridMultilevel"/>
    <w:tmpl w:val="D8468FA2"/>
    <w:lvl w:ilvl="0" w:tplc="6666B466">
      <w:start w:val="1"/>
      <w:numFmt w:val="decimal"/>
      <w:pStyle w:val="Recommendation1"/>
      <w:lvlText w:val="Recommendation %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7E9153F"/>
    <w:multiLevelType w:val="hybridMultilevel"/>
    <w:tmpl w:val="03DEB060"/>
    <w:lvl w:ilvl="0" w:tplc="34EEF3D4">
      <w:start w:val="1"/>
      <w:numFmt w:val="bullet"/>
      <w:pStyle w:val="NormalBulleted"/>
      <w:lvlText w:val="∆"/>
      <w:lvlJc w:val="left"/>
      <w:pPr>
        <w:ind w:left="431" w:hanging="431"/>
      </w:pPr>
      <w:rPr>
        <w:rFonts w:ascii="Calibri" w:hAnsi="Calibri" w:hint="default"/>
        <w:color w:val="B5601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99373E8"/>
    <w:multiLevelType w:val="hybridMultilevel"/>
    <w:tmpl w:val="D38675E4"/>
    <w:lvl w:ilvl="0" w:tplc="88FEF044">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6B5614E6"/>
    <w:multiLevelType w:val="hybridMultilevel"/>
    <w:tmpl w:val="CB32E7DC"/>
    <w:lvl w:ilvl="0" w:tplc="324E4BD6">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6B5A29F4"/>
    <w:multiLevelType w:val="hybridMultilevel"/>
    <w:tmpl w:val="500405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6FC06ADF"/>
    <w:multiLevelType w:val="hybridMultilevel"/>
    <w:tmpl w:val="6C6AA77C"/>
    <w:lvl w:ilvl="0" w:tplc="0C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0320879"/>
    <w:multiLevelType w:val="hybridMultilevel"/>
    <w:tmpl w:val="5E660224"/>
    <w:lvl w:ilvl="0" w:tplc="23FCE512">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717E5029"/>
    <w:multiLevelType w:val="hybridMultilevel"/>
    <w:tmpl w:val="D9182D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724356F2"/>
    <w:multiLevelType w:val="hybridMultilevel"/>
    <w:tmpl w:val="A4DABC4E"/>
    <w:lvl w:ilvl="0" w:tplc="0AE67AD0">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73054879"/>
    <w:multiLevelType w:val="hybridMultilevel"/>
    <w:tmpl w:val="265C25B2"/>
    <w:lvl w:ilvl="0" w:tplc="0C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4A05C70"/>
    <w:multiLevelType w:val="hybridMultilevel"/>
    <w:tmpl w:val="EB8883DA"/>
    <w:lvl w:ilvl="0" w:tplc="0C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97B2AF2"/>
    <w:multiLevelType w:val="hybridMultilevel"/>
    <w:tmpl w:val="47FAB920"/>
    <w:lvl w:ilvl="0" w:tplc="311691B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79C439FE"/>
    <w:multiLevelType w:val="hybridMultilevel"/>
    <w:tmpl w:val="E5A2F5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9FA3A92"/>
    <w:multiLevelType w:val="hybridMultilevel"/>
    <w:tmpl w:val="6FCAFCBC"/>
    <w:lvl w:ilvl="0" w:tplc="88FEF044">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7B1705D2"/>
    <w:multiLevelType w:val="hybridMultilevel"/>
    <w:tmpl w:val="B3B2232A"/>
    <w:lvl w:ilvl="0" w:tplc="978073E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7D0575B2"/>
    <w:multiLevelType w:val="multilevel"/>
    <w:tmpl w:val="AA1A24C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0" w15:restartNumberingAfterBreak="0">
    <w:nsid w:val="7D225CBC"/>
    <w:multiLevelType w:val="hybridMultilevel"/>
    <w:tmpl w:val="BE6601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7E526669"/>
    <w:multiLevelType w:val="hybridMultilevel"/>
    <w:tmpl w:val="4C10560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21"/>
  </w:num>
  <w:num w:numId="2">
    <w:abstractNumId w:val="23"/>
  </w:num>
  <w:num w:numId="3">
    <w:abstractNumId w:val="16"/>
  </w:num>
  <w:num w:numId="4">
    <w:abstractNumId w:val="79"/>
  </w:num>
  <w:num w:numId="5">
    <w:abstractNumId w:val="50"/>
  </w:num>
  <w:num w:numId="6">
    <w:abstractNumId w:val="19"/>
  </w:num>
  <w:num w:numId="7">
    <w:abstractNumId w:val="64"/>
  </w:num>
  <w:num w:numId="8">
    <w:abstractNumId w:val="13"/>
  </w:num>
  <w:num w:numId="9">
    <w:abstractNumId w:val="31"/>
  </w:num>
  <w:num w:numId="10">
    <w:abstractNumId w:val="36"/>
  </w:num>
  <w:num w:numId="11">
    <w:abstractNumId w:val="5"/>
  </w:num>
  <w:num w:numId="12">
    <w:abstractNumId w:val="33"/>
  </w:num>
  <w:num w:numId="13">
    <w:abstractNumId w:val="74"/>
  </w:num>
  <w:num w:numId="14">
    <w:abstractNumId w:val="68"/>
  </w:num>
  <w:num w:numId="15">
    <w:abstractNumId w:val="69"/>
  </w:num>
  <w:num w:numId="16">
    <w:abstractNumId w:val="54"/>
  </w:num>
  <w:num w:numId="17">
    <w:abstractNumId w:val="73"/>
  </w:num>
  <w:num w:numId="18">
    <w:abstractNumId w:val="28"/>
  </w:num>
  <w:num w:numId="19">
    <w:abstractNumId w:val="80"/>
  </w:num>
  <w:num w:numId="20">
    <w:abstractNumId w:val="62"/>
  </w:num>
  <w:num w:numId="21">
    <w:abstractNumId w:val="48"/>
  </w:num>
  <w:num w:numId="22">
    <w:abstractNumId w:val="35"/>
  </w:num>
  <w:num w:numId="23">
    <w:abstractNumId w:val="20"/>
  </w:num>
  <w:num w:numId="24">
    <w:abstractNumId w:val="10"/>
  </w:num>
  <w:num w:numId="25">
    <w:abstractNumId w:val="9"/>
  </w:num>
  <w:num w:numId="26">
    <w:abstractNumId w:val="26"/>
  </w:num>
  <w:num w:numId="27">
    <w:abstractNumId w:val="27"/>
  </w:num>
  <w:num w:numId="28">
    <w:abstractNumId w:val="43"/>
  </w:num>
  <w:num w:numId="29">
    <w:abstractNumId w:val="53"/>
  </w:num>
  <w:num w:numId="30">
    <w:abstractNumId w:val="38"/>
  </w:num>
  <w:num w:numId="31">
    <w:abstractNumId w:val="49"/>
  </w:num>
  <w:num w:numId="32">
    <w:abstractNumId w:val="11"/>
  </w:num>
  <w:num w:numId="33">
    <w:abstractNumId w:val="63"/>
  </w:num>
  <w:num w:numId="34">
    <w:abstractNumId w:val="25"/>
  </w:num>
  <w:num w:numId="35">
    <w:abstractNumId w:val="81"/>
  </w:num>
  <w:num w:numId="36">
    <w:abstractNumId w:val="2"/>
  </w:num>
  <w:num w:numId="37">
    <w:abstractNumId w:val="7"/>
  </w:num>
  <w:num w:numId="38">
    <w:abstractNumId w:val="61"/>
  </w:num>
  <w:num w:numId="39">
    <w:abstractNumId w:val="52"/>
  </w:num>
  <w:num w:numId="40">
    <w:abstractNumId w:val="71"/>
  </w:num>
  <w:num w:numId="41">
    <w:abstractNumId w:val="12"/>
  </w:num>
  <w:num w:numId="42">
    <w:abstractNumId w:val="8"/>
  </w:num>
  <w:num w:numId="43">
    <w:abstractNumId w:val="6"/>
  </w:num>
  <w:num w:numId="44">
    <w:abstractNumId w:val="42"/>
  </w:num>
  <w:num w:numId="45">
    <w:abstractNumId w:val="59"/>
  </w:num>
  <w:num w:numId="46">
    <w:abstractNumId w:val="56"/>
  </w:num>
  <w:num w:numId="47">
    <w:abstractNumId w:val="0"/>
  </w:num>
  <w:num w:numId="48">
    <w:abstractNumId w:val="3"/>
  </w:num>
  <w:num w:numId="49">
    <w:abstractNumId w:val="76"/>
  </w:num>
  <w:num w:numId="50">
    <w:abstractNumId w:val="44"/>
  </w:num>
  <w:num w:numId="51">
    <w:abstractNumId w:val="39"/>
  </w:num>
  <w:num w:numId="52">
    <w:abstractNumId w:val="47"/>
    <w:lvlOverride w:ilvl="0">
      <w:startOverride w:val="1"/>
    </w:lvlOverride>
  </w:num>
  <w:num w:numId="53">
    <w:abstractNumId w:val="57"/>
  </w:num>
  <w:num w:numId="5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5"/>
  </w:num>
  <w:num w:numId="68">
    <w:abstractNumId w:val="65"/>
  </w:num>
  <w:num w:numId="69">
    <w:abstractNumId w:val="17"/>
  </w:num>
  <w:num w:numId="70">
    <w:abstractNumId w:val="18"/>
  </w:num>
  <w:num w:numId="71">
    <w:abstractNumId w:val="55"/>
  </w:num>
  <w:num w:numId="72">
    <w:abstractNumId w:val="37"/>
  </w:num>
  <w:num w:numId="73">
    <w:abstractNumId w:val="40"/>
  </w:num>
  <w:num w:numId="74">
    <w:abstractNumId w:val="66"/>
  </w:num>
  <w:num w:numId="75">
    <w:abstractNumId w:val="60"/>
  </w:num>
  <w:num w:numId="76">
    <w:abstractNumId w:val="29"/>
  </w:num>
  <w:num w:numId="77">
    <w:abstractNumId w:val="47"/>
  </w:num>
  <w:num w:numId="78">
    <w:abstractNumId w:val="24"/>
  </w:num>
  <w:num w:numId="79">
    <w:abstractNumId w:val="4"/>
  </w:num>
  <w:num w:numId="80">
    <w:abstractNumId w:val="75"/>
  </w:num>
  <w:num w:numId="81">
    <w:abstractNumId w:val="78"/>
  </w:num>
  <w:num w:numId="82">
    <w:abstractNumId w:val="51"/>
  </w:num>
  <w:num w:numId="83">
    <w:abstractNumId w:val="32"/>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characterSpacingControl w:val="doNotCompress"/>
  <w:hdrShapeDefaults>
    <o:shapedefaults v:ext="edit" spidmax="1228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sNewDoc" w:val="No"/>
  </w:docVars>
  <w:rsids>
    <w:rsidRoot w:val="00093404"/>
    <w:rsid w:val="000006E3"/>
    <w:rsid w:val="0000150F"/>
    <w:rsid w:val="00001F7B"/>
    <w:rsid w:val="00002477"/>
    <w:rsid w:val="00002678"/>
    <w:rsid w:val="000044E9"/>
    <w:rsid w:val="00004920"/>
    <w:rsid w:val="00004AD6"/>
    <w:rsid w:val="00004CCA"/>
    <w:rsid w:val="0000566B"/>
    <w:rsid w:val="00006915"/>
    <w:rsid w:val="00006AE9"/>
    <w:rsid w:val="00007CFB"/>
    <w:rsid w:val="000107B3"/>
    <w:rsid w:val="0001084A"/>
    <w:rsid w:val="00011E98"/>
    <w:rsid w:val="00013881"/>
    <w:rsid w:val="0001393A"/>
    <w:rsid w:val="000140C8"/>
    <w:rsid w:val="00014712"/>
    <w:rsid w:val="0001545C"/>
    <w:rsid w:val="00015973"/>
    <w:rsid w:val="00017FE5"/>
    <w:rsid w:val="00020196"/>
    <w:rsid w:val="00020431"/>
    <w:rsid w:val="00020587"/>
    <w:rsid w:val="000206BB"/>
    <w:rsid w:val="00020E0E"/>
    <w:rsid w:val="00021A9A"/>
    <w:rsid w:val="00022E87"/>
    <w:rsid w:val="0002353D"/>
    <w:rsid w:val="00023C89"/>
    <w:rsid w:val="00024FE0"/>
    <w:rsid w:val="000253EC"/>
    <w:rsid w:val="000278CF"/>
    <w:rsid w:val="000309CE"/>
    <w:rsid w:val="00031095"/>
    <w:rsid w:val="00031ADE"/>
    <w:rsid w:val="00032108"/>
    <w:rsid w:val="000337EF"/>
    <w:rsid w:val="00033DA4"/>
    <w:rsid w:val="00035C28"/>
    <w:rsid w:val="00036C0E"/>
    <w:rsid w:val="00036C14"/>
    <w:rsid w:val="00040EAC"/>
    <w:rsid w:val="00042A17"/>
    <w:rsid w:val="00043742"/>
    <w:rsid w:val="000439D3"/>
    <w:rsid w:val="00045495"/>
    <w:rsid w:val="000459AD"/>
    <w:rsid w:val="00045F6B"/>
    <w:rsid w:val="00046AF0"/>
    <w:rsid w:val="00046C9C"/>
    <w:rsid w:val="00047145"/>
    <w:rsid w:val="00047FB5"/>
    <w:rsid w:val="000501C9"/>
    <w:rsid w:val="00050345"/>
    <w:rsid w:val="00050ED2"/>
    <w:rsid w:val="00050EF0"/>
    <w:rsid w:val="000517B9"/>
    <w:rsid w:val="000537C0"/>
    <w:rsid w:val="00054036"/>
    <w:rsid w:val="00054505"/>
    <w:rsid w:val="0005522D"/>
    <w:rsid w:val="0005557F"/>
    <w:rsid w:val="000558E5"/>
    <w:rsid w:val="00056CF7"/>
    <w:rsid w:val="00057AB0"/>
    <w:rsid w:val="00057F0D"/>
    <w:rsid w:val="00060C76"/>
    <w:rsid w:val="00061127"/>
    <w:rsid w:val="000612DC"/>
    <w:rsid w:val="0006140B"/>
    <w:rsid w:val="0006177C"/>
    <w:rsid w:val="00061E5F"/>
    <w:rsid w:val="0006241C"/>
    <w:rsid w:val="000626C7"/>
    <w:rsid w:val="00062E38"/>
    <w:rsid w:val="0006309D"/>
    <w:rsid w:val="00064465"/>
    <w:rsid w:val="0006464C"/>
    <w:rsid w:val="000653C1"/>
    <w:rsid w:val="000655C1"/>
    <w:rsid w:val="00065ADB"/>
    <w:rsid w:val="00066AF2"/>
    <w:rsid w:val="00067BEC"/>
    <w:rsid w:val="00067C11"/>
    <w:rsid w:val="00070239"/>
    <w:rsid w:val="000703EC"/>
    <w:rsid w:val="000707D3"/>
    <w:rsid w:val="00070CD8"/>
    <w:rsid w:val="0007194A"/>
    <w:rsid w:val="0007261D"/>
    <w:rsid w:val="00072D68"/>
    <w:rsid w:val="00073660"/>
    <w:rsid w:val="000737C9"/>
    <w:rsid w:val="00074357"/>
    <w:rsid w:val="000744E0"/>
    <w:rsid w:val="0007506F"/>
    <w:rsid w:val="0007623D"/>
    <w:rsid w:val="000765ED"/>
    <w:rsid w:val="00076AB6"/>
    <w:rsid w:val="00081875"/>
    <w:rsid w:val="00081F8E"/>
    <w:rsid w:val="000831DB"/>
    <w:rsid w:val="00083652"/>
    <w:rsid w:val="000838B7"/>
    <w:rsid w:val="00083CF7"/>
    <w:rsid w:val="00083E2A"/>
    <w:rsid w:val="0008448B"/>
    <w:rsid w:val="00084B53"/>
    <w:rsid w:val="00084F7A"/>
    <w:rsid w:val="00086AFF"/>
    <w:rsid w:val="00086C40"/>
    <w:rsid w:val="00086FD0"/>
    <w:rsid w:val="00087091"/>
    <w:rsid w:val="0008778F"/>
    <w:rsid w:val="00087975"/>
    <w:rsid w:val="00090478"/>
    <w:rsid w:val="000923EA"/>
    <w:rsid w:val="00092463"/>
    <w:rsid w:val="0009284F"/>
    <w:rsid w:val="00092AB5"/>
    <w:rsid w:val="00093404"/>
    <w:rsid w:val="00094411"/>
    <w:rsid w:val="000959B5"/>
    <w:rsid w:val="00097A82"/>
    <w:rsid w:val="000A0939"/>
    <w:rsid w:val="000A0C01"/>
    <w:rsid w:val="000A126D"/>
    <w:rsid w:val="000A2C3B"/>
    <w:rsid w:val="000A38E3"/>
    <w:rsid w:val="000A3C55"/>
    <w:rsid w:val="000A3FBE"/>
    <w:rsid w:val="000A4EF9"/>
    <w:rsid w:val="000A5376"/>
    <w:rsid w:val="000A705B"/>
    <w:rsid w:val="000B0FB3"/>
    <w:rsid w:val="000B167F"/>
    <w:rsid w:val="000B197F"/>
    <w:rsid w:val="000B1CCA"/>
    <w:rsid w:val="000B2534"/>
    <w:rsid w:val="000B30AF"/>
    <w:rsid w:val="000B48DB"/>
    <w:rsid w:val="000B4B1F"/>
    <w:rsid w:val="000B4CE8"/>
    <w:rsid w:val="000B4EB8"/>
    <w:rsid w:val="000B5054"/>
    <w:rsid w:val="000B52C9"/>
    <w:rsid w:val="000B710A"/>
    <w:rsid w:val="000B7216"/>
    <w:rsid w:val="000B76F2"/>
    <w:rsid w:val="000C00A9"/>
    <w:rsid w:val="000C0CE4"/>
    <w:rsid w:val="000C10BE"/>
    <w:rsid w:val="000C2086"/>
    <w:rsid w:val="000C2699"/>
    <w:rsid w:val="000C2768"/>
    <w:rsid w:val="000C2D92"/>
    <w:rsid w:val="000C366C"/>
    <w:rsid w:val="000C4035"/>
    <w:rsid w:val="000C41CB"/>
    <w:rsid w:val="000C421B"/>
    <w:rsid w:val="000C498A"/>
    <w:rsid w:val="000C548F"/>
    <w:rsid w:val="000C54E8"/>
    <w:rsid w:val="000C565E"/>
    <w:rsid w:val="000C5F18"/>
    <w:rsid w:val="000C6482"/>
    <w:rsid w:val="000C70F5"/>
    <w:rsid w:val="000C7A37"/>
    <w:rsid w:val="000C7B86"/>
    <w:rsid w:val="000D04C1"/>
    <w:rsid w:val="000D1176"/>
    <w:rsid w:val="000D14E3"/>
    <w:rsid w:val="000D1785"/>
    <w:rsid w:val="000D1905"/>
    <w:rsid w:val="000D1CF6"/>
    <w:rsid w:val="000D25AD"/>
    <w:rsid w:val="000D2E96"/>
    <w:rsid w:val="000D3691"/>
    <w:rsid w:val="000D4345"/>
    <w:rsid w:val="000D4490"/>
    <w:rsid w:val="000D5132"/>
    <w:rsid w:val="000D5177"/>
    <w:rsid w:val="000D532B"/>
    <w:rsid w:val="000D5E90"/>
    <w:rsid w:val="000D677B"/>
    <w:rsid w:val="000D68B2"/>
    <w:rsid w:val="000D6C33"/>
    <w:rsid w:val="000D73DF"/>
    <w:rsid w:val="000D7716"/>
    <w:rsid w:val="000D7F4F"/>
    <w:rsid w:val="000E015A"/>
    <w:rsid w:val="000E0278"/>
    <w:rsid w:val="000E03E7"/>
    <w:rsid w:val="000E0690"/>
    <w:rsid w:val="000E0950"/>
    <w:rsid w:val="000E13E8"/>
    <w:rsid w:val="000E1934"/>
    <w:rsid w:val="000E1B03"/>
    <w:rsid w:val="000E2F64"/>
    <w:rsid w:val="000E31B2"/>
    <w:rsid w:val="000E4A79"/>
    <w:rsid w:val="000E5530"/>
    <w:rsid w:val="000E5D39"/>
    <w:rsid w:val="000E666A"/>
    <w:rsid w:val="000E6B0A"/>
    <w:rsid w:val="000E6C56"/>
    <w:rsid w:val="000E70E3"/>
    <w:rsid w:val="000E7727"/>
    <w:rsid w:val="000E7C13"/>
    <w:rsid w:val="000E7E41"/>
    <w:rsid w:val="000F0B7D"/>
    <w:rsid w:val="000F0F68"/>
    <w:rsid w:val="000F0F7F"/>
    <w:rsid w:val="000F2CDA"/>
    <w:rsid w:val="000F2E2B"/>
    <w:rsid w:val="000F2E9B"/>
    <w:rsid w:val="000F3C1E"/>
    <w:rsid w:val="000F3F4F"/>
    <w:rsid w:val="000F4B0C"/>
    <w:rsid w:val="000F4DB6"/>
    <w:rsid w:val="000F50E3"/>
    <w:rsid w:val="000F5115"/>
    <w:rsid w:val="000F6F81"/>
    <w:rsid w:val="000F705F"/>
    <w:rsid w:val="000F72BF"/>
    <w:rsid w:val="000F7381"/>
    <w:rsid w:val="000F7608"/>
    <w:rsid w:val="000F7D1F"/>
    <w:rsid w:val="0010003C"/>
    <w:rsid w:val="0010008F"/>
    <w:rsid w:val="00101268"/>
    <w:rsid w:val="00101DE4"/>
    <w:rsid w:val="00101E86"/>
    <w:rsid w:val="00103DA5"/>
    <w:rsid w:val="00104311"/>
    <w:rsid w:val="00105EB2"/>
    <w:rsid w:val="0010602A"/>
    <w:rsid w:val="00106078"/>
    <w:rsid w:val="0010664E"/>
    <w:rsid w:val="00106987"/>
    <w:rsid w:val="00107B15"/>
    <w:rsid w:val="001104FA"/>
    <w:rsid w:val="00110D0C"/>
    <w:rsid w:val="0011158E"/>
    <w:rsid w:val="0011166D"/>
    <w:rsid w:val="001118B1"/>
    <w:rsid w:val="00111A0E"/>
    <w:rsid w:val="001121E7"/>
    <w:rsid w:val="001122B9"/>
    <w:rsid w:val="00112C49"/>
    <w:rsid w:val="00112D03"/>
    <w:rsid w:val="00113907"/>
    <w:rsid w:val="001141BB"/>
    <w:rsid w:val="001143E8"/>
    <w:rsid w:val="00114E0F"/>
    <w:rsid w:val="001156AF"/>
    <w:rsid w:val="00115F6A"/>
    <w:rsid w:val="00116136"/>
    <w:rsid w:val="00116BB6"/>
    <w:rsid w:val="0011770F"/>
    <w:rsid w:val="001201D4"/>
    <w:rsid w:val="00120E25"/>
    <w:rsid w:val="00123147"/>
    <w:rsid w:val="00123D3B"/>
    <w:rsid w:val="00124A29"/>
    <w:rsid w:val="00125F82"/>
    <w:rsid w:val="00126E67"/>
    <w:rsid w:val="0012774F"/>
    <w:rsid w:val="00127BD9"/>
    <w:rsid w:val="00131578"/>
    <w:rsid w:val="001329BB"/>
    <w:rsid w:val="00132E87"/>
    <w:rsid w:val="00132F58"/>
    <w:rsid w:val="00133E27"/>
    <w:rsid w:val="00135D05"/>
    <w:rsid w:val="0013638A"/>
    <w:rsid w:val="00136C3E"/>
    <w:rsid w:val="001372BE"/>
    <w:rsid w:val="00141F89"/>
    <w:rsid w:val="00142C57"/>
    <w:rsid w:val="0014315F"/>
    <w:rsid w:val="00143948"/>
    <w:rsid w:val="00145358"/>
    <w:rsid w:val="001453BB"/>
    <w:rsid w:val="001461F3"/>
    <w:rsid w:val="0014694A"/>
    <w:rsid w:val="001472FA"/>
    <w:rsid w:val="00150C38"/>
    <w:rsid w:val="0015141E"/>
    <w:rsid w:val="001514D7"/>
    <w:rsid w:val="001518DA"/>
    <w:rsid w:val="00151AAE"/>
    <w:rsid w:val="00151F01"/>
    <w:rsid w:val="00152C99"/>
    <w:rsid w:val="00153816"/>
    <w:rsid w:val="001545AB"/>
    <w:rsid w:val="001548FB"/>
    <w:rsid w:val="0015505E"/>
    <w:rsid w:val="001553A5"/>
    <w:rsid w:val="0015605B"/>
    <w:rsid w:val="001560F9"/>
    <w:rsid w:val="00156B1C"/>
    <w:rsid w:val="00157102"/>
    <w:rsid w:val="00157337"/>
    <w:rsid w:val="0015789A"/>
    <w:rsid w:val="00157F85"/>
    <w:rsid w:val="00160601"/>
    <w:rsid w:val="001614A0"/>
    <w:rsid w:val="001631CB"/>
    <w:rsid w:val="00163874"/>
    <w:rsid w:val="00163AA0"/>
    <w:rsid w:val="001643F5"/>
    <w:rsid w:val="00164423"/>
    <w:rsid w:val="001644AA"/>
    <w:rsid w:val="001646CB"/>
    <w:rsid w:val="0016579B"/>
    <w:rsid w:val="0016604A"/>
    <w:rsid w:val="0016694A"/>
    <w:rsid w:val="00166CAF"/>
    <w:rsid w:val="00166D14"/>
    <w:rsid w:val="00167150"/>
    <w:rsid w:val="001672F2"/>
    <w:rsid w:val="001700F4"/>
    <w:rsid w:val="001704D2"/>
    <w:rsid w:val="00170846"/>
    <w:rsid w:val="0017098E"/>
    <w:rsid w:val="00171193"/>
    <w:rsid w:val="001717C6"/>
    <w:rsid w:val="00171BA8"/>
    <w:rsid w:val="001722C6"/>
    <w:rsid w:val="0017270D"/>
    <w:rsid w:val="001727E3"/>
    <w:rsid w:val="00172A0E"/>
    <w:rsid w:val="00174822"/>
    <w:rsid w:val="00174940"/>
    <w:rsid w:val="00174BD7"/>
    <w:rsid w:val="00175E49"/>
    <w:rsid w:val="00176080"/>
    <w:rsid w:val="001766C6"/>
    <w:rsid w:val="00176F32"/>
    <w:rsid w:val="00177E5A"/>
    <w:rsid w:val="00177E9F"/>
    <w:rsid w:val="0018075E"/>
    <w:rsid w:val="001807AC"/>
    <w:rsid w:val="001807ED"/>
    <w:rsid w:val="0018105F"/>
    <w:rsid w:val="001815E3"/>
    <w:rsid w:val="00181C5E"/>
    <w:rsid w:val="00182A9B"/>
    <w:rsid w:val="00183251"/>
    <w:rsid w:val="0018384D"/>
    <w:rsid w:val="0018389D"/>
    <w:rsid w:val="001842C4"/>
    <w:rsid w:val="001849D5"/>
    <w:rsid w:val="00186CD0"/>
    <w:rsid w:val="00186FE7"/>
    <w:rsid w:val="00187050"/>
    <w:rsid w:val="001871A8"/>
    <w:rsid w:val="00187333"/>
    <w:rsid w:val="00187F36"/>
    <w:rsid w:val="00190347"/>
    <w:rsid w:val="001906B0"/>
    <w:rsid w:val="00190F03"/>
    <w:rsid w:val="00191078"/>
    <w:rsid w:val="0019117E"/>
    <w:rsid w:val="00192413"/>
    <w:rsid w:val="001925E8"/>
    <w:rsid w:val="00192F97"/>
    <w:rsid w:val="001937BB"/>
    <w:rsid w:val="001938F8"/>
    <w:rsid w:val="001951F7"/>
    <w:rsid w:val="00195D92"/>
    <w:rsid w:val="00196603"/>
    <w:rsid w:val="00196AA8"/>
    <w:rsid w:val="00196F67"/>
    <w:rsid w:val="00197283"/>
    <w:rsid w:val="0019747D"/>
    <w:rsid w:val="00197F7F"/>
    <w:rsid w:val="001A0674"/>
    <w:rsid w:val="001A10D5"/>
    <w:rsid w:val="001A1B51"/>
    <w:rsid w:val="001A2772"/>
    <w:rsid w:val="001A2F4C"/>
    <w:rsid w:val="001A3164"/>
    <w:rsid w:val="001A3D86"/>
    <w:rsid w:val="001A5017"/>
    <w:rsid w:val="001A71AB"/>
    <w:rsid w:val="001A7526"/>
    <w:rsid w:val="001A7644"/>
    <w:rsid w:val="001B0195"/>
    <w:rsid w:val="001B05C2"/>
    <w:rsid w:val="001B0EFC"/>
    <w:rsid w:val="001B13AB"/>
    <w:rsid w:val="001B21CA"/>
    <w:rsid w:val="001B3443"/>
    <w:rsid w:val="001B44C3"/>
    <w:rsid w:val="001B4762"/>
    <w:rsid w:val="001B5B16"/>
    <w:rsid w:val="001B7A86"/>
    <w:rsid w:val="001B7D4C"/>
    <w:rsid w:val="001B7DCA"/>
    <w:rsid w:val="001C019F"/>
    <w:rsid w:val="001C032F"/>
    <w:rsid w:val="001C0660"/>
    <w:rsid w:val="001C152C"/>
    <w:rsid w:val="001C1650"/>
    <w:rsid w:val="001C172A"/>
    <w:rsid w:val="001C1AA5"/>
    <w:rsid w:val="001C1BDF"/>
    <w:rsid w:val="001C2780"/>
    <w:rsid w:val="001C2AA1"/>
    <w:rsid w:val="001C2CAA"/>
    <w:rsid w:val="001C2D99"/>
    <w:rsid w:val="001C2FE0"/>
    <w:rsid w:val="001C37C5"/>
    <w:rsid w:val="001C53E1"/>
    <w:rsid w:val="001C5E2F"/>
    <w:rsid w:val="001C610D"/>
    <w:rsid w:val="001C79A8"/>
    <w:rsid w:val="001D0D1A"/>
    <w:rsid w:val="001D1C52"/>
    <w:rsid w:val="001D226A"/>
    <w:rsid w:val="001D2AF1"/>
    <w:rsid w:val="001D507E"/>
    <w:rsid w:val="001D658B"/>
    <w:rsid w:val="001D6ED3"/>
    <w:rsid w:val="001D73E5"/>
    <w:rsid w:val="001D7C3C"/>
    <w:rsid w:val="001D7C4E"/>
    <w:rsid w:val="001D7F51"/>
    <w:rsid w:val="001E0B5F"/>
    <w:rsid w:val="001E146E"/>
    <w:rsid w:val="001E2467"/>
    <w:rsid w:val="001E26B2"/>
    <w:rsid w:val="001E2778"/>
    <w:rsid w:val="001E2E7D"/>
    <w:rsid w:val="001E2FA6"/>
    <w:rsid w:val="001E3E01"/>
    <w:rsid w:val="001E3E7E"/>
    <w:rsid w:val="001E4A48"/>
    <w:rsid w:val="001E5746"/>
    <w:rsid w:val="001E59A7"/>
    <w:rsid w:val="001E68C9"/>
    <w:rsid w:val="001E7BD7"/>
    <w:rsid w:val="001F051E"/>
    <w:rsid w:val="001F0F85"/>
    <w:rsid w:val="001F1135"/>
    <w:rsid w:val="001F1810"/>
    <w:rsid w:val="001F297A"/>
    <w:rsid w:val="001F2A9D"/>
    <w:rsid w:val="001F45A9"/>
    <w:rsid w:val="001F4E07"/>
    <w:rsid w:val="001F50C1"/>
    <w:rsid w:val="001F7873"/>
    <w:rsid w:val="002009CD"/>
    <w:rsid w:val="00200F16"/>
    <w:rsid w:val="00201125"/>
    <w:rsid w:val="0020199E"/>
    <w:rsid w:val="0020210D"/>
    <w:rsid w:val="00202BC7"/>
    <w:rsid w:val="00202DB4"/>
    <w:rsid w:val="002036DF"/>
    <w:rsid w:val="00204534"/>
    <w:rsid w:val="00204BEE"/>
    <w:rsid w:val="0020555B"/>
    <w:rsid w:val="00205BC3"/>
    <w:rsid w:val="00205C46"/>
    <w:rsid w:val="00206F6E"/>
    <w:rsid w:val="00206FF1"/>
    <w:rsid w:val="002074CE"/>
    <w:rsid w:val="0020796B"/>
    <w:rsid w:val="002105F7"/>
    <w:rsid w:val="0021097C"/>
    <w:rsid w:val="00210A7C"/>
    <w:rsid w:val="00211A73"/>
    <w:rsid w:val="002129AE"/>
    <w:rsid w:val="00212AF8"/>
    <w:rsid w:val="00212BB5"/>
    <w:rsid w:val="002132C5"/>
    <w:rsid w:val="00213592"/>
    <w:rsid w:val="002147B7"/>
    <w:rsid w:val="00215607"/>
    <w:rsid w:val="00215B4A"/>
    <w:rsid w:val="00215CDD"/>
    <w:rsid w:val="002161AE"/>
    <w:rsid w:val="00216340"/>
    <w:rsid w:val="00216DD6"/>
    <w:rsid w:val="002173D9"/>
    <w:rsid w:val="002175F5"/>
    <w:rsid w:val="0021772A"/>
    <w:rsid w:val="00221664"/>
    <w:rsid w:val="0022219C"/>
    <w:rsid w:val="002223A9"/>
    <w:rsid w:val="002227B6"/>
    <w:rsid w:val="002229DB"/>
    <w:rsid w:val="00222E2F"/>
    <w:rsid w:val="0022331C"/>
    <w:rsid w:val="00224135"/>
    <w:rsid w:val="00224AC8"/>
    <w:rsid w:val="00225887"/>
    <w:rsid w:val="002262DB"/>
    <w:rsid w:val="00226A36"/>
    <w:rsid w:val="00226CA6"/>
    <w:rsid w:val="0022729C"/>
    <w:rsid w:val="00227512"/>
    <w:rsid w:val="00230619"/>
    <w:rsid w:val="0023138C"/>
    <w:rsid w:val="0023396F"/>
    <w:rsid w:val="0023473B"/>
    <w:rsid w:val="00235035"/>
    <w:rsid w:val="002355B4"/>
    <w:rsid w:val="00235840"/>
    <w:rsid w:val="00235DD0"/>
    <w:rsid w:val="00236BB7"/>
    <w:rsid w:val="00236FB1"/>
    <w:rsid w:val="00237403"/>
    <w:rsid w:val="002378DB"/>
    <w:rsid w:val="00237BA5"/>
    <w:rsid w:val="002400C9"/>
    <w:rsid w:val="002407CB"/>
    <w:rsid w:val="00240A81"/>
    <w:rsid w:val="00241429"/>
    <w:rsid w:val="00241D60"/>
    <w:rsid w:val="00241E3C"/>
    <w:rsid w:val="002429D9"/>
    <w:rsid w:val="00243A06"/>
    <w:rsid w:val="00243BE2"/>
    <w:rsid w:val="0024454D"/>
    <w:rsid w:val="00244CFB"/>
    <w:rsid w:val="002454FD"/>
    <w:rsid w:val="002477A3"/>
    <w:rsid w:val="00250799"/>
    <w:rsid w:val="00250831"/>
    <w:rsid w:val="0025096F"/>
    <w:rsid w:val="002513F9"/>
    <w:rsid w:val="00251B9C"/>
    <w:rsid w:val="00251EEE"/>
    <w:rsid w:val="00251FF0"/>
    <w:rsid w:val="0025322B"/>
    <w:rsid w:val="00253414"/>
    <w:rsid w:val="00253780"/>
    <w:rsid w:val="00253F2C"/>
    <w:rsid w:val="002545F0"/>
    <w:rsid w:val="00254BE8"/>
    <w:rsid w:val="002552B6"/>
    <w:rsid w:val="00255AD3"/>
    <w:rsid w:val="00255B49"/>
    <w:rsid w:val="00255E89"/>
    <w:rsid w:val="00255F86"/>
    <w:rsid w:val="00256FEA"/>
    <w:rsid w:val="0025740C"/>
    <w:rsid w:val="002575B0"/>
    <w:rsid w:val="00257CB6"/>
    <w:rsid w:val="0026010C"/>
    <w:rsid w:val="00262127"/>
    <w:rsid w:val="00263E8F"/>
    <w:rsid w:val="00264364"/>
    <w:rsid w:val="002647E1"/>
    <w:rsid w:val="00265446"/>
    <w:rsid w:val="00265DC7"/>
    <w:rsid w:val="00266262"/>
    <w:rsid w:val="00266516"/>
    <w:rsid w:val="0026678E"/>
    <w:rsid w:val="00266968"/>
    <w:rsid w:val="00266D9D"/>
    <w:rsid w:val="00267E18"/>
    <w:rsid w:val="00270209"/>
    <w:rsid w:val="0027084B"/>
    <w:rsid w:val="00270866"/>
    <w:rsid w:val="00270DA4"/>
    <w:rsid w:val="00270E97"/>
    <w:rsid w:val="00270F66"/>
    <w:rsid w:val="00272695"/>
    <w:rsid w:val="00273AD1"/>
    <w:rsid w:val="00273B42"/>
    <w:rsid w:val="002741EF"/>
    <w:rsid w:val="0027474C"/>
    <w:rsid w:val="00275472"/>
    <w:rsid w:val="002755AF"/>
    <w:rsid w:val="00276A36"/>
    <w:rsid w:val="00277043"/>
    <w:rsid w:val="0028172C"/>
    <w:rsid w:val="00281A36"/>
    <w:rsid w:val="00283332"/>
    <w:rsid w:val="0028345C"/>
    <w:rsid w:val="002843C6"/>
    <w:rsid w:val="00284E84"/>
    <w:rsid w:val="00285E03"/>
    <w:rsid w:val="002866D5"/>
    <w:rsid w:val="00286DBC"/>
    <w:rsid w:val="00290D04"/>
    <w:rsid w:val="00291A31"/>
    <w:rsid w:val="00291BF6"/>
    <w:rsid w:val="002926F0"/>
    <w:rsid w:val="00292C7A"/>
    <w:rsid w:val="0029368F"/>
    <w:rsid w:val="00293C64"/>
    <w:rsid w:val="002945B4"/>
    <w:rsid w:val="00294895"/>
    <w:rsid w:val="00295167"/>
    <w:rsid w:val="00295954"/>
    <w:rsid w:val="00295AF0"/>
    <w:rsid w:val="00296439"/>
    <w:rsid w:val="00296C96"/>
    <w:rsid w:val="00297CD3"/>
    <w:rsid w:val="002A07D1"/>
    <w:rsid w:val="002A0BF1"/>
    <w:rsid w:val="002A1546"/>
    <w:rsid w:val="002A1756"/>
    <w:rsid w:val="002A1B1A"/>
    <w:rsid w:val="002A1EDB"/>
    <w:rsid w:val="002A293E"/>
    <w:rsid w:val="002A2B90"/>
    <w:rsid w:val="002A3863"/>
    <w:rsid w:val="002A389E"/>
    <w:rsid w:val="002A53CD"/>
    <w:rsid w:val="002A5C75"/>
    <w:rsid w:val="002A5E16"/>
    <w:rsid w:val="002A614A"/>
    <w:rsid w:val="002A62B0"/>
    <w:rsid w:val="002B03B0"/>
    <w:rsid w:val="002B11A3"/>
    <w:rsid w:val="002B137D"/>
    <w:rsid w:val="002B17D0"/>
    <w:rsid w:val="002B1D8A"/>
    <w:rsid w:val="002B1F64"/>
    <w:rsid w:val="002B2866"/>
    <w:rsid w:val="002B2D5B"/>
    <w:rsid w:val="002B2E9C"/>
    <w:rsid w:val="002B462B"/>
    <w:rsid w:val="002B51FB"/>
    <w:rsid w:val="002B7C6B"/>
    <w:rsid w:val="002C154A"/>
    <w:rsid w:val="002C2A74"/>
    <w:rsid w:val="002C3AA9"/>
    <w:rsid w:val="002C450D"/>
    <w:rsid w:val="002C4900"/>
    <w:rsid w:val="002C4BDA"/>
    <w:rsid w:val="002C5616"/>
    <w:rsid w:val="002C5905"/>
    <w:rsid w:val="002C5916"/>
    <w:rsid w:val="002C635C"/>
    <w:rsid w:val="002C7C8F"/>
    <w:rsid w:val="002D0115"/>
    <w:rsid w:val="002D19FB"/>
    <w:rsid w:val="002D2021"/>
    <w:rsid w:val="002D2F76"/>
    <w:rsid w:val="002D2FD2"/>
    <w:rsid w:val="002D3019"/>
    <w:rsid w:val="002D3642"/>
    <w:rsid w:val="002D60CE"/>
    <w:rsid w:val="002D63AE"/>
    <w:rsid w:val="002D6FCA"/>
    <w:rsid w:val="002D7AFD"/>
    <w:rsid w:val="002E0FC2"/>
    <w:rsid w:val="002E28FD"/>
    <w:rsid w:val="002E2A73"/>
    <w:rsid w:val="002E2F45"/>
    <w:rsid w:val="002E372E"/>
    <w:rsid w:val="002E4168"/>
    <w:rsid w:val="002E4513"/>
    <w:rsid w:val="002E50CD"/>
    <w:rsid w:val="002E531B"/>
    <w:rsid w:val="002E5508"/>
    <w:rsid w:val="002E5CDA"/>
    <w:rsid w:val="002E6B81"/>
    <w:rsid w:val="002E7C65"/>
    <w:rsid w:val="002E7F34"/>
    <w:rsid w:val="002F0CCD"/>
    <w:rsid w:val="002F24B5"/>
    <w:rsid w:val="002F300D"/>
    <w:rsid w:val="002F4265"/>
    <w:rsid w:val="002F5A7A"/>
    <w:rsid w:val="002F5F27"/>
    <w:rsid w:val="002F79F4"/>
    <w:rsid w:val="00301524"/>
    <w:rsid w:val="00301CAE"/>
    <w:rsid w:val="00302F55"/>
    <w:rsid w:val="00303AE1"/>
    <w:rsid w:val="003049F9"/>
    <w:rsid w:val="00304A10"/>
    <w:rsid w:val="00305745"/>
    <w:rsid w:val="00305D5C"/>
    <w:rsid w:val="00305E4B"/>
    <w:rsid w:val="00306315"/>
    <w:rsid w:val="003067E4"/>
    <w:rsid w:val="00306AC2"/>
    <w:rsid w:val="00306D5B"/>
    <w:rsid w:val="00306EF2"/>
    <w:rsid w:val="003072CD"/>
    <w:rsid w:val="0030786C"/>
    <w:rsid w:val="0030796F"/>
    <w:rsid w:val="00307B0B"/>
    <w:rsid w:val="0031002A"/>
    <w:rsid w:val="00310DC6"/>
    <w:rsid w:val="003126DB"/>
    <w:rsid w:val="003129E4"/>
    <w:rsid w:val="00312A65"/>
    <w:rsid w:val="0031317F"/>
    <w:rsid w:val="003136F2"/>
    <w:rsid w:val="00313EB4"/>
    <w:rsid w:val="00314F69"/>
    <w:rsid w:val="00316D32"/>
    <w:rsid w:val="003174CF"/>
    <w:rsid w:val="003175F5"/>
    <w:rsid w:val="0031799A"/>
    <w:rsid w:val="0032076A"/>
    <w:rsid w:val="003216B7"/>
    <w:rsid w:val="00322482"/>
    <w:rsid w:val="0032320C"/>
    <w:rsid w:val="00323267"/>
    <w:rsid w:val="00323AE8"/>
    <w:rsid w:val="00323B09"/>
    <w:rsid w:val="00324415"/>
    <w:rsid w:val="003246CB"/>
    <w:rsid w:val="00324818"/>
    <w:rsid w:val="00325246"/>
    <w:rsid w:val="0032559C"/>
    <w:rsid w:val="003260BB"/>
    <w:rsid w:val="003263DE"/>
    <w:rsid w:val="00326D7D"/>
    <w:rsid w:val="0032742C"/>
    <w:rsid w:val="00332A99"/>
    <w:rsid w:val="00334FFC"/>
    <w:rsid w:val="00335767"/>
    <w:rsid w:val="00336717"/>
    <w:rsid w:val="00336BD9"/>
    <w:rsid w:val="00341948"/>
    <w:rsid w:val="003420BD"/>
    <w:rsid w:val="00342F35"/>
    <w:rsid w:val="003436A4"/>
    <w:rsid w:val="00343775"/>
    <w:rsid w:val="003444D2"/>
    <w:rsid w:val="00344975"/>
    <w:rsid w:val="00344A70"/>
    <w:rsid w:val="0034674B"/>
    <w:rsid w:val="00346F24"/>
    <w:rsid w:val="00346FA4"/>
    <w:rsid w:val="00350453"/>
    <w:rsid w:val="00350813"/>
    <w:rsid w:val="00350D59"/>
    <w:rsid w:val="00350DC3"/>
    <w:rsid w:val="0035187A"/>
    <w:rsid w:val="00353206"/>
    <w:rsid w:val="003549AB"/>
    <w:rsid w:val="00354AC7"/>
    <w:rsid w:val="00355E4D"/>
    <w:rsid w:val="003562BD"/>
    <w:rsid w:val="00357D6D"/>
    <w:rsid w:val="00360322"/>
    <w:rsid w:val="0036052D"/>
    <w:rsid w:val="00360A76"/>
    <w:rsid w:val="00360B7A"/>
    <w:rsid w:val="0036177A"/>
    <w:rsid w:val="00361E69"/>
    <w:rsid w:val="003627A4"/>
    <w:rsid w:val="00362D8A"/>
    <w:rsid w:val="00364BB7"/>
    <w:rsid w:val="00366D0C"/>
    <w:rsid w:val="00370DEF"/>
    <w:rsid w:val="0037183B"/>
    <w:rsid w:val="00372460"/>
    <w:rsid w:val="00372A48"/>
    <w:rsid w:val="00372BF0"/>
    <w:rsid w:val="00372E34"/>
    <w:rsid w:val="003744D6"/>
    <w:rsid w:val="00374D9F"/>
    <w:rsid w:val="00381526"/>
    <w:rsid w:val="003821F6"/>
    <w:rsid w:val="00382C96"/>
    <w:rsid w:val="00382CC5"/>
    <w:rsid w:val="003837AF"/>
    <w:rsid w:val="00384A6E"/>
    <w:rsid w:val="00386D66"/>
    <w:rsid w:val="00387321"/>
    <w:rsid w:val="00387EB5"/>
    <w:rsid w:val="0039008B"/>
    <w:rsid w:val="00390BD4"/>
    <w:rsid w:val="00390F34"/>
    <w:rsid w:val="00390F86"/>
    <w:rsid w:val="00391B78"/>
    <w:rsid w:val="00391B9B"/>
    <w:rsid w:val="003922A8"/>
    <w:rsid w:val="00392464"/>
    <w:rsid w:val="00392A02"/>
    <w:rsid w:val="003936EE"/>
    <w:rsid w:val="00393A1C"/>
    <w:rsid w:val="00394EAE"/>
    <w:rsid w:val="0039568A"/>
    <w:rsid w:val="00396524"/>
    <w:rsid w:val="00396B69"/>
    <w:rsid w:val="003970A7"/>
    <w:rsid w:val="003A0046"/>
    <w:rsid w:val="003A1507"/>
    <w:rsid w:val="003A2574"/>
    <w:rsid w:val="003A2586"/>
    <w:rsid w:val="003A418B"/>
    <w:rsid w:val="003A527D"/>
    <w:rsid w:val="003A5728"/>
    <w:rsid w:val="003A6B42"/>
    <w:rsid w:val="003B00FD"/>
    <w:rsid w:val="003B03A4"/>
    <w:rsid w:val="003B04C3"/>
    <w:rsid w:val="003B0769"/>
    <w:rsid w:val="003B0AAD"/>
    <w:rsid w:val="003B0B47"/>
    <w:rsid w:val="003B1222"/>
    <w:rsid w:val="003B23E5"/>
    <w:rsid w:val="003B2657"/>
    <w:rsid w:val="003B2972"/>
    <w:rsid w:val="003B2C42"/>
    <w:rsid w:val="003B2E5C"/>
    <w:rsid w:val="003B37B7"/>
    <w:rsid w:val="003B3C7F"/>
    <w:rsid w:val="003B44E3"/>
    <w:rsid w:val="003B54BC"/>
    <w:rsid w:val="003B59C4"/>
    <w:rsid w:val="003B5AC1"/>
    <w:rsid w:val="003B6012"/>
    <w:rsid w:val="003B60A7"/>
    <w:rsid w:val="003B797C"/>
    <w:rsid w:val="003C0856"/>
    <w:rsid w:val="003C0974"/>
    <w:rsid w:val="003C1433"/>
    <w:rsid w:val="003C1DD5"/>
    <w:rsid w:val="003C2F8E"/>
    <w:rsid w:val="003C36FF"/>
    <w:rsid w:val="003C3E2A"/>
    <w:rsid w:val="003C441A"/>
    <w:rsid w:val="003C4F52"/>
    <w:rsid w:val="003C502B"/>
    <w:rsid w:val="003C5059"/>
    <w:rsid w:val="003C51B9"/>
    <w:rsid w:val="003C59B2"/>
    <w:rsid w:val="003C6180"/>
    <w:rsid w:val="003C6DB0"/>
    <w:rsid w:val="003C71C5"/>
    <w:rsid w:val="003C729B"/>
    <w:rsid w:val="003C736D"/>
    <w:rsid w:val="003D0BA7"/>
    <w:rsid w:val="003D0D1C"/>
    <w:rsid w:val="003D2F8F"/>
    <w:rsid w:val="003D3218"/>
    <w:rsid w:val="003D3E15"/>
    <w:rsid w:val="003D5E45"/>
    <w:rsid w:val="003D64D2"/>
    <w:rsid w:val="003D74C9"/>
    <w:rsid w:val="003E1403"/>
    <w:rsid w:val="003E165F"/>
    <w:rsid w:val="003E36C5"/>
    <w:rsid w:val="003E39C7"/>
    <w:rsid w:val="003E3BEF"/>
    <w:rsid w:val="003E4622"/>
    <w:rsid w:val="003E4EDB"/>
    <w:rsid w:val="003E63E6"/>
    <w:rsid w:val="003E6B4C"/>
    <w:rsid w:val="003E7AB4"/>
    <w:rsid w:val="003E7ADD"/>
    <w:rsid w:val="003F03D0"/>
    <w:rsid w:val="003F06B0"/>
    <w:rsid w:val="003F09FF"/>
    <w:rsid w:val="003F19D4"/>
    <w:rsid w:val="003F2A8D"/>
    <w:rsid w:val="003F35FA"/>
    <w:rsid w:val="003F485A"/>
    <w:rsid w:val="003F4CF2"/>
    <w:rsid w:val="003F4E26"/>
    <w:rsid w:val="003F555F"/>
    <w:rsid w:val="003F6163"/>
    <w:rsid w:val="003F7212"/>
    <w:rsid w:val="003F777B"/>
    <w:rsid w:val="003F7882"/>
    <w:rsid w:val="003F788A"/>
    <w:rsid w:val="003F7A83"/>
    <w:rsid w:val="0040164D"/>
    <w:rsid w:val="00401E59"/>
    <w:rsid w:val="00402D30"/>
    <w:rsid w:val="00403E1A"/>
    <w:rsid w:val="00404475"/>
    <w:rsid w:val="00406D56"/>
    <w:rsid w:val="00406ED1"/>
    <w:rsid w:val="004072A8"/>
    <w:rsid w:val="004074E1"/>
    <w:rsid w:val="004115AD"/>
    <w:rsid w:val="00411892"/>
    <w:rsid w:val="00412122"/>
    <w:rsid w:val="00412607"/>
    <w:rsid w:val="00413087"/>
    <w:rsid w:val="00414954"/>
    <w:rsid w:val="00416622"/>
    <w:rsid w:val="00417EFF"/>
    <w:rsid w:val="0042033B"/>
    <w:rsid w:val="00420391"/>
    <w:rsid w:val="0042040D"/>
    <w:rsid w:val="0042071B"/>
    <w:rsid w:val="00420A01"/>
    <w:rsid w:val="00422829"/>
    <w:rsid w:val="00423928"/>
    <w:rsid w:val="00424DB2"/>
    <w:rsid w:val="00425D06"/>
    <w:rsid w:val="0042614A"/>
    <w:rsid w:val="0042649D"/>
    <w:rsid w:val="0042696C"/>
    <w:rsid w:val="004270CD"/>
    <w:rsid w:val="0042753C"/>
    <w:rsid w:val="004304F5"/>
    <w:rsid w:val="004307C5"/>
    <w:rsid w:val="00430D5B"/>
    <w:rsid w:val="00430EC1"/>
    <w:rsid w:val="0043134E"/>
    <w:rsid w:val="00432023"/>
    <w:rsid w:val="0043207B"/>
    <w:rsid w:val="0043303C"/>
    <w:rsid w:val="0043359F"/>
    <w:rsid w:val="00434079"/>
    <w:rsid w:val="00434D9D"/>
    <w:rsid w:val="004351D1"/>
    <w:rsid w:val="00435810"/>
    <w:rsid w:val="00435A5F"/>
    <w:rsid w:val="0043636D"/>
    <w:rsid w:val="00436C63"/>
    <w:rsid w:val="00437620"/>
    <w:rsid w:val="004378E1"/>
    <w:rsid w:val="004412C0"/>
    <w:rsid w:val="00441FC2"/>
    <w:rsid w:val="0044224F"/>
    <w:rsid w:val="0044292D"/>
    <w:rsid w:val="00443623"/>
    <w:rsid w:val="00444173"/>
    <w:rsid w:val="00444E4F"/>
    <w:rsid w:val="00445CC7"/>
    <w:rsid w:val="004465C8"/>
    <w:rsid w:val="00446A35"/>
    <w:rsid w:val="00446CE4"/>
    <w:rsid w:val="004477BE"/>
    <w:rsid w:val="00450F5F"/>
    <w:rsid w:val="00451065"/>
    <w:rsid w:val="00451CA2"/>
    <w:rsid w:val="004520E6"/>
    <w:rsid w:val="00454FE1"/>
    <w:rsid w:val="0045563F"/>
    <w:rsid w:val="00456EEC"/>
    <w:rsid w:val="00457076"/>
    <w:rsid w:val="00457661"/>
    <w:rsid w:val="00457693"/>
    <w:rsid w:val="00457A12"/>
    <w:rsid w:val="00460A32"/>
    <w:rsid w:val="00462C69"/>
    <w:rsid w:val="00462CB1"/>
    <w:rsid w:val="00463319"/>
    <w:rsid w:val="00463683"/>
    <w:rsid w:val="00463B1C"/>
    <w:rsid w:val="00463CE2"/>
    <w:rsid w:val="004644F9"/>
    <w:rsid w:val="0046512B"/>
    <w:rsid w:val="00466953"/>
    <w:rsid w:val="0046737D"/>
    <w:rsid w:val="00470B37"/>
    <w:rsid w:val="00470CDE"/>
    <w:rsid w:val="00472534"/>
    <w:rsid w:val="0047256D"/>
    <w:rsid w:val="00472743"/>
    <w:rsid w:val="00472BEA"/>
    <w:rsid w:val="00472C91"/>
    <w:rsid w:val="004738CE"/>
    <w:rsid w:val="0047393A"/>
    <w:rsid w:val="00474686"/>
    <w:rsid w:val="004749E9"/>
    <w:rsid w:val="00474DAD"/>
    <w:rsid w:val="00475785"/>
    <w:rsid w:val="00475E69"/>
    <w:rsid w:val="0047654A"/>
    <w:rsid w:val="00476C07"/>
    <w:rsid w:val="00476EED"/>
    <w:rsid w:val="00477345"/>
    <w:rsid w:val="0047745A"/>
    <w:rsid w:val="00480A0A"/>
    <w:rsid w:val="00480CCB"/>
    <w:rsid w:val="0048125A"/>
    <w:rsid w:val="0048144C"/>
    <w:rsid w:val="00481FDB"/>
    <w:rsid w:val="00482932"/>
    <w:rsid w:val="0048386A"/>
    <w:rsid w:val="00484218"/>
    <w:rsid w:val="004859A5"/>
    <w:rsid w:val="004859DF"/>
    <w:rsid w:val="00485D21"/>
    <w:rsid w:val="004862D3"/>
    <w:rsid w:val="004862ED"/>
    <w:rsid w:val="004867E2"/>
    <w:rsid w:val="00486A7D"/>
    <w:rsid w:val="00490F36"/>
    <w:rsid w:val="00491F70"/>
    <w:rsid w:val="0049247B"/>
    <w:rsid w:val="004935DB"/>
    <w:rsid w:val="00494B98"/>
    <w:rsid w:val="004963B8"/>
    <w:rsid w:val="00496CD3"/>
    <w:rsid w:val="00497603"/>
    <w:rsid w:val="004A1D0D"/>
    <w:rsid w:val="004A253B"/>
    <w:rsid w:val="004A29C3"/>
    <w:rsid w:val="004A2F14"/>
    <w:rsid w:val="004A40A5"/>
    <w:rsid w:val="004A43F3"/>
    <w:rsid w:val="004A4D41"/>
    <w:rsid w:val="004A550B"/>
    <w:rsid w:val="004A6E95"/>
    <w:rsid w:val="004A7457"/>
    <w:rsid w:val="004B018D"/>
    <w:rsid w:val="004B0928"/>
    <w:rsid w:val="004B0A97"/>
    <w:rsid w:val="004B104B"/>
    <w:rsid w:val="004B2987"/>
    <w:rsid w:val="004B2BD3"/>
    <w:rsid w:val="004B2F46"/>
    <w:rsid w:val="004B4440"/>
    <w:rsid w:val="004B4D10"/>
    <w:rsid w:val="004B6382"/>
    <w:rsid w:val="004B6F11"/>
    <w:rsid w:val="004B7242"/>
    <w:rsid w:val="004C0614"/>
    <w:rsid w:val="004C0F7F"/>
    <w:rsid w:val="004C13B1"/>
    <w:rsid w:val="004C1D40"/>
    <w:rsid w:val="004C2904"/>
    <w:rsid w:val="004C4951"/>
    <w:rsid w:val="004C4CAD"/>
    <w:rsid w:val="004C5E9C"/>
    <w:rsid w:val="004C6985"/>
    <w:rsid w:val="004C6CE6"/>
    <w:rsid w:val="004C724D"/>
    <w:rsid w:val="004D0A22"/>
    <w:rsid w:val="004D2602"/>
    <w:rsid w:val="004D2685"/>
    <w:rsid w:val="004D2C42"/>
    <w:rsid w:val="004D4525"/>
    <w:rsid w:val="004D482B"/>
    <w:rsid w:val="004D5156"/>
    <w:rsid w:val="004D57AE"/>
    <w:rsid w:val="004D584F"/>
    <w:rsid w:val="004D6453"/>
    <w:rsid w:val="004D67AF"/>
    <w:rsid w:val="004D69BB"/>
    <w:rsid w:val="004D6FB9"/>
    <w:rsid w:val="004D72E6"/>
    <w:rsid w:val="004D781D"/>
    <w:rsid w:val="004D7CBA"/>
    <w:rsid w:val="004E14A4"/>
    <w:rsid w:val="004E1F3F"/>
    <w:rsid w:val="004E21F8"/>
    <w:rsid w:val="004E269C"/>
    <w:rsid w:val="004E26FC"/>
    <w:rsid w:val="004E4471"/>
    <w:rsid w:val="004E49EA"/>
    <w:rsid w:val="004E5718"/>
    <w:rsid w:val="004E5C08"/>
    <w:rsid w:val="004E6118"/>
    <w:rsid w:val="004E705F"/>
    <w:rsid w:val="004E72CB"/>
    <w:rsid w:val="004E72CC"/>
    <w:rsid w:val="004E734A"/>
    <w:rsid w:val="004E7548"/>
    <w:rsid w:val="004F0267"/>
    <w:rsid w:val="004F0CC7"/>
    <w:rsid w:val="004F3775"/>
    <w:rsid w:val="004F56EF"/>
    <w:rsid w:val="004F6D63"/>
    <w:rsid w:val="00501A51"/>
    <w:rsid w:val="00502A2A"/>
    <w:rsid w:val="005040B7"/>
    <w:rsid w:val="005049DD"/>
    <w:rsid w:val="005051FD"/>
    <w:rsid w:val="005057EB"/>
    <w:rsid w:val="00507402"/>
    <w:rsid w:val="00507F8F"/>
    <w:rsid w:val="00510445"/>
    <w:rsid w:val="00511214"/>
    <w:rsid w:val="00512065"/>
    <w:rsid w:val="0051250F"/>
    <w:rsid w:val="00512DE7"/>
    <w:rsid w:val="005130A6"/>
    <w:rsid w:val="005149E5"/>
    <w:rsid w:val="00515901"/>
    <w:rsid w:val="00515C8C"/>
    <w:rsid w:val="00515EE3"/>
    <w:rsid w:val="00516298"/>
    <w:rsid w:val="0051650E"/>
    <w:rsid w:val="00516F16"/>
    <w:rsid w:val="00517383"/>
    <w:rsid w:val="005173EC"/>
    <w:rsid w:val="00517D3C"/>
    <w:rsid w:val="0052022C"/>
    <w:rsid w:val="0052142D"/>
    <w:rsid w:val="00522B51"/>
    <w:rsid w:val="00523499"/>
    <w:rsid w:val="00523BE9"/>
    <w:rsid w:val="005262C3"/>
    <w:rsid w:val="00526832"/>
    <w:rsid w:val="005269F1"/>
    <w:rsid w:val="00527034"/>
    <w:rsid w:val="0053053F"/>
    <w:rsid w:val="005306CC"/>
    <w:rsid w:val="005307BB"/>
    <w:rsid w:val="00530ED3"/>
    <w:rsid w:val="005318D3"/>
    <w:rsid w:val="00531B9C"/>
    <w:rsid w:val="00532D8C"/>
    <w:rsid w:val="005332A5"/>
    <w:rsid w:val="00533CFE"/>
    <w:rsid w:val="00534C4A"/>
    <w:rsid w:val="00535E22"/>
    <w:rsid w:val="005364D9"/>
    <w:rsid w:val="005366A2"/>
    <w:rsid w:val="0053694B"/>
    <w:rsid w:val="00536EB8"/>
    <w:rsid w:val="005378BB"/>
    <w:rsid w:val="0053791D"/>
    <w:rsid w:val="00540534"/>
    <w:rsid w:val="00541E6E"/>
    <w:rsid w:val="00542990"/>
    <w:rsid w:val="0054443F"/>
    <w:rsid w:val="00544C04"/>
    <w:rsid w:val="0054559B"/>
    <w:rsid w:val="00546C8D"/>
    <w:rsid w:val="00547427"/>
    <w:rsid w:val="00547928"/>
    <w:rsid w:val="00550612"/>
    <w:rsid w:val="005508A4"/>
    <w:rsid w:val="005521F7"/>
    <w:rsid w:val="0055285B"/>
    <w:rsid w:val="00552935"/>
    <w:rsid w:val="00552F9E"/>
    <w:rsid w:val="0055338F"/>
    <w:rsid w:val="0055458C"/>
    <w:rsid w:val="00555BA9"/>
    <w:rsid w:val="00555E81"/>
    <w:rsid w:val="0055643B"/>
    <w:rsid w:val="00557E9F"/>
    <w:rsid w:val="00561614"/>
    <w:rsid w:val="0056191C"/>
    <w:rsid w:val="00563284"/>
    <w:rsid w:val="00563CCC"/>
    <w:rsid w:val="0056457E"/>
    <w:rsid w:val="00564DA4"/>
    <w:rsid w:val="00565224"/>
    <w:rsid w:val="0056522B"/>
    <w:rsid w:val="00566467"/>
    <w:rsid w:val="00566CE0"/>
    <w:rsid w:val="00567A33"/>
    <w:rsid w:val="005703A3"/>
    <w:rsid w:val="00570845"/>
    <w:rsid w:val="00570A1E"/>
    <w:rsid w:val="005717BB"/>
    <w:rsid w:val="005719DA"/>
    <w:rsid w:val="00571E73"/>
    <w:rsid w:val="00572B5D"/>
    <w:rsid w:val="00573D95"/>
    <w:rsid w:val="00574024"/>
    <w:rsid w:val="005749DC"/>
    <w:rsid w:val="00574E4D"/>
    <w:rsid w:val="005755AF"/>
    <w:rsid w:val="00575C2E"/>
    <w:rsid w:val="0057605A"/>
    <w:rsid w:val="00577DAA"/>
    <w:rsid w:val="005801CC"/>
    <w:rsid w:val="00580207"/>
    <w:rsid w:val="00580263"/>
    <w:rsid w:val="005816B9"/>
    <w:rsid w:val="0058196D"/>
    <w:rsid w:val="00581CB6"/>
    <w:rsid w:val="005825D0"/>
    <w:rsid w:val="00583ACA"/>
    <w:rsid w:val="00583C98"/>
    <w:rsid w:val="00584AFC"/>
    <w:rsid w:val="00584C97"/>
    <w:rsid w:val="00585A1A"/>
    <w:rsid w:val="00585C90"/>
    <w:rsid w:val="00585F54"/>
    <w:rsid w:val="00587227"/>
    <w:rsid w:val="005901F2"/>
    <w:rsid w:val="005913C5"/>
    <w:rsid w:val="005918A7"/>
    <w:rsid w:val="00591EB8"/>
    <w:rsid w:val="005921B6"/>
    <w:rsid w:val="0059223F"/>
    <w:rsid w:val="00592755"/>
    <w:rsid w:val="00593BB7"/>
    <w:rsid w:val="0059489D"/>
    <w:rsid w:val="005953AE"/>
    <w:rsid w:val="005955C5"/>
    <w:rsid w:val="00595811"/>
    <w:rsid w:val="00595B9E"/>
    <w:rsid w:val="00595F78"/>
    <w:rsid w:val="0059628F"/>
    <w:rsid w:val="00596777"/>
    <w:rsid w:val="005A0046"/>
    <w:rsid w:val="005A1A12"/>
    <w:rsid w:val="005A25E8"/>
    <w:rsid w:val="005A3604"/>
    <w:rsid w:val="005A4485"/>
    <w:rsid w:val="005A462A"/>
    <w:rsid w:val="005A47E9"/>
    <w:rsid w:val="005A52F2"/>
    <w:rsid w:val="005A5416"/>
    <w:rsid w:val="005A58DE"/>
    <w:rsid w:val="005A623E"/>
    <w:rsid w:val="005A6B6A"/>
    <w:rsid w:val="005A6D6D"/>
    <w:rsid w:val="005A6EAF"/>
    <w:rsid w:val="005B006C"/>
    <w:rsid w:val="005B2E79"/>
    <w:rsid w:val="005B2EB9"/>
    <w:rsid w:val="005B2F78"/>
    <w:rsid w:val="005B30E9"/>
    <w:rsid w:val="005B3495"/>
    <w:rsid w:val="005B353E"/>
    <w:rsid w:val="005B3D3B"/>
    <w:rsid w:val="005B7582"/>
    <w:rsid w:val="005B7D85"/>
    <w:rsid w:val="005C0054"/>
    <w:rsid w:val="005C0F5D"/>
    <w:rsid w:val="005C1005"/>
    <w:rsid w:val="005C11B4"/>
    <w:rsid w:val="005C1B84"/>
    <w:rsid w:val="005C1B8E"/>
    <w:rsid w:val="005C3B1A"/>
    <w:rsid w:val="005C43A3"/>
    <w:rsid w:val="005C4DFD"/>
    <w:rsid w:val="005C4E0C"/>
    <w:rsid w:val="005C5C4A"/>
    <w:rsid w:val="005C5C96"/>
    <w:rsid w:val="005C6FFC"/>
    <w:rsid w:val="005D0181"/>
    <w:rsid w:val="005D0441"/>
    <w:rsid w:val="005D0C65"/>
    <w:rsid w:val="005D1190"/>
    <w:rsid w:val="005D1B05"/>
    <w:rsid w:val="005D24EC"/>
    <w:rsid w:val="005D2C6E"/>
    <w:rsid w:val="005D2E12"/>
    <w:rsid w:val="005D3B21"/>
    <w:rsid w:val="005D4CF7"/>
    <w:rsid w:val="005D62E7"/>
    <w:rsid w:val="005E06D0"/>
    <w:rsid w:val="005E0FD7"/>
    <w:rsid w:val="005E1695"/>
    <w:rsid w:val="005E18FB"/>
    <w:rsid w:val="005E2CF2"/>
    <w:rsid w:val="005E2D5A"/>
    <w:rsid w:val="005E3627"/>
    <w:rsid w:val="005E3726"/>
    <w:rsid w:val="005E379F"/>
    <w:rsid w:val="005E4E94"/>
    <w:rsid w:val="005E5468"/>
    <w:rsid w:val="005E55C2"/>
    <w:rsid w:val="005E6F21"/>
    <w:rsid w:val="005E7130"/>
    <w:rsid w:val="005E78AE"/>
    <w:rsid w:val="005F0181"/>
    <w:rsid w:val="005F0407"/>
    <w:rsid w:val="005F051D"/>
    <w:rsid w:val="005F16AA"/>
    <w:rsid w:val="005F1818"/>
    <w:rsid w:val="005F22D7"/>
    <w:rsid w:val="005F2D6B"/>
    <w:rsid w:val="005F2DD9"/>
    <w:rsid w:val="005F3C7E"/>
    <w:rsid w:val="005F5744"/>
    <w:rsid w:val="005F6683"/>
    <w:rsid w:val="005F7C4B"/>
    <w:rsid w:val="0060075E"/>
    <w:rsid w:val="006010BC"/>
    <w:rsid w:val="006013F1"/>
    <w:rsid w:val="00601415"/>
    <w:rsid w:val="00601C45"/>
    <w:rsid w:val="00601DA4"/>
    <w:rsid w:val="00601F1C"/>
    <w:rsid w:val="00602566"/>
    <w:rsid w:val="00602753"/>
    <w:rsid w:val="00605812"/>
    <w:rsid w:val="006058ED"/>
    <w:rsid w:val="00605B07"/>
    <w:rsid w:val="00605DF3"/>
    <w:rsid w:val="00605EA0"/>
    <w:rsid w:val="006060E7"/>
    <w:rsid w:val="0060697D"/>
    <w:rsid w:val="0061043D"/>
    <w:rsid w:val="006111F0"/>
    <w:rsid w:val="00611EC0"/>
    <w:rsid w:val="0061248A"/>
    <w:rsid w:val="00613143"/>
    <w:rsid w:val="006134F0"/>
    <w:rsid w:val="00613533"/>
    <w:rsid w:val="00614121"/>
    <w:rsid w:val="00614A82"/>
    <w:rsid w:val="00615102"/>
    <w:rsid w:val="006161C7"/>
    <w:rsid w:val="006163D8"/>
    <w:rsid w:val="00616D3D"/>
    <w:rsid w:val="00620F24"/>
    <w:rsid w:val="00622642"/>
    <w:rsid w:val="006237E2"/>
    <w:rsid w:val="00623C5D"/>
    <w:rsid w:val="006250F8"/>
    <w:rsid w:val="00625801"/>
    <w:rsid w:val="00630391"/>
    <w:rsid w:val="0063279E"/>
    <w:rsid w:val="00633420"/>
    <w:rsid w:val="00633424"/>
    <w:rsid w:val="006346FE"/>
    <w:rsid w:val="0063478C"/>
    <w:rsid w:val="00634E32"/>
    <w:rsid w:val="00634FA3"/>
    <w:rsid w:val="006351E8"/>
    <w:rsid w:val="00635B53"/>
    <w:rsid w:val="006361A4"/>
    <w:rsid w:val="00636C93"/>
    <w:rsid w:val="00636DBA"/>
    <w:rsid w:val="00636EE9"/>
    <w:rsid w:val="0063757A"/>
    <w:rsid w:val="00640207"/>
    <w:rsid w:val="006408F4"/>
    <w:rsid w:val="00640EF8"/>
    <w:rsid w:val="006431E5"/>
    <w:rsid w:val="00643356"/>
    <w:rsid w:val="00643535"/>
    <w:rsid w:val="0064373A"/>
    <w:rsid w:val="00644D64"/>
    <w:rsid w:val="0064562F"/>
    <w:rsid w:val="006458E6"/>
    <w:rsid w:val="00645949"/>
    <w:rsid w:val="00645ED4"/>
    <w:rsid w:val="00647257"/>
    <w:rsid w:val="00647973"/>
    <w:rsid w:val="0065067D"/>
    <w:rsid w:val="00650725"/>
    <w:rsid w:val="00650915"/>
    <w:rsid w:val="006514AB"/>
    <w:rsid w:val="006519CA"/>
    <w:rsid w:val="0065351B"/>
    <w:rsid w:val="00653785"/>
    <w:rsid w:val="00655054"/>
    <w:rsid w:val="00655586"/>
    <w:rsid w:val="00657C74"/>
    <w:rsid w:val="00660142"/>
    <w:rsid w:val="00662AF3"/>
    <w:rsid w:val="00662D4A"/>
    <w:rsid w:val="006637C7"/>
    <w:rsid w:val="006646CB"/>
    <w:rsid w:val="006655DE"/>
    <w:rsid w:val="00666241"/>
    <w:rsid w:val="006673E0"/>
    <w:rsid w:val="00670376"/>
    <w:rsid w:val="00670C77"/>
    <w:rsid w:val="0067213C"/>
    <w:rsid w:val="00672333"/>
    <w:rsid w:val="0067299F"/>
    <w:rsid w:val="006734A7"/>
    <w:rsid w:val="006748B5"/>
    <w:rsid w:val="00675304"/>
    <w:rsid w:val="00675F01"/>
    <w:rsid w:val="006771AD"/>
    <w:rsid w:val="0067767A"/>
    <w:rsid w:val="006776FE"/>
    <w:rsid w:val="00677E98"/>
    <w:rsid w:val="00677EBB"/>
    <w:rsid w:val="00681146"/>
    <w:rsid w:val="00682C10"/>
    <w:rsid w:val="006835A7"/>
    <w:rsid w:val="0068387C"/>
    <w:rsid w:val="006838CC"/>
    <w:rsid w:val="00683966"/>
    <w:rsid w:val="00683B78"/>
    <w:rsid w:val="00684331"/>
    <w:rsid w:val="00684E0D"/>
    <w:rsid w:val="00685CE3"/>
    <w:rsid w:val="00685E41"/>
    <w:rsid w:val="00686517"/>
    <w:rsid w:val="00686778"/>
    <w:rsid w:val="00686FA0"/>
    <w:rsid w:val="006877D3"/>
    <w:rsid w:val="00691C5B"/>
    <w:rsid w:val="00692057"/>
    <w:rsid w:val="0069342F"/>
    <w:rsid w:val="00696295"/>
    <w:rsid w:val="00696AEF"/>
    <w:rsid w:val="00696E97"/>
    <w:rsid w:val="0069737A"/>
    <w:rsid w:val="006976AE"/>
    <w:rsid w:val="00697EAF"/>
    <w:rsid w:val="00697F76"/>
    <w:rsid w:val="006A175E"/>
    <w:rsid w:val="006A24C9"/>
    <w:rsid w:val="006A26B8"/>
    <w:rsid w:val="006A2BC3"/>
    <w:rsid w:val="006A3A98"/>
    <w:rsid w:val="006A3BF1"/>
    <w:rsid w:val="006A48FC"/>
    <w:rsid w:val="006A4BB7"/>
    <w:rsid w:val="006A5170"/>
    <w:rsid w:val="006A5E0F"/>
    <w:rsid w:val="006A7406"/>
    <w:rsid w:val="006A7956"/>
    <w:rsid w:val="006A7AB2"/>
    <w:rsid w:val="006B034B"/>
    <w:rsid w:val="006B0D15"/>
    <w:rsid w:val="006B15BC"/>
    <w:rsid w:val="006B16BF"/>
    <w:rsid w:val="006B28DF"/>
    <w:rsid w:val="006B2E99"/>
    <w:rsid w:val="006B31A8"/>
    <w:rsid w:val="006B383C"/>
    <w:rsid w:val="006B3C13"/>
    <w:rsid w:val="006B4430"/>
    <w:rsid w:val="006B5552"/>
    <w:rsid w:val="006B6787"/>
    <w:rsid w:val="006B6B82"/>
    <w:rsid w:val="006B6DBF"/>
    <w:rsid w:val="006B6FD4"/>
    <w:rsid w:val="006C0049"/>
    <w:rsid w:val="006C02B8"/>
    <w:rsid w:val="006C1FA2"/>
    <w:rsid w:val="006C228B"/>
    <w:rsid w:val="006C247F"/>
    <w:rsid w:val="006C2C37"/>
    <w:rsid w:val="006C31B5"/>
    <w:rsid w:val="006C3338"/>
    <w:rsid w:val="006C3F52"/>
    <w:rsid w:val="006C509C"/>
    <w:rsid w:val="006C5359"/>
    <w:rsid w:val="006C688E"/>
    <w:rsid w:val="006C6BE7"/>
    <w:rsid w:val="006C751B"/>
    <w:rsid w:val="006C7FE8"/>
    <w:rsid w:val="006D0012"/>
    <w:rsid w:val="006D0A6A"/>
    <w:rsid w:val="006D0BEA"/>
    <w:rsid w:val="006D0DAE"/>
    <w:rsid w:val="006D1D8A"/>
    <w:rsid w:val="006D1EEA"/>
    <w:rsid w:val="006D218D"/>
    <w:rsid w:val="006D2B91"/>
    <w:rsid w:val="006D3040"/>
    <w:rsid w:val="006D306A"/>
    <w:rsid w:val="006D39E1"/>
    <w:rsid w:val="006D4747"/>
    <w:rsid w:val="006D4902"/>
    <w:rsid w:val="006D4EEF"/>
    <w:rsid w:val="006D4FA4"/>
    <w:rsid w:val="006D5B9D"/>
    <w:rsid w:val="006D624B"/>
    <w:rsid w:val="006D65A1"/>
    <w:rsid w:val="006D6A5D"/>
    <w:rsid w:val="006D73D5"/>
    <w:rsid w:val="006D79D7"/>
    <w:rsid w:val="006D7C4B"/>
    <w:rsid w:val="006D7C75"/>
    <w:rsid w:val="006E08C4"/>
    <w:rsid w:val="006E0D20"/>
    <w:rsid w:val="006E1CA6"/>
    <w:rsid w:val="006E2919"/>
    <w:rsid w:val="006E2B84"/>
    <w:rsid w:val="006E2C4B"/>
    <w:rsid w:val="006E312A"/>
    <w:rsid w:val="006E4BDB"/>
    <w:rsid w:val="006E6C19"/>
    <w:rsid w:val="006E799D"/>
    <w:rsid w:val="006F0082"/>
    <w:rsid w:val="006F02A9"/>
    <w:rsid w:val="006F05BD"/>
    <w:rsid w:val="006F07CC"/>
    <w:rsid w:val="006F15BF"/>
    <w:rsid w:val="006F1674"/>
    <w:rsid w:val="006F1D7C"/>
    <w:rsid w:val="006F2792"/>
    <w:rsid w:val="006F2A16"/>
    <w:rsid w:val="006F3DF0"/>
    <w:rsid w:val="006F57E6"/>
    <w:rsid w:val="006F61CF"/>
    <w:rsid w:val="006F6592"/>
    <w:rsid w:val="006F6B91"/>
    <w:rsid w:val="006F7E2D"/>
    <w:rsid w:val="00700528"/>
    <w:rsid w:val="00701F36"/>
    <w:rsid w:val="007023CD"/>
    <w:rsid w:val="00702CF6"/>
    <w:rsid w:val="00702DE4"/>
    <w:rsid w:val="00702E8E"/>
    <w:rsid w:val="00703DC7"/>
    <w:rsid w:val="00704E29"/>
    <w:rsid w:val="007058EE"/>
    <w:rsid w:val="007060DA"/>
    <w:rsid w:val="0070687A"/>
    <w:rsid w:val="00710394"/>
    <w:rsid w:val="00710E4D"/>
    <w:rsid w:val="00710E65"/>
    <w:rsid w:val="007131DD"/>
    <w:rsid w:val="00713594"/>
    <w:rsid w:val="00713662"/>
    <w:rsid w:val="00713E66"/>
    <w:rsid w:val="0071481F"/>
    <w:rsid w:val="00714C81"/>
    <w:rsid w:val="00714DBD"/>
    <w:rsid w:val="0071509B"/>
    <w:rsid w:val="00715996"/>
    <w:rsid w:val="00715CA7"/>
    <w:rsid w:val="007161FD"/>
    <w:rsid w:val="00716A19"/>
    <w:rsid w:val="007171C6"/>
    <w:rsid w:val="0072016D"/>
    <w:rsid w:val="007203D1"/>
    <w:rsid w:val="007205DF"/>
    <w:rsid w:val="007220D9"/>
    <w:rsid w:val="00722A41"/>
    <w:rsid w:val="00722DF9"/>
    <w:rsid w:val="00723475"/>
    <w:rsid w:val="007237A9"/>
    <w:rsid w:val="00723932"/>
    <w:rsid w:val="00725D11"/>
    <w:rsid w:val="007260AE"/>
    <w:rsid w:val="007266CB"/>
    <w:rsid w:val="007274A9"/>
    <w:rsid w:val="00730545"/>
    <w:rsid w:val="00730C7B"/>
    <w:rsid w:val="00732D25"/>
    <w:rsid w:val="00732EDC"/>
    <w:rsid w:val="00733070"/>
    <w:rsid w:val="0073374D"/>
    <w:rsid w:val="007342BE"/>
    <w:rsid w:val="00737491"/>
    <w:rsid w:val="00737AEE"/>
    <w:rsid w:val="00737B23"/>
    <w:rsid w:val="00737E5B"/>
    <w:rsid w:val="007405AB"/>
    <w:rsid w:val="00740F0D"/>
    <w:rsid w:val="00741054"/>
    <w:rsid w:val="0074117E"/>
    <w:rsid w:val="007411EF"/>
    <w:rsid w:val="0074171E"/>
    <w:rsid w:val="00741959"/>
    <w:rsid w:val="00741C5B"/>
    <w:rsid w:val="007427F3"/>
    <w:rsid w:val="00742EAD"/>
    <w:rsid w:val="0074357B"/>
    <w:rsid w:val="00743D9C"/>
    <w:rsid w:val="00744949"/>
    <w:rsid w:val="00744FBE"/>
    <w:rsid w:val="0074538E"/>
    <w:rsid w:val="00745715"/>
    <w:rsid w:val="007457F2"/>
    <w:rsid w:val="00745ABC"/>
    <w:rsid w:val="00746466"/>
    <w:rsid w:val="00746AF2"/>
    <w:rsid w:val="00746E5F"/>
    <w:rsid w:val="0074754E"/>
    <w:rsid w:val="007502D6"/>
    <w:rsid w:val="007512B4"/>
    <w:rsid w:val="007524C0"/>
    <w:rsid w:val="00753B3C"/>
    <w:rsid w:val="00754383"/>
    <w:rsid w:val="00755971"/>
    <w:rsid w:val="00755FE9"/>
    <w:rsid w:val="00756090"/>
    <w:rsid w:val="00757A18"/>
    <w:rsid w:val="00757C05"/>
    <w:rsid w:val="007623ED"/>
    <w:rsid w:val="007627E0"/>
    <w:rsid w:val="00762D5B"/>
    <w:rsid w:val="007630B3"/>
    <w:rsid w:val="0076332F"/>
    <w:rsid w:val="0076349B"/>
    <w:rsid w:val="00763CD7"/>
    <w:rsid w:val="00763E18"/>
    <w:rsid w:val="00764294"/>
    <w:rsid w:val="00764AC0"/>
    <w:rsid w:val="00764D6C"/>
    <w:rsid w:val="0076511E"/>
    <w:rsid w:val="00765536"/>
    <w:rsid w:val="007655EC"/>
    <w:rsid w:val="00765E19"/>
    <w:rsid w:val="007660C1"/>
    <w:rsid w:val="0076619C"/>
    <w:rsid w:val="007668FB"/>
    <w:rsid w:val="00767632"/>
    <w:rsid w:val="00767868"/>
    <w:rsid w:val="00767C3E"/>
    <w:rsid w:val="0077174E"/>
    <w:rsid w:val="007717A5"/>
    <w:rsid w:val="00771FCC"/>
    <w:rsid w:val="0077228B"/>
    <w:rsid w:val="0077269E"/>
    <w:rsid w:val="007728EB"/>
    <w:rsid w:val="00774B99"/>
    <w:rsid w:val="00774D10"/>
    <w:rsid w:val="00775BF0"/>
    <w:rsid w:val="00776ADA"/>
    <w:rsid w:val="00777701"/>
    <w:rsid w:val="007777EE"/>
    <w:rsid w:val="00777D66"/>
    <w:rsid w:val="00777DB4"/>
    <w:rsid w:val="00780417"/>
    <w:rsid w:val="007807EB"/>
    <w:rsid w:val="00783285"/>
    <w:rsid w:val="00783F83"/>
    <w:rsid w:val="007842AC"/>
    <w:rsid w:val="00784B22"/>
    <w:rsid w:val="00784B86"/>
    <w:rsid w:val="00784EAE"/>
    <w:rsid w:val="007851E8"/>
    <w:rsid w:val="00785236"/>
    <w:rsid w:val="00785C6E"/>
    <w:rsid w:val="00785FF2"/>
    <w:rsid w:val="007869A5"/>
    <w:rsid w:val="00790C75"/>
    <w:rsid w:val="00790CE0"/>
    <w:rsid w:val="00791154"/>
    <w:rsid w:val="00791B88"/>
    <w:rsid w:val="00791CA7"/>
    <w:rsid w:val="00791ECC"/>
    <w:rsid w:val="0079203B"/>
    <w:rsid w:val="00792521"/>
    <w:rsid w:val="00792914"/>
    <w:rsid w:val="007929E6"/>
    <w:rsid w:val="00792A2F"/>
    <w:rsid w:val="0079346C"/>
    <w:rsid w:val="007934E1"/>
    <w:rsid w:val="00794CCB"/>
    <w:rsid w:val="00795937"/>
    <w:rsid w:val="00797801"/>
    <w:rsid w:val="007A1647"/>
    <w:rsid w:val="007A1A79"/>
    <w:rsid w:val="007A2143"/>
    <w:rsid w:val="007A287F"/>
    <w:rsid w:val="007A3124"/>
    <w:rsid w:val="007A41A7"/>
    <w:rsid w:val="007A52F9"/>
    <w:rsid w:val="007A64FB"/>
    <w:rsid w:val="007A673E"/>
    <w:rsid w:val="007A6B19"/>
    <w:rsid w:val="007A7A34"/>
    <w:rsid w:val="007B308B"/>
    <w:rsid w:val="007B31A4"/>
    <w:rsid w:val="007B3382"/>
    <w:rsid w:val="007B4508"/>
    <w:rsid w:val="007B4FA2"/>
    <w:rsid w:val="007B57A1"/>
    <w:rsid w:val="007B5EF6"/>
    <w:rsid w:val="007C0A8D"/>
    <w:rsid w:val="007C0B33"/>
    <w:rsid w:val="007C2345"/>
    <w:rsid w:val="007C49F1"/>
    <w:rsid w:val="007C5DFA"/>
    <w:rsid w:val="007C6187"/>
    <w:rsid w:val="007C6DD5"/>
    <w:rsid w:val="007C7016"/>
    <w:rsid w:val="007C787B"/>
    <w:rsid w:val="007D03B6"/>
    <w:rsid w:val="007D15E7"/>
    <w:rsid w:val="007D2992"/>
    <w:rsid w:val="007D2F6A"/>
    <w:rsid w:val="007D3156"/>
    <w:rsid w:val="007D36B9"/>
    <w:rsid w:val="007D4032"/>
    <w:rsid w:val="007D4373"/>
    <w:rsid w:val="007D49F1"/>
    <w:rsid w:val="007D642B"/>
    <w:rsid w:val="007D669C"/>
    <w:rsid w:val="007D7B55"/>
    <w:rsid w:val="007D7E91"/>
    <w:rsid w:val="007E02E9"/>
    <w:rsid w:val="007E0A1B"/>
    <w:rsid w:val="007E1027"/>
    <w:rsid w:val="007E1388"/>
    <w:rsid w:val="007E2B6C"/>
    <w:rsid w:val="007E2BD5"/>
    <w:rsid w:val="007E356A"/>
    <w:rsid w:val="007E4154"/>
    <w:rsid w:val="007E47EF"/>
    <w:rsid w:val="007E569F"/>
    <w:rsid w:val="007E56E4"/>
    <w:rsid w:val="007E588A"/>
    <w:rsid w:val="007E69FC"/>
    <w:rsid w:val="007E74DC"/>
    <w:rsid w:val="007E75BB"/>
    <w:rsid w:val="007E79CE"/>
    <w:rsid w:val="007E7FC8"/>
    <w:rsid w:val="007F00FB"/>
    <w:rsid w:val="007F0B1F"/>
    <w:rsid w:val="007F1243"/>
    <w:rsid w:val="007F136B"/>
    <w:rsid w:val="007F1641"/>
    <w:rsid w:val="007F178F"/>
    <w:rsid w:val="007F3426"/>
    <w:rsid w:val="007F3ACE"/>
    <w:rsid w:val="007F43E9"/>
    <w:rsid w:val="007F46DF"/>
    <w:rsid w:val="007F59A2"/>
    <w:rsid w:val="007F5F99"/>
    <w:rsid w:val="007F60DE"/>
    <w:rsid w:val="007F637C"/>
    <w:rsid w:val="007F65AE"/>
    <w:rsid w:val="007F6814"/>
    <w:rsid w:val="007F70DE"/>
    <w:rsid w:val="007F7834"/>
    <w:rsid w:val="00800A30"/>
    <w:rsid w:val="008034AA"/>
    <w:rsid w:val="008037F6"/>
    <w:rsid w:val="00803CBB"/>
    <w:rsid w:val="00803DA5"/>
    <w:rsid w:val="00804630"/>
    <w:rsid w:val="00804BC5"/>
    <w:rsid w:val="00805802"/>
    <w:rsid w:val="008059EE"/>
    <w:rsid w:val="00805E19"/>
    <w:rsid w:val="008066EC"/>
    <w:rsid w:val="008066FB"/>
    <w:rsid w:val="0080700E"/>
    <w:rsid w:val="00807E7B"/>
    <w:rsid w:val="008108CB"/>
    <w:rsid w:val="00810DEF"/>
    <w:rsid w:val="00811E9A"/>
    <w:rsid w:val="00812DD2"/>
    <w:rsid w:val="008133E9"/>
    <w:rsid w:val="00813502"/>
    <w:rsid w:val="00814F3A"/>
    <w:rsid w:val="00817A04"/>
    <w:rsid w:val="00817E9E"/>
    <w:rsid w:val="008204EF"/>
    <w:rsid w:val="0082217D"/>
    <w:rsid w:val="00823299"/>
    <w:rsid w:val="00823A9D"/>
    <w:rsid w:val="00824C50"/>
    <w:rsid w:val="00824D9D"/>
    <w:rsid w:val="00825109"/>
    <w:rsid w:val="00825F02"/>
    <w:rsid w:val="0082638A"/>
    <w:rsid w:val="008264EB"/>
    <w:rsid w:val="0082788A"/>
    <w:rsid w:val="00827DEF"/>
    <w:rsid w:val="00827F65"/>
    <w:rsid w:val="00830811"/>
    <w:rsid w:val="008309AF"/>
    <w:rsid w:val="00830C05"/>
    <w:rsid w:val="00831390"/>
    <w:rsid w:val="00832045"/>
    <w:rsid w:val="00833C60"/>
    <w:rsid w:val="008342B2"/>
    <w:rsid w:val="00835456"/>
    <w:rsid w:val="008359C3"/>
    <w:rsid w:val="00835D9F"/>
    <w:rsid w:val="008374C6"/>
    <w:rsid w:val="00837815"/>
    <w:rsid w:val="00837D41"/>
    <w:rsid w:val="0084061A"/>
    <w:rsid w:val="00840B1E"/>
    <w:rsid w:val="00840C6F"/>
    <w:rsid w:val="008410EF"/>
    <w:rsid w:val="00841D33"/>
    <w:rsid w:val="00842A4F"/>
    <w:rsid w:val="008435C9"/>
    <w:rsid w:val="008435F7"/>
    <w:rsid w:val="0084368A"/>
    <w:rsid w:val="00843A5D"/>
    <w:rsid w:val="008452AC"/>
    <w:rsid w:val="008459AA"/>
    <w:rsid w:val="00847488"/>
    <w:rsid w:val="00847675"/>
    <w:rsid w:val="0084793A"/>
    <w:rsid w:val="008507D5"/>
    <w:rsid w:val="00850E21"/>
    <w:rsid w:val="00851353"/>
    <w:rsid w:val="008516C0"/>
    <w:rsid w:val="0085231C"/>
    <w:rsid w:val="00853D82"/>
    <w:rsid w:val="00854A50"/>
    <w:rsid w:val="008552C6"/>
    <w:rsid w:val="0085559A"/>
    <w:rsid w:val="00855EAE"/>
    <w:rsid w:val="008568E7"/>
    <w:rsid w:val="008572E4"/>
    <w:rsid w:val="00857893"/>
    <w:rsid w:val="00857A32"/>
    <w:rsid w:val="00857BDF"/>
    <w:rsid w:val="0086028B"/>
    <w:rsid w:val="008606E8"/>
    <w:rsid w:val="00861063"/>
    <w:rsid w:val="0086173B"/>
    <w:rsid w:val="00861DAE"/>
    <w:rsid w:val="00863EB5"/>
    <w:rsid w:val="008653C3"/>
    <w:rsid w:val="00865620"/>
    <w:rsid w:val="00870A5E"/>
    <w:rsid w:val="00872175"/>
    <w:rsid w:val="00873E30"/>
    <w:rsid w:val="00874222"/>
    <w:rsid w:val="008745D9"/>
    <w:rsid w:val="00876C21"/>
    <w:rsid w:val="00876D06"/>
    <w:rsid w:val="008775F2"/>
    <w:rsid w:val="00880178"/>
    <w:rsid w:val="00880466"/>
    <w:rsid w:val="00880470"/>
    <w:rsid w:val="008810D4"/>
    <w:rsid w:val="00881532"/>
    <w:rsid w:val="00881B7D"/>
    <w:rsid w:val="00882515"/>
    <w:rsid w:val="00883F25"/>
    <w:rsid w:val="00885022"/>
    <w:rsid w:val="00885208"/>
    <w:rsid w:val="00885AEE"/>
    <w:rsid w:val="00885DB4"/>
    <w:rsid w:val="00885E8E"/>
    <w:rsid w:val="00890920"/>
    <w:rsid w:val="00890C8B"/>
    <w:rsid w:val="008912C3"/>
    <w:rsid w:val="00891863"/>
    <w:rsid w:val="00892950"/>
    <w:rsid w:val="0089315C"/>
    <w:rsid w:val="00893242"/>
    <w:rsid w:val="0089331C"/>
    <w:rsid w:val="00893447"/>
    <w:rsid w:val="00893D9A"/>
    <w:rsid w:val="00894C15"/>
    <w:rsid w:val="00894EDF"/>
    <w:rsid w:val="008958D6"/>
    <w:rsid w:val="00896BCD"/>
    <w:rsid w:val="00897111"/>
    <w:rsid w:val="00897EBD"/>
    <w:rsid w:val="00897F3D"/>
    <w:rsid w:val="008A00F0"/>
    <w:rsid w:val="008A020E"/>
    <w:rsid w:val="008A05B8"/>
    <w:rsid w:val="008A06C4"/>
    <w:rsid w:val="008A06D6"/>
    <w:rsid w:val="008A086A"/>
    <w:rsid w:val="008A0BC2"/>
    <w:rsid w:val="008A13AB"/>
    <w:rsid w:val="008A1730"/>
    <w:rsid w:val="008A2C6F"/>
    <w:rsid w:val="008A34CC"/>
    <w:rsid w:val="008A34DC"/>
    <w:rsid w:val="008A375C"/>
    <w:rsid w:val="008A3E3C"/>
    <w:rsid w:val="008A44F4"/>
    <w:rsid w:val="008A44FF"/>
    <w:rsid w:val="008A49F1"/>
    <w:rsid w:val="008A4A11"/>
    <w:rsid w:val="008A5B18"/>
    <w:rsid w:val="008A6560"/>
    <w:rsid w:val="008A6F0F"/>
    <w:rsid w:val="008A6FE6"/>
    <w:rsid w:val="008A7D3D"/>
    <w:rsid w:val="008A7F46"/>
    <w:rsid w:val="008B02B4"/>
    <w:rsid w:val="008B1083"/>
    <w:rsid w:val="008B153E"/>
    <w:rsid w:val="008B1627"/>
    <w:rsid w:val="008B1A29"/>
    <w:rsid w:val="008B1FB3"/>
    <w:rsid w:val="008B29D9"/>
    <w:rsid w:val="008B2FB6"/>
    <w:rsid w:val="008B4C7C"/>
    <w:rsid w:val="008B536D"/>
    <w:rsid w:val="008B5A18"/>
    <w:rsid w:val="008B6081"/>
    <w:rsid w:val="008B688D"/>
    <w:rsid w:val="008B77B8"/>
    <w:rsid w:val="008B7D64"/>
    <w:rsid w:val="008B7ECE"/>
    <w:rsid w:val="008B7F44"/>
    <w:rsid w:val="008C02A6"/>
    <w:rsid w:val="008C0BCB"/>
    <w:rsid w:val="008C0D51"/>
    <w:rsid w:val="008C18B9"/>
    <w:rsid w:val="008C19D9"/>
    <w:rsid w:val="008C1C68"/>
    <w:rsid w:val="008C2008"/>
    <w:rsid w:val="008C2413"/>
    <w:rsid w:val="008C298B"/>
    <w:rsid w:val="008C455F"/>
    <w:rsid w:val="008C6042"/>
    <w:rsid w:val="008C7145"/>
    <w:rsid w:val="008C7A6C"/>
    <w:rsid w:val="008D0B7C"/>
    <w:rsid w:val="008D1C6A"/>
    <w:rsid w:val="008D35CA"/>
    <w:rsid w:val="008D5138"/>
    <w:rsid w:val="008D62E8"/>
    <w:rsid w:val="008D6D51"/>
    <w:rsid w:val="008D6EB1"/>
    <w:rsid w:val="008D7374"/>
    <w:rsid w:val="008E0DBE"/>
    <w:rsid w:val="008E135B"/>
    <w:rsid w:val="008E182B"/>
    <w:rsid w:val="008E2AFF"/>
    <w:rsid w:val="008E2BA5"/>
    <w:rsid w:val="008E3373"/>
    <w:rsid w:val="008E34E5"/>
    <w:rsid w:val="008E3992"/>
    <w:rsid w:val="008E45AF"/>
    <w:rsid w:val="008E5BB3"/>
    <w:rsid w:val="008E5CD4"/>
    <w:rsid w:val="008E5F3E"/>
    <w:rsid w:val="008E6265"/>
    <w:rsid w:val="008E6267"/>
    <w:rsid w:val="008E7B76"/>
    <w:rsid w:val="008E7F61"/>
    <w:rsid w:val="008F0798"/>
    <w:rsid w:val="008F0C06"/>
    <w:rsid w:val="008F2B47"/>
    <w:rsid w:val="008F2EA0"/>
    <w:rsid w:val="008F30CB"/>
    <w:rsid w:val="008F38FF"/>
    <w:rsid w:val="008F39AA"/>
    <w:rsid w:val="008F3EBA"/>
    <w:rsid w:val="008F4ADC"/>
    <w:rsid w:val="008F549A"/>
    <w:rsid w:val="008F54ED"/>
    <w:rsid w:val="008F6371"/>
    <w:rsid w:val="008F6552"/>
    <w:rsid w:val="008F6C85"/>
    <w:rsid w:val="008F6FD0"/>
    <w:rsid w:val="008F7722"/>
    <w:rsid w:val="008F7A7C"/>
    <w:rsid w:val="008F7C32"/>
    <w:rsid w:val="008F7F39"/>
    <w:rsid w:val="009009D6"/>
    <w:rsid w:val="00901615"/>
    <w:rsid w:val="009035E7"/>
    <w:rsid w:val="009038F8"/>
    <w:rsid w:val="009045D8"/>
    <w:rsid w:val="009051BC"/>
    <w:rsid w:val="00905988"/>
    <w:rsid w:val="00905EE9"/>
    <w:rsid w:val="00907139"/>
    <w:rsid w:val="009105CD"/>
    <w:rsid w:val="00910986"/>
    <w:rsid w:val="00910E7D"/>
    <w:rsid w:val="009134EC"/>
    <w:rsid w:val="00913704"/>
    <w:rsid w:val="00913B3A"/>
    <w:rsid w:val="00913EA8"/>
    <w:rsid w:val="009155BF"/>
    <w:rsid w:val="009161FF"/>
    <w:rsid w:val="009164DA"/>
    <w:rsid w:val="00916D6A"/>
    <w:rsid w:val="00916FCF"/>
    <w:rsid w:val="009200D8"/>
    <w:rsid w:val="009205CE"/>
    <w:rsid w:val="00921343"/>
    <w:rsid w:val="00921CD9"/>
    <w:rsid w:val="00922481"/>
    <w:rsid w:val="00923829"/>
    <w:rsid w:val="009238AF"/>
    <w:rsid w:val="009255F9"/>
    <w:rsid w:val="00925674"/>
    <w:rsid w:val="009257E1"/>
    <w:rsid w:val="009269B5"/>
    <w:rsid w:val="00927C34"/>
    <w:rsid w:val="00931038"/>
    <w:rsid w:val="00931BC4"/>
    <w:rsid w:val="00932D60"/>
    <w:rsid w:val="00934174"/>
    <w:rsid w:val="00936307"/>
    <w:rsid w:val="0093778C"/>
    <w:rsid w:val="00940ABC"/>
    <w:rsid w:val="00940EF6"/>
    <w:rsid w:val="009413D0"/>
    <w:rsid w:val="00941426"/>
    <w:rsid w:val="00942A79"/>
    <w:rsid w:val="00943C8C"/>
    <w:rsid w:val="00943E7E"/>
    <w:rsid w:val="00943E9E"/>
    <w:rsid w:val="00944A96"/>
    <w:rsid w:val="009506CB"/>
    <w:rsid w:val="00953405"/>
    <w:rsid w:val="0095439D"/>
    <w:rsid w:val="00955D30"/>
    <w:rsid w:val="009574FF"/>
    <w:rsid w:val="00957F67"/>
    <w:rsid w:val="00957FDF"/>
    <w:rsid w:val="00960863"/>
    <w:rsid w:val="00960B35"/>
    <w:rsid w:val="00960BFE"/>
    <w:rsid w:val="00961902"/>
    <w:rsid w:val="009620AE"/>
    <w:rsid w:val="00962257"/>
    <w:rsid w:val="00962D55"/>
    <w:rsid w:val="0096360D"/>
    <w:rsid w:val="00963F67"/>
    <w:rsid w:val="0096427B"/>
    <w:rsid w:val="0096579B"/>
    <w:rsid w:val="00966933"/>
    <w:rsid w:val="00967D1B"/>
    <w:rsid w:val="00971680"/>
    <w:rsid w:val="0097248F"/>
    <w:rsid w:val="009724E3"/>
    <w:rsid w:val="00974038"/>
    <w:rsid w:val="00974127"/>
    <w:rsid w:val="00977136"/>
    <w:rsid w:val="0097733E"/>
    <w:rsid w:val="009778EA"/>
    <w:rsid w:val="00977EF3"/>
    <w:rsid w:val="00980139"/>
    <w:rsid w:val="00980478"/>
    <w:rsid w:val="00981051"/>
    <w:rsid w:val="00981B9A"/>
    <w:rsid w:val="009834B1"/>
    <w:rsid w:val="009837DB"/>
    <w:rsid w:val="00983ED8"/>
    <w:rsid w:val="00984488"/>
    <w:rsid w:val="00984BFF"/>
    <w:rsid w:val="00984F36"/>
    <w:rsid w:val="00985BE6"/>
    <w:rsid w:val="00985FB2"/>
    <w:rsid w:val="00986C5C"/>
    <w:rsid w:val="00987088"/>
    <w:rsid w:val="009904A3"/>
    <w:rsid w:val="00990889"/>
    <w:rsid w:val="00990C93"/>
    <w:rsid w:val="00991750"/>
    <w:rsid w:val="00992E2B"/>
    <w:rsid w:val="00994589"/>
    <w:rsid w:val="00994677"/>
    <w:rsid w:val="009A07C4"/>
    <w:rsid w:val="009A08AF"/>
    <w:rsid w:val="009A0DC4"/>
    <w:rsid w:val="009A1898"/>
    <w:rsid w:val="009A211B"/>
    <w:rsid w:val="009A2569"/>
    <w:rsid w:val="009A3675"/>
    <w:rsid w:val="009A3684"/>
    <w:rsid w:val="009A369C"/>
    <w:rsid w:val="009A44BC"/>
    <w:rsid w:val="009A5246"/>
    <w:rsid w:val="009A5A94"/>
    <w:rsid w:val="009A5E50"/>
    <w:rsid w:val="009A622D"/>
    <w:rsid w:val="009B04B4"/>
    <w:rsid w:val="009B0EBB"/>
    <w:rsid w:val="009B156A"/>
    <w:rsid w:val="009B2C53"/>
    <w:rsid w:val="009B3221"/>
    <w:rsid w:val="009B34F1"/>
    <w:rsid w:val="009B3678"/>
    <w:rsid w:val="009B3C70"/>
    <w:rsid w:val="009B4240"/>
    <w:rsid w:val="009B5010"/>
    <w:rsid w:val="009B54FC"/>
    <w:rsid w:val="009B5671"/>
    <w:rsid w:val="009B5C97"/>
    <w:rsid w:val="009B63F5"/>
    <w:rsid w:val="009B701E"/>
    <w:rsid w:val="009B73FD"/>
    <w:rsid w:val="009B7443"/>
    <w:rsid w:val="009B7570"/>
    <w:rsid w:val="009B75CF"/>
    <w:rsid w:val="009B7FA7"/>
    <w:rsid w:val="009C02D2"/>
    <w:rsid w:val="009C10DF"/>
    <w:rsid w:val="009C120B"/>
    <w:rsid w:val="009C1E32"/>
    <w:rsid w:val="009C3086"/>
    <w:rsid w:val="009C4001"/>
    <w:rsid w:val="009C5D84"/>
    <w:rsid w:val="009C5E85"/>
    <w:rsid w:val="009C62F9"/>
    <w:rsid w:val="009C78B5"/>
    <w:rsid w:val="009D0EED"/>
    <w:rsid w:val="009D11A6"/>
    <w:rsid w:val="009D1CB7"/>
    <w:rsid w:val="009D1F65"/>
    <w:rsid w:val="009D40D0"/>
    <w:rsid w:val="009D4807"/>
    <w:rsid w:val="009D4966"/>
    <w:rsid w:val="009D4B37"/>
    <w:rsid w:val="009D58C6"/>
    <w:rsid w:val="009D594E"/>
    <w:rsid w:val="009D743C"/>
    <w:rsid w:val="009D74AB"/>
    <w:rsid w:val="009E104E"/>
    <w:rsid w:val="009E14B4"/>
    <w:rsid w:val="009E196E"/>
    <w:rsid w:val="009E2932"/>
    <w:rsid w:val="009E44AC"/>
    <w:rsid w:val="009E4B27"/>
    <w:rsid w:val="009E55D9"/>
    <w:rsid w:val="009E55F6"/>
    <w:rsid w:val="009E6AF3"/>
    <w:rsid w:val="009E718C"/>
    <w:rsid w:val="009F0534"/>
    <w:rsid w:val="009F095A"/>
    <w:rsid w:val="009F1B4A"/>
    <w:rsid w:val="009F2552"/>
    <w:rsid w:val="009F29CF"/>
    <w:rsid w:val="009F3C66"/>
    <w:rsid w:val="009F3E64"/>
    <w:rsid w:val="009F47A9"/>
    <w:rsid w:val="009F50FB"/>
    <w:rsid w:val="009F5735"/>
    <w:rsid w:val="009F5C9B"/>
    <w:rsid w:val="009F6AD3"/>
    <w:rsid w:val="009F6FE8"/>
    <w:rsid w:val="009F7F00"/>
    <w:rsid w:val="00A00387"/>
    <w:rsid w:val="00A00EED"/>
    <w:rsid w:val="00A02134"/>
    <w:rsid w:val="00A02368"/>
    <w:rsid w:val="00A036E6"/>
    <w:rsid w:val="00A054C8"/>
    <w:rsid w:val="00A05C35"/>
    <w:rsid w:val="00A05C88"/>
    <w:rsid w:val="00A060E2"/>
    <w:rsid w:val="00A06ABB"/>
    <w:rsid w:val="00A0716B"/>
    <w:rsid w:val="00A07547"/>
    <w:rsid w:val="00A07684"/>
    <w:rsid w:val="00A07BDB"/>
    <w:rsid w:val="00A10A0E"/>
    <w:rsid w:val="00A10A35"/>
    <w:rsid w:val="00A111B5"/>
    <w:rsid w:val="00A11A6D"/>
    <w:rsid w:val="00A123B4"/>
    <w:rsid w:val="00A124A8"/>
    <w:rsid w:val="00A12B82"/>
    <w:rsid w:val="00A131B1"/>
    <w:rsid w:val="00A13577"/>
    <w:rsid w:val="00A139D1"/>
    <w:rsid w:val="00A13A3C"/>
    <w:rsid w:val="00A13E71"/>
    <w:rsid w:val="00A142BC"/>
    <w:rsid w:val="00A1504E"/>
    <w:rsid w:val="00A154A5"/>
    <w:rsid w:val="00A15F0A"/>
    <w:rsid w:val="00A1715D"/>
    <w:rsid w:val="00A220E4"/>
    <w:rsid w:val="00A22251"/>
    <w:rsid w:val="00A22961"/>
    <w:rsid w:val="00A22CE3"/>
    <w:rsid w:val="00A238C4"/>
    <w:rsid w:val="00A24BDF"/>
    <w:rsid w:val="00A258E2"/>
    <w:rsid w:val="00A2602A"/>
    <w:rsid w:val="00A264A4"/>
    <w:rsid w:val="00A32201"/>
    <w:rsid w:val="00A3257B"/>
    <w:rsid w:val="00A33C45"/>
    <w:rsid w:val="00A3408F"/>
    <w:rsid w:val="00A3532E"/>
    <w:rsid w:val="00A3613D"/>
    <w:rsid w:val="00A36E34"/>
    <w:rsid w:val="00A40548"/>
    <w:rsid w:val="00A40909"/>
    <w:rsid w:val="00A40942"/>
    <w:rsid w:val="00A41A93"/>
    <w:rsid w:val="00A421A7"/>
    <w:rsid w:val="00A4292D"/>
    <w:rsid w:val="00A431A9"/>
    <w:rsid w:val="00A436A7"/>
    <w:rsid w:val="00A444D1"/>
    <w:rsid w:val="00A44957"/>
    <w:rsid w:val="00A44DD3"/>
    <w:rsid w:val="00A458A5"/>
    <w:rsid w:val="00A458F0"/>
    <w:rsid w:val="00A46223"/>
    <w:rsid w:val="00A474A3"/>
    <w:rsid w:val="00A477B2"/>
    <w:rsid w:val="00A50D60"/>
    <w:rsid w:val="00A50E42"/>
    <w:rsid w:val="00A5186F"/>
    <w:rsid w:val="00A535EF"/>
    <w:rsid w:val="00A53BBD"/>
    <w:rsid w:val="00A54073"/>
    <w:rsid w:val="00A54260"/>
    <w:rsid w:val="00A54423"/>
    <w:rsid w:val="00A54D9E"/>
    <w:rsid w:val="00A54DCA"/>
    <w:rsid w:val="00A55586"/>
    <w:rsid w:val="00A55818"/>
    <w:rsid w:val="00A56BA1"/>
    <w:rsid w:val="00A57B65"/>
    <w:rsid w:val="00A60598"/>
    <w:rsid w:val="00A6080D"/>
    <w:rsid w:val="00A60A32"/>
    <w:rsid w:val="00A61061"/>
    <w:rsid w:val="00A62C01"/>
    <w:rsid w:val="00A63C7F"/>
    <w:rsid w:val="00A650A3"/>
    <w:rsid w:val="00A65A53"/>
    <w:rsid w:val="00A65E61"/>
    <w:rsid w:val="00A6692E"/>
    <w:rsid w:val="00A66B73"/>
    <w:rsid w:val="00A66F52"/>
    <w:rsid w:val="00A66F54"/>
    <w:rsid w:val="00A6797B"/>
    <w:rsid w:val="00A705CE"/>
    <w:rsid w:val="00A70995"/>
    <w:rsid w:val="00A721D5"/>
    <w:rsid w:val="00A73F8C"/>
    <w:rsid w:val="00A74CA8"/>
    <w:rsid w:val="00A764EE"/>
    <w:rsid w:val="00A7663E"/>
    <w:rsid w:val="00A76A8C"/>
    <w:rsid w:val="00A776BC"/>
    <w:rsid w:val="00A77B0E"/>
    <w:rsid w:val="00A80493"/>
    <w:rsid w:val="00A81878"/>
    <w:rsid w:val="00A81F14"/>
    <w:rsid w:val="00A824BC"/>
    <w:rsid w:val="00A8370E"/>
    <w:rsid w:val="00A83C08"/>
    <w:rsid w:val="00A84213"/>
    <w:rsid w:val="00A842A5"/>
    <w:rsid w:val="00A844B4"/>
    <w:rsid w:val="00A8492E"/>
    <w:rsid w:val="00A84D48"/>
    <w:rsid w:val="00A84E01"/>
    <w:rsid w:val="00A8531E"/>
    <w:rsid w:val="00A8574C"/>
    <w:rsid w:val="00A86950"/>
    <w:rsid w:val="00A86B37"/>
    <w:rsid w:val="00A874C4"/>
    <w:rsid w:val="00A87A21"/>
    <w:rsid w:val="00A908EE"/>
    <w:rsid w:val="00A91510"/>
    <w:rsid w:val="00A9291A"/>
    <w:rsid w:val="00A932C0"/>
    <w:rsid w:val="00A93E8C"/>
    <w:rsid w:val="00A94815"/>
    <w:rsid w:val="00A94BF6"/>
    <w:rsid w:val="00A94CA2"/>
    <w:rsid w:val="00A94D08"/>
    <w:rsid w:val="00A9543E"/>
    <w:rsid w:val="00A95BB9"/>
    <w:rsid w:val="00A968C7"/>
    <w:rsid w:val="00A96BC1"/>
    <w:rsid w:val="00A9711F"/>
    <w:rsid w:val="00A97632"/>
    <w:rsid w:val="00AA154A"/>
    <w:rsid w:val="00AA22FA"/>
    <w:rsid w:val="00AA2CA4"/>
    <w:rsid w:val="00AA33B9"/>
    <w:rsid w:val="00AA37FF"/>
    <w:rsid w:val="00AA448A"/>
    <w:rsid w:val="00AA47FF"/>
    <w:rsid w:val="00AA57AC"/>
    <w:rsid w:val="00AA7F29"/>
    <w:rsid w:val="00AB0D64"/>
    <w:rsid w:val="00AB10FF"/>
    <w:rsid w:val="00AB13F3"/>
    <w:rsid w:val="00AB3003"/>
    <w:rsid w:val="00AB425A"/>
    <w:rsid w:val="00AB4A94"/>
    <w:rsid w:val="00AB4F71"/>
    <w:rsid w:val="00AB626B"/>
    <w:rsid w:val="00AB6963"/>
    <w:rsid w:val="00AB6E8A"/>
    <w:rsid w:val="00AB755D"/>
    <w:rsid w:val="00AC01F0"/>
    <w:rsid w:val="00AC02A4"/>
    <w:rsid w:val="00AC1913"/>
    <w:rsid w:val="00AC2DAE"/>
    <w:rsid w:val="00AC49DB"/>
    <w:rsid w:val="00AC60DB"/>
    <w:rsid w:val="00AC70AF"/>
    <w:rsid w:val="00AC78FF"/>
    <w:rsid w:val="00AC7B3F"/>
    <w:rsid w:val="00AC7CE1"/>
    <w:rsid w:val="00AD071A"/>
    <w:rsid w:val="00AD08E4"/>
    <w:rsid w:val="00AD135B"/>
    <w:rsid w:val="00AD231E"/>
    <w:rsid w:val="00AD2996"/>
    <w:rsid w:val="00AD50EA"/>
    <w:rsid w:val="00AD5464"/>
    <w:rsid w:val="00AD5AD7"/>
    <w:rsid w:val="00AD64D3"/>
    <w:rsid w:val="00AD6D4B"/>
    <w:rsid w:val="00AE066B"/>
    <w:rsid w:val="00AE07D5"/>
    <w:rsid w:val="00AE0B4C"/>
    <w:rsid w:val="00AE0D45"/>
    <w:rsid w:val="00AE112B"/>
    <w:rsid w:val="00AE1A40"/>
    <w:rsid w:val="00AE2319"/>
    <w:rsid w:val="00AE2340"/>
    <w:rsid w:val="00AE2637"/>
    <w:rsid w:val="00AE2918"/>
    <w:rsid w:val="00AE2DDA"/>
    <w:rsid w:val="00AE2F8A"/>
    <w:rsid w:val="00AE3203"/>
    <w:rsid w:val="00AE385C"/>
    <w:rsid w:val="00AE3E09"/>
    <w:rsid w:val="00AE3E7C"/>
    <w:rsid w:val="00AE5197"/>
    <w:rsid w:val="00AE5BA9"/>
    <w:rsid w:val="00AE69AC"/>
    <w:rsid w:val="00AE7040"/>
    <w:rsid w:val="00AE70E3"/>
    <w:rsid w:val="00AE7424"/>
    <w:rsid w:val="00AF127F"/>
    <w:rsid w:val="00AF1799"/>
    <w:rsid w:val="00AF1AD0"/>
    <w:rsid w:val="00AF1CB0"/>
    <w:rsid w:val="00AF306D"/>
    <w:rsid w:val="00AF38C6"/>
    <w:rsid w:val="00AF3B5D"/>
    <w:rsid w:val="00AF4007"/>
    <w:rsid w:val="00AF4746"/>
    <w:rsid w:val="00AF4A98"/>
    <w:rsid w:val="00AF6A1E"/>
    <w:rsid w:val="00AF78EC"/>
    <w:rsid w:val="00AF7DB4"/>
    <w:rsid w:val="00B001E1"/>
    <w:rsid w:val="00B00B0E"/>
    <w:rsid w:val="00B010CF"/>
    <w:rsid w:val="00B01759"/>
    <w:rsid w:val="00B01949"/>
    <w:rsid w:val="00B0275C"/>
    <w:rsid w:val="00B02A29"/>
    <w:rsid w:val="00B03886"/>
    <w:rsid w:val="00B04A5D"/>
    <w:rsid w:val="00B04DBB"/>
    <w:rsid w:val="00B056C0"/>
    <w:rsid w:val="00B05AC1"/>
    <w:rsid w:val="00B05CDF"/>
    <w:rsid w:val="00B05E6E"/>
    <w:rsid w:val="00B05FC9"/>
    <w:rsid w:val="00B06138"/>
    <w:rsid w:val="00B063DE"/>
    <w:rsid w:val="00B06965"/>
    <w:rsid w:val="00B06970"/>
    <w:rsid w:val="00B06F3E"/>
    <w:rsid w:val="00B06F73"/>
    <w:rsid w:val="00B079FF"/>
    <w:rsid w:val="00B12019"/>
    <w:rsid w:val="00B12310"/>
    <w:rsid w:val="00B12EC5"/>
    <w:rsid w:val="00B14528"/>
    <w:rsid w:val="00B158C8"/>
    <w:rsid w:val="00B15962"/>
    <w:rsid w:val="00B15F35"/>
    <w:rsid w:val="00B16069"/>
    <w:rsid w:val="00B16CF2"/>
    <w:rsid w:val="00B16FA4"/>
    <w:rsid w:val="00B20A72"/>
    <w:rsid w:val="00B214E2"/>
    <w:rsid w:val="00B2187A"/>
    <w:rsid w:val="00B219CC"/>
    <w:rsid w:val="00B22CEC"/>
    <w:rsid w:val="00B23133"/>
    <w:rsid w:val="00B23829"/>
    <w:rsid w:val="00B23F69"/>
    <w:rsid w:val="00B26719"/>
    <w:rsid w:val="00B26A7A"/>
    <w:rsid w:val="00B26DC6"/>
    <w:rsid w:val="00B270E2"/>
    <w:rsid w:val="00B2737F"/>
    <w:rsid w:val="00B31AF5"/>
    <w:rsid w:val="00B31FD6"/>
    <w:rsid w:val="00B32323"/>
    <w:rsid w:val="00B33615"/>
    <w:rsid w:val="00B34008"/>
    <w:rsid w:val="00B34C66"/>
    <w:rsid w:val="00B35A36"/>
    <w:rsid w:val="00B365F6"/>
    <w:rsid w:val="00B378D5"/>
    <w:rsid w:val="00B41592"/>
    <w:rsid w:val="00B4171E"/>
    <w:rsid w:val="00B41781"/>
    <w:rsid w:val="00B42851"/>
    <w:rsid w:val="00B45329"/>
    <w:rsid w:val="00B4585C"/>
    <w:rsid w:val="00B45DFF"/>
    <w:rsid w:val="00B46BCD"/>
    <w:rsid w:val="00B51979"/>
    <w:rsid w:val="00B51BE0"/>
    <w:rsid w:val="00B52AC5"/>
    <w:rsid w:val="00B532A0"/>
    <w:rsid w:val="00B53AB4"/>
    <w:rsid w:val="00B54C8F"/>
    <w:rsid w:val="00B55000"/>
    <w:rsid w:val="00B56411"/>
    <w:rsid w:val="00B56612"/>
    <w:rsid w:val="00B57563"/>
    <w:rsid w:val="00B57FBD"/>
    <w:rsid w:val="00B6036B"/>
    <w:rsid w:val="00B618B6"/>
    <w:rsid w:val="00B62FF8"/>
    <w:rsid w:val="00B63371"/>
    <w:rsid w:val="00B637A1"/>
    <w:rsid w:val="00B63B4B"/>
    <w:rsid w:val="00B63B54"/>
    <w:rsid w:val="00B64518"/>
    <w:rsid w:val="00B64ED3"/>
    <w:rsid w:val="00B6569C"/>
    <w:rsid w:val="00B65800"/>
    <w:rsid w:val="00B65AAE"/>
    <w:rsid w:val="00B66245"/>
    <w:rsid w:val="00B66EB2"/>
    <w:rsid w:val="00B67B47"/>
    <w:rsid w:val="00B67C79"/>
    <w:rsid w:val="00B712FD"/>
    <w:rsid w:val="00B75853"/>
    <w:rsid w:val="00B7601B"/>
    <w:rsid w:val="00B766C6"/>
    <w:rsid w:val="00B76F43"/>
    <w:rsid w:val="00B77015"/>
    <w:rsid w:val="00B77743"/>
    <w:rsid w:val="00B800D5"/>
    <w:rsid w:val="00B812A8"/>
    <w:rsid w:val="00B81A4D"/>
    <w:rsid w:val="00B8219B"/>
    <w:rsid w:val="00B8389D"/>
    <w:rsid w:val="00B838E6"/>
    <w:rsid w:val="00B838EB"/>
    <w:rsid w:val="00B83B04"/>
    <w:rsid w:val="00B83E4D"/>
    <w:rsid w:val="00B84517"/>
    <w:rsid w:val="00B84DBA"/>
    <w:rsid w:val="00B84E2A"/>
    <w:rsid w:val="00B86E92"/>
    <w:rsid w:val="00B86FB9"/>
    <w:rsid w:val="00B871A5"/>
    <w:rsid w:val="00B87FC8"/>
    <w:rsid w:val="00B90041"/>
    <w:rsid w:val="00B902C1"/>
    <w:rsid w:val="00B90986"/>
    <w:rsid w:val="00B913F6"/>
    <w:rsid w:val="00B914CC"/>
    <w:rsid w:val="00B9160A"/>
    <w:rsid w:val="00B9169A"/>
    <w:rsid w:val="00B91897"/>
    <w:rsid w:val="00B92132"/>
    <w:rsid w:val="00B92EB8"/>
    <w:rsid w:val="00B9337E"/>
    <w:rsid w:val="00B93419"/>
    <w:rsid w:val="00B93BAF"/>
    <w:rsid w:val="00B94179"/>
    <w:rsid w:val="00B9445F"/>
    <w:rsid w:val="00B9558A"/>
    <w:rsid w:val="00B9570C"/>
    <w:rsid w:val="00B95F30"/>
    <w:rsid w:val="00B962EC"/>
    <w:rsid w:val="00B964DD"/>
    <w:rsid w:val="00B9770B"/>
    <w:rsid w:val="00B97B76"/>
    <w:rsid w:val="00B97ECB"/>
    <w:rsid w:val="00BA075B"/>
    <w:rsid w:val="00BA079B"/>
    <w:rsid w:val="00BA0B9A"/>
    <w:rsid w:val="00BA1621"/>
    <w:rsid w:val="00BA189B"/>
    <w:rsid w:val="00BA2755"/>
    <w:rsid w:val="00BA361F"/>
    <w:rsid w:val="00BA3F0C"/>
    <w:rsid w:val="00BA421A"/>
    <w:rsid w:val="00BA4A55"/>
    <w:rsid w:val="00BA4D9B"/>
    <w:rsid w:val="00BA4E11"/>
    <w:rsid w:val="00BA7415"/>
    <w:rsid w:val="00BA7E18"/>
    <w:rsid w:val="00BB01CC"/>
    <w:rsid w:val="00BB0CD7"/>
    <w:rsid w:val="00BB0E9A"/>
    <w:rsid w:val="00BB13C7"/>
    <w:rsid w:val="00BB2271"/>
    <w:rsid w:val="00BB22D8"/>
    <w:rsid w:val="00BB3C7D"/>
    <w:rsid w:val="00BB4919"/>
    <w:rsid w:val="00BB4EFA"/>
    <w:rsid w:val="00BB514E"/>
    <w:rsid w:val="00BB5ECA"/>
    <w:rsid w:val="00BB69EC"/>
    <w:rsid w:val="00BB6E50"/>
    <w:rsid w:val="00BB6FDC"/>
    <w:rsid w:val="00BC0C1D"/>
    <w:rsid w:val="00BC1241"/>
    <w:rsid w:val="00BC1374"/>
    <w:rsid w:val="00BC14DA"/>
    <w:rsid w:val="00BC1747"/>
    <w:rsid w:val="00BC209F"/>
    <w:rsid w:val="00BC2920"/>
    <w:rsid w:val="00BC339C"/>
    <w:rsid w:val="00BC478B"/>
    <w:rsid w:val="00BC4FD0"/>
    <w:rsid w:val="00BC5AE0"/>
    <w:rsid w:val="00BC6531"/>
    <w:rsid w:val="00BC662E"/>
    <w:rsid w:val="00BC669B"/>
    <w:rsid w:val="00BC715C"/>
    <w:rsid w:val="00BC7F4F"/>
    <w:rsid w:val="00BD172F"/>
    <w:rsid w:val="00BD21CA"/>
    <w:rsid w:val="00BD3C3A"/>
    <w:rsid w:val="00BD4FEC"/>
    <w:rsid w:val="00BD5456"/>
    <w:rsid w:val="00BD5B35"/>
    <w:rsid w:val="00BD6486"/>
    <w:rsid w:val="00BD7AB1"/>
    <w:rsid w:val="00BD7AF2"/>
    <w:rsid w:val="00BD7EE7"/>
    <w:rsid w:val="00BE118A"/>
    <w:rsid w:val="00BE151A"/>
    <w:rsid w:val="00BE1658"/>
    <w:rsid w:val="00BE2DB9"/>
    <w:rsid w:val="00BE3771"/>
    <w:rsid w:val="00BE5FCF"/>
    <w:rsid w:val="00BE62DE"/>
    <w:rsid w:val="00BE63C7"/>
    <w:rsid w:val="00BE6DAC"/>
    <w:rsid w:val="00BE6F03"/>
    <w:rsid w:val="00BE742A"/>
    <w:rsid w:val="00BF0E4D"/>
    <w:rsid w:val="00BF0F88"/>
    <w:rsid w:val="00BF1B51"/>
    <w:rsid w:val="00BF3CB8"/>
    <w:rsid w:val="00BF3D48"/>
    <w:rsid w:val="00BF3FD8"/>
    <w:rsid w:val="00BF49ED"/>
    <w:rsid w:val="00BF4B60"/>
    <w:rsid w:val="00BF58D5"/>
    <w:rsid w:val="00BF62E8"/>
    <w:rsid w:val="00BF682D"/>
    <w:rsid w:val="00BF7113"/>
    <w:rsid w:val="00BF746B"/>
    <w:rsid w:val="00C01B17"/>
    <w:rsid w:val="00C026B8"/>
    <w:rsid w:val="00C02DC8"/>
    <w:rsid w:val="00C0506F"/>
    <w:rsid w:val="00C052A6"/>
    <w:rsid w:val="00C05302"/>
    <w:rsid w:val="00C0550A"/>
    <w:rsid w:val="00C069D4"/>
    <w:rsid w:val="00C072AB"/>
    <w:rsid w:val="00C076CA"/>
    <w:rsid w:val="00C07B75"/>
    <w:rsid w:val="00C100FB"/>
    <w:rsid w:val="00C11F5A"/>
    <w:rsid w:val="00C127DA"/>
    <w:rsid w:val="00C12862"/>
    <w:rsid w:val="00C12CE5"/>
    <w:rsid w:val="00C14752"/>
    <w:rsid w:val="00C1610A"/>
    <w:rsid w:val="00C172DC"/>
    <w:rsid w:val="00C17978"/>
    <w:rsid w:val="00C21485"/>
    <w:rsid w:val="00C221B9"/>
    <w:rsid w:val="00C222A1"/>
    <w:rsid w:val="00C2233F"/>
    <w:rsid w:val="00C225D2"/>
    <w:rsid w:val="00C22709"/>
    <w:rsid w:val="00C2298E"/>
    <w:rsid w:val="00C22AE4"/>
    <w:rsid w:val="00C233FF"/>
    <w:rsid w:val="00C23C1D"/>
    <w:rsid w:val="00C24060"/>
    <w:rsid w:val="00C24897"/>
    <w:rsid w:val="00C25432"/>
    <w:rsid w:val="00C260E5"/>
    <w:rsid w:val="00C30340"/>
    <w:rsid w:val="00C313DD"/>
    <w:rsid w:val="00C31AF4"/>
    <w:rsid w:val="00C32C5F"/>
    <w:rsid w:val="00C33118"/>
    <w:rsid w:val="00C33A00"/>
    <w:rsid w:val="00C344BB"/>
    <w:rsid w:val="00C344C9"/>
    <w:rsid w:val="00C354D7"/>
    <w:rsid w:val="00C35ADC"/>
    <w:rsid w:val="00C35BB3"/>
    <w:rsid w:val="00C35D19"/>
    <w:rsid w:val="00C365BC"/>
    <w:rsid w:val="00C36771"/>
    <w:rsid w:val="00C37227"/>
    <w:rsid w:val="00C374DB"/>
    <w:rsid w:val="00C37DE8"/>
    <w:rsid w:val="00C401B0"/>
    <w:rsid w:val="00C40520"/>
    <w:rsid w:val="00C40A4A"/>
    <w:rsid w:val="00C40BE7"/>
    <w:rsid w:val="00C411DE"/>
    <w:rsid w:val="00C43CD8"/>
    <w:rsid w:val="00C440BC"/>
    <w:rsid w:val="00C44417"/>
    <w:rsid w:val="00C4549C"/>
    <w:rsid w:val="00C47D6C"/>
    <w:rsid w:val="00C50AC0"/>
    <w:rsid w:val="00C50B0E"/>
    <w:rsid w:val="00C51E67"/>
    <w:rsid w:val="00C52368"/>
    <w:rsid w:val="00C52786"/>
    <w:rsid w:val="00C534D5"/>
    <w:rsid w:val="00C53A92"/>
    <w:rsid w:val="00C53E01"/>
    <w:rsid w:val="00C53F26"/>
    <w:rsid w:val="00C548D0"/>
    <w:rsid w:val="00C55B70"/>
    <w:rsid w:val="00C55BBF"/>
    <w:rsid w:val="00C569E2"/>
    <w:rsid w:val="00C56D96"/>
    <w:rsid w:val="00C56DC4"/>
    <w:rsid w:val="00C56DF9"/>
    <w:rsid w:val="00C56EAB"/>
    <w:rsid w:val="00C60857"/>
    <w:rsid w:val="00C60D93"/>
    <w:rsid w:val="00C61149"/>
    <w:rsid w:val="00C627B1"/>
    <w:rsid w:val="00C62E46"/>
    <w:rsid w:val="00C635A8"/>
    <w:rsid w:val="00C63BD1"/>
    <w:rsid w:val="00C64174"/>
    <w:rsid w:val="00C65670"/>
    <w:rsid w:val="00C6642D"/>
    <w:rsid w:val="00C6692D"/>
    <w:rsid w:val="00C70845"/>
    <w:rsid w:val="00C70E55"/>
    <w:rsid w:val="00C71194"/>
    <w:rsid w:val="00C7191E"/>
    <w:rsid w:val="00C71B13"/>
    <w:rsid w:val="00C71C59"/>
    <w:rsid w:val="00C71DCD"/>
    <w:rsid w:val="00C727A8"/>
    <w:rsid w:val="00C7285E"/>
    <w:rsid w:val="00C72869"/>
    <w:rsid w:val="00C733C8"/>
    <w:rsid w:val="00C74AFD"/>
    <w:rsid w:val="00C74CDD"/>
    <w:rsid w:val="00C76223"/>
    <w:rsid w:val="00C76532"/>
    <w:rsid w:val="00C7683D"/>
    <w:rsid w:val="00C76A58"/>
    <w:rsid w:val="00C775AB"/>
    <w:rsid w:val="00C80CC5"/>
    <w:rsid w:val="00C81211"/>
    <w:rsid w:val="00C812B0"/>
    <w:rsid w:val="00C82065"/>
    <w:rsid w:val="00C82112"/>
    <w:rsid w:val="00C827A6"/>
    <w:rsid w:val="00C83A7C"/>
    <w:rsid w:val="00C8560D"/>
    <w:rsid w:val="00C8770E"/>
    <w:rsid w:val="00C87E83"/>
    <w:rsid w:val="00C87F79"/>
    <w:rsid w:val="00C905BE"/>
    <w:rsid w:val="00C90AC5"/>
    <w:rsid w:val="00C9194B"/>
    <w:rsid w:val="00C91AB0"/>
    <w:rsid w:val="00C92003"/>
    <w:rsid w:val="00C92234"/>
    <w:rsid w:val="00C925B7"/>
    <w:rsid w:val="00C93A12"/>
    <w:rsid w:val="00C958D4"/>
    <w:rsid w:val="00C95CBF"/>
    <w:rsid w:val="00C96A5A"/>
    <w:rsid w:val="00C96B5F"/>
    <w:rsid w:val="00C96D9A"/>
    <w:rsid w:val="00C975A7"/>
    <w:rsid w:val="00C976DA"/>
    <w:rsid w:val="00CA0196"/>
    <w:rsid w:val="00CA027C"/>
    <w:rsid w:val="00CA0DFC"/>
    <w:rsid w:val="00CA17FD"/>
    <w:rsid w:val="00CA2A25"/>
    <w:rsid w:val="00CA2C99"/>
    <w:rsid w:val="00CA2D15"/>
    <w:rsid w:val="00CA30DC"/>
    <w:rsid w:val="00CA3500"/>
    <w:rsid w:val="00CA40B2"/>
    <w:rsid w:val="00CA47CB"/>
    <w:rsid w:val="00CA489F"/>
    <w:rsid w:val="00CA4C2B"/>
    <w:rsid w:val="00CA52CF"/>
    <w:rsid w:val="00CA5B2A"/>
    <w:rsid w:val="00CA6263"/>
    <w:rsid w:val="00CA6426"/>
    <w:rsid w:val="00CA6BB7"/>
    <w:rsid w:val="00CA74B7"/>
    <w:rsid w:val="00CA780C"/>
    <w:rsid w:val="00CB078E"/>
    <w:rsid w:val="00CB257F"/>
    <w:rsid w:val="00CB39C0"/>
    <w:rsid w:val="00CB3B18"/>
    <w:rsid w:val="00CB462C"/>
    <w:rsid w:val="00CB5B1A"/>
    <w:rsid w:val="00CB7378"/>
    <w:rsid w:val="00CB7689"/>
    <w:rsid w:val="00CB77CF"/>
    <w:rsid w:val="00CC01A5"/>
    <w:rsid w:val="00CC12BC"/>
    <w:rsid w:val="00CC1C86"/>
    <w:rsid w:val="00CC260D"/>
    <w:rsid w:val="00CC2A09"/>
    <w:rsid w:val="00CC33E0"/>
    <w:rsid w:val="00CC3504"/>
    <w:rsid w:val="00CC3ADA"/>
    <w:rsid w:val="00CC47F3"/>
    <w:rsid w:val="00CC4E66"/>
    <w:rsid w:val="00CC53BE"/>
    <w:rsid w:val="00CC5791"/>
    <w:rsid w:val="00CC6BC9"/>
    <w:rsid w:val="00CD049D"/>
    <w:rsid w:val="00CD1177"/>
    <w:rsid w:val="00CD1B21"/>
    <w:rsid w:val="00CD2948"/>
    <w:rsid w:val="00CD2964"/>
    <w:rsid w:val="00CD2BB5"/>
    <w:rsid w:val="00CD40A2"/>
    <w:rsid w:val="00CD412F"/>
    <w:rsid w:val="00CD4146"/>
    <w:rsid w:val="00CD42AC"/>
    <w:rsid w:val="00CD53F1"/>
    <w:rsid w:val="00CD5F84"/>
    <w:rsid w:val="00CD65BA"/>
    <w:rsid w:val="00CD6F63"/>
    <w:rsid w:val="00CD75F2"/>
    <w:rsid w:val="00CD75FB"/>
    <w:rsid w:val="00CE07D1"/>
    <w:rsid w:val="00CE0E68"/>
    <w:rsid w:val="00CE1022"/>
    <w:rsid w:val="00CE1453"/>
    <w:rsid w:val="00CE22F2"/>
    <w:rsid w:val="00CE284B"/>
    <w:rsid w:val="00CE2C06"/>
    <w:rsid w:val="00CE4491"/>
    <w:rsid w:val="00CE4B31"/>
    <w:rsid w:val="00CE4D00"/>
    <w:rsid w:val="00CE4E0D"/>
    <w:rsid w:val="00CE4E66"/>
    <w:rsid w:val="00CE5614"/>
    <w:rsid w:val="00CE59AE"/>
    <w:rsid w:val="00CE5DBC"/>
    <w:rsid w:val="00CE62A9"/>
    <w:rsid w:val="00CE72C4"/>
    <w:rsid w:val="00CE7A79"/>
    <w:rsid w:val="00CF1342"/>
    <w:rsid w:val="00CF168B"/>
    <w:rsid w:val="00CF1E64"/>
    <w:rsid w:val="00CF3A42"/>
    <w:rsid w:val="00CF4741"/>
    <w:rsid w:val="00CF522D"/>
    <w:rsid w:val="00CF65A1"/>
    <w:rsid w:val="00CF7668"/>
    <w:rsid w:val="00CF7CBD"/>
    <w:rsid w:val="00D000CB"/>
    <w:rsid w:val="00D014E4"/>
    <w:rsid w:val="00D01596"/>
    <w:rsid w:val="00D0377A"/>
    <w:rsid w:val="00D03E5F"/>
    <w:rsid w:val="00D04243"/>
    <w:rsid w:val="00D045EB"/>
    <w:rsid w:val="00D049FB"/>
    <w:rsid w:val="00D05157"/>
    <w:rsid w:val="00D059C5"/>
    <w:rsid w:val="00D05F24"/>
    <w:rsid w:val="00D063EB"/>
    <w:rsid w:val="00D07A3B"/>
    <w:rsid w:val="00D07CF7"/>
    <w:rsid w:val="00D07D5F"/>
    <w:rsid w:val="00D1056D"/>
    <w:rsid w:val="00D110C5"/>
    <w:rsid w:val="00D11ABF"/>
    <w:rsid w:val="00D11D80"/>
    <w:rsid w:val="00D134D3"/>
    <w:rsid w:val="00D14986"/>
    <w:rsid w:val="00D1535D"/>
    <w:rsid w:val="00D15E14"/>
    <w:rsid w:val="00D160BB"/>
    <w:rsid w:val="00D168B6"/>
    <w:rsid w:val="00D169E5"/>
    <w:rsid w:val="00D2036F"/>
    <w:rsid w:val="00D21E79"/>
    <w:rsid w:val="00D237B1"/>
    <w:rsid w:val="00D2599A"/>
    <w:rsid w:val="00D266B5"/>
    <w:rsid w:val="00D26C6F"/>
    <w:rsid w:val="00D26F50"/>
    <w:rsid w:val="00D274D9"/>
    <w:rsid w:val="00D27978"/>
    <w:rsid w:val="00D31932"/>
    <w:rsid w:val="00D31B6B"/>
    <w:rsid w:val="00D327B2"/>
    <w:rsid w:val="00D328FA"/>
    <w:rsid w:val="00D355A5"/>
    <w:rsid w:val="00D36EA6"/>
    <w:rsid w:val="00D3792D"/>
    <w:rsid w:val="00D37F0C"/>
    <w:rsid w:val="00D40B6B"/>
    <w:rsid w:val="00D42FB0"/>
    <w:rsid w:val="00D43403"/>
    <w:rsid w:val="00D4365D"/>
    <w:rsid w:val="00D474F9"/>
    <w:rsid w:val="00D4773F"/>
    <w:rsid w:val="00D47A26"/>
    <w:rsid w:val="00D47E23"/>
    <w:rsid w:val="00D505B9"/>
    <w:rsid w:val="00D51BF3"/>
    <w:rsid w:val="00D51E7F"/>
    <w:rsid w:val="00D530FE"/>
    <w:rsid w:val="00D53AF2"/>
    <w:rsid w:val="00D54593"/>
    <w:rsid w:val="00D56A62"/>
    <w:rsid w:val="00D56BBF"/>
    <w:rsid w:val="00D5751F"/>
    <w:rsid w:val="00D575A9"/>
    <w:rsid w:val="00D57793"/>
    <w:rsid w:val="00D5799B"/>
    <w:rsid w:val="00D6052F"/>
    <w:rsid w:val="00D62CC5"/>
    <w:rsid w:val="00D63537"/>
    <w:rsid w:val="00D64073"/>
    <w:rsid w:val="00D641B6"/>
    <w:rsid w:val="00D6526B"/>
    <w:rsid w:val="00D65CC9"/>
    <w:rsid w:val="00D65EFF"/>
    <w:rsid w:val="00D66FEC"/>
    <w:rsid w:val="00D705EC"/>
    <w:rsid w:val="00D70F17"/>
    <w:rsid w:val="00D71E2C"/>
    <w:rsid w:val="00D71EE3"/>
    <w:rsid w:val="00D7333E"/>
    <w:rsid w:val="00D73FC2"/>
    <w:rsid w:val="00D74397"/>
    <w:rsid w:val="00D74415"/>
    <w:rsid w:val="00D744EE"/>
    <w:rsid w:val="00D74580"/>
    <w:rsid w:val="00D765A7"/>
    <w:rsid w:val="00D7711C"/>
    <w:rsid w:val="00D77149"/>
    <w:rsid w:val="00D800A9"/>
    <w:rsid w:val="00D80E78"/>
    <w:rsid w:val="00D8120A"/>
    <w:rsid w:val="00D81B43"/>
    <w:rsid w:val="00D81DC6"/>
    <w:rsid w:val="00D8261A"/>
    <w:rsid w:val="00D82D2D"/>
    <w:rsid w:val="00D83327"/>
    <w:rsid w:val="00D8332E"/>
    <w:rsid w:val="00D83D36"/>
    <w:rsid w:val="00D84272"/>
    <w:rsid w:val="00D85BC0"/>
    <w:rsid w:val="00D861C5"/>
    <w:rsid w:val="00D8622A"/>
    <w:rsid w:val="00D86941"/>
    <w:rsid w:val="00D8706D"/>
    <w:rsid w:val="00D871F1"/>
    <w:rsid w:val="00D874EC"/>
    <w:rsid w:val="00D87B34"/>
    <w:rsid w:val="00D87B61"/>
    <w:rsid w:val="00D937FC"/>
    <w:rsid w:val="00D93A69"/>
    <w:rsid w:val="00D95278"/>
    <w:rsid w:val="00D97389"/>
    <w:rsid w:val="00DA0337"/>
    <w:rsid w:val="00DA07F9"/>
    <w:rsid w:val="00DA393D"/>
    <w:rsid w:val="00DA4E59"/>
    <w:rsid w:val="00DA5BBC"/>
    <w:rsid w:val="00DA5C11"/>
    <w:rsid w:val="00DA5E04"/>
    <w:rsid w:val="00DA6737"/>
    <w:rsid w:val="00DA796D"/>
    <w:rsid w:val="00DA7BF2"/>
    <w:rsid w:val="00DB280E"/>
    <w:rsid w:val="00DB2DF5"/>
    <w:rsid w:val="00DB3145"/>
    <w:rsid w:val="00DB403D"/>
    <w:rsid w:val="00DB5E33"/>
    <w:rsid w:val="00DC0FA6"/>
    <w:rsid w:val="00DC130C"/>
    <w:rsid w:val="00DC1E95"/>
    <w:rsid w:val="00DC2292"/>
    <w:rsid w:val="00DC459C"/>
    <w:rsid w:val="00DC4992"/>
    <w:rsid w:val="00DC4BB8"/>
    <w:rsid w:val="00DC508E"/>
    <w:rsid w:val="00DC5487"/>
    <w:rsid w:val="00DC5DC9"/>
    <w:rsid w:val="00DC6B2C"/>
    <w:rsid w:val="00DC714C"/>
    <w:rsid w:val="00DC7BE3"/>
    <w:rsid w:val="00DC7F60"/>
    <w:rsid w:val="00DC7F96"/>
    <w:rsid w:val="00DD0342"/>
    <w:rsid w:val="00DD112E"/>
    <w:rsid w:val="00DD119F"/>
    <w:rsid w:val="00DD2F7B"/>
    <w:rsid w:val="00DD4A2C"/>
    <w:rsid w:val="00DD4C42"/>
    <w:rsid w:val="00DD6A4B"/>
    <w:rsid w:val="00DD6A85"/>
    <w:rsid w:val="00DD6E24"/>
    <w:rsid w:val="00DE04FA"/>
    <w:rsid w:val="00DE0C23"/>
    <w:rsid w:val="00DE14A2"/>
    <w:rsid w:val="00DE23C8"/>
    <w:rsid w:val="00DE25AF"/>
    <w:rsid w:val="00DE29BA"/>
    <w:rsid w:val="00DE2E79"/>
    <w:rsid w:val="00DE31BD"/>
    <w:rsid w:val="00DE34B7"/>
    <w:rsid w:val="00DE38F1"/>
    <w:rsid w:val="00DE3939"/>
    <w:rsid w:val="00DE418C"/>
    <w:rsid w:val="00DE5060"/>
    <w:rsid w:val="00DE52B0"/>
    <w:rsid w:val="00DE588D"/>
    <w:rsid w:val="00DE74B8"/>
    <w:rsid w:val="00DE7BE0"/>
    <w:rsid w:val="00DF1623"/>
    <w:rsid w:val="00DF16CC"/>
    <w:rsid w:val="00DF26CA"/>
    <w:rsid w:val="00DF2D3E"/>
    <w:rsid w:val="00DF2D9E"/>
    <w:rsid w:val="00DF36FD"/>
    <w:rsid w:val="00DF3A8E"/>
    <w:rsid w:val="00DF3BB9"/>
    <w:rsid w:val="00DF3F89"/>
    <w:rsid w:val="00DF4216"/>
    <w:rsid w:val="00DF46C4"/>
    <w:rsid w:val="00DF4E88"/>
    <w:rsid w:val="00DF6A92"/>
    <w:rsid w:val="00E026D8"/>
    <w:rsid w:val="00E027FF"/>
    <w:rsid w:val="00E038C5"/>
    <w:rsid w:val="00E03E3B"/>
    <w:rsid w:val="00E04589"/>
    <w:rsid w:val="00E06B38"/>
    <w:rsid w:val="00E07340"/>
    <w:rsid w:val="00E0747D"/>
    <w:rsid w:val="00E07F39"/>
    <w:rsid w:val="00E128D8"/>
    <w:rsid w:val="00E12C42"/>
    <w:rsid w:val="00E12F17"/>
    <w:rsid w:val="00E132D9"/>
    <w:rsid w:val="00E15051"/>
    <w:rsid w:val="00E155A9"/>
    <w:rsid w:val="00E15E54"/>
    <w:rsid w:val="00E165B5"/>
    <w:rsid w:val="00E1688A"/>
    <w:rsid w:val="00E170B3"/>
    <w:rsid w:val="00E1728C"/>
    <w:rsid w:val="00E17A0A"/>
    <w:rsid w:val="00E17ED6"/>
    <w:rsid w:val="00E2096D"/>
    <w:rsid w:val="00E20AD0"/>
    <w:rsid w:val="00E20EEF"/>
    <w:rsid w:val="00E219DF"/>
    <w:rsid w:val="00E227DA"/>
    <w:rsid w:val="00E232AF"/>
    <w:rsid w:val="00E232B1"/>
    <w:rsid w:val="00E232BB"/>
    <w:rsid w:val="00E2333B"/>
    <w:rsid w:val="00E24145"/>
    <w:rsid w:val="00E24353"/>
    <w:rsid w:val="00E25107"/>
    <w:rsid w:val="00E251ED"/>
    <w:rsid w:val="00E25B33"/>
    <w:rsid w:val="00E26053"/>
    <w:rsid w:val="00E26758"/>
    <w:rsid w:val="00E300E3"/>
    <w:rsid w:val="00E30D9B"/>
    <w:rsid w:val="00E3128A"/>
    <w:rsid w:val="00E324C1"/>
    <w:rsid w:val="00E32AD7"/>
    <w:rsid w:val="00E32F4A"/>
    <w:rsid w:val="00E3560E"/>
    <w:rsid w:val="00E37140"/>
    <w:rsid w:val="00E37193"/>
    <w:rsid w:val="00E37CBC"/>
    <w:rsid w:val="00E37CC1"/>
    <w:rsid w:val="00E409C1"/>
    <w:rsid w:val="00E40F5E"/>
    <w:rsid w:val="00E415E8"/>
    <w:rsid w:val="00E416FC"/>
    <w:rsid w:val="00E42214"/>
    <w:rsid w:val="00E422FF"/>
    <w:rsid w:val="00E426C0"/>
    <w:rsid w:val="00E42848"/>
    <w:rsid w:val="00E42CF8"/>
    <w:rsid w:val="00E432AF"/>
    <w:rsid w:val="00E44494"/>
    <w:rsid w:val="00E44920"/>
    <w:rsid w:val="00E45B37"/>
    <w:rsid w:val="00E45E54"/>
    <w:rsid w:val="00E4669C"/>
    <w:rsid w:val="00E46FDA"/>
    <w:rsid w:val="00E47078"/>
    <w:rsid w:val="00E47A1E"/>
    <w:rsid w:val="00E50262"/>
    <w:rsid w:val="00E5029D"/>
    <w:rsid w:val="00E50712"/>
    <w:rsid w:val="00E51F1C"/>
    <w:rsid w:val="00E525AB"/>
    <w:rsid w:val="00E52FA6"/>
    <w:rsid w:val="00E553A5"/>
    <w:rsid w:val="00E55EE5"/>
    <w:rsid w:val="00E57EEC"/>
    <w:rsid w:val="00E601E9"/>
    <w:rsid w:val="00E60AF7"/>
    <w:rsid w:val="00E60B59"/>
    <w:rsid w:val="00E615DE"/>
    <w:rsid w:val="00E61C68"/>
    <w:rsid w:val="00E61D87"/>
    <w:rsid w:val="00E62D84"/>
    <w:rsid w:val="00E63C7B"/>
    <w:rsid w:val="00E64099"/>
    <w:rsid w:val="00E64120"/>
    <w:rsid w:val="00E65C68"/>
    <w:rsid w:val="00E67C67"/>
    <w:rsid w:val="00E700D9"/>
    <w:rsid w:val="00E70C63"/>
    <w:rsid w:val="00E72235"/>
    <w:rsid w:val="00E72680"/>
    <w:rsid w:val="00E72B34"/>
    <w:rsid w:val="00E736CD"/>
    <w:rsid w:val="00E7391A"/>
    <w:rsid w:val="00E745B7"/>
    <w:rsid w:val="00E750EC"/>
    <w:rsid w:val="00E754D9"/>
    <w:rsid w:val="00E75A44"/>
    <w:rsid w:val="00E76018"/>
    <w:rsid w:val="00E768C2"/>
    <w:rsid w:val="00E778B1"/>
    <w:rsid w:val="00E77F61"/>
    <w:rsid w:val="00E82938"/>
    <w:rsid w:val="00E844D0"/>
    <w:rsid w:val="00E84DA3"/>
    <w:rsid w:val="00E8524B"/>
    <w:rsid w:val="00E85EF5"/>
    <w:rsid w:val="00E85F04"/>
    <w:rsid w:val="00E86C0D"/>
    <w:rsid w:val="00E871B1"/>
    <w:rsid w:val="00E876DE"/>
    <w:rsid w:val="00E877F8"/>
    <w:rsid w:val="00E87967"/>
    <w:rsid w:val="00E90059"/>
    <w:rsid w:val="00E9147D"/>
    <w:rsid w:val="00E918DD"/>
    <w:rsid w:val="00E9258F"/>
    <w:rsid w:val="00E9398C"/>
    <w:rsid w:val="00E93BA0"/>
    <w:rsid w:val="00E9479E"/>
    <w:rsid w:val="00E94A47"/>
    <w:rsid w:val="00E95CD4"/>
    <w:rsid w:val="00E96B47"/>
    <w:rsid w:val="00E9791F"/>
    <w:rsid w:val="00E97B6F"/>
    <w:rsid w:val="00E97DDD"/>
    <w:rsid w:val="00EA0A9F"/>
    <w:rsid w:val="00EA1022"/>
    <w:rsid w:val="00EA104A"/>
    <w:rsid w:val="00EA1AA2"/>
    <w:rsid w:val="00EA1B94"/>
    <w:rsid w:val="00EA25B4"/>
    <w:rsid w:val="00EA2BE7"/>
    <w:rsid w:val="00EA2D6F"/>
    <w:rsid w:val="00EA3D4E"/>
    <w:rsid w:val="00EA5FC2"/>
    <w:rsid w:val="00EA7863"/>
    <w:rsid w:val="00EA7928"/>
    <w:rsid w:val="00EA7C92"/>
    <w:rsid w:val="00EB01FC"/>
    <w:rsid w:val="00EB2648"/>
    <w:rsid w:val="00EB2703"/>
    <w:rsid w:val="00EB379E"/>
    <w:rsid w:val="00EB3AD2"/>
    <w:rsid w:val="00EB5045"/>
    <w:rsid w:val="00EB5466"/>
    <w:rsid w:val="00EB5FB8"/>
    <w:rsid w:val="00EB624D"/>
    <w:rsid w:val="00EB6655"/>
    <w:rsid w:val="00EB71F8"/>
    <w:rsid w:val="00EC2575"/>
    <w:rsid w:val="00EC26DA"/>
    <w:rsid w:val="00EC276B"/>
    <w:rsid w:val="00EC2805"/>
    <w:rsid w:val="00EC2B54"/>
    <w:rsid w:val="00EC2F3C"/>
    <w:rsid w:val="00EC38DD"/>
    <w:rsid w:val="00EC44FB"/>
    <w:rsid w:val="00EC5495"/>
    <w:rsid w:val="00EC5882"/>
    <w:rsid w:val="00EC5AAE"/>
    <w:rsid w:val="00EC5D6D"/>
    <w:rsid w:val="00EC72E6"/>
    <w:rsid w:val="00EC78C3"/>
    <w:rsid w:val="00EC7EB9"/>
    <w:rsid w:val="00ED0B2F"/>
    <w:rsid w:val="00ED0D10"/>
    <w:rsid w:val="00ED1A48"/>
    <w:rsid w:val="00ED1AC3"/>
    <w:rsid w:val="00ED323D"/>
    <w:rsid w:val="00ED4784"/>
    <w:rsid w:val="00ED4D4E"/>
    <w:rsid w:val="00ED4E0B"/>
    <w:rsid w:val="00ED61B9"/>
    <w:rsid w:val="00ED6303"/>
    <w:rsid w:val="00ED69D0"/>
    <w:rsid w:val="00ED7217"/>
    <w:rsid w:val="00EE1D4E"/>
    <w:rsid w:val="00EE22D9"/>
    <w:rsid w:val="00EE2A1B"/>
    <w:rsid w:val="00EE2F90"/>
    <w:rsid w:val="00EE3070"/>
    <w:rsid w:val="00EE3563"/>
    <w:rsid w:val="00EE3CA8"/>
    <w:rsid w:val="00EE6F77"/>
    <w:rsid w:val="00EE704A"/>
    <w:rsid w:val="00EF1063"/>
    <w:rsid w:val="00EF2424"/>
    <w:rsid w:val="00EF37C6"/>
    <w:rsid w:val="00EF4A69"/>
    <w:rsid w:val="00EF56F5"/>
    <w:rsid w:val="00EF59A1"/>
    <w:rsid w:val="00EF5A5C"/>
    <w:rsid w:val="00EF616C"/>
    <w:rsid w:val="00EF7738"/>
    <w:rsid w:val="00EF78A5"/>
    <w:rsid w:val="00EF7FE0"/>
    <w:rsid w:val="00F00159"/>
    <w:rsid w:val="00F03092"/>
    <w:rsid w:val="00F04924"/>
    <w:rsid w:val="00F06CE3"/>
    <w:rsid w:val="00F110B3"/>
    <w:rsid w:val="00F11BEC"/>
    <w:rsid w:val="00F126D9"/>
    <w:rsid w:val="00F12760"/>
    <w:rsid w:val="00F12EA2"/>
    <w:rsid w:val="00F145D2"/>
    <w:rsid w:val="00F1477A"/>
    <w:rsid w:val="00F165D1"/>
    <w:rsid w:val="00F16E3D"/>
    <w:rsid w:val="00F16ECB"/>
    <w:rsid w:val="00F175FB"/>
    <w:rsid w:val="00F17F69"/>
    <w:rsid w:val="00F209DE"/>
    <w:rsid w:val="00F2144F"/>
    <w:rsid w:val="00F22529"/>
    <w:rsid w:val="00F227B3"/>
    <w:rsid w:val="00F22B98"/>
    <w:rsid w:val="00F231DB"/>
    <w:rsid w:val="00F23C3D"/>
    <w:rsid w:val="00F23ECB"/>
    <w:rsid w:val="00F249F7"/>
    <w:rsid w:val="00F24F0D"/>
    <w:rsid w:val="00F2524B"/>
    <w:rsid w:val="00F26056"/>
    <w:rsid w:val="00F2657C"/>
    <w:rsid w:val="00F26807"/>
    <w:rsid w:val="00F26C10"/>
    <w:rsid w:val="00F26F67"/>
    <w:rsid w:val="00F304A5"/>
    <w:rsid w:val="00F30888"/>
    <w:rsid w:val="00F30ABD"/>
    <w:rsid w:val="00F30D6A"/>
    <w:rsid w:val="00F31FF4"/>
    <w:rsid w:val="00F322C3"/>
    <w:rsid w:val="00F32BD9"/>
    <w:rsid w:val="00F334B7"/>
    <w:rsid w:val="00F33FCE"/>
    <w:rsid w:val="00F341F6"/>
    <w:rsid w:val="00F34483"/>
    <w:rsid w:val="00F347A4"/>
    <w:rsid w:val="00F3485F"/>
    <w:rsid w:val="00F35627"/>
    <w:rsid w:val="00F359B3"/>
    <w:rsid w:val="00F37139"/>
    <w:rsid w:val="00F37832"/>
    <w:rsid w:val="00F401D5"/>
    <w:rsid w:val="00F40CD8"/>
    <w:rsid w:val="00F417F4"/>
    <w:rsid w:val="00F41AB2"/>
    <w:rsid w:val="00F41ADB"/>
    <w:rsid w:val="00F42A00"/>
    <w:rsid w:val="00F42F6A"/>
    <w:rsid w:val="00F42FEE"/>
    <w:rsid w:val="00F438FE"/>
    <w:rsid w:val="00F43DE6"/>
    <w:rsid w:val="00F43E18"/>
    <w:rsid w:val="00F45065"/>
    <w:rsid w:val="00F460FA"/>
    <w:rsid w:val="00F5086A"/>
    <w:rsid w:val="00F51121"/>
    <w:rsid w:val="00F51405"/>
    <w:rsid w:val="00F52FB1"/>
    <w:rsid w:val="00F5342F"/>
    <w:rsid w:val="00F536BE"/>
    <w:rsid w:val="00F53CEE"/>
    <w:rsid w:val="00F5447B"/>
    <w:rsid w:val="00F54549"/>
    <w:rsid w:val="00F5626C"/>
    <w:rsid w:val="00F5628B"/>
    <w:rsid w:val="00F56D5F"/>
    <w:rsid w:val="00F6025D"/>
    <w:rsid w:val="00F6068B"/>
    <w:rsid w:val="00F60965"/>
    <w:rsid w:val="00F61588"/>
    <w:rsid w:val="00F61591"/>
    <w:rsid w:val="00F61657"/>
    <w:rsid w:val="00F619E2"/>
    <w:rsid w:val="00F61AEB"/>
    <w:rsid w:val="00F630C5"/>
    <w:rsid w:val="00F63723"/>
    <w:rsid w:val="00F637C3"/>
    <w:rsid w:val="00F6386A"/>
    <w:rsid w:val="00F638BF"/>
    <w:rsid w:val="00F64150"/>
    <w:rsid w:val="00F6487B"/>
    <w:rsid w:val="00F648DD"/>
    <w:rsid w:val="00F6710C"/>
    <w:rsid w:val="00F678B6"/>
    <w:rsid w:val="00F67F82"/>
    <w:rsid w:val="00F7058B"/>
    <w:rsid w:val="00F71753"/>
    <w:rsid w:val="00F7303D"/>
    <w:rsid w:val="00F73773"/>
    <w:rsid w:val="00F751E0"/>
    <w:rsid w:val="00F753F8"/>
    <w:rsid w:val="00F75546"/>
    <w:rsid w:val="00F76364"/>
    <w:rsid w:val="00F7755E"/>
    <w:rsid w:val="00F777A3"/>
    <w:rsid w:val="00F77DB4"/>
    <w:rsid w:val="00F83821"/>
    <w:rsid w:val="00F83854"/>
    <w:rsid w:val="00F838F8"/>
    <w:rsid w:val="00F83D8B"/>
    <w:rsid w:val="00F85057"/>
    <w:rsid w:val="00F85147"/>
    <w:rsid w:val="00F90EA1"/>
    <w:rsid w:val="00F91893"/>
    <w:rsid w:val="00F91DF3"/>
    <w:rsid w:val="00F91E13"/>
    <w:rsid w:val="00F9213E"/>
    <w:rsid w:val="00F92E88"/>
    <w:rsid w:val="00F9345B"/>
    <w:rsid w:val="00F93D47"/>
    <w:rsid w:val="00F94293"/>
    <w:rsid w:val="00F971B5"/>
    <w:rsid w:val="00F9779A"/>
    <w:rsid w:val="00FA0B99"/>
    <w:rsid w:val="00FA1377"/>
    <w:rsid w:val="00FA1975"/>
    <w:rsid w:val="00FA1CB9"/>
    <w:rsid w:val="00FA24DF"/>
    <w:rsid w:val="00FA250B"/>
    <w:rsid w:val="00FA2B97"/>
    <w:rsid w:val="00FA2D3A"/>
    <w:rsid w:val="00FA3786"/>
    <w:rsid w:val="00FA3DB2"/>
    <w:rsid w:val="00FA3E39"/>
    <w:rsid w:val="00FA42FC"/>
    <w:rsid w:val="00FA4670"/>
    <w:rsid w:val="00FA4840"/>
    <w:rsid w:val="00FA48FD"/>
    <w:rsid w:val="00FA57C3"/>
    <w:rsid w:val="00FA6357"/>
    <w:rsid w:val="00FA67F0"/>
    <w:rsid w:val="00FA67F4"/>
    <w:rsid w:val="00FA68E4"/>
    <w:rsid w:val="00FA7EC2"/>
    <w:rsid w:val="00FB05A0"/>
    <w:rsid w:val="00FB11A7"/>
    <w:rsid w:val="00FB21EE"/>
    <w:rsid w:val="00FB34AE"/>
    <w:rsid w:val="00FB3604"/>
    <w:rsid w:val="00FB3EE7"/>
    <w:rsid w:val="00FB40AE"/>
    <w:rsid w:val="00FB467E"/>
    <w:rsid w:val="00FB59AE"/>
    <w:rsid w:val="00FB64A3"/>
    <w:rsid w:val="00FB69AB"/>
    <w:rsid w:val="00FB70FC"/>
    <w:rsid w:val="00FB7BAA"/>
    <w:rsid w:val="00FC0267"/>
    <w:rsid w:val="00FC04C9"/>
    <w:rsid w:val="00FC1406"/>
    <w:rsid w:val="00FC17F7"/>
    <w:rsid w:val="00FC1E45"/>
    <w:rsid w:val="00FC2329"/>
    <w:rsid w:val="00FC3592"/>
    <w:rsid w:val="00FC39DF"/>
    <w:rsid w:val="00FC3D55"/>
    <w:rsid w:val="00FC44A0"/>
    <w:rsid w:val="00FC44E2"/>
    <w:rsid w:val="00FC48A6"/>
    <w:rsid w:val="00FC49BA"/>
    <w:rsid w:val="00FC4B99"/>
    <w:rsid w:val="00FC5119"/>
    <w:rsid w:val="00FC53C1"/>
    <w:rsid w:val="00FC54D0"/>
    <w:rsid w:val="00FC6ADB"/>
    <w:rsid w:val="00FC75AC"/>
    <w:rsid w:val="00FC77CF"/>
    <w:rsid w:val="00FC77D1"/>
    <w:rsid w:val="00FD1000"/>
    <w:rsid w:val="00FD15F8"/>
    <w:rsid w:val="00FD1637"/>
    <w:rsid w:val="00FD195E"/>
    <w:rsid w:val="00FD3082"/>
    <w:rsid w:val="00FD30FB"/>
    <w:rsid w:val="00FD326D"/>
    <w:rsid w:val="00FD5BC3"/>
    <w:rsid w:val="00FD5BF3"/>
    <w:rsid w:val="00FD609A"/>
    <w:rsid w:val="00FD657C"/>
    <w:rsid w:val="00FD7609"/>
    <w:rsid w:val="00FE0180"/>
    <w:rsid w:val="00FE088C"/>
    <w:rsid w:val="00FE08C4"/>
    <w:rsid w:val="00FE2A0B"/>
    <w:rsid w:val="00FE3A56"/>
    <w:rsid w:val="00FE5321"/>
    <w:rsid w:val="00FE5B59"/>
    <w:rsid w:val="00FE60E9"/>
    <w:rsid w:val="00FE6404"/>
    <w:rsid w:val="00FE6651"/>
    <w:rsid w:val="00FE6F32"/>
    <w:rsid w:val="00FE7163"/>
    <w:rsid w:val="00FE71EF"/>
    <w:rsid w:val="00FE77C6"/>
    <w:rsid w:val="00FF0018"/>
    <w:rsid w:val="00FF03CA"/>
    <w:rsid w:val="00FF0DE2"/>
    <w:rsid w:val="00FF2899"/>
    <w:rsid w:val="00FF4A69"/>
    <w:rsid w:val="00FF5283"/>
    <w:rsid w:val="00FF669C"/>
    <w:rsid w:val="00FF67C8"/>
    <w:rsid w:val="00FF6892"/>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FE794A8"/>
  <w15:docId w15:val="{22596323-5AEF-4F2A-9424-ECD9E97DE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6C21"/>
    <w:pPr>
      <w:spacing w:before="180" w:after="60" w:line="312" w:lineRule="auto"/>
    </w:pPr>
    <w:rPr>
      <w:rFonts w:asciiTheme="minorHAnsi" w:hAnsiTheme="minorHAnsi"/>
      <w:sz w:val="22"/>
      <w:szCs w:val="24"/>
    </w:rPr>
  </w:style>
  <w:style w:type="paragraph" w:styleId="Heading1">
    <w:name w:val="heading 1"/>
    <w:basedOn w:val="Normal"/>
    <w:next w:val="Normal"/>
    <w:qFormat/>
    <w:rsid w:val="00BE2DB9"/>
    <w:pPr>
      <w:keepNext/>
      <w:numPr>
        <w:numId w:val="4"/>
      </w:numPr>
      <w:spacing w:before="120" w:after="0"/>
      <w:ind w:left="567" w:hanging="567"/>
      <w:outlineLvl w:val="0"/>
    </w:pPr>
    <w:rPr>
      <w:rFonts w:eastAsiaTheme="minorHAnsi" w:cs="Arial"/>
      <w:b/>
      <w:bCs/>
      <w:color w:val="01653F"/>
      <w:kern w:val="32"/>
      <w:sz w:val="32"/>
      <w:szCs w:val="28"/>
      <w:lang w:val="en-US" w:eastAsia="en-US"/>
    </w:rPr>
  </w:style>
  <w:style w:type="paragraph" w:styleId="Heading2">
    <w:name w:val="heading 2"/>
    <w:basedOn w:val="Normal"/>
    <w:next w:val="Normal"/>
    <w:qFormat/>
    <w:rsid w:val="003F555F"/>
    <w:pPr>
      <w:keepNext/>
      <w:numPr>
        <w:ilvl w:val="1"/>
        <w:numId w:val="4"/>
      </w:numPr>
      <w:spacing w:before="120"/>
      <w:outlineLvl w:val="1"/>
    </w:pPr>
    <w:rPr>
      <w:rFonts w:eastAsiaTheme="minorHAnsi" w:cs="Arial"/>
      <w:b/>
      <w:bCs/>
      <w:iCs/>
      <w:color w:val="01653F"/>
      <w:sz w:val="26"/>
      <w:szCs w:val="22"/>
      <w:lang w:val="en-US" w:eastAsia="en-US"/>
    </w:rPr>
  </w:style>
  <w:style w:type="paragraph" w:styleId="Heading3">
    <w:name w:val="heading 3"/>
    <w:basedOn w:val="Normal"/>
    <w:next w:val="Normal"/>
    <w:qFormat/>
    <w:rsid w:val="00D744EE"/>
    <w:pPr>
      <w:keepNext/>
      <w:spacing w:before="240" w:line="240" w:lineRule="auto"/>
      <w:outlineLvl w:val="2"/>
    </w:pPr>
    <w:rPr>
      <w:rFonts w:eastAsiaTheme="minorHAnsi" w:cs="Arial"/>
      <w:b/>
      <w:bCs/>
      <w:i/>
      <w:color w:val="B56012"/>
      <w:sz w:val="24"/>
      <w:szCs w:val="26"/>
      <w:lang w:val="en-US" w:eastAsia="en-US"/>
    </w:rPr>
  </w:style>
  <w:style w:type="paragraph" w:styleId="Heading4">
    <w:name w:val="heading 4"/>
    <w:basedOn w:val="Heading3"/>
    <w:next w:val="Normal"/>
    <w:uiPriority w:val="9"/>
    <w:qFormat/>
    <w:rsid w:val="00F637C3"/>
    <w:pPr>
      <w:outlineLvl w:val="3"/>
    </w:pPr>
    <w:rPr>
      <w:b w:val="0"/>
      <w:sz w:val="22"/>
    </w:rPr>
  </w:style>
  <w:style w:type="paragraph" w:styleId="Heading5">
    <w:name w:val="heading 5"/>
    <w:basedOn w:val="Normal"/>
    <w:next w:val="Normal"/>
    <w:uiPriority w:val="9"/>
    <w:qFormat/>
    <w:rsid w:val="00BE2DB9"/>
    <w:pPr>
      <w:numPr>
        <w:ilvl w:val="4"/>
        <w:numId w:val="4"/>
      </w:numPr>
      <w:spacing w:before="240"/>
      <w:outlineLvl w:val="4"/>
    </w:pPr>
    <w:rPr>
      <w:rFonts w:eastAsiaTheme="minorHAnsi" w:cs="Arial"/>
      <w:b/>
      <w:bCs/>
      <w:iCs/>
      <w:sz w:val="26"/>
      <w:szCs w:val="26"/>
      <w:lang w:val="en-US" w:eastAsia="en-US"/>
    </w:rPr>
  </w:style>
  <w:style w:type="paragraph" w:styleId="Heading6">
    <w:name w:val="heading 6"/>
    <w:basedOn w:val="Normal"/>
    <w:next w:val="Normal"/>
    <w:uiPriority w:val="9"/>
    <w:qFormat/>
    <w:rsid w:val="00BE2DB9"/>
    <w:pPr>
      <w:numPr>
        <w:ilvl w:val="5"/>
        <w:numId w:val="4"/>
      </w:numPr>
      <w:spacing w:before="240"/>
      <w:outlineLvl w:val="5"/>
    </w:pPr>
    <w:rPr>
      <w:rFonts w:eastAsiaTheme="minorHAnsi" w:cs="Arial"/>
      <w:b/>
      <w:bCs/>
      <w:i/>
      <w:szCs w:val="22"/>
      <w:lang w:val="en-US" w:eastAsia="en-US"/>
    </w:rPr>
  </w:style>
  <w:style w:type="paragraph" w:styleId="Heading7">
    <w:name w:val="heading 7"/>
    <w:basedOn w:val="Normal"/>
    <w:next w:val="Normal"/>
    <w:link w:val="Heading7Char"/>
    <w:uiPriority w:val="9"/>
    <w:unhideWhenUsed/>
    <w:qFormat/>
    <w:rsid w:val="00BE2DB9"/>
    <w:pPr>
      <w:keepNext/>
      <w:keepLines/>
      <w:numPr>
        <w:ilvl w:val="6"/>
        <w:numId w:val="4"/>
      </w:numPr>
      <w:spacing w:before="200"/>
      <w:outlineLvl w:val="6"/>
    </w:pPr>
    <w:rPr>
      <w:rFonts w:asciiTheme="majorHAnsi" w:eastAsiaTheme="majorEastAsia" w:hAnsiTheme="majorHAnsi" w:cstheme="majorBidi"/>
      <w:i/>
      <w:iCs/>
      <w:color w:val="404040" w:themeColor="text1" w:themeTint="BF"/>
      <w:szCs w:val="22"/>
      <w:lang w:val="en-US" w:eastAsia="en-US"/>
    </w:rPr>
  </w:style>
  <w:style w:type="paragraph" w:styleId="Heading8">
    <w:name w:val="heading 8"/>
    <w:basedOn w:val="Normal"/>
    <w:next w:val="Normal"/>
    <w:link w:val="Heading8Char"/>
    <w:uiPriority w:val="9"/>
    <w:unhideWhenUsed/>
    <w:qFormat/>
    <w:rsid w:val="00BE2DB9"/>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lang w:val="en-US" w:eastAsia="en-US"/>
    </w:rPr>
  </w:style>
  <w:style w:type="paragraph" w:styleId="Heading9">
    <w:name w:val="heading 9"/>
    <w:basedOn w:val="Normal"/>
    <w:next w:val="Normal"/>
    <w:link w:val="Heading9Char"/>
    <w:uiPriority w:val="9"/>
    <w:unhideWhenUsed/>
    <w:qFormat/>
    <w:rsid w:val="00BE2DB9"/>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F127F"/>
    <w:rPr>
      <w:i/>
      <w:iCs/>
    </w:rPr>
  </w:style>
  <w:style w:type="paragraph" w:styleId="TOC1">
    <w:name w:val="toc 1"/>
    <w:basedOn w:val="Normal"/>
    <w:next w:val="Normal"/>
    <w:autoRedefine/>
    <w:uiPriority w:val="39"/>
    <w:unhideWhenUsed/>
    <w:qFormat/>
    <w:rsid w:val="00CA489F"/>
    <w:pPr>
      <w:tabs>
        <w:tab w:val="left" w:pos="567"/>
        <w:tab w:val="right" w:leader="dot" w:pos="9000"/>
      </w:tabs>
      <w:spacing w:before="120" w:after="0"/>
    </w:pPr>
    <w:rPr>
      <w:b/>
      <w:szCs w:val="22"/>
    </w:rPr>
  </w:style>
  <w:style w:type="paragraph" w:styleId="Subtitle">
    <w:name w:val="Subtitle"/>
    <w:basedOn w:val="Normal"/>
    <w:next w:val="Normal"/>
    <w:link w:val="SubtitleChar"/>
    <w:rsid w:val="00AC60DB"/>
    <w:pPr>
      <w:pBdr>
        <w:top w:val="double" w:sz="12" w:space="31" w:color="B66113"/>
        <w:bottom w:val="double" w:sz="12" w:space="1" w:color="B66113"/>
      </w:pBdr>
      <w:spacing w:before="120" w:after="120"/>
      <w:jc w:val="center"/>
    </w:pPr>
    <w:rPr>
      <w:rFonts w:cs="Arial"/>
      <w:b/>
      <w:color w:val="01653F"/>
      <w:spacing w:val="5"/>
      <w:sz w:val="48"/>
      <w:szCs w:val="48"/>
    </w:rPr>
  </w:style>
  <w:style w:type="character" w:customStyle="1" w:styleId="SubtitleChar">
    <w:name w:val="Subtitle Char"/>
    <w:basedOn w:val="DefaultParagraphFont"/>
    <w:link w:val="Subtitle"/>
    <w:rsid w:val="00AC60DB"/>
    <w:rPr>
      <w:rFonts w:asciiTheme="minorHAnsi" w:hAnsiTheme="minorHAnsi" w:cs="Arial"/>
      <w:b/>
      <w:color w:val="01653F"/>
      <w:spacing w:val="5"/>
      <w:sz w:val="48"/>
      <w:szCs w:val="48"/>
    </w:rPr>
  </w:style>
  <w:style w:type="paragraph" w:styleId="Title">
    <w:name w:val="Title"/>
    <w:basedOn w:val="Normal"/>
    <w:next w:val="Normal"/>
    <w:link w:val="TitleChar"/>
    <w:rsid w:val="00AC60DB"/>
    <w:pPr>
      <w:pBdr>
        <w:top w:val="double" w:sz="12" w:space="31" w:color="B66113"/>
        <w:bottom w:val="double" w:sz="12" w:space="1" w:color="B66113"/>
      </w:pBdr>
      <w:spacing w:before="840" w:after="360"/>
      <w:contextualSpacing/>
      <w:jc w:val="center"/>
    </w:pPr>
    <w:rPr>
      <w:rFonts w:cs="Arial"/>
      <w:b/>
      <w:spacing w:val="5"/>
      <w:sz w:val="72"/>
      <w:szCs w:val="72"/>
    </w:rPr>
  </w:style>
  <w:style w:type="character" w:customStyle="1" w:styleId="TitleChar">
    <w:name w:val="Title Char"/>
    <w:basedOn w:val="DefaultParagraphFont"/>
    <w:link w:val="Title"/>
    <w:rsid w:val="00AC60DB"/>
    <w:rPr>
      <w:rFonts w:asciiTheme="minorHAnsi" w:hAnsiTheme="minorHAnsi" w:cs="Arial"/>
      <w:b/>
      <w:spacing w:val="5"/>
      <w:sz w:val="72"/>
      <w:szCs w:val="72"/>
    </w:rPr>
  </w:style>
  <w:style w:type="paragraph" w:styleId="NoSpacing">
    <w:name w:val="No Spacing"/>
    <w:uiPriority w:val="1"/>
    <w:qFormat/>
    <w:rsid w:val="00AF127F"/>
    <w:rPr>
      <w:sz w:val="24"/>
      <w:szCs w:val="24"/>
      <w:lang w:eastAsia="en-US"/>
    </w:rPr>
  </w:style>
  <w:style w:type="paragraph" w:styleId="TOC2">
    <w:name w:val="toc 2"/>
    <w:basedOn w:val="Normal"/>
    <w:next w:val="Normal"/>
    <w:autoRedefine/>
    <w:uiPriority w:val="39"/>
    <w:unhideWhenUsed/>
    <w:qFormat/>
    <w:rsid w:val="00226A36"/>
    <w:pPr>
      <w:tabs>
        <w:tab w:val="left" w:pos="880"/>
        <w:tab w:val="right" w:leader="dot" w:pos="9016"/>
      </w:tabs>
      <w:spacing w:before="0" w:after="0"/>
      <w:ind w:left="880" w:hanging="660"/>
    </w:pPr>
    <w:rPr>
      <w:smallCaps/>
      <w:szCs w:val="22"/>
    </w:rPr>
  </w:style>
  <w:style w:type="paragraph" w:styleId="Quote">
    <w:name w:val="Quote"/>
    <w:basedOn w:val="Normal"/>
    <w:next w:val="Normal"/>
    <w:link w:val="QuoteChar"/>
    <w:uiPriority w:val="29"/>
    <w:qFormat/>
    <w:rsid w:val="00AA7F29"/>
    <w:pPr>
      <w:ind w:left="567"/>
    </w:pPr>
    <w:rPr>
      <w:rFonts w:eastAsiaTheme="minorHAnsi" w:cs="Arial"/>
      <w:i/>
      <w:iCs/>
      <w:color w:val="000000" w:themeColor="text1"/>
      <w:szCs w:val="20"/>
      <w:lang w:val="en-US"/>
    </w:rPr>
  </w:style>
  <w:style w:type="character" w:customStyle="1" w:styleId="QuoteChar">
    <w:name w:val="Quote Char"/>
    <w:basedOn w:val="DefaultParagraphFont"/>
    <w:link w:val="Quote"/>
    <w:uiPriority w:val="29"/>
    <w:rsid w:val="00AA7F29"/>
    <w:rPr>
      <w:rFonts w:asciiTheme="minorHAnsi" w:eastAsiaTheme="minorHAnsi" w:hAnsiTheme="minorHAnsi" w:cs="Arial"/>
      <w:i/>
      <w:iCs/>
      <w:color w:val="000000" w:themeColor="text1"/>
      <w:sz w:val="22"/>
      <w:lang w:val="en-US"/>
    </w:rPr>
  </w:style>
  <w:style w:type="character" w:styleId="SubtleReference">
    <w:name w:val="Subtle Reference"/>
    <w:basedOn w:val="DefaultParagraphFont"/>
    <w:uiPriority w:val="31"/>
    <w:qFormat/>
    <w:rsid w:val="00AF127F"/>
    <w:rPr>
      <w:smallCaps/>
      <w:color w:val="C0504D" w:themeColor="accent2"/>
      <w:u w:val="single"/>
    </w:rPr>
  </w:style>
  <w:style w:type="character" w:styleId="BookTitle">
    <w:name w:val="Book Title"/>
    <w:basedOn w:val="DefaultParagraphFont"/>
    <w:uiPriority w:val="33"/>
    <w:qFormat/>
    <w:rsid w:val="00AF127F"/>
    <w:rPr>
      <w:b/>
      <w:bCs/>
      <w:smallCaps/>
      <w:spacing w:val="5"/>
    </w:rPr>
  </w:style>
  <w:style w:type="table" w:styleId="TableGrid">
    <w:name w:val="Table Grid"/>
    <w:basedOn w:val="TableNormal"/>
    <w:uiPriority w:val="59"/>
    <w:rsid w:val="00AF12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BE2DB9"/>
    <w:pPr>
      <w:keepLines/>
      <w:pBdr>
        <w:bottom w:val="single" w:sz="4" w:space="1" w:color="auto"/>
      </w:pBdr>
      <w:spacing w:before="480" w:line="276" w:lineRule="auto"/>
      <w:outlineLvl w:val="9"/>
    </w:pPr>
    <w:rPr>
      <w:rFonts w:asciiTheme="majorHAnsi" w:eastAsiaTheme="majorEastAsia" w:hAnsiTheme="majorHAnsi" w:cstheme="majorBidi"/>
      <w:color w:val="365F91" w:themeColor="accent1" w:themeShade="BF"/>
      <w:kern w:val="0"/>
      <w:sz w:val="24"/>
      <w:lang w:eastAsia="ja-JP"/>
    </w:rPr>
  </w:style>
  <w:style w:type="character" w:styleId="Hyperlink">
    <w:name w:val="Hyperlink"/>
    <w:basedOn w:val="DefaultParagraphFont"/>
    <w:uiPriority w:val="99"/>
    <w:unhideWhenUsed/>
    <w:rsid w:val="00AF127F"/>
    <w:rPr>
      <w:color w:val="0000FF" w:themeColor="hyperlink"/>
      <w:u w:val="single"/>
    </w:rPr>
  </w:style>
  <w:style w:type="paragraph" w:styleId="BalloonText">
    <w:name w:val="Balloon Text"/>
    <w:basedOn w:val="Normal"/>
    <w:link w:val="BalloonTextChar"/>
    <w:rsid w:val="00AF127F"/>
    <w:rPr>
      <w:rFonts w:ascii="Tahoma" w:eastAsiaTheme="minorHAnsi" w:hAnsi="Tahoma" w:cs="Tahoma"/>
      <w:sz w:val="16"/>
      <w:szCs w:val="16"/>
    </w:rPr>
  </w:style>
  <w:style w:type="character" w:customStyle="1" w:styleId="BalloonTextChar">
    <w:name w:val="Balloon Text Char"/>
    <w:basedOn w:val="DefaultParagraphFont"/>
    <w:link w:val="BalloonText"/>
    <w:rsid w:val="00AF127F"/>
    <w:rPr>
      <w:rFonts w:ascii="Tahoma" w:hAnsi="Tahoma" w:cs="Tahoma"/>
      <w:sz w:val="16"/>
      <w:szCs w:val="16"/>
    </w:rPr>
  </w:style>
  <w:style w:type="paragraph" w:styleId="Header">
    <w:name w:val="header"/>
    <w:basedOn w:val="Normal"/>
    <w:link w:val="HeaderChar"/>
    <w:uiPriority w:val="99"/>
    <w:rsid w:val="00AF127F"/>
    <w:pPr>
      <w:tabs>
        <w:tab w:val="center" w:pos="4513"/>
        <w:tab w:val="right" w:pos="9026"/>
      </w:tabs>
    </w:pPr>
    <w:rPr>
      <w:rFonts w:eastAsiaTheme="minorHAnsi" w:cs="Arial"/>
      <w:szCs w:val="20"/>
    </w:rPr>
  </w:style>
  <w:style w:type="character" w:customStyle="1" w:styleId="HeaderChar">
    <w:name w:val="Header Char"/>
    <w:basedOn w:val="DefaultParagraphFont"/>
    <w:link w:val="Header"/>
    <w:uiPriority w:val="99"/>
    <w:rsid w:val="00AF127F"/>
    <w:rPr>
      <w:rFonts w:ascii="Arial" w:hAnsi="Arial"/>
      <w:sz w:val="24"/>
    </w:rPr>
  </w:style>
  <w:style w:type="paragraph" w:styleId="Footer">
    <w:name w:val="footer"/>
    <w:basedOn w:val="Normal"/>
    <w:link w:val="FooterChar"/>
    <w:uiPriority w:val="99"/>
    <w:rsid w:val="00AF127F"/>
    <w:pPr>
      <w:tabs>
        <w:tab w:val="center" w:pos="4513"/>
        <w:tab w:val="right" w:pos="9026"/>
      </w:tabs>
    </w:pPr>
    <w:rPr>
      <w:rFonts w:eastAsiaTheme="minorHAnsi" w:cs="Arial"/>
      <w:szCs w:val="20"/>
    </w:rPr>
  </w:style>
  <w:style w:type="character" w:customStyle="1" w:styleId="FooterChar">
    <w:name w:val="Footer Char"/>
    <w:basedOn w:val="DefaultParagraphFont"/>
    <w:link w:val="Footer"/>
    <w:uiPriority w:val="99"/>
    <w:rsid w:val="00AF127F"/>
    <w:rPr>
      <w:rFonts w:ascii="Arial" w:hAnsi="Arial"/>
      <w:sz w:val="24"/>
    </w:rPr>
  </w:style>
  <w:style w:type="paragraph" w:styleId="Caption">
    <w:name w:val="caption"/>
    <w:basedOn w:val="Normal"/>
    <w:next w:val="Normal"/>
    <w:link w:val="CaptionChar"/>
    <w:uiPriority w:val="35"/>
    <w:unhideWhenUsed/>
    <w:qFormat/>
    <w:rsid w:val="00AC60DB"/>
    <w:pPr>
      <w:keepNext/>
      <w:spacing w:before="240" w:after="0"/>
      <w:ind w:left="1134" w:hanging="1134"/>
    </w:pPr>
    <w:rPr>
      <w:rFonts w:eastAsiaTheme="minorHAnsi" w:cs="Arial"/>
      <w:i/>
      <w:sz w:val="20"/>
      <w:szCs w:val="22"/>
      <w:lang w:eastAsia="en-US"/>
    </w:rPr>
  </w:style>
  <w:style w:type="paragraph" w:customStyle="1" w:styleId="Default">
    <w:name w:val="Default"/>
    <w:rsid w:val="00AF127F"/>
    <w:pPr>
      <w:autoSpaceDE w:val="0"/>
      <w:autoSpaceDN w:val="0"/>
      <w:adjustRightInd w:val="0"/>
    </w:pPr>
    <w:rPr>
      <w:rFonts w:ascii="Calibri" w:hAnsi="Calibri" w:cs="Calibri"/>
      <w:color w:val="000000"/>
      <w:sz w:val="24"/>
      <w:szCs w:val="24"/>
    </w:rPr>
  </w:style>
  <w:style w:type="paragraph" w:styleId="TOC3">
    <w:name w:val="toc 3"/>
    <w:basedOn w:val="Normal"/>
    <w:next w:val="Normal"/>
    <w:autoRedefine/>
    <w:uiPriority w:val="39"/>
    <w:qFormat/>
    <w:rsid w:val="007E569F"/>
    <w:pPr>
      <w:tabs>
        <w:tab w:val="left" w:pos="2521"/>
        <w:tab w:val="right" w:leader="dot" w:pos="9016"/>
      </w:tabs>
      <w:spacing w:before="0" w:after="0"/>
      <w:ind w:left="440"/>
    </w:pPr>
    <w:rPr>
      <w:i/>
      <w:szCs w:val="22"/>
    </w:rPr>
  </w:style>
  <w:style w:type="character" w:styleId="PageNumber">
    <w:name w:val="page number"/>
    <w:basedOn w:val="DefaultParagraphFont"/>
    <w:rsid w:val="006C0049"/>
  </w:style>
  <w:style w:type="paragraph" w:styleId="BodyText">
    <w:name w:val="Body Text"/>
    <w:basedOn w:val="Normal"/>
    <w:link w:val="BodyTextChar"/>
    <w:rsid w:val="006C0049"/>
    <w:pPr>
      <w:spacing w:after="120"/>
    </w:pPr>
    <w:rPr>
      <w:rFonts w:eastAsiaTheme="minorHAnsi" w:cs="Arial"/>
      <w:szCs w:val="20"/>
    </w:rPr>
  </w:style>
  <w:style w:type="character" w:customStyle="1" w:styleId="BodyTextChar">
    <w:name w:val="Body Text Char"/>
    <w:basedOn w:val="DefaultParagraphFont"/>
    <w:link w:val="BodyText"/>
    <w:rsid w:val="006C0049"/>
    <w:rPr>
      <w:rFonts w:ascii="Arial" w:hAnsi="Arial"/>
      <w:sz w:val="24"/>
    </w:rPr>
  </w:style>
  <w:style w:type="paragraph" w:customStyle="1" w:styleId="departmentalnormal">
    <w:name w:val="departmentalnormal"/>
    <w:basedOn w:val="Normal"/>
    <w:rsid w:val="006C0049"/>
    <w:pPr>
      <w:spacing w:before="100" w:beforeAutospacing="1" w:after="100" w:afterAutospacing="1"/>
    </w:pPr>
    <w:rPr>
      <w:rFonts w:eastAsiaTheme="minorHAnsi" w:cs="Arial"/>
      <w:szCs w:val="22"/>
    </w:rPr>
  </w:style>
  <w:style w:type="paragraph" w:styleId="BodyText3">
    <w:name w:val="Body Text 3"/>
    <w:basedOn w:val="Normal"/>
    <w:link w:val="BodyText3Char"/>
    <w:rsid w:val="006C0049"/>
    <w:pPr>
      <w:spacing w:after="120"/>
    </w:pPr>
    <w:rPr>
      <w:rFonts w:eastAsiaTheme="minorHAnsi" w:cs="Arial"/>
      <w:sz w:val="16"/>
      <w:szCs w:val="16"/>
    </w:rPr>
  </w:style>
  <w:style w:type="character" w:customStyle="1" w:styleId="BodyText3Char">
    <w:name w:val="Body Text 3 Char"/>
    <w:basedOn w:val="DefaultParagraphFont"/>
    <w:link w:val="BodyText3"/>
    <w:rsid w:val="006C0049"/>
    <w:rPr>
      <w:rFonts w:ascii="Arial" w:hAnsi="Arial"/>
      <w:sz w:val="16"/>
      <w:szCs w:val="16"/>
    </w:rPr>
  </w:style>
  <w:style w:type="paragraph" w:styleId="BodyTextIndent">
    <w:name w:val="Body Text Indent"/>
    <w:basedOn w:val="Normal"/>
    <w:link w:val="BodyTextIndentChar"/>
    <w:rsid w:val="006C0049"/>
    <w:pPr>
      <w:spacing w:after="120"/>
      <w:ind w:left="283"/>
    </w:pPr>
    <w:rPr>
      <w:rFonts w:eastAsiaTheme="minorHAnsi" w:cs="Arial"/>
      <w:szCs w:val="20"/>
    </w:rPr>
  </w:style>
  <w:style w:type="character" w:customStyle="1" w:styleId="BodyTextIndentChar">
    <w:name w:val="Body Text Indent Char"/>
    <w:basedOn w:val="DefaultParagraphFont"/>
    <w:link w:val="BodyTextIndent"/>
    <w:rsid w:val="006C0049"/>
    <w:rPr>
      <w:rFonts w:ascii="Arial" w:hAnsi="Arial"/>
      <w:sz w:val="24"/>
    </w:rPr>
  </w:style>
  <w:style w:type="paragraph" w:customStyle="1" w:styleId="DepartmentalNormal0">
    <w:name w:val="Departmental Normal"/>
    <w:basedOn w:val="Normal"/>
    <w:rsid w:val="006C0049"/>
    <w:rPr>
      <w:rFonts w:eastAsiaTheme="minorHAnsi" w:cs="Arial"/>
      <w:szCs w:val="20"/>
    </w:rPr>
  </w:style>
  <w:style w:type="paragraph" w:customStyle="1" w:styleId="CharCharChar">
    <w:name w:val="Char Char Char"/>
    <w:basedOn w:val="Normal"/>
    <w:rsid w:val="006C0049"/>
    <w:rPr>
      <w:rFonts w:eastAsiaTheme="minorHAnsi" w:cs="Arial"/>
      <w:szCs w:val="22"/>
      <w:lang w:eastAsia="en-US"/>
    </w:rPr>
  </w:style>
  <w:style w:type="paragraph" w:styleId="NormalWeb">
    <w:name w:val="Normal (Web)"/>
    <w:basedOn w:val="Normal"/>
    <w:uiPriority w:val="99"/>
    <w:unhideWhenUsed/>
    <w:rsid w:val="006C0049"/>
    <w:pPr>
      <w:spacing w:before="100" w:beforeAutospacing="1" w:after="100" w:afterAutospacing="1"/>
    </w:pPr>
    <w:rPr>
      <w:rFonts w:eastAsiaTheme="minorHAnsi" w:cs="Arial"/>
      <w:szCs w:val="22"/>
    </w:rPr>
  </w:style>
  <w:style w:type="character" w:customStyle="1" w:styleId="source-copyright1">
    <w:name w:val="source-copyright1"/>
    <w:basedOn w:val="DefaultParagraphFont"/>
    <w:rsid w:val="006C0049"/>
    <w:rPr>
      <w:sz w:val="20"/>
      <w:szCs w:val="20"/>
    </w:rPr>
  </w:style>
  <w:style w:type="paragraph" w:customStyle="1" w:styleId="NormalBulleted">
    <w:name w:val="Normal Bulleted"/>
    <w:basedOn w:val="Normal"/>
    <w:link w:val="NormalBulletedChar"/>
    <w:qFormat/>
    <w:rsid w:val="00BE2DB9"/>
    <w:pPr>
      <w:numPr>
        <w:numId w:val="68"/>
      </w:numPr>
      <w:contextualSpacing/>
    </w:pPr>
    <w:rPr>
      <w:rFonts w:eastAsiaTheme="minorHAnsi" w:cs="Arial"/>
      <w:color w:val="000000" w:themeColor="text1"/>
      <w:szCs w:val="22"/>
    </w:rPr>
  </w:style>
  <w:style w:type="character" w:customStyle="1" w:styleId="NormalBulletedChar">
    <w:name w:val="Normal Bulleted Char"/>
    <w:basedOn w:val="DefaultParagraphFont"/>
    <w:link w:val="NormalBulleted"/>
    <w:rsid w:val="00BE2DB9"/>
    <w:rPr>
      <w:rFonts w:asciiTheme="minorHAnsi" w:eastAsiaTheme="minorHAnsi" w:hAnsiTheme="minorHAnsi" w:cs="Arial"/>
      <w:color w:val="000000" w:themeColor="text1"/>
      <w:sz w:val="22"/>
      <w:szCs w:val="22"/>
    </w:rPr>
  </w:style>
  <w:style w:type="character" w:customStyle="1" w:styleId="Heading7Char">
    <w:name w:val="Heading 7 Char"/>
    <w:basedOn w:val="DefaultParagraphFont"/>
    <w:link w:val="Heading7"/>
    <w:uiPriority w:val="9"/>
    <w:rsid w:val="00BE2DB9"/>
    <w:rPr>
      <w:rFonts w:asciiTheme="majorHAnsi" w:eastAsiaTheme="majorEastAsia" w:hAnsiTheme="majorHAnsi" w:cstheme="majorBidi"/>
      <w:i/>
      <w:iCs/>
      <w:color w:val="404040" w:themeColor="text1" w:themeTint="BF"/>
      <w:sz w:val="22"/>
      <w:szCs w:val="22"/>
      <w:lang w:val="en-US" w:eastAsia="en-US"/>
    </w:rPr>
  </w:style>
  <w:style w:type="character" w:customStyle="1" w:styleId="Heading8Char">
    <w:name w:val="Heading 8 Char"/>
    <w:basedOn w:val="DefaultParagraphFont"/>
    <w:link w:val="Heading8"/>
    <w:uiPriority w:val="9"/>
    <w:rsid w:val="00BE2DB9"/>
    <w:rPr>
      <w:rFonts w:asciiTheme="majorHAnsi" w:eastAsiaTheme="majorEastAsia" w:hAnsiTheme="majorHAnsi" w:cstheme="majorBidi"/>
      <w:color w:val="404040" w:themeColor="text1" w:themeTint="BF"/>
      <w:lang w:val="en-US" w:eastAsia="en-US"/>
    </w:rPr>
  </w:style>
  <w:style w:type="character" w:customStyle="1" w:styleId="Heading9Char">
    <w:name w:val="Heading 9 Char"/>
    <w:basedOn w:val="DefaultParagraphFont"/>
    <w:link w:val="Heading9"/>
    <w:uiPriority w:val="9"/>
    <w:rsid w:val="00BE2DB9"/>
    <w:rPr>
      <w:rFonts w:asciiTheme="majorHAnsi" w:eastAsiaTheme="majorEastAsia" w:hAnsiTheme="majorHAnsi" w:cstheme="majorBidi"/>
      <w:i/>
      <w:iCs/>
      <w:color w:val="404040" w:themeColor="text1" w:themeTint="BF"/>
      <w:lang w:val="en-US" w:eastAsia="en-US"/>
    </w:rPr>
  </w:style>
  <w:style w:type="paragraph" w:styleId="z-BottomofForm">
    <w:name w:val="HTML Bottom of Form"/>
    <w:basedOn w:val="Normal"/>
    <w:next w:val="Normal"/>
    <w:link w:val="z-BottomofFormChar"/>
    <w:hidden/>
    <w:uiPriority w:val="99"/>
    <w:unhideWhenUsed/>
    <w:rsid w:val="002D6FCA"/>
    <w:pPr>
      <w:pBdr>
        <w:top w:val="single" w:sz="6" w:space="1" w:color="auto"/>
      </w:pBdr>
      <w:jc w:val="center"/>
    </w:pPr>
    <w:rPr>
      <w:rFonts w:eastAsiaTheme="minorHAnsi" w:cs="Arial"/>
      <w:vanish/>
      <w:sz w:val="16"/>
      <w:szCs w:val="16"/>
    </w:rPr>
  </w:style>
  <w:style w:type="character" w:customStyle="1" w:styleId="z-BottomofFormChar">
    <w:name w:val="z-Bottom of Form Char"/>
    <w:basedOn w:val="DefaultParagraphFont"/>
    <w:link w:val="z-BottomofForm"/>
    <w:uiPriority w:val="99"/>
    <w:rsid w:val="002D6FCA"/>
    <w:rPr>
      <w:rFonts w:ascii="Arial" w:hAnsi="Arial" w:cs="Arial"/>
      <w:vanish/>
      <w:sz w:val="16"/>
      <w:szCs w:val="16"/>
    </w:rPr>
  </w:style>
  <w:style w:type="paragraph" w:styleId="BodyTextIndent2">
    <w:name w:val="Body Text Indent 2"/>
    <w:basedOn w:val="Normal"/>
    <w:link w:val="BodyTextIndent2Char"/>
    <w:rsid w:val="003C2F8E"/>
    <w:pPr>
      <w:spacing w:after="120" w:line="480" w:lineRule="auto"/>
      <w:ind w:left="283"/>
    </w:pPr>
    <w:rPr>
      <w:rFonts w:eastAsiaTheme="minorHAnsi" w:cs="Arial"/>
      <w:szCs w:val="22"/>
      <w:lang w:val="en-US" w:eastAsia="en-US"/>
    </w:rPr>
  </w:style>
  <w:style w:type="character" w:customStyle="1" w:styleId="BodyTextIndent2Char">
    <w:name w:val="Body Text Indent 2 Char"/>
    <w:basedOn w:val="DefaultParagraphFont"/>
    <w:link w:val="BodyTextIndent2"/>
    <w:rsid w:val="003C2F8E"/>
    <w:rPr>
      <w:sz w:val="24"/>
      <w:szCs w:val="24"/>
      <w:lang w:val="en-US" w:eastAsia="en-US"/>
    </w:rPr>
  </w:style>
  <w:style w:type="paragraph" w:customStyle="1" w:styleId="02Tabletext">
    <w:name w:val="02. Table text"/>
    <w:basedOn w:val="Normal"/>
    <w:next w:val="Normal"/>
    <w:link w:val="02TabletextChar"/>
    <w:qFormat/>
    <w:rsid w:val="00343775"/>
    <w:pPr>
      <w:spacing w:before="40"/>
    </w:pPr>
  </w:style>
  <w:style w:type="character" w:customStyle="1" w:styleId="02TabletextChar">
    <w:name w:val="02. Table text Char"/>
    <w:basedOn w:val="DefaultParagraphFont"/>
    <w:link w:val="02Tabletext"/>
    <w:rsid w:val="00343775"/>
    <w:rPr>
      <w:rFonts w:asciiTheme="minorHAnsi" w:hAnsiTheme="minorHAnsi"/>
      <w:sz w:val="22"/>
      <w:szCs w:val="24"/>
    </w:rPr>
  </w:style>
  <w:style w:type="paragraph" w:customStyle="1" w:styleId="01Tableheaderrow">
    <w:name w:val="01. Table header row"/>
    <w:link w:val="01TableheaderrowChar"/>
    <w:qFormat/>
    <w:rsid w:val="00386D66"/>
    <w:pPr>
      <w:keepNext/>
      <w:spacing w:before="40"/>
    </w:pPr>
    <w:rPr>
      <w:rFonts w:ascii="Arial" w:eastAsiaTheme="minorHAnsi" w:hAnsi="Arial"/>
      <w:b/>
      <w:sz w:val="18"/>
      <w:szCs w:val="22"/>
      <w:lang w:eastAsia="en-US"/>
    </w:rPr>
  </w:style>
  <w:style w:type="character" w:customStyle="1" w:styleId="01TableheaderrowChar">
    <w:name w:val="01. Table header row Char"/>
    <w:basedOn w:val="02TabletextChar"/>
    <w:link w:val="01Tableheaderrow"/>
    <w:rsid w:val="00386D66"/>
    <w:rPr>
      <w:rFonts w:ascii="Arial" w:eastAsiaTheme="minorHAnsi" w:hAnsi="Arial"/>
      <w:b/>
      <w:sz w:val="18"/>
      <w:szCs w:val="22"/>
      <w:lang w:eastAsia="en-US"/>
    </w:rPr>
  </w:style>
  <w:style w:type="character" w:styleId="FollowedHyperlink">
    <w:name w:val="FollowedHyperlink"/>
    <w:basedOn w:val="DefaultParagraphFont"/>
    <w:rsid w:val="009B5C97"/>
    <w:rPr>
      <w:color w:val="800080" w:themeColor="followedHyperlink"/>
      <w:u w:val="single"/>
    </w:rPr>
  </w:style>
  <w:style w:type="table" w:customStyle="1" w:styleId="TableGrid1">
    <w:name w:val="Table Grid1"/>
    <w:basedOn w:val="TableNormal"/>
    <w:next w:val="TableGrid"/>
    <w:uiPriority w:val="59"/>
    <w:rsid w:val="00BA075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NormalBulleted"/>
    <w:autoRedefine/>
    <w:qFormat/>
    <w:rsid w:val="000C00A9"/>
    <w:pPr>
      <w:spacing w:before="0" w:after="0" w:line="240" w:lineRule="auto"/>
    </w:pPr>
    <w:rPr>
      <w:rFonts w:eastAsia="Times New Roman"/>
      <w:b/>
      <w:szCs w:val="24"/>
    </w:rPr>
  </w:style>
  <w:style w:type="paragraph" w:customStyle="1" w:styleId="Bullet2">
    <w:name w:val="Bullet 2"/>
    <w:basedOn w:val="Normal"/>
    <w:qFormat/>
    <w:rsid w:val="00BE2DB9"/>
    <w:pPr>
      <w:numPr>
        <w:ilvl w:val="1"/>
        <w:numId w:val="2"/>
      </w:numPr>
      <w:spacing w:before="120"/>
      <w:ind w:left="1077" w:hanging="357"/>
    </w:pPr>
    <w:rPr>
      <w:rFonts w:eastAsiaTheme="minorHAnsi" w:cs="Arial"/>
      <w:szCs w:val="22"/>
    </w:rPr>
  </w:style>
  <w:style w:type="paragraph" w:customStyle="1" w:styleId="Bullet3">
    <w:name w:val="Bullet 3"/>
    <w:basedOn w:val="Normal"/>
    <w:qFormat/>
    <w:rsid w:val="00BE2DB9"/>
    <w:pPr>
      <w:numPr>
        <w:ilvl w:val="2"/>
        <w:numId w:val="1"/>
      </w:numPr>
      <w:spacing w:before="120"/>
      <w:ind w:left="1797" w:hanging="357"/>
    </w:pPr>
    <w:rPr>
      <w:rFonts w:eastAsiaTheme="minorHAnsi" w:cs="Arial"/>
      <w:szCs w:val="22"/>
    </w:rPr>
  </w:style>
  <w:style w:type="paragraph" w:styleId="TOC4">
    <w:name w:val="toc 4"/>
    <w:basedOn w:val="Normal"/>
    <w:next w:val="Normal"/>
    <w:autoRedefine/>
    <w:uiPriority w:val="39"/>
    <w:unhideWhenUsed/>
    <w:rsid w:val="00C56DF9"/>
    <w:pPr>
      <w:spacing w:before="0" w:after="0"/>
      <w:ind w:left="660"/>
    </w:pPr>
    <w:rPr>
      <w:sz w:val="18"/>
      <w:szCs w:val="18"/>
    </w:rPr>
  </w:style>
  <w:style w:type="paragraph" w:styleId="TOC5">
    <w:name w:val="toc 5"/>
    <w:basedOn w:val="Normal"/>
    <w:next w:val="Normal"/>
    <w:autoRedefine/>
    <w:uiPriority w:val="39"/>
    <w:unhideWhenUsed/>
    <w:rsid w:val="00C56DF9"/>
    <w:pPr>
      <w:spacing w:before="0" w:after="0"/>
      <w:ind w:left="880"/>
    </w:pPr>
    <w:rPr>
      <w:sz w:val="18"/>
      <w:szCs w:val="18"/>
    </w:rPr>
  </w:style>
  <w:style w:type="paragraph" w:styleId="TOC6">
    <w:name w:val="toc 6"/>
    <w:basedOn w:val="Normal"/>
    <w:next w:val="Normal"/>
    <w:autoRedefine/>
    <w:uiPriority w:val="39"/>
    <w:unhideWhenUsed/>
    <w:rsid w:val="00C56DF9"/>
    <w:pPr>
      <w:spacing w:before="0" w:after="0"/>
      <w:ind w:left="1100"/>
    </w:pPr>
    <w:rPr>
      <w:sz w:val="18"/>
      <w:szCs w:val="18"/>
    </w:rPr>
  </w:style>
  <w:style w:type="paragraph" w:styleId="TOC7">
    <w:name w:val="toc 7"/>
    <w:basedOn w:val="Normal"/>
    <w:next w:val="Normal"/>
    <w:autoRedefine/>
    <w:uiPriority w:val="39"/>
    <w:unhideWhenUsed/>
    <w:rsid w:val="00C56DF9"/>
    <w:pPr>
      <w:spacing w:before="0" w:after="0"/>
      <w:ind w:left="1320"/>
    </w:pPr>
    <w:rPr>
      <w:sz w:val="18"/>
      <w:szCs w:val="18"/>
    </w:rPr>
  </w:style>
  <w:style w:type="paragraph" w:styleId="TOC8">
    <w:name w:val="toc 8"/>
    <w:basedOn w:val="Normal"/>
    <w:next w:val="Normal"/>
    <w:autoRedefine/>
    <w:uiPriority w:val="39"/>
    <w:unhideWhenUsed/>
    <w:rsid w:val="00C56DF9"/>
    <w:pPr>
      <w:spacing w:before="0" w:after="0"/>
      <w:ind w:left="1540"/>
    </w:pPr>
    <w:rPr>
      <w:sz w:val="18"/>
      <w:szCs w:val="18"/>
    </w:rPr>
  </w:style>
  <w:style w:type="paragraph" w:styleId="TOC9">
    <w:name w:val="toc 9"/>
    <w:basedOn w:val="Normal"/>
    <w:next w:val="Normal"/>
    <w:autoRedefine/>
    <w:uiPriority w:val="39"/>
    <w:unhideWhenUsed/>
    <w:rsid w:val="00C56DF9"/>
    <w:pPr>
      <w:spacing w:before="0" w:after="0"/>
      <w:ind w:left="1760"/>
    </w:pPr>
    <w:rPr>
      <w:sz w:val="18"/>
      <w:szCs w:val="18"/>
    </w:rPr>
  </w:style>
  <w:style w:type="character" w:styleId="CommentReference">
    <w:name w:val="annotation reference"/>
    <w:basedOn w:val="DefaultParagraphFont"/>
    <w:uiPriority w:val="99"/>
    <w:semiHidden/>
    <w:unhideWhenUsed/>
    <w:rsid w:val="000337EF"/>
    <w:rPr>
      <w:sz w:val="16"/>
      <w:szCs w:val="16"/>
    </w:rPr>
  </w:style>
  <w:style w:type="paragraph" w:styleId="CommentText">
    <w:name w:val="annotation text"/>
    <w:basedOn w:val="Normal"/>
    <w:link w:val="CommentTextChar"/>
    <w:uiPriority w:val="99"/>
    <w:semiHidden/>
    <w:unhideWhenUsed/>
    <w:rsid w:val="000337EF"/>
    <w:rPr>
      <w:sz w:val="20"/>
      <w:szCs w:val="20"/>
    </w:rPr>
  </w:style>
  <w:style w:type="character" w:customStyle="1" w:styleId="CommentTextChar">
    <w:name w:val="Comment Text Char"/>
    <w:basedOn w:val="DefaultParagraphFont"/>
    <w:link w:val="CommentText"/>
    <w:uiPriority w:val="99"/>
    <w:semiHidden/>
    <w:rsid w:val="000337EF"/>
    <w:rPr>
      <w:rFonts w:ascii="Arial" w:hAnsi="Arial"/>
    </w:rPr>
  </w:style>
  <w:style w:type="paragraph" w:customStyle="1" w:styleId="03undertabletext">
    <w:name w:val="03. under table text"/>
    <w:basedOn w:val="Heading1"/>
    <w:rsid w:val="00A32201"/>
    <w:pPr>
      <w:numPr>
        <w:numId w:val="0"/>
      </w:numPr>
      <w:spacing w:before="0"/>
    </w:pPr>
    <w:rPr>
      <w:b w:val="0"/>
      <w:color w:val="000000" w:themeColor="text1"/>
      <w:sz w:val="18"/>
      <w:szCs w:val="18"/>
    </w:rPr>
  </w:style>
  <w:style w:type="table" w:customStyle="1" w:styleId="TableGrid2">
    <w:name w:val="Table Grid2"/>
    <w:basedOn w:val="TableNormal"/>
    <w:next w:val="TableGrid"/>
    <w:rsid w:val="00585C90"/>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Smallcaps">
    <w:name w:val="00 Small caps"/>
    <w:basedOn w:val="Normal"/>
    <w:uiPriority w:val="6"/>
    <w:qFormat/>
    <w:rsid w:val="001D1C52"/>
    <w:pPr>
      <w:keepNext/>
      <w:spacing w:before="120" w:line="240" w:lineRule="auto"/>
      <w:outlineLvl w:val="0"/>
    </w:pPr>
    <w:rPr>
      <w:rFonts w:ascii="Arial Bold" w:hAnsi="Arial Bold" w:cs="Arial"/>
      <w:b/>
      <w:smallCaps/>
      <w:kern w:val="32"/>
      <w:szCs w:val="22"/>
    </w:rPr>
  </w:style>
  <w:style w:type="paragraph" w:styleId="Bibliography">
    <w:name w:val="Bibliography"/>
    <w:basedOn w:val="Normal"/>
    <w:next w:val="Normal"/>
    <w:uiPriority w:val="37"/>
    <w:unhideWhenUsed/>
    <w:rsid w:val="007D2992"/>
  </w:style>
  <w:style w:type="table" w:customStyle="1" w:styleId="PlainTable21">
    <w:name w:val="Plain Table 21"/>
    <w:basedOn w:val="TableNormal"/>
    <w:uiPriority w:val="42"/>
    <w:rsid w:val="0076349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Style1">
    <w:name w:val="Style1"/>
    <w:basedOn w:val="TableNormal"/>
    <w:uiPriority w:val="99"/>
    <w:rsid w:val="0076349B"/>
    <w:rPr>
      <w:rFonts w:ascii="Arial" w:hAnsi="Arial"/>
      <w:sz w:val="18"/>
    </w:rPr>
    <w:tblPr>
      <w:tblBorders>
        <w:top w:val="single" w:sz="4" w:space="0" w:color="auto"/>
        <w:bottom w:val="single" w:sz="4" w:space="0" w:color="auto"/>
      </w:tblBorders>
    </w:tblPr>
  </w:style>
  <w:style w:type="table" w:customStyle="1" w:styleId="PlainTable41">
    <w:name w:val="Plain Table 41"/>
    <w:basedOn w:val="TableNormal"/>
    <w:uiPriority w:val="44"/>
    <w:rsid w:val="003C3E2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2">
    <w:name w:val="Plain Table 22"/>
    <w:basedOn w:val="TableNormal"/>
    <w:uiPriority w:val="42"/>
    <w:rsid w:val="0010431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Heading2Report">
    <w:name w:val="Heading 2 Report"/>
    <w:basedOn w:val="Heading2"/>
    <w:link w:val="Heading2ReportChar"/>
    <w:qFormat/>
    <w:rsid w:val="00BE2DB9"/>
  </w:style>
  <w:style w:type="character" w:customStyle="1" w:styleId="Heading2ReportChar">
    <w:name w:val="Heading 2 Report Char"/>
    <w:basedOn w:val="DefaultParagraphFont"/>
    <w:link w:val="Heading2Report"/>
    <w:rsid w:val="00BE2DB9"/>
    <w:rPr>
      <w:rFonts w:asciiTheme="minorHAnsi" w:eastAsiaTheme="minorHAnsi" w:hAnsiTheme="minorHAnsi" w:cs="Arial"/>
      <w:b/>
      <w:bCs/>
      <w:iCs/>
      <w:color w:val="01653F"/>
      <w:sz w:val="26"/>
      <w:szCs w:val="22"/>
      <w:lang w:val="en-US" w:eastAsia="en-US"/>
    </w:rPr>
  </w:style>
  <w:style w:type="paragraph" w:customStyle="1" w:styleId="AppendixStyle1">
    <w:name w:val="Appendix Style 1"/>
    <w:basedOn w:val="Normal"/>
    <w:next w:val="Normal"/>
    <w:qFormat/>
    <w:rsid w:val="005F0407"/>
    <w:pPr>
      <w:numPr>
        <w:numId w:val="3"/>
      </w:numPr>
      <w:spacing w:before="0" w:after="0"/>
      <w:outlineLvl w:val="0"/>
    </w:pPr>
    <w:rPr>
      <w:rFonts w:cs="Arial"/>
      <w:b/>
      <w:color w:val="01653F"/>
      <w:sz w:val="32"/>
      <w:lang w:val="en-US" w:eastAsia="en-US"/>
    </w:rPr>
  </w:style>
  <w:style w:type="table" w:customStyle="1" w:styleId="TableGrid3">
    <w:name w:val="Table Grid3"/>
    <w:basedOn w:val="TableNormal"/>
    <w:next w:val="TableGrid"/>
    <w:rsid w:val="005364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label">
    <w:name w:val="ref-label"/>
    <w:basedOn w:val="DefaultParagraphFont"/>
    <w:rsid w:val="00F417F4"/>
  </w:style>
  <w:style w:type="paragraph" w:customStyle="1" w:styleId="bulletindent1">
    <w:name w:val="bulletindent1"/>
    <w:basedOn w:val="Normal"/>
    <w:rsid w:val="00F417F4"/>
    <w:pPr>
      <w:spacing w:before="100" w:beforeAutospacing="1" w:after="100" w:afterAutospacing="1"/>
    </w:pPr>
    <w:rPr>
      <w:rFonts w:ascii="Times New Roman" w:hAnsi="Times New Roman"/>
      <w:sz w:val="24"/>
    </w:rPr>
  </w:style>
  <w:style w:type="paragraph" w:customStyle="1" w:styleId="Numbering">
    <w:name w:val="Numbering"/>
    <w:basedOn w:val="NormalBulleted"/>
    <w:link w:val="NumberingChar"/>
    <w:qFormat/>
    <w:rsid w:val="003B0769"/>
    <w:pPr>
      <w:numPr>
        <w:numId w:val="0"/>
      </w:numPr>
      <w:spacing w:before="120" w:after="120"/>
    </w:pPr>
    <w:rPr>
      <w:lang w:val="en-US" w:eastAsia="en-US"/>
    </w:rPr>
  </w:style>
  <w:style w:type="character" w:customStyle="1" w:styleId="NumberingChar">
    <w:name w:val="Numbering Char"/>
    <w:basedOn w:val="DefaultParagraphFont"/>
    <w:link w:val="Numbering"/>
    <w:rsid w:val="001D1C52"/>
    <w:rPr>
      <w:rFonts w:asciiTheme="minorHAnsi" w:eastAsiaTheme="minorHAnsi" w:hAnsiTheme="minorHAnsi" w:cs="Arial"/>
      <w:color w:val="000000" w:themeColor="text1"/>
      <w:sz w:val="22"/>
      <w:szCs w:val="22"/>
      <w:lang w:val="en-US" w:eastAsia="en-US"/>
    </w:rPr>
  </w:style>
  <w:style w:type="paragraph" w:styleId="DocumentMap">
    <w:name w:val="Document Map"/>
    <w:basedOn w:val="Normal"/>
    <w:link w:val="DocumentMapChar"/>
    <w:semiHidden/>
    <w:unhideWhenUsed/>
    <w:rsid w:val="0060697D"/>
    <w:pPr>
      <w:spacing w:before="0" w:after="0" w:line="240" w:lineRule="auto"/>
    </w:pPr>
    <w:rPr>
      <w:rFonts w:ascii="Times New Roman" w:hAnsi="Times New Roman"/>
      <w:sz w:val="24"/>
    </w:rPr>
  </w:style>
  <w:style w:type="character" w:customStyle="1" w:styleId="DocumentMapChar">
    <w:name w:val="Document Map Char"/>
    <w:basedOn w:val="DefaultParagraphFont"/>
    <w:link w:val="DocumentMap"/>
    <w:semiHidden/>
    <w:rsid w:val="0060697D"/>
    <w:rPr>
      <w:sz w:val="24"/>
      <w:szCs w:val="24"/>
    </w:rPr>
  </w:style>
  <w:style w:type="paragraph" w:styleId="EndnoteText">
    <w:name w:val="endnote text"/>
    <w:basedOn w:val="Normal"/>
    <w:link w:val="EndnoteTextChar"/>
    <w:unhideWhenUsed/>
    <w:rsid w:val="00303AE1"/>
    <w:pPr>
      <w:spacing w:before="0" w:after="0" w:line="240" w:lineRule="auto"/>
    </w:pPr>
    <w:rPr>
      <w:sz w:val="24"/>
    </w:rPr>
  </w:style>
  <w:style w:type="character" w:customStyle="1" w:styleId="EndnoteTextChar">
    <w:name w:val="Endnote Text Char"/>
    <w:basedOn w:val="DefaultParagraphFont"/>
    <w:link w:val="EndnoteText"/>
    <w:rsid w:val="00303AE1"/>
    <w:rPr>
      <w:rFonts w:asciiTheme="minorHAnsi" w:hAnsiTheme="minorHAnsi"/>
      <w:sz w:val="24"/>
      <w:szCs w:val="24"/>
    </w:rPr>
  </w:style>
  <w:style w:type="character" w:styleId="EndnoteReference">
    <w:name w:val="endnote reference"/>
    <w:basedOn w:val="DefaultParagraphFont"/>
    <w:unhideWhenUsed/>
    <w:rsid w:val="00303AE1"/>
    <w:rPr>
      <w:vertAlign w:val="superscript"/>
    </w:rPr>
  </w:style>
  <w:style w:type="paragraph" w:customStyle="1" w:styleId="Rec">
    <w:name w:val="Rec"/>
    <w:basedOn w:val="Normal"/>
    <w:qFormat/>
    <w:rsid w:val="00283332"/>
    <w:pPr>
      <w:numPr>
        <w:numId w:val="77"/>
      </w:numPr>
      <w:spacing w:before="120" w:after="120"/>
      <w:ind w:left="2041"/>
    </w:pPr>
    <w:rPr>
      <w:rFonts w:cs="Arial"/>
      <w:b/>
      <w:i/>
      <w:color w:val="01653F"/>
      <w:sz w:val="24"/>
      <w:szCs w:val="22"/>
    </w:rPr>
  </w:style>
  <w:style w:type="character" w:customStyle="1" w:styleId="CaptionChar">
    <w:name w:val="Caption Char"/>
    <w:basedOn w:val="DefaultParagraphFont"/>
    <w:link w:val="Caption"/>
    <w:uiPriority w:val="35"/>
    <w:rsid w:val="00AC60DB"/>
    <w:rPr>
      <w:rFonts w:asciiTheme="minorHAnsi" w:eastAsiaTheme="minorHAnsi" w:hAnsiTheme="minorHAnsi" w:cs="Arial"/>
      <w:i/>
      <w:szCs w:val="22"/>
      <w:lang w:eastAsia="en-US"/>
    </w:rPr>
  </w:style>
  <w:style w:type="paragraph" w:customStyle="1" w:styleId="Caption2">
    <w:name w:val="Caption 2"/>
    <w:basedOn w:val="Caption"/>
    <w:link w:val="Caption2Char"/>
    <w:rsid w:val="00BC209F"/>
    <w:pPr>
      <w:spacing w:line="240" w:lineRule="auto"/>
    </w:pPr>
    <w:rPr>
      <w:rFonts w:ascii="Arial" w:hAnsi="Arial"/>
      <w:b/>
      <w:bCs/>
      <w:i w:val="0"/>
      <w:sz w:val="24"/>
      <w:szCs w:val="24"/>
    </w:rPr>
  </w:style>
  <w:style w:type="character" w:customStyle="1" w:styleId="Caption2Char">
    <w:name w:val="Caption 2 Char"/>
    <w:basedOn w:val="CaptionChar"/>
    <w:link w:val="Caption2"/>
    <w:rsid w:val="00BC209F"/>
    <w:rPr>
      <w:rFonts w:ascii="Arial" w:eastAsiaTheme="minorHAnsi" w:hAnsi="Arial" w:cs="Arial"/>
      <w:b/>
      <w:bCs/>
      <w:i w:val="0"/>
      <w:sz w:val="24"/>
      <w:szCs w:val="24"/>
      <w:lang w:eastAsia="en-US"/>
    </w:rPr>
  </w:style>
  <w:style w:type="paragraph" w:styleId="PlainText">
    <w:name w:val="Plain Text"/>
    <w:basedOn w:val="Normal"/>
    <w:link w:val="PlainTextChar"/>
    <w:uiPriority w:val="99"/>
    <w:unhideWhenUsed/>
    <w:rsid w:val="00BC209F"/>
    <w:pPr>
      <w:spacing w:before="0"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BC209F"/>
    <w:rPr>
      <w:rFonts w:ascii="Calibri" w:eastAsiaTheme="minorHAnsi" w:hAnsi="Calibri"/>
      <w:sz w:val="22"/>
      <w:szCs w:val="21"/>
    </w:rPr>
  </w:style>
  <w:style w:type="paragraph" w:customStyle="1" w:styleId="xmsonormal">
    <w:name w:val="x_msonormal"/>
    <w:basedOn w:val="Normal"/>
    <w:rsid w:val="00BC209F"/>
    <w:pPr>
      <w:spacing w:before="100" w:beforeAutospacing="1" w:after="100" w:afterAutospacing="1" w:line="240" w:lineRule="auto"/>
    </w:pPr>
    <w:rPr>
      <w:rFonts w:ascii="Times" w:eastAsiaTheme="minorEastAsia" w:hAnsi="Times" w:cstheme="minorBidi"/>
      <w:sz w:val="20"/>
      <w:szCs w:val="20"/>
      <w:lang w:eastAsia="en-US"/>
    </w:rPr>
  </w:style>
  <w:style w:type="paragraph" w:customStyle="1" w:styleId="EndNoteBibliography">
    <w:name w:val="EndNote Bibliography"/>
    <w:basedOn w:val="Normal"/>
    <w:rsid w:val="00BC209F"/>
    <w:pPr>
      <w:spacing w:before="0" w:after="0" w:line="240" w:lineRule="auto"/>
    </w:pPr>
    <w:rPr>
      <w:rFonts w:ascii="Cambria" w:eastAsiaTheme="minorEastAsia" w:hAnsi="Cambria" w:cstheme="minorBidi"/>
      <w:sz w:val="24"/>
      <w:lang w:val="en-US" w:eastAsia="en-US"/>
    </w:rPr>
  </w:style>
  <w:style w:type="paragraph" w:customStyle="1" w:styleId="SubGroupHeader">
    <w:name w:val="SubGroupHeader"/>
    <w:basedOn w:val="Normal"/>
    <w:rsid w:val="00BC209F"/>
    <w:pPr>
      <w:spacing w:before="0" w:after="0" w:line="240" w:lineRule="auto"/>
      <w:jc w:val="right"/>
    </w:pPr>
    <w:rPr>
      <w:rFonts w:ascii="Times New Roman" w:hAnsi="Times New Roman"/>
      <w:b/>
      <w:caps/>
      <w:sz w:val="18"/>
      <w:szCs w:val="20"/>
    </w:rPr>
  </w:style>
  <w:style w:type="paragraph" w:customStyle="1" w:styleId="GroupHeader">
    <w:name w:val="GroupHeader"/>
    <w:basedOn w:val="Normal"/>
    <w:rsid w:val="00BC209F"/>
    <w:pPr>
      <w:spacing w:before="0" w:after="0" w:line="240" w:lineRule="auto"/>
    </w:pPr>
    <w:rPr>
      <w:rFonts w:ascii="Times New Roman" w:hAnsi="Times New Roman"/>
      <w:b/>
      <w:caps/>
      <w:sz w:val="18"/>
      <w:szCs w:val="20"/>
    </w:rPr>
  </w:style>
  <w:style w:type="paragraph" w:customStyle="1" w:styleId="Bulleted">
    <w:name w:val="Bulleted"/>
    <w:basedOn w:val="Normal"/>
    <w:link w:val="BulletedChar"/>
    <w:qFormat/>
    <w:rsid w:val="00F85147"/>
    <w:pPr>
      <w:autoSpaceDE w:val="0"/>
      <w:autoSpaceDN w:val="0"/>
      <w:adjustRightInd w:val="0"/>
      <w:spacing w:after="200" w:line="300" w:lineRule="auto"/>
    </w:pPr>
    <w:rPr>
      <w:rFonts w:ascii="Arial" w:eastAsia="MS Mincho" w:hAnsi="Arial" w:cs="Arial"/>
      <w:szCs w:val="22"/>
      <w:lang w:eastAsia="en-US"/>
    </w:rPr>
  </w:style>
  <w:style w:type="character" w:customStyle="1" w:styleId="BulletedChar">
    <w:name w:val="Bulleted Char"/>
    <w:basedOn w:val="DefaultParagraphFont"/>
    <w:link w:val="Bulleted"/>
    <w:rsid w:val="00F85147"/>
    <w:rPr>
      <w:rFonts w:ascii="Arial" w:eastAsia="MS Mincho" w:hAnsi="Arial" w:cs="Arial"/>
      <w:sz w:val="22"/>
      <w:szCs w:val="22"/>
      <w:lang w:eastAsia="en-US"/>
    </w:rPr>
  </w:style>
  <w:style w:type="paragraph" w:customStyle="1" w:styleId="AppendixHeading">
    <w:name w:val="Appendix Heading"/>
    <w:basedOn w:val="Normal"/>
    <w:qFormat/>
    <w:rsid w:val="00893447"/>
    <w:pPr>
      <w:spacing w:line="360" w:lineRule="auto"/>
    </w:pPr>
    <w:rPr>
      <w:rFonts w:cs="Arial"/>
      <w:b/>
      <w:color w:val="016500"/>
      <w:sz w:val="32"/>
      <w:szCs w:val="32"/>
    </w:rPr>
  </w:style>
  <w:style w:type="paragraph" w:customStyle="1" w:styleId="Undertable">
    <w:name w:val="Under table"/>
    <w:basedOn w:val="Heading1"/>
    <w:qFormat/>
    <w:rsid w:val="00A32201"/>
    <w:pPr>
      <w:numPr>
        <w:numId w:val="0"/>
      </w:numPr>
      <w:spacing w:before="0"/>
    </w:pPr>
    <w:rPr>
      <w:b w:val="0"/>
      <w:color w:val="000000" w:themeColor="text1"/>
      <w:sz w:val="18"/>
      <w:szCs w:val="18"/>
    </w:rPr>
  </w:style>
  <w:style w:type="paragraph" w:styleId="CommentSubject">
    <w:name w:val="annotation subject"/>
    <w:basedOn w:val="CommentText"/>
    <w:next w:val="CommentText"/>
    <w:link w:val="CommentSubjectChar"/>
    <w:semiHidden/>
    <w:unhideWhenUsed/>
    <w:rsid w:val="00A444D1"/>
    <w:pPr>
      <w:spacing w:line="240" w:lineRule="auto"/>
    </w:pPr>
    <w:rPr>
      <w:b/>
      <w:bCs/>
    </w:rPr>
  </w:style>
  <w:style w:type="paragraph" w:customStyle="1" w:styleId="TableUnder">
    <w:name w:val="Table Under"/>
    <w:basedOn w:val="Normal"/>
    <w:qFormat/>
    <w:rsid w:val="006D79D7"/>
    <w:pPr>
      <w:spacing w:before="0"/>
    </w:pPr>
    <w:rPr>
      <w:sz w:val="18"/>
      <w:szCs w:val="16"/>
    </w:rPr>
  </w:style>
  <w:style w:type="character" w:customStyle="1" w:styleId="CommentSubjectChar">
    <w:name w:val="Comment Subject Char"/>
    <w:basedOn w:val="CommentTextChar"/>
    <w:link w:val="CommentSubject"/>
    <w:semiHidden/>
    <w:rsid w:val="00A444D1"/>
    <w:rPr>
      <w:rFonts w:asciiTheme="minorHAnsi" w:hAnsiTheme="minorHAnsi"/>
      <w:b/>
      <w:bCs/>
    </w:rPr>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uiPriority w:val="34"/>
    <w:qFormat/>
    <w:rsid w:val="006060E7"/>
    <w:pPr>
      <w:ind w:left="720"/>
      <w:contextualSpacing/>
    </w:pPr>
  </w:style>
  <w:style w:type="paragraph" w:styleId="Revision">
    <w:name w:val="Revision"/>
    <w:hidden/>
    <w:uiPriority w:val="99"/>
    <w:semiHidden/>
    <w:rsid w:val="00226A36"/>
    <w:rPr>
      <w:rFonts w:asciiTheme="minorHAnsi" w:hAnsiTheme="minorHAnsi"/>
      <w:sz w:val="22"/>
      <w:szCs w:val="24"/>
    </w:rPr>
  </w:style>
  <w:style w:type="paragraph" w:styleId="TableofFigures">
    <w:name w:val="table of figures"/>
    <w:basedOn w:val="Normal"/>
    <w:next w:val="Normal"/>
    <w:uiPriority w:val="99"/>
    <w:unhideWhenUsed/>
    <w:rsid w:val="00AC60DB"/>
    <w:pPr>
      <w:spacing w:before="0" w:after="0"/>
      <w:ind w:left="440" w:hanging="440"/>
    </w:pPr>
    <w:rPr>
      <w:sz w:val="20"/>
      <w:szCs w:val="20"/>
    </w:rPr>
  </w:style>
  <w:style w:type="character" w:styleId="SubtleEmphasis">
    <w:name w:val="Subtle Emphasis"/>
    <w:basedOn w:val="DefaultParagraphFont"/>
    <w:uiPriority w:val="19"/>
    <w:qFormat/>
    <w:rsid w:val="006F3DF0"/>
    <w:rPr>
      <w:i/>
      <w:iCs/>
      <w:color w:val="808080" w:themeColor="text1" w:themeTint="7F"/>
    </w:rPr>
  </w:style>
  <w:style w:type="character" w:styleId="IntenseReference">
    <w:name w:val="Intense Reference"/>
    <w:basedOn w:val="DefaultParagraphFont"/>
    <w:uiPriority w:val="32"/>
    <w:qFormat/>
    <w:rsid w:val="006F3DF0"/>
    <w:rPr>
      <w:b/>
      <w:bCs/>
      <w:i/>
      <w:smallCaps/>
      <w:color w:val="C0504D" w:themeColor="accent2"/>
      <w:spacing w:val="5"/>
      <w:u w:val="none"/>
    </w:r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basedOn w:val="DefaultParagraphFont"/>
    <w:link w:val="ListParagraph"/>
    <w:uiPriority w:val="34"/>
    <w:rsid w:val="00C90AC5"/>
    <w:rPr>
      <w:rFonts w:asciiTheme="minorHAnsi" w:hAnsiTheme="minorHAnsi"/>
      <w:sz w:val="22"/>
      <w:szCs w:val="24"/>
    </w:rPr>
  </w:style>
  <w:style w:type="character" w:styleId="Strong">
    <w:name w:val="Strong"/>
    <w:basedOn w:val="DefaultParagraphFont"/>
    <w:uiPriority w:val="22"/>
    <w:qFormat/>
    <w:rsid w:val="00684E0D"/>
    <w:rPr>
      <w:b/>
      <w:bCs/>
    </w:rPr>
  </w:style>
  <w:style w:type="paragraph" w:customStyle="1" w:styleId="Recommendation1">
    <w:name w:val="Recommendation 1"/>
    <w:basedOn w:val="Heading4"/>
    <w:qFormat/>
    <w:rsid w:val="00BE2DB9"/>
    <w:pPr>
      <w:numPr>
        <w:numId w:val="7"/>
      </w:numPr>
      <w:outlineLvl w:val="9"/>
    </w:pPr>
    <w:rPr>
      <w:b/>
    </w:rPr>
  </w:style>
  <w:style w:type="character" w:styleId="IntenseEmphasis">
    <w:name w:val="Intense Emphasis"/>
    <w:basedOn w:val="DefaultParagraphFont"/>
    <w:uiPriority w:val="21"/>
    <w:qFormat/>
    <w:rsid w:val="00684E0D"/>
    <w:rPr>
      <w:b/>
      <w:bCs/>
      <w:i/>
      <w:iCs/>
      <w:color w:val="4F81BD" w:themeColor="accent1"/>
    </w:rPr>
  </w:style>
  <w:style w:type="paragraph" w:styleId="IntenseQuote">
    <w:name w:val="Intense Quote"/>
    <w:basedOn w:val="Normal"/>
    <w:next w:val="Normal"/>
    <w:link w:val="IntenseQuoteChar"/>
    <w:uiPriority w:val="30"/>
    <w:qFormat/>
    <w:rsid w:val="00684E0D"/>
    <w:pPr>
      <w:pBdr>
        <w:bottom w:val="single" w:sz="4" w:space="4" w:color="4F81BD" w:themeColor="accent1"/>
      </w:pBdr>
      <w:spacing w:before="200" w:after="280" w:line="240" w:lineRule="auto"/>
      <w:ind w:left="936" w:right="936"/>
    </w:pPr>
    <w:rPr>
      <w:rFonts w:ascii="Arial" w:eastAsiaTheme="minorHAnsi" w:hAnsi="Arial" w:cs="Arial"/>
      <w:b/>
      <w:bCs/>
      <w:i/>
      <w:iCs/>
      <w:color w:val="4F81BD" w:themeColor="accent1"/>
      <w:szCs w:val="20"/>
    </w:rPr>
  </w:style>
  <w:style w:type="character" w:customStyle="1" w:styleId="IntenseQuoteChar">
    <w:name w:val="Intense Quote Char"/>
    <w:basedOn w:val="DefaultParagraphFont"/>
    <w:link w:val="IntenseQuote"/>
    <w:uiPriority w:val="30"/>
    <w:rsid w:val="00684E0D"/>
    <w:rPr>
      <w:rFonts w:ascii="Arial" w:eastAsiaTheme="minorHAnsi" w:hAnsi="Arial" w:cs="Arial"/>
      <w:b/>
      <w:bCs/>
      <w:i/>
      <w:iCs/>
      <w:color w:val="4F81BD" w:themeColor="accent1"/>
      <w:sz w:val="22"/>
    </w:rPr>
  </w:style>
  <w:style w:type="paragraph" w:styleId="FootnoteText">
    <w:name w:val="footnote text"/>
    <w:basedOn w:val="Normal"/>
    <w:link w:val="FootnoteTextChar"/>
    <w:uiPriority w:val="99"/>
    <w:rsid w:val="00684E0D"/>
    <w:pPr>
      <w:spacing w:line="240" w:lineRule="auto"/>
    </w:pPr>
    <w:rPr>
      <w:rFonts w:ascii="Arial" w:eastAsiaTheme="minorHAnsi" w:hAnsi="Arial" w:cs="Arial"/>
      <w:sz w:val="20"/>
      <w:szCs w:val="20"/>
    </w:rPr>
  </w:style>
  <w:style w:type="character" w:customStyle="1" w:styleId="FootnoteTextChar">
    <w:name w:val="Footnote Text Char"/>
    <w:basedOn w:val="DefaultParagraphFont"/>
    <w:link w:val="FootnoteText"/>
    <w:uiPriority w:val="99"/>
    <w:rsid w:val="00684E0D"/>
    <w:rPr>
      <w:rFonts w:ascii="Arial" w:eastAsiaTheme="minorHAnsi" w:hAnsi="Arial" w:cs="Arial"/>
    </w:rPr>
  </w:style>
  <w:style w:type="character" w:styleId="FootnoteReference">
    <w:name w:val="footnote reference"/>
    <w:uiPriority w:val="99"/>
    <w:rsid w:val="00684E0D"/>
    <w:rPr>
      <w:vertAlign w:val="superscript"/>
    </w:rPr>
  </w:style>
  <w:style w:type="character" w:customStyle="1" w:styleId="apple-converted-space">
    <w:name w:val="apple-converted-space"/>
    <w:basedOn w:val="DefaultParagraphFont"/>
    <w:rsid w:val="00684E0D"/>
  </w:style>
  <w:style w:type="character" w:customStyle="1" w:styleId="lexicon-term">
    <w:name w:val="lexicon-term"/>
    <w:basedOn w:val="DefaultParagraphFont"/>
    <w:rsid w:val="00684E0D"/>
  </w:style>
  <w:style w:type="paragraph" w:customStyle="1" w:styleId="60exhnormal">
    <w:name w:val="60 exh normal"/>
    <w:basedOn w:val="Normal"/>
    <w:rsid w:val="00684E0D"/>
    <w:pPr>
      <w:spacing w:before="0" w:after="0" w:line="240" w:lineRule="auto"/>
    </w:pPr>
    <w:rPr>
      <w:rFonts w:ascii="Arial" w:hAnsi="Arial"/>
      <w:szCs w:val="20"/>
      <w:lang w:val="en-US" w:eastAsia="en-US"/>
    </w:rPr>
  </w:style>
  <w:style w:type="paragraph" w:customStyle="1" w:styleId="70exhtblnormal">
    <w:name w:val="70 exh tbl normal"/>
    <w:basedOn w:val="Normal"/>
    <w:rsid w:val="00684E0D"/>
    <w:pPr>
      <w:spacing w:before="60" w:line="240" w:lineRule="auto"/>
      <w:ind w:left="144" w:right="289"/>
    </w:pPr>
    <w:rPr>
      <w:rFonts w:ascii="Arial" w:hAnsi="Arial"/>
      <w:sz w:val="24"/>
      <w:szCs w:val="20"/>
      <w:lang w:val="en-US" w:eastAsia="en-US"/>
    </w:rPr>
  </w:style>
  <w:style w:type="paragraph" w:customStyle="1" w:styleId="01squarebullet">
    <w:name w:val="01 square bullet"/>
    <w:basedOn w:val="Normal"/>
    <w:uiPriority w:val="3"/>
    <w:qFormat/>
    <w:rsid w:val="00684E0D"/>
    <w:pPr>
      <w:numPr>
        <w:numId w:val="23"/>
      </w:numPr>
      <w:spacing w:before="120" w:line="240" w:lineRule="auto"/>
      <w:ind w:right="142"/>
    </w:pPr>
    <w:rPr>
      <w:rFonts w:ascii="Arial" w:hAnsi="Arial"/>
      <w:szCs w:val="20"/>
      <w:lang w:val="en-US" w:eastAsia="en-US"/>
    </w:rPr>
  </w:style>
  <w:style w:type="paragraph" w:customStyle="1" w:styleId="02dash">
    <w:name w:val="02 dash"/>
    <w:basedOn w:val="01squarebullet"/>
    <w:uiPriority w:val="4"/>
    <w:qFormat/>
    <w:rsid w:val="00684E0D"/>
    <w:pPr>
      <w:numPr>
        <w:ilvl w:val="1"/>
      </w:numPr>
    </w:pPr>
  </w:style>
  <w:style w:type="paragraph" w:customStyle="1" w:styleId="03opensquarebullet">
    <w:name w:val="03 open square bullet"/>
    <w:basedOn w:val="02dash"/>
    <w:uiPriority w:val="5"/>
    <w:qFormat/>
    <w:rsid w:val="00684E0D"/>
    <w:pPr>
      <w:numPr>
        <w:ilvl w:val="2"/>
      </w:numPr>
    </w:pPr>
  </w:style>
  <w:style w:type="paragraph" w:customStyle="1" w:styleId="04shortdash">
    <w:name w:val="04 short dash"/>
    <w:basedOn w:val="03opensquarebullet"/>
    <w:uiPriority w:val="6"/>
    <w:qFormat/>
    <w:rsid w:val="00684E0D"/>
    <w:pPr>
      <w:numPr>
        <w:ilvl w:val="3"/>
      </w:numPr>
    </w:pPr>
  </w:style>
  <w:style w:type="paragraph" w:customStyle="1" w:styleId="Pa8">
    <w:name w:val="Pa8"/>
    <w:basedOn w:val="Default"/>
    <w:next w:val="Default"/>
    <w:uiPriority w:val="99"/>
    <w:rsid w:val="00684E0D"/>
    <w:pPr>
      <w:spacing w:line="201" w:lineRule="atLeast"/>
    </w:pPr>
    <w:rPr>
      <w:rFonts w:ascii="Helvetica 45 Light" w:eastAsiaTheme="minorHAnsi" w:hAnsi="Helvetica 45 Light" w:cstheme="minorBidi"/>
      <w:color w:val="auto"/>
      <w:lang w:eastAsia="en-US"/>
    </w:rPr>
  </w:style>
  <w:style w:type="character" w:customStyle="1" w:styleId="Style1Char">
    <w:name w:val="Style1 Char"/>
    <w:basedOn w:val="DefaultParagraphFont"/>
    <w:rsid w:val="00684E0D"/>
    <w:rPr>
      <w:rFonts w:asciiTheme="majorHAnsi" w:eastAsiaTheme="majorEastAsia" w:hAnsiTheme="majorHAnsi" w:cstheme="majorBidi"/>
      <w:b/>
      <w:i/>
      <w:color w:val="4F81BD" w:themeColor="accent1"/>
      <w:sz w:val="24"/>
      <w:szCs w:val="24"/>
    </w:rPr>
  </w:style>
  <w:style w:type="character" w:customStyle="1" w:styleId="textitem">
    <w:name w:val="textitem"/>
    <w:basedOn w:val="DefaultParagraphFont"/>
    <w:rsid w:val="00684E0D"/>
  </w:style>
  <w:style w:type="paragraph" w:customStyle="1" w:styleId="CaptionFigure">
    <w:name w:val="Caption Figure"/>
    <w:basedOn w:val="Caption"/>
    <w:link w:val="CaptionFigureChar"/>
    <w:qFormat/>
    <w:rsid w:val="00A84D48"/>
  </w:style>
  <w:style w:type="character" w:customStyle="1" w:styleId="CaptionFigureChar">
    <w:name w:val="Caption Figure Char"/>
    <w:basedOn w:val="CaptionChar"/>
    <w:link w:val="CaptionFigure"/>
    <w:rsid w:val="00A84D48"/>
    <w:rPr>
      <w:rFonts w:asciiTheme="minorHAnsi" w:eastAsiaTheme="minorHAnsi" w:hAnsiTheme="minorHAnsi" w:cs="Arial"/>
      <w:i/>
      <w:szCs w:val="22"/>
      <w:lang w:eastAsia="en-US"/>
    </w:rPr>
  </w:style>
  <w:style w:type="paragraph" w:customStyle="1" w:styleId="ExecSummaryHeading">
    <w:name w:val="Exec Summary Heading"/>
    <w:basedOn w:val="Normal"/>
    <w:qFormat/>
    <w:rsid w:val="009A5246"/>
    <w:pPr>
      <w:ind w:left="720" w:hanging="720"/>
    </w:pPr>
    <w:rPr>
      <w:b/>
      <w:bCs/>
      <w:smallCaps/>
      <w:color w:val="B56011"/>
      <w:sz w:val="24"/>
    </w:rPr>
  </w:style>
  <w:style w:type="paragraph" w:customStyle="1" w:styleId="BoxText">
    <w:name w:val="BoxText"/>
    <w:basedOn w:val="Normal"/>
    <w:qFormat/>
    <w:rsid w:val="00AC60DB"/>
    <w:pPr>
      <w:pBdr>
        <w:top w:val="single" w:sz="12" w:space="4" w:color="C75F09"/>
        <w:left w:val="single" w:sz="12" w:space="4" w:color="C75F09"/>
        <w:bottom w:val="single" w:sz="12" w:space="4" w:color="C75F09"/>
        <w:right w:val="single" w:sz="12" w:space="4" w:color="C75F09"/>
      </w:pBdr>
      <w:spacing w:before="0" w:after="120" w:line="240" w:lineRule="auto"/>
    </w:pPr>
    <w:rPr>
      <w:rFonts w:ascii="Calibri" w:hAnsi="Calibri"/>
      <w:color w:val="000000"/>
      <w:szCs w:val="20"/>
    </w:rPr>
  </w:style>
  <w:style w:type="paragraph" w:customStyle="1" w:styleId="BoxBullet">
    <w:name w:val="BoxBullet"/>
    <w:basedOn w:val="BoxText"/>
    <w:rsid w:val="00AC60DB"/>
    <w:pPr>
      <w:numPr>
        <w:numId w:val="67"/>
      </w:numPr>
    </w:pPr>
  </w:style>
  <w:style w:type="paragraph" w:customStyle="1" w:styleId="Tabletext">
    <w:name w:val="Table text"/>
    <w:basedOn w:val="Normal"/>
    <w:link w:val="TabletextChar"/>
    <w:qFormat/>
    <w:rsid w:val="00283332"/>
    <w:pPr>
      <w:spacing w:before="60"/>
    </w:pPr>
    <w:rPr>
      <w:sz w:val="20"/>
      <w:szCs w:val="20"/>
    </w:rPr>
  </w:style>
  <w:style w:type="paragraph" w:customStyle="1" w:styleId="Tableheading">
    <w:name w:val="Table heading"/>
    <w:basedOn w:val="Normal"/>
    <w:rsid w:val="007F3426"/>
    <w:pPr>
      <w:spacing w:before="60" w:line="240" w:lineRule="auto"/>
    </w:pPr>
    <w:rPr>
      <w:b/>
      <w:bCs/>
      <w:color w:val="000000"/>
      <w:sz w:val="20"/>
      <w:szCs w:val="20"/>
    </w:rPr>
  </w:style>
  <w:style w:type="paragraph" w:customStyle="1" w:styleId="AppendixStyle2">
    <w:name w:val="Appendix Style2"/>
    <w:basedOn w:val="Heading2Report"/>
    <w:qFormat/>
    <w:rsid w:val="00250799"/>
    <w:pPr>
      <w:numPr>
        <w:ilvl w:val="0"/>
        <w:numId w:val="0"/>
      </w:numPr>
      <w:spacing w:before="240"/>
    </w:pPr>
    <w:rPr>
      <w:color w:val="auto"/>
    </w:rPr>
  </w:style>
  <w:style w:type="paragraph" w:customStyle="1" w:styleId="NormalBulleted10pt">
    <w:name w:val="Normal Bulleted +10 pt"/>
    <w:basedOn w:val="NormalBulleted"/>
    <w:qFormat/>
    <w:rsid w:val="007E56E4"/>
    <w:pPr>
      <w:spacing w:before="60" w:after="0" w:line="240" w:lineRule="auto"/>
      <w:ind w:left="432" w:hanging="432"/>
    </w:pPr>
    <w:rPr>
      <w:sz w:val="20"/>
    </w:rPr>
  </w:style>
  <w:style w:type="paragraph" w:customStyle="1" w:styleId="TableTextDecimalAlign">
    <w:name w:val="TableTextDecimalAlign"/>
    <w:basedOn w:val="Normal"/>
    <w:rsid w:val="0018105F"/>
    <w:pPr>
      <w:keepNext/>
      <w:tabs>
        <w:tab w:val="decimal" w:pos="1119"/>
      </w:tabs>
      <w:spacing w:before="60" w:line="240" w:lineRule="auto"/>
    </w:pPr>
    <w:rPr>
      <w:rFonts w:ascii="Calibri" w:hAnsi="Calibri"/>
      <w:color w:val="000000"/>
      <w:sz w:val="20"/>
      <w:szCs w:val="21"/>
    </w:rPr>
  </w:style>
  <w:style w:type="paragraph" w:customStyle="1" w:styleId="Heading2a">
    <w:name w:val="Heading 2a"/>
    <w:basedOn w:val="Heading2"/>
    <w:qFormat/>
    <w:rsid w:val="00A86950"/>
    <w:pPr>
      <w:numPr>
        <w:ilvl w:val="0"/>
        <w:numId w:val="0"/>
      </w:numPr>
      <w:spacing w:after="120"/>
    </w:pPr>
  </w:style>
  <w:style w:type="character" w:customStyle="1" w:styleId="TabletextChar">
    <w:name w:val="Table text Char"/>
    <w:basedOn w:val="DefaultParagraphFont"/>
    <w:link w:val="Tabletext"/>
    <w:rsid w:val="00A86950"/>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22691">
      <w:bodyDiv w:val="1"/>
      <w:marLeft w:val="0"/>
      <w:marRight w:val="0"/>
      <w:marTop w:val="0"/>
      <w:marBottom w:val="0"/>
      <w:divBdr>
        <w:top w:val="none" w:sz="0" w:space="0" w:color="auto"/>
        <w:left w:val="none" w:sz="0" w:space="0" w:color="auto"/>
        <w:bottom w:val="none" w:sz="0" w:space="0" w:color="auto"/>
        <w:right w:val="none" w:sz="0" w:space="0" w:color="auto"/>
      </w:divBdr>
    </w:div>
    <w:div w:id="8067757">
      <w:bodyDiv w:val="1"/>
      <w:marLeft w:val="0"/>
      <w:marRight w:val="0"/>
      <w:marTop w:val="0"/>
      <w:marBottom w:val="0"/>
      <w:divBdr>
        <w:top w:val="none" w:sz="0" w:space="0" w:color="auto"/>
        <w:left w:val="none" w:sz="0" w:space="0" w:color="auto"/>
        <w:bottom w:val="none" w:sz="0" w:space="0" w:color="auto"/>
        <w:right w:val="none" w:sz="0" w:space="0" w:color="auto"/>
      </w:divBdr>
    </w:div>
    <w:div w:id="31732114">
      <w:bodyDiv w:val="1"/>
      <w:marLeft w:val="0"/>
      <w:marRight w:val="0"/>
      <w:marTop w:val="0"/>
      <w:marBottom w:val="0"/>
      <w:divBdr>
        <w:top w:val="none" w:sz="0" w:space="0" w:color="auto"/>
        <w:left w:val="none" w:sz="0" w:space="0" w:color="auto"/>
        <w:bottom w:val="none" w:sz="0" w:space="0" w:color="auto"/>
        <w:right w:val="none" w:sz="0" w:space="0" w:color="auto"/>
      </w:divBdr>
    </w:div>
    <w:div w:id="47270253">
      <w:bodyDiv w:val="1"/>
      <w:marLeft w:val="0"/>
      <w:marRight w:val="0"/>
      <w:marTop w:val="0"/>
      <w:marBottom w:val="0"/>
      <w:divBdr>
        <w:top w:val="none" w:sz="0" w:space="0" w:color="auto"/>
        <w:left w:val="none" w:sz="0" w:space="0" w:color="auto"/>
        <w:bottom w:val="none" w:sz="0" w:space="0" w:color="auto"/>
        <w:right w:val="none" w:sz="0" w:space="0" w:color="auto"/>
      </w:divBdr>
    </w:div>
    <w:div w:id="61104068">
      <w:bodyDiv w:val="1"/>
      <w:marLeft w:val="0"/>
      <w:marRight w:val="0"/>
      <w:marTop w:val="0"/>
      <w:marBottom w:val="0"/>
      <w:divBdr>
        <w:top w:val="none" w:sz="0" w:space="0" w:color="auto"/>
        <w:left w:val="none" w:sz="0" w:space="0" w:color="auto"/>
        <w:bottom w:val="none" w:sz="0" w:space="0" w:color="auto"/>
        <w:right w:val="none" w:sz="0" w:space="0" w:color="auto"/>
      </w:divBdr>
    </w:div>
    <w:div w:id="73670213">
      <w:bodyDiv w:val="1"/>
      <w:marLeft w:val="0"/>
      <w:marRight w:val="0"/>
      <w:marTop w:val="0"/>
      <w:marBottom w:val="0"/>
      <w:divBdr>
        <w:top w:val="none" w:sz="0" w:space="0" w:color="auto"/>
        <w:left w:val="none" w:sz="0" w:space="0" w:color="auto"/>
        <w:bottom w:val="none" w:sz="0" w:space="0" w:color="auto"/>
        <w:right w:val="none" w:sz="0" w:space="0" w:color="auto"/>
      </w:divBdr>
    </w:div>
    <w:div w:id="91897007">
      <w:bodyDiv w:val="1"/>
      <w:marLeft w:val="0"/>
      <w:marRight w:val="0"/>
      <w:marTop w:val="0"/>
      <w:marBottom w:val="0"/>
      <w:divBdr>
        <w:top w:val="none" w:sz="0" w:space="0" w:color="auto"/>
        <w:left w:val="none" w:sz="0" w:space="0" w:color="auto"/>
        <w:bottom w:val="none" w:sz="0" w:space="0" w:color="auto"/>
        <w:right w:val="none" w:sz="0" w:space="0" w:color="auto"/>
      </w:divBdr>
    </w:div>
    <w:div w:id="97255464">
      <w:bodyDiv w:val="1"/>
      <w:marLeft w:val="0"/>
      <w:marRight w:val="0"/>
      <w:marTop w:val="0"/>
      <w:marBottom w:val="0"/>
      <w:divBdr>
        <w:top w:val="none" w:sz="0" w:space="0" w:color="auto"/>
        <w:left w:val="none" w:sz="0" w:space="0" w:color="auto"/>
        <w:bottom w:val="none" w:sz="0" w:space="0" w:color="auto"/>
        <w:right w:val="none" w:sz="0" w:space="0" w:color="auto"/>
      </w:divBdr>
    </w:div>
    <w:div w:id="98375142">
      <w:bodyDiv w:val="1"/>
      <w:marLeft w:val="0"/>
      <w:marRight w:val="0"/>
      <w:marTop w:val="0"/>
      <w:marBottom w:val="0"/>
      <w:divBdr>
        <w:top w:val="none" w:sz="0" w:space="0" w:color="auto"/>
        <w:left w:val="none" w:sz="0" w:space="0" w:color="auto"/>
        <w:bottom w:val="none" w:sz="0" w:space="0" w:color="auto"/>
        <w:right w:val="none" w:sz="0" w:space="0" w:color="auto"/>
      </w:divBdr>
    </w:div>
    <w:div w:id="106852845">
      <w:bodyDiv w:val="1"/>
      <w:marLeft w:val="0"/>
      <w:marRight w:val="0"/>
      <w:marTop w:val="0"/>
      <w:marBottom w:val="0"/>
      <w:divBdr>
        <w:top w:val="none" w:sz="0" w:space="0" w:color="auto"/>
        <w:left w:val="none" w:sz="0" w:space="0" w:color="auto"/>
        <w:bottom w:val="none" w:sz="0" w:space="0" w:color="auto"/>
        <w:right w:val="none" w:sz="0" w:space="0" w:color="auto"/>
      </w:divBdr>
    </w:div>
    <w:div w:id="123546653">
      <w:bodyDiv w:val="1"/>
      <w:marLeft w:val="0"/>
      <w:marRight w:val="0"/>
      <w:marTop w:val="0"/>
      <w:marBottom w:val="0"/>
      <w:divBdr>
        <w:top w:val="none" w:sz="0" w:space="0" w:color="auto"/>
        <w:left w:val="none" w:sz="0" w:space="0" w:color="auto"/>
        <w:bottom w:val="none" w:sz="0" w:space="0" w:color="auto"/>
        <w:right w:val="none" w:sz="0" w:space="0" w:color="auto"/>
      </w:divBdr>
    </w:div>
    <w:div w:id="161243583">
      <w:bodyDiv w:val="1"/>
      <w:marLeft w:val="0"/>
      <w:marRight w:val="0"/>
      <w:marTop w:val="0"/>
      <w:marBottom w:val="0"/>
      <w:divBdr>
        <w:top w:val="none" w:sz="0" w:space="0" w:color="auto"/>
        <w:left w:val="none" w:sz="0" w:space="0" w:color="auto"/>
        <w:bottom w:val="none" w:sz="0" w:space="0" w:color="auto"/>
        <w:right w:val="none" w:sz="0" w:space="0" w:color="auto"/>
      </w:divBdr>
    </w:div>
    <w:div w:id="168180599">
      <w:bodyDiv w:val="1"/>
      <w:marLeft w:val="0"/>
      <w:marRight w:val="0"/>
      <w:marTop w:val="0"/>
      <w:marBottom w:val="0"/>
      <w:divBdr>
        <w:top w:val="none" w:sz="0" w:space="0" w:color="auto"/>
        <w:left w:val="none" w:sz="0" w:space="0" w:color="auto"/>
        <w:bottom w:val="none" w:sz="0" w:space="0" w:color="auto"/>
        <w:right w:val="none" w:sz="0" w:space="0" w:color="auto"/>
      </w:divBdr>
    </w:div>
    <w:div w:id="208881965">
      <w:bodyDiv w:val="1"/>
      <w:marLeft w:val="0"/>
      <w:marRight w:val="0"/>
      <w:marTop w:val="0"/>
      <w:marBottom w:val="0"/>
      <w:divBdr>
        <w:top w:val="none" w:sz="0" w:space="0" w:color="auto"/>
        <w:left w:val="none" w:sz="0" w:space="0" w:color="auto"/>
        <w:bottom w:val="none" w:sz="0" w:space="0" w:color="auto"/>
        <w:right w:val="none" w:sz="0" w:space="0" w:color="auto"/>
      </w:divBdr>
    </w:div>
    <w:div w:id="215121331">
      <w:bodyDiv w:val="1"/>
      <w:marLeft w:val="0"/>
      <w:marRight w:val="0"/>
      <w:marTop w:val="0"/>
      <w:marBottom w:val="0"/>
      <w:divBdr>
        <w:top w:val="none" w:sz="0" w:space="0" w:color="auto"/>
        <w:left w:val="none" w:sz="0" w:space="0" w:color="auto"/>
        <w:bottom w:val="none" w:sz="0" w:space="0" w:color="auto"/>
        <w:right w:val="none" w:sz="0" w:space="0" w:color="auto"/>
      </w:divBdr>
    </w:div>
    <w:div w:id="250895780">
      <w:bodyDiv w:val="1"/>
      <w:marLeft w:val="0"/>
      <w:marRight w:val="0"/>
      <w:marTop w:val="0"/>
      <w:marBottom w:val="0"/>
      <w:divBdr>
        <w:top w:val="none" w:sz="0" w:space="0" w:color="auto"/>
        <w:left w:val="none" w:sz="0" w:space="0" w:color="auto"/>
        <w:bottom w:val="none" w:sz="0" w:space="0" w:color="auto"/>
        <w:right w:val="none" w:sz="0" w:space="0" w:color="auto"/>
      </w:divBdr>
    </w:div>
    <w:div w:id="261955232">
      <w:bodyDiv w:val="1"/>
      <w:marLeft w:val="0"/>
      <w:marRight w:val="0"/>
      <w:marTop w:val="0"/>
      <w:marBottom w:val="0"/>
      <w:divBdr>
        <w:top w:val="none" w:sz="0" w:space="0" w:color="auto"/>
        <w:left w:val="none" w:sz="0" w:space="0" w:color="auto"/>
        <w:bottom w:val="none" w:sz="0" w:space="0" w:color="auto"/>
        <w:right w:val="none" w:sz="0" w:space="0" w:color="auto"/>
      </w:divBdr>
    </w:div>
    <w:div w:id="271909339">
      <w:bodyDiv w:val="1"/>
      <w:marLeft w:val="0"/>
      <w:marRight w:val="0"/>
      <w:marTop w:val="0"/>
      <w:marBottom w:val="0"/>
      <w:divBdr>
        <w:top w:val="none" w:sz="0" w:space="0" w:color="auto"/>
        <w:left w:val="none" w:sz="0" w:space="0" w:color="auto"/>
        <w:bottom w:val="none" w:sz="0" w:space="0" w:color="auto"/>
        <w:right w:val="none" w:sz="0" w:space="0" w:color="auto"/>
      </w:divBdr>
    </w:div>
    <w:div w:id="295456502">
      <w:bodyDiv w:val="1"/>
      <w:marLeft w:val="0"/>
      <w:marRight w:val="0"/>
      <w:marTop w:val="0"/>
      <w:marBottom w:val="0"/>
      <w:divBdr>
        <w:top w:val="none" w:sz="0" w:space="0" w:color="auto"/>
        <w:left w:val="none" w:sz="0" w:space="0" w:color="auto"/>
        <w:bottom w:val="none" w:sz="0" w:space="0" w:color="auto"/>
        <w:right w:val="none" w:sz="0" w:space="0" w:color="auto"/>
      </w:divBdr>
    </w:div>
    <w:div w:id="303774886">
      <w:bodyDiv w:val="1"/>
      <w:marLeft w:val="0"/>
      <w:marRight w:val="0"/>
      <w:marTop w:val="0"/>
      <w:marBottom w:val="0"/>
      <w:divBdr>
        <w:top w:val="none" w:sz="0" w:space="0" w:color="auto"/>
        <w:left w:val="none" w:sz="0" w:space="0" w:color="auto"/>
        <w:bottom w:val="none" w:sz="0" w:space="0" w:color="auto"/>
        <w:right w:val="none" w:sz="0" w:space="0" w:color="auto"/>
      </w:divBdr>
    </w:div>
    <w:div w:id="323556138">
      <w:bodyDiv w:val="1"/>
      <w:marLeft w:val="0"/>
      <w:marRight w:val="0"/>
      <w:marTop w:val="0"/>
      <w:marBottom w:val="0"/>
      <w:divBdr>
        <w:top w:val="none" w:sz="0" w:space="0" w:color="auto"/>
        <w:left w:val="none" w:sz="0" w:space="0" w:color="auto"/>
        <w:bottom w:val="none" w:sz="0" w:space="0" w:color="auto"/>
        <w:right w:val="none" w:sz="0" w:space="0" w:color="auto"/>
      </w:divBdr>
    </w:div>
    <w:div w:id="324207556">
      <w:bodyDiv w:val="1"/>
      <w:marLeft w:val="0"/>
      <w:marRight w:val="0"/>
      <w:marTop w:val="0"/>
      <w:marBottom w:val="0"/>
      <w:divBdr>
        <w:top w:val="none" w:sz="0" w:space="0" w:color="auto"/>
        <w:left w:val="none" w:sz="0" w:space="0" w:color="auto"/>
        <w:bottom w:val="none" w:sz="0" w:space="0" w:color="auto"/>
        <w:right w:val="none" w:sz="0" w:space="0" w:color="auto"/>
      </w:divBdr>
    </w:div>
    <w:div w:id="324359780">
      <w:bodyDiv w:val="1"/>
      <w:marLeft w:val="0"/>
      <w:marRight w:val="0"/>
      <w:marTop w:val="0"/>
      <w:marBottom w:val="0"/>
      <w:divBdr>
        <w:top w:val="none" w:sz="0" w:space="0" w:color="auto"/>
        <w:left w:val="none" w:sz="0" w:space="0" w:color="auto"/>
        <w:bottom w:val="none" w:sz="0" w:space="0" w:color="auto"/>
        <w:right w:val="none" w:sz="0" w:space="0" w:color="auto"/>
      </w:divBdr>
    </w:div>
    <w:div w:id="348141111">
      <w:bodyDiv w:val="1"/>
      <w:marLeft w:val="0"/>
      <w:marRight w:val="0"/>
      <w:marTop w:val="0"/>
      <w:marBottom w:val="0"/>
      <w:divBdr>
        <w:top w:val="none" w:sz="0" w:space="0" w:color="auto"/>
        <w:left w:val="none" w:sz="0" w:space="0" w:color="auto"/>
        <w:bottom w:val="none" w:sz="0" w:space="0" w:color="auto"/>
        <w:right w:val="none" w:sz="0" w:space="0" w:color="auto"/>
      </w:divBdr>
    </w:div>
    <w:div w:id="348529493">
      <w:bodyDiv w:val="1"/>
      <w:marLeft w:val="0"/>
      <w:marRight w:val="0"/>
      <w:marTop w:val="0"/>
      <w:marBottom w:val="0"/>
      <w:divBdr>
        <w:top w:val="none" w:sz="0" w:space="0" w:color="auto"/>
        <w:left w:val="none" w:sz="0" w:space="0" w:color="auto"/>
        <w:bottom w:val="none" w:sz="0" w:space="0" w:color="auto"/>
        <w:right w:val="none" w:sz="0" w:space="0" w:color="auto"/>
      </w:divBdr>
    </w:div>
    <w:div w:id="382414444">
      <w:bodyDiv w:val="1"/>
      <w:marLeft w:val="0"/>
      <w:marRight w:val="0"/>
      <w:marTop w:val="0"/>
      <w:marBottom w:val="0"/>
      <w:divBdr>
        <w:top w:val="none" w:sz="0" w:space="0" w:color="auto"/>
        <w:left w:val="none" w:sz="0" w:space="0" w:color="auto"/>
        <w:bottom w:val="none" w:sz="0" w:space="0" w:color="auto"/>
        <w:right w:val="none" w:sz="0" w:space="0" w:color="auto"/>
      </w:divBdr>
    </w:div>
    <w:div w:id="407075630">
      <w:bodyDiv w:val="1"/>
      <w:marLeft w:val="0"/>
      <w:marRight w:val="0"/>
      <w:marTop w:val="0"/>
      <w:marBottom w:val="0"/>
      <w:divBdr>
        <w:top w:val="none" w:sz="0" w:space="0" w:color="auto"/>
        <w:left w:val="none" w:sz="0" w:space="0" w:color="auto"/>
        <w:bottom w:val="none" w:sz="0" w:space="0" w:color="auto"/>
        <w:right w:val="none" w:sz="0" w:space="0" w:color="auto"/>
      </w:divBdr>
    </w:div>
    <w:div w:id="427238775">
      <w:bodyDiv w:val="1"/>
      <w:marLeft w:val="0"/>
      <w:marRight w:val="0"/>
      <w:marTop w:val="0"/>
      <w:marBottom w:val="0"/>
      <w:divBdr>
        <w:top w:val="none" w:sz="0" w:space="0" w:color="auto"/>
        <w:left w:val="none" w:sz="0" w:space="0" w:color="auto"/>
        <w:bottom w:val="none" w:sz="0" w:space="0" w:color="auto"/>
        <w:right w:val="none" w:sz="0" w:space="0" w:color="auto"/>
      </w:divBdr>
    </w:div>
    <w:div w:id="447310634">
      <w:bodyDiv w:val="1"/>
      <w:marLeft w:val="0"/>
      <w:marRight w:val="0"/>
      <w:marTop w:val="0"/>
      <w:marBottom w:val="0"/>
      <w:divBdr>
        <w:top w:val="none" w:sz="0" w:space="0" w:color="auto"/>
        <w:left w:val="none" w:sz="0" w:space="0" w:color="auto"/>
        <w:bottom w:val="none" w:sz="0" w:space="0" w:color="auto"/>
        <w:right w:val="none" w:sz="0" w:space="0" w:color="auto"/>
      </w:divBdr>
    </w:div>
    <w:div w:id="450051275">
      <w:bodyDiv w:val="1"/>
      <w:marLeft w:val="0"/>
      <w:marRight w:val="0"/>
      <w:marTop w:val="0"/>
      <w:marBottom w:val="0"/>
      <w:divBdr>
        <w:top w:val="none" w:sz="0" w:space="0" w:color="auto"/>
        <w:left w:val="none" w:sz="0" w:space="0" w:color="auto"/>
        <w:bottom w:val="none" w:sz="0" w:space="0" w:color="auto"/>
        <w:right w:val="none" w:sz="0" w:space="0" w:color="auto"/>
      </w:divBdr>
    </w:div>
    <w:div w:id="450131353">
      <w:bodyDiv w:val="1"/>
      <w:marLeft w:val="0"/>
      <w:marRight w:val="0"/>
      <w:marTop w:val="0"/>
      <w:marBottom w:val="0"/>
      <w:divBdr>
        <w:top w:val="none" w:sz="0" w:space="0" w:color="auto"/>
        <w:left w:val="none" w:sz="0" w:space="0" w:color="auto"/>
        <w:bottom w:val="none" w:sz="0" w:space="0" w:color="auto"/>
        <w:right w:val="none" w:sz="0" w:space="0" w:color="auto"/>
      </w:divBdr>
    </w:div>
    <w:div w:id="496655445">
      <w:bodyDiv w:val="1"/>
      <w:marLeft w:val="0"/>
      <w:marRight w:val="0"/>
      <w:marTop w:val="0"/>
      <w:marBottom w:val="0"/>
      <w:divBdr>
        <w:top w:val="none" w:sz="0" w:space="0" w:color="auto"/>
        <w:left w:val="none" w:sz="0" w:space="0" w:color="auto"/>
        <w:bottom w:val="none" w:sz="0" w:space="0" w:color="auto"/>
        <w:right w:val="none" w:sz="0" w:space="0" w:color="auto"/>
      </w:divBdr>
    </w:div>
    <w:div w:id="512377709">
      <w:bodyDiv w:val="1"/>
      <w:marLeft w:val="0"/>
      <w:marRight w:val="0"/>
      <w:marTop w:val="0"/>
      <w:marBottom w:val="0"/>
      <w:divBdr>
        <w:top w:val="none" w:sz="0" w:space="0" w:color="auto"/>
        <w:left w:val="none" w:sz="0" w:space="0" w:color="auto"/>
        <w:bottom w:val="none" w:sz="0" w:space="0" w:color="auto"/>
        <w:right w:val="none" w:sz="0" w:space="0" w:color="auto"/>
      </w:divBdr>
    </w:div>
    <w:div w:id="532502687">
      <w:bodyDiv w:val="1"/>
      <w:marLeft w:val="0"/>
      <w:marRight w:val="0"/>
      <w:marTop w:val="0"/>
      <w:marBottom w:val="0"/>
      <w:divBdr>
        <w:top w:val="none" w:sz="0" w:space="0" w:color="auto"/>
        <w:left w:val="none" w:sz="0" w:space="0" w:color="auto"/>
        <w:bottom w:val="none" w:sz="0" w:space="0" w:color="auto"/>
        <w:right w:val="none" w:sz="0" w:space="0" w:color="auto"/>
      </w:divBdr>
    </w:div>
    <w:div w:id="556597761">
      <w:bodyDiv w:val="1"/>
      <w:marLeft w:val="0"/>
      <w:marRight w:val="0"/>
      <w:marTop w:val="0"/>
      <w:marBottom w:val="0"/>
      <w:divBdr>
        <w:top w:val="none" w:sz="0" w:space="0" w:color="auto"/>
        <w:left w:val="none" w:sz="0" w:space="0" w:color="auto"/>
        <w:bottom w:val="none" w:sz="0" w:space="0" w:color="auto"/>
        <w:right w:val="none" w:sz="0" w:space="0" w:color="auto"/>
      </w:divBdr>
    </w:div>
    <w:div w:id="557546890">
      <w:bodyDiv w:val="1"/>
      <w:marLeft w:val="0"/>
      <w:marRight w:val="0"/>
      <w:marTop w:val="0"/>
      <w:marBottom w:val="0"/>
      <w:divBdr>
        <w:top w:val="none" w:sz="0" w:space="0" w:color="auto"/>
        <w:left w:val="none" w:sz="0" w:space="0" w:color="auto"/>
        <w:bottom w:val="none" w:sz="0" w:space="0" w:color="auto"/>
        <w:right w:val="none" w:sz="0" w:space="0" w:color="auto"/>
      </w:divBdr>
    </w:div>
    <w:div w:id="586036538">
      <w:bodyDiv w:val="1"/>
      <w:marLeft w:val="0"/>
      <w:marRight w:val="0"/>
      <w:marTop w:val="0"/>
      <w:marBottom w:val="0"/>
      <w:divBdr>
        <w:top w:val="none" w:sz="0" w:space="0" w:color="auto"/>
        <w:left w:val="none" w:sz="0" w:space="0" w:color="auto"/>
        <w:bottom w:val="none" w:sz="0" w:space="0" w:color="auto"/>
        <w:right w:val="none" w:sz="0" w:space="0" w:color="auto"/>
      </w:divBdr>
    </w:div>
    <w:div w:id="603421191">
      <w:bodyDiv w:val="1"/>
      <w:marLeft w:val="0"/>
      <w:marRight w:val="0"/>
      <w:marTop w:val="0"/>
      <w:marBottom w:val="0"/>
      <w:divBdr>
        <w:top w:val="none" w:sz="0" w:space="0" w:color="auto"/>
        <w:left w:val="none" w:sz="0" w:space="0" w:color="auto"/>
        <w:bottom w:val="none" w:sz="0" w:space="0" w:color="auto"/>
        <w:right w:val="none" w:sz="0" w:space="0" w:color="auto"/>
      </w:divBdr>
    </w:div>
    <w:div w:id="605112079">
      <w:bodyDiv w:val="1"/>
      <w:marLeft w:val="0"/>
      <w:marRight w:val="0"/>
      <w:marTop w:val="0"/>
      <w:marBottom w:val="0"/>
      <w:divBdr>
        <w:top w:val="none" w:sz="0" w:space="0" w:color="auto"/>
        <w:left w:val="none" w:sz="0" w:space="0" w:color="auto"/>
        <w:bottom w:val="none" w:sz="0" w:space="0" w:color="auto"/>
        <w:right w:val="none" w:sz="0" w:space="0" w:color="auto"/>
      </w:divBdr>
    </w:div>
    <w:div w:id="644510575">
      <w:bodyDiv w:val="1"/>
      <w:marLeft w:val="0"/>
      <w:marRight w:val="0"/>
      <w:marTop w:val="0"/>
      <w:marBottom w:val="0"/>
      <w:divBdr>
        <w:top w:val="none" w:sz="0" w:space="0" w:color="auto"/>
        <w:left w:val="none" w:sz="0" w:space="0" w:color="auto"/>
        <w:bottom w:val="none" w:sz="0" w:space="0" w:color="auto"/>
        <w:right w:val="none" w:sz="0" w:space="0" w:color="auto"/>
      </w:divBdr>
    </w:div>
    <w:div w:id="655719887">
      <w:bodyDiv w:val="1"/>
      <w:marLeft w:val="0"/>
      <w:marRight w:val="0"/>
      <w:marTop w:val="0"/>
      <w:marBottom w:val="0"/>
      <w:divBdr>
        <w:top w:val="none" w:sz="0" w:space="0" w:color="auto"/>
        <w:left w:val="none" w:sz="0" w:space="0" w:color="auto"/>
        <w:bottom w:val="none" w:sz="0" w:space="0" w:color="auto"/>
        <w:right w:val="none" w:sz="0" w:space="0" w:color="auto"/>
      </w:divBdr>
    </w:div>
    <w:div w:id="681709713">
      <w:bodyDiv w:val="1"/>
      <w:marLeft w:val="0"/>
      <w:marRight w:val="0"/>
      <w:marTop w:val="0"/>
      <w:marBottom w:val="0"/>
      <w:divBdr>
        <w:top w:val="none" w:sz="0" w:space="0" w:color="auto"/>
        <w:left w:val="none" w:sz="0" w:space="0" w:color="auto"/>
        <w:bottom w:val="none" w:sz="0" w:space="0" w:color="auto"/>
        <w:right w:val="none" w:sz="0" w:space="0" w:color="auto"/>
      </w:divBdr>
    </w:div>
    <w:div w:id="683090741">
      <w:bodyDiv w:val="1"/>
      <w:marLeft w:val="0"/>
      <w:marRight w:val="0"/>
      <w:marTop w:val="0"/>
      <w:marBottom w:val="0"/>
      <w:divBdr>
        <w:top w:val="none" w:sz="0" w:space="0" w:color="auto"/>
        <w:left w:val="none" w:sz="0" w:space="0" w:color="auto"/>
        <w:bottom w:val="none" w:sz="0" w:space="0" w:color="auto"/>
        <w:right w:val="none" w:sz="0" w:space="0" w:color="auto"/>
      </w:divBdr>
    </w:div>
    <w:div w:id="698970073">
      <w:bodyDiv w:val="1"/>
      <w:marLeft w:val="0"/>
      <w:marRight w:val="0"/>
      <w:marTop w:val="0"/>
      <w:marBottom w:val="0"/>
      <w:divBdr>
        <w:top w:val="none" w:sz="0" w:space="0" w:color="auto"/>
        <w:left w:val="none" w:sz="0" w:space="0" w:color="auto"/>
        <w:bottom w:val="none" w:sz="0" w:space="0" w:color="auto"/>
        <w:right w:val="none" w:sz="0" w:space="0" w:color="auto"/>
      </w:divBdr>
    </w:div>
    <w:div w:id="705983148">
      <w:bodyDiv w:val="1"/>
      <w:marLeft w:val="0"/>
      <w:marRight w:val="0"/>
      <w:marTop w:val="0"/>
      <w:marBottom w:val="0"/>
      <w:divBdr>
        <w:top w:val="none" w:sz="0" w:space="0" w:color="auto"/>
        <w:left w:val="none" w:sz="0" w:space="0" w:color="auto"/>
        <w:bottom w:val="none" w:sz="0" w:space="0" w:color="auto"/>
        <w:right w:val="none" w:sz="0" w:space="0" w:color="auto"/>
      </w:divBdr>
    </w:div>
    <w:div w:id="719134470">
      <w:bodyDiv w:val="1"/>
      <w:marLeft w:val="0"/>
      <w:marRight w:val="0"/>
      <w:marTop w:val="0"/>
      <w:marBottom w:val="0"/>
      <w:divBdr>
        <w:top w:val="none" w:sz="0" w:space="0" w:color="auto"/>
        <w:left w:val="none" w:sz="0" w:space="0" w:color="auto"/>
        <w:bottom w:val="none" w:sz="0" w:space="0" w:color="auto"/>
        <w:right w:val="none" w:sz="0" w:space="0" w:color="auto"/>
      </w:divBdr>
    </w:div>
    <w:div w:id="721372298">
      <w:bodyDiv w:val="1"/>
      <w:marLeft w:val="0"/>
      <w:marRight w:val="0"/>
      <w:marTop w:val="0"/>
      <w:marBottom w:val="0"/>
      <w:divBdr>
        <w:top w:val="none" w:sz="0" w:space="0" w:color="auto"/>
        <w:left w:val="none" w:sz="0" w:space="0" w:color="auto"/>
        <w:bottom w:val="none" w:sz="0" w:space="0" w:color="auto"/>
        <w:right w:val="none" w:sz="0" w:space="0" w:color="auto"/>
      </w:divBdr>
    </w:div>
    <w:div w:id="735322854">
      <w:bodyDiv w:val="1"/>
      <w:marLeft w:val="0"/>
      <w:marRight w:val="0"/>
      <w:marTop w:val="0"/>
      <w:marBottom w:val="0"/>
      <w:divBdr>
        <w:top w:val="none" w:sz="0" w:space="0" w:color="auto"/>
        <w:left w:val="none" w:sz="0" w:space="0" w:color="auto"/>
        <w:bottom w:val="none" w:sz="0" w:space="0" w:color="auto"/>
        <w:right w:val="none" w:sz="0" w:space="0" w:color="auto"/>
      </w:divBdr>
    </w:div>
    <w:div w:id="740716157">
      <w:bodyDiv w:val="1"/>
      <w:marLeft w:val="0"/>
      <w:marRight w:val="0"/>
      <w:marTop w:val="0"/>
      <w:marBottom w:val="0"/>
      <w:divBdr>
        <w:top w:val="none" w:sz="0" w:space="0" w:color="auto"/>
        <w:left w:val="none" w:sz="0" w:space="0" w:color="auto"/>
        <w:bottom w:val="none" w:sz="0" w:space="0" w:color="auto"/>
        <w:right w:val="none" w:sz="0" w:space="0" w:color="auto"/>
      </w:divBdr>
    </w:div>
    <w:div w:id="811210938">
      <w:bodyDiv w:val="1"/>
      <w:marLeft w:val="0"/>
      <w:marRight w:val="0"/>
      <w:marTop w:val="0"/>
      <w:marBottom w:val="0"/>
      <w:divBdr>
        <w:top w:val="none" w:sz="0" w:space="0" w:color="auto"/>
        <w:left w:val="none" w:sz="0" w:space="0" w:color="auto"/>
        <w:bottom w:val="none" w:sz="0" w:space="0" w:color="auto"/>
        <w:right w:val="none" w:sz="0" w:space="0" w:color="auto"/>
      </w:divBdr>
    </w:div>
    <w:div w:id="841823400">
      <w:bodyDiv w:val="1"/>
      <w:marLeft w:val="0"/>
      <w:marRight w:val="0"/>
      <w:marTop w:val="0"/>
      <w:marBottom w:val="0"/>
      <w:divBdr>
        <w:top w:val="none" w:sz="0" w:space="0" w:color="auto"/>
        <w:left w:val="none" w:sz="0" w:space="0" w:color="auto"/>
        <w:bottom w:val="none" w:sz="0" w:space="0" w:color="auto"/>
        <w:right w:val="none" w:sz="0" w:space="0" w:color="auto"/>
      </w:divBdr>
    </w:div>
    <w:div w:id="868030096">
      <w:bodyDiv w:val="1"/>
      <w:marLeft w:val="0"/>
      <w:marRight w:val="0"/>
      <w:marTop w:val="0"/>
      <w:marBottom w:val="0"/>
      <w:divBdr>
        <w:top w:val="none" w:sz="0" w:space="0" w:color="auto"/>
        <w:left w:val="none" w:sz="0" w:space="0" w:color="auto"/>
        <w:bottom w:val="none" w:sz="0" w:space="0" w:color="auto"/>
        <w:right w:val="none" w:sz="0" w:space="0" w:color="auto"/>
      </w:divBdr>
    </w:div>
    <w:div w:id="901524996">
      <w:bodyDiv w:val="1"/>
      <w:marLeft w:val="0"/>
      <w:marRight w:val="0"/>
      <w:marTop w:val="0"/>
      <w:marBottom w:val="0"/>
      <w:divBdr>
        <w:top w:val="none" w:sz="0" w:space="0" w:color="auto"/>
        <w:left w:val="none" w:sz="0" w:space="0" w:color="auto"/>
        <w:bottom w:val="none" w:sz="0" w:space="0" w:color="auto"/>
        <w:right w:val="none" w:sz="0" w:space="0" w:color="auto"/>
      </w:divBdr>
    </w:div>
    <w:div w:id="902835136">
      <w:bodyDiv w:val="1"/>
      <w:marLeft w:val="0"/>
      <w:marRight w:val="0"/>
      <w:marTop w:val="0"/>
      <w:marBottom w:val="0"/>
      <w:divBdr>
        <w:top w:val="none" w:sz="0" w:space="0" w:color="auto"/>
        <w:left w:val="none" w:sz="0" w:space="0" w:color="auto"/>
        <w:bottom w:val="none" w:sz="0" w:space="0" w:color="auto"/>
        <w:right w:val="none" w:sz="0" w:space="0" w:color="auto"/>
      </w:divBdr>
    </w:div>
    <w:div w:id="907544114">
      <w:bodyDiv w:val="1"/>
      <w:marLeft w:val="0"/>
      <w:marRight w:val="0"/>
      <w:marTop w:val="0"/>
      <w:marBottom w:val="0"/>
      <w:divBdr>
        <w:top w:val="none" w:sz="0" w:space="0" w:color="auto"/>
        <w:left w:val="none" w:sz="0" w:space="0" w:color="auto"/>
        <w:bottom w:val="none" w:sz="0" w:space="0" w:color="auto"/>
        <w:right w:val="none" w:sz="0" w:space="0" w:color="auto"/>
      </w:divBdr>
    </w:div>
    <w:div w:id="942147021">
      <w:bodyDiv w:val="1"/>
      <w:marLeft w:val="0"/>
      <w:marRight w:val="0"/>
      <w:marTop w:val="0"/>
      <w:marBottom w:val="0"/>
      <w:divBdr>
        <w:top w:val="none" w:sz="0" w:space="0" w:color="auto"/>
        <w:left w:val="none" w:sz="0" w:space="0" w:color="auto"/>
        <w:bottom w:val="none" w:sz="0" w:space="0" w:color="auto"/>
        <w:right w:val="none" w:sz="0" w:space="0" w:color="auto"/>
      </w:divBdr>
    </w:div>
    <w:div w:id="1015496147">
      <w:bodyDiv w:val="1"/>
      <w:marLeft w:val="0"/>
      <w:marRight w:val="0"/>
      <w:marTop w:val="0"/>
      <w:marBottom w:val="0"/>
      <w:divBdr>
        <w:top w:val="none" w:sz="0" w:space="0" w:color="auto"/>
        <w:left w:val="none" w:sz="0" w:space="0" w:color="auto"/>
        <w:bottom w:val="none" w:sz="0" w:space="0" w:color="auto"/>
        <w:right w:val="none" w:sz="0" w:space="0" w:color="auto"/>
      </w:divBdr>
    </w:div>
    <w:div w:id="1019282994">
      <w:bodyDiv w:val="1"/>
      <w:marLeft w:val="0"/>
      <w:marRight w:val="0"/>
      <w:marTop w:val="0"/>
      <w:marBottom w:val="0"/>
      <w:divBdr>
        <w:top w:val="none" w:sz="0" w:space="0" w:color="auto"/>
        <w:left w:val="none" w:sz="0" w:space="0" w:color="auto"/>
        <w:bottom w:val="none" w:sz="0" w:space="0" w:color="auto"/>
        <w:right w:val="none" w:sz="0" w:space="0" w:color="auto"/>
      </w:divBdr>
    </w:div>
    <w:div w:id="1022322433">
      <w:bodyDiv w:val="1"/>
      <w:marLeft w:val="0"/>
      <w:marRight w:val="0"/>
      <w:marTop w:val="0"/>
      <w:marBottom w:val="0"/>
      <w:divBdr>
        <w:top w:val="none" w:sz="0" w:space="0" w:color="auto"/>
        <w:left w:val="none" w:sz="0" w:space="0" w:color="auto"/>
        <w:bottom w:val="none" w:sz="0" w:space="0" w:color="auto"/>
        <w:right w:val="none" w:sz="0" w:space="0" w:color="auto"/>
      </w:divBdr>
    </w:div>
    <w:div w:id="1033264943">
      <w:bodyDiv w:val="1"/>
      <w:marLeft w:val="0"/>
      <w:marRight w:val="0"/>
      <w:marTop w:val="0"/>
      <w:marBottom w:val="0"/>
      <w:divBdr>
        <w:top w:val="none" w:sz="0" w:space="0" w:color="auto"/>
        <w:left w:val="none" w:sz="0" w:space="0" w:color="auto"/>
        <w:bottom w:val="none" w:sz="0" w:space="0" w:color="auto"/>
        <w:right w:val="none" w:sz="0" w:space="0" w:color="auto"/>
      </w:divBdr>
    </w:div>
    <w:div w:id="1039401304">
      <w:bodyDiv w:val="1"/>
      <w:marLeft w:val="0"/>
      <w:marRight w:val="0"/>
      <w:marTop w:val="0"/>
      <w:marBottom w:val="0"/>
      <w:divBdr>
        <w:top w:val="none" w:sz="0" w:space="0" w:color="auto"/>
        <w:left w:val="none" w:sz="0" w:space="0" w:color="auto"/>
        <w:bottom w:val="none" w:sz="0" w:space="0" w:color="auto"/>
        <w:right w:val="none" w:sz="0" w:space="0" w:color="auto"/>
      </w:divBdr>
    </w:div>
    <w:div w:id="1042906393">
      <w:bodyDiv w:val="1"/>
      <w:marLeft w:val="0"/>
      <w:marRight w:val="0"/>
      <w:marTop w:val="0"/>
      <w:marBottom w:val="0"/>
      <w:divBdr>
        <w:top w:val="none" w:sz="0" w:space="0" w:color="auto"/>
        <w:left w:val="none" w:sz="0" w:space="0" w:color="auto"/>
        <w:bottom w:val="none" w:sz="0" w:space="0" w:color="auto"/>
        <w:right w:val="none" w:sz="0" w:space="0" w:color="auto"/>
      </w:divBdr>
    </w:div>
    <w:div w:id="1046833436">
      <w:bodyDiv w:val="1"/>
      <w:marLeft w:val="0"/>
      <w:marRight w:val="0"/>
      <w:marTop w:val="0"/>
      <w:marBottom w:val="0"/>
      <w:divBdr>
        <w:top w:val="none" w:sz="0" w:space="0" w:color="auto"/>
        <w:left w:val="none" w:sz="0" w:space="0" w:color="auto"/>
        <w:bottom w:val="none" w:sz="0" w:space="0" w:color="auto"/>
        <w:right w:val="none" w:sz="0" w:space="0" w:color="auto"/>
      </w:divBdr>
    </w:div>
    <w:div w:id="1058939625">
      <w:bodyDiv w:val="1"/>
      <w:marLeft w:val="0"/>
      <w:marRight w:val="0"/>
      <w:marTop w:val="0"/>
      <w:marBottom w:val="0"/>
      <w:divBdr>
        <w:top w:val="none" w:sz="0" w:space="0" w:color="auto"/>
        <w:left w:val="none" w:sz="0" w:space="0" w:color="auto"/>
        <w:bottom w:val="none" w:sz="0" w:space="0" w:color="auto"/>
        <w:right w:val="none" w:sz="0" w:space="0" w:color="auto"/>
      </w:divBdr>
    </w:div>
    <w:div w:id="1062216264">
      <w:bodyDiv w:val="1"/>
      <w:marLeft w:val="0"/>
      <w:marRight w:val="0"/>
      <w:marTop w:val="0"/>
      <w:marBottom w:val="0"/>
      <w:divBdr>
        <w:top w:val="none" w:sz="0" w:space="0" w:color="auto"/>
        <w:left w:val="none" w:sz="0" w:space="0" w:color="auto"/>
        <w:bottom w:val="none" w:sz="0" w:space="0" w:color="auto"/>
        <w:right w:val="none" w:sz="0" w:space="0" w:color="auto"/>
      </w:divBdr>
    </w:div>
    <w:div w:id="1067070068">
      <w:bodyDiv w:val="1"/>
      <w:marLeft w:val="0"/>
      <w:marRight w:val="0"/>
      <w:marTop w:val="0"/>
      <w:marBottom w:val="0"/>
      <w:divBdr>
        <w:top w:val="none" w:sz="0" w:space="0" w:color="auto"/>
        <w:left w:val="none" w:sz="0" w:space="0" w:color="auto"/>
        <w:bottom w:val="none" w:sz="0" w:space="0" w:color="auto"/>
        <w:right w:val="none" w:sz="0" w:space="0" w:color="auto"/>
      </w:divBdr>
    </w:div>
    <w:div w:id="1106653859">
      <w:bodyDiv w:val="1"/>
      <w:marLeft w:val="0"/>
      <w:marRight w:val="0"/>
      <w:marTop w:val="0"/>
      <w:marBottom w:val="0"/>
      <w:divBdr>
        <w:top w:val="none" w:sz="0" w:space="0" w:color="auto"/>
        <w:left w:val="none" w:sz="0" w:space="0" w:color="auto"/>
        <w:bottom w:val="none" w:sz="0" w:space="0" w:color="auto"/>
        <w:right w:val="none" w:sz="0" w:space="0" w:color="auto"/>
      </w:divBdr>
    </w:div>
    <w:div w:id="1134635492">
      <w:bodyDiv w:val="1"/>
      <w:marLeft w:val="0"/>
      <w:marRight w:val="0"/>
      <w:marTop w:val="0"/>
      <w:marBottom w:val="0"/>
      <w:divBdr>
        <w:top w:val="none" w:sz="0" w:space="0" w:color="auto"/>
        <w:left w:val="none" w:sz="0" w:space="0" w:color="auto"/>
        <w:bottom w:val="none" w:sz="0" w:space="0" w:color="auto"/>
        <w:right w:val="none" w:sz="0" w:space="0" w:color="auto"/>
      </w:divBdr>
    </w:div>
    <w:div w:id="1171600085">
      <w:bodyDiv w:val="1"/>
      <w:marLeft w:val="0"/>
      <w:marRight w:val="0"/>
      <w:marTop w:val="0"/>
      <w:marBottom w:val="0"/>
      <w:divBdr>
        <w:top w:val="none" w:sz="0" w:space="0" w:color="auto"/>
        <w:left w:val="none" w:sz="0" w:space="0" w:color="auto"/>
        <w:bottom w:val="none" w:sz="0" w:space="0" w:color="auto"/>
        <w:right w:val="none" w:sz="0" w:space="0" w:color="auto"/>
      </w:divBdr>
    </w:div>
    <w:div w:id="1205867088">
      <w:bodyDiv w:val="1"/>
      <w:marLeft w:val="0"/>
      <w:marRight w:val="0"/>
      <w:marTop w:val="0"/>
      <w:marBottom w:val="0"/>
      <w:divBdr>
        <w:top w:val="none" w:sz="0" w:space="0" w:color="auto"/>
        <w:left w:val="none" w:sz="0" w:space="0" w:color="auto"/>
        <w:bottom w:val="none" w:sz="0" w:space="0" w:color="auto"/>
        <w:right w:val="none" w:sz="0" w:space="0" w:color="auto"/>
      </w:divBdr>
    </w:div>
    <w:div w:id="1210655295">
      <w:bodyDiv w:val="1"/>
      <w:marLeft w:val="0"/>
      <w:marRight w:val="0"/>
      <w:marTop w:val="0"/>
      <w:marBottom w:val="0"/>
      <w:divBdr>
        <w:top w:val="none" w:sz="0" w:space="0" w:color="auto"/>
        <w:left w:val="none" w:sz="0" w:space="0" w:color="auto"/>
        <w:bottom w:val="none" w:sz="0" w:space="0" w:color="auto"/>
        <w:right w:val="none" w:sz="0" w:space="0" w:color="auto"/>
      </w:divBdr>
    </w:div>
    <w:div w:id="1231425233">
      <w:bodyDiv w:val="1"/>
      <w:marLeft w:val="0"/>
      <w:marRight w:val="0"/>
      <w:marTop w:val="0"/>
      <w:marBottom w:val="0"/>
      <w:divBdr>
        <w:top w:val="none" w:sz="0" w:space="0" w:color="auto"/>
        <w:left w:val="none" w:sz="0" w:space="0" w:color="auto"/>
        <w:bottom w:val="none" w:sz="0" w:space="0" w:color="auto"/>
        <w:right w:val="none" w:sz="0" w:space="0" w:color="auto"/>
      </w:divBdr>
    </w:div>
    <w:div w:id="1244025958">
      <w:bodyDiv w:val="1"/>
      <w:marLeft w:val="0"/>
      <w:marRight w:val="0"/>
      <w:marTop w:val="0"/>
      <w:marBottom w:val="0"/>
      <w:divBdr>
        <w:top w:val="none" w:sz="0" w:space="0" w:color="auto"/>
        <w:left w:val="none" w:sz="0" w:space="0" w:color="auto"/>
        <w:bottom w:val="none" w:sz="0" w:space="0" w:color="auto"/>
        <w:right w:val="none" w:sz="0" w:space="0" w:color="auto"/>
      </w:divBdr>
    </w:div>
    <w:div w:id="1279751669">
      <w:bodyDiv w:val="1"/>
      <w:marLeft w:val="0"/>
      <w:marRight w:val="0"/>
      <w:marTop w:val="0"/>
      <w:marBottom w:val="0"/>
      <w:divBdr>
        <w:top w:val="none" w:sz="0" w:space="0" w:color="auto"/>
        <w:left w:val="none" w:sz="0" w:space="0" w:color="auto"/>
        <w:bottom w:val="none" w:sz="0" w:space="0" w:color="auto"/>
        <w:right w:val="none" w:sz="0" w:space="0" w:color="auto"/>
      </w:divBdr>
    </w:div>
    <w:div w:id="1285842014">
      <w:marLeft w:val="0"/>
      <w:marRight w:val="0"/>
      <w:marTop w:val="0"/>
      <w:marBottom w:val="0"/>
      <w:divBdr>
        <w:top w:val="none" w:sz="0" w:space="0" w:color="auto"/>
        <w:left w:val="none" w:sz="0" w:space="0" w:color="auto"/>
        <w:bottom w:val="none" w:sz="0" w:space="0" w:color="auto"/>
        <w:right w:val="none" w:sz="0" w:space="0" w:color="auto"/>
      </w:divBdr>
      <w:divsChild>
        <w:div w:id="463083437">
          <w:marLeft w:val="0"/>
          <w:marRight w:val="0"/>
          <w:marTop w:val="0"/>
          <w:marBottom w:val="0"/>
          <w:divBdr>
            <w:top w:val="none" w:sz="0" w:space="0" w:color="auto"/>
            <w:left w:val="none" w:sz="0" w:space="0" w:color="auto"/>
            <w:bottom w:val="none" w:sz="0" w:space="0" w:color="auto"/>
            <w:right w:val="none" w:sz="0" w:space="0" w:color="auto"/>
          </w:divBdr>
        </w:div>
      </w:divsChild>
    </w:div>
    <w:div w:id="1300300974">
      <w:bodyDiv w:val="1"/>
      <w:marLeft w:val="0"/>
      <w:marRight w:val="0"/>
      <w:marTop w:val="0"/>
      <w:marBottom w:val="0"/>
      <w:divBdr>
        <w:top w:val="none" w:sz="0" w:space="0" w:color="auto"/>
        <w:left w:val="none" w:sz="0" w:space="0" w:color="auto"/>
        <w:bottom w:val="none" w:sz="0" w:space="0" w:color="auto"/>
        <w:right w:val="none" w:sz="0" w:space="0" w:color="auto"/>
      </w:divBdr>
    </w:div>
    <w:div w:id="1313750116">
      <w:bodyDiv w:val="1"/>
      <w:marLeft w:val="0"/>
      <w:marRight w:val="0"/>
      <w:marTop w:val="0"/>
      <w:marBottom w:val="0"/>
      <w:divBdr>
        <w:top w:val="none" w:sz="0" w:space="0" w:color="auto"/>
        <w:left w:val="none" w:sz="0" w:space="0" w:color="auto"/>
        <w:bottom w:val="none" w:sz="0" w:space="0" w:color="auto"/>
        <w:right w:val="none" w:sz="0" w:space="0" w:color="auto"/>
      </w:divBdr>
    </w:div>
    <w:div w:id="1330017236">
      <w:bodyDiv w:val="1"/>
      <w:marLeft w:val="0"/>
      <w:marRight w:val="0"/>
      <w:marTop w:val="0"/>
      <w:marBottom w:val="0"/>
      <w:divBdr>
        <w:top w:val="none" w:sz="0" w:space="0" w:color="auto"/>
        <w:left w:val="none" w:sz="0" w:space="0" w:color="auto"/>
        <w:bottom w:val="none" w:sz="0" w:space="0" w:color="auto"/>
        <w:right w:val="none" w:sz="0" w:space="0" w:color="auto"/>
      </w:divBdr>
    </w:div>
    <w:div w:id="1335953819">
      <w:bodyDiv w:val="1"/>
      <w:marLeft w:val="0"/>
      <w:marRight w:val="0"/>
      <w:marTop w:val="0"/>
      <w:marBottom w:val="0"/>
      <w:divBdr>
        <w:top w:val="none" w:sz="0" w:space="0" w:color="auto"/>
        <w:left w:val="none" w:sz="0" w:space="0" w:color="auto"/>
        <w:bottom w:val="none" w:sz="0" w:space="0" w:color="auto"/>
        <w:right w:val="none" w:sz="0" w:space="0" w:color="auto"/>
      </w:divBdr>
    </w:div>
    <w:div w:id="1338651502">
      <w:bodyDiv w:val="1"/>
      <w:marLeft w:val="0"/>
      <w:marRight w:val="0"/>
      <w:marTop w:val="0"/>
      <w:marBottom w:val="0"/>
      <w:divBdr>
        <w:top w:val="none" w:sz="0" w:space="0" w:color="auto"/>
        <w:left w:val="none" w:sz="0" w:space="0" w:color="auto"/>
        <w:bottom w:val="none" w:sz="0" w:space="0" w:color="auto"/>
        <w:right w:val="none" w:sz="0" w:space="0" w:color="auto"/>
      </w:divBdr>
    </w:div>
    <w:div w:id="1365015797">
      <w:bodyDiv w:val="1"/>
      <w:marLeft w:val="0"/>
      <w:marRight w:val="0"/>
      <w:marTop w:val="0"/>
      <w:marBottom w:val="0"/>
      <w:divBdr>
        <w:top w:val="none" w:sz="0" w:space="0" w:color="auto"/>
        <w:left w:val="none" w:sz="0" w:space="0" w:color="auto"/>
        <w:bottom w:val="none" w:sz="0" w:space="0" w:color="auto"/>
        <w:right w:val="none" w:sz="0" w:space="0" w:color="auto"/>
      </w:divBdr>
    </w:div>
    <w:div w:id="1378581469">
      <w:bodyDiv w:val="1"/>
      <w:marLeft w:val="0"/>
      <w:marRight w:val="0"/>
      <w:marTop w:val="0"/>
      <w:marBottom w:val="0"/>
      <w:divBdr>
        <w:top w:val="none" w:sz="0" w:space="0" w:color="auto"/>
        <w:left w:val="none" w:sz="0" w:space="0" w:color="auto"/>
        <w:bottom w:val="none" w:sz="0" w:space="0" w:color="auto"/>
        <w:right w:val="none" w:sz="0" w:space="0" w:color="auto"/>
      </w:divBdr>
    </w:div>
    <w:div w:id="1394547568">
      <w:bodyDiv w:val="1"/>
      <w:marLeft w:val="0"/>
      <w:marRight w:val="0"/>
      <w:marTop w:val="0"/>
      <w:marBottom w:val="0"/>
      <w:divBdr>
        <w:top w:val="none" w:sz="0" w:space="0" w:color="auto"/>
        <w:left w:val="none" w:sz="0" w:space="0" w:color="auto"/>
        <w:bottom w:val="none" w:sz="0" w:space="0" w:color="auto"/>
        <w:right w:val="none" w:sz="0" w:space="0" w:color="auto"/>
      </w:divBdr>
    </w:div>
    <w:div w:id="1432820587">
      <w:bodyDiv w:val="1"/>
      <w:marLeft w:val="0"/>
      <w:marRight w:val="0"/>
      <w:marTop w:val="0"/>
      <w:marBottom w:val="0"/>
      <w:divBdr>
        <w:top w:val="none" w:sz="0" w:space="0" w:color="auto"/>
        <w:left w:val="none" w:sz="0" w:space="0" w:color="auto"/>
        <w:bottom w:val="none" w:sz="0" w:space="0" w:color="auto"/>
        <w:right w:val="none" w:sz="0" w:space="0" w:color="auto"/>
      </w:divBdr>
    </w:div>
    <w:div w:id="1479496191">
      <w:bodyDiv w:val="1"/>
      <w:marLeft w:val="0"/>
      <w:marRight w:val="0"/>
      <w:marTop w:val="0"/>
      <w:marBottom w:val="0"/>
      <w:divBdr>
        <w:top w:val="none" w:sz="0" w:space="0" w:color="auto"/>
        <w:left w:val="none" w:sz="0" w:space="0" w:color="auto"/>
        <w:bottom w:val="none" w:sz="0" w:space="0" w:color="auto"/>
        <w:right w:val="none" w:sz="0" w:space="0" w:color="auto"/>
      </w:divBdr>
    </w:div>
    <w:div w:id="1517189983">
      <w:bodyDiv w:val="1"/>
      <w:marLeft w:val="0"/>
      <w:marRight w:val="0"/>
      <w:marTop w:val="0"/>
      <w:marBottom w:val="0"/>
      <w:divBdr>
        <w:top w:val="none" w:sz="0" w:space="0" w:color="auto"/>
        <w:left w:val="none" w:sz="0" w:space="0" w:color="auto"/>
        <w:bottom w:val="none" w:sz="0" w:space="0" w:color="auto"/>
        <w:right w:val="none" w:sz="0" w:space="0" w:color="auto"/>
      </w:divBdr>
    </w:div>
    <w:div w:id="1532955109">
      <w:bodyDiv w:val="1"/>
      <w:marLeft w:val="0"/>
      <w:marRight w:val="0"/>
      <w:marTop w:val="0"/>
      <w:marBottom w:val="0"/>
      <w:divBdr>
        <w:top w:val="none" w:sz="0" w:space="0" w:color="auto"/>
        <w:left w:val="none" w:sz="0" w:space="0" w:color="auto"/>
        <w:bottom w:val="none" w:sz="0" w:space="0" w:color="auto"/>
        <w:right w:val="none" w:sz="0" w:space="0" w:color="auto"/>
      </w:divBdr>
    </w:div>
    <w:div w:id="1545824877">
      <w:bodyDiv w:val="1"/>
      <w:marLeft w:val="0"/>
      <w:marRight w:val="0"/>
      <w:marTop w:val="0"/>
      <w:marBottom w:val="0"/>
      <w:divBdr>
        <w:top w:val="none" w:sz="0" w:space="0" w:color="auto"/>
        <w:left w:val="none" w:sz="0" w:space="0" w:color="auto"/>
        <w:bottom w:val="none" w:sz="0" w:space="0" w:color="auto"/>
        <w:right w:val="none" w:sz="0" w:space="0" w:color="auto"/>
      </w:divBdr>
    </w:div>
    <w:div w:id="1575816168">
      <w:bodyDiv w:val="1"/>
      <w:marLeft w:val="0"/>
      <w:marRight w:val="0"/>
      <w:marTop w:val="0"/>
      <w:marBottom w:val="0"/>
      <w:divBdr>
        <w:top w:val="none" w:sz="0" w:space="0" w:color="auto"/>
        <w:left w:val="none" w:sz="0" w:space="0" w:color="auto"/>
        <w:bottom w:val="none" w:sz="0" w:space="0" w:color="auto"/>
        <w:right w:val="none" w:sz="0" w:space="0" w:color="auto"/>
      </w:divBdr>
    </w:div>
    <w:div w:id="1580670494">
      <w:bodyDiv w:val="1"/>
      <w:marLeft w:val="0"/>
      <w:marRight w:val="0"/>
      <w:marTop w:val="0"/>
      <w:marBottom w:val="0"/>
      <w:divBdr>
        <w:top w:val="none" w:sz="0" w:space="0" w:color="auto"/>
        <w:left w:val="none" w:sz="0" w:space="0" w:color="auto"/>
        <w:bottom w:val="none" w:sz="0" w:space="0" w:color="auto"/>
        <w:right w:val="none" w:sz="0" w:space="0" w:color="auto"/>
      </w:divBdr>
    </w:div>
    <w:div w:id="1596286245">
      <w:bodyDiv w:val="1"/>
      <w:marLeft w:val="0"/>
      <w:marRight w:val="0"/>
      <w:marTop w:val="0"/>
      <w:marBottom w:val="0"/>
      <w:divBdr>
        <w:top w:val="none" w:sz="0" w:space="0" w:color="auto"/>
        <w:left w:val="none" w:sz="0" w:space="0" w:color="auto"/>
        <w:bottom w:val="none" w:sz="0" w:space="0" w:color="auto"/>
        <w:right w:val="none" w:sz="0" w:space="0" w:color="auto"/>
      </w:divBdr>
    </w:div>
    <w:div w:id="1602300363">
      <w:bodyDiv w:val="1"/>
      <w:marLeft w:val="0"/>
      <w:marRight w:val="0"/>
      <w:marTop w:val="0"/>
      <w:marBottom w:val="0"/>
      <w:divBdr>
        <w:top w:val="none" w:sz="0" w:space="0" w:color="auto"/>
        <w:left w:val="none" w:sz="0" w:space="0" w:color="auto"/>
        <w:bottom w:val="none" w:sz="0" w:space="0" w:color="auto"/>
        <w:right w:val="none" w:sz="0" w:space="0" w:color="auto"/>
      </w:divBdr>
    </w:div>
    <w:div w:id="1607536975">
      <w:bodyDiv w:val="1"/>
      <w:marLeft w:val="0"/>
      <w:marRight w:val="0"/>
      <w:marTop w:val="0"/>
      <w:marBottom w:val="0"/>
      <w:divBdr>
        <w:top w:val="none" w:sz="0" w:space="0" w:color="auto"/>
        <w:left w:val="none" w:sz="0" w:space="0" w:color="auto"/>
        <w:bottom w:val="none" w:sz="0" w:space="0" w:color="auto"/>
        <w:right w:val="none" w:sz="0" w:space="0" w:color="auto"/>
      </w:divBdr>
    </w:div>
    <w:div w:id="1608002085">
      <w:bodyDiv w:val="1"/>
      <w:marLeft w:val="0"/>
      <w:marRight w:val="0"/>
      <w:marTop w:val="0"/>
      <w:marBottom w:val="0"/>
      <w:divBdr>
        <w:top w:val="none" w:sz="0" w:space="0" w:color="auto"/>
        <w:left w:val="none" w:sz="0" w:space="0" w:color="auto"/>
        <w:bottom w:val="none" w:sz="0" w:space="0" w:color="auto"/>
        <w:right w:val="none" w:sz="0" w:space="0" w:color="auto"/>
      </w:divBdr>
    </w:div>
    <w:div w:id="1622880641">
      <w:bodyDiv w:val="1"/>
      <w:marLeft w:val="0"/>
      <w:marRight w:val="0"/>
      <w:marTop w:val="0"/>
      <w:marBottom w:val="0"/>
      <w:divBdr>
        <w:top w:val="none" w:sz="0" w:space="0" w:color="auto"/>
        <w:left w:val="none" w:sz="0" w:space="0" w:color="auto"/>
        <w:bottom w:val="none" w:sz="0" w:space="0" w:color="auto"/>
        <w:right w:val="none" w:sz="0" w:space="0" w:color="auto"/>
      </w:divBdr>
    </w:div>
    <w:div w:id="1661621683">
      <w:bodyDiv w:val="1"/>
      <w:marLeft w:val="0"/>
      <w:marRight w:val="0"/>
      <w:marTop w:val="0"/>
      <w:marBottom w:val="0"/>
      <w:divBdr>
        <w:top w:val="none" w:sz="0" w:space="0" w:color="auto"/>
        <w:left w:val="none" w:sz="0" w:space="0" w:color="auto"/>
        <w:bottom w:val="none" w:sz="0" w:space="0" w:color="auto"/>
        <w:right w:val="none" w:sz="0" w:space="0" w:color="auto"/>
      </w:divBdr>
    </w:div>
    <w:div w:id="1662614243">
      <w:bodyDiv w:val="1"/>
      <w:marLeft w:val="0"/>
      <w:marRight w:val="0"/>
      <w:marTop w:val="0"/>
      <w:marBottom w:val="0"/>
      <w:divBdr>
        <w:top w:val="none" w:sz="0" w:space="0" w:color="auto"/>
        <w:left w:val="none" w:sz="0" w:space="0" w:color="auto"/>
        <w:bottom w:val="none" w:sz="0" w:space="0" w:color="auto"/>
        <w:right w:val="none" w:sz="0" w:space="0" w:color="auto"/>
      </w:divBdr>
    </w:div>
    <w:div w:id="1671788531">
      <w:bodyDiv w:val="1"/>
      <w:marLeft w:val="0"/>
      <w:marRight w:val="0"/>
      <w:marTop w:val="0"/>
      <w:marBottom w:val="0"/>
      <w:divBdr>
        <w:top w:val="none" w:sz="0" w:space="0" w:color="auto"/>
        <w:left w:val="none" w:sz="0" w:space="0" w:color="auto"/>
        <w:bottom w:val="none" w:sz="0" w:space="0" w:color="auto"/>
        <w:right w:val="none" w:sz="0" w:space="0" w:color="auto"/>
      </w:divBdr>
    </w:div>
    <w:div w:id="1675112566">
      <w:bodyDiv w:val="1"/>
      <w:marLeft w:val="0"/>
      <w:marRight w:val="0"/>
      <w:marTop w:val="0"/>
      <w:marBottom w:val="0"/>
      <w:divBdr>
        <w:top w:val="none" w:sz="0" w:space="0" w:color="auto"/>
        <w:left w:val="none" w:sz="0" w:space="0" w:color="auto"/>
        <w:bottom w:val="none" w:sz="0" w:space="0" w:color="auto"/>
        <w:right w:val="none" w:sz="0" w:space="0" w:color="auto"/>
      </w:divBdr>
    </w:div>
    <w:div w:id="1678845332">
      <w:bodyDiv w:val="1"/>
      <w:marLeft w:val="0"/>
      <w:marRight w:val="0"/>
      <w:marTop w:val="0"/>
      <w:marBottom w:val="0"/>
      <w:divBdr>
        <w:top w:val="none" w:sz="0" w:space="0" w:color="auto"/>
        <w:left w:val="none" w:sz="0" w:space="0" w:color="auto"/>
        <w:bottom w:val="none" w:sz="0" w:space="0" w:color="auto"/>
        <w:right w:val="none" w:sz="0" w:space="0" w:color="auto"/>
      </w:divBdr>
    </w:div>
    <w:div w:id="1686397619">
      <w:bodyDiv w:val="1"/>
      <w:marLeft w:val="0"/>
      <w:marRight w:val="0"/>
      <w:marTop w:val="0"/>
      <w:marBottom w:val="0"/>
      <w:divBdr>
        <w:top w:val="none" w:sz="0" w:space="0" w:color="auto"/>
        <w:left w:val="none" w:sz="0" w:space="0" w:color="auto"/>
        <w:bottom w:val="none" w:sz="0" w:space="0" w:color="auto"/>
        <w:right w:val="none" w:sz="0" w:space="0" w:color="auto"/>
      </w:divBdr>
    </w:div>
    <w:div w:id="1712874645">
      <w:bodyDiv w:val="1"/>
      <w:marLeft w:val="0"/>
      <w:marRight w:val="0"/>
      <w:marTop w:val="0"/>
      <w:marBottom w:val="0"/>
      <w:divBdr>
        <w:top w:val="none" w:sz="0" w:space="0" w:color="auto"/>
        <w:left w:val="none" w:sz="0" w:space="0" w:color="auto"/>
        <w:bottom w:val="none" w:sz="0" w:space="0" w:color="auto"/>
        <w:right w:val="none" w:sz="0" w:space="0" w:color="auto"/>
      </w:divBdr>
    </w:div>
    <w:div w:id="1718159631">
      <w:bodyDiv w:val="1"/>
      <w:marLeft w:val="0"/>
      <w:marRight w:val="0"/>
      <w:marTop w:val="0"/>
      <w:marBottom w:val="0"/>
      <w:divBdr>
        <w:top w:val="none" w:sz="0" w:space="0" w:color="auto"/>
        <w:left w:val="none" w:sz="0" w:space="0" w:color="auto"/>
        <w:bottom w:val="none" w:sz="0" w:space="0" w:color="auto"/>
        <w:right w:val="none" w:sz="0" w:space="0" w:color="auto"/>
      </w:divBdr>
    </w:div>
    <w:div w:id="1792281014">
      <w:bodyDiv w:val="1"/>
      <w:marLeft w:val="0"/>
      <w:marRight w:val="0"/>
      <w:marTop w:val="0"/>
      <w:marBottom w:val="0"/>
      <w:divBdr>
        <w:top w:val="none" w:sz="0" w:space="0" w:color="auto"/>
        <w:left w:val="none" w:sz="0" w:space="0" w:color="auto"/>
        <w:bottom w:val="none" w:sz="0" w:space="0" w:color="auto"/>
        <w:right w:val="none" w:sz="0" w:space="0" w:color="auto"/>
      </w:divBdr>
    </w:div>
    <w:div w:id="1821114450">
      <w:bodyDiv w:val="1"/>
      <w:marLeft w:val="0"/>
      <w:marRight w:val="0"/>
      <w:marTop w:val="0"/>
      <w:marBottom w:val="0"/>
      <w:divBdr>
        <w:top w:val="none" w:sz="0" w:space="0" w:color="auto"/>
        <w:left w:val="none" w:sz="0" w:space="0" w:color="auto"/>
        <w:bottom w:val="none" w:sz="0" w:space="0" w:color="auto"/>
        <w:right w:val="none" w:sz="0" w:space="0" w:color="auto"/>
      </w:divBdr>
    </w:div>
    <w:div w:id="1824008762">
      <w:bodyDiv w:val="1"/>
      <w:marLeft w:val="0"/>
      <w:marRight w:val="0"/>
      <w:marTop w:val="0"/>
      <w:marBottom w:val="0"/>
      <w:divBdr>
        <w:top w:val="none" w:sz="0" w:space="0" w:color="auto"/>
        <w:left w:val="none" w:sz="0" w:space="0" w:color="auto"/>
        <w:bottom w:val="none" w:sz="0" w:space="0" w:color="auto"/>
        <w:right w:val="none" w:sz="0" w:space="0" w:color="auto"/>
      </w:divBdr>
    </w:div>
    <w:div w:id="1826435821">
      <w:bodyDiv w:val="1"/>
      <w:marLeft w:val="0"/>
      <w:marRight w:val="0"/>
      <w:marTop w:val="0"/>
      <w:marBottom w:val="0"/>
      <w:divBdr>
        <w:top w:val="none" w:sz="0" w:space="0" w:color="auto"/>
        <w:left w:val="none" w:sz="0" w:space="0" w:color="auto"/>
        <w:bottom w:val="none" w:sz="0" w:space="0" w:color="auto"/>
        <w:right w:val="none" w:sz="0" w:space="0" w:color="auto"/>
      </w:divBdr>
    </w:div>
    <w:div w:id="1868247752">
      <w:bodyDiv w:val="1"/>
      <w:marLeft w:val="0"/>
      <w:marRight w:val="0"/>
      <w:marTop w:val="0"/>
      <w:marBottom w:val="0"/>
      <w:divBdr>
        <w:top w:val="none" w:sz="0" w:space="0" w:color="auto"/>
        <w:left w:val="none" w:sz="0" w:space="0" w:color="auto"/>
        <w:bottom w:val="none" w:sz="0" w:space="0" w:color="auto"/>
        <w:right w:val="none" w:sz="0" w:space="0" w:color="auto"/>
      </w:divBdr>
    </w:div>
    <w:div w:id="1870215295">
      <w:bodyDiv w:val="1"/>
      <w:marLeft w:val="0"/>
      <w:marRight w:val="0"/>
      <w:marTop w:val="0"/>
      <w:marBottom w:val="0"/>
      <w:divBdr>
        <w:top w:val="none" w:sz="0" w:space="0" w:color="auto"/>
        <w:left w:val="none" w:sz="0" w:space="0" w:color="auto"/>
        <w:bottom w:val="none" w:sz="0" w:space="0" w:color="auto"/>
        <w:right w:val="none" w:sz="0" w:space="0" w:color="auto"/>
      </w:divBdr>
    </w:div>
    <w:div w:id="1915241799">
      <w:bodyDiv w:val="1"/>
      <w:marLeft w:val="0"/>
      <w:marRight w:val="0"/>
      <w:marTop w:val="0"/>
      <w:marBottom w:val="0"/>
      <w:divBdr>
        <w:top w:val="none" w:sz="0" w:space="0" w:color="auto"/>
        <w:left w:val="none" w:sz="0" w:space="0" w:color="auto"/>
        <w:bottom w:val="none" w:sz="0" w:space="0" w:color="auto"/>
        <w:right w:val="none" w:sz="0" w:space="0" w:color="auto"/>
      </w:divBdr>
    </w:div>
    <w:div w:id="1931548291">
      <w:bodyDiv w:val="1"/>
      <w:marLeft w:val="0"/>
      <w:marRight w:val="0"/>
      <w:marTop w:val="0"/>
      <w:marBottom w:val="0"/>
      <w:divBdr>
        <w:top w:val="none" w:sz="0" w:space="0" w:color="auto"/>
        <w:left w:val="none" w:sz="0" w:space="0" w:color="auto"/>
        <w:bottom w:val="none" w:sz="0" w:space="0" w:color="auto"/>
        <w:right w:val="none" w:sz="0" w:space="0" w:color="auto"/>
      </w:divBdr>
    </w:div>
    <w:div w:id="1961184936">
      <w:bodyDiv w:val="1"/>
      <w:marLeft w:val="0"/>
      <w:marRight w:val="0"/>
      <w:marTop w:val="0"/>
      <w:marBottom w:val="0"/>
      <w:divBdr>
        <w:top w:val="none" w:sz="0" w:space="0" w:color="auto"/>
        <w:left w:val="none" w:sz="0" w:space="0" w:color="auto"/>
        <w:bottom w:val="none" w:sz="0" w:space="0" w:color="auto"/>
        <w:right w:val="none" w:sz="0" w:space="0" w:color="auto"/>
      </w:divBdr>
    </w:div>
    <w:div w:id="1986082330">
      <w:bodyDiv w:val="1"/>
      <w:marLeft w:val="0"/>
      <w:marRight w:val="0"/>
      <w:marTop w:val="0"/>
      <w:marBottom w:val="0"/>
      <w:divBdr>
        <w:top w:val="none" w:sz="0" w:space="0" w:color="auto"/>
        <w:left w:val="none" w:sz="0" w:space="0" w:color="auto"/>
        <w:bottom w:val="none" w:sz="0" w:space="0" w:color="auto"/>
        <w:right w:val="none" w:sz="0" w:space="0" w:color="auto"/>
      </w:divBdr>
    </w:div>
    <w:div w:id="1997760970">
      <w:bodyDiv w:val="1"/>
      <w:marLeft w:val="0"/>
      <w:marRight w:val="0"/>
      <w:marTop w:val="0"/>
      <w:marBottom w:val="0"/>
      <w:divBdr>
        <w:top w:val="none" w:sz="0" w:space="0" w:color="auto"/>
        <w:left w:val="none" w:sz="0" w:space="0" w:color="auto"/>
        <w:bottom w:val="none" w:sz="0" w:space="0" w:color="auto"/>
        <w:right w:val="none" w:sz="0" w:space="0" w:color="auto"/>
      </w:divBdr>
    </w:div>
    <w:div w:id="2028287144">
      <w:bodyDiv w:val="1"/>
      <w:marLeft w:val="0"/>
      <w:marRight w:val="0"/>
      <w:marTop w:val="0"/>
      <w:marBottom w:val="0"/>
      <w:divBdr>
        <w:top w:val="none" w:sz="0" w:space="0" w:color="auto"/>
        <w:left w:val="none" w:sz="0" w:space="0" w:color="auto"/>
        <w:bottom w:val="none" w:sz="0" w:space="0" w:color="auto"/>
        <w:right w:val="none" w:sz="0" w:space="0" w:color="auto"/>
      </w:divBdr>
    </w:div>
    <w:div w:id="2039426917">
      <w:bodyDiv w:val="1"/>
      <w:marLeft w:val="0"/>
      <w:marRight w:val="0"/>
      <w:marTop w:val="0"/>
      <w:marBottom w:val="0"/>
      <w:divBdr>
        <w:top w:val="none" w:sz="0" w:space="0" w:color="auto"/>
        <w:left w:val="none" w:sz="0" w:space="0" w:color="auto"/>
        <w:bottom w:val="none" w:sz="0" w:space="0" w:color="auto"/>
        <w:right w:val="none" w:sz="0" w:space="0" w:color="auto"/>
      </w:divBdr>
    </w:div>
    <w:div w:id="2049257308">
      <w:bodyDiv w:val="1"/>
      <w:marLeft w:val="0"/>
      <w:marRight w:val="0"/>
      <w:marTop w:val="0"/>
      <w:marBottom w:val="0"/>
      <w:divBdr>
        <w:top w:val="none" w:sz="0" w:space="0" w:color="auto"/>
        <w:left w:val="none" w:sz="0" w:space="0" w:color="auto"/>
        <w:bottom w:val="none" w:sz="0" w:space="0" w:color="auto"/>
        <w:right w:val="none" w:sz="0" w:space="0" w:color="auto"/>
      </w:divBdr>
    </w:div>
    <w:div w:id="2060549197">
      <w:bodyDiv w:val="1"/>
      <w:marLeft w:val="0"/>
      <w:marRight w:val="0"/>
      <w:marTop w:val="0"/>
      <w:marBottom w:val="0"/>
      <w:divBdr>
        <w:top w:val="none" w:sz="0" w:space="0" w:color="auto"/>
        <w:left w:val="none" w:sz="0" w:space="0" w:color="auto"/>
        <w:bottom w:val="none" w:sz="0" w:space="0" w:color="auto"/>
        <w:right w:val="none" w:sz="0" w:space="0" w:color="auto"/>
      </w:divBdr>
    </w:div>
    <w:div w:id="2094661831">
      <w:bodyDiv w:val="1"/>
      <w:marLeft w:val="0"/>
      <w:marRight w:val="0"/>
      <w:marTop w:val="0"/>
      <w:marBottom w:val="0"/>
      <w:divBdr>
        <w:top w:val="none" w:sz="0" w:space="0" w:color="auto"/>
        <w:left w:val="none" w:sz="0" w:space="0" w:color="auto"/>
        <w:bottom w:val="none" w:sz="0" w:space="0" w:color="auto"/>
        <w:right w:val="none" w:sz="0" w:space="0" w:color="auto"/>
      </w:divBdr>
    </w:div>
    <w:div w:id="2112582399">
      <w:bodyDiv w:val="1"/>
      <w:marLeft w:val="0"/>
      <w:marRight w:val="0"/>
      <w:marTop w:val="0"/>
      <w:marBottom w:val="0"/>
      <w:divBdr>
        <w:top w:val="none" w:sz="0" w:space="0" w:color="auto"/>
        <w:left w:val="none" w:sz="0" w:space="0" w:color="auto"/>
        <w:bottom w:val="none" w:sz="0" w:space="0" w:color="auto"/>
        <w:right w:val="none" w:sz="0" w:space="0" w:color="auto"/>
      </w:divBdr>
    </w:div>
    <w:div w:id="2116635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hyperlink" Target="http://www.cancer.org.au/health-professionals/clinical-guidelines/colorectal-cancer.html" TargetMode="External"/><Relationship Id="rId26" Type="http://schemas.openxmlformats.org/officeDocument/2006/relationships/footer" Target="footer2.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1.xml"/><Relationship Id="rId34"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www.cancer.org.au/health-professionals/clinical-guidelines/colorectal-cancer.html" TargetMode="External"/><Relationship Id="rId25" Type="http://schemas.openxmlformats.org/officeDocument/2006/relationships/header" Target="header5.xml"/><Relationship Id="rId33" Type="http://schemas.openxmlformats.org/officeDocument/2006/relationships/image" Target="media/image6.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ancer.org.au/health-professionals/clinical-guidelines/colorectal-cancer.html" TargetMode="External"/><Relationship Id="rId20" Type="http://schemas.openxmlformats.org/officeDocument/2006/relationships/hyperlink" Target="https://www.humanservices.gov.au/health-professionals/services/medicare/hpos" TargetMode="Externa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4.xml"/><Relationship Id="rId32" Type="http://schemas.openxmlformats.org/officeDocument/2006/relationships/image" Target="media/image5.png"/><Relationship Id="rId37"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image" Target="cid:image007.png@01D1D614.7CB965B0" TargetMode="External"/><Relationship Id="rId23" Type="http://schemas.openxmlformats.org/officeDocument/2006/relationships/image" Target="media/image4.png"/><Relationship Id="rId28" Type="http://schemas.openxmlformats.org/officeDocument/2006/relationships/header" Target="header7.xml"/><Relationship Id="rId36"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s://www.humanservices.gov.au/customer/services/express-plus-mobile-apps" TargetMode="External"/><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 Id="rId22" Type="http://schemas.openxmlformats.org/officeDocument/2006/relationships/chart" Target="charts/chart2.xml"/><Relationship Id="rId27" Type="http://schemas.openxmlformats.org/officeDocument/2006/relationships/header" Target="header6.xml"/><Relationship Id="rId30" Type="http://schemas.openxmlformats.org/officeDocument/2006/relationships/footer" Target="footer3.xml"/><Relationship Id="rId35" Type="http://schemas.openxmlformats.org/officeDocument/2006/relationships/header" Target="header11.xml"/></Relationships>
</file>

<file path=word/_rels/footnotes.xml.rels><?xml version="1.0" encoding="UTF-8" standalone="yes"?>
<Relationships xmlns="http://schemas.openxmlformats.org/package/2006/relationships"><Relationship Id="rId2" Type="http://schemas.openxmlformats.org/officeDocument/2006/relationships/hyperlink" Target="http://www.aihw.gov.au/publication-detail/?id=60129550483" TargetMode="External"/><Relationship Id="rId1" Type="http://schemas.openxmlformats.org/officeDocument/2006/relationships/hyperlink" Target="http://www.abs.gov.au/AUSSTATS/abs@.nsf/DetailsPage/3101.0Dec%202015?OpenDocumen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entral.health\dfsuserenv\Users\User_16\mckaew\Desktop\Book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cogweb.edw.health/ibmcognos/cgi-bin/cognos.cgi?b_action=dc&amp;f=b3V0cHV0MzQyNzQ5ODg1MjI5MjQ_&amp;k=FAAAALXJ85mjC01nuD0oz0DiPH2xeOk18mwkkiHaMsGiIGN0nXZyqdIlPtk_&amp;s=FAAAALXJ85mjC01nuD0oz0DiPH2xeOk1x31-NlUEZg3mW0VI60gIl5FAYcM_&amp;did=21&amp;viewer=true"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706518075573479"/>
          <c:y val="2.89883436173827E-2"/>
          <c:w val="0.77721821936288493"/>
          <c:h val="0.74120797400324956"/>
        </c:manualLayout>
      </c:layout>
      <c:lineChart>
        <c:grouping val="standard"/>
        <c:varyColors val="0"/>
        <c:ser>
          <c:idx val="0"/>
          <c:order val="0"/>
          <c:tx>
            <c:strRef>
              <c:f>[Book1.xlsx]Sheet1!$G$5</c:f>
              <c:strCache>
                <c:ptCount val="1"/>
                <c:pt idx="0">
                  <c:v>Predicted services </c:v>
                </c:pt>
              </c:strCache>
            </c:strRef>
          </c:tx>
          <c:cat>
            <c:strRef>
              <c:f>[Book1.xlsx]Sheet1!$H$4:$S$4</c:f>
              <c:strCache>
                <c:ptCount val="11"/>
                <c:pt idx="0">
                  <c:v>2004-05</c:v>
                </c:pt>
                <c:pt idx="1">
                  <c:v>2005-06</c:v>
                </c:pt>
                <c:pt idx="2">
                  <c:v>2006-07</c:v>
                </c:pt>
                <c:pt idx="3">
                  <c:v>2007-08</c:v>
                </c:pt>
                <c:pt idx="4">
                  <c:v>2008-09</c:v>
                </c:pt>
                <c:pt idx="5">
                  <c:v>2009-10</c:v>
                </c:pt>
                <c:pt idx="6">
                  <c:v>2010-11</c:v>
                </c:pt>
                <c:pt idx="7">
                  <c:v>2011-12</c:v>
                </c:pt>
                <c:pt idx="8">
                  <c:v>2012-13</c:v>
                </c:pt>
                <c:pt idx="9">
                  <c:v>2013-14</c:v>
                </c:pt>
                <c:pt idx="10">
                  <c:v>2014-15</c:v>
                </c:pt>
              </c:strCache>
            </c:strRef>
          </c:cat>
          <c:val>
            <c:numRef>
              <c:f>[Book1.xlsx]Sheet1!$H$5:$S$5</c:f>
              <c:numCache>
                <c:formatCode>#,##0</c:formatCode>
                <c:ptCount val="11"/>
                <c:pt idx="0">
                  <c:v>3114</c:v>
                </c:pt>
                <c:pt idx="1">
                  <c:v>3232</c:v>
                </c:pt>
                <c:pt idx="2">
                  <c:v>3355</c:v>
                </c:pt>
                <c:pt idx="3">
                  <c:v>3482.49</c:v>
                </c:pt>
                <c:pt idx="4">
                  <c:v>3614.8246199999999</c:v>
                </c:pt>
                <c:pt idx="5">
                  <c:v>3752.1879555599999</c:v>
                </c:pt>
                <c:pt idx="6">
                  <c:v>3894.7710978712812</c:v>
                </c:pt>
                <c:pt idx="7">
                  <c:v>4042.7723995903898</c:v>
                </c:pt>
                <c:pt idx="8">
                  <c:v>4196.3977507748205</c:v>
                </c:pt>
                <c:pt idx="9">
                  <c:v>4355.8608653042684</c:v>
                </c:pt>
                <c:pt idx="10">
                  <c:v>4521.3835781858297</c:v>
                </c:pt>
              </c:numCache>
            </c:numRef>
          </c:val>
          <c:smooth val="0"/>
          <c:extLst>
            <c:ext xmlns:c16="http://schemas.microsoft.com/office/drawing/2014/chart" uri="{C3380CC4-5D6E-409C-BE32-E72D297353CC}">
              <c16:uniqueId val="{00000000-B31A-4160-B65D-4144A3F2B1B1}"/>
            </c:ext>
          </c:extLst>
        </c:ser>
        <c:ser>
          <c:idx val="1"/>
          <c:order val="1"/>
          <c:tx>
            <c:strRef>
              <c:f>[Book1.xlsx]Sheet1!$G$6</c:f>
              <c:strCache>
                <c:ptCount val="1"/>
                <c:pt idx="0">
                  <c:v>11820 (services) </c:v>
                </c:pt>
              </c:strCache>
            </c:strRef>
          </c:tx>
          <c:cat>
            <c:strRef>
              <c:f>[Book1.xlsx]Sheet1!$H$4:$S$4</c:f>
              <c:strCache>
                <c:ptCount val="11"/>
                <c:pt idx="0">
                  <c:v>2004-05</c:v>
                </c:pt>
                <c:pt idx="1">
                  <c:v>2005-06</c:v>
                </c:pt>
                <c:pt idx="2">
                  <c:v>2006-07</c:v>
                </c:pt>
                <c:pt idx="3">
                  <c:v>2007-08</c:v>
                </c:pt>
                <c:pt idx="4">
                  <c:v>2008-09</c:v>
                </c:pt>
                <c:pt idx="5">
                  <c:v>2009-10</c:v>
                </c:pt>
                <c:pt idx="6">
                  <c:v>2010-11</c:v>
                </c:pt>
                <c:pt idx="7">
                  <c:v>2011-12</c:v>
                </c:pt>
                <c:pt idx="8">
                  <c:v>2012-13</c:v>
                </c:pt>
                <c:pt idx="9">
                  <c:v>2013-14</c:v>
                </c:pt>
                <c:pt idx="10">
                  <c:v>2014-15</c:v>
                </c:pt>
              </c:strCache>
            </c:strRef>
          </c:cat>
          <c:val>
            <c:numRef>
              <c:f>[Book1.xlsx]Sheet1!$H$6:$S$6</c:f>
              <c:numCache>
                <c:formatCode>#,##0</c:formatCode>
                <c:ptCount val="11"/>
                <c:pt idx="0">
                  <c:v>2556</c:v>
                </c:pt>
                <c:pt idx="1">
                  <c:v>3613</c:v>
                </c:pt>
                <c:pt idx="2">
                  <c:v>4957</c:v>
                </c:pt>
                <c:pt idx="3">
                  <c:v>6240</c:v>
                </c:pt>
                <c:pt idx="4">
                  <c:v>7341</c:v>
                </c:pt>
                <c:pt idx="5">
                  <c:v>8165</c:v>
                </c:pt>
                <c:pt idx="6">
                  <c:v>8485</c:v>
                </c:pt>
                <c:pt idx="7">
                  <c:v>8950</c:v>
                </c:pt>
                <c:pt idx="8">
                  <c:v>9597</c:v>
                </c:pt>
                <c:pt idx="9">
                  <c:v>10746</c:v>
                </c:pt>
                <c:pt idx="10">
                  <c:v>12156</c:v>
                </c:pt>
              </c:numCache>
            </c:numRef>
          </c:val>
          <c:smooth val="0"/>
          <c:extLst>
            <c:ext xmlns:c16="http://schemas.microsoft.com/office/drawing/2014/chart" uri="{C3380CC4-5D6E-409C-BE32-E72D297353CC}">
              <c16:uniqueId val="{00000001-B31A-4160-B65D-4144A3F2B1B1}"/>
            </c:ext>
          </c:extLst>
        </c:ser>
        <c:ser>
          <c:idx val="2"/>
          <c:order val="2"/>
          <c:tx>
            <c:strRef>
              <c:f>[Book1.xlsx]Sheet1!$G$7</c:f>
              <c:strCache>
                <c:ptCount val="1"/>
                <c:pt idx="0">
                  <c:v>Estimated OGIB Hospital separations*</c:v>
                </c:pt>
              </c:strCache>
            </c:strRef>
          </c:tx>
          <c:cat>
            <c:strRef>
              <c:f>[Book1.xlsx]Sheet1!$H$4:$S$4</c:f>
              <c:strCache>
                <c:ptCount val="11"/>
                <c:pt idx="0">
                  <c:v>2004-05</c:v>
                </c:pt>
                <c:pt idx="1">
                  <c:v>2005-06</c:v>
                </c:pt>
                <c:pt idx="2">
                  <c:v>2006-07</c:v>
                </c:pt>
                <c:pt idx="3">
                  <c:v>2007-08</c:v>
                </c:pt>
                <c:pt idx="4">
                  <c:v>2008-09</c:v>
                </c:pt>
                <c:pt idx="5">
                  <c:v>2009-10</c:v>
                </c:pt>
                <c:pt idx="6">
                  <c:v>2010-11</c:v>
                </c:pt>
                <c:pt idx="7">
                  <c:v>2011-12</c:v>
                </c:pt>
                <c:pt idx="8">
                  <c:v>2012-13</c:v>
                </c:pt>
                <c:pt idx="9">
                  <c:v>2013-14</c:v>
                </c:pt>
                <c:pt idx="10">
                  <c:v>2014-15</c:v>
                </c:pt>
              </c:strCache>
            </c:strRef>
          </c:cat>
          <c:val>
            <c:numRef>
              <c:f>[Book1.xlsx]Sheet1!$H$7:$S$7</c:f>
              <c:numCache>
                <c:formatCode>#,##0</c:formatCode>
                <c:ptCount val="11"/>
                <c:pt idx="0">
                  <c:v>3416</c:v>
                </c:pt>
                <c:pt idx="1">
                  <c:v>3650</c:v>
                </c:pt>
                <c:pt idx="2">
                  <c:v>3936</c:v>
                </c:pt>
                <c:pt idx="3">
                  <c:v>4226</c:v>
                </c:pt>
                <c:pt idx="4">
                  <c:v>4588</c:v>
                </c:pt>
                <c:pt idx="5">
                  <c:v>5004</c:v>
                </c:pt>
                <c:pt idx="6">
                  <c:v>5006</c:v>
                </c:pt>
                <c:pt idx="7">
                  <c:v>5760</c:v>
                </c:pt>
                <c:pt idx="8">
                  <c:v>5504</c:v>
                </c:pt>
                <c:pt idx="9">
                  <c:v>5516</c:v>
                </c:pt>
              </c:numCache>
            </c:numRef>
          </c:val>
          <c:smooth val="0"/>
          <c:extLst>
            <c:ext xmlns:c16="http://schemas.microsoft.com/office/drawing/2014/chart" uri="{C3380CC4-5D6E-409C-BE32-E72D297353CC}">
              <c16:uniqueId val="{00000002-B31A-4160-B65D-4144A3F2B1B1}"/>
            </c:ext>
          </c:extLst>
        </c:ser>
        <c:dLbls>
          <c:showLegendKey val="0"/>
          <c:showVal val="0"/>
          <c:showCatName val="0"/>
          <c:showSerName val="0"/>
          <c:showPercent val="0"/>
          <c:showBubbleSize val="0"/>
        </c:dLbls>
        <c:marker val="1"/>
        <c:smooth val="0"/>
        <c:axId val="141540352"/>
        <c:axId val="141554816"/>
      </c:lineChart>
      <c:catAx>
        <c:axId val="141540352"/>
        <c:scaling>
          <c:orientation val="minMax"/>
        </c:scaling>
        <c:delete val="0"/>
        <c:axPos val="b"/>
        <c:title>
          <c:tx>
            <c:rich>
              <a:bodyPr/>
              <a:lstStyle/>
              <a:p>
                <a:pPr>
                  <a:defRPr/>
                </a:pPr>
                <a:r>
                  <a:rPr lang="en-AU"/>
                  <a:t>Financial year</a:t>
                </a:r>
              </a:p>
            </c:rich>
          </c:tx>
          <c:overlay val="0"/>
        </c:title>
        <c:numFmt formatCode="General" sourceLinked="0"/>
        <c:majorTickMark val="out"/>
        <c:minorTickMark val="none"/>
        <c:tickLblPos val="nextTo"/>
        <c:crossAx val="141554816"/>
        <c:crosses val="autoZero"/>
        <c:auto val="1"/>
        <c:lblAlgn val="ctr"/>
        <c:lblOffset val="100"/>
        <c:noMultiLvlLbl val="0"/>
      </c:catAx>
      <c:valAx>
        <c:axId val="141554816"/>
        <c:scaling>
          <c:orientation val="minMax"/>
        </c:scaling>
        <c:delete val="0"/>
        <c:axPos val="l"/>
        <c:majorGridlines/>
        <c:title>
          <c:tx>
            <c:rich>
              <a:bodyPr rot="-5400000" vert="horz"/>
              <a:lstStyle/>
              <a:p>
                <a:pPr>
                  <a:defRPr/>
                </a:pPr>
                <a:r>
                  <a:rPr lang="en-AU"/>
                  <a:t>Services/patient</a:t>
                </a:r>
                <a:r>
                  <a:rPr lang="en-AU" baseline="0"/>
                  <a:t> episodes</a:t>
                </a:r>
                <a:endParaRPr lang="en-AU"/>
              </a:p>
            </c:rich>
          </c:tx>
          <c:overlay val="0"/>
        </c:title>
        <c:numFmt formatCode="#,##0" sourceLinked="1"/>
        <c:majorTickMark val="out"/>
        <c:minorTickMark val="none"/>
        <c:tickLblPos val="nextTo"/>
        <c:crossAx val="141540352"/>
        <c:crosses val="autoZero"/>
        <c:crossBetween val="between"/>
      </c:valAx>
    </c:plotArea>
    <c:legend>
      <c:legendPos val="r"/>
      <c:layout>
        <c:manualLayout>
          <c:xMode val="edge"/>
          <c:yMode val="edge"/>
          <c:x val="0.31192692864232902"/>
          <c:y val="4.2523198086347497E-2"/>
          <c:w val="0.47994551883195102"/>
          <c:h val="0.169563281749123"/>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pPr>
            <a:r>
              <a:rPr lang="en-AU" sz="1600"/>
              <a:t>11820 - services</a:t>
            </a:r>
            <a:r>
              <a:rPr lang="en-AU" sz="1600" baseline="0"/>
              <a:t> per 100,000 population</a:t>
            </a:r>
            <a:endParaRPr lang="en-AU" sz="1600"/>
          </a:p>
        </c:rich>
      </c:tx>
      <c:overlay val="0"/>
    </c:title>
    <c:autoTitleDeleted val="0"/>
    <c:plotArea>
      <c:layout/>
      <c:lineChart>
        <c:grouping val="standard"/>
        <c:varyColors val="0"/>
        <c:ser>
          <c:idx val="0"/>
          <c:order val="0"/>
          <c:tx>
            <c:strRef>
              <c:f>'Report Page_1'!$A$36</c:f>
              <c:strCache>
                <c:ptCount val="1"/>
                <c:pt idx="0">
                  <c:v>VIC</c:v>
                </c:pt>
              </c:strCache>
            </c:strRef>
          </c:tx>
          <c:marker>
            <c:symbol val="none"/>
          </c:marker>
          <c:cat>
            <c:strRef>
              <c:f>'Report Page_1'!$B$35:$F$35</c:f>
              <c:strCache>
                <c:ptCount val="5"/>
                <c:pt idx="0">
                  <c:v>2010/2011</c:v>
                </c:pt>
                <c:pt idx="1">
                  <c:v>2011/2012</c:v>
                </c:pt>
                <c:pt idx="2">
                  <c:v>2012/2013</c:v>
                </c:pt>
                <c:pt idx="3">
                  <c:v>2013/2014</c:v>
                </c:pt>
                <c:pt idx="4">
                  <c:v>2014/2015</c:v>
                </c:pt>
              </c:strCache>
            </c:strRef>
          </c:cat>
          <c:val>
            <c:numRef>
              <c:f>'Report Page_1'!$B$36:$F$36</c:f>
              <c:numCache>
                <c:formatCode>0</c:formatCode>
                <c:ptCount val="5"/>
                <c:pt idx="0">
                  <c:v>49.235110500000012</c:v>
                </c:pt>
                <c:pt idx="1">
                  <c:v>54.163486900000002</c:v>
                </c:pt>
                <c:pt idx="2">
                  <c:v>58.242091899999998</c:v>
                </c:pt>
                <c:pt idx="3">
                  <c:v>67.216689400000007</c:v>
                </c:pt>
                <c:pt idx="4">
                  <c:v>73.3384207</c:v>
                </c:pt>
              </c:numCache>
            </c:numRef>
          </c:val>
          <c:smooth val="0"/>
          <c:extLst>
            <c:ext xmlns:c16="http://schemas.microsoft.com/office/drawing/2014/chart" uri="{C3380CC4-5D6E-409C-BE32-E72D297353CC}">
              <c16:uniqueId val="{00000000-989C-4E56-BCD3-534C8BC359EB}"/>
            </c:ext>
          </c:extLst>
        </c:ser>
        <c:ser>
          <c:idx val="1"/>
          <c:order val="1"/>
          <c:tx>
            <c:strRef>
              <c:f>'Report Page_1'!$A$37</c:f>
              <c:strCache>
                <c:ptCount val="1"/>
                <c:pt idx="0">
                  <c:v>TAS</c:v>
                </c:pt>
              </c:strCache>
            </c:strRef>
          </c:tx>
          <c:marker>
            <c:symbol val="none"/>
          </c:marker>
          <c:cat>
            <c:strRef>
              <c:f>'Report Page_1'!$B$35:$F$35</c:f>
              <c:strCache>
                <c:ptCount val="5"/>
                <c:pt idx="0">
                  <c:v>2010/2011</c:v>
                </c:pt>
                <c:pt idx="1">
                  <c:v>2011/2012</c:v>
                </c:pt>
                <c:pt idx="2">
                  <c:v>2012/2013</c:v>
                </c:pt>
                <c:pt idx="3">
                  <c:v>2013/2014</c:v>
                </c:pt>
                <c:pt idx="4">
                  <c:v>2014/2015</c:v>
                </c:pt>
              </c:strCache>
            </c:strRef>
          </c:cat>
          <c:val>
            <c:numRef>
              <c:f>'Report Page_1'!$B$37:$F$37</c:f>
              <c:numCache>
                <c:formatCode>0</c:formatCode>
                <c:ptCount val="5"/>
                <c:pt idx="0">
                  <c:v>35.778315200000002</c:v>
                </c:pt>
                <c:pt idx="1">
                  <c:v>38.078054100000003</c:v>
                </c:pt>
                <c:pt idx="2">
                  <c:v>45.215357599999997</c:v>
                </c:pt>
                <c:pt idx="3">
                  <c:v>53.811275799999997</c:v>
                </c:pt>
                <c:pt idx="4">
                  <c:v>61.970386300000001</c:v>
                </c:pt>
              </c:numCache>
            </c:numRef>
          </c:val>
          <c:smooth val="0"/>
          <c:extLst>
            <c:ext xmlns:c16="http://schemas.microsoft.com/office/drawing/2014/chart" uri="{C3380CC4-5D6E-409C-BE32-E72D297353CC}">
              <c16:uniqueId val="{00000001-989C-4E56-BCD3-534C8BC359EB}"/>
            </c:ext>
          </c:extLst>
        </c:ser>
        <c:ser>
          <c:idx val="2"/>
          <c:order val="2"/>
          <c:tx>
            <c:strRef>
              <c:f>'Report Page_1'!$A$38</c:f>
              <c:strCache>
                <c:ptCount val="1"/>
                <c:pt idx="0">
                  <c:v>NSW</c:v>
                </c:pt>
              </c:strCache>
            </c:strRef>
          </c:tx>
          <c:marker>
            <c:symbol val="none"/>
          </c:marker>
          <c:cat>
            <c:strRef>
              <c:f>'Report Page_1'!$B$35:$F$35</c:f>
              <c:strCache>
                <c:ptCount val="5"/>
                <c:pt idx="0">
                  <c:v>2010/2011</c:v>
                </c:pt>
                <c:pt idx="1">
                  <c:v>2011/2012</c:v>
                </c:pt>
                <c:pt idx="2">
                  <c:v>2012/2013</c:v>
                </c:pt>
                <c:pt idx="3">
                  <c:v>2013/2014</c:v>
                </c:pt>
                <c:pt idx="4">
                  <c:v>2014/2015</c:v>
                </c:pt>
              </c:strCache>
            </c:strRef>
          </c:cat>
          <c:val>
            <c:numRef>
              <c:f>'Report Page_1'!$B$38:$F$38</c:f>
              <c:numCache>
                <c:formatCode>0</c:formatCode>
                <c:ptCount val="5"/>
                <c:pt idx="0">
                  <c:v>44.233133700000003</c:v>
                </c:pt>
                <c:pt idx="1">
                  <c:v>43.843215499999999</c:v>
                </c:pt>
                <c:pt idx="2">
                  <c:v>45.760986100000011</c:v>
                </c:pt>
                <c:pt idx="3">
                  <c:v>48.392090500000002</c:v>
                </c:pt>
                <c:pt idx="4">
                  <c:v>57.784305600000003</c:v>
                </c:pt>
              </c:numCache>
            </c:numRef>
          </c:val>
          <c:smooth val="0"/>
          <c:extLst>
            <c:ext xmlns:c16="http://schemas.microsoft.com/office/drawing/2014/chart" uri="{C3380CC4-5D6E-409C-BE32-E72D297353CC}">
              <c16:uniqueId val="{00000002-989C-4E56-BCD3-534C8BC359EB}"/>
            </c:ext>
          </c:extLst>
        </c:ser>
        <c:ser>
          <c:idx val="3"/>
          <c:order val="3"/>
          <c:tx>
            <c:strRef>
              <c:f>'Report Page_1'!$A$39</c:f>
              <c:strCache>
                <c:ptCount val="1"/>
                <c:pt idx="0">
                  <c:v>QLD</c:v>
                </c:pt>
              </c:strCache>
            </c:strRef>
          </c:tx>
          <c:marker>
            <c:symbol val="none"/>
          </c:marker>
          <c:cat>
            <c:strRef>
              <c:f>'Report Page_1'!$B$35:$F$35</c:f>
              <c:strCache>
                <c:ptCount val="5"/>
                <c:pt idx="0">
                  <c:v>2010/2011</c:v>
                </c:pt>
                <c:pt idx="1">
                  <c:v>2011/2012</c:v>
                </c:pt>
                <c:pt idx="2">
                  <c:v>2012/2013</c:v>
                </c:pt>
                <c:pt idx="3">
                  <c:v>2013/2014</c:v>
                </c:pt>
                <c:pt idx="4">
                  <c:v>2014/2015</c:v>
                </c:pt>
              </c:strCache>
            </c:strRef>
          </c:cat>
          <c:val>
            <c:numRef>
              <c:f>'Report Page_1'!$B$39:$F$39</c:f>
              <c:numCache>
                <c:formatCode>0</c:formatCode>
                <c:ptCount val="5"/>
                <c:pt idx="0">
                  <c:v>31.4060883</c:v>
                </c:pt>
                <c:pt idx="1">
                  <c:v>33.555942899999998</c:v>
                </c:pt>
                <c:pt idx="2">
                  <c:v>35.826252400000001</c:v>
                </c:pt>
                <c:pt idx="3">
                  <c:v>39.131527499999997</c:v>
                </c:pt>
                <c:pt idx="4">
                  <c:v>41.303984599999993</c:v>
                </c:pt>
              </c:numCache>
            </c:numRef>
          </c:val>
          <c:smooth val="0"/>
          <c:extLst>
            <c:ext xmlns:c16="http://schemas.microsoft.com/office/drawing/2014/chart" uri="{C3380CC4-5D6E-409C-BE32-E72D297353CC}">
              <c16:uniqueId val="{00000003-989C-4E56-BCD3-534C8BC359EB}"/>
            </c:ext>
          </c:extLst>
        </c:ser>
        <c:ser>
          <c:idx val="4"/>
          <c:order val="4"/>
          <c:tx>
            <c:strRef>
              <c:f>'Report Page_1'!$A$40</c:f>
              <c:strCache>
                <c:ptCount val="1"/>
                <c:pt idx="0">
                  <c:v>NT</c:v>
                </c:pt>
              </c:strCache>
            </c:strRef>
          </c:tx>
          <c:marker>
            <c:symbol val="none"/>
          </c:marker>
          <c:cat>
            <c:strRef>
              <c:f>'Report Page_1'!$B$35:$F$35</c:f>
              <c:strCache>
                <c:ptCount val="5"/>
                <c:pt idx="0">
                  <c:v>2010/2011</c:v>
                </c:pt>
                <c:pt idx="1">
                  <c:v>2011/2012</c:v>
                </c:pt>
                <c:pt idx="2">
                  <c:v>2012/2013</c:v>
                </c:pt>
                <c:pt idx="3">
                  <c:v>2013/2014</c:v>
                </c:pt>
                <c:pt idx="4">
                  <c:v>2014/2015</c:v>
                </c:pt>
              </c:strCache>
            </c:strRef>
          </c:cat>
          <c:val>
            <c:numRef>
              <c:f>'Report Page_1'!$B$40:$F$40</c:f>
              <c:numCache>
                <c:formatCode>0</c:formatCode>
                <c:ptCount val="5"/>
                <c:pt idx="0">
                  <c:v>5.6206007989900204</c:v>
                </c:pt>
                <c:pt idx="1">
                  <c:v>15.6858755</c:v>
                </c:pt>
                <c:pt idx="2">
                  <c:v>14.860424800000001</c:v>
                </c:pt>
                <c:pt idx="3">
                  <c:v>29.4043694</c:v>
                </c:pt>
                <c:pt idx="4">
                  <c:v>36.189241499999973</c:v>
                </c:pt>
              </c:numCache>
            </c:numRef>
          </c:val>
          <c:smooth val="0"/>
          <c:extLst>
            <c:ext xmlns:c16="http://schemas.microsoft.com/office/drawing/2014/chart" uri="{C3380CC4-5D6E-409C-BE32-E72D297353CC}">
              <c16:uniqueId val="{00000004-989C-4E56-BCD3-534C8BC359EB}"/>
            </c:ext>
          </c:extLst>
        </c:ser>
        <c:ser>
          <c:idx val="5"/>
          <c:order val="5"/>
          <c:tx>
            <c:strRef>
              <c:f>'Report Page_1'!$A$41</c:f>
              <c:strCache>
                <c:ptCount val="1"/>
                <c:pt idx="0">
                  <c:v>ACT</c:v>
                </c:pt>
              </c:strCache>
            </c:strRef>
          </c:tx>
          <c:marker>
            <c:symbol val="none"/>
          </c:marker>
          <c:cat>
            <c:strRef>
              <c:f>'Report Page_1'!$B$35:$F$35</c:f>
              <c:strCache>
                <c:ptCount val="5"/>
                <c:pt idx="0">
                  <c:v>2010/2011</c:v>
                </c:pt>
                <c:pt idx="1">
                  <c:v>2011/2012</c:v>
                </c:pt>
                <c:pt idx="2">
                  <c:v>2012/2013</c:v>
                </c:pt>
                <c:pt idx="3">
                  <c:v>2013/2014</c:v>
                </c:pt>
                <c:pt idx="4">
                  <c:v>2014/2015</c:v>
                </c:pt>
              </c:strCache>
            </c:strRef>
          </c:cat>
          <c:val>
            <c:numRef>
              <c:f>'Report Page_1'!$B$41:$F$41</c:f>
              <c:numCache>
                <c:formatCode>0</c:formatCode>
                <c:ptCount val="5"/>
                <c:pt idx="0">
                  <c:v>38.136526000000011</c:v>
                </c:pt>
                <c:pt idx="1">
                  <c:v>23.026554399999991</c:v>
                </c:pt>
                <c:pt idx="2">
                  <c:v>24.208120699999981</c:v>
                </c:pt>
                <c:pt idx="3">
                  <c:v>26.350778999999999</c:v>
                </c:pt>
                <c:pt idx="4">
                  <c:v>30.88247269999998</c:v>
                </c:pt>
              </c:numCache>
            </c:numRef>
          </c:val>
          <c:smooth val="0"/>
          <c:extLst>
            <c:ext xmlns:c16="http://schemas.microsoft.com/office/drawing/2014/chart" uri="{C3380CC4-5D6E-409C-BE32-E72D297353CC}">
              <c16:uniqueId val="{00000005-989C-4E56-BCD3-534C8BC359EB}"/>
            </c:ext>
          </c:extLst>
        </c:ser>
        <c:ser>
          <c:idx val="6"/>
          <c:order val="6"/>
          <c:tx>
            <c:strRef>
              <c:f>'Report Page_1'!$A$42</c:f>
              <c:strCache>
                <c:ptCount val="1"/>
                <c:pt idx="0">
                  <c:v>SA</c:v>
                </c:pt>
              </c:strCache>
            </c:strRef>
          </c:tx>
          <c:marker>
            <c:symbol val="none"/>
          </c:marker>
          <c:cat>
            <c:strRef>
              <c:f>'Report Page_1'!$B$35:$F$35</c:f>
              <c:strCache>
                <c:ptCount val="5"/>
                <c:pt idx="0">
                  <c:v>2010/2011</c:v>
                </c:pt>
                <c:pt idx="1">
                  <c:v>2011/2012</c:v>
                </c:pt>
                <c:pt idx="2">
                  <c:v>2012/2013</c:v>
                </c:pt>
                <c:pt idx="3">
                  <c:v>2013/2014</c:v>
                </c:pt>
                <c:pt idx="4">
                  <c:v>2014/2015</c:v>
                </c:pt>
              </c:strCache>
            </c:strRef>
          </c:cat>
          <c:val>
            <c:numRef>
              <c:f>'Report Page_1'!$B$42:$F$42</c:f>
              <c:numCache>
                <c:formatCode>0</c:formatCode>
                <c:ptCount val="5"/>
                <c:pt idx="0">
                  <c:v>27.44548409999998</c:v>
                </c:pt>
                <c:pt idx="1">
                  <c:v>29.226435399999989</c:v>
                </c:pt>
                <c:pt idx="2">
                  <c:v>27.117661900000009</c:v>
                </c:pt>
                <c:pt idx="3">
                  <c:v>27.406784300000002</c:v>
                </c:pt>
                <c:pt idx="4">
                  <c:v>29.261858400000001</c:v>
                </c:pt>
              </c:numCache>
            </c:numRef>
          </c:val>
          <c:smooth val="0"/>
          <c:extLst>
            <c:ext xmlns:c16="http://schemas.microsoft.com/office/drawing/2014/chart" uri="{C3380CC4-5D6E-409C-BE32-E72D297353CC}">
              <c16:uniqueId val="{00000006-989C-4E56-BCD3-534C8BC359EB}"/>
            </c:ext>
          </c:extLst>
        </c:ser>
        <c:ser>
          <c:idx val="7"/>
          <c:order val="7"/>
          <c:tx>
            <c:strRef>
              <c:f>'Report Page_1'!$A$43</c:f>
              <c:strCache>
                <c:ptCount val="1"/>
                <c:pt idx="0">
                  <c:v>WA</c:v>
                </c:pt>
              </c:strCache>
            </c:strRef>
          </c:tx>
          <c:marker>
            <c:symbol val="none"/>
          </c:marker>
          <c:cat>
            <c:strRef>
              <c:f>'Report Page_1'!$B$35:$F$35</c:f>
              <c:strCache>
                <c:ptCount val="5"/>
                <c:pt idx="0">
                  <c:v>2010/2011</c:v>
                </c:pt>
                <c:pt idx="1">
                  <c:v>2011/2012</c:v>
                </c:pt>
                <c:pt idx="2">
                  <c:v>2012/2013</c:v>
                </c:pt>
                <c:pt idx="3">
                  <c:v>2013/2014</c:v>
                </c:pt>
                <c:pt idx="4">
                  <c:v>2014/2015</c:v>
                </c:pt>
              </c:strCache>
            </c:strRef>
          </c:cat>
          <c:val>
            <c:numRef>
              <c:f>'Report Page_1'!$B$43:$F$43</c:f>
              <c:numCache>
                <c:formatCode>0</c:formatCode>
                <c:ptCount val="5"/>
                <c:pt idx="0">
                  <c:v>15.8493487</c:v>
                </c:pt>
                <c:pt idx="1">
                  <c:v>14.766238100000001</c:v>
                </c:pt>
                <c:pt idx="2">
                  <c:v>15.244102099999999</c:v>
                </c:pt>
                <c:pt idx="3">
                  <c:v>16.3208904</c:v>
                </c:pt>
                <c:pt idx="4">
                  <c:v>21.61213840000001</c:v>
                </c:pt>
              </c:numCache>
            </c:numRef>
          </c:val>
          <c:smooth val="0"/>
          <c:extLst>
            <c:ext xmlns:c16="http://schemas.microsoft.com/office/drawing/2014/chart" uri="{C3380CC4-5D6E-409C-BE32-E72D297353CC}">
              <c16:uniqueId val="{00000007-989C-4E56-BCD3-534C8BC359EB}"/>
            </c:ext>
          </c:extLst>
        </c:ser>
        <c:dLbls>
          <c:showLegendKey val="0"/>
          <c:showVal val="0"/>
          <c:showCatName val="0"/>
          <c:showSerName val="0"/>
          <c:showPercent val="0"/>
          <c:showBubbleSize val="0"/>
        </c:dLbls>
        <c:smooth val="0"/>
        <c:axId val="141924224"/>
        <c:axId val="141925760"/>
      </c:lineChart>
      <c:catAx>
        <c:axId val="141924224"/>
        <c:scaling>
          <c:orientation val="minMax"/>
        </c:scaling>
        <c:delete val="0"/>
        <c:axPos val="b"/>
        <c:numFmt formatCode="General" sourceLinked="0"/>
        <c:majorTickMark val="none"/>
        <c:minorTickMark val="none"/>
        <c:tickLblPos val="nextTo"/>
        <c:crossAx val="141925760"/>
        <c:crosses val="autoZero"/>
        <c:auto val="1"/>
        <c:lblAlgn val="ctr"/>
        <c:lblOffset val="100"/>
        <c:noMultiLvlLbl val="0"/>
      </c:catAx>
      <c:valAx>
        <c:axId val="141925760"/>
        <c:scaling>
          <c:orientation val="minMax"/>
        </c:scaling>
        <c:delete val="0"/>
        <c:axPos val="l"/>
        <c:majorGridlines/>
        <c:title>
          <c:tx>
            <c:rich>
              <a:bodyPr/>
              <a:lstStyle/>
              <a:p>
                <a:pPr>
                  <a:defRPr/>
                </a:pPr>
                <a:r>
                  <a:rPr lang="en-AU"/>
                  <a:t>services per 100,000 people</a:t>
                </a:r>
              </a:p>
            </c:rich>
          </c:tx>
          <c:layout>
            <c:manualLayout>
              <c:xMode val="edge"/>
              <c:yMode val="edge"/>
              <c:x val="1.3733904341734099E-2"/>
              <c:y val="0.27646586729850298"/>
            </c:manualLayout>
          </c:layout>
          <c:overlay val="0"/>
        </c:title>
        <c:numFmt formatCode="0" sourceLinked="1"/>
        <c:majorTickMark val="none"/>
        <c:minorTickMark val="none"/>
        <c:tickLblPos val="nextTo"/>
        <c:crossAx val="141924224"/>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NIC16</b:Tag>
    <b:SourceType>InternetSite</b:SourceType>
    <b:Guid>{8071DF23-72EB-4714-87A9-258035AE728B}</b:Guid>
    <b:Author>
      <b:Author>
        <b:NameList>
          <b:Person>
            <b:Last>NICE</b:Last>
          </b:Person>
        </b:NameList>
      </b:Author>
    </b:Author>
    <b:Title>Phototherapy for Psoriasis</b:Title>
    <b:Year>2016</b:Year>
    <b:InternetSiteTitle>NICE</b:InternetSiteTitle>
    <b:Month>n/a</b:Month>
    <b:Day>n/a</b:Day>
    <b:URL>http://pathways.nice.org.uk/pathways/psoriasis#path=view%3A/pathways/psoriasis/phototherapy-for-psoriasis.xml&amp;content=view-index</b:URL>
    <b:RefOrder>1</b:RefOrder>
  </b:Source>
  <b:Source>
    <b:Tag>Els12</b:Tag>
    <b:SourceType>JournalArticle</b:SourceType>
    <b:Guid>{FB4A0FA1-A159-41FB-A146-018DBE1723D2}</b:Guid>
    <b:Title>Over 150 potentially low-value health care practices: an Australian study</b:Title>
    <b:Year>2012</b:Year>
    <b:Author>
      <b:Author>
        <b:NameList>
          <b:Person>
            <b:Last>Elshaug</b:Last>
            <b:First>Adam </b:First>
          </b:Person>
          <b:Person>
            <b:Last>Watt</b:Last>
            <b:First>Amber</b:First>
          </b:Person>
          <b:Person>
            <b:Last>Mundy</b:Last>
            <b:First>Linder</b:First>
          </b:Person>
          <b:Person>
            <b:Last>Willis </b:Last>
            <b:First>Cameron</b:First>
          </b:Person>
        </b:NameList>
      </b:Author>
    </b:Author>
    <b:JournalName>The Medical Journal of Australia</b:JournalName>
    <b:Pages>556-560</b:Pages>
    <b:RefOrder>2</b:RefOrder>
  </b:Source>
  <b:Source>
    <b:Tag>Raj</b:Tag>
    <b:SourceType>JournalArticle</b:SourceType>
    <b:Guid>{BA99E932-D667-48D0-B1A0-E1AF4A5976F1}</b:Guid>
    <b:Title>Outcome of Endoscopic Mucosal Resection As an Alternative to Surgery in Patients with Complex Colon Polyps</b:Title>
    <b:JournalName>not published</b:JournalName>
    <b:Author>
      <b:Author>
        <b:NameList>
          <b:Person>
            <b:Last>Raju</b:Last>
            <b:First>Gottumukkala</b:First>
            <b:Middle>et Al.</b:Middle>
          </b:Person>
        </b:NameList>
      </b:Author>
    </b:Author>
    <b:RefOrder>3</b:RefOrder>
  </b:Source>
  <b:Source>
    <b:Tag>Mos14</b:Tag>
    <b:SourceType>JournalArticle</b:SourceType>
    <b:Guid>{8E240D1C-9F90-4131-BD80-B7EF1DD1E877}</b:Guid>
    <b:Title>From gastroenterologist to surgeon to gastroenterologist for management of large sessile colonic polyps: something new under the sun?</b:Title>
    <b:Year>2014</b:Year>
    <b:JournalName>Gastrointestinal Endoscopy</b:JournalName>
    <b:Pages>108-110</b:Pages>
    <b:Volume>1</b:Volume>
    <b:Issue>79</b:Issue>
    <b:Author>
      <b:Author>
        <b:NameList>
          <b:Person>
            <b:Last>Moss</b:Last>
            <b:First>Alan</b:First>
          </b:Person>
        </b:NameList>
      </b:Author>
    </b:Author>
    <b:RefOrder>4</b:RefOrder>
  </b:Source>
  <b:Source>
    <b:Tag>xxx161</b:Tag>
    <b:SourceType>JournalArticle</b:SourceType>
    <b:Guid>{BA18FB71-EE92-49F9-83F9-F42C567255C5}</b:Guid>
    <b:Author>
      <b:Author>
        <b:NameList>
          <b:Person>
            <b:Last>Lee</b:Last>
            <b:Middle>Y</b:Middle>
            <b:First>Eric</b:First>
          </b:Person>
          <b:Person>
            <b:Last>Bourke</b:Last>
            <b:Middle>Michael</b:Middle>
            <b:First>J</b:First>
          </b:Person>
        </b:NameList>
      </b:Author>
    </b:Author>
    <b:Title>Endoscopic mucosal resection should be the first-line treatment for large laterally spreading colorectal lesions</b:Title>
    <b:JournalName>unpublished</b:JournalName>
    <b:Year>2016</b:Year>
    <b:RefOrder>5</b:RefOrder>
  </b:Source>
  <b:Source>
    <b:Tag>Law16</b:Tag>
    <b:SourceType>JournalArticle</b:SourceType>
    <b:Guid>{6315D1A5-E958-4E61-ADF9-3C87FFFA9F0F}</b:Guid>
    <b:Title>Endoscopic resection is cost-effective compared with laparoscopic resection in the management of complex colon polyps: an economic analysis</b:Title>
    <b:JournalName>Gastrointestinal Endoscopy</b:JournalName>
    <b:Year>2016</b:Year>
    <b:Pages>1248-1257</b:Pages>
    <b:Volume>83</b:Volume>
    <b:Issue>6</b:Issue>
    <b:Author>
      <b:Author>
        <b:NameList>
          <b:Person>
            <b:Last>Law et Al.</b:Last>
            <b:First>Ryan</b:First>
          </b:Person>
        </b:NameList>
      </b:Author>
    </b:Author>
    <b:RefOrder>6</b:RefOrder>
  </b:Source>
  <b:Source>
    <b:Tag>xxx16</b:Tag>
    <b:SourceType>JournalArticle</b:SourceType>
    <b:Guid>{890F5ACE-3D5C-46B8-B8DE-97EB73942E5B}</b:Guid>
    <b:Title>Endoscopic submucosal dissection for early gastric cancer – applying the expanded resection criteria in a western tertiary center</b:Title>
    <b:Year>2016</b:Year>
    <b:Author>
      <b:Author>
        <b:NameList>
          <b:Person>
            <b:Last>Klein</b:Last>
            <b:First>Amir</b:First>
            <b:Middle>et Al.</b:Middle>
          </b:Person>
        </b:NameList>
      </b:Author>
    </b:Author>
    <b:JournalName>unpublished</b:JournalName>
    <b:RefOrder>7</b:RefOrder>
  </b:Source>
  <b:Source>
    <b:Tag>Adved</b:Tag>
    <b:SourceType>JournalArticle</b:SourceType>
    <b:Guid>{3FB728FB-A5D0-44A3-9D8A-51146FD76090}</b:Guid>
    <b:Title>Adverse events after surgery for nonmalignant colon polyps are common and associated with increased length of stay and costs</b:Title>
    <b:JournalName>Gastrointestinal Endoscopy</b:JournalName>
    <b:Year>unpublished</b:Year>
    <b:Author>
      <b:Author>
        <b:NameList>
          <b:Person>
            <b:Last>Keswani</b:Last>
            <b:First>Rajesh</b:First>
            <b:Middle>N et Al.</b:Middle>
          </b:Person>
        </b:NameList>
      </b:Author>
    </b:Author>
    <b:RefOrder>8</b:RefOrder>
  </b:Source>
  <b:Source>
    <b:Tag>Jay16</b:Tag>
    <b:SourceType>JournalArticle</b:SourceType>
    <b:Guid>{2301BC78-911C-45D0-8F3F-B8F18E80F951}</b:Guid>
    <b:Title>Cost Analysis of Endoscopic Mucosal Resection vs Surgery</b:Title>
    <b:JournalName>Clinical Gastroenterology and Hepatology</b:JournalName>
    <b:Year>2016</b:Year>
    <b:Pages>271-278</b:Pages>
    <b:Volume>14</b:Volume>
    <b:Author>
      <b:Author>
        <b:NameList>
          <b:Person>
            <b:Last>Jayanna</b:Last>
            <b:First>Mahesh</b:First>
            <b:Middle>et Al.</b:Middle>
          </b:Person>
        </b:NameList>
      </b:Author>
    </b:Author>
    <b:RefOrder>9</b:RefOrder>
  </b:Source>
  <b:Source>
    <b:Tag>Got16</b:Tag>
    <b:SourceType>JournalArticle</b:SourceType>
    <b:Guid>{64047988-C237-4FE5-A527-CB8CFEDD9898}</b:Guid>
    <b:Title>Outcome of EMR as an alternative to surgery in patients with complex colon polyps</b:Title>
    <b:JournalName>Gastrointestinal Endoscopy</b:JournalName>
    <b:Year>2016</b:Year>
    <b:Pages>315-325</b:Pages>
    <b:Volume>84</b:Volume>
    <b:Issue>2</b:Issue>
    <b:Author>
      <b:Author>
        <b:NameList>
          <b:Person>
            <b:Last>Gottumukkala</b:Last>
            <b:First>Raju</b:First>
            <b:Middle>S et al.</b:Middle>
          </b:Person>
        </b:NameList>
      </b:Author>
    </b:Author>
    <b:RefOrder>10</b:RefOrder>
  </b:Source>
  <b:Source>
    <b:Tag>Fri14</b:Tag>
    <b:SourceType>JournalArticle</b:SourceType>
    <b:Guid>{237A2937-7104-44CC-BC87-D3BFBC0F6AD3}</b:Guid>
    <b:Title>Outcomes of repeat colonoscopy in patients with polyps referred for surgery without biopsy proven cancer</b:Title>
    <b:JournalName>Gastrointestinal Endoscopy</b:JournalName>
    <b:Year>2014</b:Year>
    <b:Pages>101-107</b:Pages>
    <b:Volume>79</b:Volume>
    <b:Issue>2</b:Issue>
    <b:Author>
      <b:Author>
        <b:NameList>
          <b:Person>
            <b:Last>Friedland et Al.</b:Last>
            <b:First>Shai</b:First>
          </b:Person>
        </b:NameList>
      </b:Author>
    </b:Author>
    <b:RefOrder>11</b:RefOrder>
  </b:Source>
  <b:Source>
    <b:Tag>Bur16</b:Tag>
    <b:SourceType>JournalArticle</b:SourceType>
    <b:Guid>{12D0B879-3237-424C-9F5F-A9C22C023B7A}</b:Guid>
    <b:Title>Clinical and endoscopic predictors of cytological</b:Title>
    <b:JournalName>Gut</b:JournalName>
    <b:Year>2016</b:Year>
    <b:Pages>437-446</b:Pages>
    <b:Volume>65</b:Volume>
    <b:Author>
      <b:Author>
        <b:NameList>
          <b:Person>
            <b:Last>Burgess</b:Last>
            <b:First>N</b:First>
            <b:Middle>G et all</b:Middle>
          </b:Person>
        </b:NameList>
      </b:Author>
    </b:Author>
    <b:RefOrder>12</b:RefOrder>
  </b:Source>
  <b:Source>
    <b:Tag>Bah16</b:Tag>
    <b:SourceType>JournalArticle</b:SourceType>
    <b:Guid>{0E08D405-37BC-46F1-B398-25379AE1C69B}</b:Guid>
    <b:Title>Efficacy of viscous budesonide slurry for prevention</b:Title>
    <b:Year>2016</b:Year>
    <b:Author>
      <b:Author>
        <b:NameList>
          <b:Person>
            <b:Last>Bahin</b:Last>
            <b:First>Farzan</b:First>
            <b:Middle>F et al.</b:Middle>
          </b:Person>
        </b:NameList>
      </b:Author>
    </b:Author>
    <b:JournalName>Endoscopy</b:JournalName>
    <b:Pages>71-74</b:Pages>
    <b:Volume>48</b:Volume>
    <b:RefOrder>13</b:RefOrder>
  </b:Source>
  <b:Source>
    <b:Tag>Bah161</b:Tag>
    <b:SourceType>JournalArticle</b:SourceType>
    <b:Guid>{2952B393-ACC9-4FDC-A2DE-637DA53AAB6E}</b:Guid>
    <b:Title>Comparison of the histopathological effects of two</b:Title>
    <b:JournalName>Endoscopy</b:JournalName>
    <b:Year>2016</b:Year>
    <b:Pages>117-122</b:Pages>
    <b:Volume>48</b:Volume>
    <b:Author>
      <b:Author>
        <b:NameList>
          <b:Person>
            <b:Last>Bahin</b:Last>
            <b:First>F</b:First>
            <b:Middle>Farzan et al</b:Middle>
          </b:Person>
        </b:NameList>
      </b:Author>
    </b:Author>
    <b:RefOrder>14</b:RefOrder>
  </b:Source>
  <b:Source>
    <b:Tag>Aus16</b:Tag>
    <b:SourceType>DocumentFromInternetSite</b:SourceType>
    <b:Guid>{53482384-7691-4675-AF64-11DBACC05E60}</b:Guid>
    <b:Author>
      <b:Author>
        <b:Corporate>Australian Government Department of Human Services</b:Corporate>
      </b:Author>
    </b:Author>
    <b:Title>Medicare Statistics</b:Title>
    <b:Year>2016</b:Year>
    <b:Month>2</b:Month>
    <b:Day>12</b:Day>
    <b:YearAccessed>2016</b:YearAccessed>
    <b:MonthAccessed>7</b:MonthAccessed>
    <b:DayAccessed>1</b:DayAccessed>
    <b:URL>https://www.humanservices.gov.au/corporate/statistical-information-and-data/medicare-statistics#a1</b:URL>
    <b:RefOrder>15</b:RefOrder>
  </b:Source>
  <b:Source>
    <b:Tag>Dep16</b:Tag>
    <b:SourceType>Misc</b:SourceType>
    <b:Guid>{25F81925-4A91-40BB-A2A5-9AC77322BE4B}</b:Guid>
    <b:Author>
      <b:Author>
        <b:Corporate>Department of Health</b:Corporate>
      </b:Author>
    </b:Author>
    <b:Title>Endoscopic Mucosal Resection Rapid Review</b:Title>
    <b:Year>2016</b:Year>
    <b:City>Canberra</b:City>
    <b:Publisher>Internal Document</b:Publisher>
    <b:RefOrder>16</b:RefOrder>
  </b:Source>
  <b:Source>
    <b:Tag>Nat</b:Tag>
    <b:SourceType>InternetSite</b:SourceType>
    <b:Guid>{80149182-BCF9-4DC3-A567-07E2EB363CFC}</b:Guid>
    <b:Author>
      <b:Author>
        <b:Corporate>National Institute for Health and Care Excellence (NICE UK)</b:Corporate>
      </b:Author>
    </b:Author>
    <b:Title>Cut NHS waste through NICE’s ‘do not do’ database</b:Title>
    <b:Year>2014</b:Year>
    <b:YearAccessed>2016</b:YearAccessed>
    <b:MonthAccessed>7</b:MonthAccessed>
    <b:DayAccessed>22</b:DayAccessed>
    <b:URL>https://www.nice.org.uk/news/article/cut-nhs-waste-through-nice%E2%80%99s-%E2%80%98do-not-do%E2%80%99-database</b:URL>
    <b:RefOrder>17</b:RefOrder>
  </b:Source>
  <b:Source>
    <b:Tag>Aus12</b:Tag>
    <b:SourceType>DocumentFromInternetSite</b:SourceType>
    <b:Guid>{1D876C13-1567-4449-84C0-26A7A412E177}</b:Guid>
    <b:Author>
      <b:Author>
        <b:Corporate>Australian Government National Health and Medical Research Council</b:Corporate>
      </b:Author>
    </b:Author>
    <b:Title>Clinical Practice Guidelines for Surveillance Colonoscopy – in adenoma follow-up; following curative resection of colorectal cancer; and for cancer surveillance in inflammatory bowel disease</b:Title>
    <b:Year>2012</b:Year>
    <b:YearAccessed>2016</b:YearAccessed>
    <b:MonthAccessed>7</b:MonthAccessed>
    <b:DayAccessed>1</b:DayAccessed>
    <b:URL>https://www.nhmrc.gov.au/guidelines-publications/ext8</b:URL>
    <b:RefOrder>18</b:RefOrder>
  </b:Source>
  <b:Source>
    <b:Tag>NPS16</b:Tag>
    <b:SourceType>InternetSite</b:SourceType>
    <b:Guid>{26AA57A1-0CCC-46C2-A64A-535E75F25AE2}</b:Guid>
    <b:Title>Choosing Wisely Australia</b:Title>
    <b:Year>2016</b:Year>
    <b:Author>
      <b:Author>
        <b:Corporate>NPS MedicineWise</b:Corporate>
      </b:Author>
    </b:Author>
    <b:YearAccessed>2016</b:YearAccessed>
    <b:MonthAccessed>7</b:MonthAccessed>
    <b:DayAccessed>22</b:DayAccessed>
    <b:URL>http://www.choosingwisely.org.au/home</b:URL>
    <b:RefOrder>19</b:RefOrder>
  </b:Source>
  <b:Source>
    <b:Tag>NPS161</b:Tag>
    <b:SourceType>InternetSite</b:SourceType>
    <b:Guid>{89E5B39F-4929-45AB-B113-730B414A19B7}</b:Guid>
    <b:Author>
      <b:Author>
        <b:Corporate>NPS Medicine Wise</b:Corporate>
      </b:Author>
    </b:Author>
    <b:Title>choosing wisely</b:Title>
    <b:Year>2016</b:Year>
    <b:YearAccessed>2016</b:YearAccessed>
    <b:MonthAccessed>7</b:MonthAccessed>
    <b:DayAccessed>22</b:DayAccessed>
    <b:URL>http://www.choosingwisely.org.au/home</b:URL>
    <b:RefOrder>20</b:RefOrder>
  </b:Source>
  <b:Source>
    <b:Tag>Aus15</b:Tag>
    <b:SourceType>DocumentFromInternetSite</b:SourceType>
    <b:Guid>{6ABA11BC-8872-436A-8F0E-7E5F5D0D2DB5}</b:Guid>
    <b:Author>
      <b:Author>
        <b:Corporate>Australian Commission on Safety and Quality in Healthcare</b:Corporate>
      </b:Author>
    </b:Author>
    <b:Title>Australian Atlas of Healthcare Variation 2015</b:Title>
    <b:Year>2015</b:Year>
    <b:Month>11</b:Month>
    <b:Day>1</b:Day>
    <b:YearAccessed>2016</b:YearAccessed>
    <b:MonthAccessed>7</b:MonthAccessed>
    <b:DayAccessed>1</b:DayAccessed>
    <b:URL>http://www.safetyandquality.gov.au/search/atlas</b:URL>
    <b:RefOrder>21</b:RefOrder>
  </b:Source>
  <b:Source>
    <b:Tag>Aus152</b:Tag>
    <b:SourceType>DocumentFromInternetSite</b:SourceType>
    <b:Guid>{994A9F78-08BD-4202-A6D0-8304B8CD21FE}</b:Guid>
    <b:Author>
      <b:Author>
        <b:Corporate>Australian Institute of Health and Welfare</b:Corporate>
      </b:Author>
    </b:Author>
    <b:Title>Admitted patient care 2013–14: Australian hospital statistics</b:Title>
    <b:Year>2015</b:Year>
    <b:Month>3</b:Month>
    <b:Day>19</b:Day>
    <b:YearAccessed>2016</b:YearAccessed>
    <b:MonthAccessed>7</b:MonthAccessed>
    <b:DayAccessed>1</b:DayAccessed>
    <b:URL>http://www.aihw.gov.au/publication-detail/?id=60129550483</b:URL>
    <b:RefOrder>22</b:RefOrder>
  </b:Source>
  <b:Source>
    <b:Tag>Aus151</b:Tag>
    <b:SourceType>DocumentFromInternetSite</b:SourceType>
    <b:Guid>{3668DFCD-CCB7-44B8-8651-125D03B5B18A}</b:Guid>
    <b:Title>3101.0 - Australian Demographic Statistics, Dec 2015 </b:Title>
    <b:Year>2015</b:Year>
    <b:YearAccessed>2016</b:YearAccessed>
    <b:MonthAccessed>7</b:MonthAccessed>
    <b:DayAccessed>1</b:DayAccessed>
    <b:URL>http://www.abs.gov.au/AUSSTATS/abs@.nsf/DetailsPage/3101.0Dec%202015?OpenDocument</b:URL>
    <b:Author>
      <b:Author>
        <b:Corporate>Australian Bureau of Statistics</b:Corporate>
      </b:Author>
    </b:Author>
    <b:Month>12</b:Month>
    <b:Day>01</b:Day>
    <b:RefOrder>23</b:RefOrder>
  </b:Source>
  <b:Source>
    <b:Tag>Aus163</b:Tag>
    <b:SourceType>DocumentFromInternetSite</b:SourceType>
    <b:Guid>{3C6B0866-88C3-4E2B-AFE4-17856DD9B2BB}</b:Guid>
    <b:Title>Health Insurance (General Medical Services Table) Regulation 2016</b:Title>
    <b:Year>2016</b:Year>
    <b:YearAccessed>2016</b:YearAccessed>
    <b:MonthAccessed>7</b:MonthAccessed>
    <b:DayAccessed>1</b:DayAccessed>
    <b:URL>https://www.legislation.gov.au/Details/F2016L00769</b:URL>
    <b:Author>
      <b:Author>
        <b:Corporate>Australian Government</b:Corporate>
      </b:Author>
    </b:Author>
    <b:Month>5</b:Month>
    <b:Day>5</b:Day>
    <b:RefOrder>24</b:RefOrder>
  </b:Source>
  <b:Source>
    <b:Tag>Aus161</b:Tag>
    <b:SourceType>InternetSite</b:SourceType>
    <b:Guid>{0223F6A7-9D25-402B-93B2-7A5DC0A996D7}</b:Guid>
    <b:Author>
      <b:Author>
        <b:Corporate>Australian Government Department of Human Services</b:Corporate>
      </b:Author>
    </b:Author>
    <b:Title>Health Professionals website</b:Title>
    <b:YearAccessed>2016</b:YearAccessed>
    <b:MonthAccessed>7</b:MonthAccessed>
    <b:DayAccessed>1</b:DayAccessed>
    <b:URL>https://www.humanservices.gov.au/health-professionals</b:URL>
    <b:RefOrder>25</b:RefOrder>
  </b:Source>
  <b:Source>
    <b:Tag>Aus162</b:Tag>
    <b:SourceType>InternetSite</b:SourceType>
    <b:Guid>{234E5B76-7B7A-4034-B858-AF7E7B9EF09D}</b:Guid>
    <b:Author>
      <b:Author>
        <b:Corporate>Australian Government</b:Corporate>
      </b:Author>
    </b:Author>
    <b:Title>MyGov</b:Title>
    <b:YearAccessed>2016</b:YearAccessed>
    <b:MonthAccessed>7</b:MonthAccessed>
    <b:DayAccessed>1</b:DayAccessed>
    <b:URL>https://my.gov.au/mygov/content/html/about.html</b:URL>
    <b:RefOrder>26</b:RefOrder>
  </b:Source>
  <b:Source>
    <b:Tag>Gui00</b:Tag>
    <b:SourceType>DocumentFromInternetSite</b:SourceType>
    <b:Guid>{4C94D2F5-8503-4760-98BF-7FB7B069B452}</b:Guid>
    <b:Title>Guidelines for the Prevention, Early Detection and Management of Colorectal Cancer: A Guide for General Practitioners</b:Title>
    <b:Year>2000</b:Year>
    <b:YearAccessed>2016</b:YearAccessed>
    <b:MonthAccessed>7</b:MonthAccessed>
    <b:DayAccessed>1</b:DayAccessed>
    <b:Author>
      <b:Author>
        <b:Corporate>Australian Government National Health and Medical Research Council</b:Corporate>
      </b:Author>
    </b:Author>
    <b:URL>https://www.nhmrc.gov.au/guidelines-publications/cp64</b:URL>
    <b:RefOrder>27</b:RefOrder>
  </b:Source>
  <b:Source>
    <b:Tag>Aus051</b:Tag>
    <b:SourceType>DocumentFromInternetSite</b:SourceType>
    <b:Guid>{D4CECCAF-2B8D-4C36-B508-0C94C93B420B}</b:Guid>
    <b:Author>
      <b:Author>
        <b:Corporate>Australian Government National Health and Medical Research Council</b:Corporate>
      </b:Author>
    </b:Author>
    <b:Title>Clinical Practice Guidelines for the Prevention, Early Detection and Management of Colorectal Cancer</b:Title>
    <b:Year>2005</b:Year>
    <b:YearAccessed>2016</b:YearAccessed>
    <b:MonthAccessed>7</b:MonthAccessed>
    <b:DayAccessed>1</b:DayAccessed>
    <b:URL>https://www.nhmrc.gov.au/guidelines-publications/cp106</b:URL>
    <b:RefOrder>28</b:RefOrder>
  </b:Source>
  <b:Source>
    <b:Tag>Aus05</b:Tag>
    <b:SourceType>DocumentFromInternetSite</b:SourceType>
    <b:Guid>{6628D9ED-0E3F-481A-937B-38A485DBA81C}</b:Guid>
    <b:Title>Clinical Practice Guidelines for the Prevention, Early Detection and Management of Colorectal Cancer</b:Title>
    <b:Year>2005</b:Year>
    <b:Author>
      <b:Author>
        <b:Corporate>Australian Government National Health and Medical Research Council</b:Corporate>
      </b:Author>
    </b:Author>
    <b:YearAccessed>2016</b:YearAccessed>
    <b:MonthAccessed>7</b:MonthAccessed>
    <b:DayAccessed>1</b:DayAccessed>
    <b:URL>https://www.nhmrc.gov.au/guidelines-publications/cp106</b:URL>
    <b:RefOrder>29</b:RefOrder>
  </b:Source>
  <b:Source>
    <b:Tag>Can131</b:Tag>
    <b:SourceType>DocumentFromInternetSite</b:SourceType>
    <b:Guid>{1462DBD4-1B4F-4678-89EA-A632DA838B01}</b:Guid>
    <b:Author>
      <b:Author>
        <b:Corporate>Cancer Council Australia Surveillance Colonoscopy Guidelines Working Party</b:Corporate>
      </b:Author>
    </b:Author>
    <b:Title>Guidelines for colorectal cancer screening-family history</b:Title>
    <b:Year>2013</b:Year>
    <b:YearAccessed>2016</b:YearAccessed>
    <b:MonthAccessed>7</b:MonthAccessed>
    <b:DayAccessed>1</b:DayAccessed>
    <b:URL>http://www.outpatientsouth.tas.gov.au/__data/assets/pdf_file/0007/192535/Screening_FHx_Algorithm_Nov_20131.pdf</b:URL>
    <b:RefOrder>30</b:RefOrder>
  </b:Source>
  <b:Source>
    <b:Tag>Can151</b:Tag>
    <b:SourceType>DocumentFromInternetSite</b:SourceType>
    <b:Guid>{A826F97A-8D47-4F28-B752-88F965D1A96D}</b:Guid>
    <b:Author>
      <b:Author>
        <b:Corporate>Cancer Council Australia Surveillance Colonoscopy Guidelines Working Party</b:Corporate>
      </b:Author>
    </b:Author>
    <b:Title>Colonoscopic surveillance intervals– inflammatory bowel disease</b:Title>
    <b:Year>2015</b:Year>
    <b:YearAccessed>2016</b:YearAccessed>
    <b:MonthAccessed>7</b:MonthAccessed>
    <b:DayAccessed>1</b:DayAccessed>
    <b:URL>http://www.cancer.org.au/content/pdf/wiki/Algorithm_for_Colonoscopic_Surveillance_Intervals_-_IBD.pdf</b:URL>
    <b:RefOrder>31</b:RefOrder>
  </b:Source>
  <b:Source>
    <b:Tag>Can13</b:Tag>
    <b:SourceType>DocumentFromInternetSite</b:SourceType>
    <b:Guid>{83AF0C1A-1887-440A-BFC7-72670E137CBC}</b:Guid>
    <b:Author>
      <b:Author>
        <b:Corporate>Cancer Council Australia Surveillance Colonoscopy Guidelines</b:Corporate>
      </b:Author>
    </b:Author>
    <b:Title>colonoscopic surveillance intervals - following surgery for colorectal cancer</b:Title>
    <b:Year>2013</b:Year>
    <b:YearAccessed>2016</b:YearAccessed>
    <b:MonthAccessed>7</b:MonthAccessed>
    <b:DayAccessed>1</b:DayAccessed>
    <b:URL>http://wiki.cancer.org.au/australiawiki/images/3/34/Algorithm_for_Colonoscopic_Surveillance_Intervals_-_Following_Surgery_for_Colorectal_Cancer.pdf</b:URL>
    <b:RefOrder>32</b:RefOrder>
  </b:Source>
  <b:Source>
    <b:Tag>Can15</b:Tag>
    <b:SourceType>InternetSite</b:SourceType>
    <b:Guid>{24F5D677-6750-4329-8079-BE2B6D050B79}</b:Guid>
    <b:Title>Cancer Council Australia Surveillance Colonoscopy Guidelines Working Party</b:Title>
    <b:Year>2015</b:Year>
    <b:YearAccessed>2016</b:YearAccessed>
    <b:MonthAccessed>7</b:MonthAccessed>
    <b:DayAccessed>1</b:DayAccessed>
    <b:URL>http://www.cancer.org.au/content/pdf/wiki/Algorithm_for_Colonoscopic_Surveillance_Intervals_-_IBD.pdf</b:URL>
    <b:Author>
      <b:Author>
        <b:Corporate>Cancer Council Australia</b:Corporate>
      </b:Author>
    </b:Author>
    <b:RefOrder>33</b:RefOrder>
  </b:Source>
  <b:Source>
    <b:Tag>Roy16</b:Tag>
    <b:SourceType>InternetSite</b:SourceType>
    <b:Guid>{A637F423-769F-4576-B2EF-7CA31604F711}</b:Guid>
    <b:Title>guidelines for preventive activities in general practice (the red book)</b:Title>
    <b:YearAccessed>2016</b:YearAccessed>
    <b:MonthAccessed>7</b:MonthAccessed>
    <b:DayAccessed>1</b:DayAccessed>
    <b:URL>http://www.racgp.org.au/your-practice/guidelines/redbook/</b:URL>
    <b:Author>
      <b:Author>
        <b:Corporate>Royal Australian College of General Practitioners</b:Corporate>
      </b:Author>
    </b:Author>
    <b:RefOrder>34</b:RefOrder>
  </b:Source>
</b:Sources>
</file>

<file path=customXml/itemProps1.xml><?xml version="1.0" encoding="utf-8"?>
<ds:datastoreItem xmlns:ds="http://schemas.openxmlformats.org/officeDocument/2006/customXml" ds:itemID="{B5682046-A44A-4765-A615-4A450DF80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103</Pages>
  <Words>40417</Words>
  <Characters>230378</Characters>
  <Application>Microsoft Office Word</Application>
  <DocSecurity>0</DocSecurity>
  <Lines>1919</Lines>
  <Paragraphs>540</Paragraphs>
  <ScaleCrop>false</ScaleCrop>
  <HeadingPairs>
    <vt:vector size="2" baseType="variant">
      <vt:variant>
        <vt:lpstr>Title</vt:lpstr>
      </vt:variant>
      <vt:variant>
        <vt:i4>1</vt:i4>
      </vt:variant>
    </vt:vector>
  </HeadingPairs>
  <TitlesOfParts>
    <vt:vector size="1" baseType="lpstr">
      <vt:lpstr>Medicare Benefits Schedule Review Taskforce Report from the Gastroenterology Clinical Committee August 2016</vt:lpstr>
    </vt:vector>
  </TitlesOfParts>
  <Company/>
  <LinksUpToDate>false</LinksUpToDate>
  <CharactersWithSpaces>270255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Medicare Benefits Schedule Review Taskforce Final report from the Gastroenterology Clinical Committee</dc:title>
  <dc:subject>Medicare Benefits Schedule</dc:subject>
  <dc:creator>Australian Government Department of Health</dc:creator>
  <cp:keywords/>
  <dc:description/>
  <cp:lastModifiedBy>SMEDLEY, Tyne</cp:lastModifiedBy>
  <cp:revision>2</cp:revision>
  <cp:lastPrinted>2016-08-10T05:59:00Z</cp:lastPrinted>
  <dcterms:created xsi:type="dcterms:W3CDTF">2021-06-28T23:54:00Z</dcterms:created>
  <dcterms:modified xsi:type="dcterms:W3CDTF">2021-06-28T23:54:00Z</dcterms:modified>
</cp:coreProperties>
</file>