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3E095" w14:textId="77777777" w:rsidR="00B758E4" w:rsidRPr="002C175B" w:rsidRDefault="00B758E4" w:rsidP="002F2E01">
      <w:pPr>
        <w:pStyle w:val="Subtitle"/>
        <w:pBdr>
          <w:top w:val="double" w:sz="12" w:space="6" w:color="B66113"/>
          <w:bottom w:val="double" w:sz="12" w:space="6" w:color="B66113"/>
        </w:pBdr>
        <w:ind w:right="-188"/>
        <w:rPr>
          <w:rFonts w:asciiTheme="minorHAnsi" w:hAnsiTheme="minorHAnsi"/>
          <w:b/>
          <w:color w:val="01653F"/>
          <w:sz w:val="48"/>
        </w:rPr>
      </w:pPr>
      <w:bookmarkStart w:id="0" w:name="_Toc448369494"/>
      <w:bookmarkStart w:id="1" w:name="_Toc427153112"/>
      <w:r w:rsidRPr="00FC1976">
        <w:rPr>
          <w:rFonts w:asciiTheme="minorHAnsi" w:hAnsiTheme="minorHAnsi"/>
          <w:b/>
          <w:color w:val="01653F"/>
          <w:sz w:val="48"/>
        </w:rPr>
        <w:t>Medicare Benefits Schedule Review Taskforce</w:t>
      </w:r>
      <w:r w:rsidRPr="00FC1976">
        <w:rPr>
          <w:rFonts w:asciiTheme="minorHAnsi" w:hAnsiTheme="minorHAnsi"/>
          <w:b/>
          <w:color w:val="01653F"/>
          <w:sz w:val="48"/>
        </w:rPr>
        <w:br/>
      </w:r>
      <w:r w:rsidRPr="00FC1976">
        <w:rPr>
          <w:rFonts w:asciiTheme="minorHAnsi" w:hAnsiTheme="minorHAnsi"/>
          <w:b/>
          <w:color w:val="01653F"/>
          <w:sz w:val="48"/>
        </w:rPr>
        <w:br/>
      </w:r>
      <w:r w:rsidRPr="00FC1976">
        <w:rPr>
          <w:rFonts w:asciiTheme="minorHAnsi" w:hAnsiTheme="minorHAnsi"/>
          <w:b/>
          <w:color w:val="01653F"/>
          <w:sz w:val="48"/>
        </w:rPr>
        <w:br/>
      </w:r>
      <w:r>
        <w:rPr>
          <w:rFonts w:asciiTheme="minorHAnsi" w:hAnsiTheme="minorHAnsi"/>
          <w:b/>
          <w:color w:val="000000" w:themeColor="text1"/>
          <w:sz w:val="60"/>
        </w:rPr>
        <w:t>Report from the Endocrinology Clinical Committee</w:t>
      </w:r>
    </w:p>
    <w:p w14:paraId="26FB67C2" w14:textId="77777777" w:rsidR="00B758E4" w:rsidRDefault="00B758E4" w:rsidP="00B758E4">
      <w:pPr>
        <w:pStyle w:val="Subtitle"/>
        <w:pBdr>
          <w:top w:val="double" w:sz="12" w:space="6" w:color="B66113"/>
          <w:bottom w:val="double" w:sz="12" w:space="6" w:color="B66113"/>
        </w:pBdr>
        <w:ind w:right="-188"/>
        <w:jc w:val="center"/>
        <w:rPr>
          <w:rFonts w:asciiTheme="minorHAnsi" w:hAnsiTheme="minorHAnsi"/>
          <w:b/>
          <w:color w:val="000000" w:themeColor="text1"/>
          <w:sz w:val="60"/>
        </w:rPr>
      </w:pPr>
    </w:p>
    <w:p w14:paraId="15C836BA" w14:textId="77777777" w:rsidR="00B758E4" w:rsidRPr="006F3A78" w:rsidRDefault="00B758E4" w:rsidP="00B758E4">
      <w:pPr>
        <w:pStyle w:val="Subtitle"/>
        <w:pBdr>
          <w:top w:val="double" w:sz="12" w:space="6" w:color="B66113"/>
          <w:bottom w:val="double" w:sz="12" w:space="6" w:color="B66113"/>
        </w:pBdr>
        <w:ind w:right="-188"/>
        <w:jc w:val="center"/>
        <w:rPr>
          <w:rFonts w:asciiTheme="minorHAnsi" w:hAnsiTheme="minorHAnsi"/>
          <w:b/>
          <w:color w:val="01653F"/>
          <w:sz w:val="48"/>
          <w:szCs w:val="48"/>
        </w:rPr>
      </w:pPr>
      <w:r w:rsidRPr="006F3A78">
        <w:rPr>
          <w:rFonts w:asciiTheme="minorHAnsi" w:hAnsiTheme="minorHAnsi"/>
          <w:b/>
          <w:color w:val="01653F"/>
          <w:sz w:val="48"/>
          <w:szCs w:val="48"/>
        </w:rPr>
        <w:t>2017</w:t>
      </w:r>
    </w:p>
    <w:p w14:paraId="3CE833DB" w14:textId="77777777" w:rsidR="004F57CE" w:rsidRDefault="004F57CE" w:rsidP="0047371C">
      <w:pPr>
        <w:sectPr w:rsidR="004F57CE" w:rsidSect="00151F01">
          <w:footerReference w:type="default" r:id="rId8"/>
          <w:pgSz w:w="11906" w:h="16838" w:code="9"/>
          <w:pgMar w:top="1440" w:right="1440" w:bottom="1276" w:left="1440" w:header="720" w:footer="720" w:gutter="0"/>
          <w:paperSrc w:first="2" w:other="2"/>
          <w:cols w:space="720"/>
          <w:docGrid w:linePitch="326"/>
        </w:sectPr>
      </w:pPr>
    </w:p>
    <w:p w14:paraId="331A362F" w14:textId="77777777" w:rsidR="00B758E4" w:rsidRDefault="00B758E4" w:rsidP="00B758E4">
      <w:pPr>
        <w:pStyle w:val="BoxText"/>
        <w:pBdr>
          <w:top w:val="single" w:sz="12" w:space="4" w:color="B66113"/>
          <w:left w:val="single" w:sz="12" w:space="4" w:color="B66113"/>
          <w:bottom w:val="single" w:sz="12" w:space="4" w:color="B66113"/>
          <w:right w:val="single" w:sz="12" w:space="4" w:color="B66113"/>
        </w:pBdr>
        <w:rPr>
          <w:rFonts w:cs="Arial"/>
          <w:bCs/>
        </w:rPr>
      </w:pPr>
      <w:r w:rsidRPr="003B1222">
        <w:rPr>
          <w:rFonts w:cs="Arial"/>
          <w:b/>
          <w:bCs/>
          <w:color w:val="01653F"/>
          <w:sz w:val="32"/>
          <w:szCs w:val="28"/>
        </w:rPr>
        <w:lastRenderedPageBreak/>
        <w:t>Important note</w:t>
      </w:r>
    </w:p>
    <w:p w14:paraId="0F9D6E29" w14:textId="77777777" w:rsidR="00B758E4" w:rsidRDefault="00B758E4" w:rsidP="00B758E4">
      <w:pPr>
        <w:pStyle w:val="BoxText"/>
        <w:pBdr>
          <w:top w:val="single" w:sz="12" w:space="4" w:color="B66113"/>
          <w:left w:val="single" w:sz="12" w:space="4" w:color="B66113"/>
          <w:bottom w:val="single" w:sz="12" w:space="4" w:color="B66113"/>
          <w:right w:val="single" w:sz="12" w:space="4" w:color="B66113"/>
        </w:pBdr>
        <w:rPr>
          <w:rFonts w:cs="Arial"/>
          <w:bCs/>
        </w:rPr>
      </w:pPr>
      <w:r w:rsidRPr="00913EA8">
        <w:rPr>
          <w:rFonts w:cs="Arial"/>
          <w:bCs/>
        </w:rPr>
        <w:t xml:space="preserve">The views and recommendations in this </w:t>
      </w:r>
      <w:r>
        <w:rPr>
          <w:rFonts w:cs="Arial"/>
          <w:bCs/>
        </w:rPr>
        <w:t>preliminary</w:t>
      </w:r>
      <w:r w:rsidRPr="00913EA8">
        <w:rPr>
          <w:rFonts w:cs="Arial"/>
          <w:bCs/>
        </w:rPr>
        <w:t xml:space="preserve"> report from the </w:t>
      </w:r>
      <w:r>
        <w:rPr>
          <w:rFonts w:cs="Arial"/>
          <w:bCs/>
        </w:rPr>
        <w:t>Medicare Benefits Schedule (MBS) Review Taskforce</w:t>
      </w:r>
      <w:r w:rsidRPr="00913EA8">
        <w:rPr>
          <w:rFonts w:cs="Arial"/>
          <w:bCs/>
        </w:rPr>
        <w:t xml:space="preserve"> have been released for the purpose of seeking the views of stakeholders.</w:t>
      </w:r>
    </w:p>
    <w:p w14:paraId="2597E081" w14:textId="77777777" w:rsidR="00B758E4" w:rsidRDefault="00B758E4" w:rsidP="00B758E4">
      <w:pPr>
        <w:pStyle w:val="BoxText"/>
        <w:pBdr>
          <w:top w:val="single" w:sz="12" w:space="4" w:color="B66113"/>
          <w:left w:val="single" w:sz="12" w:space="4" w:color="B66113"/>
          <w:bottom w:val="single" w:sz="12" w:space="4" w:color="B66113"/>
          <w:right w:val="single" w:sz="12" w:space="4" w:color="B66113"/>
        </w:pBdr>
        <w:rPr>
          <w:noProof/>
        </w:rPr>
      </w:pPr>
      <w:r w:rsidRPr="00913EA8">
        <w:rPr>
          <w:rFonts w:cs="Arial"/>
          <w:bCs/>
        </w:rPr>
        <w:t>This report does not constitute the final position on these items which is subject to:</w:t>
      </w:r>
      <w:r w:rsidRPr="00CA4CDF">
        <w:rPr>
          <w:noProof/>
        </w:rPr>
        <w:t xml:space="preserve"> </w:t>
      </w:r>
    </w:p>
    <w:p w14:paraId="4E8C84E3" w14:textId="77777777" w:rsidR="00B758E4" w:rsidRPr="001B6B24" w:rsidRDefault="00B758E4" w:rsidP="00B758E4">
      <w:pPr>
        <w:pStyle w:val="BoxBullet"/>
        <w:pBdr>
          <w:top w:val="single" w:sz="12" w:space="4" w:color="B66113"/>
          <w:left w:val="single" w:sz="12" w:space="4" w:color="B66113"/>
          <w:bottom w:val="single" w:sz="12" w:space="4" w:color="B66113"/>
          <w:right w:val="single" w:sz="12" w:space="4" w:color="B66113"/>
        </w:pBdr>
      </w:pPr>
      <w:r>
        <w:rPr>
          <w:rFonts w:eastAsia="MS Mincho"/>
        </w:rPr>
        <w:t>S</w:t>
      </w:r>
      <w:r w:rsidRPr="00AC60DB">
        <w:rPr>
          <w:rFonts w:eastAsia="MS Mincho"/>
        </w:rPr>
        <w:t xml:space="preserve">takeholder </w:t>
      </w:r>
      <w:proofErr w:type="gramStart"/>
      <w:r w:rsidRPr="00AC60DB">
        <w:rPr>
          <w:rFonts w:eastAsia="MS Mincho"/>
        </w:rPr>
        <w:t>feedback</w:t>
      </w:r>
      <w:r w:rsidRPr="00F126D6">
        <w:rPr>
          <w:bCs/>
        </w:rPr>
        <w:t>;</w:t>
      </w:r>
      <w:proofErr w:type="gramEnd"/>
    </w:p>
    <w:p w14:paraId="7FD2D200" w14:textId="77777777" w:rsidR="00B758E4" w:rsidRPr="001B6B24" w:rsidRDefault="00B758E4" w:rsidP="00B758E4">
      <w:pPr>
        <w:pStyle w:val="BoxText"/>
        <w:pBdr>
          <w:top w:val="single" w:sz="12" w:space="4" w:color="B66113"/>
          <w:left w:val="single" w:sz="12" w:space="4" w:color="B66113"/>
          <w:bottom w:val="single" w:sz="12" w:space="4" w:color="B66113"/>
          <w:right w:val="single" w:sz="12" w:space="4" w:color="B66113"/>
        </w:pBdr>
      </w:pPr>
      <w:r>
        <w:t>Then</w:t>
      </w:r>
    </w:p>
    <w:p w14:paraId="55CF4C86" w14:textId="77777777" w:rsidR="00B758E4" w:rsidRPr="001B6B24" w:rsidRDefault="00B758E4" w:rsidP="00B758E4">
      <w:pPr>
        <w:pStyle w:val="BoxBullet"/>
        <w:pBdr>
          <w:top w:val="single" w:sz="12" w:space="4" w:color="B66113"/>
          <w:left w:val="single" w:sz="12" w:space="4" w:color="B66113"/>
          <w:bottom w:val="single" w:sz="12" w:space="4" w:color="B66113"/>
          <w:right w:val="single" w:sz="12" w:space="4" w:color="B66113"/>
        </w:pBdr>
      </w:pPr>
      <w:r w:rsidRPr="00F126D6">
        <w:rPr>
          <w:bCs/>
        </w:rPr>
        <w:t xml:space="preserve">Consideration by the </w:t>
      </w:r>
      <w:r>
        <w:rPr>
          <w:bCs/>
        </w:rPr>
        <w:t>MBS</w:t>
      </w:r>
      <w:r w:rsidRPr="00F126D6">
        <w:rPr>
          <w:bCs/>
        </w:rPr>
        <w:t xml:space="preserve"> </w:t>
      </w:r>
      <w:r>
        <w:rPr>
          <w:bCs/>
        </w:rPr>
        <w:t>R</w:t>
      </w:r>
      <w:r w:rsidRPr="00F126D6">
        <w:rPr>
          <w:bCs/>
        </w:rPr>
        <w:t xml:space="preserve">eview </w:t>
      </w:r>
      <w:proofErr w:type="gramStart"/>
      <w:r>
        <w:rPr>
          <w:bCs/>
        </w:rPr>
        <w:t>T</w:t>
      </w:r>
      <w:r w:rsidRPr="00F126D6">
        <w:rPr>
          <w:bCs/>
        </w:rPr>
        <w:t>askforce;</w:t>
      </w:r>
      <w:proofErr w:type="gramEnd"/>
    </w:p>
    <w:p w14:paraId="0CB79AB5" w14:textId="77777777" w:rsidR="00B758E4" w:rsidRPr="001B6B24" w:rsidRDefault="00B758E4" w:rsidP="00B758E4">
      <w:pPr>
        <w:pStyle w:val="BoxText"/>
        <w:pBdr>
          <w:top w:val="single" w:sz="12" w:space="4" w:color="B66113"/>
          <w:left w:val="single" w:sz="12" w:space="4" w:color="B66113"/>
          <w:bottom w:val="single" w:sz="12" w:space="4" w:color="B66113"/>
          <w:right w:val="single" w:sz="12" w:space="4" w:color="B66113"/>
        </w:pBdr>
      </w:pPr>
      <w:r w:rsidRPr="00913EA8">
        <w:t xml:space="preserve">Then </w:t>
      </w:r>
      <w:r w:rsidRPr="001B6B24">
        <w:rPr>
          <w:i/>
        </w:rPr>
        <w:t>if endorsed</w:t>
      </w:r>
    </w:p>
    <w:p w14:paraId="7AB6C60D" w14:textId="77777777" w:rsidR="00B758E4" w:rsidRPr="001B6B24" w:rsidRDefault="00B758E4" w:rsidP="00B758E4">
      <w:pPr>
        <w:pStyle w:val="BoxBullet"/>
        <w:pBdr>
          <w:top w:val="single" w:sz="12" w:space="4" w:color="B66113"/>
          <w:left w:val="single" w:sz="12" w:space="4" w:color="B66113"/>
          <w:bottom w:val="single" w:sz="12" w:space="4" w:color="B66113"/>
          <w:right w:val="single" w:sz="12" w:space="4" w:color="B66113"/>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50D8D8AF" w14:textId="77777777" w:rsidR="00B758E4" w:rsidRPr="001B6B24" w:rsidRDefault="00B758E4" w:rsidP="00B758E4">
      <w:pPr>
        <w:pStyle w:val="BoxBullet"/>
        <w:pBdr>
          <w:top w:val="single" w:sz="12" w:space="4" w:color="B66113"/>
          <w:left w:val="single" w:sz="12" w:space="4" w:color="B66113"/>
          <w:bottom w:val="single" w:sz="12" w:space="4" w:color="B66113"/>
          <w:right w:val="single" w:sz="12" w:space="4" w:color="B66113"/>
        </w:pBdr>
      </w:pPr>
      <w:r>
        <w:rPr>
          <w:bCs/>
        </w:rPr>
        <w:t xml:space="preserve">The </w:t>
      </w:r>
      <w:r w:rsidRPr="00F126D6">
        <w:rPr>
          <w:bCs/>
        </w:rPr>
        <w:t>Government.</w:t>
      </w:r>
    </w:p>
    <w:p w14:paraId="29FD8412" w14:textId="77777777" w:rsidR="00B758E4" w:rsidRDefault="00B758E4" w:rsidP="00B758E4">
      <w:pPr>
        <w:pStyle w:val="BoxText"/>
        <w:pBdr>
          <w:top w:val="single" w:sz="12" w:space="4" w:color="B66113"/>
          <w:left w:val="single" w:sz="12" w:space="4" w:color="B66113"/>
          <w:bottom w:val="single" w:sz="12" w:space="4" w:color="B66113"/>
          <w:right w:val="single" w:sz="12" w:space="4" w:color="B66113"/>
        </w:pBdr>
        <w:rPr>
          <w:rFonts w:cs="Arial"/>
          <w:u w:val="single"/>
        </w:rPr>
      </w:pPr>
      <w:r w:rsidRPr="00913EA8">
        <w:rPr>
          <w:rFonts w:cs="Arial"/>
          <w:bCs/>
        </w:rPr>
        <w:t xml:space="preserve">Stakeholders should provide comment on the recommendations </w:t>
      </w:r>
      <w:r w:rsidRPr="002F2B5B">
        <w:rPr>
          <w:rFonts w:cs="Arial"/>
          <w:bCs/>
        </w:rPr>
        <w:t xml:space="preserve">via the </w:t>
      </w:r>
      <w:r w:rsidRPr="00A77F5B">
        <w:t>online consultation tool</w:t>
      </w:r>
      <w:r w:rsidRPr="002F2B5B">
        <w:rPr>
          <w:rFonts w:cs="Arial"/>
          <w:bCs/>
        </w:rPr>
        <w:t xml:space="preserve">. </w:t>
      </w:r>
    </w:p>
    <w:p w14:paraId="7DC07FDA" w14:textId="77777777" w:rsidR="00B758E4" w:rsidRPr="00D11D1E" w:rsidRDefault="00B758E4" w:rsidP="00B758E4">
      <w:pPr>
        <w:pStyle w:val="BoxText"/>
        <w:pBdr>
          <w:top w:val="single" w:sz="12" w:space="4" w:color="B66113"/>
          <w:left w:val="single" w:sz="12" w:space="4" w:color="B66113"/>
          <w:bottom w:val="single" w:sz="12" w:space="4" w:color="B66113"/>
          <w:right w:val="single" w:sz="12" w:space="4" w:color="B66113"/>
        </w:pBdr>
        <w:rPr>
          <w:rFonts w:cs="Arial"/>
          <w:b/>
          <w:bCs/>
          <w:color w:val="01653F"/>
          <w:sz w:val="32"/>
          <w:szCs w:val="28"/>
        </w:rPr>
      </w:pPr>
      <w:r w:rsidRPr="00D11D1E">
        <w:rPr>
          <w:rFonts w:cs="Arial"/>
          <w:b/>
          <w:bCs/>
          <w:color w:val="01653F"/>
          <w:sz w:val="32"/>
          <w:szCs w:val="28"/>
        </w:rPr>
        <w:t>Confidentiality of comments:</w:t>
      </w:r>
    </w:p>
    <w:p w14:paraId="5CF5BBD0" w14:textId="77777777" w:rsidR="00B758E4" w:rsidRPr="009200D8" w:rsidRDefault="00B758E4" w:rsidP="00B758E4">
      <w:pPr>
        <w:pStyle w:val="BoxText"/>
        <w:pBdr>
          <w:top w:val="single" w:sz="12" w:space="4" w:color="B66113"/>
          <w:left w:val="single" w:sz="12" w:space="4" w:color="B66113"/>
          <w:bottom w:val="single" w:sz="12" w:space="4" w:color="B66113"/>
          <w:right w:val="single" w:sz="12" w:space="4" w:color="B66113"/>
        </w:pBdr>
        <w:rPr>
          <w:rFonts w:cs="Arial"/>
        </w:rPr>
      </w:pPr>
      <w:r w:rsidRPr="00913EA8">
        <w:rPr>
          <w:rFonts w:cs="Arial"/>
          <w:bCs/>
        </w:rPr>
        <w:t xml:space="preserve">If you want your </w:t>
      </w:r>
      <w:r>
        <w:rPr>
          <w:rFonts w:cs="Arial"/>
          <w:bCs/>
        </w:rPr>
        <w:t>feedback</w:t>
      </w:r>
      <w:r w:rsidRPr="00913EA8">
        <w:rPr>
          <w:rFonts w:cs="Arial"/>
          <w:bCs/>
        </w:rPr>
        <w:t xml:space="preserve"> to remain confidential please mark it as such. It is important to be aware that confidential </w:t>
      </w:r>
      <w:r>
        <w:rPr>
          <w:rFonts w:cs="Arial"/>
          <w:bCs/>
        </w:rPr>
        <w:t>feedback</w:t>
      </w:r>
      <w:r w:rsidRPr="00913EA8">
        <w:rPr>
          <w:rFonts w:cs="Arial"/>
          <w:bCs/>
        </w:rPr>
        <w:t xml:space="preserve"> may still be subject to access under freedom of information law.</w:t>
      </w:r>
    </w:p>
    <w:p w14:paraId="5A3310DF" w14:textId="77777777" w:rsidR="00262127" w:rsidRPr="00E72750" w:rsidRDefault="00262127" w:rsidP="0047371C">
      <w:r w:rsidRPr="00E72750">
        <w:br w:type="page"/>
      </w:r>
    </w:p>
    <w:p w14:paraId="741B33F1" w14:textId="77777777" w:rsidR="00C56DF9" w:rsidRPr="004F57CE" w:rsidRDefault="00C56DF9" w:rsidP="0047371C">
      <w:pPr>
        <w:rPr>
          <w:b/>
          <w:color w:val="01653F"/>
          <w:sz w:val="32"/>
          <w:szCs w:val="32"/>
        </w:rPr>
      </w:pPr>
      <w:r w:rsidRPr="004F57CE">
        <w:rPr>
          <w:b/>
          <w:color w:val="01653F"/>
          <w:sz w:val="32"/>
          <w:szCs w:val="32"/>
        </w:rPr>
        <w:lastRenderedPageBreak/>
        <w:t>Table of Contents</w:t>
      </w:r>
      <w:bookmarkEnd w:id="0"/>
    </w:p>
    <w:p w14:paraId="52A4AB32" w14:textId="77777777" w:rsidR="00311ACD" w:rsidRDefault="00311ACD">
      <w:pPr>
        <w:pStyle w:val="TOC1"/>
        <w:tabs>
          <w:tab w:val="right" w:leader="dot" w:pos="9016"/>
        </w:tabs>
        <w:rPr>
          <w:rFonts w:eastAsiaTheme="minorEastAsia" w:cstheme="minorBidi"/>
          <w:bCs w:val="0"/>
          <w:noProof/>
          <w:sz w:val="22"/>
          <w:szCs w:val="22"/>
          <w:lang w:val="en-AU"/>
        </w:rPr>
      </w:pPr>
      <w:r>
        <w:rPr>
          <w:bCs w:val="0"/>
        </w:rPr>
        <w:fldChar w:fldCharType="begin"/>
      </w:r>
      <w:r>
        <w:rPr>
          <w:bCs w:val="0"/>
        </w:rPr>
        <w:instrText xml:space="preserve"> TOC \o "1-3" \h \z \u </w:instrText>
      </w:r>
      <w:r>
        <w:rPr>
          <w:bCs w:val="0"/>
        </w:rPr>
        <w:fldChar w:fldCharType="separate"/>
      </w:r>
      <w:hyperlink w:anchor="_Toc485298009" w:history="1">
        <w:r w:rsidRPr="00805B0D">
          <w:rPr>
            <w:rStyle w:val="Hyperlink"/>
            <w:noProof/>
          </w:rPr>
          <w:t>1.</w:t>
        </w:r>
        <w:r>
          <w:rPr>
            <w:rFonts w:eastAsiaTheme="minorEastAsia" w:cstheme="minorBidi"/>
            <w:bCs w:val="0"/>
            <w:noProof/>
            <w:sz w:val="22"/>
            <w:szCs w:val="22"/>
            <w:lang w:val="en-AU"/>
          </w:rPr>
          <w:tab/>
        </w:r>
        <w:r w:rsidRPr="00805B0D">
          <w:rPr>
            <w:rStyle w:val="Hyperlink"/>
            <w:noProof/>
          </w:rPr>
          <w:t>Executive Summary</w:t>
        </w:r>
        <w:r>
          <w:rPr>
            <w:noProof/>
            <w:webHidden/>
          </w:rPr>
          <w:tab/>
        </w:r>
        <w:r>
          <w:rPr>
            <w:noProof/>
            <w:webHidden/>
          </w:rPr>
          <w:fldChar w:fldCharType="begin"/>
        </w:r>
        <w:r>
          <w:rPr>
            <w:noProof/>
            <w:webHidden/>
          </w:rPr>
          <w:instrText xml:space="preserve"> PAGEREF _Toc485298009 \h </w:instrText>
        </w:r>
        <w:r>
          <w:rPr>
            <w:noProof/>
            <w:webHidden/>
          </w:rPr>
        </w:r>
        <w:r>
          <w:rPr>
            <w:noProof/>
            <w:webHidden/>
          </w:rPr>
          <w:fldChar w:fldCharType="separate"/>
        </w:r>
        <w:r>
          <w:rPr>
            <w:noProof/>
            <w:webHidden/>
          </w:rPr>
          <w:t>7</w:t>
        </w:r>
        <w:r>
          <w:rPr>
            <w:noProof/>
            <w:webHidden/>
          </w:rPr>
          <w:fldChar w:fldCharType="end"/>
        </w:r>
      </w:hyperlink>
    </w:p>
    <w:p w14:paraId="124886BE" w14:textId="77777777" w:rsidR="00311ACD" w:rsidRDefault="0057293E">
      <w:pPr>
        <w:pStyle w:val="TOC2"/>
        <w:rPr>
          <w:rFonts w:eastAsiaTheme="minorEastAsia" w:cstheme="minorBidi"/>
          <w:i w:val="0"/>
          <w:iCs w:val="0"/>
          <w:noProof/>
          <w:sz w:val="22"/>
          <w:szCs w:val="22"/>
          <w:lang w:val="en-AU"/>
        </w:rPr>
      </w:pPr>
      <w:hyperlink w:anchor="_Toc485298010" w:history="1">
        <w:r w:rsidR="00311ACD" w:rsidRPr="00805B0D">
          <w:rPr>
            <w:rStyle w:val="Hyperlink"/>
            <w:noProof/>
          </w:rPr>
          <w:t>1.1</w:t>
        </w:r>
        <w:r w:rsidR="00311ACD">
          <w:rPr>
            <w:rFonts w:eastAsiaTheme="minorEastAsia" w:cstheme="minorBidi"/>
            <w:i w:val="0"/>
            <w:iCs w:val="0"/>
            <w:noProof/>
            <w:sz w:val="22"/>
            <w:szCs w:val="22"/>
            <w:lang w:val="en-AU"/>
          </w:rPr>
          <w:tab/>
        </w:r>
        <w:r w:rsidR="00311ACD" w:rsidRPr="00805B0D">
          <w:rPr>
            <w:rStyle w:val="Hyperlink"/>
            <w:noProof/>
          </w:rPr>
          <w:t>Areas of responsibility of the Endocrinology Clinical Committee</w:t>
        </w:r>
        <w:r w:rsidR="00311ACD">
          <w:rPr>
            <w:noProof/>
            <w:webHidden/>
          </w:rPr>
          <w:tab/>
        </w:r>
        <w:r w:rsidR="00311ACD">
          <w:rPr>
            <w:noProof/>
            <w:webHidden/>
          </w:rPr>
          <w:fldChar w:fldCharType="begin"/>
        </w:r>
        <w:r w:rsidR="00311ACD">
          <w:rPr>
            <w:noProof/>
            <w:webHidden/>
          </w:rPr>
          <w:instrText xml:space="preserve"> PAGEREF _Toc485298010 \h </w:instrText>
        </w:r>
        <w:r w:rsidR="00311ACD">
          <w:rPr>
            <w:noProof/>
            <w:webHidden/>
          </w:rPr>
        </w:r>
        <w:r w:rsidR="00311ACD">
          <w:rPr>
            <w:noProof/>
            <w:webHidden/>
          </w:rPr>
          <w:fldChar w:fldCharType="separate"/>
        </w:r>
        <w:r w:rsidR="00311ACD">
          <w:rPr>
            <w:noProof/>
            <w:webHidden/>
          </w:rPr>
          <w:t>7</w:t>
        </w:r>
        <w:r w:rsidR="00311ACD">
          <w:rPr>
            <w:noProof/>
            <w:webHidden/>
          </w:rPr>
          <w:fldChar w:fldCharType="end"/>
        </w:r>
      </w:hyperlink>
    </w:p>
    <w:p w14:paraId="0365D7E1" w14:textId="77777777" w:rsidR="00311ACD" w:rsidRDefault="0057293E">
      <w:pPr>
        <w:pStyle w:val="TOC2"/>
        <w:rPr>
          <w:rFonts w:eastAsiaTheme="minorEastAsia" w:cstheme="minorBidi"/>
          <w:i w:val="0"/>
          <w:iCs w:val="0"/>
          <w:noProof/>
          <w:sz w:val="22"/>
          <w:szCs w:val="22"/>
          <w:lang w:val="en-AU"/>
        </w:rPr>
      </w:pPr>
      <w:hyperlink w:anchor="_Toc485298011" w:history="1">
        <w:r w:rsidR="00311ACD" w:rsidRPr="00805B0D">
          <w:rPr>
            <w:rStyle w:val="Hyperlink"/>
            <w:noProof/>
          </w:rPr>
          <w:t>1.2</w:t>
        </w:r>
        <w:r w:rsidR="00311ACD">
          <w:rPr>
            <w:rFonts w:eastAsiaTheme="minorEastAsia" w:cstheme="minorBidi"/>
            <w:i w:val="0"/>
            <w:iCs w:val="0"/>
            <w:noProof/>
            <w:sz w:val="22"/>
            <w:szCs w:val="22"/>
            <w:lang w:val="en-AU"/>
          </w:rPr>
          <w:tab/>
        </w:r>
        <w:r w:rsidR="00311ACD" w:rsidRPr="00805B0D">
          <w:rPr>
            <w:rStyle w:val="Hyperlink"/>
            <w:noProof/>
          </w:rPr>
          <w:t>Key recommendations</w:t>
        </w:r>
        <w:r w:rsidR="00311ACD">
          <w:rPr>
            <w:noProof/>
            <w:webHidden/>
          </w:rPr>
          <w:tab/>
        </w:r>
        <w:r w:rsidR="00311ACD">
          <w:rPr>
            <w:noProof/>
            <w:webHidden/>
          </w:rPr>
          <w:fldChar w:fldCharType="begin"/>
        </w:r>
        <w:r w:rsidR="00311ACD">
          <w:rPr>
            <w:noProof/>
            <w:webHidden/>
          </w:rPr>
          <w:instrText xml:space="preserve"> PAGEREF _Toc485298011 \h </w:instrText>
        </w:r>
        <w:r w:rsidR="00311ACD">
          <w:rPr>
            <w:noProof/>
            <w:webHidden/>
          </w:rPr>
        </w:r>
        <w:r w:rsidR="00311ACD">
          <w:rPr>
            <w:noProof/>
            <w:webHidden/>
          </w:rPr>
          <w:fldChar w:fldCharType="separate"/>
        </w:r>
        <w:r w:rsidR="00311ACD">
          <w:rPr>
            <w:noProof/>
            <w:webHidden/>
          </w:rPr>
          <w:t>7</w:t>
        </w:r>
        <w:r w:rsidR="00311ACD">
          <w:rPr>
            <w:noProof/>
            <w:webHidden/>
          </w:rPr>
          <w:fldChar w:fldCharType="end"/>
        </w:r>
      </w:hyperlink>
    </w:p>
    <w:p w14:paraId="751796B2" w14:textId="77777777" w:rsidR="00311ACD" w:rsidRDefault="0057293E">
      <w:pPr>
        <w:pStyle w:val="TOC2"/>
        <w:rPr>
          <w:rFonts w:eastAsiaTheme="minorEastAsia" w:cstheme="minorBidi"/>
          <w:i w:val="0"/>
          <w:iCs w:val="0"/>
          <w:noProof/>
          <w:sz w:val="22"/>
          <w:szCs w:val="22"/>
          <w:lang w:val="en-AU"/>
        </w:rPr>
      </w:pPr>
      <w:hyperlink w:anchor="_Toc485298012" w:history="1">
        <w:r w:rsidR="00311ACD" w:rsidRPr="00805B0D">
          <w:rPr>
            <w:rStyle w:val="Hyperlink"/>
            <w:noProof/>
          </w:rPr>
          <w:t>1.3</w:t>
        </w:r>
        <w:r w:rsidR="00311ACD">
          <w:rPr>
            <w:rFonts w:eastAsiaTheme="minorEastAsia" w:cstheme="minorBidi"/>
            <w:i w:val="0"/>
            <w:iCs w:val="0"/>
            <w:noProof/>
            <w:sz w:val="22"/>
            <w:szCs w:val="22"/>
            <w:lang w:val="en-AU"/>
          </w:rPr>
          <w:tab/>
        </w:r>
        <w:r w:rsidR="00311ACD" w:rsidRPr="00805B0D">
          <w:rPr>
            <w:rStyle w:val="Hyperlink"/>
            <w:noProof/>
          </w:rPr>
          <w:t>Consumer engagement</w:t>
        </w:r>
        <w:r w:rsidR="00311ACD">
          <w:rPr>
            <w:noProof/>
            <w:webHidden/>
          </w:rPr>
          <w:tab/>
        </w:r>
        <w:r w:rsidR="00311ACD">
          <w:rPr>
            <w:noProof/>
            <w:webHidden/>
          </w:rPr>
          <w:fldChar w:fldCharType="begin"/>
        </w:r>
        <w:r w:rsidR="00311ACD">
          <w:rPr>
            <w:noProof/>
            <w:webHidden/>
          </w:rPr>
          <w:instrText xml:space="preserve"> PAGEREF _Toc485298012 \h </w:instrText>
        </w:r>
        <w:r w:rsidR="00311ACD">
          <w:rPr>
            <w:noProof/>
            <w:webHidden/>
          </w:rPr>
        </w:r>
        <w:r w:rsidR="00311ACD">
          <w:rPr>
            <w:noProof/>
            <w:webHidden/>
          </w:rPr>
          <w:fldChar w:fldCharType="separate"/>
        </w:r>
        <w:r w:rsidR="00311ACD">
          <w:rPr>
            <w:noProof/>
            <w:webHidden/>
          </w:rPr>
          <w:t>8</w:t>
        </w:r>
        <w:r w:rsidR="00311ACD">
          <w:rPr>
            <w:noProof/>
            <w:webHidden/>
          </w:rPr>
          <w:fldChar w:fldCharType="end"/>
        </w:r>
      </w:hyperlink>
    </w:p>
    <w:p w14:paraId="24FD2134" w14:textId="77777777" w:rsidR="00311ACD" w:rsidRDefault="0057293E">
      <w:pPr>
        <w:pStyle w:val="TOC1"/>
        <w:tabs>
          <w:tab w:val="right" w:leader="dot" w:pos="9016"/>
        </w:tabs>
        <w:rPr>
          <w:rFonts w:eastAsiaTheme="minorEastAsia" w:cstheme="minorBidi"/>
          <w:bCs w:val="0"/>
          <w:noProof/>
          <w:sz w:val="22"/>
          <w:szCs w:val="22"/>
          <w:lang w:val="en-AU"/>
        </w:rPr>
      </w:pPr>
      <w:hyperlink w:anchor="_Toc485298013" w:history="1">
        <w:r w:rsidR="00311ACD" w:rsidRPr="00805B0D">
          <w:rPr>
            <w:rStyle w:val="Hyperlink"/>
            <w:noProof/>
          </w:rPr>
          <w:t>2.</w:t>
        </w:r>
        <w:r w:rsidR="00311ACD">
          <w:rPr>
            <w:rFonts w:eastAsiaTheme="minorEastAsia" w:cstheme="minorBidi"/>
            <w:bCs w:val="0"/>
            <w:noProof/>
            <w:sz w:val="22"/>
            <w:szCs w:val="22"/>
            <w:lang w:val="en-AU"/>
          </w:rPr>
          <w:tab/>
        </w:r>
        <w:r w:rsidR="00311ACD" w:rsidRPr="00805B0D">
          <w:rPr>
            <w:rStyle w:val="Hyperlink"/>
            <w:noProof/>
          </w:rPr>
          <w:t>About the Medicare Benefits Schedule (MBS) Review</w:t>
        </w:r>
        <w:r w:rsidR="00311ACD">
          <w:rPr>
            <w:noProof/>
            <w:webHidden/>
          </w:rPr>
          <w:tab/>
        </w:r>
        <w:r w:rsidR="00311ACD">
          <w:rPr>
            <w:noProof/>
            <w:webHidden/>
          </w:rPr>
          <w:fldChar w:fldCharType="begin"/>
        </w:r>
        <w:r w:rsidR="00311ACD">
          <w:rPr>
            <w:noProof/>
            <w:webHidden/>
          </w:rPr>
          <w:instrText xml:space="preserve"> PAGEREF _Toc485298013 \h </w:instrText>
        </w:r>
        <w:r w:rsidR="00311ACD">
          <w:rPr>
            <w:noProof/>
            <w:webHidden/>
          </w:rPr>
        </w:r>
        <w:r w:rsidR="00311ACD">
          <w:rPr>
            <w:noProof/>
            <w:webHidden/>
          </w:rPr>
          <w:fldChar w:fldCharType="separate"/>
        </w:r>
        <w:r w:rsidR="00311ACD">
          <w:rPr>
            <w:noProof/>
            <w:webHidden/>
          </w:rPr>
          <w:t>10</w:t>
        </w:r>
        <w:r w:rsidR="00311ACD">
          <w:rPr>
            <w:noProof/>
            <w:webHidden/>
          </w:rPr>
          <w:fldChar w:fldCharType="end"/>
        </w:r>
      </w:hyperlink>
    </w:p>
    <w:p w14:paraId="1DEF8928" w14:textId="77777777" w:rsidR="00311ACD" w:rsidRDefault="0057293E">
      <w:pPr>
        <w:pStyle w:val="TOC2"/>
        <w:rPr>
          <w:rFonts w:eastAsiaTheme="minorEastAsia" w:cstheme="minorBidi"/>
          <w:i w:val="0"/>
          <w:iCs w:val="0"/>
          <w:noProof/>
          <w:sz w:val="22"/>
          <w:szCs w:val="22"/>
          <w:lang w:val="en-AU"/>
        </w:rPr>
      </w:pPr>
      <w:hyperlink w:anchor="_Toc485298014" w:history="1">
        <w:r w:rsidR="00311ACD" w:rsidRPr="00805B0D">
          <w:rPr>
            <w:rStyle w:val="Hyperlink"/>
            <w:noProof/>
          </w:rPr>
          <w:t>2.1</w:t>
        </w:r>
        <w:r w:rsidR="00311ACD">
          <w:rPr>
            <w:rFonts w:eastAsiaTheme="minorEastAsia" w:cstheme="minorBidi"/>
            <w:i w:val="0"/>
            <w:iCs w:val="0"/>
            <w:noProof/>
            <w:sz w:val="22"/>
            <w:szCs w:val="22"/>
            <w:lang w:val="en-AU"/>
          </w:rPr>
          <w:tab/>
        </w:r>
        <w:r w:rsidR="00311ACD" w:rsidRPr="00805B0D">
          <w:rPr>
            <w:rStyle w:val="Hyperlink"/>
            <w:noProof/>
          </w:rPr>
          <w:t>Medicare and the MBS</w:t>
        </w:r>
        <w:r w:rsidR="00311ACD">
          <w:rPr>
            <w:noProof/>
            <w:webHidden/>
          </w:rPr>
          <w:tab/>
        </w:r>
        <w:r w:rsidR="00311ACD">
          <w:rPr>
            <w:noProof/>
            <w:webHidden/>
          </w:rPr>
          <w:fldChar w:fldCharType="begin"/>
        </w:r>
        <w:r w:rsidR="00311ACD">
          <w:rPr>
            <w:noProof/>
            <w:webHidden/>
          </w:rPr>
          <w:instrText xml:space="preserve"> PAGEREF _Toc485298014 \h </w:instrText>
        </w:r>
        <w:r w:rsidR="00311ACD">
          <w:rPr>
            <w:noProof/>
            <w:webHidden/>
          </w:rPr>
        </w:r>
        <w:r w:rsidR="00311ACD">
          <w:rPr>
            <w:noProof/>
            <w:webHidden/>
          </w:rPr>
          <w:fldChar w:fldCharType="separate"/>
        </w:r>
        <w:r w:rsidR="00311ACD">
          <w:rPr>
            <w:noProof/>
            <w:webHidden/>
          </w:rPr>
          <w:t>10</w:t>
        </w:r>
        <w:r w:rsidR="00311ACD">
          <w:rPr>
            <w:noProof/>
            <w:webHidden/>
          </w:rPr>
          <w:fldChar w:fldCharType="end"/>
        </w:r>
      </w:hyperlink>
    </w:p>
    <w:p w14:paraId="096D7F07" w14:textId="77777777" w:rsidR="00311ACD" w:rsidRDefault="0057293E">
      <w:pPr>
        <w:pStyle w:val="TOC2"/>
        <w:rPr>
          <w:rFonts w:eastAsiaTheme="minorEastAsia" w:cstheme="minorBidi"/>
          <w:i w:val="0"/>
          <w:iCs w:val="0"/>
          <w:noProof/>
          <w:sz w:val="22"/>
          <w:szCs w:val="22"/>
          <w:lang w:val="en-AU"/>
        </w:rPr>
      </w:pPr>
      <w:hyperlink w:anchor="_Toc485298015" w:history="1">
        <w:r w:rsidR="00311ACD" w:rsidRPr="00805B0D">
          <w:rPr>
            <w:rStyle w:val="Hyperlink"/>
            <w:noProof/>
          </w:rPr>
          <w:t>2.2</w:t>
        </w:r>
        <w:r w:rsidR="00311ACD">
          <w:rPr>
            <w:rFonts w:eastAsiaTheme="minorEastAsia" w:cstheme="minorBidi"/>
            <w:i w:val="0"/>
            <w:iCs w:val="0"/>
            <w:noProof/>
            <w:sz w:val="22"/>
            <w:szCs w:val="22"/>
            <w:lang w:val="en-AU"/>
          </w:rPr>
          <w:tab/>
        </w:r>
        <w:r w:rsidR="00311ACD" w:rsidRPr="00805B0D">
          <w:rPr>
            <w:rStyle w:val="Hyperlink"/>
            <w:noProof/>
          </w:rPr>
          <w:t>The MBS Review Taskforce</w:t>
        </w:r>
        <w:r w:rsidR="00311ACD">
          <w:rPr>
            <w:noProof/>
            <w:webHidden/>
          </w:rPr>
          <w:tab/>
        </w:r>
        <w:r w:rsidR="00311ACD">
          <w:rPr>
            <w:noProof/>
            <w:webHidden/>
          </w:rPr>
          <w:fldChar w:fldCharType="begin"/>
        </w:r>
        <w:r w:rsidR="00311ACD">
          <w:rPr>
            <w:noProof/>
            <w:webHidden/>
          </w:rPr>
          <w:instrText xml:space="preserve"> PAGEREF _Toc485298015 \h </w:instrText>
        </w:r>
        <w:r w:rsidR="00311ACD">
          <w:rPr>
            <w:noProof/>
            <w:webHidden/>
          </w:rPr>
        </w:r>
        <w:r w:rsidR="00311ACD">
          <w:rPr>
            <w:noProof/>
            <w:webHidden/>
          </w:rPr>
          <w:fldChar w:fldCharType="separate"/>
        </w:r>
        <w:r w:rsidR="00311ACD">
          <w:rPr>
            <w:noProof/>
            <w:webHidden/>
          </w:rPr>
          <w:t>10</w:t>
        </w:r>
        <w:r w:rsidR="00311ACD">
          <w:rPr>
            <w:noProof/>
            <w:webHidden/>
          </w:rPr>
          <w:fldChar w:fldCharType="end"/>
        </w:r>
      </w:hyperlink>
    </w:p>
    <w:p w14:paraId="48AEEB8F" w14:textId="77777777" w:rsidR="00311ACD" w:rsidRDefault="0057293E">
      <w:pPr>
        <w:pStyle w:val="TOC2"/>
        <w:rPr>
          <w:rFonts w:eastAsiaTheme="minorEastAsia" w:cstheme="minorBidi"/>
          <w:i w:val="0"/>
          <w:iCs w:val="0"/>
          <w:noProof/>
          <w:sz w:val="22"/>
          <w:szCs w:val="22"/>
          <w:lang w:val="en-AU"/>
        </w:rPr>
      </w:pPr>
      <w:hyperlink w:anchor="_Toc485298016" w:history="1">
        <w:r w:rsidR="00311ACD" w:rsidRPr="00805B0D">
          <w:rPr>
            <w:rStyle w:val="Hyperlink"/>
            <w:noProof/>
          </w:rPr>
          <w:t>2.3</w:t>
        </w:r>
        <w:r w:rsidR="00311ACD">
          <w:rPr>
            <w:rFonts w:eastAsiaTheme="minorEastAsia" w:cstheme="minorBidi"/>
            <w:i w:val="0"/>
            <w:iCs w:val="0"/>
            <w:noProof/>
            <w:sz w:val="22"/>
            <w:szCs w:val="22"/>
            <w:lang w:val="en-AU"/>
          </w:rPr>
          <w:tab/>
        </w:r>
        <w:r w:rsidR="00311ACD" w:rsidRPr="00805B0D">
          <w:rPr>
            <w:rStyle w:val="Hyperlink"/>
            <w:noProof/>
          </w:rPr>
          <w:t>The Taskforce’s approach</w:t>
        </w:r>
        <w:r w:rsidR="00311ACD">
          <w:rPr>
            <w:noProof/>
            <w:webHidden/>
          </w:rPr>
          <w:tab/>
        </w:r>
        <w:r w:rsidR="00311ACD">
          <w:rPr>
            <w:noProof/>
            <w:webHidden/>
          </w:rPr>
          <w:fldChar w:fldCharType="begin"/>
        </w:r>
        <w:r w:rsidR="00311ACD">
          <w:rPr>
            <w:noProof/>
            <w:webHidden/>
          </w:rPr>
          <w:instrText xml:space="preserve"> PAGEREF _Toc485298016 \h </w:instrText>
        </w:r>
        <w:r w:rsidR="00311ACD">
          <w:rPr>
            <w:noProof/>
            <w:webHidden/>
          </w:rPr>
        </w:r>
        <w:r w:rsidR="00311ACD">
          <w:rPr>
            <w:noProof/>
            <w:webHidden/>
          </w:rPr>
          <w:fldChar w:fldCharType="separate"/>
        </w:r>
        <w:r w:rsidR="00311ACD">
          <w:rPr>
            <w:noProof/>
            <w:webHidden/>
          </w:rPr>
          <w:t>11</w:t>
        </w:r>
        <w:r w:rsidR="00311ACD">
          <w:rPr>
            <w:noProof/>
            <w:webHidden/>
          </w:rPr>
          <w:fldChar w:fldCharType="end"/>
        </w:r>
      </w:hyperlink>
    </w:p>
    <w:p w14:paraId="798FB9BE" w14:textId="77777777" w:rsidR="00311ACD" w:rsidRDefault="0057293E">
      <w:pPr>
        <w:pStyle w:val="TOC1"/>
        <w:tabs>
          <w:tab w:val="right" w:leader="dot" w:pos="9016"/>
        </w:tabs>
        <w:rPr>
          <w:rFonts w:eastAsiaTheme="minorEastAsia" w:cstheme="minorBidi"/>
          <w:bCs w:val="0"/>
          <w:noProof/>
          <w:sz w:val="22"/>
          <w:szCs w:val="22"/>
          <w:lang w:val="en-AU"/>
        </w:rPr>
      </w:pPr>
      <w:hyperlink w:anchor="_Toc485298017" w:history="1">
        <w:r w:rsidR="00311ACD" w:rsidRPr="00805B0D">
          <w:rPr>
            <w:rStyle w:val="Hyperlink"/>
            <w:noProof/>
          </w:rPr>
          <w:t>3.</w:t>
        </w:r>
        <w:r w:rsidR="00311ACD">
          <w:rPr>
            <w:rFonts w:eastAsiaTheme="minorEastAsia" w:cstheme="minorBidi"/>
            <w:bCs w:val="0"/>
            <w:noProof/>
            <w:sz w:val="22"/>
            <w:szCs w:val="22"/>
            <w:lang w:val="en-AU"/>
          </w:rPr>
          <w:tab/>
        </w:r>
        <w:r w:rsidR="00311ACD" w:rsidRPr="00805B0D">
          <w:rPr>
            <w:rStyle w:val="Hyperlink"/>
            <w:noProof/>
          </w:rPr>
          <w:t>About the Endocrinology Clinical Committee</w:t>
        </w:r>
        <w:r w:rsidR="00311ACD">
          <w:rPr>
            <w:noProof/>
            <w:webHidden/>
          </w:rPr>
          <w:tab/>
        </w:r>
        <w:r w:rsidR="00311ACD">
          <w:rPr>
            <w:noProof/>
            <w:webHidden/>
          </w:rPr>
          <w:fldChar w:fldCharType="begin"/>
        </w:r>
        <w:r w:rsidR="00311ACD">
          <w:rPr>
            <w:noProof/>
            <w:webHidden/>
          </w:rPr>
          <w:instrText xml:space="preserve"> PAGEREF _Toc485298017 \h </w:instrText>
        </w:r>
        <w:r w:rsidR="00311ACD">
          <w:rPr>
            <w:noProof/>
            <w:webHidden/>
          </w:rPr>
        </w:r>
        <w:r w:rsidR="00311ACD">
          <w:rPr>
            <w:noProof/>
            <w:webHidden/>
          </w:rPr>
          <w:fldChar w:fldCharType="separate"/>
        </w:r>
        <w:r w:rsidR="00311ACD">
          <w:rPr>
            <w:noProof/>
            <w:webHidden/>
          </w:rPr>
          <w:t>13</w:t>
        </w:r>
        <w:r w:rsidR="00311ACD">
          <w:rPr>
            <w:noProof/>
            <w:webHidden/>
          </w:rPr>
          <w:fldChar w:fldCharType="end"/>
        </w:r>
      </w:hyperlink>
    </w:p>
    <w:p w14:paraId="19D5A456" w14:textId="77777777" w:rsidR="00311ACD" w:rsidRDefault="0057293E">
      <w:pPr>
        <w:pStyle w:val="TOC2"/>
        <w:rPr>
          <w:rFonts w:eastAsiaTheme="minorEastAsia" w:cstheme="minorBidi"/>
          <w:i w:val="0"/>
          <w:iCs w:val="0"/>
          <w:noProof/>
          <w:sz w:val="22"/>
          <w:szCs w:val="22"/>
          <w:lang w:val="en-AU"/>
        </w:rPr>
      </w:pPr>
      <w:hyperlink w:anchor="_Toc485298018" w:history="1">
        <w:r w:rsidR="00311ACD" w:rsidRPr="00805B0D">
          <w:rPr>
            <w:rStyle w:val="Hyperlink"/>
            <w:noProof/>
          </w:rPr>
          <w:t>3.1</w:t>
        </w:r>
        <w:r w:rsidR="00311ACD">
          <w:rPr>
            <w:rFonts w:eastAsiaTheme="minorEastAsia" w:cstheme="minorBidi"/>
            <w:i w:val="0"/>
            <w:iCs w:val="0"/>
            <w:noProof/>
            <w:sz w:val="22"/>
            <w:szCs w:val="22"/>
            <w:lang w:val="en-AU"/>
          </w:rPr>
          <w:tab/>
        </w:r>
        <w:r w:rsidR="00311ACD" w:rsidRPr="00805B0D">
          <w:rPr>
            <w:rStyle w:val="Hyperlink"/>
            <w:noProof/>
          </w:rPr>
          <w:t>Committee members</w:t>
        </w:r>
        <w:r w:rsidR="00311ACD">
          <w:rPr>
            <w:noProof/>
            <w:webHidden/>
          </w:rPr>
          <w:tab/>
        </w:r>
        <w:r w:rsidR="00311ACD">
          <w:rPr>
            <w:noProof/>
            <w:webHidden/>
          </w:rPr>
          <w:fldChar w:fldCharType="begin"/>
        </w:r>
        <w:r w:rsidR="00311ACD">
          <w:rPr>
            <w:noProof/>
            <w:webHidden/>
          </w:rPr>
          <w:instrText xml:space="preserve"> PAGEREF _Toc485298018 \h </w:instrText>
        </w:r>
        <w:r w:rsidR="00311ACD">
          <w:rPr>
            <w:noProof/>
            <w:webHidden/>
          </w:rPr>
        </w:r>
        <w:r w:rsidR="00311ACD">
          <w:rPr>
            <w:noProof/>
            <w:webHidden/>
          </w:rPr>
          <w:fldChar w:fldCharType="separate"/>
        </w:r>
        <w:r w:rsidR="00311ACD">
          <w:rPr>
            <w:noProof/>
            <w:webHidden/>
          </w:rPr>
          <w:t>13</w:t>
        </w:r>
        <w:r w:rsidR="00311ACD">
          <w:rPr>
            <w:noProof/>
            <w:webHidden/>
          </w:rPr>
          <w:fldChar w:fldCharType="end"/>
        </w:r>
      </w:hyperlink>
    </w:p>
    <w:p w14:paraId="340E49E4" w14:textId="77777777" w:rsidR="00311ACD" w:rsidRDefault="0057293E">
      <w:pPr>
        <w:pStyle w:val="TOC2"/>
        <w:rPr>
          <w:rFonts w:eastAsiaTheme="minorEastAsia" w:cstheme="minorBidi"/>
          <w:i w:val="0"/>
          <w:iCs w:val="0"/>
          <w:noProof/>
          <w:sz w:val="22"/>
          <w:szCs w:val="22"/>
          <w:lang w:val="en-AU"/>
        </w:rPr>
      </w:pPr>
      <w:hyperlink w:anchor="_Toc485298019" w:history="1">
        <w:r w:rsidR="00311ACD" w:rsidRPr="00805B0D">
          <w:rPr>
            <w:rStyle w:val="Hyperlink"/>
            <w:noProof/>
          </w:rPr>
          <w:t>3.2</w:t>
        </w:r>
        <w:r w:rsidR="00311ACD">
          <w:rPr>
            <w:rFonts w:eastAsiaTheme="minorEastAsia" w:cstheme="minorBidi"/>
            <w:i w:val="0"/>
            <w:iCs w:val="0"/>
            <w:noProof/>
            <w:sz w:val="22"/>
            <w:szCs w:val="22"/>
            <w:lang w:val="en-AU"/>
          </w:rPr>
          <w:tab/>
        </w:r>
        <w:r w:rsidR="00311ACD" w:rsidRPr="00805B0D">
          <w:rPr>
            <w:rStyle w:val="Hyperlink"/>
            <w:noProof/>
          </w:rPr>
          <w:t>Working group members</w:t>
        </w:r>
        <w:r w:rsidR="00311ACD">
          <w:rPr>
            <w:noProof/>
            <w:webHidden/>
          </w:rPr>
          <w:tab/>
        </w:r>
        <w:r w:rsidR="00311ACD">
          <w:rPr>
            <w:noProof/>
            <w:webHidden/>
          </w:rPr>
          <w:fldChar w:fldCharType="begin"/>
        </w:r>
        <w:r w:rsidR="00311ACD">
          <w:rPr>
            <w:noProof/>
            <w:webHidden/>
          </w:rPr>
          <w:instrText xml:space="preserve"> PAGEREF _Toc485298019 \h </w:instrText>
        </w:r>
        <w:r w:rsidR="00311ACD">
          <w:rPr>
            <w:noProof/>
            <w:webHidden/>
          </w:rPr>
        </w:r>
        <w:r w:rsidR="00311ACD">
          <w:rPr>
            <w:noProof/>
            <w:webHidden/>
          </w:rPr>
          <w:fldChar w:fldCharType="separate"/>
        </w:r>
        <w:r w:rsidR="00311ACD">
          <w:rPr>
            <w:noProof/>
            <w:webHidden/>
          </w:rPr>
          <w:t>14</w:t>
        </w:r>
        <w:r w:rsidR="00311ACD">
          <w:rPr>
            <w:noProof/>
            <w:webHidden/>
          </w:rPr>
          <w:fldChar w:fldCharType="end"/>
        </w:r>
      </w:hyperlink>
    </w:p>
    <w:p w14:paraId="233570B8" w14:textId="77777777" w:rsidR="00311ACD" w:rsidRDefault="0057293E">
      <w:pPr>
        <w:pStyle w:val="TOC1"/>
        <w:tabs>
          <w:tab w:val="right" w:leader="dot" w:pos="9016"/>
        </w:tabs>
        <w:rPr>
          <w:rFonts w:eastAsiaTheme="minorEastAsia" w:cstheme="minorBidi"/>
          <w:bCs w:val="0"/>
          <w:noProof/>
          <w:sz w:val="22"/>
          <w:szCs w:val="22"/>
          <w:lang w:val="en-AU"/>
        </w:rPr>
      </w:pPr>
      <w:hyperlink w:anchor="_Toc485298020" w:history="1">
        <w:r w:rsidR="00311ACD" w:rsidRPr="00805B0D">
          <w:rPr>
            <w:rStyle w:val="Hyperlink"/>
            <w:noProof/>
          </w:rPr>
          <w:t>4.</w:t>
        </w:r>
        <w:r w:rsidR="00311ACD">
          <w:rPr>
            <w:rFonts w:eastAsiaTheme="minorEastAsia" w:cstheme="minorBidi"/>
            <w:bCs w:val="0"/>
            <w:noProof/>
            <w:sz w:val="22"/>
            <w:szCs w:val="22"/>
            <w:lang w:val="en-AU"/>
          </w:rPr>
          <w:tab/>
        </w:r>
        <w:r w:rsidR="00311ACD" w:rsidRPr="00805B0D">
          <w:rPr>
            <w:rStyle w:val="Hyperlink"/>
            <w:noProof/>
          </w:rPr>
          <w:t>Areas of responsibility of the Committee</w:t>
        </w:r>
        <w:r w:rsidR="00311ACD">
          <w:rPr>
            <w:noProof/>
            <w:webHidden/>
          </w:rPr>
          <w:tab/>
        </w:r>
        <w:r w:rsidR="00311ACD">
          <w:rPr>
            <w:noProof/>
            <w:webHidden/>
          </w:rPr>
          <w:fldChar w:fldCharType="begin"/>
        </w:r>
        <w:r w:rsidR="00311ACD">
          <w:rPr>
            <w:noProof/>
            <w:webHidden/>
          </w:rPr>
          <w:instrText xml:space="preserve"> PAGEREF _Toc485298020 \h </w:instrText>
        </w:r>
        <w:r w:rsidR="00311ACD">
          <w:rPr>
            <w:noProof/>
            <w:webHidden/>
          </w:rPr>
        </w:r>
        <w:r w:rsidR="00311ACD">
          <w:rPr>
            <w:noProof/>
            <w:webHidden/>
          </w:rPr>
          <w:fldChar w:fldCharType="separate"/>
        </w:r>
        <w:r w:rsidR="00311ACD">
          <w:rPr>
            <w:noProof/>
            <w:webHidden/>
          </w:rPr>
          <w:t>16</w:t>
        </w:r>
        <w:r w:rsidR="00311ACD">
          <w:rPr>
            <w:noProof/>
            <w:webHidden/>
          </w:rPr>
          <w:fldChar w:fldCharType="end"/>
        </w:r>
      </w:hyperlink>
    </w:p>
    <w:p w14:paraId="543201DC" w14:textId="77777777" w:rsidR="00311ACD" w:rsidRDefault="0057293E">
      <w:pPr>
        <w:pStyle w:val="TOC2"/>
        <w:rPr>
          <w:rFonts w:eastAsiaTheme="minorEastAsia" w:cstheme="minorBidi"/>
          <w:i w:val="0"/>
          <w:iCs w:val="0"/>
          <w:noProof/>
          <w:sz w:val="22"/>
          <w:szCs w:val="22"/>
          <w:lang w:val="en-AU"/>
        </w:rPr>
      </w:pPr>
      <w:hyperlink w:anchor="_Toc485298021" w:history="1">
        <w:r w:rsidR="00311ACD" w:rsidRPr="00805B0D">
          <w:rPr>
            <w:rStyle w:val="Hyperlink"/>
            <w:noProof/>
          </w:rPr>
          <w:t>4.1</w:t>
        </w:r>
        <w:r w:rsidR="00311ACD">
          <w:rPr>
            <w:rFonts w:eastAsiaTheme="minorEastAsia" w:cstheme="minorBidi"/>
            <w:i w:val="0"/>
            <w:iCs w:val="0"/>
            <w:noProof/>
            <w:sz w:val="22"/>
            <w:szCs w:val="22"/>
            <w:lang w:val="en-AU"/>
          </w:rPr>
          <w:tab/>
        </w:r>
        <w:r w:rsidR="00311ACD" w:rsidRPr="00805B0D">
          <w:rPr>
            <w:rStyle w:val="Hyperlink"/>
            <w:noProof/>
          </w:rPr>
          <w:t>Summary of the Committee’s review approach</w:t>
        </w:r>
        <w:r w:rsidR="00311ACD">
          <w:rPr>
            <w:noProof/>
            <w:webHidden/>
          </w:rPr>
          <w:tab/>
        </w:r>
        <w:r w:rsidR="00311ACD">
          <w:rPr>
            <w:noProof/>
            <w:webHidden/>
          </w:rPr>
          <w:fldChar w:fldCharType="begin"/>
        </w:r>
        <w:r w:rsidR="00311ACD">
          <w:rPr>
            <w:noProof/>
            <w:webHidden/>
          </w:rPr>
          <w:instrText xml:space="preserve"> PAGEREF _Toc485298021 \h </w:instrText>
        </w:r>
        <w:r w:rsidR="00311ACD">
          <w:rPr>
            <w:noProof/>
            <w:webHidden/>
          </w:rPr>
        </w:r>
        <w:r w:rsidR="00311ACD">
          <w:rPr>
            <w:noProof/>
            <w:webHidden/>
          </w:rPr>
          <w:fldChar w:fldCharType="separate"/>
        </w:r>
        <w:r w:rsidR="00311ACD">
          <w:rPr>
            <w:noProof/>
            <w:webHidden/>
          </w:rPr>
          <w:t>17</w:t>
        </w:r>
        <w:r w:rsidR="00311ACD">
          <w:rPr>
            <w:noProof/>
            <w:webHidden/>
          </w:rPr>
          <w:fldChar w:fldCharType="end"/>
        </w:r>
      </w:hyperlink>
    </w:p>
    <w:p w14:paraId="1D7E258C" w14:textId="77777777" w:rsidR="00311ACD" w:rsidRDefault="0057293E">
      <w:pPr>
        <w:pStyle w:val="TOC1"/>
        <w:tabs>
          <w:tab w:val="right" w:leader="dot" w:pos="9016"/>
        </w:tabs>
        <w:rPr>
          <w:rFonts w:eastAsiaTheme="minorEastAsia" w:cstheme="minorBidi"/>
          <w:bCs w:val="0"/>
          <w:noProof/>
          <w:sz w:val="22"/>
          <w:szCs w:val="22"/>
          <w:lang w:val="en-AU"/>
        </w:rPr>
      </w:pPr>
      <w:hyperlink w:anchor="_Toc485298022" w:history="1">
        <w:r w:rsidR="00311ACD" w:rsidRPr="00805B0D">
          <w:rPr>
            <w:rStyle w:val="Hyperlink"/>
            <w:noProof/>
          </w:rPr>
          <w:t>5.</w:t>
        </w:r>
        <w:r w:rsidR="00311ACD">
          <w:rPr>
            <w:rFonts w:eastAsiaTheme="minorEastAsia" w:cstheme="minorBidi"/>
            <w:bCs w:val="0"/>
            <w:noProof/>
            <w:sz w:val="22"/>
            <w:szCs w:val="22"/>
            <w:lang w:val="en-AU"/>
          </w:rPr>
          <w:tab/>
        </w:r>
        <w:r w:rsidR="00311ACD" w:rsidRPr="00805B0D">
          <w:rPr>
            <w:rStyle w:val="Hyperlink"/>
            <w:noProof/>
          </w:rPr>
          <w:t>Recommendations</w:t>
        </w:r>
        <w:r w:rsidR="00311ACD">
          <w:rPr>
            <w:noProof/>
            <w:webHidden/>
          </w:rPr>
          <w:tab/>
        </w:r>
        <w:r w:rsidR="00311ACD">
          <w:rPr>
            <w:noProof/>
            <w:webHidden/>
          </w:rPr>
          <w:fldChar w:fldCharType="begin"/>
        </w:r>
        <w:r w:rsidR="00311ACD">
          <w:rPr>
            <w:noProof/>
            <w:webHidden/>
          </w:rPr>
          <w:instrText xml:space="preserve"> PAGEREF _Toc485298022 \h </w:instrText>
        </w:r>
        <w:r w:rsidR="00311ACD">
          <w:rPr>
            <w:noProof/>
            <w:webHidden/>
          </w:rPr>
        </w:r>
        <w:r w:rsidR="00311ACD">
          <w:rPr>
            <w:noProof/>
            <w:webHidden/>
          </w:rPr>
          <w:fldChar w:fldCharType="separate"/>
        </w:r>
        <w:r w:rsidR="00311ACD">
          <w:rPr>
            <w:noProof/>
            <w:webHidden/>
          </w:rPr>
          <w:t>18</w:t>
        </w:r>
        <w:r w:rsidR="00311ACD">
          <w:rPr>
            <w:noProof/>
            <w:webHidden/>
          </w:rPr>
          <w:fldChar w:fldCharType="end"/>
        </w:r>
      </w:hyperlink>
    </w:p>
    <w:p w14:paraId="0B73306C" w14:textId="77777777" w:rsidR="00311ACD" w:rsidRDefault="0057293E">
      <w:pPr>
        <w:pStyle w:val="TOC2"/>
        <w:rPr>
          <w:rFonts w:eastAsiaTheme="minorEastAsia" w:cstheme="minorBidi"/>
          <w:i w:val="0"/>
          <w:iCs w:val="0"/>
          <w:noProof/>
          <w:sz w:val="22"/>
          <w:szCs w:val="22"/>
          <w:lang w:val="en-AU"/>
        </w:rPr>
      </w:pPr>
      <w:hyperlink w:anchor="_Toc485298023" w:history="1">
        <w:r w:rsidR="00311ACD" w:rsidRPr="00805B0D">
          <w:rPr>
            <w:rStyle w:val="Hyperlink"/>
            <w:noProof/>
          </w:rPr>
          <w:t>5.1</w:t>
        </w:r>
        <w:r w:rsidR="00311ACD">
          <w:rPr>
            <w:rFonts w:eastAsiaTheme="minorEastAsia" w:cstheme="minorBidi"/>
            <w:i w:val="0"/>
            <w:iCs w:val="0"/>
            <w:noProof/>
            <w:sz w:val="22"/>
            <w:szCs w:val="22"/>
            <w:lang w:val="en-AU"/>
          </w:rPr>
          <w:tab/>
        </w:r>
        <w:r w:rsidR="00311ACD" w:rsidRPr="00805B0D">
          <w:rPr>
            <w:rStyle w:val="Hyperlink"/>
            <w:noProof/>
          </w:rPr>
          <w:t>Thyroidectomy: Items 30296–7, 30306 and 30308–10</w:t>
        </w:r>
        <w:r w:rsidR="00311ACD">
          <w:rPr>
            <w:noProof/>
            <w:webHidden/>
          </w:rPr>
          <w:tab/>
        </w:r>
        <w:r w:rsidR="00311ACD">
          <w:rPr>
            <w:noProof/>
            <w:webHidden/>
          </w:rPr>
          <w:fldChar w:fldCharType="begin"/>
        </w:r>
        <w:r w:rsidR="00311ACD">
          <w:rPr>
            <w:noProof/>
            <w:webHidden/>
          </w:rPr>
          <w:instrText xml:space="preserve"> PAGEREF _Toc485298023 \h </w:instrText>
        </w:r>
        <w:r w:rsidR="00311ACD">
          <w:rPr>
            <w:noProof/>
            <w:webHidden/>
          </w:rPr>
        </w:r>
        <w:r w:rsidR="00311ACD">
          <w:rPr>
            <w:noProof/>
            <w:webHidden/>
          </w:rPr>
          <w:fldChar w:fldCharType="separate"/>
        </w:r>
        <w:r w:rsidR="00311ACD">
          <w:rPr>
            <w:noProof/>
            <w:webHidden/>
          </w:rPr>
          <w:t>18</w:t>
        </w:r>
        <w:r w:rsidR="00311ACD">
          <w:rPr>
            <w:noProof/>
            <w:webHidden/>
          </w:rPr>
          <w:fldChar w:fldCharType="end"/>
        </w:r>
      </w:hyperlink>
    </w:p>
    <w:p w14:paraId="5D155A6D" w14:textId="77777777" w:rsidR="00311ACD" w:rsidRDefault="0057293E">
      <w:pPr>
        <w:pStyle w:val="TOC3"/>
        <w:tabs>
          <w:tab w:val="left" w:pos="1474"/>
        </w:tabs>
        <w:rPr>
          <w:rFonts w:eastAsiaTheme="minorEastAsia" w:cstheme="minorBidi"/>
          <w:noProof/>
          <w:sz w:val="22"/>
          <w:szCs w:val="22"/>
          <w:lang w:val="en-AU"/>
        </w:rPr>
      </w:pPr>
      <w:hyperlink w:anchor="_Toc485298024" w:history="1">
        <w:r w:rsidR="00311ACD" w:rsidRPr="00805B0D">
          <w:rPr>
            <w:rStyle w:val="Hyperlink"/>
            <w:noProof/>
          </w:rPr>
          <w:t>5.1.1</w:t>
        </w:r>
        <w:r w:rsidR="00311ACD">
          <w:rPr>
            <w:rFonts w:eastAsiaTheme="minorEastAsia" w:cstheme="minorBidi"/>
            <w:noProof/>
            <w:sz w:val="22"/>
            <w:szCs w:val="22"/>
            <w:lang w:val="en-AU"/>
          </w:rPr>
          <w:tab/>
        </w:r>
        <w:r w:rsidR="00311ACD" w:rsidRPr="00805B0D">
          <w:rPr>
            <w:rStyle w:val="Hyperlink"/>
            <w:noProof/>
          </w:rPr>
          <w:t>Items 30296 and 30309</w:t>
        </w:r>
        <w:r w:rsidR="00311ACD">
          <w:rPr>
            <w:noProof/>
            <w:webHidden/>
          </w:rPr>
          <w:tab/>
        </w:r>
        <w:r w:rsidR="00311ACD">
          <w:rPr>
            <w:noProof/>
            <w:webHidden/>
          </w:rPr>
          <w:fldChar w:fldCharType="begin"/>
        </w:r>
        <w:r w:rsidR="00311ACD">
          <w:rPr>
            <w:noProof/>
            <w:webHidden/>
          </w:rPr>
          <w:instrText xml:space="preserve"> PAGEREF _Toc485298024 \h </w:instrText>
        </w:r>
        <w:r w:rsidR="00311ACD">
          <w:rPr>
            <w:noProof/>
            <w:webHidden/>
          </w:rPr>
        </w:r>
        <w:r w:rsidR="00311ACD">
          <w:rPr>
            <w:noProof/>
            <w:webHidden/>
          </w:rPr>
          <w:fldChar w:fldCharType="separate"/>
        </w:r>
        <w:r w:rsidR="00311ACD">
          <w:rPr>
            <w:noProof/>
            <w:webHidden/>
          </w:rPr>
          <w:t>18</w:t>
        </w:r>
        <w:r w:rsidR="00311ACD">
          <w:rPr>
            <w:noProof/>
            <w:webHidden/>
          </w:rPr>
          <w:fldChar w:fldCharType="end"/>
        </w:r>
      </w:hyperlink>
    </w:p>
    <w:p w14:paraId="173AF479" w14:textId="77777777" w:rsidR="00311ACD" w:rsidRDefault="0057293E">
      <w:pPr>
        <w:pStyle w:val="TOC3"/>
        <w:tabs>
          <w:tab w:val="left" w:pos="1474"/>
        </w:tabs>
        <w:rPr>
          <w:rFonts w:eastAsiaTheme="minorEastAsia" w:cstheme="minorBidi"/>
          <w:noProof/>
          <w:sz w:val="22"/>
          <w:szCs w:val="22"/>
          <w:lang w:val="en-AU"/>
        </w:rPr>
      </w:pPr>
      <w:hyperlink w:anchor="_Toc485298025" w:history="1">
        <w:r w:rsidR="00311ACD" w:rsidRPr="00805B0D">
          <w:rPr>
            <w:rStyle w:val="Hyperlink"/>
            <w:noProof/>
          </w:rPr>
          <w:t>5.1.2</w:t>
        </w:r>
        <w:r w:rsidR="00311ACD">
          <w:rPr>
            <w:rFonts w:eastAsiaTheme="minorEastAsia" w:cstheme="minorBidi"/>
            <w:noProof/>
            <w:sz w:val="22"/>
            <w:szCs w:val="22"/>
            <w:lang w:val="en-AU"/>
          </w:rPr>
          <w:tab/>
        </w:r>
        <w:r w:rsidR="00311ACD" w:rsidRPr="00805B0D">
          <w:rPr>
            <w:rStyle w:val="Hyperlink"/>
            <w:noProof/>
          </w:rPr>
          <w:t>Item 30306</w:t>
        </w:r>
        <w:r w:rsidR="00311ACD">
          <w:rPr>
            <w:noProof/>
            <w:webHidden/>
          </w:rPr>
          <w:tab/>
        </w:r>
        <w:r w:rsidR="00311ACD">
          <w:rPr>
            <w:noProof/>
            <w:webHidden/>
          </w:rPr>
          <w:fldChar w:fldCharType="begin"/>
        </w:r>
        <w:r w:rsidR="00311ACD">
          <w:rPr>
            <w:noProof/>
            <w:webHidden/>
          </w:rPr>
          <w:instrText xml:space="preserve"> PAGEREF _Toc485298025 \h </w:instrText>
        </w:r>
        <w:r w:rsidR="00311ACD">
          <w:rPr>
            <w:noProof/>
            <w:webHidden/>
          </w:rPr>
        </w:r>
        <w:r w:rsidR="00311ACD">
          <w:rPr>
            <w:noProof/>
            <w:webHidden/>
          </w:rPr>
          <w:fldChar w:fldCharType="separate"/>
        </w:r>
        <w:r w:rsidR="00311ACD">
          <w:rPr>
            <w:noProof/>
            <w:webHidden/>
          </w:rPr>
          <w:t>19</w:t>
        </w:r>
        <w:r w:rsidR="00311ACD">
          <w:rPr>
            <w:noProof/>
            <w:webHidden/>
          </w:rPr>
          <w:fldChar w:fldCharType="end"/>
        </w:r>
      </w:hyperlink>
    </w:p>
    <w:p w14:paraId="4BC17683" w14:textId="77777777" w:rsidR="00311ACD" w:rsidRDefault="0057293E">
      <w:pPr>
        <w:pStyle w:val="TOC3"/>
        <w:tabs>
          <w:tab w:val="left" w:pos="1474"/>
        </w:tabs>
        <w:rPr>
          <w:rFonts w:eastAsiaTheme="minorEastAsia" w:cstheme="minorBidi"/>
          <w:noProof/>
          <w:sz w:val="22"/>
          <w:szCs w:val="22"/>
          <w:lang w:val="en-AU"/>
        </w:rPr>
      </w:pPr>
      <w:hyperlink w:anchor="_Toc485298026" w:history="1">
        <w:r w:rsidR="00311ACD" w:rsidRPr="00805B0D">
          <w:rPr>
            <w:rStyle w:val="Hyperlink"/>
            <w:noProof/>
          </w:rPr>
          <w:t>5.1.3</w:t>
        </w:r>
        <w:r w:rsidR="00311ACD">
          <w:rPr>
            <w:rFonts w:eastAsiaTheme="minorEastAsia" w:cstheme="minorBidi"/>
            <w:noProof/>
            <w:sz w:val="22"/>
            <w:szCs w:val="22"/>
            <w:lang w:val="en-AU"/>
          </w:rPr>
          <w:tab/>
        </w:r>
        <w:r w:rsidR="00311ACD" w:rsidRPr="00805B0D">
          <w:rPr>
            <w:rStyle w:val="Hyperlink"/>
            <w:noProof/>
          </w:rPr>
          <w:t>Items 30308 and 30310</w:t>
        </w:r>
        <w:r w:rsidR="00311ACD">
          <w:rPr>
            <w:noProof/>
            <w:webHidden/>
          </w:rPr>
          <w:tab/>
        </w:r>
        <w:r w:rsidR="00311ACD">
          <w:rPr>
            <w:noProof/>
            <w:webHidden/>
          </w:rPr>
          <w:fldChar w:fldCharType="begin"/>
        </w:r>
        <w:r w:rsidR="00311ACD">
          <w:rPr>
            <w:noProof/>
            <w:webHidden/>
          </w:rPr>
          <w:instrText xml:space="preserve"> PAGEREF _Toc485298026 \h </w:instrText>
        </w:r>
        <w:r w:rsidR="00311ACD">
          <w:rPr>
            <w:noProof/>
            <w:webHidden/>
          </w:rPr>
        </w:r>
        <w:r w:rsidR="00311ACD">
          <w:rPr>
            <w:noProof/>
            <w:webHidden/>
          </w:rPr>
          <w:fldChar w:fldCharType="separate"/>
        </w:r>
        <w:r w:rsidR="00311ACD">
          <w:rPr>
            <w:noProof/>
            <w:webHidden/>
          </w:rPr>
          <w:t>20</w:t>
        </w:r>
        <w:r w:rsidR="00311ACD">
          <w:rPr>
            <w:noProof/>
            <w:webHidden/>
          </w:rPr>
          <w:fldChar w:fldCharType="end"/>
        </w:r>
      </w:hyperlink>
    </w:p>
    <w:p w14:paraId="57EC4E0A" w14:textId="77777777" w:rsidR="00311ACD" w:rsidRDefault="0057293E">
      <w:pPr>
        <w:pStyle w:val="TOC3"/>
        <w:tabs>
          <w:tab w:val="left" w:pos="1474"/>
        </w:tabs>
        <w:rPr>
          <w:rFonts w:eastAsiaTheme="minorEastAsia" w:cstheme="minorBidi"/>
          <w:noProof/>
          <w:sz w:val="22"/>
          <w:szCs w:val="22"/>
          <w:lang w:val="en-AU"/>
        </w:rPr>
      </w:pPr>
      <w:hyperlink w:anchor="_Toc485298027" w:history="1">
        <w:r w:rsidR="00311ACD" w:rsidRPr="00805B0D">
          <w:rPr>
            <w:rStyle w:val="Hyperlink"/>
            <w:noProof/>
          </w:rPr>
          <w:t>5.1.4</w:t>
        </w:r>
        <w:r w:rsidR="00311ACD">
          <w:rPr>
            <w:rFonts w:eastAsiaTheme="minorEastAsia" w:cstheme="minorBidi"/>
            <w:noProof/>
            <w:sz w:val="22"/>
            <w:szCs w:val="22"/>
            <w:lang w:val="en-AU"/>
          </w:rPr>
          <w:tab/>
        </w:r>
        <w:r w:rsidR="00311ACD" w:rsidRPr="00805B0D">
          <w:rPr>
            <w:rStyle w:val="Hyperlink"/>
            <w:noProof/>
          </w:rPr>
          <w:t>Item 30297</w:t>
        </w:r>
        <w:r w:rsidR="00311ACD">
          <w:rPr>
            <w:noProof/>
            <w:webHidden/>
          </w:rPr>
          <w:tab/>
        </w:r>
        <w:r w:rsidR="00311ACD">
          <w:rPr>
            <w:noProof/>
            <w:webHidden/>
          </w:rPr>
          <w:fldChar w:fldCharType="begin"/>
        </w:r>
        <w:r w:rsidR="00311ACD">
          <w:rPr>
            <w:noProof/>
            <w:webHidden/>
          </w:rPr>
          <w:instrText xml:space="preserve"> PAGEREF _Toc485298027 \h </w:instrText>
        </w:r>
        <w:r w:rsidR="00311ACD">
          <w:rPr>
            <w:noProof/>
            <w:webHidden/>
          </w:rPr>
        </w:r>
        <w:r w:rsidR="00311ACD">
          <w:rPr>
            <w:noProof/>
            <w:webHidden/>
          </w:rPr>
          <w:fldChar w:fldCharType="separate"/>
        </w:r>
        <w:r w:rsidR="00311ACD">
          <w:rPr>
            <w:noProof/>
            <w:webHidden/>
          </w:rPr>
          <w:t>20</w:t>
        </w:r>
        <w:r w:rsidR="00311ACD">
          <w:rPr>
            <w:noProof/>
            <w:webHidden/>
          </w:rPr>
          <w:fldChar w:fldCharType="end"/>
        </w:r>
      </w:hyperlink>
    </w:p>
    <w:p w14:paraId="1F7AB64B" w14:textId="77777777" w:rsidR="00311ACD" w:rsidRDefault="0057293E">
      <w:pPr>
        <w:pStyle w:val="TOC2"/>
        <w:rPr>
          <w:rFonts w:eastAsiaTheme="minorEastAsia" w:cstheme="minorBidi"/>
          <w:i w:val="0"/>
          <w:iCs w:val="0"/>
          <w:noProof/>
          <w:sz w:val="22"/>
          <w:szCs w:val="22"/>
          <w:lang w:val="en-AU"/>
        </w:rPr>
      </w:pPr>
      <w:hyperlink w:anchor="_Toc485298028" w:history="1">
        <w:r w:rsidR="00311ACD" w:rsidRPr="00805B0D">
          <w:rPr>
            <w:rStyle w:val="Hyperlink"/>
            <w:noProof/>
          </w:rPr>
          <w:t>5.2</w:t>
        </w:r>
        <w:r w:rsidR="00311ACD">
          <w:rPr>
            <w:rFonts w:eastAsiaTheme="minorEastAsia" w:cstheme="minorBidi"/>
            <w:i w:val="0"/>
            <w:iCs w:val="0"/>
            <w:noProof/>
            <w:sz w:val="22"/>
            <w:szCs w:val="22"/>
            <w:lang w:val="en-AU"/>
          </w:rPr>
          <w:tab/>
        </w:r>
        <w:r w:rsidR="00311ACD" w:rsidRPr="00805B0D">
          <w:rPr>
            <w:rStyle w:val="Hyperlink"/>
            <w:noProof/>
          </w:rPr>
          <w:t>Parathyroid: Items 30315, 30317–8 and 30320</w:t>
        </w:r>
        <w:r w:rsidR="00311ACD">
          <w:rPr>
            <w:noProof/>
            <w:webHidden/>
          </w:rPr>
          <w:tab/>
        </w:r>
        <w:r w:rsidR="00311ACD">
          <w:rPr>
            <w:noProof/>
            <w:webHidden/>
          </w:rPr>
          <w:fldChar w:fldCharType="begin"/>
        </w:r>
        <w:r w:rsidR="00311ACD">
          <w:rPr>
            <w:noProof/>
            <w:webHidden/>
          </w:rPr>
          <w:instrText xml:space="preserve"> PAGEREF _Toc485298028 \h </w:instrText>
        </w:r>
        <w:r w:rsidR="00311ACD">
          <w:rPr>
            <w:noProof/>
            <w:webHidden/>
          </w:rPr>
        </w:r>
        <w:r w:rsidR="00311ACD">
          <w:rPr>
            <w:noProof/>
            <w:webHidden/>
          </w:rPr>
          <w:fldChar w:fldCharType="separate"/>
        </w:r>
        <w:r w:rsidR="00311ACD">
          <w:rPr>
            <w:noProof/>
            <w:webHidden/>
          </w:rPr>
          <w:t>21</w:t>
        </w:r>
        <w:r w:rsidR="00311ACD">
          <w:rPr>
            <w:noProof/>
            <w:webHidden/>
          </w:rPr>
          <w:fldChar w:fldCharType="end"/>
        </w:r>
      </w:hyperlink>
    </w:p>
    <w:p w14:paraId="41B01ADC" w14:textId="77777777" w:rsidR="00311ACD" w:rsidRDefault="0057293E">
      <w:pPr>
        <w:pStyle w:val="TOC2"/>
        <w:rPr>
          <w:rFonts w:eastAsiaTheme="minorEastAsia" w:cstheme="minorBidi"/>
          <w:i w:val="0"/>
          <w:iCs w:val="0"/>
          <w:noProof/>
          <w:sz w:val="22"/>
          <w:szCs w:val="22"/>
          <w:lang w:val="en-AU"/>
        </w:rPr>
      </w:pPr>
      <w:hyperlink w:anchor="_Toc485298029" w:history="1">
        <w:r w:rsidR="00311ACD" w:rsidRPr="00805B0D">
          <w:rPr>
            <w:rStyle w:val="Hyperlink"/>
            <w:noProof/>
          </w:rPr>
          <w:t>5.3</w:t>
        </w:r>
        <w:r w:rsidR="00311ACD">
          <w:rPr>
            <w:rFonts w:eastAsiaTheme="minorEastAsia" w:cstheme="minorBidi"/>
            <w:i w:val="0"/>
            <w:iCs w:val="0"/>
            <w:noProof/>
            <w:sz w:val="22"/>
            <w:szCs w:val="22"/>
            <w:lang w:val="en-AU"/>
          </w:rPr>
          <w:tab/>
        </w:r>
        <w:r w:rsidR="00311ACD" w:rsidRPr="00805B0D">
          <w:rPr>
            <w:rStyle w:val="Hyperlink"/>
            <w:noProof/>
          </w:rPr>
          <w:t>Synacthen stimulation test: Item 30097</w:t>
        </w:r>
        <w:r w:rsidR="00311ACD">
          <w:rPr>
            <w:noProof/>
            <w:webHidden/>
          </w:rPr>
          <w:tab/>
        </w:r>
        <w:r w:rsidR="00311ACD">
          <w:rPr>
            <w:noProof/>
            <w:webHidden/>
          </w:rPr>
          <w:fldChar w:fldCharType="begin"/>
        </w:r>
        <w:r w:rsidR="00311ACD">
          <w:rPr>
            <w:noProof/>
            <w:webHidden/>
          </w:rPr>
          <w:instrText xml:space="preserve"> PAGEREF _Toc485298029 \h </w:instrText>
        </w:r>
        <w:r w:rsidR="00311ACD">
          <w:rPr>
            <w:noProof/>
            <w:webHidden/>
          </w:rPr>
        </w:r>
        <w:r w:rsidR="00311ACD">
          <w:rPr>
            <w:noProof/>
            <w:webHidden/>
          </w:rPr>
          <w:fldChar w:fldCharType="separate"/>
        </w:r>
        <w:r w:rsidR="00311ACD">
          <w:rPr>
            <w:noProof/>
            <w:webHidden/>
          </w:rPr>
          <w:t>22</w:t>
        </w:r>
        <w:r w:rsidR="00311ACD">
          <w:rPr>
            <w:noProof/>
            <w:webHidden/>
          </w:rPr>
          <w:fldChar w:fldCharType="end"/>
        </w:r>
      </w:hyperlink>
    </w:p>
    <w:p w14:paraId="1C034BEE" w14:textId="77777777" w:rsidR="00311ACD" w:rsidRDefault="0057293E">
      <w:pPr>
        <w:pStyle w:val="TOC2"/>
        <w:rPr>
          <w:rFonts w:eastAsiaTheme="minorEastAsia" w:cstheme="minorBidi"/>
          <w:i w:val="0"/>
          <w:iCs w:val="0"/>
          <w:noProof/>
          <w:sz w:val="22"/>
          <w:szCs w:val="22"/>
          <w:lang w:val="en-AU"/>
        </w:rPr>
      </w:pPr>
      <w:hyperlink w:anchor="_Toc485298030" w:history="1">
        <w:r w:rsidR="00311ACD" w:rsidRPr="00805B0D">
          <w:rPr>
            <w:rStyle w:val="Hyperlink"/>
            <w:noProof/>
          </w:rPr>
          <w:t>5.4</w:t>
        </w:r>
        <w:r w:rsidR="00311ACD">
          <w:rPr>
            <w:rFonts w:eastAsiaTheme="minorEastAsia" w:cstheme="minorBidi"/>
            <w:i w:val="0"/>
            <w:iCs w:val="0"/>
            <w:noProof/>
            <w:sz w:val="22"/>
            <w:szCs w:val="22"/>
            <w:lang w:val="en-AU"/>
          </w:rPr>
          <w:tab/>
        </w:r>
        <w:r w:rsidR="00311ACD" w:rsidRPr="00805B0D">
          <w:rPr>
            <w:rStyle w:val="Hyperlink"/>
            <w:noProof/>
          </w:rPr>
          <w:t>Thyroglossal cyst: Items 30313 and 30314</w:t>
        </w:r>
        <w:r w:rsidR="00311ACD">
          <w:rPr>
            <w:noProof/>
            <w:webHidden/>
          </w:rPr>
          <w:tab/>
        </w:r>
        <w:r w:rsidR="00311ACD">
          <w:rPr>
            <w:noProof/>
            <w:webHidden/>
          </w:rPr>
          <w:fldChar w:fldCharType="begin"/>
        </w:r>
        <w:r w:rsidR="00311ACD">
          <w:rPr>
            <w:noProof/>
            <w:webHidden/>
          </w:rPr>
          <w:instrText xml:space="preserve"> PAGEREF _Toc485298030 \h </w:instrText>
        </w:r>
        <w:r w:rsidR="00311ACD">
          <w:rPr>
            <w:noProof/>
            <w:webHidden/>
          </w:rPr>
        </w:r>
        <w:r w:rsidR="00311ACD">
          <w:rPr>
            <w:noProof/>
            <w:webHidden/>
          </w:rPr>
          <w:fldChar w:fldCharType="separate"/>
        </w:r>
        <w:r w:rsidR="00311ACD">
          <w:rPr>
            <w:noProof/>
            <w:webHidden/>
          </w:rPr>
          <w:t>23</w:t>
        </w:r>
        <w:r w:rsidR="00311ACD">
          <w:rPr>
            <w:noProof/>
            <w:webHidden/>
          </w:rPr>
          <w:fldChar w:fldCharType="end"/>
        </w:r>
      </w:hyperlink>
    </w:p>
    <w:p w14:paraId="4584B36A" w14:textId="77777777" w:rsidR="00311ACD" w:rsidRDefault="0057293E">
      <w:pPr>
        <w:pStyle w:val="TOC2"/>
        <w:rPr>
          <w:rFonts w:eastAsiaTheme="minorEastAsia" w:cstheme="minorBidi"/>
          <w:i w:val="0"/>
          <w:iCs w:val="0"/>
          <w:noProof/>
          <w:sz w:val="22"/>
          <w:szCs w:val="22"/>
          <w:lang w:val="en-AU"/>
        </w:rPr>
      </w:pPr>
      <w:hyperlink w:anchor="_Toc485298031" w:history="1">
        <w:r w:rsidR="00311ACD" w:rsidRPr="00805B0D">
          <w:rPr>
            <w:rStyle w:val="Hyperlink"/>
            <w:noProof/>
          </w:rPr>
          <w:t>5.5</w:t>
        </w:r>
        <w:r w:rsidR="00311ACD">
          <w:rPr>
            <w:rFonts w:eastAsiaTheme="minorEastAsia" w:cstheme="minorBidi"/>
            <w:i w:val="0"/>
            <w:iCs w:val="0"/>
            <w:noProof/>
            <w:sz w:val="22"/>
            <w:szCs w:val="22"/>
            <w:lang w:val="en-AU"/>
          </w:rPr>
          <w:tab/>
        </w:r>
        <w:r w:rsidR="00311ACD" w:rsidRPr="00805B0D">
          <w:rPr>
            <w:rStyle w:val="Hyperlink"/>
            <w:noProof/>
          </w:rPr>
          <w:t>Tumour removal: Items 30321, 30323–4 and 36500</w:t>
        </w:r>
        <w:r w:rsidR="00311ACD">
          <w:rPr>
            <w:noProof/>
            <w:webHidden/>
          </w:rPr>
          <w:tab/>
        </w:r>
        <w:r w:rsidR="00311ACD">
          <w:rPr>
            <w:noProof/>
            <w:webHidden/>
          </w:rPr>
          <w:fldChar w:fldCharType="begin"/>
        </w:r>
        <w:r w:rsidR="00311ACD">
          <w:rPr>
            <w:noProof/>
            <w:webHidden/>
          </w:rPr>
          <w:instrText xml:space="preserve"> PAGEREF _Toc485298031 \h </w:instrText>
        </w:r>
        <w:r w:rsidR="00311ACD">
          <w:rPr>
            <w:noProof/>
            <w:webHidden/>
          </w:rPr>
        </w:r>
        <w:r w:rsidR="00311ACD">
          <w:rPr>
            <w:noProof/>
            <w:webHidden/>
          </w:rPr>
          <w:fldChar w:fldCharType="separate"/>
        </w:r>
        <w:r w:rsidR="00311ACD">
          <w:rPr>
            <w:noProof/>
            <w:webHidden/>
          </w:rPr>
          <w:t>24</w:t>
        </w:r>
        <w:r w:rsidR="00311ACD">
          <w:rPr>
            <w:noProof/>
            <w:webHidden/>
          </w:rPr>
          <w:fldChar w:fldCharType="end"/>
        </w:r>
      </w:hyperlink>
    </w:p>
    <w:p w14:paraId="0EE3CE11" w14:textId="77777777" w:rsidR="00311ACD" w:rsidRDefault="0057293E">
      <w:pPr>
        <w:pStyle w:val="TOC2"/>
        <w:rPr>
          <w:rFonts w:eastAsiaTheme="minorEastAsia" w:cstheme="minorBidi"/>
          <w:i w:val="0"/>
          <w:iCs w:val="0"/>
          <w:noProof/>
          <w:sz w:val="22"/>
          <w:szCs w:val="22"/>
          <w:lang w:val="en-AU"/>
        </w:rPr>
      </w:pPr>
      <w:hyperlink w:anchor="_Toc485298032" w:history="1">
        <w:r w:rsidR="00311ACD" w:rsidRPr="00805B0D">
          <w:rPr>
            <w:rStyle w:val="Hyperlink"/>
            <w:noProof/>
          </w:rPr>
          <w:t>5.6</w:t>
        </w:r>
        <w:r w:rsidR="00311ACD">
          <w:rPr>
            <w:rFonts w:eastAsiaTheme="minorEastAsia" w:cstheme="minorBidi"/>
            <w:i w:val="0"/>
            <w:iCs w:val="0"/>
            <w:noProof/>
            <w:sz w:val="22"/>
            <w:szCs w:val="22"/>
            <w:lang w:val="en-AU"/>
          </w:rPr>
          <w:tab/>
        </w:r>
        <w:r w:rsidR="00311ACD" w:rsidRPr="00805B0D">
          <w:rPr>
            <w:rStyle w:val="Hyperlink"/>
            <w:noProof/>
          </w:rPr>
          <w:t>Administration of thyrotropin alfa-rch: Item 12201</w:t>
        </w:r>
        <w:r w:rsidR="00311ACD">
          <w:rPr>
            <w:noProof/>
            <w:webHidden/>
          </w:rPr>
          <w:tab/>
        </w:r>
        <w:r w:rsidR="00311ACD">
          <w:rPr>
            <w:noProof/>
            <w:webHidden/>
          </w:rPr>
          <w:fldChar w:fldCharType="begin"/>
        </w:r>
        <w:r w:rsidR="00311ACD">
          <w:rPr>
            <w:noProof/>
            <w:webHidden/>
          </w:rPr>
          <w:instrText xml:space="preserve"> PAGEREF _Toc485298032 \h </w:instrText>
        </w:r>
        <w:r w:rsidR="00311ACD">
          <w:rPr>
            <w:noProof/>
            <w:webHidden/>
          </w:rPr>
        </w:r>
        <w:r w:rsidR="00311ACD">
          <w:rPr>
            <w:noProof/>
            <w:webHidden/>
          </w:rPr>
          <w:fldChar w:fldCharType="separate"/>
        </w:r>
        <w:r w:rsidR="00311ACD">
          <w:rPr>
            <w:noProof/>
            <w:webHidden/>
          </w:rPr>
          <w:t>25</w:t>
        </w:r>
        <w:r w:rsidR="00311ACD">
          <w:rPr>
            <w:noProof/>
            <w:webHidden/>
          </w:rPr>
          <w:fldChar w:fldCharType="end"/>
        </w:r>
      </w:hyperlink>
    </w:p>
    <w:p w14:paraId="54650C82" w14:textId="77777777" w:rsidR="00311ACD" w:rsidRDefault="0057293E">
      <w:pPr>
        <w:pStyle w:val="TOC2"/>
        <w:rPr>
          <w:rFonts w:eastAsiaTheme="minorEastAsia" w:cstheme="minorBidi"/>
          <w:i w:val="0"/>
          <w:iCs w:val="0"/>
          <w:noProof/>
          <w:sz w:val="22"/>
          <w:szCs w:val="22"/>
          <w:lang w:val="en-AU"/>
        </w:rPr>
      </w:pPr>
      <w:hyperlink w:anchor="_Toc485298033" w:history="1">
        <w:r w:rsidR="00311ACD" w:rsidRPr="00805B0D">
          <w:rPr>
            <w:rStyle w:val="Hyperlink"/>
            <w:noProof/>
          </w:rPr>
          <w:t>5.7</w:t>
        </w:r>
        <w:r w:rsidR="00311ACD">
          <w:rPr>
            <w:rFonts w:eastAsiaTheme="minorEastAsia" w:cstheme="minorBidi"/>
            <w:i w:val="0"/>
            <w:iCs w:val="0"/>
            <w:noProof/>
            <w:sz w:val="22"/>
            <w:szCs w:val="22"/>
            <w:lang w:val="en-AU"/>
          </w:rPr>
          <w:tab/>
        </w:r>
        <w:r w:rsidR="00311ACD" w:rsidRPr="00805B0D">
          <w:rPr>
            <w:rStyle w:val="Hyperlink"/>
            <w:noProof/>
          </w:rPr>
          <w:t>Broader issues</w:t>
        </w:r>
        <w:r w:rsidR="00311ACD">
          <w:rPr>
            <w:noProof/>
            <w:webHidden/>
          </w:rPr>
          <w:tab/>
        </w:r>
        <w:r w:rsidR="00311ACD">
          <w:rPr>
            <w:noProof/>
            <w:webHidden/>
          </w:rPr>
          <w:fldChar w:fldCharType="begin"/>
        </w:r>
        <w:r w:rsidR="00311ACD">
          <w:rPr>
            <w:noProof/>
            <w:webHidden/>
          </w:rPr>
          <w:instrText xml:space="preserve"> PAGEREF _Toc485298033 \h </w:instrText>
        </w:r>
        <w:r w:rsidR="00311ACD">
          <w:rPr>
            <w:noProof/>
            <w:webHidden/>
          </w:rPr>
        </w:r>
        <w:r w:rsidR="00311ACD">
          <w:rPr>
            <w:noProof/>
            <w:webHidden/>
          </w:rPr>
          <w:fldChar w:fldCharType="separate"/>
        </w:r>
        <w:r w:rsidR="00311ACD">
          <w:rPr>
            <w:noProof/>
            <w:webHidden/>
          </w:rPr>
          <w:t>26</w:t>
        </w:r>
        <w:r w:rsidR="00311ACD">
          <w:rPr>
            <w:noProof/>
            <w:webHidden/>
          </w:rPr>
          <w:fldChar w:fldCharType="end"/>
        </w:r>
      </w:hyperlink>
    </w:p>
    <w:p w14:paraId="439DC91E" w14:textId="77777777" w:rsidR="00311ACD" w:rsidRDefault="0057293E">
      <w:pPr>
        <w:pStyle w:val="TOC1"/>
        <w:tabs>
          <w:tab w:val="right" w:leader="dot" w:pos="9016"/>
        </w:tabs>
        <w:rPr>
          <w:rFonts w:eastAsiaTheme="minorEastAsia" w:cstheme="minorBidi"/>
          <w:bCs w:val="0"/>
          <w:noProof/>
          <w:sz w:val="22"/>
          <w:szCs w:val="22"/>
          <w:lang w:val="en-AU"/>
        </w:rPr>
      </w:pPr>
      <w:hyperlink w:anchor="_Toc485298034" w:history="1">
        <w:r w:rsidR="00311ACD" w:rsidRPr="00805B0D">
          <w:rPr>
            <w:rStyle w:val="Hyperlink"/>
            <w:noProof/>
          </w:rPr>
          <w:t>6.</w:t>
        </w:r>
        <w:r w:rsidR="00311ACD">
          <w:rPr>
            <w:rFonts w:eastAsiaTheme="minorEastAsia" w:cstheme="minorBidi"/>
            <w:bCs w:val="0"/>
            <w:noProof/>
            <w:sz w:val="22"/>
            <w:szCs w:val="22"/>
            <w:lang w:val="en-AU"/>
          </w:rPr>
          <w:tab/>
        </w:r>
        <w:r w:rsidR="00311ACD" w:rsidRPr="00805B0D">
          <w:rPr>
            <w:rStyle w:val="Hyperlink"/>
            <w:noProof/>
          </w:rPr>
          <w:t>Stakeholder impact statement</w:t>
        </w:r>
        <w:r w:rsidR="00311ACD">
          <w:rPr>
            <w:noProof/>
            <w:webHidden/>
          </w:rPr>
          <w:tab/>
        </w:r>
        <w:r w:rsidR="00311ACD">
          <w:rPr>
            <w:noProof/>
            <w:webHidden/>
          </w:rPr>
          <w:fldChar w:fldCharType="begin"/>
        </w:r>
        <w:r w:rsidR="00311ACD">
          <w:rPr>
            <w:noProof/>
            <w:webHidden/>
          </w:rPr>
          <w:instrText xml:space="preserve"> PAGEREF _Toc485298034 \h </w:instrText>
        </w:r>
        <w:r w:rsidR="00311ACD">
          <w:rPr>
            <w:noProof/>
            <w:webHidden/>
          </w:rPr>
        </w:r>
        <w:r w:rsidR="00311ACD">
          <w:rPr>
            <w:noProof/>
            <w:webHidden/>
          </w:rPr>
          <w:fldChar w:fldCharType="separate"/>
        </w:r>
        <w:r w:rsidR="00311ACD">
          <w:rPr>
            <w:noProof/>
            <w:webHidden/>
          </w:rPr>
          <w:t>27</w:t>
        </w:r>
        <w:r w:rsidR="00311ACD">
          <w:rPr>
            <w:noProof/>
            <w:webHidden/>
          </w:rPr>
          <w:fldChar w:fldCharType="end"/>
        </w:r>
      </w:hyperlink>
    </w:p>
    <w:p w14:paraId="17396156" w14:textId="77777777" w:rsidR="00311ACD" w:rsidRDefault="0057293E">
      <w:pPr>
        <w:pStyle w:val="TOC1"/>
        <w:tabs>
          <w:tab w:val="right" w:leader="dot" w:pos="9016"/>
        </w:tabs>
        <w:rPr>
          <w:rFonts w:eastAsiaTheme="minorEastAsia" w:cstheme="minorBidi"/>
          <w:bCs w:val="0"/>
          <w:noProof/>
          <w:sz w:val="22"/>
          <w:szCs w:val="22"/>
          <w:lang w:val="en-AU"/>
        </w:rPr>
      </w:pPr>
      <w:hyperlink w:anchor="_Toc485298035" w:history="1">
        <w:r w:rsidR="00311ACD" w:rsidRPr="00805B0D">
          <w:rPr>
            <w:rStyle w:val="Hyperlink"/>
            <w:noProof/>
          </w:rPr>
          <w:t>7.</w:t>
        </w:r>
        <w:r w:rsidR="00311ACD">
          <w:rPr>
            <w:rFonts w:eastAsiaTheme="minorEastAsia" w:cstheme="minorBidi"/>
            <w:bCs w:val="0"/>
            <w:noProof/>
            <w:sz w:val="22"/>
            <w:szCs w:val="22"/>
            <w:lang w:val="en-AU"/>
          </w:rPr>
          <w:tab/>
        </w:r>
        <w:r w:rsidR="00311ACD" w:rsidRPr="00805B0D">
          <w:rPr>
            <w:rStyle w:val="Hyperlink"/>
            <w:noProof/>
          </w:rPr>
          <w:t>References</w:t>
        </w:r>
        <w:r w:rsidR="00311ACD">
          <w:rPr>
            <w:noProof/>
            <w:webHidden/>
          </w:rPr>
          <w:tab/>
        </w:r>
        <w:r w:rsidR="00311ACD">
          <w:rPr>
            <w:noProof/>
            <w:webHidden/>
          </w:rPr>
          <w:fldChar w:fldCharType="begin"/>
        </w:r>
        <w:r w:rsidR="00311ACD">
          <w:rPr>
            <w:noProof/>
            <w:webHidden/>
          </w:rPr>
          <w:instrText xml:space="preserve"> PAGEREF _Toc485298035 \h </w:instrText>
        </w:r>
        <w:r w:rsidR="00311ACD">
          <w:rPr>
            <w:noProof/>
            <w:webHidden/>
          </w:rPr>
        </w:r>
        <w:r w:rsidR="00311ACD">
          <w:rPr>
            <w:noProof/>
            <w:webHidden/>
          </w:rPr>
          <w:fldChar w:fldCharType="separate"/>
        </w:r>
        <w:r w:rsidR="00311ACD">
          <w:rPr>
            <w:noProof/>
            <w:webHidden/>
          </w:rPr>
          <w:t>28</w:t>
        </w:r>
        <w:r w:rsidR="00311ACD">
          <w:rPr>
            <w:noProof/>
            <w:webHidden/>
          </w:rPr>
          <w:fldChar w:fldCharType="end"/>
        </w:r>
      </w:hyperlink>
    </w:p>
    <w:p w14:paraId="0F57E721" w14:textId="77777777" w:rsidR="00311ACD" w:rsidRDefault="0057293E">
      <w:pPr>
        <w:pStyle w:val="TOC1"/>
        <w:tabs>
          <w:tab w:val="left" w:pos="1474"/>
          <w:tab w:val="right" w:leader="dot" w:pos="9016"/>
        </w:tabs>
        <w:rPr>
          <w:rFonts w:eastAsiaTheme="minorEastAsia" w:cstheme="minorBidi"/>
          <w:bCs w:val="0"/>
          <w:noProof/>
          <w:sz w:val="22"/>
          <w:szCs w:val="22"/>
          <w:lang w:val="en-AU"/>
        </w:rPr>
      </w:pPr>
      <w:hyperlink w:anchor="_Toc485298036" w:history="1">
        <w:r w:rsidR="00311ACD" w:rsidRPr="00805B0D">
          <w:rPr>
            <w:rStyle w:val="Hyperlink"/>
            <w:noProof/>
          </w:rPr>
          <w:t>Appendix A -</w:t>
        </w:r>
        <w:r w:rsidR="00311ACD">
          <w:rPr>
            <w:rFonts w:eastAsiaTheme="minorEastAsia" w:cstheme="minorBidi"/>
            <w:bCs w:val="0"/>
            <w:noProof/>
            <w:sz w:val="22"/>
            <w:szCs w:val="22"/>
            <w:lang w:val="en-AU"/>
          </w:rPr>
          <w:tab/>
        </w:r>
        <w:r w:rsidR="00311ACD" w:rsidRPr="00805B0D">
          <w:rPr>
            <w:rStyle w:val="Hyperlink"/>
            <w:noProof/>
          </w:rPr>
          <w:t>Recommendations list</w:t>
        </w:r>
        <w:r w:rsidR="00311ACD">
          <w:rPr>
            <w:noProof/>
            <w:webHidden/>
          </w:rPr>
          <w:tab/>
        </w:r>
        <w:r w:rsidR="00311ACD">
          <w:rPr>
            <w:noProof/>
            <w:webHidden/>
          </w:rPr>
          <w:fldChar w:fldCharType="begin"/>
        </w:r>
        <w:r w:rsidR="00311ACD">
          <w:rPr>
            <w:noProof/>
            <w:webHidden/>
          </w:rPr>
          <w:instrText xml:space="preserve"> PAGEREF _Toc485298036 \h </w:instrText>
        </w:r>
        <w:r w:rsidR="00311ACD">
          <w:rPr>
            <w:noProof/>
            <w:webHidden/>
          </w:rPr>
        </w:r>
        <w:r w:rsidR="00311ACD">
          <w:rPr>
            <w:noProof/>
            <w:webHidden/>
          </w:rPr>
          <w:fldChar w:fldCharType="separate"/>
        </w:r>
        <w:r w:rsidR="00311ACD">
          <w:rPr>
            <w:noProof/>
            <w:webHidden/>
          </w:rPr>
          <w:t>30</w:t>
        </w:r>
        <w:r w:rsidR="00311ACD">
          <w:rPr>
            <w:noProof/>
            <w:webHidden/>
          </w:rPr>
          <w:fldChar w:fldCharType="end"/>
        </w:r>
      </w:hyperlink>
    </w:p>
    <w:p w14:paraId="3A4A8A05" w14:textId="77777777" w:rsidR="00311ACD" w:rsidRDefault="0057293E">
      <w:pPr>
        <w:pStyle w:val="TOC1"/>
        <w:tabs>
          <w:tab w:val="left" w:pos="1474"/>
          <w:tab w:val="right" w:leader="dot" w:pos="9016"/>
        </w:tabs>
        <w:rPr>
          <w:rFonts w:eastAsiaTheme="minorEastAsia" w:cstheme="minorBidi"/>
          <w:bCs w:val="0"/>
          <w:noProof/>
          <w:sz w:val="22"/>
          <w:szCs w:val="22"/>
          <w:lang w:val="en-AU"/>
        </w:rPr>
      </w:pPr>
      <w:hyperlink w:anchor="_Toc485298037" w:history="1">
        <w:r w:rsidR="00311ACD" w:rsidRPr="00805B0D">
          <w:rPr>
            <w:rStyle w:val="Hyperlink"/>
            <w:noProof/>
          </w:rPr>
          <w:t>Appendix B -</w:t>
        </w:r>
        <w:r w:rsidR="00311ACD">
          <w:rPr>
            <w:rFonts w:eastAsiaTheme="minorEastAsia" w:cstheme="minorBidi"/>
            <w:bCs w:val="0"/>
            <w:noProof/>
            <w:sz w:val="22"/>
            <w:szCs w:val="22"/>
            <w:lang w:val="en-AU"/>
          </w:rPr>
          <w:tab/>
        </w:r>
        <w:r w:rsidR="00311ACD" w:rsidRPr="00805B0D">
          <w:rPr>
            <w:rStyle w:val="Hyperlink"/>
            <w:noProof/>
          </w:rPr>
          <w:t>Glossary</w:t>
        </w:r>
        <w:r w:rsidR="00311ACD">
          <w:rPr>
            <w:noProof/>
            <w:webHidden/>
          </w:rPr>
          <w:tab/>
        </w:r>
        <w:r w:rsidR="00311ACD">
          <w:rPr>
            <w:noProof/>
            <w:webHidden/>
          </w:rPr>
          <w:fldChar w:fldCharType="begin"/>
        </w:r>
        <w:r w:rsidR="00311ACD">
          <w:rPr>
            <w:noProof/>
            <w:webHidden/>
          </w:rPr>
          <w:instrText xml:space="preserve"> PAGEREF _Toc485298037 \h </w:instrText>
        </w:r>
        <w:r w:rsidR="00311ACD">
          <w:rPr>
            <w:noProof/>
            <w:webHidden/>
          </w:rPr>
        </w:r>
        <w:r w:rsidR="00311ACD">
          <w:rPr>
            <w:noProof/>
            <w:webHidden/>
          </w:rPr>
          <w:fldChar w:fldCharType="separate"/>
        </w:r>
        <w:r w:rsidR="00311ACD">
          <w:rPr>
            <w:noProof/>
            <w:webHidden/>
          </w:rPr>
          <w:t>31</w:t>
        </w:r>
        <w:r w:rsidR="00311ACD">
          <w:rPr>
            <w:noProof/>
            <w:webHidden/>
          </w:rPr>
          <w:fldChar w:fldCharType="end"/>
        </w:r>
      </w:hyperlink>
    </w:p>
    <w:p w14:paraId="589DC206" w14:textId="77777777" w:rsidR="00311ACD" w:rsidRDefault="0057293E">
      <w:pPr>
        <w:pStyle w:val="TOC1"/>
        <w:tabs>
          <w:tab w:val="left" w:pos="1474"/>
          <w:tab w:val="right" w:leader="dot" w:pos="9016"/>
        </w:tabs>
        <w:rPr>
          <w:rFonts w:eastAsiaTheme="minorEastAsia" w:cstheme="minorBidi"/>
          <w:bCs w:val="0"/>
          <w:noProof/>
          <w:sz w:val="22"/>
          <w:szCs w:val="22"/>
          <w:lang w:val="en-AU"/>
        </w:rPr>
      </w:pPr>
      <w:hyperlink w:anchor="_Toc485298038" w:history="1">
        <w:r w:rsidR="00311ACD" w:rsidRPr="00805B0D">
          <w:rPr>
            <w:rStyle w:val="Hyperlink"/>
            <w:noProof/>
          </w:rPr>
          <w:t>Appendix C -</w:t>
        </w:r>
        <w:r w:rsidR="00311ACD">
          <w:rPr>
            <w:rFonts w:eastAsiaTheme="minorEastAsia" w:cstheme="minorBidi"/>
            <w:bCs w:val="0"/>
            <w:noProof/>
            <w:sz w:val="22"/>
            <w:szCs w:val="22"/>
            <w:lang w:val="en-AU"/>
          </w:rPr>
          <w:tab/>
        </w:r>
        <w:r w:rsidR="00311ACD" w:rsidRPr="00805B0D">
          <w:rPr>
            <w:rStyle w:val="Hyperlink"/>
            <w:noProof/>
          </w:rPr>
          <w:t>Summary for consumers</w:t>
        </w:r>
        <w:r w:rsidR="00311ACD">
          <w:rPr>
            <w:noProof/>
            <w:webHidden/>
          </w:rPr>
          <w:tab/>
        </w:r>
        <w:r w:rsidR="00311ACD">
          <w:rPr>
            <w:noProof/>
            <w:webHidden/>
          </w:rPr>
          <w:fldChar w:fldCharType="begin"/>
        </w:r>
        <w:r w:rsidR="00311ACD">
          <w:rPr>
            <w:noProof/>
            <w:webHidden/>
          </w:rPr>
          <w:instrText xml:space="preserve"> PAGEREF _Toc485298038 \h </w:instrText>
        </w:r>
        <w:r w:rsidR="00311ACD">
          <w:rPr>
            <w:noProof/>
            <w:webHidden/>
          </w:rPr>
        </w:r>
        <w:r w:rsidR="00311ACD">
          <w:rPr>
            <w:noProof/>
            <w:webHidden/>
          </w:rPr>
          <w:fldChar w:fldCharType="separate"/>
        </w:r>
        <w:r w:rsidR="00311ACD">
          <w:rPr>
            <w:noProof/>
            <w:webHidden/>
          </w:rPr>
          <w:t>33</w:t>
        </w:r>
        <w:r w:rsidR="00311ACD">
          <w:rPr>
            <w:noProof/>
            <w:webHidden/>
          </w:rPr>
          <w:fldChar w:fldCharType="end"/>
        </w:r>
      </w:hyperlink>
    </w:p>
    <w:p w14:paraId="372942B6" w14:textId="77777777" w:rsidR="00DF2D9E" w:rsidRPr="00E72750" w:rsidRDefault="00311ACD" w:rsidP="0047371C">
      <w:r>
        <w:rPr>
          <w:bCs/>
          <w:sz w:val="20"/>
          <w:szCs w:val="20"/>
        </w:rPr>
        <w:fldChar w:fldCharType="end"/>
      </w:r>
    </w:p>
    <w:p w14:paraId="44F1147D" w14:textId="77777777" w:rsidR="00262127" w:rsidRPr="00E72750" w:rsidRDefault="00262127" w:rsidP="0047371C">
      <w:r w:rsidRPr="00E72750">
        <w:br w:type="page"/>
      </w:r>
    </w:p>
    <w:p w14:paraId="6FABC71D" w14:textId="77777777" w:rsidR="005A0379" w:rsidRPr="004F57CE" w:rsidRDefault="005A0379" w:rsidP="0047371C">
      <w:pPr>
        <w:rPr>
          <w:b/>
          <w:color w:val="01653F"/>
          <w:sz w:val="32"/>
          <w:szCs w:val="32"/>
        </w:rPr>
      </w:pPr>
      <w:r w:rsidRPr="004F57CE">
        <w:rPr>
          <w:b/>
          <w:color w:val="01653F"/>
          <w:sz w:val="32"/>
          <w:szCs w:val="32"/>
        </w:rPr>
        <w:lastRenderedPageBreak/>
        <w:t>Tables</w:t>
      </w:r>
    </w:p>
    <w:p w14:paraId="2C029D38" w14:textId="77777777" w:rsidR="00AE62D5" w:rsidRPr="001F2080" w:rsidRDefault="00AE62D5">
      <w:pPr>
        <w:pStyle w:val="TableofFigures"/>
        <w:tabs>
          <w:tab w:val="right" w:leader="dot" w:pos="9016"/>
        </w:tabs>
        <w:rPr>
          <w:rFonts w:eastAsiaTheme="minorEastAsia" w:cstheme="minorBidi"/>
          <w:noProof/>
          <w:sz w:val="20"/>
          <w:lang w:val="en-AU"/>
        </w:rPr>
      </w:pPr>
      <w:r w:rsidRPr="001F2080">
        <w:rPr>
          <w:sz w:val="20"/>
        </w:rPr>
        <w:fldChar w:fldCharType="begin"/>
      </w:r>
      <w:r w:rsidRPr="001F2080">
        <w:rPr>
          <w:sz w:val="20"/>
        </w:rPr>
        <w:instrText xml:space="preserve"> TOC \h \z \c "Table" </w:instrText>
      </w:r>
      <w:r w:rsidRPr="001F2080">
        <w:rPr>
          <w:sz w:val="20"/>
        </w:rPr>
        <w:fldChar w:fldCharType="separate"/>
      </w:r>
      <w:hyperlink w:anchor="_Toc485127110" w:history="1">
        <w:r w:rsidRPr="001F2080">
          <w:rPr>
            <w:rStyle w:val="Hyperlink"/>
            <w:noProof/>
            <w:sz w:val="20"/>
          </w:rPr>
          <w:t>Table 1: Committee members</w:t>
        </w:r>
        <w:r w:rsidRPr="001F2080">
          <w:rPr>
            <w:noProof/>
            <w:webHidden/>
            <w:sz w:val="20"/>
          </w:rPr>
          <w:tab/>
        </w:r>
        <w:r w:rsidRPr="001F2080">
          <w:rPr>
            <w:noProof/>
            <w:webHidden/>
            <w:sz w:val="20"/>
          </w:rPr>
          <w:fldChar w:fldCharType="begin"/>
        </w:r>
        <w:r w:rsidRPr="001F2080">
          <w:rPr>
            <w:noProof/>
            <w:webHidden/>
            <w:sz w:val="20"/>
          </w:rPr>
          <w:instrText xml:space="preserve"> PAGEREF _Toc485127110 \h </w:instrText>
        </w:r>
        <w:r w:rsidRPr="001F2080">
          <w:rPr>
            <w:noProof/>
            <w:webHidden/>
            <w:sz w:val="20"/>
          </w:rPr>
        </w:r>
        <w:r w:rsidRPr="001F2080">
          <w:rPr>
            <w:noProof/>
            <w:webHidden/>
            <w:sz w:val="20"/>
          </w:rPr>
          <w:fldChar w:fldCharType="separate"/>
        </w:r>
        <w:r w:rsidR="00DC5AF7">
          <w:rPr>
            <w:noProof/>
            <w:webHidden/>
            <w:sz w:val="20"/>
          </w:rPr>
          <w:t>12</w:t>
        </w:r>
        <w:r w:rsidRPr="001F2080">
          <w:rPr>
            <w:noProof/>
            <w:webHidden/>
            <w:sz w:val="20"/>
          </w:rPr>
          <w:fldChar w:fldCharType="end"/>
        </w:r>
      </w:hyperlink>
    </w:p>
    <w:p w14:paraId="7B564694"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1" w:history="1">
        <w:r w:rsidR="00AE62D5" w:rsidRPr="001F2080">
          <w:rPr>
            <w:rStyle w:val="Hyperlink"/>
            <w:noProof/>
            <w:sz w:val="20"/>
          </w:rPr>
          <w:t>Table 2: Thyroid Stimulating Hormone (TSH), Thyroid Function Test (TFT) and Thyroid Antibodies Working Group members</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_Toc485127111 \h </w:instrText>
        </w:r>
        <w:r w:rsidR="00AE62D5" w:rsidRPr="001F2080">
          <w:rPr>
            <w:noProof/>
            <w:webHidden/>
            <w:sz w:val="20"/>
          </w:rPr>
        </w:r>
        <w:r w:rsidR="00AE62D5" w:rsidRPr="001F2080">
          <w:rPr>
            <w:noProof/>
            <w:webHidden/>
            <w:sz w:val="20"/>
          </w:rPr>
          <w:fldChar w:fldCharType="separate"/>
        </w:r>
        <w:r w:rsidR="00DC5AF7">
          <w:rPr>
            <w:noProof/>
            <w:webHidden/>
            <w:sz w:val="20"/>
          </w:rPr>
          <w:t>13</w:t>
        </w:r>
        <w:r w:rsidR="00AE62D5" w:rsidRPr="001F2080">
          <w:rPr>
            <w:noProof/>
            <w:webHidden/>
            <w:sz w:val="20"/>
          </w:rPr>
          <w:fldChar w:fldCharType="end"/>
        </w:r>
      </w:hyperlink>
    </w:p>
    <w:p w14:paraId="37DEA8C8"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2" w:history="1">
        <w:r w:rsidR="00AE62D5" w:rsidRPr="001F2080">
          <w:rPr>
            <w:rStyle w:val="Hyperlink"/>
            <w:noProof/>
            <w:sz w:val="20"/>
          </w:rPr>
          <w:t>Table 3: Thyroid Surgical Volumes and Outcomes Working Group members</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_Toc485127112 \h </w:instrText>
        </w:r>
        <w:r w:rsidR="00AE62D5" w:rsidRPr="001F2080">
          <w:rPr>
            <w:noProof/>
            <w:webHidden/>
            <w:sz w:val="20"/>
          </w:rPr>
        </w:r>
        <w:r w:rsidR="00AE62D5" w:rsidRPr="001F2080">
          <w:rPr>
            <w:noProof/>
            <w:webHidden/>
            <w:sz w:val="20"/>
          </w:rPr>
          <w:fldChar w:fldCharType="separate"/>
        </w:r>
        <w:r w:rsidR="00DC5AF7">
          <w:rPr>
            <w:noProof/>
            <w:webHidden/>
            <w:sz w:val="20"/>
          </w:rPr>
          <w:t>14</w:t>
        </w:r>
        <w:r w:rsidR="00AE62D5" w:rsidRPr="001F2080">
          <w:rPr>
            <w:noProof/>
            <w:webHidden/>
            <w:sz w:val="20"/>
          </w:rPr>
          <w:fldChar w:fldCharType="end"/>
        </w:r>
      </w:hyperlink>
    </w:p>
    <w:p w14:paraId="73FDD4CC"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3" w:history="1">
        <w:r w:rsidR="00AE62D5" w:rsidRPr="001F2080">
          <w:rPr>
            <w:rStyle w:val="Hyperlink"/>
            <w:noProof/>
            <w:sz w:val="20"/>
          </w:rPr>
          <w:t>Table 4: Item introduction table for items 30296-7, 30306 and 30308-10</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_Toc485127113 \h </w:instrText>
        </w:r>
        <w:r w:rsidR="00AE62D5" w:rsidRPr="001F2080">
          <w:rPr>
            <w:noProof/>
            <w:webHidden/>
            <w:sz w:val="20"/>
          </w:rPr>
        </w:r>
        <w:r w:rsidR="00AE62D5" w:rsidRPr="001F2080">
          <w:rPr>
            <w:noProof/>
            <w:webHidden/>
            <w:sz w:val="20"/>
          </w:rPr>
          <w:fldChar w:fldCharType="separate"/>
        </w:r>
        <w:r w:rsidR="00DC5AF7">
          <w:rPr>
            <w:noProof/>
            <w:webHidden/>
            <w:sz w:val="20"/>
          </w:rPr>
          <w:t>17</w:t>
        </w:r>
        <w:r w:rsidR="00AE62D5" w:rsidRPr="001F2080">
          <w:rPr>
            <w:noProof/>
            <w:webHidden/>
            <w:sz w:val="20"/>
          </w:rPr>
          <w:fldChar w:fldCharType="end"/>
        </w:r>
      </w:hyperlink>
    </w:p>
    <w:p w14:paraId="6BD995A3"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4" w:history="1">
        <w:r w:rsidR="00AE62D5" w:rsidRPr="001F2080">
          <w:rPr>
            <w:rStyle w:val="Hyperlink"/>
            <w:noProof/>
            <w:sz w:val="20"/>
          </w:rPr>
          <w:t>Table 5: Item introduction table for items 30315, 30317-8 and 30320</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_Toc485127114 \h </w:instrText>
        </w:r>
        <w:r w:rsidR="00AE62D5" w:rsidRPr="001F2080">
          <w:rPr>
            <w:noProof/>
            <w:webHidden/>
            <w:sz w:val="20"/>
          </w:rPr>
        </w:r>
        <w:r w:rsidR="00AE62D5" w:rsidRPr="001F2080">
          <w:rPr>
            <w:noProof/>
            <w:webHidden/>
            <w:sz w:val="20"/>
          </w:rPr>
          <w:fldChar w:fldCharType="separate"/>
        </w:r>
        <w:r w:rsidR="00DC5AF7">
          <w:rPr>
            <w:noProof/>
            <w:webHidden/>
            <w:sz w:val="20"/>
          </w:rPr>
          <w:t>20</w:t>
        </w:r>
        <w:r w:rsidR="00AE62D5" w:rsidRPr="001F2080">
          <w:rPr>
            <w:noProof/>
            <w:webHidden/>
            <w:sz w:val="20"/>
          </w:rPr>
          <w:fldChar w:fldCharType="end"/>
        </w:r>
      </w:hyperlink>
    </w:p>
    <w:p w14:paraId="154E6E0D"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5" w:history="1">
        <w:r w:rsidR="00AE62D5" w:rsidRPr="001F2080">
          <w:rPr>
            <w:rStyle w:val="Hyperlink"/>
            <w:noProof/>
            <w:sz w:val="20"/>
          </w:rPr>
          <w:t>Table 6: Item introduction table for item 30097</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_Toc485127115 \h </w:instrText>
        </w:r>
        <w:r w:rsidR="00AE62D5" w:rsidRPr="001F2080">
          <w:rPr>
            <w:noProof/>
            <w:webHidden/>
            <w:sz w:val="20"/>
          </w:rPr>
        </w:r>
        <w:r w:rsidR="00AE62D5" w:rsidRPr="001F2080">
          <w:rPr>
            <w:noProof/>
            <w:webHidden/>
            <w:sz w:val="20"/>
          </w:rPr>
          <w:fldChar w:fldCharType="separate"/>
        </w:r>
        <w:r w:rsidR="00DC5AF7">
          <w:rPr>
            <w:noProof/>
            <w:webHidden/>
            <w:sz w:val="20"/>
          </w:rPr>
          <w:t>21</w:t>
        </w:r>
        <w:r w:rsidR="00AE62D5" w:rsidRPr="001F2080">
          <w:rPr>
            <w:noProof/>
            <w:webHidden/>
            <w:sz w:val="20"/>
          </w:rPr>
          <w:fldChar w:fldCharType="end"/>
        </w:r>
      </w:hyperlink>
    </w:p>
    <w:p w14:paraId="7CE0A87C"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6" w:history="1">
        <w:r w:rsidR="00AE62D5" w:rsidRPr="001F2080">
          <w:rPr>
            <w:rStyle w:val="Hyperlink"/>
            <w:noProof/>
            <w:sz w:val="20"/>
          </w:rPr>
          <w:t>Table 7: Item introduction table for items 30313 and 30314</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_Toc485127116 \h </w:instrText>
        </w:r>
        <w:r w:rsidR="00AE62D5" w:rsidRPr="001F2080">
          <w:rPr>
            <w:noProof/>
            <w:webHidden/>
            <w:sz w:val="20"/>
          </w:rPr>
        </w:r>
        <w:r w:rsidR="00AE62D5" w:rsidRPr="001F2080">
          <w:rPr>
            <w:noProof/>
            <w:webHidden/>
            <w:sz w:val="20"/>
          </w:rPr>
          <w:fldChar w:fldCharType="separate"/>
        </w:r>
        <w:r w:rsidR="00DC5AF7">
          <w:rPr>
            <w:noProof/>
            <w:webHidden/>
            <w:sz w:val="20"/>
          </w:rPr>
          <w:t>22</w:t>
        </w:r>
        <w:r w:rsidR="00AE62D5" w:rsidRPr="001F2080">
          <w:rPr>
            <w:noProof/>
            <w:webHidden/>
            <w:sz w:val="20"/>
          </w:rPr>
          <w:fldChar w:fldCharType="end"/>
        </w:r>
      </w:hyperlink>
    </w:p>
    <w:p w14:paraId="51AC8CFD"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7" w:history="1">
        <w:r w:rsidR="00AE62D5" w:rsidRPr="001F2080">
          <w:rPr>
            <w:rStyle w:val="Hyperlink"/>
            <w:noProof/>
            <w:sz w:val="20"/>
          </w:rPr>
          <w:t>Table 8: Item introduction table for items 30321, 30323–4 and 36500</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_Toc485127117 \h </w:instrText>
        </w:r>
        <w:r w:rsidR="00AE62D5" w:rsidRPr="001F2080">
          <w:rPr>
            <w:noProof/>
            <w:webHidden/>
            <w:sz w:val="20"/>
          </w:rPr>
        </w:r>
        <w:r w:rsidR="00AE62D5" w:rsidRPr="001F2080">
          <w:rPr>
            <w:noProof/>
            <w:webHidden/>
            <w:sz w:val="20"/>
          </w:rPr>
          <w:fldChar w:fldCharType="separate"/>
        </w:r>
        <w:r w:rsidR="00DC5AF7">
          <w:rPr>
            <w:noProof/>
            <w:webHidden/>
            <w:sz w:val="20"/>
          </w:rPr>
          <w:t>23</w:t>
        </w:r>
        <w:r w:rsidR="00AE62D5" w:rsidRPr="001F2080">
          <w:rPr>
            <w:noProof/>
            <w:webHidden/>
            <w:sz w:val="20"/>
          </w:rPr>
          <w:fldChar w:fldCharType="end"/>
        </w:r>
      </w:hyperlink>
    </w:p>
    <w:p w14:paraId="63A9AE22"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18" w:history="1">
        <w:r w:rsidR="00AE62D5" w:rsidRPr="001F2080">
          <w:rPr>
            <w:rStyle w:val="Hyperlink"/>
            <w:noProof/>
            <w:sz w:val="20"/>
          </w:rPr>
          <w:t>Table 9: Item introduction table for item 12201</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_Toc485127118 \h </w:instrText>
        </w:r>
        <w:r w:rsidR="00AE62D5" w:rsidRPr="001F2080">
          <w:rPr>
            <w:noProof/>
            <w:webHidden/>
            <w:sz w:val="20"/>
          </w:rPr>
        </w:r>
        <w:r w:rsidR="00AE62D5" w:rsidRPr="001F2080">
          <w:rPr>
            <w:noProof/>
            <w:webHidden/>
            <w:sz w:val="20"/>
          </w:rPr>
          <w:fldChar w:fldCharType="separate"/>
        </w:r>
        <w:r w:rsidR="00DC5AF7">
          <w:rPr>
            <w:noProof/>
            <w:webHidden/>
            <w:sz w:val="20"/>
          </w:rPr>
          <w:t>24</w:t>
        </w:r>
        <w:r w:rsidR="00AE62D5" w:rsidRPr="001F2080">
          <w:rPr>
            <w:noProof/>
            <w:webHidden/>
            <w:sz w:val="20"/>
          </w:rPr>
          <w:fldChar w:fldCharType="end"/>
        </w:r>
      </w:hyperlink>
    </w:p>
    <w:p w14:paraId="7F8A4196" w14:textId="77777777" w:rsidR="00667684" w:rsidRPr="00E72750" w:rsidRDefault="00AE62D5" w:rsidP="0047371C">
      <w:r w:rsidRPr="001F2080">
        <w:rPr>
          <w:sz w:val="20"/>
          <w:szCs w:val="20"/>
        </w:rPr>
        <w:fldChar w:fldCharType="end"/>
      </w:r>
      <w:r w:rsidR="00667684" w:rsidRPr="00E72750">
        <w:br w:type="page"/>
      </w:r>
    </w:p>
    <w:p w14:paraId="760325A1" w14:textId="77777777" w:rsidR="001D57AF" w:rsidRPr="004F57CE" w:rsidRDefault="00014756" w:rsidP="0047371C">
      <w:pPr>
        <w:rPr>
          <w:b/>
          <w:color w:val="01653F"/>
          <w:sz w:val="32"/>
          <w:szCs w:val="32"/>
        </w:rPr>
      </w:pPr>
      <w:r w:rsidRPr="004F57CE">
        <w:rPr>
          <w:b/>
          <w:color w:val="01653F"/>
          <w:sz w:val="32"/>
          <w:szCs w:val="32"/>
        </w:rPr>
        <w:lastRenderedPageBreak/>
        <w:t xml:space="preserve">Figures </w:t>
      </w:r>
    </w:p>
    <w:p w14:paraId="71C7815A" w14:textId="77777777" w:rsidR="00AE62D5" w:rsidRPr="001F2080" w:rsidRDefault="00AE62D5">
      <w:pPr>
        <w:pStyle w:val="TableofFigures"/>
        <w:tabs>
          <w:tab w:val="right" w:leader="dot" w:pos="9016"/>
        </w:tabs>
        <w:rPr>
          <w:rFonts w:eastAsiaTheme="minorEastAsia" w:cstheme="minorBidi"/>
          <w:noProof/>
          <w:sz w:val="20"/>
          <w:lang w:val="en-AU"/>
        </w:rPr>
      </w:pPr>
      <w:r w:rsidRPr="001F2080">
        <w:rPr>
          <w:b/>
          <w:bCs/>
          <w:sz w:val="20"/>
        </w:rPr>
        <w:fldChar w:fldCharType="begin"/>
      </w:r>
      <w:r w:rsidRPr="001F2080">
        <w:rPr>
          <w:b/>
          <w:bCs/>
          <w:sz w:val="20"/>
        </w:rPr>
        <w:instrText xml:space="preserve"> TOC \h \z \t "60 exh normal,1" \c "Figure" </w:instrText>
      </w:r>
      <w:r w:rsidRPr="001F2080">
        <w:rPr>
          <w:b/>
          <w:bCs/>
          <w:sz w:val="20"/>
        </w:rPr>
        <w:fldChar w:fldCharType="separate"/>
      </w:r>
      <w:hyperlink w:anchor="_Toc485127171" w:history="1">
        <w:r w:rsidRPr="001F2080">
          <w:rPr>
            <w:rStyle w:val="Hyperlink"/>
            <w:noProof/>
            <w:sz w:val="20"/>
          </w:rPr>
          <w:t>Figure 1: Prioritisation matrix</w:t>
        </w:r>
        <w:r w:rsidRPr="001F2080">
          <w:rPr>
            <w:noProof/>
            <w:webHidden/>
            <w:sz w:val="20"/>
          </w:rPr>
          <w:tab/>
        </w:r>
        <w:r w:rsidRPr="001F2080">
          <w:rPr>
            <w:noProof/>
            <w:webHidden/>
            <w:sz w:val="20"/>
          </w:rPr>
          <w:fldChar w:fldCharType="begin"/>
        </w:r>
        <w:r w:rsidRPr="001F2080">
          <w:rPr>
            <w:noProof/>
            <w:webHidden/>
            <w:sz w:val="20"/>
          </w:rPr>
          <w:instrText xml:space="preserve"> PAGEREF _Toc485127171 \h </w:instrText>
        </w:r>
        <w:r w:rsidRPr="001F2080">
          <w:rPr>
            <w:noProof/>
            <w:webHidden/>
            <w:sz w:val="20"/>
          </w:rPr>
        </w:r>
        <w:r w:rsidRPr="001F2080">
          <w:rPr>
            <w:noProof/>
            <w:webHidden/>
            <w:sz w:val="20"/>
          </w:rPr>
          <w:fldChar w:fldCharType="separate"/>
        </w:r>
        <w:r w:rsidR="00DC5AF7">
          <w:rPr>
            <w:noProof/>
            <w:webHidden/>
            <w:sz w:val="20"/>
          </w:rPr>
          <w:t>11</w:t>
        </w:r>
        <w:r w:rsidRPr="001F2080">
          <w:rPr>
            <w:noProof/>
            <w:webHidden/>
            <w:sz w:val="20"/>
          </w:rPr>
          <w:fldChar w:fldCharType="end"/>
        </w:r>
      </w:hyperlink>
    </w:p>
    <w:p w14:paraId="0DBA613E"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72" w:history="1">
        <w:r w:rsidR="00AE62D5" w:rsidRPr="001F2080">
          <w:rPr>
            <w:rStyle w:val="Hyperlink"/>
            <w:noProof/>
            <w:sz w:val="20"/>
          </w:rPr>
          <w:t>Figure 2: Endocrinology items drivers of growth</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_Toc485127172 \h </w:instrText>
        </w:r>
        <w:r w:rsidR="00AE62D5" w:rsidRPr="001F2080">
          <w:rPr>
            <w:noProof/>
            <w:webHidden/>
            <w:sz w:val="20"/>
          </w:rPr>
        </w:r>
        <w:r w:rsidR="00AE62D5" w:rsidRPr="001F2080">
          <w:rPr>
            <w:noProof/>
            <w:webHidden/>
            <w:sz w:val="20"/>
          </w:rPr>
          <w:fldChar w:fldCharType="separate"/>
        </w:r>
        <w:r w:rsidR="00DC5AF7">
          <w:rPr>
            <w:noProof/>
            <w:webHidden/>
            <w:sz w:val="20"/>
          </w:rPr>
          <w:t>15</w:t>
        </w:r>
        <w:r w:rsidR="00AE62D5" w:rsidRPr="001F2080">
          <w:rPr>
            <w:noProof/>
            <w:webHidden/>
            <w:sz w:val="20"/>
          </w:rPr>
          <w:fldChar w:fldCharType="end"/>
        </w:r>
      </w:hyperlink>
    </w:p>
    <w:p w14:paraId="423151A1" w14:textId="77777777" w:rsidR="00AE62D5" w:rsidRPr="001F2080" w:rsidRDefault="0057293E">
      <w:pPr>
        <w:pStyle w:val="TableofFigures"/>
        <w:tabs>
          <w:tab w:val="right" w:leader="dot" w:pos="9016"/>
        </w:tabs>
        <w:rPr>
          <w:rFonts w:eastAsiaTheme="minorEastAsia" w:cstheme="minorBidi"/>
          <w:noProof/>
          <w:sz w:val="20"/>
          <w:lang w:val="en-AU"/>
        </w:rPr>
      </w:pPr>
      <w:hyperlink w:anchor="_Toc485127173" w:history="1">
        <w:r w:rsidR="00AE62D5" w:rsidRPr="001F2080">
          <w:rPr>
            <w:rStyle w:val="Hyperlink"/>
            <w:noProof/>
            <w:sz w:val="20"/>
          </w:rPr>
          <w:t>Figure 3: Endocrinology item groups</w:t>
        </w:r>
        <w:r w:rsidR="00AE62D5" w:rsidRPr="001F2080">
          <w:rPr>
            <w:noProof/>
            <w:webHidden/>
            <w:sz w:val="20"/>
          </w:rPr>
          <w:tab/>
        </w:r>
        <w:r w:rsidR="00AE62D5" w:rsidRPr="001F2080">
          <w:rPr>
            <w:noProof/>
            <w:webHidden/>
            <w:sz w:val="20"/>
          </w:rPr>
          <w:fldChar w:fldCharType="begin"/>
        </w:r>
        <w:r w:rsidR="00AE62D5" w:rsidRPr="001F2080">
          <w:rPr>
            <w:noProof/>
            <w:webHidden/>
            <w:sz w:val="20"/>
          </w:rPr>
          <w:instrText xml:space="preserve"> PAGEREF _Toc485127173 \h </w:instrText>
        </w:r>
        <w:r w:rsidR="00AE62D5" w:rsidRPr="001F2080">
          <w:rPr>
            <w:noProof/>
            <w:webHidden/>
            <w:sz w:val="20"/>
          </w:rPr>
        </w:r>
        <w:r w:rsidR="00AE62D5" w:rsidRPr="001F2080">
          <w:rPr>
            <w:noProof/>
            <w:webHidden/>
            <w:sz w:val="20"/>
          </w:rPr>
          <w:fldChar w:fldCharType="separate"/>
        </w:r>
        <w:r w:rsidR="00DC5AF7">
          <w:rPr>
            <w:noProof/>
            <w:webHidden/>
            <w:sz w:val="20"/>
          </w:rPr>
          <w:t>16</w:t>
        </w:r>
        <w:r w:rsidR="00AE62D5" w:rsidRPr="001F2080">
          <w:rPr>
            <w:noProof/>
            <w:webHidden/>
            <w:sz w:val="20"/>
          </w:rPr>
          <w:fldChar w:fldCharType="end"/>
        </w:r>
      </w:hyperlink>
    </w:p>
    <w:p w14:paraId="7915599D" w14:textId="77777777" w:rsidR="008F296B" w:rsidRPr="00E72750" w:rsidRDefault="00AE62D5" w:rsidP="0047371C">
      <w:r w:rsidRPr="001F2080">
        <w:rPr>
          <w:b/>
          <w:bCs/>
          <w:sz w:val="20"/>
          <w:szCs w:val="20"/>
        </w:rPr>
        <w:fldChar w:fldCharType="end"/>
      </w:r>
    </w:p>
    <w:p w14:paraId="431BCADB" w14:textId="77777777" w:rsidR="005A0379" w:rsidRPr="00E72750" w:rsidRDefault="005A0379" w:rsidP="0047371C"/>
    <w:p w14:paraId="1C41FFEA" w14:textId="77777777" w:rsidR="00667684" w:rsidRPr="00E72750" w:rsidRDefault="005A0379" w:rsidP="0047371C">
      <w:r w:rsidRPr="00E72750">
        <w:br w:type="page"/>
      </w:r>
    </w:p>
    <w:p w14:paraId="2B036B02" w14:textId="77777777" w:rsidR="0047371C" w:rsidRPr="00D759D5" w:rsidRDefault="0047371C" w:rsidP="00AE62D5">
      <w:pPr>
        <w:pStyle w:val="Heading1"/>
      </w:pPr>
      <w:bookmarkStart w:id="2" w:name="_Toc485126842"/>
      <w:bookmarkStart w:id="3" w:name="_Toc485126930"/>
      <w:bookmarkStart w:id="4" w:name="_Toc485298009"/>
      <w:bookmarkEnd w:id="1"/>
      <w:bookmarkEnd w:id="2"/>
      <w:bookmarkEnd w:id="3"/>
      <w:r w:rsidRPr="00082595">
        <w:lastRenderedPageBreak/>
        <w:t xml:space="preserve">Executive </w:t>
      </w:r>
      <w:r w:rsidRPr="00E75EE1">
        <w:t>Summary</w:t>
      </w:r>
      <w:bookmarkEnd w:id="4"/>
    </w:p>
    <w:p w14:paraId="3D2CEBA4" w14:textId="77777777" w:rsidR="00840CA9" w:rsidRPr="00B0157E" w:rsidRDefault="00840CA9" w:rsidP="00840CA9">
      <w:pPr>
        <w:rPr>
          <w:lang w:val="en-AU"/>
        </w:rPr>
      </w:pPr>
      <w:r w:rsidRPr="00B0157E">
        <w:rPr>
          <w:lang w:val="en-AU"/>
        </w:rPr>
        <w:t xml:space="preserve">The Medicare Benefits Schedule (MBS) Review Taskforce (the Taskforce) is undertaking a program of work that considers how more than 5,700 items on the MBS can be aligned with contemporary clinical evidence and practice </w:t>
      </w:r>
      <w:r>
        <w:rPr>
          <w:lang w:val="en-AU"/>
        </w:rPr>
        <w:t xml:space="preserve">and </w:t>
      </w:r>
      <w:r w:rsidRPr="00B0157E">
        <w:rPr>
          <w:lang w:val="en-AU"/>
        </w:rPr>
        <w:t>improve</w:t>
      </w:r>
      <w:r>
        <w:rPr>
          <w:lang w:val="en-AU"/>
        </w:rPr>
        <w:t>s</w:t>
      </w:r>
      <w:r w:rsidRPr="00B0157E">
        <w:rPr>
          <w:lang w:val="en-AU"/>
        </w:rPr>
        <w:t xml:space="preserve"> health outcomes for patients. The Taskforce </w:t>
      </w:r>
      <w:r>
        <w:rPr>
          <w:lang w:val="en-AU"/>
        </w:rPr>
        <w:t xml:space="preserve">will </w:t>
      </w:r>
      <w:r w:rsidRPr="00B0157E">
        <w:rPr>
          <w:lang w:val="en-AU"/>
        </w:rPr>
        <w:t xml:space="preserve">also seek to identify any services that may be unnecessary, outdated or potentially unsafe. </w:t>
      </w:r>
    </w:p>
    <w:p w14:paraId="7F58CA17" w14:textId="77777777" w:rsidR="00840CA9" w:rsidRPr="00B0157E" w:rsidRDefault="00840CA9" w:rsidP="00840CA9">
      <w:pPr>
        <w:rPr>
          <w:lang w:val="en-AU"/>
        </w:rPr>
      </w:pPr>
      <w:r w:rsidRPr="00B0157E">
        <w:rPr>
          <w:lang w:val="en-AU"/>
        </w:rPr>
        <w:t>The Taskforce is committed to providing recommendations to the Minister</w:t>
      </w:r>
      <w:r>
        <w:rPr>
          <w:lang w:val="en-AU"/>
        </w:rPr>
        <w:t xml:space="preserve"> for Health </w:t>
      </w:r>
      <w:r w:rsidRPr="00B0157E">
        <w:rPr>
          <w:lang w:val="en-AU"/>
        </w:rPr>
        <w:t xml:space="preserve">that will allow the MBS to deliver on </w:t>
      </w:r>
      <w:r>
        <w:rPr>
          <w:lang w:val="en-AU"/>
        </w:rPr>
        <w:t xml:space="preserve">each of </w:t>
      </w:r>
      <w:r w:rsidRPr="00B0157E">
        <w:rPr>
          <w:lang w:val="en-AU"/>
        </w:rPr>
        <w:t>the</w:t>
      </w:r>
      <w:r>
        <w:rPr>
          <w:lang w:val="en-AU"/>
        </w:rPr>
        <w:t>se</w:t>
      </w:r>
      <w:r w:rsidRPr="00B0157E">
        <w:rPr>
          <w:lang w:val="en-AU"/>
        </w:rPr>
        <w:t xml:space="preserve"> </w:t>
      </w:r>
      <w:r>
        <w:rPr>
          <w:lang w:val="en-AU"/>
        </w:rPr>
        <w:t>four</w:t>
      </w:r>
      <w:r w:rsidRPr="00B0157E">
        <w:rPr>
          <w:lang w:val="en-AU"/>
        </w:rPr>
        <w:t xml:space="preserve"> key goals:</w:t>
      </w:r>
    </w:p>
    <w:p w14:paraId="0C4DDA8E" w14:textId="77777777" w:rsidR="00840CA9" w:rsidRPr="00B0157E" w:rsidRDefault="00840CA9" w:rsidP="00840CA9">
      <w:pPr>
        <w:pStyle w:val="01squarebullet"/>
        <w:numPr>
          <w:ilvl w:val="0"/>
          <w:numId w:val="40"/>
        </w:numPr>
        <w:rPr>
          <w:lang w:val="en-AU"/>
        </w:rPr>
      </w:pPr>
      <w:r w:rsidRPr="00B0157E">
        <w:rPr>
          <w:lang w:val="en-AU"/>
        </w:rPr>
        <w:t>Affordable and universal access.</w:t>
      </w:r>
    </w:p>
    <w:p w14:paraId="21C6395A" w14:textId="77777777" w:rsidR="00840CA9" w:rsidRPr="00B0157E" w:rsidRDefault="00840CA9" w:rsidP="00840CA9">
      <w:pPr>
        <w:pStyle w:val="01squarebullet"/>
        <w:numPr>
          <w:ilvl w:val="0"/>
          <w:numId w:val="40"/>
        </w:numPr>
        <w:rPr>
          <w:lang w:val="en-AU"/>
        </w:rPr>
      </w:pPr>
      <w:r w:rsidRPr="00B0157E">
        <w:rPr>
          <w:lang w:val="en-AU"/>
        </w:rPr>
        <w:t>Best-practice health services.</w:t>
      </w:r>
    </w:p>
    <w:p w14:paraId="4C92FB46" w14:textId="77777777" w:rsidR="00840CA9" w:rsidRPr="00B0157E" w:rsidRDefault="00840CA9" w:rsidP="00840CA9">
      <w:pPr>
        <w:pStyle w:val="01squarebullet"/>
        <w:numPr>
          <w:ilvl w:val="0"/>
          <w:numId w:val="40"/>
        </w:numPr>
        <w:rPr>
          <w:lang w:val="en-AU"/>
        </w:rPr>
      </w:pPr>
      <w:r w:rsidRPr="00B0157E">
        <w:rPr>
          <w:lang w:val="en-AU"/>
        </w:rPr>
        <w:t>Value for the individual patient.</w:t>
      </w:r>
    </w:p>
    <w:p w14:paraId="3DBE9481" w14:textId="77777777" w:rsidR="00840CA9" w:rsidRPr="00B0157E" w:rsidRDefault="00840CA9" w:rsidP="00840CA9">
      <w:pPr>
        <w:pStyle w:val="01squarebullet"/>
        <w:numPr>
          <w:ilvl w:val="0"/>
          <w:numId w:val="40"/>
        </w:numPr>
        <w:rPr>
          <w:lang w:val="en-AU"/>
        </w:rPr>
      </w:pPr>
      <w:r w:rsidRPr="00B0157E">
        <w:rPr>
          <w:lang w:val="en-AU"/>
        </w:rPr>
        <w:t>Value for the health system.</w:t>
      </w:r>
    </w:p>
    <w:p w14:paraId="5353FE2A" w14:textId="77777777" w:rsidR="00840CA9" w:rsidRPr="00A56FA9" w:rsidRDefault="00840CA9" w:rsidP="00840CA9">
      <w:pPr>
        <w:rPr>
          <w:lang w:val="en-AU"/>
        </w:rPr>
      </w:pPr>
      <w:r w:rsidRPr="00A56FA9">
        <w:rPr>
          <w:lang w:val="en-AU"/>
        </w:rPr>
        <w:t>The Taskforce has endorsed a methodology whereby the necessary clinical review of MBS items is</w:t>
      </w:r>
      <w:r>
        <w:rPr>
          <w:lang w:val="en-AU"/>
        </w:rPr>
        <w:t xml:space="preserve"> </w:t>
      </w:r>
      <w:r w:rsidRPr="00A56FA9">
        <w:rPr>
          <w:lang w:val="en-AU"/>
        </w:rPr>
        <w:t>undertaken by Clinical Committees and Working Groups. The Taskforce has asked the Clinical</w:t>
      </w:r>
      <w:r>
        <w:rPr>
          <w:lang w:val="en-AU"/>
        </w:rPr>
        <w:t xml:space="preserve"> </w:t>
      </w:r>
      <w:r w:rsidRPr="00A56FA9">
        <w:rPr>
          <w:lang w:val="en-AU"/>
        </w:rPr>
        <w:t>Committees to undertake the following tasks:</w:t>
      </w:r>
    </w:p>
    <w:p w14:paraId="584A8146" w14:textId="77777777" w:rsidR="00840CA9" w:rsidRPr="00B46A6E" w:rsidRDefault="00840CA9" w:rsidP="00840CA9">
      <w:pPr>
        <w:pStyle w:val="ListParagraph"/>
        <w:numPr>
          <w:ilvl w:val="0"/>
          <w:numId w:val="41"/>
        </w:numPr>
        <w:rPr>
          <w:lang w:val="en-AU"/>
        </w:rPr>
      </w:pPr>
      <w:r w:rsidRPr="00B46A6E">
        <w:rPr>
          <w:lang w:val="en-AU"/>
        </w:rPr>
        <w:t>Consider whether there are MBS items that are obsolete and should be removed from the MBS.</w:t>
      </w:r>
    </w:p>
    <w:p w14:paraId="3D4E4979" w14:textId="77777777" w:rsidR="00840CA9" w:rsidRPr="00B46A6E" w:rsidRDefault="00840CA9" w:rsidP="00840CA9">
      <w:pPr>
        <w:pStyle w:val="ListParagraph"/>
        <w:numPr>
          <w:ilvl w:val="0"/>
          <w:numId w:val="41"/>
        </w:numPr>
        <w:rPr>
          <w:lang w:val="en-AU"/>
        </w:rPr>
      </w:pPr>
      <w:r w:rsidRPr="00B46A6E">
        <w:rPr>
          <w:lang w:val="en-AU"/>
        </w:rPr>
        <w:t>Consider identified priority reviews of selected MBS services.</w:t>
      </w:r>
    </w:p>
    <w:p w14:paraId="7F658823" w14:textId="77777777" w:rsidR="00840CA9" w:rsidRPr="00B46A6E" w:rsidRDefault="00840CA9" w:rsidP="00840CA9">
      <w:pPr>
        <w:pStyle w:val="ListParagraph"/>
        <w:numPr>
          <w:ilvl w:val="0"/>
          <w:numId w:val="41"/>
        </w:numPr>
        <w:rPr>
          <w:lang w:val="en-AU"/>
        </w:rPr>
      </w:pPr>
      <w:r w:rsidRPr="00B46A6E">
        <w:rPr>
          <w:lang w:val="en-AU"/>
        </w:rPr>
        <w:t>Develop a program of work to consider the balance of MBS services within its remit and items</w:t>
      </w:r>
      <w:r>
        <w:rPr>
          <w:lang w:val="en-AU"/>
        </w:rPr>
        <w:t xml:space="preserve"> </w:t>
      </w:r>
      <w:r w:rsidRPr="00B46A6E">
        <w:rPr>
          <w:lang w:val="en-AU"/>
        </w:rPr>
        <w:t>assigned to the Committee.</w:t>
      </w:r>
    </w:p>
    <w:p w14:paraId="7524971B" w14:textId="77777777" w:rsidR="00840CA9" w:rsidRPr="00B46A6E" w:rsidRDefault="00840CA9" w:rsidP="00840CA9">
      <w:pPr>
        <w:pStyle w:val="ListParagraph"/>
        <w:numPr>
          <w:ilvl w:val="0"/>
          <w:numId w:val="41"/>
        </w:numPr>
        <w:rPr>
          <w:lang w:val="en-AU"/>
        </w:rPr>
      </w:pPr>
      <w:r w:rsidRPr="00B46A6E">
        <w:rPr>
          <w:lang w:val="en-AU"/>
        </w:rPr>
        <w:t xml:space="preserve">Advise the Taskforce on relevant general MBS issues identified by the Committee </w:t>
      </w:r>
      <w:proofErr w:type="gramStart"/>
      <w:r w:rsidRPr="00B46A6E">
        <w:rPr>
          <w:lang w:val="en-AU"/>
        </w:rPr>
        <w:t>in the course</w:t>
      </w:r>
      <w:r>
        <w:rPr>
          <w:lang w:val="en-AU"/>
        </w:rPr>
        <w:t xml:space="preserve"> </w:t>
      </w:r>
      <w:r w:rsidRPr="00B46A6E">
        <w:rPr>
          <w:lang w:val="en-AU"/>
        </w:rPr>
        <w:t>of</w:t>
      </w:r>
      <w:proofErr w:type="gramEnd"/>
      <w:r w:rsidRPr="00B46A6E">
        <w:rPr>
          <w:lang w:val="en-AU"/>
        </w:rPr>
        <w:t xml:space="preserve"> its deliberations.</w:t>
      </w:r>
    </w:p>
    <w:p w14:paraId="17C5D255" w14:textId="77777777" w:rsidR="00840CA9" w:rsidRPr="00A56FA9" w:rsidRDefault="00840CA9" w:rsidP="00840CA9">
      <w:pPr>
        <w:rPr>
          <w:lang w:val="en-AU"/>
        </w:rPr>
      </w:pPr>
      <w:r w:rsidRPr="00A56FA9">
        <w:rPr>
          <w:lang w:val="en-AU"/>
        </w:rPr>
        <w:t>The recommendations from the Clinical Committees are released for stakeholder consultation. The</w:t>
      </w:r>
      <w:r>
        <w:rPr>
          <w:lang w:val="en-AU"/>
        </w:rPr>
        <w:t xml:space="preserve"> </w:t>
      </w:r>
      <w:r w:rsidRPr="00A56FA9">
        <w:rPr>
          <w:lang w:val="en-AU"/>
        </w:rPr>
        <w:t>Clinical Committees will consider feedback from stakeholders and then provide recommendations to</w:t>
      </w:r>
      <w:r>
        <w:rPr>
          <w:lang w:val="en-AU"/>
        </w:rPr>
        <w:t xml:space="preserve"> </w:t>
      </w:r>
      <w:r w:rsidRPr="00A56FA9">
        <w:rPr>
          <w:lang w:val="en-AU"/>
        </w:rPr>
        <w:t>the Taskforce in a Review Report. The Taskforce will consider the Review Report from Clinical</w:t>
      </w:r>
      <w:r>
        <w:rPr>
          <w:lang w:val="en-AU"/>
        </w:rPr>
        <w:t xml:space="preserve"> </w:t>
      </w:r>
      <w:r w:rsidRPr="00A56FA9">
        <w:rPr>
          <w:lang w:val="en-AU"/>
        </w:rPr>
        <w:t xml:space="preserve">Committees and stakeholder feedback before making recommendations to the Minister </w:t>
      </w:r>
      <w:r>
        <w:rPr>
          <w:lang w:val="en-AU"/>
        </w:rPr>
        <w:t xml:space="preserve">for Health, </w:t>
      </w:r>
      <w:r w:rsidRPr="00A56FA9">
        <w:rPr>
          <w:lang w:val="en-AU"/>
        </w:rPr>
        <w:t>for</w:t>
      </w:r>
      <w:r>
        <w:rPr>
          <w:lang w:val="en-AU"/>
        </w:rPr>
        <w:t xml:space="preserve"> </w:t>
      </w:r>
      <w:r w:rsidRPr="00A56FA9">
        <w:rPr>
          <w:lang w:val="en-AU"/>
        </w:rPr>
        <w:t>consideration by Government.</w:t>
      </w:r>
    </w:p>
    <w:p w14:paraId="1B22D388" w14:textId="77777777" w:rsidR="00C73F28" w:rsidRPr="00E72750" w:rsidRDefault="00840CA9" w:rsidP="00AE62D5">
      <w:pPr>
        <w:pStyle w:val="Heading2"/>
      </w:pPr>
      <w:bookmarkStart w:id="5" w:name="_Toc485126932"/>
      <w:bookmarkStart w:id="6" w:name="_Toc485126933"/>
      <w:bookmarkStart w:id="7" w:name="_Toc485126934"/>
      <w:bookmarkStart w:id="8" w:name="_Toc485126935"/>
      <w:bookmarkStart w:id="9" w:name="_Toc485126936"/>
      <w:bookmarkStart w:id="10" w:name="_Toc485126937"/>
      <w:bookmarkStart w:id="11" w:name="_Toc485126938"/>
      <w:bookmarkStart w:id="12" w:name="_Toc485126939"/>
      <w:bookmarkStart w:id="13" w:name="_Toc485126940"/>
      <w:bookmarkStart w:id="14" w:name="_Toc485298010"/>
      <w:bookmarkEnd w:id="5"/>
      <w:bookmarkEnd w:id="6"/>
      <w:bookmarkEnd w:id="7"/>
      <w:bookmarkEnd w:id="8"/>
      <w:bookmarkEnd w:id="9"/>
      <w:bookmarkEnd w:id="10"/>
      <w:bookmarkEnd w:id="11"/>
      <w:bookmarkEnd w:id="12"/>
      <w:bookmarkEnd w:id="13"/>
      <w:r>
        <w:t>Areas of responsibility of t</w:t>
      </w:r>
      <w:r w:rsidR="00042D8E" w:rsidRPr="00E72750">
        <w:t>he Endocrinology Clinical Committee</w:t>
      </w:r>
      <w:bookmarkEnd w:id="14"/>
    </w:p>
    <w:p w14:paraId="2219DB47" w14:textId="77777777" w:rsidR="00A22D20" w:rsidRPr="00E72750" w:rsidRDefault="00591E8F" w:rsidP="0047371C">
      <w:r w:rsidRPr="00E72750">
        <w:t xml:space="preserve">The Endocrinology Clinical Committee (the Committee) was established in April 2016 to make recommendations to the Taskforce </w:t>
      </w:r>
      <w:r w:rsidR="00A200FC" w:rsidRPr="00E72750">
        <w:t xml:space="preserve">regarding </w:t>
      </w:r>
      <w:r w:rsidRPr="00E72750">
        <w:t xml:space="preserve">MBS items in its area of responsibility, based on rapid evidence review and clinical expertise. </w:t>
      </w:r>
      <w:r w:rsidR="00BB5DB2" w:rsidRPr="00E72750">
        <w:t xml:space="preserve">The </w:t>
      </w:r>
      <w:r w:rsidR="001F7A1B" w:rsidRPr="00E72750">
        <w:t xml:space="preserve">Taskforce asked the </w:t>
      </w:r>
      <w:r w:rsidR="00BB5DB2" w:rsidRPr="00E72750">
        <w:t>Committee</w:t>
      </w:r>
      <w:r w:rsidR="00AB763E" w:rsidRPr="00E72750">
        <w:t xml:space="preserve"> </w:t>
      </w:r>
      <w:r w:rsidR="002A22D9">
        <w:t>to review endocrinology</w:t>
      </w:r>
      <w:r w:rsidR="00BB5DB2" w:rsidRPr="00E72750">
        <w:t xml:space="preserve">-related items. </w:t>
      </w:r>
    </w:p>
    <w:p w14:paraId="54FE0896" w14:textId="77777777" w:rsidR="00512F2C" w:rsidRPr="00E72750" w:rsidRDefault="00BB5DB2" w:rsidP="0047371C">
      <w:r w:rsidRPr="00E72750">
        <w:t>The Committee</w:t>
      </w:r>
      <w:r w:rsidR="002A22D9">
        <w:t xml:space="preserve"> reviewed 17 endocrinology</w:t>
      </w:r>
      <w:r w:rsidR="000145E5">
        <w:t xml:space="preserve"> items. </w:t>
      </w:r>
      <w:r w:rsidR="002B5C09" w:rsidRPr="00E72750">
        <w:t>An inclusive set of s</w:t>
      </w:r>
      <w:r w:rsidR="00DF1386" w:rsidRPr="00E72750">
        <w:t xml:space="preserve">takeholders </w:t>
      </w:r>
      <w:r w:rsidR="002B5C09" w:rsidRPr="00E72750">
        <w:t>is now engaged in consultation</w:t>
      </w:r>
      <w:r w:rsidR="00123D6D" w:rsidRPr="00E72750">
        <w:t xml:space="preserve"> on the recommendations</w:t>
      </w:r>
      <w:r w:rsidR="003F11D0" w:rsidRPr="00E72750">
        <w:t xml:space="preserve"> outlined in </w:t>
      </w:r>
      <w:r w:rsidR="00DB073F" w:rsidRPr="00E72750">
        <w:t>this</w:t>
      </w:r>
      <w:r w:rsidR="003F11D0" w:rsidRPr="00E72750">
        <w:t xml:space="preserve"> report</w:t>
      </w:r>
      <w:r w:rsidR="00123D6D" w:rsidRPr="00E72750">
        <w:t>.</w:t>
      </w:r>
      <w:r w:rsidR="002B5C09" w:rsidRPr="00E72750">
        <w:t xml:space="preserve"> </w:t>
      </w:r>
      <w:r w:rsidR="003455FB" w:rsidRPr="00E72750">
        <w:t xml:space="preserve">Following this period of consultation, the recommendations will be </w:t>
      </w:r>
      <w:r w:rsidR="00DF1386" w:rsidRPr="00E72750">
        <w:t>finalis</w:t>
      </w:r>
      <w:r w:rsidR="003455FB" w:rsidRPr="00E72750">
        <w:t>ed</w:t>
      </w:r>
      <w:r w:rsidR="00DF1386" w:rsidRPr="00E72750">
        <w:t xml:space="preserve"> and present</w:t>
      </w:r>
      <w:r w:rsidR="003455FB" w:rsidRPr="00E72750">
        <w:t>ed</w:t>
      </w:r>
      <w:r w:rsidR="00DF1386" w:rsidRPr="00E72750">
        <w:t xml:space="preserve"> to the Taskforce. </w:t>
      </w:r>
      <w:r w:rsidR="003253A9" w:rsidRPr="00E72750">
        <w:t xml:space="preserve">The </w:t>
      </w:r>
      <w:r w:rsidR="00F82BCD" w:rsidRPr="00E72750">
        <w:t>T</w:t>
      </w:r>
      <w:r w:rsidR="003253A9" w:rsidRPr="00E72750">
        <w:t xml:space="preserve">askforce will consider the </w:t>
      </w:r>
      <w:r w:rsidR="00721A71" w:rsidRPr="00E72750">
        <w:t>report</w:t>
      </w:r>
      <w:r w:rsidR="003253A9" w:rsidRPr="00E72750">
        <w:t xml:space="preserve"> and stakeholder feedback before making recommendations to the Minister for </w:t>
      </w:r>
      <w:r w:rsidR="00CC2696" w:rsidRPr="00E72750">
        <w:t>Health</w:t>
      </w:r>
      <w:r w:rsidR="004A4ECC" w:rsidRPr="00E72750">
        <w:t xml:space="preserve"> </w:t>
      </w:r>
      <w:r w:rsidR="00CC2696" w:rsidRPr="00E72750">
        <w:t xml:space="preserve">for </w:t>
      </w:r>
      <w:r w:rsidR="003253A9" w:rsidRPr="00E72750">
        <w:t>consideration by</w:t>
      </w:r>
      <w:r w:rsidR="00E91D13" w:rsidRPr="00E72750">
        <w:t xml:space="preserve"> the</w:t>
      </w:r>
      <w:r w:rsidR="003253A9" w:rsidRPr="00E72750">
        <w:t xml:space="preserve"> Government.</w:t>
      </w:r>
      <w:r w:rsidR="00CC0E88" w:rsidRPr="00E72750">
        <w:t xml:space="preserve"> </w:t>
      </w:r>
    </w:p>
    <w:p w14:paraId="309C3B82" w14:textId="77777777" w:rsidR="00C72869" w:rsidRPr="00E72750" w:rsidRDefault="00840CA9" w:rsidP="00AE62D5">
      <w:pPr>
        <w:pStyle w:val="Heading2"/>
      </w:pPr>
      <w:bookmarkStart w:id="15" w:name="_Toc485298011"/>
      <w:r>
        <w:t>Key r</w:t>
      </w:r>
      <w:r w:rsidR="00276436" w:rsidRPr="00E72750">
        <w:t>e</w:t>
      </w:r>
      <w:r w:rsidR="004963B8" w:rsidRPr="00E72750">
        <w:t>commendations</w:t>
      </w:r>
      <w:bookmarkEnd w:id="15"/>
    </w:p>
    <w:p w14:paraId="74A3BBF8" w14:textId="77777777" w:rsidR="00512F2C" w:rsidRPr="00E72750" w:rsidRDefault="00D83CD5" w:rsidP="0047371C">
      <w:r w:rsidRPr="00E72750">
        <w:t>T</w:t>
      </w:r>
      <w:r w:rsidR="0033471B" w:rsidRPr="00E72750">
        <w:t>he</w:t>
      </w:r>
      <w:r w:rsidR="009928F2" w:rsidRPr="00E72750">
        <w:t xml:space="preserve"> Committee</w:t>
      </w:r>
      <w:r w:rsidR="00F03D0C" w:rsidRPr="00E72750">
        <w:t xml:space="preserve"> has highlighted its most important</w:t>
      </w:r>
      <w:r w:rsidR="0033471B" w:rsidRPr="00E72750">
        <w:t xml:space="preserve"> recommendations </w:t>
      </w:r>
      <w:r w:rsidRPr="00E72750">
        <w:t>below</w:t>
      </w:r>
      <w:r w:rsidR="0033471B" w:rsidRPr="00E72750">
        <w:t>.</w:t>
      </w:r>
      <w:r w:rsidR="00666034" w:rsidRPr="00E72750">
        <w:t xml:space="preserve"> The</w:t>
      </w:r>
      <w:r w:rsidR="0033471B" w:rsidRPr="00E72750">
        <w:t xml:space="preserve"> </w:t>
      </w:r>
      <w:r w:rsidR="00666034" w:rsidRPr="00E72750">
        <w:t>complete r</w:t>
      </w:r>
      <w:r w:rsidR="0096508F" w:rsidRPr="00E72750">
        <w:t>ecommendations (and their accompanying</w:t>
      </w:r>
      <w:r w:rsidR="0033471B" w:rsidRPr="00E72750">
        <w:t xml:space="preserve"> rationale</w:t>
      </w:r>
      <w:r w:rsidR="0096508F" w:rsidRPr="00E72750">
        <w:t>s)</w:t>
      </w:r>
      <w:r w:rsidR="0033471B" w:rsidRPr="00E72750">
        <w:t xml:space="preserve"> </w:t>
      </w:r>
      <w:r w:rsidR="0096508F" w:rsidRPr="00E72750">
        <w:t>for all items</w:t>
      </w:r>
      <w:r w:rsidR="00256AEF" w:rsidRPr="00E72750">
        <w:t xml:space="preserve"> can be found </w:t>
      </w:r>
      <w:r w:rsidR="003B216F" w:rsidRPr="00E72750">
        <w:t>in S</w:t>
      </w:r>
      <w:r w:rsidR="00256AEF" w:rsidRPr="00E72750">
        <w:t xml:space="preserve">ection </w:t>
      </w:r>
      <w:r w:rsidR="00AD48EB">
        <w:t>5</w:t>
      </w:r>
      <w:r w:rsidR="00EF6E06" w:rsidRPr="00E72750">
        <w:t>.</w:t>
      </w:r>
      <w:r w:rsidR="009F2A96" w:rsidRPr="0098127F">
        <w:rPr>
          <w:rStyle w:val="FootnoteReference"/>
        </w:rPr>
        <w:footnoteReference w:id="1"/>
      </w:r>
      <w:r w:rsidR="001243E6" w:rsidRPr="00E72750">
        <w:t xml:space="preserve"> A </w:t>
      </w:r>
      <w:r w:rsidR="001243E6" w:rsidRPr="00E72750">
        <w:lastRenderedPageBreak/>
        <w:t>complete list of items, the nature of the recommendations can be found</w:t>
      </w:r>
      <w:r w:rsidR="00335277" w:rsidRPr="00E72750">
        <w:t xml:space="preserve"> in </w:t>
      </w:r>
      <w:r w:rsidR="00A67CAE" w:rsidRPr="00E72750">
        <w:t>A</w:t>
      </w:r>
      <w:r w:rsidR="00335277" w:rsidRPr="00E72750">
        <w:t>ppendi</w:t>
      </w:r>
      <w:r w:rsidR="000145E5">
        <w:t>x</w:t>
      </w:r>
      <w:r w:rsidR="00335277" w:rsidRPr="00E72750">
        <w:t xml:space="preserve"> A </w:t>
      </w:r>
      <w:r w:rsidR="00F716FC" w:rsidRPr="00E72750">
        <w:t>(</w:t>
      </w:r>
      <w:r w:rsidR="00E25724" w:rsidRPr="00E72750">
        <w:t>in table summary form</w:t>
      </w:r>
      <w:r w:rsidR="00F716FC" w:rsidRPr="00E72750">
        <w:t>)</w:t>
      </w:r>
      <w:r w:rsidR="00E25724" w:rsidRPr="00E72750">
        <w:t>.</w:t>
      </w:r>
    </w:p>
    <w:p w14:paraId="486F1FD1" w14:textId="77777777" w:rsidR="00E102E4" w:rsidRPr="00E72750" w:rsidRDefault="003A5665" w:rsidP="0047371C">
      <w:r w:rsidRPr="00E72750">
        <w:t>The Committee</w:t>
      </w:r>
      <w:r w:rsidR="00812911" w:rsidRPr="00E72750">
        <w:t>’s</w:t>
      </w:r>
      <w:r w:rsidRPr="00E72750">
        <w:t xml:space="preserve"> </w:t>
      </w:r>
      <w:r w:rsidR="00CF3B17" w:rsidRPr="00E72750">
        <w:t>recommend</w:t>
      </w:r>
      <w:r w:rsidR="00ED277D" w:rsidRPr="00E72750">
        <w:t xml:space="preserve">ations </w:t>
      </w:r>
      <w:r w:rsidR="002E0105">
        <w:t>for stakeholder consultation are</w:t>
      </w:r>
      <w:r w:rsidR="00B90DF0">
        <w:t xml:space="preserve"> that one</w:t>
      </w:r>
      <w:r w:rsidR="00D63083" w:rsidRPr="00E72750">
        <w:t xml:space="preserve"> </w:t>
      </w:r>
      <w:r w:rsidR="002E0105">
        <w:t>item</w:t>
      </w:r>
      <w:r w:rsidR="00A33574" w:rsidRPr="00E72750">
        <w:t xml:space="preserve"> should</w:t>
      </w:r>
      <w:r w:rsidR="004E4623">
        <w:t xml:space="preserve"> be deleted</w:t>
      </w:r>
      <w:r w:rsidR="00533BAE">
        <w:rPr>
          <w:rStyle w:val="FootnoteReference"/>
        </w:rPr>
        <w:footnoteReference w:id="2"/>
      </w:r>
      <w:r w:rsidR="00B90DF0">
        <w:t xml:space="preserve"> and its</w:t>
      </w:r>
      <w:r w:rsidR="004E4623">
        <w:t xml:space="preserve"> services should no longer be provided under the MBS</w:t>
      </w:r>
      <w:r w:rsidR="009F79D5" w:rsidRPr="00E72750">
        <w:t>,</w:t>
      </w:r>
      <w:r w:rsidR="00005209" w:rsidRPr="00E72750">
        <w:t xml:space="preserve"> </w:t>
      </w:r>
      <w:r w:rsidR="00D63083" w:rsidRPr="00E72750">
        <w:t xml:space="preserve">and </w:t>
      </w:r>
      <w:r w:rsidR="00B90DF0">
        <w:t>16</w:t>
      </w:r>
      <w:r w:rsidR="004E4623">
        <w:t xml:space="preserve"> items </w:t>
      </w:r>
      <w:r w:rsidR="002E0105">
        <w:t>should be changed</w:t>
      </w:r>
      <w:r w:rsidR="00533BAE">
        <w:rPr>
          <w:rStyle w:val="FootnoteReference"/>
        </w:rPr>
        <w:footnoteReference w:id="3"/>
      </w:r>
      <w:r w:rsidR="002E0105">
        <w:t>.</w:t>
      </w:r>
      <w:r w:rsidR="00256AEF" w:rsidRPr="00E72750">
        <w:t xml:space="preserve"> </w:t>
      </w:r>
      <w:r w:rsidR="00426FBF" w:rsidRPr="00E72750">
        <w:t xml:space="preserve">The </w:t>
      </w:r>
      <w:r w:rsidR="005F0C4A" w:rsidRPr="00E72750">
        <w:t>changes</w:t>
      </w:r>
      <w:r w:rsidR="00426FBF" w:rsidRPr="00E72750">
        <w:t xml:space="preserve"> </w:t>
      </w:r>
      <w:r w:rsidR="00204229" w:rsidRPr="00E72750">
        <w:t>focus on encouraging best practice and simplifying the MBS to improve patient care</w:t>
      </w:r>
      <w:r w:rsidR="00D01657" w:rsidRPr="00E72750">
        <w:t xml:space="preserve"> by</w:t>
      </w:r>
      <w:r w:rsidR="00204229" w:rsidRPr="00E72750">
        <w:t xml:space="preserve"> </w:t>
      </w:r>
      <w:r w:rsidR="00C7184C" w:rsidRPr="00E72750">
        <w:t>(</w:t>
      </w:r>
      <w:proofErr w:type="spellStart"/>
      <w:r w:rsidR="00C7184C" w:rsidRPr="00E72750">
        <w:t>i</w:t>
      </w:r>
      <w:proofErr w:type="spellEnd"/>
      <w:r w:rsidR="00C7184C" w:rsidRPr="00E72750">
        <w:t xml:space="preserve">) </w:t>
      </w:r>
      <w:r w:rsidR="00204229" w:rsidRPr="00E72750">
        <w:t>consolidating item numbers</w:t>
      </w:r>
      <w:r w:rsidR="007B499B" w:rsidRPr="00E72750">
        <w:t>;</w:t>
      </w:r>
      <w:r w:rsidR="00204229" w:rsidRPr="00E72750">
        <w:t xml:space="preserve"> </w:t>
      </w:r>
      <w:r w:rsidR="00C7184C" w:rsidRPr="00E72750">
        <w:t xml:space="preserve">(ii) </w:t>
      </w:r>
      <w:r w:rsidR="00204229" w:rsidRPr="00E72750">
        <w:t xml:space="preserve">improving </w:t>
      </w:r>
      <w:r w:rsidR="009353B8" w:rsidRPr="00E72750">
        <w:t xml:space="preserve">the </w:t>
      </w:r>
      <w:r w:rsidR="00204229" w:rsidRPr="00E72750">
        <w:t xml:space="preserve">clarity of descriptors </w:t>
      </w:r>
      <w:r w:rsidR="001A5F82" w:rsidRPr="00E72750">
        <w:t>(</w:t>
      </w:r>
      <w:r w:rsidR="00204229" w:rsidRPr="00E72750">
        <w:t xml:space="preserve">with </w:t>
      </w:r>
      <w:r w:rsidR="00E102E4" w:rsidRPr="00E72750">
        <w:t>support from explanatory notes</w:t>
      </w:r>
      <w:r w:rsidR="001A5F82" w:rsidRPr="00E72750">
        <w:t>)</w:t>
      </w:r>
      <w:r w:rsidR="007B499B" w:rsidRPr="00E72750">
        <w:t>;</w:t>
      </w:r>
      <w:r w:rsidR="00E102E4" w:rsidRPr="00E72750">
        <w:t xml:space="preserve"> and </w:t>
      </w:r>
      <w:r w:rsidR="00C7184C" w:rsidRPr="00E72750">
        <w:t xml:space="preserve">(iii) </w:t>
      </w:r>
      <w:r w:rsidR="00E102E4" w:rsidRPr="00E72750">
        <w:t xml:space="preserve">providing clinical guidance for appropriate use through explanatory notes. </w:t>
      </w:r>
      <w:r w:rsidR="00B31EB0" w:rsidRPr="00E72750">
        <w:t>The</w:t>
      </w:r>
      <w:r w:rsidR="00434834">
        <w:t xml:space="preserve"> key</w:t>
      </w:r>
      <w:r w:rsidR="00E102E4" w:rsidRPr="00E72750">
        <w:t xml:space="preserve"> recommendations </w:t>
      </w:r>
      <w:r w:rsidR="00AD5A6E" w:rsidRPr="00E72750">
        <w:t xml:space="preserve">are </w:t>
      </w:r>
      <w:r w:rsidR="00C16A8E" w:rsidRPr="00E72750">
        <w:t>summarised</w:t>
      </w:r>
      <w:r w:rsidR="00853A1B" w:rsidRPr="00E72750">
        <w:t xml:space="preserve"> </w:t>
      </w:r>
      <w:r w:rsidR="00AD5A6E" w:rsidRPr="00E72750">
        <w:t>below</w:t>
      </w:r>
      <w:r w:rsidR="00B74D04" w:rsidRPr="00E72750">
        <w:t>.</w:t>
      </w:r>
    </w:p>
    <w:p w14:paraId="6A245F2D" w14:textId="77777777" w:rsidR="00324AA4" w:rsidRPr="00E72750" w:rsidRDefault="00852925" w:rsidP="00352EC5">
      <w:pPr>
        <w:pStyle w:val="01squarebullet"/>
      </w:pPr>
      <w:r w:rsidRPr="00E72750">
        <w:rPr>
          <w:b/>
        </w:rPr>
        <w:t>Thyroidectomy items.</w:t>
      </w:r>
      <w:r w:rsidRPr="00E72750">
        <w:t xml:space="preserve"> Improve clinical quality by</w:t>
      </w:r>
      <w:r w:rsidR="00A301B3">
        <w:t xml:space="preserve"> encouraging the use of total thyroidectomies and hemithyroidectomies</w:t>
      </w:r>
      <w:r w:rsidR="00BC03D5" w:rsidRPr="00E72750">
        <w:t xml:space="preserve">—which have been shown to be </w:t>
      </w:r>
      <w:r w:rsidR="00BC03D5">
        <w:t>superior</w:t>
      </w:r>
      <w:r w:rsidR="00BC03D5" w:rsidRPr="00E72750">
        <w:t xml:space="preserve"> to </w:t>
      </w:r>
      <w:r w:rsidR="00BC03D5">
        <w:t>partial and sub</w:t>
      </w:r>
      <w:r w:rsidR="00BC03D5" w:rsidRPr="00E72750">
        <w:t>total thyroidectomies</w:t>
      </w:r>
      <w:r w:rsidR="00BC03D5">
        <w:t>. This will be done</w:t>
      </w:r>
      <w:r w:rsidR="00A301B3">
        <w:t xml:space="preserve"> by </w:t>
      </w:r>
      <w:r w:rsidR="0089018C">
        <w:t>the following: (</w:t>
      </w:r>
      <w:proofErr w:type="spellStart"/>
      <w:r w:rsidR="0089018C">
        <w:t>i</w:t>
      </w:r>
      <w:proofErr w:type="spellEnd"/>
      <w:r w:rsidR="0089018C">
        <w:t xml:space="preserve">) </w:t>
      </w:r>
      <w:r w:rsidR="00D471BD">
        <w:t>consolidating</w:t>
      </w:r>
      <w:r w:rsidR="0048406A">
        <w:t xml:space="preserve"> item 30309</w:t>
      </w:r>
      <w:r w:rsidR="00BC03D5">
        <w:t xml:space="preserve"> </w:t>
      </w:r>
      <w:r w:rsidR="00D471BD">
        <w:t>under</w:t>
      </w:r>
      <w:r w:rsidR="00BC03D5">
        <w:t xml:space="preserve"> item 30296, </w:t>
      </w:r>
      <w:r w:rsidR="0089018C">
        <w:t xml:space="preserve">(ii) </w:t>
      </w:r>
      <w:r w:rsidR="00BC03D5">
        <w:t xml:space="preserve">consolidating items 30308 and 30310 into one item number for partial and subtotal thyroidectomies </w:t>
      </w:r>
      <w:r w:rsidR="000D00B4">
        <w:t>with a clear item descriptor</w:t>
      </w:r>
      <w:r w:rsidR="0089018C">
        <w:t>, (iii)</w:t>
      </w:r>
      <w:r w:rsidR="000D00B4">
        <w:t xml:space="preserve"> </w:t>
      </w:r>
      <w:r w:rsidR="00BC03D5">
        <w:t xml:space="preserve">and adding explanatory notes for all thyroidectomy item numbers explaining when they should be used. </w:t>
      </w:r>
      <w:r w:rsidR="0048406A">
        <w:t xml:space="preserve"> </w:t>
      </w:r>
    </w:p>
    <w:p w14:paraId="106441C7" w14:textId="77777777" w:rsidR="00A020AC" w:rsidRPr="00E72750" w:rsidRDefault="00DA38E3" w:rsidP="00352EC5">
      <w:pPr>
        <w:pStyle w:val="01squarebullet"/>
      </w:pPr>
      <w:r w:rsidRPr="00E72750">
        <w:rPr>
          <w:b/>
        </w:rPr>
        <w:t>Parathyroidectomy items.</w:t>
      </w:r>
      <w:r w:rsidRPr="00E72750">
        <w:t xml:space="preserve"> Make items </w:t>
      </w:r>
      <w:r w:rsidR="00385C75" w:rsidRPr="00E72750">
        <w:t xml:space="preserve">clearer and </w:t>
      </w:r>
      <w:r w:rsidRPr="00E72750">
        <w:t>easier to use</w:t>
      </w:r>
      <w:r w:rsidR="00BC7415" w:rsidRPr="00E72750">
        <w:t xml:space="preserve"> in order to</w:t>
      </w:r>
      <w:r w:rsidR="007F3598" w:rsidRPr="00E72750">
        <w:t xml:space="preserve"> address inappropriate co-claiming</w:t>
      </w:r>
      <w:r w:rsidR="004A2563" w:rsidRPr="00E72750">
        <w:t>. This involves</w:t>
      </w:r>
      <w:r w:rsidRPr="00E72750">
        <w:t xml:space="preserve"> r</w:t>
      </w:r>
      <w:r w:rsidR="00187A9D" w:rsidRPr="00E72750">
        <w:t>e-word</w:t>
      </w:r>
      <w:r w:rsidRPr="00E72750">
        <w:t>ing</w:t>
      </w:r>
      <w:r w:rsidR="00324AA4" w:rsidRPr="00E72750">
        <w:t xml:space="preserve"> </w:t>
      </w:r>
      <w:r w:rsidRPr="00E72750">
        <w:t>p</w:t>
      </w:r>
      <w:r w:rsidR="00324AA4" w:rsidRPr="00E72750">
        <w:t>arathyroidectomy item</w:t>
      </w:r>
      <w:r w:rsidR="00F8442E" w:rsidRPr="00E72750">
        <w:t>s</w:t>
      </w:r>
      <w:r w:rsidR="00324AA4" w:rsidRPr="00E72750">
        <w:t xml:space="preserve"> 30315</w:t>
      </w:r>
      <w:r w:rsidR="002D0CD9" w:rsidRPr="00E72750">
        <w:t>–</w:t>
      </w:r>
      <w:r w:rsidR="00324AA4" w:rsidRPr="00E72750">
        <w:t>30320</w:t>
      </w:r>
      <w:r w:rsidR="00B011F4" w:rsidRPr="00E72750">
        <w:t>.</w:t>
      </w:r>
      <w:r w:rsidR="00324AA4" w:rsidRPr="00E72750">
        <w:t xml:space="preserve"> </w:t>
      </w:r>
    </w:p>
    <w:p w14:paraId="713C2F81" w14:textId="77777777" w:rsidR="00A020AC" w:rsidRPr="00E72750" w:rsidRDefault="00B011F4" w:rsidP="00352EC5">
      <w:pPr>
        <w:pStyle w:val="01squarebullet"/>
      </w:pPr>
      <w:proofErr w:type="spellStart"/>
      <w:r w:rsidRPr="00E72750">
        <w:rPr>
          <w:b/>
        </w:rPr>
        <w:t>Synacthen</w:t>
      </w:r>
      <w:proofErr w:type="spellEnd"/>
      <w:r w:rsidRPr="00E72750">
        <w:rPr>
          <w:b/>
        </w:rPr>
        <w:t xml:space="preserve"> </w:t>
      </w:r>
      <w:r w:rsidR="00A34999" w:rsidRPr="00E72750">
        <w:rPr>
          <w:b/>
        </w:rPr>
        <w:t>s</w:t>
      </w:r>
      <w:r w:rsidRPr="00E72750">
        <w:rPr>
          <w:b/>
        </w:rPr>
        <w:t xml:space="preserve">timulation </w:t>
      </w:r>
      <w:r w:rsidR="00A34999" w:rsidRPr="00E72750">
        <w:rPr>
          <w:b/>
        </w:rPr>
        <w:t>t</w:t>
      </w:r>
      <w:r w:rsidRPr="00E72750">
        <w:rPr>
          <w:b/>
        </w:rPr>
        <w:t>est</w:t>
      </w:r>
      <w:r w:rsidR="00974D11" w:rsidRPr="00E72750">
        <w:rPr>
          <w:b/>
        </w:rPr>
        <w:t>.</w:t>
      </w:r>
      <w:r w:rsidR="00974D11" w:rsidRPr="00E72750">
        <w:t xml:space="preserve"> Address low</w:t>
      </w:r>
      <w:r w:rsidR="00FD647B" w:rsidRPr="00E72750">
        <w:t>-</w:t>
      </w:r>
      <w:r w:rsidR="00AF4D27" w:rsidRPr="00E72750">
        <w:t xml:space="preserve">value </w:t>
      </w:r>
      <w:r w:rsidRPr="00E72750">
        <w:t>testing</w:t>
      </w:r>
      <w:r w:rsidR="004D365A" w:rsidRPr="00E72750">
        <w:t xml:space="preserve"> by</w:t>
      </w:r>
      <w:r w:rsidRPr="00E72750">
        <w:t xml:space="preserve"> r</w:t>
      </w:r>
      <w:r w:rsidR="00187A9D" w:rsidRPr="00E72750">
        <w:t>equir</w:t>
      </w:r>
      <w:r w:rsidRPr="00E72750">
        <w:t>ing</w:t>
      </w:r>
      <w:r w:rsidR="00544798" w:rsidRPr="00E72750">
        <w:t xml:space="preserve"> </w:t>
      </w:r>
      <w:r w:rsidR="00A108CA" w:rsidRPr="00E72750">
        <w:t xml:space="preserve">the </w:t>
      </w:r>
      <w:r w:rsidR="00544798" w:rsidRPr="00E72750">
        <w:t xml:space="preserve">use of basal cortisol measurement </w:t>
      </w:r>
      <w:r w:rsidRPr="00E72750">
        <w:t xml:space="preserve">prior to performing a </w:t>
      </w:r>
      <w:proofErr w:type="spellStart"/>
      <w:r w:rsidR="00700738" w:rsidRPr="00E72750">
        <w:t>Synacthen</w:t>
      </w:r>
      <w:proofErr w:type="spellEnd"/>
      <w:r w:rsidR="00700738" w:rsidRPr="00E72750">
        <w:t xml:space="preserve"> </w:t>
      </w:r>
      <w:r w:rsidR="007B350F" w:rsidRPr="00E72750">
        <w:t>s</w:t>
      </w:r>
      <w:r w:rsidR="00700738" w:rsidRPr="00E72750">
        <w:t xml:space="preserve">timulation </w:t>
      </w:r>
      <w:r w:rsidR="007B350F" w:rsidRPr="00E72750">
        <w:t>t</w:t>
      </w:r>
      <w:r w:rsidR="00700738" w:rsidRPr="00E72750">
        <w:t xml:space="preserve">est. </w:t>
      </w:r>
      <w:r w:rsidR="00544798" w:rsidRPr="00E72750">
        <w:t xml:space="preserve">  </w:t>
      </w:r>
    </w:p>
    <w:p w14:paraId="2CF75B41" w14:textId="77777777" w:rsidR="00C800C4" w:rsidRPr="00E72750" w:rsidRDefault="00A757DE" w:rsidP="00352EC5">
      <w:pPr>
        <w:pStyle w:val="01squarebullet"/>
      </w:pPr>
      <w:r w:rsidRPr="00E72750">
        <w:rPr>
          <w:b/>
        </w:rPr>
        <w:t xml:space="preserve">Endocrine </w:t>
      </w:r>
      <w:proofErr w:type="spellStart"/>
      <w:r w:rsidRPr="00E72750">
        <w:rPr>
          <w:b/>
        </w:rPr>
        <w:t>t</w:t>
      </w:r>
      <w:r w:rsidR="00A020AC" w:rsidRPr="00E72750">
        <w:rPr>
          <w:b/>
        </w:rPr>
        <w:t>umour</w:t>
      </w:r>
      <w:proofErr w:type="spellEnd"/>
      <w:r w:rsidR="00A020AC" w:rsidRPr="00E72750">
        <w:rPr>
          <w:b/>
        </w:rPr>
        <w:t xml:space="preserve"> removal items</w:t>
      </w:r>
      <w:r w:rsidR="00700738" w:rsidRPr="00E72750">
        <w:rPr>
          <w:b/>
        </w:rPr>
        <w:t xml:space="preserve">. </w:t>
      </w:r>
      <w:r w:rsidR="00700738" w:rsidRPr="00E72750">
        <w:t xml:space="preserve">Improve clinical quality </w:t>
      </w:r>
      <w:r w:rsidR="000659E2" w:rsidRPr="00E72750">
        <w:t xml:space="preserve">and simplify the MBS </w:t>
      </w:r>
      <w:r w:rsidR="00700738" w:rsidRPr="00E72750">
        <w:t xml:space="preserve">by </w:t>
      </w:r>
      <w:r w:rsidR="00457843" w:rsidRPr="00E72750">
        <w:t xml:space="preserve">consolidating </w:t>
      </w:r>
      <w:r w:rsidR="000659E2" w:rsidRPr="00E72750">
        <w:t>items 30321 and 36500</w:t>
      </w:r>
      <w:r w:rsidR="00A020AC" w:rsidRPr="00E72750">
        <w:t xml:space="preserve"> </w:t>
      </w:r>
      <w:r w:rsidR="00BB58B0" w:rsidRPr="00E72750">
        <w:t xml:space="preserve">(items for less extensive removal or excision of </w:t>
      </w:r>
      <w:proofErr w:type="spellStart"/>
      <w:r w:rsidR="00BB58B0" w:rsidRPr="00E72750">
        <w:t>tumour</w:t>
      </w:r>
      <w:proofErr w:type="spellEnd"/>
      <w:r w:rsidR="00BB58B0" w:rsidRPr="00E72750">
        <w:t xml:space="preserve"> or adrenal gland</w:t>
      </w:r>
      <w:r w:rsidR="00503868" w:rsidRPr="00E72750">
        <w:t>, respectively</w:t>
      </w:r>
      <w:r w:rsidR="00BB58B0" w:rsidRPr="00E72750">
        <w:t>) under item</w:t>
      </w:r>
      <w:r w:rsidR="00EF2E03" w:rsidRPr="00E72750">
        <w:t>s</w:t>
      </w:r>
      <w:r w:rsidR="00BB58B0" w:rsidRPr="00E72750">
        <w:t xml:space="preserve"> </w:t>
      </w:r>
      <w:r w:rsidR="00A020AC" w:rsidRPr="00E72750">
        <w:t xml:space="preserve">30323 and </w:t>
      </w:r>
      <w:r w:rsidR="0068069D" w:rsidRPr="00E72750">
        <w:t>30324</w:t>
      </w:r>
      <w:r w:rsidR="00BB58B0" w:rsidRPr="00E72750">
        <w:t xml:space="preserve"> (</w:t>
      </w:r>
      <w:r w:rsidR="009D4107" w:rsidRPr="00E72750">
        <w:t xml:space="preserve">extensive or complete removal of </w:t>
      </w:r>
      <w:proofErr w:type="spellStart"/>
      <w:r w:rsidR="009D4107" w:rsidRPr="00E72750">
        <w:t>tumour</w:t>
      </w:r>
      <w:proofErr w:type="spellEnd"/>
      <w:r w:rsidR="009D4107" w:rsidRPr="00E72750">
        <w:t xml:space="preserve"> or adrenal gland</w:t>
      </w:r>
      <w:r w:rsidR="00BE11B9" w:rsidRPr="00E72750">
        <w:t>,</w:t>
      </w:r>
      <w:r w:rsidR="009D4107" w:rsidRPr="00E72750">
        <w:t xml:space="preserve"> respectively)</w:t>
      </w:r>
      <w:r w:rsidR="0068069D" w:rsidRPr="00E72750">
        <w:t xml:space="preserve">. </w:t>
      </w:r>
    </w:p>
    <w:p w14:paraId="28749BF7" w14:textId="77777777" w:rsidR="003A5665" w:rsidRDefault="00C800C4" w:rsidP="00352EC5">
      <w:pPr>
        <w:pStyle w:val="01squarebullet"/>
      </w:pPr>
      <w:r w:rsidRPr="00E72750">
        <w:rPr>
          <w:b/>
        </w:rPr>
        <w:t>Thyroglossal cyst items</w:t>
      </w:r>
      <w:r w:rsidR="009D4107" w:rsidRPr="00E72750">
        <w:rPr>
          <w:b/>
        </w:rPr>
        <w:t>.</w:t>
      </w:r>
      <w:r w:rsidR="009D4107" w:rsidRPr="00E72750">
        <w:t xml:space="preserve"> </w:t>
      </w:r>
      <w:r w:rsidR="00846434" w:rsidRPr="00E72750">
        <w:t xml:space="preserve">Improve clinical quality and </w:t>
      </w:r>
      <w:proofErr w:type="spellStart"/>
      <w:r w:rsidR="00846434" w:rsidRPr="00E72750">
        <w:t>modernise</w:t>
      </w:r>
      <w:proofErr w:type="spellEnd"/>
      <w:r w:rsidR="00846434" w:rsidRPr="00E72750">
        <w:t xml:space="preserve"> </w:t>
      </w:r>
      <w:r w:rsidR="00974D11" w:rsidRPr="00E72750">
        <w:t xml:space="preserve">the MBS by deleting </w:t>
      </w:r>
      <w:r w:rsidR="00846434" w:rsidRPr="00E72750">
        <w:t>item</w:t>
      </w:r>
      <w:r w:rsidRPr="00E72750">
        <w:t xml:space="preserve"> 30313</w:t>
      </w:r>
      <w:r w:rsidR="00B65033" w:rsidRPr="00E72750">
        <w:t>,</w:t>
      </w:r>
      <w:r w:rsidR="00846434" w:rsidRPr="00E72750">
        <w:t xml:space="preserve"> which</w:t>
      </w:r>
      <w:r w:rsidR="00B65033" w:rsidRPr="00E72750">
        <w:t xml:space="preserve"> is obsolete</w:t>
      </w:r>
      <w:r w:rsidR="0010508E" w:rsidRPr="00E72750">
        <w:t xml:space="preserve">. </w:t>
      </w:r>
      <w:r w:rsidR="00A7015D" w:rsidRPr="00E72750">
        <w:t>The</w:t>
      </w:r>
      <w:r w:rsidR="00974D11" w:rsidRPr="00E72750">
        <w:t xml:space="preserve"> </w:t>
      </w:r>
      <w:r w:rsidR="00DE5F36" w:rsidRPr="00E72750">
        <w:t xml:space="preserve">cyst </w:t>
      </w:r>
      <w:r w:rsidR="00974D11" w:rsidRPr="00E72750">
        <w:t xml:space="preserve">recurrence rate </w:t>
      </w:r>
      <w:r w:rsidR="00A0780A" w:rsidRPr="00E72750">
        <w:t>for</w:t>
      </w:r>
      <w:r w:rsidR="00515842" w:rsidRPr="00E72750">
        <w:t xml:space="preserve"> simple removal under </w:t>
      </w:r>
      <w:r w:rsidR="00C2275A" w:rsidRPr="00E72750">
        <w:t xml:space="preserve">item 30313 </w:t>
      </w:r>
      <w:r w:rsidR="003C42BB" w:rsidRPr="00E72750">
        <w:t>is three times higher than the recurrence rate for</w:t>
      </w:r>
      <w:r w:rsidR="00515842" w:rsidRPr="00E72750">
        <w:t xml:space="preserve"> radical removal</w:t>
      </w:r>
      <w:r w:rsidR="003C42BB" w:rsidRPr="00E72750">
        <w:t xml:space="preserve"> </w:t>
      </w:r>
      <w:r w:rsidR="00ED5669" w:rsidRPr="00E72750">
        <w:t>(</w:t>
      </w:r>
      <w:r w:rsidR="00974D11" w:rsidRPr="00E72750">
        <w:t>item</w:t>
      </w:r>
      <w:r w:rsidRPr="00E72750">
        <w:t xml:space="preserve"> 30314</w:t>
      </w:r>
      <w:r w:rsidR="00ED5669" w:rsidRPr="00E72750">
        <w:t>)</w:t>
      </w:r>
      <w:r w:rsidR="00974D11" w:rsidRPr="00E72750">
        <w:t xml:space="preserve">. </w:t>
      </w:r>
      <w:r w:rsidR="00F0324A">
        <w:t>Patients will instead receive s</w:t>
      </w:r>
      <w:r w:rsidR="00974D11" w:rsidRPr="00E72750">
        <w:t>ervices under item 30314.</w:t>
      </w:r>
      <w:r w:rsidRPr="00E72750">
        <w:t xml:space="preserve"> </w:t>
      </w:r>
      <w:r w:rsidR="00A020AC" w:rsidRPr="00E72750">
        <w:t xml:space="preserve"> </w:t>
      </w:r>
      <w:r w:rsidR="00C8293B" w:rsidRPr="00E72750">
        <w:t xml:space="preserve"> </w:t>
      </w:r>
    </w:p>
    <w:p w14:paraId="1C9013EC" w14:textId="77777777" w:rsidR="00954CC2" w:rsidRDefault="00954CC2" w:rsidP="00AE62D5">
      <w:pPr>
        <w:pStyle w:val="Heading2"/>
      </w:pPr>
      <w:bookmarkStart w:id="16" w:name="_Toc485298012"/>
      <w:r>
        <w:t>Consumer engagement</w:t>
      </w:r>
      <w:bookmarkEnd w:id="16"/>
      <w:r>
        <w:t xml:space="preserve"> </w:t>
      </w:r>
    </w:p>
    <w:p w14:paraId="5E58F942" w14:textId="77777777" w:rsidR="00AD48EB" w:rsidRPr="004803B4" w:rsidRDefault="00AD48EB" w:rsidP="00AD48EB">
      <w:r>
        <w:t>The Committee</w:t>
      </w:r>
      <w:r w:rsidRPr="004803B4">
        <w:t xml:space="preserve"> believes it is important to find out from consumers if they will be helped or disadvantaged by the recommendations – and how, and why.</w:t>
      </w:r>
      <w:r>
        <w:t xml:space="preserve"> </w:t>
      </w:r>
      <w:r w:rsidRPr="004803B4">
        <w:t xml:space="preserve">Following </w:t>
      </w:r>
      <w:r>
        <w:t xml:space="preserve">the public </w:t>
      </w:r>
      <w:proofErr w:type="gramStart"/>
      <w:r>
        <w:t>consultation</w:t>
      </w:r>
      <w:proofErr w:type="gramEnd"/>
      <w:r>
        <w:t xml:space="preserve"> the Committee</w:t>
      </w:r>
      <w:r w:rsidRPr="004803B4">
        <w:t xml:space="preserve"> will assess the </w:t>
      </w:r>
      <w:r>
        <w:t>feedback</w:t>
      </w:r>
      <w:r w:rsidRPr="004803B4">
        <w:t xml:space="preserve"> from consumers and decide whether any changes are needed to the recommendations</w:t>
      </w:r>
      <w:r>
        <w:t>. The Committee</w:t>
      </w:r>
      <w:r w:rsidRPr="004803B4">
        <w:t xml:space="preserve"> will then send the recommendations to the Taskforce.</w:t>
      </w:r>
      <w:r>
        <w:t xml:space="preserve"> </w:t>
      </w:r>
      <w:r w:rsidRPr="004803B4">
        <w:t>The Taskforce will consider the recommendations as well as the information provided by consumers in order to make sure that all the important concerns are addressed.</w:t>
      </w:r>
      <w:r>
        <w:t xml:space="preserve"> </w:t>
      </w:r>
      <w:r w:rsidRPr="004803B4">
        <w:t>The Taskforce will then provide the recommendation to government.</w:t>
      </w:r>
    </w:p>
    <w:p w14:paraId="165F3F7B" w14:textId="77777777" w:rsidR="00AD48EB" w:rsidRPr="00E72750" w:rsidRDefault="00AD48EB" w:rsidP="00AD48EB">
      <w:pPr>
        <w:rPr>
          <w:rStyle w:val="IntenseEmphasis"/>
          <w:b w:val="0"/>
          <w:i w:val="0"/>
          <w:color w:val="auto"/>
        </w:rPr>
      </w:pPr>
      <w:r>
        <w:t>The Committee’s recommendations encourage agreed best practice for interventions and the most reliable and relevant testing to aid diagnosis. As consumer</w:t>
      </w:r>
      <w:r w:rsidR="00465F57">
        <w:t>s</w:t>
      </w:r>
      <w:r>
        <w:t xml:space="preserve"> contribut</w:t>
      </w:r>
      <w:r w:rsidR="00465F57">
        <w:t>e</w:t>
      </w:r>
      <w:r>
        <w:t xml:space="preserve"> to the work of the </w:t>
      </w:r>
      <w:proofErr w:type="gramStart"/>
      <w:r>
        <w:t>Committee</w:t>
      </w:r>
      <w:proofErr w:type="gramEnd"/>
      <w:r>
        <w:t xml:space="preserve"> we hope that the outcomes of the review, including clearer descriptors, are a resource which will support consumers to ask the necessary questions to participate more actively in their health care. </w:t>
      </w:r>
      <w:r w:rsidRPr="00AE0DD0">
        <w:t xml:space="preserve">  </w:t>
      </w:r>
    </w:p>
    <w:p w14:paraId="5F1317BD" w14:textId="77777777" w:rsidR="00AD48EB" w:rsidRPr="00FC1976" w:rsidRDefault="00AD48EB" w:rsidP="00AD48EB">
      <w:pPr>
        <w:rPr>
          <w:lang w:val="en-AU"/>
        </w:rPr>
      </w:pPr>
      <w:r w:rsidRPr="00146280">
        <w:rPr>
          <w:lang w:val="en-AU"/>
        </w:rPr>
        <w:t xml:space="preserve">There is a list of all the items in plain English </w:t>
      </w:r>
      <w:r>
        <w:rPr>
          <w:lang w:val="en-AU"/>
        </w:rPr>
        <w:t xml:space="preserve">in </w:t>
      </w:r>
      <w:r>
        <w:rPr>
          <w:lang w:val="en-AU"/>
        </w:rPr>
        <w:fldChar w:fldCharType="begin"/>
      </w:r>
      <w:r>
        <w:rPr>
          <w:lang w:val="en-AU"/>
        </w:rPr>
        <w:instrText xml:space="preserve"> REF _Ref462783365 \r \h </w:instrText>
      </w:r>
      <w:r>
        <w:rPr>
          <w:lang w:val="en-AU"/>
        </w:rPr>
      </w:r>
      <w:r>
        <w:rPr>
          <w:lang w:val="en-AU"/>
        </w:rPr>
        <w:fldChar w:fldCharType="separate"/>
      </w:r>
      <w:r w:rsidR="00311ACD">
        <w:rPr>
          <w:lang w:val="en-AU"/>
        </w:rPr>
        <w:t>Appendix C</w:t>
      </w:r>
      <w:r>
        <w:rPr>
          <w:lang w:val="en-AU"/>
        </w:rPr>
        <w:fldChar w:fldCharType="end"/>
      </w:r>
      <w:r>
        <w:rPr>
          <w:lang w:val="en-AU"/>
        </w:rPr>
        <w:t xml:space="preserve"> </w:t>
      </w:r>
      <w:r w:rsidR="00311ACD">
        <w:rPr>
          <w:lang w:val="en-AU"/>
        </w:rPr>
        <w:t xml:space="preserve">- </w:t>
      </w:r>
      <w:r>
        <w:rPr>
          <w:lang w:val="en-AU"/>
        </w:rPr>
        <w:t xml:space="preserve">Summary </w:t>
      </w:r>
      <w:r w:rsidR="00311ACD">
        <w:rPr>
          <w:lang w:val="en-AU"/>
        </w:rPr>
        <w:t>for consumers</w:t>
      </w:r>
      <w:r>
        <w:rPr>
          <w:lang w:val="en-AU"/>
        </w:rPr>
        <w:t>.</w:t>
      </w:r>
    </w:p>
    <w:p w14:paraId="7A82A77E" w14:textId="77777777" w:rsidR="00840CA9" w:rsidRDefault="00840CA9">
      <w:pPr>
        <w:spacing w:before="0" w:after="0"/>
        <w:rPr>
          <w:rFonts w:eastAsiaTheme="minorHAnsi" w:cs="Arial"/>
          <w:b/>
          <w:bCs/>
          <w:color w:val="01653F"/>
          <w:kern w:val="32"/>
          <w:sz w:val="32"/>
          <w:szCs w:val="28"/>
          <w:lang w:val="en-US" w:eastAsia="en-US"/>
        </w:rPr>
      </w:pPr>
      <w:bookmarkStart w:id="17" w:name="_Toc456045424"/>
    </w:p>
    <w:p w14:paraId="016073F4" w14:textId="77777777" w:rsidR="00AD48EB" w:rsidRDefault="00AD48EB">
      <w:pPr>
        <w:spacing w:before="0" w:after="0"/>
        <w:rPr>
          <w:rFonts w:eastAsiaTheme="minorHAnsi" w:cs="Arial"/>
          <w:b/>
          <w:bCs/>
          <w:color w:val="01653F"/>
          <w:kern w:val="32"/>
          <w:sz w:val="32"/>
          <w:szCs w:val="28"/>
          <w:lang w:val="en-US" w:eastAsia="en-US"/>
        </w:rPr>
      </w:pPr>
      <w:r>
        <w:br w:type="page"/>
      </w:r>
    </w:p>
    <w:p w14:paraId="6C4D0FC2" w14:textId="77777777" w:rsidR="00512F2C" w:rsidRPr="00787C6C" w:rsidRDefault="0053776A" w:rsidP="00E75EE1">
      <w:pPr>
        <w:pStyle w:val="Heading1"/>
      </w:pPr>
      <w:bookmarkStart w:id="18" w:name="_Toc485298013"/>
      <w:r w:rsidRPr="00787C6C">
        <w:lastRenderedPageBreak/>
        <w:t>About t</w:t>
      </w:r>
      <w:r w:rsidR="00817A04" w:rsidRPr="00787C6C">
        <w:t>he Medicare Benefits Schedule (MBS) Review</w:t>
      </w:r>
      <w:bookmarkEnd w:id="17"/>
      <w:bookmarkEnd w:id="18"/>
    </w:p>
    <w:p w14:paraId="6362878D" w14:textId="77777777" w:rsidR="00512F2C" w:rsidRPr="00787C6C" w:rsidRDefault="00463B1C" w:rsidP="00E75EE1">
      <w:pPr>
        <w:pStyle w:val="Heading2"/>
      </w:pPr>
      <w:bookmarkStart w:id="19" w:name="_Toc456045425"/>
      <w:bookmarkStart w:id="20" w:name="_Toc485298014"/>
      <w:r w:rsidRPr="00787C6C">
        <w:t>Medicare and the MBS</w:t>
      </w:r>
      <w:bookmarkEnd w:id="19"/>
      <w:bookmarkEnd w:id="20"/>
    </w:p>
    <w:p w14:paraId="55F71E30" w14:textId="77777777" w:rsidR="00512F2C" w:rsidRPr="00E72750" w:rsidRDefault="006B0D15" w:rsidP="0047371C">
      <w:pPr>
        <w:pStyle w:val="Boldhdg"/>
      </w:pPr>
      <w:r w:rsidRPr="00E72750">
        <w:t>What is Medicare?</w:t>
      </w:r>
    </w:p>
    <w:p w14:paraId="044DFBD8" w14:textId="77777777" w:rsidR="00840CA9" w:rsidRDefault="00840CA9" w:rsidP="00840CA9">
      <w:pPr>
        <w:rPr>
          <w:lang w:val="en-AU"/>
        </w:rPr>
      </w:pPr>
      <w:r w:rsidRPr="00B0157E">
        <w:rPr>
          <w:lang w:val="en-AU"/>
        </w:rPr>
        <w:t>Medicare is Australia’s universal health scheme</w:t>
      </w:r>
      <w:r>
        <w:rPr>
          <w:lang w:val="en-AU"/>
        </w:rPr>
        <w:t xml:space="preserve"> </w:t>
      </w:r>
      <w:r w:rsidRPr="00B0157E">
        <w:rPr>
          <w:lang w:val="en-AU"/>
        </w:rPr>
        <w:t xml:space="preserve">which enables all Australian residents (and some overseas visitors) to have access to a wide range of health services and medicines at little or no cost. </w:t>
      </w:r>
    </w:p>
    <w:p w14:paraId="3EC3503B" w14:textId="77777777" w:rsidR="00840CA9" w:rsidRDefault="00840CA9" w:rsidP="00840CA9">
      <w:pPr>
        <w:rPr>
          <w:lang w:val="en-AU"/>
        </w:rPr>
      </w:pPr>
      <w:r w:rsidRPr="00B0157E">
        <w:rPr>
          <w:lang w:val="en-AU"/>
        </w:rPr>
        <w:t xml:space="preserve">Introduced in 1984, Medicare has three components: </w:t>
      </w:r>
    </w:p>
    <w:p w14:paraId="65E9BB34" w14:textId="77777777" w:rsidR="00840CA9" w:rsidRDefault="00840CA9" w:rsidP="00840CA9">
      <w:pPr>
        <w:pStyle w:val="01squarebullet"/>
        <w:numPr>
          <w:ilvl w:val="0"/>
          <w:numId w:val="40"/>
        </w:numPr>
      </w:pPr>
      <w:r>
        <w:t>F</w:t>
      </w:r>
      <w:r w:rsidRPr="00B0157E">
        <w:t xml:space="preserve">ree public hospital services for public </w:t>
      </w:r>
      <w:proofErr w:type="gramStart"/>
      <w:r w:rsidRPr="00B0157E">
        <w:t>patients;</w:t>
      </w:r>
      <w:proofErr w:type="gramEnd"/>
      <w:r w:rsidRPr="00B0157E">
        <w:t xml:space="preserve"> </w:t>
      </w:r>
    </w:p>
    <w:p w14:paraId="52BF9693" w14:textId="77777777" w:rsidR="00840CA9" w:rsidRDefault="00840CA9" w:rsidP="00840CA9">
      <w:pPr>
        <w:pStyle w:val="01squarebullet"/>
        <w:numPr>
          <w:ilvl w:val="0"/>
          <w:numId w:val="40"/>
        </w:numPr>
      </w:pPr>
      <w:proofErr w:type="spellStart"/>
      <w:r>
        <w:t>S</w:t>
      </w:r>
      <w:r w:rsidRPr="00B0157E">
        <w:t>ubsidised</w:t>
      </w:r>
      <w:proofErr w:type="spellEnd"/>
      <w:r w:rsidRPr="00B0157E">
        <w:t xml:space="preserve"> drugs covered by the Pharmaceutical Benefits Scheme (PBS); and </w:t>
      </w:r>
    </w:p>
    <w:p w14:paraId="1B0079B2" w14:textId="77777777" w:rsidR="00840CA9" w:rsidRPr="00B0157E" w:rsidRDefault="00840CA9" w:rsidP="00840CA9">
      <w:pPr>
        <w:pStyle w:val="01squarebullet"/>
        <w:numPr>
          <w:ilvl w:val="0"/>
          <w:numId w:val="40"/>
        </w:numPr>
        <w:rPr>
          <w:rFonts w:eastAsiaTheme="minorHAnsi"/>
          <w:b/>
        </w:rPr>
      </w:pPr>
      <w:proofErr w:type="spellStart"/>
      <w:r>
        <w:t>S</w:t>
      </w:r>
      <w:r w:rsidRPr="00B0157E">
        <w:t>ubsidised</w:t>
      </w:r>
      <w:proofErr w:type="spellEnd"/>
      <w:r w:rsidRPr="00B0157E">
        <w:t xml:space="preserve"> health professional services listed on the MBS.</w:t>
      </w:r>
    </w:p>
    <w:p w14:paraId="7C49518A" w14:textId="77777777" w:rsidR="008A05B8" w:rsidRPr="00E72750" w:rsidRDefault="008A05B8" w:rsidP="0047371C">
      <w:pPr>
        <w:pStyle w:val="Boldhdg"/>
      </w:pPr>
      <w:r w:rsidRPr="00E72750">
        <w:t>What is the MBS?</w:t>
      </w:r>
    </w:p>
    <w:p w14:paraId="23CA1DF6" w14:textId="77777777" w:rsidR="00BB5DB2" w:rsidRPr="00787C6C" w:rsidRDefault="00BB5DB2" w:rsidP="0047371C">
      <w:pPr>
        <w:rPr>
          <w:lang w:eastAsia="en-US"/>
        </w:rPr>
      </w:pPr>
      <w:r w:rsidRPr="00787C6C">
        <w:rPr>
          <w:lang w:eastAsia="en-US"/>
        </w:rPr>
        <w:t xml:space="preserve">The MBS is a listing of the health professional services subsidised by the Australian </w:t>
      </w:r>
      <w:r w:rsidR="00303BB1" w:rsidRPr="00787C6C">
        <w:rPr>
          <w:lang w:eastAsia="en-US"/>
        </w:rPr>
        <w:t>G</w:t>
      </w:r>
      <w:r w:rsidRPr="00787C6C">
        <w:rPr>
          <w:lang w:eastAsia="en-US"/>
        </w:rPr>
        <w:t xml:space="preserve">overnment. There are over 5,700 MBS items, which provide </w:t>
      </w:r>
      <w:r w:rsidR="00EF6F32" w:rsidRPr="00787C6C">
        <w:rPr>
          <w:lang w:eastAsia="en-US"/>
        </w:rPr>
        <w:t xml:space="preserve">benefits to patients </w:t>
      </w:r>
      <w:r w:rsidRPr="00787C6C">
        <w:rPr>
          <w:lang w:eastAsia="en-US"/>
        </w:rPr>
        <w:t xml:space="preserve">for a comprehensive range of services including consultations, diagnostic tests and operations. </w:t>
      </w:r>
    </w:p>
    <w:p w14:paraId="1BEC1F8A" w14:textId="77777777" w:rsidR="008A05B8" w:rsidRPr="00787C6C" w:rsidRDefault="00F835AA" w:rsidP="00E75EE1">
      <w:pPr>
        <w:pStyle w:val="Heading2"/>
      </w:pPr>
      <w:bookmarkStart w:id="21" w:name="_Toc456045426"/>
      <w:bookmarkStart w:id="22" w:name="_Toc485298015"/>
      <w:r w:rsidRPr="00787C6C">
        <w:t xml:space="preserve">The MBS </w:t>
      </w:r>
      <w:r w:rsidR="0093156D" w:rsidRPr="00787C6C">
        <w:t>R</w:t>
      </w:r>
      <w:r w:rsidRPr="00787C6C">
        <w:t>eview</w:t>
      </w:r>
      <w:r w:rsidR="009A1898" w:rsidRPr="00787C6C">
        <w:t xml:space="preserve"> Taskforce</w:t>
      </w:r>
      <w:bookmarkEnd w:id="21"/>
      <w:bookmarkEnd w:id="22"/>
    </w:p>
    <w:p w14:paraId="4C82BB50" w14:textId="77777777" w:rsidR="00434DE1" w:rsidRPr="00E72750" w:rsidRDefault="00C3104E" w:rsidP="0047371C">
      <w:pPr>
        <w:pStyle w:val="Boldhdg"/>
      </w:pPr>
      <w:r w:rsidRPr="00E72750">
        <w:t xml:space="preserve">What is the MBS </w:t>
      </w:r>
      <w:r w:rsidR="004F2023" w:rsidRPr="00E72750">
        <w:t>R</w:t>
      </w:r>
      <w:r w:rsidRPr="00E72750">
        <w:t>eview Taskforce?</w:t>
      </w:r>
    </w:p>
    <w:p w14:paraId="4E58BF28" w14:textId="77777777" w:rsidR="00840CA9" w:rsidRPr="00B0157E" w:rsidRDefault="00840CA9" w:rsidP="00840CA9">
      <w:pPr>
        <w:rPr>
          <w:lang w:val="en-AU"/>
        </w:rPr>
      </w:pPr>
      <w:r w:rsidRPr="00B0157E">
        <w:rPr>
          <w:lang w:val="en-AU"/>
        </w:rPr>
        <w:t xml:space="preserve">The Government established </w:t>
      </w:r>
      <w:r>
        <w:rPr>
          <w:lang w:val="en-AU"/>
        </w:rPr>
        <w:t xml:space="preserve">the </w:t>
      </w:r>
      <w:r w:rsidRPr="00B0157E">
        <w:rPr>
          <w:lang w:val="en-AU"/>
        </w:rPr>
        <w:t xml:space="preserve">MBS Review Taskforce (the Taskforce) </w:t>
      </w:r>
      <w:r>
        <w:rPr>
          <w:lang w:val="en-AU"/>
        </w:rPr>
        <w:t xml:space="preserve">as an advisory body </w:t>
      </w:r>
      <w:r w:rsidRPr="00B0157E">
        <w:rPr>
          <w:lang w:val="en-AU"/>
        </w:rPr>
        <w:t xml:space="preserve">to </w:t>
      </w:r>
      <w:r>
        <w:rPr>
          <w:lang w:val="en-AU"/>
        </w:rPr>
        <w:t xml:space="preserve">review </w:t>
      </w:r>
      <w:proofErr w:type="gramStart"/>
      <w:r>
        <w:rPr>
          <w:lang w:val="en-AU"/>
        </w:rPr>
        <w:t>all of</w:t>
      </w:r>
      <w:proofErr w:type="gramEnd"/>
      <w:r>
        <w:rPr>
          <w:lang w:val="en-AU"/>
        </w:rPr>
        <w:t xml:space="preserve"> the 5,700 MBS items to ensure they are </w:t>
      </w:r>
      <w:r w:rsidRPr="00B0157E">
        <w:rPr>
          <w:lang w:val="en-AU"/>
        </w:rPr>
        <w:t xml:space="preserve">aligned with contemporary clinical evidence and practice </w:t>
      </w:r>
      <w:r>
        <w:rPr>
          <w:lang w:val="en-AU"/>
        </w:rPr>
        <w:t>and</w:t>
      </w:r>
      <w:r w:rsidRPr="00B0157E">
        <w:rPr>
          <w:lang w:val="en-AU"/>
        </w:rPr>
        <w:t xml:space="preserve"> improve health outcomes for patients. The Taskforce </w:t>
      </w:r>
      <w:r>
        <w:rPr>
          <w:lang w:val="en-AU"/>
        </w:rPr>
        <w:t xml:space="preserve">will also modernise the MBS by </w:t>
      </w:r>
      <w:r w:rsidRPr="00B0157E">
        <w:rPr>
          <w:lang w:val="en-AU"/>
        </w:rPr>
        <w:t>identify</w:t>
      </w:r>
      <w:r>
        <w:rPr>
          <w:lang w:val="en-AU"/>
        </w:rPr>
        <w:t>ing</w:t>
      </w:r>
      <w:r w:rsidRPr="00B0157E">
        <w:rPr>
          <w:lang w:val="en-AU"/>
        </w:rPr>
        <w:t xml:space="preserve"> any services that may be unnecessary, outdated or potentially unsafe. The </w:t>
      </w:r>
      <w:r>
        <w:rPr>
          <w:lang w:val="en-AU"/>
        </w:rPr>
        <w:t>Review</w:t>
      </w:r>
      <w:r w:rsidRPr="00B0157E">
        <w:rPr>
          <w:lang w:val="en-AU"/>
        </w:rPr>
        <w:t xml:space="preserve"> is clinician-led, and there are no targets for savings attached to the </w:t>
      </w:r>
      <w:r>
        <w:rPr>
          <w:lang w:val="en-AU"/>
        </w:rPr>
        <w:t>Review</w:t>
      </w:r>
      <w:r w:rsidRPr="00B0157E">
        <w:rPr>
          <w:lang w:val="en-AU"/>
        </w:rPr>
        <w:t xml:space="preserve">. </w:t>
      </w:r>
    </w:p>
    <w:p w14:paraId="3DAA4C3B" w14:textId="77777777" w:rsidR="00C3104E" w:rsidRPr="00E72750" w:rsidRDefault="00C3104E" w:rsidP="0047371C">
      <w:pPr>
        <w:pStyle w:val="Boldhdg"/>
      </w:pPr>
      <w:r w:rsidRPr="00E72750">
        <w:t>What are the goals of the Taskforce?</w:t>
      </w:r>
    </w:p>
    <w:p w14:paraId="493B4016" w14:textId="77777777" w:rsidR="00840CA9" w:rsidRPr="00B0157E" w:rsidRDefault="00840CA9" w:rsidP="00840CA9">
      <w:pPr>
        <w:rPr>
          <w:lang w:val="en-AU"/>
        </w:rPr>
      </w:pPr>
      <w:r w:rsidRPr="00B0157E">
        <w:rPr>
          <w:lang w:val="en-AU"/>
        </w:rPr>
        <w:t xml:space="preserve">The Taskforce is committed to providing recommendations to the Minister </w:t>
      </w:r>
      <w:r>
        <w:rPr>
          <w:lang w:val="en-AU"/>
        </w:rPr>
        <w:t xml:space="preserve">for Health </w:t>
      </w:r>
      <w:r w:rsidRPr="00B0157E">
        <w:rPr>
          <w:lang w:val="en-AU"/>
        </w:rPr>
        <w:t xml:space="preserve">that will allow the MBS to deliver on each of these four </w:t>
      </w:r>
      <w:r>
        <w:rPr>
          <w:lang w:val="en-AU"/>
        </w:rPr>
        <w:t xml:space="preserve">key </w:t>
      </w:r>
      <w:r w:rsidRPr="00B0157E">
        <w:rPr>
          <w:lang w:val="en-AU"/>
        </w:rPr>
        <w:t>goals:</w:t>
      </w:r>
    </w:p>
    <w:p w14:paraId="01165EDE" w14:textId="77777777" w:rsidR="00840CA9" w:rsidRPr="00FB52A4" w:rsidRDefault="00840CA9" w:rsidP="00840CA9">
      <w:pPr>
        <w:pStyle w:val="01squarebullet"/>
        <w:numPr>
          <w:ilvl w:val="0"/>
          <w:numId w:val="40"/>
        </w:numPr>
        <w:rPr>
          <w:lang w:val="en-AU"/>
        </w:rPr>
      </w:pPr>
      <w:r w:rsidRPr="00B0157E">
        <w:rPr>
          <w:b/>
          <w:lang w:val="en-AU"/>
        </w:rPr>
        <w:t>Affordable and universal access</w:t>
      </w:r>
      <w:r>
        <w:rPr>
          <w:b/>
          <w:lang w:val="en-AU"/>
        </w:rPr>
        <w:t xml:space="preserve"> </w:t>
      </w:r>
      <w:r w:rsidRPr="00831C90">
        <w:rPr>
          <w:lang w:val="en-AU"/>
        </w:rPr>
        <w:t>–</w:t>
      </w:r>
      <w:r w:rsidRPr="00B0157E">
        <w:rPr>
          <w:lang w:val="en-AU"/>
        </w:rPr>
        <w:t xml:space="preserve"> </w:t>
      </w:r>
      <w:r>
        <w:rPr>
          <w:lang w:val="en-AU"/>
        </w:rPr>
        <w:t>t</w:t>
      </w:r>
      <w:r w:rsidRPr="00FB52A4">
        <w:rPr>
          <w:lang w:val="en-AU"/>
        </w:rPr>
        <w:t xml:space="preserve">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w:t>
      </w:r>
      <w:r>
        <w:rPr>
          <w:lang w:val="en-AU"/>
        </w:rPr>
        <w:t xml:space="preserve">being </w:t>
      </w:r>
      <w:r w:rsidRPr="00FB52A4">
        <w:rPr>
          <w:lang w:val="en-AU"/>
        </w:rPr>
        <w:t>particularly under-serviced.</w:t>
      </w:r>
    </w:p>
    <w:p w14:paraId="52421A14" w14:textId="77777777" w:rsidR="00840CA9" w:rsidRPr="00B0157E" w:rsidRDefault="00840CA9" w:rsidP="00840CA9">
      <w:pPr>
        <w:pStyle w:val="01squarebullet"/>
        <w:numPr>
          <w:ilvl w:val="0"/>
          <w:numId w:val="40"/>
        </w:numPr>
        <w:rPr>
          <w:lang w:val="en-AU"/>
        </w:rPr>
      </w:pPr>
      <w:r w:rsidRPr="00B0157E">
        <w:rPr>
          <w:b/>
          <w:lang w:val="en-AU"/>
        </w:rPr>
        <w:t>Best-practice health services</w:t>
      </w:r>
      <w:r>
        <w:rPr>
          <w:b/>
          <w:lang w:val="en-AU"/>
        </w:rPr>
        <w:t xml:space="preserve"> </w:t>
      </w:r>
      <w:r w:rsidRPr="00831C90">
        <w:rPr>
          <w:lang w:val="en-AU"/>
        </w:rPr>
        <w:t>–</w:t>
      </w:r>
      <w:r>
        <w:rPr>
          <w:lang w:val="en-AU"/>
        </w:rPr>
        <w:softHyphen/>
      </w:r>
      <w:r w:rsidRPr="00B0157E">
        <w:rPr>
          <w:lang w:val="en-AU"/>
        </w:rPr>
        <w:t xml:space="preserve"> </w:t>
      </w:r>
      <w:r>
        <w:rPr>
          <w:lang w:val="en-AU"/>
        </w:rPr>
        <w:t>o</w:t>
      </w:r>
      <w:r w:rsidRPr="00B0157E">
        <w:rPr>
          <w:lang w:val="en-AU"/>
        </w:rPr>
        <w:t xml:space="preserve">ne of the core objectives of the </w:t>
      </w:r>
      <w:r>
        <w:rPr>
          <w:lang w:val="en-AU"/>
        </w:rPr>
        <w:t>R</w:t>
      </w:r>
      <w:r w:rsidRPr="00B0157E">
        <w:rPr>
          <w:lang w:val="en-AU"/>
        </w:rPr>
        <w:t>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4CEF4A48" w14:textId="77777777" w:rsidR="00840CA9" w:rsidRPr="00B0157E" w:rsidRDefault="00840CA9" w:rsidP="00840CA9">
      <w:pPr>
        <w:pStyle w:val="01squarebullet"/>
        <w:numPr>
          <w:ilvl w:val="0"/>
          <w:numId w:val="40"/>
        </w:numPr>
        <w:rPr>
          <w:lang w:val="en-AU"/>
        </w:rPr>
      </w:pPr>
      <w:r w:rsidRPr="00B0157E">
        <w:rPr>
          <w:b/>
          <w:lang w:val="en-AU"/>
        </w:rPr>
        <w:t>Value for the individual patient</w:t>
      </w:r>
      <w:r>
        <w:rPr>
          <w:b/>
          <w:lang w:val="en-AU"/>
        </w:rPr>
        <w:t xml:space="preserve"> </w:t>
      </w:r>
      <w:r w:rsidRPr="002F6430">
        <w:rPr>
          <w:lang w:val="en-AU"/>
        </w:rPr>
        <w:t>–</w:t>
      </w:r>
      <w:r w:rsidRPr="00B0157E">
        <w:rPr>
          <w:b/>
          <w:lang w:val="en-AU"/>
        </w:rPr>
        <w:t xml:space="preserve"> </w:t>
      </w:r>
      <w:r>
        <w:rPr>
          <w:lang w:val="en-AU"/>
        </w:rPr>
        <w:t>a</w:t>
      </w:r>
      <w:r w:rsidRPr="00B0157E">
        <w:rPr>
          <w:lang w:val="en-AU"/>
        </w:rPr>
        <w:t xml:space="preserve">nother core objective of the </w:t>
      </w:r>
      <w:r>
        <w:rPr>
          <w:lang w:val="en-AU"/>
        </w:rPr>
        <w:t>R</w:t>
      </w:r>
      <w:r w:rsidRPr="00B0157E">
        <w:rPr>
          <w:lang w:val="en-AU"/>
        </w:rPr>
        <w:t>eview is to maintain an MBS that supports the delivery of services that are appropriate to the patient’s needs, provide real clinical value and do not expose the patient to unnecessary risk or expense.</w:t>
      </w:r>
    </w:p>
    <w:p w14:paraId="1301895F" w14:textId="77777777" w:rsidR="00840CA9" w:rsidRPr="00B0157E" w:rsidRDefault="00840CA9" w:rsidP="00840CA9">
      <w:pPr>
        <w:pStyle w:val="01squarebullet"/>
        <w:numPr>
          <w:ilvl w:val="0"/>
          <w:numId w:val="40"/>
        </w:numPr>
        <w:rPr>
          <w:lang w:val="en-AU"/>
        </w:rPr>
      </w:pPr>
      <w:r w:rsidRPr="00B0157E">
        <w:rPr>
          <w:b/>
          <w:lang w:val="en-AU"/>
        </w:rPr>
        <w:t>Value for the health system</w:t>
      </w:r>
      <w:r>
        <w:rPr>
          <w:b/>
          <w:lang w:val="en-AU"/>
        </w:rPr>
        <w:t xml:space="preserve"> </w:t>
      </w:r>
      <w:r w:rsidRPr="002F6430">
        <w:rPr>
          <w:lang w:val="en-AU"/>
        </w:rPr>
        <w:t>–</w:t>
      </w:r>
      <w:r w:rsidRPr="00B0157E">
        <w:rPr>
          <w:b/>
          <w:lang w:val="en-AU"/>
        </w:rPr>
        <w:t xml:space="preserve"> </w:t>
      </w:r>
      <w:r>
        <w:rPr>
          <w:lang w:val="en-AU"/>
        </w:rPr>
        <w:t>a</w:t>
      </w:r>
      <w:r w:rsidRPr="00B0157E">
        <w:rPr>
          <w:lang w:val="en-AU"/>
        </w:rPr>
        <w:t xml:space="preserve">chieving the above elements will go a long way towards achieving improved value for the health system overall. Reducing the volume of services that provide little or no clinical benefit will enable resources to be redirected to new and existing </w:t>
      </w:r>
      <w:r w:rsidRPr="00B0157E">
        <w:rPr>
          <w:lang w:val="en-AU"/>
        </w:rPr>
        <w:lastRenderedPageBreak/>
        <w:t>services that have proven benefits but are underused, particularly for patients who cannot readily access those services.</w:t>
      </w:r>
    </w:p>
    <w:p w14:paraId="3CFFB37D" w14:textId="77777777" w:rsidR="00512F2C" w:rsidRPr="00787C6C" w:rsidRDefault="00677E12" w:rsidP="00E75EE1">
      <w:pPr>
        <w:pStyle w:val="Heading2"/>
      </w:pPr>
      <w:bookmarkStart w:id="23" w:name="_Toc485126947"/>
      <w:bookmarkStart w:id="24" w:name="_Toc485126948"/>
      <w:bookmarkStart w:id="25" w:name="_Toc485126949"/>
      <w:bookmarkStart w:id="26" w:name="_Toc485126950"/>
      <w:bookmarkStart w:id="27" w:name="_Toc485126951"/>
      <w:bookmarkStart w:id="28" w:name="_Toc456045427"/>
      <w:bookmarkStart w:id="29" w:name="_Toc485298016"/>
      <w:bookmarkEnd w:id="23"/>
      <w:bookmarkEnd w:id="24"/>
      <w:bookmarkEnd w:id="25"/>
      <w:bookmarkEnd w:id="26"/>
      <w:bookmarkEnd w:id="27"/>
      <w:r w:rsidRPr="00787C6C">
        <w:t>T</w:t>
      </w:r>
      <w:r w:rsidR="00505694" w:rsidRPr="00787C6C">
        <w:t>he Taskforce</w:t>
      </w:r>
      <w:r w:rsidR="001504C7" w:rsidRPr="00787C6C">
        <w:t>’</w:t>
      </w:r>
      <w:r w:rsidR="00505694" w:rsidRPr="00787C6C">
        <w:t>s approach</w:t>
      </w:r>
      <w:bookmarkEnd w:id="28"/>
      <w:bookmarkEnd w:id="29"/>
    </w:p>
    <w:p w14:paraId="3895A22B" w14:textId="77777777" w:rsidR="002815C2" w:rsidRPr="00E72750" w:rsidRDefault="002815C2" w:rsidP="0047371C">
      <w:r w:rsidRPr="00E72750">
        <w:t>The Taskforce is reviewing existing MBS items, with a primary focus on ensuring that individual items and usage meet the definition of best practice. Within the Taskforce’s brief</w:t>
      </w:r>
      <w:r w:rsidR="00635EA2" w:rsidRPr="00E72750">
        <w:t>,</w:t>
      </w:r>
      <w:r w:rsidRPr="00E72750">
        <w:t xml:space="preserve"> there is considerable scope to review and advise on all aspects </w:t>
      </w:r>
      <w:r w:rsidR="00CF7A92" w:rsidRPr="00E72750">
        <w:t xml:space="preserve">that </w:t>
      </w:r>
      <w:r w:rsidRPr="00E72750">
        <w:t xml:space="preserve">would contribute to a modern, transparent and responsive system. This includes not only making recommendations about </w:t>
      </w:r>
      <w:r w:rsidR="009B5997" w:rsidRPr="00E72750">
        <w:t xml:space="preserve">adding </w:t>
      </w:r>
      <w:r w:rsidRPr="00E72750">
        <w:t>new items or services to the MBS, but also about a</w:t>
      </w:r>
      <w:r w:rsidR="00D86B87" w:rsidRPr="00E72750">
        <w:t>n</w:t>
      </w:r>
      <w:r w:rsidRPr="00E72750">
        <w:t xml:space="preserve"> MBS structure that could better accommodate changing health service models. The Taskforce has made a conscious decision to be ambitious in its approach</w:t>
      </w:r>
      <w:r w:rsidR="00D71AA0" w:rsidRPr="00E72750">
        <w:t>,</w:t>
      </w:r>
      <w:r w:rsidRPr="00E72750">
        <w:t xml:space="preserve"> and</w:t>
      </w:r>
      <w:r w:rsidR="00D71AA0" w:rsidRPr="00E72750">
        <w:t xml:space="preserve"> to</w:t>
      </w:r>
      <w:r w:rsidRPr="00E72750">
        <w:t xml:space="preserve"> seize this unique opportunity to recommend changes to modernise the MBS </w:t>
      </w:r>
      <w:r w:rsidR="0054564B" w:rsidRPr="00E72750">
        <w:t xml:space="preserve">at </w:t>
      </w:r>
      <w:r w:rsidRPr="00E72750">
        <w:t xml:space="preserve">all levels, from the clinical detail of individual items, to administrative rules and mechanisms, to structural, whole-of-MBS issues. The Taskforce will also develop a mechanism for </w:t>
      </w:r>
      <w:r w:rsidR="00A74BDD" w:rsidRPr="00E72750">
        <w:t xml:space="preserve">an </w:t>
      </w:r>
      <w:r w:rsidRPr="00E72750">
        <w:t>on</w:t>
      </w:r>
      <w:r w:rsidR="00AB64DD">
        <w:t>-</w:t>
      </w:r>
      <w:r w:rsidRPr="00E72750">
        <w:t xml:space="preserve">going review of the MBS once the current </w:t>
      </w:r>
      <w:r w:rsidR="00AB64DD">
        <w:t>R</w:t>
      </w:r>
      <w:r w:rsidRPr="00E72750">
        <w:t xml:space="preserve">eview </w:t>
      </w:r>
      <w:r w:rsidR="00192F64" w:rsidRPr="00E72750">
        <w:t xml:space="preserve">has </w:t>
      </w:r>
      <w:r w:rsidRPr="00E72750">
        <w:t>concluded.</w:t>
      </w:r>
    </w:p>
    <w:p w14:paraId="5F7B2AB4" w14:textId="77777777" w:rsidR="00B659CD" w:rsidRPr="00E72750" w:rsidRDefault="004304A5" w:rsidP="0047371C">
      <w:r w:rsidRPr="00E72750">
        <w:t xml:space="preserve">As the </w:t>
      </w:r>
      <w:r w:rsidR="00503813" w:rsidRPr="00E72750">
        <w:t>MBS R</w:t>
      </w:r>
      <w:r w:rsidRPr="00E72750">
        <w:t xml:space="preserve">eview is to be clinician-led, the Taskforce decided that </w:t>
      </w:r>
      <w:r w:rsidR="003F0627" w:rsidRPr="00E72750">
        <w:t xml:space="preserve">clinical committees should conduct </w:t>
      </w:r>
      <w:r w:rsidRPr="00E72750">
        <w:t xml:space="preserve">the detailed review of MBS items. The </w:t>
      </w:r>
      <w:r w:rsidR="0004524F" w:rsidRPr="00E72750">
        <w:t>c</w:t>
      </w:r>
      <w:r w:rsidRPr="00E72750">
        <w:t>ommittees are broad</w:t>
      </w:r>
      <w:r w:rsidR="00F86B5C" w:rsidRPr="00E72750">
        <w:t>-</w:t>
      </w:r>
      <w:r w:rsidRPr="00E72750">
        <w:t>based in their membership</w:t>
      </w:r>
      <w:r w:rsidR="00A810EC" w:rsidRPr="00E72750">
        <w:t>,</w:t>
      </w:r>
      <w:r w:rsidRPr="00E72750">
        <w:t xml:space="preserve"> and members have been appointed in their individual capacity, </w:t>
      </w:r>
      <w:r w:rsidR="008A3BEA" w:rsidRPr="00E72750">
        <w:t xml:space="preserve">rather than </w:t>
      </w:r>
      <w:r w:rsidRPr="00E72750">
        <w:t xml:space="preserve">as representatives of any organisation. </w:t>
      </w:r>
    </w:p>
    <w:p w14:paraId="1322287D" w14:textId="77777777" w:rsidR="00D6480F" w:rsidRPr="00E72750" w:rsidRDefault="00D6480F" w:rsidP="0047371C">
      <w:r w:rsidRPr="00E72750">
        <w:t xml:space="preserve">The Taskforce asked all committees in the second tranche of the review process to review MBS items using a framework based on Professor Adam </w:t>
      </w:r>
      <w:proofErr w:type="spellStart"/>
      <w:r w:rsidRPr="00E72750">
        <w:t>Elshaug’s</w:t>
      </w:r>
      <w:proofErr w:type="spellEnd"/>
      <w:r w:rsidRPr="00E72750">
        <w:t xml:space="preserve"> </w:t>
      </w:r>
      <w:r w:rsidR="00163564" w:rsidRPr="00E72750">
        <w:t>a</w:t>
      </w:r>
      <w:r w:rsidRPr="00E72750">
        <w:t>pp</w:t>
      </w:r>
      <w:r w:rsidR="00163564" w:rsidRPr="00E72750">
        <w:t>ropriate use criteria</w:t>
      </w:r>
      <w:r w:rsidR="002E2D06" w:rsidRPr="00E72750">
        <w:t>.</w:t>
      </w:r>
      <w:r w:rsidRPr="00572281">
        <w:fldChar w:fldCharType="begin" w:fldLock="1"/>
      </w:r>
      <w:r w:rsidR="00855506">
        <w:instrText>ADDIN CSL_CITATION { "citationItems" : [ { "id" : "ITEM-1", "itemData" : { "author" : [ { "dropping-particle" : "", "family" : "Elshaug", "given" : "Adam", "non-dropping-particle" : "", "parse-names" : false, "suffix" : "" } ], "id" : "ITEM-1", "issued" : { "date-parts" : [ [ "2016" ] ] }, "title" : "Appropriate Use Criteria", "type" : "report" }, "uris" : [ "http://www.mendeley.com/documents/?uuid=375cd0aa-679a-49a1-abd5-1350ed5a530b" ] } ], "mendeley" : { "formattedCitation" : "[1]", "plainTextFormattedCitation" : "[1]", "previouslyFormattedCitation" : "[1]" }, "properties" : { "noteIndex" : 0 }, "schema" : "https://github.com/citation-style-language/schema/raw/master/csl-citation.json" }</w:instrText>
      </w:r>
      <w:r w:rsidRPr="00572281">
        <w:fldChar w:fldCharType="separate"/>
      </w:r>
      <w:r w:rsidR="008037E1" w:rsidRPr="008037E1">
        <w:rPr>
          <w:noProof/>
        </w:rPr>
        <w:t>[1]</w:t>
      </w:r>
      <w:r w:rsidRPr="00572281">
        <w:fldChar w:fldCharType="end"/>
      </w:r>
      <w:r w:rsidR="00444D4F" w:rsidRPr="00E72750">
        <w:t xml:space="preserve"> </w:t>
      </w:r>
      <w:r w:rsidRPr="00E72750">
        <w:t xml:space="preserve">The </w:t>
      </w:r>
      <w:r w:rsidR="00444D4F" w:rsidRPr="00E72750">
        <w:t xml:space="preserve">framework </w:t>
      </w:r>
      <w:r w:rsidR="00EE51CD" w:rsidRPr="00E72750">
        <w:t xml:space="preserve">used </w:t>
      </w:r>
      <w:r w:rsidR="002E2D06" w:rsidRPr="00E72750">
        <w:t xml:space="preserve">by the committees </w:t>
      </w:r>
      <w:r w:rsidR="00444D4F" w:rsidRPr="00E72750">
        <w:t>consists</w:t>
      </w:r>
      <w:r w:rsidRPr="00E72750">
        <w:t xml:space="preserve"> </w:t>
      </w:r>
      <w:r w:rsidR="00444D4F" w:rsidRPr="00E72750">
        <w:t>of</w:t>
      </w:r>
      <w:r w:rsidRPr="00E72750">
        <w:t xml:space="preserve"> seven steps:</w:t>
      </w:r>
    </w:p>
    <w:p w14:paraId="207808DF" w14:textId="77777777" w:rsidR="00D6480F" w:rsidRPr="00E72750" w:rsidRDefault="00D6480F" w:rsidP="00352EC5">
      <w:pPr>
        <w:pStyle w:val="01squarebullet"/>
        <w:numPr>
          <w:ilvl w:val="0"/>
          <w:numId w:val="16"/>
        </w:numPr>
      </w:pPr>
      <w:r w:rsidRPr="00E72750">
        <w:t xml:space="preserve">Develop an initial fact base for all items under consideration, drawing on the relevant data and literature. </w:t>
      </w:r>
    </w:p>
    <w:p w14:paraId="37F91519" w14:textId="77777777" w:rsidR="00D6480F" w:rsidRPr="00E72750" w:rsidRDefault="00D6480F" w:rsidP="00352EC5">
      <w:pPr>
        <w:pStyle w:val="01squarebullet"/>
        <w:numPr>
          <w:ilvl w:val="0"/>
          <w:numId w:val="16"/>
        </w:numPr>
      </w:pPr>
      <w:r w:rsidRPr="00E72750">
        <w:t xml:space="preserve">Identify </w:t>
      </w:r>
      <w:r w:rsidR="005A2BF8" w:rsidRPr="00E72750">
        <w:t>items that are obsolete, are of questionable clinical</w:t>
      </w:r>
      <w:r w:rsidRPr="00E72750">
        <w:t xml:space="preserve"> value</w:t>
      </w:r>
      <w:r w:rsidR="0064705D" w:rsidRPr="00E72750">
        <w:t>,</w:t>
      </w:r>
      <w:r w:rsidRPr="00572281">
        <w:rPr>
          <w:rStyle w:val="FootnoteReference"/>
        </w:rPr>
        <w:footnoteReference w:id="4"/>
      </w:r>
      <w:r w:rsidRPr="00E72750">
        <w:t xml:space="preserve"> are misused</w:t>
      </w:r>
      <w:r w:rsidRPr="00572281">
        <w:rPr>
          <w:rStyle w:val="FootnoteReference"/>
        </w:rPr>
        <w:footnoteReference w:id="5"/>
      </w:r>
      <w:r w:rsidRPr="00E72750">
        <w:t xml:space="preserve"> and/or pose a risk to patient safety. This step includes </w:t>
      </w:r>
      <w:proofErr w:type="spellStart"/>
      <w:r w:rsidRPr="00E72750">
        <w:t>prioritising</w:t>
      </w:r>
      <w:proofErr w:type="spellEnd"/>
      <w:r w:rsidRPr="00E72750">
        <w:t xml:space="preserve"> items as “priority 1</w:t>
      </w:r>
      <w:r w:rsidR="00437395" w:rsidRPr="00E72750">
        <w:t>,</w:t>
      </w:r>
      <w:r w:rsidRPr="00E72750">
        <w:t>” “priority 2” or “priority 3</w:t>
      </w:r>
      <w:r w:rsidR="00437395" w:rsidRPr="00E72750">
        <w:t>,</w:t>
      </w:r>
      <w:r w:rsidRPr="00E72750">
        <w:t xml:space="preserve">” using a </w:t>
      </w:r>
      <w:proofErr w:type="spellStart"/>
      <w:r w:rsidRPr="00E72750">
        <w:t>prioritisation</w:t>
      </w:r>
      <w:proofErr w:type="spellEnd"/>
      <w:r w:rsidRPr="00E72750">
        <w:t xml:space="preserve"> methodology (described in more detail below).</w:t>
      </w:r>
    </w:p>
    <w:p w14:paraId="69AB41DC" w14:textId="77777777" w:rsidR="00D6480F" w:rsidRPr="00E72750" w:rsidRDefault="00D6480F" w:rsidP="00352EC5">
      <w:pPr>
        <w:pStyle w:val="01squarebullet"/>
        <w:numPr>
          <w:ilvl w:val="0"/>
          <w:numId w:val="16"/>
        </w:numPr>
      </w:pPr>
      <w:r w:rsidRPr="00E72750">
        <w:t>Identify any issues, develop hypotheses for recommendations and create a work plan (including establishing working groups, when required) to arrive at recommendations for each item.</w:t>
      </w:r>
    </w:p>
    <w:p w14:paraId="6A0A96B2" w14:textId="77777777" w:rsidR="00D6480F" w:rsidRPr="00E72750" w:rsidRDefault="00D6480F" w:rsidP="00352EC5">
      <w:pPr>
        <w:pStyle w:val="01squarebullet"/>
        <w:numPr>
          <w:ilvl w:val="0"/>
          <w:numId w:val="16"/>
        </w:numPr>
      </w:pPr>
      <w:r w:rsidRPr="00E72750">
        <w:t>Gather further data, clinical guidelines and relevant literature in order to make provisional recommendations and draft accompanying rationales, as per the work plan. This process begins with priority 1 items, continues with priority 2 item</w:t>
      </w:r>
      <w:r w:rsidR="00667684" w:rsidRPr="00E72750">
        <w:t>s and concludes with priority 3 </w:t>
      </w:r>
      <w:r w:rsidRPr="00E72750">
        <w:t xml:space="preserve">items. This step also involves consultation with relevant stakeholders within the Committee, working groups, and relevant colleagues or colleges. </w:t>
      </w:r>
      <w:r w:rsidR="00437395" w:rsidRPr="00E72750">
        <w:t>(</w:t>
      </w:r>
      <w:r w:rsidRPr="00E72750">
        <w:t>For complex cases, full appropriate use criteria were developed for the item’s explanatory notes.</w:t>
      </w:r>
      <w:r w:rsidR="00437395" w:rsidRPr="00E72750">
        <w:t>)</w:t>
      </w:r>
    </w:p>
    <w:p w14:paraId="33441B95" w14:textId="77777777" w:rsidR="00D6480F" w:rsidRPr="00E72750" w:rsidRDefault="00D6480F" w:rsidP="00352EC5">
      <w:pPr>
        <w:pStyle w:val="01squarebullet"/>
        <w:numPr>
          <w:ilvl w:val="0"/>
          <w:numId w:val="16"/>
        </w:numPr>
      </w:pPr>
      <w:r w:rsidRPr="00E72750">
        <w:t>Review provisional recommendations and the accompanying rationales, and gather further evidence as required.</w:t>
      </w:r>
    </w:p>
    <w:p w14:paraId="56E2F2B4" w14:textId="77777777" w:rsidR="00D6480F" w:rsidRPr="00E72750" w:rsidRDefault="00D6480F" w:rsidP="00352EC5">
      <w:pPr>
        <w:pStyle w:val="01squarebullet"/>
        <w:numPr>
          <w:ilvl w:val="0"/>
          <w:numId w:val="16"/>
        </w:numPr>
      </w:pPr>
      <w:proofErr w:type="spellStart"/>
      <w:r w:rsidRPr="00E72750">
        <w:t>Finalise</w:t>
      </w:r>
      <w:proofErr w:type="spellEnd"/>
      <w:r w:rsidRPr="00E72750">
        <w:t xml:space="preserve"> recommendations in preparation for broader stakeholder consultation.</w:t>
      </w:r>
    </w:p>
    <w:p w14:paraId="5B85B97B" w14:textId="77777777" w:rsidR="00D6480F" w:rsidRPr="00E72750" w:rsidRDefault="00D6480F" w:rsidP="00352EC5">
      <w:pPr>
        <w:pStyle w:val="01squarebullet"/>
        <w:numPr>
          <w:ilvl w:val="0"/>
          <w:numId w:val="16"/>
        </w:numPr>
      </w:pPr>
      <w:r w:rsidRPr="00E72750">
        <w:t xml:space="preserve">Incorporate feedback gathered during stakeholder consultation and </w:t>
      </w:r>
      <w:proofErr w:type="spellStart"/>
      <w:r w:rsidRPr="00E72750">
        <w:t>finalise</w:t>
      </w:r>
      <w:proofErr w:type="spellEnd"/>
      <w:r w:rsidRPr="00E72750">
        <w:t xml:space="preserve"> the </w:t>
      </w:r>
      <w:r w:rsidR="00434834">
        <w:t>R</w:t>
      </w:r>
      <w:r w:rsidRPr="00E72750">
        <w:t xml:space="preserve">eview report, which provides recommendations for the Taskforce. </w:t>
      </w:r>
    </w:p>
    <w:p w14:paraId="34299893" w14:textId="77777777" w:rsidR="00A81708" w:rsidRPr="00E72750" w:rsidRDefault="00B659CD" w:rsidP="0047371C">
      <w:r w:rsidRPr="008E71BF">
        <w:t xml:space="preserve">All MBS items were reviewed </w:t>
      </w:r>
      <w:proofErr w:type="gramStart"/>
      <w:r w:rsidRPr="008E71BF">
        <w:t>during the course of</w:t>
      </w:r>
      <w:proofErr w:type="gramEnd"/>
      <w:r w:rsidRPr="008E71BF">
        <w:t xml:space="preserve"> the MBS Review. However, given the </w:t>
      </w:r>
      <w:proofErr w:type="gramStart"/>
      <w:r w:rsidRPr="008E71BF">
        <w:t>breadth  and</w:t>
      </w:r>
      <w:proofErr w:type="gramEnd"/>
      <w:r w:rsidRPr="008E71BF">
        <w:t xml:space="preserve"> timeframe for the </w:t>
      </w:r>
      <w:r w:rsidR="00434834">
        <w:t>R</w:t>
      </w:r>
      <w:r w:rsidRPr="008E71BF">
        <w:t xml:space="preserve">eview, each clinical committee </w:t>
      </w:r>
      <w:r w:rsidR="00FC5D67" w:rsidRPr="008E71BF">
        <w:t xml:space="preserve">had </w:t>
      </w:r>
      <w:r w:rsidRPr="008E71BF">
        <w:t>to develop a work plan and assign priorities</w:t>
      </w:r>
      <w:r w:rsidR="00FC5D67" w:rsidRPr="008E71BF">
        <w:t>,</w:t>
      </w:r>
      <w:r w:rsidRPr="008E71BF">
        <w:t xml:space="preserve"> keeping in mind the objectives of the </w:t>
      </w:r>
      <w:r w:rsidR="00434834">
        <w:t>R</w:t>
      </w:r>
      <w:r w:rsidRPr="008E71BF">
        <w:t xml:space="preserve">eview. </w:t>
      </w:r>
      <w:r w:rsidR="00A81708" w:rsidRPr="008E71BF">
        <w:t xml:space="preserve">Committees used a robust prioritisation methodology </w:t>
      </w:r>
      <w:r w:rsidR="00A81708" w:rsidRPr="008E71BF">
        <w:lastRenderedPageBreak/>
        <w:t xml:space="preserve">to focus </w:t>
      </w:r>
      <w:r w:rsidR="00B2342B" w:rsidRPr="00E72750">
        <w:t>their</w:t>
      </w:r>
      <w:r w:rsidR="00A81708" w:rsidRPr="00E72750">
        <w:t xml:space="preserve"> attention and resources on the most important items requiring review. T</w:t>
      </w:r>
      <w:r w:rsidR="00AB287E" w:rsidRPr="00E72750">
        <w:t>his was determined based on</w:t>
      </w:r>
      <w:r w:rsidR="00A81708" w:rsidRPr="00E72750">
        <w:t xml:space="preserve"> a combination of two stan</w:t>
      </w:r>
      <w:r w:rsidR="00CD47EC" w:rsidRPr="00E72750">
        <w:t>dard metrics, derived from the appropriate use c</w:t>
      </w:r>
      <w:r w:rsidR="00A81708" w:rsidRPr="00E72750">
        <w:t>riteria</w:t>
      </w:r>
      <w:r w:rsidR="00FA5596" w:rsidRPr="00E72750">
        <w:t>:</w:t>
      </w:r>
      <w:r w:rsidR="00A81708" w:rsidRPr="00572281">
        <w:fldChar w:fldCharType="begin" w:fldLock="1"/>
      </w:r>
      <w:r w:rsidR="00855506">
        <w:instrText>ADDIN CSL_CITATION { "citationItems" : [ { "id" : "ITEM-1", "itemData" : { "author" : [ { "dropping-particle" : "", "family" : "Elshaug", "given" : "Adam", "non-dropping-particle" : "", "parse-names" : false, "suffix" : "" } ], "id" : "ITEM-1", "issued" : { "date-parts" : [ [ "2016" ] ] }, "title" : "Appropriate Use Criteria", "type" : "report" }, "uris" : [ "http://www.mendeley.com/documents/?uuid=375cd0aa-679a-49a1-abd5-1350ed5a530b" ] } ], "mendeley" : { "formattedCitation" : "[1]", "plainTextFormattedCitation" : "[1]", "previouslyFormattedCitation" : "[1]" }, "properties" : { "noteIndex" : 0 }, "schema" : "https://github.com/citation-style-language/schema/raw/master/csl-citation.json" }</w:instrText>
      </w:r>
      <w:r w:rsidR="00A81708" w:rsidRPr="00572281">
        <w:fldChar w:fldCharType="separate"/>
      </w:r>
      <w:r w:rsidR="008037E1" w:rsidRPr="008037E1">
        <w:rPr>
          <w:noProof/>
        </w:rPr>
        <w:t>[1]</w:t>
      </w:r>
      <w:r w:rsidR="00A81708" w:rsidRPr="00572281">
        <w:fldChar w:fldCharType="end"/>
      </w:r>
    </w:p>
    <w:p w14:paraId="3ACF00AA" w14:textId="77777777" w:rsidR="00A81708" w:rsidRPr="00E72750" w:rsidRDefault="00A81708" w:rsidP="00352EC5">
      <w:pPr>
        <w:pStyle w:val="01squarebullet"/>
      </w:pPr>
      <w:r w:rsidRPr="00E72750">
        <w:t>Service volume</w:t>
      </w:r>
      <w:r w:rsidR="00FA5596" w:rsidRPr="00E72750">
        <w:t>.</w:t>
      </w:r>
    </w:p>
    <w:p w14:paraId="32595B9E" w14:textId="77777777" w:rsidR="00A81708" w:rsidRPr="00E72750" w:rsidRDefault="00A81708" w:rsidP="00352EC5">
      <w:pPr>
        <w:pStyle w:val="01squarebullet"/>
      </w:pPr>
      <w:r w:rsidRPr="00E72750">
        <w:t>The likelihood that the item need</w:t>
      </w:r>
      <w:r w:rsidR="00FA5596" w:rsidRPr="00E72750">
        <w:t>ed</w:t>
      </w:r>
      <w:r w:rsidRPr="00E72750">
        <w:t xml:space="preserve"> to be revised, determined by indicators such as identified safety concerns, geographic or temporal variation, delivery irregularity, the potential misuse of indications or other concerns raised by the Committee (such as inappropriate co-claiming).</w:t>
      </w:r>
    </w:p>
    <w:p w14:paraId="291C786B" w14:textId="77777777" w:rsidR="00BC3850" w:rsidRDefault="00A81708" w:rsidP="0047371C">
      <w:r w:rsidRPr="00E72750">
        <w:t>For each item, these two metrics were ranked high, medium or low. These rankings were then combined to generate a priority ranking ranging from one to three</w:t>
      </w:r>
      <w:r w:rsidR="00D420A5" w:rsidRPr="00E72750">
        <w:t xml:space="preserve"> (</w:t>
      </w:r>
      <w:r w:rsidRPr="00E72750">
        <w:t>where priority 1 items are the highest priority and priority 3 items are the lowest priority for review)</w:t>
      </w:r>
      <w:r w:rsidR="00D420A5" w:rsidRPr="00E72750">
        <w:t>, using a prioritisation matrix (</w:t>
      </w:r>
      <w:r w:rsidR="00974664" w:rsidRPr="008E71BF">
        <w:rPr>
          <w:rFonts w:cs="Arial"/>
        </w:rPr>
        <w:t>Figure</w:t>
      </w:r>
      <w:r w:rsidR="00D420A5" w:rsidRPr="008E71BF">
        <w:rPr>
          <w:rFonts w:cs="Arial"/>
        </w:rPr>
        <w:t xml:space="preserve"> 1).</w:t>
      </w:r>
      <w:r w:rsidRPr="00E72750">
        <w:t xml:space="preserve"> Committee</w:t>
      </w:r>
      <w:r w:rsidR="00E067A6" w:rsidRPr="00E72750">
        <w:t>s</w:t>
      </w:r>
      <w:r w:rsidRPr="00E72750">
        <w:t xml:space="preserve"> used this priority ranking to organise </w:t>
      </w:r>
      <w:r w:rsidR="00E24A83" w:rsidRPr="00E72750">
        <w:t>their</w:t>
      </w:r>
      <w:r w:rsidRPr="00E72750">
        <w:t xml:space="preserve"> review of item numbers and apportion the amount of time spent on each item. </w:t>
      </w:r>
    </w:p>
    <w:p w14:paraId="4444674E" w14:textId="77777777" w:rsidR="00D56165" w:rsidRPr="00E72750" w:rsidRDefault="00D56165" w:rsidP="0047371C"/>
    <w:p w14:paraId="0F3BEB4A" w14:textId="77777777" w:rsidR="008739ED" w:rsidRPr="00AE62D5" w:rsidRDefault="008739ED" w:rsidP="008739ED">
      <w:pPr>
        <w:pStyle w:val="Caption"/>
        <w:rPr>
          <w:b w:val="0"/>
        </w:rPr>
      </w:pPr>
      <w:bookmarkStart w:id="30" w:name="_Toc485127171"/>
      <w:r w:rsidRPr="00AE62D5">
        <w:rPr>
          <w:b w:val="0"/>
        </w:rPr>
        <w:t xml:space="preserve">Figure </w:t>
      </w:r>
      <w:r w:rsidRPr="00AE62D5">
        <w:rPr>
          <w:b w:val="0"/>
        </w:rPr>
        <w:fldChar w:fldCharType="begin"/>
      </w:r>
      <w:r w:rsidRPr="00AE62D5">
        <w:rPr>
          <w:b w:val="0"/>
        </w:rPr>
        <w:instrText xml:space="preserve"> SEQ Figure \* ARABIC </w:instrText>
      </w:r>
      <w:r w:rsidRPr="00AE62D5">
        <w:rPr>
          <w:b w:val="0"/>
        </w:rPr>
        <w:fldChar w:fldCharType="separate"/>
      </w:r>
      <w:r w:rsidR="00DC5AF7">
        <w:rPr>
          <w:b w:val="0"/>
          <w:noProof/>
        </w:rPr>
        <w:t>1</w:t>
      </w:r>
      <w:r w:rsidRPr="00AE62D5">
        <w:rPr>
          <w:b w:val="0"/>
        </w:rPr>
        <w:fldChar w:fldCharType="end"/>
      </w:r>
      <w:r w:rsidR="00AD48EB">
        <w:rPr>
          <w:b w:val="0"/>
        </w:rPr>
        <w:t>:</w:t>
      </w:r>
      <w:r w:rsidRPr="00AE62D5">
        <w:rPr>
          <w:b w:val="0"/>
        </w:rPr>
        <w:t xml:space="preserve"> Prioritisation matrix</w:t>
      </w:r>
      <w:bookmarkEnd w:id="30"/>
    </w:p>
    <w:p w14:paraId="08BE2218" w14:textId="77777777" w:rsidR="008739ED" w:rsidRDefault="008739ED" w:rsidP="0047371C">
      <w:pPr>
        <w:pStyle w:val="70exhtblnormal"/>
      </w:pPr>
      <w:r w:rsidRPr="007A7D1D">
        <w:rPr>
          <w:noProof/>
          <w:lang w:val="en-AU" w:eastAsia="en-AU"/>
        </w:rPr>
        <w:drawing>
          <wp:inline distT="0" distB="0" distL="0" distR="0" wp14:anchorId="51BE3920" wp14:editId="09A2725F">
            <wp:extent cx="4476750" cy="3348990"/>
            <wp:effectExtent l="0" t="0" r="0" b="3810"/>
            <wp:docPr id="1" name="Picture 1"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348990"/>
                    </a:xfrm>
                    <a:prstGeom prst="rect">
                      <a:avLst/>
                    </a:prstGeom>
                    <a:noFill/>
                    <a:ln>
                      <a:noFill/>
                    </a:ln>
                  </pic:spPr>
                </pic:pic>
              </a:graphicData>
            </a:graphic>
          </wp:inline>
        </w:drawing>
      </w:r>
    </w:p>
    <w:p w14:paraId="012EACA4" w14:textId="77777777" w:rsidR="00840CA9" w:rsidRDefault="00840CA9" w:rsidP="0047371C"/>
    <w:p w14:paraId="76A1D2B6" w14:textId="77777777" w:rsidR="00840CA9" w:rsidRDefault="00840CA9" w:rsidP="00AE62D5">
      <w:r>
        <w:br w:type="page"/>
      </w:r>
    </w:p>
    <w:p w14:paraId="391D86BB" w14:textId="77777777" w:rsidR="00512F2C" w:rsidRPr="008E71BF" w:rsidRDefault="00CB29AD" w:rsidP="00E75EE1">
      <w:pPr>
        <w:pStyle w:val="Heading1"/>
      </w:pPr>
      <w:bookmarkStart w:id="31" w:name="_Toc485126953"/>
      <w:bookmarkStart w:id="32" w:name="_Toc456045428"/>
      <w:bookmarkStart w:id="33" w:name="_Toc485298017"/>
      <w:bookmarkEnd w:id="31"/>
      <w:r w:rsidRPr="008E71BF">
        <w:lastRenderedPageBreak/>
        <w:t xml:space="preserve">About </w:t>
      </w:r>
      <w:r w:rsidR="00E64F6C" w:rsidRPr="008E71BF">
        <w:t xml:space="preserve">the </w:t>
      </w:r>
      <w:r w:rsidR="00A92548" w:rsidRPr="008E71BF">
        <w:t xml:space="preserve">Endocrinology Clinical </w:t>
      </w:r>
      <w:r w:rsidR="00C3104E" w:rsidRPr="008E71BF">
        <w:t>Committee</w:t>
      </w:r>
      <w:bookmarkEnd w:id="32"/>
      <w:bookmarkEnd w:id="33"/>
    </w:p>
    <w:p w14:paraId="3CC687A1" w14:textId="77777777" w:rsidR="00840CA9" w:rsidRDefault="00BB2B7E" w:rsidP="0047371C">
      <w:r w:rsidRPr="00E72750">
        <w:t xml:space="preserve">The Endocrinology Clinical Committee (the Committee) </w:t>
      </w:r>
      <w:r w:rsidR="005707A2" w:rsidRPr="00E72750">
        <w:t xml:space="preserve">is </w:t>
      </w:r>
      <w:r w:rsidRPr="00E72750">
        <w:t xml:space="preserve">part of the </w:t>
      </w:r>
      <w:r w:rsidR="007E4B96" w:rsidRPr="00E72750">
        <w:t>second tranche</w:t>
      </w:r>
      <w:r w:rsidR="00AA32E8" w:rsidRPr="00E72750">
        <w:t xml:space="preserve"> </w:t>
      </w:r>
      <w:r w:rsidRPr="00E72750">
        <w:t xml:space="preserve">of </w:t>
      </w:r>
      <w:r w:rsidR="00FD05D4" w:rsidRPr="00E72750">
        <w:t>c</w:t>
      </w:r>
      <w:r w:rsidRPr="00E72750">
        <w:t xml:space="preserve">linical </w:t>
      </w:r>
      <w:r w:rsidR="00FD05D4" w:rsidRPr="00E72750">
        <w:t>c</w:t>
      </w:r>
      <w:r w:rsidRPr="00E72750">
        <w:t>ommittees</w:t>
      </w:r>
      <w:r w:rsidR="00715FC6" w:rsidRPr="00E72750">
        <w:t xml:space="preserve">. </w:t>
      </w:r>
      <w:r w:rsidR="005707A2" w:rsidRPr="00E72750">
        <w:t xml:space="preserve">It was established </w:t>
      </w:r>
      <w:r w:rsidR="000361EE" w:rsidRPr="00E72750">
        <w:t xml:space="preserve">in April 2016 </w:t>
      </w:r>
      <w:r w:rsidR="005707A2" w:rsidRPr="00E72750">
        <w:t>to make recommendations to</w:t>
      </w:r>
      <w:r w:rsidR="001874C0" w:rsidRPr="00E72750">
        <w:t xml:space="preserve"> the Taskforce on MBS items within its remit, based on rapid evidence review and clinical expertise. </w:t>
      </w:r>
    </w:p>
    <w:p w14:paraId="274E0135" w14:textId="77777777" w:rsidR="002478E5" w:rsidRPr="00E72750" w:rsidRDefault="00715FC6" w:rsidP="0047371C">
      <w:r w:rsidRPr="00E72750">
        <w:t>The Committee consist</w:t>
      </w:r>
      <w:r w:rsidR="0090461F" w:rsidRPr="00E72750">
        <w:t xml:space="preserve">s of </w:t>
      </w:r>
      <w:r w:rsidR="00F93A7F">
        <w:t>13</w:t>
      </w:r>
      <w:r w:rsidR="002856F5" w:rsidRPr="00E72750">
        <w:t xml:space="preserve"> </w:t>
      </w:r>
      <w:r w:rsidRPr="00E72750">
        <w:t>members</w:t>
      </w:r>
      <w:r w:rsidR="00434834">
        <w:t xml:space="preserve"> and</w:t>
      </w:r>
      <w:r w:rsidR="00252ACF" w:rsidRPr="00E72750">
        <w:t xml:space="preserve"> </w:t>
      </w:r>
      <w:r w:rsidR="00F93A7F">
        <w:t>three</w:t>
      </w:r>
      <w:r w:rsidRPr="00E72750">
        <w:t xml:space="preserve"> additional </w:t>
      </w:r>
      <w:r w:rsidR="005D4FE6" w:rsidRPr="00E72750">
        <w:t>w</w:t>
      </w:r>
      <w:r w:rsidR="00BE1470" w:rsidRPr="00E72750">
        <w:t xml:space="preserve">orking </w:t>
      </w:r>
      <w:r w:rsidR="005D4FE6" w:rsidRPr="00E72750">
        <w:t>g</w:t>
      </w:r>
      <w:r w:rsidRPr="00E72750">
        <w:t>roup members</w:t>
      </w:r>
      <w:r w:rsidR="00920FBE" w:rsidRPr="00E72750">
        <w:t>, whose</w:t>
      </w:r>
      <w:r w:rsidRPr="00E72750">
        <w:t xml:space="preserve"> nam</w:t>
      </w:r>
      <w:r w:rsidR="00D54480" w:rsidRPr="00E72750">
        <w:t>es, positions/organisations and</w:t>
      </w:r>
      <w:r w:rsidRPr="00E72750">
        <w:t xml:space="preserve"> declared conflicts of interest</w:t>
      </w:r>
      <w:r w:rsidR="003D0AA3" w:rsidRPr="00E72750">
        <w:t xml:space="preserve"> </w:t>
      </w:r>
      <w:r w:rsidRPr="00E72750">
        <w:t xml:space="preserve">are listed in </w:t>
      </w:r>
      <w:r w:rsidR="005B0E28" w:rsidRPr="00E72750">
        <w:t>S</w:t>
      </w:r>
      <w:r w:rsidRPr="00E72750">
        <w:t xml:space="preserve">ections </w:t>
      </w:r>
      <w:r w:rsidR="00AD48EB">
        <w:t>3</w:t>
      </w:r>
      <w:r w:rsidR="000F189C" w:rsidRPr="00E72750">
        <w:t>.1</w:t>
      </w:r>
      <w:r w:rsidRPr="00E72750">
        <w:t xml:space="preserve"> and </w:t>
      </w:r>
      <w:r w:rsidR="00AD48EB">
        <w:t>3</w:t>
      </w:r>
      <w:r w:rsidR="006A69C1" w:rsidRPr="00E72750">
        <w:t>.2</w:t>
      </w:r>
      <w:r w:rsidRPr="00E72750">
        <w:t>.</w:t>
      </w:r>
      <w:r w:rsidR="00093558" w:rsidRPr="00E72750">
        <w:t xml:space="preserve"> </w:t>
      </w:r>
      <w:r w:rsidR="002478E5" w:rsidRPr="00E72750">
        <w:t xml:space="preserve">All members of the Taskforce, </w:t>
      </w:r>
      <w:r w:rsidR="004D1B27" w:rsidRPr="00E72750">
        <w:t>c</w:t>
      </w:r>
      <w:r w:rsidR="002478E5" w:rsidRPr="00E72750">
        <w:t xml:space="preserve">linical </w:t>
      </w:r>
      <w:r w:rsidR="004D1B27" w:rsidRPr="00E72750">
        <w:t>c</w:t>
      </w:r>
      <w:r w:rsidR="002478E5" w:rsidRPr="00E72750">
        <w:t xml:space="preserve">ommittees and </w:t>
      </w:r>
      <w:r w:rsidR="004D1B27" w:rsidRPr="00E72750">
        <w:t>w</w:t>
      </w:r>
      <w:r w:rsidR="002478E5" w:rsidRPr="00E72750">
        <w:t xml:space="preserve">orking </w:t>
      </w:r>
      <w:r w:rsidR="004D1B27" w:rsidRPr="00E72750">
        <w:t>g</w:t>
      </w:r>
      <w:r w:rsidR="00F66E3D">
        <w:t>roups we</w:t>
      </w:r>
      <w:r w:rsidR="002478E5" w:rsidRPr="00E72750">
        <w:t xml:space="preserve">re asked to declare any conflicts of interest at the start of their involvement and </w:t>
      </w:r>
      <w:r w:rsidR="003B0ACF" w:rsidRPr="00E72750">
        <w:t xml:space="preserve">are </w:t>
      </w:r>
      <w:r w:rsidR="002478E5" w:rsidRPr="00E72750">
        <w:t>reminded to update their declarations periodically.</w:t>
      </w:r>
    </w:p>
    <w:p w14:paraId="7691204C" w14:textId="77777777" w:rsidR="006F6F5B" w:rsidRPr="00E72750" w:rsidRDefault="00026792" w:rsidP="00AE62D5">
      <w:pPr>
        <w:pStyle w:val="Heading2"/>
      </w:pPr>
      <w:bookmarkStart w:id="34" w:name="_Toc456045429"/>
      <w:bookmarkStart w:id="35" w:name="_Toc485298018"/>
      <w:r w:rsidRPr="008E71BF">
        <w:t xml:space="preserve">Committee </w:t>
      </w:r>
      <w:r w:rsidR="00645491" w:rsidRPr="008E71BF">
        <w:t>m</w:t>
      </w:r>
      <w:r w:rsidRPr="008E71BF">
        <w:t>embers</w:t>
      </w:r>
      <w:bookmarkEnd w:id="34"/>
      <w:bookmarkEnd w:id="35"/>
      <w:r w:rsidR="007E15A5" w:rsidRPr="008E71BF">
        <w:t xml:space="preserve"> </w:t>
      </w:r>
    </w:p>
    <w:p w14:paraId="3890FFD7" w14:textId="77777777" w:rsidR="008739ED" w:rsidRPr="00717067" w:rsidRDefault="008739ED" w:rsidP="00AE62D5">
      <w:pPr>
        <w:pStyle w:val="Caption"/>
      </w:pPr>
      <w:bookmarkStart w:id="36" w:name="_Toc485127110"/>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1</w:t>
      </w:r>
      <w:r w:rsidRPr="00AE62D5">
        <w:rPr>
          <w:b w:val="0"/>
        </w:rPr>
        <w:fldChar w:fldCharType="end"/>
      </w:r>
      <w:r w:rsidR="00AD48EB">
        <w:rPr>
          <w:b w:val="0"/>
        </w:rPr>
        <w:t>:</w:t>
      </w:r>
      <w:r w:rsidRPr="00AE62D5">
        <w:rPr>
          <w:b w:val="0"/>
        </w:rPr>
        <w:t xml:space="preserve"> Committee members</w:t>
      </w:r>
      <w:bookmarkEnd w:id="36"/>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 lists the Committee members for the Endocrinology Clinical Committee. The table contains the names of members, their associated position/organisation and any delcared conflict of interest."/>
      </w:tblPr>
      <w:tblGrid>
        <w:gridCol w:w="1645"/>
        <w:gridCol w:w="4587"/>
        <w:gridCol w:w="2784"/>
      </w:tblGrid>
      <w:tr w:rsidR="007E15A5" w:rsidRPr="00E72750" w14:paraId="308D255C" w14:textId="77777777" w:rsidTr="00DE79F0">
        <w:trPr>
          <w:tblHeader/>
        </w:trPr>
        <w:tc>
          <w:tcPr>
            <w:tcW w:w="912" w:type="pct"/>
            <w:tcBorders>
              <w:bottom w:val="single" w:sz="4" w:space="0" w:color="808080"/>
            </w:tcBorders>
            <w:shd w:val="clear" w:color="auto" w:fill="D9D9D9" w:themeFill="background1" w:themeFillShade="D9"/>
            <w:tcMar>
              <w:left w:w="57" w:type="dxa"/>
            </w:tcMar>
            <w:vAlign w:val="bottom"/>
          </w:tcPr>
          <w:p w14:paraId="2DB3BB3D" w14:textId="77777777" w:rsidR="007E15A5" w:rsidRPr="00E72750" w:rsidRDefault="007E15A5" w:rsidP="00801E5A">
            <w:pPr>
              <w:pStyle w:val="01Tableheaderrow"/>
              <w:spacing w:before="20" w:after="20"/>
              <w:rPr>
                <w:rFonts w:cs="Arial"/>
                <w:lang w:val="en-GB"/>
              </w:rPr>
            </w:pPr>
            <w:r w:rsidRPr="00E72750">
              <w:rPr>
                <w:rFonts w:cs="Arial"/>
                <w:lang w:val="en-GB"/>
              </w:rPr>
              <w:t>Name</w:t>
            </w:r>
          </w:p>
        </w:tc>
        <w:tc>
          <w:tcPr>
            <w:tcW w:w="2544" w:type="pct"/>
            <w:tcBorders>
              <w:bottom w:val="single" w:sz="4" w:space="0" w:color="808080"/>
            </w:tcBorders>
            <w:shd w:val="clear" w:color="auto" w:fill="D9D9D9" w:themeFill="background1" w:themeFillShade="D9"/>
            <w:tcMar>
              <w:left w:w="57" w:type="dxa"/>
            </w:tcMar>
            <w:vAlign w:val="bottom"/>
          </w:tcPr>
          <w:p w14:paraId="6322EEB9" w14:textId="77777777" w:rsidR="007E15A5" w:rsidRPr="00E72750" w:rsidRDefault="007E15A5" w:rsidP="00801E5A">
            <w:pPr>
              <w:pStyle w:val="01Tableheaderrow"/>
              <w:spacing w:before="20" w:after="20"/>
              <w:rPr>
                <w:rFonts w:cs="Arial"/>
                <w:lang w:val="en-GB"/>
              </w:rPr>
            </w:pPr>
            <w:r w:rsidRPr="00E72750">
              <w:rPr>
                <w:rFonts w:cs="Arial"/>
                <w:lang w:val="en-GB"/>
              </w:rPr>
              <w:t>Position/Organisation</w:t>
            </w:r>
          </w:p>
        </w:tc>
        <w:tc>
          <w:tcPr>
            <w:tcW w:w="1544" w:type="pct"/>
            <w:tcBorders>
              <w:bottom w:val="single" w:sz="4" w:space="0" w:color="808080"/>
            </w:tcBorders>
            <w:shd w:val="clear" w:color="auto" w:fill="D9D9D9" w:themeFill="background1" w:themeFillShade="D9"/>
            <w:tcMar>
              <w:left w:w="57" w:type="dxa"/>
            </w:tcMar>
            <w:vAlign w:val="bottom"/>
          </w:tcPr>
          <w:p w14:paraId="4E2D07B2" w14:textId="77777777" w:rsidR="007E15A5" w:rsidRPr="00E72750" w:rsidRDefault="007E15A5" w:rsidP="00801E5A">
            <w:pPr>
              <w:pStyle w:val="01Tableheaderrow"/>
              <w:spacing w:before="20" w:after="20"/>
              <w:rPr>
                <w:rFonts w:cs="Arial"/>
                <w:lang w:val="en-GB"/>
              </w:rPr>
            </w:pPr>
            <w:r w:rsidRPr="00E72750">
              <w:rPr>
                <w:rFonts w:cs="Arial"/>
                <w:lang w:val="en-GB"/>
              </w:rPr>
              <w:t>Declared conflict of interest</w:t>
            </w:r>
          </w:p>
        </w:tc>
      </w:tr>
      <w:tr w:rsidR="007E15A5" w:rsidRPr="00E72750" w14:paraId="7AA36C9C" w14:textId="77777777" w:rsidTr="00DE79F0">
        <w:tc>
          <w:tcPr>
            <w:tcW w:w="912" w:type="pct"/>
            <w:tcBorders>
              <w:top w:val="single" w:sz="4" w:space="0" w:color="808080"/>
            </w:tcBorders>
            <w:tcMar>
              <w:left w:w="57" w:type="dxa"/>
            </w:tcMar>
          </w:tcPr>
          <w:p w14:paraId="31DF1144" w14:textId="77777777" w:rsidR="007E15A5" w:rsidRPr="00E72750" w:rsidRDefault="007E15A5" w:rsidP="00801E5A">
            <w:pPr>
              <w:pStyle w:val="02Tabletext"/>
              <w:spacing w:after="20"/>
              <w:rPr>
                <w:rFonts w:cs="Arial"/>
                <w:szCs w:val="20"/>
                <w:highlight w:val="yellow"/>
                <w:lang w:val="en-GB"/>
              </w:rPr>
            </w:pPr>
            <w:r w:rsidRPr="00E72750">
              <w:rPr>
                <w:rFonts w:cs="Arial"/>
                <w:szCs w:val="20"/>
                <w:lang w:val="en-GB"/>
              </w:rPr>
              <w:t xml:space="preserve">Professor Jonathan </w:t>
            </w:r>
            <w:proofErr w:type="spellStart"/>
            <w:r w:rsidRPr="00E72750">
              <w:rPr>
                <w:rFonts w:cs="Arial"/>
                <w:szCs w:val="20"/>
                <w:lang w:val="en-GB"/>
              </w:rPr>
              <w:t>Serpell</w:t>
            </w:r>
            <w:proofErr w:type="spellEnd"/>
            <w:r w:rsidRPr="00E72750">
              <w:rPr>
                <w:rFonts w:cs="Arial"/>
                <w:szCs w:val="20"/>
                <w:lang w:val="en-GB"/>
              </w:rPr>
              <w:t xml:space="preserve"> (Chair)</w:t>
            </w:r>
          </w:p>
        </w:tc>
        <w:tc>
          <w:tcPr>
            <w:tcW w:w="2544" w:type="pct"/>
            <w:tcBorders>
              <w:top w:val="single" w:sz="4" w:space="0" w:color="808080"/>
            </w:tcBorders>
            <w:tcMar>
              <w:left w:w="57" w:type="dxa"/>
            </w:tcMar>
          </w:tcPr>
          <w:p w14:paraId="55A6252F"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Head, Breast, Endocrine &amp; General Surgery, The </w:t>
            </w:r>
            <w:proofErr w:type="gramStart"/>
            <w:r w:rsidRPr="00E72750">
              <w:rPr>
                <w:rFonts w:cs="Arial"/>
                <w:szCs w:val="20"/>
                <w:lang w:val="en-GB"/>
              </w:rPr>
              <w:t>Alfred;</w:t>
            </w:r>
            <w:proofErr w:type="gramEnd"/>
          </w:p>
          <w:p w14:paraId="61ED60DA"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Professor &amp; Director, General Surgery, The Alfred, Monash </w:t>
            </w:r>
            <w:proofErr w:type="gramStart"/>
            <w:r w:rsidRPr="00E72750">
              <w:rPr>
                <w:rFonts w:cs="Arial"/>
                <w:szCs w:val="20"/>
                <w:lang w:val="en-GB"/>
              </w:rPr>
              <w:t>University;</w:t>
            </w:r>
            <w:proofErr w:type="gramEnd"/>
          </w:p>
          <w:p w14:paraId="6AA970CC" w14:textId="77777777" w:rsidR="007E15A5" w:rsidRPr="00E72750" w:rsidRDefault="00C976B4" w:rsidP="00801E5A">
            <w:pPr>
              <w:pStyle w:val="02Tabletext"/>
              <w:spacing w:after="20"/>
              <w:rPr>
                <w:rFonts w:cs="Arial"/>
                <w:szCs w:val="20"/>
                <w:lang w:val="en-GB"/>
              </w:rPr>
            </w:pPr>
            <w:r>
              <w:rPr>
                <w:rFonts w:cs="Arial"/>
                <w:szCs w:val="20"/>
                <w:lang w:val="en-GB"/>
              </w:rPr>
              <w:t xml:space="preserve">Past </w:t>
            </w:r>
            <w:r w:rsidR="007E15A5" w:rsidRPr="00E72750">
              <w:rPr>
                <w:rFonts w:cs="Arial"/>
                <w:szCs w:val="20"/>
                <w:lang w:val="en-GB"/>
              </w:rPr>
              <w:t xml:space="preserve">Chairman, Section of Endocrine Surgeons, Royal Australasian College of </w:t>
            </w:r>
            <w:proofErr w:type="gramStart"/>
            <w:r w:rsidR="007E15A5" w:rsidRPr="00E72750">
              <w:rPr>
                <w:rFonts w:cs="Arial"/>
                <w:szCs w:val="20"/>
                <w:lang w:val="en-GB"/>
              </w:rPr>
              <w:t>Surgeons;</w:t>
            </w:r>
            <w:proofErr w:type="gramEnd"/>
          </w:p>
          <w:p w14:paraId="015927A4" w14:textId="77777777" w:rsidR="007E15A5" w:rsidRPr="00E72750" w:rsidRDefault="00C976B4" w:rsidP="00801E5A">
            <w:pPr>
              <w:pStyle w:val="02Tabletext"/>
              <w:spacing w:after="20"/>
              <w:rPr>
                <w:rFonts w:cs="Arial"/>
                <w:szCs w:val="20"/>
                <w:lang w:val="en-GB"/>
              </w:rPr>
            </w:pPr>
            <w:r>
              <w:rPr>
                <w:rFonts w:cs="Arial"/>
                <w:szCs w:val="20"/>
                <w:lang w:val="en-GB"/>
              </w:rPr>
              <w:t>Past President, Australian and New Zealand</w:t>
            </w:r>
            <w:r w:rsidR="007E15A5" w:rsidRPr="00E72750">
              <w:rPr>
                <w:rFonts w:cs="Arial"/>
                <w:szCs w:val="20"/>
                <w:lang w:val="en-GB"/>
              </w:rPr>
              <w:t xml:space="preserve"> Endocrine Surgeons</w:t>
            </w:r>
          </w:p>
        </w:tc>
        <w:tc>
          <w:tcPr>
            <w:tcW w:w="1544" w:type="pct"/>
            <w:tcBorders>
              <w:top w:val="single" w:sz="4" w:space="0" w:color="808080"/>
            </w:tcBorders>
            <w:tcMar>
              <w:left w:w="57" w:type="dxa"/>
            </w:tcMar>
          </w:tcPr>
          <w:p w14:paraId="545276C6"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MBS items under review</w:t>
            </w:r>
            <w:r w:rsidR="00C311BB" w:rsidRPr="00E72750">
              <w:rPr>
                <w:rFonts w:cs="Arial"/>
                <w:szCs w:val="20"/>
                <w:lang w:val="en-GB"/>
              </w:rPr>
              <w:t>.</w:t>
            </w:r>
            <w:r w:rsidRPr="00E72750">
              <w:rPr>
                <w:rFonts w:cs="Arial"/>
                <w:szCs w:val="20"/>
                <w:lang w:val="en-GB"/>
              </w:rPr>
              <w:t xml:space="preserve"> </w:t>
            </w:r>
          </w:p>
        </w:tc>
      </w:tr>
      <w:tr w:rsidR="007E15A5" w:rsidRPr="00E72750" w14:paraId="1159DD01" w14:textId="77777777" w:rsidTr="00DE79F0">
        <w:tc>
          <w:tcPr>
            <w:tcW w:w="912" w:type="pct"/>
            <w:tcMar>
              <w:left w:w="57" w:type="dxa"/>
            </w:tcMar>
          </w:tcPr>
          <w:p w14:paraId="6A8A8A71" w14:textId="77777777" w:rsidR="007E15A5" w:rsidRPr="00E72750" w:rsidRDefault="007E15A5" w:rsidP="00801E5A">
            <w:pPr>
              <w:pStyle w:val="02Tabletext"/>
              <w:spacing w:after="20"/>
              <w:rPr>
                <w:rFonts w:cs="Arial"/>
                <w:szCs w:val="20"/>
                <w:highlight w:val="yellow"/>
                <w:lang w:val="en-GB"/>
              </w:rPr>
            </w:pPr>
            <w:r w:rsidRPr="00E72750">
              <w:rPr>
                <w:rFonts w:cs="Arial"/>
                <w:szCs w:val="20"/>
                <w:lang w:val="en-GB"/>
              </w:rPr>
              <w:t>Professor Timothy Davis</w:t>
            </w:r>
          </w:p>
        </w:tc>
        <w:tc>
          <w:tcPr>
            <w:tcW w:w="2544" w:type="pct"/>
            <w:tcMar>
              <w:left w:w="57" w:type="dxa"/>
            </w:tcMar>
          </w:tcPr>
          <w:p w14:paraId="5FEDEEEF"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Professor of Medicine, University of Western </w:t>
            </w:r>
            <w:proofErr w:type="gramStart"/>
            <w:r w:rsidRPr="00E72750">
              <w:rPr>
                <w:rFonts w:cs="Arial"/>
                <w:szCs w:val="20"/>
                <w:lang w:val="en-GB"/>
              </w:rPr>
              <w:t>Australia;</w:t>
            </w:r>
            <w:proofErr w:type="gramEnd"/>
          </w:p>
          <w:p w14:paraId="45F43784" w14:textId="77777777" w:rsidR="007E15A5" w:rsidRPr="00E72750" w:rsidRDefault="007E15A5" w:rsidP="00801E5A">
            <w:pPr>
              <w:pStyle w:val="02Tabletext"/>
              <w:spacing w:after="20"/>
              <w:rPr>
                <w:rFonts w:cs="Arial"/>
                <w:szCs w:val="20"/>
                <w:highlight w:val="yellow"/>
                <w:lang w:val="en-GB"/>
              </w:rPr>
            </w:pPr>
            <w:r w:rsidRPr="00E72750">
              <w:rPr>
                <w:rFonts w:cs="Arial"/>
                <w:szCs w:val="20"/>
                <w:lang w:val="en-GB"/>
              </w:rPr>
              <w:t>Consultant Physician</w:t>
            </w:r>
            <w:r w:rsidR="00942669" w:rsidRPr="00E72750">
              <w:rPr>
                <w:rFonts w:cs="Arial"/>
                <w:szCs w:val="20"/>
                <w:lang w:val="en-GB"/>
              </w:rPr>
              <w:t xml:space="preserve"> and Endocrinologist</w:t>
            </w:r>
            <w:r w:rsidRPr="00E72750">
              <w:rPr>
                <w:rFonts w:cs="Arial"/>
                <w:szCs w:val="20"/>
                <w:lang w:val="en-GB"/>
              </w:rPr>
              <w:t>, Fremantle Hospital</w:t>
            </w:r>
          </w:p>
        </w:tc>
        <w:tc>
          <w:tcPr>
            <w:tcW w:w="1544" w:type="pct"/>
            <w:tcMar>
              <w:left w:w="57" w:type="dxa"/>
            </w:tcMar>
          </w:tcPr>
          <w:p w14:paraId="4502A3FC"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MBS items under review</w:t>
            </w:r>
            <w:r w:rsidR="00C311BB" w:rsidRPr="00E72750">
              <w:rPr>
                <w:rFonts w:cs="Arial"/>
                <w:szCs w:val="20"/>
                <w:lang w:val="en-GB"/>
              </w:rPr>
              <w:t>.</w:t>
            </w:r>
            <w:r w:rsidRPr="00E72750">
              <w:rPr>
                <w:rFonts w:cs="Arial"/>
                <w:szCs w:val="20"/>
                <w:lang w:val="en-GB"/>
              </w:rPr>
              <w:t xml:space="preserve"> </w:t>
            </w:r>
          </w:p>
        </w:tc>
      </w:tr>
      <w:tr w:rsidR="007E15A5" w:rsidRPr="00E72750" w14:paraId="6F3F47F4" w14:textId="77777777" w:rsidTr="00DE79F0">
        <w:tc>
          <w:tcPr>
            <w:tcW w:w="912" w:type="pct"/>
            <w:tcMar>
              <w:left w:w="57" w:type="dxa"/>
            </w:tcMar>
          </w:tcPr>
          <w:p w14:paraId="3F803CC4"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Professor Duncan </w:t>
            </w:r>
            <w:proofErr w:type="spellStart"/>
            <w:r w:rsidRPr="00E72750">
              <w:rPr>
                <w:rFonts w:cs="Arial"/>
                <w:szCs w:val="20"/>
                <w:lang w:val="en-GB"/>
              </w:rPr>
              <w:t>Topliss</w:t>
            </w:r>
            <w:proofErr w:type="spellEnd"/>
          </w:p>
        </w:tc>
        <w:tc>
          <w:tcPr>
            <w:tcW w:w="2544" w:type="pct"/>
            <w:tcMar>
              <w:left w:w="57" w:type="dxa"/>
            </w:tcMar>
          </w:tcPr>
          <w:p w14:paraId="35A7F708" w14:textId="77777777" w:rsidR="007E15A5" w:rsidRPr="00E72750" w:rsidRDefault="007E15A5" w:rsidP="00801E5A">
            <w:pPr>
              <w:pStyle w:val="02Tabletext"/>
              <w:spacing w:after="20"/>
              <w:rPr>
                <w:rFonts w:cs="Arial"/>
                <w:szCs w:val="20"/>
                <w:highlight w:val="yellow"/>
                <w:lang w:val="en-GB"/>
              </w:rPr>
            </w:pPr>
            <w:r w:rsidRPr="00E72750">
              <w:rPr>
                <w:rFonts w:cs="Arial"/>
                <w:szCs w:val="20"/>
                <w:lang w:val="en-GB"/>
              </w:rPr>
              <w:t>Director, Department of Endocrinology &amp; Diabetes, Alfred Hospital</w:t>
            </w:r>
            <w:r w:rsidR="00C17D49" w:rsidRPr="00E72750">
              <w:rPr>
                <w:rFonts w:cs="Arial"/>
                <w:szCs w:val="20"/>
                <w:lang w:val="en-GB"/>
              </w:rPr>
              <w:t>,</w:t>
            </w:r>
            <w:r w:rsidRPr="00E72750">
              <w:rPr>
                <w:rFonts w:cs="Arial"/>
                <w:szCs w:val="20"/>
                <w:lang w:val="en-GB"/>
              </w:rPr>
              <w:t xml:space="preserve"> Melbourne; Professor of Medicine in the Department of Medicine</w:t>
            </w:r>
            <w:r w:rsidR="00AF448F" w:rsidRPr="00E72750">
              <w:rPr>
                <w:rFonts w:cs="Arial"/>
                <w:szCs w:val="20"/>
                <w:lang w:val="en-GB"/>
              </w:rPr>
              <w:t>,</w:t>
            </w:r>
            <w:r w:rsidRPr="00E72750">
              <w:rPr>
                <w:rFonts w:cs="Arial"/>
                <w:szCs w:val="20"/>
                <w:lang w:val="en-GB"/>
              </w:rPr>
              <w:t xml:space="preserve"> Monash University</w:t>
            </w:r>
          </w:p>
        </w:tc>
        <w:tc>
          <w:tcPr>
            <w:tcW w:w="1544" w:type="pct"/>
            <w:tcMar>
              <w:left w:w="57" w:type="dxa"/>
            </w:tcMar>
          </w:tcPr>
          <w:p w14:paraId="07BCC0DB" w14:textId="77777777" w:rsidR="00385897" w:rsidRPr="00E72750" w:rsidRDefault="00385897">
            <w:pPr>
              <w:pStyle w:val="02Tabletext"/>
              <w:rPr>
                <w:lang w:val="en-GB"/>
              </w:rPr>
            </w:pPr>
            <w:r w:rsidRPr="00E72750">
              <w:rPr>
                <w:lang w:val="en-GB"/>
              </w:rPr>
              <w:t xml:space="preserve">Uses the MBS items under review; has given talks and previously provided advisory work for Genzyme and other pharmaceutical </w:t>
            </w:r>
            <w:proofErr w:type="gramStart"/>
            <w:r w:rsidRPr="00E72750">
              <w:rPr>
                <w:lang w:val="en-GB"/>
              </w:rPr>
              <w:t xml:space="preserve">companies, </w:t>
            </w:r>
            <w:r w:rsidR="00293DBB" w:rsidRPr="00E72750">
              <w:rPr>
                <w:lang w:val="en-GB"/>
              </w:rPr>
              <w:t>and</w:t>
            </w:r>
            <w:proofErr w:type="gramEnd"/>
            <w:r w:rsidR="00293DBB" w:rsidRPr="00E72750">
              <w:rPr>
                <w:lang w:val="en-GB"/>
              </w:rPr>
              <w:t xml:space="preserve"> </w:t>
            </w:r>
            <w:r w:rsidRPr="00E72750">
              <w:rPr>
                <w:lang w:val="en-GB"/>
              </w:rPr>
              <w:t>has contributed to their research; and has received money from thyroid cancer trials from Eisai.</w:t>
            </w:r>
          </w:p>
        </w:tc>
      </w:tr>
      <w:tr w:rsidR="007E15A5" w:rsidRPr="00E72750" w14:paraId="56298353" w14:textId="77777777" w:rsidTr="00DE79F0">
        <w:tc>
          <w:tcPr>
            <w:tcW w:w="912" w:type="pct"/>
            <w:tcMar>
              <w:left w:w="57" w:type="dxa"/>
            </w:tcMar>
          </w:tcPr>
          <w:p w14:paraId="69B856E5" w14:textId="77777777" w:rsidR="007E15A5" w:rsidRPr="00E72750" w:rsidRDefault="007E15A5" w:rsidP="00801E5A">
            <w:pPr>
              <w:pStyle w:val="02Tabletext"/>
              <w:spacing w:after="20"/>
              <w:rPr>
                <w:rFonts w:cs="Arial"/>
                <w:szCs w:val="20"/>
                <w:lang w:val="en-GB"/>
              </w:rPr>
            </w:pPr>
            <w:r w:rsidRPr="00E72750">
              <w:rPr>
                <w:rFonts w:cs="Arial"/>
                <w:szCs w:val="20"/>
                <w:lang w:val="en-GB"/>
              </w:rPr>
              <w:t>Associate Professor Roderick Clifton-Bligh</w:t>
            </w:r>
          </w:p>
        </w:tc>
        <w:tc>
          <w:tcPr>
            <w:tcW w:w="2544" w:type="pct"/>
            <w:tcMar>
              <w:left w:w="57" w:type="dxa"/>
            </w:tcMar>
          </w:tcPr>
          <w:p w14:paraId="5FEA87C0" w14:textId="77777777" w:rsidR="007E15A5" w:rsidRPr="00E72750" w:rsidRDefault="007E15A5">
            <w:pPr>
              <w:pStyle w:val="02Tabletext"/>
              <w:rPr>
                <w:highlight w:val="yellow"/>
                <w:lang w:val="en-GB"/>
              </w:rPr>
            </w:pPr>
            <w:r w:rsidRPr="00E72750">
              <w:rPr>
                <w:lang w:val="en-GB"/>
              </w:rPr>
              <w:t xml:space="preserve">Head of the Department of Endocrinology at Royal North Shore Hospital; </w:t>
            </w:r>
            <w:r w:rsidR="00C311BB" w:rsidRPr="00E72750">
              <w:rPr>
                <w:lang w:val="en-GB"/>
              </w:rPr>
              <w:t>C</w:t>
            </w:r>
            <w:r w:rsidRPr="00E72750">
              <w:rPr>
                <w:lang w:val="en-GB"/>
              </w:rPr>
              <w:t xml:space="preserve">onjoint </w:t>
            </w:r>
            <w:r w:rsidR="00C311BB" w:rsidRPr="00E72750">
              <w:rPr>
                <w:lang w:val="en-GB"/>
              </w:rPr>
              <w:t>A</w:t>
            </w:r>
            <w:r w:rsidRPr="00E72750">
              <w:rPr>
                <w:lang w:val="en-GB"/>
              </w:rPr>
              <w:t xml:space="preserve">ssociate </w:t>
            </w:r>
            <w:r w:rsidR="00C311BB" w:rsidRPr="00E72750">
              <w:rPr>
                <w:lang w:val="en-GB"/>
              </w:rPr>
              <w:t>P</w:t>
            </w:r>
            <w:r w:rsidRPr="00E72750">
              <w:rPr>
                <w:lang w:val="en-GB"/>
              </w:rPr>
              <w:t>rofessor in Medicine at the University of Sydney</w:t>
            </w:r>
          </w:p>
        </w:tc>
        <w:tc>
          <w:tcPr>
            <w:tcW w:w="1544" w:type="pct"/>
            <w:tcMar>
              <w:left w:w="57" w:type="dxa"/>
            </w:tcMar>
          </w:tcPr>
          <w:p w14:paraId="4366B48E"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MBS items under review; has given talks for numerous pharmaceutical companies and contributed to their research; and has received money from thyroid cancer trials</w:t>
            </w:r>
            <w:r w:rsidR="007E4DD2" w:rsidRPr="00E72750">
              <w:rPr>
                <w:rFonts w:cs="Arial"/>
                <w:szCs w:val="20"/>
                <w:lang w:val="en-GB"/>
              </w:rPr>
              <w:t>.</w:t>
            </w:r>
            <w:r w:rsidRPr="00E72750">
              <w:rPr>
                <w:rFonts w:cs="Arial"/>
                <w:szCs w:val="20"/>
                <w:lang w:val="en-GB"/>
              </w:rPr>
              <w:t xml:space="preserve"> </w:t>
            </w:r>
          </w:p>
        </w:tc>
      </w:tr>
      <w:tr w:rsidR="007E15A5" w:rsidRPr="00E72750" w14:paraId="09A59B92" w14:textId="77777777" w:rsidTr="00DE79F0">
        <w:tc>
          <w:tcPr>
            <w:tcW w:w="912" w:type="pct"/>
            <w:tcMar>
              <w:left w:w="57" w:type="dxa"/>
            </w:tcMar>
          </w:tcPr>
          <w:p w14:paraId="119FFBE5" w14:textId="77777777" w:rsidR="007E15A5" w:rsidRPr="00E72750" w:rsidRDefault="007E15A5" w:rsidP="00801E5A">
            <w:pPr>
              <w:pStyle w:val="02Tabletext"/>
              <w:spacing w:after="20"/>
              <w:rPr>
                <w:rFonts w:cs="Arial"/>
                <w:szCs w:val="20"/>
                <w:lang w:val="en-GB"/>
              </w:rPr>
            </w:pPr>
            <w:r w:rsidRPr="00E72750">
              <w:rPr>
                <w:rFonts w:cs="Arial"/>
                <w:szCs w:val="20"/>
                <w:lang w:val="en-GB"/>
              </w:rPr>
              <w:t>Professor Stan Sidhu</w:t>
            </w:r>
          </w:p>
        </w:tc>
        <w:tc>
          <w:tcPr>
            <w:tcW w:w="2544" w:type="pct"/>
            <w:tcMar>
              <w:left w:w="57" w:type="dxa"/>
            </w:tcMar>
          </w:tcPr>
          <w:p w14:paraId="418F3384"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Professor of Surgery &amp; Head of Endocrine Surgical Unit, University of Sydney &amp; Royal North Shore </w:t>
            </w:r>
            <w:proofErr w:type="gramStart"/>
            <w:r w:rsidRPr="00E72750">
              <w:rPr>
                <w:rFonts w:cs="Arial"/>
                <w:szCs w:val="20"/>
                <w:lang w:val="en-GB"/>
              </w:rPr>
              <w:t>Hospital;</w:t>
            </w:r>
            <w:proofErr w:type="gramEnd"/>
          </w:p>
          <w:p w14:paraId="2DB8390E"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Professor, Surgery, Northern Clinical School, </w:t>
            </w:r>
            <w:proofErr w:type="spellStart"/>
            <w:r w:rsidRPr="00E72750">
              <w:rPr>
                <w:rFonts w:cs="Arial"/>
                <w:szCs w:val="20"/>
                <w:lang w:val="en-GB"/>
              </w:rPr>
              <w:t>Kolling</w:t>
            </w:r>
            <w:proofErr w:type="spellEnd"/>
            <w:r w:rsidRPr="00E72750">
              <w:rPr>
                <w:rFonts w:cs="Arial"/>
                <w:szCs w:val="20"/>
                <w:lang w:val="en-GB"/>
              </w:rPr>
              <w:t xml:space="preserve"> Institute of Medical Research, University of </w:t>
            </w:r>
            <w:proofErr w:type="gramStart"/>
            <w:r w:rsidRPr="00E72750">
              <w:rPr>
                <w:rFonts w:cs="Arial"/>
                <w:szCs w:val="20"/>
                <w:lang w:val="en-GB"/>
              </w:rPr>
              <w:t>Sydney;</w:t>
            </w:r>
            <w:proofErr w:type="gramEnd"/>
          </w:p>
          <w:p w14:paraId="0F71895C" w14:textId="77777777" w:rsidR="007E15A5" w:rsidRPr="00E72750" w:rsidRDefault="007E15A5" w:rsidP="00801E5A">
            <w:pPr>
              <w:pStyle w:val="02Tabletext"/>
              <w:spacing w:after="20"/>
              <w:rPr>
                <w:rFonts w:cs="Arial"/>
                <w:szCs w:val="20"/>
                <w:highlight w:val="yellow"/>
                <w:lang w:val="en-GB"/>
              </w:rPr>
            </w:pPr>
            <w:r w:rsidRPr="00E72750">
              <w:rPr>
                <w:rFonts w:cs="Arial"/>
                <w:szCs w:val="20"/>
                <w:lang w:val="en-GB"/>
              </w:rPr>
              <w:t>President, Australian and New Zealand Endocrine Surgeons</w:t>
            </w:r>
          </w:p>
        </w:tc>
        <w:tc>
          <w:tcPr>
            <w:tcW w:w="1544" w:type="pct"/>
            <w:tcMar>
              <w:left w:w="57" w:type="dxa"/>
            </w:tcMar>
          </w:tcPr>
          <w:p w14:paraId="11AF358A"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MBS item numbers under review</w:t>
            </w:r>
            <w:r w:rsidR="002038D2" w:rsidRPr="00E72750">
              <w:rPr>
                <w:rFonts w:cs="Arial"/>
                <w:szCs w:val="20"/>
                <w:lang w:val="en-GB"/>
              </w:rPr>
              <w:t>.</w:t>
            </w:r>
            <w:r w:rsidRPr="00E72750">
              <w:rPr>
                <w:rFonts w:cs="Arial"/>
                <w:szCs w:val="20"/>
                <w:lang w:val="en-GB"/>
              </w:rPr>
              <w:t xml:space="preserve"> </w:t>
            </w:r>
          </w:p>
        </w:tc>
      </w:tr>
      <w:tr w:rsidR="007E15A5" w:rsidRPr="00E72750" w14:paraId="776BBF5E" w14:textId="77777777" w:rsidTr="00DE79F0">
        <w:tc>
          <w:tcPr>
            <w:tcW w:w="912" w:type="pct"/>
            <w:tcMar>
              <w:left w:w="57" w:type="dxa"/>
            </w:tcMar>
          </w:tcPr>
          <w:p w14:paraId="314DD880" w14:textId="77777777" w:rsidR="007E15A5" w:rsidRPr="00E72750" w:rsidRDefault="007E15A5" w:rsidP="00801E5A">
            <w:pPr>
              <w:pStyle w:val="02Tabletext"/>
              <w:spacing w:after="20"/>
              <w:rPr>
                <w:rFonts w:cs="Arial"/>
                <w:szCs w:val="20"/>
                <w:lang w:val="en-GB"/>
              </w:rPr>
            </w:pPr>
            <w:r w:rsidRPr="00E72750">
              <w:rPr>
                <w:rFonts w:cs="Arial"/>
                <w:szCs w:val="20"/>
                <w:lang w:val="en-GB"/>
              </w:rPr>
              <w:t>Dr Christopher Pyke</w:t>
            </w:r>
          </w:p>
        </w:tc>
        <w:tc>
          <w:tcPr>
            <w:tcW w:w="2544" w:type="pct"/>
            <w:tcMar>
              <w:left w:w="57" w:type="dxa"/>
            </w:tcMar>
          </w:tcPr>
          <w:p w14:paraId="127783A4" w14:textId="77777777" w:rsidR="007E15A5" w:rsidRPr="00E72750" w:rsidRDefault="007E15A5" w:rsidP="00801E5A">
            <w:pPr>
              <w:pStyle w:val="02Tabletext"/>
              <w:spacing w:after="20"/>
              <w:rPr>
                <w:rFonts w:cs="Arial"/>
                <w:szCs w:val="20"/>
                <w:highlight w:val="yellow"/>
                <w:lang w:val="en-GB"/>
              </w:rPr>
            </w:pPr>
            <w:r w:rsidRPr="00E72750">
              <w:rPr>
                <w:rFonts w:cs="Arial"/>
                <w:szCs w:val="20"/>
                <w:lang w:val="en-GB"/>
              </w:rPr>
              <w:t>Surgeon, Mater Private Hospital Brisbane &amp; Mater Private Breast Cancer Centre</w:t>
            </w:r>
          </w:p>
        </w:tc>
        <w:tc>
          <w:tcPr>
            <w:tcW w:w="1544" w:type="pct"/>
            <w:tcMar>
              <w:left w:w="57" w:type="dxa"/>
            </w:tcMar>
          </w:tcPr>
          <w:p w14:paraId="0E01D597"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MBS items under review</w:t>
            </w:r>
            <w:r w:rsidR="005F0EAE" w:rsidRPr="00E72750">
              <w:rPr>
                <w:rFonts w:cs="Arial"/>
                <w:szCs w:val="20"/>
                <w:lang w:val="en-GB"/>
              </w:rPr>
              <w:t>.</w:t>
            </w:r>
            <w:r w:rsidRPr="00E72750">
              <w:rPr>
                <w:rFonts w:cs="Arial"/>
                <w:szCs w:val="20"/>
                <w:lang w:val="en-GB"/>
              </w:rPr>
              <w:t xml:space="preserve"> </w:t>
            </w:r>
          </w:p>
        </w:tc>
      </w:tr>
      <w:tr w:rsidR="007E15A5" w:rsidRPr="00E72750" w14:paraId="579D7739" w14:textId="77777777" w:rsidTr="00DE79F0">
        <w:tc>
          <w:tcPr>
            <w:tcW w:w="912" w:type="pct"/>
            <w:tcMar>
              <w:left w:w="57" w:type="dxa"/>
            </w:tcMar>
          </w:tcPr>
          <w:p w14:paraId="7B997E38"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Mr Peter </w:t>
            </w:r>
            <w:proofErr w:type="spellStart"/>
            <w:r w:rsidRPr="00E72750">
              <w:rPr>
                <w:rFonts w:cs="Arial"/>
                <w:szCs w:val="20"/>
                <w:lang w:val="en-GB"/>
              </w:rPr>
              <w:t>Malycha</w:t>
            </w:r>
            <w:proofErr w:type="spellEnd"/>
          </w:p>
        </w:tc>
        <w:tc>
          <w:tcPr>
            <w:tcW w:w="2544" w:type="pct"/>
            <w:tcMar>
              <w:left w:w="57" w:type="dxa"/>
            </w:tcMar>
          </w:tcPr>
          <w:p w14:paraId="4A8C1AF6"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Director, Endocrine Surgery, Royal Adelaide </w:t>
            </w:r>
            <w:proofErr w:type="gramStart"/>
            <w:r w:rsidRPr="00E72750">
              <w:rPr>
                <w:rFonts w:cs="Arial"/>
                <w:szCs w:val="20"/>
                <w:lang w:val="en-GB"/>
              </w:rPr>
              <w:t>Hospital;</w:t>
            </w:r>
            <w:proofErr w:type="gramEnd"/>
          </w:p>
          <w:p w14:paraId="7BF32981"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Clinical Lecturer, Department of Surgery, University of </w:t>
            </w:r>
            <w:proofErr w:type="gramStart"/>
            <w:r w:rsidRPr="00E72750">
              <w:rPr>
                <w:rFonts w:cs="Arial"/>
                <w:szCs w:val="20"/>
                <w:lang w:val="en-GB"/>
              </w:rPr>
              <w:t>Adelaide;</w:t>
            </w:r>
            <w:proofErr w:type="gramEnd"/>
          </w:p>
          <w:p w14:paraId="3A8C2769"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Consultant Surgeon, Adelaide Women’s and Children’s </w:t>
            </w:r>
            <w:proofErr w:type="gramStart"/>
            <w:r w:rsidRPr="00E72750">
              <w:rPr>
                <w:rFonts w:cs="Arial"/>
                <w:szCs w:val="20"/>
                <w:lang w:val="en-GB"/>
              </w:rPr>
              <w:t>Hospital;</w:t>
            </w:r>
            <w:proofErr w:type="gramEnd"/>
          </w:p>
          <w:p w14:paraId="2DD0B033" w14:textId="77777777" w:rsidR="007E15A5" w:rsidRPr="00E72750" w:rsidRDefault="007E15A5" w:rsidP="00801E5A">
            <w:pPr>
              <w:pStyle w:val="02Tabletext"/>
              <w:spacing w:after="20"/>
              <w:rPr>
                <w:rFonts w:cs="Arial"/>
                <w:szCs w:val="20"/>
                <w:highlight w:val="yellow"/>
                <w:lang w:val="en-GB"/>
              </w:rPr>
            </w:pPr>
            <w:r w:rsidRPr="00E72750">
              <w:rPr>
                <w:rFonts w:cs="Arial"/>
                <w:szCs w:val="20"/>
                <w:lang w:val="en-GB"/>
              </w:rPr>
              <w:t>Clinical Director, Translational Research Institute, Princess Alexandra Hospital, Centres for Health Research</w:t>
            </w:r>
          </w:p>
        </w:tc>
        <w:tc>
          <w:tcPr>
            <w:tcW w:w="1544" w:type="pct"/>
            <w:tcMar>
              <w:left w:w="57" w:type="dxa"/>
            </w:tcMar>
          </w:tcPr>
          <w:p w14:paraId="3A047230" w14:textId="77777777" w:rsidR="007E15A5" w:rsidRPr="00E72750" w:rsidRDefault="007E15A5" w:rsidP="0047371C">
            <w:pPr>
              <w:rPr>
                <w:lang w:eastAsia="en-US"/>
              </w:rPr>
            </w:pPr>
            <w:r w:rsidRPr="00E72750">
              <w:rPr>
                <w:lang w:eastAsia="en-US"/>
              </w:rPr>
              <w:t>Uses the MBS items under review</w:t>
            </w:r>
            <w:r w:rsidR="00CC70B8" w:rsidRPr="00E72750">
              <w:rPr>
                <w:lang w:eastAsia="en-US"/>
              </w:rPr>
              <w:t>.</w:t>
            </w:r>
            <w:r w:rsidRPr="00E72750">
              <w:rPr>
                <w:lang w:eastAsia="en-US"/>
              </w:rPr>
              <w:t xml:space="preserve"> </w:t>
            </w:r>
          </w:p>
        </w:tc>
      </w:tr>
      <w:tr w:rsidR="007E15A5" w:rsidRPr="00E72750" w14:paraId="1713546E" w14:textId="77777777" w:rsidTr="00DE79F0">
        <w:tc>
          <w:tcPr>
            <w:tcW w:w="912" w:type="pct"/>
            <w:tcMar>
              <w:left w:w="57" w:type="dxa"/>
            </w:tcMar>
          </w:tcPr>
          <w:p w14:paraId="4EF3B31A" w14:textId="77777777" w:rsidR="007E15A5" w:rsidRPr="00E72750" w:rsidRDefault="007E15A5" w:rsidP="00801E5A">
            <w:pPr>
              <w:pStyle w:val="02Tabletext"/>
              <w:spacing w:after="20"/>
              <w:rPr>
                <w:rFonts w:cs="Arial"/>
                <w:szCs w:val="20"/>
                <w:lang w:val="en-GB"/>
              </w:rPr>
            </w:pPr>
            <w:r w:rsidRPr="00E72750">
              <w:rPr>
                <w:rFonts w:cs="Arial"/>
                <w:szCs w:val="20"/>
                <w:lang w:val="en-GB"/>
              </w:rPr>
              <w:t>Ms Helen Maxwell-Wright</w:t>
            </w:r>
          </w:p>
        </w:tc>
        <w:tc>
          <w:tcPr>
            <w:tcW w:w="2544" w:type="pct"/>
            <w:tcMar>
              <w:left w:w="57" w:type="dxa"/>
            </w:tcMar>
          </w:tcPr>
          <w:p w14:paraId="762ACDC6"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Director, Maxwell-Wright </w:t>
            </w:r>
            <w:proofErr w:type="gramStart"/>
            <w:r w:rsidRPr="00E72750">
              <w:rPr>
                <w:rFonts w:cs="Arial"/>
                <w:szCs w:val="20"/>
                <w:lang w:val="en-GB"/>
              </w:rPr>
              <w:t>Associates;</w:t>
            </w:r>
            <w:proofErr w:type="gramEnd"/>
          </w:p>
          <w:p w14:paraId="63252342"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Panel of Chairs, Monitoring Committee, Medicines Australia </w:t>
            </w:r>
          </w:p>
          <w:p w14:paraId="22C67E69"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Quality &amp; Safety Committee, Australian and New Zealand College of </w:t>
            </w:r>
            <w:proofErr w:type="gramStart"/>
            <w:r w:rsidRPr="00E72750">
              <w:rPr>
                <w:rFonts w:cs="Arial"/>
                <w:szCs w:val="20"/>
                <w:lang w:val="en-GB"/>
              </w:rPr>
              <w:t>Anaesthetists;</w:t>
            </w:r>
            <w:proofErr w:type="gramEnd"/>
          </w:p>
          <w:p w14:paraId="33EC370C" w14:textId="77777777" w:rsidR="007E15A5" w:rsidRPr="00E72750" w:rsidRDefault="007E15A5" w:rsidP="00801E5A">
            <w:pPr>
              <w:pStyle w:val="02Tabletext"/>
              <w:spacing w:after="20"/>
              <w:rPr>
                <w:rFonts w:cs="Arial"/>
                <w:szCs w:val="20"/>
                <w:lang w:val="en-GB"/>
              </w:rPr>
            </w:pPr>
            <w:r w:rsidRPr="00E72750">
              <w:rPr>
                <w:rFonts w:cs="Arial"/>
                <w:szCs w:val="20"/>
                <w:lang w:val="en-GB"/>
              </w:rPr>
              <w:lastRenderedPageBreak/>
              <w:t xml:space="preserve">Former Managing Director, International Diabetes </w:t>
            </w:r>
            <w:proofErr w:type="gramStart"/>
            <w:r w:rsidRPr="00E72750">
              <w:rPr>
                <w:rFonts w:cs="Arial"/>
                <w:szCs w:val="20"/>
                <w:lang w:val="en-GB"/>
              </w:rPr>
              <w:t>Institute;</w:t>
            </w:r>
            <w:proofErr w:type="gramEnd"/>
          </w:p>
          <w:p w14:paraId="080883FB"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Chair, Community Advisory Group, College of Intensive Care </w:t>
            </w:r>
            <w:proofErr w:type="gramStart"/>
            <w:r w:rsidRPr="00E72750">
              <w:rPr>
                <w:rFonts w:cs="Arial"/>
                <w:szCs w:val="20"/>
                <w:lang w:val="en-GB"/>
              </w:rPr>
              <w:t>Medicine;</w:t>
            </w:r>
            <w:proofErr w:type="gramEnd"/>
          </w:p>
          <w:p w14:paraId="49BBE5A3" w14:textId="77777777" w:rsidR="006F5A86" w:rsidRPr="00E72750" w:rsidRDefault="006F5A86" w:rsidP="00434DE1">
            <w:pPr>
              <w:pStyle w:val="02Tabletext"/>
              <w:rPr>
                <w:lang w:val="en-GB"/>
              </w:rPr>
            </w:pPr>
            <w:r w:rsidRPr="00E72750">
              <w:rPr>
                <w:lang w:val="en-GB"/>
              </w:rPr>
              <w:t xml:space="preserve">Chair of State Leadership Group Victoria Juvenile Diabetes Research </w:t>
            </w:r>
            <w:proofErr w:type="gramStart"/>
            <w:r w:rsidRPr="00E72750">
              <w:rPr>
                <w:lang w:val="en-GB"/>
              </w:rPr>
              <w:t>Foundation;</w:t>
            </w:r>
            <w:proofErr w:type="gramEnd"/>
          </w:p>
          <w:p w14:paraId="4865738F" w14:textId="77777777" w:rsidR="007E15A5" w:rsidRPr="00E72750" w:rsidRDefault="00465F57" w:rsidP="00801E5A">
            <w:pPr>
              <w:pStyle w:val="02Tabletext"/>
              <w:spacing w:after="20"/>
              <w:rPr>
                <w:rFonts w:cs="Arial"/>
                <w:szCs w:val="20"/>
                <w:highlight w:val="yellow"/>
                <w:lang w:val="en-GB"/>
              </w:rPr>
            </w:pPr>
            <w:r w:rsidRPr="00465F57">
              <w:rPr>
                <w:rFonts w:cs="Arial"/>
                <w:szCs w:val="20"/>
                <w:lang w:val="en-GB"/>
              </w:rPr>
              <w:t>MBS Review Representative Consumer</w:t>
            </w:r>
          </w:p>
        </w:tc>
        <w:tc>
          <w:tcPr>
            <w:tcW w:w="1544" w:type="pct"/>
            <w:tcMar>
              <w:left w:w="57" w:type="dxa"/>
            </w:tcMar>
          </w:tcPr>
          <w:p w14:paraId="770F0A84" w14:textId="77777777" w:rsidR="007E15A5" w:rsidRPr="00E72750" w:rsidRDefault="007E15A5" w:rsidP="00801E5A">
            <w:pPr>
              <w:pStyle w:val="02Tabletext"/>
              <w:spacing w:after="20"/>
              <w:rPr>
                <w:rFonts w:cs="Arial"/>
                <w:szCs w:val="20"/>
                <w:lang w:val="en-GB"/>
              </w:rPr>
            </w:pPr>
            <w:r w:rsidRPr="00E72750">
              <w:rPr>
                <w:rFonts w:cs="Arial"/>
                <w:szCs w:val="20"/>
                <w:lang w:val="en-GB"/>
              </w:rPr>
              <w:lastRenderedPageBreak/>
              <w:t>Consults for Gr</w:t>
            </w:r>
            <w:r w:rsidR="006F5A86" w:rsidRPr="00E72750">
              <w:rPr>
                <w:rFonts w:cs="Arial"/>
                <w:szCs w:val="20"/>
                <w:lang w:val="en-GB"/>
              </w:rPr>
              <w:t>e</w:t>
            </w:r>
            <w:r w:rsidRPr="00E72750">
              <w:rPr>
                <w:rFonts w:cs="Arial"/>
                <w:szCs w:val="20"/>
                <w:lang w:val="en-GB"/>
              </w:rPr>
              <w:t>y Innovation/Firefly about a device under development for diabetes management</w:t>
            </w:r>
            <w:r w:rsidR="00F802B4" w:rsidRPr="00E72750">
              <w:rPr>
                <w:rFonts w:cs="Arial"/>
                <w:szCs w:val="20"/>
                <w:lang w:val="en-GB"/>
              </w:rPr>
              <w:t>.</w:t>
            </w:r>
            <w:r w:rsidRPr="00E72750">
              <w:rPr>
                <w:rFonts w:cs="Arial"/>
                <w:szCs w:val="20"/>
                <w:lang w:val="en-GB"/>
              </w:rPr>
              <w:t xml:space="preserve"> </w:t>
            </w:r>
          </w:p>
        </w:tc>
      </w:tr>
      <w:tr w:rsidR="007E15A5" w:rsidRPr="00E72750" w14:paraId="60FC688C" w14:textId="77777777" w:rsidTr="00DE79F0">
        <w:tc>
          <w:tcPr>
            <w:tcW w:w="912" w:type="pct"/>
            <w:tcMar>
              <w:left w:w="57" w:type="dxa"/>
            </w:tcMar>
          </w:tcPr>
          <w:p w14:paraId="5B9AB7C8" w14:textId="77777777" w:rsidR="007E15A5" w:rsidRPr="00E72750" w:rsidRDefault="007E15A5" w:rsidP="00801E5A">
            <w:pPr>
              <w:pStyle w:val="02Tabletext"/>
              <w:spacing w:after="20"/>
              <w:rPr>
                <w:rFonts w:cs="Arial"/>
                <w:szCs w:val="20"/>
                <w:lang w:val="en-GB"/>
              </w:rPr>
            </w:pPr>
            <w:r w:rsidRPr="00E72750">
              <w:rPr>
                <w:rFonts w:cs="Arial"/>
                <w:szCs w:val="20"/>
                <w:lang w:val="en-GB"/>
              </w:rPr>
              <w:t>Dr Suzanne Silberberg</w:t>
            </w:r>
          </w:p>
        </w:tc>
        <w:tc>
          <w:tcPr>
            <w:tcW w:w="2544" w:type="pct"/>
            <w:tcMar>
              <w:left w:w="57" w:type="dxa"/>
            </w:tcMar>
          </w:tcPr>
          <w:p w14:paraId="598959DB" w14:textId="77777777" w:rsidR="007E15A5" w:rsidRPr="00E72750" w:rsidRDefault="007E15A5" w:rsidP="00801E5A">
            <w:pPr>
              <w:pStyle w:val="02Tabletext"/>
              <w:spacing w:after="20"/>
              <w:rPr>
                <w:rFonts w:cs="Arial"/>
                <w:szCs w:val="20"/>
                <w:lang w:val="en-GB"/>
              </w:rPr>
            </w:pPr>
            <w:r w:rsidRPr="00E72750">
              <w:rPr>
                <w:rFonts w:cs="Arial"/>
                <w:szCs w:val="20"/>
                <w:lang w:val="en-GB"/>
              </w:rPr>
              <w:t>Consultant Endocrinologist, private practice</w:t>
            </w:r>
          </w:p>
        </w:tc>
        <w:tc>
          <w:tcPr>
            <w:tcW w:w="1544" w:type="pct"/>
            <w:tcMar>
              <w:left w:w="57" w:type="dxa"/>
            </w:tcMar>
          </w:tcPr>
          <w:p w14:paraId="05491D79"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MBS items under review</w:t>
            </w:r>
            <w:r w:rsidR="00F802B4" w:rsidRPr="00E72750">
              <w:rPr>
                <w:rFonts w:cs="Arial"/>
                <w:szCs w:val="20"/>
                <w:lang w:val="en-GB"/>
              </w:rPr>
              <w:t>.</w:t>
            </w:r>
            <w:r w:rsidRPr="00E72750">
              <w:rPr>
                <w:rFonts w:cs="Arial"/>
                <w:szCs w:val="20"/>
                <w:lang w:val="en-GB"/>
              </w:rPr>
              <w:t xml:space="preserve"> </w:t>
            </w:r>
          </w:p>
        </w:tc>
      </w:tr>
      <w:tr w:rsidR="007E15A5" w:rsidRPr="00E72750" w14:paraId="1CCEC5F1" w14:textId="77777777" w:rsidTr="00DE79F0">
        <w:tc>
          <w:tcPr>
            <w:tcW w:w="912" w:type="pct"/>
            <w:tcMar>
              <w:left w:w="57" w:type="dxa"/>
            </w:tcMar>
          </w:tcPr>
          <w:p w14:paraId="4E43A889"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Ms </w:t>
            </w:r>
            <w:proofErr w:type="spellStart"/>
            <w:r w:rsidRPr="00E72750">
              <w:rPr>
                <w:rFonts w:cs="Arial"/>
                <w:szCs w:val="20"/>
                <w:lang w:val="en-GB"/>
              </w:rPr>
              <w:t>Janne</w:t>
            </w:r>
            <w:proofErr w:type="spellEnd"/>
            <w:r w:rsidRPr="00E72750">
              <w:rPr>
                <w:rFonts w:cs="Arial"/>
                <w:szCs w:val="20"/>
                <w:lang w:val="en-GB"/>
              </w:rPr>
              <w:t xml:space="preserve"> Graham</w:t>
            </w:r>
          </w:p>
        </w:tc>
        <w:tc>
          <w:tcPr>
            <w:tcW w:w="2544" w:type="pct"/>
            <w:tcMar>
              <w:left w:w="57" w:type="dxa"/>
            </w:tcMar>
          </w:tcPr>
          <w:p w14:paraId="14A57C45" w14:textId="77777777" w:rsidR="00A51B7E" w:rsidRPr="008E71BF" w:rsidRDefault="00A51B7E" w:rsidP="00434DE1">
            <w:pPr>
              <w:pStyle w:val="02Tabletext"/>
              <w:rPr>
                <w:lang w:val="en-GB"/>
              </w:rPr>
            </w:pPr>
            <w:r w:rsidRPr="008E71BF">
              <w:rPr>
                <w:lang w:val="en-GB"/>
              </w:rPr>
              <w:t xml:space="preserve">Nominee of Consumers Health </w:t>
            </w:r>
            <w:proofErr w:type="gramStart"/>
            <w:r w:rsidRPr="008E71BF">
              <w:rPr>
                <w:lang w:val="en-GB"/>
              </w:rPr>
              <w:t>Forum;</w:t>
            </w:r>
            <w:proofErr w:type="gramEnd"/>
          </w:p>
          <w:p w14:paraId="2B9D1725" w14:textId="77777777" w:rsidR="00A51B7E" w:rsidRPr="00E72750" w:rsidRDefault="00505EA3" w:rsidP="00434DE1">
            <w:pPr>
              <w:pStyle w:val="02Tabletext"/>
              <w:rPr>
                <w:lang w:val="en-GB"/>
              </w:rPr>
            </w:pPr>
            <w:r w:rsidRPr="008E71BF">
              <w:rPr>
                <w:lang w:val="en-GB"/>
              </w:rPr>
              <w:t>H</w:t>
            </w:r>
            <w:r w:rsidR="00A51B7E" w:rsidRPr="008E71BF">
              <w:rPr>
                <w:lang w:val="en-GB"/>
              </w:rPr>
              <w:t xml:space="preserve">as formerly represented consumer interests in such roles as: Member of NHMRC, Vice-Chair of Australian Pharmaceutical Advisory Council and Member of TGA Advisory Committee on Prescription </w:t>
            </w:r>
            <w:proofErr w:type="gramStart"/>
            <w:r w:rsidR="00A51B7E" w:rsidRPr="008E71BF">
              <w:rPr>
                <w:lang w:val="en-GB"/>
              </w:rPr>
              <w:t>Medicines;</w:t>
            </w:r>
            <w:proofErr w:type="gramEnd"/>
          </w:p>
          <w:p w14:paraId="448DA322" w14:textId="77777777" w:rsidR="007E15A5" w:rsidRPr="00E72750" w:rsidRDefault="007E15A5" w:rsidP="00434DE1">
            <w:pPr>
              <w:pStyle w:val="02Tabletext"/>
              <w:rPr>
                <w:lang w:val="en-GB"/>
              </w:rPr>
            </w:pPr>
            <w:r w:rsidRPr="00E72750">
              <w:rPr>
                <w:lang w:val="en-GB"/>
              </w:rPr>
              <w:t xml:space="preserve">Consumer representative; healthcare advocate </w:t>
            </w:r>
          </w:p>
        </w:tc>
        <w:tc>
          <w:tcPr>
            <w:tcW w:w="1544" w:type="pct"/>
            <w:tcMar>
              <w:left w:w="57" w:type="dxa"/>
            </w:tcMar>
          </w:tcPr>
          <w:p w14:paraId="08B82E24" w14:textId="77777777" w:rsidR="00A51B7E" w:rsidRPr="00E72750" w:rsidRDefault="00A51B7E" w:rsidP="00434DE1">
            <w:pPr>
              <w:pStyle w:val="02Tabletext"/>
              <w:rPr>
                <w:lang w:val="en-GB"/>
              </w:rPr>
            </w:pPr>
            <w:r w:rsidRPr="00E72750">
              <w:rPr>
                <w:lang w:val="en-GB"/>
              </w:rPr>
              <w:t>Has been a patient receiving endocrine specialist services</w:t>
            </w:r>
            <w:r w:rsidR="000A5348" w:rsidRPr="00E72750">
              <w:rPr>
                <w:lang w:val="en-GB"/>
              </w:rPr>
              <w:t>.</w:t>
            </w:r>
          </w:p>
        </w:tc>
      </w:tr>
      <w:tr w:rsidR="007E15A5" w:rsidRPr="00E72750" w14:paraId="48C55345" w14:textId="77777777" w:rsidTr="00DE79F0">
        <w:tc>
          <w:tcPr>
            <w:tcW w:w="912" w:type="pct"/>
            <w:tcMar>
              <w:left w:w="57" w:type="dxa"/>
            </w:tcMar>
          </w:tcPr>
          <w:p w14:paraId="438C5E21" w14:textId="77777777" w:rsidR="007E15A5" w:rsidRPr="00E72750" w:rsidRDefault="007E15A5" w:rsidP="00801E5A">
            <w:pPr>
              <w:pStyle w:val="02Tabletext"/>
              <w:spacing w:after="20"/>
              <w:rPr>
                <w:rFonts w:cs="Arial"/>
                <w:szCs w:val="20"/>
                <w:lang w:val="en-GB"/>
              </w:rPr>
            </w:pPr>
            <w:r w:rsidRPr="00E72750">
              <w:rPr>
                <w:rFonts w:cs="Arial"/>
                <w:szCs w:val="20"/>
                <w:lang w:val="en-GB"/>
              </w:rPr>
              <w:t>Dr Allan Wycherl</w:t>
            </w:r>
            <w:r w:rsidR="00622E76">
              <w:rPr>
                <w:rFonts w:cs="Arial"/>
                <w:szCs w:val="20"/>
                <w:lang w:val="en-GB"/>
              </w:rPr>
              <w:t>e</w:t>
            </w:r>
            <w:r w:rsidRPr="00E72750">
              <w:rPr>
                <w:rFonts w:cs="Arial"/>
                <w:szCs w:val="20"/>
                <w:lang w:val="en-GB"/>
              </w:rPr>
              <w:t>y</w:t>
            </w:r>
          </w:p>
        </w:tc>
        <w:tc>
          <w:tcPr>
            <w:tcW w:w="2544" w:type="pct"/>
            <w:tcMar>
              <w:left w:w="57" w:type="dxa"/>
            </w:tcMar>
          </w:tcPr>
          <w:p w14:paraId="7B03FEF0" w14:textId="77777777" w:rsidR="007E15A5" w:rsidRPr="00E72750" w:rsidRDefault="007E15A5" w:rsidP="00801E5A">
            <w:pPr>
              <w:pStyle w:val="02Tabletext"/>
              <w:spacing w:after="20"/>
              <w:rPr>
                <w:rFonts w:cs="Arial"/>
                <w:szCs w:val="20"/>
                <w:lang w:val="en-GB"/>
              </w:rPr>
            </w:pPr>
            <w:r w:rsidRPr="00E72750">
              <w:rPr>
                <w:rFonts w:cs="Arial"/>
                <w:szCs w:val="20"/>
                <w:lang w:val="en-GB"/>
              </w:rPr>
              <w:t>Head, Nuclear Medicine Unit, Division of Medical Imaging, Flinders Medical Centre</w:t>
            </w:r>
          </w:p>
        </w:tc>
        <w:tc>
          <w:tcPr>
            <w:tcW w:w="1544" w:type="pct"/>
            <w:tcMar>
              <w:left w:w="57" w:type="dxa"/>
            </w:tcMar>
          </w:tcPr>
          <w:p w14:paraId="63582D0E"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MBS items under review</w:t>
            </w:r>
            <w:r w:rsidR="00F11671" w:rsidRPr="00E72750">
              <w:rPr>
                <w:rFonts w:cs="Arial"/>
                <w:szCs w:val="20"/>
                <w:lang w:val="en-GB"/>
              </w:rPr>
              <w:t>.</w:t>
            </w:r>
          </w:p>
        </w:tc>
      </w:tr>
      <w:tr w:rsidR="007E15A5" w:rsidRPr="00E72750" w14:paraId="5C0DBD4F" w14:textId="77777777" w:rsidTr="00DE79F0">
        <w:tc>
          <w:tcPr>
            <w:tcW w:w="912" w:type="pct"/>
            <w:tcMar>
              <w:left w:w="57" w:type="dxa"/>
            </w:tcMar>
          </w:tcPr>
          <w:p w14:paraId="55184818" w14:textId="77777777" w:rsidR="007E15A5" w:rsidRPr="00E72750" w:rsidRDefault="007E15A5" w:rsidP="00801E5A">
            <w:pPr>
              <w:pStyle w:val="02Tabletext"/>
              <w:spacing w:after="20"/>
              <w:rPr>
                <w:rFonts w:cs="Arial"/>
                <w:szCs w:val="20"/>
                <w:lang w:val="en-GB"/>
              </w:rPr>
            </w:pPr>
            <w:r w:rsidRPr="00E72750">
              <w:rPr>
                <w:rFonts w:cs="Arial"/>
                <w:szCs w:val="20"/>
                <w:lang w:val="en-GB"/>
              </w:rPr>
              <w:t>Professor Bruce Robinson</w:t>
            </w:r>
          </w:p>
        </w:tc>
        <w:tc>
          <w:tcPr>
            <w:tcW w:w="2544" w:type="pct"/>
            <w:tcMar>
              <w:left w:w="57" w:type="dxa"/>
            </w:tcMar>
          </w:tcPr>
          <w:p w14:paraId="1F92AC3E"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Chair of MBS Review Taskforce and Ex-Officio for the </w:t>
            </w:r>
            <w:proofErr w:type="gramStart"/>
            <w:r w:rsidRPr="00E72750">
              <w:rPr>
                <w:rFonts w:cs="Arial"/>
                <w:szCs w:val="20"/>
                <w:lang w:val="en-GB"/>
              </w:rPr>
              <w:t>Committee;</w:t>
            </w:r>
            <w:proofErr w:type="gramEnd"/>
          </w:p>
          <w:p w14:paraId="58E69319"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Chair of Australia’s National Health, and Medical Research </w:t>
            </w:r>
            <w:proofErr w:type="gramStart"/>
            <w:r w:rsidRPr="00E72750">
              <w:rPr>
                <w:rFonts w:cs="Arial"/>
                <w:szCs w:val="20"/>
                <w:lang w:val="en-GB"/>
              </w:rPr>
              <w:t>Council;</w:t>
            </w:r>
            <w:proofErr w:type="gramEnd"/>
          </w:p>
          <w:p w14:paraId="20A6185A"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Head of the Cancer Genetics Unit at the </w:t>
            </w:r>
            <w:proofErr w:type="spellStart"/>
            <w:r w:rsidRPr="00E72750">
              <w:rPr>
                <w:rFonts w:cs="Arial"/>
                <w:szCs w:val="20"/>
                <w:lang w:val="en-GB"/>
              </w:rPr>
              <w:t>Kolling</w:t>
            </w:r>
            <w:proofErr w:type="spellEnd"/>
            <w:r w:rsidRPr="00E72750">
              <w:rPr>
                <w:rFonts w:cs="Arial"/>
                <w:szCs w:val="20"/>
                <w:lang w:val="en-GB"/>
              </w:rPr>
              <w:t xml:space="preserve"> Institute of Medical Research, Royal North Shore </w:t>
            </w:r>
            <w:proofErr w:type="gramStart"/>
            <w:r w:rsidRPr="00E72750">
              <w:rPr>
                <w:rFonts w:cs="Arial"/>
                <w:szCs w:val="20"/>
                <w:lang w:val="en-GB"/>
              </w:rPr>
              <w:t>Hospital;</w:t>
            </w:r>
            <w:proofErr w:type="gramEnd"/>
            <w:r w:rsidRPr="00E72750">
              <w:rPr>
                <w:rFonts w:cs="Arial"/>
                <w:szCs w:val="20"/>
                <w:lang w:val="en-GB"/>
              </w:rPr>
              <w:t xml:space="preserve"> </w:t>
            </w:r>
          </w:p>
          <w:p w14:paraId="1F00E840" w14:textId="77777777" w:rsidR="007E15A5" w:rsidRPr="00E72750" w:rsidRDefault="007E15A5" w:rsidP="00801E5A">
            <w:pPr>
              <w:pStyle w:val="02Tabletext"/>
              <w:spacing w:after="20"/>
              <w:rPr>
                <w:rFonts w:cs="Arial"/>
                <w:szCs w:val="20"/>
                <w:lang w:val="en-GB"/>
              </w:rPr>
            </w:pPr>
            <w:r w:rsidRPr="00E72750">
              <w:rPr>
                <w:rFonts w:cs="Arial"/>
                <w:szCs w:val="20"/>
                <w:lang w:val="en-GB"/>
              </w:rPr>
              <w:t>Endocrinologist, Royal North Shore Hospital</w:t>
            </w:r>
          </w:p>
        </w:tc>
        <w:tc>
          <w:tcPr>
            <w:tcW w:w="1544" w:type="pct"/>
            <w:tcMar>
              <w:left w:w="57" w:type="dxa"/>
            </w:tcMar>
          </w:tcPr>
          <w:p w14:paraId="00DA9188" w14:textId="77777777" w:rsidR="007E15A5" w:rsidRPr="00E72750" w:rsidRDefault="007E15A5" w:rsidP="00542BA4">
            <w:pPr>
              <w:pStyle w:val="02Tabletext"/>
              <w:spacing w:after="20"/>
              <w:rPr>
                <w:rFonts w:cs="Arial"/>
                <w:szCs w:val="20"/>
                <w:lang w:val="en-GB"/>
              </w:rPr>
            </w:pPr>
            <w:r w:rsidRPr="00E72750">
              <w:rPr>
                <w:rFonts w:cs="Arial"/>
                <w:szCs w:val="20"/>
                <w:lang w:val="en-GB"/>
              </w:rPr>
              <w:t xml:space="preserve">Used the item numbers and has conducted talks for Genzyme; previously on the Board for AstraZeneca and Bayer; currently on the Board for Mayne Pharma.   </w:t>
            </w:r>
          </w:p>
        </w:tc>
      </w:tr>
      <w:tr w:rsidR="007E15A5" w:rsidRPr="00E72750" w14:paraId="01937DF9" w14:textId="77777777" w:rsidTr="00DE79F0">
        <w:tc>
          <w:tcPr>
            <w:tcW w:w="912" w:type="pct"/>
            <w:tcMar>
              <w:left w:w="57" w:type="dxa"/>
            </w:tcMar>
          </w:tcPr>
          <w:p w14:paraId="162474AB" w14:textId="77777777" w:rsidR="007E15A5" w:rsidRPr="00E72750" w:rsidRDefault="007E15A5" w:rsidP="00801E5A">
            <w:pPr>
              <w:pStyle w:val="02Tabletext"/>
              <w:spacing w:after="20"/>
              <w:rPr>
                <w:rFonts w:cs="Arial"/>
                <w:szCs w:val="20"/>
                <w:lang w:val="en-GB"/>
              </w:rPr>
            </w:pPr>
            <w:r w:rsidRPr="00E72750">
              <w:rPr>
                <w:rFonts w:cs="Arial"/>
                <w:szCs w:val="20"/>
                <w:lang w:val="en-GB"/>
              </w:rPr>
              <w:t xml:space="preserve">Dr Jo-Anne </w:t>
            </w:r>
            <w:proofErr w:type="spellStart"/>
            <w:r w:rsidRPr="00E72750">
              <w:rPr>
                <w:rFonts w:cs="Arial"/>
                <w:szCs w:val="20"/>
                <w:lang w:val="en-GB"/>
              </w:rPr>
              <w:t>Manski</w:t>
            </w:r>
            <w:proofErr w:type="spellEnd"/>
            <w:r w:rsidRPr="00E72750">
              <w:rPr>
                <w:rFonts w:cs="Arial"/>
                <w:szCs w:val="20"/>
                <w:lang w:val="en-GB"/>
              </w:rPr>
              <w:t>-Nankervis</w:t>
            </w:r>
          </w:p>
        </w:tc>
        <w:tc>
          <w:tcPr>
            <w:tcW w:w="2544" w:type="pct"/>
            <w:tcMar>
              <w:left w:w="57" w:type="dxa"/>
            </w:tcMar>
          </w:tcPr>
          <w:p w14:paraId="0F9C7175" w14:textId="77777777" w:rsidR="00CF3FA0" w:rsidRPr="00E72750" w:rsidRDefault="00CF3FA0" w:rsidP="00A060B0">
            <w:pPr>
              <w:pStyle w:val="02Tabletext"/>
              <w:rPr>
                <w:lang w:val="en-GB"/>
              </w:rPr>
            </w:pPr>
            <w:r w:rsidRPr="00E72750">
              <w:rPr>
                <w:lang w:val="en-GB"/>
              </w:rPr>
              <w:t>G</w:t>
            </w:r>
            <w:r w:rsidR="002178D3" w:rsidRPr="00E72750">
              <w:rPr>
                <w:lang w:val="en-GB"/>
              </w:rPr>
              <w:t>eneral Practitioner</w:t>
            </w:r>
            <w:r w:rsidRPr="00E72750">
              <w:rPr>
                <w:lang w:val="en-GB"/>
              </w:rPr>
              <w:t xml:space="preserve">, Lecturer in Primary Care and Diabetes Research Fellow, Representative for the Department of General Practice, University of Melbourne; Primary Care Diabetes Society of Australia; </w:t>
            </w:r>
            <w:proofErr w:type="spellStart"/>
            <w:r w:rsidRPr="00E72750">
              <w:rPr>
                <w:lang w:val="en-GB"/>
              </w:rPr>
              <w:t>Eastbrooke</w:t>
            </w:r>
            <w:proofErr w:type="spellEnd"/>
            <w:r w:rsidRPr="00E72750">
              <w:rPr>
                <w:lang w:val="en-GB"/>
              </w:rPr>
              <w:t xml:space="preserve"> Medical Centres</w:t>
            </w:r>
          </w:p>
        </w:tc>
        <w:tc>
          <w:tcPr>
            <w:tcW w:w="1544" w:type="pct"/>
            <w:tcMar>
              <w:left w:w="57" w:type="dxa"/>
            </w:tcMar>
          </w:tcPr>
          <w:p w14:paraId="7FB944DB" w14:textId="77777777" w:rsidR="007E15A5" w:rsidRPr="00E72750" w:rsidRDefault="007E15A5" w:rsidP="00801E5A">
            <w:pPr>
              <w:pStyle w:val="02Tabletext"/>
              <w:spacing w:after="20"/>
              <w:rPr>
                <w:rFonts w:cs="Arial"/>
                <w:szCs w:val="20"/>
                <w:lang w:val="en-GB"/>
              </w:rPr>
            </w:pPr>
            <w:r w:rsidRPr="00E72750">
              <w:rPr>
                <w:rFonts w:cs="Arial"/>
                <w:szCs w:val="20"/>
                <w:lang w:val="en-GB"/>
              </w:rPr>
              <w:t>Uses the items under review as a requesting GP</w:t>
            </w:r>
            <w:r w:rsidR="00D402B7" w:rsidRPr="00E72750">
              <w:rPr>
                <w:rFonts w:cs="Arial"/>
                <w:szCs w:val="20"/>
                <w:lang w:val="en-GB"/>
              </w:rPr>
              <w:t>.</w:t>
            </w:r>
            <w:r w:rsidRPr="00E72750">
              <w:rPr>
                <w:rFonts w:cs="Arial"/>
                <w:szCs w:val="20"/>
                <w:lang w:val="en-GB"/>
              </w:rPr>
              <w:t xml:space="preserve"> </w:t>
            </w:r>
          </w:p>
        </w:tc>
      </w:tr>
    </w:tbl>
    <w:p w14:paraId="1254690A" w14:textId="77777777" w:rsidR="00152AC0" w:rsidRPr="00E72750" w:rsidRDefault="00152AC0" w:rsidP="00C02D8B">
      <w:pPr>
        <w:pStyle w:val="01Tableheaderrow"/>
        <w:rPr>
          <w:lang w:val="en-GB"/>
        </w:rPr>
      </w:pPr>
    </w:p>
    <w:p w14:paraId="4B4E6539" w14:textId="77777777" w:rsidR="00C02D8B" w:rsidRPr="00E72750" w:rsidRDefault="009503EB" w:rsidP="00AE62D5">
      <w:pPr>
        <w:pStyle w:val="Heading2"/>
      </w:pPr>
      <w:bookmarkStart w:id="37" w:name="_Toc456045430"/>
      <w:bookmarkStart w:id="38" w:name="_Toc485298019"/>
      <w:r w:rsidRPr="008E71BF">
        <w:t>W</w:t>
      </w:r>
      <w:r w:rsidR="00026792" w:rsidRPr="008E71BF">
        <w:t xml:space="preserve">orking </w:t>
      </w:r>
      <w:r w:rsidR="00EE2E70" w:rsidRPr="008E71BF">
        <w:t>g</w:t>
      </w:r>
      <w:r w:rsidR="00026792" w:rsidRPr="008E71BF">
        <w:t xml:space="preserve">roup </w:t>
      </w:r>
      <w:r w:rsidR="009C7E52" w:rsidRPr="008E71BF">
        <w:t>m</w:t>
      </w:r>
      <w:r w:rsidR="00026792" w:rsidRPr="008E71BF">
        <w:t>embers</w:t>
      </w:r>
      <w:bookmarkEnd w:id="37"/>
      <w:bookmarkEnd w:id="38"/>
    </w:p>
    <w:p w14:paraId="198E10B7" w14:textId="77777777" w:rsidR="008739ED" w:rsidRPr="00717067" w:rsidRDefault="008739ED" w:rsidP="00AE62D5">
      <w:pPr>
        <w:pStyle w:val="Caption"/>
      </w:pPr>
      <w:bookmarkStart w:id="39" w:name="_Toc485127111"/>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2</w:t>
      </w:r>
      <w:r w:rsidRPr="00AE62D5">
        <w:rPr>
          <w:b w:val="0"/>
        </w:rPr>
        <w:fldChar w:fldCharType="end"/>
      </w:r>
      <w:r w:rsidR="00AD48EB">
        <w:rPr>
          <w:b w:val="0"/>
        </w:rPr>
        <w:t>:</w:t>
      </w:r>
      <w:r w:rsidRPr="00AE62D5">
        <w:rPr>
          <w:b w:val="0"/>
        </w:rPr>
        <w:t xml:space="preserve"> Thyroid Stimulating Hormone (TSH), Thyroid Function Test (TFT) and Thyroid Antibodies Working Group members</w:t>
      </w:r>
      <w:bookmarkEnd w:id="39"/>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2 lists the Working Group members, it contains the names of members, their associated position/organisation and any delcared conflict of interest."/>
      </w:tblPr>
      <w:tblGrid>
        <w:gridCol w:w="1661"/>
        <w:gridCol w:w="4571"/>
        <w:gridCol w:w="2784"/>
      </w:tblGrid>
      <w:tr w:rsidR="00DA0768" w:rsidRPr="00E72750" w14:paraId="55A1FEAA" w14:textId="77777777" w:rsidTr="00E412C3">
        <w:trPr>
          <w:tblHeader/>
        </w:trPr>
        <w:tc>
          <w:tcPr>
            <w:tcW w:w="921" w:type="pct"/>
            <w:shd w:val="clear" w:color="auto" w:fill="D9D9D9" w:themeFill="background1" w:themeFillShade="D9"/>
            <w:tcMar>
              <w:left w:w="57" w:type="dxa"/>
            </w:tcMar>
            <w:vAlign w:val="bottom"/>
          </w:tcPr>
          <w:p w14:paraId="7A2405E8" w14:textId="77777777" w:rsidR="00DA0768" w:rsidRPr="00E72750" w:rsidRDefault="00DA0768" w:rsidP="00801E5A">
            <w:pPr>
              <w:pStyle w:val="01Tableheaderrow"/>
              <w:spacing w:before="20" w:after="20"/>
              <w:rPr>
                <w:rFonts w:cs="Arial"/>
                <w:lang w:val="en-GB"/>
              </w:rPr>
            </w:pPr>
            <w:r w:rsidRPr="00E72750">
              <w:rPr>
                <w:rFonts w:cs="Arial"/>
                <w:lang w:val="en-GB"/>
              </w:rPr>
              <w:t>Name</w:t>
            </w:r>
          </w:p>
        </w:tc>
        <w:tc>
          <w:tcPr>
            <w:tcW w:w="2535" w:type="pct"/>
            <w:shd w:val="clear" w:color="auto" w:fill="D9D9D9" w:themeFill="background1" w:themeFillShade="D9"/>
            <w:tcMar>
              <w:left w:w="57" w:type="dxa"/>
            </w:tcMar>
            <w:vAlign w:val="bottom"/>
          </w:tcPr>
          <w:p w14:paraId="530395C8" w14:textId="77777777" w:rsidR="00DA0768" w:rsidRPr="00E72750" w:rsidRDefault="00DA0768" w:rsidP="00801E5A">
            <w:pPr>
              <w:pStyle w:val="01Tableheaderrow"/>
              <w:spacing w:before="20" w:after="20"/>
              <w:rPr>
                <w:rFonts w:cs="Arial"/>
                <w:lang w:val="en-GB"/>
              </w:rPr>
            </w:pPr>
            <w:r w:rsidRPr="00E72750">
              <w:rPr>
                <w:rFonts w:cs="Arial"/>
                <w:lang w:val="en-GB"/>
              </w:rPr>
              <w:t>Position/Organisation</w:t>
            </w:r>
          </w:p>
        </w:tc>
        <w:tc>
          <w:tcPr>
            <w:tcW w:w="1544" w:type="pct"/>
            <w:shd w:val="clear" w:color="auto" w:fill="D9D9D9" w:themeFill="background1" w:themeFillShade="D9"/>
            <w:tcMar>
              <w:left w:w="57" w:type="dxa"/>
            </w:tcMar>
            <w:vAlign w:val="bottom"/>
          </w:tcPr>
          <w:p w14:paraId="4B960747" w14:textId="77777777" w:rsidR="00DA0768" w:rsidRPr="00E72750" w:rsidRDefault="00DA0768" w:rsidP="00801E5A">
            <w:pPr>
              <w:pStyle w:val="01Tableheaderrow"/>
              <w:spacing w:before="20" w:after="20"/>
              <w:rPr>
                <w:rFonts w:cs="Arial"/>
                <w:lang w:val="en-GB"/>
              </w:rPr>
            </w:pPr>
            <w:r w:rsidRPr="00E72750">
              <w:rPr>
                <w:rFonts w:cs="Arial"/>
                <w:lang w:val="en-GB"/>
              </w:rPr>
              <w:t>Declared conflict of interest</w:t>
            </w:r>
          </w:p>
        </w:tc>
      </w:tr>
      <w:tr w:rsidR="00DA0768" w:rsidRPr="00E72750" w14:paraId="5EC6A4E1" w14:textId="77777777" w:rsidTr="00800C3F">
        <w:tc>
          <w:tcPr>
            <w:tcW w:w="921" w:type="pct"/>
            <w:tcMar>
              <w:left w:w="57" w:type="dxa"/>
            </w:tcMar>
          </w:tcPr>
          <w:p w14:paraId="42B3B1B9" w14:textId="77777777" w:rsidR="00DA0768" w:rsidRPr="00E72750" w:rsidRDefault="00DA0768" w:rsidP="00EB3C6E">
            <w:pPr>
              <w:pStyle w:val="02Tabletext"/>
              <w:spacing w:after="20"/>
              <w:rPr>
                <w:rFonts w:cs="Arial"/>
                <w:szCs w:val="20"/>
                <w:lang w:val="en-GB"/>
              </w:rPr>
            </w:pPr>
            <w:r w:rsidRPr="00E72750">
              <w:rPr>
                <w:rFonts w:cs="Arial"/>
                <w:szCs w:val="20"/>
                <w:lang w:val="en-GB"/>
              </w:rPr>
              <w:t>Associate Professor Roderick Clifton-Bligh (Chair</w:t>
            </w:r>
            <w:r w:rsidR="002477F8" w:rsidRPr="00E72750">
              <w:rPr>
                <w:rFonts w:cs="Arial"/>
                <w:szCs w:val="20"/>
                <w:lang w:val="en-GB"/>
              </w:rPr>
              <w:t>)</w:t>
            </w:r>
            <w:r w:rsidRPr="00E72750">
              <w:rPr>
                <w:rFonts w:cs="Arial"/>
                <w:szCs w:val="20"/>
                <w:lang w:val="en-GB"/>
              </w:rPr>
              <w:t xml:space="preserve"> </w:t>
            </w:r>
          </w:p>
        </w:tc>
        <w:tc>
          <w:tcPr>
            <w:tcW w:w="2535" w:type="pct"/>
            <w:tcMar>
              <w:left w:w="57" w:type="dxa"/>
            </w:tcMar>
          </w:tcPr>
          <w:p w14:paraId="02B5EA9D" w14:textId="77777777" w:rsidR="00DA0768" w:rsidRPr="00E72750" w:rsidRDefault="00DA0768" w:rsidP="00EB3C6E">
            <w:pPr>
              <w:pStyle w:val="02Tabletext"/>
              <w:spacing w:after="20"/>
              <w:rPr>
                <w:rFonts w:cs="Arial"/>
                <w:szCs w:val="20"/>
                <w:lang w:val="en-GB"/>
              </w:rPr>
            </w:pPr>
            <w:r w:rsidRPr="00E72750">
              <w:rPr>
                <w:lang w:val="en-GB"/>
              </w:rPr>
              <w:t xml:space="preserve">As above </w:t>
            </w:r>
          </w:p>
        </w:tc>
        <w:tc>
          <w:tcPr>
            <w:tcW w:w="1544" w:type="pct"/>
            <w:tcMar>
              <w:left w:w="57" w:type="dxa"/>
            </w:tcMar>
          </w:tcPr>
          <w:p w14:paraId="17F64BCD" w14:textId="77777777" w:rsidR="00DA0768" w:rsidRPr="00E72750" w:rsidRDefault="00DA0768" w:rsidP="00EB3C6E">
            <w:pPr>
              <w:pStyle w:val="02Tabletext"/>
              <w:spacing w:after="20"/>
              <w:rPr>
                <w:rFonts w:cs="Arial"/>
                <w:szCs w:val="20"/>
                <w:lang w:val="en-GB"/>
              </w:rPr>
            </w:pPr>
            <w:r w:rsidRPr="00E72750">
              <w:rPr>
                <w:rFonts w:cs="Arial"/>
                <w:szCs w:val="20"/>
                <w:lang w:val="en-GB"/>
              </w:rPr>
              <w:t>As above</w:t>
            </w:r>
          </w:p>
        </w:tc>
      </w:tr>
      <w:tr w:rsidR="00DA0768" w:rsidRPr="00E72750" w14:paraId="6ACDAD71" w14:textId="77777777" w:rsidTr="00800C3F">
        <w:tc>
          <w:tcPr>
            <w:tcW w:w="921" w:type="pct"/>
            <w:tcMar>
              <w:left w:w="57" w:type="dxa"/>
            </w:tcMar>
          </w:tcPr>
          <w:p w14:paraId="05B03F6E" w14:textId="77777777" w:rsidR="00DA0768" w:rsidRPr="00E72750" w:rsidRDefault="00DA0768" w:rsidP="00DA0768">
            <w:pPr>
              <w:pStyle w:val="02Tabletext"/>
              <w:spacing w:after="20"/>
              <w:rPr>
                <w:rFonts w:cs="Arial"/>
                <w:szCs w:val="20"/>
                <w:lang w:val="en-GB"/>
              </w:rPr>
            </w:pPr>
            <w:r w:rsidRPr="00E72750">
              <w:rPr>
                <w:rFonts w:cs="Arial"/>
                <w:szCs w:val="20"/>
                <w:lang w:val="en-GB"/>
              </w:rPr>
              <w:t xml:space="preserve">Professor Duncan </w:t>
            </w:r>
            <w:proofErr w:type="spellStart"/>
            <w:r w:rsidRPr="00E72750">
              <w:rPr>
                <w:rFonts w:cs="Arial"/>
                <w:szCs w:val="20"/>
                <w:lang w:val="en-GB"/>
              </w:rPr>
              <w:t>Topliss</w:t>
            </w:r>
            <w:proofErr w:type="spellEnd"/>
          </w:p>
        </w:tc>
        <w:tc>
          <w:tcPr>
            <w:tcW w:w="2535" w:type="pct"/>
            <w:tcMar>
              <w:left w:w="57" w:type="dxa"/>
            </w:tcMar>
          </w:tcPr>
          <w:p w14:paraId="557E23D2" w14:textId="77777777" w:rsidR="00DA0768" w:rsidRPr="00E72750" w:rsidRDefault="00DA0768" w:rsidP="00DA0768">
            <w:pPr>
              <w:pStyle w:val="02Tabletext"/>
              <w:spacing w:after="20"/>
              <w:rPr>
                <w:rFonts w:cs="Arial"/>
                <w:szCs w:val="20"/>
                <w:lang w:val="en-GB"/>
              </w:rPr>
            </w:pPr>
            <w:r w:rsidRPr="00E72750">
              <w:rPr>
                <w:lang w:val="en-GB"/>
              </w:rPr>
              <w:t xml:space="preserve">As above </w:t>
            </w:r>
          </w:p>
        </w:tc>
        <w:tc>
          <w:tcPr>
            <w:tcW w:w="1544" w:type="pct"/>
            <w:tcMar>
              <w:left w:w="57" w:type="dxa"/>
            </w:tcMar>
          </w:tcPr>
          <w:p w14:paraId="6331065B" w14:textId="77777777" w:rsidR="00DA0768" w:rsidRPr="00E72750" w:rsidRDefault="00DA0768" w:rsidP="00DA0768">
            <w:pPr>
              <w:pStyle w:val="02Tabletext"/>
              <w:spacing w:after="20"/>
              <w:rPr>
                <w:rFonts w:cs="Arial"/>
                <w:szCs w:val="20"/>
                <w:lang w:val="en-GB"/>
              </w:rPr>
            </w:pPr>
            <w:r w:rsidRPr="00E72750">
              <w:rPr>
                <w:rFonts w:cs="Arial"/>
                <w:szCs w:val="20"/>
                <w:lang w:val="en-GB"/>
              </w:rPr>
              <w:t>As above</w:t>
            </w:r>
          </w:p>
        </w:tc>
      </w:tr>
      <w:tr w:rsidR="00DA0768" w:rsidRPr="00E72750" w14:paraId="531ED8E3" w14:textId="77777777" w:rsidTr="00800C3F">
        <w:tc>
          <w:tcPr>
            <w:tcW w:w="921" w:type="pct"/>
            <w:tcMar>
              <w:left w:w="57" w:type="dxa"/>
            </w:tcMar>
          </w:tcPr>
          <w:p w14:paraId="6F83C6D4" w14:textId="77777777" w:rsidR="00DA0768" w:rsidRPr="00E72750" w:rsidRDefault="00DA0768" w:rsidP="00DA0768">
            <w:pPr>
              <w:pStyle w:val="02Tabletext"/>
              <w:spacing w:after="20"/>
              <w:rPr>
                <w:rFonts w:cs="Arial"/>
                <w:szCs w:val="20"/>
                <w:lang w:val="en-GB"/>
              </w:rPr>
            </w:pPr>
            <w:r w:rsidRPr="00E72750">
              <w:rPr>
                <w:rFonts w:cs="Arial"/>
                <w:szCs w:val="20"/>
                <w:lang w:val="en-GB"/>
              </w:rPr>
              <w:t>Dr Suzanne Silberberg</w:t>
            </w:r>
          </w:p>
        </w:tc>
        <w:tc>
          <w:tcPr>
            <w:tcW w:w="2535" w:type="pct"/>
            <w:tcMar>
              <w:left w:w="57" w:type="dxa"/>
            </w:tcMar>
          </w:tcPr>
          <w:p w14:paraId="2D6F99BE" w14:textId="77777777" w:rsidR="00DA0768" w:rsidRPr="00E72750" w:rsidRDefault="00DA0768" w:rsidP="00DA0768">
            <w:pPr>
              <w:pStyle w:val="02Tabletext"/>
              <w:spacing w:after="20"/>
              <w:rPr>
                <w:rFonts w:cs="Arial"/>
                <w:szCs w:val="20"/>
                <w:lang w:val="en-GB"/>
              </w:rPr>
            </w:pPr>
            <w:r w:rsidRPr="00E72750">
              <w:rPr>
                <w:lang w:val="en-GB"/>
              </w:rPr>
              <w:t xml:space="preserve">As above </w:t>
            </w:r>
          </w:p>
        </w:tc>
        <w:tc>
          <w:tcPr>
            <w:tcW w:w="1544" w:type="pct"/>
            <w:tcMar>
              <w:left w:w="57" w:type="dxa"/>
            </w:tcMar>
          </w:tcPr>
          <w:p w14:paraId="2D69E910" w14:textId="77777777" w:rsidR="00DA0768" w:rsidRPr="00E72750" w:rsidRDefault="00DA0768" w:rsidP="00DA0768">
            <w:pPr>
              <w:pStyle w:val="02Tabletext"/>
              <w:spacing w:after="20"/>
              <w:rPr>
                <w:rFonts w:cs="Arial"/>
                <w:szCs w:val="20"/>
                <w:lang w:val="en-GB"/>
              </w:rPr>
            </w:pPr>
            <w:r w:rsidRPr="00E72750">
              <w:rPr>
                <w:rFonts w:cs="Arial"/>
                <w:szCs w:val="20"/>
                <w:lang w:val="en-GB"/>
              </w:rPr>
              <w:t>As above</w:t>
            </w:r>
          </w:p>
        </w:tc>
      </w:tr>
      <w:tr w:rsidR="00DA0768" w:rsidRPr="00E72750" w14:paraId="6A48171A" w14:textId="77777777" w:rsidTr="00800C3F">
        <w:tc>
          <w:tcPr>
            <w:tcW w:w="921" w:type="pct"/>
            <w:tcMar>
              <w:left w:w="57" w:type="dxa"/>
            </w:tcMar>
          </w:tcPr>
          <w:p w14:paraId="617360A4" w14:textId="77777777" w:rsidR="00DA0768" w:rsidRPr="00E72750" w:rsidRDefault="00DA0768" w:rsidP="00DA0768">
            <w:pPr>
              <w:pStyle w:val="02Tabletext"/>
              <w:spacing w:after="20"/>
              <w:rPr>
                <w:rFonts w:cs="Arial"/>
                <w:szCs w:val="20"/>
                <w:lang w:val="en-GB"/>
              </w:rPr>
            </w:pPr>
            <w:r w:rsidRPr="00E72750">
              <w:rPr>
                <w:rFonts w:cs="Arial"/>
                <w:szCs w:val="20"/>
                <w:lang w:val="en-GB"/>
              </w:rPr>
              <w:t xml:space="preserve">Dr Jo-Anne </w:t>
            </w:r>
            <w:proofErr w:type="spellStart"/>
            <w:r w:rsidRPr="00E72750">
              <w:rPr>
                <w:rFonts w:cs="Arial"/>
                <w:szCs w:val="20"/>
                <w:lang w:val="en-GB"/>
              </w:rPr>
              <w:t>Manski</w:t>
            </w:r>
            <w:proofErr w:type="spellEnd"/>
            <w:r w:rsidRPr="00E72750">
              <w:rPr>
                <w:rFonts w:cs="Arial"/>
                <w:szCs w:val="20"/>
                <w:lang w:val="en-GB"/>
              </w:rPr>
              <w:t>-Nankervis</w:t>
            </w:r>
          </w:p>
        </w:tc>
        <w:tc>
          <w:tcPr>
            <w:tcW w:w="2535" w:type="pct"/>
            <w:tcMar>
              <w:left w:w="57" w:type="dxa"/>
            </w:tcMar>
          </w:tcPr>
          <w:p w14:paraId="224F6E2A" w14:textId="77777777" w:rsidR="00DA0768" w:rsidRPr="00E72750" w:rsidRDefault="00DA0768" w:rsidP="00DA0768">
            <w:pPr>
              <w:pStyle w:val="02Tabletext"/>
              <w:spacing w:after="20"/>
              <w:rPr>
                <w:rFonts w:cs="Arial"/>
                <w:szCs w:val="20"/>
                <w:lang w:val="en-GB"/>
              </w:rPr>
            </w:pPr>
            <w:r w:rsidRPr="00E72750">
              <w:rPr>
                <w:lang w:val="en-GB"/>
              </w:rPr>
              <w:t xml:space="preserve">As above </w:t>
            </w:r>
          </w:p>
        </w:tc>
        <w:tc>
          <w:tcPr>
            <w:tcW w:w="1544" w:type="pct"/>
            <w:tcMar>
              <w:left w:w="57" w:type="dxa"/>
            </w:tcMar>
          </w:tcPr>
          <w:p w14:paraId="5C41FB07" w14:textId="77777777" w:rsidR="00DA0768" w:rsidRPr="00E72750" w:rsidRDefault="00DA0768" w:rsidP="00DA0768">
            <w:pPr>
              <w:pStyle w:val="02Tabletext"/>
              <w:spacing w:after="20"/>
              <w:rPr>
                <w:rFonts w:cs="Arial"/>
                <w:szCs w:val="20"/>
                <w:lang w:val="en-GB"/>
              </w:rPr>
            </w:pPr>
            <w:r w:rsidRPr="00E72750">
              <w:rPr>
                <w:rFonts w:cs="Arial"/>
                <w:szCs w:val="20"/>
                <w:lang w:val="en-GB"/>
              </w:rPr>
              <w:t>As above</w:t>
            </w:r>
          </w:p>
        </w:tc>
      </w:tr>
      <w:tr w:rsidR="00DA0768" w:rsidRPr="00E72750" w14:paraId="6104025E" w14:textId="77777777" w:rsidTr="00800C3F">
        <w:tc>
          <w:tcPr>
            <w:tcW w:w="921" w:type="pct"/>
            <w:tcMar>
              <w:left w:w="57" w:type="dxa"/>
            </w:tcMar>
          </w:tcPr>
          <w:p w14:paraId="6AAB3F4C" w14:textId="77777777" w:rsidR="00DA0768" w:rsidRPr="00E72750" w:rsidRDefault="00DA0768" w:rsidP="00801E5A">
            <w:pPr>
              <w:pStyle w:val="02Tabletext"/>
              <w:spacing w:after="20"/>
              <w:rPr>
                <w:rFonts w:cs="Arial"/>
                <w:lang w:val="en-GB"/>
              </w:rPr>
            </w:pPr>
            <w:r w:rsidRPr="00E72750">
              <w:rPr>
                <w:rFonts w:cs="Arial"/>
                <w:szCs w:val="20"/>
                <w:lang w:val="en-GB"/>
              </w:rPr>
              <w:t xml:space="preserve">Professor Hans Schneider </w:t>
            </w:r>
          </w:p>
        </w:tc>
        <w:tc>
          <w:tcPr>
            <w:tcW w:w="2535" w:type="pct"/>
            <w:tcMar>
              <w:left w:w="57" w:type="dxa"/>
            </w:tcMar>
          </w:tcPr>
          <w:p w14:paraId="46A8344E" w14:textId="77777777" w:rsidR="00DA0768" w:rsidRPr="00E72750" w:rsidRDefault="00DA0768" w:rsidP="00801E5A">
            <w:pPr>
              <w:pStyle w:val="02Tabletext"/>
              <w:spacing w:after="20"/>
              <w:rPr>
                <w:rFonts w:cs="Arial"/>
                <w:szCs w:val="20"/>
                <w:lang w:val="en-GB"/>
              </w:rPr>
            </w:pPr>
            <w:r w:rsidRPr="00E72750">
              <w:rPr>
                <w:rFonts w:cs="Arial"/>
                <w:szCs w:val="20"/>
                <w:lang w:val="en-GB"/>
              </w:rPr>
              <w:t>Director of Pathology, Alfred Pathology Service (Melbourne</w:t>
            </w:r>
            <w:proofErr w:type="gramStart"/>
            <w:r w:rsidRPr="00E72750">
              <w:rPr>
                <w:rFonts w:cs="Arial"/>
                <w:szCs w:val="20"/>
                <w:lang w:val="en-GB"/>
              </w:rPr>
              <w:t>);</w:t>
            </w:r>
            <w:proofErr w:type="gramEnd"/>
          </w:p>
          <w:p w14:paraId="3DEB6B2E" w14:textId="77777777" w:rsidR="00DA0768" w:rsidRPr="00E72750" w:rsidRDefault="00DA0768" w:rsidP="00801E5A">
            <w:pPr>
              <w:pStyle w:val="02Tabletext"/>
              <w:spacing w:after="20"/>
              <w:rPr>
                <w:rFonts w:cs="Arial"/>
                <w:szCs w:val="20"/>
                <w:lang w:val="en-GB"/>
              </w:rPr>
            </w:pPr>
            <w:r w:rsidRPr="00E72750">
              <w:rPr>
                <w:rFonts w:cs="Arial"/>
                <w:szCs w:val="20"/>
                <w:lang w:val="en-GB"/>
              </w:rPr>
              <w:t xml:space="preserve">Adjunct Clinical Professor, Central Clinical School, Monash </w:t>
            </w:r>
            <w:proofErr w:type="gramStart"/>
            <w:r w:rsidRPr="00E72750">
              <w:rPr>
                <w:rFonts w:cs="Arial"/>
                <w:szCs w:val="20"/>
                <w:lang w:val="en-GB"/>
              </w:rPr>
              <w:t>University;</w:t>
            </w:r>
            <w:proofErr w:type="gramEnd"/>
            <w:r w:rsidRPr="00E72750">
              <w:rPr>
                <w:rFonts w:cs="Arial"/>
                <w:szCs w:val="20"/>
                <w:lang w:val="en-GB"/>
              </w:rPr>
              <w:t xml:space="preserve"> </w:t>
            </w:r>
          </w:p>
          <w:p w14:paraId="0B7B8B32" w14:textId="77777777" w:rsidR="00DA0768" w:rsidRPr="00E72750" w:rsidRDefault="00DA0768" w:rsidP="00801E5A">
            <w:pPr>
              <w:pStyle w:val="02Tabletext"/>
              <w:spacing w:after="20"/>
              <w:rPr>
                <w:rFonts w:cs="Arial"/>
                <w:lang w:val="en-GB"/>
              </w:rPr>
            </w:pPr>
            <w:r w:rsidRPr="00E72750">
              <w:rPr>
                <w:rFonts w:cs="Arial"/>
                <w:szCs w:val="20"/>
                <w:lang w:val="en-GB"/>
              </w:rPr>
              <w:t>President, Public Pathology Australia</w:t>
            </w:r>
          </w:p>
        </w:tc>
        <w:tc>
          <w:tcPr>
            <w:tcW w:w="1544" w:type="pct"/>
            <w:tcMar>
              <w:left w:w="57" w:type="dxa"/>
            </w:tcMar>
          </w:tcPr>
          <w:p w14:paraId="1D97BB95" w14:textId="77777777" w:rsidR="00DA0768" w:rsidRPr="00E72750" w:rsidRDefault="00DA0768" w:rsidP="00542BA4">
            <w:pPr>
              <w:pStyle w:val="02Tabletext"/>
              <w:spacing w:after="20"/>
              <w:rPr>
                <w:rFonts w:cs="Arial"/>
                <w:szCs w:val="20"/>
                <w:highlight w:val="yellow"/>
                <w:lang w:val="en-GB"/>
              </w:rPr>
            </w:pPr>
            <w:r w:rsidRPr="00E72750">
              <w:rPr>
                <w:rFonts w:cs="Arial"/>
                <w:szCs w:val="20"/>
                <w:lang w:val="en-GB"/>
              </w:rPr>
              <w:t xml:space="preserve">Is the main biller of the tests at the Alfred, although these do not get billed under the </w:t>
            </w:r>
            <w:proofErr w:type="gramStart"/>
            <w:r w:rsidRPr="00E72750">
              <w:rPr>
                <w:rFonts w:cs="Arial"/>
                <w:szCs w:val="20"/>
                <w:lang w:val="en-GB"/>
              </w:rPr>
              <w:t>MBS</w:t>
            </w:r>
            <w:r w:rsidR="00C03711" w:rsidRPr="00E72750">
              <w:rPr>
                <w:rFonts w:cs="Arial"/>
                <w:szCs w:val="20"/>
                <w:lang w:val="en-GB"/>
              </w:rPr>
              <w:t>.</w:t>
            </w:r>
            <w:proofErr w:type="gramEnd"/>
          </w:p>
        </w:tc>
      </w:tr>
      <w:tr w:rsidR="00DA0768" w:rsidRPr="00E72750" w14:paraId="2652D4EB" w14:textId="77777777" w:rsidTr="00800C3F">
        <w:tc>
          <w:tcPr>
            <w:tcW w:w="921" w:type="pct"/>
            <w:tcMar>
              <w:left w:w="57" w:type="dxa"/>
            </w:tcMar>
          </w:tcPr>
          <w:p w14:paraId="71DBB5AC" w14:textId="77777777" w:rsidR="00DA0768" w:rsidRPr="00E72750" w:rsidRDefault="00DA0768" w:rsidP="00801E5A">
            <w:pPr>
              <w:pStyle w:val="02Tabletext"/>
              <w:spacing w:after="20"/>
              <w:rPr>
                <w:rFonts w:cs="Arial"/>
                <w:szCs w:val="20"/>
                <w:lang w:val="en-GB"/>
              </w:rPr>
            </w:pPr>
            <w:r w:rsidRPr="00E72750">
              <w:rPr>
                <w:rFonts w:cs="Arial"/>
                <w:szCs w:val="20"/>
                <w:lang w:val="en-GB"/>
              </w:rPr>
              <w:t xml:space="preserve">Dr Simon Morgan </w:t>
            </w:r>
          </w:p>
        </w:tc>
        <w:tc>
          <w:tcPr>
            <w:tcW w:w="2535" w:type="pct"/>
            <w:tcMar>
              <w:left w:w="57" w:type="dxa"/>
            </w:tcMar>
          </w:tcPr>
          <w:p w14:paraId="14D58C69" w14:textId="77777777" w:rsidR="00DA0768" w:rsidRPr="00E72750" w:rsidRDefault="00DA0768" w:rsidP="00801E5A">
            <w:pPr>
              <w:pStyle w:val="02Tabletext"/>
              <w:spacing w:after="20"/>
              <w:rPr>
                <w:rFonts w:cs="Arial"/>
                <w:szCs w:val="20"/>
                <w:highlight w:val="yellow"/>
                <w:lang w:val="en-GB"/>
              </w:rPr>
            </w:pPr>
            <w:r w:rsidRPr="00E72750">
              <w:rPr>
                <w:rFonts w:cs="Arial"/>
                <w:szCs w:val="20"/>
                <w:lang w:val="en-GB"/>
              </w:rPr>
              <w:t xml:space="preserve">General Practitioner </w:t>
            </w:r>
          </w:p>
        </w:tc>
        <w:tc>
          <w:tcPr>
            <w:tcW w:w="1544" w:type="pct"/>
            <w:tcMar>
              <w:left w:w="57" w:type="dxa"/>
            </w:tcMar>
          </w:tcPr>
          <w:p w14:paraId="5F78549C" w14:textId="77777777" w:rsidR="00DA0768" w:rsidRPr="00E72750" w:rsidRDefault="00DA0768" w:rsidP="00801E5A">
            <w:pPr>
              <w:pStyle w:val="02Tabletext"/>
              <w:spacing w:after="20"/>
              <w:rPr>
                <w:rFonts w:cs="Arial"/>
                <w:szCs w:val="20"/>
                <w:highlight w:val="yellow"/>
                <w:lang w:val="en-GB"/>
              </w:rPr>
            </w:pPr>
            <w:r w:rsidRPr="00E72750">
              <w:rPr>
                <w:rFonts w:cs="Arial"/>
                <w:szCs w:val="20"/>
                <w:lang w:val="en-GB"/>
              </w:rPr>
              <w:t>Requests the MBS items under review</w:t>
            </w:r>
            <w:r w:rsidR="00C03711" w:rsidRPr="00E72750">
              <w:rPr>
                <w:rFonts w:cs="Arial"/>
                <w:szCs w:val="20"/>
                <w:lang w:val="en-GB"/>
              </w:rPr>
              <w:t>.</w:t>
            </w:r>
            <w:r w:rsidRPr="00E72750">
              <w:rPr>
                <w:rFonts w:cs="Arial"/>
                <w:szCs w:val="20"/>
                <w:lang w:val="en-GB"/>
              </w:rPr>
              <w:t xml:space="preserve"> </w:t>
            </w:r>
          </w:p>
        </w:tc>
      </w:tr>
    </w:tbl>
    <w:p w14:paraId="52BEF298" w14:textId="77777777" w:rsidR="00D130C8" w:rsidRPr="00E72750" w:rsidRDefault="00D130C8" w:rsidP="0047371C">
      <w:pPr>
        <w:pStyle w:val="Caption"/>
      </w:pPr>
      <w:bookmarkStart w:id="40" w:name="_Toc456045431"/>
    </w:p>
    <w:p w14:paraId="026D860B" w14:textId="77777777" w:rsidR="00D130C8" w:rsidRPr="00E72750" w:rsidRDefault="00D130C8" w:rsidP="0047371C">
      <w:pPr>
        <w:pStyle w:val="Caption"/>
      </w:pPr>
    </w:p>
    <w:p w14:paraId="3EBBF8C9" w14:textId="77777777" w:rsidR="008739ED" w:rsidRPr="00717067" w:rsidRDefault="008739ED" w:rsidP="00AE62D5">
      <w:pPr>
        <w:pStyle w:val="Caption"/>
      </w:pPr>
      <w:bookmarkStart w:id="41" w:name="_Toc485127112"/>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3</w:t>
      </w:r>
      <w:r w:rsidRPr="00AE62D5">
        <w:rPr>
          <w:b w:val="0"/>
        </w:rPr>
        <w:fldChar w:fldCharType="end"/>
      </w:r>
      <w:r w:rsidR="00AD48EB">
        <w:rPr>
          <w:b w:val="0"/>
        </w:rPr>
        <w:t>:</w:t>
      </w:r>
      <w:r w:rsidRPr="00AE62D5">
        <w:rPr>
          <w:b w:val="0"/>
        </w:rPr>
        <w:t xml:space="preserve"> Thyroid Surgical Volumes and Outcomes Working Group members</w:t>
      </w:r>
      <w:bookmarkEnd w:id="41"/>
    </w:p>
    <w:tbl>
      <w:tblPr>
        <w:tblStyle w:val="TableGrid"/>
        <w:tblW w:w="498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3 lists the Thyroid Surgical Volumes and Outcomes Working Group members. The table contains the names of members, their associated position/organisation and any delcared conflict of interest."/>
      </w:tblPr>
      <w:tblGrid>
        <w:gridCol w:w="1696"/>
        <w:gridCol w:w="4537"/>
        <w:gridCol w:w="2754"/>
      </w:tblGrid>
      <w:tr w:rsidR="00DA0768" w:rsidRPr="00E72750" w14:paraId="2DC42FAB" w14:textId="77777777" w:rsidTr="00AE62D5">
        <w:trPr>
          <w:tblHeader/>
        </w:trPr>
        <w:tc>
          <w:tcPr>
            <w:tcW w:w="944" w:type="pct"/>
            <w:shd w:val="clear" w:color="auto" w:fill="D9D9D9" w:themeFill="background1" w:themeFillShade="D9"/>
            <w:tcMar>
              <w:top w:w="57" w:type="dxa"/>
              <w:left w:w="57" w:type="dxa"/>
            </w:tcMar>
            <w:vAlign w:val="bottom"/>
          </w:tcPr>
          <w:p w14:paraId="4C4417FB" w14:textId="77777777" w:rsidR="00DA0768" w:rsidRPr="00E72750" w:rsidRDefault="00DA0768" w:rsidP="00B87FEB">
            <w:pPr>
              <w:pStyle w:val="01Tableheaderrow"/>
              <w:keepLines/>
              <w:spacing w:before="20" w:after="20"/>
              <w:contextualSpacing/>
              <w:rPr>
                <w:rFonts w:cs="Arial"/>
                <w:lang w:val="en-GB"/>
              </w:rPr>
            </w:pPr>
            <w:r w:rsidRPr="00E72750">
              <w:rPr>
                <w:rFonts w:cs="Arial"/>
                <w:lang w:val="en-GB"/>
              </w:rPr>
              <w:t>Name</w:t>
            </w:r>
          </w:p>
        </w:tc>
        <w:tc>
          <w:tcPr>
            <w:tcW w:w="2524" w:type="pct"/>
            <w:shd w:val="clear" w:color="auto" w:fill="D9D9D9" w:themeFill="background1" w:themeFillShade="D9"/>
            <w:tcMar>
              <w:top w:w="57" w:type="dxa"/>
              <w:left w:w="57" w:type="dxa"/>
            </w:tcMar>
            <w:vAlign w:val="bottom"/>
          </w:tcPr>
          <w:p w14:paraId="6B58C44F" w14:textId="77777777" w:rsidR="00DA0768" w:rsidRPr="00E72750" w:rsidRDefault="00DA0768" w:rsidP="00B87FEB">
            <w:pPr>
              <w:pStyle w:val="01Tableheaderrow"/>
              <w:keepLines/>
              <w:spacing w:before="20" w:after="20"/>
              <w:contextualSpacing/>
              <w:rPr>
                <w:rFonts w:cs="Arial"/>
                <w:lang w:val="en-GB"/>
              </w:rPr>
            </w:pPr>
            <w:r w:rsidRPr="00E72750">
              <w:rPr>
                <w:rFonts w:cs="Arial"/>
                <w:lang w:val="en-GB"/>
              </w:rPr>
              <w:t>Position/Organisation</w:t>
            </w:r>
          </w:p>
        </w:tc>
        <w:tc>
          <w:tcPr>
            <w:tcW w:w="1532" w:type="pct"/>
            <w:shd w:val="clear" w:color="auto" w:fill="D9D9D9" w:themeFill="background1" w:themeFillShade="D9"/>
            <w:tcMar>
              <w:top w:w="57" w:type="dxa"/>
              <w:left w:w="57" w:type="dxa"/>
            </w:tcMar>
            <w:vAlign w:val="bottom"/>
          </w:tcPr>
          <w:p w14:paraId="476FF985" w14:textId="77777777" w:rsidR="00DA0768" w:rsidRPr="00E72750" w:rsidRDefault="00DA0768" w:rsidP="00B87FEB">
            <w:pPr>
              <w:pStyle w:val="01Tableheaderrow"/>
              <w:keepLines/>
              <w:spacing w:before="20" w:after="20"/>
              <w:contextualSpacing/>
              <w:rPr>
                <w:rFonts w:cs="Arial"/>
                <w:lang w:val="en-GB"/>
              </w:rPr>
            </w:pPr>
            <w:r w:rsidRPr="00E72750">
              <w:rPr>
                <w:rFonts w:cs="Arial"/>
                <w:lang w:val="en-GB"/>
              </w:rPr>
              <w:t>Declared conflict of interest</w:t>
            </w:r>
          </w:p>
        </w:tc>
      </w:tr>
      <w:tr w:rsidR="00DA0768" w:rsidRPr="00E72750" w14:paraId="420DE5EF" w14:textId="77777777" w:rsidTr="00AE62D5">
        <w:trPr>
          <w:trHeight w:val="443"/>
        </w:trPr>
        <w:tc>
          <w:tcPr>
            <w:tcW w:w="944" w:type="pct"/>
            <w:tcMar>
              <w:left w:w="57" w:type="dxa"/>
            </w:tcMar>
          </w:tcPr>
          <w:p w14:paraId="5A65907B" w14:textId="77777777" w:rsidR="00DA0768" w:rsidRPr="00E72750" w:rsidRDefault="00DA0768" w:rsidP="00B87FEB">
            <w:pPr>
              <w:pStyle w:val="02Tabletext"/>
              <w:keepNext/>
              <w:keepLines/>
              <w:spacing w:after="20"/>
              <w:rPr>
                <w:rFonts w:cs="Arial"/>
                <w:lang w:val="en-GB"/>
              </w:rPr>
            </w:pPr>
            <w:r w:rsidRPr="00E72750">
              <w:rPr>
                <w:rFonts w:cs="Arial"/>
                <w:szCs w:val="20"/>
                <w:lang w:val="en-GB"/>
              </w:rPr>
              <w:t xml:space="preserve">Professor Jonathan </w:t>
            </w:r>
            <w:proofErr w:type="spellStart"/>
            <w:r w:rsidRPr="00E72750">
              <w:rPr>
                <w:rFonts w:cs="Arial"/>
                <w:szCs w:val="20"/>
                <w:lang w:val="en-GB"/>
              </w:rPr>
              <w:t>Serpell</w:t>
            </w:r>
            <w:proofErr w:type="spellEnd"/>
            <w:r w:rsidRPr="00E72750">
              <w:rPr>
                <w:rFonts w:cs="Arial"/>
                <w:szCs w:val="20"/>
                <w:lang w:val="en-GB"/>
              </w:rPr>
              <w:t xml:space="preserve"> (Chair)</w:t>
            </w:r>
          </w:p>
        </w:tc>
        <w:tc>
          <w:tcPr>
            <w:tcW w:w="2524" w:type="pct"/>
            <w:tcMar>
              <w:left w:w="57" w:type="dxa"/>
            </w:tcMar>
          </w:tcPr>
          <w:p w14:paraId="0564A4F7" w14:textId="77777777" w:rsidR="00DA0768" w:rsidRPr="00E72750" w:rsidRDefault="00DA0768" w:rsidP="00B87FEB">
            <w:pPr>
              <w:pStyle w:val="02Tabletext"/>
              <w:keepNext/>
              <w:keepLines/>
              <w:spacing w:after="20"/>
              <w:rPr>
                <w:rFonts w:cs="Arial"/>
                <w:lang w:val="en-GB"/>
              </w:rPr>
            </w:pPr>
            <w:r w:rsidRPr="00E72750">
              <w:rPr>
                <w:rFonts w:cs="Arial"/>
                <w:lang w:val="en-GB"/>
              </w:rPr>
              <w:t xml:space="preserve">As above </w:t>
            </w:r>
          </w:p>
        </w:tc>
        <w:tc>
          <w:tcPr>
            <w:tcW w:w="1532" w:type="pct"/>
            <w:tcMar>
              <w:left w:w="57" w:type="dxa"/>
            </w:tcMar>
          </w:tcPr>
          <w:p w14:paraId="011948E3" w14:textId="77777777" w:rsidR="00DA0768" w:rsidRPr="00E72750" w:rsidRDefault="00DA0768" w:rsidP="00B87FEB">
            <w:pPr>
              <w:pStyle w:val="02Tabletext"/>
              <w:keepNext/>
              <w:keepLines/>
              <w:spacing w:after="20"/>
              <w:rPr>
                <w:rFonts w:cs="Arial"/>
                <w:szCs w:val="20"/>
                <w:highlight w:val="yellow"/>
                <w:lang w:val="en-GB"/>
              </w:rPr>
            </w:pPr>
            <w:r w:rsidRPr="00E72750">
              <w:rPr>
                <w:rFonts w:cs="Arial"/>
                <w:lang w:val="en-GB"/>
              </w:rPr>
              <w:t>As above</w:t>
            </w:r>
          </w:p>
        </w:tc>
      </w:tr>
      <w:tr w:rsidR="00DA0768" w:rsidRPr="00E72750" w14:paraId="2BBAB03F" w14:textId="77777777" w:rsidTr="00AE62D5">
        <w:trPr>
          <w:trHeight w:val="449"/>
        </w:trPr>
        <w:tc>
          <w:tcPr>
            <w:tcW w:w="944" w:type="pct"/>
            <w:tcMar>
              <w:left w:w="57" w:type="dxa"/>
            </w:tcMar>
          </w:tcPr>
          <w:p w14:paraId="2A3AE7E1" w14:textId="77777777" w:rsidR="00DA0768" w:rsidRPr="00E72750" w:rsidRDefault="00DA0768" w:rsidP="001243E6">
            <w:pPr>
              <w:pStyle w:val="02Tabletext"/>
              <w:spacing w:after="20"/>
              <w:rPr>
                <w:rFonts w:cs="Arial"/>
                <w:szCs w:val="20"/>
                <w:lang w:val="en-GB"/>
              </w:rPr>
            </w:pPr>
            <w:r w:rsidRPr="00E72750">
              <w:rPr>
                <w:rFonts w:cs="Arial"/>
                <w:szCs w:val="20"/>
                <w:lang w:val="en-GB"/>
              </w:rPr>
              <w:t>Professor Stan Sidhu</w:t>
            </w:r>
          </w:p>
        </w:tc>
        <w:tc>
          <w:tcPr>
            <w:tcW w:w="2524" w:type="pct"/>
            <w:tcMar>
              <w:left w:w="57" w:type="dxa"/>
            </w:tcMar>
          </w:tcPr>
          <w:p w14:paraId="30DE70D1" w14:textId="77777777" w:rsidR="00DA0768" w:rsidRPr="00E72750" w:rsidRDefault="00DA0768" w:rsidP="001243E6">
            <w:pPr>
              <w:pStyle w:val="02Tabletext"/>
              <w:spacing w:after="20"/>
              <w:rPr>
                <w:rFonts w:cs="Arial"/>
                <w:szCs w:val="20"/>
                <w:highlight w:val="yellow"/>
                <w:lang w:val="en-GB"/>
              </w:rPr>
            </w:pPr>
            <w:r w:rsidRPr="00E72750">
              <w:rPr>
                <w:rFonts w:cs="Arial"/>
                <w:lang w:val="en-GB"/>
              </w:rPr>
              <w:t>As above</w:t>
            </w:r>
          </w:p>
        </w:tc>
        <w:tc>
          <w:tcPr>
            <w:tcW w:w="1532" w:type="pct"/>
            <w:tcMar>
              <w:left w:w="57" w:type="dxa"/>
            </w:tcMar>
          </w:tcPr>
          <w:p w14:paraId="609ABFBD" w14:textId="77777777" w:rsidR="00DA0768" w:rsidRPr="00E72750" w:rsidRDefault="00DA0768" w:rsidP="001243E6">
            <w:pPr>
              <w:pStyle w:val="02Tabletext"/>
              <w:spacing w:after="20"/>
              <w:rPr>
                <w:rFonts w:cs="Arial"/>
                <w:szCs w:val="20"/>
                <w:highlight w:val="yellow"/>
                <w:lang w:val="en-GB"/>
              </w:rPr>
            </w:pPr>
            <w:r w:rsidRPr="00E72750">
              <w:rPr>
                <w:rFonts w:cs="Arial"/>
                <w:lang w:val="en-GB"/>
              </w:rPr>
              <w:t>As above</w:t>
            </w:r>
          </w:p>
        </w:tc>
      </w:tr>
      <w:tr w:rsidR="00DA0768" w:rsidRPr="00E72750" w14:paraId="63EF9A72" w14:textId="77777777" w:rsidTr="00AE62D5">
        <w:trPr>
          <w:trHeight w:val="236"/>
        </w:trPr>
        <w:tc>
          <w:tcPr>
            <w:tcW w:w="944" w:type="pct"/>
            <w:tcMar>
              <w:left w:w="57" w:type="dxa"/>
            </w:tcMar>
          </w:tcPr>
          <w:p w14:paraId="34081AA8" w14:textId="77777777" w:rsidR="00DA0768" w:rsidRPr="00E72750" w:rsidRDefault="00DA0768" w:rsidP="001243E6">
            <w:pPr>
              <w:pStyle w:val="02Tabletext"/>
              <w:spacing w:after="20"/>
              <w:rPr>
                <w:rFonts w:cs="Arial"/>
                <w:szCs w:val="20"/>
                <w:lang w:val="en-GB"/>
              </w:rPr>
            </w:pPr>
            <w:r w:rsidRPr="00E72750">
              <w:rPr>
                <w:rFonts w:cs="Arial"/>
                <w:szCs w:val="20"/>
                <w:lang w:val="en-GB"/>
              </w:rPr>
              <w:t xml:space="preserve">Ms </w:t>
            </w:r>
            <w:proofErr w:type="spellStart"/>
            <w:r w:rsidRPr="00E72750">
              <w:rPr>
                <w:rFonts w:cs="Arial"/>
                <w:szCs w:val="20"/>
                <w:lang w:val="en-GB"/>
              </w:rPr>
              <w:t>Janne</w:t>
            </w:r>
            <w:proofErr w:type="spellEnd"/>
            <w:r w:rsidRPr="00E72750">
              <w:rPr>
                <w:rFonts w:cs="Arial"/>
                <w:szCs w:val="20"/>
                <w:lang w:val="en-GB"/>
              </w:rPr>
              <w:t xml:space="preserve"> Graham</w:t>
            </w:r>
          </w:p>
        </w:tc>
        <w:tc>
          <w:tcPr>
            <w:tcW w:w="2524" w:type="pct"/>
            <w:tcMar>
              <w:left w:w="57" w:type="dxa"/>
            </w:tcMar>
          </w:tcPr>
          <w:p w14:paraId="35F37A98" w14:textId="77777777" w:rsidR="00DA0768" w:rsidRPr="00E72750" w:rsidRDefault="00DA0768" w:rsidP="001243E6">
            <w:pPr>
              <w:pStyle w:val="02Tabletext"/>
              <w:spacing w:after="20"/>
              <w:rPr>
                <w:rFonts w:cs="Arial"/>
                <w:szCs w:val="20"/>
                <w:highlight w:val="yellow"/>
                <w:lang w:val="en-GB"/>
              </w:rPr>
            </w:pPr>
            <w:r w:rsidRPr="00E72750">
              <w:rPr>
                <w:rFonts w:cs="Arial"/>
                <w:lang w:val="en-GB"/>
              </w:rPr>
              <w:t>As above</w:t>
            </w:r>
          </w:p>
        </w:tc>
        <w:tc>
          <w:tcPr>
            <w:tcW w:w="1532" w:type="pct"/>
            <w:tcMar>
              <w:left w:w="57" w:type="dxa"/>
            </w:tcMar>
          </w:tcPr>
          <w:p w14:paraId="58B2F1B5" w14:textId="77777777" w:rsidR="00DA0768" w:rsidRPr="00E72750" w:rsidRDefault="00DA0768" w:rsidP="001243E6">
            <w:pPr>
              <w:pStyle w:val="02Tabletext"/>
              <w:spacing w:after="20"/>
              <w:rPr>
                <w:rFonts w:cs="Arial"/>
                <w:szCs w:val="20"/>
                <w:highlight w:val="yellow"/>
                <w:lang w:val="en-GB"/>
              </w:rPr>
            </w:pPr>
            <w:r w:rsidRPr="00E72750">
              <w:rPr>
                <w:rFonts w:cs="Arial"/>
                <w:lang w:val="en-GB"/>
              </w:rPr>
              <w:t>As above</w:t>
            </w:r>
          </w:p>
        </w:tc>
      </w:tr>
      <w:tr w:rsidR="00DA0768" w:rsidRPr="00E72750" w14:paraId="518D0951" w14:textId="77777777" w:rsidTr="00AE62D5">
        <w:trPr>
          <w:trHeight w:val="449"/>
        </w:trPr>
        <w:tc>
          <w:tcPr>
            <w:tcW w:w="944" w:type="pct"/>
            <w:tcMar>
              <w:left w:w="57" w:type="dxa"/>
            </w:tcMar>
          </w:tcPr>
          <w:p w14:paraId="7A05049E" w14:textId="77777777" w:rsidR="00DA0768" w:rsidRPr="00E72750" w:rsidRDefault="00DA0768" w:rsidP="001243E6">
            <w:pPr>
              <w:pStyle w:val="02Tabletext"/>
              <w:spacing w:after="20"/>
              <w:rPr>
                <w:rFonts w:cs="Arial"/>
                <w:szCs w:val="20"/>
                <w:lang w:val="en-GB"/>
              </w:rPr>
            </w:pPr>
            <w:r w:rsidRPr="00E72750">
              <w:rPr>
                <w:rFonts w:cs="Arial"/>
                <w:szCs w:val="20"/>
                <w:lang w:val="en-GB"/>
              </w:rPr>
              <w:t>Dr Christopher Pyke</w:t>
            </w:r>
          </w:p>
        </w:tc>
        <w:tc>
          <w:tcPr>
            <w:tcW w:w="2524" w:type="pct"/>
            <w:tcMar>
              <w:left w:w="57" w:type="dxa"/>
            </w:tcMar>
          </w:tcPr>
          <w:p w14:paraId="2D8F0F3F" w14:textId="77777777" w:rsidR="00DA0768" w:rsidRPr="00E72750" w:rsidRDefault="00DA0768" w:rsidP="001243E6">
            <w:pPr>
              <w:pStyle w:val="02Tabletext"/>
              <w:spacing w:after="20"/>
              <w:rPr>
                <w:rFonts w:cs="Arial"/>
                <w:szCs w:val="20"/>
                <w:highlight w:val="yellow"/>
                <w:lang w:val="en-GB"/>
              </w:rPr>
            </w:pPr>
            <w:r w:rsidRPr="00E72750">
              <w:rPr>
                <w:rFonts w:cs="Arial"/>
                <w:lang w:val="en-GB"/>
              </w:rPr>
              <w:t>As above</w:t>
            </w:r>
          </w:p>
        </w:tc>
        <w:tc>
          <w:tcPr>
            <w:tcW w:w="1532" w:type="pct"/>
            <w:tcMar>
              <w:left w:w="57" w:type="dxa"/>
            </w:tcMar>
          </w:tcPr>
          <w:p w14:paraId="6448A273" w14:textId="77777777" w:rsidR="00DA0768" w:rsidRPr="00E72750" w:rsidRDefault="00DA0768" w:rsidP="001243E6">
            <w:pPr>
              <w:pStyle w:val="02Tabletext"/>
              <w:spacing w:after="20"/>
              <w:rPr>
                <w:rFonts w:cs="Arial"/>
                <w:szCs w:val="20"/>
                <w:highlight w:val="yellow"/>
                <w:lang w:val="en-GB"/>
              </w:rPr>
            </w:pPr>
            <w:r w:rsidRPr="00E72750">
              <w:rPr>
                <w:rFonts w:cs="Arial"/>
                <w:lang w:val="en-GB"/>
              </w:rPr>
              <w:t>As above</w:t>
            </w:r>
          </w:p>
        </w:tc>
      </w:tr>
    </w:tbl>
    <w:p w14:paraId="2AAB45B7" w14:textId="77777777" w:rsidR="008739ED" w:rsidRDefault="008739ED" w:rsidP="00AE62D5">
      <w:pPr>
        <w:rPr>
          <w:rFonts w:eastAsiaTheme="minorHAnsi" w:cs="Arial"/>
          <w:color w:val="01653F"/>
          <w:sz w:val="28"/>
          <w:szCs w:val="28"/>
          <w:lang w:val="en-US" w:eastAsia="en-US"/>
        </w:rPr>
      </w:pPr>
      <w:r>
        <w:br w:type="page"/>
      </w:r>
    </w:p>
    <w:p w14:paraId="079E366E" w14:textId="77777777" w:rsidR="00512F2C" w:rsidRPr="008E71BF" w:rsidRDefault="00132255" w:rsidP="00AE62D5">
      <w:pPr>
        <w:pStyle w:val="Heading1"/>
      </w:pPr>
      <w:bookmarkStart w:id="42" w:name="_Toc485298020"/>
      <w:r w:rsidRPr="008E71BF">
        <w:lastRenderedPageBreak/>
        <w:t xml:space="preserve">Areas of responsibility of the </w:t>
      </w:r>
      <w:r w:rsidR="00F008A1" w:rsidRPr="008E71BF">
        <w:t>Committee</w:t>
      </w:r>
      <w:bookmarkEnd w:id="40"/>
      <w:bookmarkEnd w:id="42"/>
    </w:p>
    <w:p w14:paraId="5B9ACF3C" w14:textId="77777777" w:rsidR="00512F2C" w:rsidRPr="00E72750" w:rsidRDefault="0077348D" w:rsidP="0047371C">
      <w:r w:rsidRPr="00E72750">
        <w:t xml:space="preserve">The Committee </w:t>
      </w:r>
      <w:r w:rsidR="009B39C4" w:rsidRPr="00E72750">
        <w:t>reviewed</w:t>
      </w:r>
      <w:r w:rsidRPr="00E72750">
        <w:t xml:space="preserve"> </w:t>
      </w:r>
      <w:r w:rsidR="00370932" w:rsidRPr="00E72750">
        <w:t>60</w:t>
      </w:r>
      <w:r w:rsidR="009B39C4" w:rsidRPr="00E72750">
        <w:t xml:space="preserve"> </w:t>
      </w:r>
      <w:r w:rsidRPr="00E72750">
        <w:t>MBS items</w:t>
      </w:r>
      <w:r w:rsidR="00491CCA" w:rsidRPr="00E72750">
        <w:t xml:space="preserve">: </w:t>
      </w:r>
      <w:r w:rsidR="005C1FFB" w:rsidRPr="00E72750">
        <w:t xml:space="preserve">17 </w:t>
      </w:r>
      <w:r w:rsidR="00491CCA" w:rsidRPr="00E72750">
        <w:t>endocrin</w:t>
      </w:r>
      <w:r w:rsidR="008B24BE" w:rsidRPr="00E72750">
        <w:t>ology</w:t>
      </w:r>
      <w:r w:rsidR="00491CCA" w:rsidRPr="00E72750">
        <w:t xml:space="preserve"> </w:t>
      </w:r>
      <w:r w:rsidR="005C1FFB" w:rsidRPr="00E72750">
        <w:t>items</w:t>
      </w:r>
      <w:r w:rsidR="00223AAD" w:rsidRPr="00E72750">
        <w:t>, and</w:t>
      </w:r>
      <w:r w:rsidR="005C1FFB" w:rsidRPr="00E72750">
        <w:t xml:space="preserve"> </w:t>
      </w:r>
      <w:r w:rsidR="00265361">
        <w:t>43 endocrinology</w:t>
      </w:r>
      <w:r w:rsidR="00A12D39" w:rsidRPr="00E72750">
        <w:t>-</w:t>
      </w:r>
      <w:r w:rsidR="00370932" w:rsidRPr="00E72750">
        <w:t>related pathology test</w:t>
      </w:r>
      <w:r w:rsidRPr="00E72750">
        <w:t xml:space="preserve"> items. </w:t>
      </w:r>
      <w:r w:rsidR="000E3973" w:rsidRPr="000E3973">
        <w:t>The review of the 43 endocrinology-related pathology test items was performed from the perspective of doctors requesting these tests and in cooperation with the Pathology Clinical Committee (PCC</w:t>
      </w:r>
      <w:r w:rsidR="00F10AFA" w:rsidRPr="00E72750">
        <w:t>;</w:t>
      </w:r>
      <w:r w:rsidR="0083616D" w:rsidRPr="00E72750">
        <w:t xml:space="preserve"> the providers</w:t>
      </w:r>
      <w:r w:rsidR="00F10AFA" w:rsidRPr="00E72750">
        <w:t>)</w:t>
      </w:r>
      <w:r w:rsidR="0083616D" w:rsidRPr="00E72750">
        <w:t>, who</w:t>
      </w:r>
      <w:r w:rsidR="00F66E3D">
        <w:t xml:space="preserve"> are progressing </w:t>
      </w:r>
      <w:r w:rsidR="0083616D" w:rsidRPr="00E72750">
        <w:t xml:space="preserve">the recommendations </w:t>
      </w:r>
      <w:r w:rsidR="00F66E3D">
        <w:t xml:space="preserve">prior to public </w:t>
      </w:r>
      <w:r w:rsidR="0083616D" w:rsidRPr="00E72750">
        <w:t xml:space="preserve">consultation. </w:t>
      </w:r>
      <w:r w:rsidR="00370932" w:rsidRPr="00E72750">
        <w:t xml:space="preserve">The Committee also provided input on 16 other items that will be referred to their primary reviewing clinical committee to assist with their recommendations for consultation.  </w:t>
      </w:r>
    </w:p>
    <w:p w14:paraId="5D0D1041" w14:textId="77777777" w:rsidR="00B521FF" w:rsidRDefault="00AE17E9" w:rsidP="00AE62D5">
      <w:r w:rsidRPr="00E72750">
        <w:t xml:space="preserve">The 17 </w:t>
      </w:r>
      <w:r w:rsidR="00A12D39" w:rsidRPr="00E72750">
        <w:t>endocrinology</w:t>
      </w:r>
      <w:r w:rsidR="0066703C" w:rsidRPr="00E72750">
        <w:t xml:space="preserve"> </w:t>
      </w:r>
      <w:r w:rsidRPr="00E72750">
        <w:t xml:space="preserve">items </w:t>
      </w:r>
      <w:r w:rsidR="002A4E66" w:rsidRPr="00E72750">
        <w:t>primarily</w:t>
      </w:r>
      <w:r w:rsidR="00484D6A" w:rsidRPr="00E72750">
        <w:t xml:space="preserve"> cover</w:t>
      </w:r>
      <w:r w:rsidR="00186065" w:rsidRPr="00E72750">
        <w:t xml:space="preserve"> endocrin</w:t>
      </w:r>
      <w:r w:rsidR="00265361">
        <w:t>ology</w:t>
      </w:r>
      <w:r w:rsidR="00E31980" w:rsidRPr="00E72750">
        <w:t>-</w:t>
      </w:r>
      <w:r w:rsidR="00186065" w:rsidRPr="00E72750">
        <w:t>related surgical procedures</w:t>
      </w:r>
      <w:r w:rsidR="00DD78D6" w:rsidRPr="00E72750">
        <w:t>. In FY</w:t>
      </w:r>
      <w:r w:rsidR="004B12CB" w:rsidRPr="00E72750">
        <w:t xml:space="preserve"> </w:t>
      </w:r>
      <w:r w:rsidR="00DD78D6" w:rsidRPr="00E72750">
        <w:t>2014/</w:t>
      </w:r>
      <w:r w:rsidRPr="00E72750">
        <w:t>15, these</w:t>
      </w:r>
      <w:r w:rsidR="008943F3" w:rsidRPr="00E72750">
        <w:t xml:space="preserve"> items</w:t>
      </w:r>
      <w:r w:rsidR="00186065" w:rsidRPr="00E72750">
        <w:t xml:space="preserve"> </w:t>
      </w:r>
      <w:r w:rsidR="008943F3" w:rsidRPr="00E72750">
        <w:t>accounted for approximately 11,000 services</w:t>
      </w:r>
      <w:r w:rsidR="00DE7F07" w:rsidRPr="00E72750">
        <w:t xml:space="preserve"> </w:t>
      </w:r>
      <w:r w:rsidR="008943F3" w:rsidRPr="00E72750">
        <w:t>and $7 million in benefits.</w:t>
      </w:r>
      <w:r w:rsidR="00DE7F07" w:rsidRPr="00E72750">
        <w:t xml:space="preserve"> Over the past </w:t>
      </w:r>
      <w:r w:rsidR="004B12CB" w:rsidRPr="00E72750">
        <w:t>five</w:t>
      </w:r>
      <w:r w:rsidR="00DE7F07" w:rsidRPr="00E72750">
        <w:t xml:space="preserve"> years</w:t>
      </w:r>
      <w:r w:rsidR="00804EAD" w:rsidRPr="00E72750">
        <w:t>,</w:t>
      </w:r>
      <w:r w:rsidR="00DE7F07" w:rsidRPr="00E72750">
        <w:t xml:space="preserve"> </w:t>
      </w:r>
      <w:r w:rsidR="00804EAD" w:rsidRPr="00E72750">
        <w:t xml:space="preserve">service volumes for </w:t>
      </w:r>
      <w:r w:rsidR="00DE7F07" w:rsidRPr="00E72750">
        <w:t>these</w:t>
      </w:r>
      <w:r w:rsidR="00804EAD" w:rsidRPr="00E72750">
        <w:t xml:space="preserve"> items</w:t>
      </w:r>
      <w:r w:rsidR="00DE7F07" w:rsidRPr="00E72750">
        <w:t xml:space="preserve"> </w:t>
      </w:r>
      <w:r w:rsidR="002D1FE3" w:rsidRPr="00E72750">
        <w:t>have</w:t>
      </w:r>
      <w:r w:rsidR="000009F9" w:rsidRPr="00E72750">
        <w:t xml:space="preserve"> </w:t>
      </w:r>
      <w:r w:rsidR="00DE7F07" w:rsidRPr="00E72750">
        <w:t>grow</w:t>
      </w:r>
      <w:r w:rsidR="00166E01" w:rsidRPr="00E72750">
        <w:t>n</w:t>
      </w:r>
      <w:r w:rsidR="00DE7F07" w:rsidRPr="00E72750">
        <w:t xml:space="preserve"> at 5.3</w:t>
      </w:r>
      <w:r w:rsidR="005903EA" w:rsidRPr="00E72750">
        <w:t xml:space="preserve"> per cent</w:t>
      </w:r>
      <w:r w:rsidR="00BC4FBE" w:rsidRPr="00E72750">
        <w:t xml:space="preserve"> per year,</w:t>
      </w:r>
      <w:r w:rsidR="00DE7F07" w:rsidRPr="00E72750">
        <w:t xml:space="preserve"> and</w:t>
      </w:r>
      <w:r w:rsidR="00D67E1F" w:rsidRPr="00E72750">
        <w:t xml:space="preserve"> the cost of benefits has increased by</w:t>
      </w:r>
      <w:r w:rsidR="00DE7F07" w:rsidRPr="00E72750">
        <w:t xml:space="preserve"> 6.0</w:t>
      </w:r>
      <w:r w:rsidR="005903EA" w:rsidRPr="00E72750">
        <w:t xml:space="preserve"> per cent</w:t>
      </w:r>
      <w:r w:rsidR="00DE7F07" w:rsidRPr="00E72750">
        <w:t xml:space="preserve"> per year.</w:t>
      </w:r>
      <w:r w:rsidR="003360A6">
        <w:fldChar w:fldCharType="begin" w:fldLock="1"/>
      </w:r>
      <w:r w:rsidR="003360A6">
        <w:instrText>ADDIN CSL_CITATION { "citationItems" : [ { "id" : "ITEM-1", "itemData" : { "author" : [ { "dropping-particle" : "", "family" : "Department of Health Australia", "given" : "Medicare Reviews Unit", "non-dropping-particle" : "", "parse-names" : false, "suffix" : "" } ], "id" : "ITEM-1", "issued" : { "date-parts" : [ [ "2016" ] ] }, "title" : "MBS data", "type" : "report" }, "uris" : [ "http://www.mendeley.com/documents/?uuid=71a40718-ae46-45cd-add3-df8b7bd9730f" ] } ], "mendeley" : { "formattedCitation" : "[2]", "plainTextFormattedCitation" : "[2]", "previouslyFormattedCitation" : "[2]" }, "properties" : { "noteIndex" : 0 }, "schema" : "https://github.com/citation-style-language/schema/raw/master/csl-citation.json" }</w:instrText>
      </w:r>
      <w:r w:rsidR="003360A6">
        <w:fldChar w:fldCharType="separate"/>
      </w:r>
      <w:r w:rsidR="003360A6" w:rsidRPr="003360A6">
        <w:rPr>
          <w:noProof/>
        </w:rPr>
        <w:t>[2]</w:t>
      </w:r>
      <w:r w:rsidR="003360A6">
        <w:fldChar w:fldCharType="end"/>
      </w:r>
      <w:r w:rsidR="00DE7F07" w:rsidRPr="00E72750">
        <w:t xml:space="preserve"> This growth is largely explained by an increase in the</w:t>
      </w:r>
      <w:r w:rsidR="00A241BC" w:rsidRPr="00E72750">
        <w:t xml:space="preserve"> number of services per capita</w:t>
      </w:r>
      <w:r w:rsidR="00DE7F07" w:rsidRPr="00E72750">
        <w:t xml:space="preserve"> </w:t>
      </w:r>
      <w:r w:rsidR="0015634B" w:rsidRPr="00E72750">
        <w:t>(</w:t>
      </w:r>
      <w:r w:rsidR="00250F17" w:rsidRPr="00E72750">
        <w:t>Figure 2</w:t>
      </w:r>
      <w:r w:rsidR="0015634B" w:rsidRPr="00E72750">
        <w:t>)</w:t>
      </w:r>
      <w:r w:rsidR="00250F17" w:rsidRPr="00E72750">
        <w:t>.</w:t>
      </w:r>
      <w:r w:rsidR="003360A6">
        <w:fldChar w:fldCharType="begin" w:fldLock="1"/>
      </w:r>
      <w:r w:rsidR="003360A6">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 "properties" : { "noteIndex" : 0 }, "schema" : "https://github.com/citation-style-language/schema/raw/master/csl-citation.json" }</w:instrText>
      </w:r>
      <w:r w:rsidR="003360A6">
        <w:fldChar w:fldCharType="separate"/>
      </w:r>
      <w:r w:rsidR="003360A6" w:rsidRPr="003360A6">
        <w:rPr>
          <w:noProof/>
        </w:rPr>
        <w:t>[3]</w:t>
      </w:r>
      <w:r w:rsidR="003360A6">
        <w:fldChar w:fldCharType="end"/>
      </w:r>
      <w:r w:rsidR="00250F17" w:rsidRPr="00E72750">
        <w:t xml:space="preserve"> </w:t>
      </w:r>
      <w:r w:rsidR="00076717" w:rsidRPr="00E72750">
        <w:t xml:space="preserve">Thyroidectomy and parathyroidectomy services account for </w:t>
      </w:r>
      <w:r w:rsidR="00422DDA" w:rsidRPr="00E72750">
        <w:t>83</w:t>
      </w:r>
      <w:r w:rsidR="002157AE" w:rsidRPr="00E72750">
        <w:t xml:space="preserve"> per cent</w:t>
      </w:r>
      <w:r w:rsidR="00422DDA" w:rsidRPr="00E72750">
        <w:t xml:space="preserve"> of the</w:t>
      </w:r>
      <w:r w:rsidR="00076717" w:rsidRPr="00E72750">
        <w:t xml:space="preserve"> total services</w:t>
      </w:r>
      <w:r w:rsidR="009A5ACE" w:rsidRPr="00E72750">
        <w:t xml:space="preserve"> </w:t>
      </w:r>
      <w:r w:rsidR="0015634B" w:rsidRPr="00E72750">
        <w:t>(</w:t>
      </w:r>
      <w:r w:rsidR="00250F17" w:rsidRPr="00E72750">
        <w:t>Figure 3</w:t>
      </w:r>
      <w:r w:rsidR="0015634B" w:rsidRPr="00E72750">
        <w:t>)</w:t>
      </w:r>
      <w:r w:rsidR="00250F17" w:rsidRPr="00E72750">
        <w:t xml:space="preserve">. </w:t>
      </w:r>
    </w:p>
    <w:p w14:paraId="59357730" w14:textId="77777777" w:rsidR="008739ED" w:rsidRPr="00AE62D5" w:rsidRDefault="008739ED" w:rsidP="008739ED">
      <w:pPr>
        <w:pStyle w:val="Caption"/>
        <w:rPr>
          <w:b w:val="0"/>
        </w:rPr>
      </w:pPr>
      <w:bookmarkStart w:id="43" w:name="_Toc485127172"/>
      <w:r w:rsidRPr="00AE62D5">
        <w:rPr>
          <w:b w:val="0"/>
        </w:rPr>
        <w:t xml:space="preserve">Figure </w:t>
      </w:r>
      <w:r w:rsidRPr="00AE62D5">
        <w:rPr>
          <w:b w:val="0"/>
        </w:rPr>
        <w:fldChar w:fldCharType="begin"/>
      </w:r>
      <w:r w:rsidRPr="00AE62D5">
        <w:rPr>
          <w:b w:val="0"/>
        </w:rPr>
        <w:instrText xml:space="preserve"> SEQ Figure \* ARABIC </w:instrText>
      </w:r>
      <w:r w:rsidRPr="00AE62D5">
        <w:rPr>
          <w:b w:val="0"/>
        </w:rPr>
        <w:fldChar w:fldCharType="separate"/>
      </w:r>
      <w:r w:rsidR="00DC5AF7">
        <w:rPr>
          <w:b w:val="0"/>
          <w:noProof/>
        </w:rPr>
        <w:t>2</w:t>
      </w:r>
      <w:r w:rsidRPr="00AE62D5">
        <w:rPr>
          <w:b w:val="0"/>
        </w:rPr>
        <w:fldChar w:fldCharType="end"/>
      </w:r>
      <w:r w:rsidR="00510AB8">
        <w:rPr>
          <w:b w:val="0"/>
        </w:rPr>
        <w:t>:</w:t>
      </w:r>
      <w:r w:rsidRPr="00AE62D5">
        <w:rPr>
          <w:b w:val="0"/>
        </w:rPr>
        <w:t xml:space="preserve"> Endocrinology items drivers of growth</w:t>
      </w:r>
      <w:bookmarkEnd w:id="43"/>
    </w:p>
    <w:p w14:paraId="732A43A7" w14:textId="77777777" w:rsidR="008739ED" w:rsidRDefault="008739ED" w:rsidP="0047371C">
      <w:pPr>
        <w:pStyle w:val="70exhtblnormal"/>
      </w:pPr>
      <w:r w:rsidRPr="007A7D1D">
        <w:rPr>
          <w:noProof/>
          <w:lang w:val="en-AU" w:eastAsia="en-AU"/>
        </w:rPr>
        <w:drawing>
          <wp:inline distT="0" distB="0" distL="0" distR="0" wp14:anchorId="380A4FA6" wp14:editId="7E9E626D">
            <wp:extent cx="4476750" cy="3348990"/>
            <wp:effectExtent l="0" t="0" r="0" b="3810"/>
            <wp:docPr id="3" name="Picture 3" descr="Figure 2 is a graph that shows the increase in percentage for each of the drivers ofendocrinology from 2010 to 2015. The total benefits increased at 6.0%, due to a 5.3% increase on the number of services and 0.7% increase on the average benefits per service. The increase on the number of services was due to a 1.3% increase on the population and the 4.0% increase on services per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3348990"/>
                    </a:xfrm>
                    <a:prstGeom prst="rect">
                      <a:avLst/>
                    </a:prstGeom>
                    <a:noFill/>
                    <a:ln>
                      <a:noFill/>
                    </a:ln>
                  </pic:spPr>
                </pic:pic>
              </a:graphicData>
            </a:graphic>
          </wp:inline>
        </w:drawing>
      </w:r>
    </w:p>
    <w:p w14:paraId="377247FE" w14:textId="77777777" w:rsidR="00B521FF" w:rsidRDefault="00B521FF" w:rsidP="0047371C">
      <w:pPr>
        <w:pStyle w:val="60exhnormal"/>
      </w:pPr>
    </w:p>
    <w:p w14:paraId="3640AB86" w14:textId="77777777" w:rsidR="008739ED" w:rsidRPr="00AE62D5" w:rsidRDefault="008739ED" w:rsidP="008739ED">
      <w:pPr>
        <w:pStyle w:val="Caption"/>
        <w:rPr>
          <w:b w:val="0"/>
        </w:rPr>
      </w:pPr>
      <w:bookmarkStart w:id="44" w:name="_Toc485127173"/>
      <w:r w:rsidRPr="00AE62D5">
        <w:rPr>
          <w:b w:val="0"/>
        </w:rPr>
        <w:lastRenderedPageBreak/>
        <w:t xml:space="preserve">Figure </w:t>
      </w:r>
      <w:r w:rsidRPr="00AE62D5">
        <w:rPr>
          <w:b w:val="0"/>
        </w:rPr>
        <w:fldChar w:fldCharType="begin"/>
      </w:r>
      <w:r w:rsidRPr="00AE62D5">
        <w:rPr>
          <w:b w:val="0"/>
        </w:rPr>
        <w:instrText xml:space="preserve"> SEQ Figure \* ARABIC </w:instrText>
      </w:r>
      <w:r w:rsidRPr="00AE62D5">
        <w:rPr>
          <w:b w:val="0"/>
        </w:rPr>
        <w:fldChar w:fldCharType="separate"/>
      </w:r>
      <w:r w:rsidR="00DC5AF7">
        <w:rPr>
          <w:b w:val="0"/>
          <w:noProof/>
        </w:rPr>
        <w:t>3</w:t>
      </w:r>
      <w:r w:rsidRPr="00AE62D5">
        <w:rPr>
          <w:b w:val="0"/>
        </w:rPr>
        <w:fldChar w:fldCharType="end"/>
      </w:r>
      <w:r w:rsidR="00510AB8">
        <w:rPr>
          <w:b w:val="0"/>
        </w:rPr>
        <w:t>:</w:t>
      </w:r>
      <w:r w:rsidRPr="00AE62D5">
        <w:rPr>
          <w:b w:val="0"/>
        </w:rPr>
        <w:t xml:space="preserve"> Endocrinology item groups</w:t>
      </w:r>
      <w:bookmarkEnd w:id="44"/>
    </w:p>
    <w:p w14:paraId="6A00FBC2" w14:textId="77777777" w:rsidR="008739ED" w:rsidRDefault="008739ED" w:rsidP="0047371C">
      <w:pPr>
        <w:pStyle w:val="70exhtblnormal"/>
      </w:pPr>
      <w:r w:rsidRPr="007A7D1D">
        <w:rPr>
          <w:noProof/>
          <w:lang w:val="en-AU" w:eastAsia="en-AU"/>
        </w:rPr>
        <w:drawing>
          <wp:inline distT="0" distB="0" distL="0" distR="0" wp14:anchorId="1D32E89C" wp14:editId="451269A2">
            <wp:extent cx="4476750" cy="3352800"/>
            <wp:effectExtent l="0" t="0" r="0" b="0"/>
            <wp:docPr id="4" name="Picture 4" descr="Figure 3 lists the endocrinology items by service volume for financial year 2014-15. There are 4 columns:  1st column lists the item numbers starting from the highest total number of services, 2nd column shows total number of services by thousands, 3rd column shows percent of total services for financial year 2014-15, 4th column shows services 5-year compound annual growth rate, and 5th column is the total benefits for financial year 2014-15 in millions. The graph shows that the top two rows for items 30296-30310 Thyroidectomy (59% of total services) and 30315-30320 Parathyroid group (24%) are significantly larger than the remaining items. The next two are 30097 9% and 30321-30324 3%, with the remaining 2 items less than 3% e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3352800"/>
                    </a:xfrm>
                    <a:prstGeom prst="rect">
                      <a:avLst/>
                    </a:prstGeom>
                    <a:noFill/>
                    <a:ln>
                      <a:noFill/>
                    </a:ln>
                  </pic:spPr>
                </pic:pic>
              </a:graphicData>
            </a:graphic>
          </wp:inline>
        </w:drawing>
      </w:r>
    </w:p>
    <w:p w14:paraId="42C737A3" w14:textId="77777777" w:rsidR="003850AC" w:rsidRDefault="003850AC" w:rsidP="0047371C">
      <w:pPr>
        <w:pStyle w:val="60exhnormal"/>
      </w:pPr>
    </w:p>
    <w:p w14:paraId="6FAE5336" w14:textId="77777777" w:rsidR="00512F2C" w:rsidRPr="00201BB2" w:rsidRDefault="00971B61" w:rsidP="00E75EE1">
      <w:pPr>
        <w:pStyle w:val="Heading2"/>
      </w:pPr>
      <w:bookmarkStart w:id="45" w:name="_Toc456045432"/>
      <w:bookmarkStart w:id="46" w:name="_Toc485298021"/>
      <w:r w:rsidRPr="00201BB2">
        <w:t xml:space="preserve">Summary of </w:t>
      </w:r>
      <w:r w:rsidR="00026792" w:rsidRPr="00201BB2">
        <w:t xml:space="preserve">the Committee’s review </w:t>
      </w:r>
      <w:r w:rsidRPr="00201BB2">
        <w:t>approach</w:t>
      </w:r>
      <w:bookmarkEnd w:id="45"/>
      <w:bookmarkEnd w:id="46"/>
    </w:p>
    <w:p w14:paraId="0DBB2725" w14:textId="77777777" w:rsidR="00512F2C" w:rsidRPr="00E72750" w:rsidRDefault="007211C8" w:rsidP="0047371C">
      <w:r w:rsidRPr="00E72750">
        <w:t xml:space="preserve">The Committee completed a review </w:t>
      </w:r>
      <w:r w:rsidR="00D81A79" w:rsidRPr="00E72750">
        <w:t xml:space="preserve">of its </w:t>
      </w:r>
      <w:r w:rsidR="00B071C6">
        <w:t>17</w:t>
      </w:r>
      <w:r w:rsidR="00502A9B" w:rsidRPr="00E72750">
        <w:t xml:space="preserve"> </w:t>
      </w:r>
      <w:r w:rsidR="001320F0" w:rsidRPr="00E72750">
        <w:t xml:space="preserve">allocated </w:t>
      </w:r>
      <w:r w:rsidR="00C102D0" w:rsidRPr="00E72750">
        <w:t>items</w:t>
      </w:r>
      <w:r w:rsidR="00502A9B" w:rsidRPr="00E72750">
        <w:t xml:space="preserve"> </w:t>
      </w:r>
      <w:r w:rsidRPr="00E72750">
        <w:t>across four meetings</w:t>
      </w:r>
      <w:r w:rsidR="00D81A79" w:rsidRPr="00E72750">
        <w:t xml:space="preserve">, </w:t>
      </w:r>
      <w:r w:rsidR="00EB3469" w:rsidRPr="00E72750">
        <w:t>during which it developed the</w:t>
      </w:r>
      <w:r w:rsidRPr="00E72750">
        <w:t xml:space="preserve"> recommendations </w:t>
      </w:r>
      <w:r w:rsidR="00B64DA6" w:rsidRPr="00E72750">
        <w:t xml:space="preserve">and rationales </w:t>
      </w:r>
      <w:r w:rsidR="000E3BF6" w:rsidRPr="00E72750">
        <w:t xml:space="preserve">outlined in </w:t>
      </w:r>
      <w:r w:rsidR="00DD5EC4" w:rsidRPr="00E72750">
        <w:t>S</w:t>
      </w:r>
      <w:r w:rsidR="000E3BF6" w:rsidRPr="00E72750">
        <w:t xml:space="preserve">ection </w:t>
      </w:r>
      <w:r w:rsidR="00510AB8">
        <w:t>5</w:t>
      </w:r>
      <w:r w:rsidRPr="00E72750">
        <w:t>.</w:t>
      </w:r>
      <w:r w:rsidR="00CD569E" w:rsidRPr="00E72750">
        <w:t xml:space="preserve"> </w:t>
      </w:r>
      <w:r w:rsidR="000E3973" w:rsidRPr="000E3973">
        <w:t xml:space="preserve">The review of the 43 endocrinology-related pathology test items was performed from the perspective of </w:t>
      </w:r>
      <w:r w:rsidR="000E3973">
        <w:t xml:space="preserve">doctors requesting these tests </w:t>
      </w:r>
      <w:r w:rsidR="000E3973" w:rsidRPr="000E3973">
        <w:t>and in cooperation with the</w:t>
      </w:r>
      <w:r w:rsidR="000E3973">
        <w:t xml:space="preserve"> PCC </w:t>
      </w:r>
      <w:r w:rsidR="00525241" w:rsidRPr="00E72750">
        <w:t>(</w:t>
      </w:r>
      <w:r w:rsidR="00940647" w:rsidRPr="00E72750">
        <w:t>the providers</w:t>
      </w:r>
      <w:r w:rsidR="00525241" w:rsidRPr="00E72750">
        <w:t>)</w:t>
      </w:r>
      <w:r w:rsidR="00940647" w:rsidRPr="00E72750">
        <w:t>, who finalised the recommendations for consultation</w:t>
      </w:r>
      <w:r w:rsidR="00CD569E" w:rsidRPr="00E72750">
        <w:t>.</w:t>
      </w:r>
      <w:r w:rsidRPr="00E72750">
        <w:t xml:space="preserve"> T</w:t>
      </w:r>
      <w:r w:rsidR="00CD569E" w:rsidRPr="00E72750">
        <w:t>wo</w:t>
      </w:r>
      <w:r w:rsidRPr="00E72750">
        <w:t xml:space="preserve"> </w:t>
      </w:r>
      <w:r w:rsidR="00AB18EA" w:rsidRPr="00E72750">
        <w:t>w</w:t>
      </w:r>
      <w:r w:rsidRPr="00E72750">
        <w:t xml:space="preserve">orking </w:t>
      </w:r>
      <w:r w:rsidR="00AB18EA" w:rsidRPr="00E72750">
        <w:t>g</w:t>
      </w:r>
      <w:r w:rsidRPr="00E72750">
        <w:t>roups were also</w:t>
      </w:r>
      <w:r w:rsidR="00D81A79" w:rsidRPr="00E72750">
        <w:t xml:space="preserve"> established to review</w:t>
      </w:r>
      <w:r w:rsidR="000E3BF6" w:rsidRPr="00E72750">
        <w:t xml:space="preserve"> TSH, TFT and </w:t>
      </w:r>
      <w:r w:rsidR="006561EB" w:rsidRPr="00E72750">
        <w:t>t</w:t>
      </w:r>
      <w:r w:rsidR="000E3BF6" w:rsidRPr="00E72750">
        <w:t xml:space="preserve">hyroid </w:t>
      </w:r>
      <w:r w:rsidR="006561EB" w:rsidRPr="00E72750">
        <w:t>a</w:t>
      </w:r>
      <w:r w:rsidR="000E3BF6" w:rsidRPr="00E72750">
        <w:t>n</w:t>
      </w:r>
      <w:r w:rsidR="00417C34" w:rsidRPr="00E72750">
        <w:t>t</w:t>
      </w:r>
      <w:r w:rsidR="000E3BF6" w:rsidRPr="00E72750">
        <w:t>i</w:t>
      </w:r>
      <w:r w:rsidR="00417C34" w:rsidRPr="00E72750">
        <w:t>bodies</w:t>
      </w:r>
      <w:r w:rsidR="00060069" w:rsidRPr="00E72750">
        <w:t xml:space="preserve"> items</w:t>
      </w:r>
      <w:r w:rsidR="00046967" w:rsidRPr="00E72750">
        <w:t>, as well as</w:t>
      </w:r>
      <w:r w:rsidR="00417C34" w:rsidRPr="00E72750">
        <w:t xml:space="preserve"> issues regarding the low volume of </w:t>
      </w:r>
      <w:r w:rsidR="00F57FEF" w:rsidRPr="00E72750">
        <w:t xml:space="preserve">thyroid surgery performed annually by certain providers. </w:t>
      </w:r>
      <w:r w:rsidR="002D1275" w:rsidRPr="00E72750">
        <w:t xml:space="preserve">The membership of these </w:t>
      </w:r>
      <w:r w:rsidR="00A00526" w:rsidRPr="00E72750">
        <w:t>w</w:t>
      </w:r>
      <w:r w:rsidR="002D1275" w:rsidRPr="00E72750">
        <w:t xml:space="preserve">orking </w:t>
      </w:r>
      <w:r w:rsidR="00A00526" w:rsidRPr="00E72750">
        <w:t>g</w:t>
      </w:r>
      <w:r w:rsidR="002D1275" w:rsidRPr="00E72750">
        <w:t>roups</w:t>
      </w:r>
      <w:r w:rsidR="00A00526" w:rsidRPr="00E72750">
        <w:t xml:space="preserve"> is </w:t>
      </w:r>
      <w:r w:rsidR="002D1275" w:rsidRPr="00E72750">
        <w:t xml:space="preserve">outlined in </w:t>
      </w:r>
      <w:r w:rsidR="001356E2" w:rsidRPr="00E72750">
        <w:t>S</w:t>
      </w:r>
      <w:r w:rsidR="002D1275" w:rsidRPr="00E72750">
        <w:t xml:space="preserve">ection </w:t>
      </w:r>
      <w:r w:rsidR="00510AB8">
        <w:t>3</w:t>
      </w:r>
      <w:r w:rsidR="006A69C1" w:rsidRPr="00E72750">
        <w:t>.2</w:t>
      </w:r>
      <w:r w:rsidR="0058387A" w:rsidRPr="00E72750">
        <w:t>.</w:t>
      </w:r>
      <w:r w:rsidR="002D1275" w:rsidRPr="00E72750">
        <w:t xml:space="preserve"> </w:t>
      </w:r>
      <w:r w:rsidR="00F57FEF" w:rsidRPr="00E72750">
        <w:t xml:space="preserve">These </w:t>
      </w:r>
      <w:r w:rsidR="002026EA" w:rsidRPr="00E72750">
        <w:t>w</w:t>
      </w:r>
      <w:r w:rsidR="00F57FEF" w:rsidRPr="00E72750">
        <w:t xml:space="preserve">orking </w:t>
      </w:r>
      <w:r w:rsidR="002026EA" w:rsidRPr="00E72750">
        <w:t>g</w:t>
      </w:r>
      <w:r w:rsidR="00F57FEF" w:rsidRPr="00E72750">
        <w:t xml:space="preserve">roups </w:t>
      </w:r>
      <w:r w:rsidR="002D1275" w:rsidRPr="00E72750">
        <w:t>made</w:t>
      </w:r>
      <w:r w:rsidR="00B64DA6" w:rsidRPr="00E72750">
        <w:t xml:space="preserve"> </w:t>
      </w:r>
      <w:r w:rsidRPr="00E72750">
        <w:t xml:space="preserve">recommendations </w:t>
      </w:r>
      <w:r w:rsidR="002D1275" w:rsidRPr="00E72750">
        <w:t>t</w:t>
      </w:r>
      <w:r w:rsidRPr="00E72750">
        <w:t xml:space="preserve">o the </w:t>
      </w:r>
      <w:r w:rsidR="000E3BF6" w:rsidRPr="00E72750">
        <w:t>Committee</w:t>
      </w:r>
      <w:r w:rsidR="00175E40" w:rsidRPr="00E72750">
        <w:t>, which</w:t>
      </w:r>
      <w:r w:rsidR="000E3BF6" w:rsidRPr="00E72750">
        <w:t xml:space="preserve"> were</w:t>
      </w:r>
      <w:r w:rsidR="002D1275" w:rsidRPr="00E72750">
        <w:t xml:space="preserve"> endorsed </w:t>
      </w:r>
      <w:r w:rsidR="000E3BF6" w:rsidRPr="00E72750">
        <w:t xml:space="preserve">and included in </w:t>
      </w:r>
      <w:r w:rsidR="00AC4DE6" w:rsidRPr="00E72750">
        <w:t xml:space="preserve">this </w:t>
      </w:r>
      <w:r w:rsidR="000E3BF6" w:rsidRPr="00E72750">
        <w:t xml:space="preserve">draft </w:t>
      </w:r>
      <w:r w:rsidR="006E2257" w:rsidRPr="00E72750">
        <w:t>r</w:t>
      </w:r>
      <w:r w:rsidR="000E3BF6" w:rsidRPr="00E72750">
        <w:t xml:space="preserve">eview </w:t>
      </w:r>
      <w:r w:rsidR="006E2257" w:rsidRPr="00E72750">
        <w:t>r</w:t>
      </w:r>
      <w:r w:rsidR="000E3BF6" w:rsidRPr="00E72750">
        <w:t xml:space="preserve">eport </w:t>
      </w:r>
      <w:r w:rsidR="00B071C6">
        <w:t xml:space="preserve">and in referrals to other </w:t>
      </w:r>
      <w:r w:rsidR="00434834">
        <w:t>c</w:t>
      </w:r>
      <w:r w:rsidR="00B071C6">
        <w:t xml:space="preserve">linical </w:t>
      </w:r>
      <w:r w:rsidR="00434834">
        <w:t>c</w:t>
      </w:r>
      <w:r w:rsidR="00B071C6">
        <w:t xml:space="preserve">ommittees </w:t>
      </w:r>
      <w:r w:rsidR="002D1275" w:rsidRPr="00E72750">
        <w:t xml:space="preserve">prior to stakeholder consultation. </w:t>
      </w:r>
    </w:p>
    <w:p w14:paraId="5FD978E7" w14:textId="77777777" w:rsidR="008A4130" w:rsidRPr="00E72750" w:rsidRDefault="00842847" w:rsidP="0047371C">
      <w:r w:rsidRPr="00E72750">
        <w:t xml:space="preserve">The review drew </w:t>
      </w:r>
      <w:r w:rsidR="00BA7E3F" w:rsidRPr="00E72750">
        <w:t>on</w:t>
      </w:r>
      <w:r w:rsidRPr="00E72750">
        <w:t xml:space="preserve"> various types of </w:t>
      </w:r>
      <w:r w:rsidR="009A4598" w:rsidRPr="00E72750">
        <w:t xml:space="preserve">MBS </w:t>
      </w:r>
      <w:r w:rsidR="00164487" w:rsidRPr="00E72750">
        <w:t>data</w:t>
      </w:r>
      <w:r w:rsidR="0034271D" w:rsidRPr="00E72750">
        <w:t>,</w:t>
      </w:r>
      <w:r w:rsidR="00164487" w:rsidRPr="00E72750">
        <w:t xml:space="preserve"> </w:t>
      </w:r>
      <w:r w:rsidR="00254CDA" w:rsidRPr="00E72750">
        <w:t>including data on</w:t>
      </w:r>
      <w:r w:rsidR="00164487" w:rsidRPr="00E72750">
        <w:t xml:space="preserve"> utilisation of items (services, benefits, patients, providers and growth rates)</w:t>
      </w:r>
      <w:r w:rsidR="001166D4" w:rsidRPr="00E72750">
        <w:t>;</w:t>
      </w:r>
      <w:r w:rsidR="00E517DA" w:rsidRPr="00E72750">
        <w:t xml:space="preserve"> service provision (type of provider, geography of service provision)</w:t>
      </w:r>
      <w:r w:rsidR="000B0BE0" w:rsidRPr="00E72750">
        <w:t>;</w:t>
      </w:r>
      <w:r w:rsidR="00E517DA" w:rsidRPr="00E72750">
        <w:t xml:space="preserve"> patient</w:t>
      </w:r>
      <w:r w:rsidR="000B0BE0" w:rsidRPr="00E72750">
        <w:t>s</w:t>
      </w:r>
      <w:r w:rsidR="00E517DA" w:rsidRPr="00E72750">
        <w:t xml:space="preserve"> (demographics and services per patient)</w:t>
      </w:r>
      <w:r w:rsidR="00672664" w:rsidRPr="00E72750">
        <w:t>;</w:t>
      </w:r>
      <w:r w:rsidR="00E517DA" w:rsidRPr="00E72750">
        <w:t xml:space="preserve"> co-claiming or </w:t>
      </w:r>
      <w:r w:rsidR="005E47DB" w:rsidRPr="00E72750">
        <w:t>episodes of services (same</w:t>
      </w:r>
      <w:r w:rsidR="00CA28E3" w:rsidRPr="00E72750">
        <w:t>-</w:t>
      </w:r>
      <w:r w:rsidR="005E47DB" w:rsidRPr="00E72750">
        <w:t>day claiming and claiming with specific items over time)</w:t>
      </w:r>
      <w:r w:rsidR="006F03F3" w:rsidRPr="00E72750">
        <w:t>;</w:t>
      </w:r>
      <w:r w:rsidR="005E47DB" w:rsidRPr="00E72750">
        <w:t xml:space="preserve"> and </w:t>
      </w:r>
      <w:r w:rsidR="00FD5ADB" w:rsidRPr="00E72750">
        <w:t xml:space="preserve">additional </w:t>
      </w:r>
      <w:r w:rsidR="005E47DB" w:rsidRPr="00E72750">
        <w:t xml:space="preserve">provider </w:t>
      </w:r>
      <w:r w:rsidR="00652C56" w:rsidRPr="00E72750">
        <w:t xml:space="preserve">and </w:t>
      </w:r>
      <w:r w:rsidR="00FD5ADB" w:rsidRPr="00E72750">
        <w:t>patient-</w:t>
      </w:r>
      <w:r w:rsidR="005E47DB" w:rsidRPr="00E72750">
        <w:t>level data</w:t>
      </w:r>
      <w:r w:rsidR="00362D02" w:rsidRPr="00E72750">
        <w:t>,</w:t>
      </w:r>
      <w:r w:rsidR="005E47DB" w:rsidRPr="00E72750">
        <w:t xml:space="preserve"> when required. </w:t>
      </w:r>
      <w:r w:rsidR="004669A9" w:rsidRPr="00E72750">
        <w:t>The review also drew on</w:t>
      </w:r>
      <w:r w:rsidR="005E47DB" w:rsidRPr="00E72750">
        <w:t xml:space="preserve"> </w:t>
      </w:r>
      <w:r w:rsidR="004669A9" w:rsidRPr="00E72750">
        <w:t xml:space="preserve">data </w:t>
      </w:r>
      <w:r w:rsidR="008B0208" w:rsidRPr="00E72750">
        <w:t>presented</w:t>
      </w:r>
      <w:r w:rsidR="00C10F00" w:rsidRPr="00E72750">
        <w:t xml:space="preserve"> in</w:t>
      </w:r>
      <w:r w:rsidR="004669A9" w:rsidRPr="00E72750">
        <w:t xml:space="preserve"> the</w:t>
      </w:r>
      <w:r w:rsidR="009E2874" w:rsidRPr="00E72750">
        <w:t xml:space="preserve"> relevant literature</w:t>
      </w:r>
      <w:r w:rsidR="002B68EF" w:rsidRPr="00E72750">
        <w:t xml:space="preserve"> and clinical guidelines</w:t>
      </w:r>
      <w:r w:rsidR="00BB2752" w:rsidRPr="00E72750">
        <w:t>, all of which</w:t>
      </w:r>
      <w:r w:rsidR="005E47DB" w:rsidRPr="00E72750">
        <w:t xml:space="preserve"> </w:t>
      </w:r>
      <w:r w:rsidR="00E66394" w:rsidRPr="00E72750">
        <w:t>are</w:t>
      </w:r>
      <w:r w:rsidR="00910E62" w:rsidRPr="00E72750">
        <w:t xml:space="preserve"> </w:t>
      </w:r>
      <w:r w:rsidR="005E47DB" w:rsidRPr="00E72750">
        <w:t xml:space="preserve">referenced in the report. </w:t>
      </w:r>
      <w:r w:rsidR="009D5773" w:rsidRPr="00E72750">
        <w:t>G</w:t>
      </w:r>
      <w:r w:rsidR="005E47DB" w:rsidRPr="00E72750">
        <w:t xml:space="preserve">uidelines and literature </w:t>
      </w:r>
      <w:r w:rsidR="007D606F" w:rsidRPr="00E72750">
        <w:t>were sourced</w:t>
      </w:r>
      <w:r w:rsidR="005E47DB" w:rsidRPr="00E72750">
        <w:t xml:space="preserve"> from relevant </w:t>
      </w:r>
      <w:r w:rsidR="004F2AD7" w:rsidRPr="00E72750">
        <w:t xml:space="preserve">medical </w:t>
      </w:r>
      <w:r w:rsidR="005E47DB" w:rsidRPr="00E72750">
        <w:t>associations or colleges highlighted by Committee members</w:t>
      </w:r>
      <w:r w:rsidR="007D606F" w:rsidRPr="00E72750">
        <w:t xml:space="preserve">, </w:t>
      </w:r>
      <w:r w:rsidR="00D75CAA" w:rsidRPr="00E72750">
        <w:t>including</w:t>
      </w:r>
      <w:r w:rsidR="007D606F" w:rsidRPr="00E72750">
        <w:t xml:space="preserve"> the American Thyroid Association</w:t>
      </w:r>
      <w:r w:rsidR="00337939" w:rsidRPr="00E72750">
        <w:t>;</w:t>
      </w:r>
      <w:r w:rsidR="005E47DB" w:rsidRPr="00E72750">
        <w:t xml:space="preserve"> medical journals</w:t>
      </w:r>
      <w:r w:rsidR="007D606F" w:rsidRPr="00E72750">
        <w:t xml:space="preserve">, such as </w:t>
      </w:r>
      <w:r w:rsidR="00505AE2" w:rsidRPr="00E72750">
        <w:t>t</w:t>
      </w:r>
      <w:r w:rsidR="00695506" w:rsidRPr="00E72750">
        <w:t>he</w:t>
      </w:r>
      <w:r w:rsidR="00E00884" w:rsidRPr="00E72750">
        <w:t xml:space="preserve"> </w:t>
      </w:r>
      <w:r w:rsidR="00B95A67" w:rsidRPr="00201BB2">
        <w:rPr>
          <w:i/>
        </w:rPr>
        <w:t>BMJ</w:t>
      </w:r>
      <w:r w:rsidR="00C2679D" w:rsidRPr="00E72750">
        <w:t>;</w:t>
      </w:r>
      <w:r w:rsidR="005E47DB" w:rsidRPr="00E72750">
        <w:t xml:space="preserve"> </w:t>
      </w:r>
      <w:r w:rsidR="00F271AC" w:rsidRPr="00E72750">
        <w:t xml:space="preserve">and </w:t>
      </w:r>
      <w:r w:rsidR="007E7CCD" w:rsidRPr="00E72750">
        <w:t xml:space="preserve">other </w:t>
      </w:r>
      <w:r w:rsidR="00F271AC" w:rsidRPr="00E72750">
        <w:t>sources</w:t>
      </w:r>
      <w:r w:rsidR="000F2178" w:rsidRPr="00E72750">
        <w:t>,</w:t>
      </w:r>
      <w:r w:rsidR="00F271AC" w:rsidRPr="00E72750">
        <w:t xml:space="preserve"> such as Choosing Wisely</w:t>
      </w:r>
      <w:r w:rsidR="007D606F" w:rsidRPr="00E72750">
        <w:t xml:space="preserve"> Australia</w:t>
      </w:r>
      <w:r w:rsidR="00C2679D" w:rsidRPr="00E72750">
        <w:t xml:space="preserve">. </w:t>
      </w:r>
      <w:r w:rsidR="007D606F" w:rsidRPr="00E72750">
        <w:t xml:space="preserve"> </w:t>
      </w:r>
      <w:r w:rsidR="00F271AC" w:rsidRPr="00E72750">
        <w:t xml:space="preserve"> </w:t>
      </w:r>
      <w:r w:rsidR="00C2679D" w:rsidRPr="00E72750">
        <w:t xml:space="preserve"> </w:t>
      </w:r>
      <w:bookmarkStart w:id="47" w:name="_Toc456045433"/>
    </w:p>
    <w:p w14:paraId="3500142E" w14:textId="77777777" w:rsidR="008739ED" w:rsidRDefault="000B7D43" w:rsidP="0047371C">
      <w:r w:rsidRPr="00E72750">
        <w:t>An inclusive set of stakeholders is now engaged in consultation on the recommendations which are outlined in this report. Following this period of consultation,</w:t>
      </w:r>
      <w:r w:rsidR="00B85DB9" w:rsidRPr="00E72750">
        <w:t xml:space="preserve"> </w:t>
      </w:r>
      <w:r w:rsidR="00F92B98" w:rsidRPr="00E72750">
        <w:t xml:space="preserve">the Committee will consider </w:t>
      </w:r>
      <w:r w:rsidR="00B85DB9" w:rsidRPr="00E72750">
        <w:t>stakeholder feedback</w:t>
      </w:r>
      <w:r w:rsidR="005C0221" w:rsidRPr="00E72750">
        <w:t xml:space="preserve"> before finalising</w:t>
      </w:r>
      <w:r w:rsidR="00B85DB9" w:rsidRPr="00E72750">
        <w:t xml:space="preserve"> and</w:t>
      </w:r>
      <w:r w:rsidR="005C0221" w:rsidRPr="00E72750">
        <w:t xml:space="preserve"> presenting</w:t>
      </w:r>
      <w:r w:rsidRPr="00E72750">
        <w:t xml:space="preserve"> the recommendations to the Taskforce. The Taskforce will consider the report and stakeholder feedback before making recommendations to the Minister for Health</w:t>
      </w:r>
      <w:r w:rsidR="0012227E" w:rsidRPr="00E72750">
        <w:t xml:space="preserve"> </w:t>
      </w:r>
      <w:r w:rsidRPr="00E72750">
        <w:t xml:space="preserve">for consideration by the Government. </w:t>
      </w:r>
    </w:p>
    <w:p w14:paraId="5F12EF84" w14:textId="77777777" w:rsidR="008739ED" w:rsidRDefault="008739ED" w:rsidP="00AE62D5">
      <w:r>
        <w:br w:type="page"/>
      </w:r>
    </w:p>
    <w:p w14:paraId="747B8DBE" w14:textId="77777777" w:rsidR="000B7D43" w:rsidRPr="00E72750" w:rsidRDefault="000B7D43" w:rsidP="0047371C"/>
    <w:p w14:paraId="42F9965A" w14:textId="77777777" w:rsidR="00C172DC" w:rsidRPr="00E72750" w:rsidRDefault="008B7E95" w:rsidP="00E75EE1">
      <w:pPr>
        <w:pStyle w:val="Heading1"/>
      </w:pPr>
      <w:r w:rsidRPr="00E72750">
        <w:tab/>
      </w:r>
      <w:bookmarkStart w:id="48" w:name="_Toc485298022"/>
      <w:r w:rsidR="00E93610" w:rsidRPr="00E72750">
        <w:t>Recommendations</w:t>
      </w:r>
      <w:bookmarkEnd w:id="47"/>
      <w:bookmarkEnd w:id="48"/>
    </w:p>
    <w:p w14:paraId="7C09DCEC" w14:textId="77777777" w:rsidR="00242398" w:rsidRPr="00E72750" w:rsidRDefault="00071EB7" w:rsidP="0047371C">
      <w:pPr>
        <w:rPr>
          <w:lang w:eastAsia="en-US"/>
        </w:rPr>
      </w:pPr>
      <w:r w:rsidRPr="00E72750">
        <w:rPr>
          <w:lang w:eastAsia="en-US"/>
        </w:rPr>
        <w:t xml:space="preserve">The Committee </w:t>
      </w:r>
      <w:r w:rsidR="00EF2140" w:rsidRPr="00E72750">
        <w:rPr>
          <w:lang w:eastAsia="en-US"/>
        </w:rPr>
        <w:t xml:space="preserve">reviewed </w:t>
      </w:r>
      <w:r w:rsidRPr="00E72750">
        <w:rPr>
          <w:lang w:eastAsia="en-US"/>
        </w:rPr>
        <w:t>17</w:t>
      </w:r>
      <w:r w:rsidR="00EF2140" w:rsidRPr="00E72750">
        <w:rPr>
          <w:lang w:eastAsia="en-US"/>
        </w:rPr>
        <w:t xml:space="preserve"> </w:t>
      </w:r>
      <w:r w:rsidR="00EF1072">
        <w:rPr>
          <w:lang w:eastAsia="en-US"/>
        </w:rPr>
        <w:t>endocrinology</w:t>
      </w:r>
      <w:r w:rsidR="000B1477" w:rsidRPr="00E72750">
        <w:rPr>
          <w:lang w:eastAsia="en-US"/>
        </w:rPr>
        <w:t xml:space="preserve"> </w:t>
      </w:r>
      <w:r w:rsidRPr="00E72750">
        <w:rPr>
          <w:lang w:eastAsia="en-US"/>
        </w:rPr>
        <w:t>item</w:t>
      </w:r>
      <w:r w:rsidR="00611175" w:rsidRPr="00E72750">
        <w:rPr>
          <w:lang w:eastAsia="en-US"/>
        </w:rPr>
        <w:t>s</w:t>
      </w:r>
      <w:r w:rsidRPr="00E72750">
        <w:rPr>
          <w:lang w:eastAsia="en-US"/>
        </w:rPr>
        <w:t xml:space="preserve"> </w:t>
      </w:r>
      <w:r w:rsidR="00EF2140" w:rsidRPr="00E72750">
        <w:rPr>
          <w:lang w:eastAsia="en-US"/>
        </w:rPr>
        <w:t>and made</w:t>
      </w:r>
      <w:r w:rsidRPr="00E72750">
        <w:rPr>
          <w:lang w:eastAsia="en-US"/>
        </w:rPr>
        <w:t xml:space="preserve"> </w:t>
      </w:r>
      <w:r w:rsidR="005C14C4" w:rsidRPr="00E72750">
        <w:rPr>
          <w:lang w:eastAsia="en-US"/>
        </w:rPr>
        <w:t>recommendations</w:t>
      </w:r>
      <w:r w:rsidRPr="00E72750">
        <w:rPr>
          <w:lang w:eastAsia="en-US"/>
        </w:rPr>
        <w:t xml:space="preserve"> based on evidence</w:t>
      </w:r>
      <w:r w:rsidR="005960AE" w:rsidRPr="00E72750">
        <w:rPr>
          <w:lang w:eastAsia="en-US"/>
        </w:rPr>
        <w:t xml:space="preserve"> and</w:t>
      </w:r>
      <w:r w:rsidRPr="00E72750">
        <w:rPr>
          <w:lang w:eastAsia="en-US"/>
        </w:rPr>
        <w:t xml:space="preserve"> clinical expertise</w:t>
      </w:r>
      <w:r w:rsidR="007D69BD" w:rsidRPr="00E72750">
        <w:rPr>
          <w:lang w:eastAsia="en-US"/>
        </w:rPr>
        <w:t>, in</w:t>
      </w:r>
      <w:r w:rsidRPr="00E72750">
        <w:rPr>
          <w:lang w:eastAsia="en-US"/>
        </w:rPr>
        <w:t xml:space="preserve"> consultation with relevant stakeholders.</w:t>
      </w:r>
      <w:r w:rsidR="00A26026" w:rsidRPr="00E72750">
        <w:rPr>
          <w:lang w:eastAsia="en-US"/>
        </w:rPr>
        <w:t xml:space="preserve"> The item</w:t>
      </w:r>
      <w:r w:rsidR="00FE5E39" w:rsidRPr="00E72750">
        <w:rPr>
          <w:lang w:eastAsia="en-US"/>
        </w:rPr>
        <w:t>-</w:t>
      </w:r>
      <w:r w:rsidR="00A26026" w:rsidRPr="00E72750">
        <w:rPr>
          <w:lang w:eastAsia="en-US"/>
        </w:rPr>
        <w:t xml:space="preserve">level recommendations can be found </w:t>
      </w:r>
      <w:r w:rsidR="002F43B8" w:rsidRPr="00E72750">
        <w:rPr>
          <w:lang w:eastAsia="en-US"/>
        </w:rPr>
        <w:t xml:space="preserve">in </w:t>
      </w:r>
      <w:r w:rsidR="00F44068" w:rsidRPr="00E72750">
        <w:rPr>
          <w:lang w:eastAsia="en-US"/>
        </w:rPr>
        <w:t>S</w:t>
      </w:r>
      <w:r w:rsidR="001E2D81" w:rsidRPr="00E72750">
        <w:rPr>
          <w:lang w:eastAsia="en-US"/>
        </w:rPr>
        <w:t xml:space="preserve">ections </w:t>
      </w:r>
      <w:r w:rsidR="00510AB8">
        <w:rPr>
          <w:lang w:eastAsia="en-US"/>
        </w:rPr>
        <w:t>5</w:t>
      </w:r>
      <w:r w:rsidR="002F43B8" w:rsidRPr="00E72750">
        <w:rPr>
          <w:lang w:eastAsia="en-US"/>
        </w:rPr>
        <w:t>.1–</w:t>
      </w:r>
      <w:r w:rsidR="00510AB8">
        <w:rPr>
          <w:lang w:eastAsia="en-US"/>
        </w:rPr>
        <w:t>5</w:t>
      </w:r>
      <w:r w:rsidR="002F43B8" w:rsidRPr="00E72750">
        <w:rPr>
          <w:lang w:eastAsia="en-US"/>
        </w:rPr>
        <w:t>.6</w:t>
      </w:r>
      <w:r w:rsidR="00C55E4E" w:rsidRPr="00E72750">
        <w:rPr>
          <w:lang w:eastAsia="en-US"/>
        </w:rPr>
        <w:t>.</w:t>
      </w:r>
      <w:r w:rsidR="00455B2A" w:rsidRPr="00201BB2">
        <w:rPr>
          <w:rStyle w:val="FootnoteReference"/>
        </w:rPr>
        <w:footnoteReference w:id="6"/>
      </w:r>
      <w:r w:rsidR="00EF2140" w:rsidRPr="00E72750">
        <w:rPr>
          <w:lang w:eastAsia="en-US"/>
        </w:rPr>
        <w:t xml:space="preserve"> </w:t>
      </w:r>
      <w:r w:rsidR="00A37F8A" w:rsidRPr="00E72750">
        <w:rPr>
          <w:lang w:eastAsia="en-US"/>
        </w:rPr>
        <w:t>A</w:t>
      </w:r>
      <w:r w:rsidR="00EF2140" w:rsidRPr="00E72750">
        <w:rPr>
          <w:lang w:eastAsia="en-US"/>
        </w:rPr>
        <w:t xml:space="preserve"> summary item recommendation table can be found in Appendix A. </w:t>
      </w:r>
      <w:r w:rsidR="00242398" w:rsidRPr="00E72750">
        <w:rPr>
          <w:lang w:eastAsia="en-US"/>
        </w:rPr>
        <w:t xml:space="preserve">In step 1 of </w:t>
      </w:r>
      <w:r w:rsidR="009D6F8A" w:rsidRPr="00E72750">
        <w:rPr>
          <w:lang w:eastAsia="en-US"/>
        </w:rPr>
        <w:t xml:space="preserve">its </w:t>
      </w:r>
      <w:r w:rsidR="00242398" w:rsidRPr="00E72750">
        <w:rPr>
          <w:lang w:eastAsia="en-US"/>
        </w:rPr>
        <w:t>review</w:t>
      </w:r>
      <w:r w:rsidR="00244246" w:rsidRPr="00E72750">
        <w:rPr>
          <w:lang w:eastAsia="en-US"/>
        </w:rPr>
        <w:t>,</w:t>
      </w:r>
      <w:r w:rsidR="00242398" w:rsidRPr="00E72750">
        <w:rPr>
          <w:lang w:eastAsia="en-US"/>
        </w:rPr>
        <w:t xml:space="preserve"> t</w:t>
      </w:r>
      <w:r w:rsidR="00B1710B" w:rsidRPr="00E72750">
        <w:rPr>
          <w:lang w:eastAsia="en-US"/>
        </w:rPr>
        <w:t>he Committee did not identify any low</w:t>
      </w:r>
      <w:r w:rsidR="00B26E93" w:rsidRPr="00E72750">
        <w:rPr>
          <w:lang w:eastAsia="en-US"/>
        </w:rPr>
        <w:t>-</w:t>
      </w:r>
      <w:r w:rsidR="00242398" w:rsidRPr="00E72750">
        <w:rPr>
          <w:lang w:eastAsia="en-US"/>
        </w:rPr>
        <w:t>volume obsolete items.</w:t>
      </w:r>
      <w:r w:rsidR="00014305" w:rsidRPr="00E72750">
        <w:rPr>
          <w:lang w:eastAsia="en-US"/>
        </w:rPr>
        <w:t xml:space="preserve"> </w:t>
      </w:r>
      <w:r w:rsidR="00242398" w:rsidRPr="00E72750">
        <w:rPr>
          <w:lang w:eastAsia="en-US"/>
        </w:rPr>
        <w:t>In step 2</w:t>
      </w:r>
      <w:r w:rsidR="00B26E93" w:rsidRPr="00E72750">
        <w:rPr>
          <w:lang w:eastAsia="en-US"/>
        </w:rPr>
        <w:t>,</w:t>
      </w:r>
      <w:r w:rsidR="00242398" w:rsidRPr="00E72750">
        <w:rPr>
          <w:lang w:eastAsia="en-US"/>
        </w:rPr>
        <w:t xml:space="preserve"> </w:t>
      </w:r>
      <w:r w:rsidR="00B26E93" w:rsidRPr="00E72750">
        <w:rPr>
          <w:lang w:eastAsia="en-US"/>
        </w:rPr>
        <w:t xml:space="preserve">it </w:t>
      </w:r>
      <w:r w:rsidR="000E148C" w:rsidRPr="00E72750">
        <w:rPr>
          <w:lang w:eastAsia="en-US"/>
        </w:rPr>
        <w:t>classified</w:t>
      </w:r>
      <w:r w:rsidR="00014305" w:rsidRPr="00E72750">
        <w:rPr>
          <w:lang w:eastAsia="en-US"/>
        </w:rPr>
        <w:t xml:space="preserve"> two items </w:t>
      </w:r>
      <w:r w:rsidR="0070284F" w:rsidRPr="00E72750">
        <w:rPr>
          <w:lang w:eastAsia="en-US"/>
        </w:rPr>
        <w:t xml:space="preserve">as </w:t>
      </w:r>
      <w:r w:rsidR="00014305" w:rsidRPr="00E72750">
        <w:rPr>
          <w:lang w:eastAsia="en-US"/>
        </w:rPr>
        <w:t>p</w:t>
      </w:r>
      <w:r w:rsidR="001E2D81" w:rsidRPr="00E72750">
        <w:rPr>
          <w:lang w:eastAsia="en-US"/>
        </w:rPr>
        <w:t>riority 1</w:t>
      </w:r>
      <w:r w:rsidR="00014305" w:rsidRPr="00E72750">
        <w:rPr>
          <w:lang w:eastAsia="en-US"/>
        </w:rPr>
        <w:t xml:space="preserve">, </w:t>
      </w:r>
      <w:r w:rsidR="00A16FFA" w:rsidRPr="00E72750">
        <w:rPr>
          <w:lang w:eastAsia="en-US"/>
        </w:rPr>
        <w:t xml:space="preserve">nine items </w:t>
      </w:r>
      <w:r w:rsidR="002B4C4F" w:rsidRPr="00E72750">
        <w:rPr>
          <w:lang w:eastAsia="en-US"/>
        </w:rPr>
        <w:t xml:space="preserve">as </w:t>
      </w:r>
      <w:r w:rsidR="00A16FFA" w:rsidRPr="00E72750">
        <w:rPr>
          <w:lang w:eastAsia="en-US"/>
        </w:rPr>
        <w:t>priority 2 and six</w:t>
      </w:r>
      <w:r w:rsidR="001E2D81" w:rsidRPr="00E72750">
        <w:rPr>
          <w:lang w:eastAsia="en-US"/>
        </w:rPr>
        <w:t xml:space="preserve"> items</w:t>
      </w:r>
      <w:r w:rsidR="00014305" w:rsidRPr="00E72750">
        <w:rPr>
          <w:lang w:eastAsia="en-US"/>
        </w:rPr>
        <w:t xml:space="preserve"> </w:t>
      </w:r>
      <w:r w:rsidR="00260735" w:rsidRPr="00E72750">
        <w:rPr>
          <w:lang w:eastAsia="en-US"/>
        </w:rPr>
        <w:t xml:space="preserve">as </w:t>
      </w:r>
      <w:r w:rsidR="00014305" w:rsidRPr="00E72750">
        <w:rPr>
          <w:lang w:eastAsia="en-US"/>
        </w:rPr>
        <w:t xml:space="preserve">priority 3. </w:t>
      </w:r>
    </w:p>
    <w:p w14:paraId="216D4EF6" w14:textId="77777777" w:rsidR="00ED277D" w:rsidRPr="00E72750" w:rsidRDefault="00A27C82" w:rsidP="0047371C">
      <w:r w:rsidRPr="00E72750">
        <w:t>The Committee’s</w:t>
      </w:r>
      <w:r w:rsidR="00A33574" w:rsidRPr="00E72750">
        <w:t xml:space="preserve"> recommendations </w:t>
      </w:r>
      <w:r w:rsidR="00492F23" w:rsidRPr="00E72750">
        <w:t>(</w:t>
      </w:r>
      <w:r w:rsidR="00A33574" w:rsidRPr="00E72750">
        <w:t>prior to broader stakeholder consultation</w:t>
      </w:r>
      <w:r w:rsidR="00492F23" w:rsidRPr="00E72750">
        <w:t>)</w:t>
      </w:r>
      <w:r w:rsidR="00B90DF0">
        <w:t xml:space="preserve"> </w:t>
      </w:r>
      <w:proofErr w:type="spellStart"/>
      <w:r w:rsidR="00AB64DD">
        <w:t>are</w:t>
      </w:r>
      <w:r w:rsidR="00B90DF0">
        <w:t>that</w:t>
      </w:r>
      <w:proofErr w:type="spellEnd"/>
      <w:r w:rsidR="00B90DF0">
        <w:t xml:space="preserve"> one</w:t>
      </w:r>
      <w:r w:rsidR="002E0105" w:rsidRPr="00E72750">
        <w:t xml:space="preserve"> </w:t>
      </w:r>
      <w:r w:rsidR="002E0105">
        <w:t>item</w:t>
      </w:r>
      <w:r w:rsidR="002E0105" w:rsidRPr="00E72750">
        <w:t xml:space="preserve"> should</w:t>
      </w:r>
      <w:r w:rsidR="00B90DF0">
        <w:t xml:space="preserve"> be deleted and its</w:t>
      </w:r>
      <w:r w:rsidR="002E0105">
        <w:t xml:space="preserve"> services should no longer be provided under the MBS</w:t>
      </w:r>
      <w:r w:rsidR="002E0105" w:rsidRPr="00E72750">
        <w:t xml:space="preserve">, and </w:t>
      </w:r>
      <w:r w:rsidR="00CC31B4">
        <w:t xml:space="preserve">that </w:t>
      </w:r>
      <w:r w:rsidR="002E0105">
        <w:t xml:space="preserve">16 items should be changed. </w:t>
      </w:r>
      <w:r w:rsidR="00EB76A4" w:rsidRPr="00E72750">
        <w:t>Changes focus on encouraging best practice and simplifying the MBS to improve patient care</w:t>
      </w:r>
      <w:r w:rsidR="00746513" w:rsidRPr="00E72750">
        <w:t>, primarily by</w:t>
      </w:r>
      <w:r w:rsidR="00EB76A4" w:rsidRPr="00E72750">
        <w:t xml:space="preserve"> consolidating item numbers, improving </w:t>
      </w:r>
      <w:r w:rsidR="00FB557E" w:rsidRPr="00E72750">
        <w:t xml:space="preserve">the </w:t>
      </w:r>
      <w:r w:rsidR="00EB76A4" w:rsidRPr="00E72750">
        <w:t xml:space="preserve">clarity of descriptors </w:t>
      </w:r>
      <w:r w:rsidR="000E2A94" w:rsidRPr="00E72750">
        <w:t>(</w:t>
      </w:r>
      <w:r w:rsidR="00EB76A4" w:rsidRPr="00E72750">
        <w:t>with</w:t>
      </w:r>
      <w:r w:rsidR="000E2A94" w:rsidRPr="00E72750">
        <w:t xml:space="preserve"> the</w:t>
      </w:r>
      <w:r w:rsidR="00EB76A4" w:rsidRPr="00E72750">
        <w:t xml:space="preserve"> support </w:t>
      </w:r>
      <w:r w:rsidR="000E2A94" w:rsidRPr="00E72750">
        <w:t xml:space="preserve">of </w:t>
      </w:r>
      <w:r w:rsidR="00EB76A4" w:rsidRPr="00E72750">
        <w:t>explanatory notes</w:t>
      </w:r>
      <w:r w:rsidR="000E2A94" w:rsidRPr="00E72750">
        <w:t>)</w:t>
      </w:r>
      <w:r w:rsidR="00EB76A4" w:rsidRPr="00E72750">
        <w:t xml:space="preserve"> and providing clinical guidance for appropriate use through explanatory notes.</w:t>
      </w:r>
    </w:p>
    <w:p w14:paraId="797AE557" w14:textId="77777777" w:rsidR="005C14C4" w:rsidRPr="00E72750" w:rsidRDefault="00014305" w:rsidP="0047371C">
      <w:pPr>
        <w:rPr>
          <w:lang w:eastAsia="en-US"/>
        </w:rPr>
      </w:pPr>
      <w:r w:rsidRPr="00E72750">
        <w:rPr>
          <w:lang w:eastAsia="en-US"/>
        </w:rPr>
        <w:t>The recommendations are presented in item groups below</w:t>
      </w:r>
      <w:r w:rsidR="00DB5CA5" w:rsidRPr="00E72750">
        <w:rPr>
          <w:lang w:eastAsia="en-US"/>
        </w:rPr>
        <w:t>,</w:t>
      </w:r>
      <w:r w:rsidRPr="00E72750">
        <w:rPr>
          <w:lang w:eastAsia="en-US"/>
        </w:rPr>
        <w:t xml:space="preserve"> with </w:t>
      </w:r>
      <w:r w:rsidR="00C838E0" w:rsidRPr="00E72750">
        <w:rPr>
          <w:lang w:eastAsia="en-US"/>
        </w:rPr>
        <w:t xml:space="preserve">higher priority </w:t>
      </w:r>
      <w:r w:rsidR="00D8020E" w:rsidRPr="00E72750">
        <w:rPr>
          <w:lang w:eastAsia="en-US"/>
        </w:rPr>
        <w:t>groups</w:t>
      </w:r>
      <w:r w:rsidR="00242398" w:rsidRPr="00E72750">
        <w:rPr>
          <w:lang w:eastAsia="en-US"/>
        </w:rPr>
        <w:t xml:space="preserve"> presented first.</w:t>
      </w:r>
      <w:r w:rsidR="00451934" w:rsidRPr="00E72750">
        <w:rPr>
          <w:lang w:eastAsia="en-US"/>
        </w:rPr>
        <w:t xml:space="preserve"> </w:t>
      </w:r>
    </w:p>
    <w:p w14:paraId="7ABD40B9" w14:textId="77777777" w:rsidR="005703ED" w:rsidRPr="00201BB2" w:rsidRDefault="005703ED" w:rsidP="00E75EE1">
      <w:pPr>
        <w:pStyle w:val="Heading2"/>
      </w:pPr>
      <w:bookmarkStart w:id="49" w:name="_Toc455435942"/>
      <w:bookmarkStart w:id="50" w:name="_Toc456045434"/>
      <w:bookmarkStart w:id="51" w:name="_Toc485298023"/>
      <w:r w:rsidRPr="00201BB2">
        <w:t>Thyroidectomy</w:t>
      </w:r>
      <w:r w:rsidR="006D0ACF" w:rsidRPr="00201BB2">
        <w:t>:</w:t>
      </w:r>
      <w:r w:rsidRPr="00201BB2">
        <w:t xml:space="preserve"> </w:t>
      </w:r>
      <w:r w:rsidR="006D0ACF" w:rsidRPr="00201BB2">
        <w:t>I</w:t>
      </w:r>
      <w:r w:rsidRPr="00201BB2">
        <w:t>tem</w:t>
      </w:r>
      <w:r w:rsidR="00F42786" w:rsidRPr="00201BB2">
        <w:t>s</w:t>
      </w:r>
      <w:r w:rsidRPr="00201BB2">
        <w:t xml:space="preserve"> 30296</w:t>
      </w:r>
      <w:r w:rsidR="00EB2FF7" w:rsidRPr="00201BB2">
        <w:t>–</w:t>
      </w:r>
      <w:r w:rsidR="0081387A" w:rsidRPr="00201BB2">
        <w:t>7</w:t>
      </w:r>
      <w:r w:rsidR="00522156" w:rsidRPr="00201BB2">
        <w:t>,</w:t>
      </w:r>
      <w:r w:rsidR="0081387A" w:rsidRPr="00201BB2">
        <w:t xml:space="preserve"> </w:t>
      </w:r>
      <w:r w:rsidRPr="00201BB2">
        <w:t>303</w:t>
      </w:r>
      <w:r w:rsidR="0081387A" w:rsidRPr="00201BB2">
        <w:t>06</w:t>
      </w:r>
      <w:r w:rsidR="00522156" w:rsidRPr="00201BB2">
        <w:t xml:space="preserve"> and 30308</w:t>
      </w:r>
      <w:r w:rsidR="0081387A" w:rsidRPr="00201BB2">
        <w:t>–</w:t>
      </w:r>
      <w:r w:rsidRPr="00201BB2">
        <w:t>10</w:t>
      </w:r>
      <w:bookmarkEnd w:id="49"/>
      <w:bookmarkEnd w:id="50"/>
      <w:bookmarkEnd w:id="51"/>
      <w:r w:rsidR="00451934" w:rsidRPr="00201BB2">
        <w:rPr>
          <w:rFonts w:eastAsia="Times New Roman" w:cs="Times New Roman"/>
          <w:sz w:val="22"/>
          <w:szCs w:val="24"/>
          <w:lang w:eastAsia="en-AU"/>
        </w:rPr>
        <w:t xml:space="preserve"> </w:t>
      </w:r>
    </w:p>
    <w:p w14:paraId="4968FECE" w14:textId="77777777" w:rsidR="008739ED" w:rsidRPr="00717067" w:rsidRDefault="008739ED" w:rsidP="00AE62D5">
      <w:pPr>
        <w:pStyle w:val="Caption"/>
      </w:pPr>
      <w:bookmarkStart w:id="52" w:name="_Toc485127113"/>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4</w:t>
      </w:r>
      <w:r w:rsidRPr="00AE62D5">
        <w:rPr>
          <w:b w:val="0"/>
        </w:rPr>
        <w:fldChar w:fldCharType="end"/>
      </w:r>
      <w:r w:rsidRPr="00AE62D5">
        <w:rPr>
          <w:b w:val="0"/>
        </w:rPr>
        <w:t>: Item introduction table for items 30296-7, 30306 and 30308-10</w:t>
      </w:r>
      <w:bookmarkEnd w:id="52"/>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4 shows the item introduction table for Thyroidectomy items 30296-7, 30306 and 30308-10.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w:tblPr>
      <w:tblGrid>
        <w:gridCol w:w="718"/>
        <w:gridCol w:w="4095"/>
        <w:gridCol w:w="922"/>
        <w:gridCol w:w="1002"/>
        <w:gridCol w:w="1084"/>
        <w:gridCol w:w="1195"/>
      </w:tblGrid>
      <w:tr w:rsidR="005703ED" w:rsidRPr="00E72750" w14:paraId="0C74B0C2" w14:textId="77777777" w:rsidTr="00AE62D5">
        <w:trPr>
          <w:tblHeader/>
        </w:trPr>
        <w:tc>
          <w:tcPr>
            <w:tcW w:w="721" w:type="dxa"/>
            <w:shd w:val="clear" w:color="auto" w:fill="D9D9D9" w:themeFill="background1" w:themeFillShade="D9"/>
            <w:vAlign w:val="bottom"/>
          </w:tcPr>
          <w:p w14:paraId="5C03F994" w14:textId="77777777" w:rsidR="005703ED" w:rsidRPr="00E72750" w:rsidRDefault="005703ED" w:rsidP="009D496C">
            <w:pPr>
              <w:pStyle w:val="02Tabletext"/>
              <w:spacing w:after="20"/>
              <w:rPr>
                <w:rFonts w:cs="Arial"/>
                <w:b/>
                <w:lang w:val="en-GB"/>
              </w:rPr>
            </w:pPr>
            <w:r w:rsidRPr="00E72750">
              <w:rPr>
                <w:rFonts w:cs="Arial"/>
                <w:b/>
                <w:lang w:val="en-GB"/>
              </w:rPr>
              <w:t>Item</w:t>
            </w:r>
          </w:p>
        </w:tc>
        <w:tc>
          <w:tcPr>
            <w:tcW w:w="4145" w:type="dxa"/>
            <w:shd w:val="clear" w:color="auto" w:fill="D9D9D9" w:themeFill="background1" w:themeFillShade="D9"/>
            <w:tcMar>
              <w:left w:w="57" w:type="dxa"/>
            </w:tcMar>
            <w:vAlign w:val="bottom"/>
          </w:tcPr>
          <w:p w14:paraId="1F8A8D51" w14:textId="77777777" w:rsidR="005703ED" w:rsidRPr="00E72750" w:rsidRDefault="005703ED" w:rsidP="009D496C">
            <w:pPr>
              <w:pStyle w:val="02Tabletext"/>
              <w:spacing w:after="20"/>
              <w:rPr>
                <w:rFonts w:cs="Arial"/>
                <w:b/>
                <w:lang w:val="en-GB"/>
              </w:rPr>
            </w:pPr>
            <w:r w:rsidRPr="00E72750">
              <w:rPr>
                <w:rFonts w:cs="Arial"/>
                <w:b/>
                <w:lang w:val="en-GB"/>
              </w:rPr>
              <w:t>Descriptor</w:t>
            </w:r>
          </w:p>
          <w:p w14:paraId="215C1B25" w14:textId="77777777" w:rsidR="005703ED" w:rsidRPr="00E72750" w:rsidRDefault="005703ED" w:rsidP="009D496C">
            <w:pPr>
              <w:pStyle w:val="02Tabletext"/>
              <w:spacing w:after="20"/>
              <w:rPr>
                <w:rFonts w:cs="Arial"/>
                <w:b/>
                <w:lang w:val="en-GB"/>
              </w:rPr>
            </w:pPr>
            <w:r w:rsidRPr="00E72750">
              <w:rPr>
                <w:rFonts w:cs="Arial"/>
                <w:b/>
                <w:lang w:val="en-GB"/>
              </w:rPr>
              <w:t>[date last amended]</w:t>
            </w:r>
          </w:p>
        </w:tc>
        <w:tc>
          <w:tcPr>
            <w:tcW w:w="923" w:type="dxa"/>
            <w:shd w:val="clear" w:color="auto" w:fill="D9D9D9" w:themeFill="background1" w:themeFillShade="D9"/>
            <w:vAlign w:val="bottom"/>
          </w:tcPr>
          <w:p w14:paraId="658A0F30" w14:textId="77777777" w:rsidR="005703ED" w:rsidRPr="00E72750" w:rsidRDefault="005703ED" w:rsidP="009D496C">
            <w:pPr>
              <w:pStyle w:val="02Tabletext"/>
              <w:spacing w:after="20"/>
              <w:rPr>
                <w:rFonts w:cs="Arial"/>
                <w:b/>
                <w:lang w:val="en-GB"/>
              </w:rPr>
            </w:pPr>
            <w:r w:rsidRPr="00E72750">
              <w:rPr>
                <w:rFonts w:cs="Arial"/>
                <w:b/>
                <w:lang w:val="en-GB"/>
              </w:rPr>
              <w:t>Schedule</w:t>
            </w:r>
          </w:p>
          <w:p w14:paraId="7C759FD7" w14:textId="77777777" w:rsidR="005703ED" w:rsidRPr="00E72750" w:rsidRDefault="005703ED" w:rsidP="009D496C">
            <w:pPr>
              <w:pStyle w:val="02Tabletext"/>
              <w:spacing w:after="20"/>
              <w:rPr>
                <w:rFonts w:cs="Arial"/>
                <w:b/>
                <w:lang w:val="en-GB"/>
              </w:rPr>
            </w:pPr>
            <w:r w:rsidRPr="00E72750">
              <w:rPr>
                <w:rFonts w:cs="Arial"/>
                <w:b/>
                <w:lang w:val="en-GB"/>
              </w:rPr>
              <w:t>fee</w:t>
            </w:r>
          </w:p>
        </w:tc>
        <w:tc>
          <w:tcPr>
            <w:tcW w:w="1003" w:type="dxa"/>
            <w:shd w:val="clear" w:color="auto" w:fill="D9D9D9" w:themeFill="background1" w:themeFillShade="D9"/>
            <w:vAlign w:val="bottom"/>
          </w:tcPr>
          <w:p w14:paraId="47820187" w14:textId="77777777" w:rsidR="005703ED" w:rsidRPr="00E72750" w:rsidRDefault="005703ED" w:rsidP="009D496C">
            <w:pPr>
              <w:pStyle w:val="02Tabletext"/>
              <w:spacing w:after="20"/>
              <w:rPr>
                <w:rFonts w:cs="Arial"/>
                <w:b/>
                <w:lang w:val="en-GB"/>
              </w:rPr>
            </w:pPr>
            <w:r w:rsidRPr="00E72750">
              <w:rPr>
                <w:rFonts w:cs="Arial"/>
                <w:b/>
                <w:lang w:val="en-GB"/>
              </w:rPr>
              <w:t>Services FY2014/15</w:t>
            </w:r>
          </w:p>
        </w:tc>
        <w:tc>
          <w:tcPr>
            <w:tcW w:w="1087" w:type="dxa"/>
            <w:shd w:val="clear" w:color="auto" w:fill="D9D9D9" w:themeFill="background1" w:themeFillShade="D9"/>
            <w:vAlign w:val="bottom"/>
          </w:tcPr>
          <w:p w14:paraId="61816CC9" w14:textId="77777777" w:rsidR="005703ED" w:rsidRPr="00E72750" w:rsidRDefault="005703ED" w:rsidP="009D496C">
            <w:pPr>
              <w:pStyle w:val="02Tabletext"/>
              <w:spacing w:after="20"/>
              <w:rPr>
                <w:rFonts w:cs="Arial"/>
                <w:b/>
                <w:lang w:val="en-GB"/>
              </w:rPr>
            </w:pPr>
            <w:r w:rsidRPr="00E72750">
              <w:rPr>
                <w:rFonts w:cs="Arial"/>
                <w:b/>
                <w:lang w:val="en-GB"/>
              </w:rPr>
              <w:t>Benefits FY2014/15</w:t>
            </w:r>
          </w:p>
        </w:tc>
        <w:tc>
          <w:tcPr>
            <w:tcW w:w="1203" w:type="dxa"/>
            <w:shd w:val="clear" w:color="auto" w:fill="D9D9D9" w:themeFill="background1" w:themeFillShade="D9"/>
            <w:vAlign w:val="bottom"/>
          </w:tcPr>
          <w:p w14:paraId="3D374591" w14:textId="77777777" w:rsidR="005703ED" w:rsidRPr="00E72750" w:rsidRDefault="005703ED" w:rsidP="009D496C">
            <w:pPr>
              <w:pStyle w:val="02Tabletext"/>
              <w:spacing w:after="20"/>
              <w:rPr>
                <w:rFonts w:cs="Arial"/>
                <w:b/>
                <w:lang w:val="en-GB"/>
              </w:rPr>
            </w:pPr>
            <w:r w:rsidRPr="00E72750">
              <w:rPr>
                <w:rFonts w:cs="Arial"/>
                <w:b/>
                <w:lang w:val="en-GB"/>
              </w:rPr>
              <w:t xml:space="preserve">Services </w:t>
            </w:r>
            <w:proofErr w:type="gramStart"/>
            <w:r w:rsidRPr="00E72750">
              <w:rPr>
                <w:rFonts w:cs="Arial"/>
                <w:b/>
                <w:lang w:val="en-GB"/>
              </w:rPr>
              <w:t>5 year</w:t>
            </w:r>
            <w:proofErr w:type="gramEnd"/>
            <w:r w:rsidRPr="00E72750">
              <w:rPr>
                <w:rFonts w:cs="Arial"/>
                <w:b/>
                <w:lang w:val="en-GB"/>
              </w:rPr>
              <w:t xml:space="preserve"> annual avg. growth</w:t>
            </w:r>
          </w:p>
        </w:tc>
      </w:tr>
      <w:tr w:rsidR="005703ED" w:rsidRPr="00E72750" w14:paraId="46688704" w14:textId="77777777" w:rsidTr="00AE62D5">
        <w:tc>
          <w:tcPr>
            <w:tcW w:w="721" w:type="dxa"/>
          </w:tcPr>
          <w:p w14:paraId="73ADB739" w14:textId="77777777" w:rsidR="005703ED" w:rsidRPr="00E72750" w:rsidRDefault="005703ED" w:rsidP="00801E5A">
            <w:pPr>
              <w:pStyle w:val="02Tabletext"/>
              <w:spacing w:after="20"/>
              <w:rPr>
                <w:rFonts w:cs="Arial"/>
                <w:lang w:val="en-GB"/>
              </w:rPr>
            </w:pPr>
            <w:r w:rsidRPr="00E72750">
              <w:rPr>
                <w:rFonts w:cs="Arial"/>
                <w:lang w:val="en-GB"/>
              </w:rPr>
              <w:t xml:space="preserve">30296 </w:t>
            </w:r>
          </w:p>
        </w:tc>
        <w:tc>
          <w:tcPr>
            <w:tcW w:w="4145" w:type="dxa"/>
            <w:tcMar>
              <w:left w:w="57" w:type="dxa"/>
            </w:tcMar>
          </w:tcPr>
          <w:p w14:paraId="6A5B011D" w14:textId="77777777" w:rsidR="005703ED" w:rsidRPr="00E72750" w:rsidRDefault="005703ED" w:rsidP="00801E5A">
            <w:pPr>
              <w:pStyle w:val="02Tabletext"/>
              <w:spacing w:after="20"/>
              <w:rPr>
                <w:rFonts w:cs="Arial"/>
                <w:lang w:val="en-GB"/>
              </w:rPr>
            </w:pPr>
            <w:r w:rsidRPr="00E72750">
              <w:rPr>
                <w:rFonts w:cs="Arial"/>
                <w:lang w:val="en-GB"/>
              </w:rPr>
              <w:t>Thyroidectomy, total</w:t>
            </w:r>
            <w:r w:rsidR="00B21D96" w:rsidRPr="00E72750">
              <w:rPr>
                <w:rFonts w:cs="Arial"/>
                <w:lang w:val="en-GB"/>
              </w:rPr>
              <w:t>.</w:t>
            </w:r>
            <w:r w:rsidRPr="00E72750">
              <w:rPr>
                <w:rFonts w:cs="Arial"/>
                <w:lang w:val="en-GB"/>
              </w:rPr>
              <w:t xml:space="preserve"> (</w:t>
            </w:r>
            <w:proofErr w:type="spellStart"/>
            <w:r w:rsidRPr="00E72750">
              <w:rPr>
                <w:rFonts w:cs="Arial"/>
                <w:lang w:val="en-GB"/>
              </w:rPr>
              <w:t>Anaes</w:t>
            </w:r>
            <w:proofErr w:type="spellEnd"/>
            <w:r w:rsidRPr="00E72750">
              <w:rPr>
                <w:rFonts w:cs="Arial"/>
                <w:lang w:val="en-GB"/>
              </w:rPr>
              <w:t>.) (Assist.) [1992]</w:t>
            </w:r>
          </w:p>
        </w:tc>
        <w:tc>
          <w:tcPr>
            <w:tcW w:w="923" w:type="dxa"/>
          </w:tcPr>
          <w:p w14:paraId="404695AB" w14:textId="77777777" w:rsidR="005703ED" w:rsidRPr="00E72750" w:rsidRDefault="005703ED" w:rsidP="00801E5A">
            <w:pPr>
              <w:pStyle w:val="02Tabletext"/>
              <w:spacing w:after="20"/>
              <w:jc w:val="center"/>
              <w:rPr>
                <w:rFonts w:cs="Arial"/>
                <w:lang w:val="en-GB"/>
              </w:rPr>
            </w:pPr>
            <w:r w:rsidRPr="00E72750">
              <w:rPr>
                <w:rFonts w:cs="Arial"/>
                <w:lang w:val="en-GB"/>
              </w:rPr>
              <w:t>$1,023.7</w:t>
            </w:r>
          </w:p>
        </w:tc>
        <w:tc>
          <w:tcPr>
            <w:tcW w:w="1003" w:type="dxa"/>
          </w:tcPr>
          <w:p w14:paraId="6EE89CAE" w14:textId="77777777" w:rsidR="005703ED" w:rsidRPr="00E72750" w:rsidRDefault="005703ED" w:rsidP="00801E5A">
            <w:pPr>
              <w:pStyle w:val="02Tabletext"/>
              <w:spacing w:after="20"/>
              <w:jc w:val="center"/>
              <w:rPr>
                <w:rFonts w:cs="Arial"/>
                <w:lang w:val="en-GB"/>
              </w:rPr>
            </w:pPr>
            <w:r w:rsidRPr="00E72750">
              <w:rPr>
                <w:rFonts w:cs="Arial"/>
                <w:lang w:val="en-GB"/>
              </w:rPr>
              <w:t>2</w:t>
            </w:r>
            <w:r w:rsidR="008279BC" w:rsidRPr="00E72750">
              <w:rPr>
                <w:rFonts w:cs="Arial"/>
                <w:lang w:val="en-GB"/>
              </w:rPr>
              <w:t>,</w:t>
            </w:r>
            <w:r w:rsidRPr="00E72750">
              <w:rPr>
                <w:rFonts w:cs="Arial"/>
                <w:lang w:val="en-GB"/>
              </w:rPr>
              <w:t>929</w:t>
            </w:r>
          </w:p>
        </w:tc>
        <w:tc>
          <w:tcPr>
            <w:tcW w:w="1087" w:type="dxa"/>
          </w:tcPr>
          <w:p w14:paraId="6CCFBE10" w14:textId="77777777" w:rsidR="005703ED" w:rsidRPr="00E72750" w:rsidRDefault="005703ED" w:rsidP="00801E5A">
            <w:pPr>
              <w:pStyle w:val="02Tabletext"/>
              <w:spacing w:after="20"/>
              <w:jc w:val="center"/>
              <w:rPr>
                <w:rFonts w:cs="Arial"/>
                <w:lang w:val="en-GB"/>
              </w:rPr>
            </w:pPr>
            <w:r w:rsidRPr="00E72750">
              <w:rPr>
                <w:rFonts w:cs="Arial"/>
                <w:lang w:val="en-GB"/>
              </w:rPr>
              <w:t>$2,124,549</w:t>
            </w:r>
          </w:p>
        </w:tc>
        <w:tc>
          <w:tcPr>
            <w:tcW w:w="1203" w:type="dxa"/>
          </w:tcPr>
          <w:p w14:paraId="78BB5994" w14:textId="77777777" w:rsidR="005703ED" w:rsidRPr="00E72750" w:rsidRDefault="005703ED" w:rsidP="00801E5A">
            <w:pPr>
              <w:pStyle w:val="02Tabletext"/>
              <w:spacing w:after="20"/>
              <w:jc w:val="center"/>
              <w:rPr>
                <w:rFonts w:cs="Arial"/>
                <w:lang w:val="en-GB"/>
              </w:rPr>
            </w:pPr>
            <w:r w:rsidRPr="00E72750">
              <w:rPr>
                <w:rFonts w:cs="Arial"/>
                <w:lang w:val="en-GB"/>
              </w:rPr>
              <w:t>4.2%</w:t>
            </w:r>
          </w:p>
        </w:tc>
      </w:tr>
      <w:tr w:rsidR="005703ED" w:rsidRPr="00E72750" w14:paraId="6550ADC0" w14:textId="77777777" w:rsidTr="00AE62D5">
        <w:tc>
          <w:tcPr>
            <w:tcW w:w="721" w:type="dxa"/>
          </w:tcPr>
          <w:p w14:paraId="33106EDC" w14:textId="77777777" w:rsidR="005703ED" w:rsidRPr="00E72750" w:rsidRDefault="005703ED" w:rsidP="00801E5A">
            <w:pPr>
              <w:pStyle w:val="02Tabletext"/>
              <w:spacing w:after="20"/>
              <w:rPr>
                <w:rFonts w:cs="Arial"/>
                <w:lang w:val="en-GB"/>
              </w:rPr>
            </w:pPr>
            <w:r w:rsidRPr="00E72750">
              <w:rPr>
                <w:rFonts w:cs="Arial"/>
                <w:lang w:val="en-GB"/>
              </w:rPr>
              <w:t>30297</w:t>
            </w:r>
          </w:p>
        </w:tc>
        <w:tc>
          <w:tcPr>
            <w:tcW w:w="4145" w:type="dxa"/>
            <w:tcMar>
              <w:left w:w="57" w:type="dxa"/>
            </w:tcMar>
          </w:tcPr>
          <w:p w14:paraId="1879AF90" w14:textId="77777777" w:rsidR="005703ED" w:rsidRPr="00E72750" w:rsidRDefault="005703ED" w:rsidP="00801E5A">
            <w:pPr>
              <w:pStyle w:val="02Tabletext"/>
              <w:spacing w:after="20"/>
              <w:rPr>
                <w:rFonts w:cs="Arial"/>
                <w:lang w:val="en-GB"/>
              </w:rPr>
            </w:pPr>
            <w:r w:rsidRPr="00E72750">
              <w:rPr>
                <w:rFonts w:cs="Arial"/>
                <w:lang w:val="en-GB"/>
              </w:rPr>
              <w:t>Thyroidectomy following previous thyroid surgery</w:t>
            </w:r>
            <w:r w:rsidR="00B21D96" w:rsidRPr="00E72750">
              <w:rPr>
                <w:rFonts w:cs="Arial"/>
                <w:lang w:val="en-GB"/>
              </w:rPr>
              <w:t>.</w:t>
            </w:r>
            <w:r w:rsidRPr="00E72750">
              <w:rPr>
                <w:rFonts w:cs="Arial"/>
                <w:lang w:val="en-GB"/>
              </w:rPr>
              <w:t xml:space="preserve"> (</w:t>
            </w:r>
            <w:proofErr w:type="spellStart"/>
            <w:r w:rsidRPr="00E72750">
              <w:rPr>
                <w:rFonts w:cs="Arial"/>
                <w:lang w:val="en-GB"/>
              </w:rPr>
              <w:t>Anaes</w:t>
            </w:r>
            <w:proofErr w:type="spellEnd"/>
            <w:r w:rsidRPr="00E72750">
              <w:rPr>
                <w:rFonts w:cs="Arial"/>
                <w:lang w:val="en-GB"/>
              </w:rPr>
              <w:t>.) (Assist.) [1992]</w:t>
            </w:r>
          </w:p>
        </w:tc>
        <w:tc>
          <w:tcPr>
            <w:tcW w:w="923" w:type="dxa"/>
          </w:tcPr>
          <w:p w14:paraId="0F50DF4A" w14:textId="77777777" w:rsidR="005703ED" w:rsidRPr="00E72750" w:rsidRDefault="005703ED" w:rsidP="00801E5A">
            <w:pPr>
              <w:pStyle w:val="02Tabletext"/>
              <w:spacing w:after="20"/>
              <w:jc w:val="center"/>
              <w:rPr>
                <w:rFonts w:cs="Arial"/>
                <w:lang w:val="en-GB"/>
              </w:rPr>
            </w:pPr>
            <w:r w:rsidRPr="00E72750">
              <w:rPr>
                <w:rFonts w:cs="Arial"/>
                <w:lang w:val="en-GB"/>
              </w:rPr>
              <w:t>$1,023.7</w:t>
            </w:r>
          </w:p>
        </w:tc>
        <w:tc>
          <w:tcPr>
            <w:tcW w:w="1003" w:type="dxa"/>
          </w:tcPr>
          <w:p w14:paraId="2C92C14C" w14:textId="77777777" w:rsidR="005703ED" w:rsidRPr="00E72750" w:rsidRDefault="005703ED" w:rsidP="00801E5A">
            <w:pPr>
              <w:pStyle w:val="02Tabletext"/>
              <w:spacing w:after="20"/>
              <w:jc w:val="center"/>
              <w:rPr>
                <w:rFonts w:cs="Arial"/>
                <w:lang w:val="en-GB"/>
              </w:rPr>
            </w:pPr>
            <w:r w:rsidRPr="00E72750">
              <w:rPr>
                <w:rFonts w:cs="Arial"/>
                <w:lang w:val="en-GB"/>
              </w:rPr>
              <w:t>593</w:t>
            </w:r>
          </w:p>
        </w:tc>
        <w:tc>
          <w:tcPr>
            <w:tcW w:w="1087" w:type="dxa"/>
          </w:tcPr>
          <w:p w14:paraId="150E48EB" w14:textId="77777777" w:rsidR="005703ED" w:rsidRPr="00E72750" w:rsidRDefault="005703ED" w:rsidP="00801E5A">
            <w:pPr>
              <w:pStyle w:val="02Tabletext"/>
              <w:spacing w:after="20"/>
              <w:jc w:val="center"/>
              <w:rPr>
                <w:rFonts w:cs="Arial"/>
                <w:lang w:val="en-GB"/>
              </w:rPr>
            </w:pPr>
            <w:r w:rsidRPr="00E72750">
              <w:rPr>
                <w:rFonts w:cs="Arial"/>
                <w:lang w:val="en-GB"/>
              </w:rPr>
              <w:t>$431,022</w:t>
            </w:r>
          </w:p>
        </w:tc>
        <w:tc>
          <w:tcPr>
            <w:tcW w:w="1203" w:type="dxa"/>
          </w:tcPr>
          <w:p w14:paraId="60101DB6" w14:textId="77777777" w:rsidR="005703ED" w:rsidRPr="00E72750" w:rsidRDefault="005703ED" w:rsidP="00801E5A">
            <w:pPr>
              <w:pStyle w:val="02Tabletext"/>
              <w:spacing w:after="20"/>
              <w:jc w:val="center"/>
              <w:rPr>
                <w:rFonts w:cs="Arial"/>
                <w:lang w:val="en-GB"/>
              </w:rPr>
            </w:pPr>
            <w:r w:rsidRPr="00E72750">
              <w:rPr>
                <w:rFonts w:cs="Arial"/>
                <w:lang w:val="en-GB"/>
              </w:rPr>
              <w:t>2.8%</w:t>
            </w:r>
          </w:p>
        </w:tc>
      </w:tr>
      <w:tr w:rsidR="005703ED" w:rsidRPr="00E72750" w14:paraId="091CDF96" w14:textId="77777777" w:rsidTr="00AE62D5">
        <w:tc>
          <w:tcPr>
            <w:tcW w:w="721" w:type="dxa"/>
          </w:tcPr>
          <w:p w14:paraId="63268866" w14:textId="77777777" w:rsidR="005703ED" w:rsidRPr="00E72750" w:rsidRDefault="005703ED" w:rsidP="00801E5A">
            <w:pPr>
              <w:pStyle w:val="02Tabletext"/>
              <w:spacing w:after="20"/>
              <w:rPr>
                <w:rFonts w:cs="Arial"/>
                <w:lang w:val="en-GB"/>
              </w:rPr>
            </w:pPr>
            <w:r w:rsidRPr="00E72750">
              <w:rPr>
                <w:rFonts w:cs="Arial"/>
                <w:lang w:val="en-GB"/>
              </w:rPr>
              <w:t>30306</w:t>
            </w:r>
          </w:p>
        </w:tc>
        <w:tc>
          <w:tcPr>
            <w:tcW w:w="4145" w:type="dxa"/>
            <w:tcMar>
              <w:left w:w="57" w:type="dxa"/>
            </w:tcMar>
          </w:tcPr>
          <w:p w14:paraId="584B8F3D" w14:textId="77777777" w:rsidR="005703ED" w:rsidRPr="00E72750" w:rsidRDefault="005703ED" w:rsidP="00801E5A">
            <w:pPr>
              <w:pStyle w:val="02Tabletext"/>
              <w:spacing w:after="20"/>
              <w:rPr>
                <w:rFonts w:cs="Arial"/>
                <w:lang w:val="en-GB"/>
              </w:rPr>
            </w:pPr>
            <w:r w:rsidRPr="00E72750">
              <w:rPr>
                <w:rFonts w:cs="Arial"/>
                <w:lang w:val="en-GB"/>
              </w:rPr>
              <w:t>Total hemithyroidectomy</w:t>
            </w:r>
            <w:r w:rsidR="00B21D96" w:rsidRPr="00E72750">
              <w:rPr>
                <w:rFonts w:cs="Arial"/>
                <w:lang w:val="en-GB"/>
              </w:rPr>
              <w:t>.</w:t>
            </w:r>
            <w:r w:rsidRPr="00E72750">
              <w:rPr>
                <w:rFonts w:cs="Arial"/>
                <w:lang w:val="en-GB"/>
              </w:rPr>
              <w:t xml:space="preserve"> (</w:t>
            </w:r>
            <w:proofErr w:type="spellStart"/>
            <w:r w:rsidRPr="00E72750">
              <w:rPr>
                <w:rFonts w:cs="Arial"/>
                <w:lang w:val="en-GB"/>
              </w:rPr>
              <w:t>Anaes</w:t>
            </w:r>
            <w:proofErr w:type="spellEnd"/>
            <w:r w:rsidRPr="00E72750">
              <w:rPr>
                <w:rFonts w:cs="Arial"/>
                <w:lang w:val="en-GB"/>
              </w:rPr>
              <w:t>.) (Assist.) [1992]</w:t>
            </w:r>
          </w:p>
        </w:tc>
        <w:tc>
          <w:tcPr>
            <w:tcW w:w="923" w:type="dxa"/>
          </w:tcPr>
          <w:p w14:paraId="65C2FD5C" w14:textId="77777777" w:rsidR="005703ED" w:rsidRPr="00E72750" w:rsidRDefault="005703ED" w:rsidP="00801E5A">
            <w:pPr>
              <w:pStyle w:val="02Tabletext"/>
              <w:spacing w:after="20"/>
              <w:jc w:val="center"/>
              <w:rPr>
                <w:rFonts w:cs="Arial"/>
                <w:lang w:val="en-GB"/>
              </w:rPr>
            </w:pPr>
            <w:r w:rsidRPr="00E72750">
              <w:rPr>
                <w:rFonts w:cs="Arial"/>
                <w:lang w:val="en-GB"/>
              </w:rPr>
              <w:t>$798.65</w:t>
            </w:r>
          </w:p>
        </w:tc>
        <w:tc>
          <w:tcPr>
            <w:tcW w:w="1003" w:type="dxa"/>
          </w:tcPr>
          <w:p w14:paraId="047EA956" w14:textId="77777777" w:rsidR="005703ED" w:rsidRPr="00E72750" w:rsidRDefault="005703ED" w:rsidP="00801E5A">
            <w:pPr>
              <w:pStyle w:val="02Tabletext"/>
              <w:spacing w:after="20"/>
              <w:jc w:val="center"/>
              <w:rPr>
                <w:rFonts w:cs="Arial"/>
                <w:lang w:val="en-GB"/>
              </w:rPr>
            </w:pPr>
            <w:r w:rsidRPr="00E72750">
              <w:rPr>
                <w:rFonts w:cs="Arial"/>
                <w:lang w:val="en-GB"/>
              </w:rPr>
              <w:t>2,741</w:t>
            </w:r>
          </w:p>
        </w:tc>
        <w:tc>
          <w:tcPr>
            <w:tcW w:w="1087" w:type="dxa"/>
          </w:tcPr>
          <w:p w14:paraId="0A3305D6" w14:textId="77777777" w:rsidR="005703ED" w:rsidRPr="00E72750" w:rsidRDefault="005703ED" w:rsidP="00801E5A">
            <w:pPr>
              <w:pStyle w:val="02Tabletext"/>
              <w:spacing w:after="20"/>
              <w:jc w:val="center"/>
              <w:rPr>
                <w:rFonts w:cs="Arial"/>
                <w:lang w:val="en-GB"/>
              </w:rPr>
            </w:pPr>
            <w:r w:rsidRPr="00E72750">
              <w:rPr>
                <w:rFonts w:cs="Arial"/>
                <w:lang w:val="en-GB"/>
              </w:rPr>
              <w:t>$1,548,317</w:t>
            </w:r>
          </w:p>
        </w:tc>
        <w:tc>
          <w:tcPr>
            <w:tcW w:w="1203" w:type="dxa"/>
          </w:tcPr>
          <w:p w14:paraId="6273A20E" w14:textId="77777777" w:rsidR="005703ED" w:rsidRPr="00E72750" w:rsidRDefault="005703ED" w:rsidP="00801E5A">
            <w:pPr>
              <w:pStyle w:val="02Tabletext"/>
              <w:spacing w:after="20"/>
              <w:jc w:val="center"/>
              <w:rPr>
                <w:rFonts w:cs="Arial"/>
                <w:lang w:val="en-GB"/>
              </w:rPr>
            </w:pPr>
            <w:r w:rsidRPr="00E72750">
              <w:rPr>
                <w:rFonts w:cs="Arial"/>
                <w:lang w:val="en-GB"/>
              </w:rPr>
              <w:t>2.5%</w:t>
            </w:r>
          </w:p>
        </w:tc>
      </w:tr>
      <w:tr w:rsidR="005703ED" w:rsidRPr="00E72750" w14:paraId="6A4951B3" w14:textId="77777777" w:rsidTr="00AE62D5">
        <w:tc>
          <w:tcPr>
            <w:tcW w:w="721" w:type="dxa"/>
          </w:tcPr>
          <w:p w14:paraId="33BA3192" w14:textId="77777777" w:rsidR="005703ED" w:rsidRPr="00E72750" w:rsidRDefault="005703ED" w:rsidP="00801E5A">
            <w:pPr>
              <w:pStyle w:val="02Tabletext"/>
              <w:spacing w:after="20"/>
              <w:rPr>
                <w:rFonts w:cs="Arial"/>
                <w:lang w:val="en-GB"/>
              </w:rPr>
            </w:pPr>
            <w:r w:rsidRPr="00E72750">
              <w:rPr>
                <w:rFonts w:cs="Arial"/>
                <w:lang w:val="en-GB"/>
              </w:rPr>
              <w:t>30308</w:t>
            </w:r>
          </w:p>
        </w:tc>
        <w:tc>
          <w:tcPr>
            <w:tcW w:w="4145" w:type="dxa"/>
            <w:tcMar>
              <w:left w:w="57" w:type="dxa"/>
            </w:tcMar>
          </w:tcPr>
          <w:p w14:paraId="090C6ABC" w14:textId="77777777" w:rsidR="005703ED" w:rsidRPr="00E72750" w:rsidRDefault="005703ED" w:rsidP="00801E5A">
            <w:pPr>
              <w:pStyle w:val="02Tabletext"/>
              <w:spacing w:after="20"/>
              <w:rPr>
                <w:rFonts w:cs="Arial"/>
                <w:lang w:val="en-GB"/>
              </w:rPr>
            </w:pPr>
            <w:r w:rsidRPr="00E72750">
              <w:rPr>
                <w:rFonts w:cs="Arial"/>
                <w:lang w:val="en-GB"/>
              </w:rPr>
              <w:t>Bilateral subtotal thyroidectomy</w:t>
            </w:r>
            <w:r w:rsidR="00B21D96" w:rsidRPr="00E72750">
              <w:rPr>
                <w:rFonts w:cs="Arial"/>
                <w:lang w:val="en-GB"/>
              </w:rPr>
              <w:t>.</w:t>
            </w:r>
            <w:r w:rsidRPr="00E72750">
              <w:rPr>
                <w:rFonts w:cs="Arial"/>
                <w:lang w:val="en-GB"/>
              </w:rPr>
              <w:t xml:space="preserve"> (</w:t>
            </w:r>
            <w:proofErr w:type="spellStart"/>
            <w:r w:rsidRPr="00E72750">
              <w:rPr>
                <w:rFonts w:cs="Arial"/>
                <w:lang w:val="en-GB"/>
              </w:rPr>
              <w:t>Anaes</w:t>
            </w:r>
            <w:proofErr w:type="spellEnd"/>
            <w:r w:rsidRPr="00E72750">
              <w:rPr>
                <w:rFonts w:cs="Arial"/>
                <w:lang w:val="en-GB"/>
              </w:rPr>
              <w:t>.) (Assist.) [1992]</w:t>
            </w:r>
          </w:p>
        </w:tc>
        <w:tc>
          <w:tcPr>
            <w:tcW w:w="923" w:type="dxa"/>
          </w:tcPr>
          <w:p w14:paraId="3C6766B8" w14:textId="77777777" w:rsidR="005703ED" w:rsidRPr="00E72750" w:rsidRDefault="005703ED" w:rsidP="00801E5A">
            <w:pPr>
              <w:pStyle w:val="02Tabletext"/>
              <w:spacing w:after="20"/>
              <w:jc w:val="center"/>
              <w:rPr>
                <w:rFonts w:cs="Arial"/>
                <w:lang w:val="en-GB"/>
              </w:rPr>
            </w:pPr>
            <w:r w:rsidRPr="00E72750">
              <w:rPr>
                <w:rFonts w:cs="Arial"/>
                <w:lang w:val="en-GB"/>
              </w:rPr>
              <w:t>$798.65</w:t>
            </w:r>
          </w:p>
        </w:tc>
        <w:tc>
          <w:tcPr>
            <w:tcW w:w="1003" w:type="dxa"/>
          </w:tcPr>
          <w:p w14:paraId="65DC7210" w14:textId="77777777" w:rsidR="005703ED" w:rsidRPr="00E72750" w:rsidRDefault="005703ED" w:rsidP="00801E5A">
            <w:pPr>
              <w:pStyle w:val="02Tabletext"/>
              <w:spacing w:after="20"/>
              <w:jc w:val="center"/>
              <w:rPr>
                <w:rFonts w:cs="Arial"/>
                <w:lang w:val="en-GB"/>
              </w:rPr>
            </w:pPr>
            <w:r w:rsidRPr="00E72750">
              <w:rPr>
                <w:rFonts w:cs="Arial"/>
                <w:lang w:val="en-GB"/>
              </w:rPr>
              <w:t>32</w:t>
            </w:r>
          </w:p>
        </w:tc>
        <w:tc>
          <w:tcPr>
            <w:tcW w:w="1087" w:type="dxa"/>
          </w:tcPr>
          <w:p w14:paraId="5510CC1E" w14:textId="77777777" w:rsidR="005703ED" w:rsidRPr="00E72750" w:rsidRDefault="005703ED" w:rsidP="00801E5A">
            <w:pPr>
              <w:pStyle w:val="02Tabletext"/>
              <w:spacing w:after="20"/>
              <w:jc w:val="center"/>
              <w:rPr>
                <w:rFonts w:cs="Arial"/>
                <w:lang w:val="en-GB"/>
              </w:rPr>
            </w:pPr>
            <w:r w:rsidRPr="00E72750">
              <w:rPr>
                <w:rFonts w:cs="Arial"/>
                <w:lang w:val="en-GB"/>
              </w:rPr>
              <w:t>$13,343</w:t>
            </w:r>
          </w:p>
        </w:tc>
        <w:tc>
          <w:tcPr>
            <w:tcW w:w="1203" w:type="dxa"/>
          </w:tcPr>
          <w:p w14:paraId="007381DB" w14:textId="77777777" w:rsidR="005703ED" w:rsidRPr="00E72750" w:rsidRDefault="005703ED" w:rsidP="00801E5A">
            <w:pPr>
              <w:pStyle w:val="02Tabletext"/>
              <w:spacing w:after="20"/>
              <w:jc w:val="center"/>
              <w:rPr>
                <w:rFonts w:cs="Arial"/>
                <w:lang w:val="en-GB"/>
              </w:rPr>
            </w:pPr>
            <w:r w:rsidRPr="00E72750">
              <w:rPr>
                <w:rFonts w:cs="Arial"/>
                <w:lang w:val="en-GB"/>
              </w:rPr>
              <w:t>-5.3%</w:t>
            </w:r>
          </w:p>
        </w:tc>
      </w:tr>
      <w:tr w:rsidR="005703ED" w:rsidRPr="00E72750" w14:paraId="067ABA99" w14:textId="77777777" w:rsidTr="00AE62D5">
        <w:tc>
          <w:tcPr>
            <w:tcW w:w="721" w:type="dxa"/>
          </w:tcPr>
          <w:p w14:paraId="19D02123" w14:textId="77777777" w:rsidR="005703ED" w:rsidRPr="00E72750" w:rsidRDefault="005703ED" w:rsidP="00801E5A">
            <w:pPr>
              <w:pStyle w:val="02Tabletext"/>
              <w:spacing w:after="20"/>
              <w:rPr>
                <w:rFonts w:cs="Arial"/>
                <w:lang w:val="en-GB"/>
              </w:rPr>
            </w:pPr>
            <w:r w:rsidRPr="00E72750">
              <w:rPr>
                <w:rFonts w:cs="Arial"/>
                <w:lang w:val="en-GB"/>
              </w:rPr>
              <w:t>30309</w:t>
            </w:r>
          </w:p>
        </w:tc>
        <w:tc>
          <w:tcPr>
            <w:tcW w:w="4145" w:type="dxa"/>
            <w:tcMar>
              <w:left w:w="57" w:type="dxa"/>
            </w:tcMar>
          </w:tcPr>
          <w:p w14:paraId="60940A3D" w14:textId="77777777" w:rsidR="005703ED" w:rsidRPr="00E72750" w:rsidRDefault="005703ED" w:rsidP="00801E5A">
            <w:pPr>
              <w:pStyle w:val="02Tabletext"/>
              <w:spacing w:after="20"/>
              <w:rPr>
                <w:rFonts w:cs="Arial"/>
                <w:lang w:val="en-GB"/>
              </w:rPr>
            </w:pPr>
            <w:r w:rsidRPr="00E72750">
              <w:rPr>
                <w:rFonts w:cs="Arial"/>
                <w:lang w:val="en-GB"/>
              </w:rPr>
              <w:t>Thyroidectomy, subtotal for thyrotoxicosis</w:t>
            </w:r>
            <w:r w:rsidR="00B21D96" w:rsidRPr="00E72750">
              <w:rPr>
                <w:rFonts w:cs="Arial"/>
                <w:lang w:val="en-GB"/>
              </w:rPr>
              <w:t>.</w:t>
            </w:r>
            <w:r w:rsidRPr="00E72750">
              <w:rPr>
                <w:rFonts w:cs="Arial"/>
                <w:lang w:val="en-GB"/>
              </w:rPr>
              <w:t xml:space="preserve"> (</w:t>
            </w:r>
            <w:proofErr w:type="spellStart"/>
            <w:r w:rsidRPr="00E72750">
              <w:rPr>
                <w:rFonts w:cs="Arial"/>
                <w:lang w:val="en-GB"/>
              </w:rPr>
              <w:t>Anaes</w:t>
            </w:r>
            <w:proofErr w:type="spellEnd"/>
            <w:r w:rsidRPr="00E72750">
              <w:rPr>
                <w:rFonts w:cs="Arial"/>
                <w:lang w:val="en-GB"/>
              </w:rPr>
              <w:t>.) (Assist.) [1992]</w:t>
            </w:r>
          </w:p>
        </w:tc>
        <w:tc>
          <w:tcPr>
            <w:tcW w:w="923" w:type="dxa"/>
          </w:tcPr>
          <w:p w14:paraId="2A59ADCA" w14:textId="77777777" w:rsidR="005703ED" w:rsidRPr="00E72750" w:rsidRDefault="005703ED" w:rsidP="00801E5A">
            <w:pPr>
              <w:pStyle w:val="02Tabletext"/>
              <w:spacing w:after="20"/>
              <w:jc w:val="center"/>
              <w:rPr>
                <w:rFonts w:cs="Arial"/>
                <w:lang w:val="en-GB"/>
              </w:rPr>
            </w:pPr>
            <w:r w:rsidRPr="00E72750">
              <w:rPr>
                <w:rFonts w:cs="Arial"/>
                <w:lang w:val="en-GB"/>
              </w:rPr>
              <w:t>$1,023.7</w:t>
            </w:r>
          </w:p>
        </w:tc>
        <w:tc>
          <w:tcPr>
            <w:tcW w:w="1003" w:type="dxa"/>
          </w:tcPr>
          <w:p w14:paraId="4D6CD9E0" w14:textId="77777777" w:rsidR="005703ED" w:rsidRPr="00E72750" w:rsidRDefault="005703ED" w:rsidP="00801E5A">
            <w:pPr>
              <w:pStyle w:val="02Tabletext"/>
              <w:spacing w:after="20"/>
              <w:jc w:val="center"/>
              <w:rPr>
                <w:rFonts w:cs="Arial"/>
                <w:lang w:val="en-GB"/>
              </w:rPr>
            </w:pPr>
            <w:r w:rsidRPr="00E72750">
              <w:rPr>
                <w:rFonts w:cs="Arial"/>
                <w:lang w:val="en-GB"/>
              </w:rPr>
              <w:t>68</w:t>
            </w:r>
          </w:p>
        </w:tc>
        <w:tc>
          <w:tcPr>
            <w:tcW w:w="1087" w:type="dxa"/>
          </w:tcPr>
          <w:p w14:paraId="63EF48C1" w14:textId="77777777" w:rsidR="005703ED" w:rsidRPr="00E72750" w:rsidRDefault="005703ED" w:rsidP="00801E5A">
            <w:pPr>
              <w:pStyle w:val="02Tabletext"/>
              <w:spacing w:after="20"/>
              <w:jc w:val="center"/>
              <w:rPr>
                <w:rFonts w:cs="Arial"/>
                <w:lang w:val="en-GB"/>
              </w:rPr>
            </w:pPr>
            <w:r w:rsidRPr="00E72750">
              <w:rPr>
                <w:rFonts w:cs="Arial"/>
                <w:lang w:val="en-GB"/>
              </w:rPr>
              <w:t>$46,197</w:t>
            </w:r>
          </w:p>
        </w:tc>
        <w:tc>
          <w:tcPr>
            <w:tcW w:w="1203" w:type="dxa"/>
          </w:tcPr>
          <w:p w14:paraId="6DC700E8" w14:textId="77777777" w:rsidR="005703ED" w:rsidRPr="00E72750" w:rsidRDefault="005703ED" w:rsidP="00801E5A">
            <w:pPr>
              <w:pStyle w:val="02Tabletext"/>
              <w:spacing w:after="20"/>
              <w:jc w:val="center"/>
              <w:rPr>
                <w:rFonts w:cs="Arial"/>
                <w:lang w:val="en-GB"/>
              </w:rPr>
            </w:pPr>
            <w:r w:rsidRPr="00E72750">
              <w:rPr>
                <w:rFonts w:cs="Arial"/>
                <w:lang w:val="en-GB"/>
              </w:rPr>
              <w:t>11.2%</w:t>
            </w:r>
          </w:p>
        </w:tc>
      </w:tr>
      <w:tr w:rsidR="005703ED" w:rsidRPr="00E72750" w14:paraId="25A425E2" w14:textId="77777777" w:rsidTr="00AE62D5">
        <w:tc>
          <w:tcPr>
            <w:tcW w:w="721" w:type="dxa"/>
          </w:tcPr>
          <w:p w14:paraId="2D552BDE" w14:textId="77777777" w:rsidR="005703ED" w:rsidRPr="00E72750" w:rsidRDefault="005703ED" w:rsidP="00801E5A">
            <w:pPr>
              <w:pStyle w:val="02Tabletext"/>
              <w:spacing w:after="20"/>
              <w:rPr>
                <w:rFonts w:cs="Arial"/>
                <w:lang w:val="en-GB"/>
              </w:rPr>
            </w:pPr>
            <w:r w:rsidRPr="00E72750">
              <w:rPr>
                <w:rFonts w:cs="Arial"/>
                <w:lang w:val="en-GB"/>
              </w:rPr>
              <w:t>30310</w:t>
            </w:r>
          </w:p>
        </w:tc>
        <w:tc>
          <w:tcPr>
            <w:tcW w:w="4145" w:type="dxa"/>
            <w:tcMar>
              <w:left w:w="57" w:type="dxa"/>
            </w:tcMar>
          </w:tcPr>
          <w:p w14:paraId="3780A48A" w14:textId="77777777" w:rsidR="005703ED" w:rsidRPr="00E72750" w:rsidRDefault="005703ED" w:rsidP="00801E5A">
            <w:pPr>
              <w:pStyle w:val="02Tabletext"/>
              <w:spacing w:after="20"/>
              <w:rPr>
                <w:rFonts w:cs="Arial"/>
                <w:lang w:val="en-GB"/>
              </w:rPr>
            </w:pPr>
            <w:r w:rsidRPr="00E72750">
              <w:rPr>
                <w:rFonts w:cs="Arial"/>
                <w:lang w:val="en-GB"/>
              </w:rPr>
              <w:t>Thyroid, unilateral subtotal thyroidectomy or equivalent partial thyroidectomy</w:t>
            </w:r>
            <w:r w:rsidR="00B21D96" w:rsidRPr="00E72750">
              <w:rPr>
                <w:rFonts w:cs="Arial"/>
                <w:lang w:val="en-GB"/>
              </w:rPr>
              <w:t>.</w:t>
            </w:r>
            <w:r w:rsidRPr="00E72750">
              <w:rPr>
                <w:rFonts w:cs="Arial"/>
                <w:lang w:val="en-GB"/>
              </w:rPr>
              <w:t xml:space="preserve"> (</w:t>
            </w:r>
            <w:proofErr w:type="spellStart"/>
            <w:r w:rsidRPr="00E72750">
              <w:rPr>
                <w:rFonts w:cs="Arial"/>
                <w:lang w:val="en-GB"/>
              </w:rPr>
              <w:t>Anaes</w:t>
            </w:r>
            <w:proofErr w:type="spellEnd"/>
            <w:r w:rsidRPr="00E72750">
              <w:rPr>
                <w:rFonts w:cs="Arial"/>
                <w:lang w:val="en-GB"/>
              </w:rPr>
              <w:t>.) (Assist.) [1991]</w:t>
            </w:r>
          </w:p>
        </w:tc>
        <w:tc>
          <w:tcPr>
            <w:tcW w:w="923" w:type="dxa"/>
          </w:tcPr>
          <w:p w14:paraId="5D350125" w14:textId="77777777" w:rsidR="005703ED" w:rsidRPr="00E72750" w:rsidRDefault="005703ED" w:rsidP="00801E5A">
            <w:pPr>
              <w:pStyle w:val="02Tabletext"/>
              <w:spacing w:after="20"/>
              <w:jc w:val="center"/>
              <w:rPr>
                <w:rFonts w:cs="Arial"/>
                <w:lang w:val="en-GB"/>
              </w:rPr>
            </w:pPr>
            <w:r w:rsidRPr="00E72750">
              <w:rPr>
                <w:rFonts w:cs="Arial"/>
                <w:lang w:val="en-GB"/>
              </w:rPr>
              <w:t>$457.4</w:t>
            </w:r>
          </w:p>
        </w:tc>
        <w:tc>
          <w:tcPr>
            <w:tcW w:w="1003" w:type="dxa"/>
          </w:tcPr>
          <w:p w14:paraId="5579DF6D" w14:textId="77777777" w:rsidR="005703ED" w:rsidRPr="00E72750" w:rsidRDefault="005703ED" w:rsidP="00801E5A">
            <w:pPr>
              <w:pStyle w:val="02Tabletext"/>
              <w:spacing w:after="20"/>
              <w:jc w:val="center"/>
              <w:rPr>
                <w:rFonts w:cs="Arial"/>
                <w:lang w:val="en-GB"/>
              </w:rPr>
            </w:pPr>
            <w:r w:rsidRPr="00E72750">
              <w:rPr>
                <w:rFonts w:cs="Arial"/>
                <w:lang w:val="en-GB"/>
              </w:rPr>
              <w:t>198</w:t>
            </w:r>
          </w:p>
        </w:tc>
        <w:tc>
          <w:tcPr>
            <w:tcW w:w="1087" w:type="dxa"/>
          </w:tcPr>
          <w:p w14:paraId="3F7D4385" w14:textId="77777777" w:rsidR="005703ED" w:rsidRPr="00E72750" w:rsidRDefault="005703ED" w:rsidP="00801E5A">
            <w:pPr>
              <w:pStyle w:val="02Tabletext"/>
              <w:spacing w:after="20"/>
              <w:jc w:val="center"/>
              <w:rPr>
                <w:rFonts w:cs="Arial"/>
                <w:lang w:val="en-GB"/>
              </w:rPr>
            </w:pPr>
            <w:r w:rsidRPr="00E72750">
              <w:rPr>
                <w:rFonts w:cs="Arial"/>
                <w:lang w:val="en-GB"/>
              </w:rPr>
              <w:t>$48,476</w:t>
            </w:r>
          </w:p>
        </w:tc>
        <w:tc>
          <w:tcPr>
            <w:tcW w:w="1203" w:type="dxa"/>
          </w:tcPr>
          <w:p w14:paraId="439426E0" w14:textId="77777777" w:rsidR="005703ED" w:rsidRPr="00E72750" w:rsidRDefault="005703ED" w:rsidP="00801E5A">
            <w:pPr>
              <w:pStyle w:val="02Tabletext"/>
              <w:spacing w:after="20"/>
              <w:jc w:val="center"/>
              <w:rPr>
                <w:rFonts w:cs="Arial"/>
                <w:lang w:val="en-GB"/>
              </w:rPr>
            </w:pPr>
            <w:r w:rsidRPr="00E72750">
              <w:rPr>
                <w:rFonts w:cs="Arial"/>
                <w:lang w:val="en-GB"/>
              </w:rPr>
              <w:t>8.8%</w:t>
            </w:r>
          </w:p>
        </w:tc>
      </w:tr>
    </w:tbl>
    <w:p w14:paraId="254E2605" w14:textId="77777777" w:rsidR="00512F2C" w:rsidRPr="00E72750" w:rsidRDefault="006C0C9D" w:rsidP="00E75EE1">
      <w:pPr>
        <w:pStyle w:val="Heading3"/>
      </w:pPr>
      <w:bookmarkStart w:id="53" w:name="_Toc456045435"/>
      <w:bookmarkStart w:id="54" w:name="_Toc485298024"/>
      <w:r>
        <w:t xml:space="preserve">Items 30296 </w:t>
      </w:r>
      <w:r w:rsidR="005703ED" w:rsidRPr="00E72750">
        <w:t>and 30309</w:t>
      </w:r>
      <w:bookmarkEnd w:id="53"/>
      <w:bookmarkEnd w:id="54"/>
    </w:p>
    <w:p w14:paraId="42155C44" w14:textId="77777777" w:rsidR="00512F2C" w:rsidRPr="00E72750" w:rsidRDefault="005703ED" w:rsidP="0047371C">
      <w:pPr>
        <w:pStyle w:val="Boldhdg"/>
      </w:pPr>
      <w:r w:rsidRPr="00E72750">
        <w:t>Recommendation</w:t>
      </w:r>
      <w:r w:rsidR="00D00CDE">
        <w:t xml:space="preserve"> 1</w:t>
      </w:r>
    </w:p>
    <w:p w14:paraId="48817D5C" w14:textId="77777777" w:rsidR="004C6828" w:rsidRPr="00E72750" w:rsidRDefault="004C6828" w:rsidP="00352EC5">
      <w:pPr>
        <w:pStyle w:val="01squarebullet"/>
      </w:pPr>
      <w:r>
        <w:t xml:space="preserve">Consolidate item 30309 under </w:t>
      </w:r>
      <w:r w:rsidRPr="00E72750">
        <w:t>item 30</w:t>
      </w:r>
      <w:r>
        <w:t xml:space="preserve">296. </w:t>
      </w:r>
    </w:p>
    <w:p w14:paraId="2AB31867" w14:textId="77777777" w:rsidR="00F26BE2" w:rsidRPr="00E72750" w:rsidRDefault="00F26BE2" w:rsidP="00352EC5">
      <w:pPr>
        <w:pStyle w:val="01squarebullet"/>
        <w:rPr>
          <w:b/>
        </w:rPr>
      </w:pPr>
      <w:r w:rsidRPr="00E72750">
        <w:t>Leave the descriptor for item 30296 unchanged.</w:t>
      </w:r>
    </w:p>
    <w:p w14:paraId="33BBE310" w14:textId="77777777" w:rsidR="00B30F22" w:rsidRPr="00D6066C" w:rsidRDefault="00F43522" w:rsidP="00352EC5">
      <w:pPr>
        <w:pStyle w:val="01squarebullet"/>
      </w:pPr>
      <w:r w:rsidRPr="00047194">
        <w:t>Add</w:t>
      </w:r>
      <w:r w:rsidR="00D6066C">
        <w:t xml:space="preserve"> the following</w:t>
      </w:r>
      <w:r w:rsidRPr="00047194">
        <w:t xml:space="preserve"> </w:t>
      </w:r>
      <w:r w:rsidR="005703ED" w:rsidRPr="00047194">
        <w:t>e</w:t>
      </w:r>
      <w:r w:rsidR="001F1FDE">
        <w:t>xplanatory notes:</w:t>
      </w:r>
      <w:r w:rsidR="005703ED" w:rsidRPr="00047194">
        <w:t xml:space="preserve"> </w:t>
      </w:r>
      <w:r w:rsidR="00B30F22" w:rsidRPr="00047194">
        <w:t>“</w:t>
      </w:r>
      <w:r w:rsidR="00113291" w:rsidRPr="00113291">
        <w:t xml:space="preserve">Total Thyroidectomy or total hemithyroidectomy are the most appropriate procedures in </w:t>
      </w:r>
      <w:proofErr w:type="gramStart"/>
      <w:r w:rsidR="00113291" w:rsidRPr="00113291">
        <w:t>the majority of</w:t>
      </w:r>
      <w:proofErr w:type="gramEnd"/>
      <w:r w:rsidR="00113291" w:rsidRPr="00113291">
        <w:t xml:space="preserve"> circumstances when a thyroidectomy is </w:t>
      </w:r>
      <w:r w:rsidR="00113291" w:rsidRPr="00113291">
        <w:lastRenderedPageBreak/>
        <w:t>required. The preferred procedure for thyrotoxicosis is total thyroidectomy (item 30296). Item X</w:t>
      </w:r>
      <w:r w:rsidR="00A06DD1">
        <w:t xml:space="preserve"> [note: item to be created</w:t>
      </w:r>
      <w:r w:rsidR="004A0C4E">
        <w:t>,</w:t>
      </w:r>
      <w:r w:rsidR="00247802">
        <w:t xml:space="preserve"> see recommendations for items</w:t>
      </w:r>
      <w:r w:rsidR="00A06DD1">
        <w:t xml:space="preserve"> 30308 and 30309 below]</w:t>
      </w:r>
      <w:r w:rsidR="00113291" w:rsidRPr="00113291">
        <w:t xml:space="preserve"> is to be used only in uncommon circumstances where a subtotal or partial thyroidectomy is indicated and includes a subtotal lobectomy, </w:t>
      </w:r>
      <w:proofErr w:type="spellStart"/>
      <w:r w:rsidR="00113291" w:rsidRPr="00113291">
        <w:t>nodulectomy</w:t>
      </w:r>
      <w:proofErr w:type="spellEnd"/>
      <w:r w:rsidR="00113291" w:rsidRPr="00113291">
        <w:t xml:space="preserve">, or </w:t>
      </w:r>
      <w:proofErr w:type="spellStart"/>
      <w:r w:rsidR="00113291" w:rsidRPr="00113291">
        <w:t>isthmusectomy</w:t>
      </w:r>
      <w:proofErr w:type="spellEnd"/>
      <w:r w:rsidR="00113291" w:rsidRPr="00113291">
        <w:t xml:space="preserve"> or equivalent partial thyroidectomy."</w:t>
      </w:r>
      <w:r w:rsidR="001F1FDE">
        <w:t xml:space="preserve"> </w:t>
      </w:r>
      <w:r w:rsidR="00A06DD1">
        <w:t>These explanatory notes are recommended for all thyro</w:t>
      </w:r>
      <w:r w:rsidR="004A0C4E">
        <w:t>idectomy items other than 30297, please see recommendations for item</w:t>
      </w:r>
      <w:r w:rsidR="000979F8">
        <w:t>s</w:t>
      </w:r>
      <w:r w:rsidR="004A0C4E">
        <w:t xml:space="preserve"> 30306, 30308 and 30310</w:t>
      </w:r>
      <w:r w:rsidR="004C6828">
        <w:t xml:space="preserve"> for further rationale</w:t>
      </w:r>
      <w:r w:rsidR="00247802">
        <w:t>. (E</w:t>
      </w:r>
      <w:r w:rsidR="001F1FDE" w:rsidRPr="00047194">
        <w:t>xplanatory notes are not currently provided</w:t>
      </w:r>
      <w:r w:rsidR="000979F8">
        <w:t xml:space="preserve"> for these</w:t>
      </w:r>
      <w:r w:rsidR="001F1FDE" w:rsidRPr="00047194">
        <w:t xml:space="preserve"> item</w:t>
      </w:r>
      <w:r w:rsidR="000979F8">
        <w:t>s</w:t>
      </w:r>
      <w:r w:rsidR="00247802">
        <w:t>.</w:t>
      </w:r>
      <w:r w:rsidR="001F1FDE" w:rsidRPr="00047194">
        <w:t>)</w:t>
      </w:r>
    </w:p>
    <w:p w14:paraId="4A02A6C4" w14:textId="77777777" w:rsidR="005703ED" w:rsidRPr="00E72750" w:rsidRDefault="005703ED" w:rsidP="0047371C">
      <w:pPr>
        <w:pStyle w:val="Boldhdg"/>
      </w:pPr>
      <w:r w:rsidRPr="00E72750">
        <w:t>Rationale</w:t>
      </w:r>
    </w:p>
    <w:p w14:paraId="62C491C1" w14:textId="77777777" w:rsidR="00512F2C" w:rsidRPr="00E72750" w:rsidRDefault="007F7A8B" w:rsidP="0047371C">
      <w:r w:rsidRPr="00E72750">
        <w:t>The r</w:t>
      </w:r>
      <w:r w:rsidR="005703ED" w:rsidRPr="00E72750">
        <w:t xml:space="preserve">ecommendations focus on modernising and simplifying item numbers to reflect best clinical practice. They are </w:t>
      </w:r>
      <w:r w:rsidR="005875FC" w:rsidRPr="00E72750">
        <w:t>based on the following observations</w:t>
      </w:r>
      <w:r w:rsidR="005703ED" w:rsidRPr="00E72750">
        <w:t>.</w:t>
      </w:r>
      <w:r w:rsidR="00B73572" w:rsidRPr="00E72750">
        <w:t xml:space="preserve"> </w:t>
      </w:r>
    </w:p>
    <w:p w14:paraId="2A18902D" w14:textId="77777777" w:rsidR="005703ED" w:rsidRPr="00E72750" w:rsidRDefault="005703ED" w:rsidP="00352EC5">
      <w:pPr>
        <w:pStyle w:val="01squarebullet"/>
      </w:pPr>
      <w:r w:rsidRPr="00E72750">
        <w:t>The position of the C</w:t>
      </w:r>
      <w:r w:rsidR="003E2555">
        <w:t xml:space="preserve">ommittee is that procedures previously performed under </w:t>
      </w:r>
      <w:r w:rsidR="00B54926">
        <w:t xml:space="preserve">item </w:t>
      </w:r>
      <w:r w:rsidR="003E2555">
        <w:t xml:space="preserve">30309 should </w:t>
      </w:r>
      <w:r w:rsidRPr="00E72750">
        <w:t>be performed</w:t>
      </w:r>
      <w:r w:rsidR="003E2555">
        <w:t xml:space="preserve"> as a</w:t>
      </w:r>
      <w:r w:rsidRPr="00E72750">
        <w:t xml:space="preserve"> total thyroidecto</w:t>
      </w:r>
      <w:r w:rsidR="00B84B08" w:rsidRPr="00E72750">
        <w:t>my</w:t>
      </w:r>
      <w:r w:rsidR="00B54926">
        <w:t xml:space="preserve"> under item 30</w:t>
      </w:r>
      <w:r w:rsidR="00273D94">
        <w:t>2</w:t>
      </w:r>
      <w:r w:rsidR="00B54926">
        <w:t>96</w:t>
      </w:r>
      <w:r w:rsidR="00B84B08" w:rsidRPr="00E72750">
        <w:t>. This view is supported by the literature</w:t>
      </w:r>
      <w:r w:rsidR="00273D94">
        <w:t xml:space="preserve"> </w:t>
      </w:r>
      <w:r w:rsidR="00B84B08" w:rsidRPr="00E72750">
        <w:t>which highlights</w:t>
      </w:r>
      <w:r w:rsidRPr="00E72750">
        <w:t xml:space="preserve"> that total thyroidectomy is preferable to sub-total</w:t>
      </w:r>
      <w:r w:rsidR="00291E6E" w:rsidRPr="00E72750">
        <w:t xml:space="preserve"> thyroidectomy</w:t>
      </w:r>
      <w:r w:rsidRPr="00E72750">
        <w:t>.</w:t>
      </w:r>
      <w:r w:rsidR="003D4306" w:rsidRPr="00E72750">
        <w:t xml:space="preserve"> The </w:t>
      </w:r>
      <w:r w:rsidRPr="00E72750">
        <w:t>American Thy</w:t>
      </w:r>
      <w:r w:rsidR="00D817E4" w:rsidRPr="00E72750">
        <w:t>r</w:t>
      </w:r>
      <w:r w:rsidRPr="00E72750">
        <w:t>oid Association and American Association of Clinical Endocrinologists</w:t>
      </w:r>
      <w:r w:rsidR="00991461" w:rsidRPr="00E72750">
        <w:t>’</w:t>
      </w:r>
      <w:r w:rsidRPr="00E72750">
        <w:t xml:space="preserve"> </w:t>
      </w:r>
      <w:r w:rsidR="001C20DA" w:rsidRPr="00E72750">
        <w:t>M</w:t>
      </w:r>
      <w:r w:rsidRPr="00E72750">
        <w:t xml:space="preserve">anagement </w:t>
      </w:r>
      <w:r w:rsidR="001C20DA" w:rsidRPr="00E72750">
        <w:t>G</w:t>
      </w:r>
      <w:r w:rsidRPr="00E72750">
        <w:t xml:space="preserve">uidelines </w:t>
      </w:r>
      <w:r w:rsidR="00904D8E" w:rsidRPr="00E72750">
        <w:t xml:space="preserve">for </w:t>
      </w:r>
      <w:r w:rsidRPr="00E72750">
        <w:t>thyrotoxicosis</w:t>
      </w:r>
      <w:r w:rsidR="00280EAE" w:rsidRPr="00E72750">
        <w:t xml:space="preserve"> state: “If surgery is chosen as treatment for thyrotoxicosis management or Graves’ disease, near-total or total thyroidectomy should be performed” (Guidelines 40 and 24).</w:t>
      </w:r>
      <w:r w:rsidR="00B9673D" w:rsidRPr="00201BB2">
        <w:fldChar w:fldCharType="begin" w:fldLock="1"/>
      </w:r>
      <w:r w:rsidR="003360A6">
        <w:instrText>ADDIN CSL_CITATION { "citationItems" : [ { "id" : "ITEM-1", "itemData" : { "author" : [ { "dropping-particle" : "", "family" : "Bahn", "given" : "Rebecca S", "non-dropping-particle" : "", "parse-names" : false, "suffix" : "" }, { "dropping-particle" : "", "family" : "Burch", "given" : "Henry B", "non-dropping-particle" : "", "parse-names" : false, "suffix" : "" }, { "dropping-particle" : "", "family" : "Cooper", "given" : "David S", "non-dropping-particle" : "", "parse-names" : false, "suffix" : "" }, { "dropping-particle" : "", "family" : "Bahn", "given" : "Rebecca S", "non-dropping-particle" : "", "parse-names" : false, "suffix" : "" }, { "dropping-particle" : "", "family" : "Burch", "given" : "Henry B", "non-dropping-particle" : "", "parse-names" : false, "suffix" : "" }, { "dropping-particle" : "", "family" : "Cooper", "given" : "David S", "non-dropping-particle" : "", "parse-names" : false, "suffix" : "" } ], "id" : "ITEM-1", "issue" : "3", "issued" : { "date-parts" : [ [ "2011" ] ] }, "page" : "1-65", "title" : "ATA / AACE Guidelines HYPERTHYROIDISM AND OTHER CAUSES OF THYROTOXICOSIS : MANAGEMENT GUIDELINES OF THE AMERICAN THYROID ASSOCIATION AND AMERICAN ASSOCIATION OF CLINICAL ENDOCRINOLOGISTS HYPERTHYROIDISM AND OTHER CAUSES OF THYROTOXICOSIS : MANAGEMENT GUID", "type" : "article-journal", "volume" : "17" }, "uris" : [ "http://www.mendeley.com/documents/?uuid=2df350a2-43f5-44bf-b147-972caa760119" ] } ], "mendeley" : { "formattedCitation" : "[4]", "plainTextFormattedCitation" : "[4]", "previouslyFormattedCitation" : "[3]" }, "properties" : { "noteIndex" : 0 }, "schema" : "https://github.com/citation-style-language/schema/raw/master/csl-citation.json" }</w:instrText>
      </w:r>
      <w:r w:rsidR="00B9673D" w:rsidRPr="00201BB2">
        <w:fldChar w:fldCharType="separate"/>
      </w:r>
      <w:r w:rsidR="003360A6" w:rsidRPr="003360A6">
        <w:rPr>
          <w:noProof/>
        </w:rPr>
        <w:t>[4]</w:t>
      </w:r>
      <w:r w:rsidR="00B9673D" w:rsidRPr="00201BB2">
        <w:fldChar w:fldCharType="end"/>
      </w:r>
      <w:r w:rsidR="00B9673D" w:rsidRPr="00E72750">
        <w:t xml:space="preserve"> </w:t>
      </w:r>
      <w:r w:rsidRPr="00E72750">
        <w:t>Further</w:t>
      </w:r>
      <w:r w:rsidR="00AA125F" w:rsidRPr="00E72750">
        <w:t xml:space="preserve">more, a review by Snook, </w:t>
      </w:r>
      <w:proofErr w:type="spellStart"/>
      <w:r w:rsidR="00AA125F" w:rsidRPr="00E72750">
        <w:t>Stalberg</w:t>
      </w:r>
      <w:proofErr w:type="spellEnd"/>
      <w:r w:rsidR="00AA125F" w:rsidRPr="00E72750">
        <w:t xml:space="preserve"> and Sidhu (2007)</w:t>
      </w:r>
      <w:r w:rsidR="00B22FDD" w:rsidRPr="00E72750">
        <w:t xml:space="preserve"> </w:t>
      </w:r>
      <w:r w:rsidR="000C6C05" w:rsidRPr="00E72750">
        <w:t>states</w:t>
      </w:r>
      <w:r w:rsidR="00D914AD" w:rsidRPr="00E72750">
        <w:t>:</w:t>
      </w:r>
      <w:r w:rsidRPr="00E72750">
        <w:t xml:space="preserve"> “Total thyroidectomy for benign multinodular </w:t>
      </w:r>
      <w:proofErr w:type="spellStart"/>
      <w:r w:rsidRPr="00E72750">
        <w:t>goitres</w:t>
      </w:r>
      <w:proofErr w:type="spellEnd"/>
      <w:r w:rsidRPr="00E72750">
        <w:t xml:space="preserve"> is not only a safe procedure but is efficacious in preventing recurrent disease</w:t>
      </w:r>
      <w:r w:rsidR="00787C3D" w:rsidRPr="00E72750">
        <w:t>.</w:t>
      </w:r>
      <w:r w:rsidR="00A10916" w:rsidRPr="00E72750">
        <w:t>”</w:t>
      </w:r>
      <w:r w:rsidR="00A10916" w:rsidRPr="00201BB2">
        <w:fldChar w:fldCharType="begin" w:fldLock="1"/>
      </w:r>
      <w:r w:rsidR="003360A6">
        <w:instrText>ADDIN CSL_CITATION { "citationItems" : [ { "id" : "ITEM-1", "itemData" : { "DOI" : "10.1007/s00268-006-0135-0", "ISSN" : "0364-2313", "PMID" : "17308855", "abstract" : "BACKGROUND Total thyroidectomy is now the preferred option for the management of benign multinodular goiter (BMNG), and it ought not be associated with recurrent disease. The aim of the present study was to examine the efficacy of total thyroidectomy for BMNG and to review reasons for recurrence. MATERIAL AND METHODS The study group comprised all patients from January 1980 to December 2005 who underwent a definitive procedure to remove all thyroid tissue for BMNG, and who were subsequently identified as having developed a recurrence. Included were patients who underwent primary total thyroidectomy at our unit, or a two or more stage procedure where a definitive secondary total thyroidectomy was performed at our unit. RESULTS There were 3,044 total or secondary total thyroidectomies performed for BMNG during the study period. Ten patients were identified as having developed recurrent BMNG requiring reoperation despite previous complete \"total\" thyroidectomy. There were 11 sites of recurrence in 10 patients. Only one was a true local recurrence in the thyroid bed. Another 9 recurrences related to the embryology of the thyroid gland, 4 in the pyramidal tract and 5 in the thyrothymic tract. There was one recurrence at another site (submandibular) in a patient with presumed metastatic thyroid cancer despite benign histology. There were no complications in any of the 10 patients. CONCLUSIONS Total thyroidectomy for BMNG is not only a safe procedure but is efficacious in preventing recurrent disease. Failure to remove embryological remnants such as thyrothymic residue or pyramidal remnants during total thyroidectomy is the major cause of recurrence.", "author" : [ { "dropping-particle" : "", "family" : "Snook", "given" : "Kylie L", "non-dropping-particle" : "", "parse-names" : false, "suffix" : "" }, { "dropping-particle" : "", "family" : "Stalberg", "given" : "Peter L H", "non-dropping-particle" : "", "parse-names" : false, "suffix" : "" }, { "dropping-particle" : "", "family" : "Sidhu", "given" : "Stan B", "non-dropping-particle" : "", "parse-names" : false, "suffix" : "" }, { "dropping-particle" : "", "family" : "Sywak", "given" : "Mark S", "non-dropping-particle" : "", "parse-names" : false, "suffix" : "" }, { "dropping-particle" : "", "family" : "Edhouse", "given" : "Pamela", "non-dropping-particle" : "", "parse-names" : false, "suffix" : "" }, { "dropping-particle" : "", "family" : "Delbridge", "given" : "Leigh", "non-dropping-particle" : "", "parse-names" : false, "suffix" : "" } ], "container-title" : "World journal of surgery", "id" : "ITEM-1", "issue" : "3", "issued" : { "date-parts" : [ [ "2007", "3" ] ] }, "page" : "593-8; discussion 599-600", "title" : "Recurrence after total thyroidectomy for benign multinodular goiter.", "type" : "article-journal", "volume" : "31" }, "uris" : [ "http://www.mendeley.com/documents/?uuid=d78ea0f4-06df-37b7-8068-26968e16e35d" ] } ], "mendeley" : { "formattedCitation" : "[5]", "plainTextFormattedCitation" : "[5]", "previouslyFormattedCitation" : "[4]" }, "properties" : { "noteIndex" : 0 }, "schema" : "https://github.com/citation-style-language/schema/raw/master/csl-citation.json" }</w:instrText>
      </w:r>
      <w:r w:rsidR="00A10916" w:rsidRPr="00201BB2">
        <w:fldChar w:fldCharType="separate"/>
      </w:r>
      <w:r w:rsidR="003360A6" w:rsidRPr="003360A6">
        <w:rPr>
          <w:noProof/>
        </w:rPr>
        <w:t>[5]</w:t>
      </w:r>
      <w:r w:rsidR="00A10916" w:rsidRPr="00201BB2">
        <w:fldChar w:fldCharType="end"/>
      </w:r>
    </w:p>
    <w:p w14:paraId="0B5FD9E1" w14:textId="77777777" w:rsidR="005703ED" w:rsidRPr="00E72750" w:rsidRDefault="005703ED" w:rsidP="00352EC5">
      <w:pPr>
        <w:pStyle w:val="01squarebullet"/>
      </w:pPr>
      <w:r w:rsidRPr="00E72750">
        <w:t xml:space="preserve">MBS data </w:t>
      </w:r>
      <w:r w:rsidR="006E5C4F">
        <w:t xml:space="preserve">also </w:t>
      </w:r>
      <w:r w:rsidRPr="00E72750">
        <w:t xml:space="preserve">indicates </w:t>
      </w:r>
      <w:r w:rsidR="00584463">
        <w:t xml:space="preserve">comparatively </w:t>
      </w:r>
      <w:r w:rsidR="002E2DB2">
        <w:t>limited</w:t>
      </w:r>
      <w:r w:rsidR="00996461" w:rsidRPr="00E72750">
        <w:t xml:space="preserve"> use for</w:t>
      </w:r>
      <w:r w:rsidR="00DE05A6" w:rsidRPr="00E72750">
        <w:t xml:space="preserve"> </w:t>
      </w:r>
      <w:r w:rsidR="000C6C05" w:rsidRPr="00E72750">
        <w:t xml:space="preserve">item 30309. </w:t>
      </w:r>
      <w:r w:rsidR="009476C2">
        <w:t>For example</w:t>
      </w:r>
      <w:r w:rsidR="0071107B">
        <w:t>,</w:t>
      </w:r>
      <w:r w:rsidR="00C97DFD" w:rsidRPr="00E72750">
        <w:t xml:space="preserve"> </w:t>
      </w:r>
      <w:r w:rsidR="009476C2">
        <w:t>i</w:t>
      </w:r>
      <w:r w:rsidR="0071107B">
        <w:t>n FY2014/15</w:t>
      </w:r>
      <w:r w:rsidR="00F60A4B" w:rsidRPr="00E72750">
        <w:t xml:space="preserve"> </w:t>
      </w:r>
      <w:r w:rsidR="009476C2">
        <w:t xml:space="preserve">sub-total thyroidectomies </w:t>
      </w:r>
      <w:r w:rsidR="0071107B">
        <w:t xml:space="preserve">for thyrotoxicosis </w:t>
      </w:r>
      <w:r w:rsidR="009476C2">
        <w:t xml:space="preserve">under </w:t>
      </w:r>
      <w:r w:rsidR="00756ADB" w:rsidRPr="00E72750">
        <w:t>i</w:t>
      </w:r>
      <w:r w:rsidRPr="00E72750">
        <w:t>te</w:t>
      </w:r>
      <w:r w:rsidR="009476C2">
        <w:t xml:space="preserve">m 30309 were only performed 69 times compared to total thyroidectomies under </w:t>
      </w:r>
      <w:r w:rsidRPr="00E72750">
        <w:t>item 30296</w:t>
      </w:r>
      <w:r w:rsidR="00674FEA">
        <w:t>, which were performed</w:t>
      </w:r>
      <w:r w:rsidRPr="00E72750">
        <w:t xml:space="preserve"> 2,9</w:t>
      </w:r>
      <w:r w:rsidR="00674FEA">
        <w:t>29</w:t>
      </w:r>
      <w:r w:rsidR="00584463">
        <w:t xml:space="preserve"> times</w:t>
      </w:r>
      <w:r w:rsidRPr="00E72750">
        <w:t>.</w:t>
      </w:r>
      <w:r w:rsidR="00D30C65">
        <w:fldChar w:fldCharType="begin" w:fldLock="1"/>
      </w:r>
      <w:r w:rsidR="003360A6">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"[6]", "plainTextFormattedCitation" : "[6]", "previouslyFormattedCitation" : "[5]" }, "properties" : { "noteIndex" : 0 }, "schema" : "https://github.com/citation-style-language/schema/raw/master/csl-citation.json" }</w:instrText>
      </w:r>
      <w:r w:rsidR="00D30C65">
        <w:fldChar w:fldCharType="separate"/>
      </w:r>
      <w:r w:rsidR="003360A6" w:rsidRPr="003360A6">
        <w:rPr>
          <w:noProof/>
        </w:rPr>
        <w:t>[6]</w:t>
      </w:r>
      <w:r w:rsidR="00D30C65">
        <w:fldChar w:fldCharType="end"/>
      </w:r>
    </w:p>
    <w:p w14:paraId="773643CF" w14:textId="77777777" w:rsidR="009E5BAD" w:rsidRPr="00F26BE2" w:rsidRDefault="00F60A4B" w:rsidP="00352EC5">
      <w:pPr>
        <w:pStyle w:val="01squarebullet"/>
        <w:rPr>
          <w:b/>
          <w:bCs/>
          <w:i/>
          <w:iCs/>
          <w:color w:val="4F81BD" w:themeColor="accent1"/>
        </w:rPr>
      </w:pPr>
      <w:r w:rsidRPr="00E72750">
        <w:t xml:space="preserve">Item 30309 has the same schedule fee as item </w:t>
      </w:r>
      <w:proofErr w:type="gramStart"/>
      <w:r w:rsidRPr="00E72750">
        <w:t>30296</w:t>
      </w:r>
      <w:r w:rsidR="003F4E16" w:rsidRPr="00E72750">
        <w:t>,</w:t>
      </w:r>
      <w:r w:rsidRPr="00E72750">
        <w:t xml:space="preserve"> and</w:t>
      </w:r>
      <w:proofErr w:type="gramEnd"/>
      <w:r w:rsidRPr="00E72750">
        <w:t xml:space="preserve"> consoli</w:t>
      </w:r>
      <w:r w:rsidR="00CC31B4">
        <w:t>dating the items should</w:t>
      </w:r>
      <w:r w:rsidR="006373AA" w:rsidRPr="00E72750">
        <w:t xml:space="preserve"> </w:t>
      </w:r>
      <w:r w:rsidR="0012536D" w:rsidRPr="00E72750">
        <w:t xml:space="preserve">therefore </w:t>
      </w:r>
      <w:r w:rsidR="006373AA" w:rsidRPr="00E72750">
        <w:t>have no impact on patient access.</w:t>
      </w:r>
      <w:r w:rsidR="00CF3722" w:rsidRPr="00E72750">
        <w:t xml:space="preserve"> </w:t>
      </w:r>
    </w:p>
    <w:p w14:paraId="77D44971" w14:textId="77777777" w:rsidR="00F26BE2" w:rsidRPr="009E5BAD" w:rsidRDefault="00F26BE2" w:rsidP="00352EC5">
      <w:pPr>
        <w:pStyle w:val="01squarebullet"/>
        <w:rPr>
          <w:b/>
          <w:bCs/>
          <w:i/>
          <w:iCs/>
          <w:color w:val="4F81BD" w:themeColor="accent1"/>
        </w:rPr>
      </w:pPr>
      <w:r>
        <w:t>The proposed item for partial or subtotal thyroidectomy below (see</w:t>
      </w:r>
      <w:r w:rsidR="00E01955">
        <w:t xml:space="preserve"> recommendations for </w:t>
      </w:r>
      <w:r>
        <w:t xml:space="preserve">items 30308 and 30310) </w:t>
      </w:r>
      <w:r w:rsidR="00D110F7">
        <w:t xml:space="preserve">can be used in the uncommon circumstances when a subtotal thyroidectomy for thyrotoxicosis is required. </w:t>
      </w:r>
    </w:p>
    <w:p w14:paraId="26126DF6" w14:textId="77777777" w:rsidR="00996EAA" w:rsidRPr="00E72750" w:rsidRDefault="00996EAA" w:rsidP="00E75EE1">
      <w:pPr>
        <w:pStyle w:val="Heading3"/>
      </w:pPr>
      <w:bookmarkStart w:id="55" w:name="_Toc485298025"/>
      <w:bookmarkStart w:id="56" w:name="_Toc456045436"/>
      <w:r>
        <w:t xml:space="preserve">Item </w:t>
      </w:r>
      <w:r w:rsidRPr="00E72750">
        <w:t>30306</w:t>
      </w:r>
      <w:bookmarkEnd w:id="55"/>
    </w:p>
    <w:p w14:paraId="2C113E3A" w14:textId="77777777" w:rsidR="00996EAA" w:rsidRPr="00E72750" w:rsidRDefault="00D00CDE" w:rsidP="0047371C">
      <w:pPr>
        <w:pStyle w:val="Boldhdg"/>
      </w:pPr>
      <w:r>
        <w:t>Recommendation 2</w:t>
      </w:r>
    </w:p>
    <w:p w14:paraId="2C8CF1F7" w14:textId="77777777" w:rsidR="00996EAA" w:rsidRDefault="00996EAA" w:rsidP="00352EC5">
      <w:pPr>
        <w:pStyle w:val="01squarebullet"/>
      </w:pPr>
      <w:r>
        <w:t>Leave the item descriptor unchanged</w:t>
      </w:r>
      <w:r w:rsidRPr="00E72750">
        <w:t>.</w:t>
      </w:r>
    </w:p>
    <w:p w14:paraId="362B61BB" w14:textId="77777777" w:rsidR="00996EAA" w:rsidRPr="00E72750" w:rsidRDefault="00996EAA" w:rsidP="00352EC5">
      <w:pPr>
        <w:pStyle w:val="01squarebullet"/>
        <w:rPr>
          <w:lang w:val="en-GB"/>
        </w:rPr>
      </w:pPr>
      <w:r>
        <w:rPr>
          <w:lang w:val="en-GB"/>
        </w:rPr>
        <w:t xml:space="preserve">Add the </w:t>
      </w:r>
      <w:r w:rsidR="004C6828">
        <w:rPr>
          <w:lang w:val="en-GB"/>
        </w:rPr>
        <w:t>following explanatory notes: “</w:t>
      </w:r>
      <w:r w:rsidR="004C6828" w:rsidRPr="00113291">
        <w:t xml:space="preserve">Total Thyroidectomy or total hemithyroidectomy are the most appropriate procedures in </w:t>
      </w:r>
      <w:proofErr w:type="gramStart"/>
      <w:r w:rsidR="004C6828" w:rsidRPr="00113291">
        <w:t>the majority of</w:t>
      </w:r>
      <w:proofErr w:type="gramEnd"/>
      <w:r w:rsidR="004C6828" w:rsidRPr="00113291">
        <w:t xml:space="preserve"> circumstances when a thyroidectomy is required. The preferred procedure for thyrotoxicosis is total thyroidectomy (item 30296). Item X</w:t>
      </w:r>
      <w:r w:rsidR="004C6828">
        <w:t xml:space="preserve"> [note: item to be created, see recommendations for items 30308 and 30309 below]</w:t>
      </w:r>
      <w:r w:rsidR="004C6828" w:rsidRPr="00113291">
        <w:t xml:space="preserve"> is to be used only in uncommon circumstances where a subtotal or partial thyroidectomy is indicated and includes a subtotal lobectomy, </w:t>
      </w:r>
      <w:proofErr w:type="spellStart"/>
      <w:r w:rsidR="004C6828" w:rsidRPr="00113291">
        <w:t>nodulectomy</w:t>
      </w:r>
      <w:proofErr w:type="spellEnd"/>
      <w:r w:rsidR="004C6828" w:rsidRPr="00113291">
        <w:t xml:space="preserve">, or </w:t>
      </w:r>
      <w:proofErr w:type="spellStart"/>
      <w:r w:rsidR="004C6828" w:rsidRPr="00113291">
        <w:t>isthmusectomy</w:t>
      </w:r>
      <w:proofErr w:type="spellEnd"/>
      <w:r w:rsidR="004C6828" w:rsidRPr="00113291">
        <w:t xml:space="preserve"> or equivalent partial thyroidectomy."</w:t>
      </w:r>
      <w:r w:rsidR="004C6828">
        <w:t xml:space="preserve"> These explanatory notes are recommended for all thyroidectomy items other than 30297, please see recommendations for items 30296 and 30309, and 30308 and 30310 for further rationale. (E</w:t>
      </w:r>
      <w:r w:rsidR="004C6828" w:rsidRPr="00047194">
        <w:t>xplanatory notes are not currently provided for this item</w:t>
      </w:r>
      <w:r w:rsidR="004C6828">
        <w:t>.</w:t>
      </w:r>
      <w:r w:rsidR="004C6828" w:rsidRPr="00047194">
        <w:t>)</w:t>
      </w:r>
    </w:p>
    <w:p w14:paraId="395103F9" w14:textId="77777777" w:rsidR="00996EAA" w:rsidRPr="00E72750" w:rsidRDefault="00996EAA" w:rsidP="0047371C">
      <w:pPr>
        <w:pStyle w:val="Boldhdg"/>
      </w:pPr>
      <w:r w:rsidRPr="00E72750">
        <w:t>Rationale</w:t>
      </w:r>
    </w:p>
    <w:p w14:paraId="74123468" w14:textId="77777777" w:rsidR="00905555" w:rsidRDefault="00905555" w:rsidP="0047371C">
      <w:r w:rsidRPr="00E72750">
        <w:t>The recommendations focus on enc</w:t>
      </w:r>
      <w:r w:rsidR="00800ED6">
        <w:t>ouraging best clinical practice and are</w:t>
      </w:r>
      <w:r w:rsidRPr="00E72750">
        <w:t xml:space="preserve"> based on the following observations.</w:t>
      </w:r>
    </w:p>
    <w:p w14:paraId="79716886" w14:textId="77777777" w:rsidR="00996EAA" w:rsidRPr="00E72750" w:rsidRDefault="00996EAA" w:rsidP="00352EC5">
      <w:pPr>
        <w:pStyle w:val="01squarebullet"/>
      </w:pPr>
      <w:r>
        <w:t xml:space="preserve">The position of the Committee is that a total hemithyroidectomy performed under </w:t>
      </w:r>
      <w:r w:rsidRPr="00E72750">
        <w:t>Item 30306</w:t>
      </w:r>
      <w:r w:rsidR="006E5C4F">
        <w:t>,</w:t>
      </w:r>
      <w:r w:rsidRPr="00E72750">
        <w:t xml:space="preserve"> is the most appropriate treatment</w:t>
      </w:r>
      <w:r>
        <w:t xml:space="preserve"> </w:t>
      </w:r>
      <w:r w:rsidR="00800ED6">
        <w:t xml:space="preserve">in </w:t>
      </w:r>
      <w:proofErr w:type="gramStart"/>
      <w:r w:rsidR="00800ED6">
        <w:t>the majority of</w:t>
      </w:r>
      <w:proofErr w:type="gramEnd"/>
      <w:r w:rsidR="00800ED6">
        <w:t xml:space="preserve"> circumstances </w:t>
      </w:r>
      <w:r>
        <w:t xml:space="preserve">compared to </w:t>
      </w:r>
      <w:r w:rsidR="00800ED6">
        <w:t xml:space="preserve">a </w:t>
      </w:r>
      <w:r>
        <w:t xml:space="preserve">unilateral </w:t>
      </w:r>
      <w:r>
        <w:lastRenderedPageBreak/>
        <w:t xml:space="preserve">subtotal or </w:t>
      </w:r>
      <w:r w:rsidR="00800ED6">
        <w:t xml:space="preserve">equivalent </w:t>
      </w:r>
      <w:r>
        <w:t>partial thyroidectomy performed under item 30310</w:t>
      </w:r>
      <w:r w:rsidRPr="00E72750">
        <w:t xml:space="preserve">. </w:t>
      </w:r>
      <w:r>
        <w:t>This is supported by t</w:t>
      </w:r>
      <w:r w:rsidRPr="00E72750">
        <w:t>he American Thyroid Association’s Management Guidelines for adult patients with thyroid nodules and differentiated thyroid cancer</w:t>
      </w:r>
      <w:r>
        <w:t>, which</w:t>
      </w:r>
      <w:r w:rsidRPr="00E72750">
        <w:t xml:space="preserve"> state: “When surgery is considered for patients with a solitary, cytologically indeterminate nodule, thyroid lobectomy (hemithyroidectomy) is the recommended initial surgical approach” (Recommendation 19).</w:t>
      </w:r>
      <w:r w:rsidRPr="00201BB2">
        <w:fldChar w:fldCharType="begin" w:fldLock="1"/>
      </w:r>
      <w:r w:rsidR="003360A6">
        <w:instrText>ADDIN CSL_CITATION { "citationItems" : [ { "id" : "ITEM-1", "itemData" : { "DOI" : "10.1089/thy.2015.0020", "ISSN" : "1557-9077", "PMID" : "26462967", "abstract" : "BACKGROUND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decision-ma\u2026", "author" : [ { "dropping-particle" : "", "family" : "Haugen", "given" : "Bryan R", "non-dropping-particle" : "", "parse-names" : false, "suffix" : "" }, { "dropping-particle" : "", "family" : "Alexander", "given" : "Erik K", "non-dropping-particle" : "", "parse-names" : false, "suffix" : "" }, { "dropping-particle" : "", "family" : "Bible", "given" : "Keith C", "non-dropping-particle" : "", "parse-names" : false, "suffix" : "" }, { "dropping-particle" : "", "family" : "Doherty", "given" : "Gerard M", "non-dropping-particle" : "", "parse-names" : false, "suffix" : "" }, { "dropping-particle" : "", "family" : "Mandel", "given" : "Susan J", "non-dropping-particle" : "", "parse-names" : false, "suffix" : "" }, { "dropping-particle" : "", "family" : "Nikiforov", "given" : "Yuri E", "non-dropping-particle" : "", "parse-names" : false, "suffix" : "" }, { "dropping-particle" : "", "family" : "Pacini", "given" : "Furio", "non-dropping-particle" : "", "parse-names" : false, "suffix" : "" }, { "dropping-particle" : "", "family" : "Randolph", "given" : "Gregory W", "non-dropping-particle" : "", "parse-names" : false, "suffix" : "" }, { "dropping-particle" : "", "family" : "Sawka", "given" : "Anna M", "non-dropping-particle" : "", "parse-names" : false, "suffix" : "" }, { "dropping-particle" : "", "family" : "Schlumberger", "given" : "Martin", "non-dropping-particle" : "", "parse-names" : false, "suffix" : "" }, { "dropping-particle" : "", "family" : "Schuff", "given" : "Kathryn G", "non-dropping-particle" : "", "parse-names" : false, "suffix" : "" }, { "dropping-particle" : "", "family" : "Sherman", "given" : "Steven I", "non-dropping-particle" : "", "parse-names" : false, "suffix" : "" }, { "dropping-particle" : "", "family" : "Sosa", "given" : "Julie Ann", "non-dropping-particle" : "", "parse-names" : false, "suffix" : "" }, { "dropping-particle" : "", "family" : "Steward", "given" : "David L", "non-dropping-particle" : "", "parse-names" : false, "suffix" : "" }, { "dropping-particle" : "", "family" : "Tuttle", "given" : "R Michael", "non-dropping-particle" : "", "parse-names" : false, "suffix" : "" }, { "dropping-particle" : "", "family" : "Wartofsky", "given" : "Leonard", "non-dropping-particle" : "", "parse-names" : false, "suffix" : "" } ], "container-title" : "Thyroid : official journal of the American Thyroid Association", "id" : "ITEM-1", "issue" : "1", "issued" : { "date-parts" : [ [ "2016", "1" ] ] }, "page" : "1-133", "title" : "2015 American Thyroid Association Management Guidelines for Adult Patients with Thyroid Nodules and Differentiated Thyroid Cancer: The American Thyroid Association Guidelines Task Force on Thyroid Nodules and Differentiated Thyroid Cancer.", "type" : "article-journal", "volume" : "26" }, "uris" : [ "http://www.mendeley.com/documents/?uuid=7ba0fa37-6674-3f85-8f68-f20e427e7f44" ] } ], "mendeley" : { "formattedCitation" : "[7]", "plainTextFormattedCitation" : "[7]", "previouslyFormattedCitation" : "[6]" }, "properties" : { "noteIndex" : 0 }, "schema" : "https://github.com/citation-style-language/schema/raw/master/csl-citation.json" }</w:instrText>
      </w:r>
      <w:r w:rsidRPr="00201BB2">
        <w:fldChar w:fldCharType="separate"/>
      </w:r>
      <w:r w:rsidR="003360A6" w:rsidRPr="003360A6">
        <w:rPr>
          <w:noProof/>
        </w:rPr>
        <w:t>[7]</w:t>
      </w:r>
      <w:r w:rsidRPr="00201BB2">
        <w:fldChar w:fldCharType="end"/>
      </w:r>
    </w:p>
    <w:p w14:paraId="0EC3C881" w14:textId="77777777" w:rsidR="00996EAA" w:rsidRDefault="00996EAA" w:rsidP="00352EC5">
      <w:pPr>
        <w:pStyle w:val="01squarebullet"/>
      </w:pPr>
      <w:r>
        <w:t xml:space="preserve">The Committee </w:t>
      </w:r>
      <w:r w:rsidR="00226978">
        <w:t>considered deleting item 30310 and requiring services to be provided under item 30306. However</w:t>
      </w:r>
      <w:r w:rsidR="002F49F9">
        <w:t>,</w:t>
      </w:r>
      <w:r w:rsidR="00226978">
        <w:t xml:space="preserve"> it decided</w:t>
      </w:r>
      <w:r w:rsidR="005D1605">
        <w:t xml:space="preserve"> that an item number is required for the uncommon circumstances when a unilateral subtotal or </w:t>
      </w:r>
      <w:r w:rsidR="0023329D">
        <w:t xml:space="preserve">equivalent </w:t>
      </w:r>
      <w:r w:rsidR="005D1605">
        <w:t>partial thyroidectomy is indicated</w:t>
      </w:r>
      <w:r w:rsidR="00273BDB">
        <w:t xml:space="preserve"> as under item 30310. Therefore,</w:t>
      </w:r>
      <w:r>
        <w:t xml:space="preserve"> to </w:t>
      </w:r>
      <w:r w:rsidR="00226978">
        <w:t xml:space="preserve">encourage use of item 30306 instead of </w:t>
      </w:r>
      <w:r w:rsidR="002F49F9">
        <w:t xml:space="preserve">item </w:t>
      </w:r>
      <w:r w:rsidR="00226978">
        <w:t xml:space="preserve">30310, the Committee recommends adding the proposed explanatory notes in line with clinical guidelines. </w:t>
      </w:r>
    </w:p>
    <w:p w14:paraId="07EFBF07" w14:textId="77777777" w:rsidR="00996EAA" w:rsidRDefault="00996EAA" w:rsidP="00E75EE1">
      <w:pPr>
        <w:pStyle w:val="Heading3"/>
      </w:pPr>
      <w:bookmarkStart w:id="57" w:name="_Toc485298026"/>
      <w:r>
        <w:t>Items 30308 and 30310</w:t>
      </w:r>
      <w:bookmarkEnd w:id="57"/>
      <w:r>
        <w:t xml:space="preserve"> </w:t>
      </w:r>
    </w:p>
    <w:p w14:paraId="138031EF" w14:textId="77777777" w:rsidR="00996EAA" w:rsidRDefault="00996EAA" w:rsidP="0047371C">
      <w:pPr>
        <w:pStyle w:val="Boldhdg"/>
      </w:pPr>
      <w:r>
        <w:t>Recommendation</w:t>
      </w:r>
      <w:r w:rsidR="00D00CDE">
        <w:t xml:space="preserve"> 3</w:t>
      </w:r>
      <w:r>
        <w:t xml:space="preserve"> </w:t>
      </w:r>
    </w:p>
    <w:p w14:paraId="38084EC1" w14:textId="77777777" w:rsidR="00996EAA" w:rsidRDefault="00996EAA" w:rsidP="00352EC5">
      <w:pPr>
        <w:pStyle w:val="01squarebullet"/>
      </w:pPr>
      <w:r>
        <w:t>Consolidate items 30308 and 30310 into one item for the uncommon circumstances when a partial or subtotal thyroidectomy is indicated. The proposed item descriptor is as follows: “Partial or subtotal thyroidectomy (</w:t>
      </w:r>
      <w:proofErr w:type="spellStart"/>
      <w:r>
        <w:t>Anaes</w:t>
      </w:r>
      <w:proofErr w:type="spellEnd"/>
      <w:r>
        <w:t>.) (Assist.)”</w:t>
      </w:r>
    </w:p>
    <w:p w14:paraId="31C20D0B" w14:textId="77777777" w:rsidR="00996EAA" w:rsidRDefault="00996EAA" w:rsidP="00352EC5">
      <w:pPr>
        <w:pStyle w:val="01squarebullet"/>
      </w:pPr>
      <w:r>
        <w:t>Add the following explanatory notes: “</w:t>
      </w:r>
      <w:r w:rsidR="000979F8" w:rsidRPr="00113291">
        <w:t xml:space="preserve">Total Thyroidectomy or total hemithyroidectomy are the most appropriate procedures in </w:t>
      </w:r>
      <w:proofErr w:type="gramStart"/>
      <w:r w:rsidR="000979F8" w:rsidRPr="00113291">
        <w:t>the majority of</w:t>
      </w:r>
      <w:proofErr w:type="gramEnd"/>
      <w:r w:rsidR="000979F8" w:rsidRPr="00113291">
        <w:t xml:space="preserve"> circumstances when a thyroidectomy is required. The preferred procedure for thyrotoxicosis is total thyroidectomy (item 30296). Item X</w:t>
      </w:r>
      <w:r w:rsidR="000979F8">
        <w:t xml:space="preserve"> [note: item to be created]</w:t>
      </w:r>
      <w:r w:rsidR="000979F8" w:rsidRPr="00113291">
        <w:t xml:space="preserve"> is to be used only in uncommon circumstances where a subtotal or partial thyroidectomy is indicated and includes a subtotal lobectomy, </w:t>
      </w:r>
      <w:proofErr w:type="spellStart"/>
      <w:r w:rsidR="000979F8" w:rsidRPr="00113291">
        <w:t>nodulectomy</w:t>
      </w:r>
      <w:proofErr w:type="spellEnd"/>
      <w:r w:rsidR="000979F8" w:rsidRPr="00113291">
        <w:t xml:space="preserve">, or </w:t>
      </w:r>
      <w:proofErr w:type="spellStart"/>
      <w:r w:rsidR="000979F8" w:rsidRPr="00113291">
        <w:t>isthmusectomy</w:t>
      </w:r>
      <w:proofErr w:type="spellEnd"/>
      <w:r w:rsidR="000979F8" w:rsidRPr="00113291">
        <w:t xml:space="preserve"> or equivalent partial thyroidectomy."</w:t>
      </w:r>
      <w:r w:rsidR="000979F8">
        <w:t xml:space="preserve"> These explanatory notes are recommended for all thyroidectomy items other than 30297. (E</w:t>
      </w:r>
      <w:r w:rsidR="000979F8" w:rsidRPr="00047194">
        <w:t>xplanatory notes are not currently provided</w:t>
      </w:r>
      <w:r w:rsidR="000979F8">
        <w:t xml:space="preserve"> for the</w:t>
      </w:r>
      <w:r w:rsidR="000979F8" w:rsidRPr="00047194">
        <w:t>s</w:t>
      </w:r>
      <w:r w:rsidR="000979F8">
        <w:t>e</w:t>
      </w:r>
      <w:r w:rsidR="000979F8" w:rsidRPr="00047194">
        <w:t xml:space="preserve"> item</w:t>
      </w:r>
      <w:r w:rsidR="000979F8">
        <w:t>s.</w:t>
      </w:r>
      <w:r w:rsidR="000979F8" w:rsidRPr="00047194">
        <w:t>)</w:t>
      </w:r>
      <w:r>
        <w:t xml:space="preserve"> </w:t>
      </w:r>
    </w:p>
    <w:p w14:paraId="7C7B2B0C" w14:textId="77777777" w:rsidR="00996EAA" w:rsidRDefault="00996EAA" w:rsidP="0047371C">
      <w:pPr>
        <w:pStyle w:val="Boldhdg"/>
      </w:pPr>
      <w:r>
        <w:t xml:space="preserve">Rationale </w:t>
      </w:r>
    </w:p>
    <w:p w14:paraId="1C2F5336" w14:textId="77777777" w:rsidR="00996EAA" w:rsidRPr="003379A2" w:rsidRDefault="00905555" w:rsidP="0047371C">
      <w:r w:rsidRPr="00E72750">
        <w:t>The recommendations focus on modernising and simplifying item numbers to reflect best clinical practice. They are based on the following observations.</w:t>
      </w:r>
    </w:p>
    <w:p w14:paraId="5E980F2A" w14:textId="77777777" w:rsidR="00996EAA" w:rsidRPr="00E04E87" w:rsidRDefault="00B2669F" w:rsidP="00352EC5">
      <w:pPr>
        <w:pStyle w:val="01squarebullet"/>
      </w:pPr>
      <w:r>
        <w:t>As stated above</w:t>
      </w:r>
      <w:r w:rsidR="006029DD">
        <w:t>,</w:t>
      </w:r>
      <w:r>
        <w:t xml:space="preserve"> t</w:t>
      </w:r>
      <w:r w:rsidR="00996EAA">
        <w:t xml:space="preserve">he position of the Committee is that </w:t>
      </w:r>
      <w:r w:rsidR="00457FCC">
        <w:t>total thyroidectomies (30296) and total hemithyroidectomies (30306) should be performed in the majority of circumstances</w:t>
      </w:r>
      <w:r w:rsidR="00CC31B4">
        <w:t>; Whereas</w:t>
      </w:r>
      <w:r w:rsidR="00457FCC">
        <w:t xml:space="preserve"> </w:t>
      </w:r>
      <w:r w:rsidR="00996EAA">
        <w:t>subtotal or equivalent partial thyroidectomies performed under items 30310 and 30308</w:t>
      </w:r>
      <w:r w:rsidR="009A2404">
        <w:t>,</w:t>
      </w:r>
      <w:r w:rsidR="00996EAA">
        <w:t xml:space="preserve"> are only indicated in uncommon circumstances.</w:t>
      </w:r>
      <w:r w:rsidR="005C3987">
        <w:t xml:space="preserve"> Again, this is </w:t>
      </w:r>
      <w:r w:rsidR="00333345" w:rsidRPr="00E04E87">
        <w:t>supported by the literature</w:t>
      </w:r>
      <w:r w:rsidR="00996EAA" w:rsidRPr="00E04E87">
        <w:t xml:space="preserve"> cited above</w:t>
      </w:r>
      <w:r w:rsidR="00735B55" w:rsidRPr="00E04E87">
        <w:t>.</w:t>
      </w:r>
      <w:r w:rsidR="00735B55" w:rsidRPr="00E04E87">
        <w:fldChar w:fldCharType="begin" w:fldLock="1"/>
      </w:r>
      <w:r w:rsidR="003360A6">
        <w:instrText>ADDIN CSL_CITATION { "citationItems" : [ { "id" : "ITEM-1", "itemData" : { "author" : [ { "dropping-particle" : "", "family" : "Bahn", "given" : "Rebecca S", "non-dropping-particle" : "", "parse-names" : false, "suffix" : "" }, { "dropping-particle" : "", "family" : "Burch", "given" : "Henry B", "non-dropping-particle" : "", "parse-names" : false, "suffix" : "" }, { "dropping-particle" : "", "family" : "Cooper", "given" : "David S", "non-dropping-particle" : "", "parse-names" : false, "suffix" : "" }, { "dropping-particle" : "", "family" : "Bahn", "given" : "Rebecca S", "non-dropping-particle" : "", "parse-names" : false, "suffix" : "" }, { "dropping-particle" : "", "family" : "Burch", "given" : "Henry B", "non-dropping-particle" : "", "parse-names" : false, "suffix" : "" }, { "dropping-particle" : "", "family" : "Cooper", "given" : "David S", "non-dropping-particle" : "", "parse-names" : false, "suffix" : "" } ], "id" : "ITEM-1", "issue" : "3", "issued" : { "date-parts" : [ [ "2011" ] ] }, "page" : "1-65", "title" : "ATA / AACE Guidelines HYPERTHYROIDISM AND OTHER CAUSES OF THYROTOXICOSIS : MANAGEMENT GUIDELINES OF THE AMERICAN THYROID ASSOCIATION AND AMERICAN ASSOCIATION OF CLINICAL ENDOCRINOLOGISTS HYPERTHYROIDISM AND OTHER CAUSES OF THYROTOXICOSIS : MANAGEMENT GUID", "type" : "article-journal", "volume" : "17" }, "uris" : [ "http://www.mendeley.com/documents/?uuid=2df350a2-43f5-44bf-b147-972caa760119" ] }, { "id" : "ITEM-2", "itemData" : { "DOI" : "10.1007/s00268-006-0135-0", "ISSN" : "0364-2313", "PMID" : "17308855", "abstract" : "BACKGROUND Total thyroidectomy is now the preferred option for the management of benign multinodular goiter (BMNG), and it ought not be associated with recurrent disease. The aim of the present study was to examine the efficacy of total thyroidectomy for BMNG and to review reasons for recurrence. MATERIAL AND METHODS The study group comprised all patients from January 1980 to December 2005 who underwent a definitive procedure to remove all thyroid tissue for BMNG, and who were subsequently identified as having developed a recurrence. Included were patients who underwent primary total thyroidectomy at our unit, or a two or more stage procedure where a definitive secondary total thyroidectomy was performed at our unit. RESULTS There were 3,044 total or secondary total thyroidectomies performed for BMNG during the study period. Ten patients were identified as having developed recurrent BMNG requiring reoperation despite previous complete \"total\" thyroidectomy. There were 11 sites of recurrence in 10 patients. Only one was a true local recurrence in the thyroid bed. Another 9 recurrences related to the embryology of the thyroid gland, 4 in the pyramidal tract and 5 in the thyrothymic tract. There was one recurrence at another site (submandibular) in a patient with presumed metastatic thyroid cancer despite benign histology. There were no complications in any of the 10 patients. CONCLUSIONS Total thyroidectomy for BMNG is not only a safe procedure but is efficacious in preventing recurrent disease. Failure to remove embryological remnants such as thyrothymic residue or pyramidal remnants during total thyroidectomy is the major cause of recurrence.", "author" : [ { "dropping-particle" : "", "family" : "Snook", "given" : "Kylie L", "non-dropping-particle" : "", "parse-names" : false, "suffix" : "" }, { "dropping-particle" : "", "family" : "Stalberg", "given" : "Peter L H", "non-dropping-particle" : "", "parse-names" : false, "suffix" : "" }, { "dropping-particle" : "", "family" : "Sidhu", "given" : "Stan B", "non-dropping-particle" : "", "parse-names" : false, "suffix" : "" }, { "dropping-particle" : "", "family" : "Sywak", "given" : "Mark S", "non-dropping-particle" : "", "parse-names" : false, "suffix" : "" }, { "dropping-particle" : "", "family" : "Edhouse", "given" : "Pamela", "non-dropping-particle" : "", "parse-names" : false, "suffix" : "" }, { "dropping-particle" : "", "family" : "Delbridge", "given" : "Leigh", "non-dropping-particle" : "", "parse-names" : false, "suffix" : "" } ], "container-title" : "World journal of surgery", "id" : "ITEM-2", "issue" : "3", "issued" : { "date-parts" : [ [ "2007", "3" ] ] }, "page" : "593-8; discussion 599-600", "title" : "Recurrence after total thyroidectomy for benign multinodular goiter.", "type" : "article-journal", "volume" : "31" }, "uris" : [ "http://www.mendeley.com/documents/?uuid=d78ea0f4-06df-37b7-8068-26968e16e35d" ] }, { "id" : "ITEM-3", "itemData" : { "DOI" : "10.1089/thy.2015.0020", "ISSN" : "1557-9077", "PMID" : "26462967", "abstract" : "BACKGROUND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decision-ma\u2026", "author" : [ { "dropping-particle" : "", "family" : "Haugen", "given" : "Bryan R", "non-dropping-particle" : "", "parse-names" : false, "suffix" : "" }, { "dropping-particle" : "", "family" : "Alexander", "given" : "Erik K", "non-dropping-particle" : "", "parse-names" : false, "suffix" : "" }, { "dropping-particle" : "", "family" : "Bible", "given" : "Keith C", "non-dropping-particle" : "", "parse-names" : false, "suffix" : "" }, { "dropping-particle" : "", "family" : "Doherty", "given" : "Gerard M", "non-dropping-particle" : "", "parse-names" : false, "suffix" : "" }, { "dropping-particle" : "", "family" : "Mandel", "given" : "Susan J", "non-dropping-particle" : "", "parse-names" : false, "suffix" : "" }, { "dropping-particle" : "", "family" : "Nikiforov", "given" : "Yuri E", "non-dropping-particle" : "", "parse-names" : false, "suffix" : "" }, { "dropping-particle" : "", "family" : "Pacini", "given" : "Furio", "non-dropping-particle" : "", "parse-names" : false, "suffix" : "" }, { "dropping-particle" : "", "family" : "Randolph", "given" : "Gregory W", "non-dropping-particle" : "", "parse-names" : false, "suffix" : "" }, { "dropping-particle" : "", "family" : "Sawka", "given" : "Anna M", "non-dropping-particle" : "", "parse-names" : false, "suffix" : "" }, { "dropping-particle" : "", "family" : "Schlumberger", "given" : "Martin", "non-dropping-particle" : "", "parse-names" : false, "suffix" : "" }, { "dropping-particle" : "", "family" : "Schuff", "given" : "Kathryn G", "non-dropping-particle" : "", "parse-names" : false, "suffix" : "" }, { "dropping-particle" : "", "family" : "Sherman", "given" : "Steven I", "non-dropping-particle" : "", "parse-names" : false, "suffix" : "" }, { "dropping-particle" : "", "family" : "Sosa", "given" : "Julie Ann", "non-dropping-particle" : "", "parse-names" : false, "suffix" : "" }, { "dropping-particle" : "", "family" : "Steward", "given" : "David L", "non-dropping-particle" : "", "parse-names" : false, "suffix" : "" }, { "dropping-particle" : "", "family" : "Tuttle", "given" : "R Michael", "non-dropping-particle" : "", "parse-names" : false, "suffix" : "" }, { "dropping-particle" : "", "family" : "Wartofsky", "given" : "Leonard", "non-dropping-particle" : "", "parse-names" : false, "suffix" : "" } ], "container-title" : "Thyroid : official journal of the American Thyroid Association", "id" : "ITEM-3", "issue" : "1", "issued" : { "date-parts" : [ [ "2016", "1" ] ] }, "page" : "1-133", "title" : "2015 American Thyroid Association Management Guidelines for Adult Patients with Thyroid Nodules and Differentiated Thyroid Cancer: The American Thyroid Association Guidelines Task Force on Thyroid Nodules and Differentiated Thyroid Cancer.", "type" : "article-journal", "volume" : "26" }, "uris" : [ "http://www.mendeley.com/documents/?uuid=7ba0fa37-6674-3f85-8f68-f20e427e7f44" ] } ], "mendeley" : { "formattedCitation" : "[4], [5], [7]", "plainTextFormattedCitation" : "[4], [5], [7]", "previouslyFormattedCitation" : "[3], [4], [6]" }, "properties" : { "noteIndex" : 0 }, "schema" : "https://github.com/citation-style-language/schema/raw/master/csl-citation.json" }</w:instrText>
      </w:r>
      <w:r w:rsidR="00735B55" w:rsidRPr="00E04E87">
        <w:fldChar w:fldCharType="separate"/>
      </w:r>
      <w:r w:rsidR="003360A6" w:rsidRPr="003360A6">
        <w:rPr>
          <w:noProof/>
        </w:rPr>
        <w:t>[4], [5], [7]</w:t>
      </w:r>
      <w:r w:rsidR="00735B55" w:rsidRPr="00E04E87">
        <w:fldChar w:fldCharType="end"/>
      </w:r>
      <w:r w:rsidR="00996EAA" w:rsidRPr="00E04E87">
        <w:t xml:space="preserve"> </w:t>
      </w:r>
    </w:p>
    <w:p w14:paraId="0A8AA237" w14:textId="77777777" w:rsidR="00996EAA" w:rsidRDefault="00326735" w:rsidP="00352EC5">
      <w:pPr>
        <w:pStyle w:val="01squarebullet"/>
      </w:pPr>
      <w:r>
        <w:t xml:space="preserve">MBS data also indicates that </w:t>
      </w:r>
      <w:r w:rsidR="00996EAA" w:rsidRPr="00E72750">
        <w:t>Item</w:t>
      </w:r>
      <w:r>
        <w:t>s</w:t>
      </w:r>
      <w:r w:rsidR="00996EAA" w:rsidRPr="00E72750">
        <w:t xml:space="preserve"> </w:t>
      </w:r>
      <w:r>
        <w:t>30308 and 30310 are</w:t>
      </w:r>
      <w:r w:rsidR="00345125">
        <w:t xml:space="preserve"> rarely performed</w:t>
      </w:r>
      <w:r w:rsidR="00996EAA" w:rsidRPr="00E72750">
        <w:t xml:space="preserve"> procedure</w:t>
      </w:r>
      <w:r w:rsidR="00036F9A">
        <w:t>s</w:t>
      </w:r>
      <w:r w:rsidR="00996EAA" w:rsidRPr="00E72750">
        <w:t xml:space="preserve">. </w:t>
      </w:r>
      <w:r w:rsidR="009A2404">
        <w:t>In FY</w:t>
      </w:r>
      <w:r w:rsidR="00996EAA" w:rsidRPr="00E72750">
        <w:t>2014/15, item 30310 was used only 198 times</w:t>
      </w:r>
      <w:r w:rsidR="00345125">
        <w:t xml:space="preserve">, and item 30308 was only used 32 times. To provide a point of comparison, item 30306 was used 2,741 times, and item 30296 was used </w:t>
      </w:r>
      <w:r w:rsidR="00083191">
        <w:t>2,929 times during the same period</w:t>
      </w:r>
      <w:r w:rsidR="00996EAA" w:rsidRPr="00E72750">
        <w:t>.</w:t>
      </w:r>
      <w:r w:rsidR="00996EAA">
        <w:fldChar w:fldCharType="begin" w:fldLock="1"/>
      </w:r>
      <w:r w:rsidR="003360A6">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"[6]", "plainTextFormattedCitation" : "[6]", "previouslyFormattedCitation" : "[5]" }, "properties" : { "noteIndex" : 0 }, "schema" : "https://github.com/citation-style-language/schema/raw/master/csl-citation.json" }</w:instrText>
      </w:r>
      <w:r w:rsidR="00996EAA">
        <w:fldChar w:fldCharType="separate"/>
      </w:r>
      <w:r w:rsidR="003360A6" w:rsidRPr="003360A6">
        <w:rPr>
          <w:noProof/>
        </w:rPr>
        <w:t>[6]</w:t>
      </w:r>
      <w:r w:rsidR="00996EAA">
        <w:fldChar w:fldCharType="end"/>
      </w:r>
      <w:r w:rsidR="00083191">
        <w:t xml:space="preserve"> Fu</w:t>
      </w:r>
      <w:r w:rsidR="00C26652">
        <w:t>rthermore,</w:t>
      </w:r>
      <w:r w:rsidR="00083191">
        <w:t xml:space="preserve"> the</w:t>
      </w:r>
      <w:r w:rsidR="00C26652">
        <w:t xml:space="preserve"> use of item 30306 has been</w:t>
      </w:r>
      <w:r w:rsidR="00083191">
        <w:t xml:space="preserve"> declining steadily by 5.3 per cent per</w:t>
      </w:r>
      <w:r w:rsidR="00C26652">
        <w:t xml:space="preserve"> year over the last five years.</w:t>
      </w:r>
      <w:r w:rsidR="009E14AE">
        <w:fldChar w:fldCharType="begin" w:fldLock="1"/>
      </w:r>
      <w:r w:rsidR="003360A6">
        <w:instrText>ADDIN CSL_CITATION { "citationItems" : [ { "id" : "ITEM-1", "itemData" : { "author" : [ { "dropping-particle" : "", "family" : "Department of Health Australia", "given" : "Medicare Reviews Unit", "non-dropping-particle" : "", "parse-names" : false, "suffix" : "" } ], "id" : "ITEM-1", "issued" : { "date-parts" : [ [ "2016" ] ] }, "title" : "MBS data", "type" : "report" }, "uris" : [ "http://www.mendeley.com/documents/?uuid=71a40718-ae46-45cd-add3-df8b7bd9730f" ] } ], "mendeley" : { "formattedCitation" : "[2]", "plainTextFormattedCitation" : "[2]", "previouslyFormattedCitation" : "[2]" }, "properties" : { "noteIndex" : 0 }, "schema" : "https://github.com/citation-style-language/schema/raw/master/csl-citation.json" }</w:instrText>
      </w:r>
      <w:r w:rsidR="009E14AE">
        <w:fldChar w:fldCharType="separate"/>
      </w:r>
      <w:r w:rsidR="003360A6" w:rsidRPr="003360A6">
        <w:rPr>
          <w:noProof/>
        </w:rPr>
        <w:t>[2]</w:t>
      </w:r>
      <w:r w:rsidR="009E14AE">
        <w:fldChar w:fldCharType="end"/>
      </w:r>
      <w:r w:rsidR="00C26652">
        <w:t xml:space="preserve"> </w:t>
      </w:r>
    </w:p>
    <w:p w14:paraId="037DD74D" w14:textId="77777777" w:rsidR="000D5F37" w:rsidRPr="001C0147" w:rsidRDefault="0031122A" w:rsidP="00352EC5">
      <w:pPr>
        <w:pStyle w:val="01squarebullet"/>
      </w:pPr>
      <w:r>
        <w:t xml:space="preserve">The Committee wishes </w:t>
      </w:r>
      <w:r w:rsidR="00CF45C6">
        <w:t>to</w:t>
      </w:r>
      <w:r>
        <w:t xml:space="preserve"> make</w:t>
      </w:r>
      <w:r w:rsidR="00E2205C">
        <w:t xml:space="preserve"> it clear that </w:t>
      </w:r>
      <w:r w:rsidR="00CF45C6">
        <w:t>partial and subtotal thyroidectomies should only</w:t>
      </w:r>
      <w:r w:rsidR="00E2205C">
        <w:t xml:space="preserve"> be used in</w:t>
      </w:r>
      <w:r w:rsidR="00CF45C6">
        <w:t xml:space="preserve"> uncommon</w:t>
      </w:r>
      <w:r w:rsidR="007A7A04">
        <w:t xml:space="preserve"> circumstances. </w:t>
      </w:r>
      <w:r w:rsidR="00E2205C">
        <w:t xml:space="preserve">They intend to do this by </w:t>
      </w:r>
      <w:r w:rsidR="00693765">
        <w:t xml:space="preserve">consolidating the items for these procedures into one item with a clear item </w:t>
      </w:r>
      <w:proofErr w:type="gramStart"/>
      <w:r w:rsidR="00693765">
        <w:t>descriptor, and</w:t>
      </w:r>
      <w:proofErr w:type="gramEnd"/>
      <w:r w:rsidR="00693765">
        <w:t xml:space="preserve"> highlighting when this item should be used by the aid of explanatory notes. </w:t>
      </w:r>
      <w:r w:rsidR="00E2205C">
        <w:t xml:space="preserve"> </w:t>
      </w:r>
    </w:p>
    <w:p w14:paraId="0DB944BF" w14:textId="77777777" w:rsidR="00512F2C" w:rsidRPr="00E72750" w:rsidRDefault="00191B06" w:rsidP="00E75EE1">
      <w:pPr>
        <w:pStyle w:val="Heading3"/>
      </w:pPr>
      <w:bookmarkStart w:id="58" w:name="_Toc456045437"/>
      <w:bookmarkStart w:id="59" w:name="_Toc485298027"/>
      <w:bookmarkEnd w:id="56"/>
      <w:r w:rsidRPr="00E72750">
        <w:t>Item 30297</w:t>
      </w:r>
      <w:bookmarkEnd w:id="58"/>
      <w:bookmarkEnd w:id="59"/>
    </w:p>
    <w:p w14:paraId="178F0777" w14:textId="77777777" w:rsidR="00512F2C" w:rsidRPr="00E72750" w:rsidRDefault="00191B06" w:rsidP="0047371C">
      <w:pPr>
        <w:pStyle w:val="Boldhdg"/>
      </w:pPr>
      <w:r w:rsidRPr="00E72750">
        <w:t>Recommendation</w:t>
      </w:r>
      <w:r w:rsidR="00D00CDE">
        <w:t xml:space="preserve"> 4</w:t>
      </w:r>
    </w:p>
    <w:p w14:paraId="651E1CEC" w14:textId="77777777" w:rsidR="00512F2C" w:rsidRPr="00E72750" w:rsidRDefault="000F0F9B" w:rsidP="00352EC5">
      <w:pPr>
        <w:pStyle w:val="01squarebullet"/>
      </w:pPr>
      <w:r w:rsidRPr="00E72750">
        <w:t>Leave the</w:t>
      </w:r>
      <w:r w:rsidR="00191B06" w:rsidRPr="00E72750">
        <w:t xml:space="preserve"> item descriptor</w:t>
      </w:r>
      <w:r w:rsidR="00E57301" w:rsidRPr="00E72750">
        <w:t xml:space="preserve"> unchanged</w:t>
      </w:r>
      <w:r w:rsidR="00191B06" w:rsidRPr="00E72750">
        <w:t>.</w:t>
      </w:r>
    </w:p>
    <w:p w14:paraId="4F486885" w14:textId="77777777" w:rsidR="00191B06" w:rsidRPr="00E72750" w:rsidRDefault="00E03827" w:rsidP="00352EC5">
      <w:pPr>
        <w:pStyle w:val="01squarebullet"/>
      </w:pPr>
      <w:r w:rsidRPr="00E72750">
        <w:lastRenderedPageBreak/>
        <w:t xml:space="preserve">Add </w:t>
      </w:r>
      <w:r w:rsidR="00F80B4D" w:rsidRPr="00E72750">
        <w:t>the following</w:t>
      </w:r>
      <w:r w:rsidR="00307BEC" w:rsidRPr="00E72750">
        <w:t xml:space="preserve"> </w:t>
      </w:r>
      <w:r w:rsidR="009C38F8" w:rsidRPr="00E72750">
        <w:t>e</w:t>
      </w:r>
      <w:r w:rsidR="00191B06" w:rsidRPr="00E72750">
        <w:t xml:space="preserve">xplanatory notes: </w:t>
      </w:r>
      <w:r w:rsidR="000F5E28" w:rsidRPr="00E72750">
        <w:t>“</w:t>
      </w:r>
      <w:r w:rsidR="00390FE1" w:rsidRPr="00390FE1">
        <w:t>This procedure is for re-exploratory thyroid surgery where prior thyroid surgery and associated scar tissue increases the complexity of surgery. For completion hemithyroidectomy on the contralateral side to a p</w:t>
      </w:r>
      <w:r w:rsidR="00390FE1">
        <w:t>revious hemi thyroidectomy for thyroid cancer,</w:t>
      </w:r>
      <w:r w:rsidR="00390FE1" w:rsidRPr="00390FE1">
        <w:t xml:space="preserve"> item 30306 is the ap</w:t>
      </w:r>
      <w:r w:rsidR="00390FE1">
        <w:t>propriate item</w:t>
      </w:r>
      <w:r w:rsidR="00191B06" w:rsidRPr="00E72750">
        <w:t>.</w:t>
      </w:r>
      <w:r w:rsidR="005B0A27" w:rsidRPr="00E72750">
        <w:t>”</w:t>
      </w:r>
      <w:r w:rsidR="004C2236" w:rsidRPr="00E72750">
        <w:t xml:space="preserve"> (Explanatory notes are </w:t>
      </w:r>
      <w:r w:rsidR="001B07C6" w:rsidRPr="00E72750">
        <w:t>not currently provided for this</w:t>
      </w:r>
      <w:r w:rsidR="004C2236" w:rsidRPr="00E72750">
        <w:t xml:space="preserve"> item.) </w:t>
      </w:r>
    </w:p>
    <w:p w14:paraId="27DE878A" w14:textId="77777777" w:rsidR="00191B06" w:rsidRPr="00E72750" w:rsidRDefault="00191B06" w:rsidP="0047371C">
      <w:pPr>
        <w:pStyle w:val="Boldhdg"/>
      </w:pPr>
      <w:r w:rsidRPr="00E72750">
        <w:t>Rationale</w:t>
      </w:r>
    </w:p>
    <w:p w14:paraId="1F028F14" w14:textId="77777777" w:rsidR="00512F2C" w:rsidRPr="00E72750" w:rsidRDefault="00191B06" w:rsidP="0047371C">
      <w:r w:rsidRPr="00E72750">
        <w:t>The recommendation</w:t>
      </w:r>
      <w:r w:rsidR="00FF0A6B" w:rsidRPr="00E72750">
        <w:t>s</w:t>
      </w:r>
      <w:r w:rsidRPr="00E72750">
        <w:t xml:space="preserve"> focus on encouraging best clinical practice, </w:t>
      </w:r>
      <w:r w:rsidR="005875FC" w:rsidRPr="00E72750">
        <w:t>based on the following observations</w:t>
      </w:r>
      <w:r w:rsidRPr="00E72750">
        <w:t>.</w:t>
      </w:r>
    </w:p>
    <w:p w14:paraId="4037B2DB" w14:textId="77777777" w:rsidR="00512F2C" w:rsidRPr="00E72750" w:rsidRDefault="00191B06" w:rsidP="00352EC5">
      <w:pPr>
        <w:pStyle w:val="01squarebullet"/>
      </w:pPr>
      <w:r w:rsidRPr="00E72750">
        <w:t>Committee members agreed that this item should not be used as a completion procedure</w:t>
      </w:r>
      <w:r w:rsidR="00F03CA6" w:rsidRPr="00E72750">
        <w:t>,</w:t>
      </w:r>
      <w:r w:rsidRPr="00E72750">
        <w:t xml:space="preserve"> and</w:t>
      </w:r>
      <w:r w:rsidR="00F03CA6" w:rsidRPr="00E72750">
        <w:t xml:space="preserve"> that it</w:t>
      </w:r>
      <w:r w:rsidRPr="00E72750">
        <w:t xml:space="preserve"> </w:t>
      </w:r>
      <w:r w:rsidR="003917E9" w:rsidRPr="00E72750">
        <w:t>is</w:t>
      </w:r>
      <w:r w:rsidRPr="00E72750">
        <w:t xml:space="preserve"> incorrectly claimed in some cases.</w:t>
      </w:r>
    </w:p>
    <w:p w14:paraId="33D54510" w14:textId="77777777" w:rsidR="003379A2" w:rsidRPr="00C26652" w:rsidRDefault="00191B06" w:rsidP="00352EC5">
      <w:pPr>
        <w:pStyle w:val="01squarebullet"/>
      </w:pPr>
      <w:r w:rsidRPr="00E72750">
        <w:t xml:space="preserve">It was noted that there are </w:t>
      </w:r>
      <w:r w:rsidR="00DE5631" w:rsidRPr="00E72750">
        <w:t xml:space="preserve">currently </w:t>
      </w:r>
      <w:r w:rsidRPr="00E72750">
        <w:t>no explanatory notes for this item</w:t>
      </w:r>
      <w:r w:rsidR="004653BB" w:rsidRPr="00E72750">
        <w:t>.</w:t>
      </w:r>
      <w:r w:rsidRPr="00E72750">
        <w:t xml:space="preserve"> </w:t>
      </w:r>
      <w:r w:rsidR="004653BB" w:rsidRPr="00E72750">
        <w:t>T</w:t>
      </w:r>
      <w:r w:rsidRPr="00E72750">
        <w:t xml:space="preserve">he Committee </w:t>
      </w:r>
      <w:r w:rsidR="008257CB" w:rsidRPr="00E72750">
        <w:t xml:space="preserve">felt </w:t>
      </w:r>
      <w:r w:rsidRPr="00E72750">
        <w:t xml:space="preserve">that </w:t>
      </w:r>
      <w:r w:rsidR="00FF1FE1" w:rsidRPr="00E72750">
        <w:t>including</w:t>
      </w:r>
      <w:r w:rsidRPr="00E72750">
        <w:t xml:space="preserve"> explanatory notes would further promote best practice.</w:t>
      </w:r>
    </w:p>
    <w:p w14:paraId="17C757EC" w14:textId="77777777" w:rsidR="00512F2C" w:rsidRPr="00201BB2" w:rsidRDefault="00BA77F1" w:rsidP="00E75EE1">
      <w:pPr>
        <w:pStyle w:val="Heading2"/>
      </w:pPr>
      <w:bookmarkStart w:id="60" w:name="_Toc455435943"/>
      <w:bookmarkStart w:id="61" w:name="_Toc456045438"/>
      <w:bookmarkStart w:id="62" w:name="_Toc485298028"/>
      <w:r w:rsidRPr="00201BB2">
        <w:t>Parathyroid</w:t>
      </w:r>
      <w:r w:rsidR="00C57E2D" w:rsidRPr="00201BB2">
        <w:t>:</w:t>
      </w:r>
      <w:r w:rsidRPr="00201BB2">
        <w:t xml:space="preserve"> </w:t>
      </w:r>
      <w:r w:rsidR="00C57E2D" w:rsidRPr="00201BB2">
        <w:t>I</w:t>
      </w:r>
      <w:r w:rsidRPr="00201BB2">
        <w:t>tems</w:t>
      </w:r>
      <w:r w:rsidR="00F42786" w:rsidRPr="00201BB2">
        <w:t xml:space="preserve"> 30315</w:t>
      </w:r>
      <w:r w:rsidR="00E266B5" w:rsidRPr="00201BB2">
        <w:t xml:space="preserve">, 30317–8 and </w:t>
      </w:r>
      <w:r w:rsidR="00F42786" w:rsidRPr="00201BB2">
        <w:t>30320</w:t>
      </w:r>
      <w:bookmarkEnd w:id="60"/>
      <w:bookmarkEnd w:id="61"/>
      <w:bookmarkEnd w:id="62"/>
    </w:p>
    <w:p w14:paraId="5584BBCB" w14:textId="77777777" w:rsidR="0047330D" w:rsidRPr="00717067" w:rsidRDefault="0047330D" w:rsidP="00AE62D5">
      <w:pPr>
        <w:pStyle w:val="Caption"/>
      </w:pPr>
      <w:bookmarkStart w:id="63" w:name="_Toc485127114"/>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5</w:t>
      </w:r>
      <w:r w:rsidRPr="00AE62D5">
        <w:rPr>
          <w:b w:val="0"/>
        </w:rPr>
        <w:fldChar w:fldCharType="end"/>
      </w:r>
      <w:r w:rsidRPr="00AE62D5">
        <w:rPr>
          <w:b w:val="0"/>
        </w:rPr>
        <w:t>: Item introduction table for items 30315, 30317-8 and 30320</w:t>
      </w:r>
      <w:bookmarkEnd w:id="63"/>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5 shows the item introduction table for Parathyroid items 30315, 30317-8 and 30320.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w:tblPr>
      <w:tblGrid>
        <w:gridCol w:w="718"/>
        <w:gridCol w:w="4119"/>
        <w:gridCol w:w="960"/>
        <w:gridCol w:w="1002"/>
        <w:gridCol w:w="1022"/>
        <w:gridCol w:w="1195"/>
      </w:tblGrid>
      <w:tr w:rsidR="00F42786" w:rsidRPr="00E72750" w14:paraId="5C095855" w14:textId="77777777" w:rsidTr="00DC5AF7">
        <w:trPr>
          <w:tblHeader/>
        </w:trPr>
        <w:tc>
          <w:tcPr>
            <w:tcW w:w="722" w:type="dxa"/>
            <w:shd w:val="clear" w:color="auto" w:fill="D9D9D9" w:themeFill="background1" w:themeFillShade="D9"/>
            <w:vAlign w:val="bottom"/>
          </w:tcPr>
          <w:p w14:paraId="60254A63" w14:textId="77777777" w:rsidR="00F42786" w:rsidRPr="00E72750" w:rsidRDefault="00F42786" w:rsidP="009D496C">
            <w:pPr>
              <w:pStyle w:val="02Tabletext"/>
              <w:spacing w:after="20"/>
              <w:rPr>
                <w:rFonts w:cs="Arial"/>
                <w:b/>
                <w:lang w:val="en-GB"/>
              </w:rPr>
            </w:pPr>
            <w:r w:rsidRPr="00E72750">
              <w:rPr>
                <w:rFonts w:cs="Arial"/>
                <w:b/>
                <w:lang w:val="en-GB"/>
              </w:rPr>
              <w:t>Item</w:t>
            </w:r>
          </w:p>
        </w:tc>
        <w:tc>
          <w:tcPr>
            <w:tcW w:w="4169" w:type="dxa"/>
            <w:shd w:val="clear" w:color="auto" w:fill="D9D9D9" w:themeFill="background1" w:themeFillShade="D9"/>
            <w:vAlign w:val="bottom"/>
          </w:tcPr>
          <w:p w14:paraId="11A3AA89" w14:textId="77777777" w:rsidR="00F42786" w:rsidRPr="00E72750" w:rsidRDefault="00F42786" w:rsidP="009D496C">
            <w:pPr>
              <w:pStyle w:val="02Tabletext"/>
              <w:spacing w:after="20"/>
              <w:rPr>
                <w:rFonts w:cs="Arial"/>
                <w:b/>
                <w:lang w:val="en-GB"/>
              </w:rPr>
            </w:pPr>
            <w:r w:rsidRPr="00E72750">
              <w:rPr>
                <w:rFonts w:cs="Arial"/>
                <w:b/>
                <w:lang w:val="en-GB"/>
              </w:rPr>
              <w:t>Descriptor [date last amended]</w:t>
            </w:r>
          </w:p>
        </w:tc>
        <w:tc>
          <w:tcPr>
            <w:tcW w:w="962" w:type="dxa"/>
            <w:shd w:val="clear" w:color="auto" w:fill="D9D9D9" w:themeFill="background1" w:themeFillShade="D9"/>
            <w:vAlign w:val="bottom"/>
          </w:tcPr>
          <w:p w14:paraId="4ED1F2D4" w14:textId="77777777" w:rsidR="00F42786" w:rsidRPr="00E72750" w:rsidRDefault="00F42786" w:rsidP="009D496C">
            <w:pPr>
              <w:pStyle w:val="02Tabletext"/>
              <w:spacing w:after="20"/>
              <w:rPr>
                <w:rFonts w:cs="Arial"/>
                <w:b/>
                <w:lang w:val="en-GB"/>
              </w:rPr>
            </w:pPr>
            <w:r w:rsidRPr="00E72750">
              <w:rPr>
                <w:rFonts w:cs="Arial"/>
                <w:b/>
                <w:lang w:val="en-GB"/>
              </w:rPr>
              <w:t>Schedule</w:t>
            </w:r>
          </w:p>
          <w:p w14:paraId="675D9D88" w14:textId="77777777" w:rsidR="00F42786" w:rsidRPr="00E72750" w:rsidRDefault="00F42786" w:rsidP="009D496C">
            <w:pPr>
              <w:pStyle w:val="02Tabletext"/>
              <w:spacing w:after="20"/>
              <w:rPr>
                <w:rFonts w:cs="Arial"/>
                <w:b/>
                <w:lang w:val="en-GB"/>
              </w:rPr>
            </w:pPr>
            <w:r w:rsidRPr="00E72750">
              <w:rPr>
                <w:rFonts w:cs="Arial"/>
                <w:b/>
                <w:lang w:val="en-GB"/>
              </w:rPr>
              <w:t>fee</w:t>
            </w:r>
          </w:p>
        </w:tc>
        <w:tc>
          <w:tcPr>
            <w:tcW w:w="1003" w:type="dxa"/>
            <w:shd w:val="clear" w:color="auto" w:fill="D9D9D9" w:themeFill="background1" w:themeFillShade="D9"/>
            <w:vAlign w:val="bottom"/>
          </w:tcPr>
          <w:p w14:paraId="0D71678A" w14:textId="77777777" w:rsidR="00F42786" w:rsidRPr="00E72750" w:rsidRDefault="00F42786" w:rsidP="009D496C">
            <w:pPr>
              <w:pStyle w:val="02Tabletext"/>
              <w:spacing w:after="20"/>
              <w:rPr>
                <w:rFonts w:cs="Arial"/>
                <w:b/>
                <w:lang w:val="en-GB"/>
              </w:rPr>
            </w:pPr>
            <w:r w:rsidRPr="00E72750">
              <w:rPr>
                <w:rFonts w:cs="Arial"/>
                <w:b/>
                <w:lang w:val="en-GB"/>
              </w:rPr>
              <w:t>Services FY2014/15</w:t>
            </w:r>
          </w:p>
        </w:tc>
        <w:tc>
          <w:tcPr>
            <w:tcW w:w="1023" w:type="dxa"/>
            <w:shd w:val="clear" w:color="auto" w:fill="D9D9D9" w:themeFill="background1" w:themeFillShade="D9"/>
            <w:vAlign w:val="bottom"/>
          </w:tcPr>
          <w:p w14:paraId="529DD9A5" w14:textId="77777777" w:rsidR="00F42786" w:rsidRPr="00E72750" w:rsidRDefault="00F42786" w:rsidP="009D496C">
            <w:pPr>
              <w:pStyle w:val="02Tabletext"/>
              <w:spacing w:after="20"/>
              <w:rPr>
                <w:rFonts w:cs="Arial"/>
                <w:b/>
                <w:lang w:val="en-GB"/>
              </w:rPr>
            </w:pPr>
            <w:r w:rsidRPr="00E72750">
              <w:rPr>
                <w:rFonts w:cs="Arial"/>
                <w:b/>
                <w:lang w:val="en-GB"/>
              </w:rPr>
              <w:t>Benefits FY2014/15</w:t>
            </w:r>
          </w:p>
        </w:tc>
        <w:tc>
          <w:tcPr>
            <w:tcW w:w="1203" w:type="dxa"/>
            <w:shd w:val="clear" w:color="auto" w:fill="D9D9D9" w:themeFill="background1" w:themeFillShade="D9"/>
            <w:vAlign w:val="bottom"/>
          </w:tcPr>
          <w:p w14:paraId="0CB377D8" w14:textId="77777777" w:rsidR="00F42786" w:rsidRPr="00E72750" w:rsidRDefault="00F42786" w:rsidP="009D496C">
            <w:pPr>
              <w:pStyle w:val="02Tabletext"/>
              <w:spacing w:after="20"/>
              <w:rPr>
                <w:rFonts w:cs="Arial"/>
                <w:b/>
                <w:lang w:val="en-GB"/>
              </w:rPr>
            </w:pPr>
            <w:r w:rsidRPr="00E72750">
              <w:rPr>
                <w:rFonts w:cs="Arial"/>
                <w:b/>
                <w:lang w:val="en-GB"/>
              </w:rPr>
              <w:t xml:space="preserve">Services </w:t>
            </w:r>
            <w:proofErr w:type="gramStart"/>
            <w:r w:rsidRPr="00E72750">
              <w:rPr>
                <w:rFonts w:cs="Arial"/>
                <w:b/>
                <w:lang w:val="en-GB"/>
              </w:rPr>
              <w:t>5 year</w:t>
            </w:r>
            <w:proofErr w:type="gramEnd"/>
            <w:r w:rsidRPr="00E72750">
              <w:rPr>
                <w:rFonts w:cs="Arial"/>
                <w:b/>
                <w:lang w:val="en-GB"/>
              </w:rPr>
              <w:t xml:space="preserve"> annual avg. growth</w:t>
            </w:r>
          </w:p>
        </w:tc>
      </w:tr>
      <w:tr w:rsidR="00F42786" w:rsidRPr="00E72750" w14:paraId="1861AEF1" w14:textId="77777777" w:rsidTr="00AE62D5">
        <w:tc>
          <w:tcPr>
            <w:tcW w:w="722" w:type="dxa"/>
          </w:tcPr>
          <w:p w14:paraId="6D8E9DED" w14:textId="77777777" w:rsidR="00F42786" w:rsidRPr="00E72750" w:rsidRDefault="00F42786" w:rsidP="00801E5A">
            <w:pPr>
              <w:pStyle w:val="02Tabletext"/>
              <w:spacing w:after="20"/>
              <w:rPr>
                <w:rFonts w:cs="Arial"/>
                <w:lang w:val="en-GB"/>
              </w:rPr>
            </w:pPr>
            <w:r w:rsidRPr="00E72750">
              <w:rPr>
                <w:rFonts w:cs="Arial"/>
                <w:lang w:val="en-GB"/>
              </w:rPr>
              <w:t xml:space="preserve">30315 </w:t>
            </w:r>
          </w:p>
        </w:tc>
        <w:tc>
          <w:tcPr>
            <w:tcW w:w="4169" w:type="dxa"/>
            <w:vAlign w:val="center"/>
          </w:tcPr>
          <w:p w14:paraId="134D8044" w14:textId="77777777" w:rsidR="00F42786" w:rsidRPr="00E72750" w:rsidRDefault="00F42786" w:rsidP="00801E5A">
            <w:pPr>
              <w:pStyle w:val="02Tabletext"/>
              <w:spacing w:after="20"/>
              <w:rPr>
                <w:rFonts w:cs="Arial"/>
                <w:szCs w:val="18"/>
                <w:lang w:val="en-GB"/>
              </w:rPr>
            </w:pPr>
            <w:r w:rsidRPr="00E72750">
              <w:rPr>
                <w:rFonts w:cs="Arial"/>
                <w:color w:val="000000"/>
                <w:szCs w:val="18"/>
                <w:lang w:val="en-GB"/>
              </w:rPr>
              <w:t>Parathyroid operation for hyperparathyroidism</w:t>
            </w:r>
            <w:r w:rsidR="00BF0768"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62" w:type="dxa"/>
          </w:tcPr>
          <w:p w14:paraId="1F3E6B39" w14:textId="77777777" w:rsidR="00F42786" w:rsidRPr="00E72750" w:rsidRDefault="00F42786" w:rsidP="00801E5A">
            <w:pPr>
              <w:pStyle w:val="02Tabletext"/>
              <w:spacing w:after="20"/>
              <w:jc w:val="center"/>
              <w:rPr>
                <w:rFonts w:cs="Arial"/>
                <w:lang w:val="en-GB"/>
              </w:rPr>
            </w:pPr>
            <w:r w:rsidRPr="00E72750">
              <w:rPr>
                <w:rFonts w:cs="Arial"/>
                <w:lang w:val="en-GB"/>
              </w:rPr>
              <w:t>$1,139.90</w:t>
            </w:r>
          </w:p>
        </w:tc>
        <w:tc>
          <w:tcPr>
            <w:tcW w:w="1003" w:type="dxa"/>
          </w:tcPr>
          <w:p w14:paraId="38A43E3A" w14:textId="77777777" w:rsidR="00F42786" w:rsidRPr="00E72750" w:rsidRDefault="00F42786" w:rsidP="00801E5A">
            <w:pPr>
              <w:pStyle w:val="02Tabletext"/>
              <w:spacing w:after="20"/>
              <w:jc w:val="center"/>
              <w:rPr>
                <w:rFonts w:cs="Arial"/>
                <w:lang w:val="en-GB"/>
              </w:rPr>
            </w:pPr>
            <w:r w:rsidRPr="00E72750">
              <w:rPr>
                <w:rFonts w:cs="Arial"/>
                <w:lang w:val="en-GB"/>
              </w:rPr>
              <w:t>2,020</w:t>
            </w:r>
          </w:p>
        </w:tc>
        <w:tc>
          <w:tcPr>
            <w:tcW w:w="1023" w:type="dxa"/>
          </w:tcPr>
          <w:p w14:paraId="0FF40CB7" w14:textId="77777777" w:rsidR="00F42786" w:rsidRPr="00E72750" w:rsidRDefault="00F42786" w:rsidP="00801E5A">
            <w:pPr>
              <w:pStyle w:val="02Tabletext"/>
              <w:spacing w:after="20"/>
              <w:jc w:val="center"/>
              <w:rPr>
                <w:rFonts w:cs="Arial"/>
                <w:lang w:val="en-GB"/>
              </w:rPr>
            </w:pPr>
            <w:r w:rsidRPr="00E72750">
              <w:rPr>
                <w:rFonts w:cs="Arial"/>
                <w:lang w:val="en-GB"/>
              </w:rPr>
              <w:t>$1,713,523</w:t>
            </w:r>
          </w:p>
        </w:tc>
        <w:tc>
          <w:tcPr>
            <w:tcW w:w="1203" w:type="dxa"/>
          </w:tcPr>
          <w:p w14:paraId="20989390" w14:textId="77777777" w:rsidR="00F42786" w:rsidRPr="00E72750" w:rsidRDefault="00F42786" w:rsidP="00801E5A">
            <w:pPr>
              <w:pStyle w:val="02Tabletext"/>
              <w:spacing w:after="20"/>
              <w:jc w:val="center"/>
              <w:rPr>
                <w:rFonts w:cs="Arial"/>
                <w:lang w:val="en-GB"/>
              </w:rPr>
            </w:pPr>
            <w:r w:rsidRPr="00E72750">
              <w:rPr>
                <w:rFonts w:cs="Arial"/>
                <w:lang w:val="en-GB"/>
              </w:rPr>
              <w:t>8.6%</w:t>
            </w:r>
          </w:p>
        </w:tc>
      </w:tr>
      <w:tr w:rsidR="00F42786" w:rsidRPr="00E72750" w14:paraId="5AA40B31" w14:textId="77777777" w:rsidTr="00AE62D5">
        <w:tc>
          <w:tcPr>
            <w:tcW w:w="722" w:type="dxa"/>
          </w:tcPr>
          <w:p w14:paraId="76810CCB" w14:textId="77777777" w:rsidR="00F42786" w:rsidRPr="00E72750" w:rsidRDefault="00F42786" w:rsidP="00801E5A">
            <w:pPr>
              <w:pStyle w:val="02Tabletext"/>
              <w:spacing w:after="20"/>
              <w:rPr>
                <w:rFonts w:cs="Arial"/>
                <w:lang w:val="en-GB"/>
              </w:rPr>
            </w:pPr>
            <w:r w:rsidRPr="00E72750">
              <w:rPr>
                <w:rFonts w:cs="Arial"/>
                <w:lang w:val="en-GB"/>
              </w:rPr>
              <w:t>30317</w:t>
            </w:r>
          </w:p>
        </w:tc>
        <w:tc>
          <w:tcPr>
            <w:tcW w:w="4169" w:type="dxa"/>
            <w:vAlign w:val="center"/>
          </w:tcPr>
          <w:p w14:paraId="4FD4BF42" w14:textId="77777777" w:rsidR="00F42786" w:rsidRPr="00E72750" w:rsidRDefault="00F42786" w:rsidP="00801E5A">
            <w:pPr>
              <w:pStyle w:val="02Tabletext"/>
              <w:spacing w:after="20"/>
              <w:rPr>
                <w:rFonts w:cs="Arial"/>
                <w:szCs w:val="18"/>
                <w:lang w:val="en-GB"/>
              </w:rPr>
            </w:pPr>
            <w:r w:rsidRPr="00E72750">
              <w:rPr>
                <w:rFonts w:cs="Arial"/>
                <w:color w:val="000000"/>
                <w:szCs w:val="18"/>
                <w:lang w:val="en-GB"/>
              </w:rPr>
              <w:t xml:space="preserve">Cervical </w:t>
            </w:r>
            <w:proofErr w:type="spellStart"/>
            <w:r w:rsidRPr="00E72750">
              <w:rPr>
                <w:rFonts w:cs="Arial"/>
                <w:color w:val="000000"/>
                <w:szCs w:val="18"/>
                <w:lang w:val="en-GB"/>
              </w:rPr>
              <w:t>reexploration</w:t>
            </w:r>
            <w:proofErr w:type="spellEnd"/>
            <w:r w:rsidRPr="00E72750">
              <w:rPr>
                <w:rFonts w:cs="Arial"/>
                <w:color w:val="000000"/>
                <w:szCs w:val="18"/>
                <w:lang w:val="en-GB"/>
              </w:rPr>
              <w:t xml:space="preserve"> for recurrent or persistent hyperparathyroidism</w:t>
            </w:r>
            <w:r w:rsidR="00BF0768"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62" w:type="dxa"/>
          </w:tcPr>
          <w:p w14:paraId="2FBA1607" w14:textId="77777777" w:rsidR="00F42786" w:rsidRPr="00E72750" w:rsidRDefault="00F42786" w:rsidP="00801E5A">
            <w:pPr>
              <w:pStyle w:val="02Tabletext"/>
              <w:spacing w:after="20"/>
              <w:jc w:val="center"/>
              <w:rPr>
                <w:rFonts w:cs="Arial"/>
                <w:lang w:val="en-GB"/>
              </w:rPr>
            </w:pPr>
            <w:r w:rsidRPr="00E72750">
              <w:rPr>
                <w:rFonts w:cs="Arial"/>
                <w:lang w:val="en-GB"/>
              </w:rPr>
              <w:t>$1,364.90</w:t>
            </w:r>
          </w:p>
        </w:tc>
        <w:tc>
          <w:tcPr>
            <w:tcW w:w="1003" w:type="dxa"/>
          </w:tcPr>
          <w:p w14:paraId="10EBD639" w14:textId="77777777" w:rsidR="00F42786" w:rsidRPr="00E72750" w:rsidRDefault="00F42786" w:rsidP="00801E5A">
            <w:pPr>
              <w:pStyle w:val="02Tabletext"/>
              <w:spacing w:after="20"/>
              <w:jc w:val="center"/>
              <w:rPr>
                <w:rFonts w:cs="Arial"/>
                <w:lang w:val="en-GB"/>
              </w:rPr>
            </w:pPr>
            <w:r w:rsidRPr="00E72750">
              <w:rPr>
                <w:rFonts w:cs="Arial"/>
                <w:lang w:val="en-GB"/>
              </w:rPr>
              <w:t>125</w:t>
            </w:r>
          </w:p>
        </w:tc>
        <w:tc>
          <w:tcPr>
            <w:tcW w:w="1023" w:type="dxa"/>
          </w:tcPr>
          <w:p w14:paraId="42860DB7" w14:textId="77777777" w:rsidR="00F42786" w:rsidRPr="00E72750" w:rsidRDefault="00F42786" w:rsidP="00801E5A">
            <w:pPr>
              <w:pStyle w:val="02Tabletext"/>
              <w:spacing w:after="20"/>
              <w:jc w:val="center"/>
              <w:rPr>
                <w:rFonts w:cs="Arial"/>
                <w:lang w:val="en-GB"/>
              </w:rPr>
            </w:pPr>
            <w:r w:rsidRPr="00E72750">
              <w:rPr>
                <w:rFonts w:cs="Arial"/>
                <w:lang w:val="en-GB"/>
              </w:rPr>
              <w:t>$127,685</w:t>
            </w:r>
          </w:p>
        </w:tc>
        <w:tc>
          <w:tcPr>
            <w:tcW w:w="1203" w:type="dxa"/>
          </w:tcPr>
          <w:p w14:paraId="2BC90A7C" w14:textId="77777777" w:rsidR="00F42786" w:rsidRPr="00E72750" w:rsidRDefault="00F42786" w:rsidP="00801E5A">
            <w:pPr>
              <w:pStyle w:val="02Tabletext"/>
              <w:spacing w:after="20"/>
              <w:jc w:val="center"/>
              <w:rPr>
                <w:rFonts w:cs="Arial"/>
                <w:lang w:val="en-GB"/>
              </w:rPr>
            </w:pPr>
            <w:r w:rsidRPr="00E72750">
              <w:rPr>
                <w:rFonts w:cs="Arial"/>
                <w:lang w:val="en-GB"/>
              </w:rPr>
              <w:t>14.3%</w:t>
            </w:r>
          </w:p>
        </w:tc>
      </w:tr>
      <w:tr w:rsidR="00F42786" w:rsidRPr="00E72750" w14:paraId="6E745255" w14:textId="77777777" w:rsidTr="00AE62D5">
        <w:tc>
          <w:tcPr>
            <w:tcW w:w="722" w:type="dxa"/>
          </w:tcPr>
          <w:p w14:paraId="624E2FF7" w14:textId="77777777" w:rsidR="00F42786" w:rsidRPr="00E72750" w:rsidRDefault="00F42786" w:rsidP="00801E5A">
            <w:pPr>
              <w:pStyle w:val="02Tabletext"/>
              <w:spacing w:after="20"/>
              <w:rPr>
                <w:rFonts w:cs="Arial"/>
                <w:lang w:val="en-GB"/>
              </w:rPr>
            </w:pPr>
            <w:r w:rsidRPr="00E72750">
              <w:rPr>
                <w:rFonts w:cs="Arial"/>
                <w:lang w:val="en-GB"/>
              </w:rPr>
              <w:t>30318</w:t>
            </w:r>
          </w:p>
        </w:tc>
        <w:tc>
          <w:tcPr>
            <w:tcW w:w="4169" w:type="dxa"/>
            <w:vAlign w:val="center"/>
          </w:tcPr>
          <w:p w14:paraId="6C92F669" w14:textId="77777777" w:rsidR="00F42786" w:rsidRPr="00E72750" w:rsidRDefault="00F42786" w:rsidP="00801E5A">
            <w:pPr>
              <w:pStyle w:val="02Tabletext"/>
              <w:spacing w:after="20"/>
              <w:rPr>
                <w:rFonts w:cs="Arial"/>
                <w:szCs w:val="18"/>
                <w:lang w:val="en-GB"/>
              </w:rPr>
            </w:pPr>
            <w:r w:rsidRPr="00E72750">
              <w:rPr>
                <w:rFonts w:cs="Arial"/>
                <w:color w:val="000000"/>
                <w:szCs w:val="18"/>
                <w:lang w:val="en-GB"/>
              </w:rPr>
              <w:t>Mediastinum, exploration of, via the cervical route, for hyperparathyroidism (including thymectomy)</w:t>
            </w:r>
            <w:r w:rsidR="00BF0768"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62" w:type="dxa"/>
          </w:tcPr>
          <w:p w14:paraId="5D04189F" w14:textId="77777777" w:rsidR="00F42786" w:rsidRPr="00E72750" w:rsidRDefault="00F42786" w:rsidP="00801E5A">
            <w:pPr>
              <w:pStyle w:val="02Tabletext"/>
              <w:spacing w:after="20"/>
              <w:jc w:val="center"/>
              <w:rPr>
                <w:rFonts w:cs="Arial"/>
                <w:lang w:val="en-GB"/>
              </w:rPr>
            </w:pPr>
            <w:r w:rsidRPr="00E72750">
              <w:rPr>
                <w:rFonts w:cs="Arial"/>
                <w:lang w:val="en-GB"/>
              </w:rPr>
              <w:t>$907.60</w:t>
            </w:r>
          </w:p>
        </w:tc>
        <w:tc>
          <w:tcPr>
            <w:tcW w:w="1003" w:type="dxa"/>
          </w:tcPr>
          <w:p w14:paraId="01317CFC" w14:textId="77777777" w:rsidR="00F42786" w:rsidRPr="00E72750" w:rsidRDefault="00F42786" w:rsidP="00801E5A">
            <w:pPr>
              <w:pStyle w:val="02Tabletext"/>
              <w:spacing w:after="20"/>
              <w:jc w:val="center"/>
              <w:rPr>
                <w:rFonts w:cs="Arial"/>
                <w:lang w:val="en-GB"/>
              </w:rPr>
            </w:pPr>
            <w:r w:rsidRPr="00E72750">
              <w:rPr>
                <w:rFonts w:cs="Arial"/>
                <w:lang w:val="en-GB"/>
              </w:rPr>
              <w:t>524</w:t>
            </w:r>
          </w:p>
        </w:tc>
        <w:tc>
          <w:tcPr>
            <w:tcW w:w="1023" w:type="dxa"/>
          </w:tcPr>
          <w:p w14:paraId="62946E44" w14:textId="77777777" w:rsidR="00F42786" w:rsidRPr="00E72750" w:rsidRDefault="00F42786" w:rsidP="00801E5A">
            <w:pPr>
              <w:pStyle w:val="02Tabletext"/>
              <w:spacing w:after="20"/>
              <w:jc w:val="center"/>
              <w:rPr>
                <w:rFonts w:cs="Arial"/>
                <w:lang w:val="en-GB"/>
              </w:rPr>
            </w:pPr>
            <w:r w:rsidRPr="00E72750">
              <w:rPr>
                <w:rFonts w:cs="Arial"/>
                <w:lang w:val="en-GB"/>
              </w:rPr>
              <w:t>$169,638</w:t>
            </w:r>
          </w:p>
        </w:tc>
        <w:tc>
          <w:tcPr>
            <w:tcW w:w="1203" w:type="dxa"/>
          </w:tcPr>
          <w:p w14:paraId="735712AC" w14:textId="77777777" w:rsidR="00F42786" w:rsidRPr="00E72750" w:rsidRDefault="00F42786" w:rsidP="00801E5A">
            <w:pPr>
              <w:pStyle w:val="02Tabletext"/>
              <w:spacing w:after="20"/>
              <w:jc w:val="center"/>
              <w:rPr>
                <w:rFonts w:cs="Arial"/>
                <w:lang w:val="en-GB"/>
              </w:rPr>
            </w:pPr>
            <w:r w:rsidRPr="00E72750">
              <w:rPr>
                <w:rFonts w:cs="Arial"/>
                <w:lang w:val="en-GB"/>
              </w:rPr>
              <w:t>13.3%</w:t>
            </w:r>
          </w:p>
        </w:tc>
      </w:tr>
      <w:tr w:rsidR="00F42786" w:rsidRPr="00E72750" w14:paraId="13D5D296" w14:textId="77777777" w:rsidTr="00AE62D5">
        <w:tc>
          <w:tcPr>
            <w:tcW w:w="722" w:type="dxa"/>
          </w:tcPr>
          <w:p w14:paraId="7F877ED6" w14:textId="77777777" w:rsidR="00F42786" w:rsidRPr="00E72750" w:rsidRDefault="00F42786" w:rsidP="00801E5A">
            <w:pPr>
              <w:pStyle w:val="02Tabletext"/>
              <w:spacing w:after="20"/>
              <w:rPr>
                <w:rFonts w:cs="Arial"/>
                <w:lang w:val="en-GB"/>
              </w:rPr>
            </w:pPr>
            <w:r w:rsidRPr="00E72750">
              <w:rPr>
                <w:rFonts w:cs="Arial"/>
                <w:lang w:val="en-GB"/>
              </w:rPr>
              <w:t>30320</w:t>
            </w:r>
          </w:p>
        </w:tc>
        <w:tc>
          <w:tcPr>
            <w:tcW w:w="4169" w:type="dxa"/>
            <w:vAlign w:val="center"/>
          </w:tcPr>
          <w:p w14:paraId="0C19D09B" w14:textId="77777777" w:rsidR="00F42786" w:rsidRPr="00E72750" w:rsidRDefault="00F42786" w:rsidP="00801E5A">
            <w:pPr>
              <w:pStyle w:val="02Tabletext"/>
              <w:spacing w:after="20"/>
              <w:rPr>
                <w:rFonts w:cs="Arial"/>
                <w:szCs w:val="18"/>
                <w:lang w:val="en-GB"/>
              </w:rPr>
            </w:pPr>
            <w:r w:rsidRPr="00E72750">
              <w:rPr>
                <w:rFonts w:cs="Arial"/>
                <w:color w:val="000000"/>
                <w:szCs w:val="18"/>
                <w:lang w:val="en-GB"/>
              </w:rPr>
              <w:t>Mediastinum, exploration of, via mediastinotomy, for hyperparathyroidism (including thymectomy)</w:t>
            </w:r>
            <w:r w:rsidR="00BF0768"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62" w:type="dxa"/>
          </w:tcPr>
          <w:p w14:paraId="55647D55" w14:textId="77777777" w:rsidR="00F42786" w:rsidRPr="00E72750" w:rsidRDefault="00F42786" w:rsidP="00801E5A">
            <w:pPr>
              <w:pStyle w:val="02Tabletext"/>
              <w:spacing w:after="20"/>
              <w:jc w:val="center"/>
              <w:rPr>
                <w:rFonts w:cs="Arial"/>
                <w:lang w:val="en-GB"/>
              </w:rPr>
            </w:pPr>
            <w:r w:rsidRPr="00E72750">
              <w:rPr>
                <w:rFonts w:cs="Arial"/>
                <w:lang w:val="en-GB"/>
              </w:rPr>
              <w:t>$1,364.90</w:t>
            </w:r>
          </w:p>
        </w:tc>
        <w:tc>
          <w:tcPr>
            <w:tcW w:w="1003" w:type="dxa"/>
          </w:tcPr>
          <w:p w14:paraId="0B291A79" w14:textId="77777777" w:rsidR="00F42786" w:rsidRPr="00E72750" w:rsidRDefault="00F42786" w:rsidP="00801E5A">
            <w:pPr>
              <w:pStyle w:val="02Tabletext"/>
              <w:spacing w:after="20"/>
              <w:jc w:val="center"/>
              <w:rPr>
                <w:rFonts w:cs="Arial"/>
                <w:lang w:val="en-GB"/>
              </w:rPr>
            </w:pPr>
            <w:r w:rsidRPr="00E72750">
              <w:rPr>
                <w:rFonts w:cs="Arial"/>
                <w:lang w:val="en-GB"/>
              </w:rPr>
              <w:t>7</w:t>
            </w:r>
          </w:p>
        </w:tc>
        <w:tc>
          <w:tcPr>
            <w:tcW w:w="1023" w:type="dxa"/>
          </w:tcPr>
          <w:p w14:paraId="42E93959" w14:textId="77777777" w:rsidR="00F42786" w:rsidRPr="00E72750" w:rsidRDefault="00F42786" w:rsidP="00801E5A">
            <w:pPr>
              <w:pStyle w:val="02Tabletext"/>
              <w:spacing w:after="20"/>
              <w:jc w:val="center"/>
              <w:rPr>
                <w:rFonts w:cs="Arial"/>
                <w:lang w:val="en-GB"/>
              </w:rPr>
            </w:pPr>
            <w:r w:rsidRPr="00E72750">
              <w:rPr>
                <w:rFonts w:cs="Arial"/>
                <w:lang w:val="en-GB"/>
              </w:rPr>
              <w:t>$5,956</w:t>
            </w:r>
          </w:p>
        </w:tc>
        <w:tc>
          <w:tcPr>
            <w:tcW w:w="1203" w:type="dxa"/>
          </w:tcPr>
          <w:p w14:paraId="0849D750" w14:textId="77777777" w:rsidR="00F42786" w:rsidRPr="00E72750" w:rsidRDefault="00F42786" w:rsidP="00801E5A">
            <w:pPr>
              <w:pStyle w:val="02Tabletext"/>
              <w:spacing w:after="20"/>
              <w:jc w:val="center"/>
              <w:rPr>
                <w:rFonts w:cs="Arial"/>
                <w:lang w:val="en-GB"/>
              </w:rPr>
            </w:pPr>
            <w:r w:rsidRPr="00E72750">
              <w:rPr>
                <w:rFonts w:cs="Arial"/>
                <w:lang w:val="en-GB"/>
              </w:rPr>
              <w:t>11.8%</w:t>
            </w:r>
          </w:p>
        </w:tc>
      </w:tr>
    </w:tbl>
    <w:p w14:paraId="0CFC72A7" w14:textId="77777777" w:rsidR="00512F2C" w:rsidRPr="00E72750" w:rsidRDefault="00F42786" w:rsidP="0047371C">
      <w:pPr>
        <w:pStyle w:val="Boldhdg"/>
      </w:pPr>
      <w:r w:rsidRPr="00E72750">
        <w:t>Recommendation</w:t>
      </w:r>
      <w:r w:rsidR="00D00CDE">
        <w:t xml:space="preserve"> 5</w:t>
      </w:r>
    </w:p>
    <w:p w14:paraId="4BC71FF3" w14:textId="77777777" w:rsidR="00512F2C" w:rsidRPr="00E72750" w:rsidRDefault="002D4C2E" w:rsidP="00352EC5">
      <w:pPr>
        <w:pStyle w:val="01squarebullet"/>
      </w:pPr>
      <w:r w:rsidRPr="00E72750">
        <w:rPr>
          <w:rFonts w:eastAsia="MS Mincho"/>
        </w:rPr>
        <w:t xml:space="preserve">Amend </w:t>
      </w:r>
      <w:r w:rsidR="008D3B06" w:rsidRPr="00E72750">
        <w:rPr>
          <w:rFonts w:eastAsia="MS Mincho"/>
        </w:rPr>
        <w:t xml:space="preserve">the </w:t>
      </w:r>
      <w:r w:rsidR="00F42786" w:rsidRPr="00E72750">
        <w:rPr>
          <w:rFonts w:eastAsia="MS Mincho"/>
        </w:rPr>
        <w:t xml:space="preserve">descriptors </w:t>
      </w:r>
      <w:r w:rsidR="00DF5288" w:rsidRPr="00E72750">
        <w:rPr>
          <w:rFonts w:eastAsia="MS Mincho"/>
        </w:rPr>
        <w:t>for</w:t>
      </w:r>
      <w:r w:rsidR="00C6604C" w:rsidRPr="00E72750">
        <w:rPr>
          <w:rFonts w:eastAsia="MS Mincho"/>
        </w:rPr>
        <w:t xml:space="preserve"> all four items </w:t>
      </w:r>
      <w:r w:rsidR="00F42786" w:rsidRPr="00E72750">
        <w:rPr>
          <w:rFonts w:eastAsia="MS Mincho"/>
        </w:rPr>
        <w:t>to promote best practice and improve ease of use.</w:t>
      </w:r>
      <w:r w:rsidR="00044BFB" w:rsidRPr="00E72750">
        <w:rPr>
          <w:rFonts w:eastAsia="MS Mincho"/>
        </w:rPr>
        <w:t xml:space="preserve"> </w:t>
      </w:r>
      <w:r w:rsidR="00F42786" w:rsidRPr="00E72750">
        <w:t>Proposed item descriptors</w:t>
      </w:r>
      <w:r w:rsidR="006C2DC9" w:rsidRPr="00E72750">
        <w:t xml:space="preserve"> are </w:t>
      </w:r>
      <w:r w:rsidR="0098753D" w:rsidRPr="00E72750">
        <w:t>provided</w:t>
      </w:r>
      <w:r w:rsidR="008D589F" w:rsidRPr="00E72750">
        <w:t xml:space="preserve"> below</w:t>
      </w:r>
      <w:r w:rsidR="00A36788" w:rsidRPr="00E72750">
        <w:t>.</w:t>
      </w:r>
    </w:p>
    <w:p w14:paraId="3121785B" w14:textId="77777777" w:rsidR="00F42786" w:rsidRPr="00E72750" w:rsidRDefault="00F42786" w:rsidP="00352EC5">
      <w:pPr>
        <w:pStyle w:val="02dash"/>
      </w:pPr>
      <w:r w:rsidRPr="00E72750">
        <w:t xml:space="preserve">30315: Minimally invasive parathyroidectomy. Removal of </w:t>
      </w:r>
      <w:r w:rsidR="00C71DE4" w:rsidRPr="00E72750">
        <w:t>1</w:t>
      </w:r>
      <w:r w:rsidR="00F06ADB" w:rsidRPr="00E72750">
        <w:t xml:space="preserve"> or more </w:t>
      </w:r>
      <w:r w:rsidRPr="00E72750">
        <w:t xml:space="preserve">parathyroid adenoma through a small cervical incision </w:t>
      </w:r>
      <w:r w:rsidR="00CD6924" w:rsidRPr="00E72750">
        <w:t xml:space="preserve">for an image </w:t>
      </w:r>
      <w:proofErr w:type="spellStart"/>
      <w:r w:rsidR="00CD6924" w:rsidRPr="00E72750">
        <w:t>localised</w:t>
      </w:r>
      <w:proofErr w:type="spellEnd"/>
      <w:r w:rsidR="00CD6924" w:rsidRPr="00E72750">
        <w:t xml:space="preserve"> adenoma including thymectomy, n</w:t>
      </w:r>
      <w:r w:rsidR="00380443" w:rsidRPr="00E72750">
        <w:t xml:space="preserve">ot to be </w:t>
      </w:r>
      <w:r w:rsidR="00CD6924" w:rsidRPr="00E72750">
        <w:t>claimed with itself or items 30316, 30317 or 30320</w:t>
      </w:r>
      <w:r w:rsidR="00C44EF5" w:rsidRPr="00E72750">
        <w:t>.</w:t>
      </w:r>
      <w:r w:rsidRPr="00E72750">
        <w:t xml:space="preserve"> (</w:t>
      </w:r>
      <w:proofErr w:type="spellStart"/>
      <w:r w:rsidRPr="00E72750">
        <w:t>Anaes</w:t>
      </w:r>
      <w:proofErr w:type="spellEnd"/>
      <w:r w:rsidRPr="00E72750">
        <w:t>.) (Assist.)</w:t>
      </w:r>
    </w:p>
    <w:p w14:paraId="6C13150C" w14:textId="77777777" w:rsidR="00F42786" w:rsidRPr="00E72750" w:rsidRDefault="00F42786" w:rsidP="00352EC5">
      <w:pPr>
        <w:pStyle w:val="02dash"/>
      </w:pPr>
      <w:r w:rsidRPr="00E72750">
        <w:t>30</w:t>
      </w:r>
      <w:r w:rsidR="002F2E01">
        <w:t xml:space="preserve">318: </w:t>
      </w:r>
      <w:r w:rsidR="00222A45" w:rsidRPr="00E72750">
        <w:t xml:space="preserve">Open parathyroidectomy, </w:t>
      </w:r>
      <w:r w:rsidR="00C63271" w:rsidRPr="00E72750">
        <w:t>exploration</w:t>
      </w:r>
      <w:r w:rsidR="00222A45" w:rsidRPr="00E72750">
        <w:t xml:space="preserve"> and removal of 1 or more adenoma or hyperplastic glands via a cervical </w:t>
      </w:r>
      <w:r w:rsidRPr="00E72750">
        <w:t>incision including thymectomy and cervical exploration of the mediastinum</w:t>
      </w:r>
      <w:r w:rsidR="00A54355" w:rsidRPr="00E72750">
        <w:t xml:space="preserve"> when performed</w:t>
      </w:r>
      <w:r w:rsidR="00CD6924" w:rsidRPr="00E72750">
        <w:t>. N</w:t>
      </w:r>
      <w:r w:rsidR="00380443" w:rsidRPr="00E72750">
        <w:t xml:space="preserve">ot to be </w:t>
      </w:r>
      <w:r w:rsidR="00CD6924" w:rsidRPr="00E72750">
        <w:t>claimed with itself or items 30315, 30317 or 30320</w:t>
      </w:r>
      <w:r w:rsidR="004E7D4D" w:rsidRPr="00E72750">
        <w:t>.</w:t>
      </w:r>
      <w:r w:rsidRPr="00E72750">
        <w:t xml:space="preserve"> (</w:t>
      </w:r>
      <w:proofErr w:type="spellStart"/>
      <w:r w:rsidRPr="00E72750">
        <w:t>Anaes</w:t>
      </w:r>
      <w:proofErr w:type="spellEnd"/>
      <w:r w:rsidRPr="00E72750">
        <w:t>.) (Assist.)</w:t>
      </w:r>
    </w:p>
    <w:p w14:paraId="331B4CF8" w14:textId="77777777" w:rsidR="00F42786" w:rsidRPr="00E72750" w:rsidRDefault="00F42786" w:rsidP="00352EC5">
      <w:pPr>
        <w:pStyle w:val="02dash"/>
      </w:pPr>
      <w:r w:rsidRPr="00E72750">
        <w:t>30317: Redo parathyroidectomy. Cervical re-exploration for persistent or recurrent hyperparathyroidism</w:t>
      </w:r>
      <w:r w:rsidR="00797A02" w:rsidRPr="00E72750">
        <w:t xml:space="preserve"> including thymectomy and cervical exploration of the mediastinum</w:t>
      </w:r>
      <w:r w:rsidR="00CD6924" w:rsidRPr="00E72750">
        <w:t>, n</w:t>
      </w:r>
      <w:r w:rsidR="00380443" w:rsidRPr="00E72750">
        <w:t xml:space="preserve">ot to be </w:t>
      </w:r>
      <w:r w:rsidR="00CD6924" w:rsidRPr="00E72750">
        <w:t>claimed with itself or items 30315, 30316 or 30320</w:t>
      </w:r>
      <w:r w:rsidR="005332AF" w:rsidRPr="00E72750">
        <w:t>.</w:t>
      </w:r>
      <w:r w:rsidRPr="00E72750">
        <w:t xml:space="preserve"> (</w:t>
      </w:r>
      <w:proofErr w:type="spellStart"/>
      <w:r w:rsidRPr="00E72750">
        <w:t>Anaes</w:t>
      </w:r>
      <w:proofErr w:type="spellEnd"/>
      <w:r w:rsidRPr="00E72750">
        <w:t>.) (Assist.)</w:t>
      </w:r>
    </w:p>
    <w:p w14:paraId="3964973E" w14:textId="77777777" w:rsidR="00D05709" w:rsidRPr="00E72750" w:rsidRDefault="00F42786" w:rsidP="00352EC5">
      <w:pPr>
        <w:pStyle w:val="02dash"/>
        <w:rPr>
          <w:rFonts w:eastAsia="MS Mincho"/>
        </w:rPr>
      </w:pPr>
      <w:r w:rsidRPr="00E72750">
        <w:t xml:space="preserve">30320: Removal of a mediastinal parathyroid adenoma via sternotomy or mediastinal </w:t>
      </w:r>
      <w:proofErr w:type="spellStart"/>
      <w:r w:rsidRPr="00E72750">
        <w:t>thorascopic</w:t>
      </w:r>
      <w:proofErr w:type="spellEnd"/>
      <w:r w:rsidRPr="00E72750">
        <w:t xml:space="preserve"> approach</w:t>
      </w:r>
      <w:r w:rsidR="00CD6924" w:rsidRPr="00E72750">
        <w:t>, n</w:t>
      </w:r>
      <w:r w:rsidR="00380443" w:rsidRPr="00E72750">
        <w:t xml:space="preserve">ot to be </w:t>
      </w:r>
      <w:r w:rsidR="00CD6924" w:rsidRPr="00E72750">
        <w:t>claimed with itself or items 30315, 30316 or 30317</w:t>
      </w:r>
      <w:r w:rsidRPr="00E72750">
        <w:t>. (</w:t>
      </w:r>
      <w:proofErr w:type="spellStart"/>
      <w:r w:rsidRPr="00E72750">
        <w:t>Anaes</w:t>
      </w:r>
      <w:proofErr w:type="spellEnd"/>
      <w:r w:rsidRPr="00E72750">
        <w:t>.) (Assist.)</w:t>
      </w:r>
      <w:r w:rsidR="00D05709" w:rsidRPr="00E72750">
        <w:rPr>
          <w:rFonts w:eastAsia="MS Mincho"/>
        </w:rPr>
        <w:t xml:space="preserve"> </w:t>
      </w:r>
    </w:p>
    <w:p w14:paraId="630AF47F" w14:textId="77777777" w:rsidR="00552B40" w:rsidRPr="00E72750" w:rsidRDefault="00552B40" w:rsidP="00352EC5">
      <w:pPr>
        <w:pStyle w:val="01squarebullet"/>
      </w:pPr>
      <w:r>
        <w:rPr>
          <w:rFonts w:eastAsia="MS Mincho"/>
        </w:rPr>
        <w:t xml:space="preserve">The Committee advises that </w:t>
      </w:r>
      <w:r w:rsidR="006228DA">
        <w:rPr>
          <w:rFonts w:eastAsia="MS Mincho"/>
        </w:rPr>
        <w:t>the revised item 30316 has</w:t>
      </w:r>
      <w:r>
        <w:rPr>
          <w:rFonts w:eastAsia="MS Mincho"/>
        </w:rPr>
        <w:t xml:space="preserve"> a similar scope of practice </w:t>
      </w:r>
      <w:r w:rsidR="006228DA">
        <w:rPr>
          <w:rFonts w:eastAsia="MS Mincho"/>
        </w:rPr>
        <w:t xml:space="preserve">to item 30315 </w:t>
      </w:r>
      <w:r>
        <w:rPr>
          <w:rFonts w:eastAsia="MS Mincho"/>
        </w:rPr>
        <w:t xml:space="preserve">and should </w:t>
      </w:r>
      <w:r w:rsidR="006228DA">
        <w:rPr>
          <w:rFonts w:eastAsia="MS Mincho"/>
        </w:rPr>
        <w:t xml:space="preserve">have the same schedule fee. </w:t>
      </w:r>
    </w:p>
    <w:p w14:paraId="36529736" w14:textId="77777777" w:rsidR="00F42786" w:rsidRPr="00E72750" w:rsidRDefault="00F42786" w:rsidP="0047371C">
      <w:pPr>
        <w:pStyle w:val="Boldhdg"/>
      </w:pPr>
      <w:r w:rsidRPr="00E72750">
        <w:lastRenderedPageBreak/>
        <w:t>Rationale</w:t>
      </w:r>
    </w:p>
    <w:p w14:paraId="197FBBC0" w14:textId="77777777" w:rsidR="00512F2C" w:rsidRPr="00E72750" w:rsidRDefault="00C0073B" w:rsidP="0047371C">
      <w:r w:rsidRPr="00E72750">
        <w:t>The r</w:t>
      </w:r>
      <w:r w:rsidR="00F42786" w:rsidRPr="00E72750">
        <w:t>ecommendations focus on simplifying item numbers to reflect best clinical practice</w:t>
      </w:r>
      <w:r w:rsidR="003F321B" w:rsidRPr="00E72750">
        <w:t>.</w:t>
      </w:r>
      <w:r w:rsidR="00F42786" w:rsidRPr="00E72750">
        <w:t xml:space="preserve"> </w:t>
      </w:r>
      <w:r w:rsidR="003F321B" w:rsidRPr="00E72750">
        <w:t>T</w:t>
      </w:r>
      <w:r w:rsidR="00F42786" w:rsidRPr="00E72750">
        <w:t xml:space="preserve">hey are based on </w:t>
      </w:r>
      <w:r w:rsidR="00D05709" w:rsidRPr="00E72750">
        <w:t xml:space="preserve">the following </w:t>
      </w:r>
      <w:r w:rsidR="00F42786" w:rsidRPr="00E72750">
        <w:t>observations.</w:t>
      </w:r>
    </w:p>
    <w:p w14:paraId="54527304" w14:textId="77777777" w:rsidR="00512F2C" w:rsidRPr="00E72750" w:rsidRDefault="00F42786" w:rsidP="00352EC5">
      <w:pPr>
        <w:pStyle w:val="01squarebullet"/>
      </w:pPr>
      <w:r w:rsidRPr="00E72750">
        <w:t>Existing parathyroid item descriptors are unclear, do not reflect modern use of the items and allow for unintended and intended misuse.</w:t>
      </w:r>
      <w:r w:rsidR="009E789D" w:rsidRPr="00E72750">
        <w:t xml:space="preserve"> </w:t>
      </w:r>
      <w:r w:rsidR="00ED2952">
        <w:t xml:space="preserve">The Committee’s position is that this </w:t>
      </w:r>
      <w:r w:rsidRPr="00E72750">
        <w:t>results in inappropriate co-claiming.</w:t>
      </w:r>
      <w:r w:rsidR="00D05709" w:rsidRPr="00E72750">
        <w:t xml:space="preserve"> For example, </w:t>
      </w:r>
      <w:r w:rsidR="004A1843" w:rsidRPr="00E72750">
        <w:t xml:space="preserve">in </w:t>
      </w:r>
      <w:r w:rsidRPr="00E72750">
        <w:t xml:space="preserve">FY2014/15, item 30318 was co-claimed with </w:t>
      </w:r>
      <w:r w:rsidR="00FD05F4" w:rsidRPr="00E72750">
        <w:t xml:space="preserve">item </w:t>
      </w:r>
      <w:r w:rsidRPr="00E72750">
        <w:t>30315 on 465 occasions</w:t>
      </w:r>
      <w:r w:rsidR="00372EFB" w:rsidRPr="00E72750">
        <w:t>—</w:t>
      </w:r>
      <w:r w:rsidRPr="00E72750">
        <w:t>90</w:t>
      </w:r>
      <w:r w:rsidR="00372EFB" w:rsidRPr="00E72750">
        <w:t xml:space="preserve"> per cent</w:t>
      </w:r>
      <w:r w:rsidRPr="00E72750">
        <w:t xml:space="preserve"> of 30318 claims. It was also co-claimed with </w:t>
      </w:r>
      <w:r w:rsidR="004C0BB9" w:rsidRPr="00E72750">
        <w:t xml:space="preserve">item </w:t>
      </w:r>
      <w:r w:rsidRPr="00E72750">
        <w:t xml:space="preserve">30317 on 40 occasions. Items 30315 and 30320 were co-claimed on </w:t>
      </w:r>
      <w:r w:rsidR="00F47F6D" w:rsidRPr="00E72750">
        <w:t>two</w:t>
      </w:r>
      <w:r w:rsidRPr="00E72750">
        <w:t xml:space="preserve"> occasions.</w:t>
      </w:r>
      <w:r w:rsidR="00A02E46">
        <w:fldChar w:fldCharType="begin" w:fldLock="1"/>
      </w:r>
      <w:r w:rsidR="003360A6">
        <w:instrText>ADDIN CSL_CITATION { "citationItems" : [ { "id" : "ITEM-1", "itemData" : { "author" : [ { "dropping-particle" : "", "family" : "Department of Health Australia", "given" : "Medicare Reviews Unit", "non-dropping-particle" : "", "parse-names" : false, "suffix" : "" } ], "id" : "ITEM-1", "issued" : { "date-parts" : [ [ "2016" ] ] }, "title" : "MBS data - Cognos", "type" : "report" }, "uris" : [ "http://www.mendeley.com/documents/?uuid=39e90396-e255-4f22-9b5f-7043e4ff909e" ] } ], "mendeley" : { "formattedCitation" : "[8]", "plainTextFormattedCitation" : "[8]", "previouslyFormattedCitation" : "[7]" }, "properties" : { "noteIndex" : 0 }, "schema" : "https://github.com/citation-style-language/schema/raw/master/csl-citation.json" }</w:instrText>
      </w:r>
      <w:r w:rsidR="00A02E46">
        <w:fldChar w:fldCharType="separate"/>
      </w:r>
      <w:r w:rsidR="003360A6" w:rsidRPr="003360A6">
        <w:rPr>
          <w:noProof/>
        </w:rPr>
        <w:t>[8]</w:t>
      </w:r>
      <w:r w:rsidR="00A02E46">
        <w:fldChar w:fldCharType="end"/>
      </w:r>
    </w:p>
    <w:p w14:paraId="7A13381E" w14:textId="77777777" w:rsidR="00512F2C" w:rsidRPr="00E72750" w:rsidRDefault="00F42786" w:rsidP="00352EC5">
      <w:pPr>
        <w:pStyle w:val="01squarebullet"/>
      </w:pPr>
      <w:r w:rsidRPr="00E72750">
        <w:t>The Committee agreed that the anticipated volume split between the</w:t>
      </w:r>
      <w:r w:rsidR="00C26799" w:rsidRPr="00E72750">
        <w:t xml:space="preserve"> new</w:t>
      </w:r>
      <w:r w:rsidRPr="00E72750">
        <w:t xml:space="preserve"> items </w:t>
      </w:r>
      <w:r w:rsidR="00900175" w:rsidRPr="00E72750">
        <w:t>is</w:t>
      </w:r>
      <w:r w:rsidR="005E1212" w:rsidRPr="00E72750">
        <w:t xml:space="preserve"> approximately</w:t>
      </w:r>
      <w:r w:rsidRPr="00E72750">
        <w:t xml:space="preserve"> 50</w:t>
      </w:r>
      <w:r w:rsidR="00C86C33" w:rsidRPr="00E72750">
        <w:t xml:space="preserve"> per cent</w:t>
      </w:r>
      <w:r w:rsidRPr="00E72750">
        <w:t xml:space="preserve"> minimally invasive parathyroidectomy and 50</w:t>
      </w:r>
      <w:r w:rsidR="003565F3" w:rsidRPr="00E72750">
        <w:t xml:space="preserve"> per cent</w:t>
      </w:r>
      <w:r w:rsidRPr="00E72750">
        <w:t xml:space="preserve"> open parathyroidectomy</w:t>
      </w:r>
      <w:r w:rsidR="000C548D" w:rsidRPr="00E72750">
        <w:t>.</w:t>
      </w:r>
      <w:r w:rsidR="00EB527C">
        <w:fldChar w:fldCharType="begin" w:fldLock="1"/>
      </w:r>
      <w:r w:rsidR="003360A6">
        <w:instrText>ADDIN CSL_CITATION { "citationItems" : [ { "id" : "ITEM-1", "itemData" : { "DOI" : "10.1097/SLA.0000000000000715", "ISSN" : "1528-1140", "PMID" : "25565223", "abstract" : "OBJECTIVE The aim of this study was to investigate long-term outcomes after focused parathyroidectomy (FPTX) and open 4-gland parathyroid exploration (OPTX) for primary hyperparathyroidism (pHPT). BACKGROUND Concerns about increased long-term recurrence rates after FPTX in conjunction with decreased operative times for OPTX have led some groups to abandon FPTX in favor of routine 4-gland exploration. METHODS This is a multicenter retrospective cohort study of patients undergoing parathyroidectomy for pHPT from 1990 to 2013. The patient cohort was divided into 2 groups, FPTX and OPTX, based on intention-to-treat analysis. The primary outcome measure was the persistence of pHPT. Secondary outcome measures were differences in the long-term recurrence rate of persisting pHPT and surgical complications. RESULTS A total of 4569 patients (3585 females) were included. The overall persistence and recurrence rates were 2.2% and 0.9%, respectively, after a median follow-up of 6.5 years. There were 2531 FPTX cases and 2038 OPTX cases. The initial persistence rate was higher for FPTX than for OPTX (2.7% vs 1.7%, P = 0.036); however, the long-term recurrence rate was not different (5-year 0.6% vs 0.4%, log-rank P = 0.08). Complications were more common in OPTX than in FPTX (7.6% vs 3.6%, P &lt; 0.001). CONCLUSIONS FPTX was associated with fewer operative complications and an equivalent rate of long-term recurrence than with OPTX. Although initial persistence rates were higher after FPTX than after OPTX, most were readily resolved with subsequent early reoperation. FPTX should not be abandoned in patients with positive preoperative localization.", "author" : [ { "dropping-particle" : "", "family" : "Norl\u00e9n", "given" : "Olov", "non-dropping-particle" : "", "parse-names" : false, "suffix" : "" }, { "dropping-particle" : "", "family" : "Wang", "given" : "Kuan Chi", "non-dropping-particle" : "", "parse-names" : false, "suffix" : "" }, { "dropping-particle" : "", "family" : "Tay", "given" : "Yeng Kwang", "non-dropping-particle" : "", "parse-names" : false, "suffix" : "" }, { "dropping-particle" : "", "family" : "Johnson", "given" : "William R", "non-dropping-particle" : "", "parse-names" : false, "suffix" : "" }, { "dropping-particle" : "", "family" : "Grodski", "given" : "Simon", "non-dropping-particle" : "", "parse-names" : false, "suffix" : "" }, { "dropping-particle" : "", "family" : "Yeung", "given" : "Meei", "non-dropping-particle" : "", "parse-names" : false, "suffix" : "" }, { "dropping-particle" : "", "family" : "Serpell", "given" : "Jonathan", "non-dropping-particle" : "", "parse-names" : false, "suffix" : "" }, { "dropping-particle" : "", "family" : "Sidhu", "given" : "Stan", "non-dropping-particle" : "", "parse-names" : false, "suffix" : "" }, { "dropping-particle" : "", "family" : "Sywak", "given" : "Mark", "non-dropping-particle" : "", "parse-names" : false, "suffix" : "" }, { "dropping-particle" : "", "family" : "Delbridge", "given" : "Leigh", "non-dropping-particle" : "", "parse-names" : false, "suffix" : "" } ], "container-title" : "Annals of surgery", "id" : "ITEM-1", "issue" : "5", "issued" : { "date-parts" : [ [ "2015", "5" ] ] }, "page" : "991-6", "title" : "No need to abandon focused parathyroidectomy: a multicenter study of long-term outcome after surgery for primary hyperparathyroidism.", "type" : "article-journal", "volume" : "261" }, "uris" : [ "http://www.mendeley.com/documents/?uuid=69623c50-ab6c-37df-bb3d-8ad03fac6408" ] }, { "id" : "ITEM-2", "itemData" : { "author" : [ { "dropping-particle" : "", "family" : "Norman", "given" : "James", "non-dropping-particle" : "", "parse-names" : false, "suffix" : "" }, { "dropping-particle" : "", "family" : "Lopez", "given" : "Jose", "non-dropping-particle" : "", "parse-names" : false, "suffix" : "" }, { "dropping-particle" : "", "family" : "Politz", "given" : "Douglas", "non-dropping-particle" : "", "parse-names" : false, "suffix" : "" } ], "container-title" : "Journal of the American College of Surgeons", "id" : "ITEM-2", "issue" : "3", "issued" : { "date-parts" : [ [ "2012" ] ] }, "page" : "260-9", "title" : "Abandoning unilateral parathyroidectomy: why we reversed our position after 15,000 parathyroid operations.", "type" : "article-journal", "volume" : "214" }, "uris" : [ "http://www.mendeley.com/documents/?uuid=76315a56-ad80-4283-b3dd-cd7d05e283d3" ] } ], "mendeley" : { "formattedCitation" : "[9], [10]", "plainTextFormattedCitation" : "[9], [10]", "previouslyFormattedCitation" : "[8], [9]" }, "properties" : { "noteIndex" : 0 }, "schema" : "https://github.com/citation-style-language/schema/raw/master/csl-citation.json" }</w:instrText>
      </w:r>
      <w:r w:rsidR="00EB527C">
        <w:fldChar w:fldCharType="separate"/>
      </w:r>
      <w:r w:rsidR="003360A6" w:rsidRPr="003360A6">
        <w:rPr>
          <w:noProof/>
        </w:rPr>
        <w:t>[9], [10]</w:t>
      </w:r>
      <w:r w:rsidR="00EB527C">
        <w:fldChar w:fldCharType="end"/>
      </w:r>
      <w:r w:rsidR="00EB527C" w:rsidRPr="00E72750">
        <w:t xml:space="preserve"> </w:t>
      </w:r>
    </w:p>
    <w:p w14:paraId="4E5CC4AB" w14:textId="77777777" w:rsidR="00512F2C" w:rsidRPr="00201BB2" w:rsidRDefault="00F42786" w:rsidP="00E75EE1">
      <w:pPr>
        <w:pStyle w:val="Heading2"/>
      </w:pPr>
      <w:bookmarkStart w:id="64" w:name="_Toc455435944"/>
      <w:bookmarkStart w:id="65" w:name="_Toc456045439"/>
      <w:bookmarkStart w:id="66" w:name="_Toc485298029"/>
      <w:proofErr w:type="spellStart"/>
      <w:r w:rsidRPr="00201BB2">
        <w:t>Synacthen</w:t>
      </w:r>
      <w:proofErr w:type="spellEnd"/>
      <w:r w:rsidR="00BA77F1" w:rsidRPr="00201BB2">
        <w:t xml:space="preserve"> </w:t>
      </w:r>
      <w:r w:rsidR="0011305E" w:rsidRPr="00201BB2">
        <w:t>s</w:t>
      </w:r>
      <w:r w:rsidR="00BA77F1" w:rsidRPr="00201BB2">
        <w:t xml:space="preserve">timulation </w:t>
      </w:r>
      <w:r w:rsidR="0011305E" w:rsidRPr="00201BB2">
        <w:t>t</w:t>
      </w:r>
      <w:r w:rsidR="00BA77F1" w:rsidRPr="00201BB2">
        <w:t>est</w:t>
      </w:r>
      <w:r w:rsidR="004323BD" w:rsidRPr="00201BB2">
        <w:t>:</w:t>
      </w:r>
      <w:r w:rsidRPr="00201BB2">
        <w:t xml:space="preserve"> </w:t>
      </w:r>
      <w:r w:rsidR="007508A8" w:rsidRPr="00201BB2">
        <w:t>I</w:t>
      </w:r>
      <w:r w:rsidRPr="00201BB2">
        <w:t>tem 300</w:t>
      </w:r>
      <w:r w:rsidR="00502741" w:rsidRPr="00201BB2">
        <w:t>9</w:t>
      </w:r>
      <w:r w:rsidRPr="00201BB2">
        <w:t>7</w:t>
      </w:r>
      <w:bookmarkEnd w:id="64"/>
      <w:bookmarkEnd w:id="65"/>
      <w:bookmarkEnd w:id="66"/>
    </w:p>
    <w:p w14:paraId="57F1B201" w14:textId="77777777" w:rsidR="0047330D" w:rsidRPr="00717067" w:rsidRDefault="0047330D" w:rsidP="00AE62D5">
      <w:pPr>
        <w:pStyle w:val="Caption"/>
      </w:pPr>
      <w:bookmarkStart w:id="67" w:name="_Toc485127115"/>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6</w:t>
      </w:r>
      <w:r w:rsidRPr="00AE62D5">
        <w:rPr>
          <w:b w:val="0"/>
        </w:rPr>
        <w:fldChar w:fldCharType="end"/>
      </w:r>
      <w:r w:rsidRPr="00AE62D5">
        <w:rPr>
          <w:b w:val="0"/>
        </w:rPr>
        <w:t>: Item introduction table for item 30097</w:t>
      </w:r>
      <w:bookmarkEnd w:id="67"/>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6 shows the item introduction table for Synacthen stimulation test item 30097.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w:tblPr>
      <w:tblGrid>
        <w:gridCol w:w="719"/>
        <w:gridCol w:w="4117"/>
        <w:gridCol w:w="960"/>
        <w:gridCol w:w="1002"/>
        <w:gridCol w:w="1022"/>
        <w:gridCol w:w="1196"/>
      </w:tblGrid>
      <w:tr w:rsidR="0047330D" w:rsidRPr="00E72750" w14:paraId="5EEE1888" w14:textId="77777777" w:rsidTr="00DC5AF7">
        <w:trPr>
          <w:tblHeader/>
        </w:trPr>
        <w:tc>
          <w:tcPr>
            <w:tcW w:w="722" w:type="dxa"/>
            <w:shd w:val="clear" w:color="auto" w:fill="D9D9D9" w:themeFill="background1" w:themeFillShade="D9"/>
            <w:vAlign w:val="bottom"/>
          </w:tcPr>
          <w:p w14:paraId="6E46C10E" w14:textId="77777777" w:rsidR="0047330D" w:rsidRPr="00E72750" w:rsidRDefault="0047330D" w:rsidP="00C1204F">
            <w:pPr>
              <w:pStyle w:val="02Tabletext"/>
              <w:spacing w:after="20"/>
              <w:rPr>
                <w:rFonts w:cs="Arial"/>
                <w:b/>
                <w:lang w:val="en-GB"/>
              </w:rPr>
            </w:pPr>
            <w:r w:rsidRPr="00E72750">
              <w:rPr>
                <w:rFonts w:cs="Arial"/>
                <w:b/>
                <w:lang w:val="en-GB"/>
              </w:rPr>
              <w:t>Item</w:t>
            </w:r>
          </w:p>
        </w:tc>
        <w:tc>
          <w:tcPr>
            <w:tcW w:w="4169" w:type="dxa"/>
            <w:shd w:val="clear" w:color="auto" w:fill="D9D9D9" w:themeFill="background1" w:themeFillShade="D9"/>
            <w:vAlign w:val="bottom"/>
          </w:tcPr>
          <w:p w14:paraId="2B69171F" w14:textId="77777777" w:rsidR="0047330D" w:rsidRPr="00E72750" w:rsidRDefault="0047330D" w:rsidP="00C1204F">
            <w:pPr>
              <w:pStyle w:val="02Tabletext"/>
              <w:spacing w:after="20"/>
              <w:rPr>
                <w:rFonts w:cs="Arial"/>
                <w:b/>
                <w:lang w:val="en-GB"/>
              </w:rPr>
            </w:pPr>
            <w:r w:rsidRPr="00E72750">
              <w:rPr>
                <w:rFonts w:cs="Arial"/>
                <w:b/>
                <w:lang w:val="en-GB"/>
              </w:rPr>
              <w:t>Descriptor [date last amended]</w:t>
            </w:r>
          </w:p>
        </w:tc>
        <w:tc>
          <w:tcPr>
            <w:tcW w:w="962" w:type="dxa"/>
            <w:shd w:val="clear" w:color="auto" w:fill="D9D9D9" w:themeFill="background1" w:themeFillShade="D9"/>
            <w:vAlign w:val="bottom"/>
          </w:tcPr>
          <w:p w14:paraId="79A8BC6D" w14:textId="77777777" w:rsidR="0047330D" w:rsidRPr="00E72750" w:rsidRDefault="0047330D" w:rsidP="00C1204F">
            <w:pPr>
              <w:pStyle w:val="02Tabletext"/>
              <w:spacing w:after="20"/>
              <w:rPr>
                <w:rFonts w:cs="Arial"/>
                <w:b/>
                <w:lang w:val="en-GB"/>
              </w:rPr>
            </w:pPr>
            <w:r w:rsidRPr="00E72750">
              <w:rPr>
                <w:rFonts w:cs="Arial"/>
                <w:b/>
                <w:lang w:val="en-GB"/>
              </w:rPr>
              <w:t>Schedule</w:t>
            </w:r>
          </w:p>
          <w:p w14:paraId="59519C54" w14:textId="77777777" w:rsidR="0047330D" w:rsidRPr="00E72750" w:rsidRDefault="0047330D" w:rsidP="00C1204F">
            <w:pPr>
              <w:pStyle w:val="02Tabletext"/>
              <w:spacing w:after="20"/>
              <w:rPr>
                <w:rFonts w:cs="Arial"/>
                <w:b/>
                <w:lang w:val="en-GB"/>
              </w:rPr>
            </w:pPr>
            <w:r w:rsidRPr="00E72750">
              <w:rPr>
                <w:rFonts w:cs="Arial"/>
                <w:b/>
                <w:lang w:val="en-GB"/>
              </w:rPr>
              <w:t>fee</w:t>
            </w:r>
          </w:p>
        </w:tc>
        <w:tc>
          <w:tcPr>
            <w:tcW w:w="1003" w:type="dxa"/>
            <w:shd w:val="clear" w:color="auto" w:fill="D9D9D9" w:themeFill="background1" w:themeFillShade="D9"/>
            <w:vAlign w:val="bottom"/>
          </w:tcPr>
          <w:p w14:paraId="2AE730BD" w14:textId="77777777" w:rsidR="0047330D" w:rsidRPr="00E72750" w:rsidRDefault="0047330D" w:rsidP="00C1204F">
            <w:pPr>
              <w:pStyle w:val="02Tabletext"/>
              <w:spacing w:after="20"/>
              <w:rPr>
                <w:rFonts w:cs="Arial"/>
                <w:b/>
                <w:lang w:val="en-GB"/>
              </w:rPr>
            </w:pPr>
            <w:r w:rsidRPr="00E72750">
              <w:rPr>
                <w:rFonts w:cs="Arial"/>
                <w:b/>
                <w:lang w:val="en-GB"/>
              </w:rPr>
              <w:t>Services FY2014/15</w:t>
            </w:r>
          </w:p>
        </w:tc>
        <w:tc>
          <w:tcPr>
            <w:tcW w:w="1023" w:type="dxa"/>
            <w:shd w:val="clear" w:color="auto" w:fill="D9D9D9" w:themeFill="background1" w:themeFillShade="D9"/>
            <w:vAlign w:val="bottom"/>
          </w:tcPr>
          <w:p w14:paraId="02457D8F" w14:textId="77777777" w:rsidR="0047330D" w:rsidRPr="00E72750" w:rsidRDefault="0047330D" w:rsidP="00C1204F">
            <w:pPr>
              <w:pStyle w:val="02Tabletext"/>
              <w:spacing w:after="20"/>
              <w:rPr>
                <w:rFonts w:cs="Arial"/>
                <w:b/>
                <w:lang w:val="en-GB"/>
              </w:rPr>
            </w:pPr>
            <w:r w:rsidRPr="00E72750">
              <w:rPr>
                <w:rFonts w:cs="Arial"/>
                <w:b/>
                <w:lang w:val="en-GB"/>
              </w:rPr>
              <w:t>Benefits FY2014/15</w:t>
            </w:r>
          </w:p>
        </w:tc>
        <w:tc>
          <w:tcPr>
            <w:tcW w:w="1203" w:type="dxa"/>
            <w:shd w:val="clear" w:color="auto" w:fill="D9D9D9" w:themeFill="background1" w:themeFillShade="D9"/>
            <w:vAlign w:val="bottom"/>
          </w:tcPr>
          <w:p w14:paraId="3EEE8195" w14:textId="77777777" w:rsidR="0047330D" w:rsidRPr="00E72750" w:rsidRDefault="0047330D" w:rsidP="00C1204F">
            <w:pPr>
              <w:pStyle w:val="02Tabletext"/>
              <w:spacing w:after="20"/>
              <w:rPr>
                <w:rFonts w:cs="Arial"/>
                <w:b/>
                <w:lang w:val="en-GB"/>
              </w:rPr>
            </w:pPr>
            <w:r w:rsidRPr="00E72750">
              <w:rPr>
                <w:rFonts w:cs="Arial"/>
                <w:b/>
                <w:lang w:val="en-GB"/>
              </w:rPr>
              <w:t xml:space="preserve">Services </w:t>
            </w:r>
            <w:proofErr w:type="gramStart"/>
            <w:r w:rsidRPr="00E72750">
              <w:rPr>
                <w:rFonts w:cs="Arial"/>
                <w:b/>
                <w:lang w:val="en-GB"/>
              </w:rPr>
              <w:t>5 year</w:t>
            </w:r>
            <w:proofErr w:type="gramEnd"/>
            <w:r w:rsidRPr="00E72750">
              <w:rPr>
                <w:rFonts w:cs="Arial"/>
                <w:b/>
                <w:lang w:val="en-GB"/>
              </w:rPr>
              <w:t xml:space="preserve"> annual avg. growth</w:t>
            </w:r>
          </w:p>
        </w:tc>
      </w:tr>
      <w:tr w:rsidR="0047330D" w:rsidRPr="00E72750" w14:paraId="7F72259D" w14:textId="77777777" w:rsidTr="00C1204F">
        <w:tc>
          <w:tcPr>
            <w:tcW w:w="722" w:type="dxa"/>
          </w:tcPr>
          <w:p w14:paraId="6F2FFD5C" w14:textId="77777777" w:rsidR="0047330D" w:rsidRPr="00E72750" w:rsidRDefault="0047330D" w:rsidP="00C1204F">
            <w:pPr>
              <w:pStyle w:val="02Tabletext"/>
              <w:spacing w:after="20"/>
              <w:rPr>
                <w:rFonts w:cs="Arial"/>
                <w:lang w:val="en-GB"/>
              </w:rPr>
            </w:pPr>
            <w:r w:rsidRPr="00E72750">
              <w:rPr>
                <w:rFonts w:cs="Arial"/>
                <w:lang w:val="en-GB"/>
              </w:rPr>
              <w:t>30097</w:t>
            </w:r>
          </w:p>
        </w:tc>
        <w:tc>
          <w:tcPr>
            <w:tcW w:w="4169" w:type="dxa"/>
            <w:vAlign w:val="center"/>
          </w:tcPr>
          <w:p w14:paraId="1F17981A" w14:textId="77777777" w:rsidR="0047330D" w:rsidRPr="00E72750" w:rsidRDefault="0047330D" w:rsidP="00C1204F">
            <w:pPr>
              <w:pStyle w:val="02Tabletext"/>
              <w:spacing w:after="20"/>
              <w:rPr>
                <w:rFonts w:cs="Arial"/>
                <w:szCs w:val="18"/>
                <w:lang w:val="en-GB"/>
              </w:rPr>
            </w:pPr>
            <w:r w:rsidRPr="00E72750">
              <w:rPr>
                <w:rFonts w:cs="Arial"/>
                <w:color w:val="000000"/>
                <w:szCs w:val="18"/>
                <w:lang w:val="en-GB"/>
              </w:rPr>
              <w:t xml:space="preserve">Personal performance of a </w:t>
            </w:r>
            <w:proofErr w:type="spellStart"/>
            <w:r w:rsidRPr="00E72750">
              <w:rPr>
                <w:rFonts w:cs="Arial"/>
                <w:color w:val="000000"/>
                <w:szCs w:val="18"/>
                <w:lang w:val="en-GB"/>
              </w:rPr>
              <w:t>Synacthen</w:t>
            </w:r>
            <w:proofErr w:type="spellEnd"/>
            <w:r w:rsidRPr="00E72750">
              <w:rPr>
                <w:rFonts w:cs="Arial"/>
                <w:color w:val="000000"/>
                <w:szCs w:val="18"/>
                <w:lang w:val="en-GB"/>
              </w:rPr>
              <w:t xml:space="preserve"> Stimulation Test, including associated consultation; by a medical practitioner with resuscitation training and access to facilities where life support procedures can be implemented. [2006]</w:t>
            </w:r>
          </w:p>
        </w:tc>
        <w:tc>
          <w:tcPr>
            <w:tcW w:w="962" w:type="dxa"/>
          </w:tcPr>
          <w:p w14:paraId="6732E3A7" w14:textId="77777777" w:rsidR="0047330D" w:rsidRPr="00E72750" w:rsidRDefault="0047330D" w:rsidP="0047330D">
            <w:pPr>
              <w:pStyle w:val="02Tabletext"/>
              <w:spacing w:after="20"/>
              <w:jc w:val="center"/>
              <w:rPr>
                <w:rFonts w:cs="Arial"/>
                <w:lang w:val="en-GB"/>
              </w:rPr>
            </w:pPr>
            <w:r w:rsidRPr="00E72750">
              <w:rPr>
                <w:rFonts w:cs="Arial"/>
                <w:color w:val="000000"/>
                <w:szCs w:val="18"/>
                <w:lang w:val="en-GB"/>
              </w:rPr>
              <w:t>$97.15</w:t>
            </w:r>
          </w:p>
        </w:tc>
        <w:tc>
          <w:tcPr>
            <w:tcW w:w="1003" w:type="dxa"/>
          </w:tcPr>
          <w:p w14:paraId="26545F14" w14:textId="77777777" w:rsidR="0047330D" w:rsidRPr="00E72750" w:rsidRDefault="0047330D" w:rsidP="00C1204F">
            <w:pPr>
              <w:pStyle w:val="02Tabletext"/>
              <w:spacing w:after="20"/>
              <w:jc w:val="center"/>
              <w:rPr>
                <w:rFonts w:cs="Arial"/>
                <w:lang w:val="en-GB"/>
              </w:rPr>
            </w:pPr>
            <w:r w:rsidRPr="00E72750">
              <w:rPr>
                <w:rFonts w:cs="Arial"/>
                <w:color w:val="000000"/>
                <w:szCs w:val="18"/>
                <w:lang w:val="en-GB"/>
              </w:rPr>
              <w:t>955</w:t>
            </w:r>
          </w:p>
        </w:tc>
        <w:tc>
          <w:tcPr>
            <w:tcW w:w="1023" w:type="dxa"/>
          </w:tcPr>
          <w:p w14:paraId="0DD03AD7" w14:textId="77777777" w:rsidR="0047330D" w:rsidRPr="00E72750" w:rsidRDefault="0047330D" w:rsidP="00C1204F">
            <w:pPr>
              <w:pStyle w:val="02Tabletext"/>
              <w:spacing w:after="20"/>
              <w:jc w:val="center"/>
              <w:rPr>
                <w:rFonts w:cs="Arial"/>
                <w:lang w:val="en-GB"/>
              </w:rPr>
            </w:pPr>
            <w:r w:rsidRPr="00E72750">
              <w:rPr>
                <w:rFonts w:cs="Arial"/>
                <w:color w:val="000000"/>
                <w:szCs w:val="18"/>
                <w:lang w:val="en-GB"/>
              </w:rPr>
              <w:t>$78,224</w:t>
            </w:r>
          </w:p>
        </w:tc>
        <w:tc>
          <w:tcPr>
            <w:tcW w:w="1203" w:type="dxa"/>
          </w:tcPr>
          <w:p w14:paraId="086E02E8" w14:textId="77777777" w:rsidR="0047330D" w:rsidRPr="00E72750" w:rsidRDefault="0047330D" w:rsidP="00C1204F">
            <w:pPr>
              <w:pStyle w:val="02Tabletext"/>
              <w:spacing w:after="20"/>
              <w:jc w:val="center"/>
              <w:rPr>
                <w:rFonts w:cs="Arial"/>
                <w:lang w:val="en-GB"/>
              </w:rPr>
            </w:pPr>
            <w:r w:rsidRPr="00E72750">
              <w:rPr>
                <w:rFonts w:cs="Arial"/>
                <w:color w:val="000000"/>
                <w:szCs w:val="18"/>
                <w:lang w:val="en-GB"/>
              </w:rPr>
              <w:t>10.6%</w:t>
            </w:r>
          </w:p>
        </w:tc>
      </w:tr>
    </w:tbl>
    <w:p w14:paraId="591A0619" w14:textId="77777777" w:rsidR="00512F2C" w:rsidRPr="00E72750" w:rsidRDefault="00F42786" w:rsidP="0047371C">
      <w:pPr>
        <w:pStyle w:val="Boldhdg"/>
      </w:pPr>
      <w:r w:rsidRPr="00E72750">
        <w:t>Recommendation</w:t>
      </w:r>
      <w:r w:rsidR="00D00CDE">
        <w:t xml:space="preserve"> 6</w:t>
      </w:r>
    </w:p>
    <w:p w14:paraId="5668D5E8" w14:textId="77777777" w:rsidR="00820620" w:rsidRPr="00E72750" w:rsidRDefault="00F42786" w:rsidP="00352EC5">
      <w:pPr>
        <w:pStyle w:val="01squarebullet"/>
      </w:pPr>
      <w:r w:rsidRPr="00E72750">
        <w:t xml:space="preserve">Change </w:t>
      </w:r>
      <w:r w:rsidR="00F0680F" w:rsidRPr="00E72750">
        <w:t xml:space="preserve">the </w:t>
      </w:r>
      <w:r w:rsidRPr="00E72750">
        <w:t xml:space="preserve">item descriptor to require a basal cortisol quantitation prior to a </w:t>
      </w:r>
      <w:proofErr w:type="spellStart"/>
      <w:r w:rsidRPr="00E72750">
        <w:t>Synacthen</w:t>
      </w:r>
      <w:proofErr w:type="spellEnd"/>
      <w:r w:rsidRPr="00E72750">
        <w:t xml:space="preserve"> stimulation test.</w:t>
      </w:r>
      <w:r w:rsidR="008649B5" w:rsidRPr="00E72750">
        <w:t xml:space="preserve"> The proposed item descriptor is </w:t>
      </w:r>
      <w:r w:rsidR="00D9092F" w:rsidRPr="00E72750">
        <w:t>provided</w:t>
      </w:r>
      <w:r w:rsidR="008649B5" w:rsidRPr="00E72750">
        <w:t xml:space="preserve"> below.</w:t>
      </w:r>
    </w:p>
    <w:p w14:paraId="0EE3038B" w14:textId="77777777" w:rsidR="008649B5" w:rsidRPr="00E72750" w:rsidRDefault="00820620" w:rsidP="00BC7649">
      <w:pPr>
        <w:pStyle w:val="01squarebullet"/>
      </w:pPr>
      <w:r w:rsidRPr="00E72750">
        <w:t xml:space="preserve">Personal performance of a </w:t>
      </w:r>
      <w:proofErr w:type="spellStart"/>
      <w:r w:rsidRPr="00E72750">
        <w:t>Synacthen</w:t>
      </w:r>
      <w:proofErr w:type="spellEnd"/>
      <w:r w:rsidRPr="00E72750">
        <w:t xml:space="preserve"> Stimulation Test, including associated consultation; by a medical practitioner with resuscitation training and access to facilities where life support procedures can be implemented, if serum cortisol at 0830-0930 hours in the preceding month has been measured at greater than 100 nmol/L but less than 400 nmol/L; </w:t>
      </w:r>
      <w:r w:rsidR="00BC7649" w:rsidRPr="00BC7649">
        <w:t>or in a patient who is acutely unwell where adrenal insufficiency is suspected.</w:t>
      </w:r>
    </w:p>
    <w:p w14:paraId="360BB24E" w14:textId="77777777" w:rsidR="00512F2C" w:rsidRPr="00E72750" w:rsidRDefault="00F42786" w:rsidP="00352EC5">
      <w:pPr>
        <w:pStyle w:val="01squarebullet"/>
      </w:pPr>
      <w:r w:rsidRPr="00201BB2">
        <w:t>Add explanatory notes to guide best practice.</w:t>
      </w:r>
      <w:r w:rsidR="00C35019" w:rsidRPr="00201BB2">
        <w:t xml:space="preserve"> </w:t>
      </w:r>
      <w:r w:rsidR="00340724" w:rsidRPr="00201BB2">
        <w:t xml:space="preserve">(Explanatory notes are not currently provided for this item.) </w:t>
      </w:r>
      <w:r w:rsidRPr="00E72750">
        <w:t>Proposed explanatory notes</w:t>
      </w:r>
      <w:r w:rsidR="00C35019" w:rsidRPr="00E72750">
        <w:t xml:space="preserve"> are provided below.</w:t>
      </w:r>
    </w:p>
    <w:p w14:paraId="79C426C2" w14:textId="77777777" w:rsidR="00F42786" w:rsidRPr="00E72750" w:rsidRDefault="00F42786" w:rsidP="00352EC5">
      <w:pPr>
        <w:pStyle w:val="02dash"/>
      </w:pPr>
      <w:r w:rsidRPr="00E72750">
        <w:t xml:space="preserve">A 0900h serum cortisol (0830-0930) less than 100 nmol/L indicates adrenal deficiency and a </w:t>
      </w:r>
      <w:proofErr w:type="spellStart"/>
      <w:r w:rsidRPr="00E72750">
        <w:t>Synacthen</w:t>
      </w:r>
      <w:proofErr w:type="spellEnd"/>
      <w:r w:rsidRPr="00E72750">
        <w:t xml:space="preserve"> Test is not required.</w:t>
      </w:r>
    </w:p>
    <w:p w14:paraId="750FEB2A" w14:textId="77777777" w:rsidR="00F42786" w:rsidRPr="00E72750" w:rsidRDefault="00F42786" w:rsidP="00BC7649">
      <w:pPr>
        <w:pStyle w:val="02dash"/>
      </w:pPr>
      <w:r w:rsidRPr="00E72750">
        <w:t xml:space="preserve">A 0900h serum cortisol (0830-0930) greater than 400 nmol/L indicates adrenal sufficiency and a </w:t>
      </w:r>
      <w:proofErr w:type="spellStart"/>
      <w:r w:rsidRPr="00E72750">
        <w:t>Synacthen</w:t>
      </w:r>
      <w:proofErr w:type="spellEnd"/>
      <w:r w:rsidRPr="00E72750">
        <w:t xml:space="preserve"> Test is not required.</w:t>
      </w:r>
      <w:r w:rsidR="00BC7649">
        <w:t xml:space="preserve"> </w:t>
      </w:r>
      <w:r w:rsidR="00BC7649" w:rsidRPr="00BC7649">
        <w:t>An exception to this is when testing women on oral contraception where cortisol levels may be higher due to increases in cortisol-binding globulin and this threshold may not exclude women with adrenal insufficiency.</w:t>
      </w:r>
    </w:p>
    <w:p w14:paraId="7EBDB2D9" w14:textId="77777777" w:rsidR="00512F2C" w:rsidRPr="00E72750" w:rsidRDefault="00F42786" w:rsidP="0047371C">
      <w:pPr>
        <w:pStyle w:val="Boldhdg"/>
      </w:pPr>
      <w:r w:rsidRPr="00E72750">
        <w:t>Rationale</w:t>
      </w:r>
    </w:p>
    <w:p w14:paraId="4E833421" w14:textId="77777777" w:rsidR="00512F2C" w:rsidRPr="00E72750" w:rsidRDefault="003F0CCC" w:rsidP="0047371C">
      <w:pPr>
        <w:rPr>
          <w:lang w:eastAsia="en-US"/>
        </w:rPr>
      </w:pPr>
      <w:r w:rsidRPr="00E72750">
        <w:rPr>
          <w:lang w:eastAsia="en-US"/>
        </w:rPr>
        <w:t>The r</w:t>
      </w:r>
      <w:r w:rsidR="00F42786" w:rsidRPr="00E72750">
        <w:rPr>
          <w:lang w:eastAsia="en-US"/>
        </w:rPr>
        <w:t xml:space="preserve">ecommendations focus on encouraging best clinical </w:t>
      </w:r>
      <w:r w:rsidR="00FF327E" w:rsidRPr="00E72750">
        <w:rPr>
          <w:lang w:eastAsia="en-US"/>
        </w:rPr>
        <w:t>practice</w:t>
      </w:r>
      <w:r w:rsidR="004E43AF" w:rsidRPr="00E72750">
        <w:rPr>
          <w:lang w:eastAsia="en-US"/>
        </w:rPr>
        <w:t xml:space="preserve"> and </w:t>
      </w:r>
      <w:r w:rsidR="00F42786" w:rsidRPr="00E72750">
        <w:rPr>
          <w:lang w:eastAsia="en-US"/>
        </w:rPr>
        <w:t xml:space="preserve">are </w:t>
      </w:r>
      <w:r w:rsidR="005875FC" w:rsidRPr="00E72750">
        <w:rPr>
          <w:lang w:eastAsia="en-US"/>
        </w:rPr>
        <w:t>based on the following observations</w:t>
      </w:r>
      <w:r w:rsidR="00F42786" w:rsidRPr="00E72750">
        <w:rPr>
          <w:lang w:eastAsia="en-US"/>
        </w:rPr>
        <w:t>.</w:t>
      </w:r>
    </w:p>
    <w:p w14:paraId="1A73B53A" w14:textId="77777777" w:rsidR="00512F2C" w:rsidRPr="00E72750" w:rsidRDefault="00CB131E" w:rsidP="00352EC5">
      <w:pPr>
        <w:pStyle w:val="01squarebullet"/>
      </w:pPr>
      <w:r w:rsidRPr="00E72750">
        <w:t xml:space="preserve">In the last five years, </w:t>
      </w:r>
      <w:r w:rsidR="00F42786" w:rsidRPr="00E72750">
        <w:t xml:space="preserve">use of this item </w:t>
      </w:r>
      <w:r w:rsidRPr="00E72750">
        <w:t>has increased by an annual average of</w:t>
      </w:r>
      <w:r w:rsidR="00F42786" w:rsidRPr="00E72750">
        <w:t xml:space="preserve"> 10.6</w:t>
      </w:r>
      <w:r w:rsidRPr="00E72750">
        <w:t xml:space="preserve"> per cent</w:t>
      </w:r>
      <w:r w:rsidR="00F42786" w:rsidRPr="00E72750">
        <w:t xml:space="preserve">, resulting in </w:t>
      </w:r>
      <w:r w:rsidR="002116C8" w:rsidRPr="00E72750">
        <w:t xml:space="preserve">a </w:t>
      </w:r>
      <w:r w:rsidR="00F42786" w:rsidRPr="00E72750">
        <w:t>total service volume of 977 in FY2014/15.</w:t>
      </w:r>
      <w:r w:rsidR="008037E1">
        <w:fldChar w:fldCharType="begin" w:fldLock="1"/>
      </w:r>
      <w:r w:rsidR="003360A6">
        <w:instrText>ADDIN CSL_CITATION { "citationItems" : [ { "id" : "ITEM-1", "itemData" : { "author" : [ { "dropping-particle" : "", "family" : "Department of Health Australia", "given" : "Medicare Reviews Unit", "non-dropping-particle" : "", "parse-names" : false, "suffix" : "" } ], "id" : "ITEM-1", "issued" : { "date-parts" : [ [ "2016" ] ] }, "title" : "MBS data", "type" : "report" }, "uris" : [ "http://www.mendeley.com/documents/?uuid=71a40718-ae46-45cd-add3-df8b7bd9730f" ] } ], "mendeley" : { "formattedCitation" : "[2]", "plainTextFormattedCitation" : "[2]", "previouslyFormattedCitation" : "[2]" }, "properties" : { "noteIndex" : 0 }, "schema" : "https://github.com/citation-style-language/schema/raw/master/csl-citation.json" }</w:instrText>
      </w:r>
      <w:r w:rsidR="008037E1">
        <w:fldChar w:fldCharType="separate"/>
      </w:r>
      <w:r w:rsidR="003360A6" w:rsidRPr="003360A6">
        <w:rPr>
          <w:noProof/>
        </w:rPr>
        <w:t>[2]</w:t>
      </w:r>
      <w:r w:rsidR="008037E1">
        <w:fldChar w:fldCharType="end"/>
      </w:r>
      <w:r w:rsidR="00C804E1" w:rsidRPr="00E72750">
        <w:t xml:space="preserve"> </w:t>
      </w:r>
      <w:r w:rsidR="00F42786" w:rsidRPr="00E72750">
        <w:t xml:space="preserve">The Committee agreed that </w:t>
      </w:r>
      <w:r w:rsidR="004E5380" w:rsidRPr="00E72750">
        <w:t>this</w:t>
      </w:r>
      <w:r w:rsidR="00815AA4" w:rsidRPr="00E72750">
        <w:t xml:space="preserve"> </w:t>
      </w:r>
      <w:r w:rsidR="00F42786" w:rsidRPr="00E72750">
        <w:t xml:space="preserve">growth and </w:t>
      </w:r>
      <w:r w:rsidR="00F41E55" w:rsidRPr="00E72750">
        <w:t xml:space="preserve">the resulting </w:t>
      </w:r>
      <w:r w:rsidR="00F42786" w:rsidRPr="00E72750">
        <w:t xml:space="preserve">service volume </w:t>
      </w:r>
      <w:r w:rsidR="008471BA" w:rsidRPr="00E72750">
        <w:t xml:space="preserve">are </w:t>
      </w:r>
      <w:r w:rsidR="00F42786" w:rsidRPr="00E72750">
        <w:t>higher than expected and</w:t>
      </w:r>
      <w:r w:rsidR="00F6044E" w:rsidRPr="00E72750">
        <w:t xml:space="preserve"> a likely indication of</w:t>
      </w:r>
      <w:r w:rsidR="00F42786" w:rsidRPr="00E72750">
        <w:t xml:space="preserve"> over-testing </w:t>
      </w:r>
      <w:r w:rsidR="003847D3" w:rsidRPr="00E72750">
        <w:t>and</w:t>
      </w:r>
      <w:r w:rsidR="006D5F37" w:rsidRPr="00E72750">
        <w:t xml:space="preserve"> the provision of</w:t>
      </w:r>
      <w:r w:rsidR="003847D3" w:rsidRPr="00E72750">
        <w:t xml:space="preserve"> low-value care for </w:t>
      </w:r>
      <w:r w:rsidR="00F42786" w:rsidRPr="00E72750">
        <w:t>patients.</w:t>
      </w:r>
      <w:r w:rsidR="0095385F" w:rsidRPr="00E72750">
        <w:t xml:space="preserve"> O</w:t>
      </w:r>
      <w:r w:rsidR="00F42786" w:rsidRPr="00E72750">
        <w:t>ver</w:t>
      </w:r>
      <w:r w:rsidR="0095385F" w:rsidRPr="00E72750">
        <w:t>-</w:t>
      </w:r>
      <w:r w:rsidR="00F42786" w:rsidRPr="00E72750">
        <w:t xml:space="preserve">testing can occur when a basal cortisol quantitation is </w:t>
      </w:r>
      <w:r w:rsidR="003060B1" w:rsidRPr="00E72750">
        <w:t>(</w:t>
      </w:r>
      <w:proofErr w:type="spellStart"/>
      <w:r w:rsidR="003060B1" w:rsidRPr="00E72750">
        <w:t>i</w:t>
      </w:r>
      <w:proofErr w:type="spellEnd"/>
      <w:r w:rsidR="003060B1" w:rsidRPr="00E72750">
        <w:t xml:space="preserve">) </w:t>
      </w:r>
      <w:r w:rsidR="00F42786" w:rsidRPr="00E72750">
        <w:t xml:space="preserve">not taken and the results would have proven a </w:t>
      </w:r>
      <w:proofErr w:type="spellStart"/>
      <w:r w:rsidR="00F42786" w:rsidRPr="00E72750">
        <w:t>Synacthen</w:t>
      </w:r>
      <w:proofErr w:type="spellEnd"/>
      <w:r w:rsidR="00F42786" w:rsidRPr="00E72750">
        <w:t xml:space="preserve"> test </w:t>
      </w:r>
      <w:r w:rsidR="00F42786" w:rsidRPr="00E72750">
        <w:lastRenderedPageBreak/>
        <w:t xml:space="preserve">to be redundant, or </w:t>
      </w:r>
      <w:r w:rsidR="00BD40A2" w:rsidRPr="00E72750">
        <w:t xml:space="preserve">(ii) </w:t>
      </w:r>
      <w:r w:rsidR="00F42786" w:rsidRPr="00E72750">
        <w:t xml:space="preserve">taken and not interpreted appropriately to avoid a redundant </w:t>
      </w:r>
      <w:proofErr w:type="spellStart"/>
      <w:r w:rsidR="00F42786" w:rsidRPr="00E72750">
        <w:t>Synacthen</w:t>
      </w:r>
      <w:proofErr w:type="spellEnd"/>
      <w:r w:rsidR="00F42786" w:rsidRPr="00E72750">
        <w:t xml:space="preserve"> test</w:t>
      </w:r>
      <w:r w:rsidR="00734137" w:rsidRPr="00E72750">
        <w:t>.</w:t>
      </w:r>
      <w:r w:rsidR="008037E1">
        <w:fldChar w:fldCharType="begin" w:fldLock="1"/>
      </w:r>
      <w:r w:rsidR="003360A6">
        <w:instrText>ADDIN CSL_CITATION { "citationItems" : [ { "id" : "ITEM-1", "itemData" : { "DOI" : "10.1111/j.1365-2265.2012.04478.x", "ISSN" : "1365-2265", "PMID" : "22747889", "abstract" : "OBJECTIVE Despite the widespread use of the short synacthen test (SST), there remains no clear consensus on sampling times for the measurement of serum cortisol that best determines adrenal reserve. We set out to establish whether there is any value in measuring serum cortisol at 60\u00a0min following administration of synacthen. DESIGN Retrospective data analysis of 500 SST results measuring 0, 30 and 60\u00a0min cortisol levels after administration of 250\u00a0\u03bcg of synacthen at 2 large urban National Health Teaching Hospitals in the UK. PATIENTS AND MEASUREMENTS Individuals thought to have primary or secondary adrenal insufficiency given 250\u00a0\u03bcg of synacthen. MEASUREMENTS Serum cortisol levels measured at 0, 30 and 60\u00a0min, looking to see how many people who had adrenal insufficiency at the 30\u00a0min sample but in whom the 60\u00a0min sample showed adequate adrenal reserve. RESULTS The results from 384 people were analysed. A total of 276 had normal responses at 30\u00a0min and also at 60\u00a0min. A sum of 33 individuals had 'insufficient' (i.e., &lt;550\u00a0nmol/l) 30\u00a0min cortisol levels, rising to\u00a0\u2265\u00a0550\u00a0nmol/l at the 60\u00a0min test. All 75 individuals who were insufficient at 60\u00a0min were also insufficient at 30\u00a0min. No individuals passed (\u2265550\u00a0nmol/l) at 30\u00a0min and then failed (&lt;550\u00a0nmol/l) at 60\u00a0min. CONCLUSIONS These results suggest that a significant proportion of people undergoing a SST may be inappropriately diagnosed as having adrenal insufficiency if the 60\u00a0min sample is not measured. We suggest that the 60\u00a0min sample is measured in all individuals having a SST to prevent unnecessary over-diagnosis of adrenal insufficiency.", "author" : [ { "dropping-particle" : "", "family" : "Chitale", "given" : "Aditi", "non-dropping-particle" : "", "parse-names" : false, "suffix" : "" }, { "dropping-particle" : "", "family" : "Musonda", "given" : "Patrick", "non-dropping-particle" : "", "parse-names" : false, "suffix" : "" }, { "dropping-particle" : "", "family" : "McGregor", "given" : "Alan M", "non-dropping-particle" : "", "parse-names" : false, "suffix" : "" }, { "dropping-particle" : "", "family" : "Dhatariya", "given" : "Ketan K", "non-dropping-particle" : "", "parse-names" : false, "suffix" : "" } ], "container-title" : "Clinical endocrinology", "id" : "ITEM-1", "issue" : "1", "issued" : { "date-parts" : [ [ "2013", "7" ] ] }, "page" : "14-9", "title" : "Determining the utility of the 60\u00a0min cortisol measurement in the short synacthen test.", "type" : "article-journal", "volume" : "79" }, "uris" : [ "http://www.mendeley.com/documents/?uuid=2d284e60-348f-356f-aae4-a989bae5df58" ] }, { "id" : "ITEM-2", "itemData" : { "DOI" : "10.1530/EJE-15-0608", "ISSN" : "1479683X", "PMID" : "26294794", "abstract" : "CONTEXT: Up to 3% of US and UK populations are prescribed glucocorticoids (GC). Suppression of the hypothalamo-pituitary-adrenal axis with the potential risk of adrenal crisis is a recognized complication of therapy. The 250 \u03bcg short Synacthen stimulation test (SST) is the most commonly used dynamic assessment to diagnose adrenal insufficiency. There are challenges to the use of the SST in routine clinical practice, including both the staff and time constraints and a significant recent increase in Synacthen cost.\\n\\nMETHODS: We performed a retrospective analysis to determine the prevalence of adrenal suppression due to prescribed GCs and the utility of a morning serum cortisol for rapid assessment of adrenal reserve in the routine clinical setting.\\n\\nRESULTS: In total, 2773 patients underwent 3603 SSTs in a large secondary/tertiary centre between 2008 and 2013 and 17.9% (n=496) failed the SST. Of 404 patients taking oral, topical, intranasal or inhaled GC therapy for non-endocrine conditions, 33.2% (n=134) had a subnormal SST response. In patients taking inhaled GCs without additional GC therapy, 20.5% (34/166) failed an SST and suppression of adrenal function increased in a dose-dependent fashion. Using receiver operating characteristic curve analysis in patients currently taking inhaled GCs, a basal cortisol \u2265348\u200anmol/l provided 100% specificity for passing the SST; a cortisol value &lt;34\u200anmol/l had 100% sensitivity for SST failure. Using these cut-offs, 50% (n=83) of SSTs performed on patients prescribed inhaled GCs were unnecessary.\\n\\nCONCLUSION: Adrenal suppression due to GC treatment, particularly inhaled GCs, is common. A basal serum cortisol concentration has utility in helping determine which patients should undergo dynamic assessment of adrenal function.", "author" : [ { "dropping-particle" : "", "family" : "Woods", "given" : "Conor P.", "non-dropping-particle" : "", "parse-names" : false, "suffix" : "" }, { "dropping-particle" : "", "family" : "Argese", "given" : "Nicola", "non-dropping-particle" : "", "parse-names" : false, "suffix" : "" }, { "dropping-particle" : "", "family" : "Chapman", "given" : "Matthew", "non-dropping-particle" : "", "parse-names" : false, "suffix" : "" }, { "dropping-particle" : "", "family" : "Boot", "given" : "Christopher", "non-dropping-particle" : "", "parse-names" : false, "suffix" : "" }, { "dropping-particle" : "", "family" : "Webster", "given" : "Rachel", "non-dropping-particle" : "", "parse-names" : false, "suffix" : "" }, { "dropping-particle" : "", "family" : "Dabhi", "given" : "Vijay", "non-dropping-particle" : "", "parse-names" : false, "suffix" : "" }, { "dropping-particle" : "", "family" : "Grossman", "given" : "Ashley B.", "non-dropping-particle" : "", "parse-names" : false, "suffix" : "" }, { "dropping-particle" : "", "family" : "Toogood", "given" : "Andrew A.", "non-dropping-particle" : "", "parse-names" : false, "suffix" : "" }, { "dropping-particle" : "", "family" : "Arlt", "given" : "Wiebke", "non-dropping-particle" : "", "parse-names" : false, "suffix" : "" }, { "dropping-particle" : "", "family" : "Stewart", "given" : "Paul M.", "non-dropping-particle" : "", "parse-names" : false, "suffix" : "" }, { "dropping-particle" : "", "family" : "Crowley", "given" : "Rachel K.", "non-dropping-particle" : "", "parse-names" : false, "suffix" : "" }, { "dropping-particle" : "", "family" : "Tomlinson", "given" : "Jeremy W.", "non-dropping-particle" : "", "parse-names" : false, "suffix" : "" } ], "container-title" : "European Journal of Endocrinology", "id" : "ITEM-2", "issue" : "5", "issued" : { "date-parts" : [ [ "2015" ] ] }, "page" : "633-642", "title" : "Adrenal suppression in patients taking inhaled glucocorticoids is highly prevalent and management can be guided by morning cortisol", "type" : "article-journal", "volume" : "173" }, "uris" : [ "http://www.mendeley.com/documents/?uuid=c88b11e0-fd34-4b26-8aa8-f06430714e5d" ] }, { "id" : "ITEM-3", "itemData" : { "DOI" : "10.1210/jcem.87.6.8547", "ISSN" : "0021-972X", "PMID" : "12050244", "abstract" : "Patients undergoing surgical resection of pituitary adenomas are frequently given perioperative glucocorticoid therapy. There are no randomized controlled studies assessing the need for such steroids; however, several studies have documented changes in the hypothalamic-pituitary-adrenal (HPA) axis associated with pituitary surgery. Based on the evidence available, this article details recommendations for the perioperative management of glucocorticoid therapy in patients with pituitary tumors. For patients with proven ACTH deficiency preoperatively [usually based on response to a short ACTH 1-24 (Synacthen) test], 48 hours of supraphysiological glucocorticoid therapy should be administered perioperatively (e.g. hydrocortisone, 50 mg every 8 hours on day 0, 25 mg every 8 hours on day 1, and 25 mg at 0800 h on day 2). For patients with intact HPA function preoperatively, and in whom selective adenomectomy is possible, perioperative glucocorticoids are not necessary. Early postoperative assessment depends on daily clinical assessment of the patient and 0800 h plasma cortisol levels. Cortisol levels over 450 nM (16 microg/dl) reflect normal HPA function, and levels less than 100 nM (3.6 microg/dl) are consistent with ACTH deficiency. Cortisol levels between 100 and 250 nM (3.6-9 microg/dl) may be ACTH deficient and should receive morning hydrocortisone replacement until definitive HPA axis testing. Cortisol levels between 250 and 450 nM (9-16 microg/dl) are unlikely to be ACTH deficient but should receive additional steroids for stress until a definitive test is performed. For those requiring definitive testing, the insulin tolerance test, the overnight metyrapone test, or the glucagon stimulation test are appropriate and may be performed as early as d 7-10 or, if more convenient, wk 4-6. Following the guidelines suggested here should reduce the use of unnecessary glucocorticoids, while ensuring the safety of patients is not compromised.", "author" : [ { "dropping-particle" : "", "family" : "Inder", "given" : "Warrick J", "non-dropping-particle" : "", "parse-names" : false, "suffix" : "" }, { "dropping-particle" : "", "family" : "Hunt", "given" : "Penny J", "non-dropping-particle" : "", "parse-names" : false, "suffix" : "" } ], "container-title" : "The Journal of clinical endocrinology and metabolism", "id" : "ITEM-3", "issue" : "6", "issued" : { "date-parts" : [ [ "2002", "6" ] ] }, "page" : "2745-50", "title" : "Glucocorticoid replacement in pituitary surgery: guidelines for perioperative assessment and management.", "type" : "article-journal", "volume" : "87" }, "uris" : [ "http://www.mendeley.com/documents/?uuid=f1b979f4-fea2-30e3-aa18-43c42671ac9a" ] } ], "mendeley" : { "formattedCitation" : "[11]\u2013[13]", "plainTextFormattedCitation" : "[11]\u2013[13]", "previouslyFormattedCitation" : "[10]\u2013[12]" }, "properties" : { "noteIndex" : 0 }, "schema" : "https://github.com/citation-style-language/schema/raw/master/csl-citation.json" }</w:instrText>
      </w:r>
      <w:r w:rsidR="008037E1">
        <w:fldChar w:fldCharType="separate"/>
      </w:r>
      <w:r w:rsidR="003360A6" w:rsidRPr="003360A6">
        <w:rPr>
          <w:noProof/>
        </w:rPr>
        <w:t>[11]–[13]</w:t>
      </w:r>
      <w:r w:rsidR="008037E1">
        <w:fldChar w:fldCharType="end"/>
      </w:r>
      <w:r w:rsidR="00F05848" w:rsidRPr="00E72750">
        <w:t xml:space="preserve"> </w:t>
      </w:r>
      <w:r w:rsidR="00F42786" w:rsidRPr="00E72750">
        <w:t xml:space="preserve">The Committee </w:t>
      </w:r>
      <w:r w:rsidR="00640F5F" w:rsidRPr="00E72750">
        <w:t xml:space="preserve">felt </w:t>
      </w:r>
      <w:r w:rsidR="00F42786" w:rsidRPr="00E72750">
        <w:t xml:space="preserve">that this problem </w:t>
      </w:r>
      <w:r w:rsidR="00380868" w:rsidRPr="00E72750">
        <w:t xml:space="preserve">could </w:t>
      </w:r>
      <w:r w:rsidR="00F42786" w:rsidRPr="00E72750">
        <w:t>be addressed by adding a requirement to the item descriptor</w:t>
      </w:r>
      <w:r w:rsidR="00883A26" w:rsidRPr="00E72750">
        <w:t xml:space="preserve"> </w:t>
      </w:r>
      <w:r w:rsidR="00F42786" w:rsidRPr="00E72750">
        <w:t xml:space="preserve">to undertake a basal cortisol quantitation, along with clear rules describing when a </w:t>
      </w:r>
      <w:proofErr w:type="spellStart"/>
      <w:r w:rsidR="00F42786" w:rsidRPr="00E72750">
        <w:t>Synacthen</w:t>
      </w:r>
      <w:proofErr w:type="spellEnd"/>
      <w:r w:rsidR="00F42786" w:rsidRPr="00E72750">
        <w:t xml:space="preserve"> test </w:t>
      </w:r>
      <w:r w:rsidR="00CE0209" w:rsidRPr="00E72750">
        <w:t xml:space="preserve">is </w:t>
      </w:r>
      <w:r w:rsidR="00F42786" w:rsidRPr="00E72750">
        <w:t>appropriate</w:t>
      </w:r>
      <w:r w:rsidR="00883A26" w:rsidRPr="00E72750">
        <w:t>, supported by explanatory notes.</w:t>
      </w:r>
    </w:p>
    <w:p w14:paraId="63FC2060" w14:textId="77777777" w:rsidR="00512F2C" w:rsidRPr="00E72750" w:rsidRDefault="00F42786" w:rsidP="00352EC5">
      <w:pPr>
        <w:pStyle w:val="01squarebullet"/>
      </w:pPr>
      <w:r w:rsidRPr="00E72750">
        <w:t>There is consensus in the relevant literature that a morning serum cortisol of &lt;100nmol/L is an appropriate lower bound cut</w:t>
      </w:r>
      <w:r w:rsidR="008E228C" w:rsidRPr="00E72750">
        <w:t>-</w:t>
      </w:r>
      <w:r w:rsidRPr="00E72750">
        <w:t xml:space="preserve">off. There is less consensus regarding the upper bound, </w:t>
      </w:r>
      <w:r w:rsidR="009E3019" w:rsidRPr="00E72750">
        <w:t xml:space="preserve">but </w:t>
      </w:r>
      <w:r w:rsidRPr="00E72750">
        <w:t>a conservative evaluation of the most relevant literature was conducted and the Committee agreed with the recommendation of &gt;400 nmol/L</w:t>
      </w:r>
      <w:r w:rsidR="00734137" w:rsidRPr="00E72750">
        <w:t>.</w:t>
      </w:r>
      <w:r w:rsidR="008037E1">
        <w:fldChar w:fldCharType="begin" w:fldLock="1"/>
      </w:r>
      <w:r w:rsidR="003360A6">
        <w:instrText>ADDIN CSL_CITATION { "citationItems" : [ { "id" : "ITEM-1", "itemData" : { "DOI" : "10.1530/EJE-08-0600", "ISBN" : "1479-683X (Electronic)\\r0804-4643 (Linking)", "ISSN" : "08044643", "PMID" : "18952762", "abstract" : "OBJECTIVE: Accurate assessment of adrenal function is essential in patients with hypothalamic-pituitary-adrenal (HPA) disease. The measurement of salivary cortisol (SaC) instead of serum cortisol (SeC) offers several advantages, such as the determination of the free hormone. We evaluated the diagnostic value of SeC and SaC both unstimulated and during a high-dose short synacthen test (HDT) in comparison to the insulin tolerance test (ITT). DESIGN: Comparative study between 2005 and 2007. METHODS: Fifty-five patients with HPA impairment and 21 healthy controls were enrolled. Samples were collected in the early morning and over 120 min during the HDT. Receiver operating characteristic analysis revealed individual thresholds for four HDT periods (0-30, 0-60, 0-90, and 0-120 min). RESULTS: The ITT identified 30 subjects as adrenal insufficient. With respect to the four HDT periods, sensitivity and specificity were 67-79% and 71-88% for SeC, compared with 63-72% and 72-86% for SaC. If upper and lower thresholds (with specificities &gt;95%) were applied, patients were diagnosed in 40-45% by SeC and in 25-31% by SaC. The combination of basal cortisol and HDT allowed a diagnosis in 47-49% (SeC) and in 42-45% (SaC) respectively. CONCLUSION: We suggest the determination of basal SeC or SaC as first-line test. In comparison to the ITT, the HDT has only limited value in screening for alterations of the HPA axis. If the HDT is performed, sampling may be limited to 30 min post-synacthen, using either SeC or SaC. Due to the ease of collection and the independence of binding proteins, SaC may be preferable.", "author" : [ { "dropping-particle" : "", "family" : "Deutschbein", "given" : "Timo", "non-dropping-particle" : "", "parse-names" : false, "suffix" : "" }, { "dropping-particle" : "", "family" : "Unger", "given" : "Nicole", "non-dropping-particle" : "", "parse-names" : false, "suffix" : "" }, { "dropping-particle" : "", "family" : "Mann", "given" : "Klaus", "non-dropping-particle" : "", "parse-names" : false, "suffix" : "" }, { "dropping-particle" : "", "family" : "Petersenn", "given" : "Stephan", "non-dropping-particle" : "", "parse-names" : false, "suffix" : "" } ], "container-title" : "European Journal of Endocrinology", "id" : "ITEM-1", "issue" : "1", "issued" : { "date-parts" : [ [ "2009", "1" ] ] }, "page" : "9-16", "title" : "Diagnosis of secondary adrenal insufficiency in patients with hypothalamic-pituitary disease: Comparison between serum and salivary cortisol during the high-dose short synacthen test", "type" : "article-journal", "volume" : "160" }, "uris" : [ "http://www.mendeley.com/documents/?uuid=75e75121-6f07-3365-acc7-c5e95e50c70f" ] }, { "id" : "ITEM-2", "itemData" : { "DOI" : "10.1111/cen.12373", "ISSN" : "1365-2265", "PMID" : "24274236", "abstract" : "CONTEXT Previous studies have demonstrated that a morning serum cortisol of &lt;100 nmol/l makes further dynamic testing such as the Synacthen stimulation test (SST) unnecessary to confirm adrenal insufficiency. The morning cortisol level that reliably predicts adrenal sufficiency (AS) is less well established, and values ranging from 300 to 500 nmol/l have been proposed. OBJECTIVE The aim of this study was to determine the ambulatory morning cortisol level that predicts adrenal sufficiency, as defined by an adequate response to SST, using a receiver operating characteristics (ROC) curve. DESIGN Observational retrospective cross-sectional study. METHOD &amp; SUBJECTS We conducted a retrospective audit of SST performed at PathWest Laboratory QEII from January 2006 to August 2008. A total of 761 results were obtained. Patients who were acutely ill or in intensive care, on glucocorticoid therapy, and those with inadequate data or multiple records were excluded from the analysis leaving 505 available for analysis. Baseline serum was obtained prior to intramuscular injection of 250 mcg Synacthen, and a second sample was obtained 30 min post-Synacthen. AS was defined as a 30-min post-Synacthen cortisol of &gt;550 nmol/l; values \u2264550 nmol/l were considered inadequate. RESULTS Based on SST criteria, of the 505 patients included in the study, 350 patients (69%) were adrenal sufficient and 155 (31%) had adrenal insufficiency. Using the minimum ROC distance criterion, a basal cortisol value of &gt;236 nmol/l was identified to predict AS with sensitivity 84% and specificity 71%. However, to increase the specificity to 95%, we recommend a basal cortisol cut-off of &gt;375 nmol/l. For patients with known pituitary disease (n = 152), basal cortisol of &gt;214 nmol/l (sensitivity 85% and specificity 71%) may obviate the need for SST in the appropriate clinical context, although 330 nmol/l gives a specificity of 95%. CONCLUSION Basal morning cortisol is a viable first step in the evaluation of patients with suspected adrenal insufficiency.", "author" : [ { "dropping-particle" : "", "family" : "Yo", "given" : "Wee Shuan", "non-dropping-particle" : "", "parse-names" : false, "suffix" : "" }, { "dropping-particle" : "", "family" : "Toh", "given" : "Li-Mae", "non-dropping-particle" : "", "parse-names" : false, "suffix" : "" }, { "dropping-particle" : "", "family" : "Brown", "given" : "Suzanne J", "non-dropping-particle" : "", "parse-names" : false, "suffix" : "" }, { "dropping-particle" : "", "family" : "Howe", "given" : "Warwick D", "non-dropping-particle" : "", "parse-names" : false, "suffix" : "" }, { "dropping-particle" : "", "family" : "Henley", "given" : "David E", "non-dropping-particle" : "", "parse-names" : false, "suffix" : "" }, { "dropping-particle" : "", "family" : "Lim", "given" : "Ee Mun", "non-dropping-particle" : "", "parse-names" : false, "suffix" : "" } ], "container-title" : "Clinical endocrinology", "id" : "ITEM-2", "issue" : "1", "issued" : { "date-parts" : [ [ "2014", "7" ] ] }, "page" : "19-24", "title" : "How good is a morning cortisol in predicting an adequate response to intramuscular synacthen stimulation?", "type" : "article-journal", "volume" : "81" }, "uris" : [ "http://www.mendeley.com/documents/?uuid=29138788-d66f-370f-85c8-c7b244e60526" ] }, { "id" : "ITEM-3", "itemData" : { "ISSN" : "0004-5632", "PMID" : "11930947", "abstract" : "BACKGROUND The short synacthen test (SST) is the gold standard investigation for the evaluation of adrenal insufficiency and is also frequently used for the evaluation of the hypothalamic-pituitary-adrenal (HPA) axis. The 0900-h serum cortisol concentration has also been evaluated as an indication of cortisol reserve, and a result &gt; 450 nmol/L is highly suggestive of a normal serum cortisol response to the insulin tolerance test, while no patient with a 0900-h serum cortisol &lt; 100 nmol/L had a sufficient response. The aim of this study was to determine if the number of inappropriate SSTs could be reduced if a 0900-h serum total cortisol was done prior to the dynamic function test. METHOD Two hundred and ten SSTs were performed at 0900 h and the response at 30 min evaluated. RESULTS Of the 210 SST, 151 (71%) demonstrated a maximum response at 30 min of serum cortisol &gt; 550 nmol/L. All the patients with a 0900-h serum cortisol &gt; 500 nmol/L had an adequate response ( &gt; 550 nmol/L), while no patient with a 0900-h serum cortisol of &lt; 100 nmol/L had an adequate SST response. Twenty one per cent of patients were shown to have had an unnecessary invasive procedure. CONCLUSION We conclude that the SST is of little added value in patients with a 0900-h serum cortisol of less than 100 nmol/L or more than 500 nmol/L and it should be included in the appropriate protocols for endocrine investigation.", "author" : [ { "dropping-particle" : "", "family" : "Roux", "given" : "C W", "non-dropping-particle" : "Le", "parse-names" : false, "suffix" : "" }, { "dropping-particle" : "", "family" : "Meeran", "given" : "K", "non-dropping-particle" : "", "parse-names" : false, "suffix" : "" }, { "dropping-particle" : "", "family" : "Alaghband-Zadeh", "given" : "J", "non-dropping-particle" : "", "parse-names" : false, "suffix" : "" } ], "container-title" : "Annals of clinical biochemistry", "id" : "ITEM-3", "issue" : "Pt 2", "issued" : { "date-parts" : [ [ "2002", "3" ] ] }, "page" : "148-50", "title" : "Is a 0900-h serum cortisol useful prior to a short synacthen test in outpatient assessment?", "type" : "article-journal", "volume" : "39" }, "uris" : [ "http://www.mendeley.com/documents/?uuid=bedcd020-d872-3433-a9ff-7f2ed148a122" ] } ], "mendeley" : { "formattedCitation" : "[14]\u2013[16]", "plainTextFormattedCitation" : "[14]\u2013[16]", "previouslyFormattedCitation" : "[13]\u2013[15]" }, "properties" : { "noteIndex" : 0 }, "schema" : "https://github.com/citation-style-language/schema/raw/master/csl-citation.json" }</w:instrText>
      </w:r>
      <w:r w:rsidR="008037E1">
        <w:fldChar w:fldCharType="separate"/>
      </w:r>
      <w:r w:rsidR="003360A6" w:rsidRPr="003360A6">
        <w:rPr>
          <w:noProof/>
        </w:rPr>
        <w:t>[14]–[16]</w:t>
      </w:r>
      <w:r w:rsidR="008037E1">
        <w:fldChar w:fldCharType="end"/>
      </w:r>
    </w:p>
    <w:p w14:paraId="5A72E674" w14:textId="77777777" w:rsidR="0025730A" w:rsidRPr="00E72750" w:rsidRDefault="0025730A" w:rsidP="00AE62D5">
      <w:pPr>
        <w:pStyle w:val="Heading2"/>
      </w:pPr>
      <w:bookmarkStart w:id="68" w:name="_Toc455435946"/>
      <w:bookmarkStart w:id="69" w:name="_Toc456045440"/>
      <w:bookmarkStart w:id="70" w:name="_Toc485298030"/>
      <w:bookmarkStart w:id="71" w:name="_Toc455435945"/>
      <w:r w:rsidRPr="00201BB2">
        <w:t>Thyroglossal cyst</w:t>
      </w:r>
      <w:r w:rsidR="00860EEF" w:rsidRPr="00201BB2">
        <w:t>:</w:t>
      </w:r>
      <w:r w:rsidRPr="00201BB2">
        <w:t xml:space="preserve"> </w:t>
      </w:r>
      <w:r w:rsidR="00764ED4" w:rsidRPr="00201BB2">
        <w:t>I</w:t>
      </w:r>
      <w:r w:rsidRPr="00201BB2">
        <w:t xml:space="preserve">tems 30313 </w:t>
      </w:r>
      <w:r w:rsidR="00860EEF" w:rsidRPr="00201BB2">
        <w:t>and</w:t>
      </w:r>
      <w:r w:rsidRPr="00201BB2">
        <w:t xml:space="preserve"> 30314</w:t>
      </w:r>
      <w:bookmarkEnd w:id="68"/>
      <w:bookmarkEnd w:id="69"/>
      <w:bookmarkEnd w:id="70"/>
    </w:p>
    <w:p w14:paraId="04FFD958" w14:textId="77777777" w:rsidR="0047330D" w:rsidRPr="00717067" w:rsidRDefault="0047330D" w:rsidP="00AE62D5">
      <w:pPr>
        <w:pStyle w:val="Caption"/>
      </w:pPr>
      <w:bookmarkStart w:id="72" w:name="_Toc485127116"/>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7</w:t>
      </w:r>
      <w:r w:rsidRPr="00AE62D5">
        <w:rPr>
          <w:b w:val="0"/>
        </w:rPr>
        <w:fldChar w:fldCharType="end"/>
      </w:r>
      <w:r w:rsidRPr="00AE62D5">
        <w:rPr>
          <w:b w:val="0"/>
        </w:rPr>
        <w:t>: Item introduction table for items 30313 and 30314</w:t>
      </w:r>
      <w:bookmarkEnd w:id="72"/>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7 shows the item introduction table for Thyroglossal cyst items 30313 and 30314.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w:tblPr>
      <w:tblGrid>
        <w:gridCol w:w="719"/>
        <w:gridCol w:w="4175"/>
        <w:gridCol w:w="922"/>
        <w:gridCol w:w="1002"/>
        <w:gridCol w:w="1002"/>
        <w:gridCol w:w="1196"/>
      </w:tblGrid>
      <w:tr w:rsidR="0025730A" w:rsidRPr="00E72750" w14:paraId="797FC615" w14:textId="77777777" w:rsidTr="00DC5AF7">
        <w:trPr>
          <w:tblHeader/>
        </w:trPr>
        <w:tc>
          <w:tcPr>
            <w:tcW w:w="722" w:type="dxa"/>
            <w:shd w:val="clear" w:color="auto" w:fill="D9D9D9" w:themeFill="background1" w:themeFillShade="D9"/>
            <w:vAlign w:val="bottom"/>
          </w:tcPr>
          <w:p w14:paraId="6641B957" w14:textId="77777777" w:rsidR="0025730A" w:rsidRPr="00E72750" w:rsidRDefault="0025730A" w:rsidP="00801E5A">
            <w:pPr>
              <w:pStyle w:val="02Tabletext"/>
              <w:spacing w:after="20"/>
              <w:rPr>
                <w:rFonts w:cs="Arial"/>
                <w:b/>
                <w:szCs w:val="18"/>
                <w:lang w:val="en-GB"/>
              </w:rPr>
            </w:pPr>
            <w:r w:rsidRPr="00E72750">
              <w:rPr>
                <w:rFonts w:cs="Arial"/>
                <w:b/>
                <w:szCs w:val="18"/>
                <w:lang w:val="en-GB"/>
              </w:rPr>
              <w:t>Item</w:t>
            </w:r>
          </w:p>
        </w:tc>
        <w:tc>
          <w:tcPr>
            <w:tcW w:w="4228" w:type="dxa"/>
            <w:shd w:val="clear" w:color="auto" w:fill="D9D9D9" w:themeFill="background1" w:themeFillShade="D9"/>
            <w:vAlign w:val="bottom"/>
          </w:tcPr>
          <w:p w14:paraId="02703D8A" w14:textId="77777777" w:rsidR="0025730A" w:rsidRPr="00E72750" w:rsidRDefault="0025730A" w:rsidP="00801E5A">
            <w:pPr>
              <w:pStyle w:val="02Tabletext"/>
              <w:spacing w:after="20"/>
              <w:rPr>
                <w:rFonts w:cs="Arial"/>
                <w:b/>
                <w:szCs w:val="18"/>
                <w:lang w:val="en-GB"/>
              </w:rPr>
            </w:pPr>
            <w:r w:rsidRPr="00E72750">
              <w:rPr>
                <w:rFonts w:cs="Arial"/>
                <w:b/>
                <w:szCs w:val="18"/>
                <w:lang w:val="en-GB"/>
              </w:rPr>
              <w:t>Descriptor [date last amended]</w:t>
            </w:r>
          </w:p>
        </w:tc>
        <w:tc>
          <w:tcPr>
            <w:tcW w:w="923" w:type="dxa"/>
            <w:shd w:val="clear" w:color="auto" w:fill="D9D9D9" w:themeFill="background1" w:themeFillShade="D9"/>
            <w:vAlign w:val="bottom"/>
          </w:tcPr>
          <w:p w14:paraId="26F57F12" w14:textId="77777777" w:rsidR="0025730A" w:rsidRPr="00E72750" w:rsidRDefault="0025730A" w:rsidP="00801E5A">
            <w:pPr>
              <w:pStyle w:val="02Tabletext"/>
              <w:spacing w:after="20"/>
              <w:rPr>
                <w:rFonts w:cs="Arial"/>
                <w:b/>
                <w:szCs w:val="18"/>
                <w:lang w:val="en-GB"/>
              </w:rPr>
            </w:pPr>
            <w:r w:rsidRPr="00E72750">
              <w:rPr>
                <w:rFonts w:cs="Arial"/>
                <w:b/>
                <w:szCs w:val="18"/>
                <w:lang w:val="en-GB"/>
              </w:rPr>
              <w:t>Schedule</w:t>
            </w:r>
          </w:p>
          <w:p w14:paraId="3318A843" w14:textId="77777777" w:rsidR="0025730A" w:rsidRPr="00E72750" w:rsidRDefault="0025730A" w:rsidP="00801E5A">
            <w:pPr>
              <w:pStyle w:val="02Tabletext"/>
              <w:spacing w:after="20"/>
              <w:rPr>
                <w:rFonts w:cs="Arial"/>
                <w:b/>
                <w:szCs w:val="18"/>
                <w:lang w:val="en-GB"/>
              </w:rPr>
            </w:pPr>
            <w:r w:rsidRPr="00E72750">
              <w:rPr>
                <w:rFonts w:cs="Arial"/>
                <w:b/>
                <w:szCs w:val="18"/>
                <w:lang w:val="en-GB"/>
              </w:rPr>
              <w:t>fee</w:t>
            </w:r>
          </w:p>
        </w:tc>
        <w:tc>
          <w:tcPr>
            <w:tcW w:w="1003" w:type="dxa"/>
            <w:shd w:val="clear" w:color="auto" w:fill="D9D9D9" w:themeFill="background1" w:themeFillShade="D9"/>
            <w:vAlign w:val="bottom"/>
          </w:tcPr>
          <w:p w14:paraId="53FBF133" w14:textId="77777777" w:rsidR="0025730A" w:rsidRPr="00E72750" w:rsidRDefault="0025730A" w:rsidP="00801E5A">
            <w:pPr>
              <w:pStyle w:val="02Tabletext"/>
              <w:spacing w:after="20"/>
              <w:rPr>
                <w:rFonts w:cs="Arial"/>
                <w:b/>
                <w:szCs w:val="18"/>
                <w:lang w:val="en-GB"/>
              </w:rPr>
            </w:pPr>
            <w:r w:rsidRPr="00E72750">
              <w:rPr>
                <w:rFonts w:cs="Arial"/>
                <w:b/>
                <w:szCs w:val="18"/>
                <w:lang w:val="en-GB"/>
              </w:rPr>
              <w:t>Services FY2014/15</w:t>
            </w:r>
          </w:p>
        </w:tc>
        <w:tc>
          <w:tcPr>
            <w:tcW w:w="1003" w:type="dxa"/>
            <w:shd w:val="clear" w:color="auto" w:fill="D9D9D9" w:themeFill="background1" w:themeFillShade="D9"/>
            <w:vAlign w:val="bottom"/>
          </w:tcPr>
          <w:p w14:paraId="036109B9" w14:textId="77777777" w:rsidR="0025730A" w:rsidRPr="00E72750" w:rsidRDefault="0025730A" w:rsidP="00801E5A">
            <w:pPr>
              <w:pStyle w:val="02Tabletext"/>
              <w:spacing w:after="20"/>
              <w:rPr>
                <w:rFonts w:cs="Arial"/>
                <w:b/>
                <w:szCs w:val="18"/>
                <w:lang w:val="en-GB"/>
              </w:rPr>
            </w:pPr>
            <w:r w:rsidRPr="00E72750">
              <w:rPr>
                <w:rFonts w:cs="Arial"/>
                <w:b/>
                <w:szCs w:val="18"/>
                <w:lang w:val="en-GB"/>
              </w:rPr>
              <w:t>Benefits FY2014/15</w:t>
            </w:r>
          </w:p>
        </w:tc>
        <w:tc>
          <w:tcPr>
            <w:tcW w:w="1203" w:type="dxa"/>
            <w:shd w:val="clear" w:color="auto" w:fill="D9D9D9" w:themeFill="background1" w:themeFillShade="D9"/>
            <w:vAlign w:val="bottom"/>
          </w:tcPr>
          <w:p w14:paraId="3CBEA9AA" w14:textId="77777777" w:rsidR="0025730A" w:rsidRPr="00E72750" w:rsidRDefault="0025730A" w:rsidP="00801E5A">
            <w:pPr>
              <w:pStyle w:val="02Tabletext"/>
              <w:spacing w:after="20"/>
              <w:rPr>
                <w:rFonts w:cs="Arial"/>
                <w:b/>
                <w:szCs w:val="18"/>
                <w:lang w:val="en-GB"/>
              </w:rPr>
            </w:pPr>
            <w:r w:rsidRPr="00E72750">
              <w:rPr>
                <w:rFonts w:cs="Arial"/>
                <w:b/>
                <w:szCs w:val="18"/>
                <w:lang w:val="en-GB"/>
              </w:rPr>
              <w:t xml:space="preserve">Services </w:t>
            </w:r>
            <w:proofErr w:type="gramStart"/>
            <w:r w:rsidRPr="00E72750">
              <w:rPr>
                <w:rFonts w:cs="Arial"/>
                <w:b/>
                <w:szCs w:val="18"/>
                <w:lang w:val="en-GB"/>
              </w:rPr>
              <w:t>5 year</w:t>
            </w:r>
            <w:proofErr w:type="gramEnd"/>
            <w:r w:rsidRPr="00E72750">
              <w:rPr>
                <w:rFonts w:cs="Arial"/>
                <w:b/>
                <w:szCs w:val="18"/>
                <w:lang w:val="en-GB"/>
              </w:rPr>
              <w:t xml:space="preserve"> annual avg. growth</w:t>
            </w:r>
          </w:p>
        </w:tc>
      </w:tr>
      <w:tr w:rsidR="0025730A" w:rsidRPr="00E72750" w14:paraId="60B3A4ED" w14:textId="77777777" w:rsidTr="00AE62D5">
        <w:tc>
          <w:tcPr>
            <w:tcW w:w="722" w:type="dxa"/>
          </w:tcPr>
          <w:p w14:paraId="35DEFFFA" w14:textId="77777777" w:rsidR="0025730A" w:rsidRPr="00E72750" w:rsidRDefault="0025730A" w:rsidP="00801E5A">
            <w:pPr>
              <w:pStyle w:val="02Tabletext"/>
              <w:spacing w:after="20"/>
              <w:rPr>
                <w:rFonts w:cs="Arial"/>
                <w:szCs w:val="18"/>
                <w:lang w:val="en-GB"/>
              </w:rPr>
            </w:pPr>
            <w:r w:rsidRPr="00E72750">
              <w:rPr>
                <w:rFonts w:cs="Arial"/>
                <w:szCs w:val="18"/>
                <w:lang w:val="en-GB"/>
              </w:rPr>
              <w:t xml:space="preserve">30313 </w:t>
            </w:r>
          </w:p>
        </w:tc>
        <w:tc>
          <w:tcPr>
            <w:tcW w:w="4228" w:type="dxa"/>
            <w:vAlign w:val="center"/>
          </w:tcPr>
          <w:p w14:paraId="470EE679" w14:textId="77777777" w:rsidR="0025730A" w:rsidRPr="00E72750" w:rsidRDefault="0025730A" w:rsidP="00801E5A">
            <w:pPr>
              <w:pStyle w:val="02Tabletext"/>
              <w:spacing w:after="20"/>
              <w:rPr>
                <w:rFonts w:cs="Arial"/>
                <w:szCs w:val="18"/>
                <w:lang w:val="en-GB"/>
              </w:rPr>
            </w:pPr>
            <w:r w:rsidRPr="00E72750">
              <w:rPr>
                <w:rFonts w:cs="Arial"/>
                <w:color w:val="000000"/>
                <w:szCs w:val="18"/>
                <w:lang w:val="en-GB"/>
              </w:rPr>
              <w:t>Thyroglossal cyst, removal of</w:t>
            </w:r>
            <w:r w:rsidR="00EC61C1"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[1991]</w:t>
            </w:r>
          </w:p>
        </w:tc>
        <w:tc>
          <w:tcPr>
            <w:tcW w:w="923" w:type="dxa"/>
          </w:tcPr>
          <w:p w14:paraId="21AC82D4" w14:textId="77777777" w:rsidR="0025730A" w:rsidRPr="00E72750" w:rsidRDefault="0025730A" w:rsidP="0047371C">
            <w:r w:rsidRPr="00E72750">
              <w:t>$272.95</w:t>
            </w:r>
          </w:p>
        </w:tc>
        <w:tc>
          <w:tcPr>
            <w:tcW w:w="1003" w:type="dxa"/>
          </w:tcPr>
          <w:p w14:paraId="7223D4CE" w14:textId="77777777" w:rsidR="0025730A" w:rsidRPr="00E72750" w:rsidRDefault="0025730A" w:rsidP="0047371C">
            <w:r w:rsidRPr="00E72750">
              <w:t>45</w:t>
            </w:r>
          </w:p>
        </w:tc>
        <w:tc>
          <w:tcPr>
            <w:tcW w:w="1003" w:type="dxa"/>
          </w:tcPr>
          <w:p w14:paraId="63A7E236" w14:textId="77777777" w:rsidR="0025730A" w:rsidRPr="00E72750" w:rsidRDefault="0025730A" w:rsidP="0047371C">
            <w:r w:rsidRPr="00E72750">
              <w:t>$7,628</w:t>
            </w:r>
          </w:p>
        </w:tc>
        <w:tc>
          <w:tcPr>
            <w:tcW w:w="1203" w:type="dxa"/>
          </w:tcPr>
          <w:p w14:paraId="3A9E29BA" w14:textId="77777777" w:rsidR="0025730A" w:rsidRPr="00E72750" w:rsidRDefault="0025730A" w:rsidP="0047371C">
            <w:r w:rsidRPr="00E72750">
              <w:t>-5.3%</w:t>
            </w:r>
          </w:p>
        </w:tc>
      </w:tr>
      <w:tr w:rsidR="0025730A" w:rsidRPr="00E72750" w14:paraId="3E653733" w14:textId="77777777" w:rsidTr="00AE62D5">
        <w:tc>
          <w:tcPr>
            <w:tcW w:w="722" w:type="dxa"/>
          </w:tcPr>
          <w:p w14:paraId="66CB0890" w14:textId="77777777" w:rsidR="0025730A" w:rsidRPr="00E72750" w:rsidRDefault="0025730A" w:rsidP="00801E5A">
            <w:pPr>
              <w:pStyle w:val="02Tabletext"/>
              <w:spacing w:after="20"/>
              <w:rPr>
                <w:rFonts w:cs="Arial"/>
                <w:szCs w:val="18"/>
                <w:lang w:val="en-GB"/>
              </w:rPr>
            </w:pPr>
            <w:r w:rsidRPr="00E72750">
              <w:rPr>
                <w:rFonts w:cs="Arial"/>
                <w:szCs w:val="18"/>
                <w:lang w:val="en-GB"/>
              </w:rPr>
              <w:t>30314</w:t>
            </w:r>
          </w:p>
        </w:tc>
        <w:tc>
          <w:tcPr>
            <w:tcW w:w="4228" w:type="dxa"/>
            <w:vAlign w:val="center"/>
          </w:tcPr>
          <w:p w14:paraId="16146ECE" w14:textId="77777777" w:rsidR="0025730A" w:rsidRPr="00E72750" w:rsidRDefault="0025730A" w:rsidP="00801E5A">
            <w:pPr>
              <w:pStyle w:val="02Tabletext"/>
              <w:spacing w:after="20"/>
              <w:rPr>
                <w:rFonts w:cs="Arial"/>
                <w:szCs w:val="18"/>
                <w:lang w:val="en-GB"/>
              </w:rPr>
            </w:pPr>
            <w:r w:rsidRPr="00E72750">
              <w:rPr>
                <w:rFonts w:cs="Arial"/>
                <w:color w:val="000000"/>
                <w:szCs w:val="18"/>
                <w:lang w:val="en-GB"/>
              </w:rPr>
              <w:t>Thyroglossal cyst or fistula or both, on a person 10 years of age or over.</w:t>
            </w:r>
            <w:r w:rsidR="00A95D9A" w:rsidRPr="00E72750">
              <w:rPr>
                <w:rFonts w:cs="Arial"/>
                <w:color w:val="000000"/>
                <w:szCs w:val="18"/>
                <w:lang w:val="en-GB"/>
              </w:rPr>
              <w:t xml:space="preserve"> </w:t>
            </w:r>
            <w:r w:rsidRPr="00E72750">
              <w:rPr>
                <w:rFonts w:cs="Arial"/>
                <w:color w:val="000000"/>
                <w:szCs w:val="18"/>
                <w:lang w:val="en-GB"/>
              </w:rPr>
              <w:t>Radical removal of, including thyroglossal duct and portion of hyoid bone</w:t>
            </w:r>
            <w:r w:rsidR="00EC61C1"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23" w:type="dxa"/>
          </w:tcPr>
          <w:p w14:paraId="28EB9D4B" w14:textId="77777777" w:rsidR="0025730A" w:rsidRPr="00E72750" w:rsidRDefault="0025730A" w:rsidP="0047371C">
            <w:r w:rsidRPr="00E72750">
              <w:t>$457.40</w:t>
            </w:r>
          </w:p>
        </w:tc>
        <w:tc>
          <w:tcPr>
            <w:tcW w:w="1003" w:type="dxa"/>
          </w:tcPr>
          <w:p w14:paraId="71FE1285" w14:textId="77777777" w:rsidR="0025730A" w:rsidRPr="00E72750" w:rsidRDefault="0025730A" w:rsidP="0047371C">
            <w:r w:rsidRPr="00E72750">
              <w:t>260</w:t>
            </w:r>
          </w:p>
        </w:tc>
        <w:tc>
          <w:tcPr>
            <w:tcW w:w="1003" w:type="dxa"/>
          </w:tcPr>
          <w:p w14:paraId="3B197513" w14:textId="77777777" w:rsidR="0025730A" w:rsidRPr="00E72750" w:rsidRDefault="0025730A" w:rsidP="0047371C">
            <w:r w:rsidRPr="00E72750">
              <w:t>$84,185</w:t>
            </w:r>
          </w:p>
        </w:tc>
        <w:tc>
          <w:tcPr>
            <w:tcW w:w="1203" w:type="dxa"/>
          </w:tcPr>
          <w:p w14:paraId="5AAD1E03" w14:textId="77777777" w:rsidR="0025730A" w:rsidRPr="00E72750" w:rsidRDefault="0025730A" w:rsidP="0047371C">
            <w:r w:rsidRPr="00E72750">
              <w:t>3.0%</w:t>
            </w:r>
          </w:p>
        </w:tc>
      </w:tr>
    </w:tbl>
    <w:p w14:paraId="4C037EC3" w14:textId="77777777" w:rsidR="0025730A" w:rsidRPr="00E72750" w:rsidRDefault="0025730A" w:rsidP="0047371C">
      <w:pPr>
        <w:pStyle w:val="Boldhdg"/>
      </w:pPr>
      <w:r w:rsidRPr="00E72750">
        <w:t>Recommendation</w:t>
      </w:r>
      <w:r w:rsidR="00D00CDE">
        <w:t xml:space="preserve"> 7</w:t>
      </w:r>
    </w:p>
    <w:p w14:paraId="3D22D382" w14:textId="77777777" w:rsidR="00512F2C" w:rsidRPr="00E72750" w:rsidRDefault="003D5F62" w:rsidP="00352EC5">
      <w:pPr>
        <w:pStyle w:val="01squarebullet"/>
      </w:pPr>
      <w:r w:rsidRPr="00E72750">
        <w:t>Delete</w:t>
      </w:r>
      <w:r w:rsidR="00B329DB">
        <w:rPr>
          <w:rStyle w:val="FootnoteReference"/>
          <w:lang w:val="en-GB"/>
        </w:rPr>
        <w:footnoteReference w:id="7"/>
      </w:r>
      <w:r w:rsidR="00397539">
        <w:t xml:space="preserve"> item 30313, and instead use item</w:t>
      </w:r>
      <w:r w:rsidRPr="00E72750">
        <w:t xml:space="preserve"> </w:t>
      </w:r>
      <w:r w:rsidR="0025730A" w:rsidRPr="00E72750">
        <w:t>30314</w:t>
      </w:r>
      <w:r w:rsidR="00397539">
        <w:t>.</w:t>
      </w:r>
      <w:r w:rsidR="008170CC">
        <w:t xml:space="preserve"> </w:t>
      </w:r>
    </w:p>
    <w:p w14:paraId="7C1905CE" w14:textId="77777777" w:rsidR="00512F2C" w:rsidRPr="00E72750" w:rsidRDefault="0025730A" w:rsidP="00352EC5">
      <w:pPr>
        <w:pStyle w:val="01squarebullet"/>
      </w:pPr>
      <w:r w:rsidRPr="00E72750">
        <w:t xml:space="preserve">Change </w:t>
      </w:r>
      <w:r w:rsidR="00E3619F" w:rsidRPr="00E72750">
        <w:t xml:space="preserve">the </w:t>
      </w:r>
      <w:r w:rsidRPr="00E72750">
        <w:t xml:space="preserve">item descriptor </w:t>
      </w:r>
      <w:r w:rsidR="00974F88" w:rsidRPr="00E72750">
        <w:t xml:space="preserve">for item </w:t>
      </w:r>
      <w:r w:rsidRPr="00E72750">
        <w:t>30314</w:t>
      </w:r>
      <w:r w:rsidR="00EE44A3" w:rsidRPr="00E72750">
        <w:t xml:space="preserve"> to read:</w:t>
      </w:r>
      <w:r w:rsidRPr="00E72750">
        <w:t xml:space="preserve"> </w:t>
      </w:r>
      <w:r w:rsidR="004608AF" w:rsidRPr="00E72750">
        <w:t>“</w:t>
      </w:r>
      <w:proofErr w:type="spellStart"/>
      <w:r w:rsidRPr="00E72750">
        <w:t>Sistrunks</w:t>
      </w:r>
      <w:proofErr w:type="spellEnd"/>
      <w:r w:rsidRPr="00E72750">
        <w:t xml:space="preserve"> procedure. Excision of a thyroglossal duct cyst or fistula including removal of the body of the hyoid bone</w:t>
      </w:r>
      <w:r w:rsidR="004214B6" w:rsidRPr="00E72750">
        <w:t>.</w:t>
      </w:r>
      <w:r w:rsidR="00907F6A" w:rsidRPr="00E72750">
        <w:t xml:space="preserve"> (</w:t>
      </w:r>
      <w:proofErr w:type="spellStart"/>
      <w:r w:rsidR="00907F6A" w:rsidRPr="00E72750">
        <w:t>Anaes</w:t>
      </w:r>
      <w:proofErr w:type="spellEnd"/>
      <w:r w:rsidR="00907F6A" w:rsidRPr="00E72750">
        <w:t>.) (Assist.)</w:t>
      </w:r>
      <w:r w:rsidR="004608AF" w:rsidRPr="00E72750">
        <w:t>”</w:t>
      </w:r>
      <w:r w:rsidR="00907F6A" w:rsidRPr="00E72750">
        <w:t xml:space="preserve"> </w:t>
      </w:r>
    </w:p>
    <w:p w14:paraId="67009908" w14:textId="77777777" w:rsidR="0025730A" w:rsidRPr="00E72750" w:rsidRDefault="0025730A" w:rsidP="0047371C">
      <w:pPr>
        <w:pStyle w:val="Boldhdg"/>
      </w:pPr>
      <w:r w:rsidRPr="00E72750">
        <w:t>Rationale</w:t>
      </w:r>
    </w:p>
    <w:p w14:paraId="1CFBC903" w14:textId="77777777" w:rsidR="00512F2C" w:rsidRPr="00E72750" w:rsidRDefault="0025730A" w:rsidP="0047371C">
      <w:pPr>
        <w:rPr>
          <w:lang w:eastAsia="en-US"/>
        </w:rPr>
      </w:pPr>
      <w:r w:rsidRPr="00E72750">
        <w:rPr>
          <w:lang w:eastAsia="en-US"/>
        </w:rPr>
        <w:t xml:space="preserve">The </w:t>
      </w:r>
      <w:r w:rsidR="00265FE6" w:rsidRPr="00E72750">
        <w:rPr>
          <w:lang w:eastAsia="en-US"/>
        </w:rPr>
        <w:t>r</w:t>
      </w:r>
      <w:r w:rsidRPr="00E72750">
        <w:rPr>
          <w:lang w:eastAsia="en-US"/>
        </w:rPr>
        <w:t>ecommendation</w:t>
      </w:r>
      <w:r w:rsidR="00700ED3" w:rsidRPr="00E72750">
        <w:rPr>
          <w:lang w:eastAsia="en-US"/>
        </w:rPr>
        <w:t xml:space="preserve">s </w:t>
      </w:r>
      <w:r w:rsidRPr="00E72750">
        <w:rPr>
          <w:lang w:eastAsia="en-US"/>
        </w:rPr>
        <w:t>focu</w:t>
      </w:r>
      <w:r w:rsidR="00700ED3" w:rsidRPr="00E72750">
        <w:rPr>
          <w:lang w:eastAsia="en-US"/>
        </w:rPr>
        <w:t>s</w:t>
      </w:r>
      <w:r w:rsidRPr="00E72750">
        <w:rPr>
          <w:lang w:eastAsia="en-US"/>
        </w:rPr>
        <w:t xml:space="preserve"> on modernising the MBS by removing obsolete items that encourage su</w:t>
      </w:r>
      <w:r w:rsidR="00A421AC" w:rsidRPr="00E72750">
        <w:rPr>
          <w:lang w:eastAsia="en-US"/>
        </w:rPr>
        <w:t>b-</w:t>
      </w:r>
      <w:r w:rsidR="009D4107" w:rsidRPr="00E72750">
        <w:rPr>
          <w:lang w:eastAsia="en-US"/>
        </w:rPr>
        <w:t xml:space="preserve">optimal </w:t>
      </w:r>
      <w:r w:rsidR="00A421AC" w:rsidRPr="00E72750">
        <w:rPr>
          <w:lang w:eastAsia="en-US"/>
        </w:rPr>
        <w:t>clinical practice</w:t>
      </w:r>
      <w:r w:rsidRPr="00E72750">
        <w:rPr>
          <w:lang w:eastAsia="en-US"/>
        </w:rPr>
        <w:t xml:space="preserve">. They are based on </w:t>
      </w:r>
      <w:r w:rsidR="00A30AF7" w:rsidRPr="00E72750">
        <w:rPr>
          <w:lang w:eastAsia="en-US"/>
        </w:rPr>
        <w:t>the following</w:t>
      </w:r>
      <w:r w:rsidRPr="00E72750">
        <w:rPr>
          <w:lang w:eastAsia="en-US"/>
        </w:rPr>
        <w:t xml:space="preserve"> observations</w:t>
      </w:r>
      <w:r w:rsidR="00EE0A25" w:rsidRPr="00E72750">
        <w:rPr>
          <w:lang w:eastAsia="en-US"/>
        </w:rPr>
        <w:t>.</w:t>
      </w:r>
    </w:p>
    <w:p w14:paraId="025B2A4C" w14:textId="77777777" w:rsidR="00A421AC" w:rsidRPr="00E72750" w:rsidRDefault="00A30AF7" w:rsidP="00352EC5">
      <w:pPr>
        <w:pStyle w:val="01squarebullet"/>
      </w:pPr>
      <w:r w:rsidRPr="00E72750">
        <w:t>I</w:t>
      </w:r>
      <w:r w:rsidR="0025730A" w:rsidRPr="00E72750">
        <w:t xml:space="preserve">tem 30313 </w:t>
      </w:r>
      <w:r w:rsidRPr="00E72750">
        <w:t xml:space="preserve">is </w:t>
      </w:r>
      <w:r w:rsidR="0025730A" w:rsidRPr="00E72750">
        <w:t>obsolete as it</w:t>
      </w:r>
      <w:r w:rsidR="00A421AC" w:rsidRPr="00E72750">
        <w:t xml:space="preserve"> </w:t>
      </w:r>
      <w:r w:rsidR="0025730A" w:rsidRPr="00E72750">
        <w:t xml:space="preserve">has a higher </w:t>
      </w:r>
      <w:r w:rsidR="00D304C5" w:rsidRPr="00E72750">
        <w:t xml:space="preserve">cyst </w:t>
      </w:r>
      <w:r w:rsidR="0025730A" w:rsidRPr="00E72750">
        <w:t>recurrence rate</w:t>
      </w:r>
      <w:r w:rsidR="00C643C5" w:rsidRPr="00E72750">
        <w:t xml:space="preserve"> </w:t>
      </w:r>
      <w:r w:rsidR="0025730A" w:rsidRPr="00E72750">
        <w:t>than item 30314.</w:t>
      </w:r>
      <w:r w:rsidRPr="00E72750">
        <w:t xml:space="preserve"> </w:t>
      </w:r>
      <w:r w:rsidR="00E6619E" w:rsidRPr="00E72750">
        <w:t>The</w:t>
      </w:r>
      <w:r w:rsidR="00A421AC" w:rsidRPr="00E72750">
        <w:t xml:space="preserve"> recurrence rate after rem</w:t>
      </w:r>
      <w:r w:rsidR="000D22C2" w:rsidRPr="00E72750">
        <w:t xml:space="preserve">oving a cyst </w:t>
      </w:r>
      <w:r w:rsidR="00A421AC" w:rsidRPr="00E72750">
        <w:t>is</w:t>
      </w:r>
      <w:r w:rsidR="000D22C2" w:rsidRPr="00E72750">
        <w:t xml:space="preserve"> </w:t>
      </w:r>
      <w:r w:rsidR="00A421AC" w:rsidRPr="00E72750">
        <w:t>30</w:t>
      </w:r>
      <w:r w:rsidR="000A46C8" w:rsidRPr="00E72750">
        <w:t xml:space="preserve"> per</w:t>
      </w:r>
      <w:r w:rsidR="00F7162C" w:rsidRPr="00E72750">
        <w:t xml:space="preserve"> </w:t>
      </w:r>
      <w:r w:rsidR="000A46C8" w:rsidRPr="00E72750">
        <w:t>cent</w:t>
      </w:r>
      <w:r w:rsidR="00A421AC" w:rsidRPr="00E72750">
        <w:t xml:space="preserve">, </w:t>
      </w:r>
      <w:r w:rsidR="001D1D3B" w:rsidRPr="00E72750">
        <w:t>compared to less than 10 per cent after</w:t>
      </w:r>
      <w:r w:rsidR="00A421AC" w:rsidRPr="00E72750">
        <w:t xml:space="preserve"> removing a cyst/tract and body of the hyoid bone</w:t>
      </w:r>
      <w:r w:rsidR="00A05611" w:rsidRPr="00E72750">
        <w:t>.</w:t>
      </w:r>
      <w:r w:rsidR="00024ECF" w:rsidRPr="008170CC">
        <w:fldChar w:fldCharType="begin" w:fldLock="1"/>
      </w:r>
      <w:r w:rsidR="003360A6">
        <w:instrText>ADDIN CSL_CITATION { "citationItems" : [ { "id" : "ITEM-1", "itemData" : { "author" : [ { "dropping-particle" : "", "family" : "Gioacchini", "given" : "Federico Maria", "non-dropping-particle" : "", "parse-names" : false, "suffix" : "" }, { "dropping-particle" : "", "family" : "Alicandri-Ciufelli", "given" : "M", "non-dropping-particle" : "", "parse-names" : false, "suffix" : "" }, { "dropping-particle" : "", "family" : "Kaleci", "given" : "S", "non-dropping-particle" : "", "parse-names" : false, "suffix" : "" }, { "dropping-particle" : "", "family" : "Magilulo", "given" : "G", "non-dropping-particle" : "", "parse-names" : false, "suffix" : "" }, { "dropping-particle" : "", "family" : "Presutti", "given" : "L", "non-dropping-particle" : "", "parse-names" : false, "suffix" : "" }, { "dropping-particle" : "", "family" : "Re", "given" : "M", "non-dropping-particle" : "", "parse-names" : false, "suffix" : "" } ], "container-title" : "International Journal of Oral &amp; Maxillofacial Surgery", "id" : "ITEM-1", "issue" : "1", "issued" : { "date-parts" : [ [ "2015" ] ] }, "page" : "119-26", "title" : "Clinical presentation and treatment outcomes of thyroglossal duct cysts: a systematic review", "type" : "article-journal", "volume" : "44" }, "uris" : [ "http://www.mendeley.com/documents/?uuid=fecac9ba-b706-4eaf-b339-e4b1435664e7" ] } ], "mendeley" : { "formattedCitation" : "[17]", "plainTextFormattedCitation" : "[17]", "previouslyFormattedCitation" : "[16]" }, "properties" : { "noteIndex" : 0 }, "schema" : "https://github.com/citation-style-language/schema/raw/master/csl-citation.json" }</w:instrText>
      </w:r>
      <w:r w:rsidR="00024ECF" w:rsidRPr="008170CC">
        <w:fldChar w:fldCharType="separate"/>
      </w:r>
      <w:r w:rsidR="003360A6" w:rsidRPr="003360A6">
        <w:rPr>
          <w:noProof/>
        </w:rPr>
        <w:t>[17]</w:t>
      </w:r>
      <w:r w:rsidR="00024ECF" w:rsidRPr="008170CC">
        <w:fldChar w:fldCharType="end"/>
      </w:r>
    </w:p>
    <w:p w14:paraId="7E724D8B" w14:textId="77777777" w:rsidR="00512F2C" w:rsidRDefault="00766F72" w:rsidP="00352EC5">
      <w:pPr>
        <w:pStyle w:val="01squarebullet"/>
      </w:pPr>
      <w:r w:rsidRPr="00E72750">
        <w:t>C</w:t>
      </w:r>
      <w:r w:rsidR="009B6CBC" w:rsidRPr="00E72750">
        <w:t>linical practice</w:t>
      </w:r>
      <w:r w:rsidRPr="00E72750">
        <w:t xml:space="preserve"> is changing</w:t>
      </w:r>
      <w:r w:rsidR="00521CD8" w:rsidRPr="00E72750">
        <w:t>, reflecting a shift away from</w:t>
      </w:r>
      <w:r w:rsidR="00C7013A" w:rsidRPr="00E72750">
        <w:t xml:space="preserve"> using</w:t>
      </w:r>
      <w:r w:rsidR="00521CD8" w:rsidRPr="00E72750">
        <w:t xml:space="preserve"> obsolete item 30313</w:t>
      </w:r>
      <w:r w:rsidR="00EC044E" w:rsidRPr="00E72750">
        <w:t>.</w:t>
      </w:r>
      <w:r w:rsidR="009B6CBC" w:rsidRPr="00E72750">
        <w:t xml:space="preserve"> </w:t>
      </w:r>
      <w:r w:rsidR="00EC044E" w:rsidRPr="00E72750">
        <w:t>T</w:t>
      </w:r>
      <w:r w:rsidR="00A25974" w:rsidRPr="00E72750">
        <w:t xml:space="preserve">he service volume for </w:t>
      </w:r>
      <w:r w:rsidR="00283D7C" w:rsidRPr="00E72750">
        <w:t>i</w:t>
      </w:r>
      <w:r w:rsidR="00EC044E" w:rsidRPr="00E72750">
        <w:t>tem</w:t>
      </w:r>
      <w:r w:rsidR="0025730A" w:rsidRPr="00E72750">
        <w:t xml:space="preserve"> 30313 has </w:t>
      </w:r>
      <w:r w:rsidR="007C2CD4" w:rsidRPr="00E72750">
        <w:t xml:space="preserve">declined </w:t>
      </w:r>
      <w:r w:rsidR="0025730A" w:rsidRPr="00E72750">
        <w:t xml:space="preserve">by </w:t>
      </w:r>
      <w:r w:rsidR="00F7162C" w:rsidRPr="00E72750">
        <w:t xml:space="preserve">an average of </w:t>
      </w:r>
      <w:r w:rsidR="0025730A" w:rsidRPr="00E72750">
        <w:t>5.3</w:t>
      </w:r>
      <w:r w:rsidR="002E292C" w:rsidRPr="00E72750">
        <w:t xml:space="preserve"> per cent</w:t>
      </w:r>
      <w:r w:rsidR="000D22C2" w:rsidRPr="00E72750">
        <w:t xml:space="preserve"> per year </w:t>
      </w:r>
      <w:r w:rsidR="00E4446F" w:rsidRPr="00E72750">
        <w:t>over</w:t>
      </w:r>
      <w:r w:rsidR="0025730A" w:rsidRPr="00E72750">
        <w:t xml:space="preserve"> the last </w:t>
      </w:r>
      <w:r w:rsidR="00E4446F" w:rsidRPr="00E72750">
        <w:t>five</w:t>
      </w:r>
      <w:r w:rsidR="0025730A" w:rsidRPr="00E72750">
        <w:t xml:space="preserve"> years</w:t>
      </w:r>
      <w:r w:rsidR="00F216BD" w:rsidRPr="00E72750">
        <w:t>,</w:t>
      </w:r>
      <w:r w:rsidR="002005FF" w:rsidRPr="00E72750">
        <w:t xml:space="preserve"> and the service volume for item 30314 has </w:t>
      </w:r>
      <w:r w:rsidR="001940AC" w:rsidRPr="00E72750">
        <w:t>increased</w:t>
      </w:r>
      <w:r w:rsidR="002005FF" w:rsidRPr="00E72750">
        <w:t xml:space="preserve"> </w:t>
      </w:r>
      <w:r w:rsidR="0025730A" w:rsidRPr="00E72750">
        <w:t xml:space="preserve">by </w:t>
      </w:r>
      <w:r w:rsidR="007C4DAC" w:rsidRPr="00E72750">
        <w:t>3 per cent</w:t>
      </w:r>
      <w:r w:rsidR="000D22C2" w:rsidRPr="00E72750">
        <w:t xml:space="preserve"> per year</w:t>
      </w:r>
      <w:r w:rsidR="0025730A" w:rsidRPr="00E72750">
        <w:t>.</w:t>
      </w:r>
      <w:r w:rsidR="008037E1">
        <w:fldChar w:fldCharType="begin" w:fldLock="1"/>
      </w:r>
      <w:r w:rsidR="003360A6">
        <w:instrText>ADDIN CSL_CITATION { "citationItems" : [ { "id" : "ITEM-1", "itemData" : { "author" : [ { "dropping-particle" : "", "family" : "Department of Health Australia", "given" : "Medicare Reviews Unit", "non-dropping-particle" : "", "parse-names" : false, "suffix" : "" } ], "id" : "ITEM-1", "issued" : { "date-parts" : [ [ "2016" ] ] }, "title" : "MBS data", "type" : "report" }, "uris" : [ "http://www.mendeley.com/documents/?uuid=71a40718-ae46-45cd-add3-df8b7bd9730f" ] } ], "mendeley" : { "formattedCitation" : "[2]", "plainTextFormattedCitation" : "[2]", "previouslyFormattedCitation" : "[2]" }, "properties" : { "noteIndex" : 0 }, "schema" : "https://github.com/citation-style-language/schema/raw/master/csl-citation.json" }</w:instrText>
      </w:r>
      <w:r w:rsidR="008037E1">
        <w:fldChar w:fldCharType="separate"/>
      </w:r>
      <w:r w:rsidR="003360A6" w:rsidRPr="003360A6">
        <w:rPr>
          <w:noProof/>
        </w:rPr>
        <w:t>[2]</w:t>
      </w:r>
      <w:r w:rsidR="008037E1">
        <w:fldChar w:fldCharType="end"/>
      </w:r>
      <w:r w:rsidR="00EC044E" w:rsidRPr="00E72750">
        <w:t xml:space="preserve"> </w:t>
      </w:r>
    </w:p>
    <w:p w14:paraId="0215C696" w14:textId="77777777" w:rsidR="0047330D" w:rsidRDefault="00B21AC6" w:rsidP="00352EC5">
      <w:pPr>
        <w:pStyle w:val="01squarebullet"/>
      </w:pPr>
      <w:r>
        <w:t xml:space="preserve">There are no access issues caused by the minimum age specified in item 30314 as an equivalent item number (30326) exists for patients under 10 years of age. </w:t>
      </w:r>
    </w:p>
    <w:p w14:paraId="18702111" w14:textId="77777777" w:rsidR="00B21AC6" w:rsidRPr="0047330D" w:rsidRDefault="0047330D" w:rsidP="00AE62D5">
      <w:r>
        <w:br w:type="page"/>
      </w:r>
    </w:p>
    <w:p w14:paraId="20B141FA" w14:textId="77777777" w:rsidR="00BA77F1" w:rsidRPr="00E72750" w:rsidRDefault="00BA77F1" w:rsidP="00AE62D5">
      <w:pPr>
        <w:pStyle w:val="Heading2"/>
      </w:pPr>
      <w:bookmarkStart w:id="73" w:name="_Toc456045441"/>
      <w:bookmarkStart w:id="74" w:name="_Toc485298031"/>
      <w:proofErr w:type="spellStart"/>
      <w:r w:rsidRPr="008170CC">
        <w:lastRenderedPageBreak/>
        <w:t>Tumour</w:t>
      </w:r>
      <w:proofErr w:type="spellEnd"/>
      <w:r w:rsidRPr="008170CC">
        <w:t xml:space="preserve"> removal</w:t>
      </w:r>
      <w:r w:rsidR="002F2104" w:rsidRPr="008170CC">
        <w:t>:</w:t>
      </w:r>
      <w:r w:rsidRPr="008170CC">
        <w:t xml:space="preserve"> </w:t>
      </w:r>
      <w:r w:rsidR="001D28D0" w:rsidRPr="008170CC">
        <w:t>I</w:t>
      </w:r>
      <w:r w:rsidRPr="008170CC">
        <w:t>tems 30321</w:t>
      </w:r>
      <w:r w:rsidR="00B9773C" w:rsidRPr="008170CC">
        <w:t>, 30323–</w:t>
      </w:r>
      <w:r w:rsidRPr="008170CC">
        <w:t xml:space="preserve">4 </w:t>
      </w:r>
      <w:r w:rsidR="00B9773C" w:rsidRPr="008170CC">
        <w:t>and</w:t>
      </w:r>
      <w:r w:rsidRPr="008170CC">
        <w:t xml:space="preserve"> 36500</w:t>
      </w:r>
      <w:bookmarkEnd w:id="71"/>
      <w:bookmarkEnd w:id="73"/>
      <w:bookmarkEnd w:id="74"/>
    </w:p>
    <w:p w14:paraId="4B3CD229" w14:textId="77777777" w:rsidR="0047330D" w:rsidRPr="00717067" w:rsidRDefault="0047330D" w:rsidP="00AE62D5">
      <w:pPr>
        <w:pStyle w:val="Caption"/>
      </w:pPr>
      <w:bookmarkStart w:id="75" w:name="_Toc485127117"/>
      <w:r w:rsidRPr="00AE62D5">
        <w:rPr>
          <w:b w:val="0"/>
        </w:rPr>
        <w:t xml:space="preserve">Table </w:t>
      </w:r>
      <w:r w:rsidRPr="00AE62D5">
        <w:rPr>
          <w:b w:val="0"/>
        </w:rPr>
        <w:fldChar w:fldCharType="begin"/>
      </w:r>
      <w:r w:rsidRPr="00AE62D5">
        <w:rPr>
          <w:b w:val="0"/>
        </w:rPr>
        <w:instrText xml:space="preserve"> SEQ Table \* ARABIC </w:instrText>
      </w:r>
      <w:r w:rsidRPr="00AE62D5">
        <w:rPr>
          <w:b w:val="0"/>
        </w:rPr>
        <w:fldChar w:fldCharType="separate"/>
      </w:r>
      <w:r w:rsidR="00DC5AF7">
        <w:rPr>
          <w:b w:val="0"/>
          <w:noProof/>
        </w:rPr>
        <w:t>8</w:t>
      </w:r>
      <w:r w:rsidRPr="00AE62D5">
        <w:rPr>
          <w:b w:val="0"/>
        </w:rPr>
        <w:fldChar w:fldCharType="end"/>
      </w:r>
      <w:r w:rsidRPr="00AE62D5">
        <w:rPr>
          <w:b w:val="0"/>
        </w:rPr>
        <w:t>: Item introduction table for items 30321, 30323–4 and 36500</w:t>
      </w:r>
      <w:bookmarkEnd w:id="7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8 shows the item introduction table for Tumour removal items 30321, 30323-4 and 36500.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w:tblPr>
      <w:tblGrid>
        <w:gridCol w:w="715"/>
        <w:gridCol w:w="4161"/>
        <w:gridCol w:w="950"/>
        <w:gridCol w:w="999"/>
        <w:gridCol w:w="999"/>
        <w:gridCol w:w="1192"/>
      </w:tblGrid>
      <w:tr w:rsidR="00BA77F1" w:rsidRPr="00E72750" w14:paraId="5A767B2E" w14:textId="77777777" w:rsidTr="00AE62D5">
        <w:trPr>
          <w:tblHeader/>
        </w:trPr>
        <w:tc>
          <w:tcPr>
            <w:tcW w:w="719" w:type="dxa"/>
            <w:shd w:val="clear" w:color="auto" w:fill="D9D9D9" w:themeFill="background1" w:themeFillShade="D9"/>
            <w:vAlign w:val="bottom"/>
          </w:tcPr>
          <w:p w14:paraId="77574D87" w14:textId="77777777" w:rsidR="00BA77F1" w:rsidRPr="00E72750" w:rsidRDefault="00BA77F1" w:rsidP="00801E5A">
            <w:pPr>
              <w:pStyle w:val="02Tabletext"/>
              <w:spacing w:after="20"/>
              <w:rPr>
                <w:rFonts w:cs="Arial"/>
                <w:b/>
                <w:lang w:val="en-GB"/>
              </w:rPr>
            </w:pPr>
            <w:r w:rsidRPr="00E72750">
              <w:rPr>
                <w:rFonts w:cs="Arial"/>
                <w:b/>
                <w:lang w:val="en-GB"/>
              </w:rPr>
              <w:t>Item</w:t>
            </w:r>
          </w:p>
        </w:tc>
        <w:tc>
          <w:tcPr>
            <w:tcW w:w="4214" w:type="dxa"/>
            <w:shd w:val="clear" w:color="auto" w:fill="D9D9D9" w:themeFill="background1" w:themeFillShade="D9"/>
            <w:vAlign w:val="bottom"/>
          </w:tcPr>
          <w:p w14:paraId="6B461DB1" w14:textId="77777777" w:rsidR="00BA77F1" w:rsidRPr="00E72750" w:rsidRDefault="00BA77F1" w:rsidP="00801E5A">
            <w:pPr>
              <w:pStyle w:val="02Tabletext"/>
              <w:spacing w:after="20"/>
              <w:rPr>
                <w:rFonts w:cs="Arial"/>
                <w:b/>
                <w:lang w:val="en-GB"/>
              </w:rPr>
            </w:pPr>
            <w:r w:rsidRPr="00E72750">
              <w:rPr>
                <w:rFonts w:cs="Arial"/>
                <w:b/>
                <w:lang w:val="en-GB"/>
              </w:rPr>
              <w:t>Descriptor [date last amended]</w:t>
            </w:r>
          </w:p>
        </w:tc>
        <w:tc>
          <w:tcPr>
            <w:tcW w:w="950" w:type="dxa"/>
            <w:shd w:val="clear" w:color="auto" w:fill="D9D9D9" w:themeFill="background1" w:themeFillShade="D9"/>
            <w:vAlign w:val="bottom"/>
          </w:tcPr>
          <w:p w14:paraId="7BEDEDA2" w14:textId="77777777" w:rsidR="00BA77F1" w:rsidRPr="00E72750" w:rsidRDefault="00BA77F1" w:rsidP="00801E5A">
            <w:pPr>
              <w:pStyle w:val="02Tabletext"/>
              <w:spacing w:after="20"/>
              <w:rPr>
                <w:rFonts w:cs="Arial"/>
                <w:b/>
                <w:lang w:val="en-GB"/>
              </w:rPr>
            </w:pPr>
            <w:r w:rsidRPr="00E72750">
              <w:rPr>
                <w:rFonts w:cs="Arial"/>
                <w:b/>
                <w:lang w:val="en-GB"/>
              </w:rPr>
              <w:t>Schedule</w:t>
            </w:r>
          </w:p>
          <w:p w14:paraId="71C25410" w14:textId="77777777" w:rsidR="00BA77F1" w:rsidRPr="00E72750" w:rsidRDefault="00BA77F1" w:rsidP="00801E5A">
            <w:pPr>
              <w:pStyle w:val="02Tabletext"/>
              <w:spacing w:after="20"/>
              <w:rPr>
                <w:rFonts w:cs="Arial"/>
                <w:b/>
                <w:lang w:val="en-GB"/>
              </w:rPr>
            </w:pPr>
            <w:r w:rsidRPr="00E72750">
              <w:rPr>
                <w:rFonts w:cs="Arial"/>
                <w:b/>
                <w:lang w:val="en-GB"/>
              </w:rPr>
              <w:t>fee</w:t>
            </w:r>
          </w:p>
        </w:tc>
        <w:tc>
          <w:tcPr>
            <w:tcW w:w="1000" w:type="dxa"/>
            <w:shd w:val="clear" w:color="auto" w:fill="D9D9D9" w:themeFill="background1" w:themeFillShade="D9"/>
            <w:vAlign w:val="bottom"/>
          </w:tcPr>
          <w:p w14:paraId="471FDF86" w14:textId="77777777" w:rsidR="00BA77F1" w:rsidRPr="00E72750" w:rsidRDefault="00BA77F1" w:rsidP="00801E5A">
            <w:pPr>
              <w:pStyle w:val="02Tabletext"/>
              <w:spacing w:after="20"/>
              <w:rPr>
                <w:rFonts w:cs="Arial"/>
                <w:b/>
                <w:lang w:val="en-GB"/>
              </w:rPr>
            </w:pPr>
            <w:r w:rsidRPr="00E72750">
              <w:rPr>
                <w:rFonts w:cs="Arial"/>
                <w:b/>
                <w:lang w:val="en-GB"/>
              </w:rPr>
              <w:t>Services FY2014/15</w:t>
            </w:r>
          </w:p>
        </w:tc>
        <w:tc>
          <w:tcPr>
            <w:tcW w:w="1000" w:type="dxa"/>
            <w:shd w:val="clear" w:color="auto" w:fill="D9D9D9" w:themeFill="background1" w:themeFillShade="D9"/>
            <w:vAlign w:val="bottom"/>
          </w:tcPr>
          <w:p w14:paraId="2CCEFF4F" w14:textId="77777777" w:rsidR="00BA77F1" w:rsidRPr="00E72750" w:rsidRDefault="00BA77F1" w:rsidP="00801E5A">
            <w:pPr>
              <w:pStyle w:val="02Tabletext"/>
              <w:spacing w:after="20"/>
              <w:rPr>
                <w:rFonts w:cs="Arial"/>
                <w:b/>
                <w:lang w:val="en-GB"/>
              </w:rPr>
            </w:pPr>
            <w:r w:rsidRPr="00E72750">
              <w:rPr>
                <w:rFonts w:cs="Arial"/>
                <w:b/>
                <w:lang w:val="en-GB"/>
              </w:rPr>
              <w:t>Benefits FY2014/15</w:t>
            </w:r>
          </w:p>
        </w:tc>
        <w:tc>
          <w:tcPr>
            <w:tcW w:w="1199" w:type="dxa"/>
            <w:shd w:val="clear" w:color="auto" w:fill="D9D9D9" w:themeFill="background1" w:themeFillShade="D9"/>
            <w:vAlign w:val="bottom"/>
          </w:tcPr>
          <w:p w14:paraId="1C253532" w14:textId="77777777" w:rsidR="00BA77F1" w:rsidRPr="00E72750" w:rsidRDefault="00BA77F1" w:rsidP="00801E5A">
            <w:pPr>
              <w:pStyle w:val="02Tabletext"/>
              <w:spacing w:after="20"/>
              <w:rPr>
                <w:rFonts w:cs="Arial"/>
                <w:b/>
                <w:lang w:val="en-GB"/>
              </w:rPr>
            </w:pPr>
            <w:r w:rsidRPr="00E72750">
              <w:rPr>
                <w:rFonts w:cs="Arial"/>
                <w:b/>
                <w:lang w:val="en-GB"/>
              </w:rPr>
              <w:t xml:space="preserve">Services </w:t>
            </w:r>
            <w:proofErr w:type="gramStart"/>
            <w:r w:rsidRPr="00E72750">
              <w:rPr>
                <w:rFonts w:cs="Arial"/>
                <w:b/>
                <w:lang w:val="en-GB"/>
              </w:rPr>
              <w:t>5 year</w:t>
            </w:r>
            <w:proofErr w:type="gramEnd"/>
            <w:r w:rsidRPr="00E72750">
              <w:rPr>
                <w:rFonts w:cs="Arial"/>
                <w:b/>
                <w:lang w:val="en-GB"/>
              </w:rPr>
              <w:t xml:space="preserve"> annual avg. growth</w:t>
            </w:r>
          </w:p>
        </w:tc>
      </w:tr>
      <w:tr w:rsidR="00BA77F1" w:rsidRPr="00E72750" w14:paraId="56033217" w14:textId="77777777" w:rsidTr="00AE62D5">
        <w:tc>
          <w:tcPr>
            <w:tcW w:w="719" w:type="dxa"/>
          </w:tcPr>
          <w:p w14:paraId="0E608083" w14:textId="77777777" w:rsidR="00BA77F1" w:rsidRPr="00E72750" w:rsidRDefault="00BA77F1" w:rsidP="00801E5A">
            <w:pPr>
              <w:pStyle w:val="02Tabletext"/>
              <w:spacing w:after="20"/>
              <w:rPr>
                <w:rFonts w:cs="Arial"/>
                <w:lang w:val="en-GB"/>
              </w:rPr>
            </w:pPr>
            <w:r w:rsidRPr="00E72750">
              <w:rPr>
                <w:rFonts w:cs="Arial"/>
                <w:lang w:val="en-GB"/>
              </w:rPr>
              <w:t xml:space="preserve">30321 </w:t>
            </w:r>
          </w:p>
        </w:tc>
        <w:tc>
          <w:tcPr>
            <w:tcW w:w="4214" w:type="dxa"/>
          </w:tcPr>
          <w:p w14:paraId="272ECB2D" w14:textId="77777777" w:rsidR="00BA77F1" w:rsidRPr="00E72750" w:rsidRDefault="00BA77F1" w:rsidP="00801E5A">
            <w:pPr>
              <w:pStyle w:val="02Tabletext"/>
              <w:spacing w:after="20"/>
              <w:rPr>
                <w:rFonts w:cs="Arial"/>
                <w:szCs w:val="18"/>
                <w:lang w:val="en-GB"/>
              </w:rPr>
            </w:pPr>
            <w:r w:rsidRPr="00E72750">
              <w:rPr>
                <w:rFonts w:cs="Arial"/>
                <w:color w:val="000000"/>
                <w:szCs w:val="18"/>
                <w:lang w:val="en-GB"/>
              </w:rPr>
              <w:t>Retroperitoneal neuroendocrine tumour, removal of</w:t>
            </w:r>
            <w:r w:rsidR="005D2652"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50" w:type="dxa"/>
          </w:tcPr>
          <w:p w14:paraId="49354FEB" w14:textId="77777777" w:rsidR="00BA77F1" w:rsidRPr="00E72750" w:rsidRDefault="00BA77F1" w:rsidP="0047371C">
            <w:r w:rsidRPr="00E72750">
              <w:t>$907.60</w:t>
            </w:r>
          </w:p>
        </w:tc>
        <w:tc>
          <w:tcPr>
            <w:tcW w:w="1000" w:type="dxa"/>
          </w:tcPr>
          <w:p w14:paraId="1D47CAA8" w14:textId="77777777" w:rsidR="00BA77F1" w:rsidRPr="00E72750" w:rsidRDefault="00BA77F1" w:rsidP="0047371C">
            <w:r w:rsidRPr="00E72750">
              <w:t>13</w:t>
            </w:r>
          </w:p>
        </w:tc>
        <w:tc>
          <w:tcPr>
            <w:tcW w:w="1000" w:type="dxa"/>
          </w:tcPr>
          <w:p w14:paraId="6636522A" w14:textId="77777777" w:rsidR="00BA77F1" w:rsidRPr="00E72750" w:rsidRDefault="00BA77F1" w:rsidP="0047371C">
            <w:r w:rsidRPr="00E72750">
              <w:t>$7,053</w:t>
            </w:r>
          </w:p>
        </w:tc>
        <w:tc>
          <w:tcPr>
            <w:tcW w:w="1199" w:type="dxa"/>
          </w:tcPr>
          <w:p w14:paraId="4CFB0BDE" w14:textId="77777777" w:rsidR="00BA77F1" w:rsidRPr="00E72750" w:rsidRDefault="00BA77F1" w:rsidP="0047371C">
            <w:r w:rsidRPr="00E72750">
              <w:t>-9.1%</w:t>
            </w:r>
          </w:p>
        </w:tc>
      </w:tr>
      <w:tr w:rsidR="00BA77F1" w:rsidRPr="00E72750" w14:paraId="43A1ED83" w14:textId="77777777" w:rsidTr="00AE62D5">
        <w:tc>
          <w:tcPr>
            <w:tcW w:w="719" w:type="dxa"/>
          </w:tcPr>
          <w:p w14:paraId="53A59284" w14:textId="77777777" w:rsidR="00BA77F1" w:rsidRPr="00E72750" w:rsidRDefault="00BA77F1" w:rsidP="00801E5A">
            <w:pPr>
              <w:pStyle w:val="02Tabletext"/>
              <w:spacing w:after="20"/>
              <w:rPr>
                <w:rFonts w:cs="Arial"/>
                <w:lang w:val="en-GB"/>
              </w:rPr>
            </w:pPr>
            <w:r w:rsidRPr="00E72750">
              <w:rPr>
                <w:rFonts w:cs="Arial"/>
                <w:lang w:val="en-GB"/>
              </w:rPr>
              <w:t>30323</w:t>
            </w:r>
          </w:p>
        </w:tc>
        <w:tc>
          <w:tcPr>
            <w:tcW w:w="4214" w:type="dxa"/>
          </w:tcPr>
          <w:p w14:paraId="11F2BCF4" w14:textId="77777777" w:rsidR="00BA77F1" w:rsidRPr="00E72750" w:rsidRDefault="00BA77F1" w:rsidP="00801E5A">
            <w:pPr>
              <w:pStyle w:val="02Tabletext"/>
              <w:spacing w:after="20"/>
              <w:rPr>
                <w:rFonts w:cs="Arial"/>
                <w:szCs w:val="18"/>
                <w:lang w:val="en-GB"/>
              </w:rPr>
            </w:pPr>
            <w:r w:rsidRPr="00E72750">
              <w:rPr>
                <w:rFonts w:cs="Arial"/>
                <w:color w:val="000000"/>
                <w:szCs w:val="18"/>
                <w:lang w:val="en-GB"/>
              </w:rPr>
              <w:t>Retroperitoneal neuroendocrine tumour, removal of, requiring complex and extensive dissection</w:t>
            </w:r>
            <w:r w:rsidR="005D2652"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50" w:type="dxa"/>
          </w:tcPr>
          <w:p w14:paraId="28479ECE" w14:textId="77777777" w:rsidR="00BA77F1" w:rsidRPr="00E72750" w:rsidRDefault="00BA77F1" w:rsidP="0047371C">
            <w:r w:rsidRPr="00E72750">
              <w:t>$1,364.90</w:t>
            </w:r>
          </w:p>
        </w:tc>
        <w:tc>
          <w:tcPr>
            <w:tcW w:w="1000" w:type="dxa"/>
          </w:tcPr>
          <w:p w14:paraId="5EA40739" w14:textId="77777777" w:rsidR="00BA77F1" w:rsidRPr="00E72750" w:rsidRDefault="00BA77F1" w:rsidP="0047371C">
            <w:r w:rsidRPr="00E72750">
              <w:t>97</w:t>
            </w:r>
          </w:p>
        </w:tc>
        <w:tc>
          <w:tcPr>
            <w:tcW w:w="1000" w:type="dxa"/>
          </w:tcPr>
          <w:p w14:paraId="55B5ECFF" w14:textId="77777777" w:rsidR="00BA77F1" w:rsidRPr="00E72750" w:rsidRDefault="00BA77F1" w:rsidP="0047371C">
            <w:r w:rsidRPr="00E72750">
              <w:t>$87,826</w:t>
            </w:r>
          </w:p>
        </w:tc>
        <w:tc>
          <w:tcPr>
            <w:tcW w:w="1199" w:type="dxa"/>
          </w:tcPr>
          <w:p w14:paraId="3F51E3EE" w14:textId="77777777" w:rsidR="00BA77F1" w:rsidRPr="00E72750" w:rsidRDefault="00BA77F1" w:rsidP="0047371C">
            <w:r w:rsidRPr="00E72750">
              <w:t>1.5%</w:t>
            </w:r>
          </w:p>
        </w:tc>
      </w:tr>
      <w:tr w:rsidR="00BA77F1" w:rsidRPr="00E72750" w14:paraId="6B0243DE" w14:textId="77777777" w:rsidTr="00AE62D5">
        <w:tc>
          <w:tcPr>
            <w:tcW w:w="719" w:type="dxa"/>
          </w:tcPr>
          <w:p w14:paraId="3621A271" w14:textId="77777777" w:rsidR="00BA77F1" w:rsidRPr="00E72750" w:rsidRDefault="00BA77F1" w:rsidP="00801E5A">
            <w:pPr>
              <w:pStyle w:val="02Tabletext"/>
              <w:spacing w:after="20"/>
              <w:rPr>
                <w:rFonts w:cs="Arial"/>
                <w:lang w:val="en-GB"/>
              </w:rPr>
            </w:pPr>
            <w:r w:rsidRPr="00E72750">
              <w:rPr>
                <w:rFonts w:cs="Arial"/>
                <w:lang w:val="en-GB"/>
              </w:rPr>
              <w:t>30324</w:t>
            </w:r>
          </w:p>
        </w:tc>
        <w:tc>
          <w:tcPr>
            <w:tcW w:w="4214" w:type="dxa"/>
          </w:tcPr>
          <w:p w14:paraId="43619973" w14:textId="77777777" w:rsidR="00BA77F1" w:rsidRPr="00E72750" w:rsidRDefault="00BA77F1" w:rsidP="00801E5A">
            <w:pPr>
              <w:pStyle w:val="02Tabletext"/>
              <w:spacing w:after="20"/>
              <w:rPr>
                <w:rFonts w:cs="Arial"/>
                <w:szCs w:val="18"/>
                <w:lang w:val="en-GB"/>
              </w:rPr>
            </w:pPr>
            <w:r w:rsidRPr="00E72750">
              <w:rPr>
                <w:rFonts w:cs="Arial"/>
                <w:color w:val="000000"/>
                <w:szCs w:val="18"/>
                <w:lang w:val="en-GB"/>
              </w:rPr>
              <w:t>Adrenal gland tumour, excision of</w:t>
            </w:r>
            <w:r w:rsidR="005D2652" w:rsidRPr="00E72750">
              <w:rPr>
                <w:rFonts w:cs="Arial"/>
                <w:color w:val="000000"/>
                <w:szCs w:val="18"/>
                <w:lang w:val="en-GB"/>
              </w:rPr>
              <w:t>.</w:t>
            </w:r>
            <w:r w:rsidRPr="00E72750">
              <w:rPr>
                <w:rFonts w:cs="Arial"/>
                <w:color w:val="000000"/>
                <w:szCs w:val="18"/>
                <w:lang w:val="en-GB"/>
              </w:rPr>
              <w:t xml:space="preserve"> (</w:t>
            </w:r>
            <w:proofErr w:type="spellStart"/>
            <w:r w:rsidRPr="00E72750">
              <w:rPr>
                <w:rFonts w:cs="Arial"/>
                <w:color w:val="000000"/>
                <w:szCs w:val="18"/>
                <w:lang w:val="en-GB"/>
              </w:rPr>
              <w:t>Anaes</w:t>
            </w:r>
            <w:proofErr w:type="spellEnd"/>
            <w:r w:rsidRPr="00E72750">
              <w:rPr>
                <w:rFonts w:cs="Arial"/>
                <w:color w:val="000000"/>
                <w:szCs w:val="18"/>
                <w:lang w:val="en-GB"/>
              </w:rPr>
              <w:t>.) (Assist.) [1992]</w:t>
            </w:r>
          </w:p>
        </w:tc>
        <w:tc>
          <w:tcPr>
            <w:tcW w:w="950" w:type="dxa"/>
          </w:tcPr>
          <w:p w14:paraId="1248A6CC" w14:textId="77777777" w:rsidR="00BA77F1" w:rsidRPr="00E72750" w:rsidRDefault="00BA77F1" w:rsidP="0047371C">
            <w:r w:rsidRPr="00E72750">
              <w:t>$1,364.90</w:t>
            </w:r>
          </w:p>
        </w:tc>
        <w:tc>
          <w:tcPr>
            <w:tcW w:w="1000" w:type="dxa"/>
          </w:tcPr>
          <w:p w14:paraId="0833A7AB" w14:textId="77777777" w:rsidR="00BA77F1" w:rsidRPr="00E72750" w:rsidRDefault="00BA77F1" w:rsidP="0047371C">
            <w:r w:rsidRPr="00E72750">
              <w:t>275</w:t>
            </w:r>
          </w:p>
        </w:tc>
        <w:tc>
          <w:tcPr>
            <w:tcW w:w="1000" w:type="dxa"/>
          </w:tcPr>
          <w:p w14:paraId="40B41081" w14:textId="77777777" w:rsidR="00BA77F1" w:rsidRPr="00E72750" w:rsidRDefault="00BA77F1" w:rsidP="0047371C">
            <w:r w:rsidRPr="00E72750">
              <w:t>$267,754</w:t>
            </w:r>
          </w:p>
        </w:tc>
        <w:tc>
          <w:tcPr>
            <w:tcW w:w="1199" w:type="dxa"/>
          </w:tcPr>
          <w:p w14:paraId="56EA0658" w14:textId="77777777" w:rsidR="00BA77F1" w:rsidRPr="00E72750" w:rsidRDefault="00BA77F1" w:rsidP="0047371C">
            <w:r w:rsidRPr="00E72750">
              <w:t>6.8%</w:t>
            </w:r>
          </w:p>
        </w:tc>
      </w:tr>
      <w:tr w:rsidR="00BA77F1" w:rsidRPr="00E72750" w14:paraId="4A600FCD" w14:textId="77777777" w:rsidTr="00AE62D5">
        <w:tc>
          <w:tcPr>
            <w:tcW w:w="719" w:type="dxa"/>
          </w:tcPr>
          <w:p w14:paraId="50F29D0D" w14:textId="77777777" w:rsidR="00BA77F1" w:rsidRPr="00E72750" w:rsidRDefault="00BA77F1" w:rsidP="00801E5A">
            <w:pPr>
              <w:pStyle w:val="02Tabletext"/>
              <w:spacing w:after="20"/>
              <w:rPr>
                <w:rFonts w:cs="Arial"/>
                <w:lang w:val="en-GB"/>
              </w:rPr>
            </w:pPr>
            <w:r w:rsidRPr="00E72750">
              <w:rPr>
                <w:rFonts w:cs="Arial"/>
                <w:lang w:val="en-GB"/>
              </w:rPr>
              <w:t>36500</w:t>
            </w:r>
          </w:p>
        </w:tc>
        <w:tc>
          <w:tcPr>
            <w:tcW w:w="4214" w:type="dxa"/>
          </w:tcPr>
          <w:p w14:paraId="067FC9E0" w14:textId="77777777" w:rsidR="00BA77F1" w:rsidRPr="00E72750" w:rsidRDefault="00BA77F1" w:rsidP="00542BA4">
            <w:pPr>
              <w:pStyle w:val="02Tabletext"/>
              <w:spacing w:after="20"/>
              <w:rPr>
                <w:rFonts w:cs="Arial"/>
                <w:color w:val="000000"/>
                <w:szCs w:val="18"/>
                <w:lang w:val="en-GB"/>
              </w:rPr>
            </w:pPr>
            <w:r w:rsidRPr="00E72750">
              <w:rPr>
                <w:rFonts w:cs="Arial"/>
                <w:color w:val="000000"/>
                <w:szCs w:val="18"/>
                <w:lang w:val="en-GB"/>
              </w:rPr>
              <w:t>A</w:t>
            </w:r>
            <w:r w:rsidR="00F55F1B" w:rsidRPr="00E72750">
              <w:rPr>
                <w:rFonts w:cs="Arial"/>
                <w:color w:val="000000"/>
                <w:szCs w:val="18"/>
                <w:lang w:val="en-GB"/>
              </w:rPr>
              <w:t>drenal gland</w:t>
            </w:r>
            <w:r w:rsidRPr="00E72750">
              <w:rPr>
                <w:rFonts w:cs="Arial"/>
                <w:color w:val="000000"/>
                <w:szCs w:val="18"/>
                <w:lang w:val="en-GB"/>
              </w:rPr>
              <w:t>, excision of</w:t>
            </w:r>
            <w:r w:rsidR="00A95D9A" w:rsidRPr="00E72750">
              <w:rPr>
                <w:rFonts w:cs="Arial"/>
                <w:color w:val="000000"/>
                <w:szCs w:val="18"/>
                <w:lang w:val="en-GB"/>
              </w:rPr>
              <w:t xml:space="preserve"> </w:t>
            </w:r>
            <w:r w:rsidRPr="00E72750">
              <w:rPr>
                <w:rFonts w:cs="Arial"/>
                <w:color w:val="000000"/>
                <w:szCs w:val="18"/>
                <w:lang w:val="en-GB"/>
              </w:rPr>
              <w:t>partial or total</w:t>
            </w:r>
            <w:r w:rsidR="005D2652" w:rsidRPr="00E72750">
              <w:rPr>
                <w:rFonts w:cs="Arial"/>
                <w:color w:val="000000"/>
                <w:szCs w:val="18"/>
                <w:lang w:val="en-GB"/>
              </w:rPr>
              <w:t>.</w:t>
            </w:r>
            <w:r w:rsidRPr="00E72750">
              <w:rPr>
                <w:rFonts w:cs="Arial"/>
                <w:color w:val="000000"/>
                <w:szCs w:val="18"/>
                <w:lang w:val="en-GB"/>
              </w:rPr>
              <w:t xml:space="preserve"> [1991]</w:t>
            </w:r>
          </w:p>
        </w:tc>
        <w:tc>
          <w:tcPr>
            <w:tcW w:w="950" w:type="dxa"/>
          </w:tcPr>
          <w:p w14:paraId="6F705B28" w14:textId="77777777" w:rsidR="00BA77F1" w:rsidRPr="00E72750" w:rsidRDefault="00BA77F1" w:rsidP="0047371C">
            <w:r w:rsidRPr="00E72750">
              <w:t>$924.70</w:t>
            </w:r>
          </w:p>
        </w:tc>
        <w:tc>
          <w:tcPr>
            <w:tcW w:w="1000" w:type="dxa"/>
          </w:tcPr>
          <w:p w14:paraId="446603FE" w14:textId="77777777" w:rsidR="00BA77F1" w:rsidRPr="00E72750" w:rsidRDefault="00BA77F1" w:rsidP="0047371C">
            <w:r w:rsidRPr="00E72750">
              <w:t>56</w:t>
            </w:r>
          </w:p>
        </w:tc>
        <w:tc>
          <w:tcPr>
            <w:tcW w:w="1000" w:type="dxa"/>
          </w:tcPr>
          <w:p w14:paraId="18B407DC" w14:textId="77777777" w:rsidR="00BA77F1" w:rsidRPr="00E72750" w:rsidRDefault="00BA77F1" w:rsidP="0047371C">
            <w:r w:rsidRPr="00E72750">
              <w:t>$25,530</w:t>
            </w:r>
          </w:p>
        </w:tc>
        <w:tc>
          <w:tcPr>
            <w:tcW w:w="1199" w:type="dxa"/>
          </w:tcPr>
          <w:p w14:paraId="4D9E3B91" w14:textId="77777777" w:rsidR="00BA77F1" w:rsidRPr="00E72750" w:rsidRDefault="00BA77F1" w:rsidP="0047371C">
            <w:r w:rsidRPr="00E72750">
              <w:t>9.2%</w:t>
            </w:r>
          </w:p>
        </w:tc>
      </w:tr>
    </w:tbl>
    <w:p w14:paraId="624B1B6A" w14:textId="77777777" w:rsidR="00512F2C" w:rsidRPr="00E72750" w:rsidRDefault="00BA77F1" w:rsidP="0047371C">
      <w:pPr>
        <w:pStyle w:val="Boldhdg"/>
      </w:pPr>
      <w:r w:rsidRPr="00E72750">
        <w:t>Recommendation</w:t>
      </w:r>
      <w:r w:rsidR="00D00CDE">
        <w:t xml:space="preserve"> 8</w:t>
      </w:r>
    </w:p>
    <w:p w14:paraId="76679995" w14:textId="77777777" w:rsidR="00512F2C" w:rsidRPr="00E72750" w:rsidRDefault="00A05611" w:rsidP="00352EC5">
      <w:pPr>
        <w:pStyle w:val="01squarebullet"/>
      </w:pPr>
      <w:r w:rsidRPr="00E72750">
        <w:t xml:space="preserve">Consolidate </w:t>
      </w:r>
      <w:r w:rsidR="00C24E50" w:rsidRPr="00E72750">
        <w:t xml:space="preserve">item </w:t>
      </w:r>
      <w:r w:rsidR="00BA77F1" w:rsidRPr="00E72750">
        <w:t xml:space="preserve">30321 </w:t>
      </w:r>
      <w:r w:rsidR="00B8450F" w:rsidRPr="00E72750">
        <w:t xml:space="preserve">under item </w:t>
      </w:r>
      <w:r w:rsidR="00BA77F1" w:rsidRPr="00E72750">
        <w:t>30323.</w:t>
      </w:r>
    </w:p>
    <w:p w14:paraId="7F7BCE6E" w14:textId="77777777" w:rsidR="00512F2C" w:rsidRPr="00E72750" w:rsidRDefault="00BA77F1" w:rsidP="00352EC5">
      <w:pPr>
        <w:pStyle w:val="01squarebullet"/>
      </w:pPr>
      <w:r w:rsidRPr="00E72750">
        <w:t xml:space="preserve">Change </w:t>
      </w:r>
      <w:r w:rsidR="00D36A47" w:rsidRPr="00E72750">
        <w:t xml:space="preserve">the </w:t>
      </w:r>
      <w:r w:rsidRPr="00E72750">
        <w:t xml:space="preserve">descriptor </w:t>
      </w:r>
      <w:r w:rsidR="00D36A47" w:rsidRPr="00E72750">
        <w:t xml:space="preserve">for item </w:t>
      </w:r>
      <w:r w:rsidRPr="00E72750">
        <w:t>30323 to</w:t>
      </w:r>
      <w:r w:rsidR="00475187" w:rsidRPr="00E72750">
        <w:t xml:space="preserve"> read:</w:t>
      </w:r>
      <w:r w:rsidRPr="00E72750">
        <w:t xml:space="preserve"> “Excision of phaeochromocytoma or </w:t>
      </w:r>
      <w:proofErr w:type="spellStart"/>
      <w:r w:rsidRPr="00E72750">
        <w:t>extraadrenal</w:t>
      </w:r>
      <w:proofErr w:type="spellEnd"/>
      <w:r w:rsidRPr="00E72750">
        <w:t xml:space="preserve"> paraganglioma via endoscopic or open approach</w:t>
      </w:r>
      <w:r w:rsidR="00202D1C" w:rsidRPr="00E72750">
        <w:t>.</w:t>
      </w:r>
      <w:r w:rsidR="00347F89" w:rsidRPr="00E72750">
        <w:t xml:space="preserve"> (</w:t>
      </w:r>
      <w:proofErr w:type="spellStart"/>
      <w:r w:rsidR="00347F89" w:rsidRPr="00E72750">
        <w:t>Anaes</w:t>
      </w:r>
      <w:proofErr w:type="spellEnd"/>
      <w:r w:rsidR="00347F89" w:rsidRPr="00E72750">
        <w:t>.) (Assist.)</w:t>
      </w:r>
      <w:r w:rsidRPr="00E72750">
        <w:t>”</w:t>
      </w:r>
    </w:p>
    <w:p w14:paraId="4BAB41FA" w14:textId="77777777" w:rsidR="005F4B05" w:rsidRPr="00E72750" w:rsidRDefault="005F4B05" w:rsidP="00352EC5">
      <w:pPr>
        <w:pStyle w:val="01squarebullet"/>
      </w:pPr>
      <w:r w:rsidRPr="00E72750">
        <w:t xml:space="preserve">Change </w:t>
      </w:r>
      <w:r w:rsidR="00197844" w:rsidRPr="00E72750">
        <w:t xml:space="preserve">the </w:t>
      </w:r>
      <w:r w:rsidRPr="00E72750">
        <w:t xml:space="preserve">descriptor </w:t>
      </w:r>
      <w:r w:rsidR="00197844" w:rsidRPr="00E72750">
        <w:t>for item</w:t>
      </w:r>
      <w:r w:rsidRPr="00E72750">
        <w:t xml:space="preserve"> 30324 to </w:t>
      </w:r>
      <w:r w:rsidR="00E1747E" w:rsidRPr="00E72750">
        <w:t>read:</w:t>
      </w:r>
      <w:r w:rsidRPr="00E72750">
        <w:t xml:space="preserve"> “Excision</w:t>
      </w:r>
      <w:r w:rsidR="001C70B5" w:rsidRPr="00E72750">
        <w:t xml:space="preserve"> of an adrenocortical </w:t>
      </w:r>
      <w:proofErr w:type="spellStart"/>
      <w:r w:rsidR="001C70B5" w:rsidRPr="00E72750">
        <w:t>tumour</w:t>
      </w:r>
      <w:proofErr w:type="spellEnd"/>
      <w:r w:rsidR="001C70B5" w:rsidRPr="00E72750">
        <w:t xml:space="preserve"> or </w:t>
      </w:r>
      <w:r w:rsidRPr="00E72750">
        <w:t>hyperplasia via endoscopic or open approach</w:t>
      </w:r>
      <w:r w:rsidR="00D20E85" w:rsidRPr="00E72750">
        <w:t>.</w:t>
      </w:r>
      <w:r w:rsidRPr="00E72750">
        <w:t xml:space="preserve"> (</w:t>
      </w:r>
      <w:proofErr w:type="spellStart"/>
      <w:r w:rsidRPr="00E72750">
        <w:t>Anaes</w:t>
      </w:r>
      <w:proofErr w:type="spellEnd"/>
      <w:r w:rsidRPr="00E72750">
        <w:t>.) (Assist.)”</w:t>
      </w:r>
    </w:p>
    <w:p w14:paraId="040F02F1" w14:textId="77777777" w:rsidR="00512F2C" w:rsidRPr="00E72750" w:rsidRDefault="00C437DD" w:rsidP="00352EC5">
      <w:pPr>
        <w:pStyle w:val="01squarebullet"/>
      </w:pPr>
      <w:r w:rsidRPr="00E72750">
        <w:t xml:space="preserve">Consolidate </w:t>
      </w:r>
      <w:r w:rsidR="00FD6B7E" w:rsidRPr="00E72750">
        <w:t xml:space="preserve">item </w:t>
      </w:r>
      <w:r w:rsidR="00BA77F1" w:rsidRPr="00E72750">
        <w:t xml:space="preserve">36500 </w:t>
      </w:r>
      <w:r w:rsidR="00C4654E" w:rsidRPr="00E72750">
        <w:t>under</w:t>
      </w:r>
      <w:r w:rsidR="005A2A42" w:rsidRPr="00E72750">
        <w:t xml:space="preserve"> item</w:t>
      </w:r>
      <w:r w:rsidR="00BA77F1" w:rsidRPr="00E72750">
        <w:t xml:space="preserve"> 30324.</w:t>
      </w:r>
      <w:r w:rsidR="007353FA" w:rsidRPr="00E72750">
        <w:t xml:space="preserve"> (Item 36500 was assigned to the Urology Clinical Committee</w:t>
      </w:r>
      <w:r w:rsidR="003D364E" w:rsidRPr="00E72750">
        <w:t>. T</w:t>
      </w:r>
      <w:r w:rsidR="007353FA" w:rsidRPr="00E72750">
        <w:t xml:space="preserve">his recommendation will be referred to this </w:t>
      </w:r>
      <w:r w:rsidR="00434834" w:rsidRPr="00E72750">
        <w:t>committee</w:t>
      </w:r>
      <w:r w:rsidR="007353FA" w:rsidRPr="00E72750">
        <w:t xml:space="preserve"> or to the Urological Society of Australia and New Zealand directly.)</w:t>
      </w:r>
      <w:r w:rsidR="0080191D" w:rsidRPr="00E72750">
        <w:t xml:space="preserve"> </w:t>
      </w:r>
    </w:p>
    <w:p w14:paraId="4EF09956" w14:textId="77777777" w:rsidR="00512F2C" w:rsidRPr="00E72750" w:rsidRDefault="00BA77F1" w:rsidP="0047371C">
      <w:pPr>
        <w:pStyle w:val="Boldhdg"/>
      </w:pPr>
      <w:r w:rsidRPr="00E72750">
        <w:t>Rationale</w:t>
      </w:r>
    </w:p>
    <w:p w14:paraId="7F376483" w14:textId="77777777" w:rsidR="00512F2C" w:rsidRPr="00E72750" w:rsidRDefault="006B2A8A" w:rsidP="0047371C">
      <w:pPr>
        <w:rPr>
          <w:lang w:eastAsia="en-US"/>
        </w:rPr>
      </w:pPr>
      <w:r w:rsidRPr="00E72750">
        <w:rPr>
          <w:lang w:eastAsia="en-US"/>
        </w:rPr>
        <w:t>The r</w:t>
      </w:r>
      <w:r w:rsidR="00BA77F1" w:rsidRPr="00E72750">
        <w:rPr>
          <w:lang w:eastAsia="en-US"/>
        </w:rPr>
        <w:t xml:space="preserve">ecommendations focus on encouraging best practice and simplifying the MBS to ensure </w:t>
      </w:r>
      <w:r w:rsidR="00673228" w:rsidRPr="00E72750">
        <w:rPr>
          <w:lang w:eastAsia="en-US"/>
        </w:rPr>
        <w:t>high</w:t>
      </w:r>
      <w:r w:rsidR="008F65F4" w:rsidRPr="00E72750">
        <w:rPr>
          <w:lang w:eastAsia="en-US"/>
        </w:rPr>
        <w:t>-</w:t>
      </w:r>
      <w:r w:rsidR="00BA77F1" w:rsidRPr="00E72750">
        <w:rPr>
          <w:lang w:eastAsia="en-US"/>
        </w:rPr>
        <w:t xml:space="preserve">value </w:t>
      </w:r>
      <w:r w:rsidR="00673228" w:rsidRPr="00E72750">
        <w:rPr>
          <w:lang w:eastAsia="en-US"/>
        </w:rPr>
        <w:t xml:space="preserve">care </w:t>
      </w:r>
      <w:r w:rsidR="00BA77F1" w:rsidRPr="00E72750">
        <w:rPr>
          <w:lang w:eastAsia="en-US"/>
        </w:rPr>
        <w:t>f</w:t>
      </w:r>
      <w:r w:rsidR="00DF5C7D" w:rsidRPr="00E72750">
        <w:rPr>
          <w:lang w:eastAsia="en-US"/>
        </w:rPr>
        <w:t>or patients</w:t>
      </w:r>
      <w:r w:rsidR="00520E9C" w:rsidRPr="00E72750">
        <w:rPr>
          <w:lang w:eastAsia="en-US"/>
        </w:rPr>
        <w:t>.</w:t>
      </w:r>
      <w:r w:rsidR="00382B9D" w:rsidRPr="00572281">
        <w:rPr>
          <w:rStyle w:val="FootnoteReference"/>
        </w:rPr>
        <w:footnoteReference w:id="8"/>
      </w:r>
      <w:r w:rsidR="00DF5C7D" w:rsidRPr="00E72750">
        <w:rPr>
          <w:lang w:eastAsia="en-US"/>
        </w:rPr>
        <w:t xml:space="preserve"> They are </w:t>
      </w:r>
      <w:r w:rsidR="005875FC" w:rsidRPr="00E72750">
        <w:rPr>
          <w:lang w:eastAsia="en-US"/>
        </w:rPr>
        <w:t>based on the following observations</w:t>
      </w:r>
      <w:r w:rsidR="00BA77F1" w:rsidRPr="00E72750">
        <w:rPr>
          <w:lang w:eastAsia="en-US"/>
        </w:rPr>
        <w:t>.</w:t>
      </w:r>
    </w:p>
    <w:p w14:paraId="0B17E17D" w14:textId="77777777" w:rsidR="00512F2C" w:rsidRPr="00E72750" w:rsidRDefault="00BA77F1" w:rsidP="00352EC5">
      <w:pPr>
        <w:pStyle w:val="01squarebullet"/>
      </w:pPr>
      <w:r w:rsidRPr="00E72750">
        <w:t xml:space="preserve">There is overlap between the item descriptors </w:t>
      </w:r>
      <w:r w:rsidR="00723B06" w:rsidRPr="00E72750">
        <w:t>for</w:t>
      </w:r>
      <w:r w:rsidR="00405C9B" w:rsidRPr="00E72750">
        <w:t xml:space="preserve"> items</w:t>
      </w:r>
      <w:r w:rsidR="00723B06" w:rsidRPr="00E72750">
        <w:t xml:space="preserve"> </w:t>
      </w:r>
      <w:r w:rsidRPr="00E72750">
        <w:t>30321 and 30323</w:t>
      </w:r>
      <w:r w:rsidR="00F948DE" w:rsidRPr="00E72750">
        <w:t>.</w:t>
      </w:r>
      <w:r w:rsidRPr="00E72750">
        <w:t xml:space="preserve"> </w:t>
      </w:r>
      <w:r w:rsidR="00F948DE" w:rsidRPr="00E72750">
        <w:t>T</w:t>
      </w:r>
      <w:r w:rsidRPr="00E72750">
        <w:t xml:space="preserve">he </w:t>
      </w:r>
      <w:r w:rsidR="00B42F96" w:rsidRPr="00E72750">
        <w:t xml:space="preserve">items are differentiated based on </w:t>
      </w:r>
      <w:r w:rsidRPr="00E72750">
        <w:t>the clinician’s judgment of whether the procedure was “complex and extens</w:t>
      </w:r>
      <w:r w:rsidR="00DF5C7D" w:rsidRPr="00E72750">
        <w:t>ive</w:t>
      </w:r>
      <w:r w:rsidR="003E2B83" w:rsidRPr="00E72750">
        <w:t>,</w:t>
      </w:r>
      <w:r w:rsidR="00DF5C7D" w:rsidRPr="00E72750">
        <w:t xml:space="preserve">” </w:t>
      </w:r>
      <w:r w:rsidR="005E1CE9" w:rsidRPr="00E72750">
        <w:t xml:space="preserve">which </w:t>
      </w:r>
      <w:r w:rsidR="00DF5C7D" w:rsidRPr="00E72750">
        <w:t>warrant</w:t>
      </w:r>
      <w:r w:rsidR="005E1CE9" w:rsidRPr="00E72750">
        <w:t>s</w:t>
      </w:r>
      <w:r w:rsidR="00DF5C7D" w:rsidRPr="00E72750">
        <w:t xml:space="preserve"> an extra $457</w:t>
      </w:r>
      <w:r w:rsidRPr="00E72750">
        <w:t>.</w:t>
      </w:r>
      <w:r w:rsidR="00B44F90" w:rsidRPr="00E72750">
        <w:t xml:space="preserve"> </w:t>
      </w:r>
      <w:r w:rsidRPr="00E72750">
        <w:t>The Committee acknowledged that the “complex and extensive” procedure (</w:t>
      </w:r>
      <w:r w:rsidR="00B44F90" w:rsidRPr="00E72750">
        <w:t xml:space="preserve">item </w:t>
      </w:r>
      <w:r w:rsidRPr="00E72750">
        <w:t xml:space="preserve">30323) is the most appropriate treatment in </w:t>
      </w:r>
      <w:r w:rsidR="003B0B41" w:rsidRPr="00E72750">
        <w:t xml:space="preserve">the </w:t>
      </w:r>
      <w:r w:rsidRPr="00E72750">
        <w:t>majority of circumstances</w:t>
      </w:r>
      <w:r w:rsidR="00DC0AE0" w:rsidRPr="00E72750">
        <w:t>, but</w:t>
      </w:r>
      <w:r w:rsidRPr="00E72750">
        <w:t xml:space="preserve"> that the item</w:t>
      </w:r>
      <w:r w:rsidR="00DF5C7D" w:rsidRPr="00E72750">
        <w:t>’s schedule fees</w:t>
      </w:r>
      <w:r w:rsidRPr="00E72750">
        <w:t xml:space="preserve"> encourage clinicians to bill the “complex a</w:t>
      </w:r>
      <w:r w:rsidR="00DF5C7D" w:rsidRPr="00E72750">
        <w:t xml:space="preserve">nd extensive” item number regardless. </w:t>
      </w:r>
      <w:r w:rsidRPr="00E72750">
        <w:t>This can be seen in the MBS data</w:t>
      </w:r>
      <w:r w:rsidR="00B3497D" w:rsidRPr="00E72750">
        <w:t>:</w:t>
      </w:r>
      <w:r w:rsidRPr="00E72750">
        <w:t xml:space="preserve"> </w:t>
      </w:r>
      <w:r w:rsidR="00B3497D" w:rsidRPr="00E72750">
        <w:t xml:space="preserve">service volume for </w:t>
      </w:r>
      <w:r w:rsidRPr="00E72750">
        <w:t xml:space="preserve">the less expensive item </w:t>
      </w:r>
      <w:r w:rsidR="00C2555E" w:rsidRPr="00E72750">
        <w:t>(</w:t>
      </w:r>
      <w:r w:rsidRPr="00E72750">
        <w:t>30321</w:t>
      </w:r>
      <w:r w:rsidR="00C2555E" w:rsidRPr="00E72750">
        <w:t>)</w:t>
      </w:r>
      <w:r w:rsidRPr="00E72750">
        <w:t xml:space="preserve"> has declin</w:t>
      </w:r>
      <w:r w:rsidR="001314A1" w:rsidRPr="00E72750">
        <w:t>ed</w:t>
      </w:r>
      <w:r w:rsidRPr="00E72750">
        <w:t xml:space="preserve"> by </w:t>
      </w:r>
      <w:r w:rsidR="005F62DF" w:rsidRPr="00E72750">
        <w:t xml:space="preserve">an average of </w:t>
      </w:r>
      <w:r w:rsidRPr="00E72750">
        <w:t>9</w:t>
      </w:r>
      <w:r w:rsidR="001314A1" w:rsidRPr="00E72750">
        <w:t xml:space="preserve"> per cent</w:t>
      </w:r>
      <w:r w:rsidRPr="00E72750">
        <w:t xml:space="preserve"> </w:t>
      </w:r>
      <w:r w:rsidR="00180959" w:rsidRPr="00E72750">
        <w:t>per year</w:t>
      </w:r>
      <w:r w:rsidR="00A159E0" w:rsidRPr="00E72750">
        <w:t xml:space="preserve"> </w:t>
      </w:r>
      <w:r w:rsidR="00524AA7" w:rsidRPr="00E72750">
        <w:t xml:space="preserve">over </w:t>
      </w:r>
      <w:r w:rsidRPr="00E72750">
        <w:t xml:space="preserve">the last </w:t>
      </w:r>
      <w:r w:rsidR="0047410B" w:rsidRPr="00E72750">
        <w:t xml:space="preserve">five </w:t>
      </w:r>
      <w:r w:rsidRPr="00E72750">
        <w:t>years</w:t>
      </w:r>
      <w:r w:rsidR="007649C1" w:rsidRPr="00E72750">
        <w:t>,</w:t>
      </w:r>
      <w:r w:rsidRPr="00E72750">
        <w:t xml:space="preserve"> </w:t>
      </w:r>
      <w:r w:rsidR="007649C1" w:rsidRPr="00E72750">
        <w:t>accounting</w:t>
      </w:r>
      <w:r w:rsidR="00C2702E" w:rsidRPr="00E72750">
        <w:t xml:space="preserve"> for</w:t>
      </w:r>
      <w:r w:rsidR="0030172E" w:rsidRPr="00E72750">
        <w:t xml:space="preserve"> </w:t>
      </w:r>
      <w:r w:rsidR="00E47BE2" w:rsidRPr="00E72750">
        <w:t xml:space="preserve">just </w:t>
      </w:r>
      <w:r w:rsidRPr="00E72750">
        <w:t>13</w:t>
      </w:r>
      <w:r w:rsidR="002F18BE" w:rsidRPr="00E72750">
        <w:t xml:space="preserve"> per</w:t>
      </w:r>
      <w:r w:rsidR="00DA7CF5" w:rsidRPr="00E72750">
        <w:t xml:space="preserve"> </w:t>
      </w:r>
      <w:r w:rsidR="002F18BE" w:rsidRPr="00E72750">
        <w:t>cent</w:t>
      </w:r>
      <w:r w:rsidRPr="00E72750">
        <w:t xml:space="preserve"> of the service volume </w:t>
      </w:r>
      <w:r w:rsidR="00B34F7B" w:rsidRPr="00E72750">
        <w:t xml:space="preserve">for </w:t>
      </w:r>
      <w:r w:rsidRPr="00E72750">
        <w:t>item 30323 in FY2014/15</w:t>
      </w:r>
      <w:r w:rsidR="003112A3" w:rsidRPr="00E72750">
        <w:t>;</w:t>
      </w:r>
      <w:r w:rsidRPr="00E72750">
        <w:t xml:space="preserve"> the more expensive item </w:t>
      </w:r>
      <w:r w:rsidR="003112A3" w:rsidRPr="00E72750">
        <w:t>(</w:t>
      </w:r>
      <w:r w:rsidRPr="00E72750">
        <w:t>30203</w:t>
      </w:r>
      <w:r w:rsidR="003112A3" w:rsidRPr="00E72750">
        <w:t>)</w:t>
      </w:r>
      <w:r w:rsidR="0098698A" w:rsidRPr="00E72750">
        <w:t>, meanwhile,</w:t>
      </w:r>
      <w:r w:rsidRPr="00E72750">
        <w:t xml:space="preserve"> has been growing modestly </w:t>
      </w:r>
      <w:r w:rsidR="000E74CC" w:rsidRPr="00E72750">
        <w:t xml:space="preserve">by </w:t>
      </w:r>
      <w:r w:rsidRPr="00E72750">
        <w:t>1.5</w:t>
      </w:r>
      <w:r w:rsidR="000E74CC" w:rsidRPr="00E72750">
        <w:t xml:space="preserve"> per cent</w:t>
      </w:r>
      <w:r w:rsidRPr="00E72750">
        <w:t xml:space="preserve"> year on year for the last </w:t>
      </w:r>
      <w:r w:rsidR="00C73A97" w:rsidRPr="00E72750">
        <w:t xml:space="preserve">five </w:t>
      </w:r>
      <w:r w:rsidRPr="00E72750">
        <w:t>years.</w:t>
      </w:r>
      <w:r w:rsidR="007C17C7">
        <w:fldChar w:fldCharType="begin" w:fldLock="1"/>
      </w:r>
      <w:r w:rsidR="003360A6">
        <w:instrText>ADDIN CSL_CITATION { "citationItems" : [ { "id" : "ITEM-1", "itemData" : { "author" : [ { "dropping-particle" : "", "family" : "Department of Health Australia", "given" : "Medicare Reviews Unit", "non-dropping-particle" : "", "parse-names" : false, "suffix" : "" } ], "id" : "ITEM-1", "issued" : { "date-parts" : [ [ "2016" ] ] }, "title" : "MBS data", "type" : "report" }, "uris" : [ "http://www.mendeley.com/documents/?uuid=71a40718-ae46-45cd-add3-df8b7bd9730f" ] } ], "mendeley" : { "formattedCitation" : "[2]", "plainTextFormattedCitation" : "[2]", "previouslyFormattedCitation" : "[2]" }, "properties" : { "noteIndex" : 0 }, "schema" : "https://github.com/citation-style-language/schema/raw/master/csl-citation.json" }</w:instrText>
      </w:r>
      <w:r w:rsidR="007C17C7">
        <w:fldChar w:fldCharType="separate"/>
      </w:r>
      <w:r w:rsidR="003360A6" w:rsidRPr="003360A6">
        <w:rPr>
          <w:noProof/>
        </w:rPr>
        <w:t>[2]</w:t>
      </w:r>
      <w:r w:rsidR="007C17C7">
        <w:fldChar w:fldCharType="end"/>
      </w:r>
    </w:p>
    <w:p w14:paraId="2E324177" w14:textId="77777777" w:rsidR="00347D50" w:rsidRPr="00E72750" w:rsidRDefault="005254AC" w:rsidP="00352EC5">
      <w:pPr>
        <w:pStyle w:val="01squarebullet"/>
      </w:pPr>
      <w:r>
        <w:t>There is</w:t>
      </w:r>
      <w:r w:rsidR="00BA77F1" w:rsidRPr="00E72750">
        <w:t xml:space="preserve"> overlap between items 30324 and 36500, which creates confusion for providers and leads to inconsistent billing and treatment of patients.</w:t>
      </w:r>
      <w:r w:rsidR="004D2015" w:rsidRPr="00E72750">
        <w:t xml:space="preserve"> </w:t>
      </w:r>
      <w:r w:rsidR="00BA77F1" w:rsidRPr="00E72750">
        <w:t xml:space="preserve">The Committee agreed that </w:t>
      </w:r>
      <w:r w:rsidR="004D2015" w:rsidRPr="00E72750">
        <w:t xml:space="preserve">item </w:t>
      </w:r>
      <w:r w:rsidR="00BA77F1" w:rsidRPr="00E72750">
        <w:t xml:space="preserve">30324 </w:t>
      </w:r>
      <w:r w:rsidR="00C06393" w:rsidRPr="00E72750">
        <w:t xml:space="preserve">aligns with </w:t>
      </w:r>
      <w:r w:rsidR="00BA77F1" w:rsidRPr="00E72750">
        <w:t>best practice</w:t>
      </w:r>
      <w:r w:rsidR="00745FB0" w:rsidRPr="00E72750">
        <w:t>,</w:t>
      </w:r>
      <w:r w:rsidR="00BA77F1" w:rsidRPr="00E72750">
        <w:t xml:space="preserve"> and</w:t>
      </w:r>
      <w:r w:rsidR="00745FB0" w:rsidRPr="00E72750">
        <w:t xml:space="preserve"> that</w:t>
      </w:r>
      <w:r w:rsidR="00BA77F1" w:rsidRPr="00E72750">
        <w:t xml:space="preserve"> </w:t>
      </w:r>
      <w:r w:rsidR="00DF7E27" w:rsidRPr="00E72750">
        <w:t xml:space="preserve">consolidating </w:t>
      </w:r>
      <w:r w:rsidR="00A11881" w:rsidRPr="00E72750">
        <w:t xml:space="preserve">item </w:t>
      </w:r>
      <w:r w:rsidR="00BA77F1" w:rsidRPr="00E72750">
        <w:t>36500</w:t>
      </w:r>
      <w:r w:rsidR="00ED71EA" w:rsidRPr="00E72750">
        <w:t xml:space="preserve"> under item 30324</w:t>
      </w:r>
      <w:r w:rsidR="00BA77F1" w:rsidRPr="00E72750">
        <w:t xml:space="preserve"> would encourage best</w:t>
      </w:r>
      <w:r w:rsidR="00E516AB" w:rsidRPr="00E72750">
        <w:t>-</w:t>
      </w:r>
      <w:r w:rsidR="00BA77F1" w:rsidRPr="00E72750">
        <w:t xml:space="preserve">practice patient care and have </w:t>
      </w:r>
      <w:r w:rsidR="00E516AB" w:rsidRPr="00E72750">
        <w:t xml:space="preserve">a </w:t>
      </w:r>
      <w:r w:rsidR="00BA77F1" w:rsidRPr="00E72750">
        <w:t>minimal impact on access.</w:t>
      </w:r>
      <w:r w:rsidR="00B85BF4" w:rsidRPr="00E72750">
        <w:t xml:space="preserve"> </w:t>
      </w:r>
      <w:r w:rsidR="00AB1177" w:rsidRPr="00E72750">
        <w:t xml:space="preserve">The Committee noted that item 36500 allows for </w:t>
      </w:r>
      <w:r w:rsidR="001E0BF8" w:rsidRPr="00E72750">
        <w:t xml:space="preserve">the </w:t>
      </w:r>
      <w:r w:rsidR="00AB1177" w:rsidRPr="00E72750">
        <w:t>removal of normal adrenal glands and suggest</w:t>
      </w:r>
      <w:r w:rsidR="004832B6" w:rsidRPr="00E72750">
        <w:t>ed</w:t>
      </w:r>
      <w:r w:rsidR="00AB1177" w:rsidRPr="00E72750">
        <w:t xml:space="preserve"> that there should be no additional rebate for removing normal adrenal tissue when performed as part of nephrectomy. </w:t>
      </w:r>
      <w:r w:rsidR="00017D2F" w:rsidRPr="00E72750">
        <w:t>O</w:t>
      </w:r>
      <w:r w:rsidR="00BA77F1" w:rsidRPr="00E72750">
        <w:t xml:space="preserve">nly 56 procedures </w:t>
      </w:r>
      <w:r w:rsidR="00460953" w:rsidRPr="00E72750">
        <w:t xml:space="preserve">were </w:t>
      </w:r>
      <w:r w:rsidR="00BA77F1" w:rsidRPr="00E72750">
        <w:t xml:space="preserve">performed under </w:t>
      </w:r>
      <w:r w:rsidR="00F64E11" w:rsidRPr="00E72750">
        <w:t xml:space="preserve">item </w:t>
      </w:r>
      <w:r w:rsidR="00BA77F1" w:rsidRPr="00E72750">
        <w:t>36500 in FY2014/15.</w:t>
      </w:r>
    </w:p>
    <w:p w14:paraId="59064FE4" w14:textId="77777777" w:rsidR="007E0177" w:rsidRPr="00F7124C" w:rsidRDefault="00E4093F" w:rsidP="00E75EE1">
      <w:pPr>
        <w:pStyle w:val="Heading2"/>
      </w:pPr>
      <w:bookmarkStart w:id="76" w:name="_Toc485298033"/>
      <w:r w:rsidRPr="00572281">
        <w:lastRenderedPageBreak/>
        <w:t>Broader issues</w:t>
      </w:r>
      <w:bookmarkEnd w:id="76"/>
      <w:r w:rsidRPr="00572281">
        <w:t xml:space="preserve"> </w:t>
      </w:r>
    </w:p>
    <w:p w14:paraId="6233B99D" w14:textId="77777777" w:rsidR="007D5AFB" w:rsidRPr="00E72750" w:rsidRDefault="00CE7CC5" w:rsidP="0047371C">
      <w:r w:rsidRPr="00E72750">
        <w:t xml:space="preserve">During the review of the thyroid and </w:t>
      </w:r>
      <w:r w:rsidR="004608AF" w:rsidRPr="00E72750">
        <w:t>parathyroid</w:t>
      </w:r>
      <w:r w:rsidR="001B6A78" w:rsidRPr="00E72750">
        <w:t>-</w:t>
      </w:r>
      <w:r w:rsidRPr="00E72750">
        <w:t xml:space="preserve">related surgical items, the Committee </w:t>
      </w:r>
      <w:r w:rsidR="00AA3B4C" w:rsidRPr="00E72750">
        <w:t xml:space="preserve">noted that </w:t>
      </w:r>
      <w:proofErr w:type="gramStart"/>
      <w:r w:rsidRPr="00E72750">
        <w:t>a large number of</w:t>
      </w:r>
      <w:proofErr w:type="gramEnd"/>
      <w:r w:rsidRPr="00E72750">
        <w:t xml:space="preserve"> surgeons perform relatively </w:t>
      </w:r>
      <w:r w:rsidR="009A5816" w:rsidRPr="00E72750">
        <w:t>few</w:t>
      </w:r>
      <w:r w:rsidRPr="00E72750">
        <w:t xml:space="preserve"> thyroid and parathyroid surgical procedures </w:t>
      </w:r>
      <w:r w:rsidR="00D66F57" w:rsidRPr="00E72750">
        <w:t xml:space="preserve">each </w:t>
      </w:r>
      <w:r w:rsidRPr="00E72750">
        <w:t>year</w:t>
      </w:r>
      <w:r w:rsidR="00E60671" w:rsidRPr="00E72750">
        <w:t>, according to MBS data</w:t>
      </w:r>
      <w:r w:rsidRPr="00E72750">
        <w:t xml:space="preserve">. In FY2014/15, </w:t>
      </w:r>
      <w:r w:rsidR="001C6055" w:rsidRPr="00E72750">
        <w:t xml:space="preserve">for example, </w:t>
      </w:r>
      <w:r w:rsidR="0078733B">
        <w:t>56</w:t>
      </w:r>
      <w:r w:rsidR="003C6FA9" w:rsidRPr="00E72750">
        <w:t xml:space="preserve"> per cent</w:t>
      </w:r>
      <w:r w:rsidR="0078733B">
        <w:t xml:space="preserve"> of the 455</w:t>
      </w:r>
      <w:r w:rsidRPr="00E72750">
        <w:t xml:space="preserve"> </w:t>
      </w:r>
      <w:r w:rsidR="00DC7150" w:rsidRPr="00E72750">
        <w:t>t</w:t>
      </w:r>
      <w:r w:rsidRPr="00E72750">
        <w:t xml:space="preserve">hyroid and </w:t>
      </w:r>
      <w:r w:rsidR="00DC7150" w:rsidRPr="00E72750">
        <w:t>p</w:t>
      </w:r>
      <w:r w:rsidRPr="00E72750">
        <w:t>arathyroid surgic</w:t>
      </w:r>
      <w:r w:rsidR="0078733B">
        <w:t>al providers performed</w:t>
      </w:r>
      <w:r w:rsidRPr="00E72750">
        <w:t xml:space="preserve"> five</w:t>
      </w:r>
      <w:r w:rsidR="0078733B">
        <w:t xml:space="preserve"> or fewer</w:t>
      </w:r>
      <w:r w:rsidRPr="00E72750">
        <w:t xml:space="preserve"> MBS</w:t>
      </w:r>
      <w:r w:rsidR="0070711B" w:rsidRPr="00E72750">
        <w:t>-</w:t>
      </w:r>
      <w:r w:rsidRPr="00E72750">
        <w:t>funded procedures.</w:t>
      </w:r>
      <w:r w:rsidR="007D7677">
        <w:fldChar w:fldCharType="begin" w:fldLock="1"/>
      </w:r>
      <w:r w:rsidR="003360A6">
        <w:instrText>ADDIN CSL_CITATION { "citationItems" : [ { "id" : "ITEM-1", "itemData" : { "author" : [ { "dropping-particle" : "", "family" : "Department of Health Australia", "given" : "Medicare Reviews Unit", "non-dropping-particle" : "", "parse-names" : false, "suffix" : "" } ], "id" : "ITEM-1", "issued" : { "date-parts" : [ [ "2016" ] ] }, "title" : "MBS data - Q20320", "type" : "report" }, "uris" : [ "http://www.mendeley.com/documents/?uuid=9d437cf0-1319-4b62-b957-2a7fdfdf2920" ] } ], "mendeley" : { "formattedCitation" : "[18]", "plainTextFormattedCitation" : "[18]", "previouslyFormattedCitation" : "[17]" }, "properties" : { "noteIndex" : 0 }, "schema" : "https://github.com/citation-style-language/schema/raw/master/csl-citation.json" }</w:instrText>
      </w:r>
      <w:r w:rsidR="007D7677">
        <w:fldChar w:fldCharType="separate"/>
      </w:r>
      <w:r w:rsidR="003360A6" w:rsidRPr="003360A6">
        <w:rPr>
          <w:noProof/>
        </w:rPr>
        <w:t>[18]</w:t>
      </w:r>
      <w:r w:rsidR="007D7677">
        <w:fldChar w:fldCharType="end"/>
      </w:r>
      <w:r w:rsidRPr="00E72750">
        <w:t xml:space="preserve"> </w:t>
      </w:r>
      <w:r w:rsidR="007D5AFB" w:rsidRPr="00E72750">
        <w:t>In light of evidence from the international literature</w:t>
      </w:r>
      <w:r w:rsidR="00652CC3" w:rsidRPr="00E72750">
        <w:t>, which</w:t>
      </w:r>
      <w:r w:rsidR="007D5AFB" w:rsidRPr="00E72750">
        <w:t xml:space="preserve"> suggests that volume is correlated with outcomes, the Committee created a working group to explore this further. </w:t>
      </w:r>
    </w:p>
    <w:p w14:paraId="7564A96D" w14:textId="77777777" w:rsidR="00CE7CC5" w:rsidRPr="00E72750" w:rsidRDefault="00B30446" w:rsidP="0047371C">
      <w:r w:rsidRPr="00E72750">
        <w:t>Based on the findings of this working group, the</w:t>
      </w:r>
      <w:r w:rsidR="00CE7CC5" w:rsidRPr="00E72750">
        <w:t xml:space="preserve"> Committee </w:t>
      </w:r>
      <w:r w:rsidR="006955E8" w:rsidRPr="00E72750">
        <w:t>concluded</w:t>
      </w:r>
      <w:r w:rsidR="00CE7CC5" w:rsidRPr="00E72750">
        <w:t xml:space="preserve"> </w:t>
      </w:r>
      <w:r w:rsidR="001A7729" w:rsidRPr="00E72750">
        <w:t xml:space="preserve">that </w:t>
      </w:r>
      <w:r w:rsidR="0070711B" w:rsidRPr="00E72750">
        <w:t>th</w:t>
      </w:r>
      <w:r w:rsidR="00884F86" w:rsidRPr="00E72750">
        <w:t>is</w:t>
      </w:r>
      <w:r w:rsidR="0070711B" w:rsidRPr="00E72750">
        <w:t xml:space="preserve"> </w:t>
      </w:r>
      <w:r w:rsidR="00CE7CC5" w:rsidRPr="00E72750">
        <w:t xml:space="preserve">data </w:t>
      </w:r>
      <w:r w:rsidR="00A36E53" w:rsidRPr="00E72750">
        <w:t xml:space="preserve">is </w:t>
      </w:r>
      <w:r w:rsidR="00CE7CC5" w:rsidRPr="00E72750">
        <w:t>incomplete</w:t>
      </w:r>
      <w:r w:rsidR="00015F33" w:rsidRPr="00E72750">
        <w:t>,</w:t>
      </w:r>
      <w:r w:rsidR="00CE7CC5" w:rsidRPr="00E72750">
        <w:t xml:space="preserve"> and</w:t>
      </w:r>
      <w:r w:rsidR="00015F33" w:rsidRPr="00E72750">
        <w:t xml:space="preserve"> that it</w:t>
      </w:r>
      <w:r w:rsidR="00CE7CC5" w:rsidRPr="00E72750">
        <w:t xml:space="preserve"> can only serve as a rough proxy for service volumes as it does not include procedures conducted on public patients in the public hospital system, where many surgeons also practi</w:t>
      </w:r>
      <w:r w:rsidR="00B523C3" w:rsidRPr="00E72750">
        <w:t>s</w:t>
      </w:r>
      <w:r w:rsidR="00CE7CC5" w:rsidRPr="00E72750">
        <w:t>e.</w:t>
      </w:r>
      <w:r w:rsidR="00E4674B" w:rsidRPr="00E72750">
        <w:t xml:space="preserve"> </w:t>
      </w:r>
      <w:r w:rsidR="00CA4DE5" w:rsidRPr="00E72750">
        <w:t xml:space="preserve">The </w:t>
      </w:r>
      <w:r w:rsidR="00E4674B" w:rsidRPr="00E72750">
        <w:t xml:space="preserve">Committee </w:t>
      </w:r>
      <w:r w:rsidR="00340515" w:rsidRPr="00E72750">
        <w:t xml:space="preserve">also </w:t>
      </w:r>
      <w:r w:rsidR="00E4674B" w:rsidRPr="00E72750">
        <w:t>emphasised that low vo</w:t>
      </w:r>
      <w:r w:rsidR="00002DCA" w:rsidRPr="00E72750">
        <w:t>lumes are to be expected in the A</w:t>
      </w:r>
      <w:r w:rsidR="00CE7CC5" w:rsidRPr="00E72750">
        <w:t>ustralian setting</w:t>
      </w:r>
      <w:r w:rsidR="00133D0B" w:rsidRPr="00E72750">
        <w:t>,</w:t>
      </w:r>
      <w:r w:rsidR="00CE7CC5" w:rsidRPr="00E72750">
        <w:t xml:space="preserve"> where many </w:t>
      </w:r>
      <w:proofErr w:type="gramStart"/>
      <w:r w:rsidR="00CE7CC5" w:rsidRPr="00E72750">
        <w:t>regionally</w:t>
      </w:r>
      <w:r w:rsidR="00A92B2B" w:rsidRPr="00E72750">
        <w:t>-</w:t>
      </w:r>
      <w:r w:rsidR="00CE7CC5" w:rsidRPr="00E72750">
        <w:t>based</w:t>
      </w:r>
      <w:proofErr w:type="gramEnd"/>
      <w:r w:rsidR="00CE7CC5" w:rsidRPr="00E72750">
        <w:t xml:space="preserve"> surgeons provide patients with access to a broad range of high</w:t>
      </w:r>
      <w:r w:rsidR="0026216A" w:rsidRPr="00E72750">
        <w:t>-</w:t>
      </w:r>
      <w:r w:rsidR="00CE7CC5" w:rsidRPr="00E72750">
        <w:t>quality local services.</w:t>
      </w:r>
      <w:r w:rsidR="009300FF" w:rsidRPr="00E72750">
        <w:t xml:space="preserve"> </w:t>
      </w:r>
      <w:r w:rsidR="00CE7CC5" w:rsidRPr="00E72750">
        <w:t xml:space="preserve">Many of their most qualified colleagues </w:t>
      </w:r>
      <w:r w:rsidR="00A96D9D" w:rsidRPr="00E72750">
        <w:t xml:space="preserve">who </w:t>
      </w:r>
      <w:r w:rsidR="00CE7CC5" w:rsidRPr="00E72750">
        <w:t>practis</w:t>
      </w:r>
      <w:r w:rsidR="00A96D9D" w:rsidRPr="00E72750">
        <w:t>e</w:t>
      </w:r>
      <w:r w:rsidR="00CE7CC5" w:rsidRPr="00E72750">
        <w:t xml:space="preserve"> in regional and remote areas perform a relatively low number of thyroid and parathyroid surgical procedures </w:t>
      </w:r>
      <w:r w:rsidR="00620167" w:rsidRPr="00E72750">
        <w:t xml:space="preserve">each </w:t>
      </w:r>
      <w:r w:rsidR="00CE7CC5" w:rsidRPr="00E72750">
        <w:t>year without any</w:t>
      </w:r>
      <w:r w:rsidR="00153368" w:rsidRPr="00E72750">
        <w:t xml:space="preserve"> known</w:t>
      </w:r>
      <w:r w:rsidR="00CE7CC5" w:rsidRPr="00E72750">
        <w:t xml:space="preserve"> adverse impact on patient outcomes. </w:t>
      </w:r>
      <w:r w:rsidR="00B92F94" w:rsidRPr="00E72750">
        <w:t>Furthermore, a</w:t>
      </w:r>
      <w:r w:rsidR="00CE7CC5" w:rsidRPr="00E72750">
        <w:t xml:space="preserve">lthough certain literature does indicate that volumes are correlated </w:t>
      </w:r>
      <w:r w:rsidR="00012C42" w:rsidRPr="00E72750">
        <w:t>with</w:t>
      </w:r>
      <w:r w:rsidR="00CE7CC5" w:rsidRPr="00E72750">
        <w:t xml:space="preserve"> outcomes, particularly for higher complexity procedures</w:t>
      </w:r>
      <w:r w:rsidR="00A92B2B" w:rsidRPr="00E72750">
        <w:t>,</w:t>
      </w:r>
      <w:r w:rsidR="007C17C7">
        <w:rPr>
          <w:vertAlign w:val="superscript"/>
        </w:rPr>
        <w:fldChar w:fldCharType="begin" w:fldLock="1"/>
      </w:r>
      <w:r w:rsidR="003360A6">
        <w:rPr>
          <w:vertAlign w:val="superscript"/>
        </w:rPr>
        <w:instrText>ADDIN CSL_CITATION { "citationItems" : [ { "id" : "ITEM-1", "itemData" : { "DOI" : "10.1016/j.surg.2014.08.024", "ISSN" : "00396060", "author" : [ { "dropping-particle" : "", "family" : "Adkisson", "given" : "Cameron D.", "non-dropping-particle" : "", "parse-names" : false, "suffix" : "" }, { "dropping-particle" : "", "family" : "Howell", "given" : "Gina M.", "non-dropping-particle" : "", "parse-names" : false, "suffix" : "" }, { "dropping-particle" : "", "family" : "McCoy", "given" : "Kelly L.", "non-dropping-particle" : "", "parse-names" : false, "suffix" : "" }, { "dropping-particle" : "", "family" : "Armstrong", "given" : "Michaele J.", "non-dropping-particle" : "", "parse-names" : false, "suffix" : "" }, { "dropping-particle" : "", "family" : "Kelley", "given" : "Meghan L.", "non-dropping-particle" : "", "parse-names" : false, "suffix" : "" }, { "dropping-particle" : "", "family" : "Stang", "given" : "Michael T.", "non-dropping-particle" : "", "parse-names" : false, "suffix" : "" }, { "dropping-particle" : "", "family" : "Joyce", "given" : "Judith M.", "non-dropping-particle" : "", "parse-names" : false, "suffix" : "" }, { "dropping-particle" : "", "family" : "Hodak", "given" : "Steven P.", "non-dropping-particle" : "", "parse-names" : false, "suffix" : "" }, { "dropping-particle" : "", "family" : "Carty", "given" : "Sally E.", "non-dropping-particle" : "", "parse-names" : false, "suffix" : "" }, { "dropping-particle" : "", "family" : "Yip", "given" : "Linwah", "non-dropping-particle" : "", "parse-names" : false, "suffix" : "" } ], "container-title" : "Surgery", "id" : "ITEM-1", "issue" : "6", "issued" : { "date-parts" : [ [ "2014", "12" ] ] }, "page" : "1453-1460", "title" : "Surgeon volume and adequacy of thyroidectomy for differentiated thyroid cancer", "type" : "article-journal", "volume" : "156" }, "uris" : [ "http://www.mendeley.com/documents/?uuid=c35521f3-59c1-3ebe-9cca-c7e33dff32f2" ] }, { "id" : "ITEM-2", "itemData" : { "DOI" : "10.1002/bjs.5714", "ISBN" : "0007-1323; 0007-1323", "ISSN" : "00071323", "PMID" : "17256810", "abstract" : "BACKGROUND AND METHODS: Volume of surgery and specialization may affect patient outcome. Articles examining the effects of one or more of three variables (hospital volume of surgery, surgeon volume and specialization) on outcome (measured by length of hospital stay, mortality and complication rate) were analysed. Reviews, opinion articles and observational studies were excluded. The methodological quality of each study was assessed, a correlation between the variables analysed and the outcome accepted if it was significant. RESULTS: The search identified 55,391 articles published between 1957 and 2002; 1075 were relevant to the study, of which 163 (9,904,850 patients) fulfilled the entry criteria. These 163 examined 42 different surgical procedures, spanning 13 surgical specialities. None were randomized and 40 investigated more than one variable. Hospital volume was reported in 127 studies; high-volume hospitals had significantly better outcomes in 74.2 per cent of studies, but this effect was limited in prospective studies (40 per cent). Surgeon volume was reported in 58 studies; high-volume surgeons had significantly better outcomes in 74 per cent of studies. Specialization was reported in 22 studies; specialist surgeons had significantly better outcomes than general surgeons in 91 per cent of studies. The benefit of high surgeon volume and specialization varied in magnitude between specialities. CONCLUSION: High surgeon volume and specialization are associated with improved patient outcome, while high hospital volume is of limited benefit.", "author" : [ { "dropping-particle" : "", "family" : "Chowdhury", "given" : "M M", "non-dropping-particle" : "", "parse-names" : false, "suffix" : "" }, { "dropping-particle" : "", "family" : "Dagash", "given" : "H", "non-dropping-particle" : "", "parse-names" : false, "suffix" : "" }, { "dropping-particle" : "", "family" : "Pierro", "given" : "A", "non-dropping-particle" : "", "parse-names" : false, "suffix" : "" } ], "container-title" : "British Journal of Surgery", "id" : "ITEM-2", "issue" : "2", "issued" : { "date-parts" : [ [ "2007", "2" ] ] }, "page" : "145-161", "title" : "A systematic review of the impact of volume of surgery and specialization on patient outcome", "type" : "article", "volume" : "94" }, "uris" : [ "http://www.mendeley.com/documents/?uuid=fe9bf05e-ee37-3b85-bac9-3964417b3d82" ] }, { "id" : "ITEM-3", "itemData" : { "DOI" : "10.1136/bmj.d8041", "ISSN" : "0959-8138", "author" : [ { "dropping-particle" : "", "family" : "Duclos", "given" : "A.", "non-dropping-particle" : "", "parse-names" : false, "suffix" : "" }, { "dropping-particle" : "", "family" : "Peix", "given" : "J.-L.", "non-dropping-particle" : "", "parse-names" : false, "suffix" : "" }, { "dropping-particle" : "", "family" : "Colin", "given" : "C.", "non-dropping-particle" : "", "parse-names" : false, "suffix" : "" }, { "dropping-particle" : "", "family" : "Kraimps", "given" : "J.-L.", "non-dropping-particle" : "", "parse-names" : false, "suffix" : "" }, { "dropping-particle" : "", "family" : "Menegaux", "given" : "F.", "non-dropping-particle" : "", "parse-names" : false, "suffix" : "" }, { "dropping-particle" : "", "family" : "Pattou", "given" : "F.", "non-dropping-particle" : "", "parse-names" : false, "suffix" : "" }, { "dropping-particle" : "", "family" : "Sebag", "given" : "F.", "non-dropping-particle" : "", "parse-names" : false, "suffix" : "" }, { "dropping-particle" : "", "family" : "Touzet", "given" : "S.", "non-dropping-particle" : "", "parse-names" : false, "suffix" : "" }, { "dropping-particle" : "", "family" : "Bourdy", "given" : "S.", "non-dropping-particle" : "", "parse-names" : false, "suffix" : "" }, { "dropping-particle" : "", "family" : "Voirin", "given" : "N.", "non-dropping-particle" : "", "parse-names" : false, "suffix" : "" }, { "dropping-particle" : "", "family" : "Lifante", "given" : "J.-C.", "non-dropping-particle" : "", "parse-names" : false, "suffix" : "" } ], "container-title" : "BMJ", "id" : "ITEM-3", "issue" : "jan10 2", "issued" : { "date-parts" : [ [ "2012", "1", "10" ] ] }, "page" : "d8041-d8041", "title" : "Influence of experience on performance of individual surgeons in thyroid surgery: prospective cross sectional multicentre study", "type" : "article-journal", "volume" : "344" }, "uris" : [ "http://www.mendeley.com/documents/?uuid=964e8c2d-559f-3e8b-b4d5-9088593b4689" ] }, { "id" : "ITEM-4", "itemData" : { "DOI" : "10.1097/SLA.0000000000001688", "ISSN" : "1528-1140", "PMID" : "26967630", "abstract" : ": Supplemental Digital Content is available in the text OBJECTIVE:: To determine the number of total thyroidectomies per surgeon per year associated with the lowest risk of complications. BACKGROUND The surgeon volume-outcome association has been established for thyroidectomy; however, a threshold number of cases defining a \"high-volume\" surgeon remains unclear. METHODS Adults undergoing total thyroidectomy were identified from the Health Care Utilization Project-National Inpatient Sample (1998-2009). Multivariate logistic regression with restricted cubic splines was utilized to examine the association between the number of annual total thyroidectomies per surgeon and risk of complications. RESULTS Among 16,954 patients undergoing total thyroidectomy, 47% had thyroid cancer and 53% benign disease. Median annual surgeon volume was 7 cases; 51% of surgeons performed 1\u200acase/y. Overall, 6% of the patients experienced complications. After adjustment, the likelihood of experiencing a complication decreased with increasing surgeon volume up to 26\u200acases/y (P &lt; 0.01). Among all patients, 81% had surgery by low-volume surgeons (\u226425\u200acases/y). With adjustment, patients undergoing surgery by low-volume surgeons were more likely to experience complications (odds ratio 1.51, P = 0.002) and longer hospital stays (+12%, P = 0.006). Patients had an 87% increase in the odds of having a complication if the surgeon performed 1\u200acase/y, 68% for 2 to 5\u200acases/y, 42% for 6 to 10\u200acases/y, 22% for 11 to 15\u200acases/y, 10% for 16 to 20\u200acases/y, and 3% for 21 to 25\u200acases/y. CONCLUSIONS This is the first study to identify a surgeon volume threshold (&gt;25 total thyroidectomies/y) that is associated with improved patient outcomes. Identifying a threshold number of cases defining a high-volume thyroid surgeon is important, as it has implications for quality improvement, criteria for referral and reimbursement, and surgical education.", "author" : [ { "dropping-particle" : "", "family" : "Adam", "given" : "Mohamed Abdelgadir", "non-dropping-particle" : "", "parse-names" : false, "suffix" : "" }, { "dropping-particle" : "", "family" : "Thomas", "given" : "Samantha", "non-dropping-particle" : "", "parse-names" : false, "suffix" : "" }, { "dropping-particle" : "", "family" : "Youngwirth", "given" : "Linda", "non-dropping-particle" : "", "parse-names" : false, "suffix" : "" }, { "dropping-particle" : "", "family" : "Hyslop", "given" : "Terry", "non-dropping-particle" : "", "parse-names" : false, "suffix" : "" }, { "dropping-particle" : "", "family" : "Reed", "given" : "Shelby D", "non-dropping-particle" : "", "parse-names" : false, "suffix" : "" }, { "dropping-particle" : "", "family" : "Scheri", "given" : "Randall P", "non-dropping-particle" : "", "parse-names" : false, "suffix" : "" }, { "dropping-particle" : "", "family" : "Roman", "given" : "Sanziana A", "non-dropping-particle" : "", "parse-names" : false, "suffix" : "" }, { "dropping-particle" : "", "family" : "Sosa", "given" : "Julie A", "non-dropping-particle" : "", "parse-names" : false, "suffix" : "" } ], "container-title" : "Annals of surgery", "id" : "ITEM-4", "issued" : { "date-parts" : [ [ "2016", "3", "8" ] ] }, "title" : "Is There a Minimum Number of Thyroidectomies a Surgeon Should Perform to Optimize Patient Outcomes?", "type" : "article-journal" }, "uris" : [ "http://www.mendeley.com/documents/?uuid=df8e5f05-c62e-3d1e-bbaa-aaec2f4ce8c1" ] }, { "id" : "ITEM-5", "itemData" : { "DOI" : "10.1016/j.surg.2014.07.018", "ISBN" : "0039-6060", "ISSN" : "15327361", "PMID" : "25444315", "abstract" : "Introduction Recurrent laryngeal nerve (RLN) palsy is a devastating complication of thyroidectomy. Although neurapraxia is thought to be the most common cause, the underlying mechanisms are poorly understood. The objectives of this study were to examine the differential palsy rates between the left and right RLNs, and the role of intraoperative nerve swelling as a risk factor of postoperative palsy.\nMethods Thyroidectomy data were collected, including demographics, change in RLN diameter, and RLN electromyographic (EMG) reading. Left and right RLNs, as well as bilateral and unilateral subgroup analyses were performed.\nResults A total of 5,334 RLNs were at risk in 3,408 thyroidectomies in this study. The overall RLN palsy rate was 1.5%, greater on the right side than the left for bilateral cases (P =.025), and greater on the left side than the right for unilateral cases (P =.007). In a subgroup of 519 RLNs, the diameter and EMG amplitude were measured. The RLN diameter increased by approximately 1.5-fold (P &lt;.001), and corresponded to increased EMG amplitude (P =.01) during the procedure. The diameter of the right RLN was larger than the left RLN, both at the beginning and end of the dissection (P =.001).\nConclusion The right-left differential rates of post-thyroidectomy RLN palsy seemed to be due in part to differential RLN diameters, with stretch having a more deleterious effect on RLNs with a smaller diameter; also, edema as a result of stretch might be an underlying mechanism for postoperative neurapraxia and palsy. Thyroid surgeons should be aware of the different vulnerabilities of each RLN and develop practices to avoid iatrogenic injury.", "author" : [ { "dropping-particle" : "", "family" : "Serpell", "given" : "Jonathan W.", "non-dropping-particle" : "", "parse-names" : false, "suffix" : "" }, { "dropping-particle" : "", "family" : "Lee", "given" : "James C.", "non-dropping-particle" : "", "parse-names" : false, "suffix" : "" }, { "dropping-particle" : "", "family" : "Yeung", "given" : "Meei J.", "non-dropping-particle" : "", "parse-names" : false, "suffix" : "" }, { "dropping-particle" : "", "family" : "Grodski", "given" : "Simon", "non-dropping-particle" : "", "parse-names" : false, "suffix" : "" }, { "dropping-particle" : "", "family" : "Johnson", "given" : "William", "non-dropping-particle" : "", "parse-names" : false, "suffix" : "" }, { "dropping-particle" : "", "family" : "Bailey", "given" : "Michael", "non-dropping-particle" : "", "parse-names" : false, "suffix" : "" } ], "container-title" : "Surgery (United States)", "id" : "ITEM-5", "issue" : "5", "issued" : { "date-parts" : [ [ "2014" ] ] }, "page" : "1157-1166", "title" : "Differential recurrent laryngeal nerve palsy rates after thyroidectomy", "type" : "article-journal", "volume" : "156" }, "uris" : [ "http://www.mendeley.com/documents/?uuid=ee1d61e8-20a8-45ef-b2b1-3b5038f169d2" ] }, { "id" : "ITEM-6", "itemData" : { "DOI" : "10.1111/ans.13606", "ISSN" : "1445-2197", "PMID" : "27091372", "abstract" : "BACKGROUND The use of routine intraoperative neuromonitoring (IONM) is controversial in thyroid surgery. Guidelines have been published to standardize IONM. This study examines the impact of routine IONM on a high-volume thyroid surgeon. METHODS A prospective study was conducted using IONM between May 2013 and December 2014. Demographics, type of operation, pathology, recurrent laryngeal nerve (RLN) and external branch of the superior laryngeal nerve (EBSLN) visualization and sub-type classification, cricothyroid or cricopharyngeal twitch/electrode depolarization were obtained, and complications were recorded. Outcomes were compared with 500 thyroidectomies performed by the same surgeon without neuromonitoring. RESULTS Two hundred and ninety-nine total thyroidectomies and 191 hemithyroidectomies were performed with IONM resulting in 789 RLN and 789 EBSLN at risk of injury. Demographics, indication, pathology and complications were similar between the two groups. IONM provided additional information for 58 RLN dissections (7.4%) stratifying surgical decision-making. Loss of signal was detected in 1.8% of nerves at risk. IONM assisted in identification of 109 (13.8%, P\u2009&lt;\u20090.0001) EBSLN, including a 15.8% improvement in identifying type 2b EBSLN. Utility of IONM was not predicted by surgery indication; however, multinodular goitre was a significant predictor of IONM assisted identification of type 2b EBSLN (OR\u2009=\u20092.24, P\u2009=\u20090.01). CONCLUSION Routine IONM provides intraoperative information to a high-volume thyroid surgeon regarding the recurrent and external nerves over and above direct visualization alone, and its utility could not be predicted by operative indication.", "author" : [ { "dropping-particle" : "", "family" : "Lee", "given" : "Jane", "non-dropping-particle" : "", "parse-names" : false, "suffix" : "" }, { "dropping-particle" : "", "family" : "Fraser", "given" : "Sheila", "non-dropping-particle" : "", "parse-names" : false, "suffix" : "" }, { "dropping-particle" : "", "family" : "Glover", "given" : "Anthony", "non-dropping-particle" : "", "parse-names" : false, "suffix" : "" }, { "dropping-particle" : "", "family" : "Sidhu", "given" : "Stan", "non-dropping-particle" : "", "parse-names" : false, "suffix" : "" } ], "container-title" : "ANZ journal of surgery", "id" : "ITEM-6", "issued" : { "date-parts" : [ [ "2016", "4", "18" ] ] }, "title" : "Prospective evaluation of the utility of routine neuromonitoring for an established thyroid surgical practice.", "type" : "article-journal" }, "uris" : [ "http://www.mendeley.com/documents/?uuid=5010b3a4-712c-3142-939a-985298a68e9f" ] } ], "mendeley" : { "formattedCitation" : "[19]\u2013[24]", "plainTextFormattedCitation" : "[19]\u2013[24]", "previouslyFormattedCitation" : "[18]\u2013[23]" }, "properties" : { "noteIndex" : 0 }, "schema" : "https://github.com/citation-style-language/schema/raw/master/csl-citation.json" }</w:instrText>
      </w:r>
      <w:r w:rsidR="007C17C7">
        <w:rPr>
          <w:vertAlign w:val="superscript"/>
        </w:rPr>
        <w:fldChar w:fldCharType="separate"/>
      </w:r>
      <w:r w:rsidR="003360A6" w:rsidRPr="003360A6">
        <w:rPr>
          <w:noProof/>
        </w:rPr>
        <w:t>[19]–[24]</w:t>
      </w:r>
      <w:r w:rsidR="007C17C7">
        <w:rPr>
          <w:vertAlign w:val="superscript"/>
        </w:rPr>
        <w:fldChar w:fldCharType="end"/>
      </w:r>
      <w:r w:rsidR="00B95A67" w:rsidRPr="00E72750">
        <w:t xml:space="preserve"> </w:t>
      </w:r>
      <w:r w:rsidR="00CE7CC5" w:rsidRPr="00E72750">
        <w:t>this evidence is not universal for all surgical procedures</w:t>
      </w:r>
      <w:r w:rsidR="003D3129" w:rsidRPr="00E72750">
        <w:t>.</w:t>
      </w:r>
      <w:r w:rsidR="00CE7CC5" w:rsidRPr="00E72750">
        <w:t xml:space="preserve"> </w:t>
      </w:r>
      <w:r w:rsidR="005A6BE9" w:rsidRPr="00E72750">
        <w:t>There</w:t>
      </w:r>
      <w:r w:rsidR="00CE7CC5" w:rsidRPr="00E72750">
        <w:t xml:space="preserve"> is</w:t>
      </w:r>
      <w:r w:rsidR="005A6BE9" w:rsidRPr="00E72750">
        <w:t xml:space="preserve"> also</w:t>
      </w:r>
      <w:r w:rsidR="00CE7CC5" w:rsidRPr="00E72750">
        <w:t xml:space="preserve"> no local evidence that patients in regional Australia </w:t>
      </w:r>
      <w:r w:rsidR="00F901C8" w:rsidRPr="00E72750">
        <w:t xml:space="preserve">who </w:t>
      </w:r>
      <w:r w:rsidR="00CE7CC5" w:rsidRPr="00E72750">
        <w:t>undergo</w:t>
      </w:r>
      <w:r w:rsidR="005228CF" w:rsidRPr="00E72750">
        <w:t xml:space="preserve"> </w:t>
      </w:r>
      <w:r w:rsidR="00CE7CC5" w:rsidRPr="00E72750">
        <w:t xml:space="preserve">surgery performed by surgeons with lower annual volumes have poorer outcomes. </w:t>
      </w:r>
    </w:p>
    <w:p w14:paraId="31C4C24B" w14:textId="77777777" w:rsidR="00CE7CC5" w:rsidRPr="00E72750" w:rsidRDefault="000A5019" w:rsidP="0047371C">
      <w:r w:rsidRPr="00E72750">
        <w:t>Nonetheless</w:t>
      </w:r>
      <w:r w:rsidR="00601B3E" w:rsidRPr="00E72750">
        <w:t>, t</w:t>
      </w:r>
      <w:r w:rsidR="00CE7CC5" w:rsidRPr="00E72750">
        <w:t xml:space="preserve">he Committee agreed that </w:t>
      </w:r>
      <w:r w:rsidR="00A079CB" w:rsidRPr="00E72750">
        <w:t>th</w:t>
      </w:r>
      <w:r w:rsidR="00126ED8" w:rsidRPr="00E72750">
        <w:t>is</w:t>
      </w:r>
      <w:r w:rsidR="00A079CB" w:rsidRPr="00E72750">
        <w:t xml:space="preserve"> </w:t>
      </w:r>
      <w:r w:rsidR="00CE7CC5" w:rsidRPr="00E72750">
        <w:t>data</w:t>
      </w:r>
      <w:r w:rsidR="00AB1177" w:rsidRPr="00E72750">
        <w:t xml:space="preserve"> </w:t>
      </w:r>
      <w:r w:rsidR="000A5993" w:rsidRPr="00E72750">
        <w:t xml:space="preserve">is </w:t>
      </w:r>
      <w:r w:rsidR="00CE7CC5" w:rsidRPr="00E72750">
        <w:t xml:space="preserve">important and should be supplied to the Royal Australasian College of Surgeons and </w:t>
      </w:r>
      <w:r w:rsidR="009300FF" w:rsidRPr="00E72750">
        <w:t>relevant hospitals</w:t>
      </w:r>
      <w:r w:rsidR="005A7F5B" w:rsidRPr="00E72750">
        <w:t xml:space="preserve"> that</w:t>
      </w:r>
      <w:r w:rsidR="00106152" w:rsidRPr="00E72750">
        <w:t xml:space="preserve"> are</w:t>
      </w:r>
      <w:r w:rsidR="00CE7CC5" w:rsidRPr="00E72750">
        <w:t xml:space="preserve"> responsible for the development of professional standards and </w:t>
      </w:r>
      <w:r w:rsidR="009300FF" w:rsidRPr="00E72750">
        <w:t>credentia</w:t>
      </w:r>
      <w:r w:rsidR="009F42DF" w:rsidRPr="00E72750">
        <w:t>l</w:t>
      </w:r>
      <w:r w:rsidR="009300FF" w:rsidRPr="00E72750">
        <w:t>ing</w:t>
      </w:r>
      <w:r w:rsidR="00CE7CC5" w:rsidRPr="00E72750">
        <w:t xml:space="preserve"> </w:t>
      </w:r>
      <w:r w:rsidR="00AB1177" w:rsidRPr="00E72750">
        <w:t xml:space="preserve">of </w:t>
      </w:r>
      <w:r w:rsidR="00CE7CC5" w:rsidRPr="00E72750">
        <w:t xml:space="preserve">individual surgeons. </w:t>
      </w:r>
      <w:r w:rsidR="0013577C" w:rsidRPr="00E72750">
        <w:t>The</w:t>
      </w:r>
      <w:r w:rsidR="00CE7CC5" w:rsidRPr="00E72750">
        <w:t xml:space="preserve"> Committee </w:t>
      </w:r>
      <w:r w:rsidR="00517B4B" w:rsidRPr="00E72750">
        <w:t xml:space="preserve">also </w:t>
      </w:r>
      <w:r w:rsidR="00CE7CC5" w:rsidRPr="00E72750">
        <w:t>note</w:t>
      </w:r>
      <w:r w:rsidR="00517B4B" w:rsidRPr="00E72750">
        <w:t>d</w:t>
      </w:r>
      <w:r w:rsidR="00CE7CC5" w:rsidRPr="00E72750">
        <w:t xml:space="preserve"> that all surgeons, regardless of location, should recogni</w:t>
      </w:r>
      <w:r w:rsidR="00076FF1" w:rsidRPr="00E72750">
        <w:t>s</w:t>
      </w:r>
      <w:r w:rsidR="00CE7CC5" w:rsidRPr="00E72750">
        <w:t>e the circumstances when referral to a colleague with greater skills</w:t>
      </w:r>
      <w:r w:rsidR="009300FF" w:rsidRPr="00E72750">
        <w:t xml:space="preserve"> is warranted</w:t>
      </w:r>
      <w:r w:rsidR="00371D9F" w:rsidRPr="00E72750">
        <w:t>. It also noted</w:t>
      </w:r>
      <w:r w:rsidR="007B5303" w:rsidRPr="00E72750">
        <w:t xml:space="preserve"> that consumers should be advised of the importance of asking their surgeons about their experience and surgical outcomes, particularly complication rates, to assist them </w:t>
      </w:r>
      <w:r w:rsidR="00092257" w:rsidRPr="00E72750">
        <w:t xml:space="preserve">in </w:t>
      </w:r>
      <w:r w:rsidR="007B5303" w:rsidRPr="00E72750">
        <w:t>mak</w:t>
      </w:r>
      <w:r w:rsidR="00092257" w:rsidRPr="00E72750">
        <w:t>ing</w:t>
      </w:r>
      <w:r w:rsidR="007B5303" w:rsidRPr="00E72750">
        <w:t xml:space="preserve"> informed decision</w:t>
      </w:r>
      <w:r w:rsidR="00207C38" w:rsidRPr="00E72750">
        <w:t>s</w:t>
      </w:r>
      <w:r w:rsidR="007B5303" w:rsidRPr="00E72750">
        <w:t xml:space="preserve"> about their </w:t>
      </w:r>
      <w:r w:rsidR="00225072" w:rsidRPr="00E72750">
        <w:t>planned</w:t>
      </w:r>
      <w:r w:rsidR="007B5303" w:rsidRPr="00E72750">
        <w:t xml:space="preserve"> surgery.</w:t>
      </w:r>
    </w:p>
    <w:p w14:paraId="645E8F49" w14:textId="77777777" w:rsidR="008A6B33" w:rsidRDefault="008A6B33">
      <w:pPr>
        <w:spacing w:before="0" w:after="0"/>
        <w:rPr>
          <w:rFonts w:eastAsiaTheme="minorHAnsi" w:cs="Arial"/>
          <w:b/>
          <w:bCs/>
          <w:color w:val="01653F"/>
          <w:kern w:val="32"/>
          <w:sz w:val="32"/>
          <w:szCs w:val="28"/>
          <w:lang w:val="en-US" w:eastAsia="en-US"/>
        </w:rPr>
      </w:pPr>
      <w:r>
        <w:br w:type="page"/>
      </w:r>
    </w:p>
    <w:p w14:paraId="1AABCDC5" w14:textId="77777777" w:rsidR="007770D9" w:rsidRPr="00F7124C" w:rsidRDefault="007770D9" w:rsidP="00AE62D5">
      <w:pPr>
        <w:pStyle w:val="Heading1"/>
      </w:pPr>
      <w:bookmarkStart w:id="77" w:name="_Toc485298034"/>
      <w:r w:rsidRPr="00F7124C">
        <w:lastRenderedPageBreak/>
        <w:t>Stakeholder impact statement</w:t>
      </w:r>
      <w:bookmarkEnd w:id="77"/>
    </w:p>
    <w:p w14:paraId="4C01C7C5" w14:textId="77777777" w:rsidR="007770D9" w:rsidRPr="00E72750" w:rsidRDefault="00AA3968" w:rsidP="0047371C">
      <w:pPr>
        <w:rPr>
          <w:lang w:eastAsia="en-US"/>
        </w:rPr>
      </w:pPr>
      <w:r w:rsidRPr="00E72750">
        <w:rPr>
          <w:lang w:eastAsia="en-US"/>
        </w:rPr>
        <w:t>P</w:t>
      </w:r>
      <w:r w:rsidR="007770D9" w:rsidRPr="00E72750">
        <w:rPr>
          <w:lang w:eastAsia="en-US"/>
        </w:rPr>
        <w:t xml:space="preserve">atients and providers </w:t>
      </w:r>
      <w:r w:rsidRPr="00E72750">
        <w:rPr>
          <w:lang w:eastAsia="en-US"/>
        </w:rPr>
        <w:t xml:space="preserve">are expected to </w:t>
      </w:r>
      <w:r w:rsidR="007770D9" w:rsidRPr="00E72750">
        <w:rPr>
          <w:lang w:eastAsia="en-US"/>
        </w:rPr>
        <w:t xml:space="preserve">benefit from the </w:t>
      </w:r>
      <w:r w:rsidR="0077611A" w:rsidRPr="00E72750">
        <w:rPr>
          <w:lang w:eastAsia="en-US"/>
        </w:rPr>
        <w:t>recommendations</w:t>
      </w:r>
      <w:r w:rsidR="00C007BE" w:rsidRPr="00E72750">
        <w:rPr>
          <w:lang w:eastAsia="en-US"/>
        </w:rPr>
        <w:t>,</w:t>
      </w:r>
      <w:r w:rsidR="00877F76" w:rsidRPr="00E72750">
        <w:rPr>
          <w:lang w:eastAsia="en-US"/>
        </w:rPr>
        <w:t xml:space="preserve"> </w:t>
      </w:r>
      <w:r w:rsidR="004A2D1B" w:rsidRPr="00E72750">
        <w:rPr>
          <w:lang w:eastAsia="en-US"/>
        </w:rPr>
        <w:t>as</w:t>
      </w:r>
      <w:r w:rsidR="00D5592B" w:rsidRPr="00E72750">
        <w:rPr>
          <w:lang w:eastAsia="en-US"/>
        </w:rPr>
        <w:t xml:space="preserve"> </w:t>
      </w:r>
      <w:r w:rsidR="00592BD4" w:rsidRPr="00E72750">
        <w:rPr>
          <w:lang w:eastAsia="en-US"/>
        </w:rPr>
        <w:t>f</w:t>
      </w:r>
      <w:r w:rsidR="007770D9" w:rsidRPr="00E72750">
        <w:rPr>
          <w:lang w:eastAsia="en-US"/>
        </w:rPr>
        <w:t xml:space="preserve">ewer </w:t>
      </w:r>
      <w:r w:rsidR="00225072" w:rsidRPr="00E72750">
        <w:rPr>
          <w:lang w:eastAsia="en-US"/>
        </w:rPr>
        <w:t xml:space="preserve">items </w:t>
      </w:r>
      <w:r w:rsidR="007770D9" w:rsidRPr="00E72750">
        <w:rPr>
          <w:lang w:eastAsia="en-US"/>
        </w:rPr>
        <w:t xml:space="preserve">and clearer item descriptors </w:t>
      </w:r>
      <w:r w:rsidR="00B34E9D" w:rsidRPr="00E72750">
        <w:rPr>
          <w:lang w:eastAsia="en-US"/>
        </w:rPr>
        <w:t>(</w:t>
      </w:r>
      <w:r w:rsidR="007770D9" w:rsidRPr="00E72750">
        <w:rPr>
          <w:lang w:eastAsia="en-US"/>
        </w:rPr>
        <w:t>supported by exp</w:t>
      </w:r>
      <w:r w:rsidR="00D5592B" w:rsidRPr="00E72750">
        <w:rPr>
          <w:lang w:eastAsia="en-US"/>
        </w:rPr>
        <w:t>lanatory notes</w:t>
      </w:r>
      <w:r w:rsidR="00B34E9D" w:rsidRPr="00E72750">
        <w:rPr>
          <w:lang w:eastAsia="en-US"/>
        </w:rPr>
        <w:t>)</w:t>
      </w:r>
      <w:r w:rsidR="00D5592B" w:rsidRPr="00E72750">
        <w:rPr>
          <w:lang w:eastAsia="en-US"/>
        </w:rPr>
        <w:t xml:space="preserve"> will</w:t>
      </w:r>
      <w:r w:rsidR="007770D9" w:rsidRPr="00E72750">
        <w:rPr>
          <w:lang w:eastAsia="en-US"/>
        </w:rPr>
        <w:t xml:space="preserve"> minimise confusion for providers and incentivise best</w:t>
      </w:r>
      <w:r w:rsidR="00243C74" w:rsidRPr="00E72750">
        <w:rPr>
          <w:lang w:eastAsia="en-US"/>
        </w:rPr>
        <w:t>-</w:t>
      </w:r>
      <w:r w:rsidR="007770D9" w:rsidRPr="00E72750">
        <w:rPr>
          <w:lang w:eastAsia="en-US"/>
        </w:rPr>
        <w:t xml:space="preserve">practice clinical care for patients. Where items have been recommended for </w:t>
      </w:r>
      <w:r w:rsidR="0061049D" w:rsidRPr="00E72750">
        <w:rPr>
          <w:lang w:eastAsia="en-US"/>
        </w:rPr>
        <w:t>c</w:t>
      </w:r>
      <w:r w:rsidR="00BE5542" w:rsidRPr="00E72750">
        <w:rPr>
          <w:lang w:eastAsia="en-US"/>
        </w:rPr>
        <w:t>onsolidation</w:t>
      </w:r>
      <w:r w:rsidR="0061049D" w:rsidRPr="00E72750">
        <w:rPr>
          <w:lang w:eastAsia="en-US"/>
        </w:rPr>
        <w:t xml:space="preserve"> or </w:t>
      </w:r>
      <w:r w:rsidR="007770D9" w:rsidRPr="00E72750">
        <w:rPr>
          <w:lang w:eastAsia="en-US"/>
        </w:rPr>
        <w:t>deletion, an equivalent item has been highlighted</w:t>
      </w:r>
      <w:r w:rsidR="00E309F7" w:rsidRPr="00E72750">
        <w:rPr>
          <w:lang w:eastAsia="en-US"/>
        </w:rPr>
        <w:t xml:space="preserve"> that can</w:t>
      </w:r>
      <w:r w:rsidR="007770D9" w:rsidRPr="00E72750">
        <w:rPr>
          <w:lang w:eastAsia="en-US"/>
        </w:rPr>
        <w:t xml:space="preserve"> absorb the service volume </w:t>
      </w:r>
      <w:r w:rsidR="00F475E1" w:rsidRPr="00E72750">
        <w:rPr>
          <w:lang w:eastAsia="en-US"/>
        </w:rPr>
        <w:t>for</w:t>
      </w:r>
      <w:r w:rsidR="007770D9" w:rsidRPr="00E72750">
        <w:rPr>
          <w:lang w:eastAsia="en-US"/>
        </w:rPr>
        <w:t xml:space="preserve"> a comparable </w:t>
      </w:r>
      <w:r w:rsidR="00225072" w:rsidRPr="00E72750">
        <w:rPr>
          <w:lang w:eastAsia="en-US"/>
        </w:rPr>
        <w:t>MBS</w:t>
      </w:r>
      <w:r w:rsidR="007770D9" w:rsidRPr="00E72750">
        <w:rPr>
          <w:lang w:eastAsia="en-US"/>
        </w:rPr>
        <w:t xml:space="preserve"> fee.</w:t>
      </w:r>
    </w:p>
    <w:p w14:paraId="7B59BC29" w14:textId="77777777" w:rsidR="00840CA9" w:rsidRDefault="00840CA9">
      <w:pPr>
        <w:spacing w:before="0" w:after="0"/>
        <w:rPr>
          <w:rFonts w:eastAsiaTheme="minorHAnsi" w:cs="Arial"/>
          <w:b/>
          <w:bCs/>
          <w:color w:val="01653F"/>
          <w:kern w:val="32"/>
          <w:sz w:val="32"/>
          <w:szCs w:val="28"/>
          <w:lang w:val="en-US" w:eastAsia="en-US"/>
        </w:rPr>
      </w:pPr>
      <w:bookmarkStart w:id="78" w:name="_Toc456045466"/>
      <w:r>
        <w:br w:type="page"/>
      </w:r>
    </w:p>
    <w:p w14:paraId="3C946ACE" w14:textId="77777777" w:rsidR="00686517" w:rsidRPr="00E72750" w:rsidRDefault="00A66B73" w:rsidP="00E75EE1">
      <w:pPr>
        <w:pStyle w:val="Heading1"/>
      </w:pPr>
      <w:bookmarkStart w:id="79" w:name="_Toc485298035"/>
      <w:r w:rsidRPr="00E72750">
        <w:lastRenderedPageBreak/>
        <w:t>References</w:t>
      </w:r>
      <w:bookmarkEnd w:id="78"/>
      <w:bookmarkEnd w:id="79"/>
    </w:p>
    <w:p w14:paraId="24D228B2" w14:textId="77777777" w:rsidR="003360A6" w:rsidRPr="003360A6" w:rsidRDefault="00FD6724" w:rsidP="00655CD2">
      <w:pPr>
        <w:ind w:left="567" w:hanging="567"/>
        <w:rPr>
          <w:noProof/>
        </w:rPr>
      </w:pPr>
      <w:r w:rsidRPr="00572281">
        <w:fldChar w:fldCharType="begin" w:fldLock="1"/>
      </w:r>
      <w:r w:rsidRPr="00E72750">
        <w:instrText xml:space="preserve">ADDIN Mendeley Bibliography CSL_BIBLIOGRAPHY </w:instrText>
      </w:r>
      <w:r w:rsidRPr="00572281">
        <w:fldChar w:fldCharType="separate"/>
      </w:r>
      <w:r w:rsidR="003360A6" w:rsidRPr="003360A6">
        <w:rPr>
          <w:noProof/>
        </w:rPr>
        <w:t>[1]</w:t>
      </w:r>
      <w:r w:rsidR="003360A6" w:rsidRPr="003360A6">
        <w:rPr>
          <w:noProof/>
        </w:rPr>
        <w:tab/>
        <w:t>A. Elshaug, ‘Appropriate Use Criteria’, 2016.</w:t>
      </w:r>
    </w:p>
    <w:p w14:paraId="2D6FEF8F" w14:textId="77777777" w:rsidR="003360A6" w:rsidRPr="003360A6" w:rsidRDefault="003360A6" w:rsidP="00655CD2">
      <w:pPr>
        <w:ind w:left="567" w:hanging="567"/>
        <w:rPr>
          <w:noProof/>
        </w:rPr>
      </w:pPr>
      <w:r w:rsidRPr="003360A6">
        <w:rPr>
          <w:noProof/>
        </w:rPr>
        <w:t>[2]</w:t>
      </w:r>
      <w:r w:rsidRPr="003360A6">
        <w:rPr>
          <w:noProof/>
        </w:rPr>
        <w:tab/>
        <w:t>M. R. U. Department of Health Australia, ‘MBS data’, 2016.</w:t>
      </w:r>
    </w:p>
    <w:p w14:paraId="3A4611F3" w14:textId="77777777" w:rsidR="003360A6" w:rsidRPr="003360A6" w:rsidRDefault="003360A6" w:rsidP="00655CD2">
      <w:pPr>
        <w:ind w:left="567" w:hanging="567"/>
        <w:rPr>
          <w:noProof/>
        </w:rPr>
      </w:pPr>
      <w:r w:rsidRPr="003360A6">
        <w:rPr>
          <w:noProof/>
        </w:rPr>
        <w:t>[3]</w:t>
      </w:r>
      <w:r w:rsidRPr="003360A6">
        <w:rPr>
          <w:noProof/>
        </w:rPr>
        <w:tab/>
        <w:t xml:space="preserve">A. B. of Statistics, ‘Australian Demographic Statistics’, </w:t>
      </w:r>
      <w:r w:rsidRPr="003360A6">
        <w:rPr>
          <w:i/>
          <w:iCs/>
          <w:noProof/>
        </w:rPr>
        <w:t>3101.0 - Australian Demographic statistics Jun 2010 and Jun 2015</w:t>
      </w:r>
      <w:r w:rsidRPr="003360A6">
        <w:rPr>
          <w:noProof/>
        </w:rPr>
        <w:t>. [Online]. Available: http://www.abs.gov.au/ausstats/abs@.nsf/Previousproducts/3101.0Main Features1Jun 2015?opendocument&amp;tabname=Summary&amp;prodno=3101.0&amp;issue=Jun 2015&amp;num=&amp;view=. [Accessed: 25-Apr-2016].</w:t>
      </w:r>
    </w:p>
    <w:p w14:paraId="2D2B5851" w14:textId="77777777" w:rsidR="003360A6" w:rsidRPr="003360A6" w:rsidRDefault="003360A6" w:rsidP="00655CD2">
      <w:pPr>
        <w:ind w:left="567" w:hanging="567"/>
        <w:rPr>
          <w:noProof/>
        </w:rPr>
      </w:pPr>
      <w:r w:rsidRPr="003360A6">
        <w:rPr>
          <w:noProof/>
        </w:rPr>
        <w:t>[4]</w:t>
      </w:r>
      <w:r w:rsidRPr="003360A6">
        <w:rPr>
          <w:noProof/>
        </w:rPr>
        <w:tab/>
        <w:t>R. S. Bahn, H. B. Burch, D. S. Cooper, R. S. Bahn, H. B. Burch, and D. S. Cooper, ‘ATA / AACE Guidelines HYPERTHYROIDISM AND OTHER CAUSES OF THYROTOXICOSIS : MANAGEMENT GUIDELINES OF THE AMERICAN THYROID ASSOCIATION AND AMERICAN ASSOCIATION OF CLINICAL ENDOCRINOLOGISTS HYPERTHYROIDISM AND OTHER CAUSES OF THYROTOXICOSIS : MANAGEMENT GUID’, vol. 17, no. 3, pp. 1–65, 2011.</w:t>
      </w:r>
    </w:p>
    <w:p w14:paraId="72E7E860" w14:textId="77777777" w:rsidR="003360A6" w:rsidRPr="003360A6" w:rsidRDefault="003360A6" w:rsidP="00655CD2">
      <w:pPr>
        <w:ind w:left="567" w:hanging="567"/>
        <w:rPr>
          <w:noProof/>
        </w:rPr>
      </w:pPr>
      <w:r w:rsidRPr="003360A6">
        <w:rPr>
          <w:noProof/>
        </w:rPr>
        <w:t>[5]</w:t>
      </w:r>
      <w:r w:rsidRPr="003360A6">
        <w:rPr>
          <w:noProof/>
        </w:rPr>
        <w:tab/>
        <w:t xml:space="preserve">K. L. Snook, P. L. H. Stalberg, S. B. Sidhu, M. S. Sywak, P. Edhouse, and L. Delbridge, ‘Recurrence after total thyroidectomy for benign multinodular goiter.’, </w:t>
      </w:r>
      <w:r w:rsidRPr="003360A6">
        <w:rPr>
          <w:i/>
          <w:iCs/>
          <w:noProof/>
        </w:rPr>
        <w:t>World J. Surg.</w:t>
      </w:r>
      <w:r w:rsidRPr="003360A6">
        <w:rPr>
          <w:noProof/>
        </w:rPr>
        <w:t>, vol. 31, no. 3, pp. 593–8; discussion 599–600, Mar. 2007.</w:t>
      </w:r>
    </w:p>
    <w:p w14:paraId="45CA999E" w14:textId="77777777" w:rsidR="003360A6" w:rsidRPr="003360A6" w:rsidRDefault="003360A6" w:rsidP="00655CD2">
      <w:pPr>
        <w:ind w:left="567" w:hanging="567"/>
        <w:rPr>
          <w:noProof/>
        </w:rPr>
      </w:pPr>
      <w:r w:rsidRPr="003360A6">
        <w:rPr>
          <w:noProof/>
        </w:rPr>
        <w:t>[6]</w:t>
      </w:r>
      <w:r w:rsidRPr="003360A6">
        <w:rPr>
          <w:noProof/>
        </w:rPr>
        <w:tab/>
        <w:t>M. R. U. Department of Health, ‘MBS data’.</w:t>
      </w:r>
    </w:p>
    <w:p w14:paraId="08742E39" w14:textId="77777777" w:rsidR="003360A6" w:rsidRPr="003360A6" w:rsidRDefault="003360A6" w:rsidP="00655CD2">
      <w:pPr>
        <w:ind w:left="567" w:hanging="567"/>
        <w:rPr>
          <w:noProof/>
        </w:rPr>
      </w:pPr>
      <w:r w:rsidRPr="003360A6">
        <w:rPr>
          <w:noProof/>
        </w:rPr>
        <w:t>[7]</w:t>
      </w:r>
      <w:r w:rsidRPr="003360A6">
        <w:rPr>
          <w:noProof/>
        </w:rPr>
        <w:tab/>
        <w:t xml:space="preserve">B. R. Haugen, E. K. Alexander, K. C. Bible, G. M. Doherty, S. J. Mandel, Y. E. Nikiforov, F. Pacini, G. W. Randolph, A. M. Sawka, M. Schlumberger, K. G. Schuff, S. I. Sherman, J. A. Sosa, D. L. Steward, R. M. Tuttle, and L. Wartofsky, ‘2015 American Thyroid Association Management Guidelines for Adult Patients with Thyroid Nodules and Differentiated Thyroid Cancer: The American Thyroid Association Guidelines Task Force on Thyroid Nodules and Differentiated Thyroid Cancer.’, </w:t>
      </w:r>
      <w:r w:rsidRPr="003360A6">
        <w:rPr>
          <w:i/>
          <w:iCs/>
          <w:noProof/>
        </w:rPr>
        <w:t>Thyroid</w:t>
      </w:r>
      <w:r w:rsidRPr="003360A6">
        <w:rPr>
          <w:noProof/>
        </w:rPr>
        <w:t>, vol. 26, no. 1, pp. 1–133, Jan. 2016.</w:t>
      </w:r>
    </w:p>
    <w:p w14:paraId="6C1E02CB" w14:textId="77777777" w:rsidR="003360A6" w:rsidRPr="003360A6" w:rsidRDefault="003360A6" w:rsidP="00655CD2">
      <w:pPr>
        <w:ind w:left="567" w:hanging="567"/>
        <w:rPr>
          <w:noProof/>
        </w:rPr>
      </w:pPr>
      <w:r w:rsidRPr="003360A6">
        <w:rPr>
          <w:noProof/>
        </w:rPr>
        <w:t>[8]</w:t>
      </w:r>
      <w:r w:rsidRPr="003360A6">
        <w:rPr>
          <w:noProof/>
        </w:rPr>
        <w:tab/>
        <w:t>M. R. U. Department of Health Australia, ‘MBS data - Cognos’, 2016.</w:t>
      </w:r>
    </w:p>
    <w:p w14:paraId="565E0787" w14:textId="77777777" w:rsidR="003360A6" w:rsidRPr="003360A6" w:rsidRDefault="003360A6" w:rsidP="00655CD2">
      <w:pPr>
        <w:ind w:left="567" w:hanging="567"/>
        <w:rPr>
          <w:noProof/>
        </w:rPr>
      </w:pPr>
      <w:r w:rsidRPr="003360A6">
        <w:rPr>
          <w:noProof/>
        </w:rPr>
        <w:t>[9]</w:t>
      </w:r>
      <w:r w:rsidRPr="003360A6">
        <w:rPr>
          <w:noProof/>
        </w:rPr>
        <w:tab/>
        <w:t xml:space="preserve">O. Norlén, K. C. Wang, Y. K. Tay, W. R. Johnson, S. Grodski, M. Yeung, J. Serpell, S. Sidhu, M. Sywak, and L. Delbridge, ‘No need to abandon focused parathyroidectomy: a multicenter study of long-term outcome after surgery for primary hyperparathyroidism.’, </w:t>
      </w:r>
      <w:r w:rsidRPr="003360A6">
        <w:rPr>
          <w:i/>
          <w:iCs/>
          <w:noProof/>
        </w:rPr>
        <w:t>Ann. Surg.</w:t>
      </w:r>
      <w:r w:rsidRPr="003360A6">
        <w:rPr>
          <w:noProof/>
        </w:rPr>
        <w:t>, vol. 261, no. 5, pp. 991–6, May 2015.</w:t>
      </w:r>
    </w:p>
    <w:p w14:paraId="7053A187" w14:textId="77777777" w:rsidR="003360A6" w:rsidRPr="003360A6" w:rsidRDefault="003360A6" w:rsidP="00655CD2">
      <w:pPr>
        <w:ind w:left="567" w:hanging="567"/>
        <w:rPr>
          <w:noProof/>
        </w:rPr>
      </w:pPr>
      <w:r w:rsidRPr="003360A6">
        <w:rPr>
          <w:noProof/>
        </w:rPr>
        <w:t>[10]</w:t>
      </w:r>
      <w:r w:rsidRPr="003360A6">
        <w:rPr>
          <w:noProof/>
        </w:rPr>
        <w:tab/>
        <w:t xml:space="preserve">J. Norman, J. Lopez, and D. Politz, ‘Abandoning unilateral parathyroidectomy: why we reversed our position after 15,000 parathyroid operations.’, </w:t>
      </w:r>
      <w:r w:rsidRPr="003360A6">
        <w:rPr>
          <w:i/>
          <w:iCs/>
          <w:noProof/>
        </w:rPr>
        <w:t>J. Am. Coll. Surg.</w:t>
      </w:r>
      <w:r w:rsidRPr="003360A6">
        <w:rPr>
          <w:noProof/>
        </w:rPr>
        <w:t>, vol. 214, no. 3, pp. 260–9, 2012.</w:t>
      </w:r>
    </w:p>
    <w:p w14:paraId="5368AFED" w14:textId="77777777" w:rsidR="003360A6" w:rsidRPr="003360A6" w:rsidRDefault="003360A6" w:rsidP="00655CD2">
      <w:pPr>
        <w:ind w:left="567" w:hanging="567"/>
        <w:rPr>
          <w:noProof/>
        </w:rPr>
      </w:pPr>
      <w:r w:rsidRPr="003360A6">
        <w:rPr>
          <w:noProof/>
        </w:rPr>
        <w:t>[11]</w:t>
      </w:r>
      <w:r w:rsidRPr="003360A6">
        <w:rPr>
          <w:noProof/>
        </w:rPr>
        <w:tab/>
        <w:t xml:space="preserve">A. Chitale, P. Musonda, A. M. McGregor, and K. K. Dhatariya, ‘Determining the utility of the 60 min cortisol measurement in the short synacthen test.’, </w:t>
      </w:r>
      <w:r w:rsidRPr="003360A6">
        <w:rPr>
          <w:i/>
          <w:iCs/>
          <w:noProof/>
        </w:rPr>
        <w:t>Clin. Endocrinol. (Oxf).</w:t>
      </w:r>
      <w:r w:rsidRPr="003360A6">
        <w:rPr>
          <w:noProof/>
        </w:rPr>
        <w:t>, vol. 79, no. 1, pp. 14–9, Jul. 2013.</w:t>
      </w:r>
    </w:p>
    <w:p w14:paraId="723208E9" w14:textId="77777777" w:rsidR="003360A6" w:rsidRPr="003360A6" w:rsidRDefault="003360A6" w:rsidP="00655CD2">
      <w:pPr>
        <w:ind w:left="567" w:hanging="567"/>
        <w:rPr>
          <w:noProof/>
        </w:rPr>
      </w:pPr>
      <w:r w:rsidRPr="003360A6">
        <w:rPr>
          <w:noProof/>
        </w:rPr>
        <w:t>[12]</w:t>
      </w:r>
      <w:r w:rsidRPr="003360A6">
        <w:rPr>
          <w:noProof/>
        </w:rPr>
        <w:tab/>
        <w:t xml:space="preserve">C. P. Woods, N. Argese, M. Chapman, C. Boot, R. Webster, V. Dabhi, A. B. Grossman, A. A. Toogood, W. Arlt, P. M. Stewart, R. K. Crowley, and J. W. Tomlinson, ‘Adrenal suppression in patients taking inhaled glucocorticoids is highly prevalent and management can be guided by morning cortisol’, </w:t>
      </w:r>
      <w:r w:rsidRPr="003360A6">
        <w:rPr>
          <w:i/>
          <w:iCs/>
          <w:noProof/>
        </w:rPr>
        <w:t>Eur. J. Endocrinol.</w:t>
      </w:r>
      <w:r w:rsidRPr="003360A6">
        <w:rPr>
          <w:noProof/>
        </w:rPr>
        <w:t>, vol. 173, no. 5, pp. 633–642, 2015.</w:t>
      </w:r>
    </w:p>
    <w:p w14:paraId="048CCF7B" w14:textId="77777777" w:rsidR="003360A6" w:rsidRPr="003360A6" w:rsidRDefault="003360A6" w:rsidP="00655CD2">
      <w:pPr>
        <w:ind w:left="567" w:hanging="567"/>
        <w:rPr>
          <w:noProof/>
        </w:rPr>
      </w:pPr>
      <w:r w:rsidRPr="003360A6">
        <w:rPr>
          <w:noProof/>
        </w:rPr>
        <w:t>[13]</w:t>
      </w:r>
      <w:r w:rsidRPr="003360A6">
        <w:rPr>
          <w:noProof/>
        </w:rPr>
        <w:tab/>
        <w:t xml:space="preserve">W. J. Inder and P. J. Hunt, ‘Glucocorticoid replacement in pituitary surgery: guidelines for perioperative assessment and management.’, </w:t>
      </w:r>
      <w:r w:rsidRPr="003360A6">
        <w:rPr>
          <w:i/>
          <w:iCs/>
          <w:noProof/>
        </w:rPr>
        <w:t>J. Clin. Endocrinol. Metab.</w:t>
      </w:r>
      <w:r w:rsidRPr="003360A6">
        <w:rPr>
          <w:noProof/>
        </w:rPr>
        <w:t>, vol. 87, no. 6, pp. 2745–50, Jun. 2002.</w:t>
      </w:r>
    </w:p>
    <w:p w14:paraId="2900467A" w14:textId="77777777" w:rsidR="003360A6" w:rsidRPr="003360A6" w:rsidRDefault="003360A6" w:rsidP="00655CD2">
      <w:pPr>
        <w:ind w:left="567" w:hanging="567"/>
        <w:rPr>
          <w:noProof/>
        </w:rPr>
      </w:pPr>
      <w:r w:rsidRPr="003360A6">
        <w:rPr>
          <w:noProof/>
        </w:rPr>
        <w:t>[14]</w:t>
      </w:r>
      <w:r w:rsidRPr="003360A6">
        <w:rPr>
          <w:noProof/>
        </w:rPr>
        <w:tab/>
        <w:t xml:space="preserve">T. Deutschbein, N. Unger, K. Mann, and S. Petersenn, ‘Diagnosis of secondary adrenal insufficiency in patients with hypothalamic-pituitary disease: Comparison between serum and </w:t>
      </w:r>
      <w:r w:rsidRPr="003360A6">
        <w:rPr>
          <w:noProof/>
        </w:rPr>
        <w:lastRenderedPageBreak/>
        <w:t xml:space="preserve">salivary cortisol during the high-dose short synacthen test’, </w:t>
      </w:r>
      <w:r w:rsidRPr="003360A6">
        <w:rPr>
          <w:i/>
          <w:iCs/>
          <w:noProof/>
        </w:rPr>
        <w:t>Eur. J. Endocrinol.</w:t>
      </w:r>
      <w:r w:rsidRPr="003360A6">
        <w:rPr>
          <w:noProof/>
        </w:rPr>
        <w:t>, vol. 160, no. 1, pp. 9–16, Jan. 2009.</w:t>
      </w:r>
    </w:p>
    <w:p w14:paraId="0A9C70EB" w14:textId="77777777" w:rsidR="003360A6" w:rsidRPr="003360A6" w:rsidRDefault="003360A6" w:rsidP="00655CD2">
      <w:pPr>
        <w:ind w:left="567" w:hanging="567"/>
        <w:rPr>
          <w:noProof/>
        </w:rPr>
      </w:pPr>
      <w:r w:rsidRPr="003360A6">
        <w:rPr>
          <w:noProof/>
        </w:rPr>
        <w:t>[15]</w:t>
      </w:r>
      <w:r w:rsidRPr="003360A6">
        <w:rPr>
          <w:noProof/>
        </w:rPr>
        <w:tab/>
        <w:t xml:space="preserve">W. S. Yo, L.-M. Toh, S. J. Brown, W. D. Howe, D. E. Henley, and E. M. Lim, ‘How good is a morning cortisol in predicting an adequate response to intramuscular synacthen stimulation?’, </w:t>
      </w:r>
      <w:r w:rsidRPr="003360A6">
        <w:rPr>
          <w:i/>
          <w:iCs/>
          <w:noProof/>
        </w:rPr>
        <w:t>Clin. Endocrinol. (Oxf).</w:t>
      </w:r>
      <w:r w:rsidRPr="003360A6">
        <w:rPr>
          <w:noProof/>
        </w:rPr>
        <w:t>, vol. 81, no. 1, pp. 19–24, Jul. 2014.</w:t>
      </w:r>
    </w:p>
    <w:p w14:paraId="2EA49C7F" w14:textId="77777777" w:rsidR="003360A6" w:rsidRPr="003360A6" w:rsidRDefault="003360A6" w:rsidP="00655CD2">
      <w:pPr>
        <w:ind w:left="567" w:hanging="567"/>
        <w:rPr>
          <w:noProof/>
        </w:rPr>
      </w:pPr>
      <w:r w:rsidRPr="003360A6">
        <w:rPr>
          <w:noProof/>
        </w:rPr>
        <w:t>[16]</w:t>
      </w:r>
      <w:r w:rsidRPr="003360A6">
        <w:rPr>
          <w:noProof/>
        </w:rPr>
        <w:tab/>
        <w:t xml:space="preserve">C. W. Le Roux, K. Meeran, and J. Alaghband-Zadeh, ‘Is a 0900-h serum cortisol useful prior to a short synacthen test in outpatient assessment?’, </w:t>
      </w:r>
      <w:r w:rsidRPr="003360A6">
        <w:rPr>
          <w:i/>
          <w:iCs/>
          <w:noProof/>
        </w:rPr>
        <w:t>Ann. Clin. Biochem.</w:t>
      </w:r>
      <w:r w:rsidRPr="003360A6">
        <w:rPr>
          <w:noProof/>
        </w:rPr>
        <w:t>, vol. 39, no. Pt 2, pp. 148–50, Mar. 2002.</w:t>
      </w:r>
    </w:p>
    <w:p w14:paraId="7C1485A8" w14:textId="77777777" w:rsidR="003360A6" w:rsidRPr="003360A6" w:rsidRDefault="003360A6" w:rsidP="00655CD2">
      <w:pPr>
        <w:ind w:left="567" w:hanging="567"/>
        <w:rPr>
          <w:noProof/>
        </w:rPr>
      </w:pPr>
      <w:r w:rsidRPr="003360A6">
        <w:rPr>
          <w:noProof/>
        </w:rPr>
        <w:t>[17]</w:t>
      </w:r>
      <w:r w:rsidRPr="003360A6">
        <w:rPr>
          <w:noProof/>
        </w:rPr>
        <w:tab/>
        <w:t xml:space="preserve">F. M. Gioacchini, M. Alicandri-Ciufelli, S. Kaleci, G. Magilulo, L. Presutti, and M. Re, ‘Clinical presentation and treatment outcomes of thyroglossal duct cysts: a systematic review’, </w:t>
      </w:r>
      <w:r w:rsidRPr="003360A6">
        <w:rPr>
          <w:i/>
          <w:iCs/>
          <w:noProof/>
        </w:rPr>
        <w:t>Int. J. Oral Maxillofac. Surg.</w:t>
      </w:r>
      <w:r w:rsidRPr="003360A6">
        <w:rPr>
          <w:noProof/>
        </w:rPr>
        <w:t>, vol. 44, no. 1, pp. 119–26, 2015.</w:t>
      </w:r>
    </w:p>
    <w:p w14:paraId="3A586FD9" w14:textId="77777777" w:rsidR="003360A6" w:rsidRPr="003360A6" w:rsidRDefault="003360A6" w:rsidP="00655CD2">
      <w:pPr>
        <w:ind w:left="567" w:hanging="567"/>
        <w:rPr>
          <w:noProof/>
        </w:rPr>
      </w:pPr>
      <w:r w:rsidRPr="003360A6">
        <w:rPr>
          <w:noProof/>
        </w:rPr>
        <w:t>[18]</w:t>
      </w:r>
      <w:r w:rsidRPr="003360A6">
        <w:rPr>
          <w:noProof/>
        </w:rPr>
        <w:tab/>
        <w:t>M. R. U. Department of Health Australia, ‘MBS data - Q20320’, 2016.</w:t>
      </w:r>
    </w:p>
    <w:p w14:paraId="6DC7AE5F" w14:textId="77777777" w:rsidR="003360A6" w:rsidRPr="003360A6" w:rsidRDefault="003360A6" w:rsidP="00655CD2">
      <w:pPr>
        <w:ind w:left="567" w:hanging="567"/>
        <w:rPr>
          <w:noProof/>
        </w:rPr>
      </w:pPr>
      <w:r w:rsidRPr="003360A6">
        <w:rPr>
          <w:noProof/>
        </w:rPr>
        <w:t>[19]</w:t>
      </w:r>
      <w:r w:rsidRPr="003360A6">
        <w:rPr>
          <w:noProof/>
        </w:rPr>
        <w:tab/>
        <w:t xml:space="preserve">C. D. Adkisson, G. M. Howell, K. L. McCoy, M. J. Armstrong, M. L. Kelley, M. T. Stang, J. M. Joyce, S. P. Hodak, S. E. Carty, and L. Yip, ‘Surgeon volume and adequacy of thyroidectomy for differentiated thyroid cancer’, </w:t>
      </w:r>
      <w:r w:rsidRPr="003360A6">
        <w:rPr>
          <w:i/>
          <w:iCs/>
          <w:noProof/>
        </w:rPr>
        <w:t>Surgery</w:t>
      </w:r>
      <w:r w:rsidRPr="003360A6">
        <w:rPr>
          <w:noProof/>
        </w:rPr>
        <w:t>, vol. 156, no. 6, pp. 1453–1460, Dec. 2014.</w:t>
      </w:r>
    </w:p>
    <w:p w14:paraId="20796AD9" w14:textId="77777777" w:rsidR="003360A6" w:rsidRPr="003360A6" w:rsidRDefault="003360A6" w:rsidP="00655CD2">
      <w:pPr>
        <w:ind w:left="567" w:hanging="567"/>
        <w:rPr>
          <w:noProof/>
        </w:rPr>
      </w:pPr>
      <w:r w:rsidRPr="003360A6">
        <w:rPr>
          <w:noProof/>
        </w:rPr>
        <w:t>[20]</w:t>
      </w:r>
      <w:r w:rsidRPr="003360A6">
        <w:rPr>
          <w:noProof/>
        </w:rPr>
        <w:tab/>
        <w:t xml:space="preserve">M. M. Chowdhury, H. Dagash, and A. Pierro, ‘A systematic review of the impact of volume of surgery and specialization on patient outcome’, </w:t>
      </w:r>
      <w:r w:rsidRPr="003360A6">
        <w:rPr>
          <w:i/>
          <w:iCs/>
          <w:noProof/>
        </w:rPr>
        <w:t>British Journal of Surgery</w:t>
      </w:r>
      <w:r w:rsidRPr="003360A6">
        <w:rPr>
          <w:noProof/>
        </w:rPr>
        <w:t>, vol. 94, no. 2. pp. 145–161, Feb-2007.</w:t>
      </w:r>
    </w:p>
    <w:p w14:paraId="6D04D5E1" w14:textId="77777777" w:rsidR="003360A6" w:rsidRPr="003360A6" w:rsidRDefault="003360A6" w:rsidP="00655CD2">
      <w:pPr>
        <w:ind w:left="567" w:hanging="567"/>
        <w:rPr>
          <w:noProof/>
        </w:rPr>
      </w:pPr>
      <w:r w:rsidRPr="003360A6">
        <w:rPr>
          <w:noProof/>
        </w:rPr>
        <w:t>[21]</w:t>
      </w:r>
      <w:r w:rsidRPr="003360A6">
        <w:rPr>
          <w:noProof/>
        </w:rPr>
        <w:tab/>
        <w:t xml:space="preserve">A. Duclos, J.-L. Peix, C. Colin, J.-L. Kraimps, F. Menegaux, F. Pattou, F. Sebag, S. Touzet, S. Bourdy, N. Voirin, and J.-C. Lifante, ‘Influence of experience on performance of individual surgeons in thyroid surgery: prospective cross sectional multicentre study’, </w:t>
      </w:r>
      <w:r w:rsidRPr="003360A6">
        <w:rPr>
          <w:i/>
          <w:iCs/>
          <w:noProof/>
        </w:rPr>
        <w:t>BMJ</w:t>
      </w:r>
      <w:r w:rsidRPr="003360A6">
        <w:rPr>
          <w:noProof/>
        </w:rPr>
        <w:t>, vol. 344, no. jan10 2, pp. d8041–d8041, Jan. 2012.</w:t>
      </w:r>
    </w:p>
    <w:p w14:paraId="6D8E0AC7" w14:textId="77777777" w:rsidR="003360A6" w:rsidRPr="003360A6" w:rsidRDefault="003360A6" w:rsidP="00655CD2">
      <w:pPr>
        <w:ind w:left="567" w:hanging="567"/>
        <w:rPr>
          <w:noProof/>
        </w:rPr>
      </w:pPr>
      <w:r w:rsidRPr="003360A6">
        <w:rPr>
          <w:noProof/>
        </w:rPr>
        <w:t>[22]</w:t>
      </w:r>
      <w:r w:rsidRPr="003360A6">
        <w:rPr>
          <w:noProof/>
        </w:rPr>
        <w:tab/>
        <w:t xml:space="preserve">M. A. Adam, S. Thomas, L. Youngwirth, T. Hyslop, S. D. Reed, R. P. Scheri, S. A. Roman, and J. A. Sosa, ‘Is There a Minimum Number of Thyroidectomies a Surgeon Should Perform to Optimize Patient Outcomes?’, </w:t>
      </w:r>
      <w:r w:rsidRPr="003360A6">
        <w:rPr>
          <w:i/>
          <w:iCs/>
          <w:noProof/>
        </w:rPr>
        <w:t>Ann. Surg.</w:t>
      </w:r>
      <w:r w:rsidRPr="003360A6">
        <w:rPr>
          <w:noProof/>
        </w:rPr>
        <w:t>, Mar. 2016.</w:t>
      </w:r>
    </w:p>
    <w:p w14:paraId="7D405FD0" w14:textId="77777777" w:rsidR="003360A6" w:rsidRPr="003360A6" w:rsidRDefault="003360A6" w:rsidP="00655CD2">
      <w:pPr>
        <w:ind w:left="567" w:hanging="567"/>
        <w:rPr>
          <w:noProof/>
        </w:rPr>
      </w:pPr>
      <w:r w:rsidRPr="003360A6">
        <w:rPr>
          <w:noProof/>
        </w:rPr>
        <w:t>[23]</w:t>
      </w:r>
      <w:r w:rsidRPr="003360A6">
        <w:rPr>
          <w:noProof/>
        </w:rPr>
        <w:tab/>
        <w:t xml:space="preserve">J. W. Serpell, J. C. Lee, M. J. Yeung, S. Grodski, W. Johnson, and M. Bailey, ‘Differential recurrent laryngeal nerve palsy rates after thyroidectomy’, </w:t>
      </w:r>
      <w:r w:rsidRPr="003360A6">
        <w:rPr>
          <w:i/>
          <w:iCs/>
          <w:noProof/>
        </w:rPr>
        <w:t>Surg. (United States)</w:t>
      </w:r>
      <w:r w:rsidRPr="003360A6">
        <w:rPr>
          <w:noProof/>
        </w:rPr>
        <w:t>, vol. 156, no. 5, pp. 1157–1166, 2014.</w:t>
      </w:r>
    </w:p>
    <w:p w14:paraId="29A8A194" w14:textId="77777777" w:rsidR="003360A6" w:rsidRPr="003360A6" w:rsidRDefault="003360A6" w:rsidP="00655CD2">
      <w:pPr>
        <w:ind w:left="567" w:hanging="567"/>
        <w:rPr>
          <w:noProof/>
        </w:rPr>
      </w:pPr>
      <w:r w:rsidRPr="003360A6">
        <w:rPr>
          <w:noProof/>
        </w:rPr>
        <w:t>[24]</w:t>
      </w:r>
      <w:r w:rsidRPr="003360A6">
        <w:rPr>
          <w:noProof/>
        </w:rPr>
        <w:tab/>
        <w:t xml:space="preserve">J. Lee, S. Fraser, A. Glover, and S. Sidhu, ‘Prospective evaluation of the utility of routine neuromonitoring for an established thyroid surgical practice.’, </w:t>
      </w:r>
      <w:r w:rsidRPr="003360A6">
        <w:rPr>
          <w:i/>
          <w:iCs/>
          <w:noProof/>
        </w:rPr>
        <w:t>ANZ J. Surg.</w:t>
      </w:r>
      <w:r w:rsidR="004D2DBA">
        <w:rPr>
          <w:noProof/>
        </w:rPr>
        <w:t>, Apr. 2016.</w:t>
      </w:r>
    </w:p>
    <w:p w14:paraId="454B7DB6" w14:textId="77777777" w:rsidR="00512F2C" w:rsidRPr="00E72750" w:rsidRDefault="00FD6724" w:rsidP="00655CD2">
      <w:pPr>
        <w:ind w:left="567" w:hanging="567"/>
      </w:pPr>
      <w:r w:rsidRPr="00572281">
        <w:fldChar w:fldCharType="end"/>
      </w:r>
    </w:p>
    <w:p w14:paraId="7C228BE0" w14:textId="77777777" w:rsidR="005364D9" w:rsidRPr="00E72750" w:rsidRDefault="00B270E2" w:rsidP="0047371C">
      <w:r w:rsidRPr="00E72750">
        <w:br w:type="page"/>
      </w:r>
    </w:p>
    <w:p w14:paraId="545D0BA2" w14:textId="77777777" w:rsidR="00E97B6F" w:rsidRPr="00311ACD" w:rsidRDefault="003E65F1" w:rsidP="00311ACD">
      <w:pPr>
        <w:pStyle w:val="AppendixStyle1"/>
      </w:pPr>
      <w:bookmarkStart w:id="80" w:name="_Toc456045469"/>
      <w:bookmarkStart w:id="81" w:name="_Toc485298036"/>
      <w:r w:rsidRPr="00311ACD">
        <w:lastRenderedPageBreak/>
        <w:t>R</w:t>
      </w:r>
      <w:r w:rsidR="000F7566" w:rsidRPr="00311ACD">
        <w:t>ecommendations</w:t>
      </w:r>
      <w:r w:rsidR="004778A6" w:rsidRPr="00311ACD">
        <w:t xml:space="preserve"> list</w:t>
      </w:r>
      <w:bookmarkEnd w:id="80"/>
      <w:bookmarkEnd w:id="81"/>
      <w:r w:rsidR="003E3AC0" w:rsidRPr="00311ACD">
        <w:t xml:space="preserve"> </w:t>
      </w:r>
    </w:p>
    <w:tbl>
      <w:tblPr>
        <w:tblStyle w:val="TableGrid3"/>
        <w:tblW w:w="493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4A0" w:firstRow="1" w:lastRow="0" w:firstColumn="1" w:lastColumn="0" w:noHBand="0" w:noVBand="1"/>
        <w:tblDescription w:val="Appendix A is an item recommentation table. There are 3 columns: column 1.Item number, column 2.Current descriptor, column 3. Recommendations."/>
      </w:tblPr>
      <w:tblGrid>
        <w:gridCol w:w="717"/>
        <w:gridCol w:w="6206"/>
        <w:gridCol w:w="1970"/>
      </w:tblGrid>
      <w:tr w:rsidR="00840CA9" w:rsidRPr="00E72750" w14:paraId="7C4F2D5F" w14:textId="77777777" w:rsidTr="00AE62D5">
        <w:trPr>
          <w:cnfStyle w:val="100000000000" w:firstRow="1" w:lastRow="0" w:firstColumn="0" w:lastColumn="0" w:oddVBand="0" w:evenVBand="0" w:oddHBand="0" w:evenHBand="0" w:firstRowFirstColumn="0" w:firstRowLastColumn="0" w:lastRowFirstColumn="0" w:lastRowLastColumn="0"/>
          <w:tblHeader/>
        </w:trPr>
        <w:tc>
          <w:tcPr>
            <w:tcW w:w="722" w:type="dxa"/>
            <w:vAlign w:val="bottom"/>
          </w:tcPr>
          <w:p w14:paraId="1094180D" w14:textId="77777777" w:rsidR="00840CA9" w:rsidRPr="00E72750" w:rsidRDefault="00840CA9" w:rsidP="009D496C">
            <w:pPr>
              <w:pStyle w:val="02Tabletext"/>
              <w:spacing w:after="20"/>
              <w:jc w:val="left"/>
              <w:rPr>
                <w:rFonts w:cs="Arial"/>
                <w:b w:val="0"/>
                <w:lang w:val="en-GB"/>
              </w:rPr>
            </w:pPr>
            <w:r w:rsidRPr="00E72750">
              <w:rPr>
                <w:rFonts w:cs="Arial"/>
                <w:lang w:val="en-GB"/>
              </w:rPr>
              <w:t>Item</w:t>
            </w:r>
          </w:p>
        </w:tc>
        <w:tc>
          <w:tcPr>
            <w:tcW w:w="6252" w:type="dxa"/>
            <w:tcMar>
              <w:left w:w="57" w:type="dxa"/>
            </w:tcMar>
            <w:vAlign w:val="bottom"/>
          </w:tcPr>
          <w:p w14:paraId="1C6B682B" w14:textId="77777777" w:rsidR="00840CA9" w:rsidRPr="00E72750" w:rsidRDefault="00840CA9" w:rsidP="005A2B92">
            <w:pPr>
              <w:pStyle w:val="02Tabletext"/>
              <w:spacing w:after="20"/>
              <w:jc w:val="left"/>
              <w:rPr>
                <w:rFonts w:cs="Arial"/>
                <w:b w:val="0"/>
                <w:color w:val="000000" w:themeColor="text1"/>
                <w:lang w:val="en-GB"/>
              </w:rPr>
            </w:pPr>
            <w:r w:rsidRPr="00E72750">
              <w:rPr>
                <w:rFonts w:cs="Arial"/>
                <w:color w:val="000000" w:themeColor="text1"/>
                <w:lang w:val="en-GB"/>
              </w:rPr>
              <w:t>Current descriptor</w:t>
            </w:r>
          </w:p>
        </w:tc>
        <w:tc>
          <w:tcPr>
            <w:tcW w:w="1984" w:type="dxa"/>
            <w:tcMar>
              <w:left w:w="57" w:type="dxa"/>
            </w:tcMar>
            <w:vAlign w:val="bottom"/>
          </w:tcPr>
          <w:p w14:paraId="5F87EAFF" w14:textId="77777777" w:rsidR="00840CA9" w:rsidRPr="00E72750" w:rsidRDefault="00840CA9" w:rsidP="009D496C">
            <w:pPr>
              <w:pStyle w:val="02Tabletext"/>
              <w:spacing w:after="20"/>
              <w:jc w:val="left"/>
              <w:rPr>
                <w:rFonts w:cs="Arial"/>
                <w:b w:val="0"/>
                <w:color w:val="000000" w:themeColor="text1"/>
                <w:lang w:val="en-GB"/>
              </w:rPr>
            </w:pPr>
            <w:r w:rsidRPr="00E72750">
              <w:rPr>
                <w:rFonts w:cs="Arial"/>
                <w:color w:val="000000" w:themeColor="text1"/>
                <w:lang w:val="en-GB"/>
              </w:rPr>
              <w:t>Recommendation</w:t>
            </w:r>
          </w:p>
        </w:tc>
      </w:tr>
      <w:tr w:rsidR="00840CA9" w:rsidRPr="00E72750" w14:paraId="2365E9A9" w14:textId="77777777" w:rsidTr="00AE62D5">
        <w:tc>
          <w:tcPr>
            <w:tcW w:w="722" w:type="dxa"/>
          </w:tcPr>
          <w:p w14:paraId="048C9591" w14:textId="77777777" w:rsidR="00840CA9" w:rsidRPr="00E72750" w:rsidRDefault="00840CA9" w:rsidP="00801E5A">
            <w:pPr>
              <w:pStyle w:val="02Tabletext"/>
              <w:spacing w:after="20"/>
              <w:rPr>
                <w:rFonts w:cs="Arial"/>
                <w:lang w:val="en-GB"/>
              </w:rPr>
            </w:pPr>
            <w:r w:rsidRPr="00E72750">
              <w:rPr>
                <w:rFonts w:cs="Arial"/>
                <w:lang w:val="en-GB"/>
              </w:rPr>
              <w:t>12201</w:t>
            </w:r>
          </w:p>
        </w:tc>
        <w:tc>
          <w:tcPr>
            <w:tcW w:w="6252" w:type="dxa"/>
            <w:tcMar>
              <w:left w:w="57" w:type="dxa"/>
            </w:tcMar>
          </w:tcPr>
          <w:p w14:paraId="20529F7D"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Administration, by a specialist or consultant physician in the practice of his or her specialty, of thyrotropin alfa-</w:t>
            </w:r>
            <w:proofErr w:type="spellStart"/>
            <w:r w:rsidRPr="00E72750">
              <w:rPr>
                <w:rFonts w:cs="Arial"/>
                <w:lang w:val="en-GB"/>
              </w:rPr>
              <w:t>rch</w:t>
            </w:r>
            <w:proofErr w:type="spellEnd"/>
            <w:r w:rsidRPr="00E72750">
              <w:rPr>
                <w:rFonts w:cs="Arial"/>
                <w:lang w:val="en-GB"/>
              </w:rPr>
              <w:t xml:space="preserve"> (recombinant human thyroid-stimulating hormone), and arranging services to which both items 61426 and 66650 apply, for the detection of recurrent well-differentiated thyroid cancer in a patient if: (a) the patient has had a total thyroidectomy and 1 ablative dose of radioactive iodine; and (b) the patient is maintained on thyroid hormone therapy; and (c) the patient is at risk of recurrence; and (d) on at least 1 previous whole body scan or serum thyroglobulin test when withdrawn from thyroid hormone therapy, the patient did not have evidence of well-differentiated thyroid cancer; and (e) either: (</w:t>
            </w:r>
            <w:proofErr w:type="spellStart"/>
            <w:r w:rsidRPr="00E72750">
              <w:rPr>
                <w:rFonts w:cs="Arial"/>
                <w:lang w:val="en-GB"/>
              </w:rPr>
              <w:t>i</w:t>
            </w:r>
            <w:proofErr w:type="spellEnd"/>
            <w:r w:rsidRPr="00E72750">
              <w:rPr>
                <w:rFonts w:cs="Arial"/>
                <w:lang w:val="en-GB"/>
              </w:rPr>
              <w:t>) withdrawal from thyroid hormone therapy resulted in severe psychiatric disturbances when hypothyroid; or (ii) withdrawal is medically contra-indicated because the patient has: (a) unstable coronary artery disease; or (b) hypopituitarism; or (c) a high risk of relapse or exacerbation of a previous severe psychiatric illness— applicable once only in a 12 month period.</w:t>
            </w:r>
          </w:p>
        </w:tc>
        <w:tc>
          <w:tcPr>
            <w:tcW w:w="1984" w:type="dxa"/>
            <w:tcMar>
              <w:left w:w="57" w:type="dxa"/>
            </w:tcMar>
          </w:tcPr>
          <w:p w14:paraId="1CBD40A6"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Change </w:t>
            </w:r>
          </w:p>
        </w:tc>
      </w:tr>
      <w:tr w:rsidR="00840CA9" w:rsidRPr="00E72750" w14:paraId="2B2154BB" w14:textId="77777777" w:rsidTr="00AE62D5">
        <w:tc>
          <w:tcPr>
            <w:tcW w:w="722" w:type="dxa"/>
          </w:tcPr>
          <w:p w14:paraId="17C1CB91" w14:textId="77777777" w:rsidR="00840CA9" w:rsidRPr="00E72750" w:rsidRDefault="00840CA9" w:rsidP="00801E5A">
            <w:pPr>
              <w:pStyle w:val="02Tabletext"/>
              <w:spacing w:after="20"/>
              <w:rPr>
                <w:rFonts w:cs="Arial"/>
                <w:b/>
                <w:lang w:val="en-GB"/>
              </w:rPr>
            </w:pPr>
            <w:r w:rsidRPr="00E72750">
              <w:rPr>
                <w:rFonts w:cs="Arial"/>
                <w:lang w:val="en-GB"/>
              </w:rPr>
              <w:t>30097</w:t>
            </w:r>
          </w:p>
        </w:tc>
        <w:tc>
          <w:tcPr>
            <w:tcW w:w="6252" w:type="dxa"/>
            <w:tcMar>
              <w:left w:w="57" w:type="dxa"/>
            </w:tcMar>
          </w:tcPr>
          <w:p w14:paraId="00AB44FC"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Personal performance of a </w:t>
            </w:r>
            <w:proofErr w:type="spellStart"/>
            <w:r w:rsidRPr="00E72750">
              <w:rPr>
                <w:rFonts w:cs="Arial"/>
                <w:lang w:val="en-GB"/>
              </w:rPr>
              <w:t>Synacthen</w:t>
            </w:r>
            <w:proofErr w:type="spellEnd"/>
            <w:r w:rsidRPr="00E72750">
              <w:rPr>
                <w:rFonts w:cs="Arial"/>
                <w:lang w:val="en-GB"/>
              </w:rPr>
              <w:t xml:space="preserve"> Stimulation Test, including associated consultation; by a medical practitioner with resuscitation training and access to facilities where life support procedures can be implemented.</w:t>
            </w:r>
          </w:p>
        </w:tc>
        <w:tc>
          <w:tcPr>
            <w:tcW w:w="1984" w:type="dxa"/>
            <w:tcMar>
              <w:left w:w="57" w:type="dxa"/>
            </w:tcMar>
          </w:tcPr>
          <w:p w14:paraId="458219B7"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Change </w:t>
            </w:r>
          </w:p>
        </w:tc>
      </w:tr>
      <w:tr w:rsidR="00840CA9" w:rsidRPr="00E72750" w14:paraId="36DFC132" w14:textId="77777777" w:rsidTr="00AE62D5">
        <w:tc>
          <w:tcPr>
            <w:tcW w:w="722" w:type="dxa"/>
          </w:tcPr>
          <w:p w14:paraId="38BC414E" w14:textId="77777777" w:rsidR="00840CA9" w:rsidRPr="00E72750" w:rsidRDefault="00840CA9" w:rsidP="00801E5A">
            <w:pPr>
              <w:pStyle w:val="02Tabletext"/>
              <w:spacing w:after="20"/>
              <w:rPr>
                <w:rFonts w:cs="Arial"/>
                <w:b/>
                <w:lang w:val="en-GB"/>
              </w:rPr>
            </w:pPr>
            <w:r w:rsidRPr="00E72750">
              <w:rPr>
                <w:rFonts w:cs="Arial"/>
                <w:lang w:val="en-GB"/>
              </w:rPr>
              <w:t>30296</w:t>
            </w:r>
          </w:p>
        </w:tc>
        <w:tc>
          <w:tcPr>
            <w:tcW w:w="6252" w:type="dxa"/>
            <w:tcMar>
              <w:left w:w="57" w:type="dxa"/>
            </w:tcMar>
          </w:tcPr>
          <w:p w14:paraId="29223018" w14:textId="77777777" w:rsidR="00840CA9" w:rsidRPr="00E72750" w:rsidRDefault="00840CA9" w:rsidP="00801E5A">
            <w:pPr>
              <w:pStyle w:val="02Tabletext"/>
              <w:spacing w:after="20"/>
              <w:rPr>
                <w:rFonts w:cs="Arial"/>
                <w:lang w:val="en-GB"/>
              </w:rPr>
            </w:pPr>
            <w:r w:rsidRPr="00E72750">
              <w:rPr>
                <w:rFonts w:cs="Arial"/>
                <w:lang w:val="en-GB"/>
              </w:rPr>
              <w:t>Thyroidectomy, total.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1F9BCBA2"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Change </w:t>
            </w:r>
          </w:p>
        </w:tc>
      </w:tr>
      <w:tr w:rsidR="00840CA9" w:rsidRPr="00E72750" w14:paraId="5D03BE05" w14:textId="77777777" w:rsidTr="00AE62D5">
        <w:tc>
          <w:tcPr>
            <w:tcW w:w="722" w:type="dxa"/>
          </w:tcPr>
          <w:p w14:paraId="41036F9C" w14:textId="77777777" w:rsidR="00840CA9" w:rsidRPr="00E72750" w:rsidRDefault="00840CA9" w:rsidP="00801E5A">
            <w:pPr>
              <w:pStyle w:val="02Tabletext"/>
              <w:spacing w:after="20"/>
              <w:rPr>
                <w:rFonts w:cs="Arial"/>
                <w:b/>
                <w:lang w:val="en-GB"/>
              </w:rPr>
            </w:pPr>
            <w:r w:rsidRPr="00E72750">
              <w:rPr>
                <w:rFonts w:cs="Arial"/>
                <w:lang w:val="en-GB"/>
              </w:rPr>
              <w:t>30297</w:t>
            </w:r>
          </w:p>
        </w:tc>
        <w:tc>
          <w:tcPr>
            <w:tcW w:w="6252" w:type="dxa"/>
            <w:tcMar>
              <w:left w:w="57" w:type="dxa"/>
            </w:tcMar>
          </w:tcPr>
          <w:p w14:paraId="3BDD8259" w14:textId="77777777" w:rsidR="00840CA9" w:rsidRPr="00E72750" w:rsidRDefault="00840CA9" w:rsidP="00801E5A">
            <w:pPr>
              <w:pStyle w:val="02Tabletext"/>
              <w:spacing w:after="20"/>
              <w:rPr>
                <w:rFonts w:cs="Arial"/>
                <w:lang w:val="en-GB"/>
              </w:rPr>
            </w:pPr>
            <w:r w:rsidRPr="00E72750">
              <w:rPr>
                <w:rFonts w:cs="Arial"/>
                <w:lang w:val="en-GB"/>
              </w:rPr>
              <w:t>Thyroidectomy following previous thyroid surgery.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3BDE5F88"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Change </w:t>
            </w:r>
          </w:p>
        </w:tc>
      </w:tr>
      <w:tr w:rsidR="00840CA9" w:rsidRPr="00E72750" w14:paraId="4D7132C5" w14:textId="77777777" w:rsidTr="00AE62D5">
        <w:tc>
          <w:tcPr>
            <w:tcW w:w="722" w:type="dxa"/>
          </w:tcPr>
          <w:p w14:paraId="739DA8F2" w14:textId="77777777" w:rsidR="00840CA9" w:rsidRPr="00E72750" w:rsidRDefault="00840CA9" w:rsidP="00801E5A">
            <w:pPr>
              <w:pStyle w:val="02Tabletext"/>
              <w:spacing w:after="20"/>
              <w:rPr>
                <w:rFonts w:cs="Arial"/>
                <w:b/>
                <w:lang w:val="en-GB"/>
              </w:rPr>
            </w:pPr>
            <w:r w:rsidRPr="00E72750">
              <w:rPr>
                <w:rFonts w:cs="Arial"/>
                <w:lang w:val="en-GB"/>
              </w:rPr>
              <w:t>30306</w:t>
            </w:r>
          </w:p>
        </w:tc>
        <w:tc>
          <w:tcPr>
            <w:tcW w:w="6252" w:type="dxa"/>
            <w:tcMar>
              <w:left w:w="57" w:type="dxa"/>
            </w:tcMar>
          </w:tcPr>
          <w:p w14:paraId="026731AC" w14:textId="77777777" w:rsidR="00840CA9" w:rsidRPr="00E72750" w:rsidRDefault="00840CA9" w:rsidP="00801E5A">
            <w:pPr>
              <w:pStyle w:val="02Tabletext"/>
              <w:spacing w:after="20"/>
              <w:rPr>
                <w:rFonts w:cs="Arial"/>
                <w:lang w:val="en-GB"/>
              </w:rPr>
            </w:pPr>
            <w:r w:rsidRPr="00E72750">
              <w:rPr>
                <w:rFonts w:cs="Arial"/>
                <w:lang w:val="en-GB"/>
              </w:rPr>
              <w:t>Total hemithyroidectomy.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4BE93A5F" w14:textId="77777777" w:rsidR="00840CA9" w:rsidRPr="00E72750" w:rsidRDefault="00840CA9" w:rsidP="00801E5A">
            <w:pPr>
              <w:pStyle w:val="02Tabletext"/>
              <w:spacing w:after="20"/>
              <w:rPr>
                <w:rFonts w:cs="Arial"/>
                <w:lang w:val="en-GB"/>
              </w:rPr>
            </w:pPr>
            <w:r w:rsidRPr="00E72750">
              <w:rPr>
                <w:rFonts w:cs="Arial"/>
                <w:lang w:val="en-GB"/>
              </w:rPr>
              <w:t xml:space="preserve">Change </w:t>
            </w:r>
          </w:p>
        </w:tc>
      </w:tr>
      <w:tr w:rsidR="00840CA9" w:rsidRPr="00E72750" w14:paraId="170B94DE" w14:textId="77777777" w:rsidTr="00AE62D5">
        <w:tc>
          <w:tcPr>
            <w:tcW w:w="722" w:type="dxa"/>
          </w:tcPr>
          <w:p w14:paraId="0AB57B66" w14:textId="77777777" w:rsidR="00840CA9" w:rsidRPr="00E72750" w:rsidRDefault="00840CA9" w:rsidP="00801E5A">
            <w:pPr>
              <w:pStyle w:val="02Tabletext"/>
              <w:spacing w:after="20"/>
              <w:rPr>
                <w:rFonts w:cs="Arial"/>
                <w:b/>
                <w:lang w:val="en-GB"/>
              </w:rPr>
            </w:pPr>
            <w:r w:rsidRPr="00E72750">
              <w:rPr>
                <w:rFonts w:cs="Arial"/>
                <w:lang w:val="en-GB"/>
              </w:rPr>
              <w:t>30308</w:t>
            </w:r>
          </w:p>
        </w:tc>
        <w:tc>
          <w:tcPr>
            <w:tcW w:w="6252" w:type="dxa"/>
            <w:tcMar>
              <w:left w:w="57" w:type="dxa"/>
            </w:tcMar>
          </w:tcPr>
          <w:p w14:paraId="6F4BA4A2" w14:textId="77777777" w:rsidR="00840CA9" w:rsidRPr="00E72750" w:rsidRDefault="00840CA9" w:rsidP="00801E5A">
            <w:pPr>
              <w:pStyle w:val="02Tabletext"/>
              <w:spacing w:after="20"/>
              <w:rPr>
                <w:rFonts w:cs="Arial"/>
                <w:lang w:val="en-GB"/>
              </w:rPr>
            </w:pPr>
            <w:r w:rsidRPr="00E72750">
              <w:rPr>
                <w:rFonts w:cs="Arial"/>
                <w:lang w:val="en-GB"/>
              </w:rPr>
              <w:t>Bilateral subtotal thyroidectomy.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43F7DDFA" w14:textId="77777777" w:rsidR="00840CA9" w:rsidRPr="00E72750" w:rsidRDefault="00840CA9" w:rsidP="00801E5A">
            <w:pPr>
              <w:pStyle w:val="02Tabletext"/>
              <w:spacing w:after="20"/>
              <w:rPr>
                <w:rFonts w:cs="Arial"/>
                <w:color w:val="000000" w:themeColor="text1"/>
                <w:shd w:val="clear" w:color="auto" w:fill="FFFFFF"/>
                <w:lang w:val="en-GB"/>
              </w:rPr>
            </w:pPr>
            <w:r>
              <w:rPr>
                <w:rFonts w:cs="Arial"/>
                <w:lang w:val="en-GB"/>
              </w:rPr>
              <w:t>Change</w:t>
            </w:r>
          </w:p>
        </w:tc>
      </w:tr>
      <w:tr w:rsidR="00840CA9" w:rsidRPr="00E72750" w14:paraId="5509E90E" w14:textId="77777777" w:rsidTr="00AE62D5">
        <w:tc>
          <w:tcPr>
            <w:tcW w:w="722" w:type="dxa"/>
          </w:tcPr>
          <w:p w14:paraId="325AC258" w14:textId="77777777" w:rsidR="00840CA9" w:rsidRPr="00E72750" w:rsidRDefault="00840CA9" w:rsidP="00801E5A">
            <w:pPr>
              <w:pStyle w:val="02Tabletext"/>
              <w:spacing w:after="20"/>
              <w:rPr>
                <w:rFonts w:cs="Arial"/>
                <w:b/>
                <w:lang w:val="en-GB"/>
              </w:rPr>
            </w:pPr>
            <w:r w:rsidRPr="00E72750">
              <w:rPr>
                <w:rFonts w:cs="Arial"/>
                <w:lang w:val="en-GB"/>
              </w:rPr>
              <w:t>30309</w:t>
            </w:r>
          </w:p>
        </w:tc>
        <w:tc>
          <w:tcPr>
            <w:tcW w:w="6252" w:type="dxa"/>
            <w:tcMar>
              <w:left w:w="57" w:type="dxa"/>
            </w:tcMar>
          </w:tcPr>
          <w:p w14:paraId="5EDE7E90" w14:textId="77777777" w:rsidR="00840CA9" w:rsidRPr="00E72750" w:rsidRDefault="00840CA9" w:rsidP="00801E5A">
            <w:pPr>
              <w:pStyle w:val="02Tabletext"/>
              <w:spacing w:after="20"/>
              <w:rPr>
                <w:rFonts w:cs="Arial"/>
                <w:lang w:val="en-GB"/>
              </w:rPr>
            </w:pPr>
            <w:r w:rsidRPr="00E72750">
              <w:rPr>
                <w:rFonts w:cs="Arial"/>
                <w:lang w:val="en-GB"/>
              </w:rPr>
              <w:t>Thyroidectomy, subtotal for thyrotoxicosis.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18AA36ED" w14:textId="77777777" w:rsidR="00840CA9" w:rsidRPr="00E72750" w:rsidRDefault="00840CA9" w:rsidP="00801E5A">
            <w:pPr>
              <w:pStyle w:val="02Tabletext"/>
              <w:spacing w:after="20"/>
              <w:rPr>
                <w:rFonts w:cs="Arial"/>
                <w:color w:val="000000" w:themeColor="text1"/>
                <w:szCs w:val="23"/>
                <w:lang w:val="en-GB"/>
              </w:rPr>
            </w:pPr>
            <w:r>
              <w:rPr>
                <w:rFonts w:cs="Arial"/>
                <w:lang w:val="en-GB"/>
              </w:rPr>
              <w:t xml:space="preserve">Delete </w:t>
            </w:r>
            <w:r w:rsidRPr="00E72750">
              <w:rPr>
                <w:rFonts w:cs="Arial"/>
                <w:lang w:val="en-GB"/>
              </w:rPr>
              <w:t xml:space="preserve"> </w:t>
            </w:r>
          </w:p>
        </w:tc>
      </w:tr>
      <w:tr w:rsidR="00840CA9" w:rsidRPr="00E72750" w14:paraId="01876C86" w14:textId="77777777" w:rsidTr="00AE62D5">
        <w:tc>
          <w:tcPr>
            <w:tcW w:w="722" w:type="dxa"/>
          </w:tcPr>
          <w:p w14:paraId="783E9872" w14:textId="77777777" w:rsidR="00840CA9" w:rsidRPr="00E72750" w:rsidRDefault="00840CA9" w:rsidP="00801E5A">
            <w:pPr>
              <w:pStyle w:val="02Tabletext"/>
              <w:spacing w:after="20"/>
              <w:rPr>
                <w:rFonts w:cs="Arial"/>
                <w:b/>
                <w:lang w:val="en-GB"/>
              </w:rPr>
            </w:pPr>
            <w:r w:rsidRPr="00E72750">
              <w:rPr>
                <w:rFonts w:cs="Arial"/>
                <w:lang w:val="en-GB"/>
              </w:rPr>
              <w:t>30310</w:t>
            </w:r>
          </w:p>
        </w:tc>
        <w:tc>
          <w:tcPr>
            <w:tcW w:w="6252" w:type="dxa"/>
            <w:tcMar>
              <w:left w:w="57" w:type="dxa"/>
            </w:tcMar>
          </w:tcPr>
          <w:p w14:paraId="146B4FDE" w14:textId="77777777" w:rsidR="00840CA9" w:rsidRPr="00E72750" w:rsidRDefault="00840CA9" w:rsidP="00801E5A">
            <w:pPr>
              <w:pStyle w:val="02Tabletext"/>
              <w:spacing w:after="20"/>
              <w:rPr>
                <w:rFonts w:cs="Arial"/>
                <w:lang w:val="en-GB"/>
              </w:rPr>
            </w:pPr>
            <w:r w:rsidRPr="00E72750">
              <w:rPr>
                <w:rFonts w:cs="Arial"/>
                <w:lang w:val="en-GB"/>
              </w:rPr>
              <w:t>Thyroid, unilateral subtotal thyroidectomy or equivalent partial thyroidectomy.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73E3B443" w14:textId="77777777" w:rsidR="00840CA9" w:rsidRPr="00E72750" w:rsidRDefault="00840CA9" w:rsidP="00801E5A">
            <w:pPr>
              <w:pStyle w:val="02Tabletext"/>
              <w:spacing w:after="20"/>
              <w:rPr>
                <w:rFonts w:cs="Arial"/>
                <w:color w:val="000000" w:themeColor="text1"/>
                <w:szCs w:val="23"/>
                <w:lang w:val="en-GB"/>
              </w:rPr>
            </w:pPr>
            <w:r>
              <w:rPr>
                <w:rFonts w:cs="Arial"/>
                <w:lang w:val="en-GB"/>
              </w:rPr>
              <w:t xml:space="preserve">Change </w:t>
            </w:r>
            <w:r w:rsidRPr="00E72750">
              <w:rPr>
                <w:rFonts w:cs="Arial"/>
                <w:lang w:val="en-GB"/>
              </w:rPr>
              <w:t xml:space="preserve"> </w:t>
            </w:r>
          </w:p>
        </w:tc>
      </w:tr>
      <w:tr w:rsidR="00840CA9" w:rsidRPr="00E72750" w14:paraId="4B00906E" w14:textId="77777777" w:rsidTr="00AE62D5">
        <w:tc>
          <w:tcPr>
            <w:tcW w:w="722" w:type="dxa"/>
          </w:tcPr>
          <w:p w14:paraId="435AFFA9" w14:textId="77777777" w:rsidR="00840CA9" w:rsidRPr="00E72750" w:rsidRDefault="00840CA9" w:rsidP="00801E5A">
            <w:pPr>
              <w:pStyle w:val="02Tabletext"/>
              <w:spacing w:after="20"/>
              <w:rPr>
                <w:rFonts w:cs="Arial"/>
                <w:b/>
                <w:lang w:val="en-GB"/>
              </w:rPr>
            </w:pPr>
            <w:r w:rsidRPr="00E72750">
              <w:rPr>
                <w:rFonts w:cs="Arial"/>
                <w:lang w:val="en-GB"/>
              </w:rPr>
              <w:t>30313</w:t>
            </w:r>
          </w:p>
        </w:tc>
        <w:tc>
          <w:tcPr>
            <w:tcW w:w="6252" w:type="dxa"/>
            <w:tcMar>
              <w:left w:w="57" w:type="dxa"/>
            </w:tcMar>
          </w:tcPr>
          <w:p w14:paraId="150ECBF7" w14:textId="77777777" w:rsidR="00840CA9" w:rsidRPr="00E72750" w:rsidRDefault="00840CA9" w:rsidP="00801E5A">
            <w:pPr>
              <w:pStyle w:val="02Tabletext"/>
              <w:spacing w:after="20"/>
              <w:rPr>
                <w:rFonts w:cs="Arial"/>
                <w:lang w:val="en-GB"/>
              </w:rPr>
            </w:pPr>
            <w:r w:rsidRPr="00E72750">
              <w:rPr>
                <w:rFonts w:cs="Arial"/>
                <w:lang w:val="en-GB"/>
              </w:rPr>
              <w:t>Thyroglossal cyst, removal of.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73B3924D" w14:textId="77777777" w:rsidR="00840CA9" w:rsidRPr="00E72750" w:rsidRDefault="00840CA9" w:rsidP="00801E5A">
            <w:pPr>
              <w:pStyle w:val="02Tabletext"/>
              <w:spacing w:after="20"/>
              <w:rPr>
                <w:rFonts w:cs="Arial"/>
                <w:lang w:val="en-GB"/>
              </w:rPr>
            </w:pPr>
            <w:r w:rsidRPr="00E72750">
              <w:rPr>
                <w:rFonts w:cs="Arial"/>
                <w:lang w:val="en-GB"/>
              </w:rPr>
              <w:t xml:space="preserve">Delete </w:t>
            </w:r>
          </w:p>
        </w:tc>
      </w:tr>
      <w:tr w:rsidR="00840CA9" w:rsidRPr="00E72750" w14:paraId="236DA231" w14:textId="77777777" w:rsidTr="00AE62D5">
        <w:tc>
          <w:tcPr>
            <w:tcW w:w="722" w:type="dxa"/>
          </w:tcPr>
          <w:p w14:paraId="6FB19A8F" w14:textId="77777777" w:rsidR="00840CA9" w:rsidRPr="00E72750" w:rsidRDefault="00840CA9" w:rsidP="00801E5A">
            <w:pPr>
              <w:pStyle w:val="02Tabletext"/>
              <w:spacing w:after="20"/>
              <w:rPr>
                <w:rFonts w:cs="Arial"/>
                <w:b/>
                <w:lang w:val="en-GB"/>
              </w:rPr>
            </w:pPr>
            <w:r w:rsidRPr="00E72750">
              <w:rPr>
                <w:rFonts w:cs="Arial"/>
                <w:lang w:val="en-GB"/>
              </w:rPr>
              <w:t>30314</w:t>
            </w:r>
          </w:p>
        </w:tc>
        <w:tc>
          <w:tcPr>
            <w:tcW w:w="6252" w:type="dxa"/>
            <w:tcMar>
              <w:left w:w="57" w:type="dxa"/>
            </w:tcMar>
          </w:tcPr>
          <w:p w14:paraId="0B834E8C" w14:textId="77777777" w:rsidR="00840CA9" w:rsidRPr="00E72750" w:rsidRDefault="00840CA9" w:rsidP="00801E5A">
            <w:pPr>
              <w:pStyle w:val="02Tabletext"/>
              <w:spacing w:after="20"/>
              <w:rPr>
                <w:rFonts w:cs="Arial"/>
                <w:lang w:val="en-GB"/>
              </w:rPr>
            </w:pPr>
            <w:r w:rsidRPr="00E72750">
              <w:rPr>
                <w:rFonts w:cs="Arial"/>
                <w:lang w:val="en-GB"/>
              </w:rPr>
              <w:t>Thyroglossal cyst or fistula or both, on a person 10 years of age or over. Radical removal of, including thyroglossal duct and portion of hyoid bone.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4769083B"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Change </w:t>
            </w:r>
          </w:p>
        </w:tc>
      </w:tr>
      <w:tr w:rsidR="00840CA9" w:rsidRPr="00E72750" w14:paraId="15FDB7C2" w14:textId="77777777" w:rsidTr="00AE62D5">
        <w:tc>
          <w:tcPr>
            <w:tcW w:w="722" w:type="dxa"/>
          </w:tcPr>
          <w:p w14:paraId="3FF3F4B6" w14:textId="77777777" w:rsidR="00840CA9" w:rsidRPr="00E72750" w:rsidRDefault="00840CA9" w:rsidP="00801E5A">
            <w:pPr>
              <w:pStyle w:val="02Tabletext"/>
              <w:spacing w:after="20"/>
              <w:rPr>
                <w:rFonts w:cs="Arial"/>
                <w:b/>
                <w:lang w:val="en-GB"/>
              </w:rPr>
            </w:pPr>
            <w:r w:rsidRPr="00E72750">
              <w:rPr>
                <w:rFonts w:cs="Arial"/>
                <w:lang w:val="en-GB"/>
              </w:rPr>
              <w:t>30315</w:t>
            </w:r>
          </w:p>
        </w:tc>
        <w:tc>
          <w:tcPr>
            <w:tcW w:w="6252" w:type="dxa"/>
            <w:tcMar>
              <w:left w:w="57" w:type="dxa"/>
            </w:tcMar>
          </w:tcPr>
          <w:p w14:paraId="0CFFCBD4" w14:textId="77777777" w:rsidR="00840CA9" w:rsidRPr="00E72750" w:rsidRDefault="00840CA9" w:rsidP="00801E5A">
            <w:pPr>
              <w:pStyle w:val="02Tabletext"/>
              <w:spacing w:after="20"/>
              <w:rPr>
                <w:rFonts w:cs="Arial"/>
                <w:lang w:val="en-GB"/>
              </w:rPr>
            </w:pPr>
            <w:r w:rsidRPr="00E72750">
              <w:rPr>
                <w:rFonts w:cs="Arial"/>
                <w:lang w:val="en-GB"/>
              </w:rPr>
              <w:t>Parathyroid operation for hyperparathyroidism.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4C3B3219"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Change </w:t>
            </w:r>
          </w:p>
        </w:tc>
      </w:tr>
      <w:tr w:rsidR="00840CA9" w:rsidRPr="00E72750" w14:paraId="45D00B64" w14:textId="77777777" w:rsidTr="00AE62D5">
        <w:tc>
          <w:tcPr>
            <w:tcW w:w="722" w:type="dxa"/>
          </w:tcPr>
          <w:p w14:paraId="417F5CAD" w14:textId="77777777" w:rsidR="00840CA9" w:rsidRPr="00E72750" w:rsidRDefault="00840CA9" w:rsidP="00801E5A">
            <w:pPr>
              <w:pStyle w:val="02Tabletext"/>
              <w:spacing w:after="20"/>
              <w:rPr>
                <w:rFonts w:cs="Arial"/>
                <w:b/>
                <w:lang w:val="en-GB"/>
              </w:rPr>
            </w:pPr>
            <w:r w:rsidRPr="00E72750">
              <w:rPr>
                <w:rFonts w:cs="Arial"/>
                <w:lang w:val="en-GB"/>
              </w:rPr>
              <w:t>30317</w:t>
            </w:r>
          </w:p>
        </w:tc>
        <w:tc>
          <w:tcPr>
            <w:tcW w:w="6252" w:type="dxa"/>
            <w:tcMar>
              <w:left w:w="57" w:type="dxa"/>
            </w:tcMar>
          </w:tcPr>
          <w:p w14:paraId="4E133276" w14:textId="77777777" w:rsidR="00840CA9" w:rsidRPr="00E72750" w:rsidRDefault="00840CA9" w:rsidP="00801E5A">
            <w:pPr>
              <w:pStyle w:val="02Tabletext"/>
              <w:spacing w:after="20"/>
              <w:rPr>
                <w:rFonts w:cs="Arial"/>
                <w:lang w:val="en-GB"/>
              </w:rPr>
            </w:pPr>
            <w:r w:rsidRPr="00E72750">
              <w:rPr>
                <w:rFonts w:cs="Arial"/>
                <w:lang w:val="en-GB"/>
              </w:rPr>
              <w:t xml:space="preserve">Cervical </w:t>
            </w:r>
            <w:proofErr w:type="spellStart"/>
            <w:r w:rsidRPr="00E72750">
              <w:rPr>
                <w:rFonts w:cs="Arial"/>
                <w:lang w:val="en-GB"/>
              </w:rPr>
              <w:t>reexploration</w:t>
            </w:r>
            <w:proofErr w:type="spellEnd"/>
            <w:r w:rsidRPr="00E72750">
              <w:rPr>
                <w:rFonts w:cs="Arial"/>
                <w:lang w:val="en-GB"/>
              </w:rPr>
              <w:t xml:space="preserve"> for recurrent or persistent hyperparathyroidism.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5183BBFF" w14:textId="77777777" w:rsidR="00840CA9" w:rsidRPr="00E72750" w:rsidRDefault="00840CA9" w:rsidP="00801E5A">
            <w:pPr>
              <w:pStyle w:val="02Tabletext"/>
              <w:spacing w:after="20"/>
              <w:rPr>
                <w:rFonts w:cs="Arial"/>
                <w:color w:val="000000" w:themeColor="text1"/>
                <w:lang w:val="en-GB"/>
              </w:rPr>
            </w:pPr>
            <w:r w:rsidRPr="00E72750">
              <w:rPr>
                <w:rFonts w:cs="Arial"/>
                <w:lang w:val="en-GB"/>
              </w:rPr>
              <w:t xml:space="preserve">Change </w:t>
            </w:r>
          </w:p>
        </w:tc>
      </w:tr>
      <w:tr w:rsidR="00840CA9" w:rsidRPr="00E72750" w14:paraId="0913BAF9" w14:textId="77777777" w:rsidTr="00AE62D5">
        <w:tc>
          <w:tcPr>
            <w:tcW w:w="722" w:type="dxa"/>
          </w:tcPr>
          <w:p w14:paraId="5951C86E" w14:textId="77777777" w:rsidR="00840CA9" w:rsidRPr="00E72750" w:rsidRDefault="00840CA9" w:rsidP="00801E5A">
            <w:pPr>
              <w:pStyle w:val="02Tabletext"/>
              <w:spacing w:after="20"/>
              <w:rPr>
                <w:rFonts w:cs="Arial"/>
                <w:b/>
                <w:lang w:val="en-GB"/>
              </w:rPr>
            </w:pPr>
            <w:r w:rsidRPr="00E72750">
              <w:rPr>
                <w:rFonts w:cs="Arial"/>
                <w:lang w:val="en-GB"/>
              </w:rPr>
              <w:t>30318</w:t>
            </w:r>
          </w:p>
        </w:tc>
        <w:tc>
          <w:tcPr>
            <w:tcW w:w="6252" w:type="dxa"/>
            <w:tcMar>
              <w:left w:w="57" w:type="dxa"/>
            </w:tcMar>
          </w:tcPr>
          <w:p w14:paraId="3182FA48" w14:textId="77777777" w:rsidR="00840CA9" w:rsidRPr="00E72750" w:rsidRDefault="00840CA9" w:rsidP="00801E5A">
            <w:pPr>
              <w:pStyle w:val="02Tabletext"/>
              <w:spacing w:after="20"/>
              <w:rPr>
                <w:rFonts w:cs="Arial"/>
                <w:lang w:val="en-GB"/>
              </w:rPr>
            </w:pPr>
            <w:r w:rsidRPr="00E72750">
              <w:rPr>
                <w:rFonts w:cs="Arial"/>
                <w:lang w:val="en-GB"/>
              </w:rPr>
              <w:t>Mediastinum, exploration of, via the cervical route, for hyperparathyroidism (including thymectomy).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08C8593A" w14:textId="77777777" w:rsidR="00840CA9" w:rsidRPr="00E72750" w:rsidRDefault="00840CA9" w:rsidP="00801E5A">
            <w:pPr>
              <w:pStyle w:val="02Tabletext"/>
              <w:spacing w:after="20"/>
              <w:rPr>
                <w:rFonts w:cs="Arial"/>
                <w:lang w:val="en-GB"/>
              </w:rPr>
            </w:pPr>
            <w:r w:rsidRPr="00E72750">
              <w:rPr>
                <w:rFonts w:cs="Arial"/>
                <w:lang w:val="en-GB"/>
              </w:rPr>
              <w:t xml:space="preserve">Change </w:t>
            </w:r>
          </w:p>
        </w:tc>
      </w:tr>
      <w:tr w:rsidR="00840CA9" w:rsidRPr="00E72750" w14:paraId="0E861A02" w14:textId="77777777" w:rsidTr="00AE62D5">
        <w:tc>
          <w:tcPr>
            <w:tcW w:w="722" w:type="dxa"/>
          </w:tcPr>
          <w:p w14:paraId="54F89F13" w14:textId="77777777" w:rsidR="00840CA9" w:rsidRPr="00E72750" w:rsidRDefault="00840CA9" w:rsidP="00801E5A">
            <w:pPr>
              <w:pStyle w:val="02Tabletext"/>
              <w:spacing w:after="20"/>
              <w:rPr>
                <w:rFonts w:cs="Arial"/>
                <w:b/>
                <w:lang w:val="en-GB"/>
              </w:rPr>
            </w:pPr>
            <w:r w:rsidRPr="00E72750">
              <w:rPr>
                <w:rFonts w:cs="Arial"/>
                <w:lang w:val="en-GB"/>
              </w:rPr>
              <w:t>30320</w:t>
            </w:r>
          </w:p>
        </w:tc>
        <w:tc>
          <w:tcPr>
            <w:tcW w:w="6252" w:type="dxa"/>
            <w:tcMar>
              <w:left w:w="57" w:type="dxa"/>
            </w:tcMar>
          </w:tcPr>
          <w:p w14:paraId="60FB73B7" w14:textId="77777777" w:rsidR="00840CA9" w:rsidRPr="00E72750" w:rsidRDefault="00840CA9" w:rsidP="00801E5A">
            <w:pPr>
              <w:pStyle w:val="02Tabletext"/>
              <w:spacing w:after="20"/>
              <w:rPr>
                <w:rFonts w:cs="Arial"/>
                <w:lang w:val="en-GB"/>
              </w:rPr>
            </w:pPr>
            <w:r w:rsidRPr="00E72750">
              <w:rPr>
                <w:rFonts w:cs="Arial"/>
                <w:lang w:val="en-GB"/>
              </w:rPr>
              <w:t>Mediastinum, exploration of, via mediastinotomy, for hyperparathyroidism (including thymectomy).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29932F30" w14:textId="77777777" w:rsidR="00840CA9" w:rsidRPr="00E72750" w:rsidRDefault="00840CA9" w:rsidP="00801E5A">
            <w:pPr>
              <w:pStyle w:val="02Tabletext"/>
              <w:spacing w:after="20"/>
              <w:rPr>
                <w:rFonts w:cs="Arial"/>
                <w:lang w:val="en-GB"/>
              </w:rPr>
            </w:pPr>
            <w:r w:rsidRPr="00E72750">
              <w:rPr>
                <w:rFonts w:cs="Arial"/>
                <w:lang w:val="en-GB"/>
              </w:rPr>
              <w:t xml:space="preserve">Change </w:t>
            </w:r>
          </w:p>
        </w:tc>
      </w:tr>
      <w:tr w:rsidR="00840CA9" w:rsidRPr="00E72750" w14:paraId="0C91A3A2" w14:textId="77777777" w:rsidTr="00AE62D5">
        <w:tc>
          <w:tcPr>
            <w:tcW w:w="722" w:type="dxa"/>
          </w:tcPr>
          <w:p w14:paraId="49A082D6" w14:textId="77777777" w:rsidR="00840CA9" w:rsidRPr="00E72750" w:rsidRDefault="00840CA9" w:rsidP="00801E5A">
            <w:pPr>
              <w:pStyle w:val="02Tabletext"/>
              <w:spacing w:after="20"/>
              <w:rPr>
                <w:rFonts w:cs="Arial"/>
                <w:b/>
                <w:lang w:val="en-GB"/>
              </w:rPr>
            </w:pPr>
            <w:r w:rsidRPr="00E72750">
              <w:rPr>
                <w:rFonts w:cs="Arial"/>
                <w:lang w:val="en-GB"/>
              </w:rPr>
              <w:t>30321</w:t>
            </w:r>
          </w:p>
        </w:tc>
        <w:tc>
          <w:tcPr>
            <w:tcW w:w="6252" w:type="dxa"/>
            <w:tcMar>
              <w:left w:w="57" w:type="dxa"/>
            </w:tcMar>
          </w:tcPr>
          <w:p w14:paraId="2DC829DB" w14:textId="77777777" w:rsidR="00840CA9" w:rsidRPr="00E72750" w:rsidRDefault="00840CA9" w:rsidP="00801E5A">
            <w:pPr>
              <w:pStyle w:val="02Tabletext"/>
              <w:spacing w:after="20"/>
              <w:rPr>
                <w:rFonts w:cs="Arial"/>
                <w:lang w:val="en-GB"/>
              </w:rPr>
            </w:pPr>
            <w:r w:rsidRPr="00E72750">
              <w:rPr>
                <w:rFonts w:cs="Arial"/>
                <w:lang w:val="en-GB"/>
              </w:rPr>
              <w:t>Retroperitoneal neuroendocrine tumour, removal of.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72FA6F6D" w14:textId="77777777" w:rsidR="00840CA9" w:rsidRPr="00E72750" w:rsidRDefault="00840CA9" w:rsidP="00801E5A">
            <w:pPr>
              <w:pStyle w:val="02Tabletext"/>
              <w:spacing w:after="20"/>
              <w:rPr>
                <w:rFonts w:cs="Arial"/>
                <w:lang w:val="en-GB"/>
              </w:rPr>
            </w:pPr>
            <w:r>
              <w:rPr>
                <w:rFonts w:cs="Arial"/>
                <w:lang w:val="en-GB"/>
              </w:rPr>
              <w:t xml:space="preserve">Change </w:t>
            </w:r>
            <w:r w:rsidRPr="00E72750">
              <w:rPr>
                <w:rFonts w:cs="Arial"/>
                <w:lang w:val="en-GB"/>
              </w:rPr>
              <w:t xml:space="preserve"> </w:t>
            </w:r>
          </w:p>
        </w:tc>
      </w:tr>
      <w:tr w:rsidR="00840CA9" w:rsidRPr="00E72750" w14:paraId="73882D14" w14:textId="77777777" w:rsidTr="00AE62D5">
        <w:tc>
          <w:tcPr>
            <w:tcW w:w="722" w:type="dxa"/>
          </w:tcPr>
          <w:p w14:paraId="4A3F3B38" w14:textId="77777777" w:rsidR="00840CA9" w:rsidRPr="00E72750" w:rsidRDefault="00840CA9" w:rsidP="00801E5A">
            <w:pPr>
              <w:pStyle w:val="02Tabletext"/>
              <w:spacing w:after="20"/>
              <w:rPr>
                <w:rFonts w:cs="Arial"/>
                <w:lang w:val="en-GB"/>
              </w:rPr>
            </w:pPr>
            <w:r w:rsidRPr="00E72750">
              <w:rPr>
                <w:rFonts w:cs="Arial"/>
                <w:lang w:val="en-GB"/>
              </w:rPr>
              <w:t>30323</w:t>
            </w:r>
          </w:p>
        </w:tc>
        <w:tc>
          <w:tcPr>
            <w:tcW w:w="6252" w:type="dxa"/>
            <w:tcMar>
              <w:left w:w="57" w:type="dxa"/>
            </w:tcMar>
          </w:tcPr>
          <w:p w14:paraId="76CFA41D" w14:textId="77777777" w:rsidR="00840CA9" w:rsidRPr="00E72750" w:rsidRDefault="00840CA9" w:rsidP="00801E5A">
            <w:pPr>
              <w:pStyle w:val="02Tabletext"/>
              <w:spacing w:after="20"/>
              <w:rPr>
                <w:rFonts w:cs="Arial"/>
                <w:lang w:val="en-GB"/>
              </w:rPr>
            </w:pPr>
            <w:r w:rsidRPr="00E72750">
              <w:rPr>
                <w:rFonts w:cs="Arial"/>
                <w:lang w:val="en-GB"/>
              </w:rPr>
              <w:t>Retroperitoneal neuroendocrine tumour, removal of, requiring complex and extensive dissection.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16D7E566" w14:textId="77777777" w:rsidR="00840CA9" w:rsidRPr="00E72750" w:rsidRDefault="00840CA9" w:rsidP="00801E5A">
            <w:pPr>
              <w:pStyle w:val="02Tabletext"/>
              <w:spacing w:after="20"/>
              <w:rPr>
                <w:rFonts w:cs="Arial"/>
                <w:lang w:val="en-GB"/>
              </w:rPr>
            </w:pPr>
            <w:r w:rsidRPr="00E72750">
              <w:rPr>
                <w:rFonts w:cs="Arial"/>
                <w:lang w:val="en-GB"/>
              </w:rPr>
              <w:t xml:space="preserve">Change </w:t>
            </w:r>
          </w:p>
        </w:tc>
      </w:tr>
      <w:tr w:rsidR="00840CA9" w:rsidRPr="00E72750" w14:paraId="4A0E2684" w14:textId="77777777" w:rsidTr="00AE62D5">
        <w:tc>
          <w:tcPr>
            <w:tcW w:w="722" w:type="dxa"/>
          </w:tcPr>
          <w:p w14:paraId="4A364CDB" w14:textId="77777777" w:rsidR="00840CA9" w:rsidRPr="00E72750" w:rsidRDefault="00840CA9" w:rsidP="00801E5A">
            <w:pPr>
              <w:pStyle w:val="02Tabletext"/>
              <w:spacing w:after="20"/>
              <w:rPr>
                <w:rFonts w:cs="Arial"/>
                <w:lang w:val="en-GB"/>
              </w:rPr>
            </w:pPr>
            <w:r w:rsidRPr="00E72750">
              <w:rPr>
                <w:rFonts w:cs="Arial"/>
                <w:lang w:val="en-GB"/>
              </w:rPr>
              <w:t>30324</w:t>
            </w:r>
          </w:p>
        </w:tc>
        <w:tc>
          <w:tcPr>
            <w:tcW w:w="6252" w:type="dxa"/>
            <w:tcMar>
              <w:left w:w="57" w:type="dxa"/>
            </w:tcMar>
          </w:tcPr>
          <w:p w14:paraId="202F3950" w14:textId="77777777" w:rsidR="00840CA9" w:rsidRPr="00E72750" w:rsidRDefault="00840CA9" w:rsidP="00801E5A">
            <w:pPr>
              <w:pStyle w:val="02Tabletext"/>
              <w:spacing w:after="20"/>
              <w:rPr>
                <w:rFonts w:cs="Arial"/>
                <w:lang w:val="en-GB"/>
              </w:rPr>
            </w:pPr>
            <w:r w:rsidRPr="00E72750">
              <w:rPr>
                <w:rFonts w:cs="Arial"/>
                <w:lang w:val="en-GB"/>
              </w:rPr>
              <w:t>Adrenal gland tumour, excision of. (</w:t>
            </w:r>
            <w:proofErr w:type="spellStart"/>
            <w:r w:rsidRPr="00E72750">
              <w:rPr>
                <w:rFonts w:cs="Arial"/>
                <w:lang w:val="en-GB"/>
              </w:rPr>
              <w:t>Anaes</w:t>
            </w:r>
            <w:proofErr w:type="spellEnd"/>
            <w:r w:rsidRPr="00E72750">
              <w:rPr>
                <w:rFonts w:cs="Arial"/>
                <w:lang w:val="en-GB"/>
              </w:rPr>
              <w:t>.) (Assist.)</w:t>
            </w:r>
          </w:p>
        </w:tc>
        <w:tc>
          <w:tcPr>
            <w:tcW w:w="1984" w:type="dxa"/>
            <w:tcMar>
              <w:left w:w="57" w:type="dxa"/>
            </w:tcMar>
          </w:tcPr>
          <w:p w14:paraId="4EB67E0A" w14:textId="77777777" w:rsidR="00840CA9" w:rsidRPr="00E72750" w:rsidRDefault="00840CA9" w:rsidP="00801E5A">
            <w:pPr>
              <w:pStyle w:val="02Tabletext"/>
              <w:spacing w:after="20"/>
              <w:rPr>
                <w:rFonts w:cs="Arial"/>
                <w:lang w:val="en-GB"/>
              </w:rPr>
            </w:pPr>
            <w:r w:rsidRPr="00E72750">
              <w:rPr>
                <w:rFonts w:cs="Arial"/>
                <w:lang w:val="en-GB"/>
              </w:rPr>
              <w:t xml:space="preserve">Change </w:t>
            </w:r>
          </w:p>
        </w:tc>
      </w:tr>
    </w:tbl>
    <w:p w14:paraId="1BE86A7A" w14:textId="77777777" w:rsidR="00CB06AB" w:rsidRDefault="00CB06AB" w:rsidP="0047371C">
      <w:bookmarkStart w:id="82" w:name="_Toc456045470"/>
      <w:bookmarkEnd w:id="82"/>
    </w:p>
    <w:p w14:paraId="3E49799A" w14:textId="77777777" w:rsidR="00CB06AB" w:rsidRDefault="00CB06AB" w:rsidP="00AE62D5">
      <w:r>
        <w:br w:type="page"/>
      </w:r>
    </w:p>
    <w:p w14:paraId="23CAD407" w14:textId="77777777" w:rsidR="00CB06AB" w:rsidRPr="00572281" w:rsidRDefault="00CB06AB" w:rsidP="00AE62D5">
      <w:pPr>
        <w:pStyle w:val="AppendixStyle1"/>
      </w:pPr>
      <w:bookmarkStart w:id="83" w:name="_Toc485298037"/>
      <w:r w:rsidRPr="00572281">
        <w:lastRenderedPageBreak/>
        <w:t>Glossary</w:t>
      </w:r>
      <w:bookmarkEnd w:id="83"/>
    </w:p>
    <w:tbl>
      <w:tblPr>
        <w:tblStyle w:val="TableGrid3"/>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Glossary table contains two heading columns: terms and their descriptions."/>
      </w:tblPr>
      <w:tblGrid>
        <w:gridCol w:w="2276"/>
        <w:gridCol w:w="6740"/>
      </w:tblGrid>
      <w:tr w:rsidR="00CB06AB" w:rsidRPr="00E72750" w14:paraId="5841F994" w14:textId="77777777" w:rsidTr="000E3973">
        <w:trPr>
          <w:cnfStyle w:val="100000000000" w:firstRow="1" w:lastRow="0" w:firstColumn="0" w:lastColumn="0" w:oddVBand="0" w:evenVBand="0" w:oddHBand="0" w:evenHBand="0" w:firstRowFirstColumn="0" w:firstRowLastColumn="0" w:lastRowFirstColumn="0" w:lastRowLastColumn="0"/>
          <w:tblHeader/>
        </w:trPr>
        <w:tc>
          <w:tcPr>
            <w:tcW w:w="2288" w:type="dxa"/>
            <w:vAlign w:val="bottom"/>
          </w:tcPr>
          <w:p w14:paraId="3734C42B" w14:textId="77777777" w:rsidR="00CB06AB" w:rsidRPr="00E72750" w:rsidRDefault="00CB06AB" w:rsidP="00840CA9">
            <w:pPr>
              <w:pStyle w:val="02Tabletext"/>
              <w:spacing w:after="20"/>
              <w:jc w:val="left"/>
              <w:rPr>
                <w:rFonts w:cs="Arial"/>
                <w:b w:val="0"/>
                <w:lang w:val="en-GB"/>
              </w:rPr>
            </w:pPr>
            <w:r w:rsidRPr="00E72750">
              <w:rPr>
                <w:rFonts w:cs="Arial"/>
                <w:lang w:val="en-GB"/>
              </w:rPr>
              <w:t>Term</w:t>
            </w:r>
          </w:p>
        </w:tc>
        <w:tc>
          <w:tcPr>
            <w:tcW w:w="6794" w:type="dxa"/>
            <w:tcMar>
              <w:left w:w="57" w:type="dxa"/>
            </w:tcMar>
            <w:vAlign w:val="bottom"/>
          </w:tcPr>
          <w:p w14:paraId="7E56853A" w14:textId="77777777" w:rsidR="00CB06AB" w:rsidRPr="00E72750" w:rsidRDefault="00CB06AB" w:rsidP="00840CA9">
            <w:pPr>
              <w:pStyle w:val="02Tabletext"/>
              <w:spacing w:after="20"/>
              <w:jc w:val="left"/>
              <w:rPr>
                <w:rFonts w:cs="Arial"/>
                <w:b w:val="0"/>
                <w:color w:val="000000" w:themeColor="text1"/>
                <w:lang w:val="en-GB"/>
              </w:rPr>
            </w:pPr>
            <w:r w:rsidRPr="00E72750">
              <w:rPr>
                <w:rFonts w:cs="Arial"/>
                <w:color w:val="000000" w:themeColor="text1"/>
                <w:lang w:val="en-GB"/>
              </w:rPr>
              <w:t>Description</w:t>
            </w:r>
          </w:p>
        </w:tc>
      </w:tr>
      <w:tr w:rsidR="00CB06AB" w:rsidRPr="00E72750" w14:paraId="38A2097D" w14:textId="77777777" w:rsidTr="000E3973">
        <w:tc>
          <w:tcPr>
            <w:tcW w:w="2288" w:type="dxa"/>
          </w:tcPr>
          <w:p w14:paraId="7610982D" w14:textId="77777777" w:rsidR="00CB06AB" w:rsidRPr="00E72750" w:rsidRDefault="00CB06AB" w:rsidP="00840CA9">
            <w:pPr>
              <w:pStyle w:val="02Tabletext"/>
              <w:spacing w:after="20"/>
              <w:rPr>
                <w:rFonts w:cs="Arial"/>
                <w:lang w:val="en-GB"/>
              </w:rPr>
            </w:pPr>
            <w:r w:rsidRPr="00E72750">
              <w:rPr>
                <w:rFonts w:cs="Arial"/>
                <w:lang w:val="en-GB"/>
              </w:rPr>
              <w:t>ASUM</w:t>
            </w:r>
          </w:p>
        </w:tc>
        <w:tc>
          <w:tcPr>
            <w:tcW w:w="6794" w:type="dxa"/>
            <w:tcMar>
              <w:left w:w="57" w:type="dxa"/>
            </w:tcMar>
          </w:tcPr>
          <w:p w14:paraId="75AAE863"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Australasian Society for Ultrasound in Medicine</w:t>
            </w:r>
          </w:p>
        </w:tc>
      </w:tr>
      <w:tr w:rsidR="00CB06AB" w:rsidRPr="00E72750" w14:paraId="5A5A5C5E" w14:textId="77777777" w:rsidTr="000E3973">
        <w:tc>
          <w:tcPr>
            <w:tcW w:w="2288" w:type="dxa"/>
          </w:tcPr>
          <w:p w14:paraId="3B52CD10" w14:textId="77777777" w:rsidR="00CB06AB" w:rsidRPr="00E72750" w:rsidRDefault="00CB06AB" w:rsidP="00840CA9">
            <w:pPr>
              <w:pStyle w:val="02Tabletext"/>
              <w:spacing w:after="20"/>
              <w:rPr>
                <w:rFonts w:cs="Arial"/>
                <w:lang w:val="en-GB"/>
              </w:rPr>
            </w:pPr>
            <w:r w:rsidRPr="00E72750">
              <w:rPr>
                <w:rFonts w:cs="Arial"/>
                <w:lang w:val="en-GB"/>
              </w:rPr>
              <w:t>CAGR</w:t>
            </w:r>
          </w:p>
        </w:tc>
        <w:tc>
          <w:tcPr>
            <w:tcW w:w="6794" w:type="dxa"/>
            <w:tcMar>
              <w:left w:w="57" w:type="dxa"/>
            </w:tcMar>
          </w:tcPr>
          <w:p w14:paraId="7291B1AE"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Compound annual growth rate or the average annual growth rate over a specified time period.</w:t>
            </w:r>
          </w:p>
        </w:tc>
      </w:tr>
      <w:tr w:rsidR="00CB06AB" w:rsidRPr="00E72750" w14:paraId="60CF6C9C" w14:textId="77777777" w:rsidTr="000E3973">
        <w:tc>
          <w:tcPr>
            <w:tcW w:w="2288" w:type="dxa"/>
          </w:tcPr>
          <w:p w14:paraId="57965B3D" w14:textId="77777777" w:rsidR="00CB06AB" w:rsidRPr="00E72750" w:rsidRDefault="00CB06AB" w:rsidP="00840CA9">
            <w:pPr>
              <w:pStyle w:val="02Tabletext"/>
              <w:spacing w:after="20"/>
              <w:rPr>
                <w:rFonts w:cs="Arial"/>
                <w:lang w:val="en-GB"/>
              </w:rPr>
            </w:pPr>
            <w:r>
              <w:rPr>
                <w:rFonts w:cs="Arial"/>
                <w:lang w:val="en-GB"/>
              </w:rPr>
              <w:t>Change</w:t>
            </w:r>
          </w:p>
        </w:tc>
        <w:tc>
          <w:tcPr>
            <w:tcW w:w="6794" w:type="dxa"/>
            <w:tcMar>
              <w:left w:w="57" w:type="dxa"/>
            </w:tcMar>
          </w:tcPr>
          <w:p w14:paraId="3E370BE0" w14:textId="77777777" w:rsidR="00CB06AB" w:rsidRPr="00E72750" w:rsidRDefault="00CB06AB" w:rsidP="00840CA9">
            <w:pPr>
              <w:pStyle w:val="02Tabletext"/>
              <w:spacing w:after="20"/>
              <w:rPr>
                <w:rFonts w:cs="Arial"/>
                <w:color w:val="000000" w:themeColor="text1"/>
                <w:lang w:val="en-GB"/>
              </w:rPr>
            </w:pPr>
            <w:r w:rsidRPr="00EB04B8">
              <w:rPr>
                <w:rFonts w:cs="Arial"/>
                <w:color w:val="000000" w:themeColor="text1"/>
                <w:lang w:val="en-GB"/>
              </w:rPr>
              <w:t>Describes when the item and/or its services will be affected by the recommendations. This could result from a range of recommendations, such as: (</w:t>
            </w:r>
            <w:proofErr w:type="spellStart"/>
            <w:r w:rsidRPr="00EB04B8">
              <w:rPr>
                <w:rFonts w:cs="Arial"/>
                <w:color w:val="000000" w:themeColor="text1"/>
                <w:lang w:val="en-GB"/>
              </w:rPr>
              <w:t>i</w:t>
            </w:r>
            <w:proofErr w:type="spellEnd"/>
            <w:r w:rsidRPr="00EB04B8">
              <w:rPr>
                <w:rFonts w:cs="Arial"/>
                <w:color w:val="000000" w:themeColor="text1"/>
                <w:lang w:val="en-GB"/>
              </w:rPr>
              <w:t xml:space="preserve">) specific recommendations that affect the services provided by changing item descriptors or explanatory notes, (ii) the consolidation of item numbers, and (iii) splitting item numbers (e.g., splitting the current services provided across two or more items).   </w:t>
            </w:r>
          </w:p>
        </w:tc>
      </w:tr>
      <w:tr w:rsidR="00CB06AB" w:rsidRPr="00E72750" w14:paraId="4E144D2A" w14:textId="77777777" w:rsidTr="000E3973">
        <w:tc>
          <w:tcPr>
            <w:tcW w:w="2288" w:type="dxa"/>
          </w:tcPr>
          <w:p w14:paraId="10868D84" w14:textId="77777777" w:rsidR="00CB06AB" w:rsidRPr="00E72750" w:rsidRDefault="00CB06AB" w:rsidP="00840CA9">
            <w:pPr>
              <w:pStyle w:val="02Tabletext"/>
              <w:spacing w:after="20"/>
              <w:rPr>
                <w:rFonts w:cs="Arial"/>
                <w:lang w:val="en-GB"/>
              </w:rPr>
            </w:pPr>
            <w:r>
              <w:rPr>
                <w:rFonts w:cs="Arial"/>
                <w:lang w:val="en-GB"/>
              </w:rPr>
              <w:t>Delete</w:t>
            </w:r>
          </w:p>
        </w:tc>
        <w:tc>
          <w:tcPr>
            <w:tcW w:w="6794" w:type="dxa"/>
            <w:tcMar>
              <w:left w:w="57" w:type="dxa"/>
            </w:tcMar>
          </w:tcPr>
          <w:p w14:paraId="14EFC990" w14:textId="77777777" w:rsidR="00CB06AB" w:rsidRPr="00EB04B8" w:rsidRDefault="00CB06AB" w:rsidP="00840CA9">
            <w:pPr>
              <w:pStyle w:val="02Tabletext"/>
              <w:spacing w:after="20"/>
              <w:rPr>
                <w:rFonts w:cs="Arial"/>
                <w:color w:val="000000" w:themeColor="text1"/>
                <w:lang w:val="en-GB"/>
              </w:rPr>
            </w:pPr>
            <w:r w:rsidRPr="00EB04B8">
              <w:rPr>
                <w:rFonts w:cs="Arial"/>
                <w:color w:val="000000" w:themeColor="text1"/>
                <w:lang w:val="en-GB"/>
              </w:rPr>
              <w:t>Describes when an item is recommended for removal from the MBS and its services will no longer be provided under the MBS.</w:t>
            </w:r>
          </w:p>
        </w:tc>
      </w:tr>
      <w:tr w:rsidR="00CB06AB" w:rsidRPr="00E72750" w14:paraId="0B8C1CB6" w14:textId="77777777" w:rsidTr="000E3973">
        <w:tc>
          <w:tcPr>
            <w:tcW w:w="2288" w:type="dxa"/>
          </w:tcPr>
          <w:p w14:paraId="7BE11268" w14:textId="77777777" w:rsidR="00CB06AB" w:rsidRPr="00E72750" w:rsidRDefault="00CB06AB" w:rsidP="00840CA9">
            <w:pPr>
              <w:pStyle w:val="02Tabletext"/>
              <w:spacing w:after="20"/>
              <w:rPr>
                <w:rFonts w:cs="Arial"/>
                <w:lang w:val="en-GB"/>
              </w:rPr>
            </w:pPr>
            <w:r w:rsidRPr="00E72750">
              <w:rPr>
                <w:rFonts w:cs="Arial"/>
                <w:lang w:val="en-GB"/>
              </w:rPr>
              <w:t>DIAS</w:t>
            </w:r>
          </w:p>
        </w:tc>
        <w:tc>
          <w:tcPr>
            <w:tcW w:w="6794" w:type="dxa"/>
            <w:tcMar>
              <w:left w:w="57" w:type="dxa"/>
            </w:tcMar>
          </w:tcPr>
          <w:p w14:paraId="048C0AEF"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Diagnostic Imaging Accreditation Scheme</w:t>
            </w:r>
          </w:p>
        </w:tc>
      </w:tr>
      <w:tr w:rsidR="00CB06AB" w:rsidRPr="00E72750" w14:paraId="15250927" w14:textId="77777777" w:rsidTr="000E3973">
        <w:tc>
          <w:tcPr>
            <w:tcW w:w="2288" w:type="dxa"/>
          </w:tcPr>
          <w:p w14:paraId="19363A33" w14:textId="77777777" w:rsidR="00CB06AB" w:rsidRPr="00E72750" w:rsidRDefault="00CB06AB" w:rsidP="00840CA9">
            <w:pPr>
              <w:pStyle w:val="02Tabletext"/>
              <w:spacing w:after="20"/>
              <w:rPr>
                <w:rFonts w:cs="Arial"/>
                <w:lang w:val="en-GB"/>
              </w:rPr>
            </w:pPr>
            <w:r w:rsidRPr="00E72750">
              <w:rPr>
                <w:rFonts w:cs="Arial"/>
                <w:lang w:val="en-GB"/>
              </w:rPr>
              <w:t>FY</w:t>
            </w:r>
          </w:p>
        </w:tc>
        <w:tc>
          <w:tcPr>
            <w:tcW w:w="6794" w:type="dxa"/>
            <w:tcMar>
              <w:left w:w="57" w:type="dxa"/>
            </w:tcMar>
          </w:tcPr>
          <w:p w14:paraId="50638653"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Financial year</w:t>
            </w:r>
          </w:p>
        </w:tc>
      </w:tr>
      <w:tr w:rsidR="00CB06AB" w:rsidRPr="00E72750" w14:paraId="634241FE" w14:textId="77777777" w:rsidTr="000E3973">
        <w:tc>
          <w:tcPr>
            <w:tcW w:w="2288" w:type="dxa"/>
          </w:tcPr>
          <w:p w14:paraId="48DCDF54" w14:textId="77777777" w:rsidR="00CB06AB" w:rsidRPr="00E72750" w:rsidRDefault="00CB06AB" w:rsidP="00840CA9">
            <w:pPr>
              <w:pStyle w:val="02Tabletext"/>
              <w:spacing w:after="20"/>
              <w:rPr>
                <w:rFonts w:cs="Arial"/>
                <w:lang w:val="en-GB"/>
              </w:rPr>
            </w:pPr>
            <w:r w:rsidRPr="00E72750">
              <w:rPr>
                <w:rFonts w:cs="Arial"/>
                <w:lang w:val="en-GB"/>
              </w:rPr>
              <w:t>GP</w:t>
            </w:r>
          </w:p>
        </w:tc>
        <w:tc>
          <w:tcPr>
            <w:tcW w:w="6794" w:type="dxa"/>
            <w:tcMar>
              <w:left w:w="57" w:type="dxa"/>
            </w:tcMar>
          </w:tcPr>
          <w:p w14:paraId="5C708244"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General Practitioner</w:t>
            </w:r>
          </w:p>
        </w:tc>
      </w:tr>
      <w:tr w:rsidR="00CB06AB" w:rsidRPr="00E72750" w14:paraId="1E738380" w14:textId="77777777" w:rsidTr="000E3973">
        <w:tc>
          <w:tcPr>
            <w:tcW w:w="2288" w:type="dxa"/>
          </w:tcPr>
          <w:p w14:paraId="7FEA9E90" w14:textId="77777777" w:rsidR="00CB06AB" w:rsidRPr="00E72750" w:rsidRDefault="00CB06AB" w:rsidP="00840CA9">
            <w:pPr>
              <w:pStyle w:val="02Tabletext"/>
              <w:spacing w:after="20"/>
              <w:rPr>
                <w:rFonts w:cs="Arial"/>
                <w:lang w:val="en-GB"/>
              </w:rPr>
            </w:pPr>
            <w:r w:rsidRPr="00E72750">
              <w:rPr>
                <w:rFonts w:cs="Arial"/>
                <w:lang w:val="en-GB"/>
              </w:rPr>
              <w:t>High-value care</w:t>
            </w:r>
          </w:p>
        </w:tc>
        <w:tc>
          <w:tcPr>
            <w:tcW w:w="6794" w:type="dxa"/>
            <w:tcMar>
              <w:left w:w="57" w:type="dxa"/>
            </w:tcMar>
          </w:tcPr>
          <w:p w14:paraId="66D1ECBA"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Services of proven efficacy reflecting current best medical practice, or for which the potential benefit to consumers exceeds the risk and costs.</w:t>
            </w:r>
          </w:p>
        </w:tc>
      </w:tr>
      <w:tr w:rsidR="00CB06AB" w:rsidRPr="00E72750" w14:paraId="3FBE74C5" w14:textId="77777777" w:rsidTr="000E3973">
        <w:tc>
          <w:tcPr>
            <w:tcW w:w="2288" w:type="dxa"/>
          </w:tcPr>
          <w:p w14:paraId="50887681" w14:textId="77777777" w:rsidR="00CB06AB" w:rsidRPr="00E72750" w:rsidRDefault="00CB06AB" w:rsidP="00840CA9">
            <w:pPr>
              <w:pStyle w:val="02Tabletext"/>
              <w:spacing w:after="20"/>
              <w:rPr>
                <w:rFonts w:cs="Arial"/>
                <w:lang w:val="en-GB"/>
              </w:rPr>
            </w:pPr>
            <w:r w:rsidRPr="00E72750">
              <w:rPr>
                <w:rFonts w:cs="Arial"/>
                <w:lang w:val="en-GB"/>
              </w:rPr>
              <w:t>Inappropriate use / misuse</w:t>
            </w:r>
          </w:p>
        </w:tc>
        <w:tc>
          <w:tcPr>
            <w:tcW w:w="6794" w:type="dxa"/>
            <w:tcMar>
              <w:left w:w="57" w:type="dxa"/>
            </w:tcMar>
          </w:tcPr>
          <w:p w14:paraId="1E3704C3" w14:textId="77777777" w:rsidR="00CB06AB" w:rsidRPr="00E72750" w:rsidRDefault="00CB06AB" w:rsidP="00840CA9">
            <w:pPr>
              <w:pStyle w:val="02Tabletext"/>
              <w:spacing w:after="20"/>
              <w:rPr>
                <w:rFonts w:cs="Arial"/>
                <w:color w:val="000000" w:themeColor="text1"/>
                <w:lang w:val="en-GB"/>
              </w:rPr>
            </w:pPr>
            <w:r w:rsidRPr="00E72750">
              <w:rPr>
                <w:rFonts w:cs="Arial"/>
                <w:lang w:val="en-GB"/>
              </w:rPr>
              <w:t xml:space="preserve">The use of MBS services for purposes other than those intended. This includes a range of behaviours, from failing to adhere to </w:t>
            </w:r>
            <w:proofErr w:type="gramStart"/>
            <w:r w:rsidRPr="00E72750">
              <w:rPr>
                <w:rFonts w:cs="Arial"/>
                <w:lang w:val="en-GB"/>
              </w:rPr>
              <w:t>particular item</w:t>
            </w:r>
            <w:proofErr w:type="gramEnd"/>
            <w:r w:rsidRPr="00E72750">
              <w:rPr>
                <w:rFonts w:cs="Arial"/>
                <w:lang w:val="en-GB"/>
              </w:rPr>
              <w:t xml:space="preserve"> descriptors or rules through to deliberate fraud.</w:t>
            </w:r>
          </w:p>
        </w:tc>
      </w:tr>
      <w:tr w:rsidR="00CB06AB" w:rsidRPr="00E72750" w14:paraId="0348EC8B" w14:textId="77777777" w:rsidTr="000E3973">
        <w:tc>
          <w:tcPr>
            <w:tcW w:w="2288" w:type="dxa"/>
          </w:tcPr>
          <w:p w14:paraId="089291CC" w14:textId="77777777" w:rsidR="00CB06AB" w:rsidRPr="00E72750" w:rsidRDefault="00CB06AB" w:rsidP="00840CA9">
            <w:pPr>
              <w:pStyle w:val="02Tabletext"/>
              <w:spacing w:after="20"/>
              <w:rPr>
                <w:rFonts w:cs="Arial"/>
                <w:lang w:val="en-GB"/>
              </w:rPr>
            </w:pPr>
            <w:r w:rsidRPr="00E72750">
              <w:rPr>
                <w:rFonts w:cs="Arial"/>
                <w:lang w:val="en-GB"/>
              </w:rPr>
              <w:t>Low-value care</w:t>
            </w:r>
          </w:p>
        </w:tc>
        <w:tc>
          <w:tcPr>
            <w:tcW w:w="6794" w:type="dxa"/>
            <w:tcMar>
              <w:left w:w="57" w:type="dxa"/>
            </w:tcMar>
          </w:tcPr>
          <w:p w14:paraId="79EFE59F"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shd w:val="clear" w:color="auto" w:fill="FFFFFF"/>
                <w:lang w:val="en-GB"/>
              </w:rPr>
              <w:t>The use of an intervention that evidence suggests confers little benefit or no benefit to patients; or where the risk of harm from the intervention exceeds the likely benefit; or, more broadly, where the added costs of the intervention do not provide proportional added benefits.</w:t>
            </w:r>
          </w:p>
        </w:tc>
      </w:tr>
      <w:tr w:rsidR="00CB06AB" w:rsidRPr="00E72750" w14:paraId="5928AB37" w14:textId="77777777" w:rsidTr="000E3973">
        <w:tc>
          <w:tcPr>
            <w:tcW w:w="2288" w:type="dxa"/>
          </w:tcPr>
          <w:p w14:paraId="1FA733A4" w14:textId="77777777" w:rsidR="00CB06AB" w:rsidRPr="00E72750" w:rsidRDefault="00CB06AB" w:rsidP="00840CA9">
            <w:pPr>
              <w:pStyle w:val="02Tabletext"/>
              <w:spacing w:after="20"/>
              <w:rPr>
                <w:rFonts w:cs="Arial"/>
                <w:lang w:val="en-GB"/>
              </w:rPr>
            </w:pPr>
            <w:r w:rsidRPr="00E72750">
              <w:rPr>
                <w:rFonts w:cs="Arial"/>
                <w:lang w:val="en-GB"/>
              </w:rPr>
              <w:t>LSPN</w:t>
            </w:r>
          </w:p>
        </w:tc>
        <w:tc>
          <w:tcPr>
            <w:tcW w:w="6794" w:type="dxa"/>
            <w:tcMar>
              <w:left w:w="57" w:type="dxa"/>
            </w:tcMar>
          </w:tcPr>
          <w:p w14:paraId="6C74D552"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Location Specific Practice Number</w:t>
            </w:r>
          </w:p>
        </w:tc>
      </w:tr>
      <w:tr w:rsidR="00CB06AB" w:rsidRPr="00E72750" w14:paraId="175AC6F4" w14:textId="77777777" w:rsidTr="000E3973">
        <w:tc>
          <w:tcPr>
            <w:tcW w:w="2288" w:type="dxa"/>
          </w:tcPr>
          <w:p w14:paraId="083D43B6" w14:textId="77777777" w:rsidR="00CB06AB" w:rsidRPr="00E72750" w:rsidRDefault="00CB06AB" w:rsidP="00840CA9">
            <w:pPr>
              <w:pStyle w:val="02Tabletext"/>
              <w:spacing w:after="20"/>
              <w:rPr>
                <w:rFonts w:cs="Arial"/>
                <w:lang w:val="en-GB"/>
              </w:rPr>
            </w:pPr>
            <w:r w:rsidRPr="00E72750">
              <w:rPr>
                <w:rFonts w:cs="Arial"/>
                <w:lang w:val="en-GB"/>
              </w:rPr>
              <w:t>MBS</w:t>
            </w:r>
          </w:p>
        </w:tc>
        <w:tc>
          <w:tcPr>
            <w:tcW w:w="6794" w:type="dxa"/>
            <w:tcMar>
              <w:left w:w="57" w:type="dxa"/>
            </w:tcMar>
          </w:tcPr>
          <w:p w14:paraId="315B51B8"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xml:space="preserve">Medicare Benefits Schedule </w:t>
            </w:r>
          </w:p>
        </w:tc>
      </w:tr>
      <w:tr w:rsidR="00CB06AB" w:rsidRPr="00E72750" w14:paraId="2BBAE154" w14:textId="77777777" w:rsidTr="000E3973">
        <w:tc>
          <w:tcPr>
            <w:tcW w:w="2288" w:type="dxa"/>
          </w:tcPr>
          <w:p w14:paraId="108F4095" w14:textId="77777777" w:rsidR="00CB06AB" w:rsidRPr="00E72750" w:rsidRDefault="00CB06AB" w:rsidP="00840CA9">
            <w:pPr>
              <w:pStyle w:val="02Tabletext"/>
              <w:spacing w:after="20"/>
              <w:rPr>
                <w:rFonts w:cs="Arial"/>
                <w:lang w:val="en-GB"/>
              </w:rPr>
            </w:pPr>
            <w:r w:rsidRPr="00E72750">
              <w:rPr>
                <w:rFonts w:cs="Arial"/>
                <w:lang w:val="en-GB"/>
              </w:rPr>
              <w:t>MBS item</w:t>
            </w:r>
          </w:p>
        </w:tc>
        <w:tc>
          <w:tcPr>
            <w:tcW w:w="6794" w:type="dxa"/>
            <w:tcMar>
              <w:left w:w="57" w:type="dxa"/>
            </w:tcMar>
          </w:tcPr>
          <w:p w14:paraId="62AD419C" w14:textId="77777777" w:rsidR="00CB06AB" w:rsidRPr="00E72750" w:rsidRDefault="00CB06AB" w:rsidP="00840CA9">
            <w:pPr>
              <w:pStyle w:val="02Tabletext"/>
              <w:spacing w:after="20"/>
              <w:rPr>
                <w:rFonts w:cs="Arial"/>
                <w:lang w:val="en-GB"/>
              </w:rPr>
            </w:pPr>
            <w:r w:rsidRPr="00E72750">
              <w:rPr>
                <w:rFonts w:cs="Arial"/>
                <w:color w:val="000000" w:themeColor="text1"/>
                <w:szCs w:val="23"/>
                <w:lang w:val="en-GB"/>
              </w:rPr>
              <w:t>An administrative object listed in the MBS and used for the purposes of claiming and paying Medicare benefits, consisting of an item number, service descriptor and supporting information, schedule fee and Medicare benefits.</w:t>
            </w:r>
          </w:p>
        </w:tc>
      </w:tr>
      <w:tr w:rsidR="00CB06AB" w:rsidRPr="00E72750" w14:paraId="1E37D3B9" w14:textId="77777777" w:rsidTr="000E3973">
        <w:tc>
          <w:tcPr>
            <w:tcW w:w="2288" w:type="dxa"/>
          </w:tcPr>
          <w:p w14:paraId="3B631D52" w14:textId="77777777" w:rsidR="00CB06AB" w:rsidRPr="00E72750" w:rsidRDefault="00CB06AB" w:rsidP="00840CA9">
            <w:pPr>
              <w:pStyle w:val="02Tabletext"/>
              <w:spacing w:after="20"/>
              <w:rPr>
                <w:rFonts w:cs="Arial"/>
                <w:lang w:val="en-GB"/>
              </w:rPr>
            </w:pPr>
            <w:r w:rsidRPr="00E72750">
              <w:rPr>
                <w:rFonts w:cs="Arial"/>
                <w:lang w:val="en-GB"/>
              </w:rPr>
              <w:t>MBS service</w:t>
            </w:r>
          </w:p>
        </w:tc>
        <w:tc>
          <w:tcPr>
            <w:tcW w:w="6794" w:type="dxa"/>
            <w:tcMar>
              <w:left w:w="57" w:type="dxa"/>
            </w:tcMar>
          </w:tcPr>
          <w:p w14:paraId="6468A967" w14:textId="77777777" w:rsidR="00CB06AB" w:rsidRPr="00E72750" w:rsidRDefault="00CB06AB" w:rsidP="00840CA9">
            <w:pPr>
              <w:pStyle w:val="02Tabletext"/>
              <w:spacing w:after="20"/>
              <w:rPr>
                <w:rFonts w:cs="Arial"/>
                <w:lang w:val="en-GB"/>
              </w:rPr>
            </w:pPr>
            <w:r w:rsidRPr="00E72750">
              <w:rPr>
                <w:rFonts w:cs="Arial"/>
                <w:color w:val="000000" w:themeColor="text1"/>
                <w:szCs w:val="23"/>
                <w:lang w:val="en-GB"/>
              </w:rPr>
              <w:t>The actual medical consultation, procedure or test to which the relevant MBS item refers.</w:t>
            </w:r>
          </w:p>
        </w:tc>
      </w:tr>
      <w:tr w:rsidR="00CB06AB" w:rsidRPr="00E72750" w14:paraId="16D9D846" w14:textId="77777777" w:rsidTr="000E3973">
        <w:tc>
          <w:tcPr>
            <w:tcW w:w="2288" w:type="dxa"/>
          </w:tcPr>
          <w:p w14:paraId="5EC22AFC" w14:textId="77777777" w:rsidR="00CB06AB" w:rsidRPr="00E72750" w:rsidRDefault="00CB06AB" w:rsidP="00840CA9">
            <w:pPr>
              <w:pStyle w:val="02Tabletext"/>
              <w:spacing w:after="20"/>
              <w:rPr>
                <w:rFonts w:cs="Arial"/>
                <w:lang w:val="en-GB"/>
              </w:rPr>
            </w:pPr>
            <w:r w:rsidRPr="00E72750">
              <w:rPr>
                <w:rFonts w:cs="Arial"/>
                <w:lang w:val="en-GB"/>
              </w:rPr>
              <w:t>MSAC</w:t>
            </w:r>
          </w:p>
        </w:tc>
        <w:tc>
          <w:tcPr>
            <w:tcW w:w="6794" w:type="dxa"/>
            <w:tcMar>
              <w:left w:w="57" w:type="dxa"/>
            </w:tcMar>
          </w:tcPr>
          <w:p w14:paraId="59F7EA06" w14:textId="77777777" w:rsidR="00CB06AB" w:rsidRPr="00E72750" w:rsidRDefault="00CB06AB" w:rsidP="00840CA9">
            <w:pPr>
              <w:pStyle w:val="02Tabletext"/>
              <w:spacing w:after="20"/>
              <w:rPr>
                <w:rFonts w:cs="Arial"/>
                <w:lang w:val="en-GB"/>
              </w:rPr>
            </w:pPr>
            <w:r w:rsidRPr="00E72750">
              <w:rPr>
                <w:rFonts w:cs="Arial"/>
                <w:lang w:val="en-GB"/>
              </w:rPr>
              <w:t>Medical Services Advisory Committee</w:t>
            </w:r>
          </w:p>
        </w:tc>
      </w:tr>
      <w:tr w:rsidR="00CB06AB" w:rsidRPr="00E72750" w14:paraId="6866F89B" w14:textId="77777777" w:rsidTr="000E3973">
        <w:tc>
          <w:tcPr>
            <w:tcW w:w="2288" w:type="dxa"/>
          </w:tcPr>
          <w:p w14:paraId="3E4AC514" w14:textId="77777777" w:rsidR="00CB06AB" w:rsidRPr="00E72750" w:rsidRDefault="00CB06AB" w:rsidP="00840CA9">
            <w:pPr>
              <w:pStyle w:val="02Tabletext"/>
              <w:spacing w:after="20"/>
              <w:rPr>
                <w:rFonts w:cs="Arial"/>
                <w:lang w:val="en-GB"/>
              </w:rPr>
            </w:pPr>
            <w:r w:rsidRPr="00E72750">
              <w:rPr>
                <w:rFonts w:cs="Arial"/>
                <w:lang w:val="en-GB"/>
              </w:rPr>
              <w:t>Multiple operation rule</w:t>
            </w:r>
          </w:p>
        </w:tc>
        <w:tc>
          <w:tcPr>
            <w:tcW w:w="6794" w:type="dxa"/>
            <w:tcMar>
              <w:left w:w="57" w:type="dxa"/>
            </w:tcMar>
          </w:tcPr>
          <w:p w14:paraId="55776D53"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A rule governing the amount of Medicare benefit payable for multiple operations performed on a patient on the one occasion. In general, the fees for two or more operations are calculated by the following rule:</w:t>
            </w:r>
          </w:p>
          <w:p w14:paraId="61A9F9EB"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100 per cent for the item with the greatest schedule fee.</w:t>
            </w:r>
          </w:p>
          <w:p w14:paraId="50E5945F"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Plus 50 per cent for the item with the next greatest schedule fee.</w:t>
            </w:r>
          </w:p>
          <w:p w14:paraId="1279DED9"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Plus 25 per cent for each other item.</w:t>
            </w:r>
          </w:p>
        </w:tc>
      </w:tr>
      <w:tr w:rsidR="00CB06AB" w:rsidRPr="00E72750" w14:paraId="329C4251" w14:textId="77777777" w:rsidTr="000E3973">
        <w:tc>
          <w:tcPr>
            <w:tcW w:w="2288" w:type="dxa"/>
          </w:tcPr>
          <w:p w14:paraId="515C40FA" w14:textId="77777777" w:rsidR="00CB06AB" w:rsidRPr="00E72750" w:rsidRDefault="00CB06AB" w:rsidP="00840CA9">
            <w:pPr>
              <w:pStyle w:val="02Tabletext"/>
              <w:spacing w:after="20"/>
              <w:rPr>
                <w:rFonts w:cs="Arial"/>
                <w:lang w:val="en-GB"/>
              </w:rPr>
            </w:pPr>
            <w:r w:rsidRPr="00E72750">
              <w:rPr>
                <w:rFonts w:cs="Arial"/>
                <w:lang w:val="en-GB"/>
              </w:rPr>
              <w:t xml:space="preserve">Multiple services rules </w:t>
            </w:r>
          </w:p>
        </w:tc>
        <w:tc>
          <w:tcPr>
            <w:tcW w:w="6794" w:type="dxa"/>
            <w:tcMar>
              <w:left w:w="57" w:type="dxa"/>
            </w:tcMar>
          </w:tcPr>
          <w:p w14:paraId="5B359B86"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xml:space="preserve">A set of rules governing the amount of Medicare benefit payable for multiple services provided to a patient at the same attendance (same day). </w:t>
            </w:r>
          </w:p>
        </w:tc>
      </w:tr>
      <w:tr w:rsidR="00CB06AB" w:rsidRPr="00E72750" w14:paraId="26FD642D" w14:textId="77777777" w:rsidTr="000E3973">
        <w:tc>
          <w:tcPr>
            <w:tcW w:w="2288" w:type="dxa"/>
          </w:tcPr>
          <w:p w14:paraId="2FA8E0B6" w14:textId="77777777" w:rsidR="00CB06AB" w:rsidRDefault="00CB06AB" w:rsidP="00840CA9">
            <w:pPr>
              <w:pStyle w:val="02Tabletext"/>
              <w:spacing w:after="20"/>
              <w:rPr>
                <w:rFonts w:cs="Arial"/>
                <w:lang w:val="en-GB"/>
              </w:rPr>
            </w:pPr>
            <w:r w:rsidRPr="00B9100C">
              <w:rPr>
                <w:rFonts w:cs="Arial"/>
                <w:lang w:val="en-GB"/>
              </w:rPr>
              <w:t>New service</w:t>
            </w:r>
          </w:p>
        </w:tc>
        <w:tc>
          <w:tcPr>
            <w:tcW w:w="6794" w:type="dxa"/>
            <w:tcMar>
              <w:left w:w="57" w:type="dxa"/>
            </w:tcMar>
          </w:tcPr>
          <w:p w14:paraId="7CC1844C" w14:textId="77777777" w:rsidR="00CB06AB" w:rsidRPr="00EB04B8" w:rsidRDefault="00CB06AB" w:rsidP="00840CA9">
            <w:pPr>
              <w:pStyle w:val="02Tabletext"/>
              <w:spacing w:after="20"/>
              <w:rPr>
                <w:rFonts w:cs="Arial"/>
                <w:color w:val="000000" w:themeColor="text1"/>
                <w:lang w:val="en-GB"/>
              </w:rPr>
            </w:pPr>
            <w:r w:rsidRPr="00B9100C">
              <w:rPr>
                <w:rFonts w:cs="Arial"/>
                <w:color w:val="000000" w:themeColor="text1"/>
                <w:lang w:val="en-GB"/>
              </w:rPr>
              <w:t xml:space="preserve">Describes when </w:t>
            </w:r>
            <w:r>
              <w:rPr>
                <w:rFonts w:cs="Arial"/>
                <w:color w:val="000000" w:themeColor="text1"/>
                <w:lang w:val="en-GB"/>
              </w:rPr>
              <w:t xml:space="preserve">a </w:t>
            </w:r>
            <w:r w:rsidRPr="00B9100C">
              <w:rPr>
                <w:rFonts w:cs="Arial"/>
                <w:color w:val="000000" w:themeColor="text1"/>
                <w:lang w:val="en-GB"/>
              </w:rPr>
              <w:t>new service</w:t>
            </w:r>
            <w:r>
              <w:rPr>
                <w:rFonts w:cs="Arial"/>
                <w:color w:val="000000" w:themeColor="text1"/>
                <w:lang w:val="en-GB"/>
              </w:rPr>
              <w:t xml:space="preserve"> has</w:t>
            </w:r>
            <w:r w:rsidRPr="00B9100C">
              <w:rPr>
                <w:rFonts w:cs="Arial"/>
                <w:color w:val="000000" w:themeColor="text1"/>
                <w:lang w:val="en-GB"/>
              </w:rPr>
              <w:t xml:space="preserve"> been recommended, with </w:t>
            </w:r>
            <w:r>
              <w:rPr>
                <w:rFonts w:cs="Arial"/>
                <w:color w:val="000000" w:themeColor="text1"/>
                <w:lang w:val="en-GB"/>
              </w:rPr>
              <w:t>a new item number</w:t>
            </w:r>
            <w:r w:rsidRPr="00B9100C">
              <w:rPr>
                <w:rFonts w:cs="Arial"/>
                <w:color w:val="000000" w:themeColor="text1"/>
                <w:lang w:val="en-GB"/>
              </w:rPr>
              <w:t xml:space="preserve">. In most circumstances, these will need to go through MSAC. It is worth noting that the implementation of the recommendation may result in more or fewer item numbers than specifically stated.  </w:t>
            </w:r>
          </w:p>
        </w:tc>
      </w:tr>
      <w:tr w:rsidR="00CB06AB" w:rsidRPr="00E72750" w14:paraId="465A241E" w14:textId="77777777" w:rsidTr="000E3973">
        <w:tc>
          <w:tcPr>
            <w:tcW w:w="2288" w:type="dxa"/>
          </w:tcPr>
          <w:p w14:paraId="61F8E2E5" w14:textId="77777777" w:rsidR="00CB06AB" w:rsidRPr="00E72750" w:rsidRDefault="00CB06AB" w:rsidP="00840CA9">
            <w:pPr>
              <w:pStyle w:val="02Tabletext"/>
              <w:spacing w:after="20"/>
              <w:rPr>
                <w:rFonts w:cs="Arial"/>
                <w:lang w:val="en-GB"/>
              </w:rPr>
            </w:pPr>
            <w:r>
              <w:rPr>
                <w:rFonts w:cs="Arial"/>
                <w:lang w:val="en-GB"/>
              </w:rPr>
              <w:t>No change or unchanged</w:t>
            </w:r>
          </w:p>
        </w:tc>
        <w:tc>
          <w:tcPr>
            <w:tcW w:w="6794" w:type="dxa"/>
            <w:tcMar>
              <w:left w:w="57" w:type="dxa"/>
            </w:tcMar>
          </w:tcPr>
          <w:p w14:paraId="24254F26" w14:textId="77777777" w:rsidR="00CB06AB" w:rsidRPr="00E72750" w:rsidRDefault="00CB06AB" w:rsidP="00840CA9">
            <w:pPr>
              <w:pStyle w:val="02Tabletext"/>
              <w:spacing w:after="20"/>
              <w:rPr>
                <w:rFonts w:cs="Arial"/>
                <w:color w:val="000000" w:themeColor="text1"/>
                <w:lang w:val="en-GB"/>
              </w:rPr>
            </w:pPr>
            <w:r w:rsidRPr="00EB04B8">
              <w:rPr>
                <w:rFonts w:cs="Arial"/>
                <w:color w:val="000000" w:themeColor="text1"/>
                <w:lang w:val="en-GB"/>
              </w:rPr>
              <w:t>Describes when the services provided under these items will not be changed or affected by the recommendations. This does not rule out small changes in item descriptors (e.g., references to other items, which may have changed as a result of the MBS Review or prior reviews).</w:t>
            </w:r>
          </w:p>
        </w:tc>
      </w:tr>
      <w:tr w:rsidR="00CB06AB" w:rsidRPr="00E72750" w14:paraId="0559750C" w14:textId="77777777" w:rsidTr="000E3973">
        <w:tc>
          <w:tcPr>
            <w:tcW w:w="2288" w:type="dxa"/>
          </w:tcPr>
          <w:p w14:paraId="0B287F66" w14:textId="77777777" w:rsidR="00CB06AB" w:rsidRPr="00E72750" w:rsidRDefault="00CB06AB" w:rsidP="00840CA9">
            <w:pPr>
              <w:pStyle w:val="02Tabletext"/>
              <w:spacing w:after="20"/>
              <w:rPr>
                <w:rFonts w:cs="Arial"/>
                <w:lang w:val="en-GB"/>
              </w:rPr>
            </w:pPr>
            <w:r w:rsidRPr="00E72750">
              <w:rPr>
                <w:rFonts w:cs="Arial"/>
                <w:lang w:val="en-GB"/>
              </w:rPr>
              <w:t>Obsolete services</w:t>
            </w:r>
            <w:r>
              <w:rPr>
                <w:rFonts w:cs="Arial"/>
                <w:lang w:val="en-GB"/>
              </w:rPr>
              <w:t xml:space="preserve">/ items </w:t>
            </w:r>
          </w:p>
        </w:tc>
        <w:tc>
          <w:tcPr>
            <w:tcW w:w="6794" w:type="dxa"/>
            <w:tcMar>
              <w:left w:w="57" w:type="dxa"/>
            </w:tcMar>
          </w:tcPr>
          <w:p w14:paraId="2BAC2022" w14:textId="77777777" w:rsidR="00CB06AB" w:rsidRPr="00E72750" w:rsidRDefault="00CB06AB" w:rsidP="00840CA9">
            <w:pPr>
              <w:pStyle w:val="02Tabletext"/>
              <w:spacing w:after="20"/>
              <w:rPr>
                <w:rFonts w:cs="Arial"/>
                <w:lang w:val="en-GB"/>
              </w:rPr>
            </w:pPr>
            <w:r w:rsidRPr="00E72750">
              <w:rPr>
                <w:rFonts w:cs="Arial"/>
                <w:color w:val="000000" w:themeColor="text1"/>
                <w:lang w:val="en-GB"/>
              </w:rPr>
              <w:t>Services that should no longer be performed as they do not represent current clinical best practice and have been superseded by superior tests or procedures.</w:t>
            </w:r>
          </w:p>
        </w:tc>
      </w:tr>
      <w:tr w:rsidR="00CB06AB" w:rsidRPr="00E72750" w14:paraId="32907FAF" w14:textId="77777777" w:rsidTr="000E3973">
        <w:tc>
          <w:tcPr>
            <w:tcW w:w="2288" w:type="dxa"/>
          </w:tcPr>
          <w:p w14:paraId="53EC05C8" w14:textId="77777777" w:rsidR="00CB06AB" w:rsidRPr="00E72750" w:rsidRDefault="00CB06AB" w:rsidP="00840CA9">
            <w:pPr>
              <w:pStyle w:val="02Tabletext"/>
              <w:spacing w:after="20"/>
              <w:rPr>
                <w:rFonts w:cs="Arial"/>
                <w:lang w:val="en-GB"/>
              </w:rPr>
            </w:pPr>
            <w:r w:rsidRPr="00E72750">
              <w:rPr>
                <w:rFonts w:cs="Arial"/>
                <w:lang w:val="en-GB"/>
              </w:rPr>
              <w:t>OGCT</w:t>
            </w:r>
          </w:p>
        </w:tc>
        <w:tc>
          <w:tcPr>
            <w:tcW w:w="6794" w:type="dxa"/>
            <w:tcMar>
              <w:left w:w="57" w:type="dxa"/>
            </w:tcMar>
          </w:tcPr>
          <w:p w14:paraId="20A69AE1"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Oral glucose challenge test</w:t>
            </w:r>
          </w:p>
        </w:tc>
      </w:tr>
      <w:tr w:rsidR="00CB06AB" w:rsidRPr="00E72750" w14:paraId="71472305" w14:textId="77777777" w:rsidTr="000E3973">
        <w:tc>
          <w:tcPr>
            <w:tcW w:w="2288" w:type="dxa"/>
          </w:tcPr>
          <w:p w14:paraId="6C7F1D29" w14:textId="77777777" w:rsidR="00CB06AB" w:rsidRPr="00E72750" w:rsidRDefault="00CB06AB" w:rsidP="00840CA9">
            <w:pPr>
              <w:pStyle w:val="02Tabletext"/>
              <w:spacing w:after="20"/>
              <w:rPr>
                <w:rFonts w:cs="Arial"/>
                <w:lang w:val="en-GB"/>
              </w:rPr>
            </w:pPr>
            <w:r w:rsidRPr="00E72750">
              <w:rPr>
                <w:rFonts w:cs="Arial"/>
                <w:lang w:val="en-GB"/>
              </w:rPr>
              <w:t>OGTT</w:t>
            </w:r>
          </w:p>
        </w:tc>
        <w:tc>
          <w:tcPr>
            <w:tcW w:w="6794" w:type="dxa"/>
            <w:tcMar>
              <w:left w:w="57" w:type="dxa"/>
            </w:tcMar>
          </w:tcPr>
          <w:p w14:paraId="638E9DC3" w14:textId="77777777" w:rsidR="00CB06AB" w:rsidRPr="00E72750" w:rsidRDefault="00CB06AB" w:rsidP="00840CA9">
            <w:pPr>
              <w:pStyle w:val="02Tabletext"/>
              <w:spacing w:after="20"/>
              <w:rPr>
                <w:rFonts w:cs="Arial"/>
                <w:lang w:val="en-GB"/>
              </w:rPr>
            </w:pPr>
            <w:r w:rsidRPr="00E72750">
              <w:rPr>
                <w:rFonts w:cs="Arial"/>
                <w:color w:val="000000" w:themeColor="text1"/>
                <w:lang w:val="en-GB"/>
              </w:rPr>
              <w:t>Oral glucose tolerance test</w:t>
            </w:r>
          </w:p>
        </w:tc>
      </w:tr>
      <w:tr w:rsidR="00CB06AB" w:rsidRPr="00E72750" w14:paraId="55D169DE" w14:textId="77777777" w:rsidTr="000E3973">
        <w:tc>
          <w:tcPr>
            <w:tcW w:w="2288" w:type="dxa"/>
          </w:tcPr>
          <w:p w14:paraId="51176735" w14:textId="77777777" w:rsidR="00CB06AB" w:rsidRPr="00E72750" w:rsidRDefault="00CB06AB" w:rsidP="00840CA9">
            <w:pPr>
              <w:pStyle w:val="02Tabletext"/>
              <w:spacing w:after="20"/>
              <w:rPr>
                <w:rFonts w:cs="Arial"/>
                <w:lang w:val="en-GB"/>
              </w:rPr>
            </w:pPr>
            <w:r w:rsidRPr="00E72750">
              <w:rPr>
                <w:rFonts w:cs="Arial"/>
                <w:lang w:val="en-GB"/>
              </w:rPr>
              <w:t>PBS</w:t>
            </w:r>
          </w:p>
        </w:tc>
        <w:tc>
          <w:tcPr>
            <w:tcW w:w="6794" w:type="dxa"/>
            <w:tcMar>
              <w:left w:w="57" w:type="dxa"/>
            </w:tcMar>
          </w:tcPr>
          <w:p w14:paraId="09DF47C8" w14:textId="77777777" w:rsidR="00CB06AB" w:rsidRPr="00E72750" w:rsidRDefault="00CB06AB" w:rsidP="00840CA9">
            <w:pPr>
              <w:pStyle w:val="02Tabletext"/>
              <w:spacing w:after="20"/>
              <w:rPr>
                <w:rFonts w:cs="Arial"/>
                <w:lang w:val="en-GB"/>
              </w:rPr>
            </w:pPr>
            <w:r w:rsidRPr="00E72750">
              <w:rPr>
                <w:rFonts w:cs="Arial"/>
                <w:lang w:val="en-GB"/>
              </w:rPr>
              <w:t>Pharmaceutical Benefits Scheme</w:t>
            </w:r>
          </w:p>
        </w:tc>
      </w:tr>
      <w:tr w:rsidR="00CB06AB" w:rsidRPr="00E72750" w14:paraId="2999AB60" w14:textId="77777777" w:rsidTr="000E3973">
        <w:tc>
          <w:tcPr>
            <w:tcW w:w="2288" w:type="dxa"/>
          </w:tcPr>
          <w:p w14:paraId="5DD75BEA" w14:textId="77777777" w:rsidR="00CB06AB" w:rsidRPr="00E72750" w:rsidRDefault="00CB06AB" w:rsidP="00840CA9">
            <w:pPr>
              <w:pStyle w:val="02Tabletext"/>
              <w:spacing w:after="20"/>
              <w:rPr>
                <w:rFonts w:cs="Arial"/>
                <w:lang w:val="en-GB"/>
              </w:rPr>
            </w:pPr>
            <w:r w:rsidRPr="00E72750">
              <w:rPr>
                <w:rFonts w:cs="Arial"/>
                <w:lang w:val="en-GB"/>
              </w:rPr>
              <w:t>PCC</w:t>
            </w:r>
          </w:p>
        </w:tc>
        <w:tc>
          <w:tcPr>
            <w:tcW w:w="6794" w:type="dxa"/>
            <w:tcMar>
              <w:left w:w="57" w:type="dxa"/>
            </w:tcMar>
          </w:tcPr>
          <w:p w14:paraId="29EDF9EC"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xml:space="preserve">Pathology Clinical Committee </w:t>
            </w:r>
          </w:p>
        </w:tc>
      </w:tr>
      <w:tr w:rsidR="00CB06AB" w:rsidRPr="00E72750" w14:paraId="21646F3B" w14:textId="77777777" w:rsidTr="000E3973">
        <w:tc>
          <w:tcPr>
            <w:tcW w:w="2288" w:type="dxa"/>
          </w:tcPr>
          <w:p w14:paraId="07505726" w14:textId="77777777" w:rsidR="00CB06AB" w:rsidRPr="00E72750" w:rsidRDefault="00CB06AB" w:rsidP="00840CA9">
            <w:pPr>
              <w:pStyle w:val="02Tabletext"/>
              <w:spacing w:after="20"/>
              <w:rPr>
                <w:rFonts w:cs="Arial"/>
                <w:lang w:val="en-GB"/>
              </w:rPr>
            </w:pPr>
            <w:r w:rsidRPr="00E72750">
              <w:rPr>
                <w:rFonts w:cs="Arial"/>
                <w:lang w:val="en-GB"/>
              </w:rPr>
              <w:lastRenderedPageBreak/>
              <w:t>RACGP</w:t>
            </w:r>
          </w:p>
        </w:tc>
        <w:tc>
          <w:tcPr>
            <w:tcW w:w="6794" w:type="dxa"/>
            <w:tcMar>
              <w:left w:w="57" w:type="dxa"/>
            </w:tcMar>
          </w:tcPr>
          <w:p w14:paraId="302BF50B" w14:textId="77777777" w:rsidR="00CB06AB" w:rsidRPr="00E72750" w:rsidRDefault="00CB06AB" w:rsidP="00840CA9">
            <w:pPr>
              <w:pStyle w:val="02Tabletext"/>
              <w:spacing w:after="20"/>
              <w:rPr>
                <w:rFonts w:cs="Arial"/>
                <w:lang w:val="en-GB"/>
              </w:rPr>
            </w:pPr>
            <w:r w:rsidRPr="00E72750">
              <w:rPr>
                <w:rFonts w:cs="Arial"/>
                <w:color w:val="000000" w:themeColor="text1"/>
                <w:lang w:val="en-GB"/>
              </w:rPr>
              <w:t>Royal Australian College of General Practitioners</w:t>
            </w:r>
          </w:p>
        </w:tc>
      </w:tr>
      <w:tr w:rsidR="00CB06AB" w:rsidRPr="00E72750" w14:paraId="331F5021" w14:textId="77777777" w:rsidTr="000E3973">
        <w:tc>
          <w:tcPr>
            <w:tcW w:w="2288" w:type="dxa"/>
          </w:tcPr>
          <w:p w14:paraId="250BE1CF" w14:textId="77777777" w:rsidR="00CB06AB" w:rsidRPr="00E72750" w:rsidRDefault="00CB06AB" w:rsidP="00840CA9">
            <w:pPr>
              <w:pStyle w:val="02Tabletext"/>
              <w:spacing w:after="20"/>
              <w:rPr>
                <w:rFonts w:cs="Arial"/>
                <w:lang w:val="en-GB"/>
              </w:rPr>
            </w:pPr>
            <w:r w:rsidRPr="00E72750">
              <w:rPr>
                <w:rFonts w:cs="Arial"/>
                <w:lang w:val="en-GB"/>
              </w:rPr>
              <w:t xml:space="preserve">The Committee </w:t>
            </w:r>
          </w:p>
        </w:tc>
        <w:tc>
          <w:tcPr>
            <w:tcW w:w="6794" w:type="dxa"/>
            <w:tcMar>
              <w:left w:w="57" w:type="dxa"/>
            </w:tcMar>
          </w:tcPr>
          <w:p w14:paraId="53E27E97"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xml:space="preserve">Endocrinology Clinical Committee </w:t>
            </w:r>
          </w:p>
        </w:tc>
      </w:tr>
      <w:tr w:rsidR="00CB06AB" w:rsidRPr="00E72750" w14:paraId="127318DA" w14:textId="77777777" w:rsidTr="000E3973">
        <w:tc>
          <w:tcPr>
            <w:tcW w:w="2288" w:type="dxa"/>
          </w:tcPr>
          <w:p w14:paraId="5351E3B2" w14:textId="77777777" w:rsidR="00CB06AB" w:rsidRPr="00E72750" w:rsidRDefault="00CB06AB" w:rsidP="00840CA9">
            <w:pPr>
              <w:pStyle w:val="02Tabletext"/>
              <w:spacing w:after="20"/>
              <w:rPr>
                <w:rFonts w:cs="Arial"/>
                <w:lang w:val="en-GB"/>
              </w:rPr>
            </w:pPr>
            <w:r w:rsidRPr="00E72750">
              <w:rPr>
                <w:rFonts w:cs="Arial"/>
                <w:lang w:val="en-GB"/>
              </w:rPr>
              <w:t xml:space="preserve">The Taskforce </w:t>
            </w:r>
          </w:p>
        </w:tc>
        <w:tc>
          <w:tcPr>
            <w:tcW w:w="6794" w:type="dxa"/>
            <w:tcMar>
              <w:left w:w="57" w:type="dxa"/>
            </w:tcMar>
          </w:tcPr>
          <w:p w14:paraId="0798F81D" w14:textId="77777777" w:rsidR="00CB06AB" w:rsidRPr="00E72750" w:rsidRDefault="00CB06AB" w:rsidP="00840CA9">
            <w:pPr>
              <w:pStyle w:val="02Tabletext"/>
              <w:spacing w:after="20"/>
              <w:rPr>
                <w:rFonts w:cs="Arial"/>
                <w:color w:val="000000" w:themeColor="text1"/>
                <w:lang w:val="en-GB"/>
              </w:rPr>
            </w:pPr>
            <w:r w:rsidRPr="00E72750">
              <w:rPr>
                <w:rFonts w:cs="Arial"/>
                <w:color w:val="000000" w:themeColor="text1"/>
                <w:lang w:val="en-GB"/>
              </w:rPr>
              <w:t xml:space="preserve">MBS Review Taskforce </w:t>
            </w:r>
          </w:p>
        </w:tc>
      </w:tr>
    </w:tbl>
    <w:p w14:paraId="648D0C08" w14:textId="77777777" w:rsidR="00AB64DD" w:rsidRDefault="00AB64DD" w:rsidP="00AB64DD"/>
    <w:p w14:paraId="12136886" w14:textId="77777777" w:rsidR="00AB64DD" w:rsidRDefault="00AB64DD" w:rsidP="00AE62D5">
      <w:r>
        <w:br w:type="page"/>
      </w:r>
    </w:p>
    <w:p w14:paraId="0D9D9973" w14:textId="77777777" w:rsidR="00AB64DD" w:rsidRDefault="00AB64DD" w:rsidP="00AB64DD">
      <w:pPr>
        <w:sectPr w:rsidR="00AB64DD" w:rsidSect="008A6B33">
          <w:pgSz w:w="11906" w:h="16838" w:code="9"/>
          <w:pgMar w:top="851" w:right="1440" w:bottom="1276" w:left="1440" w:header="720" w:footer="720" w:gutter="0"/>
          <w:paperSrc w:first="2" w:other="2"/>
          <w:cols w:space="720"/>
          <w:docGrid w:linePitch="326"/>
        </w:sectPr>
      </w:pPr>
    </w:p>
    <w:p w14:paraId="7214902A" w14:textId="77777777" w:rsidR="00AB64DD" w:rsidRPr="001825EC" w:rsidRDefault="00AB64DD" w:rsidP="00AB64DD">
      <w:pPr>
        <w:pStyle w:val="AppendixStyle1"/>
        <w:pageBreakBefore w:val="0"/>
        <w:spacing w:before="0" w:after="0" w:line="312" w:lineRule="auto"/>
        <w:ind w:left="360" w:hanging="360"/>
      </w:pPr>
      <w:bookmarkStart w:id="84" w:name="_Toc459913041"/>
      <w:bookmarkStart w:id="85" w:name="_Toc463529156"/>
      <w:bookmarkStart w:id="86" w:name="_Toc467138935"/>
      <w:bookmarkStart w:id="87" w:name="_Toc485298038"/>
      <w:r>
        <w:lastRenderedPageBreak/>
        <w:t>Summary for consumers</w:t>
      </w:r>
      <w:bookmarkEnd w:id="84"/>
      <w:bookmarkEnd w:id="85"/>
      <w:bookmarkEnd w:id="86"/>
      <w:bookmarkEnd w:id="87"/>
    </w:p>
    <w:p w14:paraId="19EB8EBA" w14:textId="77777777" w:rsidR="00AB64DD" w:rsidRPr="00594078" w:rsidRDefault="00AB64DD" w:rsidP="00AB64DD">
      <w:r w:rsidRPr="00C8004A">
        <w:t>This table describes the medical service, recommendations of the Clinical Experts and why the recommendation has been made.</w:t>
      </w:r>
      <w:r>
        <w:rPr>
          <w:sz w:val="14"/>
        </w:rPr>
        <w:tab/>
      </w:r>
    </w:p>
    <w:p w14:paraId="7CCF2599" w14:textId="77777777" w:rsidR="00AB64DD" w:rsidRPr="00594078" w:rsidRDefault="00AB64DD" w:rsidP="00AB64DD">
      <w:pPr>
        <w:pStyle w:val="Caption"/>
        <w:rPr>
          <w:b w:val="0"/>
        </w:rPr>
      </w:pPr>
      <w:bookmarkStart w:id="88" w:name="_Toc467138218"/>
      <w:r w:rsidRPr="00594078">
        <w:t xml:space="preserve">Recommendation </w:t>
      </w:r>
      <w:r>
        <w:rPr>
          <w:b w:val="0"/>
        </w:rPr>
        <w:fldChar w:fldCharType="begin"/>
      </w:r>
      <w:r>
        <w:instrText xml:space="preserve"> SEQ Recommendation \* ARABIC </w:instrText>
      </w:r>
      <w:r>
        <w:rPr>
          <w:b w:val="0"/>
        </w:rPr>
        <w:fldChar w:fldCharType="separate"/>
      </w:r>
      <w:r w:rsidR="00DC5AF7">
        <w:rPr>
          <w:noProof/>
        </w:rPr>
        <w:t>1</w:t>
      </w:r>
      <w:bookmarkEnd w:id="88"/>
      <w:r>
        <w:rPr>
          <w:b w:val="0"/>
        </w:rPr>
        <w:fldChar w:fldCharType="end"/>
      </w:r>
      <w:r>
        <w:rPr>
          <w:b w:val="0"/>
        </w:rPr>
        <w:t xml:space="preserve">: Thyroidectomy items </w:t>
      </w:r>
      <w:r w:rsidR="000C3FA9">
        <w:rPr>
          <w:b w:val="0"/>
        </w:rPr>
        <w:t>30296 and 30309</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1 table looks at the need for a broader review of the MBS items under group 11 ultrasound subgroup 3. This table contains 5 column headings: column 1. List of items, column 2. What it does, column 3. Committee Recommendation, column 4. What would be different and column 5 Why."/>
      </w:tblPr>
      <w:tblGrid>
        <w:gridCol w:w="1661"/>
        <w:gridCol w:w="2694"/>
        <w:gridCol w:w="2456"/>
        <w:gridCol w:w="4031"/>
        <w:gridCol w:w="3280"/>
      </w:tblGrid>
      <w:tr w:rsidR="00AB64DD" w:rsidRPr="00ED7D2E" w14:paraId="72EC2341" w14:textId="77777777" w:rsidTr="00C1204F">
        <w:trPr>
          <w:cantSplit/>
          <w:tblHeader/>
        </w:trPr>
        <w:tc>
          <w:tcPr>
            <w:tcW w:w="1668" w:type="dxa"/>
          </w:tcPr>
          <w:p w14:paraId="31E248FB"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702" w:type="dxa"/>
          </w:tcPr>
          <w:p w14:paraId="51169C53"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it does</w:t>
            </w:r>
          </w:p>
        </w:tc>
        <w:tc>
          <w:tcPr>
            <w:tcW w:w="2462" w:type="dxa"/>
          </w:tcPr>
          <w:p w14:paraId="6B77FF81"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4049" w:type="dxa"/>
          </w:tcPr>
          <w:p w14:paraId="7591F285"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93" w:type="dxa"/>
          </w:tcPr>
          <w:p w14:paraId="7B11BF7D"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AB64DD" w:rsidRPr="00ED7D2E" w14:paraId="611805A4" w14:textId="77777777" w:rsidTr="00C1204F">
        <w:trPr>
          <w:cantSplit/>
        </w:trPr>
        <w:tc>
          <w:tcPr>
            <w:tcW w:w="1668" w:type="dxa"/>
          </w:tcPr>
          <w:p w14:paraId="681176C3" w14:textId="77777777" w:rsidR="00AB64DD" w:rsidRPr="00AE62D5" w:rsidRDefault="000C3FA9" w:rsidP="00C1204F">
            <w:pPr>
              <w:spacing w:before="40" w:after="40"/>
              <w:rPr>
                <w:rFonts w:cs="Arial"/>
                <w:sz w:val="18"/>
                <w:szCs w:val="18"/>
                <w:lang w:val="en-US" w:eastAsia="en-US"/>
              </w:rPr>
            </w:pPr>
            <w:r>
              <w:rPr>
                <w:rFonts w:cs="Arial"/>
                <w:sz w:val="18"/>
                <w:szCs w:val="18"/>
                <w:lang w:val="en-US" w:eastAsia="en-US"/>
              </w:rPr>
              <w:t>30296 and 30309</w:t>
            </w:r>
          </w:p>
        </w:tc>
        <w:tc>
          <w:tcPr>
            <w:tcW w:w="2702" w:type="dxa"/>
          </w:tcPr>
          <w:p w14:paraId="01060450" w14:textId="77777777" w:rsidR="00AB64DD" w:rsidRPr="00505D08" w:rsidRDefault="00FE5A17" w:rsidP="000C3FA9">
            <w:pPr>
              <w:spacing w:before="40" w:after="40"/>
              <w:rPr>
                <w:rFonts w:cs="Arial"/>
                <w:sz w:val="18"/>
                <w:szCs w:val="18"/>
              </w:rPr>
            </w:pPr>
            <w:r>
              <w:rPr>
                <w:rFonts w:cs="Arial"/>
                <w:sz w:val="18"/>
                <w:szCs w:val="18"/>
              </w:rPr>
              <w:t xml:space="preserve">These items cover total and </w:t>
            </w:r>
            <w:r w:rsidR="000C3FA9">
              <w:rPr>
                <w:rFonts w:cs="Arial"/>
                <w:sz w:val="18"/>
                <w:szCs w:val="18"/>
              </w:rPr>
              <w:t xml:space="preserve">subtotal thyroidectomies, which is </w:t>
            </w:r>
            <w:r w:rsidR="000C3FA9" w:rsidRPr="000C3FA9">
              <w:rPr>
                <w:rFonts w:cs="Arial"/>
                <w:sz w:val="18"/>
                <w:szCs w:val="18"/>
              </w:rPr>
              <w:t>the surgical removal of all or part of the thyroid gland</w:t>
            </w:r>
            <w:r w:rsidR="000C3FA9">
              <w:rPr>
                <w:rFonts w:cs="Arial"/>
                <w:sz w:val="18"/>
                <w:szCs w:val="18"/>
              </w:rPr>
              <w:t>.</w:t>
            </w:r>
          </w:p>
        </w:tc>
        <w:tc>
          <w:tcPr>
            <w:tcW w:w="2462" w:type="dxa"/>
          </w:tcPr>
          <w:p w14:paraId="5EE032FF" w14:textId="77777777" w:rsidR="00AB64DD" w:rsidRPr="000255A0" w:rsidRDefault="00BA029A" w:rsidP="00C1204F">
            <w:pPr>
              <w:spacing w:before="40" w:after="40"/>
              <w:rPr>
                <w:rFonts w:cs="Arial"/>
                <w:sz w:val="18"/>
                <w:szCs w:val="18"/>
                <w:lang w:val="en-US" w:eastAsia="en-US"/>
              </w:rPr>
            </w:pPr>
            <w:r>
              <w:rPr>
                <w:rFonts w:cs="Arial"/>
                <w:sz w:val="18"/>
                <w:szCs w:val="18"/>
                <w:lang w:val="en-US" w:eastAsia="en-US"/>
              </w:rPr>
              <w:t>Consolidate item 30309 under item 30296, leaving the descriptor for item 30296 unchanged and adding clearer explanatory notes.</w:t>
            </w:r>
          </w:p>
        </w:tc>
        <w:tc>
          <w:tcPr>
            <w:tcW w:w="4049" w:type="dxa"/>
          </w:tcPr>
          <w:p w14:paraId="5A115AD8" w14:textId="77777777" w:rsidR="00AB64DD" w:rsidRPr="000255A0" w:rsidRDefault="000C3FA9" w:rsidP="00C1204F">
            <w:pPr>
              <w:spacing w:before="40" w:after="40"/>
              <w:ind w:left="57" w:right="57"/>
              <w:rPr>
                <w:rFonts w:cs="Arial"/>
                <w:sz w:val="18"/>
                <w:szCs w:val="18"/>
                <w:lang w:val="en-US" w:eastAsia="en-US"/>
              </w:rPr>
            </w:pPr>
            <w:r>
              <w:rPr>
                <w:rFonts w:cs="Arial"/>
                <w:sz w:val="18"/>
                <w:szCs w:val="18"/>
                <w:lang w:val="en-US" w:eastAsia="en-US"/>
              </w:rPr>
              <w:t xml:space="preserve">Procedures previously performed under item 30309 would now be performed as a total thyroidectomy under item 30296. </w:t>
            </w:r>
          </w:p>
        </w:tc>
        <w:tc>
          <w:tcPr>
            <w:tcW w:w="3293" w:type="dxa"/>
          </w:tcPr>
          <w:p w14:paraId="66D6FF96" w14:textId="77777777" w:rsidR="00AB64DD" w:rsidRPr="000255A0" w:rsidRDefault="00FE5A17" w:rsidP="000C3FA9">
            <w:pPr>
              <w:spacing w:before="40" w:after="40"/>
              <w:rPr>
                <w:rFonts w:cs="Arial"/>
                <w:sz w:val="18"/>
                <w:szCs w:val="18"/>
                <w:lang w:val="en-US" w:eastAsia="en-US"/>
              </w:rPr>
            </w:pPr>
            <w:r>
              <w:rPr>
                <w:rFonts w:cs="Arial"/>
                <w:sz w:val="18"/>
                <w:szCs w:val="18"/>
                <w:lang w:val="en-US" w:eastAsia="en-US"/>
              </w:rPr>
              <w:t xml:space="preserve">To improve clinical quality and provide better guidance for </w:t>
            </w:r>
            <w:r w:rsidR="000C3FA9">
              <w:rPr>
                <w:rFonts w:cs="Arial"/>
                <w:sz w:val="18"/>
                <w:szCs w:val="18"/>
                <w:lang w:val="en-US" w:eastAsia="en-US"/>
              </w:rPr>
              <w:t>thyroidectomies</w:t>
            </w:r>
            <w:r>
              <w:rPr>
                <w:rFonts w:cs="Arial"/>
                <w:sz w:val="18"/>
                <w:szCs w:val="18"/>
                <w:lang w:val="en-US" w:eastAsia="en-US"/>
              </w:rPr>
              <w:t xml:space="preserve"> explaining when they should be used. </w:t>
            </w:r>
          </w:p>
        </w:tc>
      </w:tr>
    </w:tbl>
    <w:p w14:paraId="719D50D9" w14:textId="77777777" w:rsidR="00AB64DD" w:rsidRPr="00594078" w:rsidRDefault="00AB64DD" w:rsidP="00AB64DD">
      <w:pPr>
        <w:pStyle w:val="Caption"/>
        <w:rPr>
          <w:b w:val="0"/>
        </w:rPr>
      </w:pPr>
      <w:bookmarkStart w:id="89" w:name="_Toc467138219"/>
      <w:r w:rsidRPr="00594078">
        <w:t xml:space="preserve">Recommendation </w:t>
      </w:r>
      <w:r>
        <w:rPr>
          <w:b w:val="0"/>
        </w:rPr>
        <w:fldChar w:fldCharType="begin"/>
      </w:r>
      <w:r>
        <w:instrText xml:space="preserve"> SEQ Recommendation \* ARABIC </w:instrText>
      </w:r>
      <w:r>
        <w:rPr>
          <w:b w:val="0"/>
        </w:rPr>
        <w:fldChar w:fldCharType="separate"/>
      </w:r>
      <w:r w:rsidR="00DC5AF7">
        <w:rPr>
          <w:noProof/>
        </w:rPr>
        <w:t>2</w:t>
      </w:r>
      <w:bookmarkEnd w:id="89"/>
      <w:r>
        <w:rPr>
          <w:b w:val="0"/>
        </w:rPr>
        <w:fldChar w:fldCharType="end"/>
      </w:r>
      <w:r w:rsidR="000C3FA9">
        <w:rPr>
          <w:b w:val="0"/>
        </w:rPr>
        <w:t>:</w:t>
      </w:r>
      <w:r w:rsidR="000C3FA9" w:rsidRPr="000C3FA9">
        <w:rPr>
          <w:b w:val="0"/>
        </w:rPr>
        <w:t xml:space="preserve"> </w:t>
      </w:r>
      <w:r w:rsidR="000C3FA9">
        <w:rPr>
          <w:b w:val="0"/>
        </w:rPr>
        <w:t xml:space="preserve">Thyroidectomy item 30306 </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2 table looks at item numbers 55224, 55221, 55246 and 55222 in regards to duplex scanning for acute and chronic venous disease. This table contains 5 column headings: column 1. List of items, column 2. What it does, column 3. Committee Recommendation, column 4. What would be different and column 5 Why."/>
      </w:tblPr>
      <w:tblGrid>
        <w:gridCol w:w="1660"/>
        <w:gridCol w:w="2695"/>
        <w:gridCol w:w="2457"/>
        <w:gridCol w:w="4028"/>
        <w:gridCol w:w="3282"/>
      </w:tblGrid>
      <w:tr w:rsidR="00AB64DD" w:rsidRPr="00ED7D2E" w14:paraId="7E6CB6B0" w14:textId="77777777" w:rsidTr="00C1204F">
        <w:trPr>
          <w:cantSplit/>
          <w:tblHeader/>
        </w:trPr>
        <w:tc>
          <w:tcPr>
            <w:tcW w:w="1668" w:type="dxa"/>
          </w:tcPr>
          <w:p w14:paraId="3B3380BB"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702" w:type="dxa"/>
          </w:tcPr>
          <w:p w14:paraId="41DE4EFD"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it does</w:t>
            </w:r>
          </w:p>
        </w:tc>
        <w:tc>
          <w:tcPr>
            <w:tcW w:w="2462" w:type="dxa"/>
          </w:tcPr>
          <w:p w14:paraId="08891D93"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4049" w:type="dxa"/>
          </w:tcPr>
          <w:p w14:paraId="0F4045D4"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93" w:type="dxa"/>
          </w:tcPr>
          <w:p w14:paraId="2FC39D0D"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AB64DD" w:rsidRPr="00ED7D2E" w14:paraId="1DA5526A" w14:textId="77777777" w:rsidTr="00C1204F">
        <w:trPr>
          <w:cantSplit/>
        </w:trPr>
        <w:tc>
          <w:tcPr>
            <w:tcW w:w="1668" w:type="dxa"/>
          </w:tcPr>
          <w:p w14:paraId="2BA97C45" w14:textId="77777777" w:rsidR="00AB64DD" w:rsidRPr="00AE62D5" w:rsidRDefault="000C3FA9" w:rsidP="00C1204F">
            <w:pPr>
              <w:spacing w:before="40" w:after="40"/>
              <w:rPr>
                <w:rFonts w:cs="Arial"/>
                <w:sz w:val="18"/>
                <w:szCs w:val="18"/>
                <w:lang w:val="en-US" w:eastAsia="en-US"/>
              </w:rPr>
            </w:pPr>
            <w:r>
              <w:rPr>
                <w:rFonts w:cs="Arial"/>
                <w:sz w:val="18"/>
                <w:szCs w:val="18"/>
                <w:lang w:val="en-US" w:eastAsia="en-US"/>
              </w:rPr>
              <w:t>30306</w:t>
            </w:r>
          </w:p>
        </w:tc>
        <w:tc>
          <w:tcPr>
            <w:tcW w:w="2702" w:type="dxa"/>
          </w:tcPr>
          <w:p w14:paraId="20112023" w14:textId="77777777" w:rsidR="00AB64DD" w:rsidRPr="00505D08" w:rsidRDefault="000C3FA9" w:rsidP="000C3FA9">
            <w:pPr>
              <w:spacing w:before="40" w:after="40"/>
              <w:rPr>
                <w:rFonts w:cs="Arial"/>
                <w:sz w:val="18"/>
                <w:szCs w:val="18"/>
              </w:rPr>
            </w:pPr>
            <w:r>
              <w:rPr>
                <w:rFonts w:cs="Arial"/>
                <w:sz w:val="18"/>
                <w:szCs w:val="18"/>
              </w:rPr>
              <w:t xml:space="preserve">Total hemithyroidectomy, which is the </w:t>
            </w:r>
            <w:r w:rsidRPr="000C3FA9">
              <w:rPr>
                <w:rFonts w:cs="Arial"/>
                <w:sz w:val="18"/>
                <w:szCs w:val="18"/>
              </w:rPr>
              <w:t>removal of one of the lobes (and part of the isthmus) of the thyroid gland</w:t>
            </w:r>
            <w:r>
              <w:rPr>
                <w:rFonts w:cs="Arial"/>
                <w:sz w:val="18"/>
                <w:szCs w:val="18"/>
              </w:rPr>
              <w:t>.</w:t>
            </w:r>
          </w:p>
        </w:tc>
        <w:tc>
          <w:tcPr>
            <w:tcW w:w="2462" w:type="dxa"/>
          </w:tcPr>
          <w:p w14:paraId="4C0A939D" w14:textId="77777777" w:rsidR="00AB64DD" w:rsidRPr="000255A0" w:rsidRDefault="000C3FA9" w:rsidP="00C1204F">
            <w:pPr>
              <w:spacing w:before="40" w:after="40"/>
              <w:rPr>
                <w:rFonts w:cs="Arial"/>
                <w:sz w:val="18"/>
                <w:szCs w:val="18"/>
                <w:lang w:val="en-US" w:eastAsia="en-US"/>
              </w:rPr>
            </w:pPr>
            <w:r>
              <w:rPr>
                <w:rFonts w:cs="Arial"/>
                <w:sz w:val="18"/>
                <w:szCs w:val="18"/>
                <w:lang w:val="en-US" w:eastAsia="en-US"/>
              </w:rPr>
              <w:t xml:space="preserve">Update the explanatory notes to provide clearer guidance on the appropriate use of </w:t>
            </w:r>
            <w:r>
              <w:rPr>
                <w:rFonts w:cs="Arial"/>
                <w:sz w:val="18"/>
                <w:szCs w:val="18"/>
              </w:rPr>
              <w:t>hemithyroidectomies in line with best clinical practice.</w:t>
            </w:r>
          </w:p>
        </w:tc>
        <w:tc>
          <w:tcPr>
            <w:tcW w:w="4049" w:type="dxa"/>
          </w:tcPr>
          <w:p w14:paraId="4CCDD104" w14:textId="77777777" w:rsidR="00AB64DD" w:rsidRPr="000255A0" w:rsidRDefault="004D783F" w:rsidP="004A7C7B">
            <w:pPr>
              <w:spacing w:before="40" w:after="40"/>
              <w:ind w:left="57" w:right="57"/>
              <w:rPr>
                <w:rFonts w:cs="Arial"/>
                <w:sz w:val="18"/>
                <w:szCs w:val="18"/>
                <w:lang w:val="en-US" w:eastAsia="en-US"/>
              </w:rPr>
            </w:pPr>
            <w:r>
              <w:rPr>
                <w:rFonts w:cs="Arial"/>
                <w:sz w:val="18"/>
                <w:szCs w:val="18"/>
                <w:lang w:val="en-US" w:eastAsia="en-US"/>
              </w:rPr>
              <w:t>Providers</w:t>
            </w:r>
            <w:r w:rsidR="00E44900">
              <w:rPr>
                <w:rFonts w:cs="Arial"/>
                <w:sz w:val="18"/>
                <w:szCs w:val="18"/>
                <w:lang w:val="en-US" w:eastAsia="en-US"/>
              </w:rPr>
              <w:t xml:space="preserve"> are encouraged to consider best clinical pract</w:t>
            </w:r>
            <w:r>
              <w:rPr>
                <w:rFonts w:cs="Arial"/>
                <w:sz w:val="18"/>
                <w:szCs w:val="18"/>
                <w:lang w:val="en-US" w:eastAsia="en-US"/>
              </w:rPr>
              <w:t>ice standards and where possible,</w:t>
            </w:r>
            <w:r w:rsidR="00E44900">
              <w:rPr>
                <w:rFonts w:cs="Arial"/>
                <w:sz w:val="18"/>
                <w:szCs w:val="18"/>
                <w:lang w:val="en-US" w:eastAsia="en-US"/>
              </w:rPr>
              <w:t xml:space="preserve"> use item 30306 instead of 30310.</w:t>
            </w:r>
          </w:p>
        </w:tc>
        <w:tc>
          <w:tcPr>
            <w:tcW w:w="3293" w:type="dxa"/>
          </w:tcPr>
          <w:p w14:paraId="0ED85E46" w14:textId="77777777" w:rsidR="00AB64DD" w:rsidRPr="000255A0" w:rsidRDefault="00E44900" w:rsidP="00AC69EF">
            <w:pPr>
              <w:spacing w:before="40" w:after="40"/>
              <w:rPr>
                <w:rFonts w:cs="Arial"/>
                <w:sz w:val="18"/>
                <w:szCs w:val="18"/>
                <w:lang w:val="en-US" w:eastAsia="en-US"/>
              </w:rPr>
            </w:pPr>
            <w:r>
              <w:rPr>
                <w:rFonts w:cs="Arial"/>
                <w:sz w:val="18"/>
                <w:szCs w:val="18"/>
                <w:lang w:val="en-US" w:eastAsia="en-US"/>
              </w:rPr>
              <w:t xml:space="preserve">To align the use of total </w:t>
            </w:r>
            <w:r>
              <w:rPr>
                <w:rFonts w:cs="Arial"/>
                <w:sz w:val="18"/>
                <w:szCs w:val="18"/>
              </w:rPr>
              <w:t xml:space="preserve">hemithyroidectomies with best clinical practice and </w:t>
            </w:r>
            <w:r w:rsidR="00AC69EF">
              <w:rPr>
                <w:rFonts w:cs="Arial"/>
                <w:sz w:val="18"/>
                <w:szCs w:val="18"/>
              </w:rPr>
              <w:t xml:space="preserve">is </w:t>
            </w:r>
            <w:r w:rsidR="00AC69EF" w:rsidRPr="00AC69EF">
              <w:rPr>
                <w:rFonts w:cs="Arial"/>
                <w:sz w:val="18"/>
                <w:szCs w:val="18"/>
              </w:rPr>
              <w:t>supported by the American Thyroid Association’s Management Guidelines</w:t>
            </w:r>
            <w:r>
              <w:rPr>
                <w:rFonts w:cs="Arial"/>
                <w:sz w:val="18"/>
                <w:szCs w:val="18"/>
              </w:rPr>
              <w:t>.</w:t>
            </w:r>
          </w:p>
        </w:tc>
      </w:tr>
    </w:tbl>
    <w:p w14:paraId="6A575BB6" w14:textId="77777777" w:rsidR="00AB64DD" w:rsidRPr="00594078" w:rsidRDefault="00AB64DD" w:rsidP="00AB64DD">
      <w:pPr>
        <w:pStyle w:val="Caption"/>
        <w:rPr>
          <w:b w:val="0"/>
        </w:rPr>
      </w:pPr>
      <w:bookmarkStart w:id="90" w:name="_Toc467138220"/>
      <w:r w:rsidRPr="00594078">
        <w:t xml:space="preserve">Recommendation </w:t>
      </w:r>
      <w:r>
        <w:rPr>
          <w:b w:val="0"/>
        </w:rPr>
        <w:fldChar w:fldCharType="begin"/>
      </w:r>
      <w:r>
        <w:instrText xml:space="preserve"> SEQ Recommendation \* ARABIC </w:instrText>
      </w:r>
      <w:r>
        <w:rPr>
          <w:b w:val="0"/>
        </w:rPr>
        <w:fldChar w:fldCharType="separate"/>
      </w:r>
      <w:r w:rsidR="00DC5AF7">
        <w:rPr>
          <w:noProof/>
        </w:rPr>
        <w:t>3</w:t>
      </w:r>
      <w:bookmarkEnd w:id="90"/>
      <w:r>
        <w:rPr>
          <w:b w:val="0"/>
        </w:rPr>
        <w:fldChar w:fldCharType="end"/>
      </w:r>
      <w:r w:rsidR="00E44900">
        <w:rPr>
          <w:b w:val="0"/>
        </w:rPr>
        <w:t>: Thyroidectomy items 30308 and 30310</w:t>
      </w:r>
    </w:p>
    <w:tbl>
      <w:tblPr>
        <w:tblStyle w:val="TableGrid"/>
        <w:tblW w:w="14129"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3 table looks at item numbers 55224 and 55221 in regards to duplex scanning for suspected lower limb deep vein thrombosis. This table contains 5 column headings: column 1. List of items, column 2. What it does, column 3. Committee Recommendation, column 4. What would be different and column 5 Why."/>
      </w:tblPr>
      <w:tblGrid>
        <w:gridCol w:w="1724"/>
        <w:gridCol w:w="2637"/>
        <w:gridCol w:w="2551"/>
        <w:gridCol w:w="3971"/>
        <w:gridCol w:w="3246"/>
      </w:tblGrid>
      <w:tr w:rsidR="00AB64DD" w:rsidRPr="00505D08" w14:paraId="52A55F0D" w14:textId="77777777" w:rsidTr="00C1204F">
        <w:trPr>
          <w:cantSplit/>
          <w:trHeight w:val="491"/>
          <w:tblHeader/>
        </w:trPr>
        <w:tc>
          <w:tcPr>
            <w:tcW w:w="1724" w:type="dxa"/>
          </w:tcPr>
          <w:p w14:paraId="34663F97"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637" w:type="dxa"/>
          </w:tcPr>
          <w:p w14:paraId="51A261F7"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it does</w:t>
            </w:r>
          </w:p>
        </w:tc>
        <w:tc>
          <w:tcPr>
            <w:tcW w:w="2551" w:type="dxa"/>
          </w:tcPr>
          <w:p w14:paraId="5D951FF6"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3971" w:type="dxa"/>
          </w:tcPr>
          <w:p w14:paraId="3CF81B66"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46" w:type="dxa"/>
          </w:tcPr>
          <w:p w14:paraId="153FFBA3"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AB64DD" w:rsidRPr="00505D08" w14:paraId="40F0B780" w14:textId="77777777" w:rsidTr="00C1204F">
        <w:trPr>
          <w:cantSplit/>
          <w:trHeight w:val="905"/>
        </w:trPr>
        <w:tc>
          <w:tcPr>
            <w:tcW w:w="1724" w:type="dxa"/>
          </w:tcPr>
          <w:p w14:paraId="2D3C5076" w14:textId="77777777" w:rsidR="00AB64DD" w:rsidRPr="00AE62D5" w:rsidRDefault="00E44900" w:rsidP="00C1204F">
            <w:pPr>
              <w:spacing w:before="40" w:after="40"/>
              <w:rPr>
                <w:rFonts w:cs="Arial"/>
                <w:sz w:val="18"/>
                <w:szCs w:val="18"/>
                <w:lang w:val="en-US" w:eastAsia="en-US"/>
              </w:rPr>
            </w:pPr>
            <w:r w:rsidRPr="00AE62D5">
              <w:rPr>
                <w:rFonts w:cs="Arial"/>
                <w:sz w:val="18"/>
                <w:szCs w:val="18"/>
                <w:lang w:val="en-US" w:eastAsia="en-US"/>
              </w:rPr>
              <w:t>30308 and 30310</w:t>
            </w:r>
          </w:p>
        </w:tc>
        <w:tc>
          <w:tcPr>
            <w:tcW w:w="2637" w:type="dxa"/>
          </w:tcPr>
          <w:p w14:paraId="7DE7976E" w14:textId="77777777" w:rsidR="00AB64DD" w:rsidRPr="00505D08" w:rsidRDefault="00E44900" w:rsidP="000C7795">
            <w:pPr>
              <w:spacing w:before="40" w:after="40"/>
              <w:rPr>
                <w:rFonts w:cs="Arial"/>
                <w:sz w:val="18"/>
                <w:szCs w:val="18"/>
              </w:rPr>
            </w:pPr>
            <w:r>
              <w:rPr>
                <w:rFonts w:cs="Arial"/>
                <w:sz w:val="18"/>
                <w:szCs w:val="18"/>
              </w:rPr>
              <w:t xml:space="preserve">These items cover </w:t>
            </w:r>
            <w:r w:rsidR="000C7795">
              <w:rPr>
                <w:rFonts w:cs="Arial"/>
                <w:sz w:val="18"/>
                <w:szCs w:val="18"/>
              </w:rPr>
              <w:t xml:space="preserve">partial thyroid gland removal including </w:t>
            </w:r>
            <w:r>
              <w:rPr>
                <w:rFonts w:cs="Arial"/>
                <w:sz w:val="18"/>
                <w:szCs w:val="18"/>
              </w:rPr>
              <w:t>bilateral</w:t>
            </w:r>
            <w:r w:rsidR="00C35C3A">
              <w:rPr>
                <w:rFonts w:cs="Arial"/>
                <w:sz w:val="18"/>
                <w:szCs w:val="18"/>
              </w:rPr>
              <w:t xml:space="preserve"> </w:t>
            </w:r>
            <w:r>
              <w:rPr>
                <w:rFonts w:cs="Arial"/>
                <w:sz w:val="18"/>
                <w:szCs w:val="18"/>
              </w:rPr>
              <w:t>subtotal thyroidectomies and unilateral subtotal thyroidectomies or the equivalent partial thyroidectomy.</w:t>
            </w:r>
          </w:p>
        </w:tc>
        <w:tc>
          <w:tcPr>
            <w:tcW w:w="2551" w:type="dxa"/>
          </w:tcPr>
          <w:p w14:paraId="38A94BA0" w14:textId="77777777" w:rsidR="00AB64DD" w:rsidRDefault="00E44900" w:rsidP="00C1204F">
            <w:pPr>
              <w:spacing w:before="40" w:after="40"/>
              <w:rPr>
                <w:rFonts w:cs="Arial"/>
                <w:sz w:val="18"/>
                <w:szCs w:val="18"/>
                <w:lang w:val="en-US" w:eastAsia="en-US"/>
              </w:rPr>
            </w:pPr>
            <w:r>
              <w:rPr>
                <w:rFonts w:cs="Arial"/>
                <w:sz w:val="18"/>
                <w:szCs w:val="18"/>
                <w:lang w:val="en-US" w:eastAsia="en-US"/>
              </w:rPr>
              <w:t xml:space="preserve">Consolidate items 30308 and 30310 into one item number. </w:t>
            </w:r>
          </w:p>
          <w:p w14:paraId="51C70BEC" w14:textId="77777777" w:rsidR="00E44900" w:rsidRDefault="00E44900" w:rsidP="00C1204F">
            <w:pPr>
              <w:spacing w:before="40" w:after="40"/>
              <w:rPr>
                <w:rFonts w:cs="Arial"/>
                <w:sz w:val="18"/>
                <w:szCs w:val="18"/>
                <w:lang w:val="en-US" w:eastAsia="en-US"/>
              </w:rPr>
            </w:pPr>
          </w:p>
          <w:p w14:paraId="5C212B8F" w14:textId="77777777" w:rsidR="00E44900" w:rsidRPr="00A578B3" w:rsidRDefault="00E44900" w:rsidP="00C1204F">
            <w:pPr>
              <w:spacing w:before="40" w:after="40"/>
              <w:rPr>
                <w:rFonts w:cs="Arial"/>
                <w:sz w:val="18"/>
                <w:szCs w:val="18"/>
                <w:lang w:val="en-US" w:eastAsia="en-US"/>
              </w:rPr>
            </w:pPr>
            <w:r>
              <w:rPr>
                <w:rFonts w:cs="Arial"/>
                <w:sz w:val="18"/>
                <w:szCs w:val="18"/>
                <w:lang w:val="en-US" w:eastAsia="en-US"/>
              </w:rPr>
              <w:t>Update the explanatory notes to provide clinicians with better guidance on the use of these items.</w:t>
            </w:r>
          </w:p>
        </w:tc>
        <w:tc>
          <w:tcPr>
            <w:tcW w:w="3971" w:type="dxa"/>
          </w:tcPr>
          <w:p w14:paraId="7F90EA15" w14:textId="77777777" w:rsidR="00AB64DD" w:rsidRDefault="00E44900" w:rsidP="00AE62D5">
            <w:pPr>
              <w:spacing w:before="40" w:after="40"/>
              <w:ind w:right="57"/>
              <w:rPr>
                <w:rFonts w:cs="Arial"/>
                <w:sz w:val="18"/>
                <w:szCs w:val="18"/>
                <w:lang w:val="en-US" w:eastAsia="en-US"/>
              </w:rPr>
            </w:pPr>
            <w:r>
              <w:rPr>
                <w:rFonts w:cs="Arial"/>
                <w:sz w:val="18"/>
                <w:szCs w:val="18"/>
                <w:lang w:val="en-US" w:eastAsia="en-US"/>
              </w:rPr>
              <w:t>These items would be consolidated into one item with a proposed descriptor of ‘Partial or subtotal thyroidectomy (</w:t>
            </w:r>
            <w:proofErr w:type="spellStart"/>
            <w:r>
              <w:rPr>
                <w:rFonts w:cs="Arial"/>
                <w:sz w:val="18"/>
                <w:szCs w:val="18"/>
                <w:lang w:val="en-US" w:eastAsia="en-US"/>
              </w:rPr>
              <w:t>Anaes</w:t>
            </w:r>
            <w:proofErr w:type="spellEnd"/>
            <w:r>
              <w:rPr>
                <w:rFonts w:cs="Arial"/>
                <w:sz w:val="18"/>
                <w:szCs w:val="18"/>
                <w:lang w:val="en-US" w:eastAsia="en-US"/>
              </w:rPr>
              <w:t xml:space="preserve">.) (Assist.)’ </w:t>
            </w:r>
          </w:p>
          <w:p w14:paraId="75711F5D" w14:textId="77777777" w:rsidR="00E44900" w:rsidRDefault="00E44900" w:rsidP="00AE62D5">
            <w:pPr>
              <w:spacing w:before="40" w:after="40"/>
              <w:ind w:right="57"/>
              <w:rPr>
                <w:rFonts w:cs="Arial"/>
                <w:sz w:val="18"/>
                <w:szCs w:val="18"/>
                <w:lang w:val="en-US" w:eastAsia="en-US"/>
              </w:rPr>
            </w:pPr>
          </w:p>
          <w:p w14:paraId="0FCD16D1" w14:textId="77777777" w:rsidR="00E44900" w:rsidRPr="00AE62D5" w:rsidRDefault="004D783F" w:rsidP="00AE62D5">
            <w:pPr>
              <w:spacing w:before="40" w:after="40"/>
              <w:ind w:right="57"/>
              <w:rPr>
                <w:rFonts w:cs="Arial"/>
                <w:sz w:val="18"/>
                <w:szCs w:val="18"/>
                <w:lang w:val="en-US" w:eastAsia="en-US"/>
              </w:rPr>
            </w:pPr>
            <w:r>
              <w:rPr>
                <w:rFonts w:cs="Arial"/>
                <w:sz w:val="18"/>
                <w:szCs w:val="18"/>
                <w:lang w:val="en-US" w:eastAsia="en-US"/>
              </w:rPr>
              <w:t>As explanatory notes are currently not provided, this would better guide providers on</w:t>
            </w:r>
            <w:r w:rsidR="00E44900">
              <w:rPr>
                <w:rFonts w:cs="Arial"/>
                <w:sz w:val="18"/>
                <w:szCs w:val="18"/>
                <w:lang w:val="en-US" w:eastAsia="en-US"/>
              </w:rPr>
              <w:t xml:space="preserve"> the appropriate use of these item numbers. </w:t>
            </w:r>
          </w:p>
        </w:tc>
        <w:tc>
          <w:tcPr>
            <w:tcW w:w="3246" w:type="dxa"/>
          </w:tcPr>
          <w:p w14:paraId="49F11648" w14:textId="77777777" w:rsidR="00AB64DD" w:rsidRPr="00393FB5" w:rsidRDefault="00E44900" w:rsidP="00C1204F">
            <w:pPr>
              <w:spacing w:before="40" w:after="40"/>
              <w:rPr>
                <w:rFonts w:cs="Arial"/>
                <w:sz w:val="18"/>
                <w:szCs w:val="18"/>
                <w:lang w:val="en-US" w:eastAsia="en-US"/>
              </w:rPr>
            </w:pPr>
            <w:r>
              <w:rPr>
                <w:rFonts w:cs="Arial"/>
                <w:sz w:val="18"/>
                <w:szCs w:val="18"/>
                <w:lang w:val="en-US" w:eastAsia="en-US"/>
              </w:rPr>
              <w:t>This re</w:t>
            </w:r>
            <w:r w:rsidR="004D783F">
              <w:rPr>
                <w:rFonts w:cs="Arial"/>
                <w:sz w:val="18"/>
                <w:szCs w:val="18"/>
                <w:lang w:val="en-US" w:eastAsia="en-US"/>
              </w:rPr>
              <w:t xml:space="preserve">commendation focuses on </w:t>
            </w:r>
            <w:proofErr w:type="spellStart"/>
            <w:r w:rsidR="004D783F">
              <w:rPr>
                <w:rFonts w:cs="Arial"/>
                <w:sz w:val="18"/>
                <w:szCs w:val="18"/>
                <w:lang w:val="en-US" w:eastAsia="en-US"/>
              </w:rPr>
              <w:t>modernis</w:t>
            </w:r>
            <w:r>
              <w:rPr>
                <w:rFonts w:cs="Arial"/>
                <w:sz w:val="18"/>
                <w:szCs w:val="18"/>
                <w:lang w:val="en-US" w:eastAsia="en-US"/>
              </w:rPr>
              <w:t>ing</w:t>
            </w:r>
            <w:proofErr w:type="spellEnd"/>
            <w:r>
              <w:rPr>
                <w:rFonts w:cs="Arial"/>
                <w:sz w:val="18"/>
                <w:szCs w:val="18"/>
                <w:lang w:val="en-US" w:eastAsia="en-US"/>
              </w:rPr>
              <w:t xml:space="preserve"> and simplifying the item numbers to reflect best clinical practice for patients.</w:t>
            </w:r>
          </w:p>
        </w:tc>
      </w:tr>
    </w:tbl>
    <w:p w14:paraId="6DBC8031" w14:textId="77777777" w:rsidR="00AB64DD" w:rsidRDefault="00AB64DD" w:rsidP="00AB64DD">
      <w:pPr>
        <w:pStyle w:val="AppendixStyle2"/>
        <w:spacing w:line="240" w:lineRule="auto"/>
        <w:contextualSpacing/>
        <w:rPr>
          <w:sz w:val="8"/>
        </w:rPr>
      </w:pPr>
      <w:r>
        <w:rPr>
          <w:sz w:val="8"/>
        </w:rPr>
        <w:br w:type="page"/>
      </w:r>
    </w:p>
    <w:p w14:paraId="738EB7B5" w14:textId="77777777" w:rsidR="00AB64DD" w:rsidRPr="00594078" w:rsidRDefault="00AB64DD" w:rsidP="00AB64DD">
      <w:pPr>
        <w:pStyle w:val="Caption"/>
        <w:rPr>
          <w:b w:val="0"/>
        </w:rPr>
      </w:pPr>
      <w:bookmarkStart w:id="91" w:name="_Toc467138221"/>
      <w:r w:rsidRPr="00594078">
        <w:lastRenderedPageBreak/>
        <w:t xml:space="preserve">Recommendation </w:t>
      </w:r>
      <w:r>
        <w:rPr>
          <w:b w:val="0"/>
        </w:rPr>
        <w:fldChar w:fldCharType="begin"/>
      </w:r>
      <w:r>
        <w:instrText xml:space="preserve"> SEQ Recommendation \* ARABIC </w:instrText>
      </w:r>
      <w:r>
        <w:rPr>
          <w:b w:val="0"/>
        </w:rPr>
        <w:fldChar w:fldCharType="separate"/>
      </w:r>
      <w:r w:rsidR="00DC5AF7">
        <w:rPr>
          <w:noProof/>
        </w:rPr>
        <w:t>4</w:t>
      </w:r>
      <w:bookmarkEnd w:id="91"/>
      <w:r>
        <w:rPr>
          <w:b w:val="0"/>
        </w:rPr>
        <w:fldChar w:fldCharType="end"/>
      </w:r>
      <w:r w:rsidR="00E44900">
        <w:rPr>
          <w:b w:val="0"/>
        </w:rPr>
        <w:t>: Thyroidectomy item 30297</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4 table looks at item numbers 55224, 55221, 55246 and 55222 in regards to duplex scanning for acute and chronic venous disease. This table contains 5 column headings: column 1. List of items, column 2. What it does, column 3. Committee Recommendation, column 4. What would be different and column 5 Why."/>
      </w:tblPr>
      <w:tblGrid>
        <w:gridCol w:w="1637"/>
        <w:gridCol w:w="2719"/>
        <w:gridCol w:w="2548"/>
        <w:gridCol w:w="3962"/>
        <w:gridCol w:w="3256"/>
      </w:tblGrid>
      <w:tr w:rsidR="00AB64DD" w:rsidRPr="00505D08" w14:paraId="577D4524" w14:textId="77777777" w:rsidTr="00C1204F">
        <w:trPr>
          <w:cantSplit/>
          <w:trHeight w:val="488"/>
          <w:tblHeader/>
        </w:trPr>
        <w:tc>
          <w:tcPr>
            <w:tcW w:w="1638" w:type="dxa"/>
          </w:tcPr>
          <w:p w14:paraId="452A87C6"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723" w:type="dxa"/>
          </w:tcPr>
          <w:p w14:paraId="0BA79BDD" w14:textId="77777777" w:rsidR="00AB64DD" w:rsidRPr="00505D08" w:rsidRDefault="00AB64DD" w:rsidP="00C1204F">
            <w:pPr>
              <w:spacing w:before="40" w:after="40"/>
              <w:jc w:val="center"/>
              <w:rPr>
                <w:rFonts w:cs="Arial"/>
                <w:b/>
                <w:sz w:val="18"/>
                <w:szCs w:val="18"/>
                <w:lang w:val="en-US" w:eastAsia="en-US"/>
              </w:rPr>
            </w:pPr>
            <w:r>
              <w:rPr>
                <w:rFonts w:cs="Arial"/>
                <w:b/>
                <w:sz w:val="18"/>
                <w:szCs w:val="18"/>
                <w:lang w:val="en-US" w:eastAsia="en-US"/>
              </w:rPr>
              <w:t>W</w:t>
            </w:r>
            <w:r w:rsidRPr="00505D08">
              <w:rPr>
                <w:rFonts w:cs="Arial"/>
                <w:b/>
                <w:sz w:val="18"/>
                <w:szCs w:val="18"/>
                <w:lang w:val="en-US" w:eastAsia="en-US"/>
              </w:rPr>
              <w:t>hat it does</w:t>
            </w:r>
          </w:p>
        </w:tc>
        <w:tc>
          <w:tcPr>
            <w:tcW w:w="2551" w:type="dxa"/>
          </w:tcPr>
          <w:p w14:paraId="38131419"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3969" w:type="dxa"/>
          </w:tcPr>
          <w:p w14:paraId="4EF6E05E"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61" w:type="dxa"/>
          </w:tcPr>
          <w:p w14:paraId="700A5574"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AB64DD" w:rsidRPr="00505D08" w14:paraId="736F02EE" w14:textId="77777777" w:rsidTr="00C1204F">
        <w:trPr>
          <w:cantSplit/>
          <w:trHeight w:val="899"/>
        </w:trPr>
        <w:tc>
          <w:tcPr>
            <w:tcW w:w="1638" w:type="dxa"/>
          </w:tcPr>
          <w:p w14:paraId="7BD2559C" w14:textId="77777777" w:rsidR="00AB64DD" w:rsidRPr="00AE62D5" w:rsidRDefault="00E44900" w:rsidP="00C1204F">
            <w:pPr>
              <w:spacing w:before="40" w:after="40"/>
              <w:rPr>
                <w:rFonts w:cs="Arial"/>
                <w:sz w:val="18"/>
                <w:szCs w:val="18"/>
                <w:lang w:val="en-US" w:eastAsia="en-US"/>
              </w:rPr>
            </w:pPr>
            <w:r>
              <w:rPr>
                <w:rFonts w:cs="Arial"/>
                <w:sz w:val="18"/>
                <w:szCs w:val="18"/>
                <w:lang w:val="en-US" w:eastAsia="en-US"/>
              </w:rPr>
              <w:t>30297</w:t>
            </w:r>
          </w:p>
        </w:tc>
        <w:tc>
          <w:tcPr>
            <w:tcW w:w="2723" w:type="dxa"/>
          </w:tcPr>
          <w:p w14:paraId="4F2B3237" w14:textId="77777777" w:rsidR="00AB64DD" w:rsidRPr="00505D08" w:rsidRDefault="00E44900" w:rsidP="000C7795">
            <w:pPr>
              <w:spacing w:before="40" w:after="40"/>
              <w:rPr>
                <w:rFonts w:cs="Arial"/>
                <w:sz w:val="18"/>
                <w:szCs w:val="18"/>
              </w:rPr>
            </w:pPr>
            <w:r>
              <w:rPr>
                <w:rFonts w:cs="Arial"/>
                <w:sz w:val="18"/>
                <w:szCs w:val="18"/>
              </w:rPr>
              <w:t>This item covers a thyroidectomy</w:t>
            </w:r>
            <w:r w:rsidR="000C7795">
              <w:rPr>
                <w:rFonts w:cs="Arial"/>
                <w:sz w:val="18"/>
                <w:szCs w:val="18"/>
              </w:rPr>
              <w:t xml:space="preserve"> (surgical removal of the thyroid gland)</w:t>
            </w:r>
            <w:r>
              <w:rPr>
                <w:rFonts w:cs="Arial"/>
                <w:sz w:val="18"/>
                <w:szCs w:val="18"/>
              </w:rPr>
              <w:t xml:space="preserve"> following previous thyroid surgery.</w:t>
            </w:r>
          </w:p>
        </w:tc>
        <w:tc>
          <w:tcPr>
            <w:tcW w:w="2551" w:type="dxa"/>
          </w:tcPr>
          <w:p w14:paraId="47323B3A" w14:textId="77777777" w:rsidR="00AB64DD" w:rsidRPr="00A578B3" w:rsidRDefault="00E44900" w:rsidP="004A7C7B">
            <w:pPr>
              <w:spacing w:before="40" w:after="40"/>
              <w:rPr>
                <w:rFonts w:cs="Arial"/>
                <w:sz w:val="18"/>
                <w:szCs w:val="18"/>
                <w:lang w:val="en-US" w:eastAsia="en-US"/>
              </w:rPr>
            </w:pPr>
            <w:r>
              <w:rPr>
                <w:rFonts w:cs="Arial"/>
                <w:sz w:val="18"/>
                <w:szCs w:val="18"/>
                <w:lang w:val="en-US" w:eastAsia="en-US"/>
              </w:rPr>
              <w:t xml:space="preserve">Add explanatory notes to this item number to provide better guidance for </w:t>
            </w:r>
            <w:r w:rsidR="004D783F">
              <w:rPr>
                <w:rFonts w:cs="Arial"/>
                <w:sz w:val="18"/>
                <w:szCs w:val="18"/>
                <w:lang w:val="en-US" w:eastAsia="en-US"/>
              </w:rPr>
              <w:t>providers</w:t>
            </w:r>
            <w:r>
              <w:rPr>
                <w:rFonts w:cs="Arial"/>
                <w:sz w:val="18"/>
                <w:szCs w:val="18"/>
                <w:lang w:val="en-US" w:eastAsia="en-US"/>
              </w:rPr>
              <w:t>.</w:t>
            </w:r>
          </w:p>
        </w:tc>
        <w:tc>
          <w:tcPr>
            <w:tcW w:w="3969" w:type="dxa"/>
          </w:tcPr>
          <w:p w14:paraId="6D16F257" w14:textId="77777777" w:rsidR="00AB64DD" w:rsidRPr="00AE62D5" w:rsidRDefault="00E44900" w:rsidP="00C1204F">
            <w:pPr>
              <w:spacing w:before="40" w:after="40"/>
              <w:ind w:left="57" w:right="57"/>
              <w:rPr>
                <w:rFonts w:cs="Arial"/>
                <w:sz w:val="18"/>
                <w:szCs w:val="18"/>
                <w:lang w:val="en-US" w:eastAsia="en-US"/>
              </w:rPr>
            </w:pPr>
            <w:r>
              <w:rPr>
                <w:rFonts w:cs="Arial"/>
                <w:sz w:val="18"/>
                <w:szCs w:val="18"/>
                <w:lang w:val="en-US" w:eastAsia="en-US"/>
              </w:rPr>
              <w:t>Explanatory notes would be provided to ensure best practice guidelines are followed in using this item number.</w:t>
            </w:r>
          </w:p>
        </w:tc>
        <w:tc>
          <w:tcPr>
            <w:tcW w:w="3261" w:type="dxa"/>
          </w:tcPr>
          <w:p w14:paraId="245BDE61" w14:textId="77777777" w:rsidR="00AB64DD" w:rsidRPr="00393FB5" w:rsidRDefault="00E44900" w:rsidP="004A7C7B">
            <w:pPr>
              <w:spacing w:before="40" w:after="40"/>
              <w:rPr>
                <w:rFonts w:cs="Arial"/>
                <w:sz w:val="18"/>
                <w:szCs w:val="18"/>
                <w:lang w:val="en-US" w:eastAsia="en-US"/>
              </w:rPr>
            </w:pPr>
            <w:r>
              <w:rPr>
                <w:rFonts w:cs="Arial"/>
                <w:sz w:val="18"/>
                <w:szCs w:val="18"/>
                <w:lang w:val="en-US" w:eastAsia="en-US"/>
              </w:rPr>
              <w:t xml:space="preserve">To improve clinical quality and provide better guidance for thyroidectomies explaining when it’s appropriate to be </w:t>
            </w:r>
            <w:r w:rsidR="004D783F">
              <w:rPr>
                <w:rFonts w:cs="Arial"/>
                <w:sz w:val="18"/>
                <w:szCs w:val="18"/>
                <w:lang w:val="en-US" w:eastAsia="en-US"/>
              </w:rPr>
              <w:t>used</w:t>
            </w:r>
            <w:r>
              <w:rPr>
                <w:rFonts w:cs="Arial"/>
                <w:sz w:val="18"/>
                <w:szCs w:val="18"/>
                <w:lang w:val="en-US" w:eastAsia="en-US"/>
              </w:rPr>
              <w:t>.</w:t>
            </w:r>
          </w:p>
        </w:tc>
      </w:tr>
    </w:tbl>
    <w:p w14:paraId="04D0608C" w14:textId="77777777" w:rsidR="00AB64DD" w:rsidRPr="00594078" w:rsidRDefault="00AB64DD" w:rsidP="00AB64DD">
      <w:pPr>
        <w:pStyle w:val="Caption"/>
        <w:rPr>
          <w:b w:val="0"/>
        </w:rPr>
      </w:pPr>
      <w:bookmarkStart w:id="92" w:name="_Toc467138222"/>
      <w:r w:rsidRPr="00594078">
        <w:t xml:space="preserve">Recommendation </w:t>
      </w:r>
      <w:r>
        <w:rPr>
          <w:b w:val="0"/>
        </w:rPr>
        <w:fldChar w:fldCharType="begin"/>
      </w:r>
      <w:r>
        <w:instrText xml:space="preserve"> SEQ Recommendation \* ARABIC </w:instrText>
      </w:r>
      <w:r>
        <w:rPr>
          <w:b w:val="0"/>
        </w:rPr>
        <w:fldChar w:fldCharType="separate"/>
      </w:r>
      <w:r w:rsidR="00DC5AF7">
        <w:rPr>
          <w:noProof/>
        </w:rPr>
        <w:t>5</w:t>
      </w:r>
      <w:bookmarkEnd w:id="92"/>
      <w:r>
        <w:rPr>
          <w:b w:val="0"/>
        </w:rPr>
        <w:fldChar w:fldCharType="end"/>
      </w:r>
      <w:r w:rsidR="00C35C3A">
        <w:rPr>
          <w:b w:val="0"/>
        </w:rPr>
        <w:t>: Parathyroid items 30315, 30317-8 and 30320</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5 table looks at item numbers 55224, 55221, 55246 and 55222 in regards to duplex scanning for acute and chronic venous disease. This table contains 5 column headings: column 1. List of items, column 2. What it does, column 3. Committee Recommendation, column 4. What would be different and column 5 Why."/>
      </w:tblPr>
      <w:tblGrid>
        <w:gridCol w:w="1655"/>
        <w:gridCol w:w="2702"/>
        <w:gridCol w:w="2548"/>
        <w:gridCol w:w="3961"/>
        <w:gridCol w:w="3256"/>
      </w:tblGrid>
      <w:tr w:rsidR="00AB64DD" w:rsidRPr="00ED7D2E" w14:paraId="48D3B45A" w14:textId="77777777" w:rsidTr="00C1204F">
        <w:trPr>
          <w:cantSplit/>
          <w:trHeight w:val="520"/>
          <w:tblHeader/>
        </w:trPr>
        <w:tc>
          <w:tcPr>
            <w:tcW w:w="1657" w:type="dxa"/>
          </w:tcPr>
          <w:p w14:paraId="4914868B"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704" w:type="dxa"/>
          </w:tcPr>
          <w:p w14:paraId="337A585D"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it does</w:t>
            </w:r>
          </w:p>
        </w:tc>
        <w:tc>
          <w:tcPr>
            <w:tcW w:w="2551" w:type="dxa"/>
          </w:tcPr>
          <w:p w14:paraId="779CC7C4"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3969" w:type="dxa"/>
          </w:tcPr>
          <w:p w14:paraId="54A89E31"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61" w:type="dxa"/>
          </w:tcPr>
          <w:p w14:paraId="63C99E88"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AB64DD" w:rsidRPr="00ED7D2E" w14:paraId="3FA03B7E" w14:textId="77777777" w:rsidTr="00C1204F">
        <w:trPr>
          <w:cantSplit/>
          <w:trHeight w:val="1331"/>
        </w:trPr>
        <w:tc>
          <w:tcPr>
            <w:tcW w:w="1657" w:type="dxa"/>
          </w:tcPr>
          <w:p w14:paraId="7CBABE94" w14:textId="77777777" w:rsidR="00AB64DD" w:rsidRPr="00AE62D5" w:rsidRDefault="00FC1E9B" w:rsidP="00C1204F">
            <w:pPr>
              <w:spacing w:before="40" w:after="40"/>
              <w:rPr>
                <w:rFonts w:cs="Arial"/>
                <w:sz w:val="18"/>
                <w:szCs w:val="18"/>
                <w:lang w:val="en-US" w:eastAsia="en-US"/>
              </w:rPr>
            </w:pPr>
            <w:r>
              <w:rPr>
                <w:rFonts w:cs="Arial"/>
                <w:sz w:val="18"/>
                <w:szCs w:val="18"/>
                <w:lang w:val="en-US" w:eastAsia="en-US"/>
              </w:rPr>
              <w:t>30315, 30317-8 and 30320</w:t>
            </w:r>
          </w:p>
        </w:tc>
        <w:tc>
          <w:tcPr>
            <w:tcW w:w="2704" w:type="dxa"/>
          </w:tcPr>
          <w:p w14:paraId="232E2476" w14:textId="77777777" w:rsidR="00AB64DD" w:rsidRPr="00505D08" w:rsidRDefault="00FC1E9B" w:rsidP="000C7795">
            <w:pPr>
              <w:spacing w:before="40" w:after="40"/>
              <w:rPr>
                <w:rFonts w:cs="Arial"/>
                <w:sz w:val="18"/>
                <w:szCs w:val="18"/>
              </w:rPr>
            </w:pPr>
            <w:r>
              <w:rPr>
                <w:rFonts w:cs="Arial"/>
                <w:sz w:val="18"/>
                <w:szCs w:val="18"/>
              </w:rPr>
              <w:t xml:space="preserve">These items cover </w:t>
            </w:r>
            <w:r w:rsidR="000C7795">
              <w:rPr>
                <w:rFonts w:cs="Arial"/>
                <w:sz w:val="18"/>
                <w:szCs w:val="18"/>
              </w:rPr>
              <w:t xml:space="preserve">removal of the </w:t>
            </w:r>
            <w:r>
              <w:rPr>
                <w:rFonts w:cs="Arial"/>
                <w:sz w:val="18"/>
                <w:szCs w:val="18"/>
              </w:rPr>
              <w:t xml:space="preserve">parathyroid </w:t>
            </w:r>
            <w:r w:rsidR="000C7795">
              <w:rPr>
                <w:rFonts w:cs="Arial"/>
                <w:sz w:val="18"/>
                <w:szCs w:val="18"/>
              </w:rPr>
              <w:t xml:space="preserve">gland to treat an overactive </w:t>
            </w:r>
            <w:proofErr w:type="gramStart"/>
            <w:r w:rsidR="000C7795">
              <w:rPr>
                <w:rFonts w:cs="Arial"/>
                <w:sz w:val="18"/>
                <w:szCs w:val="18"/>
              </w:rPr>
              <w:t>gland(</w:t>
            </w:r>
            <w:r>
              <w:rPr>
                <w:rFonts w:cs="Arial"/>
                <w:sz w:val="18"/>
                <w:szCs w:val="18"/>
              </w:rPr>
              <w:t xml:space="preserve"> hyperparathyroidism</w:t>
            </w:r>
            <w:proofErr w:type="gramEnd"/>
            <w:r w:rsidR="000C7795">
              <w:rPr>
                <w:rFonts w:cs="Arial"/>
                <w:sz w:val="18"/>
                <w:szCs w:val="18"/>
              </w:rPr>
              <w:t>)</w:t>
            </w:r>
            <w:r>
              <w:rPr>
                <w:rFonts w:cs="Arial"/>
                <w:sz w:val="18"/>
                <w:szCs w:val="18"/>
              </w:rPr>
              <w:t>.</w:t>
            </w:r>
          </w:p>
        </w:tc>
        <w:tc>
          <w:tcPr>
            <w:tcW w:w="2551" w:type="dxa"/>
          </w:tcPr>
          <w:p w14:paraId="3C397D89" w14:textId="77777777" w:rsidR="00AB64DD" w:rsidRDefault="004D783F" w:rsidP="00C1204F">
            <w:pPr>
              <w:spacing w:before="40" w:after="40"/>
              <w:rPr>
                <w:rFonts w:cs="Arial"/>
                <w:sz w:val="18"/>
                <w:szCs w:val="18"/>
                <w:lang w:val="en-US" w:eastAsia="en-US"/>
              </w:rPr>
            </w:pPr>
            <w:r>
              <w:rPr>
                <w:rFonts w:cs="Arial"/>
                <w:sz w:val="18"/>
                <w:szCs w:val="18"/>
                <w:lang w:val="en-US" w:eastAsia="en-US"/>
              </w:rPr>
              <w:t>Change</w:t>
            </w:r>
            <w:r w:rsidR="00FC1E9B">
              <w:rPr>
                <w:rFonts w:cs="Arial"/>
                <w:sz w:val="18"/>
                <w:szCs w:val="18"/>
                <w:lang w:val="en-US" w:eastAsia="en-US"/>
              </w:rPr>
              <w:t xml:space="preserve"> </w:t>
            </w:r>
            <w:r>
              <w:rPr>
                <w:rFonts w:cs="Arial"/>
                <w:sz w:val="18"/>
                <w:szCs w:val="18"/>
                <w:lang w:val="en-US" w:eastAsia="en-US"/>
              </w:rPr>
              <w:t xml:space="preserve">item </w:t>
            </w:r>
            <w:r w:rsidR="00FC1E9B">
              <w:rPr>
                <w:rFonts w:cs="Arial"/>
                <w:sz w:val="18"/>
                <w:szCs w:val="18"/>
                <w:lang w:val="en-US" w:eastAsia="en-US"/>
              </w:rPr>
              <w:t>descriptor</w:t>
            </w:r>
            <w:r>
              <w:rPr>
                <w:rFonts w:cs="Arial"/>
                <w:sz w:val="18"/>
                <w:szCs w:val="18"/>
                <w:lang w:val="en-US" w:eastAsia="en-US"/>
              </w:rPr>
              <w:t>s</w:t>
            </w:r>
            <w:r w:rsidR="00FC1E9B">
              <w:rPr>
                <w:rFonts w:cs="Arial"/>
                <w:sz w:val="18"/>
                <w:szCs w:val="18"/>
                <w:lang w:val="en-US" w:eastAsia="en-US"/>
              </w:rPr>
              <w:t xml:space="preserve"> for all four items to promote best practice and limit inappropriate co-claiming. </w:t>
            </w:r>
          </w:p>
          <w:p w14:paraId="0491D33B" w14:textId="77777777" w:rsidR="00FC1E9B" w:rsidRDefault="00FC1E9B" w:rsidP="00C1204F">
            <w:pPr>
              <w:spacing w:before="40" w:after="40"/>
              <w:rPr>
                <w:rFonts w:cs="Arial"/>
                <w:sz w:val="18"/>
                <w:szCs w:val="18"/>
                <w:lang w:val="en-US" w:eastAsia="en-US"/>
              </w:rPr>
            </w:pPr>
          </w:p>
          <w:p w14:paraId="69612578" w14:textId="77777777" w:rsidR="00FC1E9B" w:rsidRPr="000255A0" w:rsidRDefault="00FC1E9B" w:rsidP="00C1204F">
            <w:pPr>
              <w:spacing w:before="40" w:after="40"/>
              <w:rPr>
                <w:rFonts w:cs="Arial"/>
                <w:sz w:val="18"/>
                <w:szCs w:val="18"/>
                <w:lang w:val="en-US" w:eastAsia="en-US"/>
              </w:rPr>
            </w:pPr>
            <w:r>
              <w:rPr>
                <w:rFonts w:cs="Arial"/>
                <w:sz w:val="18"/>
                <w:szCs w:val="18"/>
                <w:lang w:val="en-US" w:eastAsia="en-US"/>
              </w:rPr>
              <w:t>Change item number 30318 to 30316 to make the order of item numbers more intuitive.</w:t>
            </w:r>
          </w:p>
        </w:tc>
        <w:tc>
          <w:tcPr>
            <w:tcW w:w="3969" w:type="dxa"/>
          </w:tcPr>
          <w:p w14:paraId="4EE75EC9" w14:textId="77777777" w:rsidR="00AB64DD" w:rsidRPr="00C477C9" w:rsidRDefault="00FC1E9B" w:rsidP="00FC1E9B">
            <w:pPr>
              <w:spacing w:before="40" w:after="40"/>
              <w:ind w:left="57" w:right="57"/>
              <w:rPr>
                <w:rFonts w:cs="Arial"/>
                <w:sz w:val="18"/>
                <w:szCs w:val="18"/>
                <w:lang w:val="en-US" w:eastAsia="en-US"/>
              </w:rPr>
            </w:pPr>
            <w:r>
              <w:rPr>
                <w:rFonts w:cs="Arial"/>
                <w:sz w:val="18"/>
                <w:szCs w:val="18"/>
                <w:lang w:val="en-US" w:eastAsia="en-US"/>
              </w:rPr>
              <w:t>Updated item descriptors would be clearer and reflect current modern use of the items and address any intended or unintended misuse.</w:t>
            </w:r>
          </w:p>
        </w:tc>
        <w:tc>
          <w:tcPr>
            <w:tcW w:w="3261" w:type="dxa"/>
          </w:tcPr>
          <w:p w14:paraId="1D2C17F8" w14:textId="77777777" w:rsidR="00AB64DD" w:rsidRPr="000255A0" w:rsidRDefault="00FC1E9B" w:rsidP="00C1204F">
            <w:pPr>
              <w:spacing w:before="40" w:after="40"/>
              <w:rPr>
                <w:rFonts w:cs="Arial"/>
                <w:sz w:val="18"/>
                <w:szCs w:val="18"/>
                <w:lang w:val="en-US" w:eastAsia="en-US"/>
              </w:rPr>
            </w:pPr>
            <w:r>
              <w:rPr>
                <w:rFonts w:cs="Arial"/>
                <w:sz w:val="18"/>
                <w:szCs w:val="18"/>
                <w:lang w:val="en-US" w:eastAsia="en-US"/>
              </w:rPr>
              <w:t xml:space="preserve">This recommendation aims to simplify these item numbers to reflect best clinical practice for ease of use by practitioners and address potential misuse in co-claiming. </w:t>
            </w:r>
          </w:p>
        </w:tc>
      </w:tr>
    </w:tbl>
    <w:p w14:paraId="011725AC" w14:textId="77777777" w:rsidR="00AB64DD" w:rsidRPr="00594078" w:rsidRDefault="00AB64DD" w:rsidP="00AB64DD">
      <w:pPr>
        <w:pStyle w:val="Caption"/>
        <w:rPr>
          <w:b w:val="0"/>
        </w:rPr>
      </w:pPr>
      <w:bookmarkStart w:id="93" w:name="_Toc467138223"/>
      <w:r w:rsidRPr="00594078">
        <w:t xml:space="preserve">Recommendation </w:t>
      </w:r>
      <w:r>
        <w:rPr>
          <w:b w:val="0"/>
        </w:rPr>
        <w:fldChar w:fldCharType="begin"/>
      </w:r>
      <w:r>
        <w:instrText xml:space="preserve"> SEQ Recommendation \* ARABIC </w:instrText>
      </w:r>
      <w:r>
        <w:rPr>
          <w:b w:val="0"/>
        </w:rPr>
        <w:fldChar w:fldCharType="separate"/>
      </w:r>
      <w:r w:rsidR="00DC5AF7">
        <w:rPr>
          <w:noProof/>
        </w:rPr>
        <w:t>6</w:t>
      </w:r>
      <w:bookmarkEnd w:id="93"/>
      <w:r>
        <w:rPr>
          <w:b w:val="0"/>
        </w:rPr>
        <w:fldChar w:fldCharType="end"/>
      </w:r>
      <w:r w:rsidR="00FC1E9B">
        <w:rPr>
          <w:b w:val="0"/>
        </w:rPr>
        <w:t xml:space="preserve">: </w:t>
      </w:r>
      <w:proofErr w:type="spellStart"/>
      <w:r w:rsidR="00FC1E9B">
        <w:rPr>
          <w:b w:val="0"/>
        </w:rPr>
        <w:t>Synacthen</w:t>
      </w:r>
      <w:proofErr w:type="spellEnd"/>
      <w:r w:rsidR="00FC1E9B">
        <w:rPr>
          <w:b w:val="0"/>
        </w:rPr>
        <w:t xml:space="preserve"> stimulation test item 30097</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6 table looks at item numbers 57351, 57356, 61328, 61340 and 61348 in regards to ventilation perfusion scans and CTPA for the diagnosis of pulmonary embolism. This table contains 5 column headings: column 1. List of items, column 2. What it does, column 3. Committee Recommendation, column 4. What would be different and column 5 Why."/>
      </w:tblPr>
      <w:tblGrid>
        <w:gridCol w:w="1625"/>
        <w:gridCol w:w="2730"/>
        <w:gridCol w:w="2613"/>
        <w:gridCol w:w="3898"/>
        <w:gridCol w:w="3256"/>
      </w:tblGrid>
      <w:tr w:rsidR="00AB64DD" w:rsidRPr="00ED7D2E" w14:paraId="1D21C6E4" w14:textId="77777777" w:rsidTr="00C1204F">
        <w:trPr>
          <w:cantSplit/>
          <w:trHeight w:val="520"/>
          <w:tblHeader/>
        </w:trPr>
        <w:tc>
          <w:tcPr>
            <w:tcW w:w="1627" w:type="dxa"/>
          </w:tcPr>
          <w:p w14:paraId="700CE33D"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734" w:type="dxa"/>
          </w:tcPr>
          <w:p w14:paraId="39769E5D"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it does</w:t>
            </w:r>
          </w:p>
        </w:tc>
        <w:tc>
          <w:tcPr>
            <w:tcW w:w="2616" w:type="dxa"/>
          </w:tcPr>
          <w:p w14:paraId="16A616E7"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3904" w:type="dxa"/>
          </w:tcPr>
          <w:p w14:paraId="7CC94979"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61" w:type="dxa"/>
          </w:tcPr>
          <w:p w14:paraId="51149194"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AB64DD" w:rsidRPr="00ED7D2E" w14:paraId="0F29CC93" w14:textId="77777777" w:rsidTr="00C1204F">
        <w:trPr>
          <w:cantSplit/>
          <w:trHeight w:val="1602"/>
        </w:trPr>
        <w:tc>
          <w:tcPr>
            <w:tcW w:w="1627" w:type="dxa"/>
          </w:tcPr>
          <w:p w14:paraId="33D7D06D" w14:textId="77777777" w:rsidR="00AB64DD" w:rsidRPr="00AE62D5" w:rsidRDefault="00FC1E9B" w:rsidP="00C1204F">
            <w:pPr>
              <w:spacing w:before="40" w:after="40"/>
              <w:rPr>
                <w:rFonts w:cs="Arial"/>
                <w:sz w:val="18"/>
                <w:szCs w:val="18"/>
                <w:lang w:val="en-US" w:eastAsia="en-US"/>
              </w:rPr>
            </w:pPr>
            <w:r w:rsidRPr="00AE62D5">
              <w:rPr>
                <w:rFonts w:cs="Arial"/>
                <w:sz w:val="18"/>
                <w:szCs w:val="18"/>
                <w:lang w:val="en-US" w:eastAsia="en-US"/>
              </w:rPr>
              <w:t>30097</w:t>
            </w:r>
          </w:p>
        </w:tc>
        <w:tc>
          <w:tcPr>
            <w:tcW w:w="2734" w:type="dxa"/>
          </w:tcPr>
          <w:p w14:paraId="7963B6E4" w14:textId="77777777" w:rsidR="00AB64DD" w:rsidRPr="00505D08" w:rsidRDefault="00943B6B" w:rsidP="00C1204F">
            <w:pPr>
              <w:spacing w:before="40" w:after="40"/>
              <w:rPr>
                <w:rFonts w:cs="Arial"/>
                <w:sz w:val="18"/>
                <w:szCs w:val="18"/>
              </w:rPr>
            </w:pPr>
            <w:r w:rsidRPr="00AE62D5">
              <w:rPr>
                <w:rFonts w:cs="Arial"/>
                <w:sz w:val="18"/>
                <w:szCs w:val="18"/>
                <w:lang w:val="en-US" w:eastAsia="en-US"/>
              </w:rPr>
              <w:t xml:space="preserve">This test checks the function of </w:t>
            </w:r>
            <w:r w:rsidR="004A7C7B">
              <w:rPr>
                <w:rFonts w:cs="Arial"/>
                <w:sz w:val="18"/>
                <w:szCs w:val="18"/>
                <w:lang w:val="en-US" w:eastAsia="en-US"/>
              </w:rPr>
              <w:t xml:space="preserve">the </w:t>
            </w:r>
            <w:r w:rsidRPr="00AE62D5">
              <w:rPr>
                <w:rFonts w:cs="Arial"/>
                <w:sz w:val="18"/>
                <w:szCs w:val="18"/>
                <w:lang w:val="en-US" w:eastAsia="en-US"/>
              </w:rPr>
              <w:t>adrenal gland, to see whether a patient is producing enough steroid hormone</w:t>
            </w:r>
            <w:r w:rsidR="00C1204F">
              <w:rPr>
                <w:rFonts w:cs="Arial"/>
                <w:sz w:val="18"/>
                <w:szCs w:val="18"/>
                <w:lang w:val="en-US" w:eastAsia="en-US"/>
              </w:rPr>
              <w:t xml:space="preserve"> (</w:t>
            </w:r>
            <w:r w:rsidRPr="00AE62D5">
              <w:rPr>
                <w:rFonts w:cs="Arial"/>
                <w:sz w:val="18"/>
                <w:szCs w:val="18"/>
                <w:lang w:val="en-US" w:eastAsia="en-US"/>
              </w:rPr>
              <w:t>cortisol).</w:t>
            </w:r>
          </w:p>
        </w:tc>
        <w:tc>
          <w:tcPr>
            <w:tcW w:w="2616" w:type="dxa"/>
          </w:tcPr>
          <w:p w14:paraId="016C4C1B" w14:textId="77777777" w:rsidR="00AB64DD" w:rsidRPr="000255A0" w:rsidRDefault="00943B6B" w:rsidP="00C1204F">
            <w:pPr>
              <w:spacing w:before="40" w:after="40"/>
              <w:rPr>
                <w:rFonts w:cs="Arial"/>
                <w:sz w:val="18"/>
                <w:szCs w:val="18"/>
                <w:lang w:val="en-US" w:eastAsia="en-US"/>
              </w:rPr>
            </w:pPr>
            <w:r>
              <w:rPr>
                <w:rFonts w:cs="Arial"/>
                <w:sz w:val="18"/>
                <w:szCs w:val="18"/>
                <w:lang w:val="en-US" w:eastAsia="en-US"/>
              </w:rPr>
              <w:t xml:space="preserve">Change the item descriptor to require a basal cortisol quantitation prior to a </w:t>
            </w:r>
            <w:proofErr w:type="spellStart"/>
            <w:r>
              <w:rPr>
                <w:rFonts w:cs="Arial"/>
                <w:sz w:val="18"/>
                <w:szCs w:val="18"/>
                <w:lang w:val="en-US" w:eastAsia="en-US"/>
              </w:rPr>
              <w:t>Synacthen</w:t>
            </w:r>
            <w:proofErr w:type="spellEnd"/>
            <w:r>
              <w:rPr>
                <w:rFonts w:cs="Arial"/>
                <w:sz w:val="18"/>
                <w:szCs w:val="18"/>
                <w:lang w:val="en-US" w:eastAsia="en-US"/>
              </w:rPr>
              <w:t xml:space="preserve"> stimulation test and add clearer explanatory notes. </w:t>
            </w:r>
          </w:p>
        </w:tc>
        <w:tc>
          <w:tcPr>
            <w:tcW w:w="3904" w:type="dxa"/>
          </w:tcPr>
          <w:p w14:paraId="32B06447" w14:textId="77777777" w:rsidR="00AB64DD" w:rsidRPr="000255A0" w:rsidRDefault="00567D56" w:rsidP="004A7C7B">
            <w:pPr>
              <w:spacing w:before="40" w:after="40"/>
              <w:ind w:left="57" w:right="57"/>
              <w:rPr>
                <w:rFonts w:cs="Arial"/>
                <w:sz w:val="18"/>
                <w:szCs w:val="18"/>
                <w:lang w:val="en-US" w:eastAsia="en-US"/>
              </w:rPr>
            </w:pPr>
            <w:r>
              <w:rPr>
                <w:rFonts w:cs="Arial"/>
                <w:sz w:val="18"/>
                <w:szCs w:val="18"/>
                <w:lang w:val="en-US" w:eastAsia="en-US"/>
              </w:rPr>
              <w:t>Low-value testing would be addresse</w:t>
            </w:r>
            <w:r w:rsidR="004A7C7B">
              <w:rPr>
                <w:rFonts w:cs="Arial"/>
                <w:sz w:val="18"/>
                <w:szCs w:val="18"/>
                <w:lang w:val="en-US" w:eastAsia="en-US"/>
              </w:rPr>
              <w:t>d</w:t>
            </w:r>
            <w:r>
              <w:rPr>
                <w:rFonts w:cs="Arial"/>
                <w:sz w:val="18"/>
                <w:szCs w:val="18"/>
                <w:lang w:val="en-US" w:eastAsia="en-US"/>
              </w:rPr>
              <w:t xml:space="preserve"> by requiring the use of basal cortisol measurements prior to performing a </w:t>
            </w:r>
            <w:proofErr w:type="spellStart"/>
            <w:r>
              <w:rPr>
                <w:rFonts w:cs="Arial"/>
                <w:sz w:val="18"/>
                <w:szCs w:val="18"/>
                <w:lang w:val="en-US" w:eastAsia="en-US"/>
              </w:rPr>
              <w:t>Synacthen</w:t>
            </w:r>
            <w:proofErr w:type="spellEnd"/>
            <w:r>
              <w:rPr>
                <w:rFonts w:cs="Arial"/>
                <w:sz w:val="18"/>
                <w:szCs w:val="18"/>
                <w:lang w:val="en-US" w:eastAsia="en-US"/>
              </w:rPr>
              <w:t xml:space="preserve"> stimulation test.</w:t>
            </w:r>
          </w:p>
        </w:tc>
        <w:tc>
          <w:tcPr>
            <w:tcW w:w="3261" w:type="dxa"/>
          </w:tcPr>
          <w:p w14:paraId="3403C1AD" w14:textId="77777777" w:rsidR="00AB64DD" w:rsidRPr="000255A0" w:rsidRDefault="00943B6B" w:rsidP="00C1204F">
            <w:pPr>
              <w:spacing w:before="40" w:after="40"/>
              <w:rPr>
                <w:rFonts w:cs="Arial"/>
                <w:sz w:val="18"/>
                <w:szCs w:val="18"/>
                <w:lang w:val="en-US" w:eastAsia="en-US"/>
              </w:rPr>
            </w:pPr>
            <w:r>
              <w:rPr>
                <w:rFonts w:cs="Arial"/>
                <w:sz w:val="18"/>
                <w:szCs w:val="18"/>
                <w:lang w:val="en-US" w:eastAsia="en-US"/>
              </w:rPr>
              <w:t>Growth and service volume of this item showed a likely indication of over-testing. The additional requirement to undertake a basal cortisol quantitation along with clearer rules describing when this test is appropriate will address any over-use and provide better clinical guidance.</w:t>
            </w:r>
          </w:p>
        </w:tc>
      </w:tr>
    </w:tbl>
    <w:p w14:paraId="5199E081" w14:textId="77777777" w:rsidR="00AB64DD" w:rsidRDefault="00AB64DD" w:rsidP="00AB64DD">
      <w:pPr>
        <w:spacing w:before="0" w:after="0"/>
        <w:rPr>
          <w:b/>
        </w:rPr>
      </w:pPr>
    </w:p>
    <w:p w14:paraId="1746A6CB" w14:textId="77777777" w:rsidR="00AB64DD" w:rsidRDefault="00AB64DD" w:rsidP="00AB64DD">
      <w:pPr>
        <w:spacing w:before="0" w:after="0"/>
        <w:rPr>
          <w:b/>
        </w:rPr>
      </w:pPr>
      <w:r>
        <w:rPr>
          <w:b/>
        </w:rPr>
        <w:br w:type="page"/>
      </w:r>
    </w:p>
    <w:p w14:paraId="0C798786" w14:textId="77777777" w:rsidR="00AB64DD" w:rsidRPr="00AE62D5" w:rsidRDefault="00AB64DD" w:rsidP="00AE62D5">
      <w:pPr>
        <w:pStyle w:val="Caption"/>
        <w:rPr>
          <w:b w:val="0"/>
        </w:rPr>
      </w:pPr>
      <w:r w:rsidRPr="00594078">
        <w:lastRenderedPageBreak/>
        <w:t xml:space="preserve">Recommendation </w:t>
      </w:r>
      <w:r w:rsidRPr="00C1204F">
        <w:fldChar w:fldCharType="begin"/>
      </w:r>
      <w:r>
        <w:instrText xml:space="preserve"> SEQ Recommendation \* ARABIC </w:instrText>
      </w:r>
      <w:r w:rsidRPr="00C1204F">
        <w:fldChar w:fldCharType="separate"/>
      </w:r>
      <w:r w:rsidR="00DC5AF7">
        <w:rPr>
          <w:noProof/>
        </w:rPr>
        <w:t>7</w:t>
      </w:r>
      <w:r w:rsidRPr="00C1204F">
        <w:fldChar w:fldCharType="end"/>
      </w:r>
      <w:r w:rsidR="00943B6B" w:rsidRPr="00C1204F">
        <w:t xml:space="preserve">: </w:t>
      </w:r>
      <w:r w:rsidR="00943B6B" w:rsidRPr="00AE62D5">
        <w:rPr>
          <w:b w:val="0"/>
        </w:rPr>
        <w:t>Thyroglossal cyst items 30313 and 30314</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7 table looks at item numbers 61328, 61340 and 61348 in regards to ventilation perfusion scans for the diagnosis of pulmonary embolism. This table contains 5 column headings: column 1. List of items, column 2. What it does, column 3. Committee Recommendation, column 4. What would be different and column 5 Why."/>
      </w:tblPr>
      <w:tblGrid>
        <w:gridCol w:w="1616"/>
        <w:gridCol w:w="2738"/>
        <w:gridCol w:w="2577"/>
        <w:gridCol w:w="3935"/>
        <w:gridCol w:w="3256"/>
      </w:tblGrid>
      <w:tr w:rsidR="00AB64DD" w:rsidRPr="00505D08" w14:paraId="787D7906" w14:textId="77777777" w:rsidTr="00C1204F">
        <w:trPr>
          <w:cantSplit/>
          <w:trHeight w:val="538"/>
          <w:tblHeader/>
        </w:trPr>
        <w:tc>
          <w:tcPr>
            <w:tcW w:w="1619" w:type="dxa"/>
          </w:tcPr>
          <w:p w14:paraId="2D50E7FD"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742" w:type="dxa"/>
          </w:tcPr>
          <w:p w14:paraId="13E09341"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it does</w:t>
            </w:r>
          </w:p>
        </w:tc>
        <w:tc>
          <w:tcPr>
            <w:tcW w:w="2579" w:type="dxa"/>
          </w:tcPr>
          <w:p w14:paraId="297DDCE3"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3941" w:type="dxa"/>
          </w:tcPr>
          <w:p w14:paraId="5C8FB3C0"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61" w:type="dxa"/>
          </w:tcPr>
          <w:p w14:paraId="0FEFAAF0" w14:textId="77777777" w:rsidR="00AB64DD" w:rsidRPr="00505D08" w:rsidRDefault="00AB64DD"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AB64DD" w:rsidRPr="000255A0" w14:paraId="3B76EB8F" w14:textId="77777777" w:rsidTr="00C1204F">
        <w:trPr>
          <w:cantSplit/>
          <w:trHeight w:val="945"/>
        </w:trPr>
        <w:tc>
          <w:tcPr>
            <w:tcW w:w="1619" w:type="dxa"/>
          </w:tcPr>
          <w:p w14:paraId="0098D218" w14:textId="77777777" w:rsidR="00AB64DD" w:rsidRPr="00AE62D5" w:rsidRDefault="00943B6B" w:rsidP="00C1204F">
            <w:pPr>
              <w:spacing w:before="40" w:after="40"/>
              <w:rPr>
                <w:rFonts w:cs="Arial"/>
                <w:sz w:val="18"/>
                <w:szCs w:val="18"/>
                <w:lang w:val="en-US" w:eastAsia="en-US"/>
              </w:rPr>
            </w:pPr>
            <w:r w:rsidRPr="00AE62D5">
              <w:rPr>
                <w:rFonts w:cs="Arial"/>
                <w:sz w:val="18"/>
                <w:szCs w:val="18"/>
                <w:lang w:val="en-US" w:eastAsia="en-US"/>
              </w:rPr>
              <w:t>30313 and 30314</w:t>
            </w:r>
          </w:p>
        </w:tc>
        <w:tc>
          <w:tcPr>
            <w:tcW w:w="2742" w:type="dxa"/>
          </w:tcPr>
          <w:p w14:paraId="01C0A064" w14:textId="77777777" w:rsidR="00AB64DD" w:rsidRPr="00505D08" w:rsidRDefault="00C1204F" w:rsidP="00C1204F">
            <w:pPr>
              <w:spacing w:before="40" w:after="40"/>
              <w:rPr>
                <w:rFonts w:cs="Arial"/>
                <w:sz w:val="18"/>
                <w:szCs w:val="18"/>
              </w:rPr>
            </w:pPr>
            <w:r>
              <w:rPr>
                <w:rFonts w:cs="Arial"/>
                <w:sz w:val="18"/>
                <w:szCs w:val="18"/>
              </w:rPr>
              <w:t xml:space="preserve">Removal of thyroglossal </w:t>
            </w:r>
            <w:proofErr w:type="gramStart"/>
            <w:r>
              <w:rPr>
                <w:rFonts w:cs="Arial"/>
                <w:sz w:val="18"/>
                <w:szCs w:val="18"/>
              </w:rPr>
              <w:t>cysts</w:t>
            </w:r>
            <w:r w:rsidR="000C7795">
              <w:rPr>
                <w:rFonts w:cs="Arial"/>
                <w:sz w:val="18"/>
                <w:szCs w:val="18"/>
              </w:rPr>
              <w:t>( a</w:t>
            </w:r>
            <w:proofErr w:type="gramEnd"/>
            <w:r w:rsidR="000C7795">
              <w:rPr>
                <w:rFonts w:cs="Arial"/>
                <w:sz w:val="18"/>
                <w:szCs w:val="18"/>
              </w:rPr>
              <w:t xml:space="preserve"> cyst in the neck close to the thyroid gland)</w:t>
            </w:r>
            <w:r>
              <w:rPr>
                <w:rFonts w:cs="Arial"/>
                <w:sz w:val="18"/>
                <w:szCs w:val="18"/>
              </w:rPr>
              <w:t>.</w:t>
            </w:r>
          </w:p>
        </w:tc>
        <w:tc>
          <w:tcPr>
            <w:tcW w:w="2579" w:type="dxa"/>
          </w:tcPr>
          <w:p w14:paraId="55D5BC3F" w14:textId="77777777" w:rsidR="00C1204F" w:rsidRPr="000255A0" w:rsidRDefault="00C1204F" w:rsidP="004A7C7B">
            <w:pPr>
              <w:spacing w:before="40" w:after="40"/>
              <w:rPr>
                <w:rFonts w:cs="Arial"/>
                <w:sz w:val="18"/>
                <w:szCs w:val="18"/>
                <w:lang w:val="en-US" w:eastAsia="en-US"/>
              </w:rPr>
            </w:pPr>
            <w:r>
              <w:rPr>
                <w:rFonts w:cs="Arial"/>
                <w:sz w:val="18"/>
                <w:szCs w:val="18"/>
                <w:lang w:val="en-US" w:eastAsia="en-US"/>
              </w:rPr>
              <w:t xml:space="preserve">Delete 30313 from the MBS and direct </w:t>
            </w:r>
            <w:r w:rsidR="004A7C7B">
              <w:rPr>
                <w:rFonts w:cs="Arial"/>
                <w:sz w:val="18"/>
                <w:szCs w:val="18"/>
                <w:lang w:val="en-US" w:eastAsia="en-US"/>
              </w:rPr>
              <w:t>providers</w:t>
            </w:r>
            <w:r>
              <w:rPr>
                <w:rFonts w:cs="Arial"/>
                <w:sz w:val="18"/>
                <w:szCs w:val="18"/>
                <w:lang w:val="en-US" w:eastAsia="en-US"/>
              </w:rPr>
              <w:t xml:space="preserve"> to instead use item 30314 and update the item descriptor for 30314.</w:t>
            </w:r>
          </w:p>
        </w:tc>
        <w:tc>
          <w:tcPr>
            <w:tcW w:w="3941" w:type="dxa"/>
          </w:tcPr>
          <w:p w14:paraId="03A3B0C4" w14:textId="77777777" w:rsidR="00AB64DD" w:rsidRPr="000255A0" w:rsidRDefault="00C1204F" w:rsidP="00C1204F">
            <w:pPr>
              <w:spacing w:before="40" w:after="40"/>
              <w:ind w:left="57" w:right="57"/>
              <w:rPr>
                <w:rFonts w:cs="Arial"/>
                <w:sz w:val="18"/>
                <w:szCs w:val="18"/>
                <w:lang w:val="en-US" w:eastAsia="en-US"/>
              </w:rPr>
            </w:pPr>
            <w:r>
              <w:rPr>
                <w:rFonts w:cs="Arial"/>
                <w:sz w:val="18"/>
                <w:szCs w:val="18"/>
                <w:lang w:val="en-US" w:eastAsia="en-US"/>
              </w:rPr>
              <w:t>Patients will receive a more effective and up-to-date treatment which has a lower cyst recurrence rate.</w:t>
            </w:r>
          </w:p>
        </w:tc>
        <w:tc>
          <w:tcPr>
            <w:tcW w:w="3261" w:type="dxa"/>
          </w:tcPr>
          <w:p w14:paraId="39C0FB56" w14:textId="77777777" w:rsidR="00AB64DD" w:rsidRPr="000255A0" w:rsidRDefault="00C1204F" w:rsidP="00C1204F">
            <w:pPr>
              <w:spacing w:before="40" w:after="40"/>
              <w:rPr>
                <w:rFonts w:cs="Arial"/>
                <w:sz w:val="18"/>
                <w:szCs w:val="18"/>
                <w:lang w:val="en-US" w:eastAsia="en-US"/>
              </w:rPr>
            </w:pPr>
            <w:r>
              <w:rPr>
                <w:rFonts w:cs="Arial"/>
                <w:sz w:val="18"/>
                <w:szCs w:val="18"/>
                <w:lang w:val="en-US" w:eastAsia="en-US"/>
              </w:rPr>
              <w:t>Item 30313 is obsolete and doesn’t reflect best practices. The use of item 30314 improves clinical quality and provides a better quality of service to patients.</w:t>
            </w:r>
          </w:p>
        </w:tc>
      </w:tr>
    </w:tbl>
    <w:p w14:paraId="5C379434" w14:textId="77777777" w:rsidR="00C1204F" w:rsidRPr="00132B07" w:rsidRDefault="00C1204F" w:rsidP="00C1204F">
      <w:pPr>
        <w:pStyle w:val="Caption"/>
      </w:pPr>
      <w:r w:rsidRPr="00594078">
        <w:t xml:space="preserve">Recommendation </w:t>
      </w:r>
      <w:r w:rsidRPr="00C1204F">
        <w:fldChar w:fldCharType="begin"/>
      </w:r>
      <w:r>
        <w:instrText xml:space="preserve"> SEQ Recommendation \* ARABIC </w:instrText>
      </w:r>
      <w:r w:rsidRPr="00C1204F">
        <w:fldChar w:fldCharType="separate"/>
      </w:r>
      <w:r w:rsidR="00DC5AF7">
        <w:rPr>
          <w:noProof/>
        </w:rPr>
        <w:t>8</w:t>
      </w:r>
      <w:r w:rsidRPr="00C1204F">
        <w:fldChar w:fldCharType="end"/>
      </w:r>
      <w:r w:rsidRPr="00C1204F">
        <w:t xml:space="preserve">: </w:t>
      </w:r>
      <w:r>
        <w:rPr>
          <w:b w:val="0"/>
        </w:rPr>
        <w:t xml:space="preserve"> Tumour removal items 30321, 30323-4 and 36500</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7 table looks at item numbers 61328, 61340 and 61348 in regards to ventilation perfusion scans for the diagnosis of pulmonary embolism. This table contains 5 column headings: column 1. List of items, column 2. What it does, column 3. Committee Recommendation, column 4. What would be different and column 5 Why."/>
      </w:tblPr>
      <w:tblGrid>
        <w:gridCol w:w="1617"/>
        <w:gridCol w:w="2738"/>
        <w:gridCol w:w="2577"/>
        <w:gridCol w:w="3934"/>
        <w:gridCol w:w="3256"/>
      </w:tblGrid>
      <w:tr w:rsidR="00C1204F" w:rsidRPr="00505D08" w14:paraId="479E4BAB" w14:textId="77777777" w:rsidTr="00C1204F">
        <w:trPr>
          <w:cantSplit/>
          <w:trHeight w:val="538"/>
          <w:tblHeader/>
        </w:trPr>
        <w:tc>
          <w:tcPr>
            <w:tcW w:w="1619" w:type="dxa"/>
          </w:tcPr>
          <w:p w14:paraId="5B3D8520" w14:textId="77777777" w:rsidR="00C1204F" w:rsidRPr="00505D08" w:rsidRDefault="00C1204F" w:rsidP="00C1204F">
            <w:pPr>
              <w:spacing w:before="40" w:after="40"/>
              <w:jc w:val="center"/>
              <w:rPr>
                <w:rFonts w:cs="Arial"/>
                <w:b/>
                <w:sz w:val="18"/>
                <w:szCs w:val="18"/>
                <w:lang w:val="en-US" w:eastAsia="en-US"/>
              </w:rPr>
            </w:pPr>
            <w:r w:rsidRPr="00505D08">
              <w:rPr>
                <w:rFonts w:cs="Arial"/>
                <w:b/>
                <w:sz w:val="18"/>
                <w:szCs w:val="18"/>
                <w:lang w:val="en-US" w:eastAsia="en-US"/>
              </w:rPr>
              <w:t>Item</w:t>
            </w:r>
          </w:p>
        </w:tc>
        <w:tc>
          <w:tcPr>
            <w:tcW w:w="2742" w:type="dxa"/>
          </w:tcPr>
          <w:p w14:paraId="62290E97" w14:textId="77777777" w:rsidR="00C1204F" w:rsidRPr="00505D08" w:rsidRDefault="00C1204F" w:rsidP="00C1204F">
            <w:pPr>
              <w:spacing w:before="40" w:after="40"/>
              <w:jc w:val="center"/>
              <w:rPr>
                <w:rFonts w:cs="Arial"/>
                <w:b/>
                <w:sz w:val="18"/>
                <w:szCs w:val="18"/>
                <w:lang w:val="en-US" w:eastAsia="en-US"/>
              </w:rPr>
            </w:pPr>
            <w:r w:rsidRPr="00505D08">
              <w:rPr>
                <w:rFonts w:cs="Arial"/>
                <w:b/>
                <w:sz w:val="18"/>
                <w:szCs w:val="18"/>
                <w:lang w:val="en-US" w:eastAsia="en-US"/>
              </w:rPr>
              <w:t>What it does</w:t>
            </w:r>
          </w:p>
        </w:tc>
        <w:tc>
          <w:tcPr>
            <w:tcW w:w="2579" w:type="dxa"/>
          </w:tcPr>
          <w:p w14:paraId="5C219B42" w14:textId="77777777" w:rsidR="00C1204F" w:rsidRPr="00505D08" w:rsidRDefault="00C1204F" w:rsidP="00C1204F">
            <w:pPr>
              <w:spacing w:before="40" w:after="40"/>
              <w:jc w:val="center"/>
              <w:rPr>
                <w:rFonts w:cs="Arial"/>
                <w:b/>
                <w:sz w:val="18"/>
                <w:szCs w:val="18"/>
                <w:lang w:val="en-US" w:eastAsia="en-US"/>
              </w:rPr>
            </w:pPr>
            <w:r w:rsidRPr="00505D08">
              <w:rPr>
                <w:rFonts w:cs="Arial"/>
                <w:b/>
                <w:sz w:val="18"/>
                <w:szCs w:val="18"/>
                <w:lang w:val="en-US" w:eastAsia="en-US"/>
              </w:rPr>
              <w:t>Committee recommendation</w:t>
            </w:r>
          </w:p>
        </w:tc>
        <w:tc>
          <w:tcPr>
            <w:tcW w:w="3941" w:type="dxa"/>
          </w:tcPr>
          <w:p w14:paraId="104E1C1B" w14:textId="77777777" w:rsidR="00C1204F" w:rsidRPr="00505D08" w:rsidRDefault="00C1204F" w:rsidP="00C1204F">
            <w:pPr>
              <w:spacing w:before="40" w:after="40"/>
              <w:jc w:val="center"/>
              <w:rPr>
                <w:rFonts w:cs="Arial"/>
                <w:b/>
                <w:sz w:val="18"/>
                <w:szCs w:val="18"/>
                <w:lang w:val="en-US" w:eastAsia="en-US"/>
              </w:rPr>
            </w:pPr>
            <w:r w:rsidRPr="00505D08">
              <w:rPr>
                <w:rFonts w:cs="Arial"/>
                <w:b/>
                <w:sz w:val="18"/>
                <w:szCs w:val="18"/>
                <w:lang w:val="en-US" w:eastAsia="en-US"/>
              </w:rPr>
              <w:t>What would be different</w:t>
            </w:r>
          </w:p>
        </w:tc>
        <w:tc>
          <w:tcPr>
            <w:tcW w:w="3261" w:type="dxa"/>
          </w:tcPr>
          <w:p w14:paraId="1F98E538" w14:textId="77777777" w:rsidR="00C1204F" w:rsidRPr="00505D08" w:rsidRDefault="00C1204F" w:rsidP="00C1204F">
            <w:pPr>
              <w:spacing w:before="40" w:after="40"/>
              <w:jc w:val="center"/>
              <w:rPr>
                <w:rFonts w:cs="Arial"/>
                <w:b/>
                <w:sz w:val="18"/>
                <w:szCs w:val="18"/>
                <w:lang w:val="en-US" w:eastAsia="en-US"/>
              </w:rPr>
            </w:pPr>
            <w:r w:rsidRPr="00505D08">
              <w:rPr>
                <w:rFonts w:cs="Arial"/>
                <w:b/>
                <w:sz w:val="18"/>
                <w:szCs w:val="18"/>
                <w:lang w:val="en-US" w:eastAsia="en-US"/>
              </w:rPr>
              <w:t>Why</w:t>
            </w:r>
          </w:p>
        </w:tc>
      </w:tr>
      <w:tr w:rsidR="00C1204F" w:rsidRPr="000255A0" w14:paraId="6311572B" w14:textId="77777777" w:rsidTr="00C1204F">
        <w:trPr>
          <w:cantSplit/>
          <w:trHeight w:val="945"/>
        </w:trPr>
        <w:tc>
          <w:tcPr>
            <w:tcW w:w="1619" w:type="dxa"/>
          </w:tcPr>
          <w:p w14:paraId="1EC9AD0D" w14:textId="77777777" w:rsidR="00C1204F" w:rsidRPr="00132B07" w:rsidRDefault="00A173C9" w:rsidP="00C1204F">
            <w:pPr>
              <w:spacing w:before="40" w:after="40"/>
              <w:rPr>
                <w:rFonts w:cs="Arial"/>
                <w:sz w:val="18"/>
                <w:szCs w:val="18"/>
                <w:lang w:val="en-US" w:eastAsia="en-US"/>
              </w:rPr>
            </w:pPr>
            <w:r>
              <w:rPr>
                <w:rFonts w:cs="Arial"/>
                <w:sz w:val="18"/>
                <w:szCs w:val="18"/>
                <w:lang w:val="en-US" w:eastAsia="en-US"/>
              </w:rPr>
              <w:t>30321, 30323-4 and 36500</w:t>
            </w:r>
          </w:p>
        </w:tc>
        <w:tc>
          <w:tcPr>
            <w:tcW w:w="2742" w:type="dxa"/>
          </w:tcPr>
          <w:p w14:paraId="3A007B9A" w14:textId="77777777" w:rsidR="00C1204F" w:rsidRPr="00505D08" w:rsidRDefault="00A173C9" w:rsidP="000C7795">
            <w:pPr>
              <w:spacing w:before="40" w:after="40"/>
              <w:rPr>
                <w:rFonts w:cs="Arial"/>
                <w:sz w:val="18"/>
                <w:szCs w:val="18"/>
              </w:rPr>
            </w:pPr>
            <w:r>
              <w:rPr>
                <w:rFonts w:cs="Arial"/>
                <w:sz w:val="18"/>
                <w:szCs w:val="18"/>
              </w:rPr>
              <w:t xml:space="preserve">Removal adrenal gland </w:t>
            </w:r>
            <w:proofErr w:type="gramStart"/>
            <w:r>
              <w:rPr>
                <w:rFonts w:cs="Arial"/>
                <w:sz w:val="18"/>
                <w:szCs w:val="18"/>
              </w:rPr>
              <w:t>tumour</w:t>
            </w:r>
            <w:r w:rsidR="000C7795">
              <w:rPr>
                <w:rFonts w:cs="Arial"/>
                <w:sz w:val="18"/>
                <w:szCs w:val="18"/>
              </w:rPr>
              <w:t>s  and</w:t>
            </w:r>
            <w:proofErr w:type="gramEnd"/>
            <w:r w:rsidR="000C7795">
              <w:rPr>
                <w:rFonts w:cs="Arial"/>
                <w:sz w:val="18"/>
                <w:szCs w:val="18"/>
              </w:rPr>
              <w:t xml:space="preserve"> other rare tumours located in the abdomen that produce hormones</w:t>
            </w:r>
            <w:r>
              <w:rPr>
                <w:rFonts w:cs="Arial"/>
                <w:sz w:val="18"/>
                <w:szCs w:val="18"/>
              </w:rPr>
              <w:t>.</w:t>
            </w:r>
          </w:p>
        </w:tc>
        <w:tc>
          <w:tcPr>
            <w:tcW w:w="2579" w:type="dxa"/>
          </w:tcPr>
          <w:p w14:paraId="3F929F68" w14:textId="77777777" w:rsidR="00C1204F" w:rsidRDefault="00A173C9" w:rsidP="00C1204F">
            <w:pPr>
              <w:spacing w:before="40" w:after="40"/>
              <w:rPr>
                <w:rFonts w:cs="Arial"/>
                <w:sz w:val="18"/>
                <w:szCs w:val="18"/>
                <w:lang w:val="en-US" w:eastAsia="en-US"/>
              </w:rPr>
            </w:pPr>
            <w:r>
              <w:rPr>
                <w:rFonts w:cs="Arial"/>
                <w:sz w:val="18"/>
                <w:szCs w:val="18"/>
                <w:lang w:val="en-US" w:eastAsia="en-US"/>
              </w:rPr>
              <w:t xml:space="preserve">Consolidate item 30321 into 30323 and item 36500 into 30324. </w:t>
            </w:r>
          </w:p>
          <w:p w14:paraId="76FA3829" w14:textId="77777777" w:rsidR="00A173C9" w:rsidRDefault="00A173C9" w:rsidP="00C1204F">
            <w:pPr>
              <w:spacing w:before="40" w:after="40"/>
              <w:rPr>
                <w:rFonts w:cs="Arial"/>
                <w:sz w:val="18"/>
                <w:szCs w:val="18"/>
                <w:lang w:val="en-US" w:eastAsia="en-US"/>
              </w:rPr>
            </w:pPr>
          </w:p>
          <w:p w14:paraId="784985DC" w14:textId="77777777" w:rsidR="00A173C9" w:rsidRPr="000255A0" w:rsidRDefault="00A173C9" w:rsidP="00C1204F">
            <w:pPr>
              <w:spacing w:before="40" w:after="40"/>
              <w:rPr>
                <w:rFonts w:cs="Arial"/>
                <w:sz w:val="18"/>
                <w:szCs w:val="18"/>
                <w:lang w:val="en-US" w:eastAsia="en-US"/>
              </w:rPr>
            </w:pPr>
            <w:r>
              <w:rPr>
                <w:rFonts w:cs="Arial"/>
                <w:sz w:val="18"/>
                <w:szCs w:val="18"/>
                <w:lang w:val="en-US" w:eastAsia="en-US"/>
              </w:rPr>
              <w:t>Update item descriptors for items 30323 and 30324 to provide better clinical guidance.</w:t>
            </w:r>
          </w:p>
        </w:tc>
        <w:tc>
          <w:tcPr>
            <w:tcW w:w="3941" w:type="dxa"/>
          </w:tcPr>
          <w:p w14:paraId="37A14AA0" w14:textId="77777777" w:rsidR="00C1204F" w:rsidRDefault="00717067" w:rsidP="00C1204F">
            <w:pPr>
              <w:spacing w:before="40" w:after="40"/>
              <w:ind w:left="57" w:right="57"/>
              <w:rPr>
                <w:rFonts w:cs="Arial"/>
                <w:sz w:val="18"/>
                <w:szCs w:val="18"/>
                <w:lang w:val="en-US" w:eastAsia="en-US"/>
              </w:rPr>
            </w:pPr>
            <w:r>
              <w:rPr>
                <w:rFonts w:cs="Arial"/>
                <w:sz w:val="18"/>
                <w:szCs w:val="18"/>
                <w:lang w:val="en-US" w:eastAsia="en-US"/>
              </w:rPr>
              <w:t>Billing would be simplified for providers; patients would see little if any change in treatment.</w:t>
            </w:r>
          </w:p>
          <w:p w14:paraId="41B89FC9" w14:textId="77777777" w:rsidR="00A173C9" w:rsidRPr="000255A0" w:rsidRDefault="00A173C9" w:rsidP="00C1204F">
            <w:pPr>
              <w:spacing w:before="40" w:after="40"/>
              <w:ind w:left="57" w:right="57"/>
              <w:rPr>
                <w:rFonts w:cs="Arial"/>
                <w:sz w:val="18"/>
                <w:szCs w:val="18"/>
                <w:lang w:val="en-US" w:eastAsia="en-US"/>
              </w:rPr>
            </w:pPr>
          </w:p>
        </w:tc>
        <w:tc>
          <w:tcPr>
            <w:tcW w:w="3261" w:type="dxa"/>
          </w:tcPr>
          <w:p w14:paraId="62D6BCAE" w14:textId="77777777" w:rsidR="00C1204F" w:rsidRPr="000255A0" w:rsidRDefault="00717067" w:rsidP="00C1204F">
            <w:pPr>
              <w:spacing w:before="40" w:after="40"/>
              <w:rPr>
                <w:rFonts w:cs="Arial"/>
                <w:sz w:val="18"/>
                <w:szCs w:val="18"/>
                <w:lang w:val="en-US" w:eastAsia="en-US"/>
              </w:rPr>
            </w:pPr>
            <w:r>
              <w:rPr>
                <w:rFonts w:cs="Arial"/>
                <w:sz w:val="18"/>
                <w:szCs w:val="18"/>
                <w:lang w:val="en-US" w:eastAsia="en-US"/>
              </w:rPr>
              <w:t>The Committee believes this is still a clinically relevant treatment and sees no concerns with consolidating the items to simplify the MBS and provide consistent billing and treatment to patients.</w:t>
            </w:r>
          </w:p>
        </w:tc>
      </w:tr>
    </w:tbl>
    <w:p w14:paraId="2B4A0568" w14:textId="77777777" w:rsidR="00F63D7B" w:rsidRPr="00E72750" w:rsidRDefault="00F63D7B" w:rsidP="00DC5AF7">
      <w:pPr>
        <w:pStyle w:val="AppendixStyle1"/>
        <w:keepNext/>
        <w:pageBreakBefore w:val="0"/>
        <w:numPr>
          <w:ilvl w:val="0"/>
          <w:numId w:val="0"/>
        </w:numPr>
        <w:spacing w:before="0"/>
      </w:pPr>
    </w:p>
    <w:sectPr w:rsidR="00F63D7B" w:rsidRPr="00E72750" w:rsidSect="00C1204F">
      <w:pgSz w:w="16838" w:h="11906" w:orient="landscape" w:code="9"/>
      <w:pgMar w:top="1440" w:right="1440" w:bottom="1440" w:left="1276"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53F7" w14:textId="77777777" w:rsidR="00A52C9B" w:rsidRDefault="00A52C9B" w:rsidP="0047371C">
      <w:r>
        <w:separator/>
      </w:r>
    </w:p>
    <w:p w14:paraId="2587E40D" w14:textId="77777777" w:rsidR="00A52C9B" w:rsidRDefault="00A52C9B" w:rsidP="0047371C"/>
  </w:endnote>
  <w:endnote w:type="continuationSeparator" w:id="0">
    <w:p w14:paraId="088E68F6" w14:textId="77777777" w:rsidR="00A52C9B" w:rsidRDefault="00A52C9B" w:rsidP="0047371C">
      <w:r>
        <w:continuationSeparator/>
      </w:r>
    </w:p>
    <w:p w14:paraId="5A5D6A73" w14:textId="77777777" w:rsidR="00A52C9B" w:rsidRDefault="00A52C9B" w:rsidP="00473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1FAC5" w14:textId="77777777" w:rsidR="00A52C9B" w:rsidRPr="006B6DBF" w:rsidRDefault="00A52C9B" w:rsidP="00655CD2">
    <w:pPr>
      <w:pStyle w:val="Footer"/>
      <w:pBdr>
        <w:top w:val="single" w:sz="4" w:space="1" w:color="B66113"/>
      </w:pBdr>
    </w:pPr>
    <w:r w:rsidRPr="00655CD2">
      <w:rPr>
        <w:color w:val="01653F"/>
      </w:rPr>
      <w:t>Report from the Endocrinology Clinical Committee, 201</w:t>
    </w:r>
    <w:r>
      <w:rPr>
        <w:color w:val="01653F"/>
      </w:rPr>
      <w:t>7</w:t>
    </w:r>
    <w:r w:rsidRPr="00655CD2">
      <w:rPr>
        <w:color w:val="01653F"/>
      </w:rPr>
      <w:tab/>
      <w:t xml:space="preserve">Page </w:t>
    </w:r>
    <w:r w:rsidRPr="00655CD2">
      <w:rPr>
        <w:color w:val="01653F"/>
      </w:rPr>
      <w:fldChar w:fldCharType="begin"/>
    </w:r>
    <w:r w:rsidRPr="00655CD2">
      <w:rPr>
        <w:color w:val="01653F"/>
      </w:rPr>
      <w:instrText xml:space="preserve"> PAGE   \* MERGEFORMAT </w:instrText>
    </w:r>
    <w:r w:rsidRPr="00655CD2">
      <w:rPr>
        <w:color w:val="01653F"/>
      </w:rPr>
      <w:fldChar w:fldCharType="separate"/>
    </w:r>
    <w:r w:rsidR="00472997" w:rsidRPr="00472997">
      <w:rPr>
        <w:rFonts w:eastAsiaTheme="majorEastAsia"/>
        <w:noProof/>
        <w:color w:val="01653F"/>
      </w:rPr>
      <w:t>3</w:t>
    </w:r>
    <w:r w:rsidRPr="00655CD2">
      <w:rPr>
        <w:rFonts w:eastAsiaTheme="majorEastAsia"/>
        <w:noProof/>
        <w:color w:val="01653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B5832" w14:textId="77777777" w:rsidR="00A52C9B" w:rsidRDefault="00A52C9B" w:rsidP="0047371C">
      <w:r>
        <w:separator/>
      </w:r>
    </w:p>
  </w:footnote>
  <w:footnote w:type="continuationSeparator" w:id="0">
    <w:p w14:paraId="14811CEB" w14:textId="77777777" w:rsidR="00A52C9B" w:rsidRDefault="00A52C9B" w:rsidP="0047371C">
      <w:r>
        <w:continuationSeparator/>
      </w:r>
    </w:p>
    <w:p w14:paraId="383F2203" w14:textId="77777777" w:rsidR="00A52C9B" w:rsidRDefault="00A52C9B" w:rsidP="0047371C"/>
  </w:footnote>
  <w:footnote w:id="1">
    <w:p w14:paraId="43B81FDC" w14:textId="77777777" w:rsidR="00A52C9B" w:rsidRDefault="00A52C9B" w:rsidP="0047371C">
      <w:pPr>
        <w:pStyle w:val="FootnoteText"/>
      </w:pPr>
      <w:r w:rsidRPr="001C5F04">
        <w:rPr>
          <w:rStyle w:val="FootnoteReference"/>
        </w:rPr>
        <w:footnoteRef/>
      </w:r>
      <w:r>
        <w:t xml:space="preserve"> </w:t>
      </w:r>
      <w:r w:rsidRPr="008B6997">
        <w:t>Recommendations that are eventually made for consideration by the Government will not necessarily reflect the final recommendations made to the Taskforce by the Committee after consultation. As stated</w:t>
      </w:r>
      <w:r>
        <w:t>,</w:t>
      </w:r>
      <w:r w:rsidRPr="008B6997">
        <w:t xml:space="preserve"> the Taskforce will consider these recommendations</w:t>
      </w:r>
      <w:r>
        <w:t>,</w:t>
      </w:r>
      <w:r w:rsidRPr="008B6997">
        <w:t xml:space="preserve"> and </w:t>
      </w:r>
      <w:r>
        <w:t xml:space="preserve">it </w:t>
      </w:r>
      <w:r w:rsidRPr="008B6997">
        <w:t xml:space="preserve">may alter recommendations to bring items in line with broader changes </w:t>
      </w:r>
      <w:r>
        <w:t xml:space="preserve">that are </w:t>
      </w:r>
      <w:r w:rsidRPr="008B6997">
        <w:t>being made. Additionally</w:t>
      </w:r>
      <w:r>
        <w:t>, the</w:t>
      </w:r>
      <w:r w:rsidRPr="008B6997">
        <w:t xml:space="preserve"> wording or structuring of item descriptors and explanatory notes may be changed to ensure consistency with the language and structure of the MBS. It should also be noted that the recommendations focus on the services provided by the items. Specific item numbers may be altered during implementation of the eventual recommendations proposed by the Minister for Health. For example, where the Committee has requested that services for item A be consolidated under item B, the actual item number for item B may be changed in some circumstances.</w:t>
      </w:r>
      <w:r w:rsidRPr="009F2A96">
        <w:t xml:space="preserve">    </w:t>
      </w:r>
    </w:p>
  </w:footnote>
  <w:footnote w:id="2">
    <w:p w14:paraId="09AB0388" w14:textId="77777777" w:rsidR="00A52C9B" w:rsidRDefault="00A52C9B" w:rsidP="0047371C">
      <w:pPr>
        <w:pStyle w:val="FootnoteText"/>
      </w:pPr>
      <w:r>
        <w:rPr>
          <w:rStyle w:val="FootnoteReference"/>
        </w:rPr>
        <w:footnoteRef/>
      </w:r>
      <w:r>
        <w:t xml:space="preserve"> </w:t>
      </w:r>
      <w:r w:rsidRPr="006A3465">
        <w:t>Describes when an item is recommended for removal from the MBS and its services will no longer be provided under the MBS.</w:t>
      </w:r>
    </w:p>
  </w:footnote>
  <w:footnote w:id="3">
    <w:p w14:paraId="00B32C43" w14:textId="77777777" w:rsidR="00A52C9B" w:rsidRDefault="00A52C9B" w:rsidP="0047371C">
      <w:pPr>
        <w:pStyle w:val="FootnoteText"/>
      </w:pPr>
      <w:r>
        <w:rPr>
          <w:rStyle w:val="FootnoteReference"/>
        </w:rPr>
        <w:footnoteRef/>
      </w:r>
      <w:r w:rsidRPr="00EB04B8">
        <w:t>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(e.g., splitting the current services provided across two or more items).</w:t>
      </w:r>
    </w:p>
  </w:footnote>
  <w:footnote w:id="4">
    <w:p w14:paraId="74B5AE20" w14:textId="77777777" w:rsidR="00A52C9B" w:rsidRDefault="00A52C9B" w:rsidP="0047371C">
      <w:pPr>
        <w:pStyle w:val="FootnoteText"/>
      </w:pPr>
      <w:r w:rsidRPr="00572281">
        <w:rPr>
          <w:rStyle w:val="FootnoteReference"/>
        </w:rPr>
        <w:footnoteRef/>
      </w:r>
      <w:r>
        <w:t xml:space="preserve"> </w:t>
      </w:r>
      <w:r w:rsidRPr="0077562D">
        <w:t xml:space="preserve">The use of an intervention </w:t>
      </w:r>
      <w:r>
        <w:t>that</w:t>
      </w:r>
      <w:r w:rsidRPr="0077562D">
        <w:t xml:space="preserve"> evidence suggests confers no</w:t>
      </w:r>
      <w:r>
        <w:t xml:space="preserve"> benefit</w:t>
      </w:r>
      <w:r w:rsidRPr="0077562D">
        <w:t xml:space="preserve"> or very little benefit on patients</w:t>
      </w:r>
      <w:r>
        <w:t>;</w:t>
      </w:r>
      <w:r w:rsidRPr="0077562D">
        <w:t xml:space="preserve"> or </w:t>
      </w:r>
      <w:r>
        <w:t>where</w:t>
      </w:r>
      <w:r w:rsidRPr="0077562D">
        <w:t xml:space="preserve"> the risk of harm exceeds the likely benefit</w:t>
      </w:r>
      <w:r>
        <w:t>;</w:t>
      </w:r>
      <w:r w:rsidRPr="0077562D">
        <w:t xml:space="preserve"> or, more broadly, </w:t>
      </w:r>
      <w:r>
        <w:t>where</w:t>
      </w:r>
      <w:r w:rsidRPr="0077562D">
        <w:t xml:space="preserve"> the added costs of the intervention do not provide proportional added benefits.</w:t>
      </w:r>
    </w:p>
  </w:footnote>
  <w:footnote w:id="5">
    <w:p w14:paraId="78E5ECC5" w14:textId="77777777" w:rsidR="00A52C9B" w:rsidRDefault="00A52C9B" w:rsidP="0047371C">
      <w:pPr>
        <w:pStyle w:val="FootnoteText"/>
      </w:pPr>
      <w:r w:rsidRPr="00572281">
        <w:rPr>
          <w:rStyle w:val="FootnoteReference"/>
        </w:rPr>
        <w:footnoteRef/>
      </w:r>
      <w:r>
        <w:t xml:space="preserve"> </w:t>
      </w:r>
      <w:r w:rsidRPr="0077562D">
        <w:t>The use of MBS services for purposes other than those intended. This includes a range of behaviours ranging from failing to adhere to particular item descriptors or rules through to deliberate fraud.</w:t>
      </w:r>
    </w:p>
  </w:footnote>
  <w:footnote w:id="6">
    <w:p w14:paraId="27B94392" w14:textId="77777777" w:rsidR="00A52C9B" w:rsidRDefault="00A52C9B" w:rsidP="0047371C">
      <w:pPr>
        <w:pStyle w:val="FootnoteText"/>
      </w:pPr>
      <w:r w:rsidRPr="00572281">
        <w:rPr>
          <w:rStyle w:val="FootnoteReference"/>
        </w:rPr>
        <w:footnoteRef/>
      </w:r>
      <w:r>
        <w:t xml:space="preserve"> </w:t>
      </w:r>
      <w:r w:rsidRPr="00455B2A">
        <w:t>Recommendations that are eventually made for consideration by the Government will not necessarily reflect the final recommendations made to the Taskforce by the Committee after consultation. As stated</w:t>
      </w:r>
      <w:r>
        <w:t>,</w:t>
      </w:r>
      <w:r w:rsidRPr="00455B2A">
        <w:t xml:space="preserve"> the Taskforce will consider these recommendations</w:t>
      </w:r>
      <w:r>
        <w:t>,</w:t>
      </w:r>
      <w:r w:rsidRPr="00455B2A">
        <w:t xml:space="preserve"> and </w:t>
      </w:r>
      <w:r>
        <w:t xml:space="preserve">it </w:t>
      </w:r>
      <w:r w:rsidRPr="00455B2A">
        <w:t xml:space="preserve">may alter recommendations to bring items in line with broader changes </w:t>
      </w:r>
      <w:r>
        <w:t xml:space="preserve">that are </w:t>
      </w:r>
      <w:r w:rsidRPr="00455B2A">
        <w:t>being made. Additionally</w:t>
      </w:r>
      <w:r>
        <w:t>, the</w:t>
      </w:r>
      <w:r w:rsidRPr="00455B2A">
        <w:t xml:space="preserve"> wording or structuring of item descriptors and explanatory notes may be changed to ensure consistency with the language and structure of the MBS. It should also be noted that the recommendations focus on the services provided by the items. Specific item numbers may be altered during implementation of the eventual recommendations proposed by the Minister for Health. For example, where the Committee has requested that services for item A be consolidated under item B, the actual item number for item B may be changed in some circumstances.    </w:t>
      </w:r>
    </w:p>
  </w:footnote>
  <w:footnote w:id="7">
    <w:p w14:paraId="0961F137" w14:textId="77777777" w:rsidR="00A52C9B" w:rsidRDefault="00A52C9B" w:rsidP="0047371C">
      <w:pPr>
        <w:pStyle w:val="FootnoteText"/>
      </w:pPr>
      <w:r>
        <w:rPr>
          <w:rStyle w:val="FootnoteReference"/>
        </w:rPr>
        <w:footnoteRef/>
      </w:r>
      <w:r>
        <w:t xml:space="preserve"> </w:t>
      </w:r>
      <w:r w:rsidRPr="002C3B8E">
        <w:t>Describes when an item is recommended for removal from the MBS and its services will no longer be provided under the MBS.</w:t>
      </w:r>
    </w:p>
  </w:footnote>
  <w:footnote w:id="8">
    <w:p w14:paraId="0D6F6ECD" w14:textId="77777777" w:rsidR="00A52C9B" w:rsidRDefault="00A52C9B" w:rsidP="0047371C">
      <w:pPr>
        <w:pStyle w:val="FootnoteText"/>
      </w:pPr>
      <w:r w:rsidRPr="00572281">
        <w:rPr>
          <w:rStyle w:val="FootnoteReference"/>
        </w:rPr>
        <w:footnoteRef/>
      </w:r>
      <w:r>
        <w:t xml:space="preserve"> </w:t>
      </w:r>
      <w:r w:rsidRPr="00382B9D">
        <w:t>Services of proven efficacy reflecting current best medical practice, or for which the potenti</w:t>
      </w:r>
      <w:r>
        <w:t xml:space="preserve">al benefit to consumers exceeds </w:t>
      </w:r>
      <w:r w:rsidRPr="00382B9D">
        <w:t>the risk and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FEA1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2897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962C1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42B9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AAADF4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7840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5809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1EE9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8F217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0024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71A6B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B92C8B"/>
    <w:multiLevelType w:val="hybridMultilevel"/>
    <w:tmpl w:val="C5A606F0"/>
    <w:lvl w:ilvl="0" w:tplc="82708660">
      <w:start w:val="1"/>
      <w:numFmt w:val="lowerLetter"/>
      <w:pStyle w:val="06letter2"/>
      <w:lvlText w:val="%1."/>
      <w:lvlJc w:val="left"/>
      <w:pPr>
        <w:ind w:left="1077" w:hanging="360"/>
      </w:pPr>
      <w:rPr>
        <w:rFonts w:ascii="Arial" w:hAnsi="Arial" w:hint="default"/>
        <w:color w:val="auto"/>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23834"/>
    <w:multiLevelType w:val="hybridMultilevel"/>
    <w:tmpl w:val="BF56F67A"/>
    <w:lvl w:ilvl="0" w:tplc="3FB0A0EE">
      <w:start w:val="1"/>
      <w:numFmt w:val="upperLetter"/>
      <w:pStyle w:val="AppendixStyle1"/>
      <w:lvlText w:val="Appendix %1 - "/>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B27BFD"/>
    <w:multiLevelType w:val="multilevel"/>
    <w:tmpl w:val="8DB4AC64"/>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5"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7"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11481"/>
    <w:multiLevelType w:val="multilevel"/>
    <w:tmpl w:val="EA2A07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7196F47"/>
    <w:multiLevelType w:val="hybridMultilevel"/>
    <w:tmpl w:val="99D05FAC"/>
    <w:lvl w:ilvl="0" w:tplc="04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73F2C"/>
    <w:multiLevelType w:val="multilevel"/>
    <w:tmpl w:val="E3EECD6E"/>
    <w:numStyleLink w:val="Style3"/>
  </w:abstractNum>
  <w:abstractNum w:abstractNumId="21" w15:restartNumberingAfterBreak="0">
    <w:nsid w:val="413729F2"/>
    <w:multiLevelType w:val="hybridMultilevel"/>
    <w:tmpl w:val="71623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24"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F96ED6"/>
    <w:multiLevelType w:val="hybridMultilevel"/>
    <w:tmpl w:val="EB96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8"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9" w15:restartNumberingAfterBreak="0">
    <w:nsid w:val="5C574A11"/>
    <w:multiLevelType w:val="hybridMultilevel"/>
    <w:tmpl w:val="50DA3286"/>
    <w:lvl w:ilvl="0" w:tplc="C7BC209A">
      <w:start w:val="1"/>
      <w:numFmt w:val="bullet"/>
      <w:pStyle w:val="02dash"/>
      <w:lvlText w:val="‒"/>
      <w:lvlJc w:val="left"/>
      <w:pPr>
        <w:ind w:left="1080" w:hanging="360"/>
      </w:pPr>
      <w:rPr>
        <w:rFonts w:ascii="Arial" w:hAnsi="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1"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3" w15:restartNumberingAfterBreak="0">
    <w:nsid w:val="6EF61CA7"/>
    <w:multiLevelType w:val="hybridMultilevel"/>
    <w:tmpl w:val="0C7E9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5" w15:restartNumberingAfterBreak="0">
    <w:nsid w:val="77F12B6D"/>
    <w:multiLevelType w:val="multilevel"/>
    <w:tmpl w:val="E3EECD6E"/>
    <w:styleLink w:val="Style3"/>
    <w:lvl w:ilvl="0">
      <w:start w:val="1"/>
      <w:numFmt w:val="bullet"/>
      <w:pStyle w:val="01squarebullet"/>
      <w:lvlText w:val="Δ"/>
      <w:lvlJc w:val="left"/>
      <w:pPr>
        <w:ind w:left="360" w:hanging="360"/>
      </w:pPr>
      <w:rPr>
        <w:rFonts w:ascii="Calibri" w:hAnsi="Calibri"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6" w15:restartNumberingAfterBreak="0">
    <w:nsid w:val="7A7F36DF"/>
    <w:multiLevelType w:val="hybridMultilevel"/>
    <w:tmpl w:val="817E350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B8E557E"/>
    <w:multiLevelType w:val="multilevel"/>
    <w:tmpl w:val="18E8FDCA"/>
    <w:lvl w:ilvl="0">
      <w:start w:val="1"/>
      <w:numFmt w:val="decimal"/>
      <w:pStyle w:val="05number1"/>
      <w:lvlText w:val="%1."/>
      <w:lvlJc w:val="left"/>
      <w:pPr>
        <w:ind w:left="360" w:hanging="360"/>
      </w:pPr>
      <w:rPr>
        <w:rFonts w:ascii="Arial" w:hAnsi="Arial" w:hint="default"/>
        <w:color w:val="auto"/>
        <w:sz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C3C6FDA"/>
    <w:multiLevelType w:val="hybridMultilevel"/>
    <w:tmpl w:val="DD964F52"/>
    <w:lvl w:ilvl="0" w:tplc="5C06EC78">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EDB59BA"/>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27"/>
  </w:num>
  <w:num w:numId="2">
    <w:abstractNumId w:val="18"/>
  </w:num>
  <w:num w:numId="3">
    <w:abstractNumId w:val="15"/>
  </w:num>
  <w:num w:numId="4">
    <w:abstractNumId w:val="26"/>
  </w:num>
  <w:num w:numId="5">
    <w:abstractNumId w:val="17"/>
  </w:num>
  <w:num w:numId="6">
    <w:abstractNumId w:val="14"/>
  </w:num>
  <w:num w:numId="7">
    <w:abstractNumId w:val="13"/>
  </w:num>
  <w:num w:numId="8">
    <w:abstractNumId w:val="14"/>
  </w:num>
  <w:num w:numId="9">
    <w:abstractNumId w:val="29"/>
  </w:num>
  <w:num w:numId="10">
    <w:abstractNumId w:val="38"/>
  </w:num>
  <w:num w:numId="11">
    <w:abstractNumId w:val="28"/>
  </w:num>
  <w:num w:numId="12">
    <w:abstractNumId w:val="37"/>
  </w:num>
  <w:num w:numId="13">
    <w:abstractNumId w:val="11"/>
  </w:num>
  <w:num w:numId="14">
    <w:abstractNumId w:val="23"/>
  </w:num>
  <w:num w:numId="15">
    <w:abstractNumId w:val="34"/>
  </w:num>
  <w:num w:numId="16">
    <w:abstractNumId w:val="30"/>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2"/>
  </w:num>
  <w:num w:numId="31">
    <w:abstractNumId w:val="19"/>
  </w:num>
  <w:num w:numId="32">
    <w:abstractNumId w:val="25"/>
  </w:num>
  <w:num w:numId="33">
    <w:abstractNumId w:val="33"/>
  </w:num>
  <w:num w:numId="34">
    <w:abstractNumId w:val="21"/>
  </w:num>
  <w:num w:numId="35">
    <w:abstractNumId w:val="16"/>
  </w:num>
  <w:num w:numId="36">
    <w:abstractNumId w:val="39"/>
  </w:num>
  <w:num w:numId="37">
    <w:abstractNumId w:val="35"/>
  </w:num>
  <w:num w:numId="38">
    <w:abstractNumId w:val="20"/>
  </w:num>
  <w:num w:numId="39">
    <w:abstractNumId w:val="12"/>
  </w:num>
  <w:num w:numId="40">
    <w:abstractNumId w:val="32"/>
  </w:num>
  <w:num w:numId="4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06E"/>
    <w:rsid w:val="000006DC"/>
    <w:rsid w:val="000006E3"/>
    <w:rsid w:val="00000907"/>
    <w:rsid w:val="000009F9"/>
    <w:rsid w:val="00001008"/>
    <w:rsid w:val="000017F9"/>
    <w:rsid w:val="000018FA"/>
    <w:rsid w:val="00001F7B"/>
    <w:rsid w:val="0000226B"/>
    <w:rsid w:val="00002477"/>
    <w:rsid w:val="00002678"/>
    <w:rsid w:val="00002DCA"/>
    <w:rsid w:val="00002DDC"/>
    <w:rsid w:val="00003129"/>
    <w:rsid w:val="00003FC7"/>
    <w:rsid w:val="000044E9"/>
    <w:rsid w:val="00004920"/>
    <w:rsid w:val="00004CCA"/>
    <w:rsid w:val="00005209"/>
    <w:rsid w:val="000052CB"/>
    <w:rsid w:val="0000566B"/>
    <w:rsid w:val="00005D04"/>
    <w:rsid w:val="00005FB4"/>
    <w:rsid w:val="000060D2"/>
    <w:rsid w:val="00006479"/>
    <w:rsid w:val="00006915"/>
    <w:rsid w:val="00006AE9"/>
    <w:rsid w:val="00007CFB"/>
    <w:rsid w:val="000103DA"/>
    <w:rsid w:val="00010471"/>
    <w:rsid w:val="000107B3"/>
    <w:rsid w:val="0001084A"/>
    <w:rsid w:val="00010985"/>
    <w:rsid w:val="000125A2"/>
    <w:rsid w:val="00012660"/>
    <w:rsid w:val="00012C42"/>
    <w:rsid w:val="00012C6D"/>
    <w:rsid w:val="00012D9E"/>
    <w:rsid w:val="00012FB0"/>
    <w:rsid w:val="00013881"/>
    <w:rsid w:val="0001393A"/>
    <w:rsid w:val="000140C8"/>
    <w:rsid w:val="00014204"/>
    <w:rsid w:val="00014305"/>
    <w:rsid w:val="000145E5"/>
    <w:rsid w:val="00014712"/>
    <w:rsid w:val="00014756"/>
    <w:rsid w:val="0001545C"/>
    <w:rsid w:val="00015973"/>
    <w:rsid w:val="00015A78"/>
    <w:rsid w:val="00015F33"/>
    <w:rsid w:val="0001638E"/>
    <w:rsid w:val="00016531"/>
    <w:rsid w:val="00016AFF"/>
    <w:rsid w:val="00016CC5"/>
    <w:rsid w:val="00017B96"/>
    <w:rsid w:val="00017D2F"/>
    <w:rsid w:val="00020196"/>
    <w:rsid w:val="000202A1"/>
    <w:rsid w:val="00020382"/>
    <w:rsid w:val="00020431"/>
    <w:rsid w:val="000206BB"/>
    <w:rsid w:val="00020741"/>
    <w:rsid w:val="00020E0D"/>
    <w:rsid w:val="00021A9A"/>
    <w:rsid w:val="00021C94"/>
    <w:rsid w:val="00021D91"/>
    <w:rsid w:val="00021E64"/>
    <w:rsid w:val="00022B79"/>
    <w:rsid w:val="00022E87"/>
    <w:rsid w:val="0002353D"/>
    <w:rsid w:val="00023AB2"/>
    <w:rsid w:val="00023C89"/>
    <w:rsid w:val="00023DB8"/>
    <w:rsid w:val="0002482E"/>
    <w:rsid w:val="00024D96"/>
    <w:rsid w:val="00024ECF"/>
    <w:rsid w:val="00024FE0"/>
    <w:rsid w:val="000253CA"/>
    <w:rsid w:val="000253EC"/>
    <w:rsid w:val="00025421"/>
    <w:rsid w:val="000254D6"/>
    <w:rsid w:val="0002561D"/>
    <w:rsid w:val="00025C30"/>
    <w:rsid w:val="00025D3A"/>
    <w:rsid w:val="00026021"/>
    <w:rsid w:val="000263BC"/>
    <w:rsid w:val="000265DB"/>
    <w:rsid w:val="0002675B"/>
    <w:rsid w:val="0002677A"/>
    <w:rsid w:val="00026792"/>
    <w:rsid w:val="00026C4F"/>
    <w:rsid w:val="00026C6C"/>
    <w:rsid w:val="000278CF"/>
    <w:rsid w:val="00027A4A"/>
    <w:rsid w:val="00027E93"/>
    <w:rsid w:val="000305E3"/>
    <w:rsid w:val="000309CE"/>
    <w:rsid w:val="00030DEF"/>
    <w:rsid w:val="00031095"/>
    <w:rsid w:val="000310F5"/>
    <w:rsid w:val="00031ADE"/>
    <w:rsid w:val="00032108"/>
    <w:rsid w:val="00032181"/>
    <w:rsid w:val="00032437"/>
    <w:rsid w:val="00032E8C"/>
    <w:rsid w:val="000337EF"/>
    <w:rsid w:val="00033DA4"/>
    <w:rsid w:val="00033EBC"/>
    <w:rsid w:val="0003400D"/>
    <w:rsid w:val="000345E7"/>
    <w:rsid w:val="0003460C"/>
    <w:rsid w:val="00034E4A"/>
    <w:rsid w:val="00035455"/>
    <w:rsid w:val="000355BB"/>
    <w:rsid w:val="000356A1"/>
    <w:rsid w:val="00035AF9"/>
    <w:rsid w:val="00035E57"/>
    <w:rsid w:val="00035E7D"/>
    <w:rsid w:val="00036133"/>
    <w:rsid w:val="000361EE"/>
    <w:rsid w:val="00036C0E"/>
    <w:rsid w:val="00036F9A"/>
    <w:rsid w:val="00037294"/>
    <w:rsid w:val="00037FBE"/>
    <w:rsid w:val="00040EAC"/>
    <w:rsid w:val="0004124F"/>
    <w:rsid w:val="00041632"/>
    <w:rsid w:val="00041CDB"/>
    <w:rsid w:val="0004211F"/>
    <w:rsid w:val="00042222"/>
    <w:rsid w:val="0004246F"/>
    <w:rsid w:val="000428AD"/>
    <w:rsid w:val="00042A17"/>
    <w:rsid w:val="00042A7A"/>
    <w:rsid w:val="00042D8E"/>
    <w:rsid w:val="00043314"/>
    <w:rsid w:val="00043742"/>
    <w:rsid w:val="00043A87"/>
    <w:rsid w:val="00044020"/>
    <w:rsid w:val="00044BFB"/>
    <w:rsid w:val="00044C42"/>
    <w:rsid w:val="00044E17"/>
    <w:rsid w:val="00045066"/>
    <w:rsid w:val="0004524F"/>
    <w:rsid w:val="00045495"/>
    <w:rsid w:val="000456F5"/>
    <w:rsid w:val="000459AD"/>
    <w:rsid w:val="00045F6B"/>
    <w:rsid w:val="00045FA6"/>
    <w:rsid w:val="000460A8"/>
    <w:rsid w:val="0004621E"/>
    <w:rsid w:val="0004652E"/>
    <w:rsid w:val="00046967"/>
    <w:rsid w:val="00046AF0"/>
    <w:rsid w:val="00046C9C"/>
    <w:rsid w:val="00047145"/>
    <w:rsid w:val="00047194"/>
    <w:rsid w:val="00047C65"/>
    <w:rsid w:val="00047FA0"/>
    <w:rsid w:val="00047FB5"/>
    <w:rsid w:val="000501C9"/>
    <w:rsid w:val="0005055E"/>
    <w:rsid w:val="00050ED2"/>
    <w:rsid w:val="00050EF0"/>
    <w:rsid w:val="00051A69"/>
    <w:rsid w:val="00052879"/>
    <w:rsid w:val="00052FDA"/>
    <w:rsid w:val="000532A7"/>
    <w:rsid w:val="000537C0"/>
    <w:rsid w:val="00053ADA"/>
    <w:rsid w:val="00054036"/>
    <w:rsid w:val="00054139"/>
    <w:rsid w:val="000548C4"/>
    <w:rsid w:val="0005501C"/>
    <w:rsid w:val="000551A1"/>
    <w:rsid w:val="0005522D"/>
    <w:rsid w:val="0005557F"/>
    <w:rsid w:val="000558E5"/>
    <w:rsid w:val="00056426"/>
    <w:rsid w:val="00056668"/>
    <w:rsid w:val="00056CF7"/>
    <w:rsid w:val="00056D4E"/>
    <w:rsid w:val="0005732A"/>
    <w:rsid w:val="000576BA"/>
    <w:rsid w:val="000576F9"/>
    <w:rsid w:val="00057AB0"/>
    <w:rsid w:val="00057BA1"/>
    <w:rsid w:val="00057C01"/>
    <w:rsid w:val="00057DDF"/>
    <w:rsid w:val="00057F0D"/>
    <w:rsid w:val="00060063"/>
    <w:rsid w:val="00060069"/>
    <w:rsid w:val="000606EA"/>
    <w:rsid w:val="000608B1"/>
    <w:rsid w:val="00060A7E"/>
    <w:rsid w:val="00060C76"/>
    <w:rsid w:val="0006140B"/>
    <w:rsid w:val="000614E4"/>
    <w:rsid w:val="00061567"/>
    <w:rsid w:val="0006239B"/>
    <w:rsid w:val="00062661"/>
    <w:rsid w:val="0006309D"/>
    <w:rsid w:val="00063CD1"/>
    <w:rsid w:val="00064465"/>
    <w:rsid w:val="00065008"/>
    <w:rsid w:val="0006538D"/>
    <w:rsid w:val="000653C1"/>
    <w:rsid w:val="0006552C"/>
    <w:rsid w:val="000655C1"/>
    <w:rsid w:val="00065867"/>
    <w:rsid w:val="000659E2"/>
    <w:rsid w:val="00065ADB"/>
    <w:rsid w:val="00066019"/>
    <w:rsid w:val="000660E8"/>
    <w:rsid w:val="00066AF2"/>
    <w:rsid w:val="00066F22"/>
    <w:rsid w:val="0006751A"/>
    <w:rsid w:val="00067B7D"/>
    <w:rsid w:val="00067B97"/>
    <w:rsid w:val="00067BEC"/>
    <w:rsid w:val="00067BFF"/>
    <w:rsid w:val="000700B9"/>
    <w:rsid w:val="00070239"/>
    <w:rsid w:val="000703EC"/>
    <w:rsid w:val="000707D3"/>
    <w:rsid w:val="000707EE"/>
    <w:rsid w:val="00070B75"/>
    <w:rsid w:val="00070CD8"/>
    <w:rsid w:val="00070E03"/>
    <w:rsid w:val="00070E0F"/>
    <w:rsid w:val="00071223"/>
    <w:rsid w:val="0007194A"/>
    <w:rsid w:val="000719C3"/>
    <w:rsid w:val="00071EB7"/>
    <w:rsid w:val="00072244"/>
    <w:rsid w:val="0007261D"/>
    <w:rsid w:val="00072A72"/>
    <w:rsid w:val="00072D68"/>
    <w:rsid w:val="00073660"/>
    <w:rsid w:val="00073697"/>
    <w:rsid w:val="00073B40"/>
    <w:rsid w:val="00074357"/>
    <w:rsid w:val="000744E0"/>
    <w:rsid w:val="00074B3C"/>
    <w:rsid w:val="00074C33"/>
    <w:rsid w:val="00074C3E"/>
    <w:rsid w:val="0007506F"/>
    <w:rsid w:val="00075C4D"/>
    <w:rsid w:val="00075CAB"/>
    <w:rsid w:val="0007623D"/>
    <w:rsid w:val="000765ED"/>
    <w:rsid w:val="00076717"/>
    <w:rsid w:val="00076AB6"/>
    <w:rsid w:val="00076CD4"/>
    <w:rsid w:val="00076FF1"/>
    <w:rsid w:val="00077225"/>
    <w:rsid w:val="00077D61"/>
    <w:rsid w:val="00077DE5"/>
    <w:rsid w:val="00077F0A"/>
    <w:rsid w:val="00080114"/>
    <w:rsid w:val="000802B0"/>
    <w:rsid w:val="00080531"/>
    <w:rsid w:val="000805A7"/>
    <w:rsid w:val="00080892"/>
    <w:rsid w:val="00081320"/>
    <w:rsid w:val="00081466"/>
    <w:rsid w:val="000815D6"/>
    <w:rsid w:val="00081679"/>
    <w:rsid w:val="00081875"/>
    <w:rsid w:val="00081F8E"/>
    <w:rsid w:val="00082BF1"/>
    <w:rsid w:val="0008304E"/>
    <w:rsid w:val="0008307B"/>
    <w:rsid w:val="000830EC"/>
    <w:rsid w:val="00083191"/>
    <w:rsid w:val="000831DB"/>
    <w:rsid w:val="000838B7"/>
    <w:rsid w:val="00083DA8"/>
    <w:rsid w:val="00083E2A"/>
    <w:rsid w:val="00083F0A"/>
    <w:rsid w:val="0008435C"/>
    <w:rsid w:val="0008448B"/>
    <w:rsid w:val="00084B0A"/>
    <w:rsid w:val="00084B53"/>
    <w:rsid w:val="00084EA3"/>
    <w:rsid w:val="00084EEA"/>
    <w:rsid w:val="00084F7A"/>
    <w:rsid w:val="00085280"/>
    <w:rsid w:val="000855F2"/>
    <w:rsid w:val="00085A9E"/>
    <w:rsid w:val="00085D84"/>
    <w:rsid w:val="00086AFF"/>
    <w:rsid w:val="00086C40"/>
    <w:rsid w:val="00086E14"/>
    <w:rsid w:val="00086FD0"/>
    <w:rsid w:val="000870FD"/>
    <w:rsid w:val="00087366"/>
    <w:rsid w:val="0008778F"/>
    <w:rsid w:val="00087975"/>
    <w:rsid w:val="0009001E"/>
    <w:rsid w:val="000904C0"/>
    <w:rsid w:val="000904CF"/>
    <w:rsid w:val="0009092C"/>
    <w:rsid w:val="00090CC9"/>
    <w:rsid w:val="00091743"/>
    <w:rsid w:val="00091D71"/>
    <w:rsid w:val="00091DC1"/>
    <w:rsid w:val="00092257"/>
    <w:rsid w:val="000923EA"/>
    <w:rsid w:val="00092463"/>
    <w:rsid w:val="0009284F"/>
    <w:rsid w:val="00092AB5"/>
    <w:rsid w:val="000930CA"/>
    <w:rsid w:val="00093404"/>
    <w:rsid w:val="00093558"/>
    <w:rsid w:val="00093D89"/>
    <w:rsid w:val="00094411"/>
    <w:rsid w:val="00094B99"/>
    <w:rsid w:val="00095DA3"/>
    <w:rsid w:val="00096FF0"/>
    <w:rsid w:val="000971EC"/>
    <w:rsid w:val="000978D4"/>
    <w:rsid w:val="000979F8"/>
    <w:rsid w:val="00097A82"/>
    <w:rsid w:val="000A08BC"/>
    <w:rsid w:val="000A0939"/>
    <w:rsid w:val="000A09E6"/>
    <w:rsid w:val="000A0C01"/>
    <w:rsid w:val="000A0CCC"/>
    <w:rsid w:val="000A0FEB"/>
    <w:rsid w:val="000A126D"/>
    <w:rsid w:val="000A1788"/>
    <w:rsid w:val="000A17D0"/>
    <w:rsid w:val="000A1C0D"/>
    <w:rsid w:val="000A26A9"/>
    <w:rsid w:val="000A288F"/>
    <w:rsid w:val="000A2C3B"/>
    <w:rsid w:val="000A38E3"/>
    <w:rsid w:val="000A3C55"/>
    <w:rsid w:val="000A3CE0"/>
    <w:rsid w:val="000A3FBE"/>
    <w:rsid w:val="000A421D"/>
    <w:rsid w:val="000A46C8"/>
    <w:rsid w:val="000A473B"/>
    <w:rsid w:val="000A4C2C"/>
    <w:rsid w:val="000A4EF9"/>
    <w:rsid w:val="000A5019"/>
    <w:rsid w:val="000A5348"/>
    <w:rsid w:val="000A5376"/>
    <w:rsid w:val="000A53E5"/>
    <w:rsid w:val="000A5993"/>
    <w:rsid w:val="000A5E72"/>
    <w:rsid w:val="000A6237"/>
    <w:rsid w:val="000A705B"/>
    <w:rsid w:val="000A7486"/>
    <w:rsid w:val="000A7612"/>
    <w:rsid w:val="000B06A6"/>
    <w:rsid w:val="000B0BE0"/>
    <w:rsid w:val="000B0FB3"/>
    <w:rsid w:val="000B140B"/>
    <w:rsid w:val="000B1477"/>
    <w:rsid w:val="000B167F"/>
    <w:rsid w:val="000B1908"/>
    <w:rsid w:val="000B197F"/>
    <w:rsid w:val="000B1BBA"/>
    <w:rsid w:val="000B2437"/>
    <w:rsid w:val="000B2534"/>
    <w:rsid w:val="000B30AF"/>
    <w:rsid w:val="000B3BDF"/>
    <w:rsid w:val="000B3C29"/>
    <w:rsid w:val="000B3F2C"/>
    <w:rsid w:val="000B465C"/>
    <w:rsid w:val="000B48DB"/>
    <w:rsid w:val="000B4B1F"/>
    <w:rsid w:val="000B4CE8"/>
    <w:rsid w:val="000B4EB8"/>
    <w:rsid w:val="000B4F84"/>
    <w:rsid w:val="000B4FE7"/>
    <w:rsid w:val="000B5054"/>
    <w:rsid w:val="000B5114"/>
    <w:rsid w:val="000B52C9"/>
    <w:rsid w:val="000B547B"/>
    <w:rsid w:val="000B6290"/>
    <w:rsid w:val="000B68AB"/>
    <w:rsid w:val="000B6ABA"/>
    <w:rsid w:val="000B710A"/>
    <w:rsid w:val="000B719A"/>
    <w:rsid w:val="000B71CC"/>
    <w:rsid w:val="000B7216"/>
    <w:rsid w:val="000B767F"/>
    <w:rsid w:val="000B76F2"/>
    <w:rsid w:val="000B7CD6"/>
    <w:rsid w:val="000B7D43"/>
    <w:rsid w:val="000C012F"/>
    <w:rsid w:val="000C057C"/>
    <w:rsid w:val="000C08E1"/>
    <w:rsid w:val="000C0C54"/>
    <w:rsid w:val="000C10BE"/>
    <w:rsid w:val="000C1496"/>
    <w:rsid w:val="000C151E"/>
    <w:rsid w:val="000C1FDA"/>
    <w:rsid w:val="000C2086"/>
    <w:rsid w:val="000C2699"/>
    <w:rsid w:val="000C2768"/>
    <w:rsid w:val="000C2DC0"/>
    <w:rsid w:val="000C2E0E"/>
    <w:rsid w:val="000C2FD7"/>
    <w:rsid w:val="000C354B"/>
    <w:rsid w:val="000C366C"/>
    <w:rsid w:val="000C3FA9"/>
    <w:rsid w:val="000C4035"/>
    <w:rsid w:val="000C41CB"/>
    <w:rsid w:val="000C421B"/>
    <w:rsid w:val="000C498A"/>
    <w:rsid w:val="000C4AA4"/>
    <w:rsid w:val="000C4B86"/>
    <w:rsid w:val="000C4BF3"/>
    <w:rsid w:val="000C5088"/>
    <w:rsid w:val="000C548D"/>
    <w:rsid w:val="000C548F"/>
    <w:rsid w:val="000C54E8"/>
    <w:rsid w:val="000C54F6"/>
    <w:rsid w:val="000C565E"/>
    <w:rsid w:val="000C5A02"/>
    <w:rsid w:val="000C5A23"/>
    <w:rsid w:val="000C5C68"/>
    <w:rsid w:val="000C5F18"/>
    <w:rsid w:val="000C5F85"/>
    <w:rsid w:val="000C6947"/>
    <w:rsid w:val="000C6C05"/>
    <w:rsid w:val="000C6E36"/>
    <w:rsid w:val="000C70F5"/>
    <w:rsid w:val="000C74A8"/>
    <w:rsid w:val="000C7795"/>
    <w:rsid w:val="000C779E"/>
    <w:rsid w:val="000C7A37"/>
    <w:rsid w:val="000C7AE4"/>
    <w:rsid w:val="000D00B4"/>
    <w:rsid w:val="000D0765"/>
    <w:rsid w:val="000D0F3C"/>
    <w:rsid w:val="000D0F4F"/>
    <w:rsid w:val="000D1176"/>
    <w:rsid w:val="000D14E3"/>
    <w:rsid w:val="000D1905"/>
    <w:rsid w:val="000D1C08"/>
    <w:rsid w:val="000D1CA5"/>
    <w:rsid w:val="000D1CF6"/>
    <w:rsid w:val="000D1DC5"/>
    <w:rsid w:val="000D1EB4"/>
    <w:rsid w:val="000D22C2"/>
    <w:rsid w:val="000D2645"/>
    <w:rsid w:val="000D2AED"/>
    <w:rsid w:val="000D2B65"/>
    <w:rsid w:val="000D2E96"/>
    <w:rsid w:val="000D3638"/>
    <w:rsid w:val="000D37B1"/>
    <w:rsid w:val="000D3BA5"/>
    <w:rsid w:val="000D3FA5"/>
    <w:rsid w:val="000D41C0"/>
    <w:rsid w:val="000D4345"/>
    <w:rsid w:val="000D4445"/>
    <w:rsid w:val="000D4490"/>
    <w:rsid w:val="000D5093"/>
    <w:rsid w:val="000D5132"/>
    <w:rsid w:val="000D532B"/>
    <w:rsid w:val="000D55A5"/>
    <w:rsid w:val="000D5718"/>
    <w:rsid w:val="000D5D9F"/>
    <w:rsid w:val="000D5E90"/>
    <w:rsid w:val="000D5F37"/>
    <w:rsid w:val="000D6008"/>
    <w:rsid w:val="000D6268"/>
    <w:rsid w:val="000D677B"/>
    <w:rsid w:val="000D68B2"/>
    <w:rsid w:val="000D69A0"/>
    <w:rsid w:val="000D6BA2"/>
    <w:rsid w:val="000D6C33"/>
    <w:rsid w:val="000D70D3"/>
    <w:rsid w:val="000D736E"/>
    <w:rsid w:val="000D73DF"/>
    <w:rsid w:val="000D75FD"/>
    <w:rsid w:val="000D7716"/>
    <w:rsid w:val="000D791C"/>
    <w:rsid w:val="000D7F4F"/>
    <w:rsid w:val="000E0111"/>
    <w:rsid w:val="000E015A"/>
    <w:rsid w:val="000E03E7"/>
    <w:rsid w:val="000E049E"/>
    <w:rsid w:val="000E0690"/>
    <w:rsid w:val="000E0950"/>
    <w:rsid w:val="000E10FA"/>
    <w:rsid w:val="000E13E8"/>
    <w:rsid w:val="000E148C"/>
    <w:rsid w:val="000E17A7"/>
    <w:rsid w:val="000E1934"/>
    <w:rsid w:val="000E1B03"/>
    <w:rsid w:val="000E2341"/>
    <w:rsid w:val="000E2A94"/>
    <w:rsid w:val="000E2F64"/>
    <w:rsid w:val="000E3487"/>
    <w:rsid w:val="000E384B"/>
    <w:rsid w:val="000E386D"/>
    <w:rsid w:val="000E3930"/>
    <w:rsid w:val="000E3973"/>
    <w:rsid w:val="000E3A72"/>
    <w:rsid w:val="000E3BF6"/>
    <w:rsid w:val="000E479A"/>
    <w:rsid w:val="000E4A79"/>
    <w:rsid w:val="000E4CB9"/>
    <w:rsid w:val="000E4F40"/>
    <w:rsid w:val="000E5530"/>
    <w:rsid w:val="000E5651"/>
    <w:rsid w:val="000E5864"/>
    <w:rsid w:val="000E5E54"/>
    <w:rsid w:val="000E5ECE"/>
    <w:rsid w:val="000E6B0A"/>
    <w:rsid w:val="000E6B3D"/>
    <w:rsid w:val="000E6C56"/>
    <w:rsid w:val="000E6EBB"/>
    <w:rsid w:val="000E70E3"/>
    <w:rsid w:val="000E74CC"/>
    <w:rsid w:val="000E7727"/>
    <w:rsid w:val="000E7941"/>
    <w:rsid w:val="000E7B07"/>
    <w:rsid w:val="000E7F2C"/>
    <w:rsid w:val="000F033F"/>
    <w:rsid w:val="000F04B9"/>
    <w:rsid w:val="000F0B7D"/>
    <w:rsid w:val="000F0F56"/>
    <w:rsid w:val="000F0F68"/>
    <w:rsid w:val="000F0F7F"/>
    <w:rsid w:val="000F0F9B"/>
    <w:rsid w:val="000F1708"/>
    <w:rsid w:val="000F189C"/>
    <w:rsid w:val="000F1F03"/>
    <w:rsid w:val="000F2178"/>
    <w:rsid w:val="000F2CDA"/>
    <w:rsid w:val="000F2E2B"/>
    <w:rsid w:val="000F2E9B"/>
    <w:rsid w:val="000F2F92"/>
    <w:rsid w:val="000F39B9"/>
    <w:rsid w:val="000F3F4F"/>
    <w:rsid w:val="000F4671"/>
    <w:rsid w:val="000F4DB6"/>
    <w:rsid w:val="000F5115"/>
    <w:rsid w:val="000F522F"/>
    <w:rsid w:val="000F5946"/>
    <w:rsid w:val="000F5CFE"/>
    <w:rsid w:val="000F5E28"/>
    <w:rsid w:val="000F66F8"/>
    <w:rsid w:val="000F705F"/>
    <w:rsid w:val="000F7277"/>
    <w:rsid w:val="000F72BF"/>
    <w:rsid w:val="000F7566"/>
    <w:rsid w:val="000F75A1"/>
    <w:rsid w:val="000F7A32"/>
    <w:rsid w:val="000F7D1F"/>
    <w:rsid w:val="000F7DD5"/>
    <w:rsid w:val="0010003C"/>
    <w:rsid w:val="0010008F"/>
    <w:rsid w:val="001003BF"/>
    <w:rsid w:val="00100728"/>
    <w:rsid w:val="00100951"/>
    <w:rsid w:val="0010119D"/>
    <w:rsid w:val="00101268"/>
    <w:rsid w:val="00101A97"/>
    <w:rsid w:val="00101C56"/>
    <w:rsid w:val="00101DE4"/>
    <w:rsid w:val="00101E86"/>
    <w:rsid w:val="001025D1"/>
    <w:rsid w:val="00103C88"/>
    <w:rsid w:val="00103DA5"/>
    <w:rsid w:val="00104311"/>
    <w:rsid w:val="00104788"/>
    <w:rsid w:val="00104E61"/>
    <w:rsid w:val="0010508E"/>
    <w:rsid w:val="00105A8F"/>
    <w:rsid w:val="00105EB2"/>
    <w:rsid w:val="00106078"/>
    <w:rsid w:val="0010612D"/>
    <w:rsid w:val="00106152"/>
    <w:rsid w:val="001063AF"/>
    <w:rsid w:val="0010664E"/>
    <w:rsid w:val="0010685D"/>
    <w:rsid w:val="00106BC1"/>
    <w:rsid w:val="00107131"/>
    <w:rsid w:val="001076DE"/>
    <w:rsid w:val="00107B15"/>
    <w:rsid w:val="001104FA"/>
    <w:rsid w:val="00110B62"/>
    <w:rsid w:val="00111324"/>
    <w:rsid w:val="0011147C"/>
    <w:rsid w:val="00111584"/>
    <w:rsid w:val="0011158E"/>
    <w:rsid w:val="00111A0E"/>
    <w:rsid w:val="00111CE9"/>
    <w:rsid w:val="00111F02"/>
    <w:rsid w:val="001121E7"/>
    <w:rsid w:val="001122B9"/>
    <w:rsid w:val="00112B4F"/>
    <w:rsid w:val="00112C49"/>
    <w:rsid w:val="00112D09"/>
    <w:rsid w:val="0011305E"/>
    <w:rsid w:val="00113291"/>
    <w:rsid w:val="00113462"/>
    <w:rsid w:val="00113794"/>
    <w:rsid w:val="00113889"/>
    <w:rsid w:val="00113907"/>
    <w:rsid w:val="00113D31"/>
    <w:rsid w:val="001141BB"/>
    <w:rsid w:val="001141DE"/>
    <w:rsid w:val="001143E8"/>
    <w:rsid w:val="00114A48"/>
    <w:rsid w:val="00114E0F"/>
    <w:rsid w:val="00115187"/>
    <w:rsid w:val="00115195"/>
    <w:rsid w:val="001151D1"/>
    <w:rsid w:val="0011541D"/>
    <w:rsid w:val="001156AF"/>
    <w:rsid w:val="00115BE7"/>
    <w:rsid w:val="00115F6A"/>
    <w:rsid w:val="00116136"/>
    <w:rsid w:val="001162E7"/>
    <w:rsid w:val="0011642C"/>
    <w:rsid w:val="001166D4"/>
    <w:rsid w:val="0011694F"/>
    <w:rsid w:val="00116BB6"/>
    <w:rsid w:val="001172B8"/>
    <w:rsid w:val="0011770F"/>
    <w:rsid w:val="0011772F"/>
    <w:rsid w:val="001177E6"/>
    <w:rsid w:val="0012013F"/>
    <w:rsid w:val="001201D4"/>
    <w:rsid w:val="00120389"/>
    <w:rsid w:val="00120BA2"/>
    <w:rsid w:val="00120E25"/>
    <w:rsid w:val="001210BE"/>
    <w:rsid w:val="001216AB"/>
    <w:rsid w:val="001217F7"/>
    <w:rsid w:val="0012227E"/>
    <w:rsid w:val="001230B7"/>
    <w:rsid w:val="00123147"/>
    <w:rsid w:val="001234AE"/>
    <w:rsid w:val="00123A42"/>
    <w:rsid w:val="00123D3B"/>
    <w:rsid w:val="00123D6D"/>
    <w:rsid w:val="001243E6"/>
    <w:rsid w:val="001244C1"/>
    <w:rsid w:val="00124A29"/>
    <w:rsid w:val="00124F32"/>
    <w:rsid w:val="0012536D"/>
    <w:rsid w:val="0012550F"/>
    <w:rsid w:val="00125668"/>
    <w:rsid w:val="001262A1"/>
    <w:rsid w:val="001269BD"/>
    <w:rsid w:val="00126E67"/>
    <w:rsid w:val="00126ED8"/>
    <w:rsid w:val="001270E2"/>
    <w:rsid w:val="001274BD"/>
    <w:rsid w:val="001275C7"/>
    <w:rsid w:val="001275DF"/>
    <w:rsid w:val="001275F5"/>
    <w:rsid w:val="00127803"/>
    <w:rsid w:val="00127BD9"/>
    <w:rsid w:val="0013078F"/>
    <w:rsid w:val="00130C9E"/>
    <w:rsid w:val="00130F9E"/>
    <w:rsid w:val="001314A1"/>
    <w:rsid w:val="001314E8"/>
    <w:rsid w:val="00131578"/>
    <w:rsid w:val="001319CA"/>
    <w:rsid w:val="001320F0"/>
    <w:rsid w:val="00132255"/>
    <w:rsid w:val="001323AC"/>
    <w:rsid w:val="0013244F"/>
    <w:rsid w:val="0013258D"/>
    <w:rsid w:val="001329BB"/>
    <w:rsid w:val="00132F2D"/>
    <w:rsid w:val="00132F58"/>
    <w:rsid w:val="001331CA"/>
    <w:rsid w:val="001332A7"/>
    <w:rsid w:val="00133394"/>
    <w:rsid w:val="00133D0B"/>
    <w:rsid w:val="00133E9C"/>
    <w:rsid w:val="00134245"/>
    <w:rsid w:val="00134AF4"/>
    <w:rsid w:val="00134CA2"/>
    <w:rsid w:val="00134CF5"/>
    <w:rsid w:val="00135302"/>
    <w:rsid w:val="0013547E"/>
    <w:rsid w:val="001356E2"/>
    <w:rsid w:val="00135736"/>
    <w:rsid w:val="0013577C"/>
    <w:rsid w:val="00135C7F"/>
    <w:rsid w:val="00135D05"/>
    <w:rsid w:val="00135FFD"/>
    <w:rsid w:val="001361C3"/>
    <w:rsid w:val="0013638A"/>
    <w:rsid w:val="00136AB2"/>
    <w:rsid w:val="00136C3E"/>
    <w:rsid w:val="001409B1"/>
    <w:rsid w:val="00140A43"/>
    <w:rsid w:val="001414A5"/>
    <w:rsid w:val="00141707"/>
    <w:rsid w:val="00141821"/>
    <w:rsid w:val="001418C8"/>
    <w:rsid w:val="0014210D"/>
    <w:rsid w:val="00142489"/>
    <w:rsid w:val="0014270A"/>
    <w:rsid w:val="00142C57"/>
    <w:rsid w:val="0014315F"/>
    <w:rsid w:val="00143948"/>
    <w:rsid w:val="00143C0F"/>
    <w:rsid w:val="00144B85"/>
    <w:rsid w:val="001451BC"/>
    <w:rsid w:val="00145358"/>
    <w:rsid w:val="001453BB"/>
    <w:rsid w:val="001455CD"/>
    <w:rsid w:val="00145D9B"/>
    <w:rsid w:val="001461F3"/>
    <w:rsid w:val="0014659B"/>
    <w:rsid w:val="0014694A"/>
    <w:rsid w:val="00146D4B"/>
    <w:rsid w:val="00146E12"/>
    <w:rsid w:val="00147209"/>
    <w:rsid w:val="00147259"/>
    <w:rsid w:val="001472FA"/>
    <w:rsid w:val="0014784C"/>
    <w:rsid w:val="001479B3"/>
    <w:rsid w:val="001504C7"/>
    <w:rsid w:val="00150BF8"/>
    <w:rsid w:val="00150C38"/>
    <w:rsid w:val="00150EAD"/>
    <w:rsid w:val="0015141E"/>
    <w:rsid w:val="001514D7"/>
    <w:rsid w:val="001518DA"/>
    <w:rsid w:val="00151AAE"/>
    <w:rsid w:val="00151F01"/>
    <w:rsid w:val="00152380"/>
    <w:rsid w:val="00152AC0"/>
    <w:rsid w:val="00152C99"/>
    <w:rsid w:val="00153368"/>
    <w:rsid w:val="001537BC"/>
    <w:rsid w:val="001537C7"/>
    <w:rsid w:val="00153816"/>
    <w:rsid w:val="001541AA"/>
    <w:rsid w:val="001545AB"/>
    <w:rsid w:val="001547D5"/>
    <w:rsid w:val="001548FB"/>
    <w:rsid w:val="00154E3B"/>
    <w:rsid w:val="00154E9F"/>
    <w:rsid w:val="0015505E"/>
    <w:rsid w:val="0015508B"/>
    <w:rsid w:val="001550F4"/>
    <w:rsid w:val="0015523E"/>
    <w:rsid w:val="0015555B"/>
    <w:rsid w:val="00155998"/>
    <w:rsid w:val="001559AC"/>
    <w:rsid w:val="00155BCB"/>
    <w:rsid w:val="001560F9"/>
    <w:rsid w:val="0015634B"/>
    <w:rsid w:val="00156859"/>
    <w:rsid w:val="001569C9"/>
    <w:rsid w:val="00156CF3"/>
    <w:rsid w:val="00157102"/>
    <w:rsid w:val="00157160"/>
    <w:rsid w:val="00157337"/>
    <w:rsid w:val="00157357"/>
    <w:rsid w:val="001574D8"/>
    <w:rsid w:val="0015789A"/>
    <w:rsid w:val="00157B51"/>
    <w:rsid w:val="00157E0E"/>
    <w:rsid w:val="00157F85"/>
    <w:rsid w:val="00157FFA"/>
    <w:rsid w:val="001600DF"/>
    <w:rsid w:val="001602C4"/>
    <w:rsid w:val="0016030E"/>
    <w:rsid w:val="00160601"/>
    <w:rsid w:val="00160771"/>
    <w:rsid w:val="00160FD4"/>
    <w:rsid w:val="001612A0"/>
    <w:rsid w:val="001614A0"/>
    <w:rsid w:val="00161BCC"/>
    <w:rsid w:val="00161D73"/>
    <w:rsid w:val="0016207A"/>
    <w:rsid w:val="00162211"/>
    <w:rsid w:val="00162A57"/>
    <w:rsid w:val="001631CB"/>
    <w:rsid w:val="00163564"/>
    <w:rsid w:val="00163874"/>
    <w:rsid w:val="00163AA0"/>
    <w:rsid w:val="001643F5"/>
    <w:rsid w:val="00164423"/>
    <w:rsid w:val="00164487"/>
    <w:rsid w:val="00165030"/>
    <w:rsid w:val="00165730"/>
    <w:rsid w:val="00165D38"/>
    <w:rsid w:val="00165DF8"/>
    <w:rsid w:val="0016616D"/>
    <w:rsid w:val="00166194"/>
    <w:rsid w:val="0016694A"/>
    <w:rsid w:val="00166CAF"/>
    <w:rsid w:val="00166D14"/>
    <w:rsid w:val="00166E01"/>
    <w:rsid w:val="00167036"/>
    <w:rsid w:val="00167150"/>
    <w:rsid w:val="001672F2"/>
    <w:rsid w:val="001704D2"/>
    <w:rsid w:val="0017098E"/>
    <w:rsid w:val="0017099B"/>
    <w:rsid w:val="00171193"/>
    <w:rsid w:val="00171521"/>
    <w:rsid w:val="00171572"/>
    <w:rsid w:val="00171650"/>
    <w:rsid w:val="00171720"/>
    <w:rsid w:val="001717C6"/>
    <w:rsid w:val="00171BA8"/>
    <w:rsid w:val="001720FB"/>
    <w:rsid w:val="001722C6"/>
    <w:rsid w:val="0017270D"/>
    <w:rsid w:val="001727E3"/>
    <w:rsid w:val="00172A0E"/>
    <w:rsid w:val="001738C2"/>
    <w:rsid w:val="00173A1E"/>
    <w:rsid w:val="001745EA"/>
    <w:rsid w:val="00174822"/>
    <w:rsid w:val="00174940"/>
    <w:rsid w:val="00174BD7"/>
    <w:rsid w:val="00174DC8"/>
    <w:rsid w:val="00175910"/>
    <w:rsid w:val="00175AEC"/>
    <w:rsid w:val="00175DEF"/>
    <w:rsid w:val="00175E40"/>
    <w:rsid w:val="00175E4B"/>
    <w:rsid w:val="00176080"/>
    <w:rsid w:val="001764E2"/>
    <w:rsid w:val="00176531"/>
    <w:rsid w:val="001769EF"/>
    <w:rsid w:val="00176F32"/>
    <w:rsid w:val="001773E4"/>
    <w:rsid w:val="00177578"/>
    <w:rsid w:val="0017763F"/>
    <w:rsid w:val="0017797B"/>
    <w:rsid w:val="00177E5A"/>
    <w:rsid w:val="00177E9F"/>
    <w:rsid w:val="00177F3A"/>
    <w:rsid w:val="00177F8C"/>
    <w:rsid w:val="0018070B"/>
    <w:rsid w:val="0018075E"/>
    <w:rsid w:val="001807AC"/>
    <w:rsid w:val="001807ED"/>
    <w:rsid w:val="0018094C"/>
    <w:rsid w:val="00180959"/>
    <w:rsid w:val="00180B2F"/>
    <w:rsid w:val="00180E58"/>
    <w:rsid w:val="00180F07"/>
    <w:rsid w:val="0018172B"/>
    <w:rsid w:val="00181C5E"/>
    <w:rsid w:val="0018243A"/>
    <w:rsid w:val="00182A9B"/>
    <w:rsid w:val="00183251"/>
    <w:rsid w:val="001833F2"/>
    <w:rsid w:val="00183428"/>
    <w:rsid w:val="00183545"/>
    <w:rsid w:val="0018384D"/>
    <w:rsid w:val="0018389D"/>
    <w:rsid w:val="001838CD"/>
    <w:rsid w:val="00183D65"/>
    <w:rsid w:val="0018415C"/>
    <w:rsid w:val="001842C4"/>
    <w:rsid w:val="001849D5"/>
    <w:rsid w:val="001854A2"/>
    <w:rsid w:val="00185986"/>
    <w:rsid w:val="00185B87"/>
    <w:rsid w:val="00185BCC"/>
    <w:rsid w:val="00185D77"/>
    <w:rsid w:val="00185FCB"/>
    <w:rsid w:val="00186065"/>
    <w:rsid w:val="001865C9"/>
    <w:rsid w:val="00186C37"/>
    <w:rsid w:val="00186CD0"/>
    <w:rsid w:val="00186E05"/>
    <w:rsid w:val="00187050"/>
    <w:rsid w:val="001871A8"/>
    <w:rsid w:val="00187333"/>
    <w:rsid w:val="001874C0"/>
    <w:rsid w:val="00187A9D"/>
    <w:rsid w:val="00187F36"/>
    <w:rsid w:val="00190347"/>
    <w:rsid w:val="001906B0"/>
    <w:rsid w:val="00190AA2"/>
    <w:rsid w:val="00190E30"/>
    <w:rsid w:val="00190E50"/>
    <w:rsid w:val="00191078"/>
    <w:rsid w:val="001910EC"/>
    <w:rsid w:val="0019117E"/>
    <w:rsid w:val="00191B06"/>
    <w:rsid w:val="00191DCF"/>
    <w:rsid w:val="00191EED"/>
    <w:rsid w:val="00191F70"/>
    <w:rsid w:val="00192413"/>
    <w:rsid w:val="00192562"/>
    <w:rsid w:val="001925E8"/>
    <w:rsid w:val="00192C6B"/>
    <w:rsid w:val="00192F64"/>
    <w:rsid w:val="00192F97"/>
    <w:rsid w:val="00193746"/>
    <w:rsid w:val="001937BB"/>
    <w:rsid w:val="001938F8"/>
    <w:rsid w:val="001940AC"/>
    <w:rsid w:val="001940C1"/>
    <w:rsid w:val="00194CB6"/>
    <w:rsid w:val="001951F7"/>
    <w:rsid w:val="001951F9"/>
    <w:rsid w:val="001952F6"/>
    <w:rsid w:val="00195D92"/>
    <w:rsid w:val="0019613F"/>
    <w:rsid w:val="00196836"/>
    <w:rsid w:val="00196AA8"/>
    <w:rsid w:val="00196AFB"/>
    <w:rsid w:val="00196F67"/>
    <w:rsid w:val="00197283"/>
    <w:rsid w:val="0019747D"/>
    <w:rsid w:val="00197844"/>
    <w:rsid w:val="00197AC0"/>
    <w:rsid w:val="00197F7F"/>
    <w:rsid w:val="001A06BF"/>
    <w:rsid w:val="001A0A2F"/>
    <w:rsid w:val="001A0CDD"/>
    <w:rsid w:val="001A0F49"/>
    <w:rsid w:val="001A10D5"/>
    <w:rsid w:val="001A18AA"/>
    <w:rsid w:val="001A1B51"/>
    <w:rsid w:val="001A1F93"/>
    <w:rsid w:val="001A2146"/>
    <w:rsid w:val="001A221C"/>
    <w:rsid w:val="001A2367"/>
    <w:rsid w:val="001A2772"/>
    <w:rsid w:val="001A2F4C"/>
    <w:rsid w:val="001A3164"/>
    <w:rsid w:val="001A3364"/>
    <w:rsid w:val="001A3D86"/>
    <w:rsid w:val="001A41B4"/>
    <w:rsid w:val="001A45E8"/>
    <w:rsid w:val="001A5017"/>
    <w:rsid w:val="001A5583"/>
    <w:rsid w:val="001A5EB5"/>
    <w:rsid w:val="001A5F16"/>
    <w:rsid w:val="001A5F82"/>
    <w:rsid w:val="001A6E97"/>
    <w:rsid w:val="001A712F"/>
    <w:rsid w:val="001A7644"/>
    <w:rsid w:val="001A7729"/>
    <w:rsid w:val="001B0195"/>
    <w:rsid w:val="001B019D"/>
    <w:rsid w:val="001B05C2"/>
    <w:rsid w:val="001B069D"/>
    <w:rsid w:val="001B07C6"/>
    <w:rsid w:val="001B0EFC"/>
    <w:rsid w:val="001B1201"/>
    <w:rsid w:val="001B1205"/>
    <w:rsid w:val="001B1F00"/>
    <w:rsid w:val="001B21CA"/>
    <w:rsid w:val="001B2A2B"/>
    <w:rsid w:val="001B3443"/>
    <w:rsid w:val="001B34D1"/>
    <w:rsid w:val="001B3776"/>
    <w:rsid w:val="001B3B27"/>
    <w:rsid w:val="001B40C2"/>
    <w:rsid w:val="001B42F5"/>
    <w:rsid w:val="001B44C3"/>
    <w:rsid w:val="001B4762"/>
    <w:rsid w:val="001B48D1"/>
    <w:rsid w:val="001B53EB"/>
    <w:rsid w:val="001B5B16"/>
    <w:rsid w:val="001B5EEF"/>
    <w:rsid w:val="001B630C"/>
    <w:rsid w:val="001B663D"/>
    <w:rsid w:val="001B6A30"/>
    <w:rsid w:val="001B6A78"/>
    <w:rsid w:val="001B7388"/>
    <w:rsid w:val="001B7936"/>
    <w:rsid w:val="001B79C7"/>
    <w:rsid w:val="001B7A18"/>
    <w:rsid w:val="001B7A86"/>
    <w:rsid w:val="001B7AD7"/>
    <w:rsid w:val="001B7D4C"/>
    <w:rsid w:val="001B7DCA"/>
    <w:rsid w:val="001C0147"/>
    <w:rsid w:val="001C032F"/>
    <w:rsid w:val="001C0B83"/>
    <w:rsid w:val="001C0D07"/>
    <w:rsid w:val="001C0FDE"/>
    <w:rsid w:val="001C1206"/>
    <w:rsid w:val="001C152C"/>
    <w:rsid w:val="001C1650"/>
    <w:rsid w:val="001C172A"/>
    <w:rsid w:val="001C1BDF"/>
    <w:rsid w:val="001C20DA"/>
    <w:rsid w:val="001C21AB"/>
    <w:rsid w:val="001C22B9"/>
    <w:rsid w:val="001C264C"/>
    <w:rsid w:val="001C2780"/>
    <w:rsid w:val="001C28D2"/>
    <w:rsid w:val="001C2AA1"/>
    <w:rsid w:val="001C2CAA"/>
    <w:rsid w:val="001C2D99"/>
    <w:rsid w:val="001C2FE0"/>
    <w:rsid w:val="001C345E"/>
    <w:rsid w:val="001C37C5"/>
    <w:rsid w:val="001C3A01"/>
    <w:rsid w:val="001C41AD"/>
    <w:rsid w:val="001C44DC"/>
    <w:rsid w:val="001C51FC"/>
    <w:rsid w:val="001C5456"/>
    <w:rsid w:val="001C5E2F"/>
    <w:rsid w:val="001C5F04"/>
    <w:rsid w:val="001C6055"/>
    <w:rsid w:val="001C610D"/>
    <w:rsid w:val="001C663B"/>
    <w:rsid w:val="001C6923"/>
    <w:rsid w:val="001C70B5"/>
    <w:rsid w:val="001C7142"/>
    <w:rsid w:val="001C769A"/>
    <w:rsid w:val="001C77F7"/>
    <w:rsid w:val="001C79A8"/>
    <w:rsid w:val="001C7A5A"/>
    <w:rsid w:val="001D0662"/>
    <w:rsid w:val="001D0AE4"/>
    <w:rsid w:val="001D0B68"/>
    <w:rsid w:val="001D0D1A"/>
    <w:rsid w:val="001D0FB2"/>
    <w:rsid w:val="001D110B"/>
    <w:rsid w:val="001D1D3B"/>
    <w:rsid w:val="001D200E"/>
    <w:rsid w:val="001D21DE"/>
    <w:rsid w:val="001D226A"/>
    <w:rsid w:val="001D28D0"/>
    <w:rsid w:val="001D2AF1"/>
    <w:rsid w:val="001D3587"/>
    <w:rsid w:val="001D3AC8"/>
    <w:rsid w:val="001D3BBE"/>
    <w:rsid w:val="001D440D"/>
    <w:rsid w:val="001D507E"/>
    <w:rsid w:val="001D57AF"/>
    <w:rsid w:val="001D59B0"/>
    <w:rsid w:val="001D5C60"/>
    <w:rsid w:val="001D5D8C"/>
    <w:rsid w:val="001D6435"/>
    <w:rsid w:val="001D658B"/>
    <w:rsid w:val="001D6A08"/>
    <w:rsid w:val="001D6C32"/>
    <w:rsid w:val="001D6D96"/>
    <w:rsid w:val="001D6F1C"/>
    <w:rsid w:val="001D7094"/>
    <w:rsid w:val="001D73E5"/>
    <w:rsid w:val="001D75FA"/>
    <w:rsid w:val="001D76CC"/>
    <w:rsid w:val="001D7C3C"/>
    <w:rsid w:val="001D7C4E"/>
    <w:rsid w:val="001D7F51"/>
    <w:rsid w:val="001E0069"/>
    <w:rsid w:val="001E05FB"/>
    <w:rsid w:val="001E0BF8"/>
    <w:rsid w:val="001E110F"/>
    <w:rsid w:val="001E12DE"/>
    <w:rsid w:val="001E1340"/>
    <w:rsid w:val="001E1388"/>
    <w:rsid w:val="001E146E"/>
    <w:rsid w:val="001E234B"/>
    <w:rsid w:val="001E2467"/>
    <w:rsid w:val="001E2602"/>
    <w:rsid w:val="001E26B2"/>
    <w:rsid w:val="001E2778"/>
    <w:rsid w:val="001E2873"/>
    <w:rsid w:val="001E28E8"/>
    <w:rsid w:val="001E2AA8"/>
    <w:rsid w:val="001E2C12"/>
    <w:rsid w:val="001E2D75"/>
    <w:rsid w:val="001E2D81"/>
    <w:rsid w:val="001E2E7D"/>
    <w:rsid w:val="001E2FA6"/>
    <w:rsid w:val="001E3B00"/>
    <w:rsid w:val="001E3B1E"/>
    <w:rsid w:val="001E3E01"/>
    <w:rsid w:val="001E3E7E"/>
    <w:rsid w:val="001E4129"/>
    <w:rsid w:val="001E43FB"/>
    <w:rsid w:val="001E4541"/>
    <w:rsid w:val="001E454C"/>
    <w:rsid w:val="001E59A7"/>
    <w:rsid w:val="001E6840"/>
    <w:rsid w:val="001E68C9"/>
    <w:rsid w:val="001E70CB"/>
    <w:rsid w:val="001E7BD7"/>
    <w:rsid w:val="001E7DD8"/>
    <w:rsid w:val="001F0039"/>
    <w:rsid w:val="001F051E"/>
    <w:rsid w:val="001F0668"/>
    <w:rsid w:val="001F0F85"/>
    <w:rsid w:val="001F106D"/>
    <w:rsid w:val="001F1810"/>
    <w:rsid w:val="001F1F3B"/>
    <w:rsid w:val="001F1FDE"/>
    <w:rsid w:val="001F2080"/>
    <w:rsid w:val="001F2143"/>
    <w:rsid w:val="001F2CAD"/>
    <w:rsid w:val="001F32DE"/>
    <w:rsid w:val="001F38C2"/>
    <w:rsid w:val="001F39BC"/>
    <w:rsid w:val="001F3BDC"/>
    <w:rsid w:val="001F3C76"/>
    <w:rsid w:val="001F412C"/>
    <w:rsid w:val="001F41DF"/>
    <w:rsid w:val="001F45A9"/>
    <w:rsid w:val="001F4E4A"/>
    <w:rsid w:val="001F50C1"/>
    <w:rsid w:val="001F5908"/>
    <w:rsid w:val="001F5AE9"/>
    <w:rsid w:val="001F5BF0"/>
    <w:rsid w:val="001F5E80"/>
    <w:rsid w:val="001F6731"/>
    <w:rsid w:val="001F7873"/>
    <w:rsid w:val="001F79BC"/>
    <w:rsid w:val="001F7A1B"/>
    <w:rsid w:val="001F7ECF"/>
    <w:rsid w:val="001F7FDD"/>
    <w:rsid w:val="0020028B"/>
    <w:rsid w:val="0020046F"/>
    <w:rsid w:val="002005FF"/>
    <w:rsid w:val="0020062E"/>
    <w:rsid w:val="002009CD"/>
    <w:rsid w:val="00200C9C"/>
    <w:rsid w:val="00200F16"/>
    <w:rsid w:val="00201125"/>
    <w:rsid w:val="0020199E"/>
    <w:rsid w:val="00201BB2"/>
    <w:rsid w:val="00201BD9"/>
    <w:rsid w:val="00201F6F"/>
    <w:rsid w:val="0020226D"/>
    <w:rsid w:val="002026EA"/>
    <w:rsid w:val="00202BC7"/>
    <w:rsid w:val="00202D1C"/>
    <w:rsid w:val="00202DB4"/>
    <w:rsid w:val="00203486"/>
    <w:rsid w:val="002036D3"/>
    <w:rsid w:val="002038D2"/>
    <w:rsid w:val="00203AF6"/>
    <w:rsid w:val="0020415E"/>
    <w:rsid w:val="00204166"/>
    <w:rsid w:val="00204229"/>
    <w:rsid w:val="00204517"/>
    <w:rsid w:val="00204534"/>
    <w:rsid w:val="0020470D"/>
    <w:rsid w:val="00204BEE"/>
    <w:rsid w:val="00204E3F"/>
    <w:rsid w:val="00204F27"/>
    <w:rsid w:val="002053E4"/>
    <w:rsid w:val="0020555B"/>
    <w:rsid w:val="00205BC3"/>
    <w:rsid w:val="00205C46"/>
    <w:rsid w:val="002061EB"/>
    <w:rsid w:val="00206327"/>
    <w:rsid w:val="00206AA7"/>
    <w:rsid w:val="00206C3E"/>
    <w:rsid w:val="00206E7E"/>
    <w:rsid w:val="00206F6E"/>
    <w:rsid w:val="00206FF1"/>
    <w:rsid w:val="002074CE"/>
    <w:rsid w:val="002078AD"/>
    <w:rsid w:val="002078D3"/>
    <w:rsid w:val="0020796B"/>
    <w:rsid w:val="00207C38"/>
    <w:rsid w:val="00207EA5"/>
    <w:rsid w:val="00207EFB"/>
    <w:rsid w:val="002105F7"/>
    <w:rsid w:val="0021097C"/>
    <w:rsid w:val="00210A7C"/>
    <w:rsid w:val="00210B2C"/>
    <w:rsid w:val="002116C8"/>
    <w:rsid w:val="00211A73"/>
    <w:rsid w:val="00211FB7"/>
    <w:rsid w:val="00212250"/>
    <w:rsid w:val="002129AE"/>
    <w:rsid w:val="00212AC4"/>
    <w:rsid w:val="00212AF8"/>
    <w:rsid w:val="00212BB5"/>
    <w:rsid w:val="00213239"/>
    <w:rsid w:val="00213286"/>
    <w:rsid w:val="002132C5"/>
    <w:rsid w:val="00213592"/>
    <w:rsid w:val="0021395E"/>
    <w:rsid w:val="00214044"/>
    <w:rsid w:val="002142E1"/>
    <w:rsid w:val="00214578"/>
    <w:rsid w:val="002147B7"/>
    <w:rsid w:val="00215607"/>
    <w:rsid w:val="002157AE"/>
    <w:rsid w:val="00215C83"/>
    <w:rsid w:val="00215CDD"/>
    <w:rsid w:val="002161AE"/>
    <w:rsid w:val="00216340"/>
    <w:rsid w:val="00216DD6"/>
    <w:rsid w:val="00217209"/>
    <w:rsid w:val="002173D9"/>
    <w:rsid w:val="002175F5"/>
    <w:rsid w:val="0021772A"/>
    <w:rsid w:val="002178D3"/>
    <w:rsid w:val="00217B1F"/>
    <w:rsid w:val="00217BF5"/>
    <w:rsid w:val="002209C1"/>
    <w:rsid w:val="0022145F"/>
    <w:rsid w:val="0022153A"/>
    <w:rsid w:val="00221664"/>
    <w:rsid w:val="00221EE3"/>
    <w:rsid w:val="0022219C"/>
    <w:rsid w:val="002227B6"/>
    <w:rsid w:val="0022299E"/>
    <w:rsid w:val="002229DB"/>
    <w:rsid w:val="00222A45"/>
    <w:rsid w:val="00222E15"/>
    <w:rsid w:val="00222E2F"/>
    <w:rsid w:val="00222FC6"/>
    <w:rsid w:val="00223054"/>
    <w:rsid w:val="0022316D"/>
    <w:rsid w:val="0022331C"/>
    <w:rsid w:val="002237DB"/>
    <w:rsid w:val="00223A05"/>
    <w:rsid w:val="00223AAD"/>
    <w:rsid w:val="00224135"/>
    <w:rsid w:val="0022437C"/>
    <w:rsid w:val="002243FA"/>
    <w:rsid w:val="002248CD"/>
    <w:rsid w:val="00224AC8"/>
    <w:rsid w:val="00224B30"/>
    <w:rsid w:val="00225072"/>
    <w:rsid w:val="002251B6"/>
    <w:rsid w:val="00225257"/>
    <w:rsid w:val="00225887"/>
    <w:rsid w:val="00225A00"/>
    <w:rsid w:val="002262DB"/>
    <w:rsid w:val="002265AF"/>
    <w:rsid w:val="00226978"/>
    <w:rsid w:val="00226A15"/>
    <w:rsid w:val="00226CA6"/>
    <w:rsid w:val="0022729C"/>
    <w:rsid w:val="00227802"/>
    <w:rsid w:val="00227D5C"/>
    <w:rsid w:val="00230048"/>
    <w:rsid w:val="00230619"/>
    <w:rsid w:val="0023080E"/>
    <w:rsid w:val="0023108C"/>
    <w:rsid w:val="002310DB"/>
    <w:rsid w:val="0023138C"/>
    <w:rsid w:val="00231763"/>
    <w:rsid w:val="00231D97"/>
    <w:rsid w:val="00231E16"/>
    <w:rsid w:val="00232CB0"/>
    <w:rsid w:val="00232FBC"/>
    <w:rsid w:val="002331E7"/>
    <w:rsid w:val="0023329D"/>
    <w:rsid w:val="00233422"/>
    <w:rsid w:val="002338BD"/>
    <w:rsid w:val="00233CEF"/>
    <w:rsid w:val="002344B5"/>
    <w:rsid w:val="002344CD"/>
    <w:rsid w:val="002348B7"/>
    <w:rsid w:val="00234A2C"/>
    <w:rsid w:val="00234A93"/>
    <w:rsid w:val="002351B3"/>
    <w:rsid w:val="002355B4"/>
    <w:rsid w:val="00235840"/>
    <w:rsid w:val="00235B83"/>
    <w:rsid w:val="00235DD0"/>
    <w:rsid w:val="0023656C"/>
    <w:rsid w:val="00236BB7"/>
    <w:rsid w:val="00236FB1"/>
    <w:rsid w:val="0023722B"/>
    <w:rsid w:val="00237403"/>
    <w:rsid w:val="00237606"/>
    <w:rsid w:val="00237812"/>
    <w:rsid w:val="002378DB"/>
    <w:rsid w:val="00237BA5"/>
    <w:rsid w:val="00237EDF"/>
    <w:rsid w:val="002400C9"/>
    <w:rsid w:val="002406FB"/>
    <w:rsid w:val="00240756"/>
    <w:rsid w:val="002407CB"/>
    <w:rsid w:val="00240A81"/>
    <w:rsid w:val="0024113A"/>
    <w:rsid w:val="00241429"/>
    <w:rsid w:val="002414A7"/>
    <w:rsid w:val="00241D60"/>
    <w:rsid w:val="00241E3C"/>
    <w:rsid w:val="00241EC8"/>
    <w:rsid w:val="002420FB"/>
    <w:rsid w:val="00242398"/>
    <w:rsid w:val="002429D9"/>
    <w:rsid w:val="00242FBF"/>
    <w:rsid w:val="00242FDD"/>
    <w:rsid w:val="00243920"/>
    <w:rsid w:val="00243A06"/>
    <w:rsid w:val="00243BE2"/>
    <w:rsid w:val="00243C68"/>
    <w:rsid w:val="00243C74"/>
    <w:rsid w:val="00243F10"/>
    <w:rsid w:val="00244046"/>
    <w:rsid w:val="00244246"/>
    <w:rsid w:val="002449F8"/>
    <w:rsid w:val="00244CFB"/>
    <w:rsid w:val="00244DF5"/>
    <w:rsid w:val="002454FD"/>
    <w:rsid w:val="0024571F"/>
    <w:rsid w:val="00245D95"/>
    <w:rsid w:val="00246052"/>
    <w:rsid w:val="0024629F"/>
    <w:rsid w:val="002463C5"/>
    <w:rsid w:val="002463DB"/>
    <w:rsid w:val="00246A00"/>
    <w:rsid w:val="0024713F"/>
    <w:rsid w:val="00247263"/>
    <w:rsid w:val="00247585"/>
    <w:rsid w:val="002477A3"/>
    <w:rsid w:val="002477F8"/>
    <w:rsid w:val="00247802"/>
    <w:rsid w:val="002478E5"/>
    <w:rsid w:val="00247D0A"/>
    <w:rsid w:val="00247FBB"/>
    <w:rsid w:val="00250287"/>
    <w:rsid w:val="00250749"/>
    <w:rsid w:val="00250831"/>
    <w:rsid w:val="0025096F"/>
    <w:rsid w:val="00250B6A"/>
    <w:rsid w:val="00250E64"/>
    <w:rsid w:val="00250F17"/>
    <w:rsid w:val="00251234"/>
    <w:rsid w:val="002512D3"/>
    <w:rsid w:val="002513F9"/>
    <w:rsid w:val="00251441"/>
    <w:rsid w:val="00251B9C"/>
    <w:rsid w:val="00251EEE"/>
    <w:rsid w:val="00251F4F"/>
    <w:rsid w:val="00251FF0"/>
    <w:rsid w:val="0025260E"/>
    <w:rsid w:val="0025276E"/>
    <w:rsid w:val="00252ACF"/>
    <w:rsid w:val="00252DFB"/>
    <w:rsid w:val="0025322B"/>
    <w:rsid w:val="00253414"/>
    <w:rsid w:val="00253675"/>
    <w:rsid w:val="00253780"/>
    <w:rsid w:val="00253A5F"/>
    <w:rsid w:val="00253A8A"/>
    <w:rsid w:val="00254741"/>
    <w:rsid w:val="002549ED"/>
    <w:rsid w:val="00254BE8"/>
    <w:rsid w:val="00254CDA"/>
    <w:rsid w:val="00254F39"/>
    <w:rsid w:val="00254FB2"/>
    <w:rsid w:val="002552B6"/>
    <w:rsid w:val="002553AA"/>
    <w:rsid w:val="00255AD3"/>
    <w:rsid w:val="00255CBF"/>
    <w:rsid w:val="00255E89"/>
    <w:rsid w:val="00256852"/>
    <w:rsid w:val="002569BB"/>
    <w:rsid w:val="00256AEF"/>
    <w:rsid w:val="00256CD6"/>
    <w:rsid w:val="00256FEA"/>
    <w:rsid w:val="00256FF5"/>
    <w:rsid w:val="00257032"/>
    <w:rsid w:val="00257203"/>
    <w:rsid w:val="0025730A"/>
    <w:rsid w:val="002573F4"/>
    <w:rsid w:val="0025740C"/>
    <w:rsid w:val="002575B0"/>
    <w:rsid w:val="00257CB6"/>
    <w:rsid w:val="00257CCD"/>
    <w:rsid w:val="00257D79"/>
    <w:rsid w:val="0026010C"/>
    <w:rsid w:val="00260575"/>
    <w:rsid w:val="00260670"/>
    <w:rsid w:val="00260735"/>
    <w:rsid w:val="00260A8A"/>
    <w:rsid w:val="00261408"/>
    <w:rsid w:val="002616A4"/>
    <w:rsid w:val="00261F2A"/>
    <w:rsid w:val="00262127"/>
    <w:rsid w:val="0026216A"/>
    <w:rsid w:val="00262CD7"/>
    <w:rsid w:val="00263692"/>
    <w:rsid w:val="00264359"/>
    <w:rsid w:val="00264364"/>
    <w:rsid w:val="002647E1"/>
    <w:rsid w:val="00264889"/>
    <w:rsid w:val="0026513E"/>
    <w:rsid w:val="0026519D"/>
    <w:rsid w:val="00265361"/>
    <w:rsid w:val="00265446"/>
    <w:rsid w:val="00265614"/>
    <w:rsid w:val="002657B0"/>
    <w:rsid w:val="00265DC7"/>
    <w:rsid w:val="00265FE6"/>
    <w:rsid w:val="00266262"/>
    <w:rsid w:val="00266334"/>
    <w:rsid w:val="00266516"/>
    <w:rsid w:val="0026678E"/>
    <w:rsid w:val="0026690E"/>
    <w:rsid w:val="00266968"/>
    <w:rsid w:val="00266A9B"/>
    <w:rsid w:val="00266B40"/>
    <w:rsid w:val="00266C7A"/>
    <w:rsid w:val="00266DC2"/>
    <w:rsid w:val="00267315"/>
    <w:rsid w:val="0026758D"/>
    <w:rsid w:val="0026792F"/>
    <w:rsid w:val="00267BAF"/>
    <w:rsid w:val="00267E18"/>
    <w:rsid w:val="002700F1"/>
    <w:rsid w:val="002703BB"/>
    <w:rsid w:val="0027084B"/>
    <w:rsid w:val="00270866"/>
    <w:rsid w:val="00270DA4"/>
    <w:rsid w:val="00270E97"/>
    <w:rsid w:val="00270F66"/>
    <w:rsid w:val="002710A2"/>
    <w:rsid w:val="002711B9"/>
    <w:rsid w:val="0027135D"/>
    <w:rsid w:val="00271717"/>
    <w:rsid w:val="002717C3"/>
    <w:rsid w:val="00271CFE"/>
    <w:rsid w:val="002724A3"/>
    <w:rsid w:val="00272500"/>
    <w:rsid w:val="002725AC"/>
    <w:rsid w:val="00272695"/>
    <w:rsid w:val="00272B90"/>
    <w:rsid w:val="00272C71"/>
    <w:rsid w:val="00272D26"/>
    <w:rsid w:val="00272D9A"/>
    <w:rsid w:val="00273B42"/>
    <w:rsid w:val="00273BDB"/>
    <w:rsid w:val="00273D94"/>
    <w:rsid w:val="002740F3"/>
    <w:rsid w:val="002741EF"/>
    <w:rsid w:val="002746D6"/>
    <w:rsid w:val="0027474C"/>
    <w:rsid w:val="00274859"/>
    <w:rsid w:val="00274E20"/>
    <w:rsid w:val="002755AF"/>
    <w:rsid w:val="002755E3"/>
    <w:rsid w:val="00275AA5"/>
    <w:rsid w:val="00275BF3"/>
    <w:rsid w:val="00276094"/>
    <w:rsid w:val="0027627B"/>
    <w:rsid w:val="002763AF"/>
    <w:rsid w:val="00276423"/>
    <w:rsid w:val="00276436"/>
    <w:rsid w:val="002768F1"/>
    <w:rsid w:val="00276979"/>
    <w:rsid w:val="00276A36"/>
    <w:rsid w:val="00277043"/>
    <w:rsid w:val="00280C33"/>
    <w:rsid w:val="00280EAE"/>
    <w:rsid w:val="0028113B"/>
    <w:rsid w:val="00281508"/>
    <w:rsid w:val="002815C2"/>
    <w:rsid w:val="0028172C"/>
    <w:rsid w:val="0028187F"/>
    <w:rsid w:val="00281A36"/>
    <w:rsid w:val="002822B6"/>
    <w:rsid w:val="002824F5"/>
    <w:rsid w:val="00282A40"/>
    <w:rsid w:val="00282D9C"/>
    <w:rsid w:val="0028335E"/>
    <w:rsid w:val="0028345C"/>
    <w:rsid w:val="002835DE"/>
    <w:rsid w:val="00283D7C"/>
    <w:rsid w:val="002843C6"/>
    <w:rsid w:val="002845CE"/>
    <w:rsid w:val="00284E84"/>
    <w:rsid w:val="00284F30"/>
    <w:rsid w:val="002856F5"/>
    <w:rsid w:val="00285E03"/>
    <w:rsid w:val="00285F85"/>
    <w:rsid w:val="002866D5"/>
    <w:rsid w:val="00286946"/>
    <w:rsid w:val="00286DBC"/>
    <w:rsid w:val="00286DC5"/>
    <w:rsid w:val="00286F03"/>
    <w:rsid w:val="002873C6"/>
    <w:rsid w:val="00287BFB"/>
    <w:rsid w:val="0029087B"/>
    <w:rsid w:val="002908DD"/>
    <w:rsid w:val="00291A31"/>
    <w:rsid w:val="00291BF6"/>
    <w:rsid w:val="00291DC2"/>
    <w:rsid w:val="00291DD3"/>
    <w:rsid w:val="00291DD4"/>
    <w:rsid w:val="00291E6E"/>
    <w:rsid w:val="002923B0"/>
    <w:rsid w:val="002926F0"/>
    <w:rsid w:val="0029296B"/>
    <w:rsid w:val="00292C7A"/>
    <w:rsid w:val="00292FD4"/>
    <w:rsid w:val="0029368F"/>
    <w:rsid w:val="002936A5"/>
    <w:rsid w:val="0029389E"/>
    <w:rsid w:val="00293A93"/>
    <w:rsid w:val="00293C64"/>
    <w:rsid w:val="00293DBB"/>
    <w:rsid w:val="002945B4"/>
    <w:rsid w:val="00294895"/>
    <w:rsid w:val="00294D68"/>
    <w:rsid w:val="00294D7F"/>
    <w:rsid w:val="00295077"/>
    <w:rsid w:val="00295167"/>
    <w:rsid w:val="00295954"/>
    <w:rsid w:val="00295AF0"/>
    <w:rsid w:val="00295BA0"/>
    <w:rsid w:val="00296439"/>
    <w:rsid w:val="00296932"/>
    <w:rsid w:val="00296C96"/>
    <w:rsid w:val="002970A2"/>
    <w:rsid w:val="00297531"/>
    <w:rsid w:val="00297916"/>
    <w:rsid w:val="00297974"/>
    <w:rsid w:val="00297CD3"/>
    <w:rsid w:val="002A02F7"/>
    <w:rsid w:val="002A093E"/>
    <w:rsid w:val="002A0BF1"/>
    <w:rsid w:val="002A0F50"/>
    <w:rsid w:val="002A1546"/>
    <w:rsid w:val="002A1756"/>
    <w:rsid w:val="002A17F9"/>
    <w:rsid w:val="002A2167"/>
    <w:rsid w:val="002A2286"/>
    <w:rsid w:val="002A22D9"/>
    <w:rsid w:val="002A292C"/>
    <w:rsid w:val="002A293E"/>
    <w:rsid w:val="002A3422"/>
    <w:rsid w:val="002A3863"/>
    <w:rsid w:val="002A389E"/>
    <w:rsid w:val="002A3C48"/>
    <w:rsid w:val="002A4671"/>
    <w:rsid w:val="002A4E66"/>
    <w:rsid w:val="002A53CD"/>
    <w:rsid w:val="002A5BCB"/>
    <w:rsid w:val="002A5C75"/>
    <w:rsid w:val="002A5E16"/>
    <w:rsid w:val="002A614A"/>
    <w:rsid w:val="002A62B0"/>
    <w:rsid w:val="002A62C0"/>
    <w:rsid w:val="002A6EF3"/>
    <w:rsid w:val="002A7A35"/>
    <w:rsid w:val="002A7C14"/>
    <w:rsid w:val="002B019D"/>
    <w:rsid w:val="002B03B0"/>
    <w:rsid w:val="002B0497"/>
    <w:rsid w:val="002B11A3"/>
    <w:rsid w:val="002B137D"/>
    <w:rsid w:val="002B146B"/>
    <w:rsid w:val="002B15B6"/>
    <w:rsid w:val="002B1611"/>
    <w:rsid w:val="002B192E"/>
    <w:rsid w:val="002B1D8A"/>
    <w:rsid w:val="002B1F10"/>
    <w:rsid w:val="002B2866"/>
    <w:rsid w:val="002B2A6C"/>
    <w:rsid w:val="002B2D5B"/>
    <w:rsid w:val="002B2DEF"/>
    <w:rsid w:val="002B2E9C"/>
    <w:rsid w:val="002B3235"/>
    <w:rsid w:val="002B3B12"/>
    <w:rsid w:val="002B4121"/>
    <w:rsid w:val="002B4387"/>
    <w:rsid w:val="002B4393"/>
    <w:rsid w:val="002B4510"/>
    <w:rsid w:val="002B462B"/>
    <w:rsid w:val="002B4799"/>
    <w:rsid w:val="002B4C4F"/>
    <w:rsid w:val="002B51FB"/>
    <w:rsid w:val="002B5B64"/>
    <w:rsid w:val="002B5C09"/>
    <w:rsid w:val="002B6128"/>
    <w:rsid w:val="002B61D6"/>
    <w:rsid w:val="002B61FE"/>
    <w:rsid w:val="002B63FA"/>
    <w:rsid w:val="002B6442"/>
    <w:rsid w:val="002B67DA"/>
    <w:rsid w:val="002B68EF"/>
    <w:rsid w:val="002B696E"/>
    <w:rsid w:val="002B6AC6"/>
    <w:rsid w:val="002B78AE"/>
    <w:rsid w:val="002B7C6B"/>
    <w:rsid w:val="002B7DFE"/>
    <w:rsid w:val="002C0385"/>
    <w:rsid w:val="002C05BD"/>
    <w:rsid w:val="002C0ADD"/>
    <w:rsid w:val="002C0DBD"/>
    <w:rsid w:val="002C0E56"/>
    <w:rsid w:val="002C102D"/>
    <w:rsid w:val="002C18C1"/>
    <w:rsid w:val="002C1A88"/>
    <w:rsid w:val="002C2A74"/>
    <w:rsid w:val="002C32A1"/>
    <w:rsid w:val="002C3989"/>
    <w:rsid w:val="002C39AD"/>
    <w:rsid w:val="002C3AA9"/>
    <w:rsid w:val="002C3CED"/>
    <w:rsid w:val="002C3F06"/>
    <w:rsid w:val="002C450D"/>
    <w:rsid w:val="002C4900"/>
    <w:rsid w:val="002C4BDA"/>
    <w:rsid w:val="002C4D1A"/>
    <w:rsid w:val="002C4FAA"/>
    <w:rsid w:val="002C52BC"/>
    <w:rsid w:val="002C5616"/>
    <w:rsid w:val="002C5905"/>
    <w:rsid w:val="002C5916"/>
    <w:rsid w:val="002C635C"/>
    <w:rsid w:val="002C63B6"/>
    <w:rsid w:val="002C6B20"/>
    <w:rsid w:val="002C6DB1"/>
    <w:rsid w:val="002C7533"/>
    <w:rsid w:val="002C7BD0"/>
    <w:rsid w:val="002C7C8F"/>
    <w:rsid w:val="002D0879"/>
    <w:rsid w:val="002D08D7"/>
    <w:rsid w:val="002D0BF2"/>
    <w:rsid w:val="002D0CD9"/>
    <w:rsid w:val="002D107A"/>
    <w:rsid w:val="002D11EA"/>
    <w:rsid w:val="002D1275"/>
    <w:rsid w:val="002D185A"/>
    <w:rsid w:val="002D1886"/>
    <w:rsid w:val="002D18EC"/>
    <w:rsid w:val="002D19FB"/>
    <w:rsid w:val="002D1E54"/>
    <w:rsid w:val="002D1FE3"/>
    <w:rsid w:val="002D2021"/>
    <w:rsid w:val="002D23A9"/>
    <w:rsid w:val="002D2536"/>
    <w:rsid w:val="002D2564"/>
    <w:rsid w:val="002D2F76"/>
    <w:rsid w:val="002D2FD2"/>
    <w:rsid w:val="002D3001"/>
    <w:rsid w:val="002D3019"/>
    <w:rsid w:val="002D3642"/>
    <w:rsid w:val="002D4C2E"/>
    <w:rsid w:val="002D5258"/>
    <w:rsid w:val="002D6066"/>
    <w:rsid w:val="002D60CE"/>
    <w:rsid w:val="002D63AE"/>
    <w:rsid w:val="002D6790"/>
    <w:rsid w:val="002D6FCA"/>
    <w:rsid w:val="002D72D5"/>
    <w:rsid w:val="002D72DF"/>
    <w:rsid w:val="002D72FF"/>
    <w:rsid w:val="002D75B3"/>
    <w:rsid w:val="002D7BF4"/>
    <w:rsid w:val="002D7DF5"/>
    <w:rsid w:val="002E0105"/>
    <w:rsid w:val="002E0447"/>
    <w:rsid w:val="002E08DB"/>
    <w:rsid w:val="002E154C"/>
    <w:rsid w:val="002E1561"/>
    <w:rsid w:val="002E1A1D"/>
    <w:rsid w:val="002E28FD"/>
    <w:rsid w:val="002E292C"/>
    <w:rsid w:val="002E2D06"/>
    <w:rsid w:val="002E2DB2"/>
    <w:rsid w:val="002E2F45"/>
    <w:rsid w:val="002E3273"/>
    <w:rsid w:val="002E3367"/>
    <w:rsid w:val="002E3388"/>
    <w:rsid w:val="002E372E"/>
    <w:rsid w:val="002E3A16"/>
    <w:rsid w:val="002E3B72"/>
    <w:rsid w:val="002E3BC6"/>
    <w:rsid w:val="002E4168"/>
    <w:rsid w:val="002E4513"/>
    <w:rsid w:val="002E52D5"/>
    <w:rsid w:val="002E531B"/>
    <w:rsid w:val="002E53BA"/>
    <w:rsid w:val="002E5438"/>
    <w:rsid w:val="002E5508"/>
    <w:rsid w:val="002E5561"/>
    <w:rsid w:val="002E56BB"/>
    <w:rsid w:val="002E5CDA"/>
    <w:rsid w:val="002E5EDD"/>
    <w:rsid w:val="002E68A0"/>
    <w:rsid w:val="002E6E72"/>
    <w:rsid w:val="002E6F57"/>
    <w:rsid w:val="002E72A8"/>
    <w:rsid w:val="002E7311"/>
    <w:rsid w:val="002E77BA"/>
    <w:rsid w:val="002E77CC"/>
    <w:rsid w:val="002E7C48"/>
    <w:rsid w:val="002E7F34"/>
    <w:rsid w:val="002F01EB"/>
    <w:rsid w:val="002F02B8"/>
    <w:rsid w:val="002F0615"/>
    <w:rsid w:val="002F0901"/>
    <w:rsid w:val="002F0A0C"/>
    <w:rsid w:val="002F0CCD"/>
    <w:rsid w:val="002F0CEA"/>
    <w:rsid w:val="002F0F02"/>
    <w:rsid w:val="002F17E0"/>
    <w:rsid w:val="002F18BE"/>
    <w:rsid w:val="002F1B2E"/>
    <w:rsid w:val="002F1D29"/>
    <w:rsid w:val="002F2104"/>
    <w:rsid w:val="002F246F"/>
    <w:rsid w:val="002F24B5"/>
    <w:rsid w:val="002F25CF"/>
    <w:rsid w:val="002F2E01"/>
    <w:rsid w:val="002F300D"/>
    <w:rsid w:val="002F4265"/>
    <w:rsid w:val="002F43B8"/>
    <w:rsid w:val="002F46F5"/>
    <w:rsid w:val="002F49F9"/>
    <w:rsid w:val="002F5592"/>
    <w:rsid w:val="002F578A"/>
    <w:rsid w:val="002F5A7A"/>
    <w:rsid w:val="002F5BB4"/>
    <w:rsid w:val="002F5F27"/>
    <w:rsid w:val="002F6052"/>
    <w:rsid w:val="002F6159"/>
    <w:rsid w:val="002F620B"/>
    <w:rsid w:val="002F6B7C"/>
    <w:rsid w:val="002F70C5"/>
    <w:rsid w:val="002F77E8"/>
    <w:rsid w:val="002F7EC9"/>
    <w:rsid w:val="003003BF"/>
    <w:rsid w:val="003006E1"/>
    <w:rsid w:val="00300EE6"/>
    <w:rsid w:val="00301176"/>
    <w:rsid w:val="00301524"/>
    <w:rsid w:val="00301561"/>
    <w:rsid w:val="0030172E"/>
    <w:rsid w:val="00301CAE"/>
    <w:rsid w:val="00301FB9"/>
    <w:rsid w:val="003027D1"/>
    <w:rsid w:val="003029CD"/>
    <w:rsid w:val="00302AF2"/>
    <w:rsid w:val="00302B95"/>
    <w:rsid w:val="00302F55"/>
    <w:rsid w:val="00302FA7"/>
    <w:rsid w:val="0030361B"/>
    <w:rsid w:val="00303820"/>
    <w:rsid w:val="00303BB1"/>
    <w:rsid w:val="00303DBA"/>
    <w:rsid w:val="00304158"/>
    <w:rsid w:val="00304266"/>
    <w:rsid w:val="0030469F"/>
    <w:rsid w:val="003046BE"/>
    <w:rsid w:val="00304769"/>
    <w:rsid w:val="00304796"/>
    <w:rsid w:val="00304A10"/>
    <w:rsid w:val="0030538E"/>
    <w:rsid w:val="0030567F"/>
    <w:rsid w:val="00305745"/>
    <w:rsid w:val="003060B1"/>
    <w:rsid w:val="00306435"/>
    <w:rsid w:val="003066AB"/>
    <w:rsid w:val="003067E4"/>
    <w:rsid w:val="0030696F"/>
    <w:rsid w:val="003069C6"/>
    <w:rsid w:val="00306AA8"/>
    <w:rsid w:val="00306AC2"/>
    <w:rsid w:val="00306B2D"/>
    <w:rsid w:val="00306D5B"/>
    <w:rsid w:val="00306EF2"/>
    <w:rsid w:val="003071BE"/>
    <w:rsid w:val="003071C8"/>
    <w:rsid w:val="003072CD"/>
    <w:rsid w:val="0030786C"/>
    <w:rsid w:val="00307944"/>
    <w:rsid w:val="0030796F"/>
    <w:rsid w:val="00307B0B"/>
    <w:rsid w:val="00307B75"/>
    <w:rsid w:val="00307BEC"/>
    <w:rsid w:val="00307EF5"/>
    <w:rsid w:val="0031002A"/>
    <w:rsid w:val="00310079"/>
    <w:rsid w:val="00310BCE"/>
    <w:rsid w:val="00310D14"/>
    <w:rsid w:val="00310DC6"/>
    <w:rsid w:val="0031122A"/>
    <w:rsid w:val="00311245"/>
    <w:rsid w:val="003112A3"/>
    <w:rsid w:val="003117C1"/>
    <w:rsid w:val="00311ACD"/>
    <w:rsid w:val="003126DB"/>
    <w:rsid w:val="00312ECA"/>
    <w:rsid w:val="00313065"/>
    <w:rsid w:val="00313123"/>
    <w:rsid w:val="0031317F"/>
    <w:rsid w:val="003136D1"/>
    <w:rsid w:val="003136F2"/>
    <w:rsid w:val="00313DA2"/>
    <w:rsid w:val="00313E07"/>
    <w:rsid w:val="00313FC7"/>
    <w:rsid w:val="00314059"/>
    <w:rsid w:val="00314617"/>
    <w:rsid w:val="00314C04"/>
    <w:rsid w:val="00314F69"/>
    <w:rsid w:val="003155D5"/>
    <w:rsid w:val="00315865"/>
    <w:rsid w:val="00316395"/>
    <w:rsid w:val="00316F8A"/>
    <w:rsid w:val="003172F7"/>
    <w:rsid w:val="003173F7"/>
    <w:rsid w:val="003174CF"/>
    <w:rsid w:val="00317649"/>
    <w:rsid w:val="003176AC"/>
    <w:rsid w:val="0031799A"/>
    <w:rsid w:val="00317BC2"/>
    <w:rsid w:val="0032076A"/>
    <w:rsid w:val="00320A56"/>
    <w:rsid w:val="00320CBD"/>
    <w:rsid w:val="00320F7A"/>
    <w:rsid w:val="00321303"/>
    <w:rsid w:val="003216B7"/>
    <w:rsid w:val="00322084"/>
    <w:rsid w:val="0032230E"/>
    <w:rsid w:val="00322377"/>
    <w:rsid w:val="00322482"/>
    <w:rsid w:val="00322612"/>
    <w:rsid w:val="00323124"/>
    <w:rsid w:val="0032320C"/>
    <w:rsid w:val="00323267"/>
    <w:rsid w:val="00323844"/>
    <w:rsid w:val="00323937"/>
    <w:rsid w:val="00323AE8"/>
    <w:rsid w:val="00323B09"/>
    <w:rsid w:val="003241FB"/>
    <w:rsid w:val="00324415"/>
    <w:rsid w:val="003246CB"/>
    <w:rsid w:val="0032471A"/>
    <w:rsid w:val="00324818"/>
    <w:rsid w:val="00324AA4"/>
    <w:rsid w:val="00324AC4"/>
    <w:rsid w:val="00324DB6"/>
    <w:rsid w:val="003253A9"/>
    <w:rsid w:val="003254A5"/>
    <w:rsid w:val="0032559C"/>
    <w:rsid w:val="003257FD"/>
    <w:rsid w:val="00325905"/>
    <w:rsid w:val="00325CD4"/>
    <w:rsid w:val="0032617A"/>
    <w:rsid w:val="00326735"/>
    <w:rsid w:val="0032682F"/>
    <w:rsid w:val="00327122"/>
    <w:rsid w:val="0032732A"/>
    <w:rsid w:val="0032742C"/>
    <w:rsid w:val="0032775D"/>
    <w:rsid w:val="00327B99"/>
    <w:rsid w:val="00327C80"/>
    <w:rsid w:val="00327C9E"/>
    <w:rsid w:val="00327E2B"/>
    <w:rsid w:val="003302C5"/>
    <w:rsid w:val="00330440"/>
    <w:rsid w:val="00330C6E"/>
    <w:rsid w:val="0033134F"/>
    <w:rsid w:val="0033182C"/>
    <w:rsid w:val="00331CE6"/>
    <w:rsid w:val="003328F5"/>
    <w:rsid w:val="00332A99"/>
    <w:rsid w:val="00332E9E"/>
    <w:rsid w:val="00332FCF"/>
    <w:rsid w:val="00333150"/>
    <w:rsid w:val="00333345"/>
    <w:rsid w:val="00333B47"/>
    <w:rsid w:val="0033471B"/>
    <w:rsid w:val="003348CD"/>
    <w:rsid w:val="00334A19"/>
    <w:rsid w:val="00334B43"/>
    <w:rsid w:val="00334FFC"/>
    <w:rsid w:val="00335277"/>
    <w:rsid w:val="003352D0"/>
    <w:rsid w:val="003353A6"/>
    <w:rsid w:val="00335653"/>
    <w:rsid w:val="0033583A"/>
    <w:rsid w:val="00335FDF"/>
    <w:rsid w:val="003360A6"/>
    <w:rsid w:val="00336554"/>
    <w:rsid w:val="00336843"/>
    <w:rsid w:val="00336996"/>
    <w:rsid w:val="00336BD9"/>
    <w:rsid w:val="00336BFB"/>
    <w:rsid w:val="00336ECA"/>
    <w:rsid w:val="00336FDD"/>
    <w:rsid w:val="00337399"/>
    <w:rsid w:val="0033774D"/>
    <w:rsid w:val="003377A4"/>
    <w:rsid w:val="00337939"/>
    <w:rsid w:val="003379A2"/>
    <w:rsid w:val="00337DAC"/>
    <w:rsid w:val="00340515"/>
    <w:rsid w:val="00340724"/>
    <w:rsid w:val="003410B2"/>
    <w:rsid w:val="00341948"/>
    <w:rsid w:val="00341979"/>
    <w:rsid w:val="00341FDB"/>
    <w:rsid w:val="003420BD"/>
    <w:rsid w:val="003421F8"/>
    <w:rsid w:val="0034271D"/>
    <w:rsid w:val="00342F35"/>
    <w:rsid w:val="00343E34"/>
    <w:rsid w:val="00344392"/>
    <w:rsid w:val="0034447E"/>
    <w:rsid w:val="003444D2"/>
    <w:rsid w:val="00344975"/>
    <w:rsid w:val="00344A70"/>
    <w:rsid w:val="00344C0A"/>
    <w:rsid w:val="00345102"/>
    <w:rsid w:val="00345125"/>
    <w:rsid w:val="003455FB"/>
    <w:rsid w:val="0034566F"/>
    <w:rsid w:val="00346060"/>
    <w:rsid w:val="00346192"/>
    <w:rsid w:val="003464C0"/>
    <w:rsid w:val="003465F1"/>
    <w:rsid w:val="0034674B"/>
    <w:rsid w:val="00346F24"/>
    <w:rsid w:val="00346FA4"/>
    <w:rsid w:val="003474A3"/>
    <w:rsid w:val="00347894"/>
    <w:rsid w:val="00347BF0"/>
    <w:rsid w:val="00347D50"/>
    <w:rsid w:val="00347F89"/>
    <w:rsid w:val="00350453"/>
    <w:rsid w:val="003506D5"/>
    <w:rsid w:val="00350813"/>
    <w:rsid w:val="003509DB"/>
    <w:rsid w:val="00350D59"/>
    <w:rsid w:val="00350DFC"/>
    <w:rsid w:val="0035114A"/>
    <w:rsid w:val="00351654"/>
    <w:rsid w:val="0035187A"/>
    <w:rsid w:val="003518CA"/>
    <w:rsid w:val="00352220"/>
    <w:rsid w:val="003528C0"/>
    <w:rsid w:val="00352EC5"/>
    <w:rsid w:val="003530ED"/>
    <w:rsid w:val="00353206"/>
    <w:rsid w:val="00353249"/>
    <w:rsid w:val="00353632"/>
    <w:rsid w:val="00353A02"/>
    <w:rsid w:val="00354755"/>
    <w:rsid w:val="003549AB"/>
    <w:rsid w:val="00354AC7"/>
    <w:rsid w:val="003550F4"/>
    <w:rsid w:val="0035587F"/>
    <w:rsid w:val="00355ABE"/>
    <w:rsid w:val="00355E4D"/>
    <w:rsid w:val="00356202"/>
    <w:rsid w:val="003562BD"/>
    <w:rsid w:val="00356408"/>
    <w:rsid w:val="003565C0"/>
    <w:rsid w:val="003565F3"/>
    <w:rsid w:val="003566A2"/>
    <w:rsid w:val="00356CA1"/>
    <w:rsid w:val="003570D7"/>
    <w:rsid w:val="0035749D"/>
    <w:rsid w:val="003574B4"/>
    <w:rsid w:val="00357EE9"/>
    <w:rsid w:val="0036052D"/>
    <w:rsid w:val="003605BC"/>
    <w:rsid w:val="003607B2"/>
    <w:rsid w:val="003609AD"/>
    <w:rsid w:val="00360B7A"/>
    <w:rsid w:val="0036136D"/>
    <w:rsid w:val="003619B6"/>
    <w:rsid w:val="00361AA9"/>
    <w:rsid w:val="00361E1A"/>
    <w:rsid w:val="00361E69"/>
    <w:rsid w:val="00361FB0"/>
    <w:rsid w:val="00362789"/>
    <w:rsid w:val="003627A4"/>
    <w:rsid w:val="00362CA5"/>
    <w:rsid w:val="00362D02"/>
    <w:rsid w:val="00362D8A"/>
    <w:rsid w:val="00362E50"/>
    <w:rsid w:val="00362EB7"/>
    <w:rsid w:val="00363B4C"/>
    <w:rsid w:val="003643C9"/>
    <w:rsid w:val="00364BB7"/>
    <w:rsid w:val="0036565D"/>
    <w:rsid w:val="0036596E"/>
    <w:rsid w:val="00366080"/>
    <w:rsid w:val="00366129"/>
    <w:rsid w:val="00366CAB"/>
    <w:rsid w:val="00366D0C"/>
    <w:rsid w:val="00366EC7"/>
    <w:rsid w:val="00367CC6"/>
    <w:rsid w:val="00370932"/>
    <w:rsid w:val="00370DD5"/>
    <w:rsid w:val="00370DEF"/>
    <w:rsid w:val="0037105E"/>
    <w:rsid w:val="003711BA"/>
    <w:rsid w:val="00371573"/>
    <w:rsid w:val="0037183B"/>
    <w:rsid w:val="00371B18"/>
    <w:rsid w:val="00371D9F"/>
    <w:rsid w:val="00371E34"/>
    <w:rsid w:val="00372073"/>
    <w:rsid w:val="00372460"/>
    <w:rsid w:val="00372542"/>
    <w:rsid w:val="00372A48"/>
    <w:rsid w:val="00372B28"/>
    <w:rsid w:val="00372BF0"/>
    <w:rsid w:val="00372E34"/>
    <w:rsid w:val="00372EFB"/>
    <w:rsid w:val="00373853"/>
    <w:rsid w:val="00374320"/>
    <w:rsid w:val="00374326"/>
    <w:rsid w:val="003744D6"/>
    <w:rsid w:val="0037459C"/>
    <w:rsid w:val="00374D9F"/>
    <w:rsid w:val="0037519C"/>
    <w:rsid w:val="00375BBC"/>
    <w:rsid w:val="00375C90"/>
    <w:rsid w:val="00376467"/>
    <w:rsid w:val="003765AE"/>
    <w:rsid w:val="00376751"/>
    <w:rsid w:val="0037715C"/>
    <w:rsid w:val="00377186"/>
    <w:rsid w:val="00377D78"/>
    <w:rsid w:val="00380443"/>
    <w:rsid w:val="00380868"/>
    <w:rsid w:val="00380966"/>
    <w:rsid w:val="00380A40"/>
    <w:rsid w:val="0038138B"/>
    <w:rsid w:val="00381951"/>
    <w:rsid w:val="00382291"/>
    <w:rsid w:val="00382462"/>
    <w:rsid w:val="00382A6A"/>
    <w:rsid w:val="00382B9D"/>
    <w:rsid w:val="00382C96"/>
    <w:rsid w:val="00382CC5"/>
    <w:rsid w:val="00383799"/>
    <w:rsid w:val="003837AF"/>
    <w:rsid w:val="003839F3"/>
    <w:rsid w:val="00383E96"/>
    <w:rsid w:val="003847D3"/>
    <w:rsid w:val="0038491B"/>
    <w:rsid w:val="00384A6E"/>
    <w:rsid w:val="00384C23"/>
    <w:rsid w:val="00384FF5"/>
    <w:rsid w:val="003850AC"/>
    <w:rsid w:val="003850AF"/>
    <w:rsid w:val="00385897"/>
    <w:rsid w:val="00385BE2"/>
    <w:rsid w:val="00385C28"/>
    <w:rsid w:val="00385C75"/>
    <w:rsid w:val="00385E45"/>
    <w:rsid w:val="00386397"/>
    <w:rsid w:val="00386D66"/>
    <w:rsid w:val="00387144"/>
    <w:rsid w:val="003872C7"/>
    <w:rsid w:val="00387321"/>
    <w:rsid w:val="00387C19"/>
    <w:rsid w:val="00387DB0"/>
    <w:rsid w:val="00390041"/>
    <w:rsid w:val="0039008B"/>
    <w:rsid w:val="00390513"/>
    <w:rsid w:val="00390750"/>
    <w:rsid w:val="00390BD4"/>
    <w:rsid w:val="00390F34"/>
    <w:rsid w:val="00390FE1"/>
    <w:rsid w:val="0039139D"/>
    <w:rsid w:val="00391488"/>
    <w:rsid w:val="003917E9"/>
    <w:rsid w:val="00391B78"/>
    <w:rsid w:val="00391B9B"/>
    <w:rsid w:val="003922A8"/>
    <w:rsid w:val="003923D5"/>
    <w:rsid w:val="003923D6"/>
    <w:rsid w:val="00392464"/>
    <w:rsid w:val="00392A02"/>
    <w:rsid w:val="003931AD"/>
    <w:rsid w:val="003935BB"/>
    <w:rsid w:val="00393A1C"/>
    <w:rsid w:val="00393AAE"/>
    <w:rsid w:val="00394842"/>
    <w:rsid w:val="003949D4"/>
    <w:rsid w:val="00394DC5"/>
    <w:rsid w:val="00394EAE"/>
    <w:rsid w:val="003954C7"/>
    <w:rsid w:val="0039568A"/>
    <w:rsid w:val="00395CB6"/>
    <w:rsid w:val="00395D53"/>
    <w:rsid w:val="003962B3"/>
    <w:rsid w:val="00396687"/>
    <w:rsid w:val="003968B0"/>
    <w:rsid w:val="00396B69"/>
    <w:rsid w:val="00396E9F"/>
    <w:rsid w:val="003970A7"/>
    <w:rsid w:val="00397539"/>
    <w:rsid w:val="0039769F"/>
    <w:rsid w:val="00397AA2"/>
    <w:rsid w:val="00397B30"/>
    <w:rsid w:val="003A0046"/>
    <w:rsid w:val="003A0195"/>
    <w:rsid w:val="003A0329"/>
    <w:rsid w:val="003A0501"/>
    <w:rsid w:val="003A0BB5"/>
    <w:rsid w:val="003A0E70"/>
    <w:rsid w:val="003A0F85"/>
    <w:rsid w:val="003A0FCA"/>
    <w:rsid w:val="003A1471"/>
    <w:rsid w:val="003A1F16"/>
    <w:rsid w:val="003A20FB"/>
    <w:rsid w:val="003A2586"/>
    <w:rsid w:val="003A2AFB"/>
    <w:rsid w:val="003A2EBC"/>
    <w:rsid w:val="003A418B"/>
    <w:rsid w:val="003A4255"/>
    <w:rsid w:val="003A438C"/>
    <w:rsid w:val="003A4718"/>
    <w:rsid w:val="003A48EB"/>
    <w:rsid w:val="003A4C61"/>
    <w:rsid w:val="003A55B3"/>
    <w:rsid w:val="003A5665"/>
    <w:rsid w:val="003A5728"/>
    <w:rsid w:val="003A5795"/>
    <w:rsid w:val="003A594F"/>
    <w:rsid w:val="003A5AA6"/>
    <w:rsid w:val="003A6493"/>
    <w:rsid w:val="003A66C0"/>
    <w:rsid w:val="003A6DEB"/>
    <w:rsid w:val="003A7973"/>
    <w:rsid w:val="003A7D31"/>
    <w:rsid w:val="003B00FD"/>
    <w:rsid w:val="003B04C3"/>
    <w:rsid w:val="003B0634"/>
    <w:rsid w:val="003B0AAD"/>
    <w:rsid w:val="003B0ACF"/>
    <w:rsid w:val="003B0B41"/>
    <w:rsid w:val="003B0B47"/>
    <w:rsid w:val="003B0BCA"/>
    <w:rsid w:val="003B0F26"/>
    <w:rsid w:val="003B11F7"/>
    <w:rsid w:val="003B1737"/>
    <w:rsid w:val="003B1E36"/>
    <w:rsid w:val="003B20FE"/>
    <w:rsid w:val="003B216F"/>
    <w:rsid w:val="003B21F6"/>
    <w:rsid w:val="003B23E5"/>
    <w:rsid w:val="003B2657"/>
    <w:rsid w:val="003B26A9"/>
    <w:rsid w:val="003B2972"/>
    <w:rsid w:val="003B2C42"/>
    <w:rsid w:val="003B2DD7"/>
    <w:rsid w:val="003B2E5C"/>
    <w:rsid w:val="003B367B"/>
    <w:rsid w:val="003B3C7F"/>
    <w:rsid w:val="003B3E10"/>
    <w:rsid w:val="003B3F0B"/>
    <w:rsid w:val="003B44E3"/>
    <w:rsid w:val="003B54BC"/>
    <w:rsid w:val="003B5627"/>
    <w:rsid w:val="003B59C4"/>
    <w:rsid w:val="003B5AC1"/>
    <w:rsid w:val="003B6012"/>
    <w:rsid w:val="003B60A7"/>
    <w:rsid w:val="003B6136"/>
    <w:rsid w:val="003B6645"/>
    <w:rsid w:val="003B69E3"/>
    <w:rsid w:val="003B6F54"/>
    <w:rsid w:val="003B797C"/>
    <w:rsid w:val="003B7B77"/>
    <w:rsid w:val="003B7FDF"/>
    <w:rsid w:val="003C0604"/>
    <w:rsid w:val="003C0726"/>
    <w:rsid w:val="003C07F6"/>
    <w:rsid w:val="003C0856"/>
    <w:rsid w:val="003C0974"/>
    <w:rsid w:val="003C12AE"/>
    <w:rsid w:val="003C141C"/>
    <w:rsid w:val="003C1DD5"/>
    <w:rsid w:val="003C1E3D"/>
    <w:rsid w:val="003C211B"/>
    <w:rsid w:val="003C22C5"/>
    <w:rsid w:val="003C25D5"/>
    <w:rsid w:val="003C2F8E"/>
    <w:rsid w:val="003C36FF"/>
    <w:rsid w:val="003C378C"/>
    <w:rsid w:val="003C3BFD"/>
    <w:rsid w:val="003C3D16"/>
    <w:rsid w:val="003C3E2A"/>
    <w:rsid w:val="003C3EBB"/>
    <w:rsid w:val="003C3F51"/>
    <w:rsid w:val="003C4173"/>
    <w:rsid w:val="003C42A5"/>
    <w:rsid w:val="003C42BB"/>
    <w:rsid w:val="003C4484"/>
    <w:rsid w:val="003C49B3"/>
    <w:rsid w:val="003C4C05"/>
    <w:rsid w:val="003C4C25"/>
    <w:rsid w:val="003C4D50"/>
    <w:rsid w:val="003C502B"/>
    <w:rsid w:val="003C51B9"/>
    <w:rsid w:val="003C5891"/>
    <w:rsid w:val="003C5B2E"/>
    <w:rsid w:val="003C5C7A"/>
    <w:rsid w:val="003C6180"/>
    <w:rsid w:val="003C6806"/>
    <w:rsid w:val="003C6FA9"/>
    <w:rsid w:val="003C729B"/>
    <w:rsid w:val="003C736D"/>
    <w:rsid w:val="003C7554"/>
    <w:rsid w:val="003C7A66"/>
    <w:rsid w:val="003C7F83"/>
    <w:rsid w:val="003D0021"/>
    <w:rsid w:val="003D0AA3"/>
    <w:rsid w:val="003D0BA7"/>
    <w:rsid w:val="003D0D1C"/>
    <w:rsid w:val="003D118F"/>
    <w:rsid w:val="003D1CAA"/>
    <w:rsid w:val="003D281B"/>
    <w:rsid w:val="003D2DCD"/>
    <w:rsid w:val="003D2F14"/>
    <w:rsid w:val="003D2F8F"/>
    <w:rsid w:val="003D3129"/>
    <w:rsid w:val="003D3218"/>
    <w:rsid w:val="003D364E"/>
    <w:rsid w:val="003D3C1D"/>
    <w:rsid w:val="003D3E15"/>
    <w:rsid w:val="003D4306"/>
    <w:rsid w:val="003D4C20"/>
    <w:rsid w:val="003D52FB"/>
    <w:rsid w:val="003D5D41"/>
    <w:rsid w:val="003D5E45"/>
    <w:rsid w:val="003D5F62"/>
    <w:rsid w:val="003D631A"/>
    <w:rsid w:val="003D64D2"/>
    <w:rsid w:val="003D6FCF"/>
    <w:rsid w:val="003D72F9"/>
    <w:rsid w:val="003D7C2F"/>
    <w:rsid w:val="003E0B22"/>
    <w:rsid w:val="003E0C70"/>
    <w:rsid w:val="003E138E"/>
    <w:rsid w:val="003E1403"/>
    <w:rsid w:val="003E1592"/>
    <w:rsid w:val="003E1930"/>
    <w:rsid w:val="003E1B9F"/>
    <w:rsid w:val="003E1EA6"/>
    <w:rsid w:val="003E20C1"/>
    <w:rsid w:val="003E2555"/>
    <w:rsid w:val="003E271E"/>
    <w:rsid w:val="003E2B83"/>
    <w:rsid w:val="003E36C5"/>
    <w:rsid w:val="003E39C7"/>
    <w:rsid w:val="003E3AC0"/>
    <w:rsid w:val="003E3BEF"/>
    <w:rsid w:val="003E3BF4"/>
    <w:rsid w:val="003E4169"/>
    <w:rsid w:val="003E4622"/>
    <w:rsid w:val="003E4A48"/>
    <w:rsid w:val="003E4EDB"/>
    <w:rsid w:val="003E5247"/>
    <w:rsid w:val="003E57E9"/>
    <w:rsid w:val="003E5AE6"/>
    <w:rsid w:val="003E5BCB"/>
    <w:rsid w:val="003E63E6"/>
    <w:rsid w:val="003E65F1"/>
    <w:rsid w:val="003E691D"/>
    <w:rsid w:val="003E6B4C"/>
    <w:rsid w:val="003E72BB"/>
    <w:rsid w:val="003E76A2"/>
    <w:rsid w:val="003E76AC"/>
    <w:rsid w:val="003E781E"/>
    <w:rsid w:val="003E7AB4"/>
    <w:rsid w:val="003E7ADD"/>
    <w:rsid w:val="003E7E10"/>
    <w:rsid w:val="003F03D0"/>
    <w:rsid w:val="003F0627"/>
    <w:rsid w:val="003F06B0"/>
    <w:rsid w:val="003F09FF"/>
    <w:rsid w:val="003F0BE4"/>
    <w:rsid w:val="003F0C2E"/>
    <w:rsid w:val="003F0CCC"/>
    <w:rsid w:val="003F11D0"/>
    <w:rsid w:val="003F19D4"/>
    <w:rsid w:val="003F1C15"/>
    <w:rsid w:val="003F2474"/>
    <w:rsid w:val="003F2A8D"/>
    <w:rsid w:val="003F2FA5"/>
    <w:rsid w:val="003F321B"/>
    <w:rsid w:val="003F32C9"/>
    <w:rsid w:val="003F3574"/>
    <w:rsid w:val="003F35BF"/>
    <w:rsid w:val="003F35FA"/>
    <w:rsid w:val="003F37F6"/>
    <w:rsid w:val="003F3DE0"/>
    <w:rsid w:val="003F3E6D"/>
    <w:rsid w:val="003F4018"/>
    <w:rsid w:val="003F41CA"/>
    <w:rsid w:val="003F42FF"/>
    <w:rsid w:val="003F43C1"/>
    <w:rsid w:val="003F46D8"/>
    <w:rsid w:val="003F485A"/>
    <w:rsid w:val="003F49E8"/>
    <w:rsid w:val="003F4BDE"/>
    <w:rsid w:val="003F4CF2"/>
    <w:rsid w:val="003F4E16"/>
    <w:rsid w:val="003F4E26"/>
    <w:rsid w:val="003F6163"/>
    <w:rsid w:val="003F67C2"/>
    <w:rsid w:val="003F6E29"/>
    <w:rsid w:val="003F70AD"/>
    <w:rsid w:val="003F777B"/>
    <w:rsid w:val="003F7796"/>
    <w:rsid w:val="003F7882"/>
    <w:rsid w:val="003F7A59"/>
    <w:rsid w:val="003F7A83"/>
    <w:rsid w:val="003F7FAF"/>
    <w:rsid w:val="004000E0"/>
    <w:rsid w:val="004006F7"/>
    <w:rsid w:val="00400B96"/>
    <w:rsid w:val="00400C10"/>
    <w:rsid w:val="00400DF0"/>
    <w:rsid w:val="00400EFD"/>
    <w:rsid w:val="004015B8"/>
    <w:rsid w:val="0040164D"/>
    <w:rsid w:val="0040174C"/>
    <w:rsid w:val="004019A0"/>
    <w:rsid w:val="00401BD7"/>
    <w:rsid w:val="00401C0B"/>
    <w:rsid w:val="00401D0C"/>
    <w:rsid w:val="00401E59"/>
    <w:rsid w:val="00402D30"/>
    <w:rsid w:val="00402FAC"/>
    <w:rsid w:val="004038CE"/>
    <w:rsid w:val="00403E1A"/>
    <w:rsid w:val="004040C4"/>
    <w:rsid w:val="00404208"/>
    <w:rsid w:val="0040441F"/>
    <w:rsid w:val="00404475"/>
    <w:rsid w:val="0040461D"/>
    <w:rsid w:val="004051FD"/>
    <w:rsid w:val="00405C9B"/>
    <w:rsid w:val="00406316"/>
    <w:rsid w:val="0040643B"/>
    <w:rsid w:val="004066D5"/>
    <w:rsid w:val="00406ED1"/>
    <w:rsid w:val="004070E7"/>
    <w:rsid w:val="004072A8"/>
    <w:rsid w:val="004074E1"/>
    <w:rsid w:val="00407F4B"/>
    <w:rsid w:val="0041015A"/>
    <w:rsid w:val="004101FD"/>
    <w:rsid w:val="00410D6D"/>
    <w:rsid w:val="004115AD"/>
    <w:rsid w:val="004116E7"/>
    <w:rsid w:val="0041184B"/>
    <w:rsid w:val="00411868"/>
    <w:rsid w:val="00411892"/>
    <w:rsid w:val="004118A8"/>
    <w:rsid w:val="00411C94"/>
    <w:rsid w:val="00411E11"/>
    <w:rsid w:val="004120E5"/>
    <w:rsid w:val="00412122"/>
    <w:rsid w:val="00412239"/>
    <w:rsid w:val="004125C5"/>
    <w:rsid w:val="00412607"/>
    <w:rsid w:val="00412696"/>
    <w:rsid w:val="00412A29"/>
    <w:rsid w:val="00413087"/>
    <w:rsid w:val="00413890"/>
    <w:rsid w:val="004138AD"/>
    <w:rsid w:val="00413E07"/>
    <w:rsid w:val="00414248"/>
    <w:rsid w:val="0041436E"/>
    <w:rsid w:val="004145B5"/>
    <w:rsid w:val="00414954"/>
    <w:rsid w:val="004149DC"/>
    <w:rsid w:val="00414D7A"/>
    <w:rsid w:val="0041522B"/>
    <w:rsid w:val="0041597C"/>
    <w:rsid w:val="00415987"/>
    <w:rsid w:val="00416622"/>
    <w:rsid w:val="00416A39"/>
    <w:rsid w:val="00416E4E"/>
    <w:rsid w:val="004174F1"/>
    <w:rsid w:val="00417972"/>
    <w:rsid w:val="00417AB8"/>
    <w:rsid w:val="00417C34"/>
    <w:rsid w:val="00420230"/>
    <w:rsid w:val="0042033B"/>
    <w:rsid w:val="00420391"/>
    <w:rsid w:val="0042071B"/>
    <w:rsid w:val="004208A4"/>
    <w:rsid w:val="00420A01"/>
    <w:rsid w:val="004214B6"/>
    <w:rsid w:val="00421B81"/>
    <w:rsid w:val="00422163"/>
    <w:rsid w:val="004222AD"/>
    <w:rsid w:val="0042256D"/>
    <w:rsid w:val="00422829"/>
    <w:rsid w:val="00422DDA"/>
    <w:rsid w:val="004236C1"/>
    <w:rsid w:val="00423928"/>
    <w:rsid w:val="00423C22"/>
    <w:rsid w:val="00423C4D"/>
    <w:rsid w:val="00423C7A"/>
    <w:rsid w:val="00423D17"/>
    <w:rsid w:val="00424599"/>
    <w:rsid w:val="00424AEB"/>
    <w:rsid w:val="00424DB2"/>
    <w:rsid w:val="004250DB"/>
    <w:rsid w:val="0042548C"/>
    <w:rsid w:val="004257BF"/>
    <w:rsid w:val="004258C4"/>
    <w:rsid w:val="0042614A"/>
    <w:rsid w:val="004261AB"/>
    <w:rsid w:val="00426396"/>
    <w:rsid w:val="00426558"/>
    <w:rsid w:val="0042696C"/>
    <w:rsid w:val="00426B69"/>
    <w:rsid w:val="00426F28"/>
    <w:rsid w:val="00426FBF"/>
    <w:rsid w:val="004273D7"/>
    <w:rsid w:val="0042753C"/>
    <w:rsid w:val="00427779"/>
    <w:rsid w:val="00427D01"/>
    <w:rsid w:val="004304A5"/>
    <w:rsid w:val="004307C5"/>
    <w:rsid w:val="00430D5B"/>
    <w:rsid w:val="00430EC1"/>
    <w:rsid w:val="00431149"/>
    <w:rsid w:val="0043123A"/>
    <w:rsid w:val="0043134E"/>
    <w:rsid w:val="00431AA6"/>
    <w:rsid w:val="00432023"/>
    <w:rsid w:val="004323BD"/>
    <w:rsid w:val="0043271F"/>
    <w:rsid w:val="00432EA3"/>
    <w:rsid w:val="00432EEE"/>
    <w:rsid w:val="00432F1B"/>
    <w:rsid w:val="0043303C"/>
    <w:rsid w:val="0043337D"/>
    <w:rsid w:val="0043359F"/>
    <w:rsid w:val="0043397D"/>
    <w:rsid w:val="00433B0A"/>
    <w:rsid w:val="00433D74"/>
    <w:rsid w:val="00433FCC"/>
    <w:rsid w:val="00434695"/>
    <w:rsid w:val="00434834"/>
    <w:rsid w:val="004349C3"/>
    <w:rsid w:val="00434D9D"/>
    <w:rsid w:val="00434DE1"/>
    <w:rsid w:val="00434E43"/>
    <w:rsid w:val="00435432"/>
    <w:rsid w:val="004356C0"/>
    <w:rsid w:val="00435810"/>
    <w:rsid w:val="00435A5F"/>
    <w:rsid w:val="00435B4A"/>
    <w:rsid w:val="00435C3A"/>
    <w:rsid w:val="00435F4C"/>
    <w:rsid w:val="0043636D"/>
    <w:rsid w:val="0043639F"/>
    <w:rsid w:val="00436A36"/>
    <w:rsid w:val="00436C63"/>
    <w:rsid w:val="00437193"/>
    <w:rsid w:val="004372F8"/>
    <w:rsid w:val="00437395"/>
    <w:rsid w:val="004374FA"/>
    <w:rsid w:val="00437620"/>
    <w:rsid w:val="004378E1"/>
    <w:rsid w:val="00437EC1"/>
    <w:rsid w:val="004406A0"/>
    <w:rsid w:val="00440C07"/>
    <w:rsid w:val="00441229"/>
    <w:rsid w:val="00441248"/>
    <w:rsid w:val="00441887"/>
    <w:rsid w:val="00441FC2"/>
    <w:rsid w:val="0044224F"/>
    <w:rsid w:val="0044292D"/>
    <w:rsid w:val="00442AD6"/>
    <w:rsid w:val="00443623"/>
    <w:rsid w:val="0044391D"/>
    <w:rsid w:val="0044393F"/>
    <w:rsid w:val="00443A57"/>
    <w:rsid w:val="00443B6E"/>
    <w:rsid w:val="00444173"/>
    <w:rsid w:val="00444D4F"/>
    <w:rsid w:val="00445123"/>
    <w:rsid w:val="00445ABD"/>
    <w:rsid w:val="00445CC7"/>
    <w:rsid w:val="004465C8"/>
    <w:rsid w:val="00446CE4"/>
    <w:rsid w:val="0044768D"/>
    <w:rsid w:val="004477BE"/>
    <w:rsid w:val="00450855"/>
    <w:rsid w:val="00450C89"/>
    <w:rsid w:val="00450E1E"/>
    <w:rsid w:val="00450F8C"/>
    <w:rsid w:val="00450FDF"/>
    <w:rsid w:val="00451065"/>
    <w:rsid w:val="00451934"/>
    <w:rsid w:val="00451CA2"/>
    <w:rsid w:val="00452004"/>
    <w:rsid w:val="004520E6"/>
    <w:rsid w:val="00452B3D"/>
    <w:rsid w:val="00452CBB"/>
    <w:rsid w:val="00452E8E"/>
    <w:rsid w:val="00452E97"/>
    <w:rsid w:val="00452ECA"/>
    <w:rsid w:val="00453165"/>
    <w:rsid w:val="00453253"/>
    <w:rsid w:val="0045396E"/>
    <w:rsid w:val="00453AE1"/>
    <w:rsid w:val="00453DEB"/>
    <w:rsid w:val="00454221"/>
    <w:rsid w:val="004543F6"/>
    <w:rsid w:val="00454536"/>
    <w:rsid w:val="00454BF6"/>
    <w:rsid w:val="00454CAC"/>
    <w:rsid w:val="00454FB3"/>
    <w:rsid w:val="00454FE1"/>
    <w:rsid w:val="0045508F"/>
    <w:rsid w:val="00455B2A"/>
    <w:rsid w:val="00456B48"/>
    <w:rsid w:val="00456EDE"/>
    <w:rsid w:val="00456EEC"/>
    <w:rsid w:val="00457661"/>
    <w:rsid w:val="00457693"/>
    <w:rsid w:val="00457843"/>
    <w:rsid w:val="00457A12"/>
    <w:rsid w:val="00457B99"/>
    <w:rsid w:val="00457FCC"/>
    <w:rsid w:val="004600DA"/>
    <w:rsid w:val="00460750"/>
    <w:rsid w:val="004608AF"/>
    <w:rsid w:val="00460953"/>
    <w:rsid w:val="00460A32"/>
    <w:rsid w:val="00460E48"/>
    <w:rsid w:val="00462187"/>
    <w:rsid w:val="00462298"/>
    <w:rsid w:val="00462B0E"/>
    <w:rsid w:val="00462C69"/>
    <w:rsid w:val="00462CB1"/>
    <w:rsid w:val="004634B4"/>
    <w:rsid w:val="00463683"/>
    <w:rsid w:val="00463B1C"/>
    <w:rsid w:val="00463B9E"/>
    <w:rsid w:val="00463C71"/>
    <w:rsid w:val="00463CE2"/>
    <w:rsid w:val="004640FD"/>
    <w:rsid w:val="004642D5"/>
    <w:rsid w:val="004644F9"/>
    <w:rsid w:val="004645C3"/>
    <w:rsid w:val="004646D2"/>
    <w:rsid w:val="004646D5"/>
    <w:rsid w:val="0046512B"/>
    <w:rsid w:val="004653BB"/>
    <w:rsid w:val="00465F57"/>
    <w:rsid w:val="00466953"/>
    <w:rsid w:val="004669A9"/>
    <w:rsid w:val="00466C26"/>
    <w:rsid w:val="00467035"/>
    <w:rsid w:val="0046704C"/>
    <w:rsid w:val="0046737D"/>
    <w:rsid w:val="004677EC"/>
    <w:rsid w:val="0046785B"/>
    <w:rsid w:val="00467F47"/>
    <w:rsid w:val="00470B37"/>
    <w:rsid w:val="00470CDE"/>
    <w:rsid w:val="00471029"/>
    <w:rsid w:val="00471096"/>
    <w:rsid w:val="00471853"/>
    <w:rsid w:val="004720F0"/>
    <w:rsid w:val="00472534"/>
    <w:rsid w:val="0047256D"/>
    <w:rsid w:val="00472741"/>
    <w:rsid w:val="00472743"/>
    <w:rsid w:val="00472997"/>
    <w:rsid w:val="00472BEA"/>
    <w:rsid w:val="00472C91"/>
    <w:rsid w:val="0047330D"/>
    <w:rsid w:val="0047371C"/>
    <w:rsid w:val="0047410B"/>
    <w:rsid w:val="00474686"/>
    <w:rsid w:val="004749C7"/>
    <w:rsid w:val="004749E9"/>
    <w:rsid w:val="00474BB2"/>
    <w:rsid w:val="00474DAD"/>
    <w:rsid w:val="00474EE6"/>
    <w:rsid w:val="00474FA1"/>
    <w:rsid w:val="00475187"/>
    <w:rsid w:val="00475785"/>
    <w:rsid w:val="00475942"/>
    <w:rsid w:val="00475C21"/>
    <w:rsid w:val="00475EE0"/>
    <w:rsid w:val="004764F0"/>
    <w:rsid w:val="0047654A"/>
    <w:rsid w:val="00476C07"/>
    <w:rsid w:val="00476D26"/>
    <w:rsid w:val="00476EE4"/>
    <w:rsid w:val="0047715F"/>
    <w:rsid w:val="00477345"/>
    <w:rsid w:val="004778A6"/>
    <w:rsid w:val="004778AB"/>
    <w:rsid w:val="00480367"/>
    <w:rsid w:val="004805FF"/>
    <w:rsid w:val="00480EA7"/>
    <w:rsid w:val="0048125A"/>
    <w:rsid w:val="0048144C"/>
    <w:rsid w:val="004814FF"/>
    <w:rsid w:val="004816C1"/>
    <w:rsid w:val="00481C28"/>
    <w:rsid w:val="00481FDB"/>
    <w:rsid w:val="00482932"/>
    <w:rsid w:val="00482FA2"/>
    <w:rsid w:val="0048317B"/>
    <w:rsid w:val="0048322F"/>
    <w:rsid w:val="004832B6"/>
    <w:rsid w:val="0048386A"/>
    <w:rsid w:val="00483CC7"/>
    <w:rsid w:val="00483D64"/>
    <w:rsid w:val="00483DD1"/>
    <w:rsid w:val="00483DEC"/>
    <w:rsid w:val="00484044"/>
    <w:rsid w:val="0048406A"/>
    <w:rsid w:val="00484218"/>
    <w:rsid w:val="00484BC9"/>
    <w:rsid w:val="00484D6A"/>
    <w:rsid w:val="00484FAC"/>
    <w:rsid w:val="00485118"/>
    <w:rsid w:val="004856CE"/>
    <w:rsid w:val="004859A5"/>
    <w:rsid w:val="004859DF"/>
    <w:rsid w:val="00485C9B"/>
    <w:rsid w:val="00485D1E"/>
    <w:rsid w:val="00485D21"/>
    <w:rsid w:val="004862D3"/>
    <w:rsid w:val="0048678D"/>
    <w:rsid w:val="004867E2"/>
    <w:rsid w:val="00486A7D"/>
    <w:rsid w:val="0048736A"/>
    <w:rsid w:val="00490143"/>
    <w:rsid w:val="00490D5E"/>
    <w:rsid w:val="00490E72"/>
    <w:rsid w:val="0049158C"/>
    <w:rsid w:val="00491693"/>
    <w:rsid w:val="00491CCA"/>
    <w:rsid w:val="00491F70"/>
    <w:rsid w:val="00491FC9"/>
    <w:rsid w:val="00491FD5"/>
    <w:rsid w:val="004920E9"/>
    <w:rsid w:val="004920FE"/>
    <w:rsid w:val="0049229B"/>
    <w:rsid w:val="0049247B"/>
    <w:rsid w:val="00492630"/>
    <w:rsid w:val="004927DF"/>
    <w:rsid w:val="00492A13"/>
    <w:rsid w:val="00492F23"/>
    <w:rsid w:val="00493E8D"/>
    <w:rsid w:val="004943D6"/>
    <w:rsid w:val="00494B98"/>
    <w:rsid w:val="00494DCC"/>
    <w:rsid w:val="0049512B"/>
    <w:rsid w:val="004951ED"/>
    <w:rsid w:val="004952D0"/>
    <w:rsid w:val="004963B8"/>
    <w:rsid w:val="00496426"/>
    <w:rsid w:val="00496B56"/>
    <w:rsid w:val="00496CD3"/>
    <w:rsid w:val="00496FDA"/>
    <w:rsid w:val="00497186"/>
    <w:rsid w:val="0049722F"/>
    <w:rsid w:val="00497603"/>
    <w:rsid w:val="00497725"/>
    <w:rsid w:val="00497AA8"/>
    <w:rsid w:val="00497C2A"/>
    <w:rsid w:val="00497DBF"/>
    <w:rsid w:val="00497F32"/>
    <w:rsid w:val="004A0C4E"/>
    <w:rsid w:val="004A0FA5"/>
    <w:rsid w:val="004A106E"/>
    <w:rsid w:val="004A1843"/>
    <w:rsid w:val="004A1D0D"/>
    <w:rsid w:val="004A20CD"/>
    <w:rsid w:val="004A253B"/>
    <w:rsid w:val="004A2563"/>
    <w:rsid w:val="004A29C3"/>
    <w:rsid w:val="004A2B0D"/>
    <w:rsid w:val="004A2D1B"/>
    <w:rsid w:val="004A2F14"/>
    <w:rsid w:val="004A310E"/>
    <w:rsid w:val="004A3218"/>
    <w:rsid w:val="004A40A5"/>
    <w:rsid w:val="004A43F3"/>
    <w:rsid w:val="004A46A7"/>
    <w:rsid w:val="004A4ECC"/>
    <w:rsid w:val="004A557A"/>
    <w:rsid w:val="004A588B"/>
    <w:rsid w:val="004A623B"/>
    <w:rsid w:val="004A624F"/>
    <w:rsid w:val="004A6435"/>
    <w:rsid w:val="004A65BA"/>
    <w:rsid w:val="004A6E95"/>
    <w:rsid w:val="004A7C7B"/>
    <w:rsid w:val="004A7D63"/>
    <w:rsid w:val="004B03CE"/>
    <w:rsid w:val="004B0928"/>
    <w:rsid w:val="004B0E15"/>
    <w:rsid w:val="004B1148"/>
    <w:rsid w:val="004B12A2"/>
    <w:rsid w:val="004B12CB"/>
    <w:rsid w:val="004B1428"/>
    <w:rsid w:val="004B1DFA"/>
    <w:rsid w:val="004B2171"/>
    <w:rsid w:val="004B2987"/>
    <w:rsid w:val="004B2EA0"/>
    <w:rsid w:val="004B2F46"/>
    <w:rsid w:val="004B337D"/>
    <w:rsid w:val="004B395A"/>
    <w:rsid w:val="004B3B13"/>
    <w:rsid w:val="004B4095"/>
    <w:rsid w:val="004B40A5"/>
    <w:rsid w:val="004B418C"/>
    <w:rsid w:val="004B4440"/>
    <w:rsid w:val="004B4D10"/>
    <w:rsid w:val="004B52D4"/>
    <w:rsid w:val="004B5456"/>
    <w:rsid w:val="004B59F1"/>
    <w:rsid w:val="004B6382"/>
    <w:rsid w:val="004B6987"/>
    <w:rsid w:val="004B6A21"/>
    <w:rsid w:val="004B6F11"/>
    <w:rsid w:val="004B7242"/>
    <w:rsid w:val="004B7B3C"/>
    <w:rsid w:val="004C0614"/>
    <w:rsid w:val="004C0BB9"/>
    <w:rsid w:val="004C0DE3"/>
    <w:rsid w:val="004C13B1"/>
    <w:rsid w:val="004C13DC"/>
    <w:rsid w:val="004C15C7"/>
    <w:rsid w:val="004C15D1"/>
    <w:rsid w:val="004C16A7"/>
    <w:rsid w:val="004C16C8"/>
    <w:rsid w:val="004C193C"/>
    <w:rsid w:val="004C20EC"/>
    <w:rsid w:val="004C2236"/>
    <w:rsid w:val="004C2904"/>
    <w:rsid w:val="004C2E09"/>
    <w:rsid w:val="004C2E51"/>
    <w:rsid w:val="004C423C"/>
    <w:rsid w:val="004C4400"/>
    <w:rsid w:val="004C4931"/>
    <w:rsid w:val="004C4951"/>
    <w:rsid w:val="004C4AFA"/>
    <w:rsid w:val="004C4CAD"/>
    <w:rsid w:val="004C4D94"/>
    <w:rsid w:val="004C50B6"/>
    <w:rsid w:val="004C5DAC"/>
    <w:rsid w:val="004C5E9C"/>
    <w:rsid w:val="004C6828"/>
    <w:rsid w:val="004C6985"/>
    <w:rsid w:val="004C6C80"/>
    <w:rsid w:val="004C6D25"/>
    <w:rsid w:val="004C6E54"/>
    <w:rsid w:val="004C6E90"/>
    <w:rsid w:val="004C724D"/>
    <w:rsid w:val="004C7A9F"/>
    <w:rsid w:val="004D0262"/>
    <w:rsid w:val="004D0A22"/>
    <w:rsid w:val="004D0D7C"/>
    <w:rsid w:val="004D0EC0"/>
    <w:rsid w:val="004D0F18"/>
    <w:rsid w:val="004D136B"/>
    <w:rsid w:val="004D19B2"/>
    <w:rsid w:val="004D1B27"/>
    <w:rsid w:val="004D1D8F"/>
    <w:rsid w:val="004D2015"/>
    <w:rsid w:val="004D2602"/>
    <w:rsid w:val="004D2685"/>
    <w:rsid w:val="004D2C42"/>
    <w:rsid w:val="004D2DBA"/>
    <w:rsid w:val="004D32FE"/>
    <w:rsid w:val="004D33B9"/>
    <w:rsid w:val="004D365A"/>
    <w:rsid w:val="004D42F8"/>
    <w:rsid w:val="004D4525"/>
    <w:rsid w:val="004D482B"/>
    <w:rsid w:val="004D48E5"/>
    <w:rsid w:val="004D5156"/>
    <w:rsid w:val="004D51E7"/>
    <w:rsid w:val="004D536A"/>
    <w:rsid w:val="004D57AE"/>
    <w:rsid w:val="004D5826"/>
    <w:rsid w:val="004D584F"/>
    <w:rsid w:val="004D5A30"/>
    <w:rsid w:val="004D5E0D"/>
    <w:rsid w:val="004D5E3B"/>
    <w:rsid w:val="004D61D6"/>
    <w:rsid w:val="004D6453"/>
    <w:rsid w:val="004D67AF"/>
    <w:rsid w:val="004D69BB"/>
    <w:rsid w:val="004D6FB9"/>
    <w:rsid w:val="004D7280"/>
    <w:rsid w:val="004D77A5"/>
    <w:rsid w:val="004D781D"/>
    <w:rsid w:val="004D783F"/>
    <w:rsid w:val="004D7E08"/>
    <w:rsid w:val="004E0387"/>
    <w:rsid w:val="004E04F5"/>
    <w:rsid w:val="004E14A4"/>
    <w:rsid w:val="004E1815"/>
    <w:rsid w:val="004E1F3F"/>
    <w:rsid w:val="004E20D9"/>
    <w:rsid w:val="004E21F8"/>
    <w:rsid w:val="004E3878"/>
    <w:rsid w:val="004E3D67"/>
    <w:rsid w:val="004E3EFF"/>
    <w:rsid w:val="004E43AF"/>
    <w:rsid w:val="004E4471"/>
    <w:rsid w:val="004E4623"/>
    <w:rsid w:val="004E49EA"/>
    <w:rsid w:val="004E4C8D"/>
    <w:rsid w:val="004E4F6A"/>
    <w:rsid w:val="004E52EE"/>
    <w:rsid w:val="004E5380"/>
    <w:rsid w:val="004E5C08"/>
    <w:rsid w:val="004E5D02"/>
    <w:rsid w:val="004E5E85"/>
    <w:rsid w:val="004E6974"/>
    <w:rsid w:val="004E6D1A"/>
    <w:rsid w:val="004E6D85"/>
    <w:rsid w:val="004E6E8D"/>
    <w:rsid w:val="004E705F"/>
    <w:rsid w:val="004E72CB"/>
    <w:rsid w:val="004E72CC"/>
    <w:rsid w:val="004E734A"/>
    <w:rsid w:val="004E7548"/>
    <w:rsid w:val="004E766D"/>
    <w:rsid w:val="004E78BB"/>
    <w:rsid w:val="004E7BB3"/>
    <w:rsid w:val="004E7D4D"/>
    <w:rsid w:val="004E7F0A"/>
    <w:rsid w:val="004F020C"/>
    <w:rsid w:val="004F0267"/>
    <w:rsid w:val="004F0CC7"/>
    <w:rsid w:val="004F15A4"/>
    <w:rsid w:val="004F2023"/>
    <w:rsid w:val="004F2A87"/>
    <w:rsid w:val="004F2AD7"/>
    <w:rsid w:val="004F2EE6"/>
    <w:rsid w:val="004F3775"/>
    <w:rsid w:val="004F3B73"/>
    <w:rsid w:val="004F3BD9"/>
    <w:rsid w:val="004F3E16"/>
    <w:rsid w:val="004F4E0D"/>
    <w:rsid w:val="004F5307"/>
    <w:rsid w:val="004F56EF"/>
    <w:rsid w:val="004F57CE"/>
    <w:rsid w:val="004F63B7"/>
    <w:rsid w:val="004F6506"/>
    <w:rsid w:val="004F670E"/>
    <w:rsid w:val="004F67C8"/>
    <w:rsid w:val="004F69D5"/>
    <w:rsid w:val="004F6BFE"/>
    <w:rsid w:val="004F6D63"/>
    <w:rsid w:val="004F6E58"/>
    <w:rsid w:val="00501003"/>
    <w:rsid w:val="00501A51"/>
    <w:rsid w:val="00502741"/>
    <w:rsid w:val="00502A2A"/>
    <w:rsid w:val="00502A38"/>
    <w:rsid w:val="00502A9B"/>
    <w:rsid w:val="00502BC3"/>
    <w:rsid w:val="00502EC3"/>
    <w:rsid w:val="00502F99"/>
    <w:rsid w:val="005036F2"/>
    <w:rsid w:val="00503813"/>
    <w:rsid w:val="00503868"/>
    <w:rsid w:val="00503A94"/>
    <w:rsid w:val="00503B39"/>
    <w:rsid w:val="00503F3E"/>
    <w:rsid w:val="005040B7"/>
    <w:rsid w:val="005045AF"/>
    <w:rsid w:val="005049DD"/>
    <w:rsid w:val="00504B74"/>
    <w:rsid w:val="00504F60"/>
    <w:rsid w:val="00505169"/>
    <w:rsid w:val="005051FD"/>
    <w:rsid w:val="00505533"/>
    <w:rsid w:val="00505694"/>
    <w:rsid w:val="005057EB"/>
    <w:rsid w:val="00505AE2"/>
    <w:rsid w:val="00505B91"/>
    <w:rsid w:val="00505EA3"/>
    <w:rsid w:val="005060D8"/>
    <w:rsid w:val="005064A2"/>
    <w:rsid w:val="00507402"/>
    <w:rsid w:val="00507BF9"/>
    <w:rsid w:val="00507F8F"/>
    <w:rsid w:val="00510433"/>
    <w:rsid w:val="00510445"/>
    <w:rsid w:val="00510A5A"/>
    <w:rsid w:val="00510A98"/>
    <w:rsid w:val="00510AB8"/>
    <w:rsid w:val="00510B19"/>
    <w:rsid w:val="00510C9C"/>
    <w:rsid w:val="00511045"/>
    <w:rsid w:val="00511214"/>
    <w:rsid w:val="0051211B"/>
    <w:rsid w:val="0051250F"/>
    <w:rsid w:val="00512DE7"/>
    <w:rsid w:val="00512F2C"/>
    <w:rsid w:val="005130A6"/>
    <w:rsid w:val="00513B24"/>
    <w:rsid w:val="00513BC3"/>
    <w:rsid w:val="005149E5"/>
    <w:rsid w:val="005150EF"/>
    <w:rsid w:val="005152F8"/>
    <w:rsid w:val="0051561D"/>
    <w:rsid w:val="00515842"/>
    <w:rsid w:val="00515864"/>
    <w:rsid w:val="00515C8C"/>
    <w:rsid w:val="00515CC1"/>
    <w:rsid w:val="00515E82"/>
    <w:rsid w:val="005161C5"/>
    <w:rsid w:val="00516298"/>
    <w:rsid w:val="0051650E"/>
    <w:rsid w:val="00516CCF"/>
    <w:rsid w:val="00516F16"/>
    <w:rsid w:val="00516FC2"/>
    <w:rsid w:val="00517235"/>
    <w:rsid w:val="0051729C"/>
    <w:rsid w:val="005172DD"/>
    <w:rsid w:val="00517383"/>
    <w:rsid w:val="005173EC"/>
    <w:rsid w:val="00517A9B"/>
    <w:rsid w:val="00517B4B"/>
    <w:rsid w:val="00517CB2"/>
    <w:rsid w:val="00517D3C"/>
    <w:rsid w:val="00520143"/>
    <w:rsid w:val="00520594"/>
    <w:rsid w:val="00520805"/>
    <w:rsid w:val="005208F2"/>
    <w:rsid w:val="00520E9C"/>
    <w:rsid w:val="005210A1"/>
    <w:rsid w:val="005210CB"/>
    <w:rsid w:val="0052142D"/>
    <w:rsid w:val="005217E9"/>
    <w:rsid w:val="00521CD8"/>
    <w:rsid w:val="00521E62"/>
    <w:rsid w:val="00522156"/>
    <w:rsid w:val="00522171"/>
    <w:rsid w:val="005222FD"/>
    <w:rsid w:val="005224D3"/>
    <w:rsid w:val="00522816"/>
    <w:rsid w:val="005228CF"/>
    <w:rsid w:val="00522923"/>
    <w:rsid w:val="00522AFF"/>
    <w:rsid w:val="00522B51"/>
    <w:rsid w:val="00522F75"/>
    <w:rsid w:val="00523316"/>
    <w:rsid w:val="00523AD5"/>
    <w:rsid w:val="00523BE9"/>
    <w:rsid w:val="0052436B"/>
    <w:rsid w:val="005248C8"/>
    <w:rsid w:val="00524996"/>
    <w:rsid w:val="00524AA7"/>
    <w:rsid w:val="00525146"/>
    <w:rsid w:val="00525218"/>
    <w:rsid w:val="00525241"/>
    <w:rsid w:val="005254AC"/>
    <w:rsid w:val="00525547"/>
    <w:rsid w:val="0052571D"/>
    <w:rsid w:val="00525A00"/>
    <w:rsid w:val="005262C3"/>
    <w:rsid w:val="00526617"/>
    <w:rsid w:val="00526832"/>
    <w:rsid w:val="005269F1"/>
    <w:rsid w:val="0052702B"/>
    <w:rsid w:val="00527034"/>
    <w:rsid w:val="005271FE"/>
    <w:rsid w:val="0052779D"/>
    <w:rsid w:val="00527D6E"/>
    <w:rsid w:val="00527DA5"/>
    <w:rsid w:val="00527DE4"/>
    <w:rsid w:val="00527DFF"/>
    <w:rsid w:val="0053053F"/>
    <w:rsid w:val="005307BB"/>
    <w:rsid w:val="0053084D"/>
    <w:rsid w:val="00530894"/>
    <w:rsid w:val="0053099A"/>
    <w:rsid w:val="00530DC9"/>
    <w:rsid w:val="00530EC8"/>
    <w:rsid w:val="00530ED3"/>
    <w:rsid w:val="0053188E"/>
    <w:rsid w:val="0053227B"/>
    <w:rsid w:val="00532A95"/>
    <w:rsid w:val="00532D8C"/>
    <w:rsid w:val="00533287"/>
    <w:rsid w:val="005332A5"/>
    <w:rsid w:val="005332AF"/>
    <w:rsid w:val="00533BAE"/>
    <w:rsid w:val="00533CFE"/>
    <w:rsid w:val="005340FF"/>
    <w:rsid w:val="00534C4A"/>
    <w:rsid w:val="0053517C"/>
    <w:rsid w:val="00535406"/>
    <w:rsid w:val="00535B7E"/>
    <w:rsid w:val="00535BE9"/>
    <w:rsid w:val="00535E22"/>
    <w:rsid w:val="00535F50"/>
    <w:rsid w:val="0053618A"/>
    <w:rsid w:val="005362DD"/>
    <w:rsid w:val="00536379"/>
    <w:rsid w:val="005364D9"/>
    <w:rsid w:val="005366A2"/>
    <w:rsid w:val="0053694B"/>
    <w:rsid w:val="00536A4E"/>
    <w:rsid w:val="00536D98"/>
    <w:rsid w:val="00536E34"/>
    <w:rsid w:val="00536EB8"/>
    <w:rsid w:val="0053712E"/>
    <w:rsid w:val="005371E7"/>
    <w:rsid w:val="0053776A"/>
    <w:rsid w:val="0053791D"/>
    <w:rsid w:val="00537920"/>
    <w:rsid w:val="00537B40"/>
    <w:rsid w:val="00537C0D"/>
    <w:rsid w:val="00540426"/>
    <w:rsid w:val="0054065C"/>
    <w:rsid w:val="00540732"/>
    <w:rsid w:val="00540F87"/>
    <w:rsid w:val="005418DB"/>
    <w:rsid w:val="00541E3F"/>
    <w:rsid w:val="00541E6E"/>
    <w:rsid w:val="0054207A"/>
    <w:rsid w:val="0054220B"/>
    <w:rsid w:val="0054254B"/>
    <w:rsid w:val="00542681"/>
    <w:rsid w:val="00542990"/>
    <w:rsid w:val="00542BA4"/>
    <w:rsid w:val="005438BE"/>
    <w:rsid w:val="00543F51"/>
    <w:rsid w:val="0054443F"/>
    <w:rsid w:val="005444EE"/>
    <w:rsid w:val="0054452E"/>
    <w:rsid w:val="005445D8"/>
    <w:rsid w:val="00544727"/>
    <w:rsid w:val="00544798"/>
    <w:rsid w:val="00544973"/>
    <w:rsid w:val="00544C04"/>
    <w:rsid w:val="0054559B"/>
    <w:rsid w:val="0054564B"/>
    <w:rsid w:val="00545764"/>
    <w:rsid w:val="00545DFC"/>
    <w:rsid w:val="00546A03"/>
    <w:rsid w:val="00546C8D"/>
    <w:rsid w:val="00546CB7"/>
    <w:rsid w:val="00546F86"/>
    <w:rsid w:val="005472AA"/>
    <w:rsid w:val="00547427"/>
    <w:rsid w:val="0054782C"/>
    <w:rsid w:val="0054794B"/>
    <w:rsid w:val="00547CE5"/>
    <w:rsid w:val="00547E08"/>
    <w:rsid w:val="00550364"/>
    <w:rsid w:val="00550512"/>
    <w:rsid w:val="00550612"/>
    <w:rsid w:val="00550F22"/>
    <w:rsid w:val="00551A6C"/>
    <w:rsid w:val="00551AF0"/>
    <w:rsid w:val="00551DE3"/>
    <w:rsid w:val="00551FA9"/>
    <w:rsid w:val="005521F7"/>
    <w:rsid w:val="0055240F"/>
    <w:rsid w:val="00552536"/>
    <w:rsid w:val="0055285B"/>
    <w:rsid w:val="00552935"/>
    <w:rsid w:val="00552AF6"/>
    <w:rsid w:val="00552B40"/>
    <w:rsid w:val="00552F9E"/>
    <w:rsid w:val="0055338F"/>
    <w:rsid w:val="00553CEA"/>
    <w:rsid w:val="0055458C"/>
    <w:rsid w:val="005545AF"/>
    <w:rsid w:val="005545B9"/>
    <w:rsid w:val="00554CBE"/>
    <w:rsid w:val="00554E50"/>
    <w:rsid w:val="0055505B"/>
    <w:rsid w:val="00555B16"/>
    <w:rsid w:val="00555BA9"/>
    <w:rsid w:val="005563B3"/>
    <w:rsid w:val="0055643B"/>
    <w:rsid w:val="0055657F"/>
    <w:rsid w:val="00556BE5"/>
    <w:rsid w:val="00557199"/>
    <w:rsid w:val="00557D61"/>
    <w:rsid w:val="0056072C"/>
    <w:rsid w:val="00560A61"/>
    <w:rsid w:val="00560BC9"/>
    <w:rsid w:val="00560D6F"/>
    <w:rsid w:val="00561614"/>
    <w:rsid w:val="0056191C"/>
    <w:rsid w:val="00562308"/>
    <w:rsid w:val="0056289A"/>
    <w:rsid w:val="00562B2C"/>
    <w:rsid w:val="00562E2F"/>
    <w:rsid w:val="00562F16"/>
    <w:rsid w:val="005631A7"/>
    <w:rsid w:val="00563284"/>
    <w:rsid w:val="0056369C"/>
    <w:rsid w:val="005636E7"/>
    <w:rsid w:val="00563783"/>
    <w:rsid w:val="00563C3F"/>
    <w:rsid w:val="00563CCC"/>
    <w:rsid w:val="00564479"/>
    <w:rsid w:val="005649C5"/>
    <w:rsid w:val="00564DA4"/>
    <w:rsid w:val="00564F96"/>
    <w:rsid w:val="00565048"/>
    <w:rsid w:val="00565224"/>
    <w:rsid w:val="0056522B"/>
    <w:rsid w:val="00565249"/>
    <w:rsid w:val="005652A3"/>
    <w:rsid w:val="00565FF7"/>
    <w:rsid w:val="00566467"/>
    <w:rsid w:val="0056657A"/>
    <w:rsid w:val="005667A8"/>
    <w:rsid w:val="00566C44"/>
    <w:rsid w:val="00566CE0"/>
    <w:rsid w:val="0056729A"/>
    <w:rsid w:val="005672C9"/>
    <w:rsid w:val="00567650"/>
    <w:rsid w:val="00567974"/>
    <w:rsid w:val="00567A33"/>
    <w:rsid w:val="00567D56"/>
    <w:rsid w:val="005703A3"/>
    <w:rsid w:val="005703ED"/>
    <w:rsid w:val="00570575"/>
    <w:rsid w:val="00570786"/>
    <w:rsid w:val="005707A2"/>
    <w:rsid w:val="00570845"/>
    <w:rsid w:val="00570A1E"/>
    <w:rsid w:val="00570BBA"/>
    <w:rsid w:val="00571062"/>
    <w:rsid w:val="00571131"/>
    <w:rsid w:val="005713E5"/>
    <w:rsid w:val="005717BB"/>
    <w:rsid w:val="005719DA"/>
    <w:rsid w:val="00572281"/>
    <w:rsid w:val="0057293E"/>
    <w:rsid w:val="00572B5D"/>
    <w:rsid w:val="00572F60"/>
    <w:rsid w:val="005735C2"/>
    <w:rsid w:val="00573D95"/>
    <w:rsid w:val="00573E00"/>
    <w:rsid w:val="00574669"/>
    <w:rsid w:val="0057493F"/>
    <w:rsid w:val="005749DC"/>
    <w:rsid w:val="005753B9"/>
    <w:rsid w:val="005755AF"/>
    <w:rsid w:val="00575C2E"/>
    <w:rsid w:val="00575D02"/>
    <w:rsid w:val="0057605A"/>
    <w:rsid w:val="00576060"/>
    <w:rsid w:val="0057678D"/>
    <w:rsid w:val="0057694C"/>
    <w:rsid w:val="00576DC9"/>
    <w:rsid w:val="0057714B"/>
    <w:rsid w:val="00580022"/>
    <w:rsid w:val="005801CC"/>
    <w:rsid w:val="00580207"/>
    <w:rsid w:val="00580263"/>
    <w:rsid w:val="00580605"/>
    <w:rsid w:val="00580707"/>
    <w:rsid w:val="00580C5C"/>
    <w:rsid w:val="0058196D"/>
    <w:rsid w:val="00581ABC"/>
    <w:rsid w:val="00581CB6"/>
    <w:rsid w:val="005823C4"/>
    <w:rsid w:val="005825D0"/>
    <w:rsid w:val="00582947"/>
    <w:rsid w:val="00582F07"/>
    <w:rsid w:val="0058387A"/>
    <w:rsid w:val="00583C98"/>
    <w:rsid w:val="00583FC0"/>
    <w:rsid w:val="00584463"/>
    <w:rsid w:val="005844ED"/>
    <w:rsid w:val="00584576"/>
    <w:rsid w:val="00584988"/>
    <w:rsid w:val="00584AFC"/>
    <w:rsid w:val="00584B85"/>
    <w:rsid w:val="00584C97"/>
    <w:rsid w:val="00584D64"/>
    <w:rsid w:val="00584FBF"/>
    <w:rsid w:val="00585289"/>
    <w:rsid w:val="00585A1A"/>
    <w:rsid w:val="00585C90"/>
    <w:rsid w:val="00585F54"/>
    <w:rsid w:val="00587227"/>
    <w:rsid w:val="005875FC"/>
    <w:rsid w:val="00587866"/>
    <w:rsid w:val="00590178"/>
    <w:rsid w:val="005901A3"/>
    <w:rsid w:val="005901F2"/>
    <w:rsid w:val="00590251"/>
    <w:rsid w:val="005902A6"/>
    <w:rsid w:val="005903EA"/>
    <w:rsid w:val="00590BA9"/>
    <w:rsid w:val="005913C5"/>
    <w:rsid w:val="00591E8F"/>
    <w:rsid w:val="00591EB8"/>
    <w:rsid w:val="005921B6"/>
    <w:rsid w:val="0059223F"/>
    <w:rsid w:val="0059230C"/>
    <w:rsid w:val="005923B0"/>
    <w:rsid w:val="005927FF"/>
    <w:rsid w:val="00592BD4"/>
    <w:rsid w:val="00592D3D"/>
    <w:rsid w:val="00592EA8"/>
    <w:rsid w:val="00592FDA"/>
    <w:rsid w:val="00593023"/>
    <w:rsid w:val="00593BB7"/>
    <w:rsid w:val="0059489D"/>
    <w:rsid w:val="00594AF0"/>
    <w:rsid w:val="00595138"/>
    <w:rsid w:val="005953AE"/>
    <w:rsid w:val="005955C5"/>
    <w:rsid w:val="00595811"/>
    <w:rsid w:val="005958B4"/>
    <w:rsid w:val="00595B9E"/>
    <w:rsid w:val="00595F78"/>
    <w:rsid w:val="005960AE"/>
    <w:rsid w:val="0059628F"/>
    <w:rsid w:val="00596777"/>
    <w:rsid w:val="00597083"/>
    <w:rsid w:val="0059746D"/>
    <w:rsid w:val="00597677"/>
    <w:rsid w:val="00597D65"/>
    <w:rsid w:val="005A0010"/>
    <w:rsid w:val="005A0379"/>
    <w:rsid w:val="005A0505"/>
    <w:rsid w:val="005A0BC1"/>
    <w:rsid w:val="005A0D6E"/>
    <w:rsid w:val="005A0DEC"/>
    <w:rsid w:val="005A1A12"/>
    <w:rsid w:val="005A1B50"/>
    <w:rsid w:val="005A1C87"/>
    <w:rsid w:val="005A1FDB"/>
    <w:rsid w:val="005A25E8"/>
    <w:rsid w:val="005A270B"/>
    <w:rsid w:val="005A2A42"/>
    <w:rsid w:val="005A2B92"/>
    <w:rsid w:val="005A2BF8"/>
    <w:rsid w:val="005A3262"/>
    <w:rsid w:val="005A3D5F"/>
    <w:rsid w:val="005A3FB8"/>
    <w:rsid w:val="005A4485"/>
    <w:rsid w:val="005A462A"/>
    <w:rsid w:val="005A47E9"/>
    <w:rsid w:val="005A4BEE"/>
    <w:rsid w:val="005A4DA2"/>
    <w:rsid w:val="005A4E7F"/>
    <w:rsid w:val="005A52F2"/>
    <w:rsid w:val="005A5416"/>
    <w:rsid w:val="005A583D"/>
    <w:rsid w:val="005A5845"/>
    <w:rsid w:val="005A5897"/>
    <w:rsid w:val="005A58DE"/>
    <w:rsid w:val="005A5A84"/>
    <w:rsid w:val="005A5BB9"/>
    <w:rsid w:val="005A623E"/>
    <w:rsid w:val="005A6468"/>
    <w:rsid w:val="005A65B4"/>
    <w:rsid w:val="005A66E8"/>
    <w:rsid w:val="005A68D8"/>
    <w:rsid w:val="005A6B2E"/>
    <w:rsid w:val="005A6B6A"/>
    <w:rsid w:val="005A6BE9"/>
    <w:rsid w:val="005A6D6D"/>
    <w:rsid w:val="005A6DDD"/>
    <w:rsid w:val="005A6EAF"/>
    <w:rsid w:val="005A7488"/>
    <w:rsid w:val="005A7F4B"/>
    <w:rsid w:val="005A7F5B"/>
    <w:rsid w:val="005B006C"/>
    <w:rsid w:val="005B0373"/>
    <w:rsid w:val="005B040F"/>
    <w:rsid w:val="005B045B"/>
    <w:rsid w:val="005B0A27"/>
    <w:rsid w:val="005B0E28"/>
    <w:rsid w:val="005B13A8"/>
    <w:rsid w:val="005B1AD6"/>
    <w:rsid w:val="005B1EF4"/>
    <w:rsid w:val="005B2092"/>
    <w:rsid w:val="005B22A7"/>
    <w:rsid w:val="005B2405"/>
    <w:rsid w:val="005B2E79"/>
    <w:rsid w:val="005B2F78"/>
    <w:rsid w:val="005B2FF3"/>
    <w:rsid w:val="005B30C2"/>
    <w:rsid w:val="005B30E9"/>
    <w:rsid w:val="005B3419"/>
    <w:rsid w:val="005B3495"/>
    <w:rsid w:val="005B38E5"/>
    <w:rsid w:val="005B3D3B"/>
    <w:rsid w:val="005B424A"/>
    <w:rsid w:val="005B497A"/>
    <w:rsid w:val="005B4B7D"/>
    <w:rsid w:val="005B5350"/>
    <w:rsid w:val="005B60CB"/>
    <w:rsid w:val="005B6637"/>
    <w:rsid w:val="005B6939"/>
    <w:rsid w:val="005B6AA3"/>
    <w:rsid w:val="005B6C0E"/>
    <w:rsid w:val="005B6C9B"/>
    <w:rsid w:val="005B6D5E"/>
    <w:rsid w:val="005B7467"/>
    <w:rsid w:val="005B74F5"/>
    <w:rsid w:val="005B7582"/>
    <w:rsid w:val="005B7D85"/>
    <w:rsid w:val="005C0054"/>
    <w:rsid w:val="005C0221"/>
    <w:rsid w:val="005C070D"/>
    <w:rsid w:val="005C0D7B"/>
    <w:rsid w:val="005C11B4"/>
    <w:rsid w:val="005C14C4"/>
    <w:rsid w:val="005C1642"/>
    <w:rsid w:val="005C18AF"/>
    <w:rsid w:val="005C1B8E"/>
    <w:rsid w:val="005C1FFB"/>
    <w:rsid w:val="005C3107"/>
    <w:rsid w:val="005C350A"/>
    <w:rsid w:val="005C368D"/>
    <w:rsid w:val="005C3987"/>
    <w:rsid w:val="005C3B30"/>
    <w:rsid w:val="005C43A3"/>
    <w:rsid w:val="005C43D8"/>
    <w:rsid w:val="005C48DE"/>
    <w:rsid w:val="005C4DFD"/>
    <w:rsid w:val="005C4EB4"/>
    <w:rsid w:val="005C5291"/>
    <w:rsid w:val="005C5746"/>
    <w:rsid w:val="005C584E"/>
    <w:rsid w:val="005C5C4A"/>
    <w:rsid w:val="005C5C96"/>
    <w:rsid w:val="005C6FFC"/>
    <w:rsid w:val="005C716B"/>
    <w:rsid w:val="005C727C"/>
    <w:rsid w:val="005C7FB3"/>
    <w:rsid w:val="005D0181"/>
    <w:rsid w:val="005D01DE"/>
    <w:rsid w:val="005D0441"/>
    <w:rsid w:val="005D04ED"/>
    <w:rsid w:val="005D0B7A"/>
    <w:rsid w:val="005D0FAF"/>
    <w:rsid w:val="005D1190"/>
    <w:rsid w:val="005D11C7"/>
    <w:rsid w:val="005D1605"/>
    <w:rsid w:val="005D1709"/>
    <w:rsid w:val="005D1B05"/>
    <w:rsid w:val="005D200B"/>
    <w:rsid w:val="005D24EC"/>
    <w:rsid w:val="005D2652"/>
    <w:rsid w:val="005D2C6E"/>
    <w:rsid w:val="005D2E12"/>
    <w:rsid w:val="005D2FF1"/>
    <w:rsid w:val="005D3B21"/>
    <w:rsid w:val="005D3EC0"/>
    <w:rsid w:val="005D4040"/>
    <w:rsid w:val="005D4102"/>
    <w:rsid w:val="005D4688"/>
    <w:rsid w:val="005D4CF7"/>
    <w:rsid w:val="005D4FE6"/>
    <w:rsid w:val="005D504C"/>
    <w:rsid w:val="005D539A"/>
    <w:rsid w:val="005D63E0"/>
    <w:rsid w:val="005D69A5"/>
    <w:rsid w:val="005D7608"/>
    <w:rsid w:val="005D786C"/>
    <w:rsid w:val="005D7BB1"/>
    <w:rsid w:val="005E06D0"/>
    <w:rsid w:val="005E07BF"/>
    <w:rsid w:val="005E1111"/>
    <w:rsid w:val="005E1212"/>
    <w:rsid w:val="005E13F9"/>
    <w:rsid w:val="005E1695"/>
    <w:rsid w:val="005E1870"/>
    <w:rsid w:val="005E18FB"/>
    <w:rsid w:val="005E19B3"/>
    <w:rsid w:val="005E1CE9"/>
    <w:rsid w:val="005E242D"/>
    <w:rsid w:val="005E2A38"/>
    <w:rsid w:val="005E2CF2"/>
    <w:rsid w:val="005E2D5A"/>
    <w:rsid w:val="005E3726"/>
    <w:rsid w:val="005E379F"/>
    <w:rsid w:val="005E37D4"/>
    <w:rsid w:val="005E4340"/>
    <w:rsid w:val="005E47DB"/>
    <w:rsid w:val="005E4875"/>
    <w:rsid w:val="005E4D65"/>
    <w:rsid w:val="005E4D96"/>
    <w:rsid w:val="005E4E94"/>
    <w:rsid w:val="005E538A"/>
    <w:rsid w:val="005E5468"/>
    <w:rsid w:val="005E55C2"/>
    <w:rsid w:val="005E5B9A"/>
    <w:rsid w:val="005E6678"/>
    <w:rsid w:val="005E66B4"/>
    <w:rsid w:val="005E6F21"/>
    <w:rsid w:val="005E78AE"/>
    <w:rsid w:val="005E7ED4"/>
    <w:rsid w:val="005F0181"/>
    <w:rsid w:val="005F02E3"/>
    <w:rsid w:val="005F0350"/>
    <w:rsid w:val="005F0906"/>
    <w:rsid w:val="005F0C4A"/>
    <w:rsid w:val="005F0EAE"/>
    <w:rsid w:val="005F10B8"/>
    <w:rsid w:val="005F12E1"/>
    <w:rsid w:val="005F1382"/>
    <w:rsid w:val="005F16AA"/>
    <w:rsid w:val="005F1787"/>
    <w:rsid w:val="005F1818"/>
    <w:rsid w:val="005F19FD"/>
    <w:rsid w:val="005F1B28"/>
    <w:rsid w:val="005F1C7C"/>
    <w:rsid w:val="005F1FC1"/>
    <w:rsid w:val="005F2907"/>
    <w:rsid w:val="005F2970"/>
    <w:rsid w:val="005F2C34"/>
    <w:rsid w:val="005F2D6B"/>
    <w:rsid w:val="005F2DD9"/>
    <w:rsid w:val="005F2E50"/>
    <w:rsid w:val="005F30E0"/>
    <w:rsid w:val="005F3303"/>
    <w:rsid w:val="005F34DC"/>
    <w:rsid w:val="005F3A26"/>
    <w:rsid w:val="005F3C7E"/>
    <w:rsid w:val="005F3E73"/>
    <w:rsid w:val="005F4B05"/>
    <w:rsid w:val="005F4CC3"/>
    <w:rsid w:val="005F5744"/>
    <w:rsid w:val="005F5BBC"/>
    <w:rsid w:val="005F62DF"/>
    <w:rsid w:val="005F62FB"/>
    <w:rsid w:val="005F63E3"/>
    <w:rsid w:val="005F6683"/>
    <w:rsid w:val="005F6B0E"/>
    <w:rsid w:val="005F6FEC"/>
    <w:rsid w:val="005F7305"/>
    <w:rsid w:val="005F735E"/>
    <w:rsid w:val="005F7586"/>
    <w:rsid w:val="005F7C4B"/>
    <w:rsid w:val="006000A7"/>
    <w:rsid w:val="006006D2"/>
    <w:rsid w:val="0060075E"/>
    <w:rsid w:val="006008FE"/>
    <w:rsid w:val="00600F34"/>
    <w:rsid w:val="006010BC"/>
    <w:rsid w:val="00601253"/>
    <w:rsid w:val="006013F1"/>
    <w:rsid w:val="00601415"/>
    <w:rsid w:val="00601B3E"/>
    <w:rsid w:val="00601C45"/>
    <w:rsid w:val="00601DA4"/>
    <w:rsid w:val="00602344"/>
    <w:rsid w:val="00602566"/>
    <w:rsid w:val="00602713"/>
    <w:rsid w:val="006029DD"/>
    <w:rsid w:val="00602DC0"/>
    <w:rsid w:val="0060377E"/>
    <w:rsid w:val="006037EE"/>
    <w:rsid w:val="00603AB3"/>
    <w:rsid w:val="00603F6E"/>
    <w:rsid w:val="00604415"/>
    <w:rsid w:val="00604892"/>
    <w:rsid w:val="00605090"/>
    <w:rsid w:val="0060537E"/>
    <w:rsid w:val="0060545B"/>
    <w:rsid w:val="00605812"/>
    <w:rsid w:val="00605AF4"/>
    <w:rsid w:val="00605B07"/>
    <w:rsid w:val="00605CB3"/>
    <w:rsid w:val="00605D7F"/>
    <w:rsid w:val="00605DF3"/>
    <w:rsid w:val="00605E81"/>
    <w:rsid w:val="00606335"/>
    <w:rsid w:val="006065BB"/>
    <w:rsid w:val="00610249"/>
    <w:rsid w:val="0061039E"/>
    <w:rsid w:val="00610406"/>
    <w:rsid w:val="0061043D"/>
    <w:rsid w:val="0061049D"/>
    <w:rsid w:val="00611175"/>
    <w:rsid w:val="006111BE"/>
    <w:rsid w:val="006111F0"/>
    <w:rsid w:val="00611B55"/>
    <w:rsid w:val="00611EC0"/>
    <w:rsid w:val="0061231D"/>
    <w:rsid w:val="0061248A"/>
    <w:rsid w:val="00612494"/>
    <w:rsid w:val="0061258C"/>
    <w:rsid w:val="00612DE3"/>
    <w:rsid w:val="00612F87"/>
    <w:rsid w:val="00613143"/>
    <w:rsid w:val="0061324C"/>
    <w:rsid w:val="00613533"/>
    <w:rsid w:val="0061359F"/>
    <w:rsid w:val="00613863"/>
    <w:rsid w:val="00613901"/>
    <w:rsid w:val="00613B75"/>
    <w:rsid w:val="00613DDC"/>
    <w:rsid w:val="00613E31"/>
    <w:rsid w:val="00614121"/>
    <w:rsid w:val="006146E2"/>
    <w:rsid w:val="00614767"/>
    <w:rsid w:val="00614A82"/>
    <w:rsid w:val="00615102"/>
    <w:rsid w:val="00615EFA"/>
    <w:rsid w:val="0061605B"/>
    <w:rsid w:val="006161C7"/>
    <w:rsid w:val="006163D8"/>
    <w:rsid w:val="00616986"/>
    <w:rsid w:val="00616A43"/>
    <w:rsid w:val="00616D3D"/>
    <w:rsid w:val="00616DBE"/>
    <w:rsid w:val="006171C5"/>
    <w:rsid w:val="0061791D"/>
    <w:rsid w:val="00617E0E"/>
    <w:rsid w:val="00617F9E"/>
    <w:rsid w:val="006200AA"/>
    <w:rsid w:val="00620167"/>
    <w:rsid w:val="00620732"/>
    <w:rsid w:val="00620BDF"/>
    <w:rsid w:val="00620F24"/>
    <w:rsid w:val="006225D2"/>
    <w:rsid w:val="00622642"/>
    <w:rsid w:val="006228DA"/>
    <w:rsid w:val="00622E76"/>
    <w:rsid w:val="0062346A"/>
    <w:rsid w:val="006237E2"/>
    <w:rsid w:val="006238F3"/>
    <w:rsid w:val="00623EC2"/>
    <w:rsid w:val="0062489A"/>
    <w:rsid w:val="00624CB1"/>
    <w:rsid w:val="00625801"/>
    <w:rsid w:val="00625BC1"/>
    <w:rsid w:val="00625D22"/>
    <w:rsid w:val="006261B6"/>
    <w:rsid w:val="00626290"/>
    <w:rsid w:val="006263FC"/>
    <w:rsid w:val="00626A7B"/>
    <w:rsid w:val="00626E35"/>
    <w:rsid w:val="00627DC8"/>
    <w:rsid w:val="00627E47"/>
    <w:rsid w:val="00630367"/>
    <w:rsid w:val="00630391"/>
    <w:rsid w:val="006307E5"/>
    <w:rsid w:val="006309BF"/>
    <w:rsid w:val="00630E7C"/>
    <w:rsid w:val="00631F8E"/>
    <w:rsid w:val="00632191"/>
    <w:rsid w:val="00633177"/>
    <w:rsid w:val="00633420"/>
    <w:rsid w:val="00633424"/>
    <w:rsid w:val="00633772"/>
    <w:rsid w:val="00634595"/>
    <w:rsid w:val="0063478C"/>
    <w:rsid w:val="00634CC7"/>
    <w:rsid w:val="00634E32"/>
    <w:rsid w:val="00634FA3"/>
    <w:rsid w:val="006351E8"/>
    <w:rsid w:val="0063588F"/>
    <w:rsid w:val="00635A28"/>
    <w:rsid w:val="00635EA2"/>
    <w:rsid w:val="006361A4"/>
    <w:rsid w:val="00636617"/>
    <w:rsid w:val="00636C93"/>
    <w:rsid w:val="00636D72"/>
    <w:rsid w:val="00636DBA"/>
    <w:rsid w:val="00636EE9"/>
    <w:rsid w:val="00637345"/>
    <w:rsid w:val="006373AA"/>
    <w:rsid w:val="0063779A"/>
    <w:rsid w:val="00637AFC"/>
    <w:rsid w:val="00637C93"/>
    <w:rsid w:val="00637CA9"/>
    <w:rsid w:val="00640207"/>
    <w:rsid w:val="006408F4"/>
    <w:rsid w:val="00640EF8"/>
    <w:rsid w:val="00640F5F"/>
    <w:rsid w:val="00641205"/>
    <w:rsid w:val="006417DC"/>
    <w:rsid w:val="006426E0"/>
    <w:rsid w:val="00643356"/>
    <w:rsid w:val="00643535"/>
    <w:rsid w:val="0064373A"/>
    <w:rsid w:val="0064375A"/>
    <w:rsid w:val="006438F1"/>
    <w:rsid w:val="00644D64"/>
    <w:rsid w:val="0064506B"/>
    <w:rsid w:val="00645491"/>
    <w:rsid w:val="0064562F"/>
    <w:rsid w:val="006456C0"/>
    <w:rsid w:val="00645861"/>
    <w:rsid w:val="006458E6"/>
    <w:rsid w:val="00645949"/>
    <w:rsid w:val="00645ED4"/>
    <w:rsid w:val="006461BD"/>
    <w:rsid w:val="0064705D"/>
    <w:rsid w:val="00647086"/>
    <w:rsid w:val="006470B7"/>
    <w:rsid w:val="00647973"/>
    <w:rsid w:val="00647E4C"/>
    <w:rsid w:val="00647E58"/>
    <w:rsid w:val="0065067D"/>
    <w:rsid w:val="00650725"/>
    <w:rsid w:val="00650915"/>
    <w:rsid w:val="0065136A"/>
    <w:rsid w:val="006514AB"/>
    <w:rsid w:val="00651848"/>
    <w:rsid w:val="006519CA"/>
    <w:rsid w:val="00651BC5"/>
    <w:rsid w:val="00651E0B"/>
    <w:rsid w:val="0065225A"/>
    <w:rsid w:val="00652A28"/>
    <w:rsid w:val="00652C56"/>
    <w:rsid w:val="00652CC3"/>
    <w:rsid w:val="006533F2"/>
    <w:rsid w:val="0065351B"/>
    <w:rsid w:val="00653785"/>
    <w:rsid w:val="00653E48"/>
    <w:rsid w:val="00654030"/>
    <w:rsid w:val="00654995"/>
    <w:rsid w:val="00654E1F"/>
    <w:rsid w:val="00654E81"/>
    <w:rsid w:val="00655013"/>
    <w:rsid w:val="00655054"/>
    <w:rsid w:val="006553AC"/>
    <w:rsid w:val="00655586"/>
    <w:rsid w:val="006557EC"/>
    <w:rsid w:val="006559F9"/>
    <w:rsid w:val="00655CD2"/>
    <w:rsid w:val="006561EB"/>
    <w:rsid w:val="00656A22"/>
    <w:rsid w:val="0065703C"/>
    <w:rsid w:val="00657302"/>
    <w:rsid w:val="006573CB"/>
    <w:rsid w:val="00657443"/>
    <w:rsid w:val="00657A7A"/>
    <w:rsid w:val="00657BB2"/>
    <w:rsid w:val="00657C74"/>
    <w:rsid w:val="00660142"/>
    <w:rsid w:val="0066041C"/>
    <w:rsid w:val="00660D75"/>
    <w:rsid w:val="0066125B"/>
    <w:rsid w:val="006615E5"/>
    <w:rsid w:val="00661949"/>
    <w:rsid w:val="0066204B"/>
    <w:rsid w:val="00662AF0"/>
    <w:rsid w:val="00662AF3"/>
    <w:rsid w:val="00662D4A"/>
    <w:rsid w:val="00662E83"/>
    <w:rsid w:val="00663229"/>
    <w:rsid w:val="0066324E"/>
    <w:rsid w:val="006637C7"/>
    <w:rsid w:val="00663A39"/>
    <w:rsid w:val="00663F46"/>
    <w:rsid w:val="0066402A"/>
    <w:rsid w:val="00664532"/>
    <w:rsid w:val="006646CB"/>
    <w:rsid w:val="0066557E"/>
    <w:rsid w:val="006655DE"/>
    <w:rsid w:val="00666034"/>
    <w:rsid w:val="00666241"/>
    <w:rsid w:val="00666753"/>
    <w:rsid w:val="0066691F"/>
    <w:rsid w:val="00666977"/>
    <w:rsid w:val="00666CF2"/>
    <w:rsid w:val="0066703C"/>
    <w:rsid w:val="006671C3"/>
    <w:rsid w:val="006673E0"/>
    <w:rsid w:val="00667684"/>
    <w:rsid w:val="006678C9"/>
    <w:rsid w:val="00667ACE"/>
    <w:rsid w:val="00667CF1"/>
    <w:rsid w:val="00667D55"/>
    <w:rsid w:val="00670376"/>
    <w:rsid w:val="00670676"/>
    <w:rsid w:val="00670C2D"/>
    <w:rsid w:val="00670C77"/>
    <w:rsid w:val="0067101F"/>
    <w:rsid w:val="0067173F"/>
    <w:rsid w:val="00671DEC"/>
    <w:rsid w:val="0067213C"/>
    <w:rsid w:val="00672333"/>
    <w:rsid w:val="00672451"/>
    <w:rsid w:val="00672664"/>
    <w:rsid w:val="0067299F"/>
    <w:rsid w:val="00672C86"/>
    <w:rsid w:val="006730A8"/>
    <w:rsid w:val="00673228"/>
    <w:rsid w:val="006734A7"/>
    <w:rsid w:val="006736B0"/>
    <w:rsid w:val="006736C7"/>
    <w:rsid w:val="00673704"/>
    <w:rsid w:val="0067374B"/>
    <w:rsid w:val="00673A5E"/>
    <w:rsid w:val="00673A8E"/>
    <w:rsid w:val="006748B5"/>
    <w:rsid w:val="006749E3"/>
    <w:rsid w:val="00674F4F"/>
    <w:rsid w:val="00674FEA"/>
    <w:rsid w:val="00675304"/>
    <w:rsid w:val="00675E1A"/>
    <w:rsid w:val="00675F01"/>
    <w:rsid w:val="006767D8"/>
    <w:rsid w:val="00676DA9"/>
    <w:rsid w:val="00677110"/>
    <w:rsid w:val="006771AD"/>
    <w:rsid w:val="006772ED"/>
    <w:rsid w:val="006776FE"/>
    <w:rsid w:val="00677C23"/>
    <w:rsid w:val="00677E12"/>
    <w:rsid w:val="00677E98"/>
    <w:rsid w:val="00677EBB"/>
    <w:rsid w:val="00680234"/>
    <w:rsid w:val="006802D7"/>
    <w:rsid w:val="006804B6"/>
    <w:rsid w:val="0068069D"/>
    <w:rsid w:val="00680796"/>
    <w:rsid w:val="0068137D"/>
    <w:rsid w:val="00681971"/>
    <w:rsid w:val="00681C72"/>
    <w:rsid w:val="0068245D"/>
    <w:rsid w:val="00682C10"/>
    <w:rsid w:val="00682D40"/>
    <w:rsid w:val="00682DEB"/>
    <w:rsid w:val="006835D9"/>
    <w:rsid w:val="0068387C"/>
    <w:rsid w:val="0068395C"/>
    <w:rsid w:val="00683966"/>
    <w:rsid w:val="00683B78"/>
    <w:rsid w:val="00684292"/>
    <w:rsid w:val="0068433E"/>
    <w:rsid w:val="0068435D"/>
    <w:rsid w:val="00684B16"/>
    <w:rsid w:val="00684DDA"/>
    <w:rsid w:val="00684FE9"/>
    <w:rsid w:val="006850F9"/>
    <w:rsid w:val="00685CE3"/>
    <w:rsid w:val="00685D95"/>
    <w:rsid w:val="00685E41"/>
    <w:rsid w:val="00686517"/>
    <w:rsid w:val="00686533"/>
    <w:rsid w:val="00686778"/>
    <w:rsid w:val="00686F79"/>
    <w:rsid w:val="00686FA0"/>
    <w:rsid w:val="006873DD"/>
    <w:rsid w:val="006877D3"/>
    <w:rsid w:val="00687ED9"/>
    <w:rsid w:val="00690312"/>
    <w:rsid w:val="006905AE"/>
    <w:rsid w:val="006906E4"/>
    <w:rsid w:val="00691778"/>
    <w:rsid w:val="00691B59"/>
    <w:rsid w:val="00691C5B"/>
    <w:rsid w:val="00692057"/>
    <w:rsid w:val="006920C3"/>
    <w:rsid w:val="0069210B"/>
    <w:rsid w:val="0069342F"/>
    <w:rsid w:val="00693765"/>
    <w:rsid w:val="0069379C"/>
    <w:rsid w:val="0069458C"/>
    <w:rsid w:val="00694614"/>
    <w:rsid w:val="006951AE"/>
    <w:rsid w:val="00695506"/>
    <w:rsid w:val="006955E8"/>
    <w:rsid w:val="00695B94"/>
    <w:rsid w:val="00696020"/>
    <w:rsid w:val="00696295"/>
    <w:rsid w:val="00696AEF"/>
    <w:rsid w:val="0069737A"/>
    <w:rsid w:val="006976AE"/>
    <w:rsid w:val="0069774C"/>
    <w:rsid w:val="00697A38"/>
    <w:rsid w:val="00697B14"/>
    <w:rsid w:val="00697BF0"/>
    <w:rsid w:val="00697D6E"/>
    <w:rsid w:val="00697DA5"/>
    <w:rsid w:val="00697EAF"/>
    <w:rsid w:val="00697F76"/>
    <w:rsid w:val="006A0263"/>
    <w:rsid w:val="006A036A"/>
    <w:rsid w:val="006A0D68"/>
    <w:rsid w:val="006A0F5D"/>
    <w:rsid w:val="006A121E"/>
    <w:rsid w:val="006A1665"/>
    <w:rsid w:val="006A19A3"/>
    <w:rsid w:val="006A2246"/>
    <w:rsid w:val="006A2404"/>
    <w:rsid w:val="006A242E"/>
    <w:rsid w:val="006A24C9"/>
    <w:rsid w:val="006A26B8"/>
    <w:rsid w:val="006A272F"/>
    <w:rsid w:val="006A2BC3"/>
    <w:rsid w:val="006A3465"/>
    <w:rsid w:val="006A36A9"/>
    <w:rsid w:val="006A3A98"/>
    <w:rsid w:val="006A3BF1"/>
    <w:rsid w:val="006A3E6D"/>
    <w:rsid w:val="006A4249"/>
    <w:rsid w:val="006A44D0"/>
    <w:rsid w:val="006A4855"/>
    <w:rsid w:val="006A48FC"/>
    <w:rsid w:val="006A4BB7"/>
    <w:rsid w:val="006A5643"/>
    <w:rsid w:val="006A59D9"/>
    <w:rsid w:val="006A5E7F"/>
    <w:rsid w:val="006A668A"/>
    <w:rsid w:val="006A679B"/>
    <w:rsid w:val="006A699F"/>
    <w:rsid w:val="006A69C1"/>
    <w:rsid w:val="006A6CCB"/>
    <w:rsid w:val="006A7333"/>
    <w:rsid w:val="006A7406"/>
    <w:rsid w:val="006A779D"/>
    <w:rsid w:val="006A77C7"/>
    <w:rsid w:val="006A7956"/>
    <w:rsid w:val="006A7AB2"/>
    <w:rsid w:val="006B034B"/>
    <w:rsid w:val="006B04FD"/>
    <w:rsid w:val="006B0D15"/>
    <w:rsid w:val="006B1121"/>
    <w:rsid w:val="006B15BC"/>
    <w:rsid w:val="006B16BF"/>
    <w:rsid w:val="006B1920"/>
    <w:rsid w:val="006B1A19"/>
    <w:rsid w:val="006B1BB4"/>
    <w:rsid w:val="006B1CA0"/>
    <w:rsid w:val="006B209F"/>
    <w:rsid w:val="006B2646"/>
    <w:rsid w:val="006B2A8A"/>
    <w:rsid w:val="006B2D67"/>
    <w:rsid w:val="006B2E99"/>
    <w:rsid w:val="006B309B"/>
    <w:rsid w:val="006B30EB"/>
    <w:rsid w:val="006B31A8"/>
    <w:rsid w:val="006B383C"/>
    <w:rsid w:val="006B38C3"/>
    <w:rsid w:val="006B3A80"/>
    <w:rsid w:val="006B3C13"/>
    <w:rsid w:val="006B4430"/>
    <w:rsid w:val="006B4AEE"/>
    <w:rsid w:val="006B4F7E"/>
    <w:rsid w:val="006B5552"/>
    <w:rsid w:val="006B5EF6"/>
    <w:rsid w:val="006B62A2"/>
    <w:rsid w:val="006B670A"/>
    <w:rsid w:val="006B6787"/>
    <w:rsid w:val="006B6D5A"/>
    <w:rsid w:val="006B6DBF"/>
    <w:rsid w:val="006B6E1D"/>
    <w:rsid w:val="006B7AA2"/>
    <w:rsid w:val="006B7BEC"/>
    <w:rsid w:val="006C0049"/>
    <w:rsid w:val="006C02B8"/>
    <w:rsid w:val="006C052D"/>
    <w:rsid w:val="006C0C9A"/>
    <w:rsid w:val="006C0C9D"/>
    <w:rsid w:val="006C0ED3"/>
    <w:rsid w:val="006C10BC"/>
    <w:rsid w:val="006C170E"/>
    <w:rsid w:val="006C1D7B"/>
    <w:rsid w:val="006C1FA2"/>
    <w:rsid w:val="006C2020"/>
    <w:rsid w:val="006C2409"/>
    <w:rsid w:val="006C292A"/>
    <w:rsid w:val="006C2AE0"/>
    <w:rsid w:val="006C2C37"/>
    <w:rsid w:val="006C2DC9"/>
    <w:rsid w:val="006C3338"/>
    <w:rsid w:val="006C38C5"/>
    <w:rsid w:val="006C3DAB"/>
    <w:rsid w:val="006C3F52"/>
    <w:rsid w:val="006C4506"/>
    <w:rsid w:val="006C509C"/>
    <w:rsid w:val="006C5359"/>
    <w:rsid w:val="006C5794"/>
    <w:rsid w:val="006C59E9"/>
    <w:rsid w:val="006C6159"/>
    <w:rsid w:val="006C6373"/>
    <w:rsid w:val="006C6619"/>
    <w:rsid w:val="006C6621"/>
    <w:rsid w:val="006C6692"/>
    <w:rsid w:val="006C688E"/>
    <w:rsid w:val="006C6963"/>
    <w:rsid w:val="006C6BDA"/>
    <w:rsid w:val="006C751B"/>
    <w:rsid w:val="006C7D5E"/>
    <w:rsid w:val="006C7F64"/>
    <w:rsid w:val="006C7FE8"/>
    <w:rsid w:val="006D0012"/>
    <w:rsid w:val="006D00BE"/>
    <w:rsid w:val="006D01B9"/>
    <w:rsid w:val="006D06AD"/>
    <w:rsid w:val="006D072E"/>
    <w:rsid w:val="006D0ACF"/>
    <w:rsid w:val="006D0BEA"/>
    <w:rsid w:val="006D0DAE"/>
    <w:rsid w:val="006D0DBB"/>
    <w:rsid w:val="006D1296"/>
    <w:rsid w:val="006D1D8A"/>
    <w:rsid w:val="006D1EEA"/>
    <w:rsid w:val="006D218D"/>
    <w:rsid w:val="006D3040"/>
    <w:rsid w:val="006D306A"/>
    <w:rsid w:val="006D375D"/>
    <w:rsid w:val="006D3BDF"/>
    <w:rsid w:val="006D4116"/>
    <w:rsid w:val="006D4333"/>
    <w:rsid w:val="006D45BC"/>
    <w:rsid w:val="006D4747"/>
    <w:rsid w:val="006D4902"/>
    <w:rsid w:val="006D4BBC"/>
    <w:rsid w:val="006D4D2F"/>
    <w:rsid w:val="006D4EEF"/>
    <w:rsid w:val="006D4FA4"/>
    <w:rsid w:val="006D5312"/>
    <w:rsid w:val="006D534A"/>
    <w:rsid w:val="006D57E8"/>
    <w:rsid w:val="006D5995"/>
    <w:rsid w:val="006D5B9D"/>
    <w:rsid w:val="006D5F37"/>
    <w:rsid w:val="006D624B"/>
    <w:rsid w:val="006D63F3"/>
    <w:rsid w:val="006D65A1"/>
    <w:rsid w:val="006D6A5D"/>
    <w:rsid w:val="006D6C98"/>
    <w:rsid w:val="006D7709"/>
    <w:rsid w:val="006D7B5F"/>
    <w:rsid w:val="006D7C4B"/>
    <w:rsid w:val="006D7C75"/>
    <w:rsid w:val="006D7CEB"/>
    <w:rsid w:val="006E013E"/>
    <w:rsid w:val="006E019F"/>
    <w:rsid w:val="006E08C4"/>
    <w:rsid w:val="006E0D20"/>
    <w:rsid w:val="006E0E6D"/>
    <w:rsid w:val="006E10DA"/>
    <w:rsid w:val="006E18B7"/>
    <w:rsid w:val="006E1CA6"/>
    <w:rsid w:val="006E1CDC"/>
    <w:rsid w:val="006E1E92"/>
    <w:rsid w:val="006E2257"/>
    <w:rsid w:val="006E2893"/>
    <w:rsid w:val="006E2919"/>
    <w:rsid w:val="006E2B36"/>
    <w:rsid w:val="006E2B84"/>
    <w:rsid w:val="006E2C4B"/>
    <w:rsid w:val="006E312A"/>
    <w:rsid w:val="006E37D0"/>
    <w:rsid w:val="006E45BD"/>
    <w:rsid w:val="006E49BE"/>
    <w:rsid w:val="006E4BDB"/>
    <w:rsid w:val="006E4D64"/>
    <w:rsid w:val="006E4DA2"/>
    <w:rsid w:val="006E51AC"/>
    <w:rsid w:val="006E5C4F"/>
    <w:rsid w:val="006E61F9"/>
    <w:rsid w:val="006E6C19"/>
    <w:rsid w:val="006E73D2"/>
    <w:rsid w:val="006E799D"/>
    <w:rsid w:val="006E7B86"/>
    <w:rsid w:val="006E7C06"/>
    <w:rsid w:val="006E7ECB"/>
    <w:rsid w:val="006F0082"/>
    <w:rsid w:val="006F02A9"/>
    <w:rsid w:val="006F03F3"/>
    <w:rsid w:val="006F0537"/>
    <w:rsid w:val="006F0582"/>
    <w:rsid w:val="006F05BD"/>
    <w:rsid w:val="006F061D"/>
    <w:rsid w:val="006F07CC"/>
    <w:rsid w:val="006F0EED"/>
    <w:rsid w:val="006F15BF"/>
    <w:rsid w:val="006F1607"/>
    <w:rsid w:val="006F184C"/>
    <w:rsid w:val="006F1D7F"/>
    <w:rsid w:val="006F1F68"/>
    <w:rsid w:val="006F2028"/>
    <w:rsid w:val="006F234C"/>
    <w:rsid w:val="006F25D8"/>
    <w:rsid w:val="006F2792"/>
    <w:rsid w:val="006F299A"/>
    <w:rsid w:val="006F2A16"/>
    <w:rsid w:val="006F2A6F"/>
    <w:rsid w:val="006F2FA5"/>
    <w:rsid w:val="006F3354"/>
    <w:rsid w:val="006F3AFF"/>
    <w:rsid w:val="006F3CF3"/>
    <w:rsid w:val="006F421F"/>
    <w:rsid w:val="006F50B2"/>
    <w:rsid w:val="006F57E6"/>
    <w:rsid w:val="006F58E6"/>
    <w:rsid w:val="006F5A86"/>
    <w:rsid w:val="006F5BD7"/>
    <w:rsid w:val="006F5DB7"/>
    <w:rsid w:val="006F611A"/>
    <w:rsid w:val="006F61CF"/>
    <w:rsid w:val="006F6592"/>
    <w:rsid w:val="006F6B91"/>
    <w:rsid w:val="006F6F5B"/>
    <w:rsid w:val="006F7215"/>
    <w:rsid w:val="006F7235"/>
    <w:rsid w:val="006F7A6E"/>
    <w:rsid w:val="006F7E2D"/>
    <w:rsid w:val="006F7E32"/>
    <w:rsid w:val="00700478"/>
    <w:rsid w:val="00700480"/>
    <w:rsid w:val="00700520"/>
    <w:rsid w:val="00700738"/>
    <w:rsid w:val="007007DA"/>
    <w:rsid w:val="00700B9A"/>
    <w:rsid w:val="00700ED3"/>
    <w:rsid w:val="007010F8"/>
    <w:rsid w:val="00701F36"/>
    <w:rsid w:val="00702313"/>
    <w:rsid w:val="0070284F"/>
    <w:rsid w:val="00702E8E"/>
    <w:rsid w:val="00703C25"/>
    <w:rsid w:val="00704092"/>
    <w:rsid w:val="0070416D"/>
    <w:rsid w:val="007048A1"/>
    <w:rsid w:val="00704C63"/>
    <w:rsid w:val="00704E29"/>
    <w:rsid w:val="00704E83"/>
    <w:rsid w:val="007058EE"/>
    <w:rsid w:val="00705B9E"/>
    <w:rsid w:val="007060DA"/>
    <w:rsid w:val="0070687A"/>
    <w:rsid w:val="0070711B"/>
    <w:rsid w:val="00707443"/>
    <w:rsid w:val="007074DB"/>
    <w:rsid w:val="00707616"/>
    <w:rsid w:val="007076B2"/>
    <w:rsid w:val="007077E8"/>
    <w:rsid w:val="00710346"/>
    <w:rsid w:val="00710394"/>
    <w:rsid w:val="00710771"/>
    <w:rsid w:val="00710E4D"/>
    <w:rsid w:val="00710E65"/>
    <w:rsid w:val="0071107B"/>
    <w:rsid w:val="007110C4"/>
    <w:rsid w:val="007111AB"/>
    <w:rsid w:val="007113BF"/>
    <w:rsid w:val="007116F2"/>
    <w:rsid w:val="00711F0B"/>
    <w:rsid w:val="00711F94"/>
    <w:rsid w:val="00712874"/>
    <w:rsid w:val="00712C7B"/>
    <w:rsid w:val="00712EE4"/>
    <w:rsid w:val="007131DD"/>
    <w:rsid w:val="00713256"/>
    <w:rsid w:val="00713594"/>
    <w:rsid w:val="00713662"/>
    <w:rsid w:val="00713942"/>
    <w:rsid w:val="00713EF6"/>
    <w:rsid w:val="00713F9A"/>
    <w:rsid w:val="00714232"/>
    <w:rsid w:val="0071465F"/>
    <w:rsid w:val="0071481F"/>
    <w:rsid w:val="00714867"/>
    <w:rsid w:val="00714C0F"/>
    <w:rsid w:val="00714C81"/>
    <w:rsid w:val="00714DBD"/>
    <w:rsid w:val="0071509B"/>
    <w:rsid w:val="0071573F"/>
    <w:rsid w:val="00715996"/>
    <w:rsid w:val="00715CA7"/>
    <w:rsid w:val="00715CCA"/>
    <w:rsid w:val="00715D20"/>
    <w:rsid w:val="00715FC6"/>
    <w:rsid w:val="00716809"/>
    <w:rsid w:val="00716A0E"/>
    <w:rsid w:val="00716A19"/>
    <w:rsid w:val="00716DC7"/>
    <w:rsid w:val="00717067"/>
    <w:rsid w:val="007171C6"/>
    <w:rsid w:val="00717208"/>
    <w:rsid w:val="00717879"/>
    <w:rsid w:val="007178CB"/>
    <w:rsid w:val="00717BE9"/>
    <w:rsid w:val="0072016D"/>
    <w:rsid w:val="007203D1"/>
    <w:rsid w:val="007205DF"/>
    <w:rsid w:val="00720AD5"/>
    <w:rsid w:val="00720B44"/>
    <w:rsid w:val="00720BE3"/>
    <w:rsid w:val="0072104A"/>
    <w:rsid w:val="007211C8"/>
    <w:rsid w:val="00721311"/>
    <w:rsid w:val="00721679"/>
    <w:rsid w:val="00721A71"/>
    <w:rsid w:val="00721F81"/>
    <w:rsid w:val="007220D9"/>
    <w:rsid w:val="007221C5"/>
    <w:rsid w:val="00722AB8"/>
    <w:rsid w:val="007232BA"/>
    <w:rsid w:val="007232DD"/>
    <w:rsid w:val="0072354B"/>
    <w:rsid w:val="007237A9"/>
    <w:rsid w:val="0072387E"/>
    <w:rsid w:val="00723932"/>
    <w:rsid w:val="007239D4"/>
    <w:rsid w:val="00723B06"/>
    <w:rsid w:val="007244DE"/>
    <w:rsid w:val="007249C6"/>
    <w:rsid w:val="00724B90"/>
    <w:rsid w:val="00725660"/>
    <w:rsid w:val="00725D11"/>
    <w:rsid w:val="007260AE"/>
    <w:rsid w:val="0072663F"/>
    <w:rsid w:val="007266CB"/>
    <w:rsid w:val="00726EE0"/>
    <w:rsid w:val="007274A9"/>
    <w:rsid w:val="00727B6A"/>
    <w:rsid w:val="00727BC5"/>
    <w:rsid w:val="00730035"/>
    <w:rsid w:val="00730545"/>
    <w:rsid w:val="00730793"/>
    <w:rsid w:val="00730C7B"/>
    <w:rsid w:val="00730FD7"/>
    <w:rsid w:val="00731DE9"/>
    <w:rsid w:val="00731F2D"/>
    <w:rsid w:val="007325D6"/>
    <w:rsid w:val="00732EDC"/>
    <w:rsid w:val="00732FBF"/>
    <w:rsid w:val="00733070"/>
    <w:rsid w:val="00733268"/>
    <w:rsid w:val="0073374D"/>
    <w:rsid w:val="00733AC3"/>
    <w:rsid w:val="00734137"/>
    <w:rsid w:val="007342BE"/>
    <w:rsid w:val="00734335"/>
    <w:rsid w:val="007344B0"/>
    <w:rsid w:val="00734E46"/>
    <w:rsid w:val="00735230"/>
    <w:rsid w:val="007353FA"/>
    <w:rsid w:val="00735A9F"/>
    <w:rsid w:val="00735B55"/>
    <w:rsid w:val="00735CFC"/>
    <w:rsid w:val="00736470"/>
    <w:rsid w:val="00736964"/>
    <w:rsid w:val="00736CB4"/>
    <w:rsid w:val="00736FBF"/>
    <w:rsid w:val="00737450"/>
    <w:rsid w:val="00737491"/>
    <w:rsid w:val="00737AEE"/>
    <w:rsid w:val="00737B23"/>
    <w:rsid w:val="00740084"/>
    <w:rsid w:val="007401FC"/>
    <w:rsid w:val="007405AB"/>
    <w:rsid w:val="00740758"/>
    <w:rsid w:val="00740D76"/>
    <w:rsid w:val="00740D87"/>
    <w:rsid w:val="0074117E"/>
    <w:rsid w:val="007411EF"/>
    <w:rsid w:val="00741562"/>
    <w:rsid w:val="0074171E"/>
    <w:rsid w:val="00741895"/>
    <w:rsid w:val="00741959"/>
    <w:rsid w:val="00741C5B"/>
    <w:rsid w:val="00742006"/>
    <w:rsid w:val="007427F3"/>
    <w:rsid w:val="007428E5"/>
    <w:rsid w:val="00742EAD"/>
    <w:rsid w:val="00742EC5"/>
    <w:rsid w:val="00743528"/>
    <w:rsid w:val="00743D9C"/>
    <w:rsid w:val="00743E15"/>
    <w:rsid w:val="007440BC"/>
    <w:rsid w:val="0074412A"/>
    <w:rsid w:val="00744575"/>
    <w:rsid w:val="00744949"/>
    <w:rsid w:val="00744FBE"/>
    <w:rsid w:val="0074538E"/>
    <w:rsid w:val="007457F2"/>
    <w:rsid w:val="00745ABC"/>
    <w:rsid w:val="00745AF7"/>
    <w:rsid w:val="00745FB0"/>
    <w:rsid w:val="00746466"/>
    <w:rsid w:val="00746513"/>
    <w:rsid w:val="00746AF2"/>
    <w:rsid w:val="00746E5F"/>
    <w:rsid w:val="007473F1"/>
    <w:rsid w:val="0074754E"/>
    <w:rsid w:val="00747739"/>
    <w:rsid w:val="00747D9C"/>
    <w:rsid w:val="007502D6"/>
    <w:rsid w:val="0075036E"/>
    <w:rsid w:val="007508A8"/>
    <w:rsid w:val="00750C82"/>
    <w:rsid w:val="00750CE2"/>
    <w:rsid w:val="00750F03"/>
    <w:rsid w:val="007511AD"/>
    <w:rsid w:val="007512B4"/>
    <w:rsid w:val="007524C0"/>
    <w:rsid w:val="00752502"/>
    <w:rsid w:val="00752507"/>
    <w:rsid w:val="00752624"/>
    <w:rsid w:val="00752AD6"/>
    <w:rsid w:val="00753229"/>
    <w:rsid w:val="0075389A"/>
    <w:rsid w:val="00753B3C"/>
    <w:rsid w:val="00753DB3"/>
    <w:rsid w:val="00754383"/>
    <w:rsid w:val="00754CDA"/>
    <w:rsid w:val="007553CF"/>
    <w:rsid w:val="00755971"/>
    <w:rsid w:val="00755FE9"/>
    <w:rsid w:val="00756090"/>
    <w:rsid w:val="00756ADB"/>
    <w:rsid w:val="00756C14"/>
    <w:rsid w:val="00756C7F"/>
    <w:rsid w:val="007571B8"/>
    <w:rsid w:val="00757630"/>
    <w:rsid w:val="00757C05"/>
    <w:rsid w:val="00757DA0"/>
    <w:rsid w:val="007602E1"/>
    <w:rsid w:val="007603A6"/>
    <w:rsid w:val="007609E7"/>
    <w:rsid w:val="00760BB9"/>
    <w:rsid w:val="00760D27"/>
    <w:rsid w:val="00761055"/>
    <w:rsid w:val="007615C7"/>
    <w:rsid w:val="00761C41"/>
    <w:rsid w:val="00761FB3"/>
    <w:rsid w:val="0076223E"/>
    <w:rsid w:val="007623ED"/>
    <w:rsid w:val="007627AD"/>
    <w:rsid w:val="007627E0"/>
    <w:rsid w:val="00762848"/>
    <w:rsid w:val="0076290C"/>
    <w:rsid w:val="00762D5B"/>
    <w:rsid w:val="007630B3"/>
    <w:rsid w:val="0076349B"/>
    <w:rsid w:val="007639BB"/>
    <w:rsid w:val="00763CD7"/>
    <w:rsid w:val="007648AC"/>
    <w:rsid w:val="007648E5"/>
    <w:rsid w:val="007649C1"/>
    <w:rsid w:val="00764AB8"/>
    <w:rsid w:val="00764AC0"/>
    <w:rsid w:val="00764D6C"/>
    <w:rsid w:val="00764ED4"/>
    <w:rsid w:val="0076511E"/>
    <w:rsid w:val="00765536"/>
    <w:rsid w:val="007655EC"/>
    <w:rsid w:val="00765DEA"/>
    <w:rsid w:val="00765E19"/>
    <w:rsid w:val="00765E6F"/>
    <w:rsid w:val="007660C1"/>
    <w:rsid w:val="0076619C"/>
    <w:rsid w:val="00766769"/>
    <w:rsid w:val="007668FB"/>
    <w:rsid w:val="00766DE2"/>
    <w:rsid w:val="00766F72"/>
    <w:rsid w:val="007675DD"/>
    <w:rsid w:val="00767868"/>
    <w:rsid w:val="00767C3E"/>
    <w:rsid w:val="00767D77"/>
    <w:rsid w:val="00770437"/>
    <w:rsid w:val="007706B6"/>
    <w:rsid w:val="00770F1F"/>
    <w:rsid w:val="007710FA"/>
    <w:rsid w:val="00771504"/>
    <w:rsid w:val="0077162E"/>
    <w:rsid w:val="007717A5"/>
    <w:rsid w:val="00771FCC"/>
    <w:rsid w:val="00772171"/>
    <w:rsid w:val="0077228B"/>
    <w:rsid w:val="0077233F"/>
    <w:rsid w:val="0077269E"/>
    <w:rsid w:val="007728EB"/>
    <w:rsid w:val="00773458"/>
    <w:rsid w:val="0077348D"/>
    <w:rsid w:val="00773A39"/>
    <w:rsid w:val="00773BD3"/>
    <w:rsid w:val="00774B0C"/>
    <w:rsid w:val="00774B99"/>
    <w:rsid w:val="00774D10"/>
    <w:rsid w:val="00774DF2"/>
    <w:rsid w:val="007755AB"/>
    <w:rsid w:val="0077562D"/>
    <w:rsid w:val="007759A5"/>
    <w:rsid w:val="00775B54"/>
    <w:rsid w:val="00775BF0"/>
    <w:rsid w:val="00775DB3"/>
    <w:rsid w:val="00775DDC"/>
    <w:rsid w:val="0077611A"/>
    <w:rsid w:val="00776816"/>
    <w:rsid w:val="00776ADA"/>
    <w:rsid w:val="00776D1F"/>
    <w:rsid w:val="00776E7F"/>
    <w:rsid w:val="00776FEC"/>
    <w:rsid w:val="007770D9"/>
    <w:rsid w:val="00777701"/>
    <w:rsid w:val="007777EE"/>
    <w:rsid w:val="00777B6D"/>
    <w:rsid w:val="00777D29"/>
    <w:rsid w:val="00777D66"/>
    <w:rsid w:val="00777DB4"/>
    <w:rsid w:val="007800AA"/>
    <w:rsid w:val="00780D02"/>
    <w:rsid w:val="00780D3D"/>
    <w:rsid w:val="0078104C"/>
    <w:rsid w:val="007814E8"/>
    <w:rsid w:val="00781785"/>
    <w:rsid w:val="007818AB"/>
    <w:rsid w:val="007818B8"/>
    <w:rsid w:val="00781B00"/>
    <w:rsid w:val="00782619"/>
    <w:rsid w:val="007828BF"/>
    <w:rsid w:val="00782CCD"/>
    <w:rsid w:val="00782EA1"/>
    <w:rsid w:val="00783285"/>
    <w:rsid w:val="00783F83"/>
    <w:rsid w:val="00784A90"/>
    <w:rsid w:val="00784B22"/>
    <w:rsid w:val="00784EAE"/>
    <w:rsid w:val="007851E8"/>
    <w:rsid w:val="00785236"/>
    <w:rsid w:val="007852DC"/>
    <w:rsid w:val="00785769"/>
    <w:rsid w:val="00785C6E"/>
    <w:rsid w:val="00785D05"/>
    <w:rsid w:val="00785F70"/>
    <w:rsid w:val="00785FF2"/>
    <w:rsid w:val="007864A5"/>
    <w:rsid w:val="007869A5"/>
    <w:rsid w:val="00786A9E"/>
    <w:rsid w:val="007872F9"/>
    <w:rsid w:val="0078733B"/>
    <w:rsid w:val="007873E7"/>
    <w:rsid w:val="0078765A"/>
    <w:rsid w:val="0078775B"/>
    <w:rsid w:val="007878B3"/>
    <w:rsid w:val="00787BA1"/>
    <w:rsid w:val="00787BDB"/>
    <w:rsid w:val="00787C3D"/>
    <w:rsid w:val="00787C6C"/>
    <w:rsid w:val="00790128"/>
    <w:rsid w:val="00790499"/>
    <w:rsid w:val="007907A8"/>
    <w:rsid w:val="00790C75"/>
    <w:rsid w:val="00790C7F"/>
    <w:rsid w:val="00790FC4"/>
    <w:rsid w:val="00791154"/>
    <w:rsid w:val="00791187"/>
    <w:rsid w:val="0079118A"/>
    <w:rsid w:val="00791B88"/>
    <w:rsid w:val="00791B9D"/>
    <w:rsid w:val="00791CA7"/>
    <w:rsid w:val="00791ECC"/>
    <w:rsid w:val="0079203B"/>
    <w:rsid w:val="00792174"/>
    <w:rsid w:val="00792521"/>
    <w:rsid w:val="00792914"/>
    <w:rsid w:val="007929E6"/>
    <w:rsid w:val="00792A2F"/>
    <w:rsid w:val="00792E37"/>
    <w:rsid w:val="00792F98"/>
    <w:rsid w:val="0079346C"/>
    <w:rsid w:val="007934A0"/>
    <w:rsid w:val="007934E1"/>
    <w:rsid w:val="0079360D"/>
    <w:rsid w:val="00793909"/>
    <w:rsid w:val="00793CE3"/>
    <w:rsid w:val="007945CE"/>
    <w:rsid w:val="00794CCB"/>
    <w:rsid w:val="007950F6"/>
    <w:rsid w:val="00795546"/>
    <w:rsid w:val="00795937"/>
    <w:rsid w:val="00795DB3"/>
    <w:rsid w:val="00795FC8"/>
    <w:rsid w:val="007962FA"/>
    <w:rsid w:val="00796509"/>
    <w:rsid w:val="00796554"/>
    <w:rsid w:val="00796AEC"/>
    <w:rsid w:val="007970F3"/>
    <w:rsid w:val="00797801"/>
    <w:rsid w:val="00797A02"/>
    <w:rsid w:val="00797A5A"/>
    <w:rsid w:val="007A04F3"/>
    <w:rsid w:val="007A0A3E"/>
    <w:rsid w:val="007A0AF0"/>
    <w:rsid w:val="007A0FD7"/>
    <w:rsid w:val="007A1458"/>
    <w:rsid w:val="007A1647"/>
    <w:rsid w:val="007A1A79"/>
    <w:rsid w:val="007A2143"/>
    <w:rsid w:val="007A2371"/>
    <w:rsid w:val="007A2644"/>
    <w:rsid w:val="007A287F"/>
    <w:rsid w:val="007A288C"/>
    <w:rsid w:val="007A2966"/>
    <w:rsid w:val="007A2B72"/>
    <w:rsid w:val="007A3124"/>
    <w:rsid w:val="007A3831"/>
    <w:rsid w:val="007A419A"/>
    <w:rsid w:val="007A41A7"/>
    <w:rsid w:val="007A432B"/>
    <w:rsid w:val="007A4708"/>
    <w:rsid w:val="007A4776"/>
    <w:rsid w:val="007A47CD"/>
    <w:rsid w:val="007A48C9"/>
    <w:rsid w:val="007A50BE"/>
    <w:rsid w:val="007A52F9"/>
    <w:rsid w:val="007A59A8"/>
    <w:rsid w:val="007A5BC1"/>
    <w:rsid w:val="007A623F"/>
    <w:rsid w:val="007A64FB"/>
    <w:rsid w:val="007A673E"/>
    <w:rsid w:val="007A6B19"/>
    <w:rsid w:val="007A74D9"/>
    <w:rsid w:val="007A7641"/>
    <w:rsid w:val="007A765B"/>
    <w:rsid w:val="007A7A04"/>
    <w:rsid w:val="007A7C0D"/>
    <w:rsid w:val="007A7D1D"/>
    <w:rsid w:val="007B0074"/>
    <w:rsid w:val="007B0079"/>
    <w:rsid w:val="007B0584"/>
    <w:rsid w:val="007B0704"/>
    <w:rsid w:val="007B0C2E"/>
    <w:rsid w:val="007B27F0"/>
    <w:rsid w:val="007B2C0C"/>
    <w:rsid w:val="007B2C1E"/>
    <w:rsid w:val="007B2DA0"/>
    <w:rsid w:val="007B2E8D"/>
    <w:rsid w:val="007B31A4"/>
    <w:rsid w:val="007B3382"/>
    <w:rsid w:val="007B350F"/>
    <w:rsid w:val="007B402D"/>
    <w:rsid w:val="007B4508"/>
    <w:rsid w:val="007B499B"/>
    <w:rsid w:val="007B49B0"/>
    <w:rsid w:val="007B4A77"/>
    <w:rsid w:val="007B4AAE"/>
    <w:rsid w:val="007B4BC5"/>
    <w:rsid w:val="007B4DCA"/>
    <w:rsid w:val="007B4FA2"/>
    <w:rsid w:val="007B5217"/>
    <w:rsid w:val="007B5303"/>
    <w:rsid w:val="007B57A1"/>
    <w:rsid w:val="007B58DC"/>
    <w:rsid w:val="007B5EF6"/>
    <w:rsid w:val="007B5FAC"/>
    <w:rsid w:val="007B6021"/>
    <w:rsid w:val="007B6C2E"/>
    <w:rsid w:val="007B7219"/>
    <w:rsid w:val="007B7416"/>
    <w:rsid w:val="007B7421"/>
    <w:rsid w:val="007B76F1"/>
    <w:rsid w:val="007C027F"/>
    <w:rsid w:val="007C02EC"/>
    <w:rsid w:val="007C0A26"/>
    <w:rsid w:val="007C0A8D"/>
    <w:rsid w:val="007C0B33"/>
    <w:rsid w:val="007C0EBE"/>
    <w:rsid w:val="007C1040"/>
    <w:rsid w:val="007C1283"/>
    <w:rsid w:val="007C17C7"/>
    <w:rsid w:val="007C1AAC"/>
    <w:rsid w:val="007C2345"/>
    <w:rsid w:val="007C24F6"/>
    <w:rsid w:val="007C2707"/>
    <w:rsid w:val="007C2CD4"/>
    <w:rsid w:val="007C32C1"/>
    <w:rsid w:val="007C350D"/>
    <w:rsid w:val="007C382A"/>
    <w:rsid w:val="007C3836"/>
    <w:rsid w:val="007C476B"/>
    <w:rsid w:val="007C4784"/>
    <w:rsid w:val="007C4A17"/>
    <w:rsid w:val="007C4DAC"/>
    <w:rsid w:val="007C4E6A"/>
    <w:rsid w:val="007C4F0D"/>
    <w:rsid w:val="007C507E"/>
    <w:rsid w:val="007C5197"/>
    <w:rsid w:val="007C5DFA"/>
    <w:rsid w:val="007C6248"/>
    <w:rsid w:val="007C6DD5"/>
    <w:rsid w:val="007C7016"/>
    <w:rsid w:val="007C7517"/>
    <w:rsid w:val="007C787B"/>
    <w:rsid w:val="007C79D6"/>
    <w:rsid w:val="007C7A87"/>
    <w:rsid w:val="007C7DAC"/>
    <w:rsid w:val="007D03B6"/>
    <w:rsid w:val="007D06DE"/>
    <w:rsid w:val="007D0FC2"/>
    <w:rsid w:val="007D10B1"/>
    <w:rsid w:val="007D1D01"/>
    <w:rsid w:val="007D1EA4"/>
    <w:rsid w:val="007D206D"/>
    <w:rsid w:val="007D219E"/>
    <w:rsid w:val="007D2553"/>
    <w:rsid w:val="007D27AA"/>
    <w:rsid w:val="007D298D"/>
    <w:rsid w:val="007D2992"/>
    <w:rsid w:val="007D2A90"/>
    <w:rsid w:val="007D2BB4"/>
    <w:rsid w:val="007D2F6A"/>
    <w:rsid w:val="007D3156"/>
    <w:rsid w:val="007D345A"/>
    <w:rsid w:val="007D36B9"/>
    <w:rsid w:val="007D3755"/>
    <w:rsid w:val="007D3935"/>
    <w:rsid w:val="007D3EFB"/>
    <w:rsid w:val="007D4032"/>
    <w:rsid w:val="007D4234"/>
    <w:rsid w:val="007D4373"/>
    <w:rsid w:val="007D4399"/>
    <w:rsid w:val="007D4420"/>
    <w:rsid w:val="007D49F1"/>
    <w:rsid w:val="007D54C4"/>
    <w:rsid w:val="007D5AE3"/>
    <w:rsid w:val="007D5AFB"/>
    <w:rsid w:val="007D606F"/>
    <w:rsid w:val="007D642B"/>
    <w:rsid w:val="007D648C"/>
    <w:rsid w:val="007D669C"/>
    <w:rsid w:val="007D69BD"/>
    <w:rsid w:val="007D6DEA"/>
    <w:rsid w:val="007D6E33"/>
    <w:rsid w:val="007D6E70"/>
    <w:rsid w:val="007D6F11"/>
    <w:rsid w:val="007D736A"/>
    <w:rsid w:val="007D7412"/>
    <w:rsid w:val="007D7677"/>
    <w:rsid w:val="007D7E91"/>
    <w:rsid w:val="007E0177"/>
    <w:rsid w:val="007E0452"/>
    <w:rsid w:val="007E0544"/>
    <w:rsid w:val="007E1027"/>
    <w:rsid w:val="007E1388"/>
    <w:rsid w:val="007E15A5"/>
    <w:rsid w:val="007E1AE7"/>
    <w:rsid w:val="007E1E25"/>
    <w:rsid w:val="007E205C"/>
    <w:rsid w:val="007E23D4"/>
    <w:rsid w:val="007E2615"/>
    <w:rsid w:val="007E26EF"/>
    <w:rsid w:val="007E2B6C"/>
    <w:rsid w:val="007E2BD5"/>
    <w:rsid w:val="007E2C5F"/>
    <w:rsid w:val="007E2E4E"/>
    <w:rsid w:val="007E3041"/>
    <w:rsid w:val="007E356A"/>
    <w:rsid w:val="007E3589"/>
    <w:rsid w:val="007E3AFF"/>
    <w:rsid w:val="007E4154"/>
    <w:rsid w:val="007E4275"/>
    <w:rsid w:val="007E42C3"/>
    <w:rsid w:val="007E43C7"/>
    <w:rsid w:val="007E47EF"/>
    <w:rsid w:val="007E495C"/>
    <w:rsid w:val="007E4B96"/>
    <w:rsid w:val="007E4DD2"/>
    <w:rsid w:val="007E539C"/>
    <w:rsid w:val="007E55F0"/>
    <w:rsid w:val="007E588A"/>
    <w:rsid w:val="007E5B35"/>
    <w:rsid w:val="007E5CF8"/>
    <w:rsid w:val="007E62F7"/>
    <w:rsid w:val="007E664B"/>
    <w:rsid w:val="007E69FC"/>
    <w:rsid w:val="007E6B98"/>
    <w:rsid w:val="007E6C9A"/>
    <w:rsid w:val="007E6E1F"/>
    <w:rsid w:val="007E6F50"/>
    <w:rsid w:val="007E74DC"/>
    <w:rsid w:val="007E79CE"/>
    <w:rsid w:val="007E7BB1"/>
    <w:rsid w:val="007E7CCD"/>
    <w:rsid w:val="007E7E03"/>
    <w:rsid w:val="007E7FC8"/>
    <w:rsid w:val="007E7FFD"/>
    <w:rsid w:val="007F00FB"/>
    <w:rsid w:val="007F0B1F"/>
    <w:rsid w:val="007F0FF3"/>
    <w:rsid w:val="007F136B"/>
    <w:rsid w:val="007F1529"/>
    <w:rsid w:val="007F1641"/>
    <w:rsid w:val="007F178F"/>
    <w:rsid w:val="007F20BD"/>
    <w:rsid w:val="007F29F9"/>
    <w:rsid w:val="007F2CA5"/>
    <w:rsid w:val="007F2D67"/>
    <w:rsid w:val="007F3598"/>
    <w:rsid w:val="007F3CD2"/>
    <w:rsid w:val="007F4195"/>
    <w:rsid w:val="007F4D61"/>
    <w:rsid w:val="007F5472"/>
    <w:rsid w:val="007F55D2"/>
    <w:rsid w:val="007F5670"/>
    <w:rsid w:val="007F57AC"/>
    <w:rsid w:val="007F59A2"/>
    <w:rsid w:val="007F5CF0"/>
    <w:rsid w:val="007F5F99"/>
    <w:rsid w:val="007F60DE"/>
    <w:rsid w:val="007F637C"/>
    <w:rsid w:val="007F65AE"/>
    <w:rsid w:val="007F6814"/>
    <w:rsid w:val="007F6A73"/>
    <w:rsid w:val="007F6B98"/>
    <w:rsid w:val="007F6CB3"/>
    <w:rsid w:val="007F6ECB"/>
    <w:rsid w:val="007F70DE"/>
    <w:rsid w:val="007F78A9"/>
    <w:rsid w:val="007F7A8B"/>
    <w:rsid w:val="0080000B"/>
    <w:rsid w:val="008000B6"/>
    <w:rsid w:val="00800157"/>
    <w:rsid w:val="0080044F"/>
    <w:rsid w:val="008005FE"/>
    <w:rsid w:val="00800994"/>
    <w:rsid w:val="00800B73"/>
    <w:rsid w:val="00800C3F"/>
    <w:rsid w:val="00800ED6"/>
    <w:rsid w:val="00800EDA"/>
    <w:rsid w:val="008013D3"/>
    <w:rsid w:val="0080160D"/>
    <w:rsid w:val="00801718"/>
    <w:rsid w:val="008018D9"/>
    <w:rsid w:val="0080191D"/>
    <w:rsid w:val="00801DC5"/>
    <w:rsid w:val="00801E5A"/>
    <w:rsid w:val="00802177"/>
    <w:rsid w:val="00802E36"/>
    <w:rsid w:val="008034AA"/>
    <w:rsid w:val="008037E1"/>
    <w:rsid w:val="008037F6"/>
    <w:rsid w:val="00803CBB"/>
    <w:rsid w:val="00803CE3"/>
    <w:rsid w:val="00803DA5"/>
    <w:rsid w:val="00803E9A"/>
    <w:rsid w:val="008047F7"/>
    <w:rsid w:val="00804BC5"/>
    <w:rsid w:val="00804E93"/>
    <w:rsid w:val="00804EAD"/>
    <w:rsid w:val="0080543C"/>
    <w:rsid w:val="00805742"/>
    <w:rsid w:val="00805802"/>
    <w:rsid w:val="0080595C"/>
    <w:rsid w:val="008059EE"/>
    <w:rsid w:val="008059FC"/>
    <w:rsid w:val="00806013"/>
    <w:rsid w:val="0080642B"/>
    <w:rsid w:val="008066EC"/>
    <w:rsid w:val="008066FB"/>
    <w:rsid w:val="00806915"/>
    <w:rsid w:val="0080700E"/>
    <w:rsid w:val="00807302"/>
    <w:rsid w:val="00807A65"/>
    <w:rsid w:val="00807ACE"/>
    <w:rsid w:val="00807E7B"/>
    <w:rsid w:val="008103AF"/>
    <w:rsid w:val="008108CB"/>
    <w:rsid w:val="00810C83"/>
    <w:rsid w:val="0081119B"/>
    <w:rsid w:val="008119CD"/>
    <w:rsid w:val="00811E9A"/>
    <w:rsid w:val="008123D8"/>
    <w:rsid w:val="00812644"/>
    <w:rsid w:val="00812911"/>
    <w:rsid w:val="00812DD2"/>
    <w:rsid w:val="00812E5C"/>
    <w:rsid w:val="0081322E"/>
    <w:rsid w:val="008133E9"/>
    <w:rsid w:val="0081365E"/>
    <w:rsid w:val="0081387A"/>
    <w:rsid w:val="00813A23"/>
    <w:rsid w:val="008143E1"/>
    <w:rsid w:val="00814404"/>
    <w:rsid w:val="00814462"/>
    <w:rsid w:val="008144C9"/>
    <w:rsid w:val="00814797"/>
    <w:rsid w:val="00814809"/>
    <w:rsid w:val="00814970"/>
    <w:rsid w:val="00814F3A"/>
    <w:rsid w:val="00815AA4"/>
    <w:rsid w:val="00815E00"/>
    <w:rsid w:val="008170CC"/>
    <w:rsid w:val="00817A04"/>
    <w:rsid w:val="00817E9E"/>
    <w:rsid w:val="008202CC"/>
    <w:rsid w:val="008204CC"/>
    <w:rsid w:val="008204EF"/>
    <w:rsid w:val="00820620"/>
    <w:rsid w:val="00821711"/>
    <w:rsid w:val="008217FC"/>
    <w:rsid w:val="00821966"/>
    <w:rsid w:val="00821D16"/>
    <w:rsid w:val="00821F6D"/>
    <w:rsid w:val="008222E6"/>
    <w:rsid w:val="008224FD"/>
    <w:rsid w:val="0082279D"/>
    <w:rsid w:val="008227FE"/>
    <w:rsid w:val="00822830"/>
    <w:rsid w:val="00822A16"/>
    <w:rsid w:val="00822E1D"/>
    <w:rsid w:val="00823299"/>
    <w:rsid w:val="00823608"/>
    <w:rsid w:val="00823873"/>
    <w:rsid w:val="00823A9D"/>
    <w:rsid w:val="00823C54"/>
    <w:rsid w:val="008242C2"/>
    <w:rsid w:val="00824C50"/>
    <w:rsid w:val="00824D9D"/>
    <w:rsid w:val="008257CB"/>
    <w:rsid w:val="00825F02"/>
    <w:rsid w:val="008261C4"/>
    <w:rsid w:val="0082638A"/>
    <w:rsid w:val="008264EB"/>
    <w:rsid w:val="00826856"/>
    <w:rsid w:val="00826FF2"/>
    <w:rsid w:val="0082700D"/>
    <w:rsid w:val="0082705A"/>
    <w:rsid w:val="008273D2"/>
    <w:rsid w:val="0082788A"/>
    <w:rsid w:val="008279BC"/>
    <w:rsid w:val="00827F65"/>
    <w:rsid w:val="00830811"/>
    <w:rsid w:val="008309AF"/>
    <w:rsid w:val="00830C05"/>
    <w:rsid w:val="00831390"/>
    <w:rsid w:val="00831C1D"/>
    <w:rsid w:val="00831F05"/>
    <w:rsid w:val="00832045"/>
    <w:rsid w:val="00832A7F"/>
    <w:rsid w:val="00832B96"/>
    <w:rsid w:val="00833C60"/>
    <w:rsid w:val="008341C4"/>
    <w:rsid w:val="008342B2"/>
    <w:rsid w:val="0083497A"/>
    <w:rsid w:val="00835456"/>
    <w:rsid w:val="00835613"/>
    <w:rsid w:val="00835D9F"/>
    <w:rsid w:val="00835FFC"/>
    <w:rsid w:val="0083616D"/>
    <w:rsid w:val="00836BD8"/>
    <w:rsid w:val="008373B0"/>
    <w:rsid w:val="00837641"/>
    <w:rsid w:val="00837815"/>
    <w:rsid w:val="00837D41"/>
    <w:rsid w:val="008400B2"/>
    <w:rsid w:val="0084061A"/>
    <w:rsid w:val="00840667"/>
    <w:rsid w:val="008407C8"/>
    <w:rsid w:val="00840B1E"/>
    <w:rsid w:val="00840C6F"/>
    <w:rsid w:val="00840CA9"/>
    <w:rsid w:val="008410EF"/>
    <w:rsid w:val="00841140"/>
    <w:rsid w:val="00841383"/>
    <w:rsid w:val="00841A5E"/>
    <w:rsid w:val="00841BC0"/>
    <w:rsid w:val="00841D33"/>
    <w:rsid w:val="00841D89"/>
    <w:rsid w:val="008421E6"/>
    <w:rsid w:val="00842371"/>
    <w:rsid w:val="00842847"/>
    <w:rsid w:val="00842928"/>
    <w:rsid w:val="008435C9"/>
    <w:rsid w:val="008435F7"/>
    <w:rsid w:val="0084368A"/>
    <w:rsid w:val="00843A5D"/>
    <w:rsid w:val="00843B7F"/>
    <w:rsid w:val="00844117"/>
    <w:rsid w:val="00844E79"/>
    <w:rsid w:val="008452AC"/>
    <w:rsid w:val="0084561A"/>
    <w:rsid w:val="008459AA"/>
    <w:rsid w:val="008463AD"/>
    <w:rsid w:val="00846434"/>
    <w:rsid w:val="008465FC"/>
    <w:rsid w:val="00846D87"/>
    <w:rsid w:val="008471BA"/>
    <w:rsid w:val="00847488"/>
    <w:rsid w:val="00847675"/>
    <w:rsid w:val="00847721"/>
    <w:rsid w:val="00847769"/>
    <w:rsid w:val="0084784B"/>
    <w:rsid w:val="0084793A"/>
    <w:rsid w:val="008500EE"/>
    <w:rsid w:val="00850557"/>
    <w:rsid w:val="00850ACD"/>
    <w:rsid w:val="00850E21"/>
    <w:rsid w:val="00851353"/>
    <w:rsid w:val="008513A4"/>
    <w:rsid w:val="008516C0"/>
    <w:rsid w:val="00851837"/>
    <w:rsid w:val="00851874"/>
    <w:rsid w:val="008522EA"/>
    <w:rsid w:val="0085231C"/>
    <w:rsid w:val="0085250B"/>
    <w:rsid w:val="0085276F"/>
    <w:rsid w:val="00852875"/>
    <w:rsid w:val="00852914"/>
    <w:rsid w:val="00852925"/>
    <w:rsid w:val="00852B27"/>
    <w:rsid w:val="00853512"/>
    <w:rsid w:val="00853602"/>
    <w:rsid w:val="008538E8"/>
    <w:rsid w:val="00853A1B"/>
    <w:rsid w:val="00853AB2"/>
    <w:rsid w:val="00853D82"/>
    <w:rsid w:val="00854811"/>
    <w:rsid w:val="00854A50"/>
    <w:rsid w:val="00855506"/>
    <w:rsid w:val="0085559A"/>
    <w:rsid w:val="00855E93"/>
    <w:rsid w:val="00855EAE"/>
    <w:rsid w:val="008562D3"/>
    <w:rsid w:val="0085642D"/>
    <w:rsid w:val="008568E7"/>
    <w:rsid w:val="00856E3A"/>
    <w:rsid w:val="00856F85"/>
    <w:rsid w:val="00857109"/>
    <w:rsid w:val="008572E4"/>
    <w:rsid w:val="00857355"/>
    <w:rsid w:val="00857893"/>
    <w:rsid w:val="00857A32"/>
    <w:rsid w:val="00857BDF"/>
    <w:rsid w:val="0086028B"/>
    <w:rsid w:val="00860662"/>
    <w:rsid w:val="008606E8"/>
    <w:rsid w:val="00860EEF"/>
    <w:rsid w:val="00861056"/>
    <w:rsid w:val="00861063"/>
    <w:rsid w:val="00861150"/>
    <w:rsid w:val="0086173B"/>
    <w:rsid w:val="00861C24"/>
    <w:rsid w:val="00861DAE"/>
    <w:rsid w:val="00862776"/>
    <w:rsid w:val="00862F76"/>
    <w:rsid w:val="0086329F"/>
    <w:rsid w:val="00863334"/>
    <w:rsid w:val="00863EB5"/>
    <w:rsid w:val="0086477D"/>
    <w:rsid w:val="008649B5"/>
    <w:rsid w:val="00865183"/>
    <w:rsid w:val="008653C3"/>
    <w:rsid w:val="00865540"/>
    <w:rsid w:val="00865620"/>
    <w:rsid w:val="00865EB6"/>
    <w:rsid w:val="00866093"/>
    <w:rsid w:val="0086643A"/>
    <w:rsid w:val="0086662E"/>
    <w:rsid w:val="00866BFF"/>
    <w:rsid w:val="00867572"/>
    <w:rsid w:val="0086798B"/>
    <w:rsid w:val="00867BE5"/>
    <w:rsid w:val="00867ED8"/>
    <w:rsid w:val="00870593"/>
    <w:rsid w:val="00870A5E"/>
    <w:rsid w:val="00870D42"/>
    <w:rsid w:val="008712FA"/>
    <w:rsid w:val="00871A1B"/>
    <w:rsid w:val="00871E51"/>
    <w:rsid w:val="00871FC8"/>
    <w:rsid w:val="00872175"/>
    <w:rsid w:val="00872273"/>
    <w:rsid w:val="00872C84"/>
    <w:rsid w:val="00872CC0"/>
    <w:rsid w:val="008731C2"/>
    <w:rsid w:val="008739ED"/>
    <w:rsid w:val="00873C54"/>
    <w:rsid w:val="00873E30"/>
    <w:rsid w:val="0087405E"/>
    <w:rsid w:val="00874100"/>
    <w:rsid w:val="00874222"/>
    <w:rsid w:val="008745D9"/>
    <w:rsid w:val="00875206"/>
    <w:rsid w:val="0087559E"/>
    <w:rsid w:val="008757D0"/>
    <w:rsid w:val="00875B97"/>
    <w:rsid w:val="00876197"/>
    <w:rsid w:val="008768B1"/>
    <w:rsid w:val="00876D06"/>
    <w:rsid w:val="0087708E"/>
    <w:rsid w:val="008775F2"/>
    <w:rsid w:val="00877F76"/>
    <w:rsid w:val="00880141"/>
    <w:rsid w:val="00880178"/>
    <w:rsid w:val="008803C3"/>
    <w:rsid w:val="00880466"/>
    <w:rsid w:val="00880541"/>
    <w:rsid w:val="00880B4B"/>
    <w:rsid w:val="008810D4"/>
    <w:rsid w:val="00881517"/>
    <w:rsid w:val="00881532"/>
    <w:rsid w:val="00881795"/>
    <w:rsid w:val="008818B5"/>
    <w:rsid w:val="00881B7D"/>
    <w:rsid w:val="00881D73"/>
    <w:rsid w:val="00882515"/>
    <w:rsid w:val="008828A7"/>
    <w:rsid w:val="00882E74"/>
    <w:rsid w:val="00883168"/>
    <w:rsid w:val="0088373C"/>
    <w:rsid w:val="00883A26"/>
    <w:rsid w:val="008844E4"/>
    <w:rsid w:val="008849DD"/>
    <w:rsid w:val="008849FD"/>
    <w:rsid w:val="00884AA8"/>
    <w:rsid w:val="00884F86"/>
    <w:rsid w:val="00885022"/>
    <w:rsid w:val="00885208"/>
    <w:rsid w:val="008854C8"/>
    <w:rsid w:val="00885AEE"/>
    <w:rsid w:val="00885DB4"/>
    <w:rsid w:val="00885E8E"/>
    <w:rsid w:val="008862FA"/>
    <w:rsid w:val="00886567"/>
    <w:rsid w:val="00887A70"/>
    <w:rsid w:val="00887CAD"/>
    <w:rsid w:val="00890129"/>
    <w:rsid w:val="0089018C"/>
    <w:rsid w:val="0089086A"/>
    <w:rsid w:val="00890920"/>
    <w:rsid w:val="00890C8B"/>
    <w:rsid w:val="008912C3"/>
    <w:rsid w:val="00891863"/>
    <w:rsid w:val="0089264B"/>
    <w:rsid w:val="00892950"/>
    <w:rsid w:val="00892CE3"/>
    <w:rsid w:val="0089315C"/>
    <w:rsid w:val="00893242"/>
    <w:rsid w:val="0089331C"/>
    <w:rsid w:val="00893419"/>
    <w:rsid w:val="008939AE"/>
    <w:rsid w:val="00893D9A"/>
    <w:rsid w:val="00893DAC"/>
    <w:rsid w:val="008943F3"/>
    <w:rsid w:val="00894497"/>
    <w:rsid w:val="008948EB"/>
    <w:rsid w:val="00894C15"/>
    <w:rsid w:val="00894CF2"/>
    <w:rsid w:val="00894EDF"/>
    <w:rsid w:val="00895766"/>
    <w:rsid w:val="008958D6"/>
    <w:rsid w:val="0089614A"/>
    <w:rsid w:val="008965DA"/>
    <w:rsid w:val="00896BCD"/>
    <w:rsid w:val="00897111"/>
    <w:rsid w:val="00897A09"/>
    <w:rsid w:val="00897C33"/>
    <w:rsid w:val="00897EBD"/>
    <w:rsid w:val="00897F3D"/>
    <w:rsid w:val="00897FB9"/>
    <w:rsid w:val="008A00F0"/>
    <w:rsid w:val="008A01FB"/>
    <w:rsid w:val="008A0441"/>
    <w:rsid w:val="008A05B8"/>
    <w:rsid w:val="008A064B"/>
    <w:rsid w:val="008A06C4"/>
    <w:rsid w:val="008A06D6"/>
    <w:rsid w:val="008A0BC2"/>
    <w:rsid w:val="008A10E2"/>
    <w:rsid w:val="008A1263"/>
    <w:rsid w:val="008A1577"/>
    <w:rsid w:val="008A1730"/>
    <w:rsid w:val="008A1CBD"/>
    <w:rsid w:val="008A2727"/>
    <w:rsid w:val="008A2C6F"/>
    <w:rsid w:val="008A3000"/>
    <w:rsid w:val="008A3177"/>
    <w:rsid w:val="008A34CC"/>
    <w:rsid w:val="008A34DC"/>
    <w:rsid w:val="008A375C"/>
    <w:rsid w:val="008A38C5"/>
    <w:rsid w:val="008A38F9"/>
    <w:rsid w:val="008A3BEA"/>
    <w:rsid w:val="008A3E3C"/>
    <w:rsid w:val="008A411C"/>
    <w:rsid w:val="008A4130"/>
    <w:rsid w:val="008A44F4"/>
    <w:rsid w:val="008A44FF"/>
    <w:rsid w:val="008A47DC"/>
    <w:rsid w:val="008A4818"/>
    <w:rsid w:val="008A4AE3"/>
    <w:rsid w:val="008A4B45"/>
    <w:rsid w:val="008A501F"/>
    <w:rsid w:val="008A5318"/>
    <w:rsid w:val="008A5B18"/>
    <w:rsid w:val="008A6999"/>
    <w:rsid w:val="008A6A3A"/>
    <w:rsid w:val="008A6B33"/>
    <w:rsid w:val="008A6F0F"/>
    <w:rsid w:val="008A6FE6"/>
    <w:rsid w:val="008A6FFA"/>
    <w:rsid w:val="008A7399"/>
    <w:rsid w:val="008A7D3D"/>
    <w:rsid w:val="008A7F32"/>
    <w:rsid w:val="008A7F46"/>
    <w:rsid w:val="008B0208"/>
    <w:rsid w:val="008B02B4"/>
    <w:rsid w:val="008B03AF"/>
    <w:rsid w:val="008B1083"/>
    <w:rsid w:val="008B14D3"/>
    <w:rsid w:val="008B153E"/>
    <w:rsid w:val="008B1627"/>
    <w:rsid w:val="008B188B"/>
    <w:rsid w:val="008B1A29"/>
    <w:rsid w:val="008B1EE1"/>
    <w:rsid w:val="008B1FB3"/>
    <w:rsid w:val="008B202D"/>
    <w:rsid w:val="008B24BE"/>
    <w:rsid w:val="008B296E"/>
    <w:rsid w:val="008B29D9"/>
    <w:rsid w:val="008B2D62"/>
    <w:rsid w:val="008B3038"/>
    <w:rsid w:val="008B30E3"/>
    <w:rsid w:val="008B3640"/>
    <w:rsid w:val="008B378F"/>
    <w:rsid w:val="008B3921"/>
    <w:rsid w:val="008B40D6"/>
    <w:rsid w:val="008B415D"/>
    <w:rsid w:val="008B4320"/>
    <w:rsid w:val="008B465F"/>
    <w:rsid w:val="008B46A8"/>
    <w:rsid w:val="008B46F2"/>
    <w:rsid w:val="008B4C7C"/>
    <w:rsid w:val="008B4CBA"/>
    <w:rsid w:val="008B4E14"/>
    <w:rsid w:val="008B515E"/>
    <w:rsid w:val="008B52A0"/>
    <w:rsid w:val="008B536D"/>
    <w:rsid w:val="008B5865"/>
    <w:rsid w:val="008B5A18"/>
    <w:rsid w:val="008B6081"/>
    <w:rsid w:val="008B688D"/>
    <w:rsid w:val="008B6997"/>
    <w:rsid w:val="008B6C66"/>
    <w:rsid w:val="008B6D05"/>
    <w:rsid w:val="008B77B8"/>
    <w:rsid w:val="008B797D"/>
    <w:rsid w:val="008B7D64"/>
    <w:rsid w:val="008B7E95"/>
    <w:rsid w:val="008B7ECE"/>
    <w:rsid w:val="008B7F44"/>
    <w:rsid w:val="008C017C"/>
    <w:rsid w:val="008C0245"/>
    <w:rsid w:val="008C0BCB"/>
    <w:rsid w:val="008C0D51"/>
    <w:rsid w:val="008C0E3B"/>
    <w:rsid w:val="008C1344"/>
    <w:rsid w:val="008C189A"/>
    <w:rsid w:val="008C19D9"/>
    <w:rsid w:val="008C1BDB"/>
    <w:rsid w:val="008C1C68"/>
    <w:rsid w:val="008C2008"/>
    <w:rsid w:val="008C2413"/>
    <w:rsid w:val="008C298B"/>
    <w:rsid w:val="008C2C3A"/>
    <w:rsid w:val="008C33DE"/>
    <w:rsid w:val="008C3ED3"/>
    <w:rsid w:val="008C3FB5"/>
    <w:rsid w:val="008C4049"/>
    <w:rsid w:val="008C437B"/>
    <w:rsid w:val="008C455F"/>
    <w:rsid w:val="008C45B3"/>
    <w:rsid w:val="008C49F8"/>
    <w:rsid w:val="008C5057"/>
    <w:rsid w:val="008C58A9"/>
    <w:rsid w:val="008C6042"/>
    <w:rsid w:val="008C6210"/>
    <w:rsid w:val="008C673B"/>
    <w:rsid w:val="008C704D"/>
    <w:rsid w:val="008C7145"/>
    <w:rsid w:val="008C7315"/>
    <w:rsid w:val="008C7A6C"/>
    <w:rsid w:val="008C7AE3"/>
    <w:rsid w:val="008D0086"/>
    <w:rsid w:val="008D0236"/>
    <w:rsid w:val="008D05A5"/>
    <w:rsid w:val="008D07D7"/>
    <w:rsid w:val="008D08C0"/>
    <w:rsid w:val="008D0B37"/>
    <w:rsid w:val="008D0B7C"/>
    <w:rsid w:val="008D1521"/>
    <w:rsid w:val="008D1A1B"/>
    <w:rsid w:val="008D2462"/>
    <w:rsid w:val="008D30FC"/>
    <w:rsid w:val="008D3399"/>
    <w:rsid w:val="008D35CA"/>
    <w:rsid w:val="008D36E6"/>
    <w:rsid w:val="008D3751"/>
    <w:rsid w:val="008D3B06"/>
    <w:rsid w:val="008D4652"/>
    <w:rsid w:val="008D4A3C"/>
    <w:rsid w:val="008D4CE5"/>
    <w:rsid w:val="008D4F64"/>
    <w:rsid w:val="008D5130"/>
    <w:rsid w:val="008D5138"/>
    <w:rsid w:val="008D589F"/>
    <w:rsid w:val="008D61FF"/>
    <w:rsid w:val="008D62E8"/>
    <w:rsid w:val="008D6D51"/>
    <w:rsid w:val="008D6EB1"/>
    <w:rsid w:val="008D7B33"/>
    <w:rsid w:val="008D7E9A"/>
    <w:rsid w:val="008D7F2A"/>
    <w:rsid w:val="008D7F2B"/>
    <w:rsid w:val="008E0DBE"/>
    <w:rsid w:val="008E0E97"/>
    <w:rsid w:val="008E12F1"/>
    <w:rsid w:val="008E135B"/>
    <w:rsid w:val="008E182B"/>
    <w:rsid w:val="008E228C"/>
    <w:rsid w:val="008E26B2"/>
    <w:rsid w:val="008E26DB"/>
    <w:rsid w:val="008E29DF"/>
    <w:rsid w:val="008E2AFF"/>
    <w:rsid w:val="008E2B9C"/>
    <w:rsid w:val="008E2BA5"/>
    <w:rsid w:val="008E32D9"/>
    <w:rsid w:val="008E3373"/>
    <w:rsid w:val="008E391F"/>
    <w:rsid w:val="008E3992"/>
    <w:rsid w:val="008E408B"/>
    <w:rsid w:val="008E4BFB"/>
    <w:rsid w:val="008E55FD"/>
    <w:rsid w:val="008E58C3"/>
    <w:rsid w:val="008E5A69"/>
    <w:rsid w:val="008E5BB3"/>
    <w:rsid w:val="008E5CD4"/>
    <w:rsid w:val="008E6265"/>
    <w:rsid w:val="008E6267"/>
    <w:rsid w:val="008E64DE"/>
    <w:rsid w:val="008E6646"/>
    <w:rsid w:val="008E6D73"/>
    <w:rsid w:val="008E71BF"/>
    <w:rsid w:val="008E7A9D"/>
    <w:rsid w:val="008E7B76"/>
    <w:rsid w:val="008E7DB4"/>
    <w:rsid w:val="008E7E2D"/>
    <w:rsid w:val="008E7F61"/>
    <w:rsid w:val="008E7FA6"/>
    <w:rsid w:val="008F0798"/>
    <w:rsid w:val="008F096C"/>
    <w:rsid w:val="008F0C06"/>
    <w:rsid w:val="008F0CBA"/>
    <w:rsid w:val="008F0CCC"/>
    <w:rsid w:val="008F1628"/>
    <w:rsid w:val="008F1A3A"/>
    <w:rsid w:val="008F2161"/>
    <w:rsid w:val="008F21CB"/>
    <w:rsid w:val="008F2318"/>
    <w:rsid w:val="008F28B6"/>
    <w:rsid w:val="008F296B"/>
    <w:rsid w:val="008F2B47"/>
    <w:rsid w:val="008F2D07"/>
    <w:rsid w:val="008F2EA0"/>
    <w:rsid w:val="008F30CB"/>
    <w:rsid w:val="008F31E3"/>
    <w:rsid w:val="008F3293"/>
    <w:rsid w:val="008F38FF"/>
    <w:rsid w:val="008F3A97"/>
    <w:rsid w:val="008F3EBA"/>
    <w:rsid w:val="008F43D6"/>
    <w:rsid w:val="008F4ADC"/>
    <w:rsid w:val="008F4C7D"/>
    <w:rsid w:val="008F549A"/>
    <w:rsid w:val="008F54ED"/>
    <w:rsid w:val="008F5DB2"/>
    <w:rsid w:val="008F6371"/>
    <w:rsid w:val="008F6552"/>
    <w:rsid w:val="008F65F4"/>
    <w:rsid w:val="008F6C85"/>
    <w:rsid w:val="008F6C8A"/>
    <w:rsid w:val="008F6DA1"/>
    <w:rsid w:val="008F6FD0"/>
    <w:rsid w:val="008F7722"/>
    <w:rsid w:val="008F786A"/>
    <w:rsid w:val="008F7B85"/>
    <w:rsid w:val="008F7C32"/>
    <w:rsid w:val="008F7D50"/>
    <w:rsid w:val="008F7F39"/>
    <w:rsid w:val="008F7F5A"/>
    <w:rsid w:val="00900175"/>
    <w:rsid w:val="0090079A"/>
    <w:rsid w:val="009008EE"/>
    <w:rsid w:val="00900977"/>
    <w:rsid w:val="009009D6"/>
    <w:rsid w:val="00900D35"/>
    <w:rsid w:val="00901615"/>
    <w:rsid w:val="0090181B"/>
    <w:rsid w:val="009023E9"/>
    <w:rsid w:val="009024DC"/>
    <w:rsid w:val="0090315D"/>
    <w:rsid w:val="0090326C"/>
    <w:rsid w:val="009034B8"/>
    <w:rsid w:val="009034FD"/>
    <w:rsid w:val="009035E7"/>
    <w:rsid w:val="009037EC"/>
    <w:rsid w:val="009038F8"/>
    <w:rsid w:val="00903C72"/>
    <w:rsid w:val="00904003"/>
    <w:rsid w:val="009041A2"/>
    <w:rsid w:val="009041BA"/>
    <w:rsid w:val="0090421E"/>
    <w:rsid w:val="009042F4"/>
    <w:rsid w:val="00904339"/>
    <w:rsid w:val="0090461F"/>
    <w:rsid w:val="00904D8E"/>
    <w:rsid w:val="009051BC"/>
    <w:rsid w:val="00905555"/>
    <w:rsid w:val="00905988"/>
    <w:rsid w:val="00905ECE"/>
    <w:rsid w:val="00905EE9"/>
    <w:rsid w:val="00906AFC"/>
    <w:rsid w:val="00906C68"/>
    <w:rsid w:val="00906D3E"/>
    <w:rsid w:val="00907139"/>
    <w:rsid w:val="00907569"/>
    <w:rsid w:val="00907AED"/>
    <w:rsid w:val="00907F6A"/>
    <w:rsid w:val="0091019E"/>
    <w:rsid w:val="0091025E"/>
    <w:rsid w:val="009102A1"/>
    <w:rsid w:val="009105CD"/>
    <w:rsid w:val="009105DB"/>
    <w:rsid w:val="00910D8F"/>
    <w:rsid w:val="00910E62"/>
    <w:rsid w:val="00910E7D"/>
    <w:rsid w:val="00910E82"/>
    <w:rsid w:val="00911A47"/>
    <w:rsid w:val="00912BC0"/>
    <w:rsid w:val="009134EC"/>
    <w:rsid w:val="00913704"/>
    <w:rsid w:val="00913B3A"/>
    <w:rsid w:val="00913BB5"/>
    <w:rsid w:val="00914119"/>
    <w:rsid w:val="00915064"/>
    <w:rsid w:val="009151CA"/>
    <w:rsid w:val="009152B5"/>
    <w:rsid w:val="009155BF"/>
    <w:rsid w:val="00915C18"/>
    <w:rsid w:val="00915F62"/>
    <w:rsid w:val="00915FD5"/>
    <w:rsid w:val="0091619E"/>
    <w:rsid w:val="009161FF"/>
    <w:rsid w:val="009163DE"/>
    <w:rsid w:val="009164DA"/>
    <w:rsid w:val="00916D6A"/>
    <w:rsid w:val="00916FCF"/>
    <w:rsid w:val="00917361"/>
    <w:rsid w:val="00917C21"/>
    <w:rsid w:val="00920061"/>
    <w:rsid w:val="0092009E"/>
    <w:rsid w:val="0092056C"/>
    <w:rsid w:val="009205CE"/>
    <w:rsid w:val="00920969"/>
    <w:rsid w:val="00920FBE"/>
    <w:rsid w:val="00921343"/>
    <w:rsid w:val="00921D46"/>
    <w:rsid w:val="00922481"/>
    <w:rsid w:val="00922A8F"/>
    <w:rsid w:val="00922C2C"/>
    <w:rsid w:val="00923576"/>
    <w:rsid w:val="0092366B"/>
    <w:rsid w:val="00923829"/>
    <w:rsid w:val="009238AF"/>
    <w:rsid w:val="00924C5A"/>
    <w:rsid w:val="00924CBF"/>
    <w:rsid w:val="00924D07"/>
    <w:rsid w:val="0092541C"/>
    <w:rsid w:val="009255F9"/>
    <w:rsid w:val="00925674"/>
    <w:rsid w:val="009257E1"/>
    <w:rsid w:val="00926365"/>
    <w:rsid w:val="009269B5"/>
    <w:rsid w:val="009271F3"/>
    <w:rsid w:val="00927C34"/>
    <w:rsid w:val="00927D5F"/>
    <w:rsid w:val="009300FF"/>
    <w:rsid w:val="00930E0A"/>
    <w:rsid w:val="00931038"/>
    <w:rsid w:val="009313DD"/>
    <w:rsid w:val="0093156D"/>
    <w:rsid w:val="00931BAE"/>
    <w:rsid w:val="00931BC4"/>
    <w:rsid w:val="00931D28"/>
    <w:rsid w:val="00932197"/>
    <w:rsid w:val="009321B9"/>
    <w:rsid w:val="009325C6"/>
    <w:rsid w:val="00932FE4"/>
    <w:rsid w:val="009340EC"/>
    <w:rsid w:val="00934174"/>
    <w:rsid w:val="00934E99"/>
    <w:rsid w:val="009353B8"/>
    <w:rsid w:val="00935CFB"/>
    <w:rsid w:val="00936307"/>
    <w:rsid w:val="009368FF"/>
    <w:rsid w:val="009369C5"/>
    <w:rsid w:val="00936DC5"/>
    <w:rsid w:val="0093778C"/>
    <w:rsid w:val="00937986"/>
    <w:rsid w:val="00937F99"/>
    <w:rsid w:val="00940404"/>
    <w:rsid w:val="00940616"/>
    <w:rsid w:val="00940647"/>
    <w:rsid w:val="00940952"/>
    <w:rsid w:val="00940ABC"/>
    <w:rsid w:val="00940EF6"/>
    <w:rsid w:val="009411E6"/>
    <w:rsid w:val="009413D0"/>
    <w:rsid w:val="00941426"/>
    <w:rsid w:val="0094142F"/>
    <w:rsid w:val="0094156E"/>
    <w:rsid w:val="009415BC"/>
    <w:rsid w:val="00941D55"/>
    <w:rsid w:val="0094225C"/>
    <w:rsid w:val="0094247A"/>
    <w:rsid w:val="0094256C"/>
    <w:rsid w:val="00942669"/>
    <w:rsid w:val="00942A79"/>
    <w:rsid w:val="00942DE8"/>
    <w:rsid w:val="00943B6B"/>
    <w:rsid w:val="00943C8C"/>
    <w:rsid w:val="00943E4A"/>
    <w:rsid w:val="00943E9E"/>
    <w:rsid w:val="00944206"/>
    <w:rsid w:val="00944A96"/>
    <w:rsid w:val="00944C6D"/>
    <w:rsid w:val="00944E37"/>
    <w:rsid w:val="0094609A"/>
    <w:rsid w:val="00946934"/>
    <w:rsid w:val="009469BB"/>
    <w:rsid w:val="00946B2E"/>
    <w:rsid w:val="00946BF5"/>
    <w:rsid w:val="00946CBE"/>
    <w:rsid w:val="009476C2"/>
    <w:rsid w:val="0094788B"/>
    <w:rsid w:val="00947ED2"/>
    <w:rsid w:val="009503EB"/>
    <w:rsid w:val="009506CB"/>
    <w:rsid w:val="00950CE5"/>
    <w:rsid w:val="00951320"/>
    <w:rsid w:val="0095139F"/>
    <w:rsid w:val="009513B4"/>
    <w:rsid w:val="0095168C"/>
    <w:rsid w:val="00951B86"/>
    <w:rsid w:val="00951E33"/>
    <w:rsid w:val="00951E5A"/>
    <w:rsid w:val="00952ECE"/>
    <w:rsid w:val="0095352F"/>
    <w:rsid w:val="00953581"/>
    <w:rsid w:val="0095385F"/>
    <w:rsid w:val="0095390F"/>
    <w:rsid w:val="00953FEC"/>
    <w:rsid w:val="00954326"/>
    <w:rsid w:val="0095439D"/>
    <w:rsid w:val="0095461E"/>
    <w:rsid w:val="00954CC2"/>
    <w:rsid w:val="00954F9F"/>
    <w:rsid w:val="0095502F"/>
    <w:rsid w:val="009550BE"/>
    <w:rsid w:val="009555B9"/>
    <w:rsid w:val="009555CC"/>
    <w:rsid w:val="009556D9"/>
    <w:rsid w:val="00956517"/>
    <w:rsid w:val="009574FF"/>
    <w:rsid w:val="00957F67"/>
    <w:rsid w:val="00960119"/>
    <w:rsid w:val="00960863"/>
    <w:rsid w:val="00960B35"/>
    <w:rsid w:val="00960BFE"/>
    <w:rsid w:val="009612FD"/>
    <w:rsid w:val="00961902"/>
    <w:rsid w:val="00961D0F"/>
    <w:rsid w:val="009620AE"/>
    <w:rsid w:val="00962132"/>
    <w:rsid w:val="00962257"/>
    <w:rsid w:val="0096227A"/>
    <w:rsid w:val="00962920"/>
    <w:rsid w:val="00962D55"/>
    <w:rsid w:val="00963467"/>
    <w:rsid w:val="0096360D"/>
    <w:rsid w:val="00963CF8"/>
    <w:rsid w:val="00963F67"/>
    <w:rsid w:val="0096427B"/>
    <w:rsid w:val="0096449F"/>
    <w:rsid w:val="0096452E"/>
    <w:rsid w:val="0096470E"/>
    <w:rsid w:val="0096488C"/>
    <w:rsid w:val="00964A32"/>
    <w:rsid w:val="0096508F"/>
    <w:rsid w:val="00965756"/>
    <w:rsid w:val="0096579B"/>
    <w:rsid w:val="00965C27"/>
    <w:rsid w:val="009667DE"/>
    <w:rsid w:val="0096689E"/>
    <w:rsid w:val="00966933"/>
    <w:rsid w:val="00966DAF"/>
    <w:rsid w:val="00967253"/>
    <w:rsid w:val="00967A20"/>
    <w:rsid w:val="00967B54"/>
    <w:rsid w:val="00967EE4"/>
    <w:rsid w:val="009707AF"/>
    <w:rsid w:val="0097121F"/>
    <w:rsid w:val="00971680"/>
    <w:rsid w:val="009719AB"/>
    <w:rsid w:val="00971A88"/>
    <w:rsid w:val="00971B61"/>
    <w:rsid w:val="00971ED2"/>
    <w:rsid w:val="0097248F"/>
    <w:rsid w:val="009724E3"/>
    <w:rsid w:val="0097276D"/>
    <w:rsid w:val="0097311A"/>
    <w:rsid w:val="0097348E"/>
    <w:rsid w:val="00973A89"/>
    <w:rsid w:val="00974038"/>
    <w:rsid w:val="00974127"/>
    <w:rsid w:val="00974664"/>
    <w:rsid w:val="009747C7"/>
    <w:rsid w:val="00974B1C"/>
    <w:rsid w:val="00974D11"/>
    <w:rsid w:val="00974F88"/>
    <w:rsid w:val="00975074"/>
    <w:rsid w:val="00975589"/>
    <w:rsid w:val="009759B4"/>
    <w:rsid w:val="00975DE1"/>
    <w:rsid w:val="00976194"/>
    <w:rsid w:val="00976D08"/>
    <w:rsid w:val="00976DD5"/>
    <w:rsid w:val="00977136"/>
    <w:rsid w:val="009778EA"/>
    <w:rsid w:val="00977EF3"/>
    <w:rsid w:val="00980CC8"/>
    <w:rsid w:val="00981051"/>
    <w:rsid w:val="0098127F"/>
    <w:rsid w:val="009815DC"/>
    <w:rsid w:val="0098172D"/>
    <w:rsid w:val="0098182F"/>
    <w:rsid w:val="009821CB"/>
    <w:rsid w:val="00982290"/>
    <w:rsid w:val="00982ABD"/>
    <w:rsid w:val="00982CD6"/>
    <w:rsid w:val="009833EB"/>
    <w:rsid w:val="009834B1"/>
    <w:rsid w:val="00983519"/>
    <w:rsid w:val="009837BA"/>
    <w:rsid w:val="009837DB"/>
    <w:rsid w:val="00983ED8"/>
    <w:rsid w:val="00984488"/>
    <w:rsid w:val="009845EA"/>
    <w:rsid w:val="00984DD1"/>
    <w:rsid w:val="00984F36"/>
    <w:rsid w:val="009851DF"/>
    <w:rsid w:val="009854DD"/>
    <w:rsid w:val="00985753"/>
    <w:rsid w:val="00985BE6"/>
    <w:rsid w:val="009861C2"/>
    <w:rsid w:val="0098698A"/>
    <w:rsid w:val="00986AF7"/>
    <w:rsid w:val="00986C3B"/>
    <w:rsid w:val="00986C5C"/>
    <w:rsid w:val="00987088"/>
    <w:rsid w:val="00987099"/>
    <w:rsid w:val="0098753D"/>
    <w:rsid w:val="00987847"/>
    <w:rsid w:val="00987B0D"/>
    <w:rsid w:val="00987CA5"/>
    <w:rsid w:val="00987E5E"/>
    <w:rsid w:val="00987EE5"/>
    <w:rsid w:val="009904A3"/>
    <w:rsid w:val="00990894"/>
    <w:rsid w:val="00990C93"/>
    <w:rsid w:val="00991461"/>
    <w:rsid w:val="00991750"/>
    <w:rsid w:val="009928BB"/>
    <w:rsid w:val="009928F2"/>
    <w:rsid w:val="00992DD9"/>
    <w:rsid w:val="00992E2B"/>
    <w:rsid w:val="00992F09"/>
    <w:rsid w:val="009933EA"/>
    <w:rsid w:val="0099346C"/>
    <w:rsid w:val="009938C0"/>
    <w:rsid w:val="00993963"/>
    <w:rsid w:val="00993BAF"/>
    <w:rsid w:val="00994589"/>
    <w:rsid w:val="00994719"/>
    <w:rsid w:val="009949EF"/>
    <w:rsid w:val="00996461"/>
    <w:rsid w:val="00996EAA"/>
    <w:rsid w:val="00996F64"/>
    <w:rsid w:val="00997408"/>
    <w:rsid w:val="00997512"/>
    <w:rsid w:val="00997D93"/>
    <w:rsid w:val="009A07C4"/>
    <w:rsid w:val="009A08AF"/>
    <w:rsid w:val="009A0A1E"/>
    <w:rsid w:val="009A0DC4"/>
    <w:rsid w:val="009A1331"/>
    <w:rsid w:val="009A16E3"/>
    <w:rsid w:val="009A1898"/>
    <w:rsid w:val="009A18D6"/>
    <w:rsid w:val="009A1936"/>
    <w:rsid w:val="009A211B"/>
    <w:rsid w:val="009A2404"/>
    <w:rsid w:val="009A2569"/>
    <w:rsid w:val="009A2E6D"/>
    <w:rsid w:val="009A2EDF"/>
    <w:rsid w:val="009A2F82"/>
    <w:rsid w:val="009A3003"/>
    <w:rsid w:val="009A3328"/>
    <w:rsid w:val="009A34B1"/>
    <w:rsid w:val="009A34DE"/>
    <w:rsid w:val="009A3684"/>
    <w:rsid w:val="009A3FAC"/>
    <w:rsid w:val="009A44BC"/>
    <w:rsid w:val="009A4598"/>
    <w:rsid w:val="009A47BA"/>
    <w:rsid w:val="009A5816"/>
    <w:rsid w:val="009A5A94"/>
    <w:rsid w:val="009A5ACE"/>
    <w:rsid w:val="009A5E50"/>
    <w:rsid w:val="009A6184"/>
    <w:rsid w:val="009A622D"/>
    <w:rsid w:val="009A71D1"/>
    <w:rsid w:val="009A75BC"/>
    <w:rsid w:val="009A7BCF"/>
    <w:rsid w:val="009A7DA4"/>
    <w:rsid w:val="009B019A"/>
    <w:rsid w:val="009B03DC"/>
    <w:rsid w:val="009B04B4"/>
    <w:rsid w:val="009B09BC"/>
    <w:rsid w:val="009B0BE8"/>
    <w:rsid w:val="009B0EBB"/>
    <w:rsid w:val="009B156A"/>
    <w:rsid w:val="009B193E"/>
    <w:rsid w:val="009B1E7C"/>
    <w:rsid w:val="009B260B"/>
    <w:rsid w:val="009B285D"/>
    <w:rsid w:val="009B2C53"/>
    <w:rsid w:val="009B2F2B"/>
    <w:rsid w:val="009B3221"/>
    <w:rsid w:val="009B34F1"/>
    <w:rsid w:val="009B3678"/>
    <w:rsid w:val="009B39C4"/>
    <w:rsid w:val="009B3C70"/>
    <w:rsid w:val="009B4240"/>
    <w:rsid w:val="009B49C2"/>
    <w:rsid w:val="009B4B63"/>
    <w:rsid w:val="009B5010"/>
    <w:rsid w:val="009B54FC"/>
    <w:rsid w:val="009B5671"/>
    <w:rsid w:val="009B5997"/>
    <w:rsid w:val="009B5A60"/>
    <w:rsid w:val="009B5C97"/>
    <w:rsid w:val="009B5DF5"/>
    <w:rsid w:val="009B5F47"/>
    <w:rsid w:val="009B6037"/>
    <w:rsid w:val="009B63F5"/>
    <w:rsid w:val="009B679D"/>
    <w:rsid w:val="009B6CBC"/>
    <w:rsid w:val="009B7170"/>
    <w:rsid w:val="009B72B7"/>
    <w:rsid w:val="009B73FD"/>
    <w:rsid w:val="009B7443"/>
    <w:rsid w:val="009B7570"/>
    <w:rsid w:val="009B75CF"/>
    <w:rsid w:val="009B7951"/>
    <w:rsid w:val="009B7FA7"/>
    <w:rsid w:val="009C02D2"/>
    <w:rsid w:val="009C07C3"/>
    <w:rsid w:val="009C0908"/>
    <w:rsid w:val="009C10DF"/>
    <w:rsid w:val="009C12FC"/>
    <w:rsid w:val="009C137D"/>
    <w:rsid w:val="009C197A"/>
    <w:rsid w:val="009C1B72"/>
    <w:rsid w:val="009C1BCC"/>
    <w:rsid w:val="009C1E32"/>
    <w:rsid w:val="009C2058"/>
    <w:rsid w:val="009C2378"/>
    <w:rsid w:val="009C2E3C"/>
    <w:rsid w:val="009C3086"/>
    <w:rsid w:val="009C36A9"/>
    <w:rsid w:val="009C38F8"/>
    <w:rsid w:val="009C4001"/>
    <w:rsid w:val="009C4197"/>
    <w:rsid w:val="009C4387"/>
    <w:rsid w:val="009C4D3F"/>
    <w:rsid w:val="009C54A6"/>
    <w:rsid w:val="009C5B96"/>
    <w:rsid w:val="009C5D84"/>
    <w:rsid w:val="009C5E85"/>
    <w:rsid w:val="009C6015"/>
    <w:rsid w:val="009C62F9"/>
    <w:rsid w:val="009C6813"/>
    <w:rsid w:val="009C6BF5"/>
    <w:rsid w:val="009C6CC8"/>
    <w:rsid w:val="009C6EB0"/>
    <w:rsid w:val="009C7874"/>
    <w:rsid w:val="009C78B5"/>
    <w:rsid w:val="009C7E52"/>
    <w:rsid w:val="009C7E98"/>
    <w:rsid w:val="009D0286"/>
    <w:rsid w:val="009D0370"/>
    <w:rsid w:val="009D11A6"/>
    <w:rsid w:val="009D1270"/>
    <w:rsid w:val="009D1B2F"/>
    <w:rsid w:val="009D219C"/>
    <w:rsid w:val="009D2374"/>
    <w:rsid w:val="009D3252"/>
    <w:rsid w:val="009D3852"/>
    <w:rsid w:val="009D3AF0"/>
    <w:rsid w:val="009D3B78"/>
    <w:rsid w:val="009D3BBF"/>
    <w:rsid w:val="009D3D08"/>
    <w:rsid w:val="009D4107"/>
    <w:rsid w:val="009D4512"/>
    <w:rsid w:val="009D4807"/>
    <w:rsid w:val="009D4966"/>
    <w:rsid w:val="009D496C"/>
    <w:rsid w:val="009D4ADD"/>
    <w:rsid w:val="009D4B37"/>
    <w:rsid w:val="009D51F5"/>
    <w:rsid w:val="009D5773"/>
    <w:rsid w:val="009D58C6"/>
    <w:rsid w:val="009D594E"/>
    <w:rsid w:val="009D5B23"/>
    <w:rsid w:val="009D5FBC"/>
    <w:rsid w:val="009D607B"/>
    <w:rsid w:val="009D6804"/>
    <w:rsid w:val="009D6A72"/>
    <w:rsid w:val="009D6F8A"/>
    <w:rsid w:val="009D7281"/>
    <w:rsid w:val="009D743C"/>
    <w:rsid w:val="009D745A"/>
    <w:rsid w:val="009D74AB"/>
    <w:rsid w:val="009E01DC"/>
    <w:rsid w:val="009E0358"/>
    <w:rsid w:val="009E0404"/>
    <w:rsid w:val="009E08B1"/>
    <w:rsid w:val="009E0FAD"/>
    <w:rsid w:val="009E104E"/>
    <w:rsid w:val="009E14AE"/>
    <w:rsid w:val="009E14B4"/>
    <w:rsid w:val="009E196E"/>
    <w:rsid w:val="009E21D4"/>
    <w:rsid w:val="009E25E4"/>
    <w:rsid w:val="009E2874"/>
    <w:rsid w:val="009E2932"/>
    <w:rsid w:val="009E2AE1"/>
    <w:rsid w:val="009E2EA5"/>
    <w:rsid w:val="009E3019"/>
    <w:rsid w:val="009E408C"/>
    <w:rsid w:val="009E4291"/>
    <w:rsid w:val="009E44AC"/>
    <w:rsid w:val="009E47A6"/>
    <w:rsid w:val="009E4DCA"/>
    <w:rsid w:val="009E51C6"/>
    <w:rsid w:val="009E55D9"/>
    <w:rsid w:val="009E55F6"/>
    <w:rsid w:val="009E56BB"/>
    <w:rsid w:val="009E5AA3"/>
    <w:rsid w:val="009E5BAD"/>
    <w:rsid w:val="009E643F"/>
    <w:rsid w:val="009E6AF3"/>
    <w:rsid w:val="009E6BC2"/>
    <w:rsid w:val="009E789D"/>
    <w:rsid w:val="009E7922"/>
    <w:rsid w:val="009E7EC3"/>
    <w:rsid w:val="009F0173"/>
    <w:rsid w:val="009F038F"/>
    <w:rsid w:val="009F0534"/>
    <w:rsid w:val="009F095A"/>
    <w:rsid w:val="009F0F79"/>
    <w:rsid w:val="009F10CB"/>
    <w:rsid w:val="009F1417"/>
    <w:rsid w:val="009F1585"/>
    <w:rsid w:val="009F23CD"/>
    <w:rsid w:val="009F2552"/>
    <w:rsid w:val="009F29CF"/>
    <w:rsid w:val="009F2A96"/>
    <w:rsid w:val="009F2FB9"/>
    <w:rsid w:val="009F3C41"/>
    <w:rsid w:val="009F3C66"/>
    <w:rsid w:val="009F3CC9"/>
    <w:rsid w:val="009F3E64"/>
    <w:rsid w:val="009F42DF"/>
    <w:rsid w:val="009F47A9"/>
    <w:rsid w:val="009F50D5"/>
    <w:rsid w:val="009F50FB"/>
    <w:rsid w:val="009F5C9B"/>
    <w:rsid w:val="009F69DD"/>
    <w:rsid w:val="009F6AD3"/>
    <w:rsid w:val="009F6D5E"/>
    <w:rsid w:val="009F6FE8"/>
    <w:rsid w:val="009F7519"/>
    <w:rsid w:val="009F79D5"/>
    <w:rsid w:val="009F7AAE"/>
    <w:rsid w:val="009F7C74"/>
    <w:rsid w:val="009F7F00"/>
    <w:rsid w:val="00A00387"/>
    <w:rsid w:val="00A00526"/>
    <w:rsid w:val="00A005CA"/>
    <w:rsid w:val="00A006A9"/>
    <w:rsid w:val="00A0079F"/>
    <w:rsid w:val="00A00E3A"/>
    <w:rsid w:val="00A00EED"/>
    <w:rsid w:val="00A01B00"/>
    <w:rsid w:val="00A01BCB"/>
    <w:rsid w:val="00A020AC"/>
    <w:rsid w:val="00A02134"/>
    <w:rsid w:val="00A021BB"/>
    <w:rsid w:val="00A02398"/>
    <w:rsid w:val="00A02681"/>
    <w:rsid w:val="00A02E46"/>
    <w:rsid w:val="00A0314D"/>
    <w:rsid w:val="00A036E6"/>
    <w:rsid w:val="00A03E46"/>
    <w:rsid w:val="00A03E6F"/>
    <w:rsid w:val="00A04465"/>
    <w:rsid w:val="00A054C8"/>
    <w:rsid w:val="00A05583"/>
    <w:rsid w:val="00A05611"/>
    <w:rsid w:val="00A0564E"/>
    <w:rsid w:val="00A059A8"/>
    <w:rsid w:val="00A05C35"/>
    <w:rsid w:val="00A05C88"/>
    <w:rsid w:val="00A060B0"/>
    <w:rsid w:val="00A060E2"/>
    <w:rsid w:val="00A06823"/>
    <w:rsid w:val="00A06ABB"/>
    <w:rsid w:val="00A06B50"/>
    <w:rsid w:val="00A06DD1"/>
    <w:rsid w:val="00A0716B"/>
    <w:rsid w:val="00A07547"/>
    <w:rsid w:val="00A07684"/>
    <w:rsid w:val="00A0780A"/>
    <w:rsid w:val="00A079CB"/>
    <w:rsid w:val="00A07BDB"/>
    <w:rsid w:val="00A07FB0"/>
    <w:rsid w:val="00A108CA"/>
    <w:rsid w:val="00A10916"/>
    <w:rsid w:val="00A109DB"/>
    <w:rsid w:val="00A10A0E"/>
    <w:rsid w:val="00A10A35"/>
    <w:rsid w:val="00A10E12"/>
    <w:rsid w:val="00A1111E"/>
    <w:rsid w:val="00A11635"/>
    <w:rsid w:val="00A116D1"/>
    <w:rsid w:val="00A11881"/>
    <w:rsid w:val="00A11A6D"/>
    <w:rsid w:val="00A12382"/>
    <w:rsid w:val="00A123B4"/>
    <w:rsid w:val="00A124A8"/>
    <w:rsid w:val="00A12B6B"/>
    <w:rsid w:val="00A12B82"/>
    <w:rsid w:val="00A12D39"/>
    <w:rsid w:val="00A12EC8"/>
    <w:rsid w:val="00A130D5"/>
    <w:rsid w:val="00A131B1"/>
    <w:rsid w:val="00A1347B"/>
    <w:rsid w:val="00A13577"/>
    <w:rsid w:val="00A139D1"/>
    <w:rsid w:val="00A139F4"/>
    <w:rsid w:val="00A13A3C"/>
    <w:rsid w:val="00A13A3D"/>
    <w:rsid w:val="00A13DC7"/>
    <w:rsid w:val="00A13E71"/>
    <w:rsid w:val="00A14205"/>
    <w:rsid w:val="00A142BC"/>
    <w:rsid w:val="00A14751"/>
    <w:rsid w:val="00A1504E"/>
    <w:rsid w:val="00A159E0"/>
    <w:rsid w:val="00A15F0A"/>
    <w:rsid w:val="00A165B1"/>
    <w:rsid w:val="00A166C5"/>
    <w:rsid w:val="00A16874"/>
    <w:rsid w:val="00A16EE7"/>
    <w:rsid w:val="00A16FFA"/>
    <w:rsid w:val="00A172CE"/>
    <w:rsid w:val="00A173C9"/>
    <w:rsid w:val="00A17AB1"/>
    <w:rsid w:val="00A200E9"/>
    <w:rsid w:val="00A200FC"/>
    <w:rsid w:val="00A201A3"/>
    <w:rsid w:val="00A20732"/>
    <w:rsid w:val="00A20886"/>
    <w:rsid w:val="00A20B47"/>
    <w:rsid w:val="00A20E7A"/>
    <w:rsid w:val="00A2128F"/>
    <w:rsid w:val="00A2137A"/>
    <w:rsid w:val="00A21678"/>
    <w:rsid w:val="00A2200F"/>
    <w:rsid w:val="00A220E4"/>
    <w:rsid w:val="00A22251"/>
    <w:rsid w:val="00A2248B"/>
    <w:rsid w:val="00A22D20"/>
    <w:rsid w:val="00A2354B"/>
    <w:rsid w:val="00A23746"/>
    <w:rsid w:val="00A237EB"/>
    <w:rsid w:val="00A238C4"/>
    <w:rsid w:val="00A23A1D"/>
    <w:rsid w:val="00A23C21"/>
    <w:rsid w:val="00A23F50"/>
    <w:rsid w:val="00A241BC"/>
    <w:rsid w:val="00A24BDF"/>
    <w:rsid w:val="00A24C3A"/>
    <w:rsid w:val="00A257B6"/>
    <w:rsid w:val="00A258E2"/>
    <w:rsid w:val="00A25974"/>
    <w:rsid w:val="00A25992"/>
    <w:rsid w:val="00A26026"/>
    <w:rsid w:val="00A2602A"/>
    <w:rsid w:val="00A26052"/>
    <w:rsid w:val="00A264A4"/>
    <w:rsid w:val="00A269B9"/>
    <w:rsid w:val="00A26EEC"/>
    <w:rsid w:val="00A27A45"/>
    <w:rsid w:val="00A27C82"/>
    <w:rsid w:val="00A301B3"/>
    <w:rsid w:val="00A30AF7"/>
    <w:rsid w:val="00A30C61"/>
    <w:rsid w:val="00A31259"/>
    <w:rsid w:val="00A31D9D"/>
    <w:rsid w:val="00A3257B"/>
    <w:rsid w:val="00A32CE3"/>
    <w:rsid w:val="00A33083"/>
    <w:rsid w:val="00A331A3"/>
    <w:rsid w:val="00A331E2"/>
    <w:rsid w:val="00A33272"/>
    <w:rsid w:val="00A33574"/>
    <w:rsid w:val="00A338C5"/>
    <w:rsid w:val="00A33C45"/>
    <w:rsid w:val="00A33F4C"/>
    <w:rsid w:val="00A3408F"/>
    <w:rsid w:val="00A34999"/>
    <w:rsid w:val="00A350CC"/>
    <w:rsid w:val="00A3532E"/>
    <w:rsid w:val="00A356E0"/>
    <w:rsid w:val="00A36083"/>
    <w:rsid w:val="00A3613D"/>
    <w:rsid w:val="00A36788"/>
    <w:rsid w:val="00A36C8F"/>
    <w:rsid w:val="00A36DBD"/>
    <w:rsid w:val="00A36E34"/>
    <w:rsid w:val="00A36E53"/>
    <w:rsid w:val="00A372E8"/>
    <w:rsid w:val="00A378D0"/>
    <w:rsid w:val="00A37EBE"/>
    <w:rsid w:val="00A37F8A"/>
    <w:rsid w:val="00A40548"/>
    <w:rsid w:val="00A40942"/>
    <w:rsid w:val="00A409CE"/>
    <w:rsid w:val="00A40C5A"/>
    <w:rsid w:val="00A41014"/>
    <w:rsid w:val="00A41A93"/>
    <w:rsid w:val="00A41C4E"/>
    <w:rsid w:val="00A41C65"/>
    <w:rsid w:val="00A41D29"/>
    <w:rsid w:val="00A4213A"/>
    <w:rsid w:val="00A421A7"/>
    <w:rsid w:val="00A421AC"/>
    <w:rsid w:val="00A4292D"/>
    <w:rsid w:val="00A42BFB"/>
    <w:rsid w:val="00A42C66"/>
    <w:rsid w:val="00A431A9"/>
    <w:rsid w:val="00A436A7"/>
    <w:rsid w:val="00A43D5C"/>
    <w:rsid w:val="00A43DB5"/>
    <w:rsid w:val="00A44957"/>
    <w:rsid w:val="00A44DD3"/>
    <w:rsid w:val="00A458A5"/>
    <w:rsid w:val="00A458F0"/>
    <w:rsid w:val="00A45A42"/>
    <w:rsid w:val="00A46223"/>
    <w:rsid w:val="00A467A1"/>
    <w:rsid w:val="00A469CA"/>
    <w:rsid w:val="00A473FB"/>
    <w:rsid w:val="00A474A3"/>
    <w:rsid w:val="00A477B2"/>
    <w:rsid w:val="00A47923"/>
    <w:rsid w:val="00A47C13"/>
    <w:rsid w:val="00A47D11"/>
    <w:rsid w:val="00A47E3C"/>
    <w:rsid w:val="00A47F3E"/>
    <w:rsid w:val="00A500C1"/>
    <w:rsid w:val="00A5029A"/>
    <w:rsid w:val="00A5097F"/>
    <w:rsid w:val="00A50D60"/>
    <w:rsid w:val="00A50E42"/>
    <w:rsid w:val="00A51331"/>
    <w:rsid w:val="00A515A1"/>
    <w:rsid w:val="00A515D3"/>
    <w:rsid w:val="00A51744"/>
    <w:rsid w:val="00A5186F"/>
    <w:rsid w:val="00A51976"/>
    <w:rsid w:val="00A51B08"/>
    <w:rsid w:val="00A51B7E"/>
    <w:rsid w:val="00A51EC4"/>
    <w:rsid w:val="00A52C9B"/>
    <w:rsid w:val="00A5300F"/>
    <w:rsid w:val="00A535EF"/>
    <w:rsid w:val="00A5391F"/>
    <w:rsid w:val="00A54073"/>
    <w:rsid w:val="00A54260"/>
    <w:rsid w:val="00A54355"/>
    <w:rsid w:val="00A54423"/>
    <w:rsid w:val="00A54954"/>
    <w:rsid w:val="00A54D9E"/>
    <w:rsid w:val="00A54DCA"/>
    <w:rsid w:val="00A54ED6"/>
    <w:rsid w:val="00A55388"/>
    <w:rsid w:val="00A55586"/>
    <w:rsid w:val="00A555E4"/>
    <w:rsid w:val="00A55818"/>
    <w:rsid w:val="00A5602D"/>
    <w:rsid w:val="00A56388"/>
    <w:rsid w:val="00A564DE"/>
    <w:rsid w:val="00A56EB6"/>
    <w:rsid w:val="00A57676"/>
    <w:rsid w:val="00A57B65"/>
    <w:rsid w:val="00A57C90"/>
    <w:rsid w:val="00A57F88"/>
    <w:rsid w:val="00A6044D"/>
    <w:rsid w:val="00A60598"/>
    <w:rsid w:val="00A6080D"/>
    <w:rsid w:val="00A60ABE"/>
    <w:rsid w:val="00A60B5C"/>
    <w:rsid w:val="00A61061"/>
    <w:rsid w:val="00A61910"/>
    <w:rsid w:val="00A62B8B"/>
    <w:rsid w:val="00A62C01"/>
    <w:rsid w:val="00A63307"/>
    <w:rsid w:val="00A637E4"/>
    <w:rsid w:val="00A638B8"/>
    <w:rsid w:val="00A639D7"/>
    <w:rsid w:val="00A639F3"/>
    <w:rsid w:val="00A63C7F"/>
    <w:rsid w:val="00A63DDD"/>
    <w:rsid w:val="00A63F90"/>
    <w:rsid w:val="00A63FC4"/>
    <w:rsid w:val="00A6436D"/>
    <w:rsid w:val="00A64621"/>
    <w:rsid w:val="00A648F9"/>
    <w:rsid w:val="00A6490C"/>
    <w:rsid w:val="00A64A41"/>
    <w:rsid w:val="00A64DFC"/>
    <w:rsid w:val="00A6505F"/>
    <w:rsid w:val="00A6553C"/>
    <w:rsid w:val="00A656BE"/>
    <w:rsid w:val="00A65A53"/>
    <w:rsid w:val="00A65CB2"/>
    <w:rsid w:val="00A65E61"/>
    <w:rsid w:val="00A6640D"/>
    <w:rsid w:val="00A6649C"/>
    <w:rsid w:val="00A6670C"/>
    <w:rsid w:val="00A6692E"/>
    <w:rsid w:val="00A66B73"/>
    <w:rsid w:val="00A66F52"/>
    <w:rsid w:val="00A66F54"/>
    <w:rsid w:val="00A6755B"/>
    <w:rsid w:val="00A67AFC"/>
    <w:rsid w:val="00A67C26"/>
    <w:rsid w:val="00A67CAE"/>
    <w:rsid w:val="00A67CEE"/>
    <w:rsid w:val="00A7015D"/>
    <w:rsid w:val="00A70305"/>
    <w:rsid w:val="00A70548"/>
    <w:rsid w:val="00A705CE"/>
    <w:rsid w:val="00A70F14"/>
    <w:rsid w:val="00A71D90"/>
    <w:rsid w:val="00A721D5"/>
    <w:rsid w:val="00A72358"/>
    <w:rsid w:val="00A739D3"/>
    <w:rsid w:val="00A73F8C"/>
    <w:rsid w:val="00A741B9"/>
    <w:rsid w:val="00A74284"/>
    <w:rsid w:val="00A74766"/>
    <w:rsid w:val="00A74816"/>
    <w:rsid w:val="00A74A8A"/>
    <w:rsid w:val="00A74ABB"/>
    <w:rsid w:val="00A74BDD"/>
    <w:rsid w:val="00A757DE"/>
    <w:rsid w:val="00A7615D"/>
    <w:rsid w:val="00A764EE"/>
    <w:rsid w:val="00A7663E"/>
    <w:rsid w:val="00A76A8C"/>
    <w:rsid w:val="00A7702B"/>
    <w:rsid w:val="00A77685"/>
    <w:rsid w:val="00A776BC"/>
    <w:rsid w:val="00A779E7"/>
    <w:rsid w:val="00A77B0E"/>
    <w:rsid w:val="00A80388"/>
    <w:rsid w:val="00A80493"/>
    <w:rsid w:val="00A80B3A"/>
    <w:rsid w:val="00A80C01"/>
    <w:rsid w:val="00A810EC"/>
    <w:rsid w:val="00A813DA"/>
    <w:rsid w:val="00A81708"/>
    <w:rsid w:val="00A81878"/>
    <w:rsid w:val="00A81A2D"/>
    <w:rsid w:val="00A81BCB"/>
    <w:rsid w:val="00A81C47"/>
    <w:rsid w:val="00A81D9E"/>
    <w:rsid w:val="00A81F14"/>
    <w:rsid w:val="00A8206D"/>
    <w:rsid w:val="00A82AF5"/>
    <w:rsid w:val="00A82E16"/>
    <w:rsid w:val="00A8370E"/>
    <w:rsid w:val="00A83C08"/>
    <w:rsid w:val="00A84213"/>
    <w:rsid w:val="00A8462B"/>
    <w:rsid w:val="00A8492E"/>
    <w:rsid w:val="00A84964"/>
    <w:rsid w:val="00A84E01"/>
    <w:rsid w:val="00A84EB3"/>
    <w:rsid w:val="00A84FAC"/>
    <w:rsid w:val="00A8500B"/>
    <w:rsid w:val="00A8557F"/>
    <w:rsid w:val="00A8574C"/>
    <w:rsid w:val="00A85781"/>
    <w:rsid w:val="00A869EE"/>
    <w:rsid w:val="00A86B37"/>
    <w:rsid w:val="00A874A1"/>
    <w:rsid w:val="00A874C4"/>
    <w:rsid w:val="00A874F9"/>
    <w:rsid w:val="00A87A21"/>
    <w:rsid w:val="00A87CAA"/>
    <w:rsid w:val="00A9054C"/>
    <w:rsid w:val="00A908EE"/>
    <w:rsid w:val="00A91199"/>
    <w:rsid w:val="00A91510"/>
    <w:rsid w:val="00A9161E"/>
    <w:rsid w:val="00A92548"/>
    <w:rsid w:val="00A9291A"/>
    <w:rsid w:val="00A92B2B"/>
    <w:rsid w:val="00A93051"/>
    <w:rsid w:val="00A932C0"/>
    <w:rsid w:val="00A9371B"/>
    <w:rsid w:val="00A93956"/>
    <w:rsid w:val="00A93AFF"/>
    <w:rsid w:val="00A93CD6"/>
    <w:rsid w:val="00A93E8C"/>
    <w:rsid w:val="00A93EA9"/>
    <w:rsid w:val="00A942E6"/>
    <w:rsid w:val="00A94581"/>
    <w:rsid w:val="00A9474C"/>
    <w:rsid w:val="00A94B54"/>
    <w:rsid w:val="00A94BF6"/>
    <w:rsid w:val="00A94C9F"/>
    <w:rsid w:val="00A94CA2"/>
    <w:rsid w:val="00A94CD1"/>
    <w:rsid w:val="00A94D08"/>
    <w:rsid w:val="00A94F89"/>
    <w:rsid w:val="00A94F97"/>
    <w:rsid w:val="00A950A1"/>
    <w:rsid w:val="00A9543E"/>
    <w:rsid w:val="00A95BB9"/>
    <w:rsid w:val="00A95C28"/>
    <w:rsid w:val="00A95D9A"/>
    <w:rsid w:val="00A96706"/>
    <w:rsid w:val="00A968C7"/>
    <w:rsid w:val="00A96BC1"/>
    <w:rsid w:val="00A96D9D"/>
    <w:rsid w:val="00A9711F"/>
    <w:rsid w:val="00A9726F"/>
    <w:rsid w:val="00A973CD"/>
    <w:rsid w:val="00A97632"/>
    <w:rsid w:val="00AA00E3"/>
    <w:rsid w:val="00AA0CC5"/>
    <w:rsid w:val="00AA125F"/>
    <w:rsid w:val="00AA1BA1"/>
    <w:rsid w:val="00AA22FA"/>
    <w:rsid w:val="00AA2CA4"/>
    <w:rsid w:val="00AA30EC"/>
    <w:rsid w:val="00AA32E8"/>
    <w:rsid w:val="00AA33B9"/>
    <w:rsid w:val="00AA36EC"/>
    <w:rsid w:val="00AA3762"/>
    <w:rsid w:val="00AA37FF"/>
    <w:rsid w:val="00AA3968"/>
    <w:rsid w:val="00AA3969"/>
    <w:rsid w:val="00AA3AD1"/>
    <w:rsid w:val="00AA3B4C"/>
    <w:rsid w:val="00AA448A"/>
    <w:rsid w:val="00AA4656"/>
    <w:rsid w:val="00AA47FF"/>
    <w:rsid w:val="00AA4C33"/>
    <w:rsid w:val="00AA4E89"/>
    <w:rsid w:val="00AA537C"/>
    <w:rsid w:val="00AA57AC"/>
    <w:rsid w:val="00AA5827"/>
    <w:rsid w:val="00AA7534"/>
    <w:rsid w:val="00AA76A7"/>
    <w:rsid w:val="00AB0BFA"/>
    <w:rsid w:val="00AB0D64"/>
    <w:rsid w:val="00AB10FF"/>
    <w:rsid w:val="00AB1177"/>
    <w:rsid w:val="00AB18EA"/>
    <w:rsid w:val="00AB1D5A"/>
    <w:rsid w:val="00AB1D7E"/>
    <w:rsid w:val="00AB1F59"/>
    <w:rsid w:val="00AB287E"/>
    <w:rsid w:val="00AB2B66"/>
    <w:rsid w:val="00AB2CFC"/>
    <w:rsid w:val="00AB2ED4"/>
    <w:rsid w:val="00AB3003"/>
    <w:rsid w:val="00AB3173"/>
    <w:rsid w:val="00AB3630"/>
    <w:rsid w:val="00AB3705"/>
    <w:rsid w:val="00AB3C03"/>
    <w:rsid w:val="00AB3E0E"/>
    <w:rsid w:val="00AB3EBF"/>
    <w:rsid w:val="00AB425A"/>
    <w:rsid w:val="00AB4A94"/>
    <w:rsid w:val="00AB4F71"/>
    <w:rsid w:val="00AB5169"/>
    <w:rsid w:val="00AB5652"/>
    <w:rsid w:val="00AB58E2"/>
    <w:rsid w:val="00AB5F5F"/>
    <w:rsid w:val="00AB622D"/>
    <w:rsid w:val="00AB626B"/>
    <w:rsid w:val="00AB64DD"/>
    <w:rsid w:val="00AB68C9"/>
    <w:rsid w:val="00AB6963"/>
    <w:rsid w:val="00AB6D7D"/>
    <w:rsid w:val="00AB755D"/>
    <w:rsid w:val="00AB763E"/>
    <w:rsid w:val="00AB7C3D"/>
    <w:rsid w:val="00AB7F93"/>
    <w:rsid w:val="00AC000B"/>
    <w:rsid w:val="00AC01E0"/>
    <w:rsid w:val="00AC01F0"/>
    <w:rsid w:val="00AC02A4"/>
    <w:rsid w:val="00AC0D6B"/>
    <w:rsid w:val="00AC1913"/>
    <w:rsid w:val="00AC1AC6"/>
    <w:rsid w:val="00AC1C9A"/>
    <w:rsid w:val="00AC225D"/>
    <w:rsid w:val="00AC25D0"/>
    <w:rsid w:val="00AC2DAE"/>
    <w:rsid w:val="00AC3979"/>
    <w:rsid w:val="00AC4092"/>
    <w:rsid w:val="00AC4271"/>
    <w:rsid w:val="00AC49DB"/>
    <w:rsid w:val="00AC4B76"/>
    <w:rsid w:val="00AC4DE6"/>
    <w:rsid w:val="00AC5BBF"/>
    <w:rsid w:val="00AC5F71"/>
    <w:rsid w:val="00AC68AA"/>
    <w:rsid w:val="00AC69A6"/>
    <w:rsid w:val="00AC69EF"/>
    <w:rsid w:val="00AC6DE6"/>
    <w:rsid w:val="00AC70AF"/>
    <w:rsid w:val="00AC71E4"/>
    <w:rsid w:val="00AC78FF"/>
    <w:rsid w:val="00AC7B00"/>
    <w:rsid w:val="00AC7B3F"/>
    <w:rsid w:val="00AC7CE1"/>
    <w:rsid w:val="00AD00E0"/>
    <w:rsid w:val="00AD01F2"/>
    <w:rsid w:val="00AD025D"/>
    <w:rsid w:val="00AD04A0"/>
    <w:rsid w:val="00AD0778"/>
    <w:rsid w:val="00AD08E4"/>
    <w:rsid w:val="00AD0BDD"/>
    <w:rsid w:val="00AD12F5"/>
    <w:rsid w:val="00AD135B"/>
    <w:rsid w:val="00AD1456"/>
    <w:rsid w:val="00AD1533"/>
    <w:rsid w:val="00AD16E0"/>
    <w:rsid w:val="00AD16E4"/>
    <w:rsid w:val="00AD18C9"/>
    <w:rsid w:val="00AD1FBD"/>
    <w:rsid w:val="00AD209F"/>
    <w:rsid w:val="00AD231E"/>
    <w:rsid w:val="00AD26EA"/>
    <w:rsid w:val="00AD2761"/>
    <w:rsid w:val="00AD3047"/>
    <w:rsid w:val="00AD33BF"/>
    <w:rsid w:val="00AD3713"/>
    <w:rsid w:val="00AD377C"/>
    <w:rsid w:val="00AD3B45"/>
    <w:rsid w:val="00AD3E46"/>
    <w:rsid w:val="00AD3F52"/>
    <w:rsid w:val="00AD4206"/>
    <w:rsid w:val="00AD48EB"/>
    <w:rsid w:val="00AD497F"/>
    <w:rsid w:val="00AD50F1"/>
    <w:rsid w:val="00AD526C"/>
    <w:rsid w:val="00AD5464"/>
    <w:rsid w:val="00AD5829"/>
    <w:rsid w:val="00AD5A6E"/>
    <w:rsid w:val="00AD5AD7"/>
    <w:rsid w:val="00AD5C29"/>
    <w:rsid w:val="00AD60DA"/>
    <w:rsid w:val="00AD64D3"/>
    <w:rsid w:val="00AD6AFA"/>
    <w:rsid w:val="00AD6D4B"/>
    <w:rsid w:val="00AD73B4"/>
    <w:rsid w:val="00AD741A"/>
    <w:rsid w:val="00AD74EB"/>
    <w:rsid w:val="00AE030A"/>
    <w:rsid w:val="00AE0445"/>
    <w:rsid w:val="00AE066B"/>
    <w:rsid w:val="00AE07D5"/>
    <w:rsid w:val="00AE0B4C"/>
    <w:rsid w:val="00AE0D45"/>
    <w:rsid w:val="00AE0DD0"/>
    <w:rsid w:val="00AE10F8"/>
    <w:rsid w:val="00AE112B"/>
    <w:rsid w:val="00AE11E7"/>
    <w:rsid w:val="00AE1381"/>
    <w:rsid w:val="00AE17E9"/>
    <w:rsid w:val="00AE1A40"/>
    <w:rsid w:val="00AE1D73"/>
    <w:rsid w:val="00AE2319"/>
    <w:rsid w:val="00AE2340"/>
    <w:rsid w:val="00AE2637"/>
    <w:rsid w:val="00AE2918"/>
    <w:rsid w:val="00AE2BED"/>
    <w:rsid w:val="00AE2DDA"/>
    <w:rsid w:val="00AE2F8A"/>
    <w:rsid w:val="00AE3203"/>
    <w:rsid w:val="00AE33BE"/>
    <w:rsid w:val="00AE3584"/>
    <w:rsid w:val="00AE385C"/>
    <w:rsid w:val="00AE3A8D"/>
    <w:rsid w:val="00AE3E09"/>
    <w:rsid w:val="00AE3E7C"/>
    <w:rsid w:val="00AE3E8A"/>
    <w:rsid w:val="00AE4324"/>
    <w:rsid w:val="00AE44ED"/>
    <w:rsid w:val="00AE4D29"/>
    <w:rsid w:val="00AE504A"/>
    <w:rsid w:val="00AE5197"/>
    <w:rsid w:val="00AE55F9"/>
    <w:rsid w:val="00AE5BA9"/>
    <w:rsid w:val="00AE5FB6"/>
    <w:rsid w:val="00AE62D5"/>
    <w:rsid w:val="00AE63EB"/>
    <w:rsid w:val="00AE659C"/>
    <w:rsid w:val="00AE69AC"/>
    <w:rsid w:val="00AE70E3"/>
    <w:rsid w:val="00AE7424"/>
    <w:rsid w:val="00AE7E93"/>
    <w:rsid w:val="00AF0049"/>
    <w:rsid w:val="00AF0625"/>
    <w:rsid w:val="00AF0896"/>
    <w:rsid w:val="00AF08AE"/>
    <w:rsid w:val="00AF0EC0"/>
    <w:rsid w:val="00AF127F"/>
    <w:rsid w:val="00AF1799"/>
    <w:rsid w:val="00AF1A0E"/>
    <w:rsid w:val="00AF1AD0"/>
    <w:rsid w:val="00AF1BD4"/>
    <w:rsid w:val="00AF1CB0"/>
    <w:rsid w:val="00AF2025"/>
    <w:rsid w:val="00AF284D"/>
    <w:rsid w:val="00AF2907"/>
    <w:rsid w:val="00AF306D"/>
    <w:rsid w:val="00AF377A"/>
    <w:rsid w:val="00AF38C6"/>
    <w:rsid w:val="00AF3A7C"/>
    <w:rsid w:val="00AF3B5D"/>
    <w:rsid w:val="00AF4007"/>
    <w:rsid w:val="00AF448F"/>
    <w:rsid w:val="00AF4746"/>
    <w:rsid w:val="00AF4A11"/>
    <w:rsid w:val="00AF4A98"/>
    <w:rsid w:val="00AF4D27"/>
    <w:rsid w:val="00AF5348"/>
    <w:rsid w:val="00AF6032"/>
    <w:rsid w:val="00AF65B2"/>
    <w:rsid w:val="00AF6664"/>
    <w:rsid w:val="00AF6B10"/>
    <w:rsid w:val="00AF6DCF"/>
    <w:rsid w:val="00AF727E"/>
    <w:rsid w:val="00AF78EC"/>
    <w:rsid w:val="00B001E1"/>
    <w:rsid w:val="00B0096F"/>
    <w:rsid w:val="00B00B0E"/>
    <w:rsid w:val="00B00B4D"/>
    <w:rsid w:val="00B010CF"/>
    <w:rsid w:val="00B011F4"/>
    <w:rsid w:val="00B015DC"/>
    <w:rsid w:val="00B01949"/>
    <w:rsid w:val="00B0275C"/>
    <w:rsid w:val="00B02A29"/>
    <w:rsid w:val="00B02C63"/>
    <w:rsid w:val="00B032B8"/>
    <w:rsid w:val="00B03873"/>
    <w:rsid w:val="00B03886"/>
    <w:rsid w:val="00B03B37"/>
    <w:rsid w:val="00B03B73"/>
    <w:rsid w:val="00B03E0F"/>
    <w:rsid w:val="00B043C8"/>
    <w:rsid w:val="00B04A5D"/>
    <w:rsid w:val="00B04DBB"/>
    <w:rsid w:val="00B056C0"/>
    <w:rsid w:val="00B05913"/>
    <w:rsid w:val="00B05CDF"/>
    <w:rsid w:val="00B05FC9"/>
    <w:rsid w:val="00B060B6"/>
    <w:rsid w:val="00B06138"/>
    <w:rsid w:val="00B0636F"/>
    <w:rsid w:val="00B063DE"/>
    <w:rsid w:val="00B066B8"/>
    <w:rsid w:val="00B067E9"/>
    <w:rsid w:val="00B068C0"/>
    <w:rsid w:val="00B06965"/>
    <w:rsid w:val="00B06970"/>
    <w:rsid w:val="00B06F3E"/>
    <w:rsid w:val="00B06F73"/>
    <w:rsid w:val="00B071C6"/>
    <w:rsid w:val="00B079FF"/>
    <w:rsid w:val="00B07BCA"/>
    <w:rsid w:val="00B100EF"/>
    <w:rsid w:val="00B10D1F"/>
    <w:rsid w:val="00B10E97"/>
    <w:rsid w:val="00B111CA"/>
    <w:rsid w:val="00B11530"/>
    <w:rsid w:val="00B11650"/>
    <w:rsid w:val="00B116A3"/>
    <w:rsid w:val="00B118A2"/>
    <w:rsid w:val="00B12310"/>
    <w:rsid w:val="00B12410"/>
    <w:rsid w:val="00B12608"/>
    <w:rsid w:val="00B12EC5"/>
    <w:rsid w:val="00B130DB"/>
    <w:rsid w:val="00B1365C"/>
    <w:rsid w:val="00B13AF7"/>
    <w:rsid w:val="00B141C8"/>
    <w:rsid w:val="00B14528"/>
    <w:rsid w:val="00B145F7"/>
    <w:rsid w:val="00B14AE5"/>
    <w:rsid w:val="00B14B0A"/>
    <w:rsid w:val="00B14BBF"/>
    <w:rsid w:val="00B1564B"/>
    <w:rsid w:val="00B158C8"/>
    <w:rsid w:val="00B15962"/>
    <w:rsid w:val="00B15F35"/>
    <w:rsid w:val="00B16069"/>
    <w:rsid w:val="00B16217"/>
    <w:rsid w:val="00B16724"/>
    <w:rsid w:val="00B16AF2"/>
    <w:rsid w:val="00B16CF2"/>
    <w:rsid w:val="00B16FA4"/>
    <w:rsid w:val="00B16FC3"/>
    <w:rsid w:val="00B17020"/>
    <w:rsid w:val="00B170FC"/>
    <w:rsid w:val="00B1710B"/>
    <w:rsid w:val="00B17ED5"/>
    <w:rsid w:val="00B17F54"/>
    <w:rsid w:val="00B20A72"/>
    <w:rsid w:val="00B20E82"/>
    <w:rsid w:val="00B214E2"/>
    <w:rsid w:val="00B2187A"/>
    <w:rsid w:val="00B21A03"/>
    <w:rsid w:val="00B21AC6"/>
    <w:rsid w:val="00B21D96"/>
    <w:rsid w:val="00B22687"/>
    <w:rsid w:val="00B2279B"/>
    <w:rsid w:val="00B22CEC"/>
    <w:rsid w:val="00B22FDD"/>
    <w:rsid w:val="00B23133"/>
    <w:rsid w:val="00B23214"/>
    <w:rsid w:val="00B2342B"/>
    <w:rsid w:val="00B2346F"/>
    <w:rsid w:val="00B2347F"/>
    <w:rsid w:val="00B236B0"/>
    <w:rsid w:val="00B236B5"/>
    <w:rsid w:val="00B23EB6"/>
    <w:rsid w:val="00B23F69"/>
    <w:rsid w:val="00B2461C"/>
    <w:rsid w:val="00B249C1"/>
    <w:rsid w:val="00B25324"/>
    <w:rsid w:val="00B254CD"/>
    <w:rsid w:val="00B2669F"/>
    <w:rsid w:val="00B26719"/>
    <w:rsid w:val="00B26BD6"/>
    <w:rsid w:val="00B26E93"/>
    <w:rsid w:val="00B270E2"/>
    <w:rsid w:val="00B2737F"/>
    <w:rsid w:val="00B27969"/>
    <w:rsid w:val="00B27E2D"/>
    <w:rsid w:val="00B27ECC"/>
    <w:rsid w:val="00B30446"/>
    <w:rsid w:val="00B309DF"/>
    <w:rsid w:val="00B30F22"/>
    <w:rsid w:val="00B314B6"/>
    <w:rsid w:val="00B31AF5"/>
    <w:rsid w:val="00B31EB0"/>
    <w:rsid w:val="00B31FD6"/>
    <w:rsid w:val="00B32323"/>
    <w:rsid w:val="00B32416"/>
    <w:rsid w:val="00B32866"/>
    <w:rsid w:val="00B329DB"/>
    <w:rsid w:val="00B33615"/>
    <w:rsid w:val="00B3373A"/>
    <w:rsid w:val="00B33A96"/>
    <w:rsid w:val="00B34008"/>
    <w:rsid w:val="00B342EA"/>
    <w:rsid w:val="00B343EC"/>
    <w:rsid w:val="00B34681"/>
    <w:rsid w:val="00B3497D"/>
    <w:rsid w:val="00B34BFC"/>
    <w:rsid w:val="00B34C66"/>
    <w:rsid w:val="00B34E9D"/>
    <w:rsid w:val="00B34F0A"/>
    <w:rsid w:val="00B34F7B"/>
    <w:rsid w:val="00B35A36"/>
    <w:rsid w:val="00B35B34"/>
    <w:rsid w:val="00B365F6"/>
    <w:rsid w:val="00B370C0"/>
    <w:rsid w:val="00B37835"/>
    <w:rsid w:val="00B37875"/>
    <w:rsid w:val="00B40149"/>
    <w:rsid w:val="00B40211"/>
    <w:rsid w:val="00B409D6"/>
    <w:rsid w:val="00B41182"/>
    <w:rsid w:val="00B41235"/>
    <w:rsid w:val="00B41437"/>
    <w:rsid w:val="00B41592"/>
    <w:rsid w:val="00B416D5"/>
    <w:rsid w:val="00B4171E"/>
    <w:rsid w:val="00B41781"/>
    <w:rsid w:val="00B41960"/>
    <w:rsid w:val="00B41F6F"/>
    <w:rsid w:val="00B42851"/>
    <w:rsid w:val="00B42DFA"/>
    <w:rsid w:val="00B42E87"/>
    <w:rsid w:val="00B42F96"/>
    <w:rsid w:val="00B43549"/>
    <w:rsid w:val="00B43558"/>
    <w:rsid w:val="00B4382F"/>
    <w:rsid w:val="00B4454F"/>
    <w:rsid w:val="00B4497B"/>
    <w:rsid w:val="00B44F90"/>
    <w:rsid w:val="00B44FF2"/>
    <w:rsid w:val="00B45329"/>
    <w:rsid w:val="00B4585C"/>
    <w:rsid w:val="00B45B99"/>
    <w:rsid w:val="00B45BF1"/>
    <w:rsid w:val="00B45DFF"/>
    <w:rsid w:val="00B462E1"/>
    <w:rsid w:val="00B465AC"/>
    <w:rsid w:val="00B4688C"/>
    <w:rsid w:val="00B46BCD"/>
    <w:rsid w:val="00B46BE2"/>
    <w:rsid w:val="00B46DC7"/>
    <w:rsid w:val="00B472ED"/>
    <w:rsid w:val="00B50B78"/>
    <w:rsid w:val="00B50C30"/>
    <w:rsid w:val="00B51979"/>
    <w:rsid w:val="00B51A59"/>
    <w:rsid w:val="00B51B7E"/>
    <w:rsid w:val="00B51BE0"/>
    <w:rsid w:val="00B51CF8"/>
    <w:rsid w:val="00B521FF"/>
    <w:rsid w:val="00B523C3"/>
    <w:rsid w:val="00B5259D"/>
    <w:rsid w:val="00B52A9D"/>
    <w:rsid w:val="00B52AC5"/>
    <w:rsid w:val="00B532A0"/>
    <w:rsid w:val="00B537C4"/>
    <w:rsid w:val="00B54282"/>
    <w:rsid w:val="00B54926"/>
    <w:rsid w:val="00B549F1"/>
    <w:rsid w:val="00B55000"/>
    <w:rsid w:val="00B55A56"/>
    <w:rsid w:val="00B55AA6"/>
    <w:rsid w:val="00B55C04"/>
    <w:rsid w:val="00B55D69"/>
    <w:rsid w:val="00B562E4"/>
    <w:rsid w:val="00B56411"/>
    <w:rsid w:val="00B56612"/>
    <w:rsid w:val="00B569F8"/>
    <w:rsid w:val="00B56C22"/>
    <w:rsid w:val="00B57A73"/>
    <w:rsid w:val="00B57CBD"/>
    <w:rsid w:val="00B57EA9"/>
    <w:rsid w:val="00B57F25"/>
    <w:rsid w:val="00B57FBD"/>
    <w:rsid w:val="00B6036B"/>
    <w:rsid w:val="00B60EA5"/>
    <w:rsid w:val="00B610BB"/>
    <w:rsid w:val="00B61408"/>
    <w:rsid w:val="00B618B6"/>
    <w:rsid w:val="00B62430"/>
    <w:rsid w:val="00B62FF8"/>
    <w:rsid w:val="00B63113"/>
    <w:rsid w:val="00B63371"/>
    <w:rsid w:val="00B635D9"/>
    <w:rsid w:val="00B637A1"/>
    <w:rsid w:val="00B63B4B"/>
    <w:rsid w:val="00B63B54"/>
    <w:rsid w:val="00B63DA3"/>
    <w:rsid w:val="00B64518"/>
    <w:rsid w:val="00B64835"/>
    <w:rsid w:val="00B64DA6"/>
    <w:rsid w:val="00B64ED3"/>
    <w:rsid w:val="00B65033"/>
    <w:rsid w:val="00B65039"/>
    <w:rsid w:val="00B6569C"/>
    <w:rsid w:val="00B659CD"/>
    <w:rsid w:val="00B65AAE"/>
    <w:rsid w:val="00B65BCE"/>
    <w:rsid w:val="00B65FAB"/>
    <w:rsid w:val="00B66122"/>
    <w:rsid w:val="00B66245"/>
    <w:rsid w:val="00B662F4"/>
    <w:rsid w:val="00B6687E"/>
    <w:rsid w:val="00B66B63"/>
    <w:rsid w:val="00B66CBC"/>
    <w:rsid w:val="00B66EB2"/>
    <w:rsid w:val="00B678EA"/>
    <w:rsid w:val="00B67B47"/>
    <w:rsid w:val="00B67C79"/>
    <w:rsid w:val="00B701BB"/>
    <w:rsid w:val="00B70519"/>
    <w:rsid w:val="00B70714"/>
    <w:rsid w:val="00B70DEC"/>
    <w:rsid w:val="00B71E73"/>
    <w:rsid w:val="00B7252D"/>
    <w:rsid w:val="00B72836"/>
    <w:rsid w:val="00B7347B"/>
    <w:rsid w:val="00B734C7"/>
    <w:rsid w:val="00B73572"/>
    <w:rsid w:val="00B73EF1"/>
    <w:rsid w:val="00B741BD"/>
    <w:rsid w:val="00B74349"/>
    <w:rsid w:val="00B74D04"/>
    <w:rsid w:val="00B75412"/>
    <w:rsid w:val="00B75853"/>
    <w:rsid w:val="00B758E4"/>
    <w:rsid w:val="00B7644A"/>
    <w:rsid w:val="00B766C6"/>
    <w:rsid w:val="00B76B76"/>
    <w:rsid w:val="00B76F43"/>
    <w:rsid w:val="00B76FDC"/>
    <w:rsid w:val="00B77015"/>
    <w:rsid w:val="00B77160"/>
    <w:rsid w:val="00B7759B"/>
    <w:rsid w:val="00B77743"/>
    <w:rsid w:val="00B77C0C"/>
    <w:rsid w:val="00B77C59"/>
    <w:rsid w:val="00B800D5"/>
    <w:rsid w:val="00B80243"/>
    <w:rsid w:val="00B8081E"/>
    <w:rsid w:val="00B80B9E"/>
    <w:rsid w:val="00B81009"/>
    <w:rsid w:val="00B812A8"/>
    <w:rsid w:val="00B812DD"/>
    <w:rsid w:val="00B8147D"/>
    <w:rsid w:val="00B816AC"/>
    <w:rsid w:val="00B81A4D"/>
    <w:rsid w:val="00B8219B"/>
    <w:rsid w:val="00B82278"/>
    <w:rsid w:val="00B82A0F"/>
    <w:rsid w:val="00B835B4"/>
    <w:rsid w:val="00B8389D"/>
    <w:rsid w:val="00B838EB"/>
    <w:rsid w:val="00B839CB"/>
    <w:rsid w:val="00B83D1C"/>
    <w:rsid w:val="00B83E4D"/>
    <w:rsid w:val="00B8450F"/>
    <w:rsid w:val="00B84517"/>
    <w:rsid w:val="00B84699"/>
    <w:rsid w:val="00B84805"/>
    <w:rsid w:val="00B84A6D"/>
    <w:rsid w:val="00B84B08"/>
    <w:rsid w:val="00B84D4A"/>
    <w:rsid w:val="00B84DBA"/>
    <w:rsid w:val="00B84DEF"/>
    <w:rsid w:val="00B84E2A"/>
    <w:rsid w:val="00B852AC"/>
    <w:rsid w:val="00B8546E"/>
    <w:rsid w:val="00B858BE"/>
    <w:rsid w:val="00B85BF4"/>
    <w:rsid w:val="00B85C3F"/>
    <w:rsid w:val="00B85CAB"/>
    <w:rsid w:val="00B85D2E"/>
    <w:rsid w:val="00B85DB9"/>
    <w:rsid w:val="00B86598"/>
    <w:rsid w:val="00B86BB8"/>
    <w:rsid w:val="00B86D17"/>
    <w:rsid w:val="00B86E24"/>
    <w:rsid w:val="00B86E92"/>
    <w:rsid w:val="00B86FB9"/>
    <w:rsid w:val="00B871A5"/>
    <w:rsid w:val="00B8734C"/>
    <w:rsid w:val="00B87FEB"/>
    <w:rsid w:val="00B90041"/>
    <w:rsid w:val="00B906E6"/>
    <w:rsid w:val="00B90A9D"/>
    <w:rsid w:val="00B90C33"/>
    <w:rsid w:val="00B90DF0"/>
    <w:rsid w:val="00B90E84"/>
    <w:rsid w:val="00B913F6"/>
    <w:rsid w:val="00B914CC"/>
    <w:rsid w:val="00B9160A"/>
    <w:rsid w:val="00B9169A"/>
    <w:rsid w:val="00B91BB1"/>
    <w:rsid w:val="00B92132"/>
    <w:rsid w:val="00B921F7"/>
    <w:rsid w:val="00B92EB8"/>
    <w:rsid w:val="00B92F94"/>
    <w:rsid w:val="00B92FD0"/>
    <w:rsid w:val="00B93182"/>
    <w:rsid w:val="00B93419"/>
    <w:rsid w:val="00B93AD9"/>
    <w:rsid w:val="00B93BAF"/>
    <w:rsid w:val="00B93E56"/>
    <w:rsid w:val="00B94179"/>
    <w:rsid w:val="00B941C3"/>
    <w:rsid w:val="00B942BE"/>
    <w:rsid w:val="00B9444E"/>
    <w:rsid w:val="00B9445F"/>
    <w:rsid w:val="00B94B98"/>
    <w:rsid w:val="00B9558A"/>
    <w:rsid w:val="00B9564A"/>
    <w:rsid w:val="00B9570C"/>
    <w:rsid w:val="00B95A67"/>
    <w:rsid w:val="00B95B0F"/>
    <w:rsid w:val="00B95F30"/>
    <w:rsid w:val="00B96170"/>
    <w:rsid w:val="00B962EC"/>
    <w:rsid w:val="00B9673D"/>
    <w:rsid w:val="00B968D5"/>
    <w:rsid w:val="00B9748C"/>
    <w:rsid w:val="00B97518"/>
    <w:rsid w:val="00B97579"/>
    <w:rsid w:val="00B9770B"/>
    <w:rsid w:val="00B9773C"/>
    <w:rsid w:val="00B97B76"/>
    <w:rsid w:val="00B97ECB"/>
    <w:rsid w:val="00BA029A"/>
    <w:rsid w:val="00BA075B"/>
    <w:rsid w:val="00BA07CE"/>
    <w:rsid w:val="00BA0B9A"/>
    <w:rsid w:val="00BA0C1E"/>
    <w:rsid w:val="00BA14AD"/>
    <w:rsid w:val="00BA1621"/>
    <w:rsid w:val="00BA1649"/>
    <w:rsid w:val="00BA1835"/>
    <w:rsid w:val="00BA189B"/>
    <w:rsid w:val="00BA19CD"/>
    <w:rsid w:val="00BA2755"/>
    <w:rsid w:val="00BA2F99"/>
    <w:rsid w:val="00BA361F"/>
    <w:rsid w:val="00BA393A"/>
    <w:rsid w:val="00BA49A4"/>
    <w:rsid w:val="00BA4A55"/>
    <w:rsid w:val="00BA4D9B"/>
    <w:rsid w:val="00BA4E11"/>
    <w:rsid w:val="00BA5108"/>
    <w:rsid w:val="00BA5C6F"/>
    <w:rsid w:val="00BA5E8D"/>
    <w:rsid w:val="00BA64FE"/>
    <w:rsid w:val="00BA68B9"/>
    <w:rsid w:val="00BA6B12"/>
    <w:rsid w:val="00BA6C33"/>
    <w:rsid w:val="00BA7415"/>
    <w:rsid w:val="00BA77F1"/>
    <w:rsid w:val="00BA78FA"/>
    <w:rsid w:val="00BA79F6"/>
    <w:rsid w:val="00BA7D5E"/>
    <w:rsid w:val="00BA7E18"/>
    <w:rsid w:val="00BA7E3F"/>
    <w:rsid w:val="00BB01CC"/>
    <w:rsid w:val="00BB0CAF"/>
    <w:rsid w:val="00BB0CD7"/>
    <w:rsid w:val="00BB0FB8"/>
    <w:rsid w:val="00BB13BD"/>
    <w:rsid w:val="00BB13C7"/>
    <w:rsid w:val="00BB1DE1"/>
    <w:rsid w:val="00BB1FBB"/>
    <w:rsid w:val="00BB2271"/>
    <w:rsid w:val="00BB22D8"/>
    <w:rsid w:val="00BB25C9"/>
    <w:rsid w:val="00BB2752"/>
    <w:rsid w:val="00BB28F1"/>
    <w:rsid w:val="00BB291A"/>
    <w:rsid w:val="00BB2B7E"/>
    <w:rsid w:val="00BB3422"/>
    <w:rsid w:val="00BB3C7D"/>
    <w:rsid w:val="00BB416A"/>
    <w:rsid w:val="00BB4DD5"/>
    <w:rsid w:val="00BB4EFA"/>
    <w:rsid w:val="00BB511B"/>
    <w:rsid w:val="00BB514E"/>
    <w:rsid w:val="00BB563B"/>
    <w:rsid w:val="00BB58B0"/>
    <w:rsid w:val="00BB5B40"/>
    <w:rsid w:val="00BB5B6D"/>
    <w:rsid w:val="00BB5DB2"/>
    <w:rsid w:val="00BB5ECA"/>
    <w:rsid w:val="00BB6640"/>
    <w:rsid w:val="00BB69EC"/>
    <w:rsid w:val="00BB6E50"/>
    <w:rsid w:val="00BB6F4D"/>
    <w:rsid w:val="00BB6FB1"/>
    <w:rsid w:val="00BB6FDC"/>
    <w:rsid w:val="00BB75C0"/>
    <w:rsid w:val="00BB7963"/>
    <w:rsid w:val="00BC03D5"/>
    <w:rsid w:val="00BC064A"/>
    <w:rsid w:val="00BC0BFF"/>
    <w:rsid w:val="00BC0E86"/>
    <w:rsid w:val="00BC0FE8"/>
    <w:rsid w:val="00BC1241"/>
    <w:rsid w:val="00BC1374"/>
    <w:rsid w:val="00BC14DA"/>
    <w:rsid w:val="00BC1747"/>
    <w:rsid w:val="00BC1BDC"/>
    <w:rsid w:val="00BC1CC5"/>
    <w:rsid w:val="00BC259B"/>
    <w:rsid w:val="00BC284D"/>
    <w:rsid w:val="00BC2920"/>
    <w:rsid w:val="00BC2B2B"/>
    <w:rsid w:val="00BC339C"/>
    <w:rsid w:val="00BC37ED"/>
    <w:rsid w:val="00BC3850"/>
    <w:rsid w:val="00BC474A"/>
    <w:rsid w:val="00BC4F41"/>
    <w:rsid w:val="00BC4FBE"/>
    <w:rsid w:val="00BC4FD0"/>
    <w:rsid w:val="00BC53FC"/>
    <w:rsid w:val="00BC5A69"/>
    <w:rsid w:val="00BC5AE0"/>
    <w:rsid w:val="00BC6398"/>
    <w:rsid w:val="00BC6416"/>
    <w:rsid w:val="00BC643B"/>
    <w:rsid w:val="00BC6531"/>
    <w:rsid w:val="00BC669B"/>
    <w:rsid w:val="00BC6914"/>
    <w:rsid w:val="00BC6A5E"/>
    <w:rsid w:val="00BC715C"/>
    <w:rsid w:val="00BC7415"/>
    <w:rsid w:val="00BC7589"/>
    <w:rsid w:val="00BC7649"/>
    <w:rsid w:val="00BC7F18"/>
    <w:rsid w:val="00BC7F4F"/>
    <w:rsid w:val="00BD09DF"/>
    <w:rsid w:val="00BD1161"/>
    <w:rsid w:val="00BD172F"/>
    <w:rsid w:val="00BD1DED"/>
    <w:rsid w:val="00BD3C3A"/>
    <w:rsid w:val="00BD3E46"/>
    <w:rsid w:val="00BD40A2"/>
    <w:rsid w:val="00BD4434"/>
    <w:rsid w:val="00BD4FEC"/>
    <w:rsid w:val="00BD50B2"/>
    <w:rsid w:val="00BD5456"/>
    <w:rsid w:val="00BD5B35"/>
    <w:rsid w:val="00BD6113"/>
    <w:rsid w:val="00BD6486"/>
    <w:rsid w:val="00BD66AB"/>
    <w:rsid w:val="00BD6A09"/>
    <w:rsid w:val="00BD7649"/>
    <w:rsid w:val="00BD7AB1"/>
    <w:rsid w:val="00BD7AF2"/>
    <w:rsid w:val="00BD7EE7"/>
    <w:rsid w:val="00BE01FD"/>
    <w:rsid w:val="00BE0B9A"/>
    <w:rsid w:val="00BE0D9E"/>
    <w:rsid w:val="00BE118A"/>
    <w:rsid w:val="00BE11B9"/>
    <w:rsid w:val="00BE1250"/>
    <w:rsid w:val="00BE1316"/>
    <w:rsid w:val="00BE1470"/>
    <w:rsid w:val="00BE151A"/>
    <w:rsid w:val="00BE1658"/>
    <w:rsid w:val="00BE175D"/>
    <w:rsid w:val="00BE1A47"/>
    <w:rsid w:val="00BE2279"/>
    <w:rsid w:val="00BE2E6D"/>
    <w:rsid w:val="00BE3771"/>
    <w:rsid w:val="00BE39F4"/>
    <w:rsid w:val="00BE3BF5"/>
    <w:rsid w:val="00BE3E75"/>
    <w:rsid w:val="00BE4E1C"/>
    <w:rsid w:val="00BE50E3"/>
    <w:rsid w:val="00BE54EC"/>
    <w:rsid w:val="00BE5542"/>
    <w:rsid w:val="00BE59F3"/>
    <w:rsid w:val="00BE5B2A"/>
    <w:rsid w:val="00BE5FCF"/>
    <w:rsid w:val="00BE62DE"/>
    <w:rsid w:val="00BE62FF"/>
    <w:rsid w:val="00BE639B"/>
    <w:rsid w:val="00BE63C7"/>
    <w:rsid w:val="00BE6DAC"/>
    <w:rsid w:val="00BE6F03"/>
    <w:rsid w:val="00BE742A"/>
    <w:rsid w:val="00BE77BF"/>
    <w:rsid w:val="00BE7DEB"/>
    <w:rsid w:val="00BF0768"/>
    <w:rsid w:val="00BF0833"/>
    <w:rsid w:val="00BF0E4D"/>
    <w:rsid w:val="00BF0F88"/>
    <w:rsid w:val="00BF141F"/>
    <w:rsid w:val="00BF1470"/>
    <w:rsid w:val="00BF16BD"/>
    <w:rsid w:val="00BF225A"/>
    <w:rsid w:val="00BF23B2"/>
    <w:rsid w:val="00BF286A"/>
    <w:rsid w:val="00BF2F8B"/>
    <w:rsid w:val="00BF3D48"/>
    <w:rsid w:val="00BF3DB3"/>
    <w:rsid w:val="00BF42D1"/>
    <w:rsid w:val="00BF4C0C"/>
    <w:rsid w:val="00BF58D5"/>
    <w:rsid w:val="00BF614F"/>
    <w:rsid w:val="00BF641C"/>
    <w:rsid w:val="00BF6698"/>
    <w:rsid w:val="00BF682D"/>
    <w:rsid w:val="00BF6AC9"/>
    <w:rsid w:val="00BF7113"/>
    <w:rsid w:val="00BF7181"/>
    <w:rsid w:val="00BF746B"/>
    <w:rsid w:val="00BF7950"/>
    <w:rsid w:val="00C00197"/>
    <w:rsid w:val="00C00453"/>
    <w:rsid w:val="00C004DC"/>
    <w:rsid w:val="00C0073B"/>
    <w:rsid w:val="00C007BE"/>
    <w:rsid w:val="00C01127"/>
    <w:rsid w:val="00C01B17"/>
    <w:rsid w:val="00C025FD"/>
    <w:rsid w:val="00C026B8"/>
    <w:rsid w:val="00C02D8B"/>
    <w:rsid w:val="00C02DC8"/>
    <w:rsid w:val="00C03516"/>
    <w:rsid w:val="00C03634"/>
    <w:rsid w:val="00C03711"/>
    <w:rsid w:val="00C03DBB"/>
    <w:rsid w:val="00C04005"/>
    <w:rsid w:val="00C04E5F"/>
    <w:rsid w:val="00C0506F"/>
    <w:rsid w:val="00C05215"/>
    <w:rsid w:val="00C052A6"/>
    <w:rsid w:val="00C05302"/>
    <w:rsid w:val="00C0550A"/>
    <w:rsid w:val="00C061E3"/>
    <w:rsid w:val="00C06393"/>
    <w:rsid w:val="00C06938"/>
    <w:rsid w:val="00C069D4"/>
    <w:rsid w:val="00C06CE5"/>
    <w:rsid w:val="00C072AB"/>
    <w:rsid w:val="00C076CA"/>
    <w:rsid w:val="00C07B75"/>
    <w:rsid w:val="00C100FB"/>
    <w:rsid w:val="00C102D0"/>
    <w:rsid w:val="00C10964"/>
    <w:rsid w:val="00C10F00"/>
    <w:rsid w:val="00C1131A"/>
    <w:rsid w:val="00C1156A"/>
    <w:rsid w:val="00C11700"/>
    <w:rsid w:val="00C11F5A"/>
    <w:rsid w:val="00C1204F"/>
    <w:rsid w:val="00C1275D"/>
    <w:rsid w:val="00C127DA"/>
    <w:rsid w:val="00C12862"/>
    <w:rsid w:val="00C12CE5"/>
    <w:rsid w:val="00C13348"/>
    <w:rsid w:val="00C137A9"/>
    <w:rsid w:val="00C1408F"/>
    <w:rsid w:val="00C1441A"/>
    <w:rsid w:val="00C145BA"/>
    <w:rsid w:val="00C14791"/>
    <w:rsid w:val="00C14A39"/>
    <w:rsid w:val="00C14A59"/>
    <w:rsid w:val="00C15605"/>
    <w:rsid w:val="00C15B23"/>
    <w:rsid w:val="00C15B8A"/>
    <w:rsid w:val="00C15BCB"/>
    <w:rsid w:val="00C1610A"/>
    <w:rsid w:val="00C16898"/>
    <w:rsid w:val="00C16A8E"/>
    <w:rsid w:val="00C16AA0"/>
    <w:rsid w:val="00C16B7E"/>
    <w:rsid w:val="00C172DC"/>
    <w:rsid w:val="00C1740E"/>
    <w:rsid w:val="00C17438"/>
    <w:rsid w:val="00C174B4"/>
    <w:rsid w:val="00C17978"/>
    <w:rsid w:val="00C17A88"/>
    <w:rsid w:val="00C17D49"/>
    <w:rsid w:val="00C20833"/>
    <w:rsid w:val="00C20B9A"/>
    <w:rsid w:val="00C21485"/>
    <w:rsid w:val="00C221EE"/>
    <w:rsid w:val="00C22295"/>
    <w:rsid w:val="00C222A1"/>
    <w:rsid w:val="00C225D2"/>
    <w:rsid w:val="00C22709"/>
    <w:rsid w:val="00C2275A"/>
    <w:rsid w:val="00C2294D"/>
    <w:rsid w:val="00C2338D"/>
    <w:rsid w:val="00C233FF"/>
    <w:rsid w:val="00C235EA"/>
    <w:rsid w:val="00C237E5"/>
    <w:rsid w:val="00C23BD8"/>
    <w:rsid w:val="00C23C1D"/>
    <w:rsid w:val="00C24006"/>
    <w:rsid w:val="00C24060"/>
    <w:rsid w:val="00C24897"/>
    <w:rsid w:val="00C24B91"/>
    <w:rsid w:val="00C24D70"/>
    <w:rsid w:val="00C24E50"/>
    <w:rsid w:val="00C25432"/>
    <w:rsid w:val="00C2555E"/>
    <w:rsid w:val="00C25A2E"/>
    <w:rsid w:val="00C25F0E"/>
    <w:rsid w:val="00C260E5"/>
    <w:rsid w:val="00C26652"/>
    <w:rsid w:val="00C26799"/>
    <w:rsid w:val="00C2679D"/>
    <w:rsid w:val="00C2680D"/>
    <w:rsid w:val="00C26FBB"/>
    <w:rsid w:val="00C2702E"/>
    <w:rsid w:val="00C27D75"/>
    <w:rsid w:val="00C30033"/>
    <w:rsid w:val="00C301DB"/>
    <w:rsid w:val="00C30340"/>
    <w:rsid w:val="00C30B80"/>
    <w:rsid w:val="00C30E4D"/>
    <w:rsid w:val="00C3104E"/>
    <w:rsid w:val="00C311BB"/>
    <w:rsid w:val="00C311C1"/>
    <w:rsid w:val="00C313DD"/>
    <w:rsid w:val="00C31AF4"/>
    <w:rsid w:val="00C320AE"/>
    <w:rsid w:val="00C32699"/>
    <w:rsid w:val="00C326B5"/>
    <w:rsid w:val="00C32AAE"/>
    <w:rsid w:val="00C32C44"/>
    <w:rsid w:val="00C32C5F"/>
    <w:rsid w:val="00C32E17"/>
    <w:rsid w:val="00C33A00"/>
    <w:rsid w:val="00C33B17"/>
    <w:rsid w:val="00C33CED"/>
    <w:rsid w:val="00C33F6A"/>
    <w:rsid w:val="00C344C9"/>
    <w:rsid w:val="00C34A22"/>
    <w:rsid w:val="00C34A61"/>
    <w:rsid w:val="00C34ECE"/>
    <w:rsid w:val="00C35019"/>
    <w:rsid w:val="00C350CE"/>
    <w:rsid w:val="00C35240"/>
    <w:rsid w:val="00C356D9"/>
    <w:rsid w:val="00C359B0"/>
    <w:rsid w:val="00C35A62"/>
    <w:rsid w:val="00C35BB3"/>
    <w:rsid w:val="00C35C3A"/>
    <w:rsid w:val="00C35D19"/>
    <w:rsid w:val="00C36427"/>
    <w:rsid w:val="00C365BC"/>
    <w:rsid w:val="00C36771"/>
    <w:rsid w:val="00C367D1"/>
    <w:rsid w:val="00C36D29"/>
    <w:rsid w:val="00C37227"/>
    <w:rsid w:val="00C37468"/>
    <w:rsid w:val="00C374DB"/>
    <w:rsid w:val="00C37DE8"/>
    <w:rsid w:val="00C40520"/>
    <w:rsid w:val="00C40965"/>
    <w:rsid w:val="00C40A4A"/>
    <w:rsid w:val="00C40BE7"/>
    <w:rsid w:val="00C411DE"/>
    <w:rsid w:val="00C416B5"/>
    <w:rsid w:val="00C41C0E"/>
    <w:rsid w:val="00C41F8E"/>
    <w:rsid w:val="00C424F6"/>
    <w:rsid w:val="00C42E4F"/>
    <w:rsid w:val="00C435BC"/>
    <w:rsid w:val="00C437DD"/>
    <w:rsid w:val="00C43BE4"/>
    <w:rsid w:val="00C43CD8"/>
    <w:rsid w:val="00C440BC"/>
    <w:rsid w:val="00C44417"/>
    <w:rsid w:val="00C445F1"/>
    <w:rsid w:val="00C4494C"/>
    <w:rsid w:val="00C44EF5"/>
    <w:rsid w:val="00C452C8"/>
    <w:rsid w:val="00C45578"/>
    <w:rsid w:val="00C457C8"/>
    <w:rsid w:val="00C459AD"/>
    <w:rsid w:val="00C45CD6"/>
    <w:rsid w:val="00C45F06"/>
    <w:rsid w:val="00C4654E"/>
    <w:rsid w:val="00C46BD8"/>
    <w:rsid w:val="00C470B0"/>
    <w:rsid w:val="00C47D6C"/>
    <w:rsid w:val="00C5033A"/>
    <w:rsid w:val="00C50873"/>
    <w:rsid w:val="00C50AC0"/>
    <w:rsid w:val="00C50B0E"/>
    <w:rsid w:val="00C51124"/>
    <w:rsid w:val="00C511F6"/>
    <w:rsid w:val="00C51654"/>
    <w:rsid w:val="00C51D76"/>
    <w:rsid w:val="00C51E67"/>
    <w:rsid w:val="00C522A2"/>
    <w:rsid w:val="00C52368"/>
    <w:rsid w:val="00C523A8"/>
    <w:rsid w:val="00C52630"/>
    <w:rsid w:val="00C52786"/>
    <w:rsid w:val="00C52EE9"/>
    <w:rsid w:val="00C53316"/>
    <w:rsid w:val="00C53459"/>
    <w:rsid w:val="00C53A92"/>
    <w:rsid w:val="00C53CFA"/>
    <w:rsid w:val="00C53E01"/>
    <w:rsid w:val="00C53F26"/>
    <w:rsid w:val="00C53FEE"/>
    <w:rsid w:val="00C54023"/>
    <w:rsid w:val="00C542CD"/>
    <w:rsid w:val="00C548D0"/>
    <w:rsid w:val="00C54903"/>
    <w:rsid w:val="00C5506D"/>
    <w:rsid w:val="00C550B1"/>
    <w:rsid w:val="00C55598"/>
    <w:rsid w:val="00C55A83"/>
    <w:rsid w:val="00C55B70"/>
    <w:rsid w:val="00C55BBF"/>
    <w:rsid w:val="00C55C6A"/>
    <w:rsid w:val="00C55DC2"/>
    <w:rsid w:val="00C55E4E"/>
    <w:rsid w:val="00C56194"/>
    <w:rsid w:val="00C566AE"/>
    <w:rsid w:val="00C56980"/>
    <w:rsid w:val="00C569E2"/>
    <w:rsid w:val="00C56D96"/>
    <w:rsid w:val="00C56DF9"/>
    <w:rsid w:val="00C56EAB"/>
    <w:rsid w:val="00C5749D"/>
    <w:rsid w:val="00C578B8"/>
    <w:rsid w:val="00C579FB"/>
    <w:rsid w:val="00C57E2D"/>
    <w:rsid w:val="00C60024"/>
    <w:rsid w:val="00C60693"/>
    <w:rsid w:val="00C60857"/>
    <w:rsid w:val="00C608FC"/>
    <w:rsid w:val="00C60D93"/>
    <w:rsid w:val="00C60E7F"/>
    <w:rsid w:val="00C61149"/>
    <w:rsid w:val="00C611FB"/>
    <w:rsid w:val="00C613AF"/>
    <w:rsid w:val="00C61B62"/>
    <w:rsid w:val="00C62551"/>
    <w:rsid w:val="00C6270B"/>
    <w:rsid w:val="00C62749"/>
    <w:rsid w:val="00C62E46"/>
    <w:rsid w:val="00C62E75"/>
    <w:rsid w:val="00C63271"/>
    <w:rsid w:val="00C63379"/>
    <w:rsid w:val="00C63C19"/>
    <w:rsid w:val="00C63F71"/>
    <w:rsid w:val="00C63F86"/>
    <w:rsid w:val="00C64174"/>
    <w:rsid w:val="00C643C5"/>
    <w:rsid w:val="00C645BE"/>
    <w:rsid w:val="00C64E35"/>
    <w:rsid w:val="00C653A9"/>
    <w:rsid w:val="00C6553E"/>
    <w:rsid w:val="00C65670"/>
    <w:rsid w:val="00C65853"/>
    <w:rsid w:val="00C659D6"/>
    <w:rsid w:val="00C65F80"/>
    <w:rsid w:val="00C6604C"/>
    <w:rsid w:val="00C6621C"/>
    <w:rsid w:val="00C6642D"/>
    <w:rsid w:val="00C6692D"/>
    <w:rsid w:val="00C66BA7"/>
    <w:rsid w:val="00C6735D"/>
    <w:rsid w:val="00C6745F"/>
    <w:rsid w:val="00C6774F"/>
    <w:rsid w:val="00C67A9E"/>
    <w:rsid w:val="00C67B07"/>
    <w:rsid w:val="00C67BDF"/>
    <w:rsid w:val="00C67F73"/>
    <w:rsid w:val="00C67F99"/>
    <w:rsid w:val="00C7013A"/>
    <w:rsid w:val="00C70386"/>
    <w:rsid w:val="00C703D7"/>
    <w:rsid w:val="00C70845"/>
    <w:rsid w:val="00C70869"/>
    <w:rsid w:val="00C70A40"/>
    <w:rsid w:val="00C70E55"/>
    <w:rsid w:val="00C71194"/>
    <w:rsid w:val="00C71587"/>
    <w:rsid w:val="00C7184C"/>
    <w:rsid w:val="00C71890"/>
    <w:rsid w:val="00C7191E"/>
    <w:rsid w:val="00C71B13"/>
    <w:rsid w:val="00C71C28"/>
    <w:rsid w:val="00C71C59"/>
    <w:rsid w:val="00C71DCD"/>
    <w:rsid w:val="00C71DE4"/>
    <w:rsid w:val="00C72125"/>
    <w:rsid w:val="00C723A9"/>
    <w:rsid w:val="00C72869"/>
    <w:rsid w:val="00C72CB0"/>
    <w:rsid w:val="00C73339"/>
    <w:rsid w:val="00C733C8"/>
    <w:rsid w:val="00C73851"/>
    <w:rsid w:val="00C7395A"/>
    <w:rsid w:val="00C73A97"/>
    <w:rsid w:val="00C73BCE"/>
    <w:rsid w:val="00C73D41"/>
    <w:rsid w:val="00C73E58"/>
    <w:rsid w:val="00C73F28"/>
    <w:rsid w:val="00C73F99"/>
    <w:rsid w:val="00C73FBE"/>
    <w:rsid w:val="00C74038"/>
    <w:rsid w:val="00C7448B"/>
    <w:rsid w:val="00C74568"/>
    <w:rsid w:val="00C74AD5"/>
    <w:rsid w:val="00C74D27"/>
    <w:rsid w:val="00C7522E"/>
    <w:rsid w:val="00C75466"/>
    <w:rsid w:val="00C755B5"/>
    <w:rsid w:val="00C75CED"/>
    <w:rsid w:val="00C75DC4"/>
    <w:rsid w:val="00C76542"/>
    <w:rsid w:val="00C7683D"/>
    <w:rsid w:val="00C76A58"/>
    <w:rsid w:val="00C76FF7"/>
    <w:rsid w:val="00C775AB"/>
    <w:rsid w:val="00C77784"/>
    <w:rsid w:val="00C778F8"/>
    <w:rsid w:val="00C800C4"/>
    <w:rsid w:val="00C804B1"/>
    <w:rsid w:val="00C804E1"/>
    <w:rsid w:val="00C80C59"/>
    <w:rsid w:val="00C80CC5"/>
    <w:rsid w:val="00C812B0"/>
    <w:rsid w:val="00C814AA"/>
    <w:rsid w:val="00C82065"/>
    <w:rsid w:val="00C82112"/>
    <w:rsid w:val="00C826D6"/>
    <w:rsid w:val="00C827A6"/>
    <w:rsid w:val="00C8293B"/>
    <w:rsid w:val="00C838BE"/>
    <w:rsid w:val="00C838E0"/>
    <w:rsid w:val="00C83A7C"/>
    <w:rsid w:val="00C83DE7"/>
    <w:rsid w:val="00C845A3"/>
    <w:rsid w:val="00C84D73"/>
    <w:rsid w:val="00C8560D"/>
    <w:rsid w:val="00C85DBD"/>
    <w:rsid w:val="00C860D0"/>
    <w:rsid w:val="00C8673E"/>
    <w:rsid w:val="00C86C33"/>
    <w:rsid w:val="00C86C46"/>
    <w:rsid w:val="00C86E98"/>
    <w:rsid w:val="00C87327"/>
    <w:rsid w:val="00C876AC"/>
    <w:rsid w:val="00C87E83"/>
    <w:rsid w:val="00C87F79"/>
    <w:rsid w:val="00C87FD1"/>
    <w:rsid w:val="00C900F0"/>
    <w:rsid w:val="00C907FA"/>
    <w:rsid w:val="00C90D8A"/>
    <w:rsid w:val="00C9158A"/>
    <w:rsid w:val="00C915B1"/>
    <w:rsid w:val="00C918D2"/>
    <w:rsid w:val="00C9194B"/>
    <w:rsid w:val="00C91AB0"/>
    <w:rsid w:val="00C91B3C"/>
    <w:rsid w:val="00C92003"/>
    <w:rsid w:val="00C9206C"/>
    <w:rsid w:val="00C92234"/>
    <w:rsid w:val="00C925B7"/>
    <w:rsid w:val="00C9322E"/>
    <w:rsid w:val="00C9389F"/>
    <w:rsid w:val="00C93930"/>
    <w:rsid w:val="00C939CA"/>
    <w:rsid w:val="00C93A12"/>
    <w:rsid w:val="00C93F95"/>
    <w:rsid w:val="00C940B5"/>
    <w:rsid w:val="00C94517"/>
    <w:rsid w:val="00C95546"/>
    <w:rsid w:val="00C958D4"/>
    <w:rsid w:val="00C95CBF"/>
    <w:rsid w:val="00C963D7"/>
    <w:rsid w:val="00C9665C"/>
    <w:rsid w:val="00C96848"/>
    <w:rsid w:val="00C96B5F"/>
    <w:rsid w:val="00C96D9A"/>
    <w:rsid w:val="00C970C4"/>
    <w:rsid w:val="00C9710A"/>
    <w:rsid w:val="00C976B4"/>
    <w:rsid w:val="00C976DA"/>
    <w:rsid w:val="00C97DFD"/>
    <w:rsid w:val="00CA027C"/>
    <w:rsid w:val="00CA0F2D"/>
    <w:rsid w:val="00CA138A"/>
    <w:rsid w:val="00CA1493"/>
    <w:rsid w:val="00CA17FD"/>
    <w:rsid w:val="00CA19EB"/>
    <w:rsid w:val="00CA1CA4"/>
    <w:rsid w:val="00CA2764"/>
    <w:rsid w:val="00CA28E3"/>
    <w:rsid w:val="00CA2A25"/>
    <w:rsid w:val="00CA2ADF"/>
    <w:rsid w:val="00CA2C99"/>
    <w:rsid w:val="00CA2D15"/>
    <w:rsid w:val="00CA2EBB"/>
    <w:rsid w:val="00CA3500"/>
    <w:rsid w:val="00CA36DA"/>
    <w:rsid w:val="00CA377C"/>
    <w:rsid w:val="00CA3B11"/>
    <w:rsid w:val="00CA4689"/>
    <w:rsid w:val="00CA47CB"/>
    <w:rsid w:val="00CA49E7"/>
    <w:rsid w:val="00CA4C2B"/>
    <w:rsid w:val="00CA4DE5"/>
    <w:rsid w:val="00CA4EDC"/>
    <w:rsid w:val="00CA52CF"/>
    <w:rsid w:val="00CA53B0"/>
    <w:rsid w:val="00CA571B"/>
    <w:rsid w:val="00CA5B2A"/>
    <w:rsid w:val="00CA5FDB"/>
    <w:rsid w:val="00CA6263"/>
    <w:rsid w:val="00CA6426"/>
    <w:rsid w:val="00CA644C"/>
    <w:rsid w:val="00CA6563"/>
    <w:rsid w:val="00CA66A6"/>
    <w:rsid w:val="00CA6969"/>
    <w:rsid w:val="00CA6BB7"/>
    <w:rsid w:val="00CA6D51"/>
    <w:rsid w:val="00CA7407"/>
    <w:rsid w:val="00CA74B7"/>
    <w:rsid w:val="00CA7599"/>
    <w:rsid w:val="00CA780C"/>
    <w:rsid w:val="00CB0016"/>
    <w:rsid w:val="00CB0381"/>
    <w:rsid w:val="00CB06AB"/>
    <w:rsid w:val="00CB078E"/>
    <w:rsid w:val="00CB0E1F"/>
    <w:rsid w:val="00CB131E"/>
    <w:rsid w:val="00CB13B2"/>
    <w:rsid w:val="00CB14DA"/>
    <w:rsid w:val="00CB1887"/>
    <w:rsid w:val="00CB257F"/>
    <w:rsid w:val="00CB276F"/>
    <w:rsid w:val="00CB29AD"/>
    <w:rsid w:val="00CB2A9E"/>
    <w:rsid w:val="00CB2C30"/>
    <w:rsid w:val="00CB2CB3"/>
    <w:rsid w:val="00CB2DA6"/>
    <w:rsid w:val="00CB2DC1"/>
    <w:rsid w:val="00CB3B18"/>
    <w:rsid w:val="00CB4334"/>
    <w:rsid w:val="00CB462C"/>
    <w:rsid w:val="00CB48F6"/>
    <w:rsid w:val="00CB5269"/>
    <w:rsid w:val="00CB52F5"/>
    <w:rsid w:val="00CB57EF"/>
    <w:rsid w:val="00CB5B1A"/>
    <w:rsid w:val="00CB61A9"/>
    <w:rsid w:val="00CB6268"/>
    <w:rsid w:val="00CB6937"/>
    <w:rsid w:val="00CB7497"/>
    <w:rsid w:val="00CB7689"/>
    <w:rsid w:val="00CB774F"/>
    <w:rsid w:val="00CB7A1A"/>
    <w:rsid w:val="00CC02B3"/>
    <w:rsid w:val="00CC0369"/>
    <w:rsid w:val="00CC046A"/>
    <w:rsid w:val="00CC0579"/>
    <w:rsid w:val="00CC0AA7"/>
    <w:rsid w:val="00CC0E26"/>
    <w:rsid w:val="00CC0E88"/>
    <w:rsid w:val="00CC12BC"/>
    <w:rsid w:val="00CC1944"/>
    <w:rsid w:val="00CC1A10"/>
    <w:rsid w:val="00CC1C86"/>
    <w:rsid w:val="00CC218A"/>
    <w:rsid w:val="00CC2453"/>
    <w:rsid w:val="00CC260D"/>
    <w:rsid w:val="00CC2696"/>
    <w:rsid w:val="00CC2A09"/>
    <w:rsid w:val="00CC2DCD"/>
    <w:rsid w:val="00CC31B4"/>
    <w:rsid w:val="00CC33E0"/>
    <w:rsid w:val="00CC3504"/>
    <w:rsid w:val="00CC3892"/>
    <w:rsid w:val="00CC3ADA"/>
    <w:rsid w:val="00CC46DD"/>
    <w:rsid w:val="00CC4DE0"/>
    <w:rsid w:val="00CC4E66"/>
    <w:rsid w:val="00CC5A4D"/>
    <w:rsid w:val="00CC5A94"/>
    <w:rsid w:val="00CC6A1B"/>
    <w:rsid w:val="00CC6BC9"/>
    <w:rsid w:val="00CC6EC0"/>
    <w:rsid w:val="00CC6F4E"/>
    <w:rsid w:val="00CC70B8"/>
    <w:rsid w:val="00CD02E3"/>
    <w:rsid w:val="00CD0357"/>
    <w:rsid w:val="00CD049D"/>
    <w:rsid w:val="00CD1177"/>
    <w:rsid w:val="00CD1B21"/>
    <w:rsid w:val="00CD2826"/>
    <w:rsid w:val="00CD28DF"/>
    <w:rsid w:val="00CD2948"/>
    <w:rsid w:val="00CD2964"/>
    <w:rsid w:val="00CD2B42"/>
    <w:rsid w:val="00CD2BB5"/>
    <w:rsid w:val="00CD2CA4"/>
    <w:rsid w:val="00CD30C2"/>
    <w:rsid w:val="00CD32E5"/>
    <w:rsid w:val="00CD333F"/>
    <w:rsid w:val="00CD37E6"/>
    <w:rsid w:val="00CD40A2"/>
    <w:rsid w:val="00CD4115"/>
    <w:rsid w:val="00CD412F"/>
    <w:rsid w:val="00CD4146"/>
    <w:rsid w:val="00CD4496"/>
    <w:rsid w:val="00CD4734"/>
    <w:rsid w:val="00CD47EC"/>
    <w:rsid w:val="00CD48D6"/>
    <w:rsid w:val="00CD4E87"/>
    <w:rsid w:val="00CD4EBF"/>
    <w:rsid w:val="00CD4F42"/>
    <w:rsid w:val="00CD569E"/>
    <w:rsid w:val="00CD5766"/>
    <w:rsid w:val="00CD5768"/>
    <w:rsid w:val="00CD58C0"/>
    <w:rsid w:val="00CD5F84"/>
    <w:rsid w:val="00CD65BA"/>
    <w:rsid w:val="00CD67CF"/>
    <w:rsid w:val="00CD68CB"/>
    <w:rsid w:val="00CD6924"/>
    <w:rsid w:val="00CD6D34"/>
    <w:rsid w:val="00CD6D70"/>
    <w:rsid w:val="00CD6F63"/>
    <w:rsid w:val="00CD7164"/>
    <w:rsid w:val="00CD75F2"/>
    <w:rsid w:val="00CD75FB"/>
    <w:rsid w:val="00CD7655"/>
    <w:rsid w:val="00CD7987"/>
    <w:rsid w:val="00CE00BD"/>
    <w:rsid w:val="00CE00DF"/>
    <w:rsid w:val="00CE0108"/>
    <w:rsid w:val="00CE01DB"/>
    <w:rsid w:val="00CE0209"/>
    <w:rsid w:val="00CE0359"/>
    <w:rsid w:val="00CE07D1"/>
    <w:rsid w:val="00CE0E68"/>
    <w:rsid w:val="00CE1022"/>
    <w:rsid w:val="00CE11BC"/>
    <w:rsid w:val="00CE1453"/>
    <w:rsid w:val="00CE1825"/>
    <w:rsid w:val="00CE1C25"/>
    <w:rsid w:val="00CE1DB1"/>
    <w:rsid w:val="00CE2039"/>
    <w:rsid w:val="00CE22F2"/>
    <w:rsid w:val="00CE284B"/>
    <w:rsid w:val="00CE2935"/>
    <w:rsid w:val="00CE2AC2"/>
    <w:rsid w:val="00CE2CCB"/>
    <w:rsid w:val="00CE2D8A"/>
    <w:rsid w:val="00CE3977"/>
    <w:rsid w:val="00CE39E6"/>
    <w:rsid w:val="00CE3F22"/>
    <w:rsid w:val="00CE3F7D"/>
    <w:rsid w:val="00CE4039"/>
    <w:rsid w:val="00CE43F8"/>
    <w:rsid w:val="00CE4491"/>
    <w:rsid w:val="00CE450F"/>
    <w:rsid w:val="00CE4B31"/>
    <w:rsid w:val="00CE4D00"/>
    <w:rsid w:val="00CE4E0D"/>
    <w:rsid w:val="00CE4E66"/>
    <w:rsid w:val="00CE509E"/>
    <w:rsid w:val="00CE5418"/>
    <w:rsid w:val="00CE55A4"/>
    <w:rsid w:val="00CE5605"/>
    <w:rsid w:val="00CE5614"/>
    <w:rsid w:val="00CE59AE"/>
    <w:rsid w:val="00CE5DBC"/>
    <w:rsid w:val="00CE62A9"/>
    <w:rsid w:val="00CE6C89"/>
    <w:rsid w:val="00CE72C4"/>
    <w:rsid w:val="00CE77FC"/>
    <w:rsid w:val="00CE7A79"/>
    <w:rsid w:val="00CE7CC5"/>
    <w:rsid w:val="00CE7CDF"/>
    <w:rsid w:val="00CF0A98"/>
    <w:rsid w:val="00CF0E40"/>
    <w:rsid w:val="00CF1051"/>
    <w:rsid w:val="00CF1342"/>
    <w:rsid w:val="00CF1F09"/>
    <w:rsid w:val="00CF21BF"/>
    <w:rsid w:val="00CF28A7"/>
    <w:rsid w:val="00CF3722"/>
    <w:rsid w:val="00CF3AB2"/>
    <w:rsid w:val="00CF3B17"/>
    <w:rsid w:val="00CF3EDF"/>
    <w:rsid w:val="00CF3FA0"/>
    <w:rsid w:val="00CF400B"/>
    <w:rsid w:val="00CF40F6"/>
    <w:rsid w:val="00CF45C6"/>
    <w:rsid w:val="00CF4741"/>
    <w:rsid w:val="00CF4744"/>
    <w:rsid w:val="00CF4BED"/>
    <w:rsid w:val="00CF522D"/>
    <w:rsid w:val="00CF5936"/>
    <w:rsid w:val="00CF657A"/>
    <w:rsid w:val="00CF65A1"/>
    <w:rsid w:val="00CF7241"/>
    <w:rsid w:val="00CF7536"/>
    <w:rsid w:val="00CF7668"/>
    <w:rsid w:val="00CF7856"/>
    <w:rsid w:val="00CF7A92"/>
    <w:rsid w:val="00CF7CBD"/>
    <w:rsid w:val="00CF7D4C"/>
    <w:rsid w:val="00CF7DF4"/>
    <w:rsid w:val="00D000CB"/>
    <w:rsid w:val="00D00CDE"/>
    <w:rsid w:val="00D01242"/>
    <w:rsid w:val="00D012CA"/>
    <w:rsid w:val="00D012DA"/>
    <w:rsid w:val="00D0136D"/>
    <w:rsid w:val="00D014E4"/>
    <w:rsid w:val="00D0158C"/>
    <w:rsid w:val="00D01657"/>
    <w:rsid w:val="00D01806"/>
    <w:rsid w:val="00D01E9C"/>
    <w:rsid w:val="00D02BAC"/>
    <w:rsid w:val="00D03695"/>
    <w:rsid w:val="00D0377A"/>
    <w:rsid w:val="00D037C4"/>
    <w:rsid w:val="00D038CB"/>
    <w:rsid w:val="00D03B90"/>
    <w:rsid w:val="00D03E5F"/>
    <w:rsid w:val="00D04230"/>
    <w:rsid w:val="00D045EB"/>
    <w:rsid w:val="00D049FB"/>
    <w:rsid w:val="00D04BB9"/>
    <w:rsid w:val="00D05157"/>
    <w:rsid w:val="00D0526C"/>
    <w:rsid w:val="00D05709"/>
    <w:rsid w:val="00D0578C"/>
    <w:rsid w:val="00D059C5"/>
    <w:rsid w:val="00D05DF0"/>
    <w:rsid w:val="00D063EB"/>
    <w:rsid w:val="00D066AC"/>
    <w:rsid w:val="00D0712D"/>
    <w:rsid w:val="00D0712E"/>
    <w:rsid w:val="00D077F7"/>
    <w:rsid w:val="00D07A3B"/>
    <w:rsid w:val="00D07CF7"/>
    <w:rsid w:val="00D07D5F"/>
    <w:rsid w:val="00D10523"/>
    <w:rsid w:val="00D1056D"/>
    <w:rsid w:val="00D10A83"/>
    <w:rsid w:val="00D10FAF"/>
    <w:rsid w:val="00D110F7"/>
    <w:rsid w:val="00D111E0"/>
    <w:rsid w:val="00D118B3"/>
    <w:rsid w:val="00D11ABF"/>
    <w:rsid w:val="00D11D80"/>
    <w:rsid w:val="00D12051"/>
    <w:rsid w:val="00D122C1"/>
    <w:rsid w:val="00D12940"/>
    <w:rsid w:val="00D129D1"/>
    <w:rsid w:val="00D12C74"/>
    <w:rsid w:val="00D130C8"/>
    <w:rsid w:val="00D134D3"/>
    <w:rsid w:val="00D1386B"/>
    <w:rsid w:val="00D13DB8"/>
    <w:rsid w:val="00D13DE1"/>
    <w:rsid w:val="00D1402D"/>
    <w:rsid w:val="00D14986"/>
    <w:rsid w:val="00D14AE5"/>
    <w:rsid w:val="00D15349"/>
    <w:rsid w:val="00D153EA"/>
    <w:rsid w:val="00D15445"/>
    <w:rsid w:val="00D15ABD"/>
    <w:rsid w:val="00D15B30"/>
    <w:rsid w:val="00D160BB"/>
    <w:rsid w:val="00D1643A"/>
    <w:rsid w:val="00D167CC"/>
    <w:rsid w:val="00D16849"/>
    <w:rsid w:val="00D168B6"/>
    <w:rsid w:val="00D16974"/>
    <w:rsid w:val="00D169E5"/>
    <w:rsid w:val="00D16B92"/>
    <w:rsid w:val="00D1766D"/>
    <w:rsid w:val="00D202EE"/>
    <w:rsid w:val="00D20DA3"/>
    <w:rsid w:val="00D20E85"/>
    <w:rsid w:val="00D21B8A"/>
    <w:rsid w:val="00D21E79"/>
    <w:rsid w:val="00D21FC9"/>
    <w:rsid w:val="00D220E9"/>
    <w:rsid w:val="00D22A22"/>
    <w:rsid w:val="00D22B8A"/>
    <w:rsid w:val="00D22E9B"/>
    <w:rsid w:val="00D23109"/>
    <w:rsid w:val="00D23469"/>
    <w:rsid w:val="00D237B1"/>
    <w:rsid w:val="00D2462D"/>
    <w:rsid w:val="00D24F69"/>
    <w:rsid w:val="00D24FA1"/>
    <w:rsid w:val="00D25121"/>
    <w:rsid w:val="00D2518A"/>
    <w:rsid w:val="00D2554B"/>
    <w:rsid w:val="00D2589C"/>
    <w:rsid w:val="00D2599A"/>
    <w:rsid w:val="00D25DC1"/>
    <w:rsid w:val="00D266B5"/>
    <w:rsid w:val="00D268E9"/>
    <w:rsid w:val="00D26A37"/>
    <w:rsid w:val="00D26C6F"/>
    <w:rsid w:val="00D26D4D"/>
    <w:rsid w:val="00D26F50"/>
    <w:rsid w:val="00D274D9"/>
    <w:rsid w:val="00D2793D"/>
    <w:rsid w:val="00D27978"/>
    <w:rsid w:val="00D27A03"/>
    <w:rsid w:val="00D3028F"/>
    <w:rsid w:val="00D303CA"/>
    <w:rsid w:val="00D304C5"/>
    <w:rsid w:val="00D30573"/>
    <w:rsid w:val="00D30C65"/>
    <w:rsid w:val="00D31042"/>
    <w:rsid w:val="00D31091"/>
    <w:rsid w:val="00D311A5"/>
    <w:rsid w:val="00D31683"/>
    <w:rsid w:val="00D318BC"/>
    <w:rsid w:val="00D31932"/>
    <w:rsid w:val="00D31B6B"/>
    <w:rsid w:val="00D327B2"/>
    <w:rsid w:val="00D328FA"/>
    <w:rsid w:val="00D32B04"/>
    <w:rsid w:val="00D33015"/>
    <w:rsid w:val="00D336CF"/>
    <w:rsid w:val="00D3388F"/>
    <w:rsid w:val="00D3528F"/>
    <w:rsid w:val="00D355A5"/>
    <w:rsid w:val="00D35891"/>
    <w:rsid w:val="00D35BA2"/>
    <w:rsid w:val="00D35BBD"/>
    <w:rsid w:val="00D36017"/>
    <w:rsid w:val="00D362D6"/>
    <w:rsid w:val="00D36858"/>
    <w:rsid w:val="00D3699A"/>
    <w:rsid w:val="00D36A47"/>
    <w:rsid w:val="00D36CE0"/>
    <w:rsid w:val="00D36EA6"/>
    <w:rsid w:val="00D37148"/>
    <w:rsid w:val="00D3721C"/>
    <w:rsid w:val="00D37333"/>
    <w:rsid w:val="00D37498"/>
    <w:rsid w:val="00D37E27"/>
    <w:rsid w:val="00D402B7"/>
    <w:rsid w:val="00D41B67"/>
    <w:rsid w:val="00D41D59"/>
    <w:rsid w:val="00D41F48"/>
    <w:rsid w:val="00D420A5"/>
    <w:rsid w:val="00D43403"/>
    <w:rsid w:val="00D435C2"/>
    <w:rsid w:val="00D4365D"/>
    <w:rsid w:val="00D43FD6"/>
    <w:rsid w:val="00D457FE"/>
    <w:rsid w:val="00D45D9D"/>
    <w:rsid w:val="00D46192"/>
    <w:rsid w:val="00D46832"/>
    <w:rsid w:val="00D471BD"/>
    <w:rsid w:val="00D474F9"/>
    <w:rsid w:val="00D475EF"/>
    <w:rsid w:val="00D4773F"/>
    <w:rsid w:val="00D47A26"/>
    <w:rsid w:val="00D47DC4"/>
    <w:rsid w:val="00D47E23"/>
    <w:rsid w:val="00D505B9"/>
    <w:rsid w:val="00D50859"/>
    <w:rsid w:val="00D514D7"/>
    <w:rsid w:val="00D51926"/>
    <w:rsid w:val="00D51990"/>
    <w:rsid w:val="00D51AFE"/>
    <w:rsid w:val="00D51BF3"/>
    <w:rsid w:val="00D51E7F"/>
    <w:rsid w:val="00D51EE4"/>
    <w:rsid w:val="00D5204C"/>
    <w:rsid w:val="00D53046"/>
    <w:rsid w:val="00D530FE"/>
    <w:rsid w:val="00D531D1"/>
    <w:rsid w:val="00D53376"/>
    <w:rsid w:val="00D5389D"/>
    <w:rsid w:val="00D53AF2"/>
    <w:rsid w:val="00D53C34"/>
    <w:rsid w:val="00D53E03"/>
    <w:rsid w:val="00D54480"/>
    <w:rsid w:val="00D54593"/>
    <w:rsid w:val="00D54777"/>
    <w:rsid w:val="00D548A6"/>
    <w:rsid w:val="00D552C7"/>
    <w:rsid w:val="00D5533B"/>
    <w:rsid w:val="00D554C9"/>
    <w:rsid w:val="00D5592B"/>
    <w:rsid w:val="00D55ABA"/>
    <w:rsid w:val="00D55D5D"/>
    <w:rsid w:val="00D560EC"/>
    <w:rsid w:val="00D56165"/>
    <w:rsid w:val="00D563E0"/>
    <w:rsid w:val="00D56858"/>
    <w:rsid w:val="00D56A62"/>
    <w:rsid w:val="00D56BBF"/>
    <w:rsid w:val="00D56D20"/>
    <w:rsid w:val="00D5751F"/>
    <w:rsid w:val="00D575A9"/>
    <w:rsid w:val="00D57793"/>
    <w:rsid w:val="00D5799B"/>
    <w:rsid w:val="00D6015A"/>
    <w:rsid w:val="00D6052F"/>
    <w:rsid w:val="00D6066C"/>
    <w:rsid w:val="00D62649"/>
    <w:rsid w:val="00D62AE2"/>
    <w:rsid w:val="00D62CF4"/>
    <w:rsid w:val="00D62D27"/>
    <w:rsid w:val="00D62EB3"/>
    <w:rsid w:val="00D63083"/>
    <w:rsid w:val="00D63537"/>
    <w:rsid w:val="00D63A3B"/>
    <w:rsid w:val="00D64073"/>
    <w:rsid w:val="00D641B6"/>
    <w:rsid w:val="00D6427F"/>
    <w:rsid w:val="00D645BE"/>
    <w:rsid w:val="00D6480F"/>
    <w:rsid w:val="00D6526B"/>
    <w:rsid w:val="00D65913"/>
    <w:rsid w:val="00D65B2E"/>
    <w:rsid w:val="00D65CC9"/>
    <w:rsid w:val="00D65D48"/>
    <w:rsid w:val="00D65EFF"/>
    <w:rsid w:val="00D65FD4"/>
    <w:rsid w:val="00D66AC5"/>
    <w:rsid w:val="00D66E00"/>
    <w:rsid w:val="00D66F57"/>
    <w:rsid w:val="00D66FEC"/>
    <w:rsid w:val="00D67825"/>
    <w:rsid w:val="00D67E1F"/>
    <w:rsid w:val="00D705EC"/>
    <w:rsid w:val="00D70AAF"/>
    <w:rsid w:val="00D70F17"/>
    <w:rsid w:val="00D70FF3"/>
    <w:rsid w:val="00D71172"/>
    <w:rsid w:val="00D71243"/>
    <w:rsid w:val="00D714F4"/>
    <w:rsid w:val="00D71560"/>
    <w:rsid w:val="00D718DD"/>
    <w:rsid w:val="00D71AA0"/>
    <w:rsid w:val="00D71D50"/>
    <w:rsid w:val="00D71E2C"/>
    <w:rsid w:val="00D71EE3"/>
    <w:rsid w:val="00D7333E"/>
    <w:rsid w:val="00D733A1"/>
    <w:rsid w:val="00D73FC2"/>
    <w:rsid w:val="00D74397"/>
    <w:rsid w:val="00D74415"/>
    <w:rsid w:val="00D74473"/>
    <w:rsid w:val="00D74580"/>
    <w:rsid w:val="00D74CEB"/>
    <w:rsid w:val="00D74E6B"/>
    <w:rsid w:val="00D759D5"/>
    <w:rsid w:val="00D75BF4"/>
    <w:rsid w:val="00D75CAA"/>
    <w:rsid w:val="00D762B5"/>
    <w:rsid w:val="00D762DD"/>
    <w:rsid w:val="00D765A7"/>
    <w:rsid w:val="00D770D0"/>
    <w:rsid w:val="00D7711C"/>
    <w:rsid w:val="00D77149"/>
    <w:rsid w:val="00D772C5"/>
    <w:rsid w:val="00D77B23"/>
    <w:rsid w:val="00D77EC3"/>
    <w:rsid w:val="00D800A9"/>
    <w:rsid w:val="00D8015F"/>
    <w:rsid w:val="00D8020E"/>
    <w:rsid w:val="00D807A3"/>
    <w:rsid w:val="00D809A9"/>
    <w:rsid w:val="00D80A9D"/>
    <w:rsid w:val="00D80AD1"/>
    <w:rsid w:val="00D80E1A"/>
    <w:rsid w:val="00D80E78"/>
    <w:rsid w:val="00D816F8"/>
    <w:rsid w:val="00D8174A"/>
    <w:rsid w:val="00D817E4"/>
    <w:rsid w:val="00D81A79"/>
    <w:rsid w:val="00D81B43"/>
    <w:rsid w:val="00D81DC6"/>
    <w:rsid w:val="00D82497"/>
    <w:rsid w:val="00D8261A"/>
    <w:rsid w:val="00D8265B"/>
    <w:rsid w:val="00D82D2D"/>
    <w:rsid w:val="00D82D93"/>
    <w:rsid w:val="00D83056"/>
    <w:rsid w:val="00D83327"/>
    <w:rsid w:val="00D8332E"/>
    <w:rsid w:val="00D83527"/>
    <w:rsid w:val="00D83CD5"/>
    <w:rsid w:val="00D83D36"/>
    <w:rsid w:val="00D84272"/>
    <w:rsid w:val="00D84486"/>
    <w:rsid w:val="00D84710"/>
    <w:rsid w:val="00D8473D"/>
    <w:rsid w:val="00D84D86"/>
    <w:rsid w:val="00D850DF"/>
    <w:rsid w:val="00D854F2"/>
    <w:rsid w:val="00D85577"/>
    <w:rsid w:val="00D859FA"/>
    <w:rsid w:val="00D85BC0"/>
    <w:rsid w:val="00D85F5D"/>
    <w:rsid w:val="00D861C5"/>
    <w:rsid w:val="00D8622A"/>
    <w:rsid w:val="00D86511"/>
    <w:rsid w:val="00D86859"/>
    <w:rsid w:val="00D86941"/>
    <w:rsid w:val="00D86B87"/>
    <w:rsid w:val="00D8706D"/>
    <w:rsid w:val="00D871F1"/>
    <w:rsid w:val="00D874EC"/>
    <w:rsid w:val="00D87516"/>
    <w:rsid w:val="00D87714"/>
    <w:rsid w:val="00D8780E"/>
    <w:rsid w:val="00D87A11"/>
    <w:rsid w:val="00D87AD6"/>
    <w:rsid w:val="00D87B34"/>
    <w:rsid w:val="00D87B61"/>
    <w:rsid w:val="00D87D8D"/>
    <w:rsid w:val="00D905AB"/>
    <w:rsid w:val="00D9092F"/>
    <w:rsid w:val="00D90BE7"/>
    <w:rsid w:val="00D911E0"/>
    <w:rsid w:val="00D914AD"/>
    <w:rsid w:val="00D91690"/>
    <w:rsid w:val="00D91D6D"/>
    <w:rsid w:val="00D91E93"/>
    <w:rsid w:val="00D92776"/>
    <w:rsid w:val="00D92859"/>
    <w:rsid w:val="00D9294C"/>
    <w:rsid w:val="00D9306B"/>
    <w:rsid w:val="00D93755"/>
    <w:rsid w:val="00D937FC"/>
    <w:rsid w:val="00D93A69"/>
    <w:rsid w:val="00D93E29"/>
    <w:rsid w:val="00D9477B"/>
    <w:rsid w:val="00D95278"/>
    <w:rsid w:val="00D95923"/>
    <w:rsid w:val="00D95A75"/>
    <w:rsid w:val="00D95F29"/>
    <w:rsid w:val="00D96504"/>
    <w:rsid w:val="00D96629"/>
    <w:rsid w:val="00D96B47"/>
    <w:rsid w:val="00D96FA3"/>
    <w:rsid w:val="00D9705C"/>
    <w:rsid w:val="00D97389"/>
    <w:rsid w:val="00D9754A"/>
    <w:rsid w:val="00D975AE"/>
    <w:rsid w:val="00D976E1"/>
    <w:rsid w:val="00D97AFA"/>
    <w:rsid w:val="00D97BF6"/>
    <w:rsid w:val="00DA0337"/>
    <w:rsid w:val="00DA04F8"/>
    <w:rsid w:val="00DA0768"/>
    <w:rsid w:val="00DA07F9"/>
    <w:rsid w:val="00DA08EE"/>
    <w:rsid w:val="00DA093D"/>
    <w:rsid w:val="00DA194C"/>
    <w:rsid w:val="00DA2130"/>
    <w:rsid w:val="00DA2236"/>
    <w:rsid w:val="00DA2553"/>
    <w:rsid w:val="00DA2B2C"/>
    <w:rsid w:val="00DA2C55"/>
    <w:rsid w:val="00DA2E95"/>
    <w:rsid w:val="00DA30AB"/>
    <w:rsid w:val="00DA3183"/>
    <w:rsid w:val="00DA3548"/>
    <w:rsid w:val="00DA37B8"/>
    <w:rsid w:val="00DA38E3"/>
    <w:rsid w:val="00DA392B"/>
    <w:rsid w:val="00DA393D"/>
    <w:rsid w:val="00DA3C3F"/>
    <w:rsid w:val="00DA47CC"/>
    <w:rsid w:val="00DA4BCD"/>
    <w:rsid w:val="00DA4CF4"/>
    <w:rsid w:val="00DA4E59"/>
    <w:rsid w:val="00DA4FA7"/>
    <w:rsid w:val="00DA554A"/>
    <w:rsid w:val="00DA57CC"/>
    <w:rsid w:val="00DA5BBC"/>
    <w:rsid w:val="00DA5C11"/>
    <w:rsid w:val="00DA5E04"/>
    <w:rsid w:val="00DA625F"/>
    <w:rsid w:val="00DA661E"/>
    <w:rsid w:val="00DA667B"/>
    <w:rsid w:val="00DA6737"/>
    <w:rsid w:val="00DA777C"/>
    <w:rsid w:val="00DA7CF5"/>
    <w:rsid w:val="00DB0678"/>
    <w:rsid w:val="00DB073F"/>
    <w:rsid w:val="00DB0876"/>
    <w:rsid w:val="00DB097F"/>
    <w:rsid w:val="00DB0AD7"/>
    <w:rsid w:val="00DB0F5F"/>
    <w:rsid w:val="00DB1B36"/>
    <w:rsid w:val="00DB1EA1"/>
    <w:rsid w:val="00DB2182"/>
    <w:rsid w:val="00DB2469"/>
    <w:rsid w:val="00DB2DF5"/>
    <w:rsid w:val="00DB3145"/>
    <w:rsid w:val="00DB499E"/>
    <w:rsid w:val="00DB4CAC"/>
    <w:rsid w:val="00DB4D30"/>
    <w:rsid w:val="00DB51C3"/>
    <w:rsid w:val="00DB5CA5"/>
    <w:rsid w:val="00DB5E33"/>
    <w:rsid w:val="00DB716D"/>
    <w:rsid w:val="00DB765B"/>
    <w:rsid w:val="00DC0AE0"/>
    <w:rsid w:val="00DC0C05"/>
    <w:rsid w:val="00DC0FA6"/>
    <w:rsid w:val="00DC130C"/>
    <w:rsid w:val="00DC1C62"/>
    <w:rsid w:val="00DC209E"/>
    <w:rsid w:val="00DC2292"/>
    <w:rsid w:val="00DC2310"/>
    <w:rsid w:val="00DC2559"/>
    <w:rsid w:val="00DC29B9"/>
    <w:rsid w:val="00DC2F3D"/>
    <w:rsid w:val="00DC3340"/>
    <w:rsid w:val="00DC3399"/>
    <w:rsid w:val="00DC34E4"/>
    <w:rsid w:val="00DC459C"/>
    <w:rsid w:val="00DC4992"/>
    <w:rsid w:val="00DC4BB8"/>
    <w:rsid w:val="00DC508E"/>
    <w:rsid w:val="00DC537B"/>
    <w:rsid w:val="00DC5487"/>
    <w:rsid w:val="00DC57C0"/>
    <w:rsid w:val="00DC5AF7"/>
    <w:rsid w:val="00DC5DC9"/>
    <w:rsid w:val="00DC68FA"/>
    <w:rsid w:val="00DC6A30"/>
    <w:rsid w:val="00DC6B2C"/>
    <w:rsid w:val="00DC6C86"/>
    <w:rsid w:val="00DC714C"/>
    <w:rsid w:val="00DC7150"/>
    <w:rsid w:val="00DC7417"/>
    <w:rsid w:val="00DC7449"/>
    <w:rsid w:val="00DC7F60"/>
    <w:rsid w:val="00DC7F96"/>
    <w:rsid w:val="00DD0342"/>
    <w:rsid w:val="00DD0E19"/>
    <w:rsid w:val="00DD1630"/>
    <w:rsid w:val="00DD1865"/>
    <w:rsid w:val="00DD1FDE"/>
    <w:rsid w:val="00DD2359"/>
    <w:rsid w:val="00DD2943"/>
    <w:rsid w:val="00DD2C0B"/>
    <w:rsid w:val="00DD2F7B"/>
    <w:rsid w:val="00DD3B90"/>
    <w:rsid w:val="00DD42A3"/>
    <w:rsid w:val="00DD4665"/>
    <w:rsid w:val="00DD46C9"/>
    <w:rsid w:val="00DD4A2C"/>
    <w:rsid w:val="00DD4BB1"/>
    <w:rsid w:val="00DD4C42"/>
    <w:rsid w:val="00DD4CEA"/>
    <w:rsid w:val="00DD5EC4"/>
    <w:rsid w:val="00DD6A4B"/>
    <w:rsid w:val="00DD6A85"/>
    <w:rsid w:val="00DD6E06"/>
    <w:rsid w:val="00DD6E24"/>
    <w:rsid w:val="00DD7037"/>
    <w:rsid w:val="00DD78D6"/>
    <w:rsid w:val="00DD7D69"/>
    <w:rsid w:val="00DD7F4B"/>
    <w:rsid w:val="00DE0074"/>
    <w:rsid w:val="00DE01DD"/>
    <w:rsid w:val="00DE03F3"/>
    <w:rsid w:val="00DE04FA"/>
    <w:rsid w:val="00DE05A6"/>
    <w:rsid w:val="00DE0C23"/>
    <w:rsid w:val="00DE14A2"/>
    <w:rsid w:val="00DE14CB"/>
    <w:rsid w:val="00DE15CF"/>
    <w:rsid w:val="00DE1D3D"/>
    <w:rsid w:val="00DE214F"/>
    <w:rsid w:val="00DE22D6"/>
    <w:rsid w:val="00DE23C8"/>
    <w:rsid w:val="00DE25AF"/>
    <w:rsid w:val="00DE29BA"/>
    <w:rsid w:val="00DE2DFD"/>
    <w:rsid w:val="00DE2E79"/>
    <w:rsid w:val="00DE31BD"/>
    <w:rsid w:val="00DE31C7"/>
    <w:rsid w:val="00DE34B7"/>
    <w:rsid w:val="00DE38F1"/>
    <w:rsid w:val="00DE3939"/>
    <w:rsid w:val="00DE3AD4"/>
    <w:rsid w:val="00DE418C"/>
    <w:rsid w:val="00DE44A0"/>
    <w:rsid w:val="00DE45FA"/>
    <w:rsid w:val="00DE4690"/>
    <w:rsid w:val="00DE5060"/>
    <w:rsid w:val="00DE5264"/>
    <w:rsid w:val="00DE52B0"/>
    <w:rsid w:val="00DE5631"/>
    <w:rsid w:val="00DE56D0"/>
    <w:rsid w:val="00DE588D"/>
    <w:rsid w:val="00DE5C7B"/>
    <w:rsid w:val="00DE5EF9"/>
    <w:rsid w:val="00DE5F36"/>
    <w:rsid w:val="00DE74B8"/>
    <w:rsid w:val="00DE79F0"/>
    <w:rsid w:val="00DE7B1E"/>
    <w:rsid w:val="00DE7BE0"/>
    <w:rsid w:val="00DE7F07"/>
    <w:rsid w:val="00DF00EB"/>
    <w:rsid w:val="00DF030A"/>
    <w:rsid w:val="00DF0669"/>
    <w:rsid w:val="00DF0F73"/>
    <w:rsid w:val="00DF1084"/>
    <w:rsid w:val="00DF1386"/>
    <w:rsid w:val="00DF1623"/>
    <w:rsid w:val="00DF16CC"/>
    <w:rsid w:val="00DF22E8"/>
    <w:rsid w:val="00DF24CC"/>
    <w:rsid w:val="00DF2D3E"/>
    <w:rsid w:val="00DF2D9E"/>
    <w:rsid w:val="00DF36C9"/>
    <w:rsid w:val="00DF36FD"/>
    <w:rsid w:val="00DF3A8E"/>
    <w:rsid w:val="00DF3BB9"/>
    <w:rsid w:val="00DF3F79"/>
    <w:rsid w:val="00DF3F89"/>
    <w:rsid w:val="00DF4216"/>
    <w:rsid w:val="00DF427D"/>
    <w:rsid w:val="00DF43C2"/>
    <w:rsid w:val="00DF43E8"/>
    <w:rsid w:val="00DF43F4"/>
    <w:rsid w:val="00DF46C4"/>
    <w:rsid w:val="00DF493F"/>
    <w:rsid w:val="00DF4BED"/>
    <w:rsid w:val="00DF4DB5"/>
    <w:rsid w:val="00DF4E88"/>
    <w:rsid w:val="00DF5288"/>
    <w:rsid w:val="00DF546A"/>
    <w:rsid w:val="00DF583B"/>
    <w:rsid w:val="00DF58B5"/>
    <w:rsid w:val="00DF58ED"/>
    <w:rsid w:val="00DF5C7D"/>
    <w:rsid w:val="00DF61BC"/>
    <w:rsid w:val="00DF7299"/>
    <w:rsid w:val="00DF76AD"/>
    <w:rsid w:val="00DF7E27"/>
    <w:rsid w:val="00E00739"/>
    <w:rsid w:val="00E00884"/>
    <w:rsid w:val="00E00897"/>
    <w:rsid w:val="00E00FF7"/>
    <w:rsid w:val="00E0179E"/>
    <w:rsid w:val="00E0184F"/>
    <w:rsid w:val="00E01955"/>
    <w:rsid w:val="00E01AB5"/>
    <w:rsid w:val="00E024B5"/>
    <w:rsid w:val="00E02660"/>
    <w:rsid w:val="00E026BD"/>
    <w:rsid w:val="00E027FF"/>
    <w:rsid w:val="00E02D31"/>
    <w:rsid w:val="00E02F68"/>
    <w:rsid w:val="00E03007"/>
    <w:rsid w:val="00E03573"/>
    <w:rsid w:val="00E037A5"/>
    <w:rsid w:val="00E03827"/>
    <w:rsid w:val="00E038C5"/>
    <w:rsid w:val="00E03C7C"/>
    <w:rsid w:val="00E03D2A"/>
    <w:rsid w:val="00E03E3B"/>
    <w:rsid w:val="00E0448C"/>
    <w:rsid w:val="00E04589"/>
    <w:rsid w:val="00E046E9"/>
    <w:rsid w:val="00E047C4"/>
    <w:rsid w:val="00E04E87"/>
    <w:rsid w:val="00E05034"/>
    <w:rsid w:val="00E05429"/>
    <w:rsid w:val="00E05DC0"/>
    <w:rsid w:val="00E0639E"/>
    <w:rsid w:val="00E063BA"/>
    <w:rsid w:val="00E067A6"/>
    <w:rsid w:val="00E06B38"/>
    <w:rsid w:val="00E07340"/>
    <w:rsid w:val="00E0747D"/>
    <w:rsid w:val="00E0787A"/>
    <w:rsid w:val="00E07A14"/>
    <w:rsid w:val="00E102E4"/>
    <w:rsid w:val="00E103FC"/>
    <w:rsid w:val="00E10C98"/>
    <w:rsid w:val="00E1102F"/>
    <w:rsid w:val="00E115D2"/>
    <w:rsid w:val="00E11604"/>
    <w:rsid w:val="00E11A2D"/>
    <w:rsid w:val="00E11C7A"/>
    <w:rsid w:val="00E11C8A"/>
    <w:rsid w:val="00E12089"/>
    <w:rsid w:val="00E121E0"/>
    <w:rsid w:val="00E128D8"/>
    <w:rsid w:val="00E12BEE"/>
    <w:rsid w:val="00E12C42"/>
    <w:rsid w:val="00E132D9"/>
    <w:rsid w:val="00E13913"/>
    <w:rsid w:val="00E1403C"/>
    <w:rsid w:val="00E14964"/>
    <w:rsid w:val="00E14B11"/>
    <w:rsid w:val="00E14B53"/>
    <w:rsid w:val="00E14CA8"/>
    <w:rsid w:val="00E14CE5"/>
    <w:rsid w:val="00E14E5C"/>
    <w:rsid w:val="00E155A9"/>
    <w:rsid w:val="00E15909"/>
    <w:rsid w:val="00E15E54"/>
    <w:rsid w:val="00E16024"/>
    <w:rsid w:val="00E16121"/>
    <w:rsid w:val="00E165B5"/>
    <w:rsid w:val="00E16857"/>
    <w:rsid w:val="00E1688A"/>
    <w:rsid w:val="00E16ECD"/>
    <w:rsid w:val="00E16FDC"/>
    <w:rsid w:val="00E170B3"/>
    <w:rsid w:val="00E1728C"/>
    <w:rsid w:val="00E1747E"/>
    <w:rsid w:val="00E17934"/>
    <w:rsid w:val="00E17A0A"/>
    <w:rsid w:val="00E17ED6"/>
    <w:rsid w:val="00E2007C"/>
    <w:rsid w:val="00E20365"/>
    <w:rsid w:val="00E20EEF"/>
    <w:rsid w:val="00E21176"/>
    <w:rsid w:val="00E21B00"/>
    <w:rsid w:val="00E21B4A"/>
    <w:rsid w:val="00E2205C"/>
    <w:rsid w:val="00E22D01"/>
    <w:rsid w:val="00E232AF"/>
    <w:rsid w:val="00E232BB"/>
    <w:rsid w:val="00E2333B"/>
    <w:rsid w:val="00E23987"/>
    <w:rsid w:val="00E23B89"/>
    <w:rsid w:val="00E23CA4"/>
    <w:rsid w:val="00E24145"/>
    <w:rsid w:val="00E2415E"/>
    <w:rsid w:val="00E24353"/>
    <w:rsid w:val="00E2454C"/>
    <w:rsid w:val="00E247E1"/>
    <w:rsid w:val="00E24A83"/>
    <w:rsid w:val="00E25107"/>
    <w:rsid w:val="00E251ED"/>
    <w:rsid w:val="00E25724"/>
    <w:rsid w:val="00E25996"/>
    <w:rsid w:val="00E25B33"/>
    <w:rsid w:val="00E25B63"/>
    <w:rsid w:val="00E25CFB"/>
    <w:rsid w:val="00E26053"/>
    <w:rsid w:val="00E264EC"/>
    <w:rsid w:val="00E266B5"/>
    <w:rsid w:val="00E26758"/>
    <w:rsid w:val="00E26854"/>
    <w:rsid w:val="00E26DF4"/>
    <w:rsid w:val="00E27EFF"/>
    <w:rsid w:val="00E300E3"/>
    <w:rsid w:val="00E30455"/>
    <w:rsid w:val="00E309F7"/>
    <w:rsid w:val="00E30D14"/>
    <w:rsid w:val="00E30D9B"/>
    <w:rsid w:val="00E30DCB"/>
    <w:rsid w:val="00E30F25"/>
    <w:rsid w:val="00E3128A"/>
    <w:rsid w:val="00E31980"/>
    <w:rsid w:val="00E31AE8"/>
    <w:rsid w:val="00E32313"/>
    <w:rsid w:val="00E325EF"/>
    <w:rsid w:val="00E326EA"/>
    <w:rsid w:val="00E3273F"/>
    <w:rsid w:val="00E32AD7"/>
    <w:rsid w:val="00E32D78"/>
    <w:rsid w:val="00E32F20"/>
    <w:rsid w:val="00E32F5D"/>
    <w:rsid w:val="00E3319C"/>
    <w:rsid w:val="00E33F20"/>
    <w:rsid w:val="00E353C2"/>
    <w:rsid w:val="00E3560E"/>
    <w:rsid w:val="00E359A4"/>
    <w:rsid w:val="00E36010"/>
    <w:rsid w:val="00E3619F"/>
    <w:rsid w:val="00E362A5"/>
    <w:rsid w:val="00E36FCB"/>
    <w:rsid w:val="00E37140"/>
    <w:rsid w:val="00E37193"/>
    <w:rsid w:val="00E37313"/>
    <w:rsid w:val="00E37CBC"/>
    <w:rsid w:val="00E37CC1"/>
    <w:rsid w:val="00E37F03"/>
    <w:rsid w:val="00E4093F"/>
    <w:rsid w:val="00E409C1"/>
    <w:rsid w:val="00E40B55"/>
    <w:rsid w:val="00E40C06"/>
    <w:rsid w:val="00E40F5E"/>
    <w:rsid w:val="00E410C2"/>
    <w:rsid w:val="00E412C3"/>
    <w:rsid w:val="00E415E8"/>
    <w:rsid w:val="00E41607"/>
    <w:rsid w:val="00E416FC"/>
    <w:rsid w:val="00E42214"/>
    <w:rsid w:val="00E422FF"/>
    <w:rsid w:val="00E425A0"/>
    <w:rsid w:val="00E4295B"/>
    <w:rsid w:val="00E42CF8"/>
    <w:rsid w:val="00E42F22"/>
    <w:rsid w:val="00E430D2"/>
    <w:rsid w:val="00E432AF"/>
    <w:rsid w:val="00E438AC"/>
    <w:rsid w:val="00E43F32"/>
    <w:rsid w:val="00E4417C"/>
    <w:rsid w:val="00E4446F"/>
    <w:rsid w:val="00E44494"/>
    <w:rsid w:val="00E4463A"/>
    <w:rsid w:val="00E44900"/>
    <w:rsid w:val="00E44920"/>
    <w:rsid w:val="00E44AB6"/>
    <w:rsid w:val="00E44B2B"/>
    <w:rsid w:val="00E44BD5"/>
    <w:rsid w:val="00E44DED"/>
    <w:rsid w:val="00E453D2"/>
    <w:rsid w:val="00E45889"/>
    <w:rsid w:val="00E4588C"/>
    <w:rsid w:val="00E45B37"/>
    <w:rsid w:val="00E45E54"/>
    <w:rsid w:val="00E45E62"/>
    <w:rsid w:val="00E46541"/>
    <w:rsid w:val="00E4669C"/>
    <w:rsid w:val="00E4674B"/>
    <w:rsid w:val="00E46FDA"/>
    <w:rsid w:val="00E47078"/>
    <w:rsid w:val="00E4723C"/>
    <w:rsid w:val="00E47A1E"/>
    <w:rsid w:val="00E47A71"/>
    <w:rsid w:val="00E47BE2"/>
    <w:rsid w:val="00E50262"/>
    <w:rsid w:val="00E5027D"/>
    <w:rsid w:val="00E50697"/>
    <w:rsid w:val="00E50712"/>
    <w:rsid w:val="00E50BE2"/>
    <w:rsid w:val="00E50D4D"/>
    <w:rsid w:val="00E50FA9"/>
    <w:rsid w:val="00E5133B"/>
    <w:rsid w:val="00E5168B"/>
    <w:rsid w:val="00E516AB"/>
    <w:rsid w:val="00E517DA"/>
    <w:rsid w:val="00E51F1C"/>
    <w:rsid w:val="00E525AB"/>
    <w:rsid w:val="00E52903"/>
    <w:rsid w:val="00E52B6C"/>
    <w:rsid w:val="00E52DDE"/>
    <w:rsid w:val="00E52FA6"/>
    <w:rsid w:val="00E532B3"/>
    <w:rsid w:val="00E5399C"/>
    <w:rsid w:val="00E53B8A"/>
    <w:rsid w:val="00E54D8B"/>
    <w:rsid w:val="00E54EF1"/>
    <w:rsid w:val="00E553A5"/>
    <w:rsid w:val="00E558F3"/>
    <w:rsid w:val="00E559E3"/>
    <w:rsid w:val="00E55A2A"/>
    <w:rsid w:val="00E55FC7"/>
    <w:rsid w:val="00E56789"/>
    <w:rsid w:val="00E56C59"/>
    <w:rsid w:val="00E56E0D"/>
    <w:rsid w:val="00E57301"/>
    <w:rsid w:val="00E57815"/>
    <w:rsid w:val="00E57E84"/>
    <w:rsid w:val="00E57EEC"/>
    <w:rsid w:val="00E601E9"/>
    <w:rsid w:val="00E6021C"/>
    <w:rsid w:val="00E60671"/>
    <w:rsid w:val="00E608AC"/>
    <w:rsid w:val="00E60AF7"/>
    <w:rsid w:val="00E60F70"/>
    <w:rsid w:val="00E615DE"/>
    <w:rsid w:val="00E61D7B"/>
    <w:rsid w:val="00E61D87"/>
    <w:rsid w:val="00E62454"/>
    <w:rsid w:val="00E628F2"/>
    <w:rsid w:val="00E62B45"/>
    <w:rsid w:val="00E62C52"/>
    <w:rsid w:val="00E62D84"/>
    <w:rsid w:val="00E63A52"/>
    <w:rsid w:val="00E63B52"/>
    <w:rsid w:val="00E63C7B"/>
    <w:rsid w:val="00E63D47"/>
    <w:rsid w:val="00E64099"/>
    <w:rsid w:val="00E64120"/>
    <w:rsid w:val="00E645D4"/>
    <w:rsid w:val="00E64D86"/>
    <w:rsid w:val="00E64F6C"/>
    <w:rsid w:val="00E6552A"/>
    <w:rsid w:val="00E658B1"/>
    <w:rsid w:val="00E65B09"/>
    <w:rsid w:val="00E65C55"/>
    <w:rsid w:val="00E65C68"/>
    <w:rsid w:val="00E660F8"/>
    <w:rsid w:val="00E6619E"/>
    <w:rsid w:val="00E66394"/>
    <w:rsid w:val="00E668B8"/>
    <w:rsid w:val="00E67829"/>
    <w:rsid w:val="00E67A32"/>
    <w:rsid w:val="00E67BFF"/>
    <w:rsid w:val="00E700D9"/>
    <w:rsid w:val="00E70C63"/>
    <w:rsid w:val="00E70D6A"/>
    <w:rsid w:val="00E70F1A"/>
    <w:rsid w:val="00E7119D"/>
    <w:rsid w:val="00E71B37"/>
    <w:rsid w:val="00E71CED"/>
    <w:rsid w:val="00E71FA4"/>
    <w:rsid w:val="00E72174"/>
    <w:rsid w:val="00E72619"/>
    <w:rsid w:val="00E7264C"/>
    <w:rsid w:val="00E72680"/>
    <w:rsid w:val="00E72750"/>
    <w:rsid w:val="00E72B34"/>
    <w:rsid w:val="00E72F84"/>
    <w:rsid w:val="00E730CB"/>
    <w:rsid w:val="00E736CD"/>
    <w:rsid w:val="00E7391A"/>
    <w:rsid w:val="00E73D42"/>
    <w:rsid w:val="00E73F28"/>
    <w:rsid w:val="00E740AC"/>
    <w:rsid w:val="00E745B7"/>
    <w:rsid w:val="00E74E51"/>
    <w:rsid w:val="00E750EC"/>
    <w:rsid w:val="00E753DE"/>
    <w:rsid w:val="00E756C1"/>
    <w:rsid w:val="00E75A44"/>
    <w:rsid w:val="00E75EE1"/>
    <w:rsid w:val="00E76018"/>
    <w:rsid w:val="00E768C2"/>
    <w:rsid w:val="00E76BA1"/>
    <w:rsid w:val="00E770BA"/>
    <w:rsid w:val="00E778B6"/>
    <w:rsid w:val="00E80FCD"/>
    <w:rsid w:val="00E81990"/>
    <w:rsid w:val="00E81D14"/>
    <w:rsid w:val="00E8250A"/>
    <w:rsid w:val="00E82569"/>
    <w:rsid w:val="00E8291F"/>
    <w:rsid w:val="00E82938"/>
    <w:rsid w:val="00E8301E"/>
    <w:rsid w:val="00E835D5"/>
    <w:rsid w:val="00E8378E"/>
    <w:rsid w:val="00E83A18"/>
    <w:rsid w:val="00E83D6D"/>
    <w:rsid w:val="00E8429E"/>
    <w:rsid w:val="00E844D0"/>
    <w:rsid w:val="00E84A55"/>
    <w:rsid w:val="00E84A73"/>
    <w:rsid w:val="00E84BFD"/>
    <w:rsid w:val="00E84C0B"/>
    <w:rsid w:val="00E84D28"/>
    <w:rsid w:val="00E84DA3"/>
    <w:rsid w:val="00E8557F"/>
    <w:rsid w:val="00E85EC9"/>
    <w:rsid w:val="00E85EF5"/>
    <w:rsid w:val="00E85F04"/>
    <w:rsid w:val="00E860CB"/>
    <w:rsid w:val="00E864DF"/>
    <w:rsid w:val="00E86C0D"/>
    <w:rsid w:val="00E87150"/>
    <w:rsid w:val="00E871B1"/>
    <w:rsid w:val="00E874D0"/>
    <w:rsid w:val="00E876DE"/>
    <w:rsid w:val="00E877F8"/>
    <w:rsid w:val="00E87967"/>
    <w:rsid w:val="00E87EFA"/>
    <w:rsid w:val="00E90059"/>
    <w:rsid w:val="00E9022A"/>
    <w:rsid w:val="00E90377"/>
    <w:rsid w:val="00E90422"/>
    <w:rsid w:val="00E90CEF"/>
    <w:rsid w:val="00E90E8D"/>
    <w:rsid w:val="00E90F2A"/>
    <w:rsid w:val="00E9147D"/>
    <w:rsid w:val="00E918DD"/>
    <w:rsid w:val="00E91A2D"/>
    <w:rsid w:val="00E91D13"/>
    <w:rsid w:val="00E92287"/>
    <w:rsid w:val="00E9258F"/>
    <w:rsid w:val="00E9344E"/>
    <w:rsid w:val="00E93610"/>
    <w:rsid w:val="00E938E6"/>
    <w:rsid w:val="00E9398C"/>
    <w:rsid w:val="00E93990"/>
    <w:rsid w:val="00E9441A"/>
    <w:rsid w:val="00E94760"/>
    <w:rsid w:val="00E9479E"/>
    <w:rsid w:val="00E94BB3"/>
    <w:rsid w:val="00E94D3C"/>
    <w:rsid w:val="00E95317"/>
    <w:rsid w:val="00E95521"/>
    <w:rsid w:val="00E95CD4"/>
    <w:rsid w:val="00E95F23"/>
    <w:rsid w:val="00E9656C"/>
    <w:rsid w:val="00E96A18"/>
    <w:rsid w:val="00E96B47"/>
    <w:rsid w:val="00E96D69"/>
    <w:rsid w:val="00E96E9F"/>
    <w:rsid w:val="00E977EF"/>
    <w:rsid w:val="00E9791F"/>
    <w:rsid w:val="00E97B6F"/>
    <w:rsid w:val="00E97D8D"/>
    <w:rsid w:val="00E97DDD"/>
    <w:rsid w:val="00EA0242"/>
    <w:rsid w:val="00EA05FF"/>
    <w:rsid w:val="00EA1022"/>
    <w:rsid w:val="00EA104A"/>
    <w:rsid w:val="00EA162A"/>
    <w:rsid w:val="00EA1B94"/>
    <w:rsid w:val="00EA1BB9"/>
    <w:rsid w:val="00EA1C15"/>
    <w:rsid w:val="00EA203F"/>
    <w:rsid w:val="00EA25B4"/>
    <w:rsid w:val="00EA26B7"/>
    <w:rsid w:val="00EA26E2"/>
    <w:rsid w:val="00EA2AE3"/>
    <w:rsid w:val="00EA2B8D"/>
    <w:rsid w:val="00EA2BE7"/>
    <w:rsid w:val="00EA2D5F"/>
    <w:rsid w:val="00EA2D6F"/>
    <w:rsid w:val="00EA2F17"/>
    <w:rsid w:val="00EA30D8"/>
    <w:rsid w:val="00EA3477"/>
    <w:rsid w:val="00EA3BEC"/>
    <w:rsid w:val="00EA3D4E"/>
    <w:rsid w:val="00EA4B89"/>
    <w:rsid w:val="00EA5A26"/>
    <w:rsid w:val="00EA5B8C"/>
    <w:rsid w:val="00EA5FC2"/>
    <w:rsid w:val="00EA66FB"/>
    <w:rsid w:val="00EA6C98"/>
    <w:rsid w:val="00EA7863"/>
    <w:rsid w:val="00EA7928"/>
    <w:rsid w:val="00EA7C92"/>
    <w:rsid w:val="00EB01FC"/>
    <w:rsid w:val="00EB0387"/>
    <w:rsid w:val="00EB04B8"/>
    <w:rsid w:val="00EB0752"/>
    <w:rsid w:val="00EB225D"/>
    <w:rsid w:val="00EB24FB"/>
    <w:rsid w:val="00EB25D6"/>
    <w:rsid w:val="00EB2648"/>
    <w:rsid w:val="00EB2679"/>
    <w:rsid w:val="00EB2E38"/>
    <w:rsid w:val="00EB2EAE"/>
    <w:rsid w:val="00EB2FF7"/>
    <w:rsid w:val="00EB3469"/>
    <w:rsid w:val="00EB36AB"/>
    <w:rsid w:val="00EB3AD2"/>
    <w:rsid w:val="00EB3C6E"/>
    <w:rsid w:val="00EB3D87"/>
    <w:rsid w:val="00EB3F61"/>
    <w:rsid w:val="00EB4153"/>
    <w:rsid w:val="00EB4D41"/>
    <w:rsid w:val="00EB527C"/>
    <w:rsid w:val="00EB52C7"/>
    <w:rsid w:val="00EB5357"/>
    <w:rsid w:val="00EB5466"/>
    <w:rsid w:val="00EB5FB8"/>
    <w:rsid w:val="00EB610A"/>
    <w:rsid w:val="00EB660A"/>
    <w:rsid w:val="00EB6881"/>
    <w:rsid w:val="00EB6F90"/>
    <w:rsid w:val="00EB71F8"/>
    <w:rsid w:val="00EB742C"/>
    <w:rsid w:val="00EB76A4"/>
    <w:rsid w:val="00EC00AD"/>
    <w:rsid w:val="00EC02F7"/>
    <w:rsid w:val="00EC044E"/>
    <w:rsid w:val="00EC0E27"/>
    <w:rsid w:val="00EC10D1"/>
    <w:rsid w:val="00EC15F0"/>
    <w:rsid w:val="00EC1C2F"/>
    <w:rsid w:val="00EC1F88"/>
    <w:rsid w:val="00EC2575"/>
    <w:rsid w:val="00EC276B"/>
    <w:rsid w:val="00EC2805"/>
    <w:rsid w:val="00EC2964"/>
    <w:rsid w:val="00EC2B54"/>
    <w:rsid w:val="00EC2F3C"/>
    <w:rsid w:val="00EC3332"/>
    <w:rsid w:val="00EC38DD"/>
    <w:rsid w:val="00EC3CCD"/>
    <w:rsid w:val="00EC3E44"/>
    <w:rsid w:val="00EC3F4E"/>
    <w:rsid w:val="00EC4148"/>
    <w:rsid w:val="00EC44FB"/>
    <w:rsid w:val="00EC46D5"/>
    <w:rsid w:val="00EC4964"/>
    <w:rsid w:val="00EC5495"/>
    <w:rsid w:val="00EC5882"/>
    <w:rsid w:val="00EC5AAE"/>
    <w:rsid w:val="00EC5D6D"/>
    <w:rsid w:val="00EC61C1"/>
    <w:rsid w:val="00EC684D"/>
    <w:rsid w:val="00EC6D02"/>
    <w:rsid w:val="00EC74B8"/>
    <w:rsid w:val="00EC74E0"/>
    <w:rsid w:val="00EC7657"/>
    <w:rsid w:val="00EC78C3"/>
    <w:rsid w:val="00EC7B9D"/>
    <w:rsid w:val="00EC7DFC"/>
    <w:rsid w:val="00EC7EB9"/>
    <w:rsid w:val="00ED0A48"/>
    <w:rsid w:val="00ED0B2F"/>
    <w:rsid w:val="00ED0D83"/>
    <w:rsid w:val="00ED1726"/>
    <w:rsid w:val="00ED1786"/>
    <w:rsid w:val="00ED19D5"/>
    <w:rsid w:val="00ED1A48"/>
    <w:rsid w:val="00ED1AC3"/>
    <w:rsid w:val="00ED277D"/>
    <w:rsid w:val="00ED2952"/>
    <w:rsid w:val="00ED2ECA"/>
    <w:rsid w:val="00ED303B"/>
    <w:rsid w:val="00ED323D"/>
    <w:rsid w:val="00ED33E8"/>
    <w:rsid w:val="00ED3CDC"/>
    <w:rsid w:val="00ED442C"/>
    <w:rsid w:val="00ED45D8"/>
    <w:rsid w:val="00ED4E0B"/>
    <w:rsid w:val="00ED51BF"/>
    <w:rsid w:val="00ED5312"/>
    <w:rsid w:val="00ED5669"/>
    <w:rsid w:val="00ED5ABA"/>
    <w:rsid w:val="00ED5C54"/>
    <w:rsid w:val="00ED61B9"/>
    <w:rsid w:val="00ED6303"/>
    <w:rsid w:val="00ED6605"/>
    <w:rsid w:val="00ED69D0"/>
    <w:rsid w:val="00ED71EA"/>
    <w:rsid w:val="00ED7217"/>
    <w:rsid w:val="00ED79D5"/>
    <w:rsid w:val="00ED7BA2"/>
    <w:rsid w:val="00ED7E92"/>
    <w:rsid w:val="00EE03DE"/>
    <w:rsid w:val="00EE068D"/>
    <w:rsid w:val="00EE0A25"/>
    <w:rsid w:val="00EE0DA8"/>
    <w:rsid w:val="00EE1479"/>
    <w:rsid w:val="00EE1739"/>
    <w:rsid w:val="00EE1BF2"/>
    <w:rsid w:val="00EE1BF4"/>
    <w:rsid w:val="00EE1D4E"/>
    <w:rsid w:val="00EE20B3"/>
    <w:rsid w:val="00EE21FC"/>
    <w:rsid w:val="00EE24B8"/>
    <w:rsid w:val="00EE2E70"/>
    <w:rsid w:val="00EE2F90"/>
    <w:rsid w:val="00EE2FEB"/>
    <w:rsid w:val="00EE302B"/>
    <w:rsid w:val="00EE3070"/>
    <w:rsid w:val="00EE320A"/>
    <w:rsid w:val="00EE3563"/>
    <w:rsid w:val="00EE3994"/>
    <w:rsid w:val="00EE3CA8"/>
    <w:rsid w:val="00EE44A3"/>
    <w:rsid w:val="00EE4FFF"/>
    <w:rsid w:val="00EE51CD"/>
    <w:rsid w:val="00EE5758"/>
    <w:rsid w:val="00EE659C"/>
    <w:rsid w:val="00EE6762"/>
    <w:rsid w:val="00EE6F77"/>
    <w:rsid w:val="00EE704A"/>
    <w:rsid w:val="00EE74EE"/>
    <w:rsid w:val="00EF0D55"/>
    <w:rsid w:val="00EF1063"/>
    <w:rsid w:val="00EF1072"/>
    <w:rsid w:val="00EF12A8"/>
    <w:rsid w:val="00EF148A"/>
    <w:rsid w:val="00EF16D9"/>
    <w:rsid w:val="00EF2140"/>
    <w:rsid w:val="00EF2303"/>
    <w:rsid w:val="00EF2424"/>
    <w:rsid w:val="00EF269E"/>
    <w:rsid w:val="00EF2A84"/>
    <w:rsid w:val="00EF2DF7"/>
    <w:rsid w:val="00EF2E03"/>
    <w:rsid w:val="00EF2E4A"/>
    <w:rsid w:val="00EF30BF"/>
    <w:rsid w:val="00EF32FF"/>
    <w:rsid w:val="00EF36BE"/>
    <w:rsid w:val="00EF37C6"/>
    <w:rsid w:val="00EF410A"/>
    <w:rsid w:val="00EF45D0"/>
    <w:rsid w:val="00EF4A69"/>
    <w:rsid w:val="00EF4BBF"/>
    <w:rsid w:val="00EF4E0C"/>
    <w:rsid w:val="00EF4EC6"/>
    <w:rsid w:val="00EF50DE"/>
    <w:rsid w:val="00EF52E1"/>
    <w:rsid w:val="00EF56F5"/>
    <w:rsid w:val="00EF582F"/>
    <w:rsid w:val="00EF59A1"/>
    <w:rsid w:val="00EF5A5C"/>
    <w:rsid w:val="00EF5FD6"/>
    <w:rsid w:val="00EF6032"/>
    <w:rsid w:val="00EF616C"/>
    <w:rsid w:val="00EF6E06"/>
    <w:rsid w:val="00EF6F32"/>
    <w:rsid w:val="00EF76B4"/>
    <w:rsid w:val="00EF7738"/>
    <w:rsid w:val="00EF7774"/>
    <w:rsid w:val="00EF7859"/>
    <w:rsid w:val="00EF78A5"/>
    <w:rsid w:val="00EF7AFC"/>
    <w:rsid w:val="00EF7FE0"/>
    <w:rsid w:val="00F00159"/>
    <w:rsid w:val="00F006BC"/>
    <w:rsid w:val="00F008A1"/>
    <w:rsid w:val="00F00EED"/>
    <w:rsid w:val="00F03092"/>
    <w:rsid w:val="00F0324A"/>
    <w:rsid w:val="00F03326"/>
    <w:rsid w:val="00F03ABE"/>
    <w:rsid w:val="00F03CA6"/>
    <w:rsid w:val="00F03D0C"/>
    <w:rsid w:val="00F0454A"/>
    <w:rsid w:val="00F04924"/>
    <w:rsid w:val="00F05848"/>
    <w:rsid w:val="00F05871"/>
    <w:rsid w:val="00F05A6B"/>
    <w:rsid w:val="00F05BD4"/>
    <w:rsid w:val="00F05E35"/>
    <w:rsid w:val="00F05EBA"/>
    <w:rsid w:val="00F0680F"/>
    <w:rsid w:val="00F06ADB"/>
    <w:rsid w:val="00F06CE3"/>
    <w:rsid w:val="00F075B5"/>
    <w:rsid w:val="00F076CD"/>
    <w:rsid w:val="00F1089F"/>
    <w:rsid w:val="00F10A22"/>
    <w:rsid w:val="00F10AFA"/>
    <w:rsid w:val="00F110B3"/>
    <w:rsid w:val="00F11671"/>
    <w:rsid w:val="00F1178F"/>
    <w:rsid w:val="00F11BAC"/>
    <w:rsid w:val="00F11BEC"/>
    <w:rsid w:val="00F11FE0"/>
    <w:rsid w:val="00F122B3"/>
    <w:rsid w:val="00F123EA"/>
    <w:rsid w:val="00F12427"/>
    <w:rsid w:val="00F126D9"/>
    <w:rsid w:val="00F12739"/>
    <w:rsid w:val="00F12760"/>
    <w:rsid w:val="00F12927"/>
    <w:rsid w:val="00F12EA2"/>
    <w:rsid w:val="00F13255"/>
    <w:rsid w:val="00F13AEA"/>
    <w:rsid w:val="00F13BD7"/>
    <w:rsid w:val="00F141E3"/>
    <w:rsid w:val="00F145A5"/>
    <w:rsid w:val="00F145D2"/>
    <w:rsid w:val="00F1477A"/>
    <w:rsid w:val="00F14922"/>
    <w:rsid w:val="00F1546C"/>
    <w:rsid w:val="00F1561D"/>
    <w:rsid w:val="00F15786"/>
    <w:rsid w:val="00F15AF1"/>
    <w:rsid w:val="00F161BE"/>
    <w:rsid w:val="00F16419"/>
    <w:rsid w:val="00F165D1"/>
    <w:rsid w:val="00F16C53"/>
    <w:rsid w:val="00F16ECB"/>
    <w:rsid w:val="00F175FB"/>
    <w:rsid w:val="00F17955"/>
    <w:rsid w:val="00F17A07"/>
    <w:rsid w:val="00F17B83"/>
    <w:rsid w:val="00F17C3C"/>
    <w:rsid w:val="00F17E46"/>
    <w:rsid w:val="00F17F69"/>
    <w:rsid w:val="00F20015"/>
    <w:rsid w:val="00F2062F"/>
    <w:rsid w:val="00F209DE"/>
    <w:rsid w:val="00F216BD"/>
    <w:rsid w:val="00F22529"/>
    <w:rsid w:val="00F227B3"/>
    <w:rsid w:val="00F22B98"/>
    <w:rsid w:val="00F2366F"/>
    <w:rsid w:val="00F23C3D"/>
    <w:rsid w:val="00F23ECB"/>
    <w:rsid w:val="00F245B2"/>
    <w:rsid w:val="00F249F7"/>
    <w:rsid w:val="00F24D9A"/>
    <w:rsid w:val="00F24F0D"/>
    <w:rsid w:val="00F2524B"/>
    <w:rsid w:val="00F26056"/>
    <w:rsid w:val="00F2657C"/>
    <w:rsid w:val="00F26807"/>
    <w:rsid w:val="00F268E1"/>
    <w:rsid w:val="00F26BE2"/>
    <w:rsid w:val="00F26C10"/>
    <w:rsid w:val="00F26E66"/>
    <w:rsid w:val="00F26F67"/>
    <w:rsid w:val="00F2709D"/>
    <w:rsid w:val="00F271AC"/>
    <w:rsid w:val="00F27340"/>
    <w:rsid w:val="00F2777E"/>
    <w:rsid w:val="00F27DB9"/>
    <w:rsid w:val="00F30077"/>
    <w:rsid w:val="00F304A5"/>
    <w:rsid w:val="00F30ABD"/>
    <w:rsid w:val="00F30D6A"/>
    <w:rsid w:val="00F31440"/>
    <w:rsid w:val="00F3196F"/>
    <w:rsid w:val="00F31DAA"/>
    <w:rsid w:val="00F31FF4"/>
    <w:rsid w:val="00F322C3"/>
    <w:rsid w:val="00F32604"/>
    <w:rsid w:val="00F32931"/>
    <w:rsid w:val="00F32BD9"/>
    <w:rsid w:val="00F33307"/>
    <w:rsid w:val="00F334B7"/>
    <w:rsid w:val="00F33537"/>
    <w:rsid w:val="00F33FCE"/>
    <w:rsid w:val="00F341F6"/>
    <w:rsid w:val="00F343A1"/>
    <w:rsid w:val="00F347A4"/>
    <w:rsid w:val="00F3485F"/>
    <w:rsid w:val="00F35627"/>
    <w:rsid w:val="00F3564D"/>
    <w:rsid w:val="00F359B3"/>
    <w:rsid w:val="00F360D5"/>
    <w:rsid w:val="00F36A2C"/>
    <w:rsid w:val="00F37139"/>
    <w:rsid w:val="00F3772F"/>
    <w:rsid w:val="00F37832"/>
    <w:rsid w:val="00F37864"/>
    <w:rsid w:val="00F3791E"/>
    <w:rsid w:val="00F37996"/>
    <w:rsid w:val="00F37C18"/>
    <w:rsid w:val="00F37C85"/>
    <w:rsid w:val="00F401D5"/>
    <w:rsid w:val="00F40CD8"/>
    <w:rsid w:val="00F412FC"/>
    <w:rsid w:val="00F4147C"/>
    <w:rsid w:val="00F415C4"/>
    <w:rsid w:val="00F417F1"/>
    <w:rsid w:val="00F41AB2"/>
    <w:rsid w:val="00F41ADB"/>
    <w:rsid w:val="00F41E55"/>
    <w:rsid w:val="00F41F26"/>
    <w:rsid w:val="00F42786"/>
    <w:rsid w:val="00F42A00"/>
    <w:rsid w:val="00F42FEE"/>
    <w:rsid w:val="00F4310E"/>
    <w:rsid w:val="00F43146"/>
    <w:rsid w:val="00F43522"/>
    <w:rsid w:val="00F438FE"/>
    <w:rsid w:val="00F43DE6"/>
    <w:rsid w:val="00F43E18"/>
    <w:rsid w:val="00F44068"/>
    <w:rsid w:val="00F440AA"/>
    <w:rsid w:val="00F444BE"/>
    <w:rsid w:val="00F44CE4"/>
    <w:rsid w:val="00F44F44"/>
    <w:rsid w:val="00F45065"/>
    <w:rsid w:val="00F45255"/>
    <w:rsid w:val="00F45591"/>
    <w:rsid w:val="00F45AA7"/>
    <w:rsid w:val="00F45D90"/>
    <w:rsid w:val="00F46931"/>
    <w:rsid w:val="00F4693F"/>
    <w:rsid w:val="00F46A76"/>
    <w:rsid w:val="00F46B5F"/>
    <w:rsid w:val="00F47029"/>
    <w:rsid w:val="00F475E1"/>
    <w:rsid w:val="00F47F6D"/>
    <w:rsid w:val="00F5058F"/>
    <w:rsid w:val="00F5086A"/>
    <w:rsid w:val="00F50A0D"/>
    <w:rsid w:val="00F50BAB"/>
    <w:rsid w:val="00F50D4F"/>
    <w:rsid w:val="00F51121"/>
    <w:rsid w:val="00F51405"/>
    <w:rsid w:val="00F514FD"/>
    <w:rsid w:val="00F5195D"/>
    <w:rsid w:val="00F51D44"/>
    <w:rsid w:val="00F51E41"/>
    <w:rsid w:val="00F520A0"/>
    <w:rsid w:val="00F52358"/>
    <w:rsid w:val="00F52891"/>
    <w:rsid w:val="00F52EB2"/>
    <w:rsid w:val="00F52FB1"/>
    <w:rsid w:val="00F5336C"/>
    <w:rsid w:val="00F533F1"/>
    <w:rsid w:val="00F5342F"/>
    <w:rsid w:val="00F53790"/>
    <w:rsid w:val="00F53CEE"/>
    <w:rsid w:val="00F53E2C"/>
    <w:rsid w:val="00F54033"/>
    <w:rsid w:val="00F54276"/>
    <w:rsid w:val="00F5447B"/>
    <w:rsid w:val="00F544D3"/>
    <w:rsid w:val="00F54549"/>
    <w:rsid w:val="00F54680"/>
    <w:rsid w:val="00F54D67"/>
    <w:rsid w:val="00F55148"/>
    <w:rsid w:val="00F55257"/>
    <w:rsid w:val="00F55867"/>
    <w:rsid w:val="00F5590C"/>
    <w:rsid w:val="00F55F1B"/>
    <w:rsid w:val="00F5626C"/>
    <w:rsid w:val="00F565D9"/>
    <w:rsid w:val="00F56CD2"/>
    <w:rsid w:val="00F56D5F"/>
    <w:rsid w:val="00F57F35"/>
    <w:rsid w:val="00F57F6B"/>
    <w:rsid w:val="00F57FEF"/>
    <w:rsid w:val="00F6025D"/>
    <w:rsid w:val="00F6044E"/>
    <w:rsid w:val="00F6068B"/>
    <w:rsid w:val="00F60827"/>
    <w:rsid w:val="00F60875"/>
    <w:rsid w:val="00F60A4B"/>
    <w:rsid w:val="00F60AF3"/>
    <w:rsid w:val="00F60F3B"/>
    <w:rsid w:val="00F6126B"/>
    <w:rsid w:val="00F6151D"/>
    <w:rsid w:val="00F61591"/>
    <w:rsid w:val="00F615F6"/>
    <w:rsid w:val="00F61657"/>
    <w:rsid w:val="00F619E2"/>
    <w:rsid w:val="00F62790"/>
    <w:rsid w:val="00F628CD"/>
    <w:rsid w:val="00F630C5"/>
    <w:rsid w:val="00F631B7"/>
    <w:rsid w:val="00F63723"/>
    <w:rsid w:val="00F6382F"/>
    <w:rsid w:val="00F6386A"/>
    <w:rsid w:val="00F638BF"/>
    <w:rsid w:val="00F63AC5"/>
    <w:rsid w:val="00F63D7B"/>
    <w:rsid w:val="00F64150"/>
    <w:rsid w:val="00F64E11"/>
    <w:rsid w:val="00F650FC"/>
    <w:rsid w:val="00F657FE"/>
    <w:rsid w:val="00F658CF"/>
    <w:rsid w:val="00F65C5E"/>
    <w:rsid w:val="00F65F20"/>
    <w:rsid w:val="00F66E3D"/>
    <w:rsid w:val="00F66F39"/>
    <w:rsid w:val="00F6710C"/>
    <w:rsid w:val="00F67123"/>
    <w:rsid w:val="00F672CB"/>
    <w:rsid w:val="00F678B6"/>
    <w:rsid w:val="00F678F3"/>
    <w:rsid w:val="00F67C09"/>
    <w:rsid w:val="00F67F82"/>
    <w:rsid w:val="00F70023"/>
    <w:rsid w:val="00F70314"/>
    <w:rsid w:val="00F7058B"/>
    <w:rsid w:val="00F709C7"/>
    <w:rsid w:val="00F70D01"/>
    <w:rsid w:val="00F7124C"/>
    <w:rsid w:val="00F7150C"/>
    <w:rsid w:val="00F7162C"/>
    <w:rsid w:val="00F716FC"/>
    <w:rsid w:val="00F71753"/>
    <w:rsid w:val="00F71D2A"/>
    <w:rsid w:val="00F71DEE"/>
    <w:rsid w:val="00F72081"/>
    <w:rsid w:val="00F7260B"/>
    <w:rsid w:val="00F72C66"/>
    <w:rsid w:val="00F7303D"/>
    <w:rsid w:val="00F7311C"/>
    <w:rsid w:val="00F7321D"/>
    <w:rsid w:val="00F73773"/>
    <w:rsid w:val="00F73AEC"/>
    <w:rsid w:val="00F73C4F"/>
    <w:rsid w:val="00F73E06"/>
    <w:rsid w:val="00F74081"/>
    <w:rsid w:val="00F74532"/>
    <w:rsid w:val="00F7485C"/>
    <w:rsid w:val="00F748EA"/>
    <w:rsid w:val="00F749D1"/>
    <w:rsid w:val="00F74AE2"/>
    <w:rsid w:val="00F751E0"/>
    <w:rsid w:val="00F753F8"/>
    <w:rsid w:val="00F7550E"/>
    <w:rsid w:val="00F75546"/>
    <w:rsid w:val="00F75752"/>
    <w:rsid w:val="00F758DA"/>
    <w:rsid w:val="00F75970"/>
    <w:rsid w:val="00F76364"/>
    <w:rsid w:val="00F76FFB"/>
    <w:rsid w:val="00F7755E"/>
    <w:rsid w:val="00F77DB4"/>
    <w:rsid w:val="00F800E9"/>
    <w:rsid w:val="00F802B4"/>
    <w:rsid w:val="00F80663"/>
    <w:rsid w:val="00F807CF"/>
    <w:rsid w:val="00F80B4D"/>
    <w:rsid w:val="00F80B87"/>
    <w:rsid w:val="00F80F7D"/>
    <w:rsid w:val="00F81005"/>
    <w:rsid w:val="00F810EE"/>
    <w:rsid w:val="00F815B8"/>
    <w:rsid w:val="00F81740"/>
    <w:rsid w:val="00F82BCD"/>
    <w:rsid w:val="00F830D1"/>
    <w:rsid w:val="00F83331"/>
    <w:rsid w:val="00F835AA"/>
    <w:rsid w:val="00F83821"/>
    <w:rsid w:val="00F8383C"/>
    <w:rsid w:val="00F83854"/>
    <w:rsid w:val="00F838F8"/>
    <w:rsid w:val="00F83DBB"/>
    <w:rsid w:val="00F8442E"/>
    <w:rsid w:val="00F85057"/>
    <w:rsid w:val="00F85E70"/>
    <w:rsid w:val="00F85EE1"/>
    <w:rsid w:val="00F85F44"/>
    <w:rsid w:val="00F86B5C"/>
    <w:rsid w:val="00F8775B"/>
    <w:rsid w:val="00F878F1"/>
    <w:rsid w:val="00F901C8"/>
    <w:rsid w:val="00F90297"/>
    <w:rsid w:val="00F90D37"/>
    <w:rsid w:val="00F90E17"/>
    <w:rsid w:val="00F90EA1"/>
    <w:rsid w:val="00F912EB"/>
    <w:rsid w:val="00F9150A"/>
    <w:rsid w:val="00F915A2"/>
    <w:rsid w:val="00F91893"/>
    <w:rsid w:val="00F918FE"/>
    <w:rsid w:val="00F91C98"/>
    <w:rsid w:val="00F91DF3"/>
    <w:rsid w:val="00F91E13"/>
    <w:rsid w:val="00F91E18"/>
    <w:rsid w:val="00F9205E"/>
    <w:rsid w:val="00F9213E"/>
    <w:rsid w:val="00F927ED"/>
    <w:rsid w:val="00F92A52"/>
    <w:rsid w:val="00F92B98"/>
    <w:rsid w:val="00F92E88"/>
    <w:rsid w:val="00F9327A"/>
    <w:rsid w:val="00F932F4"/>
    <w:rsid w:val="00F9394F"/>
    <w:rsid w:val="00F93A7F"/>
    <w:rsid w:val="00F93D47"/>
    <w:rsid w:val="00F94293"/>
    <w:rsid w:val="00F948DE"/>
    <w:rsid w:val="00F94AFA"/>
    <w:rsid w:val="00F94E37"/>
    <w:rsid w:val="00F94FB8"/>
    <w:rsid w:val="00F95BFD"/>
    <w:rsid w:val="00F970A0"/>
    <w:rsid w:val="00F970A4"/>
    <w:rsid w:val="00F971B5"/>
    <w:rsid w:val="00F97418"/>
    <w:rsid w:val="00F9779A"/>
    <w:rsid w:val="00FA0B58"/>
    <w:rsid w:val="00FA0B99"/>
    <w:rsid w:val="00FA0C01"/>
    <w:rsid w:val="00FA17BA"/>
    <w:rsid w:val="00FA1975"/>
    <w:rsid w:val="00FA1CB9"/>
    <w:rsid w:val="00FA1CD0"/>
    <w:rsid w:val="00FA1E80"/>
    <w:rsid w:val="00FA1F7B"/>
    <w:rsid w:val="00FA21D5"/>
    <w:rsid w:val="00FA250B"/>
    <w:rsid w:val="00FA27A0"/>
    <w:rsid w:val="00FA2A09"/>
    <w:rsid w:val="00FA2A3E"/>
    <w:rsid w:val="00FA2B97"/>
    <w:rsid w:val="00FA2D3A"/>
    <w:rsid w:val="00FA2E70"/>
    <w:rsid w:val="00FA33BC"/>
    <w:rsid w:val="00FA36C1"/>
    <w:rsid w:val="00FA3786"/>
    <w:rsid w:val="00FA3DB2"/>
    <w:rsid w:val="00FA3E39"/>
    <w:rsid w:val="00FA3F54"/>
    <w:rsid w:val="00FA42FC"/>
    <w:rsid w:val="00FA48FD"/>
    <w:rsid w:val="00FA4AF8"/>
    <w:rsid w:val="00FA4B14"/>
    <w:rsid w:val="00FA4BC5"/>
    <w:rsid w:val="00FA5596"/>
    <w:rsid w:val="00FA56D9"/>
    <w:rsid w:val="00FA57C3"/>
    <w:rsid w:val="00FA6357"/>
    <w:rsid w:val="00FA65B4"/>
    <w:rsid w:val="00FA65FA"/>
    <w:rsid w:val="00FA68E4"/>
    <w:rsid w:val="00FA6DE3"/>
    <w:rsid w:val="00FA6DF2"/>
    <w:rsid w:val="00FA742B"/>
    <w:rsid w:val="00FA7EC2"/>
    <w:rsid w:val="00FB02AC"/>
    <w:rsid w:val="00FB0660"/>
    <w:rsid w:val="00FB11A7"/>
    <w:rsid w:val="00FB122B"/>
    <w:rsid w:val="00FB1FFB"/>
    <w:rsid w:val="00FB21EE"/>
    <w:rsid w:val="00FB2509"/>
    <w:rsid w:val="00FB34AE"/>
    <w:rsid w:val="00FB3604"/>
    <w:rsid w:val="00FB40AE"/>
    <w:rsid w:val="00FB4291"/>
    <w:rsid w:val="00FB42E6"/>
    <w:rsid w:val="00FB445E"/>
    <w:rsid w:val="00FB4576"/>
    <w:rsid w:val="00FB467E"/>
    <w:rsid w:val="00FB4BF4"/>
    <w:rsid w:val="00FB4E3C"/>
    <w:rsid w:val="00FB53C1"/>
    <w:rsid w:val="00FB557E"/>
    <w:rsid w:val="00FB56C6"/>
    <w:rsid w:val="00FB59AE"/>
    <w:rsid w:val="00FB5D12"/>
    <w:rsid w:val="00FB5ECC"/>
    <w:rsid w:val="00FB5F67"/>
    <w:rsid w:val="00FB6270"/>
    <w:rsid w:val="00FB6273"/>
    <w:rsid w:val="00FB64A3"/>
    <w:rsid w:val="00FB6808"/>
    <w:rsid w:val="00FB7085"/>
    <w:rsid w:val="00FB70FC"/>
    <w:rsid w:val="00FB7540"/>
    <w:rsid w:val="00FB75A6"/>
    <w:rsid w:val="00FB7AD4"/>
    <w:rsid w:val="00FB7BAA"/>
    <w:rsid w:val="00FC0265"/>
    <w:rsid w:val="00FC0267"/>
    <w:rsid w:val="00FC04C9"/>
    <w:rsid w:val="00FC067D"/>
    <w:rsid w:val="00FC0886"/>
    <w:rsid w:val="00FC0C08"/>
    <w:rsid w:val="00FC122F"/>
    <w:rsid w:val="00FC17F7"/>
    <w:rsid w:val="00FC1E45"/>
    <w:rsid w:val="00FC1E9B"/>
    <w:rsid w:val="00FC2253"/>
    <w:rsid w:val="00FC2D0B"/>
    <w:rsid w:val="00FC2FCB"/>
    <w:rsid w:val="00FC3592"/>
    <w:rsid w:val="00FC37CC"/>
    <w:rsid w:val="00FC38D4"/>
    <w:rsid w:val="00FC39DF"/>
    <w:rsid w:val="00FC419C"/>
    <w:rsid w:val="00FC44A0"/>
    <w:rsid w:val="00FC44E2"/>
    <w:rsid w:val="00FC49BA"/>
    <w:rsid w:val="00FC4B99"/>
    <w:rsid w:val="00FC4F4C"/>
    <w:rsid w:val="00FC5119"/>
    <w:rsid w:val="00FC53C1"/>
    <w:rsid w:val="00FC54D0"/>
    <w:rsid w:val="00FC5734"/>
    <w:rsid w:val="00FC5BEF"/>
    <w:rsid w:val="00FC5D67"/>
    <w:rsid w:val="00FC5EE6"/>
    <w:rsid w:val="00FC61C6"/>
    <w:rsid w:val="00FC6541"/>
    <w:rsid w:val="00FC6837"/>
    <w:rsid w:val="00FC6ADB"/>
    <w:rsid w:val="00FC6ADC"/>
    <w:rsid w:val="00FC6B5E"/>
    <w:rsid w:val="00FC706E"/>
    <w:rsid w:val="00FC75AC"/>
    <w:rsid w:val="00FC77CF"/>
    <w:rsid w:val="00FC77D1"/>
    <w:rsid w:val="00FC78D6"/>
    <w:rsid w:val="00FC78EC"/>
    <w:rsid w:val="00FC79AA"/>
    <w:rsid w:val="00FD02DD"/>
    <w:rsid w:val="00FD03C4"/>
    <w:rsid w:val="00FD05D4"/>
    <w:rsid w:val="00FD05F4"/>
    <w:rsid w:val="00FD07B7"/>
    <w:rsid w:val="00FD0AD3"/>
    <w:rsid w:val="00FD1000"/>
    <w:rsid w:val="00FD195E"/>
    <w:rsid w:val="00FD20C0"/>
    <w:rsid w:val="00FD2623"/>
    <w:rsid w:val="00FD274E"/>
    <w:rsid w:val="00FD2B6D"/>
    <w:rsid w:val="00FD30FB"/>
    <w:rsid w:val="00FD31B4"/>
    <w:rsid w:val="00FD326D"/>
    <w:rsid w:val="00FD37A8"/>
    <w:rsid w:val="00FD3C1C"/>
    <w:rsid w:val="00FD49F9"/>
    <w:rsid w:val="00FD4CCC"/>
    <w:rsid w:val="00FD4F83"/>
    <w:rsid w:val="00FD5ADB"/>
    <w:rsid w:val="00FD5BC3"/>
    <w:rsid w:val="00FD5BF3"/>
    <w:rsid w:val="00FD5C09"/>
    <w:rsid w:val="00FD5D16"/>
    <w:rsid w:val="00FD5DCB"/>
    <w:rsid w:val="00FD5E06"/>
    <w:rsid w:val="00FD62EE"/>
    <w:rsid w:val="00FD647B"/>
    <w:rsid w:val="00FD657C"/>
    <w:rsid w:val="00FD6724"/>
    <w:rsid w:val="00FD6B7E"/>
    <w:rsid w:val="00FD7609"/>
    <w:rsid w:val="00FD770D"/>
    <w:rsid w:val="00FE0180"/>
    <w:rsid w:val="00FE088C"/>
    <w:rsid w:val="00FE08C4"/>
    <w:rsid w:val="00FE0A49"/>
    <w:rsid w:val="00FE0FA6"/>
    <w:rsid w:val="00FE1381"/>
    <w:rsid w:val="00FE15B1"/>
    <w:rsid w:val="00FE217B"/>
    <w:rsid w:val="00FE2999"/>
    <w:rsid w:val="00FE29E7"/>
    <w:rsid w:val="00FE2A0B"/>
    <w:rsid w:val="00FE2EAA"/>
    <w:rsid w:val="00FE35F3"/>
    <w:rsid w:val="00FE3A56"/>
    <w:rsid w:val="00FE3AA2"/>
    <w:rsid w:val="00FE3D74"/>
    <w:rsid w:val="00FE3FD3"/>
    <w:rsid w:val="00FE4728"/>
    <w:rsid w:val="00FE48E7"/>
    <w:rsid w:val="00FE4D18"/>
    <w:rsid w:val="00FE5321"/>
    <w:rsid w:val="00FE5A17"/>
    <w:rsid w:val="00FE5DE8"/>
    <w:rsid w:val="00FE5E39"/>
    <w:rsid w:val="00FE5E73"/>
    <w:rsid w:val="00FE5F5A"/>
    <w:rsid w:val="00FE60E9"/>
    <w:rsid w:val="00FE6404"/>
    <w:rsid w:val="00FE6447"/>
    <w:rsid w:val="00FE659B"/>
    <w:rsid w:val="00FE6651"/>
    <w:rsid w:val="00FE6F32"/>
    <w:rsid w:val="00FE7163"/>
    <w:rsid w:val="00FE71EF"/>
    <w:rsid w:val="00FE7644"/>
    <w:rsid w:val="00FE77C6"/>
    <w:rsid w:val="00FE7BC1"/>
    <w:rsid w:val="00FE7E07"/>
    <w:rsid w:val="00FF02BD"/>
    <w:rsid w:val="00FF03CA"/>
    <w:rsid w:val="00FF0495"/>
    <w:rsid w:val="00FF0A6B"/>
    <w:rsid w:val="00FF0CF9"/>
    <w:rsid w:val="00FF0DE2"/>
    <w:rsid w:val="00FF0F2A"/>
    <w:rsid w:val="00FF13EF"/>
    <w:rsid w:val="00FF1FE1"/>
    <w:rsid w:val="00FF1FF2"/>
    <w:rsid w:val="00FF21E6"/>
    <w:rsid w:val="00FF2899"/>
    <w:rsid w:val="00FF327E"/>
    <w:rsid w:val="00FF35C3"/>
    <w:rsid w:val="00FF3BDB"/>
    <w:rsid w:val="00FF412D"/>
    <w:rsid w:val="00FF4636"/>
    <w:rsid w:val="00FF4A69"/>
    <w:rsid w:val="00FF4A8D"/>
    <w:rsid w:val="00FF4DF9"/>
    <w:rsid w:val="00FF5283"/>
    <w:rsid w:val="00FF58A6"/>
    <w:rsid w:val="00FF669C"/>
    <w:rsid w:val="00FF67C8"/>
    <w:rsid w:val="00FF6892"/>
    <w:rsid w:val="00FF6E1E"/>
    <w:rsid w:val="00FF76D7"/>
    <w:rsid w:val="00FF7946"/>
    <w:rsid w:val="00FF7BD5"/>
    <w:rsid w:val="00FF7FA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947A182"/>
  <w15:docId w15:val="{F8921814-44B8-4BBB-9685-7C2020EC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9D5"/>
    <w:pPr>
      <w:spacing w:before="180" w:after="60"/>
    </w:pPr>
    <w:rPr>
      <w:rFonts w:asciiTheme="minorHAnsi" w:hAnsiTheme="minorHAnsi"/>
      <w:sz w:val="22"/>
      <w:szCs w:val="24"/>
      <w:lang w:val="en-GB"/>
    </w:rPr>
  </w:style>
  <w:style w:type="paragraph" w:styleId="Heading1">
    <w:name w:val="heading 1"/>
    <w:basedOn w:val="Normal"/>
    <w:next w:val="Normal"/>
    <w:link w:val="Heading1Char"/>
    <w:qFormat/>
    <w:rsid w:val="00E75EE1"/>
    <w:pPr>
      <w:keepNext/>
      <w:numPr>
        <w:numId w:val="2"/>
      </w:numPr>
      <w:spacing w:before="320" w:after="160"/>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E75EE1"/>
    <w:pPr>
      <w:keepNext/>
      <w:numPr>
        <w:ilvl w:val="1"/>
        <w:numId w:val="2"/>
      </w:numPr>
      <w:spacing w:before="320"/>
      <w:ind w:left="578" w:hanging="578"/>
      <w:outlineLvl w:val="1"/>
    </w:pPr>
    <w:rPr>
      <w:rFonts w:eastAsiaTheme="minorHAnsi" w:cs="Arial"/>
      <w:b/>
      <w:bCs/>
      <w:iCs/>
      <w:color w:val="01653F"/>
      <w:sz w:val="28"/>
      <w:szCs w:val="28"/>
      <w:lang w:val="en-US" w:eastAsia="en-US"/>
    </w:rPr>
  </w:style>
  <w:style w:type="paragraph" w:styleId="Heading3">
    <w:name w:val="heading 3"/>
    <w:basedOn w:val="Normal"/>
    <w:next w:val="Normal"/>
    <w:qFormat/>
    <w:rsid w:val="00E75EE1"/>
    <w:pPr>
      <w:keepNext/>
      <w:numPr>
        <w:ilvl w:val="2"/>
        <w:numId w:val="2"/>
      </w:numPr>
      <w:spacing w:before="240"/>
      <w:outlineLvl w:val="2"/>
    </w:pPr>
    <w:rPr>
      <w:rFonts w:eastAsiaTheme="minorHAnsi" w:cs="Arial"/>
      <w:b/>
      <w:bCs/>
      <w:i/>
      <w:color w:val="B66113"/>
      <w:sz w:val="24"/>
      <w:lang w:eastAsia="en-US"/>
    </w:rPr>
  </w:style>
  <w:style w:type="paragraph" w:styleId="Heading4">
    <w:name w:val="heading 4"/>
    <w:basedOn w:val="Normal"/>
    <w:next w:val="Normal"/>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basedOn w:val="DefaultParagraphFont"/>
    <w:uiPriority w:val="22"/>
    <w:qFormat/>
    <w:rsid w:val="00AF127F"/>
    <w:rPr>
      <w:b/>
      <w:bCs/>
    </w:rPr>
  </w:style>
  <w:style w:type="paragraph" w:styleId="Subtitle">
    <w:name w:val="Subtitle"/>
    <w:basedOn w:val="Normal"/>
    <w:next w:val="Normal"/>
    <w:link w:val="SubtitleChar"/>
    <w:uiPriority w:val="5"/>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uiPriority w:val="5"/>
    <w:rsid w:val="00D759D5"/>
    <w:rPr>
      <w:rFonts w:asciiTheme="majorHAnsi" w:eastAsiaTheme="majorEastAsia" w:hAnsiTheme="majorHAnsi" w:cstheme="majorBidi"/>
      <w:iCs/>
      <w:spacing w:val="15"/>
      <w:sz w:val="22"/>
      <w:lang w:val="en-GB"/>
    </w:rPr>
  </w:style>
  <w:style w:type="paragraph" w:styleId="Title">
    <w:name w:val="Title"/>
    <w:basedOn w:val="Normal"/>
    <w:next w:val="Normal"/>
    <w:link w:val="TitleChar"/>
    <w:uiPriority w:val="5"/>
    <w:qFormat/>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5"/>
    <w:rsid w:val="00D759D5"/>
    <w:rPr>
      <w:rFonts w:asciiTheme="minorHAnsi" w:eastAsiaTheme="majorEastAsia" w:hAnsiTheme="minorHAnsi" w:cstheme="majorBidi"/>
      <w:b/>
      <w:kern w:val="28"/>
      <w:sz w:val="32"/>
      <w:szCs w:val="52"/>
      <w:lang w:val="en-GB"/>
    </w:rPr>
  </w:style>
  <w:style w:type="paragraph" w:styleId="NoSpacing">
    <w:name w:val="No Spacing"/>
    <w:uiPriority w:val="5"/>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4"/>
      </w:numPr>
      <w:contextualSpacing/>
    </w:pPr>
    <w:rPr>
      <w:rFonts w:eastAsiaTheme="minorHAnsi" w:cs="Arial"/>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rsid w:val="006A668A"/>
    <w:rPr>
      <w:rFonts w:ascii="Arial" w:eastAsiaTheme="minorHAnsi" w:hAnsi="Arial"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5A0379"/>
    <w:pPr>
      <w:spacing w:before="200"/>
      <w:ind w:left="284" w:right="284" w:hanging="284"/>
    </w:pPr>
    <w:rPr>
      <w:bCs/>
      <w:sz w:val="20"/>
      <w:szCs w:val="20"/>
    </w:rPr>
  </w:style>
  <w:style w:type="paragraph" w:styleId="TOC2">
    <w:name w:val="toc 2"/>
    <w:basedOn w:val="Normal"/>
    <w:next w:val="Normal"/>
    <w:autoRedefine/>
    <w:uiPriority w:val="39"/>
    <w:qFormat/>
    <w:rsid w:val="00380966"/>
    <w:pPr>
      <w:tabs>
        <w:tab w:val="left" w:pos="880"/>
        <w:tab w:val="right" w:leader="dot" w:pos="9016"/>
      </w:tabs>
      <w:spacing w:before="120"/>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800C3F"/>
    <w:pPr>
      <w:keepNext/>
      <w:spacing w:after="40"/>
    </w:pPr>
    <w:rPr>
      <w:rFonts w:eastAsiaTheme="minorHAnsi" w:cs="Arial"/>
      <w:b/>
      <w:sz w:val="18"/>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Arial" w:eastAsiaTheme="minorHAnsi" w:hAnsi="Arial" w:cs="Arial"/>
      <w:sz w:val="22"/>
      <w:szCs w:val="22"/>
    </w:rPr>
  </w:style>
  <w:style w:type="paragraph" w:styleId="TableofFigures">
    <w:name w:val="table of figures"/>
    <w:basedOn w:val="Normal"/>
    <w:next w:val="Normal"/>
    <w:uiPriority w:val="99"/>
    <w:rsid w:val="00AF127F"/>
    <w:rPr>
      <w:rFonts w:eastAsiaTheme="minorHAnsi" w:cs="Arial"/>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14"/>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14"/>
    <w:rsid w:val="00E75EE1"/>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next w:val="Normal"/>
    <w:link w:val="02TabletextChar"/>
    <w:uiPriority w:val="11"/>
    <w:qFormat/>
    <w:rsid w:val="00FF4A69"/>
    <w:pPr>
      <w:spacing w:before="20"/>
    </w:pPr>
    <w:rPr>
      <w:rFonts w:ascii="Arial" w:eastAsiaTheme="minorHAnsi" w:hAnsi="Arial"/>
      <w:sz w:val="18"/>
      <w:szCs w:val="22"/>
      <w:lang w:eastAsia="en-US"/>
    </w:rPr>
  </w:style>
  <w:style w:type="character" w:customStyle="1" w:styleId="02TabletextChar">
    <w:name w:val="02. Table text Char"/>
    <w:basedOn w:val="DefaultParagraphFont"/>
    <w:link w:val="02Tabletext"/>
    <w:uiPriority w:val="11"/>
    <w:rsid w:val="00E75EE1"/>
    <w:rPr>
      <w:rFonts w:ascii="Arial" w:eastAsiaTheme="minorHAnsi" w:hAnsi="Arial"/>
      <w:sz w:val="18"/>
      <w:szCs w:val="22"/>
      <w:lang w:eastAsia="en-US"/>
    </w:rPr>
  </w:style>
  <w:style w:type="paragraph" w:customStyle="1" w:styleId="01Tableheaderrow">
    <w:name w:val="01. Table header row"/>
    <w:link w:val="01TableheaderrowChar"/>
    <w:uiPriority w:val="9"/>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uiPriority w:val="9"/>
    <w:rsid w:val="00E75EE1"/>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11"/>
    <w:qFormat/>
    <w:rsid w:val="00032108"/>
    <w:pPr>
      <w:spacing w:before="120" w:after="60" w:line="240" w:lineRule="auto"/>
      <w:ind w:left="357"/>
    </w:pPr>
  </w:style>
  <w:style w:type="paragraph" w:customStyle="1" w:styleId="Bullet2">
    <w:name w:val="Bullet 2"/>
    <w:basedOn w:val="ListParagraph"/>
    <w:uiPriority w:val="14"/>
    <w:qFormat/>
    <w:rsid w:val="00BD7AF2"/>
    <w:pPr>
      <w:numPr>
        <w:ilvl w:val="1"/>
        <w:numId w:val="5"/>
      </w:numPr>
      <w:spacing w:before="120"/>
      <w:ind w:left="1077" w:hanging="357"/>
      <w:contextualSpacing w:val="0"/>
    </w:pPr>
  </w:style>
  <w:style w:type="paragraph" w:customStyle="1" w:styleId="Bullet3">
    <w:name w:val="Bullet 3"/>
    <w:basedOn w:val="ListParagraph"/>
    <w:uiPriority w:val="5"/>
    <w:qFormat/>
    <w:rsid w:val="002105F7"/>
    <w:pPr>
      <w:numPr>
        <w:ilvl w:val="2"/>
        <w:numId w:val="3"/>
      </w:numPr>
      <w:spacing w:before="120"/>
      <w:ind w:left="1797" w:hanging="357"/>
      <w:contextualSpacing w:val="0"/>
    </w:pPr>
  </w:style>
  <w:style w:type="paragraph" w:styleId="TOC4">
    <w:name w:val="toc 4"/>
    <w:basedOn w:val="Normal"/>
    <w:next w:val="Normal"/>
    <w:autoRedefine/>
    <w:unhideWhenUsed/>
    <w:rsid w:val="00C56DF9"/>
    <w:pPr>
      <w:spacing w:before="0" w:after="0"/>
      <w:ind w:left="660"/>
    </w:pPr>
    <w:rPr>
      <w:sz w:val="20"/>
      <w:szCs w:val="20"/>
    </w:rPr>
  </w:style>
  <w:style w:type="paragraph" w:styleId="TOC5">
    <w:name w:val="toc 5"/>
    <w:basedOn w:val="Normal"/>
    <w:next w:val="Normal"/>
    <w:autoRedefine/>
    <w:unhideWhenUsed/>
    <w:rsid w:val="00C56DF9"/>
    <w:pPr>
      <w:spacing w:before="0" w:after="0"/>
      <w:ind w:left="880"/>
    </w:pPr>
    <w:rPr>
      <w:sz w:val="20"/>
      <w:szCs w:val="20"/>
    </w:rPr>
  </w:style>
  <w:style w:type="paragraph" w:styleId="TOC6">
    <w:name w:val="toc 6"/>
    <w:basedOn w:val="Normal"/>
    <w:next w:val="Normal"/>
    <w:autoRedefine/>
    <w:unhideWhenUsed/>
    <w:rsid w:val="00C56DF9"/>
    <w:pPr>
      <w:spacing w:before="0" w:after="0"/>
      <w:ind w:left="1100"/>
    </w:pPr>
    <w:rPr>
      <w:sz w:val="20"/>
      <w:szCs w:val="20"/>
    </w:rPr>
  </w:style>
  <w:style w:type="paragraph" w:styleId="TOC7">
    <w:name w:val="toc 7"/>
    <w:basedOn w:val="Normal"/>
    <w:next w:val="Normal"/>
    <w:autoRedefine/>
    <w:unhideWhenUsed/>
    <w:rsid w:val="00C56DF9"/>
    <w:pPr>
      <w:spacing w:before="0" w:after="0"/>
      <w:ind w:left="1320"/>
    </w:pPr>
    <w:rPr>
      <w:sz w:val="20"/>
      <w:szCs w:val="20"/>
    </w:rPr>
  </w:style>
  <w:style w:type="paragraph" w:styleId="TOC8">
    <w:name w:val="toc 8"/>
    <w:basedOn w:val="Normal"/>
    <w:next w:val="Normal"/>
    <w:autoRedefine/>
    <w:unhideWhenUsed/>
    <w:rsid w:val="00C56DF9"/>
    <w:pPr>
      <w:spacing w:before="0" w:after="0"/>
      <w:ind w:left="1540"/>
    </w:pPr>
    <w:rPr>
      <w:sz w:val="20"/>
      <w:szCs w:val="20"/>
    </w:rPr>
  </w:style>
  <w:style w:type="paragraph" w:styleId="TOC9">
    <w:name w:val="toc 9"/>
    <w:basedOn w:val="Normal"/>
    <w:next w:val="Normal"/>
    <w:autoRedefine/>
    <w:unhideWhenUsed/>
    <w:rsid w:val="00C56DF9"/>
    <w:pPr>
      <w:spacing w:before="0" w:after="0"/>
      <w:ind w:left="1760"/>
    </w:pPr>
    <w:rPr>
      <w:sz w:val="20"/>
      <w:szCs w:val="20"/>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352EC5"/>
    <w:pPr>
      <w:numPr>
        <w:numId w:val="38"/>
      </w:numPr>
      <w:spacing w:before="120"/>
      <w:ind w:right="142"/>
    </w:pPr>
    <w:rPr>
      <w:szCs w:val="20"/>
      <w:lang w:val="en-US" w:eastAsia="en-US"/>
    </w:rPr>
  </w:style>
  <w:style w:type="paragraph" w:customStyle="1" w:styleId="02dash">
    <w:name w:val="02 dash"/>
    <w:basedOn w:val="01squarebullet"/>
    <w:uiPriority w:val="5"/>
    <w:qFormat/>
    <w:rsid w:val="00352EC5"/>
    <w:pPr>
      <w:numPr>
        <w:numId w:val="9"/>
      </w:numPr>
      <w:tabs>
        <w:tab w:val="left" w:pos="646"/>
      </w:tabs>
      <w:ind w:left="641" w:hanging="284"/>
    </w:pPr>
  </w:style>
  <w:style w:type="paragraph" w:customStyle="1" w:styleId="03opensquarebullet">
    <w:name w:val="03 open square bullet"/>
    <w:basedOn w:val="02dash"/>
    <w:uiPriority w:val="4"/>
    <w:qFormat/>
    <w:rsid w:val="00C60693"/>
    <w:pPr>
      <w:numPr>
        <w:numId w:val="10"/>
      </w:numPr>
      <w:tabs>
        <w:tab w:val="clear" w:pos="646"/>
        <w:tab w:val="left" w:pos="924"/>
      </w:tabs>
      <w:ind w:left="925" w:hanging="284"/>
    </w:pPr>
  </w:style>
  <w:style w:type="paragraph" w:customStyle="1" w:styleId="04shortdash">
    <w:name w:val="04 short dash"/>
    <w:basedOn w:val="03opensquarebullet"/>
    <w:uiPriority w:val="7"/>
    <w:qFormat/>
    <w:rsid w:val="00C60693"/>
    <w:pPr>
      <w:numPr>
        <w:numId w:val="11"/>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qFormat/>
    <w:rsid w:val="00655CD2"/>
    <w:pPr>
      <w:pageBreakBefore/>
      <w:numPr>
        <w:numId w:val="7"/>
      </w:numPr>
      <w:spacing w:before="360" w:after="120"/>
      <w:ind w:left="357" w:hanging="357"/>
      <w:outlineLvl w:val="0"/>
    </w:pPr>
    <w:rPr>
      <w:b/>
      <w:color w:val="01653F"/>
      <w:sz w:val="32"/>
      <w:lang w:val="en-US"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C60693"/>
    <w:pPr>
      <w:numPr>
        <w:numId w:val="12"/>
      </w:numPr>
      <w:spacing w:before="120" w:line="264" w:lineRule="auto"/>
      <w:ind w:left="357" w:hanging="357"/>
    </w:pPr>
    <w:rPr>
      <w:szCs w:val="20"/>
      <w:lang w:val="en-US" w:eastAsia="en-US"/>
    </w:rPr>
  </w:style>
  <w:style w:type="paragraph" w:customStyle="1" w:styleId="06letter2">
    <w:name w:val="06 letter/2"/>
    <w:basedOn w:val="Normal"/>
    <w:uiPriority w:val="8"/>
    <w:qFormat/>
    <w:rsid w:val="00C60693"/>
    <w:pPr>
      <w:numPr>
        <w:numId w:val="13"/>
      </w:numPr>
      <w:spacing w:before="120" w:line="264" w:lineRule="auto"/>
      <w:ind w:left="641" w:hanging="284"/>
    </w:pPr>
    <w:rPr>
      <w:szCs w:val="20"/>
      <w:lang w:val="en-US" w:eastAsia="en-US"/>
    </w:rPr>
  </w:style>
  <w:style w:type="paragraph" w:customStyle="1" w:styleId="07number3">
    <w:name w:val="07 number/3"/>
    <w:basedOn w:val="Normal"/>
    <w:uiPriority w:val="9"/>
    <w:qFormat/>
    <w:rsid w:val="00C60693"/>
    <w:pPr>
      <w:numPr>
        <w:numId w:val="14"/>
      </w:numPr>
      <w:spacing w:before="120"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5"/>
      </w:numPr>
      <w:spacing w:before="120" w:line="264" w:lineRule="auto"/>
      <w:ind w:left="1208" w:hanging="284"/>
    </w:pPr>
    <w:rPr>
      <w:szCs w:val="20"/>
      <w:lang w:val="en-US" w:eastAsia="en-US"/>
    </w:rPr>
  </w:style>
  <w:style w:type="paragraph" w:customStyle="1" w:styleId="20major">
    <w:name w:val="20 major"/>
    <w:basedOn w:val="Normal"/>
    <w:next w:val="Normal"/>
    <w:uiPriority w:val="1"/>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3"/>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E75EE1"/>
    <w:rPr>
      <w:rFonts w:asciiTheme="minorHAnsi" w:eastAsiaTheme="minorHAnsi" w:hAnsiTheme="minorHAnsi" w:cs="Arial"/>
      <w:b/>
      <w:bCs/>
      <w:color w:val="01653F"/>
      <w:kern w:val="32"/>
      <w:sz w:val="32"/>
      <w:szCs w:val="28"/>
      <w:lang w:val="en-US" w:eastAsia="en-US"/>
    </w:rPr>
  </w:style>
  <w:style w:type="paragraph" w:customStyle="1" w:styleId="Boldhdg">
    <w:name w:val="Bold hdg"/>
    <w:basedOn w:val="Normal"/>
    <w:link w:val="BoldhdgChar"/>
    <w:uiPriority w:val="7"/>
    <w:qFormat/>
    <w:rsid w:val="00EA3477"/>
    <w:pPr>
      <w:keepNext/>
      <w:spacing w:before="320"/>
    </w:pPr>
    <w:rPr>
      <w:rFonts w:eastAsiaTheme="minorHAnsi" w:cs="Arial"/>
      <w:b/>
      <w:sz w:val="24"/>
      <w:lang w:eastAsia="en-US"/>
    </w:rPr>
  </w:style>
  <w:style w:type="character" w:customStyle="1" w:styleId="BoldhdgChar">
    <w:name w:val="Bold hdg Char"/>
    <w:basedOn w:val="DefaultParagraphFont"/>
    <w:link w:val="Boldhdg"/>
    <w:uiPriority w:val="7"/>
    <w:rsid w:val="00E75EE1"/>
    <w:rPr>
      <w:rFonts w:asciiTheme="minorHAnsi" w:eastAsiaTheme="minorHAnsi" w:hAnsiTheme="minorHAnsi" w:cs="Arial"/>
      <w:b/>
      <w:sz w:val="24"/>
      <w:szCs w:val="24"/>
      <w:lang w:val="en-GB"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 w:val="24"/>
      <w:szCs w:val="20"/>
      <w:lang w:val="de-DE" w:eastAsia="en-US"/>
    </w:rPr>
  </w:style>
  <w:style w:type="paragraph" w:styleId="Revision">
    <w:name w:val="Revision"/>
    <w:hidden/>
    <w:uiPriority w:val="99"/>
    <w:semiHidden/>
    <w:rsid w:val="005875FC"/>
    <w:rPr>
      <w:rFonts w:ascii="Arial" w:hAnsi="Arial"/>
      <w:sz w:val="22"/>
      <w:szCs w:val="24"/>
    </w:rPr>
  </w:style>
  <w:style w:type="paragraph" w:customStyle="1" w:styleId="NormalBulleted">
    <w:name w:val="Normal Bulleted"/>
    <w:basedOn w:val="ListContinue"/>
    <w:link w:val="NormalBulletedChar"/>
    <w:qFormat/>
    <w:rsid w:val="006F7A6E"/>
    <w:pPr>
      <w:numPr>
        <w:numId w:val="29"/>
      </w:numPr>
      <w:spacing w:line="312" w:lineRule="auto"/>
    </w:pPr>
  </w:style>
  <w:style w:type="character" w:customStyle="1" w:styleId="NormalBulletedChar">
    <w:name w:val="Normal Bulleted Char"/>
    <w:basedOn w:val="DefaultParagraphFont"/>
    <w:link w:val="NormalBulleted"/>
    <w:uiPriority w:val="1"/>
    <w:rsid w:val="00352EC5"/>
    <w:rPr>
      <w:rFonts w:asciiTheme="minorHAnsi" w:hAnsiTheme="minorHAnsi"/>
      <w:sz w:val="22"/>
      <w:szCs w:val="24"/>
      <w:lang w:val="en-GB"/>
    </w:rPr>
  </w:style>
  <w:style w:type="paragraph" w:styleId="ListContinue">
    <w:name w:val="List Continue"/>
    <w:basedOn w:val="Normal"/>
    <w:semiHidden/>
    <w:unhideWhenUsed/>
    <w:rsid w:val="006F7A6E"/>
    <w:pPr>
      <w:spacing w:after="120"/>
      <w:ind w:left="283"/>
      <w:contextualSpacing/>
    </w:pPr>
  </w:style>
  <w:style w:type="paragraph" w:customStyle="1" w:styleId="Numbering">
    <w:name w:val="Numbering"/>
    <w:basedOn w:val="ListParagraph"/>
    <w:link w:val="NumberingChar"/>
    <w:rsid w:val="00B4497B"/>
    <w:pPr>
      <w:numPr>
        <w:numId w:val="30"/>
      </w:numPr>
      <w:spacing w:before="120" w:after="120" w:line="312" w:lineRule="auto"/>
    </w:pPr>
    <w:rPr>
      <w:b/>
      <w:lang w:val="en-US" w:eastAsia="en-US"/>
    </w:rPr>
  </w:style>
  <w:style w:type="character" w:customStyle="1" w:styleId="NumberingChar">
    <w:name w:val="Numbering Char"/>
    <w:basedOn w:val="ListParagraphChar"/>
    <w:link w:val="Numbering"/>
    <w:rsid w:val="00B4497B"/>
    <w:rPr>
      <w:rFonts w:asciiTheme="minorHAnsi" w:eastAsiaTheme="minorHAnsi" w:hAnsiTheme="minorHAnsi" w:cs="Arial"/>
      <w:b/>
      <w:sz w:val="22"/>
      <w:szCs w:val="22"/>
      <w:lang w:val="en-US" w:eastAsia="en-US"/>
    </w:rPr>
  </w:style>
  <w:style w:type="character" w:styleId="EndnoteReference">
    <w:name w:val="endnote reference"/>
    <w:basedOn w:val="DefaultParagraphFont"/>
    <w:unhideWhenUsed/>
    <w:rsid w:val="00472741"/>
    <w:rPr>
      <w:vertAlign w:val="superscript"/>
    </w:rPr>
  </w:style>
  <w:style w:type="paragraph" w:customStyle="1" w:styleId="Subitalics">
    <w:name w:val="Sub italics"/>
    <w:basedOn w:val="Boldhdg"/>
    <w:uiPriority w:val="5"/>
    <w:qFormat/>
    <w:rsid w:val="00EA3477"/>
    <w:rPr>
      <w:i/>
      <w:sz w:val="22"/>
      <w:szCs w:val="22"/>
    </w:rPr>
  </w:style>
  <w:style w:type="numbering" w:customStyle="1" w:styleId="Style2">
    <w:name w:val="Style2"/>
    <w:uiPriority w:val="99"/>
    <w:rsid w:val="0047371C"/>
    <w:pPr>
      <w:numPr>
        <w:numId w:val="35"/>
      </w:numPr>
    </w:pPr>
  </w:style>
  <w:style w:type="numbering" w:customStyle="1" w:styleId="Style3">
    <w:name w:val="Style3"/>
    <w:uiPriority w:val="99"/>
    <w:rsid w:val="00352EC5"/>
    <w:pPr>
      <w:numPr>
        <w:numId w:val="37"/>
      </w:numPr>
    </w:pPr>
  </w:style>
  <w:style w:type="paragraph" w:customStyle="1" w:styleId="Subhead">
    <w:name w:val="Sub head"/>
    <w:basedOn w:val="Normal"/>
    <w:next w:val="Normal"/>
    <w:qFormat/>
    <w:rsid w:val="004F57CE"/>
    <w:pPr>
      <w:spacing w:before="0" w:after="0"/>
    </w:pPr>
    <w:rPr>
      <w:rFonts w:ascii="Calibri" w:hAnsi="Calibri"/>
      <w:b/>
      <w:color w:val="01653F"/>
      <w:sz w:val="32"/>
    </w:rPr>
  </w:style>
  <w:style w:type="paragraph" w:customStyle="1" w:styleId="BoxText">
    <w:name w:val="BoxText"/>
    <w:basedOn w:val="Normal"/>
    <w:qFormat/>
    <w:rsid w:val="00B758E4"/>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lang w:val="en-AU"/>
    </w:rPr>
  </w:style>
  <w:style w:type="paragraph" w:customStyle="1" w:styleId="BoxBullet">
    <w:name w:val="BoxBullet"/>
    <w:basedOn w:val="BoxText"/>
    <w:rsid w:val="00B758E4"/>
    <w:pPr>
      <w:numPr>
        <w:numId w:val="39"/>
      </w:numPr>
    </w:pPr>
  </w:style>
  <w:style w:type="paragraph" w:customStyle="1" w:styleId="AppendixStyle2">
    <w:name w:val="Appendix Style2"/>
    <w:basedOn w:val="Heading2Report"/>
    <w:qFormat/>
    <w:rsid w:val="00AB64DD"/>
    <w:pPr>
      <w:spacing w:before="120" w:line="312" w:lineRule="auto"/>
    </w:pPr>
    <w:rPr>
      <w:rFonts w:asciiTheme="minorHAnsi" w:eastAsiaTheme="minorHAnsi" w:hAnsiTheme="minorHAnsi"/>
      <w:color w:val="auto"/>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09472174">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26898969">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08FE8D50-546D-42AA-8993-100B15B9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21006</Words>
  <Characters>119737</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Endocrinology Clinical Committee</dc:title>
  <dc:subject>Medicare Benefits Schedule</dc:subject>
  <dc:creator>Australian Government Department of Health</dc:creator>
  <dc:description>_x000d_
</dc:description>
  <cp:lastModifiedBy>SMEDLEY, Tyne</cp:lastModifiedBy>
  <cp:revision>2</cp:revision>
  <cp:lastPrinted>2017-06-15T03:34:00Z</cp:lastPrinted>
  <dcterms:created xsi:type="dcterms:W3CDTF">2021-06-28T23:49:00Z</dcterms:created>
  <dcterms:modified xsi:type="dcterms:W3CDTF">2021-06-28T23:49:00Z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jameschefoliver@gmail.com@www.mendeley.com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