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FAC66" w14:textId="77777777" w:rsidR="00262127" w:rsidRPr="00F623CB" w:rsidRDefault="00262127" w:rsidP="00F623CB">
      <w:pPr>
        <w:pStyle w:val="Subtitle"/>
      </w:pPr>
      <w:bookmarkStart w:id="0" w:name="_Toc427153112"/>
      <w:r w:rsidRPr="00F623CB">
        <w:t>Medicare Benefits Schedule Review Taskforce</w:t>
      </w:r>
    </w:p>
    <w:p w14:paraId="480B24EE" w14:textId="1800778E" w:rsidR="00354190" w:rsidRPr="00536CA1" w:rsidRDefault="00466D09" w:rsidP="00354190">
      <w:pPr>
        <w:pStyle w:val="Title"/>
        <w:rPr>
          <w:sz w:val="60"/>
          <w:szCs w:val="60"/>
        </w:rPr>
      </w:pPr>
      <w:r>
        <w:rPr>
          <w:sz w:val="60"/>
          <w:szCs w:val="60"/>
        </w:rPr>
        <w:t xml:space="preserve">Fourth </w:t>
      </w:r>
      <w:r w:rsidR="00A3458C">
        <w:rPr>
          <w:sz w:val="60"/>
          <w:szCs w:val="60"/>
        </w:rPr>
        <w:t>report from the</w:t>
      </w:r>
    </w:p>
    <w:p w14:paraId="6E948E7B" w14:textId="322B2ADE" w:rsidR="00354190" w:rsidRPr="00536CA1" w:rsidRDefault="00354190" w:rsidP="00354190">
      <w:pPr>
        <w:pStyle w:val="Title"/>
        <w:rPr>
          <w:sz w:val="60"/>
          <w:szCs w:val="60"/>
        </w:rPr>
      </w:pPr>
      <w:r w:rsidRPr="00536CA1">
        <w:rPr>
          <w:sz w:val="60"/>
          <w:szCs w:val="60"/>
        </w:rPr>
        <w:t xml:space="preserve">Diagnostic Imaging Clinical Committee </w:t>
      </w:r>
      <w:r>
        <w:rPr>
          <w:sz w:val="60"/>
          <w:szCs w:val="60"/>
        </w:rPr>
        <w:t>–</w:t>
      </w:r>
      <w:r w:rsidRPr="00536CA1">
        <w:rPr>
          <w:sz w:val="60"/>
          <w:szCs w:val="60"/>
        </w:rPr>
        <w:t xml:space="preserve"> </w:t>
      </w:r>
      <w:r>
        <w:rPr>
          <w:sz w:val="60"/>
          <w:szCs w:val="60"/>
        </w:rPr>
        <w:t>Pulmonary Embolism and Deep Vein Thrombosis</w:t>
      </w:r>
    </w:p>
    <w:p w14:paraId="76C482B1" w14:textId="770751F6" w:rsidR="008A49F1" w:rsidRPr="009200D8" w:rsidRDefault="0068729A" w:rsidP="00905497">
      <w:pPr>
        <w:pStyle w:val="Subtitle"/>
        <w:rPr>
          <w:rStyle w:val="IntenseReference"/>
          <w:bCs w:val="0"/>
          <w:i w:val="0"/>
          <w:smallCaps w:val="0"/>
          <w:sz w:val="20"/>
          <w:szCs w:val="20"/>
        </w:rPr>
      </w:pPr>
      <w:r>
        <w:t>December</w:t>
      </w:r>
      <w:r w:rsidR="00994B8F">
        <w:t xml:space="preserve"> </w:t>
      </w:r>
      <w:r w:rsidR="00262127" w:rsidRPr="00F623CB">
        <w:t>2016</w:t>
      </w:r>
      <w:bookmarkStart w:id="1" w:name="_Toc448369494"/>
      <w:r w:rsidR="008A49F1" w:rsidRPr="009200D8">
        <w:rPr>
          <w:rStyle w:val="IntenseReference"/>
          <w:bCs w:val="0"/>
          <w:i w:val="0"/>
          <w:smallCaps w:val="0"/>
          <w:sz w:val="20"/>
          <w:szCs w:val="20"/>
        </w:rPr>
        <w:br w:type="page"/>
      </w:r>
    </w:p>
    <w:p w14:paraId="773810F5" w14:textId="77777777" w:rsidR="00F623CB" w:rsidRDefault="00F623CB" w:rsidP="00F623CB">
      <w:pPr>
        <w:pStyle w:val="BoxText"/>
        <w:pBdr>
          <w:top w:val="single" w:sz="12" w:space="4" w:color="984806"/>
          <w:left w:val="single" w:sz="12" w:space="4" w:color="984806"/>
          <w:bottom w:val="single" w:sz="12" w:space="4" w:color="984806"/>
          <w:right w:val="single" w:sz="12" w:space="4" w:color="984806"/>
        </w:pBdr>
        <w:rPr>
          <w:rFonts w:cs="Arial"/>
          <w:bCs/>
        </w:rPr>
      </w:pPr>
      <w:r w:rsidRPr="003B1222">
        <w:rPr>
          <w:rFonts w:cs="Arial"/>
          <w:b/>
          <w:bCs/>
          <w:color w:val="01653F"/>
          <w:sz w:val="32"/>
          <w:szCs w:val="28"/>
        </w:rPr>
        <w:lastRenderedPageBreak/>
        <w:t>Important note</w:t>
      </w:r>
    </w:p>
    <w:p w14:paraId="3CEF6C88" w14:textId="77777777" w:rsidR="00F623CB" w:rsidRDefault="00F623CB" w:rsidP="00F623CB">
      <w:pPr>
        <w:pStyle w:val="BoxText"/>
        <w:pBdr>
          <w:top w:val="single" w:sz="12" w:space="4" w:color="984806"/>
          <w:left w:val="single" w:sz="12" w:space="4" w:color="984806"/>
          <w:bottom w:val="single" w:sz="12" w:space="4" w:color="984806"/>
          <w:right w:val="single" w:sz="12" w:space="4" w:color="984806"/>
        </w:pBdr>
        <w:rPr>
          <w:rFonts w:cs="Arial"/>
          <w:bCs/>
        </w:rPr>
      </w:pPr>
      <w:r w:rsidRPr="00913EA8">
        <w:rPr>
          <w:rFonts w:cs="Arial"/>
          <w:bCs/>
        </w:rPr>
        <w:t>The views and recommendations in this review report from the clinical committee have been released for the purpose of seeking the views of stakeholders.</w:t>
      </w:r>
    </w:p>
    <w:p w14:paraId="48237C0A" w14:textId="77777777" w:rsidR="00F623CB" w:rsidRDefault="00F623CB" w:rsidP="00F623CB">
      <w:pPr>
        <w:pStyle w:val="BoxText"/>
        <w:pBdr>
          <w:top w:val="single" w:sz="12" w:space="4" w:color="984806"/>
          <w:left w:val="single" w:sz="12" w:space="4" w:color="984806"/>
          <w:bottom w:val="single" w:sz="12" w:space="4" w:color="984806"/>
          <w:right w:val="single" w:sz="12" w:space="4" w:color="984806"/>
        </w:pBdr>
        <w:rPr>
          <w:noProof/>
        </w:rPr>
      </w:pPr>
      <w:r w:rsidRPr="00913EA8">
        <w:rPr>
          <w:rFonts w:cs="Arial"/>
          <w:bCs/>
        </w:rPr>
        <w:t>This report does not constitute the final position on these items which is subject to:</w:t>
      </w:r>
      <w:r w:rsidRPr="00CA4CDF">
        <w:rPr>
          <w:noProof/>
        </w:rPr>
        <w:t xml:space="preserve"> </w:t>
      </w:r>
    </w:p>
    <w:p w14:paraId="145A7549" w14:textId="77777777" w:rsidR="00F623CB" w:rsidRPr="001B6B24" w:rsidRDefault="00F623CB" w:rsidP="00F623CB">
      <w:pPr>
        <w:pStyle w:val="BoxBullet"/>
        <w:pBdr>
          <w:top w:val="single" w:sz="12" w:space="4" w:color="984806"/>
          <w:left w:val="single" w:sz="12" w:space="4" w:color="984806"/>
          <w:bottom w:val="single" w:sz="12" w:space="4" w:color="984806"/>
          <w:right w:val="single" w:sz="12" w:space="4" w:color="984806"/>
        </w:pBdr>
      </w:pPr>
      <w:r w:rsidRPr="00AC60DB">
        <w:rPr>
          <w:rFonts w:eastAsia="MS Mincho"/>
        </w:rPr>
        <w:t xml:space="preserve">Stakeholder </w:t>
      </w:r>
      <w:proofErr w:type="gramStart"/>
      <w:r w:rsidRPr="00AC60DB">
        <w:rPr>
          <w:rFonts w:eastAsia="MS Mincho"/>
        </w:rPr>
        <w:t>feedback</w:t>
      </w:r>
      <w:r w:rsidRPr="00F126D6">
        <w:rPr>
          <w:bCs/>
        </w:rPr>
        <w:t>;</w:t>
      </w:r>
      <w:proofErr w:type="gramEnd"/>
    </w:p>
    <w:p w14:paraId="6D522957" w14:textId="77777777" w:rsidR="00F623CB" w:rsidRPr="001B6B24" w:rsidRDefault="00F623CB" w:rsidP="00F623CB">
      <w:pPr>
        <w:pStyle w:val="BoxText"/>
        <w:pBdr>
          <w:top w:val="single" w:sz="12" w:space="4" w:color="984806"/>
          <w:left w:val="single" w:sz="12" w:space="4" w:color="984806"/>
          <w:bottom w:val="single" w:sz="12" w:space="4" w:color="984806"/>
          <w:right w:val="single" w:sz="12" w:space="4" w:color="984806"/>
        </w:pBdr>
      </w:pPr>
      <w:r>
        <w:t>Then</w:t>
      </w:r>
    </w:p>
    <w:p w14:paraId="0408D4D0" w14:textId="77777777" w:rsidR="00F623CB" w:rsidRPr="001B6B24" w:rsidRDefault="00F623CB" w:rsidP="00F623CB">
      <w:pPr>
        <w:pStyle w:val="BoxBullet"/>
        <w:pBdr>
          <w:top w:val="single" w:sz="12" w:space="4" w:color="984806"/>
          <w:left w:val="single" w:sz="12" w:space="4" w:color="984806"/>
          <w:bottom w:val="single" w:sz="12" w:space="4" w:color="984806"/>
          <w:right w:val="single" w:sz="12" w:space="4" w:color="984806"/>
        </w:pBdr>
      </w:pPr>
      <w:r w:rsidRPr="00F126D6">
        <w:rPr>
          <w:bCs/>
        </w:rPr>
        <w:t xml:space="preserve">Consideration by the </w:t>
      </w:r>
      <w:r>
        <w:rPr>
          <w:bCs/>
        </w:rPr>
        <w:t>MBS</w:t>
      </w:r>
      <w:r w:rsidRPr="00F126D6">
        <w:rPr>
          <w:bCs/>
        </w:rPr>
        <w:t xml:space="preserve"> </w:t>
      </w:r>
      <w:r>
        <w:rPr>
          <w:bCs/>
        </w:rPr>
        <w:t>R</w:t>
      </w:r>
      <w:r w:rsidRPr="00F126D6">
        <w:rPr>
          <w:bCs/>
        </w:rPr>
        <w:t xml:space="preserve">eview </w:t>
      </w:r>
      <w:proofErr w:type="gramStart"/>
      <w:r>
        <w:rPr>
          <w:bCs/>
        </w:rPr>
        <w:t>T</w:t>
      </w:r>
      <w:r w:rsidRPr="00F126D6">
        <w:rPr>
          <w:bCs/>
        </w:rPr>
        <w:t>askforce;</w:t>
      </w:r>
      <w:proofErr w:type="gramEnd"/>
    </w:p>
    <w:p w14:paraId="61D8D9BF" w14:textId="77777777" w:rsidR="00F623CB" w:rsidRPr="001B6B24" w:rsidRDefault="00F623CB" w:rsidP="00F623CB">
      <w:pPr>
        <w:pStyle w:val="BoxText"/>
        <w:pBdr>
          <w:top w:val="single" w:sz="12" w:space="4" w:color="984806"/>
          <w:left w:val="single" w:sz="12" w:space="4" w:color="984806"/>
          <w:bottom w:val="single" w:sz="12" w:space="4" w:color="984806"/>
          <w:right w:val="single" w:sz="12" w:space="4" w:color="984806"/>
        </w:pBdr>
      </w:pPr>
      <w:r w:rsidRPr="00913EA8">
        <w:t xml:space="preserve">Then </w:t>
      </w:r>
      <w:r w:rsidRPr="001B6B24">
        <w:rPr>
          <w:i/>
        </w:rPr>
        <w:t>if endorsed</w:t>
      </w:r>
    </w:p>
    <w:p w14:paraId="57265857" w14:textId="77777777" w:rsidR="00F623CB" w:rsidRPr="001B6B24" w:rsidRDefault="00F623CB" w:rsidP="00F623CB">
      <w:pPr>
        <w:pStyle w:val="BoxBullet"/>
        <w:pBdr>
          <w:top w:val="single" w:sz="12" w:space="4" w:color="984806"/>
          <w:left w:val="single" w:sz="12" w:space="4" w:color="984806"/>
          <w:bottom w:val="single" w:sz="12" w:space="4" w:color="984806"/>
          <w:right w:val="single" w:sz="12" w:space="4" w:color="984806"/>
        </w:pBdr>
      </w:pPr>
      <w:r w:rsidRPr="00F126D6">
        <w:rPr>
          <w:bCs/>
        </w:rPr>
        <w:t xml:space="preserve">Consideration by the </w:t>
      </w:r>
      <w:r>
        <w:rPr>
          <w:bCs/>
        </w:rPr>
        <w:t>M</w:t>
      </w:r>
      <w:r w:rsidRPr="00F126D6">
        <w:rPr>
          <w:bCs/>
        </w:rPr>
        <w:t xml:space="preserve">inister for </w:t>
      </w:r>
      <w:r>
        <w:rPr>
          <w:bCs/>
        </w:rPr>
        <w:t>H</w:t>
      </w:r>
      <w:r w:rsidRPr="00F126D6">
        <w:rPr>
          <w:bCs/>
        </w:rPr>
        <w:t>ealth; and</w:t>
      </w:r>
    </w:p>
    <w:p w14:paraId="7517E748" w14:textId="77777777" w:rsidR="00F623CB" w:rsidRPr="001B6B24" w:rsidRDefault="00F623CB" w:rsidP="00F623CB">
      <w:pPr>
        <w:pStyle w:val="BoxBullet"/>
        <w:pBdr>
          <w:top w:val="single" w:sz="12" w:space="4" w:color="984806"/>
          <w:left w:val="single" w:sz="12" w:space="4" w:color="984806"/>
          <w:bottom w:val="single" w:sz="12" w:space="4" w:color="984806"/>
          <w:right w:val="single" w:sz="12" w:space="4" w:color="984806"/>
        </w:pBdr>
      </w:pPr>
      <w:r w:rsidRPr="00F126D6">
        <w:rPr>
          <w:bCs/>
        </w:rPr>
        <w:t>Government.</w:t>
      </w:r>
    </w:p>
    <w:p w14:paraId="3110A1A7" w14:textId="2F06A44A" w:rsidR="00F623CB" w:rsidRPr="0068729A" w:rsidRDefault="00F623CB" w:rsidP="00F623CB">
      <w:pPr>
        <w:pStyle w:val="BoxText"/>
        <w:pBdr>
          <w:top w:val="single" w:sz="12" w:space="4" w:color="984806"/>
          <w:left w:val="single" w:sz="12" w:space="4" w:color="984806"/>
          <w:bottom w:val="single" w:sz="12" w:space="4" w:color="984806"/>
          <w:right w:val="single" w:sz="12" w:space="4" w:color="984806"/>
        </w:pBdr>
        <w:rPr>
          <w:rFonts w:cs="Arial"/>
        </w:rPr>
      </w:pPr>
      <w:r w:rsidRPr="00913EA8">
        <w:rPr>
          <w:rFonts w:cs="Arial"/>
          <w:bCs/>
        </w:rPr>
        <w:t xml:space="preserve">Stakeholders should provide comment on the recommendations via the </w:t>
      </w:r>
      <w:r w:rsidRPr="0068729A">
        <w:rPr>
          <w:rFonts w:eastAsiaTheme="majorEastAsia" w:cs="Arial"/>
        </w:rPr>
        <w:t>online consultation tool</w:t>
      </w:r>
      <w:r w:rsidRPr="0068729A">
        <w:rPr>
          <w:rFonts w:cs="Arial"/>
        </w:rPr>
        <w:t>.</w:t>
      </w:r>
    </w:p>
    <w:p w14:paraId="66165E1B" w14:textId="77777777" w:rsidR="00F623CB" w:rsidRDefault="00F623CB" w:rsidP="00F623CB">
      <w:pPr>
        <w:pStyle w:val="BoxText"/>
        <w:pBdr>
          <w:top w:val="single" w:sz="12" w:space="4" w:color="984806"/>
          <w:left w:val="single" w:sz="12" w:space="4" w:color="984806"/>
          <w:bottom w:val="single" w:sz="12" w:space="4" w:color="984806"/>
          <w:right w:val="single" w:sz="12" w:space="4" w:color="984806"/>
        </w:pBdr>
        <w:rPr>
          <w:rFonts w:cs="Arial"/>
          <w:u w:val="single"/>
        </w:rPr>
      </w:pPr>
      <w:r w:rsidRPr="003B1222">
        <w:rPr>
          <w:rFonts w:cs="Arial"/>
          <w:b/>
          <w:bCs/>
          <w:color w:val="01653F"/>
        </w:rPr>
        <w:t>Confidentiality of comments:</w:t>
      </w:r>
    </w:p>
    <w:p w14:paraId="3AE4492E" w14:textId="01FC5688" w:rsidR="00262127" w:rsidRPr="009200D8" w:rsidRDefault="00F623CB" w:rsidP="00F623CB">
      <w:pPr>
        <w:pStyle w:val="BoxText"/>
        <w:pBdr>
          <w:top w:val="single" w:sz="12" w:space="4" w:color="984806"/>
          <w:left w:val="single" w:sz="12" w:space="4" w:color="984806"/>
          <w:bottom w:val="single" w:sz="12" w:space="4" w:color="984806"/>
          <w:right w:val="single" w:sz="12" w:space="4" w:color="984806"/>
        </w:pBdr>
        <w:rPr>
          <w:rFonts w:cs="Arial"/>
        </w:rPr>
      </w:pPr>
      <w:r w:rsidRPr="00913EA8">
        <w:rPr>
          <w:rFonts w:cs="Arial"/>
          <w:bCs/>
        </w:rPr>
        <w:t xml:space="preserve">If you want your </w:t>
      </w:r>
      <w:r w:rsidR="004004C3">
        <w:rPr>
          <w:rFonts w:cs="Arial"/>
          <w:bCs/>
        </w:rPr>
        <w:t>feedback</w:t>
      </w:r>
      <w:r w:rsidR="004004C3" w:rsidRPr="00913EA8">
        <w:rPr>
          <w:rFonts w:cs="Arial"/>
          <w:bCs/>
        </w:rPr>
        <w:t xml:space="preserve"> </w:t>
      </w:r>
      <w:r w:rsidRPr="00913EA8">
        <w:rPr>
          <w:rFonts w:cs="Arial"/>
          <w:bCs/>
        </w:rPr>
        <w:t xml:space="preserve">to remain confidential please mark it as such. It is important to be aware that confidential </w:t>
      </w:r>
      <w:r w:rsidR="004004C3">
        <w:rPr>
          <w:rFonts w:cs="Arial"/>
          <w:bCs/>
        </w:rPr>
        <w:t>feedback</w:t>
      </w:r>
      <w:r w:rsidR="004004C3" w:rsidRPr="00913EA8">
        <w:rPr>
          <w:rFonts w:cs="Arial"/>
          <w:bCs/>
        </w:rPr>
        <w:t xml:space="preserve"> </w:t>
      </w:r>
      <w:r w:rsidRPr="00913EA8">
        <w:rPr>
          <w:rFonts w:cs="Arial"/>
          <w:bCs/>
        </w:rPr>
        <w:t>may still be subject to access under freedom of information law.</w:t>
      </w:r>
    </w:p>
    <w:p w14:paraId="245F869D" w14:textId="77777777" w:rsidR="00C14752" w:rsidRDefault="00C14752" w:rsidP="003F788A">
      <w:pPr>
        <w:spacing w:before="120" w:after="120"/>
        <w:rPr>
          <w:rFonts w:cs="Arial"/>
        </w:rPr>
        <w:sectPr w:rsidR="00C14752" w:rsidSect="00326D7D">
          <w:pgSz w:w="11906" w:h="16838" w:code="9"/>
          <w:pgMar w:top="1134" w:right="1440" w:bottom="1134" w:left="1440" w:header="720" w:footer="720" w:gutter="0"/>
          <w:paperSrc w:first="2" w:other="2"/>
          <w:cols w:space="720"/>
          <w:docGrid w:linePitch="326"/>
        </w:sectPr>
      </w:pPr>
    </w:p>
    <w:p w14:paraId="1A5A0FCA" w14:textId="77777777" w:rsidR="00C56DF9" w:rsidRPr="003B1222" w:rsidRDefault="00C56DF9" w:rsidP="003F788A">
      <w:pPr>
        <w:spacing w:before="120" w:after="120"/>
        <w:rPr>
          <w:rFonts w:cs="Arial"/>
          <w:b/>
          <w:color w:val="01653F"/>
          <w:sz w:val="32"/>
          <w:szCs w:val="32"/>
        </w:rPr>
      </w:pPr>
      <w:r w:rsidRPr="003B1222">
        <w:rPr>
          <w:rFonts w:cs="Arial"/>
          <w:b/>
          <w:color w:val="01653F"/>
          <w:sz w:val="32"/>
          <w:szCs w:val="32"/>
        </w:rPr>
        <w:lastRenderedPageBreak/>
        <w:t>Table of Contents</w:t>
      </w:r>
      <w:bookmarkEnd w:id="1"/>
    </w:p>
    <w:p w14:paraId="58D341D2" w14:textId="77777777" w:rsidR="00C913FB" w:rsidRDefault="007D5BB4">
      <w:pPr>
        <w:pStyle w:val="TOC1"/>
        <w:tabs>
          <w:tab w:val="left" w:pos="440"/>
          <w:tab w:val="right" w:leader="dot" w:pos="9016"/>
        </w:tabs>
        <w:rPr>
          <w:rFonts w:eastAsiaTheme="minorEastAsia" w:cstheme="minorBidi"/>
          <w:b w:val="0"/>
          <w:noProof/>
        </w:rPr>
      </w:pPr>
      <w:r>
        <w:rPr>
          <w:smallCaps/>
          <w:noProof/>
          <w:sz w:val="24"/>
        </w:rPr>
        <w:fldChar w:fldCharType="begin"/>
      </w:r>
      <w:r>
        <w:rPr>
          <w:smallCaps/>
          <w:noProof/>
          <w:sz w:val="24"/>
        </w:rPr>
        <w:instrText xml:space="preserve"> TOC \o "1-2" \t "Rec,2" </w:instrText>
      </w:r>
      <w:r>
        <w:rPr>
          <w:smallCaps/>
          <w:noProof/>
          <w:sz w:val="24"/>
        </w:rPr>
        <w:fldChar w:fldCharType="separate"/>
      </w:r>
      <w:r w:rsidR="00C913FB">
        <w:rPr>
          <w:noProof/>
        </w:rPr>
        <w:t>1.</w:t>
      </w:r>
      <w:r w:rsidR="00C913FB">
        <w:rPr>
          <w:rFonts w:eastAsiaTheme="minorEastAsia" w:cstheme="minorBidi"/>
          <w:b w:val="0"/>
          <w:noProof/>
        </w:rPr>
        <w:tab/>
      </w:r>
      <w:r w:rsidR="00C913FB">
        <w:rPr>
          <w:noProof/>
        </w:rPr>
        <w:t>Executive Summary</w:t>
      </w:r>
      <w:r w:rsidR="00C913FB">
        <w:rPr>
          <w:noProof/>
        </w:rPr>
        <w:tab/>
      </w:r>
      <w:r w:rsidR="00C913FB">
        <w:rPr>
          <w:noProof/>
        </w:rPr>
        <w:fldChar w:fldCharType="begin"/>
      </w:r>
      <w:r w:rsidR="00C913FB">
        <w:rPr>
          <w:noProof/>
        </w:rPr>
        <w:instrText xml:space="preserve"> PAGEREF _Toc468787452 \h </w:instrText>
      </w:r>
      <w:r w:rsidR="00C913FB">
        <w:rPr>
          <w:noProof/>
        </w:rPr>
      </w:r>
      <w:r w:rsidR="00C913FB">
        <w:rPr>
          <w:noProof/>
        </w:rPr>
        <w:fldChar w:fldCharType="separate"/>
      </w:r>
      <w:r w:rsidR="009771DA">
        <w:rPr>
          <w:noProof/>
        </w:rPr>
        <w:t>3</w:t>
      </w:r>
      <w:r w:rsidR="00C913FB">
        <w:rPr>
          <w:noProof/>
        </w:rPr>
        <w:fldChar w:fldCharType="end"/>
      </w:r>
    </w:p>
    <w:p w14:paraId="3B910B3A" w14:textId="77777777" w:rsidR="00C913FB" w:rsidRDefault="00C913FB">
      <w:pPr>
        <w:pStyle w:val="TOC2"/>
        <w:rPr>
          <w:rFonts w:eastAsiaTheme="minorEastAsia" w:cstheme="minorBidi"/>
          <w:noProof/>
        </w:rPr>
      </w:pPr>
      <w:r>
        <w:rPr>
          <w:noProof/>
        </w:rPr>
        <w:t>1.1</w:t>
      </w:r>
      <w:r>
        <w:rPr>
          <w:rFonts w:eastAsiaTheme="minorEastAsia" w:cstheme="minorBidi"/>
          <w:noProof/>
        </w:rPr>
        <w:tab/>
      </w:r>
      <w:r>
        <w:rPr>
          <w:noProof/>
        </w:rPr>
        <w:t>Areas of responsibility of the Pulmonary Embolism (PE) and and Deep Vein Thrombosis (DVT) Working Group</w:t>
      </w:r>
      <w:r>
        <w:rPr>
          <w:noProof/>
        </w:rPr>
        <w:tab/>
      </w:r>
      <w:r>
        <w:rPr>
          <w:noProof/>
        </w:rPr>
        <w:fldChar w:fldCharType="begin"/>
      </w:r>
      <w:r>
        <w:rPr>
          <w:noProof/>
        </w:rPr>
        <w:instrText xml:space="preserve"> PAGEREF _Toc468787453 \h </w:instrText>
      </w:r>
      <w:r>
        <w:rPr>
          <w:noProof/>
        </w:rPr>
      </w:r>
      <w:r>
        <w:rPr>
          <w:noProof/>
        </w:rPr>
        <w:fldChar w:fldCharType="separate"/>
      </w:r>
      <w:r w:rsidR="009771DA">
        <w:rPr>
          <w:noProof/>
        </w:rPr>
        <w:t>3</w:t>
      </w:r>
      <w:r>
        <w:rPr>
          <w:noProof/>
        </w:rPr>
        <w:fldChar w:fldCharType="end"/>
      </w:r>
    </w:p>
    <w:p w14:paraId="4668862A" w14:textId="77777777" w:rsidR="00C913FB" w:rsidRDefault="00C913FB">
      <w:pPr>
        <w:pStyle w:val="TOC2"/>
        <w:rPr>
          <w:rFonts w:eastAsiaTheme="minorEastAsia" w:cstheme="minorBidi"/>
          <w:noProof/>
        </w:rPr>
      </w:pPr>
      <w:r>
        <w:rPr>
          <w:noProof/>
        </w:rPr>
        <w:t>1.2</w:t>
      </w:r>
      <w:r>
        <w:rPr>
          <w:rFonts w:eastAsiaTheme="minorEastAsia" w:cstheme="minorBidi"/>
          <w:noProof/>
        </w:rPr>
        <w:tab/>
      </w:r>
      <w:r>
        <w:rPr>
          <w:noProof/>
        </w:rPr>
        <w:t>Key recommendations</w:t>
      </w:r>
      <w:r>
        <w:rPr>
          <w:noProof/>
        </w:rPr>
        <w:tab/>
      </w:r>
      <w:r>
        <w:rPr>
          <w:noProof/>
        </w:rPr>
        <w:fldChar w:fldCharType="begin"/>
      </w:r>
      <w:r>
        <w:rPr>
          <w:noProof/>
        </w:rPr>
        <w:instrText xml:space="preserve"> PAGEREF _Toc468787454 \h </w:instrText>
      </w:r>
      <w:r>
        <w:rPr>
          <w:noProof/>
        </w:rPr>
      </w:r>
      <w:r>
        <w:rPr>
          <w:noProof/>
        </w:rPr>
        <w:fldChar w:fldCharType="separate"/>
      </w:r>
      <w:r w:rsidR="009771DA">
        <w:rPr>
          <w:noProof/>
        </w:rPr>
        <w:t>5</w:t>
      </w:r>
      <w:r>
        <w:rPr>
          <w:noProof/>
        </w:rPr>
        <w:fldChar w:fldCharType="end"/>
      </w:r>
    </w:p>
    <w:p w14:paraId="32EFC7C9" w14:textId="77777777" w:rsidR="00C913FB" w:rsidRDefault="00C913FB">
      <w:pPr>
        <w:pStyle w:val="TOC2"/>
        <w:rPr>
          <w:rFonts w:eastAsiaTheme="minorEastAsia" w:cstheme="minorBidi"/>
          <w:noProof/>
        </w:rPr>
      </w:pPr>
      <w:r>
        <w:rPr>
          <w:noProof/>
        </w:rPr>
        <w:t>1.3</w:t>
      </w:r>
      <w:r>
        <w:rPr>
          <w:rFonts w:eastAsiaTheme="minorEastAsia" w:cstheme="minorBidi"/>
          <w:noProof/>
        </w:rPr>
        <w:tab/>
      </w:r>
      <w:r>
        <w:rPr>
          <w:noProof/>
        </w:rPr>
        <w:t>Consumer engagement</w:t>
      </w:r>
      <w:r>
        <w:rPr>
          <w:noProof/>
        </w:rPr>
        <w:tab/>
      </w:r>
      <w:r>
        <w:rPr>
          <w:noProof/>
        </w:rPr>
        <w:fldChar w:fldCharType="begin"/>
      </w:r>
      <w:r>
        <w:rPr>
          <w:noProof/>
        </w:rPr>
        <w:instrText xml:space="preserve"> PAGEREF _Toc468787455 \h </w:instrText>
      </w:r>
      <w:r>
        <w:rPr>
          <w:noProof/>
        </w:rPr>
      </w:r>
      <w:r>
        <w:rPr>
          <w:noProof/>
        </w:rPr>
        <w:fldChar w:fldCharType="separate"/>
      </w:r>
      <w:r w:rsidR="009771DA">
        <w:rPr>
          <w:noProof/>
        </w:rPr>
        <w:t>4</w:t>
      </w:r>
      <w:r>
        <w:rPr>
          <w:noProof/>
        </w:rPr>
        <w:fldChar w:fldCharType="end"/>
      </w:r>
    </w:p>
    <w:p w14:paraId="33D02B48" w14:textId="77777777" w:rsidR="00C913FB" w:rsidRDefault="00C913FB">
      <w:pPr>
        <w:pStyle w:val="TOC1"/>
        <w:tabs>
          <w:tab w:val="left" w:pos="440"/>
          <w:tab w:val="right" w:leader="dot" w:pos="9016"/>
        </w:tabs>
        <w:rPr>
          <w:rFonts w:eastAsiaTheme="minorEastAsia" w:cstheme="minorBidi"/>
          <w:b w:val="0"/>
          <w:noProof/>
        </w:rPr>
      </w:pPr>
      <w:r>
        <w:rPr>
          <w:noProof/>
        </w:rPr>
        <w:t>2.</w:t>
      </w:r>
      <w:r>
        <w:rPr>
          <w:rFonts w:eastAsiaTheme="minorEastAsia" w:cstheme="minorBidi"/>
          <w:b w:val="0"/>
          <w:noProof/>
        </w:rPr>
        <w:tab/>
      </w:r>
      <w:r>
        <w:rPr>
          <w:noProof/>
        </w:rPr>
        <w:t>About the Medicare Benefits Schedule (MBS) Review</w:t>
      </w:r>
      <w:r>
        <w:rPr>
          <w:noProof/>
        </w:rPr>
        <w:tab/>
      </w:r>
      <w:r>
        <w:rPr>
          <w:noProof/>
        </w:rPr>
        <w:fldChar w:fldCharType="begin"/>
      </w:r>
      <w:r>
        <w:rPr>
          <w:noProof/>
        </w:rPr>
        <w:instrText xml:space="preserve"> PAGEREF _Toc468787456 \h </w:instrText>
      </w:r>
      <w:r>
        <w:rPr>
          <w:noProof/>
        </w:rPr>
      </w:r>
      <w:r>
        <w:rPr>
          <w:noProof/>
        </w:rPr>
        <w:fldChar w:fldCharType="separate"/>
      </w:r>
      <w:r w:rsidR="009771DA">
        <w:rPr>
          <w:noProof/>
        </w:rPr>
        <w:t>6</w:t>
      </w:r>
      <w:r>
        <w:rPr>
          <w:noProof/>
        </w:rPr>
        <w:fldChar w:fldCharType="end"/>
      </w:r>
    </w:p>
    <w:p w14:paraId="54194B03" w14:textId="77777777" w:rsidR="00C913FB" w:rsidRDefault="00C913FB">
      <w:pPr>
        <w:pStyle w:val="TOC2"/>
        <w:rPr>
          <w:rFonts w:eastAsiaTheme="minorEastAsia" w:cstheme="minorBidi"/>
          <w:noProof/>
        </w:rPr>
      </w:pPr>
      <w:r>
        <w:rPr>
          <w:noProof/>
        </w:rPr>
        <w:t>2.1</w:t>
      </w:r>
      <w:r>
        <w:rPr>
          <w:rFonts w:eastAsiaTheme="minorEastAsia" w:cstheme="minorBidi"/>
          <w:noProof/>
        </w:rPr>
        <w:tab/>
      </w:r>
      <w:r>
        <w:rPr>
          <w:noProof/>
        </w:rPr>
        <w:t>Medicare and the MBS</w:t>
      </w:r>
      <w:r>
        <w:rPr>
          <w:noProof/>
        </w:rPr>
        <w:tab/>
      </w:r>
      <w:r>
        <w:rPr>
          <w:noProof/>
        </w:rPr>
        <w:fldChar w:fldCharType="begin"/>
      </w:r>
      <w:r>
        <w:rPr>
          <w:noProof/>
        </w:rPr>
        <w:instrText xml:space="preserve"> PAGEREF _Toc468787457 \h </w:instrText>
      </w:r>
      <w:r>
        <w:rPr>
          <w:noProof/>
        </w:rPr>
      </w:r>
      <w:r>
        <w:rPr>
          <w:noProof/>
        </w:rPr>
        <w:fldChar w:fldCharType="separate"/>
      </w:r>
      <w:r w:rsidR="009771DA">
        <w:rPr>
          <w:noProof/>
        </w:rPr>
        <w:t>6</w:t>
      </w:r>
      <w:r>
        <w:rPr>
          <w:noProof/>
        </w:rPr>
        <w:fldChar w:fldCharType="end"/>
      </w:r>
    </w:p>
    <w:p w14:paraId="695F9478" w14:textId="77777777" w:rsidR="00C913FB" w:rsidRDefault="00C913FB">
      <w:pPr>
        <w:pStyle w:val="TOC2"/>
        <w:rPr>
          <w:rFonts w:eastAsiaTheme="minorEastAsia" w:cstheme="minorBidi"/>
          <w:noProof/>
        </w:rPr>
      </w:pPr>
      <w:r>
        <w:rPr>
          <w:noProof/>
        </w:rPr>
        <w:t>2.2</w:t>
      </w:r>
      <w:r>
        <w:rPr>
          <w:rFonts w:eastAsiaTheme="minorEastAsia" w:cstheme="minorBidi"/>
          <w:noProof/>
        </w:rPr>
        <w:tab/>
      </w:r>
      <w:r>
        <w:rPr>
          <w:noProof/>
        </w:rPr>
        <w:t>What is the MBS Review Taskforce?</w:t>
      </w:r>
      <w:r>
        <w:rPr>
          <w:noProof/>
        </w:rPr>
        <w:tab/>
      </w:r>
      <w:r>
        <w:rPr>
          <w:noProof/>
        </w:rPr>
        <w:fldChar w:fldCharType="begin"/>
      </w:r>
      <w:r>
        <w:rPr>
          <w:noProof/>
        </w:rPr>
        <w:instrText xml:space="preserve"> PAGEREF _Toc468787458 \h </w:instrText>
      </w:r>
      <w:r>
        <w:rPr>
          <w:noProof/>
        </w:rPr>
      </w:r>
      <w:r>
        <w:rPr>
          <w:noProof/>
        </w:rPr>
        <w:fldChar w:fldCharType="separate"/>
      </w:r>
      <w:r w:rsidR="009771DA">
        <w:rPr>
          <w:noProof/>
        </w:rPr>
        <w:t>6</w:t>
      </w:r>
      <w:r>
        <w:rPr>
          <w:noProof/>
        </w:rPr>
        <w:fldChar w:fldCharType="end"/>
      </w:r>
    </w:p>
    <w:p w14:paraId="12CFAC65" w14:textId="77777777" w:rsidR="00C913FB" w:rsidRDefault="00C913FB">
      <w:pPr>
        <w:pStyle w:val="TOC2"/>
        <w:rPr>
          <w:rFonts w:eastAsiaTheme="minorEastAsia" w:cstheme="minorBidi"/>
          <w:noProof/>
        </w:rPr>
      </w:pPr>
      <w:r>
        <w:rPr>
          <w:noProof/>
        </w:rPr>
        <w:t>2.3</w:t>
      </w:r>
      <w:r>
        <w:rPr>
          <w:rFonts w:eastAsiaTheme="minorEastAsia" w:cstheme="minorBidi"/>
          <w:noProof/>
        </w:rPr>
        <w:tab/>
      </w:r>
      <w:r>
        <w:rPr>
          <w:noProof/>
        </w:rPr>
        <w:t>Methods: The Taskforce’s approach</w:t>
      </w:r>
      <w:r>
        <w:rPr>
          <w:noProof/>
        </w:rPr>
        <w:tab/>
      </w:r>
      <w:r>
        <w:rPr>
          <w:noProof/>
        </w:rPr>
        <w:fldChar w:fldCharType="begin"/>
      </w:r>
      <w:r>
        <w:rPr>
          <w:noProof/>
        </w:rPr>
        <w:instrText xml:space="preserve"> PAGEREF _Toc468787459 \h </w:instrText>
      </w:r>
      <w:r>
        <w:rPr>
          <w:noProof/>
        </w:rPr>
      </w:r>
      <w:r>
        <w:rPr>
          <w:noProof/>
        </w:rPr>
        <w:fldChar w:fldCharType="separate"/>
      </w:r>
      <w:r w:rsidR="009771DA">
        <w:rPr>
          <w:noProof/>
        </w:rPr>
        <w:t>7</w:t>
      </w:r>
      <w:r>
        <w:rPr>
          <w:noProof/>
        </w:rPr>
        <w:fldChar w:fldCharType="end"/>
      </w:r>
    </w:p>
    <w:p w14:paraId="44154847" w14:textId="77777777" w:rsidR="00C913FB" w:rsidRDefault="00C913FB">
      <w:pPr>
        <w:pStyle w:val="TOC2"/>
        <w:rPr>
          <w:rFonts w:eastAsiaTheme="minorEastAsia" w:cstheme="minorBidi"/>
          <w:noProof/>
        </w:rPr>
      </w:pPr>
      <w:r>
        <w:rPr>
          <w:noProof/>
        </w:rPr>
        <w:t>2.4</w:t>
      </w:r>
      <w:r>
        <w:rPr>
          <w:rFonts w:eastAsiaTheme="minorEastAsia" w:cstheme="minorBidi"/>
          <w:noProof/>
        </w:rPr>
        <w:tab/>
      </w:r>
      <w:r>
        <w:rPr>
          <w:noProof/>
        </w:rPr>
        <w:t>Prioritisation process</w:t>
      </w:r>
      <w:r>
        <w:rPr>
          <w:noProof/>
        </w:rPr>
        <w:tab/>
      </w:r>
      <w:r>
        <w:rPr>
          <w:noProof/>
        </w:rPr>
        <w:fldChar w:fldCharType="begin"/>
      </w:r>
      <w:r>
        <w:rPr>
          <w:noProof/>
        </w:rPr>
        <w:instrText xml:space="preserve"> PAGEREF _Toc468787460 \h </w:instrText>
      </w:r>
      <w:r>
        <w:rPr>
          <w:noProof/>
        </w:rPr>
      </w:r>
      <w:r>
        <w:rPr>
          <w:noProof/>
        </w:rPr>
        <w:fldChar w:fldCharType="separate"/>
      </w:r>
      <w:r w:rsidR="009771DA">
        <w:rPr>
          <w:noProof/>
        </w:rPr>
        <w:t>7</w:t>
      </w:r>
      <w:r>
        <w:rPr>
          <w:noProof/>
        </w:rPr>
        <w:fldChar w:fldCharType="end"/>
      </w:r>
    </w:p>
    <w:p w14:paraId="7F829E5C" w14:textId="77777777" w:rsidR="00C913FB" w:rsidRDefault="00C913FB">
      <w:pPr>
        <w:pStyle w:val="TOC1"/>
        <w:tabs>
          <w:tab w:val="left" w:pos="440"/>
          <w:tab w:val="right" w:leader="dot" w:pos="9016"/>
        </w:tabs>
        <w:rPr>
          <w:rFonts w:eastAsiaTheme="minorEastAsia" w:cstheme="minorBidi"/>
          <w:b w:val="0"/>
          <w:noProof/>
        </w:rPr>
      </w:pPr>
      <w:r>
        <w:rPr>
          <w:noProof/>
        </w:rPr>
        <w:t>3.</w:t>
      </w:r>
      <w:r>
        <w:rPr>
          <w:rFonts w:eastAsiaTheme="minorEastAsia" w:cstheme="minorBidi"/>
          <w:b w:val="0"/>
          <w:noProof/>
        </w:rPr>
        <w:tab/>
      </w:r>
      <w:r>
        <w:rPr>
          <w:noProof/>
        </w:rPr>
        <w:t>About the PE and DVT Working Group</w:t>
      </w:r>
      <w:r>
        <w:rPr>
          <w:noProof/>
        </w:rPr>
        <w:tab/>
      </w:r>
      <w:r>
        <w:rPr>
          <w:noProof/>
        </w:rPr>
        <w:fldChar w:fldCharType="begin"/>
      </w:r>
      <w:r>
        <w:rPr>
          <w:noProof/>
        </w:rPr>
        <w:instrText xml:space="preserve"> PAGEREF _Toc468787461 \h </w:instrText>
      </w:r>
      <w:r>
        <w:rPr>
          <w:noProof/>
        </w:rPr>
      </w:r>
      <w:r>
        <w:rPr>
          <w:noProof/>
        </w:rPr>
        <w:fldChar w:fldCharType="separate"/>
      </w:r>
      <w:r w:rsidR="009771DA">
        <w:rPr>
          <w:noProof/>
        </w:rPr>
        <w:t>8</w:t>
      </w:r>
      <w:r>
        <w:rPr>
          <w:noProof/>
        </w:rPr>
        <w:fldChar w:fldCharType="end"/>
      </w:r>
    </w:p>
    <w:p w14:paraId="51023611" w14:textId="77777777" w:rsidR="00C913FB" w:rsidRDefault="00C913FB">
      <w:pPr>
        <w:pStyle w:val="TOC2"/>
        <w:rPr>
          <w:rFonts w:eastAsiaTheme="minorEastAsia" w:cstheme="minorBidi"/>
          <w:noProof/>
        </w:rPr>
      </w:pPr>
      <w:r>
        <w:rPr>
          <w:noProof/>
        </w:rPr>
        <w:t>3.1</w:t>
      </w:r>
      <w:r>
        <w:rPr>
          <w:rFonts w:eastAsiaTheme="minorEastAsia" w:cstheme="minorBidi"/>
          <w:noProof/>
        </w:rPr>
        <w:tab/>
      </w:r>
      <w:r>
        <w:rPr>
          <w:noProof/>
        </w:rPr>
        <w:t>Diagnostic Imaging Clinical Committee members</w:t>
      </w:r>
      <w:r>
        <w:rPr>
          <w:noProof/>
        </w:rPr>
        <w:tab/>
      </w:r>
      <w:r>
        <w:rPr>
          <w:noProof/>
        </w:rPr>
        <w:fldChar w:fldCharType="begin"/>
      </w:r>
      <w:r>
        <w:rPr>
          <w:noProof/>
        </w:rPr>
        <w:instrText xml:space="preserve"> PAGEREF _Toc468787462 \h </w:instrText>
      </w:r>
      <w:r>
        <w:rPr>
          <w:noProof/>
        </w:rPr>
      </w:r>
      <w:r>
        <w:rPr>
          <w:noProof/>
        </w:rPr>
        <w:fldChar w:fldCharType="separate"/>
      </w:r>
      <w:r w:rsidR="009771DA">
        <w:rPr>
          <w:noProof/>
        </w:rPr>
        <w:t>8</w:t>
      </w:r>
      <w:r>
        <w:rPr>
          <w:noProof/>
        </w:rPr>
        <w:fldChar w:fldCharType="end"/>
      </w:r>
    </w:p>
    <w:p w14:paraId="5CE113C0" w14:textId="77777777" w:rsidR="00C913FB" w:rsidRDefault="00C913FB">
      <w:pPr>
        <w:pStyle w:val="TOC2"/>
        <w:rPr>
          <w:rFonts w:eastAsiaTheme="minorEastAsia" w:cstheme="minorBidi"/>
          <w:noProof/>
        </w:rPr>
      </w:pPr>
      <w:r>
        <w:rPr>
          <w:noProof/>
        </w:rPr>
        <w:t>3.2</w:t>
      </w:r>
      <w:r>
        <w:rPr>
          <w:rFonts w:eastAsiaTheme="minorEastAsia" w:cstheme="minorBidi"/>
          <w:noProof/>
        </w:rPr>
        <w:tab/>
      </w:r>
      <w:r w:rsidRPr="00E1557F">
        <w:rPr>
          <w:noProof/>
        </w:rPr>
        <w:t xml:space="preserve">Pulmonary Embolism and Deep Vein Thrombosis Working Group </w:t>
      </w:r>
      <w:r>
        <w:rPr>
          <w:noProof/>
        </w:rPr>
        <w:t>members</w:t>
      </w:r>
      <w:r>
        <w:rPr>
          <w:noProof/>
        </w:rPr>
        <w:tab/>
      </w:r>
      <w:r>
        <w:rPr>
          <w:noProof/>
        </w:rPr>
        <w:fldChar w:fldCharType="begin"/>
      </w:r>
      <w:r>
        <w:rPr>
          <w:noProof/>
        </w:rPr>
        <w:instrText xml:space="preserve"> PAGEREF _Toc468787463 \h </w:instrText>
      </w:r>
      <w:r>
        <w:rPr>
          <w:noProof/>
        </w:rPr>
      </w:r>
      <w:r>
        <w:rPr>
          <w:noProof/>
        </w:rPr>
        <w:fldChar w:fldCharType="separate"/>
      </w:r>
      <w:r w:rsidR="009771DA">
        <w:rPr>
          <w:noProof/>
        </w:rPr>
        <w:t>9</w:t>
      </w:r>
      <w:r>
        <w:rPr>
          <w:noProof/>
        </w:rPr>
        <w:fldChar w:fldCharType="end"/>
      </w:r>
    </w:p>
    <w:p w14:paraId="41BF83F7" w14:textId="77777777" w:rsidR="00C913FB" w:rsidRDefault="00C913FB">
      <w:pPr>
        <w:pStyle w:val="TOC2"/>
        <w:rPr>
          <w:rFonts w:eastAsiaTheme="minorEastAsia" w:cstheme="minorBidi"/>
          <w:noProof/>
        </w:rPr>
      </w:pPr>
      <w:r>
        <w:rPr>
          <w:noProof/>
        </w:rPr>
        <w:t>3.3</w:t>
      </w:r>
      <w:r>
        <w:rPr>
          <w:rFonts w:eastAsiaTheme="minorEastAsia" w:cstheme="minorBidi"/>
          <w:noProof/>
        </w:rPr>
        <w:tab/>
      </w:r>
      <w:r>
        <w:rPr>
          <w:noProof/>
        </w:rPr>
        <w:t>Conflicts of interest</w:t>
      </w:r>
      <w:r>
        <w:rPr>
          <w:noProof/>
        </w:rPr>
        <w:tab/>
      </w:r>
      <w:r>
        <w:rPr>
          <w:noProof/>
        </w:rPr>
        <w:fldChar w:fldCharType="begin"/>
      </w:r>
      <w:r>
        <w:rPr>
          <w:noProof/>
        </w:rPr>
        <w:instrText xml:space="preserve"> PAGEREF _Toc468787464 \h </w:instrText>
      </w:r>
      <w:r>
        <w:rPr>
          <w:noProof/>
        </w:rPr>
      </w:r>
      <w:r>
        <w:rPr>
          <w:noProof/>
        </w:rPr>
        <w:fldChar w:fldCharType="separate"/>
      </w:r>
      <w:r w:rsidR="009771DA">
        <w:rPr>
          <w:noProof/>
        </w:rPr>
        <w:t>10</w:t>
      </w:r>
      <w:r>
        <w:rPr>
          <w:noProof/>
        </w:rPr>
        <w:fldChar w:fldCharType="end"/>
      </w:r>
    </w:p>
    <w:p w14:paraId="6B36850D" w14:textId="77777777" w:rsidR="00C913FB" w:rsidRDefault="00C913FB">
      <w:pPr>
        <w:pStyle w:val="TOC1"/>
        <w:tabs>
          <w:tab w:val="left" w:pos="440"/>
          <w:tab w:val="right" w:leader="dot" w:pos="9016"/>
        </w:tabs>
        <w:rPr>
          <w:rFonts w:eastAsiaTheme="minorEastAsia" w:cstheme="minorBidi"/>
          <w:b w:val="0"/>
          <w:noProof/>
        </w:rPr>
      </w:pPr>
      <w:r>
        <w:rPr>
          <w:noProof/>
        </w:rPr>
        <w:t>4.</w:t>
      </w:r>
      <w:r>
        <w:rPr>
          <w:rFonts w:eastAsiaTheme="minorEastAsia" w:cstheme="minorBidi"/>
          <w:b w:val="0"/>
          <w:noProof/>
        </w:rPr>
        <w:tab/>
      </w:r>
      <w:r>
        <w:rPr>
          <w:noProof/>
        </w:rPr>
        <w:t>Areas of responsibility of the PE and DVT Working Group</w:t>
      </w:r>
      <w:r>
        <w:rPr>
          <w:noProof/>
        </w:rPr>
        <w:tab/>
      </w:r>
      <w:r>
        <w:rPr>
          <w:noProof/>
        </w:rPr>
        <w:fldChar w:fldCharType="begin"/>
      </w:r>
      <w:r>
        <w:rPr>
          <w:noProof/>
        </w:rPr>
        <w:instrText xml:space="preserve"> PAGEREF _Toc468787465 \h </w:instrText>
      </w:r>
      <w:r>
        <w:rPr>
          <w:noProof/>
        </w:rPr>
      </w:r>
      <w:r>
        <w:rPr>
          <w:noProof/>
        </w:rPr>
        <w:fldChar w:fldCharType="separate"/>
      </w:r>
      <w:r w:rsidR="009771DA">
        <w:rPr>
          <w:noProof/>
        </w:rPr>
        <w:t>11</w:t>
      </w:r>
      <w:r>
        <w:rPr>
          <w:noProof/>
        </w:rPr>
        <w:fldChar w:fldCharType="end"/>
      </w:r>
    </w:p>
    <w:p w14:paraId="259B3A43" w14:textId="77777777" w:rsidR="00C913FB" w:rsidRDefault="00C913FB">
      <w:pPr>
        <w:pStyle w:val="TOC1"/>
        <w:tabs>
          <w:tab w:val="left" w:pos="440"/>
          <w:tab w:val="right" w:leader="dot" w:pos="9016"/>
        </w:tabs>
        <w:rPr>
          <w:rFonts w:eastAsiaTheme="minorEastAsia" w:cstheme="minorBidi"/>
          <w:b w:val="0"/>
          <w:noProof/>
        </w:rPr>
      </w:pPr>
      <w:r w:rsidRPr="00E1557F">
        <w:rPr>
          <w:noProof/>
          <w:lang w:val="en-GB"/>
        </w:rPr>
        <w:t>5.</w:t>
      </w:r>
      <w:r>
        <w:rPr>
          <w:rFonts w:eastAsiaTheme="minorEastAsia" w:cstheme="minorBidi"/>
          <w:b w:val="0"/>
          <w:noProof/>
        </w:rPr>
        <w:tab/>
      </w:r>
      <w:r w:rsidRPr="00E1557F">
        <w:rPr>
          <w:noProof/>
        </w:rPr>
        <w:t>Duplex Ultrasound for DVT</w:t>
      </w:r>
      <w:r>
        <w:rPr>
          <w:noProof/>
        </w:rPr>
        <w:tab/>
      </w:r>
      <w:r>
        <w:rPr>
          <w:noProof/>
        </w:rPr>
        <w:fldChar w:fldCharType="begin"/>
      </w:r>
      <w:r>
        <w:rPr>
          <w:noProof/>
        </w:rPr>
        <w:instrText xml:space="preserve"> PAGEREF _Toc468787466 \h </w:instrText>
      </w:r>
      <w:r>
        <w:rPr>
          <w:noProof/>
        </w:rPr>
      </w:r>
      <w:r>
        <w:rPr>
          <w:noProof/>
        </w:rPr>
        <w:fldChar w:fldCharType="separate"/>
      </w:r>
      <w:r w:rsidR="009771DA">
        <w:rPr>
          <w:noProof/>
        </w:rPr>
        <w:t>12</w:t>
      </w:r>
      <w:r>
        <w:rPr>
          <w:noProof/>
        </w:rPr>
        <w:fldChar w:fldCharType="end"/>
      </w:r>
    </w:p>
    <w:p w14:paraId="4F16DD74" w14:textId="77777777" w:rsidR="00C913FB" w:rsidRDefault="00C913FB">
      <w:pPr>
        <w:pStyle w:val="TOC2"/>
        <w:rPr>
          <w:rFonts w:eastAsiaTheme="minorEastAsia" w:cstheme="minorBidi"/>
          <w:noProof/>
        </w:rPr>
      </w:pPr>
      <w:r>
        <w:rPr>
          <w:noProof/>
        </w:rPr>
        <w:t>5.1</w:t>
      </w:r>
      <w:r>
        <w:rPr>
          <w:rFonts w:eastAsiaTheme="minorEastAsia" w:cstheme="minorBidi"/>
          <w:noProof/>
        </w:rPr>
        <w:tab/>
      </w:r>
      <w:r>
        <w:rPr>
          <w:noProof/>
        </w:rPr>
        <w:t>MBS items for duplex ultrasound for DVT</w:t>
      </w:r>
      <w:r>
        <w:rPr>
          <w:noProof/>
        </w:rPr>
        <w:tab/>
      </w:r>
      <w:r>
        <w:rPr>
          <w:noProof/>
        </w:rPr>
        <w:fldChar w:fldCharType="begin"/>
      </w:r>
      <w:r>
        <w:rPr>
          <w:noProof/>
        </w:rPr>
        <w:instrText xml:space="preserve"> PAGEREF _Toc468787467 \h </w:instrText>
      </w:r>
      <w:r>
        <w:rPr>
          <w:noProof/>
        </w:rPr>
      </w:r>
      <w:r>
        <w:rPr>
          <w:noProof/>
        </w:rPr>
        <w:fldChar w:fldCharType="separate"/>
      </w:r>
      <w:r w:rsidR="009771DA">
        <w:rPr>
          <w:noProof/>
        </w:rPr>
        <w:t>12</w:t>
      </w:r>
      <w:r>
        <w:rPr>
          <w:noProof/>
        </w:rPr>
        <w:fldChar w:fldCharType="end"/>
      </w:r>
    </w:p>
    <w:p w14:paraId="3B3A7F10" w14:textId="77777777" w:rsidR="00C913FB" w:rsidRDefault="00C913FB">
      <w:pPr>
        <w:pStyle w:val="TOC2"/>
        <w:rPr>
          <w:rFonts w:eastAsiaTheme="minorEastAsia" w:cstheme="minorBidi"/>
          <w:noProof/>
        </w:rPr>
      </w:pPr>
      <w:r>
        <w:rPr>
          <w:noProof/>
        </w:rPr>
        <w:t>5.2</w:t>
      </w:r>
      <w:r>
        <w:rPr>
          <w:rFonts w:eastAsiaTheme="minorEastAsia" w:cstheme="minorBidi"/>
          <w:noProof/>
        </w:rPr>
        <w:tab/>
      </w:r>
      <w:r>
        <w:rPr>
          <w:noProof/>
        </w:rPr>
        <w:t>MBS Data for DVT imaging</w:t>
      </w:r>
      <w:r>
        <w:rPr>
          <w:noProof/>
        </w:rPr>
        <w:tab/>
      </w:r>
      <w:r>
        <w:rPr>
          <w:noProof/>
        </w:rPr>
        <w:fldChar w:fldCharType="begin"/>
      </w:r>
      <w:r>
        <w:rPr>
          <w:noProof/>
        </w:rPr>
        <w:instrText xml:space="preserve"> PAGEREF _Toc468787468 \h </w:instrText>
      </w:r>
      <w:r>
        <w:rPr>
          <w:noProof/>
        </w:rPr>
      </w:r>
      <w:r>
        <w:rPr>
          <w:noProof/>
        </w:rPr>
        <w:fldChar w:fldCharType="separate"/>
      </w:r>
      <w:r w:rsidR="009771DA">
        <w:rPr>
          <w:noProof/>
        </w:rPr>
        <w:t>13</w:t>
      </w:r>
      <w:r>
        <w:rPr>
          <w:noProof/>
        </w:rPr>
        <w:fldChar w:fldCharType="end"/>
      </w:r>
    </w:p>
    <w:p w14:paraId="4E294D12" w14:textId="77777777" w:rsidR="00C913FB" w:rsidRDefault="00C913FB">
      <w:pPr>
        <w:pStyle w:val="TOC2"/>
        <w:rPr>
          <w:rFonts w:eastAsiaTheme="minorEastAsia" w:cstheme="minorBidi"/>
          <w:noProof/>
        </w:rPr>
      </w:pPr>
      <w:r>
        <w:rPr>
          <w:noProof/>
        </w:rPr>
        <w:t>5.3</w:t>
      </w:r>
      <w:r>
        <w:rPr>
          <w:rFonts w:eastAsiaTheme="minorEastAsia" w:cstheme="minorBidi"/>
          <w:noProof/>
        </w:rPr>
        <w:tab/>
      </w:r>
      <w:r>
        <w:rPr>
          <w:noProof/>
        </w:rPr>
        <w:t>Issues</w:t>
      </w:r>
      <w:r>
        <w:rPr>
          <w:noProof/>
        </w:rPr>
        <w:tab/>
      </w:r>
      <w:r>
        <w:rPr>
          <w:noProof/>
        </w:rPr>
        <w:fldChar w:fldCharType="begin"/>
      </w:r>
      <w:r>
        <w:rPr>
          <w:noProof/>
        </w:rPr>
        <w:instrText xml:space="preserve"> PAGEREF _Toc468787469 \h </w:instrText>
      </w:r>
      <w:r>
        <w:rPr>
          <w:noProof/>
        </w:rPr>
      </w:r>
      <w:r>
        <w:rPr>
          <w:noProof/>
        </w:rPr>
        <w:fldChar w:fldCharType="separate"/>
      </w:r>
      <w:r w:rsidR="009771DA">
        <w:rPr>
          <w:noProof/>
        </w:rPr>
        <w:t>14</w:t>
      </w:r>
      <w:r>
        <w:rPr>
          <w:noProof/>
        </w:rPr>
        <w:fldChar w:fldCharType="end"/>
      </w:r>
    </w:p>
    <w:p w14:paraId="217E9796" w14:textId="77777777" w:rsidR="00C913FB" w:rsidRDefault="00C913FB">
      <w:pPr>
        <w:pStyle w:val="TOC2"/>
        <w:rPr>
          <w:rFonts w:eastAsiaTheme="minorEastAsia" w:cstheme="minorBidi"/>
          <w:noProof/>
        </w:rPr>
      </w:pPr>
      <w:r>
        <w:rPr>
          <w:noProof/>
        </w:rPr>
        <w:t>5.4</w:t>
      </w:r>
      <w:r>
        <w:rPr>
          <w:rFonts w:eastAsiaTheme="minorEastAsia" w:cstheme="minorBidi"/>
          <w:noProof/>
        </w:rPr>
        <w:tab/>
      </w:r>
      <w:r>
        <w:rPr>
          <w:noProof/>
        </w:rPr>
        <w:t>Recommendation 1 MBS explanatory notes for the MBS items dealing with diagnostic imaging for DVT</w:t>
      </w:r>
      <w:r>
        <w:rPr>
          <w:noProof/>
        </w:rPr>
        <w:tab/>
      </w:r>
      <w:r>
        <w:rPr>
          <w:noProof/>
        </w:rPr>
        <w:fldChar w:fldCharType="begin"/>
      </w:r>
      <w:r>
        <w:rPr>
          <w:noProof/>
        </w:rPr>
        <w:instrText xml:space="preserve"> PAGEREF _Toc468787470 \h </w:instrText>
      </w:r>
      <w:r>
        <w:rPr>
          <w:noProof/>
        </w:rPr>
      </w:r>
      <w:r>
        <w:rPr>
          <w:noProof/>
        </w:rPr>
        <w:fldChar w:fldCharType="separate"/>
      </w:r>
      <w:r w:rsidR="009771DA">
        <w:rPr>
          <w:noProof/>
        </w:rPr>
        <w:t>14</w:t>
      </w:r>
      <w:r>
        <w:rPr>
          <w:noProof/>
        </w:rPr>
        <w:fldChar w:fldCharType="end"/>
      </w:r>
    </w:p>
    <w:p w14:paraId="108A2C7D" w14:textId="77777777" w:rsidR="00C913FB" w:rsidRDefault="00C913FB">
      <w:pPr>
        <w:pStyle w:val="TOC2"/>
        <w:rPr>
          <w:rFonts w:eastAsiaTheme="minorEastAsia" w:cstheme="minorBidi"/>
          <w:noProof/>
        </w:rPr>
      </w:pPr>
      <w:r>
        <w:rPr>
          <w:noProof/>
        </w:rPr>
        <w:t>5.5</w:t>
      </w:r>
      <w:r>
        <w:rPr>
          <w:rFonts w:eastAsiaTheme="minorEastAsia" w:cstheme="minorBidi"/>
          <w:noProof/>
        </w:rPr>
        <w:tab/>
      </w:r>
      <w:r>
        <w:rPr>
          <w:noProof/>
        </w:rPr>
        <w:t>Recommendation 2 - Co-claiming duplex scanning for DVT and chronic venous disease</w:t>
      </w:r>
      <w:r>
        <w:rPr>
          <w:noProof/>
        </w:rPr>
        <w:tab/>
      </w:r>
      <w:r>
        <w:rPr>
          <w:noProof/>
        </w:rPr>
        <w:fldChar w:fldCharType="begin"/>
      </w:r>
      <w:r>
        <w:rPr>
          <w:noProof/>
        </w:rPr>
        <w:instrText xml:space="preserve"> PAGEREF _Toc468787471 \h </w:instrText>
      </w:r>
      <w:r>
        <w:rPr>
          <w:noProof/>
        </w:rPr>
      </w:r>
      <w:r>
        <w:rPr>
          <w:noProof/>
        </w:rPr>
        <w:fldChar w:fldCharType="separate"/>
      </w:r>
      <w:r w:rsidR="009771DA">
        <w:rPr>
          <w:noProof/>
        </w:rPr>
        <w:t>16</w:t>
      </w:r>
      <w:r>
        <w:rPr>
          <w:noProof/>
        </w:rPr>
        <w:fldChar w:fldCharType="end"/>
      </w:r>
    </w:p>
    <w:p w14:paraId="1FD96678" w14:textId="77777777" w:rsidR="00C913FB" w:rsidRDefault="00C913FB">
      <w:pPr>
        <w:pStyle w:val="TOC2"/>
        <w:rPr>
          <w:rFonts w:eastAsiaTheme="minorEastAsia" w:cstheme="minorBidi"/>
          <w:noProof/>
        </w:rPr>
      </w:pPr>
      <w:r>
        <w:rPr>
          <w:noProof/>
        </w:rPr>
        <w:t>5.6</w:t>
      </w:r>
      <w:r>
        <w:rPr>
          <w:rFonts w:eastAsiaTheme="minorEastAsia" w:cstheme="minorBidi"/>
          <w:noProof/>
        </w:rPr>
        <w:tab/>
      </w:r>
      <w:r>
        <w:rPr>
          <w:noProof/>
        </w:rPr>
        <w:t>Recommendation 3 Redundant items for DVT imaging</w:t>
      </w:r>
      <w:r>
        <w:rPr>
          <w:noProof/>
        </w:rPr>
        <w:tab/>
      </w:r>
      <w:r>
        <w:rPr>
          <w:noProof/>
        </w:rPr>
        <w:fldChar w:fldCharType="begin"/>
      </w:r>
      <w:r>
        <w:rPr>
          <w:noProof/>
        </w:rPr>
        <w:instrText xml:space="preserve"> PAGEREF _Toc468787472 \h </w:instrText>
      </w:r>
      <w:r>
        <w:rPr>
          <w:noProof/>
        </w:rPr>
      </w:r>
      <w:r>
        <w:rPr>
          <w:noProof/>
        </w:rPr>
        <w:fldChar w:fldCharType="separate"/>
      </w:r>
      <w:r w:rsidR="009771DA">
        <w:rPr>
          <w:noProof/>
        </w:rPr>
        <w:t>16</w:t>
      </w:r>
      <w:r>
        <w:rPr>
          <w:noProof/>
        </w:rPr>
        <w:fldChar w:fldCharType="end"/>
      </w:r>
    </w:p>
    <w:p w14:paraId="723CBFC4" w14:textId="77777777" w:rsidR="00C913FB" w:rsidRDefault="00C913FB">
      <w:pPr>
        <w:pStyle w:val="TOC1"/>
        <w:tabs>
          <w:tab w:val="left" w:pos="440"/>
          <w:tab w:val="right" w:leader="dot" w:pos="9016"/>
        </w:tabs>
        <w:rPr>
          <w:rFonts w:eastAsiaTheme="minorEastAsia" w:cstheme="minorBidi"/>
          <w:b w:val="0"/>
          <w:noProof/>
        </w:rPr>
      </w:pPr>
      <w:r>
        <w:rPr>
          <w:noProof/>
        </w:rPr>
        <w:t>6.</w:t>
      </w:r>
      <w:r>
        <w:rPr>
          <w:rFonts w:eastAsiaTheme="minorEastAsia" w:cstheme="minorBidi"/>
          <w:b w:val="0"/>
          <w:noProof/>
        </w:rPr>
        <w:tab/>
      </w:r>
      <w:r>
        <w:rPr>
          <w:noProof/>
        </w:rPr>
        <w:t>PE Imaging Items</w:t>
      </w:r>
      <w:r>
        <w:rPr>
          <w:noProof/>
        </w:rPr>
        <w:tab/>
      </w:r>
      <w:r>
        <w:rPr>
          <w:noProof/>
        </w:rPr>
        <w:fldChar w:fldCharType="begin"/>
      </w:r>
      <w:r>
        <w:rPr>
          <w:noProof/>
        </w:rPr>
        <w:instrText xml:space="preserve"> PAGEREF _Toc468787473 \h </w:instrText>
      </w:r>
      <w:r>
        <w:rPr>
          <w:noProof/>
        </w:rPr>
      </w:r>
      <w:r>
        <w:rPr>
          <w:noProof/>
        </w:rPr>
        <w:fldChar w:fldCharType="separate"/>
      </w:r>
      <w:r w:rsidR="009771DA">
        <w:rPr>
          <w:noProof/>
        </w:rPr>
        <w:t>18</w:t>
      </w:r>
      <w:r>
        <w:rPr>
          <w:noProof/>
        </w:rPr>
        <w:fldChar w:fldCharType="end"/>
      </w:r>
    </w:p>
    <w:p w14:paraId="1F95A88F" w14:textId="77777777" w:rsidR="00C913FB" w:rsidRDefault="00C913FB">
      <w:pPr>
        <w:pStyle w:val="TOC2"/>
        <w:rPr>
          <w:rFonts w:eastAsiaTheme="minorEastAsia" w:cstheme="minorBidi"/>
          <w:noProof/>
        </w:rPr>
      </w:pPr>
      <w:r>
        <w:rPr>
          <w:noProof/>
        </w:rPr>
        <w:t>6.1</w:t>
      </w:r>
      <w:r>
        <w:rPr>
          <w:rFonts w:eastAsiaTheme="minorEastAsia" w:cstheme="minorBidi"/>
          <w:noProof/>
        </w:rPr>
        <w:tab/>
      </w:r>
      <w:r>
        <w:rPr>
          <w:noProof/>
        </w:rPr>
        <w:t>MBS items for PE Imaging</w:t>
      </w:r>
      <w:r>
        <w:rPr>
          <w:noProof/>
        </w:rPr>
        <w:tab/>
      </w:r>
      <w:r>
        <w:rPr>
          <w:noProof/>
        </w:rPr>
        <w:fldChar w:fldCharType="begin"/>
      </w:r>
      <w:r>
        <w:rPr>
          <w:noProof/>
        </w:rPr>
        <w:instrText xml:space="preserve"> PAGEREF _Toc468787474 \h </w:instrText>
      </w:r>
      <w:r>
        <w:rPr>
          <w:noProof/>
        </w:rPr>
      </w:r>
      <w:r>
        <w:rPr>
          <w:noProof/>
        </w:rPr>
        <w:fldChar w:fldCharType="separate"/>
      </w:r>
      <w:r w:rsidR="009771DA">
        <w:rPr>
          <w:noProof/>
        </w:rPr>
        <w:t>18</w:t>
      </w:r>
      <w:r>
        <w:rPr>
          <w:noProof/>
        </w:rPr>
        <w:fldChar w:fldCharType="end"/>
      </w:r>
    </w:p>
    <w:p w14:paraId="4B702E12" w14:textId="77777777" w:rsidR="00C913FB" w:rsidRDefault="00C913FB">
      <w:pPr>
        <w:pStyle w:val="TOC2"/>
        <w:rPr>
          <w:rFonts w:eastAsiaTheme="minorEastAsia" w:cstheme="minorBidi"/>
          <w:noProof/>
        </w:rPr>
      </w:pPr>
      <w:r>
        <w:rPr>
          <w:noProof/>
        </w:rPr>
        <w:t>6.2</w:t>
      </w:r>
      <w:r>
        <w:rPr>
          <w:rFonts w:eastAsiaTheme="minorEastAsia" w:cstheme="minorBidi"/>
          <w:noProof/>
        </w:rPr>
        <w:tab/>
      </w:r>
      <w:r>
        <w:rPr>
          <w:noProof/>
        </w:rPr>
        <w:t>MBS data for PE Imaging</w:t>
      </w:r>
      <w:r>
        <w:rPr>
          <w:noProof/>
        </w:rPr>
        <w:tab/>
      </w:r>
      <w:r>
        <w:rPr>
          <w:noProof/>
        </w:rPr>
        <w:fldChar w:fldCharType="begin"/>
      </w:r>
      <w:r>
        <w:rPr>
          <w:noProof/>
        </w:rPr>
        <w:instrText xml:space="preserve"> PAGEREF _Toc468787475 \h </w:instrText>
      </w:r>
      <w:r>
        <w:rPr>
          <w:noProof/>
        </w:rPr>
      </w:r>
      <w:r>
        <w:rPr>
          <w:noProof/>
        </w:rPr>
        <w:fldChar w:fldCharType="separate"/>
      </w:r>
      <w:r w:rsidR="009771DA">
        <w:rPr>
          <w:noProof/>
        </w:rPr>
        <w:t>19</w:t>
      </w:r>
      <w:r>
        <w:rPr>
          <w:noProof/>
        </w:rPr>
        <w:fldChar w:fldCharType="end"/>
      </w:r>
    </w:p>
    <w:p w14:paraId="29A44441" w14:textId="77777777" w:rsidR="00C913FB" w:rsidRDefault="00C913FB">
      <w:pPr>
        <w:pStyle w:val="TOC2"/>
        <w:rPr>
          <w:rFonts w:eastAsiaTheme="minorEastAsia" w:cstheme="minorBidi"/>
          <w:noProof/>
        </w:rPr>
      </w:pPr>
      <w:r>
        <w:rPr>
          <w:noProof/>
        </w:rPr>
        <w:t>6.3</w:t>
      </w:r>
      <w:r>
        <w:rPr>
          <w:rFonts w:eastAsiaTheme="minorEastAsia" w:cstheme="minorBidi"/>
          <w:noProof/>
        </w:rPr>
        <w:tab/>
      </w:r>
      <w:r>
        <w:rPr>
          <w:noProof/>
        </w:rPr>
        <w:t>Issues</w:t>
      </w:r>
      <w:r>
        <w:rPr>
          <w:noProof/>
        </w:rPr>
        <w:tab/>
      </w:r>
      <w:r>
        <w:rPr>
          <w:noProof/>
        </w:rPr>
        <w:fldChar w:fldCharType="begin"/>
      </w:r>
      <w:r>
        <w:rPr>
          <w:noProof/>
        </w:rPr>
        <w:instrText xml:space="preserve"> PAGEREF _Toc468787476 \h </w:instrText>
      </w:r>
      <w:r>
        <w:rPr>
          <w:noProof/>
        </w:rPr>
      </w:r>
      <w:r>
        <w:rPr>
          <w:noProof/>
        </w:rPr>
        <w:fldChar w:fldCharType="separate"/>
      </w:r>
      <w:r w:rsidR="009771DA">
        <w:rPr>
          <w:noProof/>
        </w:rPr>
        <w:t>19</w:t>
      </w:r>
      <w:r>
        <w:rPr>
          <w:noProof/>
        </w:rPr>
        <w:fldChar w:fldCharType="end"/>
      </w:r>
    </w:p>
    <w:p w14:paraId="1DDB31AE" w14:textId="77777777" w:rsidR="00C913FB" w:rsidRDefault="00C913FB">
      <w:pPr>
        <w:pStyle w:val="TOC2"/>
        <w:rPr>
          <w:rFonts w:eastAsiaTheme="minorEastAsia" w:cstheme="minorBidi"/>
          <w:noProof/>
        </w:rPr>
      </w:pPr>
      <w:r>
        <w:rPr>
          <w:noProof/>
        </w:rPr>
        <w:t>6.4</w:t>
      </w:r>
      <w:r>
        <w:rPr>
          <w:rFonts w:eastAsiaTheme="minorEastAsia" w:cstheme="minorBidi"/>
          <w:noProof/>
        </w:rPr>
        <w:tab/>
      </w:r>
      <w:r>
        <w:rPr>
          <w:noProof/>
        </w:rPr>
        <w:t>Recommendation 4 - MBS explanatory notes for the MBS items dealing with diagnostic imaging for PE</w:t>
      </w:r>
      <w:r>
        <w:rPr>
          <w:noProof/>
        </w:rPr>
        <w:tab/>
      </w:r>
      <w:r>
        <w:rPr>
          <w:noProof/>
        </w:rPr>
        <w:fldChar w:fldCharType="begin"/>
      </w:r>
      <w:r>
        <w:rPr>
          <w:noProof/>
        </w:rPr>
        <w:instrText xml:space="preserve"> PAGEREF _Toc468787477 \h </w:instrText>
      </w:r>
      <w:r>
        <w:rPr>
          <w:noProof/>
        </w:rPr>
      </w:r>
      <w:r>
        <w:rPr>
          <w:noProof/>
        </w:rPr>
        <w:fldChar w:fldCharType="separate"/>
      </w:r>
      <w:r w:rsidR="009771DA">
        <w:rPr>
          <w:noProof/>
        </w:rPr>
        <w:t>20</w:t>
      </w:r>
      <w:r>
        <w:rPr>
          <w:noProof/>
        </w:rPr>
        <w:fldChar w:fldCharType="end"/>
      </w:r>
    </w:p>
    <w:p w14:paraId="7D0D9F4C" w14:textId="77777777" w:rsidR="00C913FB" w:rsidRDefault="00C913FB">
      <w:pPr>
        <w:pStyle w:val="TOC1"/>
        <w:tabs>
          <w:tab w:val="left" w:pos="440"/>
          <w:tab w:val="right" w:leader="dot" w:pos="9016"/>
        </w:tabs>
        <w:rPr>
          <w:rFonts w:eastAsiaTheme="minorEastAsia" w:cstheme="minorBidi"/>
          <w:b w:val="0"/>
          <w:noProof/>
        </w:rPr>
      </w:pPr>
      <w:r>
        <w:rPr>
          <w:noProof/>
        </w:rPr>
        <w:t>7.</w:t>
      </w:r>
      <w:r>
        <w:rPr>
          <w:rFonts w:eastAsiaTheme="minorEastAsia" w:cstheme="minorBidi"/>
          <w:b w:val="0"/>
          <w:noProof/>
        </w:rPr>
        <w:tab/>
      </w:r>
      <w:r>
        <w:rPr>
          <w:noProof/>
        </w:rPr>
        <w:t>Stakeholder impact statement</w:t>
      </w:r>
      <w:r>
        <w:rPr>
          <w:noProof/>
        </w:rPr>
        <w:tab/>
      </w:r>
      <w:r>
        <w:rPr>
          <w:noProof/>
        </w:rPr>
        <w:fldChar w:fldCharType="begin"/>
      </w:r>
      <w:r>
        <w:rPr>
          <w:noProof/>
        </w:rPr>
        <w:instrText xml:space="preserve"> PAGEREF _Toc468787478 \h </w:instrText>
      </w:r>
      <w:r>
        <w:rPr>
          <w:noProof/>
        </w:rPr>
      </w:r>
      <w:r>
        <w:rPr>
          <w:noProof/>
        </w:rPr>
        <w:fldChar w:fldCharType="separate"/>
      </w:r>
      <w:r w:rsidR="009771DA">
        <w:rPr>
          <w:noProof/>
        </w:rPr>
        <w:t>22</w:t>
      </w:r>
      <w:r>
        <w:rPr>
          <w:noProof/>
        </w:rPr>
        <w:fldChar w:fldCharType="end"/>
      </w:r>
    </w:p>
    <w:p w14:paraId="0EA52491" w14:textId="77777777" w:rsidR="00C913FB" w:rsidRDefault="00C913FB">
      <w:pPr>
        <w:pStyle w:val="TOC1"/>
        <w:tabs>
          <w:tab w:val="left" w:pos="440"/>
          <w:tab w:val="right" w:leader="dot" w:pos="9016"/>
        </w:tabs>
        <w:rPr>
          <w:rFonts w:eastAsiaTheme="minorEastAsia" w:cstheme="minorBidi"/>
          <w:b w:val="0"/>
          <w:noProof/>
        </w:rPr>
      </w:pPr>
      <w:r>
        <w:rPr>
          <w:noProof/>
        </w:rPr>
        <w:t>8.</w:t>
      </w:r>
      <w:r>
        <w:rPr>
          <w:rFonts w:eastAsiaTheme="minorEastAsia" w:cstheme="minorBidi"/>
          <w:b w:val="0"/>
          <w:noProof/>
        </w:rPr>
        <w:tab/>
      </w:r>
      <w:r>
        <w:rPr>
          <w:noProof/>
        </w:rPr>
        <w:t>Conclusion</w:t>
      </w:r>
      <w:r>
        <w:rPr>
          <w:noProof/>
        </w:rPr>
        <w:tab/>
      </w:r>
      <w:r>
        <w:rPr>
          <w:noProof/>
        </w:rPr>
        <w:fldChar w:fldCharType="begin"/>
      </w:r>
      <w:r>
        <w:rPr>
          <w:noProof/>
        </w:rPr>
        <w:instrText xml:space="preserve"> PAGEREF _Toc468787479 \h </w:instrText>
      </w:r>
      <w:r>
        <w:rPr>
          <w:noProof/>
        </w:rPr>
      </w:r>
      <w:r>
        <w:rPr>
          <w:noProof/>
        </w:rPr>
        <w:fldChar w:fldCharType="separate"/>
      </w:r>
      <w:r w:rsidR="009771DA">
        <w:rPr>
          <w:noProof/>
        </w:rPr>
        <w:t>22</w:t>
      </w:r>
      <w:r>
        <w:rPr>
          <w:noProof/>
        </w:rPr>
        <w:fldChar w:fldCharType="end"/>
      </w:r>
    </w:p>
    <w:p w14:paraId="70788F30" w14:textId="77777777" w:rsidR="00C913FB" w:rsidRDefault="00C913FB">
      <w:pPr>
        <w:pStyle w:val="TOC1"/>
        <w:tabs>
          <w:tab w:val="left" w:pos="440"/>
          <w:tab w:val="right" w:leader="dot" w:pos="9016"/>
        </w:tabs>
        <w:rPr>
          <w:rFonts w:eastAsiaTheme="minorEastAsia" w:cstheme="minorBidi"/>
          <w:b w:val="0"/>
          <w:noProof/>
        </w:rPr>
      </w:pPr>
      <w:r>
        <w:rPr>
          <w:noProof/>
        </w:rPr>
        <w:t>9.</w:t>
      </w:r>
      <w:r>
        <w:rPr>
          <w:rFonts w:eastAsiaTheme="minorEastAsia" w:cstheme="minorBidi"/>
          <w:b w:val="0"/>
          <w:noProof/>
        </w:rPr>
        <w:tab/>
      </w:r>
      <w:r>
        <w:rPr>
          <w:noProof/>
        </w:rPr>
        <w:t>References</w:t>
      </w:r>
      <w:r>
        <w:rPr>
          <w:noProof/>
        </w:rPr>
        <w:tab/>
      </w:r>
      <w:r>
        <w:rPr>
          <w:noProof/>
        </w:rPr>
        <w:fldChar w:fldCharType="begin"/>
      </w:r>
      <w:r>
        <w:rPr>
          <w:noProof/>
        </w:rPr>
        <w:instrText xml:space="preserve"> PAGEREF _Toc468787480 \h </w:instrText>
      </w:r>
      <w:r>
        <w:rPr>
          <w:noProof/>
        </w:rPr>
      </w:r>
      <w:r>
        <w:rPr>
          <w:noProof/>
        </w:rPr>
        <w:fldChar w:fldCharType="separate"/>
      </w:r>
      <w:r w:rsidR="009771DA">
        <w:rPr>
          <w:noProof/>
        </w:rPr>
        <w:t>23</w:t>
      </w:r>
      <w:r>
        <w:rPr>
          <w:noProof/>
        </w:rPr>
        <w:fldChar w:fldCharType="end"/>
      </w:r>
    </w:p>
    <w:p w14:paraId="5C1A0D56" w14:textId="77777777" w:rsidR="00C913FB" w:rsidRDefault="00C913FB">
      <w:pPr>
        <w:pStyle w:val="TOC1"/>
        <w:tabs>
          <w:tab w:val="left" w:pos="660"/>
          <w:tab w:val="right" w:leader="dot" w:pos="9016"/>
        </w:tabs>
        <w:rPr>
          <w:rFonts w:eastAsiaTheme="minorEastAsia" w:cstheme="minorBidi"/>
          <w:b w:val="0"/>
          <w:noProof/>
        </w:rPr>
      </w:pPr>
      <w:r>
        <w:rPr>
          <w:noProof/>
        </w:rPr>
        <w:t>10.</w:t>
      </w:r>
      <w:r>
        <w:rPr>
          <w:rFonts w:eastAsiaTheme="minorEastAsia" w:cstheme="minorBidi"/>
          <w:b w:val="0"/>
          <w:noProof/>
        </w:rPr>
        <w:tab/>
      </w:r>
      <w:r>
        <w:rPr>
          <w:noProof/>
        </w:rPr>
        <w:t>Glossary</w:t>
      </w:r>
      <w:r>
        <w:rPr>
          <w:noProof/>
        </w:rPr>
        <w:tab/>
      </w:r>
      <w:r>
        <w:rPr>
          <w:noProof/>
        </w:rPr>
        <w:fldChar w:fldCharType="begin"/>
      </w:r>
      <w:r>
        <w:rPr>
          <w:noProof/>
        </w:rPr>
        <w:instrText xml:space="preserve"> PAGEREF _Toc468787481 \h </w:instrText>
      </w:r>
      <w:r>
        <w:rPr>
          <w:noProof/>
        </w:rPr>
      </w:r>
      <w:r>
        <w:rPr>
          <w:noProof/>
        </w:rPr>
        <w:fldChar w:fldCharType="separate"/>
      </w:r>
      <w:r w:rsidR="009771DA">
        <w:rPr>
          <w:noProof/>
        </w:rPr>
        <w:t>24</w:t>
      </w:r>
      <w:r>
        <w:rPr>
          <w:noProof/>
        </w:rPr>
        <w:fldChar w:fldCharType="end"/>
      </w:r>
    </w:p>
    <w:p w14:paraId="6E7E8178" w14:textId="77777777" w:rsidR="00C913FB" w:rsidRDefault="00C913FB">
      <w:pPr>
        <w:pStyle w:val="TOC1"/>
        <w:tabs>
          <w:tab w:val="left" w:pos="1320"/>
          <w:tab w:val="right" w:leader="dot" w:pos="9016"/>
        </w:tabs>
        <w:rPr>
          <w:rFonts w:eastAsiaTheme="minorEastAsia" w:cstheme="minorBidi"/>
          <w:b w:val="0"/>
          <w:noProof/>
        </w:rPr>
      </w:pPr>
      <w:r w:rsidRPr="00E1557F">
        <w:rPr>
          <w:b w:val="0"/>
          <w:noProof/>
          <w14:scene3d>
            <w14:camera w14:prst="orthographicFront"/>
            <w14:lightRig w14:rig="threePt" w14:dir="t">
              <w14:rot w14:lat="0" w14:lon="0" w14:rev="0"/>
            </w14:lightRig>
          </w14:scene3d>
        </w:rPr>
        <w:t>Appendix A</w:t>
      </w:r>
      <w:r>
        <w:rPr>
          <w:rFonts w:eastAsiaTheme="minorEastAsia" w:cstheme="minorBidi"/>
          <w:b w:val="0"/>
          <w:noProof/>
        </w:rPr>
        <w:tab/>
      </w:r>
      <w:r>
        <w:rPr>
          <w:noProof/>
        </w:rPr>
        <w:t>PE and DVT items: Recommendations list</w:t>
      </w:r>
      <w:r>
        <w:rPr>
          <w:noProof/>
        </w:rPr>
        <w:tab/>
      </w:r>
      <w:r>
        <w:rPr>
          <w:noProof/>
        </w:rPr>
        <w:fldChar w:fldCharType="begin"/>
      </w:r>
      <w:r>
        <w:rPr>
          <w:noProof/>
        </w:rPr>
        <w:instrText xml:space="preserve"> PAGEREF _Toc468787482 \h </w:instrText>
      </w:r>
      <w:r>
        <w:rPr>
          <w:noProof/>
        </w:rPr>
      </w:r>
      <w:r>
        <w:rPr>
          <w:noProof/>
        </w:rPr>
        <w:fldChar w:fldCharType="separate"/>
      </w:r>
      <w:r w:rsidR="009771DA">
        <w:rPr>
          <w:noProof/>
        </w:rPr>
        <w:t>25</w:t>
      </w:r>
      <w:r>
        <w:rPr>
          <w:noProof/>
        </w:rPr>
        <w:fldChar w:fldCharType="end"/>
      </w:r>
    </w:p>
    <w:p w14:paraId="0639C1A6" w14:textId="77777777" w:rsidR="00C913FB" w:rsidRDefault="00C913FB">
      <w:pPr>
        <w:pStyle w:val="TOC1"/>
        <w:tabs>
          <w:tab w:val="left" w:pos="1320"/>
          <w:tab w:val="right" w:leader="dot" w:pos="9016"/>
        </w:tabs>
        <w:rPr>
          <w:rFonts w:eastAsiaTheme="minorEastAsia" w:cstheme="minorBidi"/>
          <w:b w:val="0"/>
          <w:noProof/>
        </w:rPr>
      </w:pPr>
      <w:r w:rsidRPr="00E1557F">
        <w:rPr>
          <w:b w:val="0"/>
          <w:noProof/>
          <w14:scene3d>
            <w14:camera w14:prst="orthographicFront"/>
            <w14:lightRig w14:rig="threePt" w14:dir="t">
              <w14:rot w14:lat="0" w14:lon="0" w14:rev="0"/>
            </w14:lightRig>
          </w14:scene3d>
        </w:rPr>
        <w:t>Appendix B</w:t>
      </w:r>
      <w:r>
        <w:rPr>
          <w:rFonts w:eastAsiaTheme="minorEastAsia" w:cstheme="minorBidi"/>
          <w:b w:val="0"/>
          <w:noProof/>
        </w:rPr>
        <w:tab/>
      </w:r>
      <w:r>
        <w:rPr>
          <w:noProof/>
        </w:rPr>
        <w:t>Vascular Ultrasound items (Group I1 Subgroup 3) and Urological Ultrasound</w:t>
      </w:r>
      <w:r>
        <w:rPr>
          <w:noProof/>
        </w:rPr>
        <w:tab/>
      </w:r>
      <w:r>
        <w:rPr>
          <w:noProof/>
        </w:rPr>
        <w:fldChar w:fldCharType="begin"/>
      </w:r>
      <w:r>
        <w:rPr>
          <w:noProof/>
        </w:rPr>
        <w:instrText xml:space="preserve"> PAGEREF _Toc468787483 \h </w:instrText>
      </w:r>
      <w:r>
        <w:rPr>
          <w:noProof/>
        </w:rPr>
      </w:r>
      <w:r>
        <w:rPr>
          <w:noProof/>
        </w:rPr>
        <w:fldChar w:fldCharType="separate"/>
      </w:r>
      <w:r w:rsidR="009771DA">
        <w:rPr>
          <w:noProof/>
        </w:rPr>
        <w:t>28</w:t>
      </w:r>
      <w:r>
        <w:rPr>
          <w:noProof/>
        </w:rPr>
        <w:fldChar w:fldCharType="end"/>
      </w:r>
    </w:p>
    <w:p w14:paraId="70C6A3BE" w14:textId="77777777" w:rsidR="00C913FB" w:rsidRDefault="00C913FB">
      <w:pPr>
        <w:pStyle w:val="TOC1"/>
        <w:tabs>
          <w:tab w:val="left" w:pos="1320"/>
          <w:tab w:val="right" w:leader="dot" w:pos="9016"/>
        </w:tabs>
        <w:rPr>
          <w:rFonts w:eastAsiaTheme="minorEastAsia" w:cstheme="minorBidi"/>
          <w:b w:val="0"/>
          <w:noProof/>
        </w:rPr>
      </w:pPr>
      <w:r w:rsidRPr="00E1557F">
        <w:rPr>
          <w:b w:val="0"/>
          <w:noProof/>
          <w14:scene3d>
            <w14:camera w14:prst="orthographicFront"/>
            <w14:lightRig w14:rig="threePt" w14:dir="t">
              <w14:rot w14:lat="0" w14:lon="0" w14:rev="0"/>
            </w14:lightRig>
          </w14:scene3d>
        </w:rPr>
        <w:t>Appendix C</w:t>
      </w:r>
      <w:r>
        <w:rPr>
          <w:rFonts w:eastAsiaTheme="minorEastAsia" w:cstheme="minorBidi"/>
          <w:b w:val="0"/>
          <w:noProof/>
        </w:rPr>
        <w:tab/>
      </w:r>
      <w:r>
        <w:rPr>
          <w:noProof/>
        </w:rPr>
        <w:t>Summary for consumers</w:t>
      </w:r>
      <w:r>
        <w:rPr>
          <w:noProof/>
        </w:rPr>
        <w:tab/>
      </w:r>
      <w:r>
        <w:rPr>
          <w:noProof/>
        </w:rPr>
        <w:fldChar w:fldCharType="begin"/>
      </w:r>
      <w:r>
        <w:rPr>
          <w:noProof/>
        </w:rPr>
        <w:instrText xml:space="preserve"> PAGEREF _Toc468787484 \h </w:instrText>
      </w:r>
      <w:r>
        <w:rPr>
          <w:noProof/>
        </w:rPr>
      </w:r>
      <w:r>
        <w:rPr>
          <w:noProof/>
        </w:rPr>
        <w:fldChar w:fldCharType="separate"/>
      </w:r>
      <w:r w:rsidR="009771DA">
        <w:rPr>
          <w:noProof/>
        </w:rPr>
        <w:t>33</w:t>
      </w:r>
      <w:r>
        <w:rPr>
          <w:noProof/>
        </w:rPr>
        <w:fldChar w:fldCharType="end"/>
      </w:r>
    </w:p>
    <w:p w14:paraId="70D6909F" w14:textId="4475718E" w:rsidR="00326D7D" w:rsidRPr="003B1222" w:rsidRDefault="007D5BB4" w:rsidP="00A359D7">
      <w:pPr>
        <w:rPr>
          <w:b/>
          <w:bCs/>
          <w:noProof/>
          <w:color w:val="01653F"/>
          <w:sz w:val="32"/>
          <w:szCs w:val="32"/>
        </w:rPr>
      </w:pPr>
      <w:r>
        <w:rPr>
          <w:smallCaps/>
          <w:noProof/>
          <w:sz w:val="24"/>
          <w:szCs w:val="22"/>
        </w:rPr>
        <w:fldChar w:fldCharType="end"/>
      </w:r>
      <w:r w:rsidR="00681471" w:rsidRPr="004F50BA">
        <w:br w:type="page"/>
      </w:r>
      <w:r w:rsidR="0011166D" w:rsidRPr="003B1222">
        <w:rPr>
          <w:b/>
          <w:bCs/>
          <w:noProof/>
          <w:color w:val="01653F"/>
          <w:sz w:val="32"/>
          <w:szCs w:val="32"/>
        </w:rPr>
        <w:lastRenderedPageBreak/>
        <w:t>List of Tables</w:t>
      </w:r>
    </w:p>
    <w:p w14:paraId="5CE9CB32" w14:textId="77777777" w:rsidR="00C913FB" w:rsidRDefault="00266013">
      <w:pPr>
        <w:pStyle w:val="TableofFigures"/>
        <w:tabs>
          <w:tab w:val="right" w:leader="dot" w:pos="9016"/>
        </w:tabs>
        <w:rPr>
          <w:rFonts w:eastAsiaTheme="minorEastAsia" w:cstheme="minorBidi"/>
          <w:noProof/>
          <w:sz w:val="22"/>
          <w:szCs w:val="22"/>
        </w:rPr>
      </w:pPr>
      <w:r>
        <w:rPr>
          <w:smallCaps/>
          <w:noProof/>
          <w:sz w:val="32"/>
          <w:szCs w:val="32"/>
        </w:rPr>
        <w:fldChar w:fldCharType="begin"/>
      </w:r>
      <w:r>
        <w:rPr>
          <w:smallCaps/>
          <w:noProof/>
          <w:sz w:val="32"/>
          <w:szCs w:val="32"/>
        </w:rPr>
        <w:instrText xml:space="preserve"> TOC \h \z \t "Caption" \c </w:instrText>
      </w:r>
      <w:r>
        <w:rPr>
          <w:smallCaps/>
          <w:noProof/>
          <w:sz w:val="32"/>
          <w:szCs w:val="32"/>
        </w:rPr>
        <w:fldChar w:fldCharType="separate"/>
      </w:r>
      <w:hyperlink w:anchor="_Toc468787422" w:history="1">
        <w:r w:rsidR="00C913FB" w:rsidRPr="008E7760">
          <w:rPr>
            <w:rStyle w:val="Hyperlink"/>
            <w:b/>
            <w:noProof/>
          </w:rPr>
          <w:t>Table 1: Diagnostic Imaging Clinical Committee Members</w:t>
        </w:r>
        <w:r w:rsidR="00C913FB">
          <w:rPr>
            <w:noProof/>
            <w:webHidden/>
          </w:rPr>
          <w:tab/>
        </w:r>
        <w:r w:rsidR="00C913FB">
          <w:rPr>
            <w:noProof/>
            <w:webHidden/>
          </w:rPr>
          <w:fldChar w:fldCharType="begin"/>
        </w:r>
        <w:r w:rsidR="00C913FB">
          <w:rPr>
            <w:noProof/>
            <w:webHidden/>
          </w:rPr>
          <w:instrText xml:space="preserve"> PAGEREF _Toc468787422 \h </w:instrText>
        </w:r>
        <w:r w:rsidR="00C913FB">
          <w:rPr>
            <w:noProof/>
            <w:webHidden/>
          </w:rPr>
        </w:r>
        <w:r w:rsidR="00C913FB">
          <w:rPr>
            <w:noProof/>
            <w:webHidden/>
          </w:rPr>
          <w:fldChar w:fldCharType="separate"/>
        </w:r>
        <w:r w:rsidR="009771DA">
          <w:rPr>
            <w:noProof/>
            <w:webHidden/>
          </w:rPr>
          <w:t>8</w:t>
        </w:r>
        <w:r w:rsidR="00C913FB">
          <w:rPr>
            <w:noProof/>
            <w:webHidden/>
          </w:rPr>
          <w:fldChar w:fldCharType="end"/>
        </w:r>
      </w:hyperlink>
    </w:p>
    <w:p w14:paraId="102521DF" w14:textId="77777777" w:rsidR="00C913FB" w:rsidRDefault="0090481D">
      <w:pPr>
        <w:pStyle w:val="TableofFigures"/>
        <w:tabs>
          <w:tab w:val="right" w:leader="dot" w:pos="9016"/>
        </w:tabs>
        <w:rPr>
          <w:rFonts w:eastAsiaTheme="minorEastAsia" w:cstheme="minorBidi"/>
          <w:noProof/>
          <w:sz w:val="22"/>
          <w:szCs w:val="22"/>
        </w:rPr>
      </w:pPr>
      <w:hyperlink w:anchor="_Toc468787423" w:history="1">
        <w:r w:rsidR="00C913FB" w:rsidRPr="008E7760">
          <w:rPr>
            <w:rStyle w:val="Hyperlink"/>
            <w:b/>
            <w:noProof/>
          </w:rPr>
          <w:t>Table 2: Pulmonary Embolism and Deep Vein Thrombosis Working Group Members</w:t>
        </w:r>
        <w:r w:rsidR="00C913FB">
          <w:rPr>
            <w:noProof/>
            <w:webHidden/>
          </w:rPr>
          <w:tab/>
        </w:r>
        <w:r w:rsidR="00C913FB">
          <w:rPr>
            <w:noProof/>
            <w:webHidden/>
          </w:rPr>
          <w:fldChar w:fldCharType="begin"/>
        </w:r>
        <w:r w:rsidR="00C913FB">
          <w:rPr>
            <w:noProof/>
            <w:webHidden/>
          </w:rPr>
          <w:instrText xml:space="preserve"> PAGEREF _Toc468787423 \h </w:instrText>
        </w:r>
        <w:r w:rsidR="00C913FB">
          <w:rPr>
            <w:noProof/>
            <w:webHidden/>
          </w:rPr>
        </w:r>
        <w:r w:rsidR="00C913FB">
          <w:rPr>
            <w:noProof/>
            <w:webHidden/>
          </w:rPr>
          <w:fldChar w:fldCharType="separate"/>
        </w:r>
        <w:r w:rsidR="009771DA">
          <w:rPr>
            <w:noProof/>
            <w:webHidden/>
          </w:rPr>
          <w:t>9</w:t>
        </w:r>
        <w:r w:rsidR="00C913FB">
          <w:rPr>
            <w:noProof/>
            <w:webHidden/>
          </w:rPr>
          <w:fldChar w:fldCharType="end"/>
        </w:r>
      </w:hyperlink>
    </w:p>
    <w:p w14:paraId="7B912048" w14:textId="77777777" w:rsidR="00C913FB" w:rsidRDefault="0090481D">
      <w:pPr>
        <w:pStyle w:val="TableofFigures"/>
        <w:tabs>
          <w:tab w:val="right" w:leader="dot" w:pos="9016"/>
        </w:tabs>
        <w:rPr>
          <w:rFonts w:eastAsiaTheme="minorEastAsia" w:cstheme="minorBidi"/>
          <w:noProof/>
          <w:sz w:val="22"/>
          <w:szCs w:val="22"/>
        </w:rPr>
      </w:pPr>
      <w:hyperlink w:anchor="_Toc468787424" w:history="1">
        <w:r w:rsidR="00C913FB" w:rsidRPr="008E7760">
          <w:rPr>
            <w:rStyle w:val="Hyperlink"/>
            <w:b/>
            <w:noProof/>
          </w:rPr>
          <w:t>Table 3: Items for duplex ultrasound for DVT introduction table</w:t>
        </w:r>
        <w:r w:rsidR="00C913FB">
          <w:rPr>
            <w:noProof/>
            <w:webHidden/>
          </w:rPr>
          <w:tab/>
        </w:r>
        <w:r w:rsidR="00C913FB">
          <w:rPr>
            <w:noProof/>
            <w:webHidden/>
          </w:rPr>
          <w:fldChar w:fldCharType="begin"/>
        </w:r>
        <w:r w:rsidR="00C913FB">
          <w:rPr>
            <w:noProof/>
            <w:webHidden/>
          </w:rPr>
          <w:instrText xml:space="preserve"> PAGEREF _Toc468787424 \h </w:instrText>
        </w:r>
        <w:r w:rsidR="00C913FB">
          <w:rPr>
            <w:noProof/>
            <w:webHidden/>
          </w:rPr>
        </w:r>
        <w:r w:rsidR="00C913FB">
          <w:rPr>
            <w:noProof/>
            <w:webHidden/>
          </w:rPr>
          <w:fldChar w:fldCharType="separate"/>
        </w:r>
        <w:r w:rsidR="009771DA">
          <w:rPr>
            <w:noProof/>
            <w:webHidden/>
          </w:rPr>
          <w:t>12</w:t>
        </w:r>
        <w:r w:rsidR="00C913FB">
          <w:rPr>
            <w:noProof/>
            <w:webHidden/>
          </w:rPr>
          <w:fldChar w:fldCharType="end"/>
        </w:r>
      </w:hyperlink>
    </w:p>
    <w:p w14:paraId="099053CF" w14:textId="77777777" w:rsidR="00C913FB" w:rsidRDefault="0090481D">
      <w:pPr>
        <w:pStyle w:val="TableofFigures"/>
        <w:tabs>
          <w:tab w:val="right" w:leader="dot" w:pos="9016"/>
        </w:tabs>
        <w:rPr>
          <w:rFonts w:eastAsiaTheme="minorEastAsia" w:cstheme="minorBidi"/>
          <w:noProof/>
          <w:sz w:val="22"/>
          <w:szCs w:val="22"/>
        </w:rPr>
      </w:pPr>
      <w:hyperlink w:anchor="_Toc468787425" w:history="1">
        <w:r w:rsidR="00C913FB" w:rsidRPr="008E7760">
          <w:rPr>
            <w:rStyle w:val="Hyperlink"/>
            <w:b/>
            <w:noProof/>
          </w:rPr>
          <w:t>Table 4: MBS 2014-15 Statistics - Duplex ultrasound items for DVT</w:t>
        </w:r>
        <w:r w:rsidR="00C913FB">
          <w:rPr>
            <w:noProof/>
            <w:webHidden/>
          </w:rPr>
          <w:tab/>
        </w:r>
        <w:r w:rsidR="00C913FB">
          <w:rPr>
            <w:noProof/>
            <w:webHidden/>
          </w:rPr>
          <w:fldChar w:fldCharType="begin"/>
        </w:r>
        <w:r w:rsidR="00C913FB">
          <w:rPr>
            <w:noProof/>
            <w:webHidden/>
          </w:rPr>
          <w:instrText xml:space="preserve"> PAGEREF _Toc468787425 \h </w:instrText>
        </w:r>
        <w:r w:rsidR="00C913FB">
          <w:rPr>
            <w:noProof/>
            <w:webHidden/>
          </w:rPr>
        </w:r>
        <w:r w:rsidR="00C913FB">
          <w:rPr>
            <w:noProof/>
            <w:webHidden/>
          </w:rPr>
          <w:fldChar w:fldCharType="separate"/>
        </w:r>
        <w:r w:rsidR="009771DA">
          <w:rPr>
            <w:noProof/>
            <w:webHidden/>
          </w:rPr>
          <w:t>13</w:t>
        </w:r>
        <w:r w:rsidR="00C913FB">
          <w:rPr>
            <w:noProof/>
            <w:webHidden/>
          </w:rPr>
          <w:fldChar w:fldCharType="end"/>
        </w:r>
      </w:hyperlink>
    </w:p>
    <w:p w14:paraId="00EBE406" w14:textId="77777777" w:rsidR="00C913FB" w:rsidRDefault="0090481D">
      <w:pPr>
        <w:pStyle w:val="TableofFigures"/>
        <w:tabs>
          <w:tab w:val="right" w:leader="dot" w:pos="9016"/>
        </w:tabs>
        <w:rPr>
          <w:rFonts w:eastAsiaTheme="minorEastAsia" w:cstheme="minorBidi"/>
          <w:noProof/>
          <w:sz w:val="22"/>
          <w:szCs w:val="22"/>
        </w:rPr>
      </w:pPr>
      <w:hyperlink w:anchor="_Toc468787426" w:history="1">
        <w:r w:rsidR="00C913FB" w:rsidRPr="008E7760">
          <w:rPr>
            <w:rStyle w:val="Hyperlink"/>
            <w:b/>
            <w:noProof/>
          </w:rPr>
          <w:t>Table 5 Co-claiming of duplex scanning for DVT and chronic venous disease on the same patient same day (2014-15)</w:t>
        </w:r>
        <w:r w:rsidR="00C913FB">
          <w:rPr>
            <w:noProof/>
            <w:webHidden/>
          </w:rPr>
          <w:tab/>
        </w:r>
        <w:r w:rsidR="00C913FB">
          <w:rPr>
            <w:noProof/>
            <w:webHidden/>
          </w:rPr>
          <w:fldChar w:fldCharType="begin"/>
        </w:r>
        <w:r w:rsidR="00C913FB">
          <w:rPr>
            <w:noProof/>
            <w:webHidden/>
          </w:rPr>
          <w:instrText xml:space="preserve"> PAGEREF _Toc468787426 \h </w:instrText>
        </w:r>
        <w:r w:rsidR="00C913FB">
          <w:rPr>
            <w:noProof/>
            <w:webHidden/>
          </w:rPr>
        </w:r>
        <w:r w:rsidR="00C913FB">
          <w:rPr>
            <w:noProof/>
            <w:webHidden/>
          </w:rPr>
          <w:fldChar w:fldCharType="separate"/>
        </w:r>
        <w:r w:rsidR="009771DA">
          <w:rPr>
            <w:noProof/>
            <w:webHidden/>
          </w:rPr>
          <w:t>13</w:t>
        </w:r>
        <w:r w:rsidR="00C913FB">
          <w:rPr>
            <w:noProof/>
            <w:webHidden/>
          </w:rPr>
          <w:fldChar w:fldCharType="end"/>
        </w:r>
      </w:hyperlink>
    </w:p>
    <w:p w14:paraId="74977A04" w14:textId="77777777" w:rsidR="00C913FB" w:rsidRDefault="0090481D">
      <w:pPr>
        <w:pStyle w:val="TableofFigures"/>
        <w:tabs>
          <w:tab w:val="right" w:leader="dot" w:pos="9016"/>
        </w:tabs>
        <w:rPr>
          <w:rFonts w:eastAsiaTheme="minorEastAsia" w:cstheme="minorBidi"/>
          <w:noProof/>
          <w:sz w:val="22"/>
          <w:szCs w:val="22"/>
        </w:rPr>
      </w:pPr>
      <w:hyperlink w:anchor="_Toc468787427" w:history="1">
        <w:r w:rsidR="00C913FB" w:rsidRPr="008E7760">
          <w:rPr>
            <w:rStyle w:val="Hyperlink"/>
            <w:b/>
            <w:noProof/>
          </w:rPr>
          <w:t>Table 6 Items for PE imaging introduction table</w:t>
        </w:r>
        <w:r w:rsidR="00C913FB">
          <w:rPr>
            <w:noProof/>
            <w:webHidden/>
          </w:rPr>
          <w:tab/>
        </w:r>
        <w:r w:rsidR="00C913FB">
          <w:rPr>
            <w:noProof/>
            <w:webHidden/>
          </w:rPr>
          <w:fldChar w:fldCharType="begin"/>
        </w:r>
        <w:r w:rsidR="00C913FB">
          <w:rPr>
            <w:noProof/>
            <w:webHidden/>
          </w:rPr>
          <w:instrText xml:space="preserve"> PAGEREF _Toc468787427 \h </w:instrText>
        </w:r>
        <w:r w:rsidR="00C913FB">
          <w:rPr>
            <w:noProof/>
            <w:webHidden/>
          </w:rPr>
        </w:r>
        <w:r w:rsidR="00C913FB">
          <w:rPr>
            <w:noProof/>
            <w:webHidden/>
          </w:rPr>
          <w:fldChar w:fldCharType="separate"/>
        </w:r>
        <w:r w:rsidR="009771DA">
          <w:rPr>
            <w:noProof/>
            <w:webHidden/>
          </w:rPr>
          <w:t>18</w:t>
        </w:r>
        <w:r w:rsidR="00C913FB">
          <w:rPr>
            <w:noProof/>
            <w:webHidden/>
          </w:rPr>
          <w:fldChar w:fldCharType="end"/>
        </w:r>
      </w:hyperlink>
    </w:p>
    <w:p w14:paraId="7230E25D" w14:textId="77777777" w:rsidR="00C913FB" w:rsidRDefault="0090481D">
      <w:pPr>
        <w:pStyle w:val="TableofFigures"/>
        <w:tabs>
          <w:tab w:val="right" w:leader="dot" w:pos="9016"/>
        </w:tabs>
        <w:rPr>
          <w:rFonts w:eastAsiaTheme="minorEastAsia" w:cstheme="minorBidi"/>
          <w:noProof/>
          <w:sz w:val="22"/>
          <w:szCs w:val="22"/>
        </w:rPr>
      </w:pPr>
      <w:hyperlink w:anchor="_Toc468787428" w:history="1">
        <w:r w:rsidR="00C913FB" w:rsidRPr="008E7760">
          <w:rPr>
            <w:rStyle w:val="Hyperlink"/>
            <w:b/>
            <w:noProof/>
          </w:rPr>
          <w:t>Table 7: MBS 2014-15 Statistics – Computed Tomography Pulmonary Angiography</w:t>
        </w:r>
        <w:r w:rsidR="00C913FB">
          <w:rPr>
            <w:noProof/>
            <w:webHidden/>
          </w:rPr>
          <w:tab/>
        </w:r>
        <w:r w:rsidR="00C913FB">
          <w:rPr>
            <w:noProof/>
            <w:webHidden/>
          </w:rPr>
          <w:fldChar w:fldCharType="begin"/>
        </w:r>
        <w:r w:rsidR="00C913FB">
          <w:rPr>
            <w:noProof/>
            <w:webHidden/>
          </w:rPr>
          <w:instrText xml:space="preserve"> PAGEREF _Toc468787428 \h </w:instrText>
        </w:r>
        <w:r w:rsidR="00C913FB">
          <w:rPr>
            <w:noProof/>
            <w:webHidden/>
          </w:rPr>
        </w:r>
        <w:r w:rsidR="00C913FB">
          <w:rPr>
            <w:noProof/>
            <w:webHidden/>
          </w:rPr>
          <w:fldChar w:fldCharType="separate"/>
        </w:r>
        <w:r w:rsidR="009771DA">
          <w:rPr>
            <w:noProof/>
            <w:webHidden/>
          </w:rPr>
          <w:t>19</w:t>
        </w:r>
        <w:r w:rsidR="00C913FB">
          <w:rPr>
            <w:noProof/>
            <w:webHidden/>
          </w:rPr>
          <w:fldChar w:fldCharType="end"/>
        </w:r>
      </w:hyperlink>
    </w:p>
    <w:p w14:paraId="5868F934" w14:textId="77777777" w:rsidR="00C913FB" w:rsidRDefault="0090481D">
      <w:pPr>
        <w:pStyle w:val="TableofFigures"/>
        <w:tabs>
          <w:tab w:val="right" w:leader="dot" w:pos="9016"/>
        </w:tabs>
        <w:rPr>
          <w:rFonts w:eastAsiaTheme="minorEastAsia" w:cstheme="minorBidi"/>
          <w:noProof/>
          <w:sz w:val="22"/>
          <w:szCs w:val="22"/>
        </w:rPr>
      </w:pPr>
      <w:hyperlink w:anchor="_Toc468787429" w:history="1">
        <w:r w:rsidR="00C913FB" w:rsidRPr="008E7760">
          <w:rPr>
            <w:rStyle w:val="Hyperlink"/>
            <w:b/>
            <w:noProof/>
          </w:rPr>
          <w:t>Table 8: MBS 2014-15 Statistics – Ventilation Perfusion (V/Q) Scans</w:t>
        </w:r>
        <w:r w:rsidR="00C913FB">
          <w:rPr>
            <w:noProof/>
            <w:webHidden/>
          </w:rPr>
          <w:tab/>
        </w:r>
        <w:r w:rsidR="00C913FB">
          <w:rPr>
            <w:noProof/>
            <w:webHidden/>
          </w:rPr>
          <w:fldChar w:fldCharType="begin"/>
        </w:r>
        <w:r w:rsidR="00C913FB">
          <w:rPr>
            <w:noProof/>
            <w:webHidden/>
          </w:rPr>
          <w:instrText xml:space="preserve"> PAGEREF _Toc468787429 \h </w:instrText>
        </w:r>
        <w:r w:rsidR="00C913FB">
          <w:rPr>
            <w:noProof/>
            <w:webHidden/>
          </w:rPr>
        </w:r>
        <w:r w:rsidR="00C913FB">
          <w:rPr>
            <w:noProof/>
            <w:webHidden/>
          </w:rPr>
          <w:fldChar w:fldCharType="separate"/>
        </w:r>
        <w:r w:rsidR="009771DA">
          <w:rPr>
            <w:noProof/>
            <w:webHidden/>
          </w:rPr>
          <w:t>19</w:t>
        </w:r>
        <w:r w:rsidR="00C913FB">
          <w:rPr>
            <w:noProof/>
            <w:webHidden/>
          </w:rPr>
          <w:fldChar w:fldCharType="end"/>
        </w:r>
      </w:hyperlink>
    </w:p>
    <w:p w14:paraId="4E2D1DA0" w14:textId="77777777" w:rsidR="00C913FB" w:rsidRDefault="0090481D">
      <w:pPr>
        <w:pStyle w:val="TableofFigures"/>
        <w:tabs>
          <w:tab w:val="right" w:leader="dot" w:pos="9016"/>
        </w:tabs>
        <w:rPr>
          <w:rFonts w:eastAsiaTheme="minorEastAsia" w:cstheme="minorBidi"/>
          <w:noProof/>
          <w:sz w:val="22"/>
          <w:szCs w:val="22"/>
        </w:rPr>
      </w:pPr>
      <w:hyperlink w:anchor="_Toc468787430" w:history="1">
        <w:r w:rsidR="00C913FB" w:rsidRPr="008E7760">
          <w:rPr>
            <w:rStyle w:val="Hyperlink"/>
            <w:b/>
            <w:noProof/>
          </w:rPr>
          <w:t>Recommendation 1 MBS explanatory notes for the MBS items dealing with diagnostic imaging for DVT</w:t>
        </w:r>
        <w:r w:rsidR="00C913FB">
          <w:rPr>
            <w:noProof/>
            <w:webHidden/>
          </w:rPr>
          <w:tab/>
        </w:r>
        <w:r w:rsidR="00C913FB">
          <w:rPr>
            <w:noProof/>
            <w:webHidden/>
          </w:rPr>
          <w:fldChar w:fldCharType="begin"/>
        </w:r>
        <w:r w:rsidR="00C913FB">
          <w:rPr>
            <w:noProof/>
            <w:webHidden/>
          </w:rPr>
          <w:instrText xml:space="preserve"> PAGEREF _Toc468787430 \h </w:instrText>
        </w:r>
        <w:r w:rsidR="00C913FB">
          <w:rPr>
            <w:noProof/>
            <w:webHidden/>
          </w:rPr>
        </w:r>
        <w:r w:rsidR="00C913FB">
          <w:rPr>
            <w:noProof/>
            <w:webHidden/>
          </w:rPr>
          <w:fldChar w:fldCharType="separate"/>
        </w:r>
        <w:r w:rsidR="009771DA">
          <w:rPr>
            <w:noProof/>
            <w:webHidden/>
          </w:rPr>
          <w:t>33</w:t>
        </w:r>
        <w:r w:rsidR="00C913FB">
          <w:rPr>
            <w:noProof/>
            <w:webHidden/>
          </w:rPr>
          <w:fldChar w:fldCharType="end"/>
        </w:r>
      </w:hyperlink>
    </w:p>
    <w:p w14:paraId="33D665E2" w14:textId="77777777" w:rsidR="00C913FB" w:rsidRDefault="0090481D">
      <w:pPr>
        <w:pStyle w:val="TableofFigures"/>
        <w:tabs>
          <w:tab w:val="right" w:leader="dot" w:pos="9016"/>
        </w:tabs>
        <w:rPr>
          <w:rFonts w:eastAsiaTheme="minorEastAsia" w:cstheme="minorBidi"/>
          <w:noProof/>
          <w:sz w:val="22"/>
          <w:szCs w:val="22"/>
        </w:rPr>
      </w:pPr>
      <w:hyperlink w:anchor="_Toc468787431" w:history="1">
        <w:r w:rsidR="00C913FB" w:rsidRPr="008E7760">
          <w:rPr>
            <w:rStyle w:val="Hyperlink"/>
            <w:b/>
            <w:noProof/>
          </w:rPr>
          <w:t>Recommendation 2 Co-claiming duplex scanning for DVT and chronic venous disease</w:t>
        </w:r>
        <w:r w:rsidR="00C913FB">
          <w:rPr>
            <w:noProof/>
            <w:webHidden/>
          </w:rPr>
          <w:tab/>
        </w:r>
        <w:r w:rsidR="00C913FB">
          <w:rPr>
            <w:noProof/>
            <w:webHidden/>
          </w:rPr>
          <w:fldChar w:fldCharType="begin"/>
        </w:r>
        <w:r w:rsidR="00C913FB">
          <w:rPr>
            <w:noProof/>
            <w:webHidden/>
          </w:rPr>
          <w:instrText xml:space="preserve"> PAGEREF _Toc468787431 \h </w:instrText>
        </w:r>
        <w:r w:rsidR="00C913FB">
          <w:rPr>
            <w:noProof/>
            <w:webHidden/>
          </w:rPr>
        </w:r>
        <w:r w:rsidR="00C913FB">
          <w:rPr>
            <w:noProof/>
            <w:webHidden/>
          </w:rPr>
          <w:fldChar w:fldCharType="separate"/>
        </w:r>
        <w:r w:rsidR="009771DA">
          <w:rPr>
            <w:noProof/>
            <w:webHidden/>
          </w:rPr>
          <w:t>34</w:t>
        </w:r>
        <w:r w:rsidR="00C913FB">
          <w:rPr>
            <w:noProof/>
            <w:webHidden/>
          </w:rPr>
          <w:fldChar w:fldCharType="end"/>
        </w:r>
      </w:hyperlink>
    </w:p>
    <w:p w14:paraId="430F5203" w14:textId="77777777" w:rsidR="00C913FB" w:rsidRDefault="0090481D">
      <w:pPr>
        <w:pStyle w:val="TableofFigures"/>
        <w:tabs>
          <w:tab w:val="right" w:leader="dot" w:pos="9016"/>
        </w:tabs>
        <w:rPr>
          <w:rFonts w:eastAsiaTheme="minorEastAsia" w:cstheme="minorBidi"/>
          <w:noProof/>
          <w:sz w:val="22"/>
          <w:szCs w:val="22"/>
        </w:rPr>
      </w:pPr>
      <w:hyperlink w:anchor="_Toc468787432" w:history="1">
        <w:r w:rsidR="00C913FB" w:rsidRPr="008E7760">
          <w:rPr>
            <w:rStyle w:val="Hyperlink"/>
            <w:b/>
            <w:noProof/>
          </w:rPr>
          <w:t>Recommendation 4 MBS explanatory notes for the MBS items dealing with diagnostic imaging for PE</w:t>
        </w:r>
        <w:r w:rsidR="00C913FB">
          <w:rPr>
            <w:noProof/>
            <w:webHidden/>
          </w:rPr>
          <w:tab/>
        </w:r>
        <w:r w:rsidR="00C913FB">
          <w:rPr>
            <w:noProof/>
            <w:webHidden/>
          </w:rPr>
          <w:fldChar w:fldCharType="begin"/>
        </w:r>
        <w:r w:rsidR="00C913FB">
          <w:rPr>
            <w:noProof/>
            <w:webHidden/>
          </w:rPr>
          <w:instrText xml:space="preserve"> PAGEREF _Toc468787432 \h </w:instrText>
        </w:r>
        <w:r w:rsidR="00C913FB">
          <w:rPr>
            <w:noProof/>
            <w:webHidden/>
          </w:rPr>
        </w:r>
        <w:r w:rsidR="00C913FB">
          <w:rPr>
            <w:noProof/>
            <w:webHidden/>
          </w:rPr>
          <w:fldChar w:fldCharType="separate"/>
        </w:r>
        <w:r w:rsidR="009771DA">
          <w:rPr>
            <w:noProof/>
            <w:webHidden/>
          </w:rPr>
          <w:t>35</w:t>
        </w:r>
        <w:r w:rsidR="00C913FB">
          <w:rPr>
            <w:noProof/>
            <w:webHidden/>
          </w:rPr>
          <w:fldChar w:fldCharType="end"/>
        </w:r>
      </w:hyperlink>
    </w:p>
    <w:p w14:paraId="1C564F9F" w14:textId="2A2EB2C2" w:rsidR="00262127" w:rsidRPr="00DA579E" w:rsidRDefault="00266013" w:rsidP="00DA579E">
      <w:pPr>
        <w:tabs>
          <w:tab w:val="left" w:pos="993"/>
        </w:tabs>
      </w:pPr>
      <w:r>
        <w:rPr>
          <w:smallCaps/>
          <w:noProof/>
        </w:rPr>
        <w:fldChar w:fldCharType="end"/>
      </w:r>
      <w:r w:rsidR="0011166D" w:rsidRPr="003D282A">
        <w:fldChar w:fldCharType="begin"/>
      </w:r>
      <w:r w:rsidR="0011166D" w:rsidRPr="003D282A">
        <w:instrText xml:space="preserve"> TOC \h \z \c "Table" </w:instrText>
      </w:r>
      <w:r w:rsidR="0011166D" w:rsidRPr="003D282A">
        <w:fldChar w:fldCharType="end"/>
      </w:r>
      <w:r w:rsidR="00262127" w:rsidRPr="00CF1E64">
        <w:rPr>
          <w:rFonts w:cs="Arial"/>
        </w:rPr>
        <w:br w:type="page"/>
      </w:r>
    </w:p>
    <w:p w14:paraId="363935F8" w14:textId="1A7D12FC" w:rsidR="009837DB" w:rsidRPr="00EA0A9F" w:rsidRDefault="00262127" w:rsidP="00EA0A9F">
      <w:pPr>
        <w:pStyle w:val="Heading1"/>
      </w:pPr>
      <w:bookmarkStart w:id="2" w:name="_Toc468787452"/>
      <w:bookmarkEnd w:id="0"/>
      <w:r w:rsidRPr="00EA0A9F">
        <w:lastRenderedPageBreak/>
        <w:t>Executive Summary</w:t>
      </w:r>
      <w:bookmarkEnd w:id="2"/>
    </w:p>
    <w:p w14:paraId="4BD82F34" w14:textId="77777777" w:rsidR="00463B1C" w:rsidRDefault="00FE088C" w:rsidP="00703DC7">
      <w:r w:rsidRPr="009200D8">
        <w:t>The Medicare Benefits Schedule (MBS) Review Taskforce (the Taskforce) is undertaking a program of work</w:t>
      </w:r>
      <w:r w:rsidR="00CF522D" w:rsidRPr="009200D8">
        <w:t xml:space="preserve"> that considers how more than 5,700 items on the MBS can be aligned with contemporary clinical evidence and practice and improves health outcomes for patients. The Taskforce will also seek to identify any services that may be unnecessary, outdated or potentially unsafe.</w:t>
      </w:r>
      <w:r w:rsidR="00463B1C" w:rsidRPr="009200D8">
        <w:t xml:space="preserve"> </w:t>
      </w:r>
    </w:p>
    <w:p w14:paraId="4FDC5656" w14:textId="25679587" w:rsidR="00A962D1" w:rsidRPr="009D0EED" w:rsidRDefault="00A962D1" w:rsidP="00A962D1">
      <w:r w:rsidRPr="009D0EED">
        <w:t xml:space="preserve">The Taskforce is committed to providing recommendations to the Minister </w:t>
      </w:r>
      <w:r w:rsidR="00EC7580">
        <w:t xml:space="preserve">for Health </w:t>
      </w:r>
      <w:r w:rsidRPr="009D0EED">
        <w:t>that will allow the MBS to deliver on each of these four key goals:</w:t>
      </w:r>
    </w:p>
    <w:p w14:paraId="52E8F84F" w14:textId="77777777" w:rsidR="00A962D1" w:rsidRPr="003F788A" w:rsidRDefault="00A962D1" w:rsidP="00A962D1">
      <w:pPr>
        <w:pStyle w:val="NormalBulleted"/>
      </w:pPr>
      <w:r w:rsidRPr="003F788A">
        <w:t>Affordable and universal access</w:t>
      </w:r>
    </w:p>
    <w:p w14:paraId="4E8ACB16" w14:textId="77777777" w:rsidR="00A962D1" w:rsidRPr="003F788A" w:rsidRDefault="00A962D1" w:rsidP="00A962D1">
      <w:pPr>
        <w:pStyle w:val="NormalBulleted"/>
      </w:pPr>
      <w:r w:rsidRPr="003F788A">
        <w:t>Best practice health services</w:t>
      </w:r>
    </w:p>
    <w:p w14:paraId="3D9DE368" w14:textId="77777777" w:rsidR="00A962D1" w:rsidRPr="003F788A" w:rsidRDefault="00A962D1" w:rsidP="00A962D1">
      <w:pPr>
        <w:pStyle w:val="NormalBulleted"/>
      </w:pPr>
      <w:r w:rsidRPr="003F788A">
        <w:t>Value for the individual patient</w:t>
      </w:r>
    </w:p>
    <w:p w14:paraId="6D29F381" w14:textId="77777777" w:rsidR="00A962D1" w:rsidRDefault="00A962D1" w:rsidP="00A962D1">
      <w:pPr>
        <w:pStyle w:val="NormalBulleted"/>
      </w:pPr>
      <w:r w:rsidRPr="003F788A">
        <w:t>Value</w:t>
      </w:r>
      <w:r w:rsidRPr="009D0EED">
        <w:t xml:space="preserve"> for the health system</w:t>
      </w:r>
      <w:r>
        <w:t>.</w:t>
      </w:r>
    </w:p>
    <w:p w14:paraId="36597A3D" w14:textId="369FD368" w:rsidR="00A962D1" w:rsidRPr="009200D8" w:rsidRDefault="00A962D1" w:rsidP="00A962D1">
      <w:r w:rsidRPr="009200D8">
        <w:t>The Taskforce has endorsed a methodology whereby the necessary clinical review of MBS items is undertaken by Clinical Committees and Working Groups.</w:t>
      </w:r>
      <w:r w:rsidR="00D3527C">
        <w:t xml:space="preserve"> </w:t>
      </w:r>
      <w:r w:rsidRPr="009200D8">
        <w:t xml:space="preserve">The Taskforce has asked the Clinical Committees to undertake the following tasks: </w:t>
      </w:r>
    </w:p>
    <w:p w14:paraId="21B34908" w14:textId="77777777" w:rsidR="00A962D1" w:rsidRPr="00BD5C8D" w:rsidRDefault="00A962D1" w:rsidP="00A962D1">
      <w:pPr>
        <w:pStyle w:val="Numbering"/>
        <w:rPr>
          <w:b w:val="0"/>
        </w:rPr>
      </w:pPr>
      <w:r w:rsidRPr="00BD5C8D">
        <w:rPr>
          <w:b w:val="0"/>
        </w:rPr>
        <w:t xml:space="preserve">Consider whether there are MBS items that are obsolete and should be removed from the MBS. </w:t>
      </w:r>
    </w:p>
    <w:p w14:paraId="76058DB2" w14:textId="77777777" w:rsidR="00A962D1" w:rsidRPr="00BD5C8D" w:rsidRDefault="00A962D1" w:rsidP="00A962D1">
      <w:pPr>
        <w:pStyle w:val="Numbering"/>
        <w:rPr>
          <w:b w:val="0"/>
        </w:rPr>
      </w:pPr>
      <w:r w:rsidRPr="00BD5C8D">
        <w:rPr>
          <w:b w:val="0"/>
        </w:rPr>
        <w:t xml:space="preserve">Consider identified priority reviews of selected MBS services. </w:t>
      </w:r>
    </w:p>
    <w:p w14:paraId="4E19E50B" w14:textId="77777777" w:rsidR="00A962D1" w:rsidRPr="00BD5C8D" w:rsidRDefault="00A962D1" w:rsidP="00A962D1">
      <w:pPr>
        <w:pStyle w:val="Numbering"/>
        <w:rPr>
          <w:b w:val="0"/>
        </w:rPr>
      </w:pPr>
      <w:r w:rsidRPr="00BD5C8D">
        <w:rPr>
          <w:b w:val="0"/>
        </w:rPr>
        <w:t xml:space="preserve">Develop a program of work to consider the balance of MBS services within its remit and items assigned to the Committee. </w:t>
      </w:r>
    </w:p>
    <w:p w14:paraId="78342F97" w14:textId="28310174" w:rsidR="00A962D1" w:rsidRPr="00A962D1" w:rsidRDefault="00A962D1" w:rsidP="00A962D1">
      <w:pPr>
        <w:pStyle w:val="Numbering"/>
        <w:rPr>
          <w:b w:val="0"/>
        </w:rPr>
      </w:pPr>
      <w:r w:rsidRPr="00BD5C8D">
        <w:rPr>
          <w:b w:val="0"/>
        </w:rPr>
        <w:t xml:space="preserve">Advise the Taskforce on relevant general MBS issues identified by the Committee </w:t>
      </w:r>
      <w:proofErr w:type="gramStart"/>
      <w:r w:rsidRPr="00BD5C8D">
        <w:rPr>
          <w:b w:val="0"/>
        </w:rPr>
        <w:t>in th</w:t>
      </w:r>
      <w:r>
        <w:rPr>
          <w:b w:val="0"/>
        </w:rPr>
        <w:t>e course of</w:t>
      </w:r>
      <w:proofErr w:type="gramEnd"/>
      <w:r>
        <w:rPr>
          <w:b w:val="0"/>
        </w:rPr>
        <w:t xml:space="preserve"> its deliberations. </w:t>
      </w:r>
    </w:p>
    <w:p w14:paraId="3B142B3C" w14:textId="6F9C4628" w:rsidR="00CF522D" w:rsidRDefault="00CF522D" w:rsidP="00703DC7">
      <w:r w:rsidRPr="009200D8">
        <w:t>The recommendations from the Clinical Committees are released for stakeholder consultation. The Clinical Committees will consider feedback from stakeholders and then provide recommendations to the Taskforce in a Review Report. The Taskforce will consider the Review Report from Clinical Committees and stakeholder feedback before making recommendations to the Minister fo</w:t>
      </w:r>
      <w:r w:rsidR="009461A9">
        <w:t xml:space="preserve">r consideration by Government. </w:t>
      </w:r>
    </w:p>
    <w:p w14:paraId="3C96343E" w14:textId="77777777" w:rsidR="00EC7580" w:rsidRPr="007B33E7" w:rsidRDefault="00EC7580" w:rsidP="00EC7580">
      <w:pPr>
        <w:pStyle w:val="Heading2"/>
      </w:pPr>
      <w:bookmarkStart w:id="3" w:name="_Toc468715066"/>
      <w:bookmarkStart w:id="4" w:name="_Toc468787453"/>
      <w:r>
        <w:t>MBS Review process</w:t>
      </w:r>
      <w:bookmarkEnd w:id="3"/>
    </w:p>
    <w:p w14:paraId="695F0D9B" w14:textId="24553B25" w:rsidR="00EC7580" w:rsidRPr="00FC1976" w:rsidRDefault="00EC7580" w:rsidP="00EC7580">
      <w:pPr>
        <w:widowControl w:val="0"/>
        <w:autoSpaceDE w:val="0"/>
        <w:autoSpaceDN w:val="0"/>
        <w:adjustRightInd w:val="0"/>
        <w:spacing w:after="0"/>
      </w:pPr>
      <w:r w:rsidRPr="00FC1976">
        <w:t xml:space="preserve">The Taskforce has endorsed a process whereby the necessary clinical review of MBS items is undertaken by </w:t>
      </w:r>
      <w:r>
        <w:t>Clinical Committee</w:t>
      </w:r>
      <w:r w:rsidRPr="00FC1976">
        <w:t xml:space="preserve">s and </w:t>
      </w:r>
      <w:r>
        <w:t>Working Group</w:t>
      </w:r>
      <w:r w:rsidRPr="00FC1976">
        <w:t xml:space="preserve">s. The Taskforce asked all committees in the second tranche of the </w:t>
      </w:r>
      <w:r>
        <w:t>R</w:t>
      </w:r>
      <w:r w:rsidRPr="00FC1976">
        <w:t xml:space="preserve">eview process to review MBS items using a framework based on </w:t>
      </w:r>
      <w:r>
        <w:t>A</w:t>
      </w:r>
      <w:r w:rsidRPr="00FC1976">
        <w:t xml:space="preserve">ppropriate </w:t>
      </w:r>
      <w:r>
        <w:t>U</w:t>
      </w:r>
      <w:r w:rsidRPr="00FC1976">
        <w:t xml:space="preserve">se </w:t>
      </w:r>
      <w:r>
        <w:t>C</w:t>
      </w:r>
      <w:r w:rsidRPr="00FC1976">
        <w:t xml:space="preserve">riteria </w:t>
      </w:r>
      <w:r>
        <w:t>accepted by the Taskforce.</w:t>
      </w:r>
      <w:r w:rsidRPr="00FC1976">
        <w:t xml:space="preserve"> This framework includes the following steps: (</w:t>
      </w:r>
      <w:proofErr w:type="spellStart"/>
      <w:r w:rsidRPr="00FC1976">
        <w:t>i</w:t>
      </w:r>
      <w:proofErr w:type="spellEnd"/>
      <w:r w:rsidRPr="00FC1976">
        <w:t xml:space="preserve">) review data and literature relevant to the items under consideration; (ii) identify MBS items that are potentially obsolete, are of questionable clinical value, are misused and/or pose a risk to patient safety; and (iii) develop and refine recommendations for these items, based on the literature and relevant data, in consultation with relevant stakeholders. In complex cases, full appropriate use criteria were developed for an item’s descriptor and explanatory notes. All second-tranche committees involved in this </w:t>
      </w:r>
      <w:r>
        <w:t>Review</w:t>
      </w:r>
      <w:r w:rsidRPr="00FC1976">
        <w:t xml:space="preserve"> adopted this framework, which is outlined in more detail in Section </w:t>
      </w:r>
      <w:r>
        <w:t>2</w:t>
      </w:r>
      <w:r w:rsidRPr="00FC1976">
        <w:t>.</w:t>
      </w:r>
      <w:r>
        <w:t>3</w:t>
      </w:r>
      <w:r w:rsidRPr="00FC1976">
        <w:t>.</w:t>
      </w:r>
    </w:p>
    <w:p w14:paraId="7E99E067" w14:textId="77777777" w:rsidR="00EC7580" w:rsidRPr="00FC1976" w:rsidRDefault="00EC7580" w:rsidP="00EC7580">
      <w:r w:rsidRPr="00FC1976">
        <w:lastRenderedPageBreak/>
        <w:t xml:space="preserve">The recommendations from the </w:t>
      </w:r>
      <w:r>
        <w:t>Clinical Committee</w:t>
      </w:r>
      <w:r w:rsidRPr="00FC1976">
        <w:t xml:space="preserve">s will be released for stakeholder consultation. The </w:t>
      </w:r>
      <w:r>
        <w:t>Clinical Committee</w:t>
      </w:r>
      <w:r w:rsidRPr="00FC1976">
        <w:t xml:space="preserve">s will consider feedback from stakeholders and then provide recommendations to the Taskforce in </w:t>
      </w:r>
      <w:r>
        <w:t>Review</w:t>
      </w:r>
      <w:r w:rsidRPr="00FC1976">
        <w:t xml:space="preserve"> reports. The Taskforce will consider the </w:t>
      </w:r>
      <w:r>
        <w:t>Review</w:t>
      </w:r>
      <w:r w:rsidRPr="00FC1976">
        <w:t xml:space="preserve"> reports from </w:t>
      </w:r>
      <w:r>
        <w:t>Clinical Committee</w:t>
      </w:r>
      <w:r w:rsidRPr="00FC1976">
        <w:t>s</w:t>
      </w:r>
      <w:r>
        <w:t>, along with</w:t>
      </w:r>
      <w:r w:rsidRPr="00FC1976">
        <w:t xml:space="preserve"> stakeholder feedback</w:t>
      </w:r>
      <w:r>
        <w:t>,</w:t>
      </w:r>
      <w:r w:rsidRPr="00FC1976">
        <w:t xml:space="preserve"> before making recommendations to the </w:t>
      </w:r>
      <w:r>
        <w:t xml:space="preserve">Minister for Health </w:t>
      </w:r>
      <w:r w:rsidRPr="00FC1976">
        <w:t xml:space="preserve">for consideration by the Government. </w:t>
      </w:r>
    </w:p>
    <w:p w14:paraId="76070039" w14:textId="77777777" w:rsidR="00EC7580" w:rsidRDefault="00EC7580" w:rsidP="00EC7580">
      <w:pPr>
        <w:pStyle w:val="Heading2"/>
      </w:pPr>
      <w:bookmarkStart w:id="5" w:name="_Toc468787455"/>
      <w:r>
        <w:t>Consumer engagement</w:t>
      </w:r>
      <w:bookmarkEnd w:id="5"/>
    </w:p>
    <w:p w14:paraId="05A06F0A" w14:textId="77777777" w:rsidR="00EC7580" w:rsidRDefault="00EC7580" w:rsidP="00EC7580">
      <w:r w:rsidRPr="00803A38">
        <w:t>The Working Group did not have a consumer representative</w:t>
      </w:r>
      <w:r>
        <w:t>. However, the Committee had a consumer representative</w:t>
      </w:r>
      <w:r w:rsidRPr="00803A38">
        <w:t xml:space="preserve">. The Working Group recommendations have been summarised for consumers </w:t>
      </w:r>
      <w:r>
        <w:t>(</w:t>
      </w:r>
      <w:r w:rsidRPr="00803A38">
        <w:t xml:space="preserve">Appendix </w:t>
      </w:r>
      <w:r>
        <w:t>C)</w:t>
      </w:r>
      <w:r w:rsidRPr="00803A38">
        <w:t>. The consumer items table describes the medical service, the recommendation of the clinical experts</w:t>
      </w:r>
      <w:r>
        <w:t>,</w:t>
      </w:r>
      <w:r w:rsidRPr="00803A38">
        <w:t xml:space="preserve"> and why the recommendation has been made.</w:t>
      </w:r>
    </w:p>
    <w:p w14:paraId="76D08E7F" w14:textId="77777777" w:rsidR="00EC7580" w:rsidRDefault="00EC7580" w:rsidP="00EC7580">
      <w:pPr>
        <w:rPr>
          <w:rFonts w:cs="Arial"/>
        </w:rPr>
      </w:pPr>
      <w:r w:rsidRPr="00DA7BF2">
        <w:rPr>
          <w:rFonts w:cs="Arial"/>
        </w:rPr>
        <w:t>The propos</w:t>
      </w:r>
      <w:r>
        <w:rPr>
          <w:rFonts w:cs="Arial"/>
        </w:rPr>
        <w:t>ed changes to the MBS will improve the accuracy and quality of care being provided to patients</w:t>
      </w:r>
      <w:r w:rsidRPr="00DA7BF2">
        <w:rPr>
          <w:rFonts w:cs="Arial"/>
        </w:rPr>
        <w:t>.</w:t>
      </w:r>
    </w:p>
    <w:p w14:paraId="3A76AE3C" w14:textId="6C42D89C" w:rsidR="00EC7580" w:rsidRDefault="00EC7580" w:rsidP="00EC7580">
      <w:r>
        <w:t>The Committee</w:t>
      </w:r>
      <w:r w:rsidRPr="004803B4">
        <w:t xml:space="preserve"> believes it is important to find out from consumers if they will be helped or disadvantaged by the recommendations – and how, and why.</w:t>
      </w:r>
      <w:r>
        <w:t xml:space="preserve"> </w:t>
      </w:r>
      <w:r w:rsidRPr="004803B4">
        <w:t xml:space="preserve">Following </w:t>
      </w:r>
      <w:r>
        <w:t>the public consultation, the Committee</w:t>
      </w:r>
      <w:r w:rsidRPr="004803B4">
        <w:t xml:space="preserve"> will assess the advice from consumers and decide whether any changes are needed to the recommendations</w:t>
      </w:r>
      <w:r>
        <w:t>. The Committee</w:t>
      </w:r>
      <w:r w:rsidRPr="004803B4">
        <w:t xml:space="preserve"> will then send the recommendations to the Taskforce.</w:t>
      </w:r>
      <w:r>
        <w:t xml:space="preserve"> </w:t>
      </w:r>
      <w:r w:rsidRPr="004803B4">
        <w:t>The Taskforce will consider the recommendations as well as the information provided by consumers in order to make sure that all the important concerns are addressed.</w:t>
      </w:r>
      <w:r>
        <w:t xml:space="preserve"> </w:t>
      </w:r>
      <w:r w:rsidRPr="004803B4">
        <w:t>The Taskforce will then provide the recommendation to government.</w:t>
      </w:r>
    </w:p>
    <w:p w14:paraId="51014A29" w14:textId="78847ADA" w:rsidR="00885208" w:rsidRPr="009200D8" w:rsidRDefault="00885208" w:rsidP="000636EF">
      <w:pPr>
        <w:pStyle w:val="Heading2"/>
      </w:pPr>
      <w:r w:rsidRPr="005508A4">
        <w:t xml:space="preserve">Areas of </w:t>
      </w:r>
      <w:r w:rsidRPr="00F623CB">
        <w:t>responsibility</w:t>
      </w:r>
      <w:r w:rsidRPr="005508A4">
        <w:t xml:space="preserve"> of the</w:t>
      </w:r>
      <w:r w:rsidR="000636EF" w:rsidRPr="000636EF">
        <w:t xml:space="preserve"> Pulmonary Embolism </w:t>
      </w:r>
      <w:r w:rsidR="00AD4F45">
        <w:t xml:space="preserve">(PE) </w:t>
      </w:r>
      <w:r w:rsidR="009461A9">
        <w:t xml:space="preserve">and </w:t>
      </w:r>
      <w:r w:rsidR="000636EF" w:rsidRPr="000636EF">
        <w:t>Deep Vein Thrombosis</w:t>
      </w:r>
      <w:r w:rsidR="00AD4F45">
        <w:t xml:space="preserve"> (DVT)</w:t>
      </w:r>
      <w:r w:rsidR="000636EF" w:rsidRPr="005508A4">
        <w:t xml:space="preserve"> </w:t>
      </w:r>
      <w:r w:rsidR="009461A9">
        <w:t>Working Group</w:t>
      </w:r>
      <w:bookmarkEnd w:id="4"/>
    </w:p>
    <w:p w14:paraId="1216CCE8" w14:textId="72AD7D1A" w:rsidR="00FB205F" w:rsidRPr="00E84C0B" w:rsidRDefault="00FB205F" w:rsidP="00FB205F">
      <w:pPr>
        <w:rPr>
          <w:lang w:val="en-GB"/>
        </w:rPr>
      </w:pPr>
      <w:r w:rsidRPr="00E84C0B">
        <w:rPr>
          <w:lang w:val="en-GB"/>
        </w:rPr>
        <w:t xml:space="preserve">The </w:t>
      </w:r>
      <w:r w:rsidR="002C7EE0">
        <w:rPr>
          <w:lang w:val="en-GB"/>
        </w:rPr>
        <w:t>Working Group’s</w:t>
      </w:r>
      <w:r>
        <w:rPr>
          <w:lang w:val="en-GB"/>
        </w:rPr>
        <w:t xml:space="preserve"> brief</w:t>
      </w:r>
      <w:r w:rsidRPr="00E84C0B">
        <w:rPr>
          <w:lang w:val="en-GB"/>
        </w:rPr>
        <w:t xml:space="preserve"> </w:t>
      </w:r>
      <w:r w:rsidR="00297246">
        <w:rPr>
          <w:lang w:val="en-GB"/>
        </w:rPr>
        <w:t>wa</w:t>
      </w:r>
      <w:r>
        <w:rPr>
          <w:lang w:val="en-GB"/>
        </w:rPr>
        <w:t>s</w:t>
      </w:r>
      <w:r w:rsidRPr="00E84C0B">
        <w:rPr>
          <w:lang w:val="en-GB"/>
        </w:rPr>
        <w:t xml:space="preserve"> to review </w:t>
      </w:r>
      <w:r w:rsidR="00EC7580" w:rsidRPr="00EC7580">
        <w:rPr>
          <w:lang w:val="en-GB"/>
        </w:rPr>
        <w:t>Pulmonary Embolism</w:t>
      </w:r>
      <w:r w:rsidR="00EC7580">
        <w:rPr>
          <w:lang w:val="en-GB"/>
        </w:rPr>
        <w:t xml:space="preserve"> (</w:t>
      </w:r>
      <w:r>
        <w:rPr>
          <w:lang w:val="en-GB"/>
        </w:rPr>
        <w:t>PE</w:t>
      </w:r>
      <w:r w:rsidR="00EC7580">
        <w:rPr>
          <w:lang w:val="en-GB"/>
        </w:rPr>
        <w:t>)</w:t>
      </w:r>
      <w:r>
        <w:rPr>
          <w:lang w:val="en-GB"/>
        </w:rPr>
        <w:t xml:space="preserve"> and </w:t>
      </w:r>
      <w:r w:rsidR="00EC7580" w:rsidRPr="00EC7580">
        <w:rPr>
          <w:lang w:val="en-GB"/>
        </w:rPr>
        <w:t>Deep Vein Thrombosis</w:t>
      </w:r>
      <w:r w:rsidR="00EC7580">
        <w:rPr>
          <w:lang w:val="en-GB"/>
        </w:rPr>
        <w:t xml:space="preserve"> (</w:t>
      </w:r>
      <w:r>
        <w:rPr>
          <w:lang w:val="en-GB"/>
        </w:rPr>
        <w:t>DVT</w:t>
      </w:r>
      <w:r w:rsidR="00EC7580">
        <w:rPr>
          <w:lang w:val="en-GB"/>
        </w:rPr>
        <w:t xml:space="preserve">) </w:t>
      </w:r>
      <w:r w:rsidRPr="00E84C0B">
        <w:rPr>
          <w:lang w:val="en-GB"/>
        </w:rPr>
        <w:t>related</w:t>
      </w:r>
      <w:r>
        <w:rPr>
          <w:lang w:val="en-GB"/>
        </w:rPr>
        <w:t xml:space="preserve"> imaging</w:t>
      </w:r>
      <w:r w:rsidRPr="00E84C0B">
        <w:rPr>
          <w:lang w:val="en-GB"/>
        </w:rPr>
        <w:t xml:space="preserve"> items</w:t>
      </w:r>
      <w:r>
        <w:rPr>
          <w:lang w:val="en-GB"/>
        </w:rPr>
        <w:t xml:space="preserve"> (Appendix A</w:t>
      </w:r>
      <w:r w:rsidR="00E4305E">
        <w:rPr>
          <w:lang w:val="en-GB"/>
        </w:rPr>
        <w:t xml:space="preserve"> and B</w:t>
      </w:r>
      <w:r>
        <w:rPr>
          <w:lang w:val="en-GB"/>
        </w:rPr>
        <w:t xml:space="preserve">) </w:t>
      </w:r>
      <w:r w:rsidRPr="00E84C0B">
        <w:rPr>
          <w:lang w:val="en-GB"/>
        </w:rPr>
        <w:t xml:space="preserve">and make recommendations to the </w:t>
      </w:r>
      <w:r w:rsidR="00E4305E">
        <w:rPr>
          <w:lang w:val="en-GB"/>
        </w:rPr>
        <w:t xml:space="preserve">Diagnostic </w:t>
      </w:r>
      <w:r w:rsidR="00EC7580">
        <w:rPr>
          <w:lang w:val="en-GB"/>
        </w:rPr>
        <w:t xml:space="preserve">Imaging </w:t>
      </w:r>
      <w:r w:rsidR="00E4305E">
        <w:rPr>
          <w:lang w:val="en-GB"/>
        </w:rPr>
        <w:t xml:space="preserve">Clinical </w:t>
      </w:r>
      <w:r>
        <w:rPr>
          <w:lang w:val="en-GB"/>
        </w:rPr>
        <w:t xml:space="preserve">Committee </w:t>
      </w:r>
      <w:r w:rsidR="00EC7580">
        <w:rPr>
          <w:lang w:val="en-GB"/>
        </w:rPr>
        <w:t xml:space="preserve">(the Committee) </w:t>
      </w:r>
      <w:r w:rsidRPr="00E84C0B">
        <w:rPr>
          <w:lang w:val="en-GB"/>
        </w:rPr>
        <w:t>based on evidence</w:t>
      </w:r>
      <w:r>
        <w:rPr>
          <w:lang w:val="en-GB"/>
        </w:rPr>
        <w:t xml:space="preserve"> and</w:t>
      </w:r>
      <w:r w:rsidRPr="00E84C0B">
        <w:rPr>
          <w:lang w:val="en-GB"/>
        </w:rPr>
        <w:t xml:space="preserve"> clinical expertise</w:t>
      </w:r>
      <w:r w:rsidR="00E4305E">
        <w:rPr>
          <w:lang w:val="en-GB"/>
        </w:rPr>
        <w:t>.</w:t>
      </w:r>
      <w:r w:rsidRPr="00E84C0B">
        <w:rPr>
          <w:lang w:val="en-GB"/>
        </w:rPr>
        <w:t xml:space="preserve"> The </w:t>
      </w:r>
      <w:r w:rsidR="00EC7580">
        <w:rPr>
          <w:lang w:val="en-GB"/>
        </w:rPr>
        <w:t>W</w:t>
      </w:r>
      <w:r>
        <w:rPr>
          <w:lang w:val="en-GB"/>
        </w:rPr>
        <w:t xml:space="preserve">orking </w:t>
      </w:r>
      <w:r w:rsidR="00EC7580">
        <w:rPr>
          <w:lang w:val="en-GB"/>
        </w:rPr>
        <w:t>G</w:t>
      </w:r>
      <w:r>
        <w:rPr>
          <w:lang w:val="en-GB"/>
        </w:rPr>
        <w:t>roup</w:t>
      </w:r>
      <w:r w:rsidRPr="00E84C0B">
        <w:rPr>
          <w:lang w:val="en-GB"/>
        </w:rPr>
        <w:t xml:space="preserve"> </w:t>
      </w:r>
      <w:r w:rsidRPr="00D10AD3">
        <w:rPr>
          <w:lang w:val="en-GB"/>
        </w:rPr>
        <w:t xml:space="preserve">reviewed </w:t>
      </w:r>
      <w:r>
        <w:rPr>
          <w:lang w:val="en-GB"/>
        </w:rPr>
        <w:t>PE</w:t>
      </w:r>
      <w:r w:rsidRPr="00E84C0B">
        <w:rPr>
          <w:lang w:val="en-GB"/>
        </w:rPr>
        <w:t xml:space="preserve"> items, and items relating to </w:t>
      </w:r>
      <w:r>
        <w:rPr>
          <w:lang w:val="en-GB"/>
        </w:rPr>
        <w:t>DVT imaging</w:t>
      </w:r>
      <w:r w:rsidRPr="00E84C0B">
        <w:rPr>
          <w:lang w:val="en-GB"/>
        </w:rPr>
        <w:t xml:space="preserve"> </w:t>
      </w:r>
      <w:r>
        <w:rPr>
          <w:lang w:val="en-GB"/>
        </w:rPr>
        <w:t>tests</w:t>
      </w:r>
      <w:r w:rsidRPr="00E84C0B">
        <w:rPr>
          <w:lang w:val="en-GB"/>
        </w:rPr>
        <w:t xml:space="preserve">. </w:t>
      </w:r>
      <w:r>
        <w:rPr>
          <w:lang w:val="en-GB"/>
        </w:rPr>
        <w:t>A</w:t>
      </w:r>
      <w:r w:rsidRPr="00E84C0B">
        <w:rPr>
          <w:lang w:val="en-GB"/>
        </w:rPr>
        <w:t xml:space="preserve">ll recommendations relating to these items are included in </w:t>
      </w:r>
      <w:r>
        <w:rPr>
          <w:lang w:val="en-GB"/>
        </w:rPr>
        <w:t>this report for consultation</w:t>
      </w:r>
      <w:r w:rsidRPr="00E84C0B">
        <w:rPr>
          <w:lang w:val="en-GB"/>
        </w:rPr>
        <w:t>.</w:t>
      </w:r>
    </w:p>
    <w:p w14:paraId="0FBFA631" w14:textId="661CD186" w:rsidR="00FB205F" w:rsidRPr="00E84C0B" w:rsidRDefault="000636EF" w:rsidP="00FB205F">
      <w:pPr>
        <w:rPr>
          <w:lang w:val="en-GB"/>
        </w:rPr>
      </w:pPr>
      <w:r w:rsidRPr="000636EF">
        <w:rPr>
          <w:lang w:val="en-GB"/>
        </w:rPr>
        <w:t>The review drew on various types of MBS data, including data on utilisation of items (services, benefits, patients, providers and growth rates); service provision (type of provider, geography of service provision); patients (demographics and services per patient); co-claiming or episodes of services (same-day claiming and claiming with specific items over time); and additional provider and patient-level data, when required. The review also drew on data presented in the relevant literature and clinical guidelines, all of which are referenced in the report. Guidelines and literature were sourced primarily from Choosing Wisely Australia.</w:t>
      </w:r>
    </w:p>
    <w:p w14:paraId="46576B56" w14:textId="395670C5" w:rsidR="00FB205F" w:rsidRPr="00E84C0B" w:rsidRDefault="00FB205F" w:rsidP="00FB205F">
      <w:pPr>
        <w:rPr>
          <w:lang w:val="en-GB"/>
        </w:rPr>
      </w:pPr>
      <w:r w:rsidRPr="00E84C0B">
        <w:rPr>
          <w:lang w:val="en-GB"/>
        </w:rPr>
        <w:t xml:space="preserve">An inclusive set of stakeholders is engaged in consultation on the recommendations outlined in this report. Following this period of consultation, the recommendations will be presented to the MBS Review Taskforce. The </w:t>
      </w:r>
      <w:r>
        <w:rPr>
          <w:lang w:val="en-GB"/>
        </w:rPr>
        <w:t>T</w:t>
      </w:r>
      <w:r w:rsidRPr="00E84C0B">
        <w:rPr>
          <w:lang w:val="en-GB"/>
        </w:rPr>
        <w:t xml:space="preserve">askforce will consider stakeholder feedback before making recommendations to the Minister for Health for consideration by the Government. </w:t>
      </w:r>
    </w:p>
    <w:p w14:paraId="1F1B80EA" w14:textId="746665FF" w:rsidR="00C72869" w:rsidRDefault="004963B8" w:rsidP="00F623CB">
      <w:pPr>
        <w:pStyle w:val="Heading2"/>
      </w:pPr>
      <w:bookmarkStart w:id="6" w:name="_Toc468787454"/>
      <w:r w:rsidRPr="00EA0A9F">
        <w:lastRenderedPageBreak/>
        <w:t>Key recommendations</w:t>
      </w:r>
      <w:bookmarkEnd w:id="6"/>
    </w:p>
    <w:p w14:paraId="2319FD00" w14:textId="403CE6D8" w:rsidR="00256837" w:rsidRPr="00256837" w:rsidRDefault="00256837" w:rsidP="00256837">
      <w:pPr>
        <w:rPr>
          <w:lang w:val="en-US" w:eastAsia="en-US"/>
        </w:rPr>
      </w:pPr>
      <w:r w:rsidRPr="00256837">
        <w:rPr>
          <w:lang w:val="en-US" w:eastAsia="en-US"/>
        </w:rPr>
        <w:t xml:space="preserve">The complete recommendations (and their accompanying rationales) for all items can be found in </w:t>
      </w:r>
      <w:r w:rsidRPr="00704DAA">
        <w:t>Section</w:t>
      </w:r>
      <w:r w:rsidR="00466D09">
        <w:t>s</w:t>
      </w:r>
      <w:r w:rsidRPr="00704DAA">
        <w:t xml:space="preserve"> </w:t>
      </w:r>
      <w:r w:rsidR="0068729A" w:rsidRPr="00704DAA">
        <w:t>5</w:t>
      </w:r>
      <w:r w:rsidR="00466D09">
        <w:t xml:space="preserve"> and 6</w:t>
      </w:r>
      <w:r w:rsidRPr="00704DAA">
        <w:t xml:space="preserve">, and in Appendix </w:t>
      </w:r>
      <w:r w:rsidR="0068729A" w:rsidRPr="00704DAA">
        <w:t>C</w:t>
      </w:r>
      <w:r w:rsidRPr="00704DAA">
        <w:t xml:space="preserve"> (in table summary form).</w:t>
      </w:r>
    </w:p>
    <w:p w14:paraId="37868EB7" w14:textId="44310E35" w:rsidR="00256837" w:rsidRPr="00256837" w:rsidRDefault="00256837" w:rsidP="00256837">
      <w:pPr>
        <w:rPr>
          <w:lang w:val="en-US" w:eastAsia="en-US"/>
        </w:rPr>
      </w:pPr>
      <w:r w:rsidRPr="00256837">
        <w:rPr>
          <w:lang w:val="en-US" w:eastAsia="en-US"/>
        </w:rPr>
        <w:t>The changes focus on encouraging best practice and simplifying the MBS to improve patient care by (</w:t>
      </w:r>
      <w:proofErr w:type="spellStart"/>
      <w:r w:rsidRPr="00256837">
        <w:rPr>
          <w:lang w:val="en-US" w:eastAsia="en-US"/>
        </w:rPr>
        <w:t>i</w:t>
      </w:r>
      <w:proofErr w:type="spellEnd"/>
      <w:r w:rsidRPr="00256837">
        <w:rPr>
          <w:lang w:val="en-US" w:eastAsia="en-US"/>
        </w:rPr>
        <w:t xml:space="preserve">) improving the clarity of descriptors (with support from explanatory notes), and (ii) providing clinical guidance for appropriate use through explanatory notes. The recommendations are </w:t>
      </w:r>
      <w:proofErr w:type="spellStart"/>
      <w:r w:rsidRPr="00256837">
        <w:rPr>
          <w:lang w:val="en-US" w:eastAsia="en-US"/>
        </w:rPr>
        <w:t>summarised</w:t>
      </w:r>
      <w:proofErr w:type="spellEnd"/>
      <w:r w:rsidRPr="00256837">
        <w:rPr>
          <w:lang w:val="en-US" w:eastAsia="en-US"/>
        </w:rPr>
        <w:t xml:space="preserve"> below.</w:t>
      </w:r>
    </w:p>
    <w:p w14:paraId="44628556" w14:textId="4F9594E3" w:rsidR="006E4A8A" w:rsidRPr="006E4A8A" w:rsidRDefault="00256837" w:rsidP="00F623CB">
      <w:pPr>
        <w:pStyle w:val="Heading3Numbered"/>
      </w:pPr>
      <w:r w:rsidRPr="00256837">
        <w:rPr>
          <w:lang w:val="en-GB"/>
        </w:rPr>
        <w:t>MBS explanatory notes for imaging for DVT and PE</w:t>
      </w:r>
    </w:p>
    <w:p w14:paraId="2A2186F9" w14:textId="06F1B8BA" w:rsidR="00256837" w:rsidRPr="00256837" w:rsidRDefault="00297246" w:rsidP="00704DAA">
      <w:bookmarkStart w:id="7" w:name="_Toc454959778"/>
      <w:bookmarkStart w:id="8" w:name="_Toc456613765"/>
      <w:r>
        <w:t>D</w:t>
      </w:r>
      <w:r w:rsidR="00256837" w:rsidRPr="00256837">
        <w:t xml:space="preserve">raft MBS explanatory notes </w:t>
      </w:r>
      <w:r>
        <w:t xml:space="preserve">were developed </w:t>
      </w:r>
      <w:r w:rsidR="00256837" w:rsidRPr="00256837">
        <w:t>for the MBS items dealing with diagnostic imaging for DVT and PE as below:</w:t>
      </w:r>
    </w:p>
    <w:p w14:paraId="388F1E2B" w14:textId="5D183FCA" w:rsidR="00256837" w:rsidRPr="00256837" w:rsidRDefault="00256837" w:rsidP="00174F63">
      <w:pPr>
        <w:pStyle w:val="Bullet1"/>
      </w:pPr>
      <w:r w:rsidRPr="00256837">
        <w:t xml:space="preserve">medical practitioners referring patients for duplex ultrasound for suspected lower limb DVT (items 55221, 55244) should read and consider </w:t>
      </w:r>
      <w:r w:rsidR="00733234" w:rsidRPr="00733234">
        <w:t>The Royal Australian and New Zealand College of Radiologists</w:t>
      </w:r>
      <w:r w:rsidRPr="00256837">
        <w:t xml:space="preserve"> </w:t>
      </w:r>
      <w:hyperlink r:id="rId8" w:history="1">
        <w:r w:rsidRPr="00466D09">
          <w:rPr>
            <w:rStyle w:val="Hyperlink"/>
          </w:rPr>
          <w:t>RANZCR 2015 Choosing Wisely recommendations</w:t>
        </w:r>
      </w:hyperlink>
      <w:r w:rsidRPr="00256837">
        <w:t>, or such clinical RANZCR Choosing Wisely recommendations as succeed it;</w:t>
      </w:r>
      <w:r>
        <w:t xml:space="preserve"> </w:t>
      </w:r>
      <w:r w:rsidRPr="00256837">
        <w:t>and</w:t>
      </w:r>
    </w:p>
    <w:p w14:paraId="658521E0" w14:textId="3C95EB37" w:rsidR="00256837" w:rsidRDefault="00256837" w:rsidP="00174F63">
      <w:pPr>
        <w:pStyle w:val="Bullet1"/>
      </w:pPr>
      <w:r w:rsidRPr="00256837">
        <w:t xml:space="preserve">medical practitioners referring patients for imaging for suspected PE (items 57351, 57356, 61328, 61340, 61348) should read and consider </w:t>
      </w:r>
      <w:r w:rsidR="00733234" w:rsidRPr="00733234">
        <w:t xml:space="preserve">The Royal Australian and New Zealand College of Radiologists </w:t>
      </w:r>
      <w:hyperlink r:id="rId9" w:history="1">
        <w:r w:rsidRPr="00466D09">
          <w:rPr>
            <w:rStyle w:val="Hyperlink"/>
          </w:rPr>
          <w:t>RANZCR 2015 Choosing Wisely recommendations</w:t>
        </w:r>
      </w:hyperlink>
      <w:r w:rsidRPr="00256837">
        <w:t>, or such clinical RANZCR Choosing Wisely recommendations as succeed it.</w:t>
      </w:r>
    </w:p>
    <w:p w14:paraId="72148F01" w14:textId="04A534A7" w:rsidR="003E41F3" w:rsidRPr="00256837" w:rsidRDefault="003E41F3" w:rsidP="009310A5">
      <w:pPr>
        <w:spacing w:after="80"/>
      </w:pPr>
      <w:r>
        <w:rPr>
          <w:lang w:val="en-US" w:eastAsia="en-US"/>
        </w:rPr>
        <w:t xml:space="preserve">Education of </w:t>
      </w:r>
      <w:r w:rsidR="00E4305E">
        <w:rPr>
          <w:lang w:val="en-US" w:eastAsia="en-US"/>
        </w:rPr>
        <w:t>requesters</w:t>
      </w:r>
      <w:r>
        <w:rPr>
          <w:lang w:val="en-US" w:eastAsia="en-US"/>
        </w:rPr>
        <w:t xml:space="preserve"> on the Choosing Wisely Recommendations </w:t>
      </w:r>
      <w:r w:rsidRPr="00256837">
        <w:rPr>
          <w:lang w:val="en-US" w:eastAsia="en-US"/>
        </w:rPr>
        <w:t xml:space="preserve">should be implemented. The provision of educational strategies is not within the remit of the MBS but rather the MBS could leverage off educational strategies developed by the Colleges or a third-party </w:t>
      </w:r>
      <w:proofErr w:type="spellStart"/>
      <w:r w:rsidRPr="00256837">
        <w:rPr>
          <w:lang w:val="en-US" w:eastAsia="en-US"/>
        </w:rPr>
        <w:t>organisation</w:t>
      </w:r>
      <w:proofErr w:type="spellEnd"/>
      <w:r w:rsidRPr="00256837">
        <w:rPr>
          <w:lang w:val="en-US" w:eastAsia="en-US"/>
        </w:rPr>
        <w:t xml:space="preserve"> such as NPS MedicineWise whose primary role is to provide general education to health professionals.</w:t>
      </w:r>
    </w:p>
    <w:bookmarkEnd w:id="7"/>
    <w:bookmarkEnd w:id="8"/>
    <w:p w14:paraId="5EAA85E3" w14:textId="7CD66A0B" w:rsidR="000869E6" w:rsidRPr="008C25EB" w:rsidRDefault="00256837" w:rsidP="006E4A8A">
      <w:pPr>
        <w:pStyle w:val="Heading3Numbered"/>
      </w:pPr>
      <w:r w:rsidRPr="00256837">
        <w:rPr>
          <w:lang w:val="en-AU"/>
        </w:rPr>
        <w:t>Co-claiming duplex scanning for DVT and chronic venous disease</w:t>
      </w:r>
    </w:p>
    <w:p w14:paraId="6DEDCD83" w14:textId="09575754" w:rsidR="00256837" w:rsidRPr="00256837" w:rsidRDefault="00633597" w:rsidP="00E4305E">
      <w:bookmarkStart w:id="9" w:name="_Toc454959781"/>
      <w:bookmarkStart w:id="10" w:name="_Toc456613766"/>
      <w:bookmarkStart w:id="11" w:name="_Toc454959780"/>
      <w:r>
        <w:t xml:space="preserve">In the case of a same </w:t>
      </w:r>
      <w:r w:rsidR="00256837" w:rsidRPr="00256837">
        <w:t>provider undertaking venous ultrasound for the sam</w:t>
      </w:r>
      <w:r w:rsidR="00E4305E">
        <w:t>e patient on the same day that:</w:t>
      </w:r>
    </w:p>
    <w:p w14:paraId="56F216BF" w14:textId="0496785D" w:rsidR="00256837" w:rsidRDefault="00256837" w:rsidP="00174F63">
      <w:pPr>
        <w:pStyle w:val="Bullet1"/>
      </w:pPr>
      <w:r w:rsidRPr="00256837">
        <w:t>it is inappropriate to claim ultrasound items for both acute DVT and chronic venous disease on the same leg in t</w:t>
      </w:r>
      <w:r w:rsidR="00891CD3">
        <w:t>he same patient on the same day</w:t>
      </w:r>
    </w:p>
    <w:p w14:paraId="537BE808" w14:textId="6F6550EB" w:rsidR="008D14EF" w:rsidRDefault="00891CD3" w:rsidP="00174F63">
      <w:pPr>
        <w:pStyle w:val="Bullet1"/>
      </w:pPr>
      <w:r>
        <w:t>t</w:t>
      </w:r>
      <w:r w:rsidR="008D14EF" w:rsidRPr="008D14EF">
        <w:t>he only exception to the above recommendation is a patien</w:t>
      </w:r>
      <w:r w:rsidR="008D14EF">
        <w:t>t being actively prepared with ultrasound</w:t>
      </w:r>
      <w:r w:rsidR="008D14EF" w:rsidRPr="008D14EF">
        <w:t xml:space="preserve"> for superficial varicose vein ablation (by whatever method), where the deep venous system of the same leg </w:t>
      </w:r>
      <w:proofErr w:type="gramStart"/>
      <w:r w:rsidR="008D14EF" w:rsidRPr="008D14EF">
        <w:t>has to</w:t>
      </w:r>
      <w:proofErr w:type="gramEnd"/>
      <w:r w:rsidR="008D14EF" w:rsidRPr="008D14EF">
        <w:t xml:space="preserve"> also be scanned on th</w:t>
      </w:r>
      <w:r>
        <w:t>e same day to exclude fresh DVT</w:t>
      </w:r>
    </w:p>
    <w:p w14:paraId="40BCC5A2" w14:textId="3C57E7C3" w:rsidR="00E4305E" w:rsidRPr="00256837" w:rsidRDefault="00E4305E" w:rsidP="00174F63">
      <w:pPr>
        <w:pStyle w:val="Bullet1"/>
      </w:pPr>
      <w:r w:rsidRPr="00256837">
        <w:t>the multiple services rules for diagnostic ultrasound apply and should be adhered to</w:t>
      </w:r>
    </w:p>
    <w:bookmarkEnd w:id="9"/>
    <w:bookmarkEnd w:id="10"/>
    <w:p w14:paraId="7504150F" w14:textId="344481B8" w:rsidR="000869E6" w:rsidRPr="008C25EB" w:rsidRDefault="00256837" w:rsidP="006E4A8A">
      <w:pPr>
        <w:pStyle w:val="Heading3Numbered"/>
      </w:pPr>
      <w:r w:rsidRPr="00256837">
        <w:rPr>
          <w:lang w:val="en-GB"/>
        </w:rPr>
        <w:t>Redundant items for PE and DVT imaging</w:t>
      </w:r>
    </w:p>
    <w:p w14:paraId="1A40C698" w14:textId="50E194DA" w:rsidR="00256837" w:rsidRDefault="00297246" w:rsidP="00704DAA">
      <w:bookmarkStart w:id="12" w:name="_Toc456613767"/>
      <w:r>
        <w:t xml:space="preserve">It is </w:t>
      </w:r>
      <w:r w:rsidR="00256837" w:rsidRPr="00256837">
        <w:t>recommended</w:t>
      </w:r>
      <w:r>
        <w:t xml:space="preserve"> a</w:t>
      </w:r>
      <w:r w:rsidR="00256837" w:rsidRPr="00256837">
        <w:t xml:space="preserve"> mechanism </w:t>
      </w:r>
      <w:r>
        <w:t xml:space="preserve">is identified </w:t>
      </w:r>
      <w:r w:rsidR="00256837" w:rsidRPr="00256837">
        <w:t>to reduce the number of NK (services performed on old equipment), which duplicate regular items and lengthen the Diagnostic Imaging Services Table (DIST), as a class solution.</w:t>
      </w:r>
      <w:r w:rsidR="00B603FC">
        <w:t xml:space="preserve"> The </w:t>
      </w:r>
      <w:r w:rsidR="00EC7580">
        <w:t xml:space="preserve">Committee </w:t>
      </w:r>
      <w:r w:rsidR="00B603FC">
        <w:t xml:space="preserve">will separately consult on recommendations about capital sensitivity. </w:t>
      </w:r>
    </w:p>
    <w:bookmarkEnd w:id="11"/>
    <w:bookmarkEnd w:id="12"/>
    <w:p w14:paraId="5B3B1AA9" w14:textId="74FE2183" w:rsidR="00704DAA" w:rsidRPr="00803A38" w:rsidRDefault="00704DAA" w:rsidP="00803A38">
      <w:pPr>
        <w:spacing w:before="120" w:after="120"/>
        <w:rPr>
          <w:rFonts w:cs="Arial"/>
        </w:rPr>
      </w:pPr>
      <w:r>
        <w:br w:type="page"/>
      </w:r>
    </w:p>
    <w:p w14:paraId="6EFD64E0" w14:textId="57CAEA12" w:rsidR="009837DB" w:rsidRPr="007E02E9" w:rsidRDefault="00817A04" w:rsidP="007E02E9">
      <w:pPr>
        <w:pStyle w:val="Heading1"/>
      </w:pPr>
      <w:bookmarkStart w:id="13" w:name="_Toc468787456"/>
      <w:r w:rsidRPr="007E02E9">
        <w:lastRenderedPageBreak/>
        <w:t>About the Medicare Benefits Schedule (MBS) Review</w:t>
      </w:r>
      <w:bookmarkEnd w:id="13"/>
      <w:r w:rsidRPr="007E02E9">
        <w:t xml:space="preserve"> </w:t>
      </w:r>
    </w:p>
    <w:p w14:paraId="0A13C6A3" w14:textId="5BEA51D4" w:rsidR="008A05B8" w:rsidRPr="007E02E9" w:rsidRDefault="00463B1C" w:rsidP="006A286B">
      <w:pPr>
        <w:pStyle w:val="Heading2"/>
      </w:pPr>
      <w:bookmarkStart w:id="14" w:name="_Toc468787457"/>
      <w:r w:rsidRPr="007E02E9">
        <w:t>Medicare and the MBS</w:t>
      </w:r>
      <w:bookmarkEnd w:id="14"/>
    </w:p>
    <w:p w14:paraId="33B80600" w14:textId="77777777" w:rsidR="006B0D15" w:rsidRPr="00704DAA" w:rsidRDefault="006B0D15" w:rsidP="00704DAA">
      <w:pPr>
        <w:rPr>
          <w:b/>
        </w:rPr>
      </w:pPr>
      <w:r w:rsidRPr="00704DAA">
        <w:rPr>
          <w:b/>
        </w:rPr>
        <w:t>What is Medicare?</w:t>
      </w:r>
    </w:p>
    <w:p w14:paraId="030C7362" w14:textId="77777777" w:rsidR="00EC7580" w:rsidRPr="00B32A89" w:rsidRDefault="00EC7580" w:rsidP="00EC7580">
      <w:pPr>
        <w:spacing w:line="240" w:lineRule="auto"/>
        <w:ind w:right="-330"/>
        <w:rPr>
          <w:lang w:val="en-US" w:eastAsia="en-US"/>
        </w:rPr>
      </w:pPr>
      <w:r w:rsidRPr="00B32A89">
        <w:rPr>
          <w:lang w:val="en-US" w:eastAsia="en-US"/>
        </w:rPr>
        <w:t xml:space="preserve">Medicare is Australia’s universal health scheme, which enables all citizens (and some overseas visitors) to have access to a wide range of health services and medicines at little or no cost. </w:t>
      </w:r>
    </w:p>
    <w:p w14:paraId="0FB331B9" w14:textId="77777777" w:rsidR="00EC7580" w:rsidRPr="00B32A89" w:rsidRDefault="00EC7580" w:rsidP="00EC7580">
      <w:pPr>
        <w:spacing w:line="240" w:lineRule="auto"/>
        <w:ind w:right="-330"/>
        <w:rPr>
          <w:rFonts w:cs="Helvetica"/>
        </w:rPr>
      </w:pPr>
      <w:r w:rsidRPr="00B32A89">
        <w:rPr>
          <w:rFonts w:cs="Helvetica"/>
        </w:rPr>
        <w:t>Introduced in 1984, Medicare has three components:</w:t>
      </w:r>
    </w:p>
    <w:p w14:paraId="688745BF" w14:textId="77777777" w:rsidR="00EC7580" w:rsidRPr="00B32A89" w:rsidRDefault="00EC7580" w:rsidP="00EC7580">
      <w:pPr>
        <w:pStyle w:val="Bullet1"/>
        <w:ind w:left="714" w:hanging="357"/>
        <w:rPr>
          <w:rFonts w:eastAsiaTheme="minorHAnsi"/>
          <w:b/>
          <w:lang w:eastAsia="en-US"/>
        </w:rPr>
      </w:pPr>
      <w:r w:rsidRPr="00B32A89">
        <w:rPr>
          <w:rFonts w:eastAsia="MS Mincho"/>
          <w:lang w:eastAsia="en-US"/>
        </w:rPr>
        <w:t>free public hospital services for public patients</w:t>
      </w:r>
    </w:p>
    <w:p w14:paraId="288BA26E" w14:textId="77777777" w:rsidR="00EC7580" w:rsidRPr="00B32A89" w:rsidRDefault="00EC7580" w:rsidP="00EC7580">
      <w:pPr>
        <w:pStyle w:val="Bullet1"/>
        <w:ind w:left="714" w:hanging="357"/>
        <w:rPr>
          <w:rFonts w:eastAsiaTheme="minorHAnsi"/>
          <w:b/>
          <w:lang w:eastAsia="en-US"/>
        </w:rPr>
      </w:pPr>
      <w:r w:rsidRPr="00B32A89">
        <w:rPr>
          <w:rFonts w:eastAsia="MS Mincho"/>
          <w:lang w:eastAsia="en-US"/>
        </w:rPr>
        <w:t>subsidised drugs covered by the Pharmaceutical Benefits Scheme (PBS)</w:t>
      </w:r>
    </w:p>
    <w:p w14:paraId="0FE31AF9" w14:textId="77777777" w:rsidR="00EC7580" w:rsidRPr="00B32A89" w:rsidRDefault="00EC7580" w:rsidP="00EC7580">
      <w:pPr>
        <w:pStyle w:val="Bullet1"/>
        <w:ind w:left="714" w:hanging="357"/>
        <w:rPr>
          <w:rFonts w:eastAsia="MS Mincho"/>
          <w:lang w:eastAsia="en-US"/>
        </w:rPr>
      </w:pPr>
      <w:r w:rsidRPr="00B32A89">
        <w:rPr>
          <w:rFonts w:eastAsia="MS Mincho"/>
          <w:lang w:eastAsia="en-US"/>
        </w:rPr>
        <w:t>subsidised health professional services listed on the MBS.</w:t>
      </w:r>
    </w:p>
    <w:p w14:paraId="0D8E758A" w14:textId="77777777" w:rsidR="008A05B8" w:rsidRPr="00704DAA" w:rsidRDefault="008A05B8" w:rsidP="00704DAA">
      <w:pPr>
        <w:rPr>
          <w:b/>
        </w:rPr>
      </w:pPr>
      <w:r w:rsidRPr="00704DAA">
        <w:rPr>
          <w:b/>
        </w:rPr>
        <w:t>What is the Medicare Benefits Schedule (MBS)?</w:t>
      </w:r>
    </w:p>
    <w:p w14:paraId="2D3FED66" w14:textId="4A3E6D63" w:rsidR="008A05B8" w:rsidRPr="009D0EED" w:rsidRDefault="00D57793" w:rsidP="003F788A">
      <w:pPr>
        <w:spacing w:before="120" w:after="120"/>
        <w:ind w:right="-330"/>
        <w:rPr>
          <w:rFonts w:cs="Arial"/>
          <w:lang w:val="en-US" w:eastAsia="en-US"/>
        </w:rPr>
      </w:pPr>
      <w:r w:rsidRPr="00253F2C">
        <w:rPr>
          <w:rFonts w:cs="Arial"/>
          <w:lang w:val="en-US" w:eastAsia="en-US"/>
        </w:rPr>
        <w:t>The Medicare Benefits Schedule (MBS) is a listing of the</w:t>
      </w:r>
      <w:r w:rsidR="00A13A3C" w:rsidRPr="009D0EED">
        <w:rPr>
          <w:rFonts w:cs="Arial"/>
          <w:lang w:val="en-US" w:eastAsia="en-US"/>
        </w:rPr>
        <w:t xml:space="preserve"> health </w:t>
      </w:r>
      <w:r w:rsidR="00536EB8" w:rsidRPr="009D0EED">
        <w:rPr>
          <w:rFonts w:cs="Arial"/>
          <w:lang w:val="en-US" w:eastAsia="en-US"/>
        </w:rPr>
        <w:t>professional services</w:t>
      </w:r>
      <w:r w:rsidRPr="009D0EED">
        <w:rPr>
          <w:rFonts w:cs="Arial"/>
          <w:lang w:val="en-US" w:eastAsia="en-US"/>
        </w:rPr>
        <w:t xml:space="preserve"> </w:t>
      </w:r>
      <w:proofErr w:type="spellStart"/>
      <w:r w:rsidRPr="009D0EED">
        <w:rPr>
          <w:rFonts w:cs="Arial"/>
          <w:lang w:val="en-US" w:eastAsia="en-US"/>
        </w:rPr>
        <w:t>subsidised</w:t>
      </w:r>
      <w:proofErr w:type="spellEnd"/>
      <w:r w:rsidRPr="009D0EED">
        <w:rPr>
          <w:rFonts w:cs="Arial"/>
          <w:lang w:val="en-US" w:eastAsia="en-US"/>
        </w:rPr>
        <w:t xml:space="preserve"> by the Australian </w:t>
      </w:r>
      <w:r w:rsidR="00536EB8" w:rsidRPr="009D0EED">
        <w:rPr>
          <w:rFonts w:cs="Arial"/>
          <w:lang w:val="en-US" w:eastAsia="en-US"/>
        </w:rPr>
        <w:t>government. There</w:t>
      </w:r>
      <w:r w:rsidR="00F971B5" w:rsidRPr="009D0EED">
        <w:rPr>
          <w:rFonts w:cs="Arial"/>
          <w:lang w:val="en-US" w:eastAsia="en-US"/>
        </w:rPr>
        <w:t xml:space="preserve"> are over 5</w:t>
      </w:r>
      <w:r w:rsidR="0076332F">
        <w:rPr>
          <w:rFonts w:cs="Arial"/>
          <w:lang w:val="en-US" w:eastAsia="en-US"/>
        </w:rPr>
        <w:t>,</w:t>
      </w:r>
      <w:r w:rsidR="00F971B5" w:rsidRPr="009D0EED">
        <w:rPr>
          <w:rFonts w:cs="Arial"/>
          <w:lang w:val="en-US" w:eastAsia="en-US"/>
        </w:rPr>
        <w:t xml:space="preserve">700 MBS items </w:t>
      </w:r>
      <w:r w:rsidR="00536EB8" w:rsidRPr="009D0EED">
        <w:rPr>
          <w:rFonts w:cs="Arial"/>
          <w:lang w:val="en-US" w:eastAsia="en-US"/>
        </w:rPr>
        <w:t>which provide</w:t>
      </w:r>
      <w:r w:rsidR="00F971B5" w:rsidRPr="009D0EED">
        <w:rPr>
          <w:rFonts w:cs="Arial"/>
          <w:lang w:val="en-US" w:eastAsia="en-US"/>
        </w:rPr>
        <w:t xml:space="preserve"> </w:t>
      </w:r>
      <w:r w:rsidR="00A473A6">
        <w:rPr>
          <w:rFonts w:cs="Arial"/>
          <w:lang w:val="en-US" w:eastAsia="en-US"/>
        </w:rPr>
        <w:t>benefits to patients</w:t>
      </w:r>
      <w:r w:rsidR="00536EB8" w:rsidRPr="009D0EED">
        <w:rPr>
          <w:rFonts w:cs="Arial"/>
          <w:lang w:val="en-US" w:eastAsia="en-US"/>
        </w:rPr>
        <w:t xml:space="preserve"> for</w:t>
      </w:r>
      <w:r w:rsidR="00F971B5" w:rsidRPr="009D0EED">
        <w:rPr>
          <w:rFonts w:cs="Arial"/>
          <w:lang w:val="en-US" w:eastAsia="en-US"/>
        </w:rPr>
        <w:t xml:space="preserve"> a comprehensive range </w:t>
      </w:r>
      <w:r w:rsidR="0054443F" w:rsidRPr="009D0EED">
        <w:rPr>
          <w:rFonts w:cs="Arial"/>
          <w:lang w:val="en-US" w:eastAsia="en-US"/>
        </w:rPr>
        <w:t>of services</w:t>
      </w:r>
      <w:r w:rsidR="00F971B5" w:rsidRPr="009D0EED">
        <w:rPr>
          <w:rFonts w:cs="Arial"/>
          <w:lang w:val="en-US" w:eastAsia="en-US"/>
        </w:rPr>
        <w:t xml:space="preserve"> including consultations, diagnostic tests and operations. </w:t>
      </w:r>
    </w:p>
    <w:p w14:paraId="088339B9" w14:textId="77777777" w:rsidR="008A05B8" w:rsidRPr="009200D8" w:rsidRDefault="008A05B8" w:rsidP="006E043E">
      <w:pPr>
        <w:pStyle w:val="Heading2"/>
      </w:pPr>
      <w:bookmarkStart w:id="15" w:name="_Toc468787458"/>
      <w:r w:rsidRPr="009200D8">
        <w:t>What is the MBS Review Taskforce?</w:t>
      </w:r>
      <w:bookmarkEnd w:id="15"/>
    </w:p>
    <w:p w14:paraId="7EE3FE57" w14:textId="77777777" w:rsidR="00EC7580" w:rsidRPr="00B0157E" w:rsidRDefault="00EC7580" w:rsidP="00EC7580">
      <w:r w:rsidRPr="00B0157E">
        <w:t xml:space="preserve">The Government established </w:t>
      </w:r>
      <w:r>
        <w:t xml:space="preserve">the </w:t>
      </w:r>
      <w:r w:rsidRPr="00B0157E">
        <w:t xml:space="preserve">MBS Review Taskforce (the Taskforce) </w:t>
      </w:r>
      <w:r>
        <w:t xml:space="preserve">as an advisory body </w:t>
      </w:r>
      <w:r w:rsidRPr="00B0157E">
        <w:t xml:space="preserve">to </w:t>
      </w:r>
      <w:r>
        <w:t xml:space="preserve">review </w:t>
      </w:r>
      <w:proofErr w:type="gramStart"/>
      <w:r>
        <w:t>all of</w:t>
      </w:r>
      <w:proofErr w:type="gramEnd"/>
      <w:r>
        <w:t xml:space="preserve"> the 5,700 MBS items to ensure they are </w:t>
      </w:r>
      <w:r w:rsidRPr="00B0157E">
        <w:t xml:space="preserve">aligned with contemporary clinical evidence and practice </w:t>
      </w:r>
      <w:r>
        <w:t>and</w:t>
      </w:r>
      <w:r w:rsidRPr="00B0157E">
        <w:t xml:space="preserve"> improve health outcomes for patients. The Taskforce </w:t>
      </w:r>
      <w:r>
        <w:t xml:space="preserve">will also modernise the MBS by </w:t>
      </w:r>
      <w:r w:rsidRPr="00B0157E">
        <w:t>identify</w:t>
      </w:r>
      <w:r>
        <w:t>ing</w:t>
      </w:r>
      <w:r w:rsidRPr="00B0157E">
        <w:t xml:space="preserve"> any services that may be unnecessary, outdated or potentially unsafe. The </w:t>
      </w:r>
      <w:r>
        <w:t>Review</w:t>
      </w:r>
      <w:r w:rsidRPr="00B0157E">
        <w:t xml:space="preserve"> is clinician-led, and there are no targets for savings attached to the </w:t>
      </w:r>
      <w:r>
        <w:t>Review</w:t>
      </w:r>
      <w:r w:rsidRPr="00B0157E">
        <w:t xml:space="preserve">. </w:t>
      </w:r>
    </w:p>
    <w:p w14:paraId="12F7A5D9" w14:textId="0DE0A8D0" w:rsidR="008A05B8" w:rsidRPr="00704DAA" w:rsidRDefault="00202DB4" w:rsidP="00704DAA">
      <w:pPr>
        <w:rPr>
          <w:b/>
        </w:rPr>
      </w:pPr>
      <w:r w:rsidRPr="00704DAA">
        <w:rPr>
          <w:b/>
        </w:rPr>
        <w:t>What are the g</w:t>
      </w:r>
      <w:r w:rsidR="009A1898" w:rsidRPr="00704DAA">
        <w:rPr>
          <w:b/>
        </w:rPr>
        <w:t>oals of the Taskforce?</w:t>
      </w:r>
    </w:p>
    <w:p w14:paraId="41A23931" w14:textId="77777777" w:rsidR="00AE0B4C" w:rsidRPr="009D0EED" w:rsidRDefault="00AE0B4C" w:rsidP="003F788A">
      <w:pPr>
        <w:spacing w:before="120" w:after="120"/>
        <w:rPr>
          <w:rFonts w:cs="Arial"/>
        </w:rPr>
      </w:pPr>
      <w:r w:rsidRPr="009D0EED">
        <w:rPr>
          <w:rFonts w:cs="Arial"/>
        </w:rPr>
        <w:t>The Taskforce is committed to providing recommendations to the Minister that will allow the MBS to deliver on each of these four key goals:</w:t>
      </w:r>
    </w:p>
    <w:p w14:paraId="0778F1F5" w14:textId="77777777" w:rsidR="00AE0B4C" w:rsidRPr="000869E6" w:rsidRDefault="00AE0B4C" w:rsidP="000869E6">
      <w:pPr>
        <w:pStyle w:val="NormalBulleted"/>
      </w:pPr>
      <w:r w:rsidRPr="000869E6">
        <w:rPr>
          <w:b/>
        </w:rPr>
        <w:t>Affordable and universal access</w:t>
      </w:r>
      <w:r w:rsidRPr="000869E6">
        <w:t>—</w:t>
      </w:r>
      <w:r w:rsidR="00463B1C" w:rsidRPr="000869E6">
        <w:t xml:space="preserve"> </w:t>
      </w:r>
      <w:r w:rsidR="00306AC2" w:rsidRPr="000869E6">
        <w:t>the</w:t>
      </w:r>
      <w:r w:rsidRPr="000869E6">
        <w:t xml:space="preserve"> evidence demonstrates that the MBS supports very good access to primary care services for most Australians, particularly in urban Australia. However, despite increases in the specialist workforce over the last decade, access to many specialist services remains problematic with some rural patients being particularly under-serviced.</w:t>
      </w:r>
    </w:p>
    <w:p w14:paraId="45E6FFB9" w14:textId="7FDD2F1C" w:rsidR="00AE0B4C" w:rsidRPr="000869E6" w:rsidRDefault="00AE0B4C" w:rsidP="000869E6">
      <w:pPr>
        <w:pStyle w:val="NormalBulleted"/>
      </w:pPr>
      <w:r w:rsidRPr="000869E6">
        <w:rPr>
          <w:b/>
        </w:rPr>
        <w:t>Best practice health services</w:t>
      </w:r>
      <w:r w:rsidRPr="000869E6">
        <w:t>—</w:t>
      </w:r>
      <w:r w:rsidR="00715996" w:rsidRPr="000869E6">
        <w:t xml:space="preserve"> </w:t>
      </w:r>
      <w:r w:rsidR="00306AC2" w:rsidRPr="000869E6">
        <w:t>one</w:t>
      </w:r>
      <w:r w:rsidRPr="000869E6">
        <w:t xml:space="preserve"> of the core objectives of the Review is to modernise the MBS, ensuring that individual items and their descriptors are consistent with contemporary best practice and the evidence base where possible. Although the Medical Services Advisory Committee (MSAC) plays a crucial role in thoroughly evaluating new services, the vast </w:t>
      </w:r>
      <w:r w:rsidR="0054443F" w:rsidRPr="000869E6">
        <w:t>majority</w:t>
      </w:r>
      <w:r w:rsidR="006234D9">
        <w:t xml:space="preserve"> of existing MBS items pre-date this process and have</w:t>
      </w:r>
      <w:r w:rsidRPr="000869E6">
        <w:t xml:space="preserve"> never been reviewed.</w:t>
      </w:r>
    </w:p>
    <w:p w14:paraId="49ED2D21" w14:textId="77777777" w:rsidR="00AE0B4C" w:rsidRPr="000869E6" w:rsidRDefault="00AE0B4C" w:rsidP="000869E6">
      <w:pPr>
        <w:pStyle w:val="NormalBulleted"/>
      </w:pPr>
      <w:r w:rsidRPr="000869E6">
        <w:rPr>
          <w:b/>
        </w:rPr>
        <w:t>Value for the individual patient</w:t>
      </w:r>
      <w:r w:rsidR="00306AC2" w:rsidRPr="000869E6">
        <w:t>—a</w:t>
      </w:r>
      <w:r w:rsidRPr="000869E6">
        <w:t>nother core objective of the Review is to have a MBS that supports the delivery of services that are appropriate to the patient’s needs, provide real clinical value and do not expose the patient to unnecessary risk or expense.</w:t>
      </w:r>
    </w:p>
    <w:p w14:paraId="2AE92B6C" w14:textId="77777777" w:rsidR="00AE0B4C" w:rsidRPr="000869E6" w:rsidRDefault="00AE0B4C" w:rsidP="000869E6">
      <w:pPr>
        <w:pStyle w:val="NormalBulleted"/>
      </w:pPr>
      <w:r w:rsidRPr="000869E6">
        <w:rPr>
          <w:b/>
        </w:rPr>
        <w:t>Value for the health system</w:t>
      </w:r>
      <w:r w:rsidR="00306AC2" w:rsidRPr="000869E6">
        <w:t>—a</w:t>
      </w:r>
      <w:r w:rsidRPr="000869E6">
        <w:t xml:space="preserve">chieving the above elements of the vision will go a long way to achieving improved value for the health system overall. Reducing the volume of services that provide little or no clinical benefit will enable resources to be redirected to new and existing </w:t>
      </w:r>
      <w:r w:rsidRPr="000869E6">
        <w:lastRenderedPageBreak/>
        <w:t>services that have proven benefit and are underused, particularly for patients who cannot readily access those services currently.</w:t>
      </w:r>
    </w:p>
    <w:p w14:paraId="4E339F4E" w14:textId="7F39CA0C" w:rsidR="00715996" w:rsidRPr="009200D8" w:rsidRDefault="00715996" w:rsidP="006A286B">
      <w:pPr>
        <w:pStyle w:val="Heading2"/>
      </w:pPr>
      <w:bookmarkStart w:id="16" w:name="_Toc468787459"/>
      <w:r w:rsidRPr="009200D8">
        <w:t>The Taskforce’s approach</w:t>
      </w:r>
      <w:bookmarkEnd w:id="16"/>
    </w:p>
    <w:p w14:paraId="2D7361B5" w14:textId="77777777" w:rsidR="00715996" w:rsidRPr="009D0EED" w:rsidRDefault="00715996" w:rsidP="003F788A">
      <w:pPr>
        <w:spacing w:before="120" w:after="120"/>
        <w:rPr>
          <w:rFonts w:cs="Arial"/>
        </w:rPr>
      </w:pPr>
      <w:r w:rsidRPr="00253F2C">
        <w:rPr>
          <w:rFonts w:cs="Arial"/>
        </w:rPr>
        <w:t xml:space="preserve">The Taskforce is </w:t>
      </w:r>
      <w:r w:rsidR="00AE0B4C" w:rsidRPr="009D0EED">
        <w:rPr>
          <w:rFonts w:cs="Arial"/>
        </w:rPr>
        <w:t xml:space="preserve">reviewing the existing MBS items, with </w:t>
      </w:r>
      <w:r w:rsidRPr="009D0EED">
        <w:rPr>
          <w:rFonts w:cs="Arial"/>
        </w:rPr>
        <w:t>a</w:t>
      </w:r>
      <w:r w:rsidR="00AE0B4C" w:rsidRPr="009D0EED">
        <w:rPr>
          <w:rFonts w:cs="Arial"/>
        </w:rPr>
        <w:t xml:space="preserve"> </w:t>
      </w:r>
      <w:r w:rsidRPr="009D0EED">
        <w:rPr>
          <w:rFonts w:cs="Arial"/>
        </w:rPr>
        <w:t xml:space="preserve">primary </w:t>
      </w:r>
      <w:r w:rsidR="00CE0E68" w:rsidRPr="009D0EED">
        <w:rPr>
          <w:rFonts w:cs="Arial"/>
        </w:rPr>
        <w:t>focus</w:t>
      </w:r>
      <w:r w:rsidR="00AE0B4C" w:rsidRPr="009D0EED">
        <w:rPr>
          <w:rFonts w:cs="Arial"/>
        </w:rPr>
        <w:t xml:space="preserve"> on ensuring that individual items and usage meet the definition of best practice. </w:t>
      </w:r>
    </w:p>
    <w:p w14:paraId="3E782596" w14:textId="77777777" w:rsidR="00AE0B4C" w:rsidRPr="009D0EED" w:rsidRDefault="00AE0B4C" w:rsidP="003F788A">
      <w:pPr>
        <w:spacing w:before="120" w:after="120"/>
        <w:rPr>
          <w:rFonts w:cs="Arial"/>
        </w:rPr>
      </w:pPr>
      <w:r w:rsidRPr="009D0EED">
        <w:rPr>
          <w:rFonts w:cs="Arial"/>
        </w:rPr>
        <w:t xml:space="preserve">Within the Taskforce’s brief there is considerable scope to review and advise on all aspects which would contribute to a modern, transparent and responsive system. This includes not only making recommendations about new items or services being added to the MBS, but also about </w:t>
      </w:r>
      <w:proofErr w:type="gramStart"/>
      <w:r w:rsidRPr="009D0EED">
        <w:rPr>
          <w:rFonts w:cs="Arial"/>
        </w:rPr>
        <w:t>a</w:t>
      </w:r>
      <w:proofErr w:type="gramEnd"/>
      <w:r w:rsidRPr="009D0EED">
        <w:rPr>
          <w:rFonts w:cs="Arial"/>
        </w:rPr>
        <w:t xml:space="preserve"> MBS structure that could better accommodate changing health service models. </w:t>
      </w:r>
    </w:p>
    <w:p w14:paraId="2246B440" w14:textId="77777777" w:rsidR="00AE0B4C" w:rsidRPr="009D0EED" w:rsidRDefault="00AE0B4C" w:rsidP="003F788A">
      <w:pPr>
        <w:spacing w:before="120" w:after="120"/>
        <w:rPr>
          <w:rFonts w:cs="Arial"/>
        </w:rPr>
      </w:pPr>
      <w:r w:rsidRPr="009D0EED">
        <w:rPr>
          <w:rFonts w:cs="Arial"/>
        </w:rPr>
        <w:t xml:space="preserve">The Taskforce has made a conscious decision to be ambitious in its approach and seize this unique opportunity to recommend changes to modernise the MBS on all levels, from the clinical detail of individual items, to administrative rules and mechanisms, to structural, whole-of-MBS issues. </w:t>
      </w:r>
    </w:p>
    <w:p w14:paraId="0D7DBD0A" w14:textId="77777777" w:rsidR="00AE0B4C" w:rsidRPr="009D0EED" w:rsidRDefault="00715996" w:rsidP="003F788A">
      <w:pPr>
        <w:spacing w:before="120" w:after="120"/>
        <w:rPr>
          <w:rFonts w:cs="Arial"/>
        </w:rPr>
      </w:pPr>
      <w:r w:rsidRPr="009D0EED">
        <w:rPr>
          <w:rFonts w:cs="Arial"/>
        </w:rPr>
        <w:t>The</w:t>
      </w:r>
      <w:r w:rsidR="00AE0B4C" w:rsidRPr="009D0EED">
        <w:rPr>
          <w:rFonts w:cs="Arial"/>
        </w:rPr>
        <w:t xml:space="preserve"> Taskforce will </w:t>
      </w:r>
      <w:r w:rsidRPr="009D0EED">
        <w:rPr>
          <w:rFonts w:cs="Arial"/>
        </w:rPr>
        <w:t>also develop a</w:t>
      </w:r>
      <w:r w:rsidR="00AE0B4C" w:rsidRPr="009D0EED">
        <w:rPr>
          <w:rFonts w:cs="Arial"/>
        </w:rPr>
        <w:t xml:space="preserve"> mechanism for the ongoing review of the MBS once the current Review is concluded.</w:t>
      </w:r>
    </w:p>
    <w:p w14:paraId="2BC9EE8B" w14:textId="72FCF857" w:rsidR="00F971B5" w:rsidRPr="009D0EED" w:rsidRDefault="00F971B5" w:rsidP="003F788A">
      <w:pPr>
        <w:spacing w:before="120" w:after="120"/>
        <w:rPr>
          <w:rFonts w:cs="Arial"/>
        </w:rPr>
      </w:pPr>
      <w:r w:rsidRPr="009D0EED">
        <w:rPr>
          <w:rFonts w:cs="Arial"/>
        </w:rPr>
        <w:t>As the Review is to be clinician</w:t>
      </w:r>
      <w:r w:rsidR="0076332F">
        <w:rPr>
          <w:rFonts w:cs="Arial"/>
        </w:rPr>
        <w:t>-</w:t>
      </w:r>
      <w:r w:rsidRPr="009D0EED">
        <w:rPr>
          <w:rFonts w:cs="Arial"/>
        </w:rPr>
        <w:t>led, the Taskforce has de</w:t>
      </w:r>
      <w:r w:rsidR="009A0DC4" w:rsidRPr="009D0EED">
        <w:rPr>
          <w:rFonts w:cs="Arial"/>
        </w:rPr>
        <w:t>cided that the detailed review of MBS items should be done by Clinical Committees. The Committees are broad based in their membership and members have been appointed in their individual capacity</w:t>
      </w:r>
      <w:r w:rsidR="0076332F">
        <w:rPr>
          <w:rFonts w:cs="Arial"/>
        </w:rPr>
        <w:t>,</w:t>
      </w:r>
      <w:r w:rsidR="009A0DC4" w:rsidRPr="009D0EED">
        <w:rPr>
          <w:rFonts w:cs="Arial"/>
        </w:rPr>
        <w:t xml:space="preserve"> not as representatives of any organisation. This draft report details the work done by the specific Clinical Committee </w:t>
      </w:r>
      <w:r w:rsidR="0054443F" w:rsidRPr="009D0EED">
        <w:rPr>
          <w:rFonts w:cs="Arial"/>
        </w:rPr>
        <w:t>and describes</w:t>
      </w:r>
      <w:r w:rsidR="009A0DC4" w:rsidRPr="009D0EED">
        <w:rPr>
          <w:rFonts w:cs="Arial"/>
        </w:rPr>
        <w:t xml:space="preserve"> the Committee’s recommendations and their rationale.</w:t>
      </w:r>
    </w:p>
    <w:p w14:paraId="362F54CA" w14:textId="438A3EEF" w:rsidR="004D72E6" w:rsidRDefault="007E588A" w:rsidP="003F788A">
      <w:pPr>
        <w:spacing w:before="120" w:after="120"/>
        <w:rPr>
          <w:rFonts w:cs="Arial"/>
        </w:rPr>
      </w:pPr>
      <w:r w:rsidRPr="009D0EED">
        <w:rPr>
          <w:rFonts w:cs="Arial"/>
        </w:rPr>
        <w:t xml:space="preserve">This report does not represent the final position of the Committee. </w:t>
      </w:r>
      <w:r w:rsidR="00306AC2" w:rsidRPr="009D0EED">
        <w:rPr>
          <w:rFonts w:cs="Arial"/>
        </w:rPr>
        <w:t xml:space="preserve">A consultation process will inform recommendations of the </w:t>
      </w:r>
      <w:r w:rsidR="00440815">
        <w:rPr>
          <w:rFonts w:cs="Arial"/>
        </w:rPr>
        <w:t>Committee</w:t>
      </w:r>
      <w:r w:rsidR="00CF3A42" w:rsidRPr="009D0EED">
        <w:rPr>
          <w:rFonts w:cs="Arial"/>
        </w:rPr>
        <w:t xml:space="preserve"> and </w:t>
      </w:r>
      <w:r w:rsidR="00306AC2" w:rsidRPr="009D0EED">
        <w:rPr>
          <w:rFonts w:cs="Arial"/>
        </w:rPr>
        <w:t xml:space="preserve">assist </w:t>
      </w:r>
      <w:r w:rsidR="00440815">
        <w:rPr>
          <w:rFonts w:cs="Arial"/>
        </w:rPr>
        <w:t>it</w:t>
      </w:r>
      <w:r w:rsidR="00CF3A42" w:rsidRPr="009D0EED">
        <w:rPr>
          <w:rFonts w:cs="Arial"/>
        </w:rPr>
        <w:t xml:space="preserve"> </w:t>
      </w:r>
      <w:r w:rsidR="00306AC2" w:rsidRPr="009D0EED">
        <w:rPr>
          <w:rFonts w:cs="Arial"/>
        </w:rPr>
        <w:t>in finalising its report to t</w:t>
      </w:r>
      <w:r w:rsidR="00233CC6">
        <w:rPr>
          <w:rFonts w:cs="Arial"/>
        </w:rPr>
        <w:t>he MBS R</w:t>
      </w:r>
      <w:r w:rsidR="00306AC2" w:rsidRPr="009D0EED">
        <w:rPr>
          <w:rFonts w:cs="Arial"/>
        </w:rPr>
        <w:t xml:space="preserve">eview Taskforce. </w:t>
      </w:r>
    </w:p>
    <w:p w14:paraId="7CD11007" w14:textId="633824C2" w:rsidR="00306AC2" w:rsidRPr="009D0EED" w:rsidRDefault="00306AC2" w:rsidP="003F788A">
      <w:pPr>
        <w:spacing w:before="120" w:after="120"/>
        <w:rPr>
          <w:rFonts w:cs="Arial"/>
          <w:lang w:val="en-US" w:eastAsia="en-US"/>
        </w:rPr>
      </w:pPr>
      <w:r w:rsidRPr="009D0EED">
        <w:rPr>
          <w:rFonts w:cs="Arial"/>
        </w:rPr>
        <w:t xml:space="preserve">Following consultation, the Committee will provide its final advice to the MBS Review Taskforce. </w:t>
      </w:r>
      <w:r w:rsidRPr="009D0EED">
        <w:rPr>
          <w:rFonts w:cs="Arial"/>
          <w:lang w:val="en-US" w:eastAsia="en-US"/>
        </w:rPr>
        <w:t xml:space="preserve">The Taskforce will consider the Review Report from Clinical Committees and stakeholder feedback before making recommendations to the Minister for consideration by Government. </w:t>
      </w:r>
    </w:p>
    <w:p w14:paraId="7B60CBF5" w14:textId="7624A8EC" w:rsidR="00457693" w:rsidRPr="009200D8" w:rsidRDefault="00457693" w:rsidP="006A286B">
      <w:pPr>
        <w:pStyle w:val="Heading2"/>
      </w:pPr>
      <w:bookmarkStart w:id="17" w:name="_Toc468787460"/>
      <w:proofErr w:type="spellStart"/>
      <w:r w:rsidRPr="009200D8">
        <w:t>Prioritisation</w:t>
      </w:r>
      <w:proofErr w:type="spellEnd"/>
      <w:r w:rsidRPr="009200D8">
        <w:t xml:space="preserve"> process</w:t>
      </w:r>
      <w:bookmarkEnd w:id="17"/>
    </w:p>
    <w:p w14:paraId="763A359A" w14:textId="77777777" w:rsidR="00EC7580" w:rsidRDefault="00457693" w:rsidP="003F788A">
      <w:pPr>
        <w:spacing w:before="120" w:after="120"/>
        <w:rPr>
          <w:rFonts w:cs="Arial"/>
        </w:rPr>
      </w:pPr>
      <w:r w:rsidRPr="009D0EED">
        <w:rPr>
          <w:rFonts w:cs="Arial"/>
        </w:rPr>
        <w:t xml:space="preserve">All MBS items will be reviewed </w:t>
      </w:r>
      <w:proofErr w:type="gramStart"/>
      <w:r w:rsidRPr="009D0EED">
        <w:rPr>
          <w:rFonts w:cs="Arial"/>
        </w:rPr>
        <w:t>during the course of</w:t>
      </w:r>
      <w:proofErr w:type="gramEnd"/>
      <w:r w:rsidRPr="009D0EED">
        <w:rPr>
          <w:rFonts w:cs="Arial"/>
        </w:rPr>
        <w:t xml:space="preserve"> the MBS Review. However</w:t>
      </w:r>
      <w:r w:rsidR="00D8120A">
        <w:rPr>
          <w:rFonts w:cs="Arial"/>
        </w:rPr>
        <w:t>,</w:t>
      </w:r>
      <w:r w:rsidRPr="009D0EED">
        <w:rPr>
          <w:rFonts w:cs="Arial"/>
        </w:rPr>
        <w:t xml:space="preserve"> </w:t>
      </w:r>
      <w:r w:rsidR="009A0DC4" w:rsidRPr="009D0EED">
        <w:rPr>
          <w:rFonts w:cs="Arial"/>
        </w:rPr>
        <w:t xml:space="preserve">given the breadth of </w:t>
      </w:r>
      <w:r w:rsidR="000309CE" w:rsidRPr="009D0EED">
        <w:rPr>
          <w:rFonts w:cs="Arial"/>
        </w:rPr>
        <w:t xml:space="preserve">and timeframe for </w:t>
      </w:r>
      <w:r w:rsidR="009A0DC4" w:rsidRPr="009D0EED">
        <w:rPr>
          <w:rFonts w:cs="Arial"/>
        </w:rPr>
        <w:t>the Review, each Clinical Committee has needed to develop a work</w:t>
      </w:r>
      <w:r w:rsidR="0026678E" w:rsidRPr="009D0EED">
        <w:rPr>
          <w:rFonts w:cs="Arial"/>
        </w:rPr>
        <w:t xml:space="preserve"> </w:t>
      </w:r>
      <w:r w:rsidR="009A0DC4" w:rsidRPr="009D0EED">
        <w:rPr>
          <w:rFonts w:cs="Arial"/>
        </w:rPr>
        <w:t>plan and assign priorities</w:t>
      </w:r>
      <w:r w:rsidR="000309CE" w:rsidRPr="009D0EED">
        <w:rPr>
          <w:rFonts w:cs="Arial"/>
        </w:rPr>
        <w:t xml:space="preserve"> keeping in mind the objectives of the Review. With a focus on </w:t>
      </w:r>
      <w:r w:rsidR="0054443F" w:rsidRPr="009D0EED">
        <w:rPr>
          <w:rFonts w:cs="Arial"/>
        </w:rPr>
        <w:t>improving the</w:t>
      </w:r>
      <w:r w:rsidR="000309CE" w:rsidRPr="009D0EED">
        <w:rPr>
          <w:rFonts w:cs="Arial"/>
        </w:rPr>
        <w:t xml:space="preserve"> clinical value of MBS services</w:t>
      </w:r>
      <w:r w:rsidR="0026678E" w:rsidRPr="009D0EED">
        <w:rPr>
          <w:rFonts w:cs="Arial"/>
        </w:rPr>
        <w:t>,</w:t>
      </w:r>
      <w:r w:rsidR="000309CE" w:rsidRPr="009D0EED">
        <w:rPr>
          <w:rFonts w:cs="Arial"/>
        </w:rPr>
        <w:t xml:space="preserve"> the Clinical Committees have taken account of factors including the volume </w:t>
      </w:r>
      <w:r w:rsidR="0026678E" w:rsidRPr="009D0EED">
        <w:rPr>
          <w:rFonts w:cs="Arial"/>
        </w:rPr>
        <w:t xml:space="preserve">of </w:t>
      </w:r>
      <w:r w:rsidR="000309CE" w:rsidRPr="009D0EED">
        <w:rPr>
          <w:rFonts w:cs="Arial"/>
        </w:rPr>
        <w:t xml:space="preserve">services, service </w:t>
      </w:r>
      <w:r w:rsidR="0026678E" w:rsidRPr="009D0EED">
        <w:rPr>
          <w:rFonts w:cs="Arial"/>
        </w:rPr>
        <w:t xml:space="preserve">patterns and </w:t>
      </w:r>
      <w:r w:rsidR="000309CE" w:rsidRPr="009D0EED">
        <w:rPr>
          <w:rFonts w:cs="Arial"/>
        </w:rPr>
        <w:t>growth</w:t>
      </w:r>
      <w:r w:rsidR="0026678E" w:rsidRPr="009D0EED">
        <w:rPr>
          <w:rFonts w:cs="Arial"/>
        </w:rPr>
        <w:t xml:space="preserve"> and variation in the per capita use of ser</w:t>
      </w:r>
      <w:r w:rsidR="00CF3A42" w:rsidRPr="009D0EED">
        <w:rPr>
          <w:rFonts w:cs="Arial"/>
        </w:rPr>
        <w:t>vices, to prioritise their work</w:t>
      </w:r>
      <w:r w:rsidRPr="009D0EED">
        <w:rPr>
          <w:rFonts w:cs="Arial"/>
        </w:rPr>
        <w:t>.</w:t>
      </w:r>
      <w:r w:rsidR="00D3527C">
        <w:rPr>
          <w:rFonts w:cs="Arial"/>
        </w:rPr>
        <w:t xml:space="preserve"> </w:t>
      </w:r>
    </w:p>
    <w:p w14:paraId="27C21A47" w14:textId="32273D9F" w:rsidR="00457693" w:rsidRPr="009D0EED" w:rsidRDefault="0026678E" w:rsidP="003F788A">
      <w:pPr>
        <w:spacing w:before="120" w:after="120"/>
        <w:rPr>
          <w:rFonts w:cs="Arial"/>
        </w:rPr>
      </w:pPr>
      <w:r w:rsidRPr="009D0EED">
        <w:rPr>
          <w:rFonts w:cs="Arial"/>
        </w:rPr>
        <w:t xml:space="preserve">In addition to MBS </w:t>
      </w:r>
      <w:r w:rsidR="0054443F" w:rsidRPr="009D0EED">
        <w:rPr>
          <w:rFonts w:cs="Arial"/>
        </w:rPr>
        <w:t>data, important</w:t>
      </w:r>
      <w:r w:rsidR="000309CE" w:rsidRPr="009D0EED">
        <w:rPr>
          <w:rFonts w:cs="Arial"/>
        </w:rPr>
        <w:t xml:space="preserve"> resource</w:t>
      </w:r>
      <w:r w:rsidRPr="009D0EED">
        <w:rPr>
          <w:rFonts w:cs="Arial"/>
        </w:rPr>
        <w:t>s</w:t>
      </w:r>
      <w:r w:rsidR="000309CE" w:rsidRPr="009D0EED">
        <w:rPr>
          <w:rFonts w:cs="Arial"/>
        </w:rPr>
        <w:t xml:space="preserve"> for the Taskforce and the Clinical Committees have i</w:t>
      </w:r>
      <w:r w:rsidRPr="009D0EED">
        <w:rPr>
          <w:rFonts w:cs="Arial"/>
        </w:rPr>
        <w:t>ncluded</w:t>
      </w:r>
      <w:r w:rsidR="00457693" w:rsidRPr="009D0EED">
        <w:rPr>
          <w:rFonts w:cs="Arial"/>
        </w:rPr>
        <w:t xml:space="preserve">: </w:t>
      </w:r>
    </w:p>
    <w:p w14:paraId="5C76DFAC" w14:textId="77777777" w:rsidR="00457693" w:rsidRPr="00490F36" w:rsidRDefault="0026678E" w:rsidP="00490F36">
      <w:pPr>
        <w:pStyle w:val="NormalBulleted"/>
      </w:pPr>
      <w:r w:rsidRPr="00490F36">
        <w:t>T</w:t>
      </w:r>
      <w:r w:rsidR="00457693" w:rsidRPr="00490F36">
        <w:t xml:space="preserve">he Choosing Wisely recommendations, both from Australian and internationally </w:t>
      </w:r>
    </w:p>
    <w:p w14:paraId="576FA712" w14:textId="77777777" w:rsidR="00457693" w:rsidRPr="00490F36" w:rsidRDefault="00457693" w:rsidP="00490F36">
      <w:pPr>
        <w:pStyle w:val="NormalBulleted"/>
      </w:pPr>
      <w:r w:rsidRPr="00490F36">
        <w:t xml:space="preserve">National Institute for Health and Care Excellence (NICE UK) Do Not Do recommendations and clinical guidance </w:t>
      </w:r>
    </w:p>
    <w:p w14:paraId="7169325B" w14:textId="66B2FE2F" w:rsidR="004D72E6" w:rsidRPr="00490F36" w:rsidRDefault="0026678E" w:rsidP="00490F36">
      <w:pPr>
        <w:pStyle w:val="NormalBulleted"/>
      </w:pPr>
      <w:r w:rsidRPr="00490F36">
        <w:lastRenderedPageBreak/>
        <w:t>O</w:t>
      </w:r>
      <w:r w:rsidR="00457693" w:rsidRPr="00490F36">
        <w:t xml:space="preserve">ther </w:t>
      </w:r>
      <w:r w:rsidRPr="00490F36">
        <w:t>literature on low value care</w:t>
      </w:r>
      <w:r w:rsidR="00457693" w:rsidRPr="00490F36">
        <w:t xml:space="preserve">, including </w:t>
      </w:r>
      <w:proofErr w:type="spellStart"/>
      <w:r w:rsidR="00457693" w:rsidRPr="00490F36">
        <w:t>Elshaug</w:t>
      </w:r>
      <w:proofErr w:type="spellEnd"/>
      <w:r w:rsidR="00457693" w:rsidRPr="00490F36">
        <w:t xml:space="preserve"> et </w:t>
      </w:r>
      <w:proofErr w:type="spellStart"/>
      <w:r w:rsidR="00457693" w:rsidRPr="00490F36">
        <w:t>al’s</w:t>
      </w:r>
      <w:proofErr w:type="spellEnd"/>
      <w:r w:rsidR="008C7548">
        <w:rPr>
          <w:vertAlign w:val="superscript"/>
        </w:rPr>
        <w:t xml:space="preserve"> </w:t>
      </w:r>
      <w:r w:rsidR="004D72E6" w:rsidRPr="00490F36">
        <w:t xml:space="preserve">Medical Journal of Australia article on potentially low value health services </w:t>
      </w:r>
    </w:p>
    <w:p w14:paraId="4D4092AE" w14:textId="2FEC960B" w:rsidR="004D72E6" w:rsidRPr="00490F36" w:rsidRDefault="004D72E6" w:rsidP="00490F36">
      <w:pPr>
        <w:pStyle w:val="NormalBulleted"/>
      </w:pPr>
      <w:r w:rsidRPr="00490F36">
        <w:t xml:space="preserve">The </w:t>
      </w:r>
      <w:r w:rsidR="00332C4D">
        <w:t>Australian Commission on Safety</w:t>
      </w:r>
      <w:r w:rsidRPr="00490F36">
        <w:t xml:space="preserve"> and </w:t>
      </w:r>
      <w:r w:rsidR="00332C4D">
        <w:t>Quality</w:t>
      </w:r>
      <w:r w:rsidR="00C516B5">
        <w:t xml:space="preserve"> in Health Care’s (AC</w:t>
      </w:r>
      <w:r w:rsidRPr="00490F36">
        <w:t>S</w:t>
      </w:r>
      <w:r w:rsidR="00C516B5">
        <w:t>Q</w:t>
      </w:r>
      <w:r w:rsidRPr="00490F36">
        <w:t xml:space="preserve">HC) Atlas of </w:t>
      </w:r>
      <w:r w:rsidR="00332C4D">
        <w:t xml:space="preserve">Healthcare </w:t>
      </w:r>
      <w:r w:rsidRPr="00490F36">
        <w:t>Variation.</w:t>
      </w:r>
    </w:p>
    <w:p w14:paraId="6944EE6F" w14:textId="50A8AA92" w:rsidR="004D72E6" w:rsidRPr="009200D8" w:rsidRDefault="004D72E6" w:rsidP="007E02E9">
      <w:pPr>
        <w:pStyle w:val="Heading1"/>
      </w:pPr>
      <w:bookmarkStart w:id="18" w:name="_Toc468787461"/>
      <w:r w:rsidRPr="009200D8">
        <w:t>About the</w:t>
      </w:r>
      <w:r w:rsidR="004004C3">
        <w:t xml:space="preserve"> </w:t>
      </w:r>
      <w:r w:rsidR="00344F28">
        <w:t>PE and DVT Working Group</w:t>
      </w:r>
      <w:bookmarkEnd w:id="18"/>
    </w:p>
    <w:p w14:paraId="4F61298B" w14:textId="64499322" w:rsidR="00437F91" w:rsidRPr="00885DBA" w:rsidRDefault="00885DBA" w:rsidP="00437F91">
      <w:pPr>
        <w:rPr>
          <w:lang w:val="en-GB"/>
        </w:rPr>
      </w:pPr>
      <w:bookmarkStart w:id="19" w:name="_Toc455669872"/>
      <w:r w:rsidRPr="00885DBA">
        <w:rPr>
          <w:lang w:val="en-GB"/>
        </w:rPr>
        <w:t xml:space="preserve">The Pulmonary Embolism and Deep Vein Thrombosis </w:t>
      </w:r>
      <w:r w:rsidR="002C7EE0">
        <w:rPr>
          <w:lang w:val="en-GB"/>
        </w:rPr>
        <w:t>Working Group</w:t>
      </w:r>
      <w:r w:rsidRPr="00885DBA">
        <w:rPr>
          <w:lang w:val="en-GB"/>
        </w:rPr>
        <w:t xml:space="preserve"> (</w:t>
      </w:r>
      <w:r w:rsidR="002C7EE0">
        <w:rPr>
          <w:lang w:val="en-GB"/>
        </w:rPr>
        <w:t>the Working Group</w:t>
      </w:r>
      <w:r w:rsidRPr="00885DBA">
        <w:rPr>
          <w:lang w:val="en-GB"/>
        </w:rPr>
        <w:t xml:space="preserve">) was established </w:t>
      </w:r>
      <w:r w:rsidR="00EC7580" w:rsidRPr="009F26EF">
        <w:t>to make recommendations to the MBS Review Taskforce on the review of MBS items within its remit, based on rapid evidence review and clinical expertise.</w:t>
      </w:r>
      <w:r w:rsidRPr="00885DBA">
        <w:rPr>
          <w:lang w:val="en-GB"/>
        </w:rPr>
        <w:t xml:space="preserve"> The </w:t>
      </w:r>
      <w:r w:rsidR="002C7EE0">
        <w:rPr>
          <w:lang w:val="en-GB"/>
        </w:rPr>
        <w:t>W</w:t>
      </w:r>
      <w:r w:rsidR="004C27C1">
        <w:rPr>
          <w:lang w:val="en-GB"/>
        </w:rPr>
        <w:t xml:space="preserve">orking </w:t>
      </w:r>
      <w:r w:rsidR="002C7EE0">
        <w:rPr>
          <w:lang w:val="en-GB"/>
        </w:rPr>
        <w:t>G</w:t>
      </w:r>
      <w:r w:rsidR="00EC7580">
        <w:rPr>
          <w:lang w:val="en-GB"/>
        </w:rPr>
        <w:t>r</w:t>
      </w:r>
      <w:r w:rsidR="004C27C1">
        <w:rPr>
          <w:lang w:val="en-GB"/>
        </w:rPr>
        <w:t xml:space="preserve">oup </w:t>
      </w:r>
      <w:r w:rsidRPr="00885DBA">
        <w:rPr>
          <w:lang w:val="en-GB"/>
        </w:rPr>
        <w:t xml:space="preserve">consists of seven members, whose names, positions/organisations, and declared conflicts of interest are listed in Section </w:t>
      </w:r>
      <w:r>
        <w:rPr>
          <w:lang w:val="en-GB"/>
        </w:rPr>
        <w:t>3.</w:t>
      </w:r>
      <w:r w:rsidR="002C7EE0">
        <w:rPr>
          <w:lang w:val="en-GB"/>
        </w:rPr>
        <w:t>1</w:t>
      </w:r>
      <w:r>
        <w:rPr>
          <w:lang w:val="en-GB"/>
        </w:rPr>
        <w:t>.</w:t>
      </w:r>
      <w:r w:rsidRPr="00885DBA">
        <w:rPr>
          <w:lang w:val="en-GB"/>
        </w:rPr>
        <w:t xml:space="preserve"> </w:t>
      </w:r>
    </w:p>
    <w:p w14:paraId="463590B6" w14:textId="4D267E1D" w:rsidR="001D66DB" w:rsidRPr="008A64E5" w:rsidRDefault="001D66DB" w:rsidP="001D66DB">
      <w:pPr>
        <w:pStyle w:val="Heading2Report"/>
        <w:spacing w:before="240"/>
        <w:ind w:left="578" w:hanging="578"/>
      </w:pPr>
      <w:bookmarkStart w:id="20" w:name="_Toc459707265"/>
      <w:bookmarkStart w:id="21" w:name="_Toc468787462"/>
      <w:bookmarkEnd w:id="19"/>
      <w:r w:rsidRPr="009200D8">
        <w:t>Diagnos</w:t>
      </w:r>
      <w:r>
        <w:t>tic Imaging Clinical Committee m</w:t>
      </w:r>
      <w:r w:rsidRPr="009200D8">
        <w:t>embers</w:t>
      </w:r>
      <w:bookmarkEnd w:id="20"/>
      <w:bookmarkEnd w:id="21"/>
    </w:p>
    <w:p w14:paraId="0BCA811A" w14:textId="14E4AA06" w:rsidR="008A64E5" w:rsidRPr="008A64E5" w:rsidRDefault="008A64E5" w:rsidP="008A64E5">
      <w:pPr>
        <w:pStyle w:val="Caption"/>
        <w:rPr>
          <w:b/>
        </w:rPr>
      </w:pPr>
      <w:bookmarkStart w:id="22" w:name="_Toc468787422"/>
      <w:r w:rsidRPr="008A64E5">
        <w:rPr>
          <w:b/>
        </w:rPr>
        <w:t xml:space="preserve">Table </w:t>
      </w:r>
      <w:r w:rsidRPr="008A64E5">
        <w:rPr>
          <w:b/>
        </w:rPr>
        <w:fldChar w:fldCharType="begin"/>
      </w:r>
      <w:r w:rsidRPr="008A64E5">
        <w:rPr>
          <w:b/>
        </w:rPr>
        <w:instrText xml:space="preserve"> SEQ Table \* ARABIC </w:instrText>
      </w:r>
      <w:r w:rsidRPr="008A64E5">
        <w:rPr>
          <w:b/>
        </w:rPr>
        <w:fldChar w:fldCharType="separate"/>
      </w:r>
      <w:r w:rsidR="009771DA">
        <w:rPr>
          <w:b/>
          <w:noProof/>
        </w:rPr>
        <w:t>1</w:t>
      </w:r>
      <w:r w:rsidRPr="008A64E5">
        <w:rPr>
          <w:b/>
        </w:rPr>
        <w:fldChar w:fldCharType="end"/>
      </w:r>
      <w:r w:rsidRPr="008A64E5">
        <w:rPr>
          <w:b/>
        </w:rPr>
        <w:t>:</w:t>
      </w:r>
      <w:r>
        <w:rPr>
          <w:b/>
        </w:rPr>
        <w:t xml:space="preserve"> </w:t>
      </w:r>
      <w:r w:rsidRPr="008A64E5">
        <w:rPr>
          <w:b/>
        </w:rPr>
        <w:t>Diagnostic Imaging Clinical Committee Members</w:t>
      </w:r>
      <w:bookmarkEnd w:id="22"/>
    </w:p>
    <w:tbl>
      <w:tblPr>
        <w:tblStyle w:val="TableGrid"/>
        <w:tblW w:w="5000"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1 lists of diagnostic imaging clinical committee members. This table contains 3 column headings: name, position and/or organisation, and declared conflict of interest."/>
      </w:tblPr>
      <w:tblGrid>
        <w:gridCol w:w="2354"/>
        <w:gridCol w:w="3982"/>
        <w:gridCol w:w="2690"/>
      </w:tblGrid>
      <w:tr w:rsidR="001D66DB" w:rsidRPr="00F648DD" w14:paraId="632EA2CB" w14:textId="77777777" w:rsidTr="00FB205F">
        <w:trPr>
          <w:tblHeader/>
        </w:trPr>
        <w:tc>
          <w:tcPr>
            <w:tcW w:w="1304" w:type="pct"/>
            <w:shd w:val="clear" w:color="auto" w:fill="auto"/>
          </w:tcPr>
          <w:p w14:paraId="0FFD75A7" w14:textId="77777777" w:rsidR="001D66DB" w:rsidRPr="00F648DD" w:rsidRDefault="001D66DB" w:rsidP="00FB205F">
            <w:pPr>
              <w:rPr>
                <w:b/>
              </w:rPr>
            </w:pPr>
            <w:r w:rsidRPr="00F648DD">
              <w:rPr>
                <w:b/>
              </w:rPr>
              <w:t>Name</w:t>
            </w:r>
          </w:p>
        </w:tc>
        <w:tc>
          <w:tcPr>
            <w:tcW w:w="2206" w:type="pct"/>
            <w:shd w:val="clear" w:color="auto" w:fill="auto"/>
          </w:tcPr>
          <w:p w14:paraId="099751DA" w14:textId="77777777" w:rsidR="001D66DB" w:rsidRPr="00F648DD" w:rsidRDefault="001D66DB" w:rsidP="00FB205F">
            <w:pPr>
              <w:rPr>
                <w:b/>
              </w:rPr>
            </w:pPr>
            <w:r w:rsidRPr="00F648DD">
              <w:rPr>
                <w:b/>
              </w:rPr>
              <w:t>Position/Organisation</w:t>
            </w:r>
          </w:p>
        </w:tc>
        <w:tc>
          <w:tcPr>
            <w:tcW w:w="1490" w:type="pct"/>
            <w:shd w:val="clear" w:color="auto" w:fill="auto"/>
          </w:tcPr>
          <w:p w14:paraId="0D2BC4EE" w14:textId="77777777" w:rsidR="001D66DB" w:rsidRPr="00F648DD" w:rsidRDefault="001D66DB" w:rsidP="00FB205F">
            <w:pPr>
              <w:rPr>
                <w:b/>
              </w:rPr>
            </w:pPr>
            <w:r w:rsidRPr="00F648DD">
              <w:rPr>
                <w:b/>
              </w:rPr>
              <w:t>Declared conflict of interest</w:t>
            </w:r>
          </w:p>
        </w:tc>
      </w:tr>
      <w:tr w:rsidR="001D66DB" w:rsidRPr="00804630" w14:paraId="5F6E4DA8" w14:textId="77777777" w:rsidTr="00FB205F">
        <w:trPr>
          <w:trHeight w:val="549"/>
        </w:trPr>
        <w:tc>
          <w:tcPr>
            <w:tcW w:w="1304" w:type="pct"/>
            <w:hideMark/>
          </w:tcPr>
          <w:p w14:paraId="0F2838C4" w14:textId="77777777" w:rsidR="001D66DB" w:rsidRPr="00804630" w:rsidRDefault="001D66DB" w:rsidP="00FB205F">
            <w:pPr>
              <w:spacing w:before="40"/>
            </w:pPr>
            <w:r w:rsidRPr="00804630">
              <w:t>Professor Ken Thomson (Chair)</w:t>
            </w:r>
          </w:p>
        </w:tc>
        <w:tc>
          <w:tcPr>
            <w:tcW w:w="2206" w:type="pct"/>
          </w:tcPr>
          <w:p w14:paraId="151663B7" w14:textId="77777777" w:rsidR="001D66DB" w:rsidRPr="00804630" w:rsidRDefault="001D66DB" w:rsidP="00FB205F">
            <w:pPr>
              <w:spacing w:before="40"/>
            </w:pPr>
            <w:r w:rsidRPr="00804630">
              <w:t>Program Director, Radiology and Nuclear Medicine, Alfred Hospital</w:t>
            </w:r>
          </w:p>
        </w:tc>
        <w:tc>
          <w:tcPr>
            <w:tcW w:w="1490" w:type="pct"/>
          </w:tcPr>
          <w:p w14:paraId="16FC12EA" w14:textId="77777777" w:rsidR="001D66DB" w:rsidRPr="00804630" w:rsidRDefault="001D66DB" w:rsidP="00FB205F">
            <w:pPr>
              <w:spacing w:before="40"/>
            </w:pPr>
            <w:r w:rsidRPr="00804630">
              <w:t>User of MBS services</w:t>
            </w:r>
          </w:p>
        </w:tc>
      </w:tr>
      <w:tr w:rsidR="001D66DB" w:rsidRPr="00804630" w14:paraId="4F8D04F3" w14:textId="77777777" w:rsidTr="00FB205F">
        <w:trPr>
          <w:trHeight w:val="842"/>
        </w:trPr>
        <w:tc>
          <w:tcPr>
            <w:tcW w:w="1304" w:type="pct"/>
            <w:hideMark/>
          </w:tcPr>
          <w:p w14:paraId="25A61E25" w14:textId="77777777" w:rsidR="001D66DB" w:rsidRPr="00804630" w:rsidRDefault="001D66DB" w:rsidP="00FB205F">
            <w:pPr>
              <w:spacing w:before="40"/>
            </w:pPr>
            <w:r w:rsidRPr="00804630">
              <w:t xml:space="preserve">Professor Stacy </w:t>
            </w:r>
            <w:proofErr w:type="spellStart"/>
            <w:r w:rsidRPr="00804630">
              <w:t>Goergen</w:t>
            </w:r>
            <w:proofErr w:type="spellEnd"/>
          </w:p>
        </w:tc>
        <w:tc>
          <w:tcPr>
            <w:tcW w:w="2206" w:type="pct"/>
          </w:tcPr>
          <w:p w14:paraId="70DF2B6F" w14:textId="77777777" w:rsidR="001D66DB" w:rsidRPr="00804630" w:rsidRDefault="001D66DB" w:rsidP="00FB205F">
            <w:pPr>
              <w:spacing w:before="40"/>
            </w:pPr>
            <w:r w:rsidRPr="00804630">
              <w:t xml:space="preserve">Director of Research, Monash </w:t>
            </w:r>
            <w:r w:rsidRPr="00360A3F">
              <w:t>Imaging</w:t>
            </w:r>
            <w:r>
              <w:t xml:space="preserve">; </w:t>
            </w:r>
            <w:r w:rsidRPr="00360A3F">
              <w:t>Clinical Adjunct Professor, Southern</w:t>
            </w:r>
            <w:r w:rsidRPr="00804630">
              <w:t xml:space="preserve"> Clinical School, Monash University</w:t>
            </w:r>
          </w:p>
        </w:tc>
        <w:tc>
          <w:tcPr>
            <w:tcW w:w="1490" w:type="pct"/>
          </w:tcPr>
          <w:p w14:paraId="3C9231CB" w14:textId="77777777" w:rsidR="001D66DB" w:rsidRPr="00804630" w:rsidRDefault="001D66DB" w:rsidP="00FB205F">
            <w:pPr>
              <w:spacing w:before="40"/>
            </w:pPr>
            <w:r w:rsidRPr="00804630">
              <w:t>User of MBS services</w:t>
            </w:r>
          </w:p>
        </w:tc>
      </w:tr>
      <w:tr w:rsidR="001D66DB" w:rsidRPr="00804630" w14:paraId="4C6497DF" w14:textId="77777777" w:rsidTr="00FB205F">
        <w:trPr>
          <w:trHeight w:val="945"/>
        </w:trPr>
        <w:tc>
          <w:tcPr>
            <w:tcW w:w="1304" w:type="pct"/>
            <w:hideMark/>
          </w:tcPr>
          <w:p w14:paraId="7003ADB3" w14:textId="77777777" w:rsidR="001D66DB" w:rsidRPr="00804630" w:rsidRDefault="001D66DB" w:rsidP="00FB205F">
            <w:pPr>
              <w:spacing w:before="40"/>
            </w:pPr>
            <w:r w:rsidRPr="00804630">
              <w:t>Professor Alexander Pitman</w:t>
            </w:r>
          </w:p>
        </w:tc>
        <w:tc>
          <w:tcPr>
            <w:tcW w:w="2206" w:type="pct"/>
          </w:tcPr>
          <w:p w14:paraId="582B9A8C" w14:textId="77777777" w:rsidR="001D66DB" w:rsidRPr="00804630" w:rsidRDefault="001D66DB" w:rsidP="00FB205F">
            <w:pPr>
              <w:spacing w:before="40"/>
            </w:pPr>
            <w:r w:rsidRPr="00804630">
              <w:t xml:space="preserve">Director of Nuclear Medicine and PET, Lake </w:t>
            </w:r>
            <w:proofErr w:type="gramStart"/>
            <w:r w:rsidRPr="00360A3F">
              <w:t>Imaging</w:t>
            </w:r>
            <w:r>
              <w:t xml:space="preserve"> ;</w:t>
            </w:r>
            <w:r w:rsidRPr="00804630">
              <w:t>Adjunct</w:t>
            </w:r>
            <w:proofErr w:type="gramEnd"/>
            <w:r w:rsidRPr="00804630">
              <w:t xml:space="preserve"> Professor, Medical Imaging, University of Notre Dame</w:t>
            </w:r>
          </w:p>
        </w:tc>
        <w:tc>
          <w:tcPr>
            <w:tcW w:w="1490" w:type="pct"/>
          </w:tcPr>
          <w:p w14:paraId="1BD4C3B4" w14:textId="77777777" w:rsidR="001D66DB" w:rsidRPr="00804630" w:rsidRDefault="001D66DB" w:rsidP="00FB205F">
            <w:pPr>
              <w:spacing w:before="40"/>
            </w:pPr>
            <w:r w:rsidRPr="00804630">
              <w:t>User of MBS services</w:t>
            </w:r>
          </w:p>
        </w:tc>
      </w:tr>
      <w:tr w:rsidR="001D66DB" w:rsidRPr="00804630" w14:paraId="13F2E877" w14:textId="77777777" w:rsidTr="00FB205F">
        <w:trPr>
          <w:trHeight w:val="1260"/>
        </w:trPr>
        <w:tc>
          <w:tcPr>
            <w:tcW w:w="1304" w:type="pct"/>
            <w:hideMark/>
          </w:tcPr>
          <w:p w14:paraId="4A232ACA" w14:textId="77777777" w:rsidR="001D66DB" w:rsidRPr="00804630" w:rsidRDefault="001D66DB" w:rsidP="00FB205F">
            <w:pPr>
              <w:spacing w:before="40"/>
            </w:pPr>
            <w:r w:rsidRPr="00804630">
              <w:t>Dr William Macdonald</w:t>
            </w:r>
          </w:p>
        </w:tc>
        <w:tc>
          <w:tcPr>
            <w:tcW w:w="2206" w:type="pct"/>
          </w:tcPr>
          <w:p w14:paraId="422D6CFC" w14:textId="77777777" w:rsidR="001D66DB" w:rsidRPr="00804630" w:rsidRDefault="001D66DB" w:rsidP="00FB205F">
            <w:pPr>
              <w:spacing w:before="40"/>
            </w:pPr>
            <w:r w:rsidRPr="00804630">
              <w:t>Executive Director, Imaging West</w:t>
            </w:r>
            <w:r w:rsidRPr="00804630">
              <w:br/>
              <w:t>Head, Nuclear Medicine, Fiona Stanley Hospital</w:t>
            </w:r>
            <w:r>
              <w:t>; P</w:t>
            </w:r>
            <w:r w:rsidRPr="00804630">
              <w:t>resident, Australasian Association of Nuclear Medicine Specialists</w:t>
            </w:r>
          </w:p>
        </w:tc>
        <w:tc>
          <w:tcPr>
            <w:tcW w:w="1490" w:type="pct"/>
          </w:tcPr>
          <w:p w14:paraId="63BAE513" w14:textId="77777777" w:rsidR="001D66DB" w:rsidRPr="00804630" w:rsidRDefault="001D66DB" w:rsidP="00FB205F">
            <w:pPr>
              <w:spacing w:before="40"/>
            </w:pPr>
            <w:r w:rsidRPr="00804630">
              <w:t>User of MBS services</w:t>
            </w:r>
          </w:p>
        </w:tc>
      </w:tr>
      <w:tr w:rsidR="001D66DB" w:rsidRPr="00804630" w14:paraId="6B96AF0F" w14:textId="77777777" w:rsidTr="00FB205F">
        <w:trPr>
          <w:trHeight w:val="788"/>
        </w:trPr>
        <w:tc>
          <w:tcPr>
            <w:tcW w:w="1304" w:type="pct"/>
            <w:hideMark/>
          </w:tcPr>
          <w:p w14:paraId="68CCD98C" w14:textId="77777777" w:rsidR="001D66DB" w:rsidRPr="00804630" w:rsidRDefault="001D66DB" w:rsidP="00FB205F">
            <w:pPr>
              <w:spacing w:before="40"/>
            </w:pPr>
            <w:r w:rsidRPr="00804630">
              <w:t>Dr Richard Ussher</w:t>
            </w:r>
          </w:p>
        </w:tc>
        <w:tc>
          <w:tcPr>
            <w:tcW w:w="2206" w:type="pct"/>
          </w:tcPr>
          <w:p w14:paraId="15C2B22B" w14:textId="77777777" w:rsidR="001D66DB" w:rsidRPr="00804630" w:rsidRDefault="001D66DB" w:rsidP="00FB205F">
            <w:pPr>
              <w:spacing w:before="40"/>
            </w:pPr>
            <w:r w:rsidRPr="00804630">
              <w:t>Director of Training, Radiology, Ballarat Health Services</w:t>
            </w:r>
            <w:r>
              <w:t xml:space="preserve">; </w:t>
            </w:r>
            <w:r w:rsidRPr="00804630">
              <w:t xml:space="preserve">Director, Grampians </w:t>
            </w:r>
            <w:proofErr w:type="spellStart"/>
            <w:r w:rsidRPr="00804630">
              <w:t>BreastScreen</w:t>
            </w:r>
            <w:proofErr w:type="spellEnd"/>
          </w:p>
        </w:tc>
        <w:tc>
          <w:tcPr>
            <w:tcW w:w="1490" w:type="pct"/>
          </w:tcPr>
          <w:p w14:paraId="6939DB15" w14:textId="77777777" w:rsidR="001D66DB" w:rsidRPr="00804630" w:rsidRDefault="001D66DB" w:rsidP="00FB205F">
            <w:pPr>
              <w:spacing w:before="40"/>
            </w:pPr>
            <w:r w:rsidRPr="00804630">
              <w:t>User of MBS services</w:t>
            </w:r>
          </w:p>
        </w:tc>
      </w:tr>
      <w:tr w:rsidR="001D66DB" w:rsidRPr="00804630" w14:paraId="06254613" w14:textId="77777777" w:rsidTr="00FB205F">
        <w:trPr>
          <w:trHeight w:val="1359"/>
        </w:trPr>
        <w:tc>
          <w:tcPr>
            <w:tcW w:w="1304" w:type="pct"/>
            <w:hideMark/>
          </w:tcPr>
          <w:p w14:paraId="0EC6CB03" w14:textId="77777777" w:rsidR="001D66DB" w:rsidRPr="00804630" w:rsidRDefault="001D66DB" w:rsidP="00FB205F">
            <w:pPr>
              <w:spacing w:before="40"/>
            </w:pPr>
            <w:r w:rsidRPr="00804630">
              <w:t xml:space="preserve">Dr Walid </w:t>
            </w:r>
            <w:proofErr w:type="spellStart"/>
            <w:r w:rsidRPr="00804630">
              <w:t>Jammal</w:t>
            </w:r>
            <w:proofErr w:type="spellEnd"/>
          </w:p>
        </w:tc>
        <w:tc>
          <w:tcPr>
            <w:tcW w:w="2206" w:type="pct"/>
          </w:tcPr>
          <w:p w14:paraId="7B66EF9A" w14:textId="77777777" w:rsidR="001D66DB" w:rsidRPr="00804630" w:rsidRDefault="001D66DB" w:rsidP="00FB205F">
            <w:pPr>
              <w:spacing w:before="40"/>
            </w:pPr>
            <w:r w:rsidRPr="00804630">
              <w:t>Clinical Lecturer, Faculty of Medicine, University of Sydney</w:t>
            </w:r>
            <w:r>
              <w:t xml:space="preserve">; </w:t>
            </w:r>
            <w:r w:rsidRPr="00804630">
              <w:t>Conjoint Senior Lecturer, School of Medicine, University of Western Sydney</w:t>
            </w:r>
            <w:r>
              <w:t xml:space="preserve">; </w:t>
            </w:r>
            <w:r w:rsidRPr="00804630">
              <w:t>Private practice</w:t>
            </w:r>
          </w:p>
        </w:tc>
        <w:tc>
          <w:tcPr>
            <w:tcW w:w="1490" w:type="pct"/>
          </w:tcPr>
          <w:p w14:paraId="3702EC05" w14:textId="77777777" w:rsidR="001D66DB" w:rsidRPr="00804630" w:rsidRDefault="001D66DB" w:rsidP="00FB205F">
            <w:pPr>
              <w:spacing w:before="40"/>
            </w:pPr>
            <w:r w:rsidRPr="00804630">
              <w:t>User of MBS services</w:t>
            </w:r>
          </w:p>
        </w:tc>
      </w:tr>
      <w:tr w:rsidR="001D66DB" w:rsidRPr="00804630" w14:paraId="1096D81B" w14:textId="77777777" w:rsidTr="00FB205F">
        <w:trPr>
          <w:trHeight w:val="1890"/>
        </w:trPr>
        <w:tc>
          <w:tcPr>
            <w:tcW w:w="1304" w:type="pct"/>
            <w:hideMark/>
          </w:tcPr>
          <w:p w14:paraId="5EFDFA9A" w14:textId="77777777" w:rsidR="001D66DB" w:rsidRPr="00804630" w:rsidRDefault="001D66DB" w:rsidP="00FB205F">
            <w:pPr>
              <w:spacing w:before="40"/>
            </w:pPr>
            <w:r w:rsidRPr="00804630">
              <w:lastRenderedPageBreak/>
              <w:t xml:space="preserve">Associate Professor Rachael </w:t>
            </w:r>
            <w:proofErr w:type="spellStart"/>
            <w:r w:rsidRPr="00804630">
              <w:t>Moorin</w:t>
            </w:r>
            <w:proofErr w:type="spellEnd"/>
          </w:p>
        </w:tc>
        <w:tc>
          <w:tcPr>
            <w:tcW w:w="2206" w:type="pct"/>
          </w:tcPr>
          <w:p w14:paraId="5083CC85" w14:textId="77777777" w:rsidR="001D66DB" w:rsidRPr="00804630" w:rsidRDefault="001D66DB" w:rsidP="00FB205F">
            <w:pPr>
              <w:spacing w:before="40"/>
            </w:pPr>
            <w:r w:rsidRPr="00804630">
              <w:t>Associate Professor, Health Policy &amp; Management, School of Public Health, Curtin University</w:t>
            </w:r>
            <w:r>
              <w:t xml:space="preserve">; </w:t>
            </w:r>
            <w:r w:rsidRPr="00804630">
              <w:t>Principal Researcher, Health Centre of Excellence, Silver Chain Group</w:t>
            </w:r>
            <w:r>
              <w:t xml:space="preserve">; </w:t>
            </w:r>
            <w:r w:rsidRPr="00804630">
              <w:t>Adjunct Associate Professor, University of Western Australia</w:t>
            </w:r>
          </w:p>
        </w:tc>
        <w:tc>
          <w:tcPr>
            <w:tcW w:w="1490" w:type="pct"/>
          </w:tcPr>
          <w:p w14:paraId="6B49FDB4" w14:textId="77777777" w:rsidR="001D66DB" w:rsidRPr="00804630" w:rsidRDefault="001D66DB" w:rsidP="00FB205F">
            <w:pPr>
              <w:spacing w:before="40"/>
            </w:pPr>
            <w:r w:rsidRPr="00804630">
              <w:t>Nil</w:t>
            </w:r>
          </w:p>
        </w:tc>
      </w:tr>
      <w:tr w:rsidR="001D66DB" w:rsidRPr="00804630" w14:paraId="2304FD69" w14:textId="77777777" w:rsidTr="00FB205F">
        <w:trPr>
          <w:trHeight w:val="315"/>
        </w:trPr>
        <w:tc>
          <w:tcPr>
            <w:tcW w:w="1304" w:type="pct"/>
            <w:hideMark/>
          </w:tcPr>
          <w:p w14:paraId="05ED4513" w14:textId="77777777" w:rsidR="001D66DB" w:rsidRPr="00804630" w:rsidRDefault="001D66DB" w:rsidP="00FB205F">
            <w:pPr>
              <w:spacing w:before="40"/>
            </w:pPr>
            <w:r w:rsidRPr="00804630">
              <w:t>Dr David Brazier</w:t>
            </w:r>
          </w:p>
        </w:tc>
        <w:tc>
          <w:tcPr>
            <w:tcW w:w="2206" w:type="pct"/>
          </w:tcPr>
          <w:p w14:paraId="7A7FA564" w14:textId="77777777" w:rsidR="001D66DB" w:rsidRPr="00804630" w:rsidRDefault="001D66DB" w:rsidP="00FB205F">
            <w:pPr>
              <w:spacing w:before="40"/>
            </w:pPr>
            <w:r w:rsidRPr="00804630">
              <w:t>Radiologist, Royal North Shore Hospital</w:t>
            </w:r>
          </w:p>
        </w:tc>
        <w:tc>
          <w:tcPr>
            <w:tcW w:w="1490" w:type="pct"/>
          </w:tcPr>
          <w:p w14:paraId="0DF8F613" w14:textId="77777777" w:rsidR="001D66DB" w:rsidRPr="00804630" w:rsidRDefault="001D66DB" w:rsidP="00FB205F">
            <w:pPr>
              <w:spacing w:before="40"/>
            </w:pPr>
            <w:r w:rsidRPr="00804630">
              <w:t>User of MBS services</w:t>
            </w:r>
          </w:p>
        </w:tc>
      </w:tr>
      <w:tr w:rsidR="001D66DB" w:rsidRPr="00804630" w14:paraId="59DA5E9D" w14:textId="77777777" w:rsidTr="00FB205F">
        <w:trPr>
          <w:trHeight w:val="630"/>
        </w:trPr>
        <w:tc>
          <w:tcPr>
            <w:tcW w:w="1304" w:type="pct"/>
            <w:hideMark/>
          </w:tcPr>
          <w:p w14:paraId="117A7C11" w14:textId="77777777" w:rsidR="001D66DB" w:rsidRPr="00804630" w:rsidRDefault="001D66DB" w:rsidP="00FB205F">
            <w:pPr>
              <w:spacing w:before="40"/>
            </w:pPr>
            <w:r w:rsidRPr="00804630">
              <w:t>Dr Phil Hayward</w:t>
            </w:r>
          </w:p>
        </w:tc>
        <w:tc>
          <w:tcPr>
            <w:tcW w:w="2206" w:type="pct"/>
          </w:tcPr>
          <w:p w14:paraId="22F64044" w14:textId="77777777" w:rsidR="001D66DB" w:rsidRPr="00804630" w:rsidRDefault="001D66DB" w:rsidP="00FB205F">
            <w:pPr>
              <w:spacing w:before="40"/>
            </w:pPr>
            <w:r w:rsidRPr="00804630">
              <w:t>Research Fellow, Centre for Health Economics Research and Evaluation</w:t>
            </w:r>
          </w:p>
        </w:tc>
        <w:tc>
          <w:tcPr>
            <w:tcW w:w="1490" w:type="pct"/>
          </w:tcPr>
          <w:p w14:paraId="5C0C2AFF" w14:textId="77777777" w:rsidR="001D66DB" w:rsidRPr="00804630" w:rsidRDefault="001D66DB" w:rsidP="00FB205F">
            <w:pPr>
              <w:spacing w:before="40"/>
            </w:pPr>
            <w:r w:rsidRPr="00804630">
              <w:t>Nil</w:t>
            </w:r>
          </w:p>
        </w:tc>
      </w:tr>
      <w:tr w:rsidR="001D66DB" w:rsidRPr="00804630" w14:paraId="00C90415" w14:textId="77777777" w:rsidTr="00FB205F">
        <w:trPr>
          <w:trHeight w:val="1125"/>
        </w:trPr>
        <w:tc>
          <w:tcPr>
            <w:tcW w:w="1304" w:type="pct"/>
            <w:hideMark/>
          </w:tcPr>
          <w:p w14:paraId="296C8F0B" w14:textId="77777777" w:rsidR="001D66DB" w:rsidRPr="00804630" w:rsidRDefault="001D66DB" w:rsidP="00FB205F">
            <w:pPr>
              <w:spacing w:before="40"/>
            </w:pPr>
            <w:r w:rsidRPr="00804630">
              <w:t xml:space="preserve">Professor Jenny </w:t>
            </w:r>
            <w:proofErr w:type="spellStart"/>
            <w:r w:rsidRPr="00804630">
              <w:t>Doust</w:t>
            </w:r>
            <w:proofErr w:type="spellEnd"/>
          </w:p>
        </w:tc>
        <w:tc>
          <w:tcPr>
            <w:tcW w:w="2206" w:type="pct"/>
          </w:tcPr>
          <w:p w14:paraId="44B862F3" w14:textId="77777777" w:rsidR="001D66DB" w:rsidRPr="00804630" w:rsidRDefault="001D66DB" w:rsidP="00FB205F">
            <w:pPr>
              <w:spacing w:before="40"/>
            </w:pPr>
            <w:r w:rsidRPr="00804630">
              <w:t>Professor of Clinical Epidemiology, Centre for Research in Evidence Based Practice, Bond University</w:t>
            </w:r>
            <w:r>
              <w:t xml:space="preserve">; </w:t>
            </w:r>
            <w:r w:rsidRPr="00804630">
              <w:t>General Practitioner</w:t>
            </w:r>
          </w:p>
        </w:tc>
        <w:tc>
          <w:tcPr>
            <w:tcW w:w="1490" w:type="pct"/>
          </w:tcPr>
          <w:p w14:paraId="70B8E8D4" w14:textId="77777777" w:rsidR="001D66DB" w:rsidRPr="00804630" w:rsidRDefault="001D66DB" w:rsidP="00FB205F">
            <w:pPr>
              <w:spacing w:before="40"/>
            </w:pPr>
            <w:r w:rsidRPr="00804630">
              <w:t>User of MBS services</w:t>
            </w:r>
          </w:p>
        </w:tc>
      </w:tr>
      <w:tr w:rsidR="001D66DB" w:rsidRPr="00804630" w14:paraId="08271AD2" w14:textId="77777777" w:rsidTr="00FB205F">
        <w:trPr>
          <w:trHeight w:val="630"/>
        </w:trPr>
        <w:tc>
          <w:tcPr>
            <w:tcW w:w="1304" w:type="pct"/>
            <w:hideMark/>
          </w:tcPr>
          <w:p w14:paraId="3AAE3EDE" w14:textId="77777777" w:rsidR="001D66DB" w:rsidRPr="00804630" w:rsidRDefault="001D66DB" w:rsidP="00FB205F">
            <w:pPr>
              <w:spacing w:before="40"/>
            </w:pPr>
            <w:r w:rsidRPr="00804630">
              <w:t>Ms Geraldine Robertson</w:t>
            </w:r>
          </w:p>
        </w:tc>
        <w:tc>
          <w:tcPr>
            <w:tcW w:w="2206" w:type="pct"/>
          </w:tcPr>
          <w:p w14:paraId="49AEAF0E" w14:textId="161833C4" w:rsidR="001D66DB" w:rsidRPr="00804630" w:rsidRDefault="00A532F3" w:rsidP="00FB205F">
            <w:pPr>
              <w:spacing w:before="40"/>
            </w:pPr>
            <w:r w:rsidRPr="00A532F3">
              <w:t>MBS Review Representative Consumer</w:t>
            </w:r>
            <w:r w:rsidR="001D66DB" w:rsidRPr="00804630">
              <w:t>, Consumers Health Forum &amp; Breast Cancer Network Australia</w:t>
            </w:r>
          </w:p>
        </w:tc>
        <w:tc>
          <w:tcPr>
            <w:tcW w:w="1490" w:type="pct"/>
          </w:tcPr>
          <w:p w14:paraId="4D7E7A50" w14:textId="77777777" w:rsidR="001D66DB" w:rsidRPr="00804630" w:rsidRDefault="001D66DB" w:rsidP="00FB205F">
            <w:pPr>
              <w:spacing w:before="40"/>
            </w:pPr>
            <w:r w:rsidRPr="00804630">
              <w:t>Nil</w:t>
            </w:r>
          </w:p>
        </w:tc>
      </w:tr>
      <w:tr w:rsidR="001D66DB" w:rsidRPr="00804630" w14:paraId="64037AEA" w14:textId="77777777" w:rsidTr="00FB205F">
        <w:trPr>
          <w:trHeight w:val="300"/>
        </w:trPr>
        <w:tc>
          <w:tcPr>
            <w:tcW w:w="1304" w:type="pct"/>
            <w:hideMark/>
          </w:tcPr>
          <w:p w14:paraId="5F3C8FE7" w14:textId="77777777" w:rsidR="001D66DB" w:rsidRPr="00804630" w:rsidRDefault="001D66DB" w:rsidP="00FB205F">
            <w:pPr>
              <w:spacing w:before="40"/>
            </w:pPr>
            <w:r w:rsidRPr="00804630">
              <w:t>Dr Bastian Seidel</w:t>
            </w:r>
          </w:p>
        </w:tc>
        <w:tc>
          <w:tcPr>
            <w:tcW w:w="2206" w:type="pct"/>
          </w:tcPr>
          <w:p w14:paraId="316971CD" w14:textId="77777777" w:rsidR="001D66DB" w:rsidRPr="00804630" w:rsidRDefault="001D66DB" w:rsidP="00FB205F">
            <w:pPr>
              <w:spacing w:before="40"/>
            </w:pPr>
            <w:r w:rsidRPr="00804630">
              <w:t>Director, Huon Valley Health Centre</w:t>
            </w:r>
            <w:r>
              <w:t xml:space="preserve">; </w:t>
            </w:r>
            <w:r w:rsidRPr="00804630">
              <w:t>Clinical Professor, Faculty of Health, University of Tasmania</w:t>
            </w:r>
            <w:r>
              <w:t xml:space="preserve">; </w:t>
            </w:r>
            <w:r w:rsidRPr="00804630">
              <w:t>Chair, Tasmanian Faculty, The Royal Australian College of General Practitioners</w:t>
            </w:r>
            <w:r>
              <w:t xml:space="preserve">; </w:t>
            </w:r>
            <w:r w:rsidRPr="00804630">
              <w:t>General Practitioner, Private practice</w:t>
            </w:r>
          </w:p>
        </w:tc>
        <w:tc>
          <w:tcPr>
            <w:tcW w:w="1490" w:type="pct"/>
          </w:tcPr>
          <w:p w14:paraId="353F99FE" w14:textId="77777777" w:rsidR="001D66DB" w:rsidRPr="00804630" w:rsidRDefault="001D66DB" w:rsidP="00FB205F">
            <w:pPr>
              <w:spacing w:before="40"/>
            </w:pPr>
            <w:r w:rsidRPr="00804630">
              <w:t>User of MBS services</w:t>
            </w:r>
          </w:p>
        </w:tc>
      </w:tr>
      <w:tr w:rsidR="001D66DB" w:rsidRPr="00804630" w14:paraId="66478394" w14:textId="77777777" w:rsidTr="00FB205F">
        <w:trPr>
          <w:trHeight w:val="315"/>
        </w:trPr>
        <w:tc>
          <w:tcPr>
            <w:tcW w:w="1304" w:type="pct"/>
            <w:hideMark/>
          </w:tcPr>
          <w:p w14:paraId="748F5472" w14:textId="77777777" w:rsidR="001D66DB" w:rsidRPr="00804630" w:rsidRDefault="001D66DB" w:rsidP="00FB205F">
            <w:pPr>
              <w:spacing w:before="40"/>
            </w:pPr>
            <w:r w:rsidRPr="00804630">
              <w:t>Dr Matthew Andrews</w:t>
            </w:r>
          </w:p>
        </w:tc>
        <w:tc>
          <w:tcPr>
            <w:tcW w:w="2206" w:type="pct"/>
          </w:tcPr>
          <w:p w14:paraId="39A799C4" w14:textId="77777777" w:rsidR="001D66DB" w:rsidRPr="00804630" w:rsidRDefault="001D66DB" w:rsidP="00FB205F">
            <w:pPr>
              <w:spacing w:before="40"/>
            </w:pPr>
            <w:r w:rsidRPr="00804630">
              <w:t>MBS Review Taskforce (Ex-Officio)</w:t>
            </w:r>
          </w:p>
        </w:tc>
        <w:tc>
          <w:tcPr>
            <w:tcW w:w="1490" w:type="pct"/>
          </w:tcPr>
          <w:p w14:paraId="6DC2D3E2" w14:textId="77777777" w:rsidR="001D66DB" w:rsidRPr="00804630" w:rsidRDefault="001D66DB" w:rsidP="00FB205F">
            <w:pPr>
              <w:spacing w:before="40"/>
            </w:pPr>
            <w:r w:rsidRPr="00804630">
              <w:t>User of MBS services</w:t>
            </w:r>
          </w:p>
        </w:tc>
      </w:tr>
    </w:tbl>
    <w:p w14:paraId="00F1C16C" w14:textId="206CEAAB" w:rsidR="004D72E6" w:rsidRPr="008A64E5" w:rsidRDefault="001D66DB" w:rsidP="008A64E5">
      <w:pPr>
        <w:pStyle w:val="Heading2"/>
      </w:pPr>
      <w:bookmarkStart w:id="23" w:name="_Toc468787463"/>
      <w:r w:rsidRPr="001D66DB">
        <w:rPr>
          <w:lang w:val="en-AU"/>
        </w:rPr>
        <w:t xml:space="preserve">Pulmonary Embolism and Deep Vein Thrombosis Working Group </w:t>
      </w:r>
      <w:r w:rsidR="004D72E6">
        <w:t>m</w:t>
      </w:r>
      <w:r w:rsidR="004D72E6" w:rsidRPr="009200D8">
        <w:t>embers</w:t>
      </w:r>
      <w:bookmarkEnd w:id="23"/>
    </w:p>
    <w:p w14:paraId="1AD25713" w14:textId="643A65BB" w:rsidR="008A64E5" w:rsidRPr="008A64E5" w:rsidRDefault="008A64E5" w:rsidP="008A64E5">
      <w:pPr>
        <w:pStyle w:val="Caption"/>
        <w:rPr>
          <w:b/>
        </w:rPr>
      </w:pPr>
      <w:bookmarkStart w:id="24" w:name="_Toc468787423"/>
      <w:r w:rsidRPr="008A64E5">
        <w:rPr>
          <w:b/>
        </w:rPr>
        <w:t xml:space="preserve">Table </w:t>
      </w:r>
      <w:r w:rsidRPr="008A64E5">
        <w:rPr>
          <w:b/>
        </w:rPr>
        <w:fldChar w:fldCharType="begin"/>
      </w:r>
      <w:r w:rsidRPr="008A64E5">
        <w:rPr>
          <w:b/>
        </w:rPr>
        <w:instrText xml:space="preserve"> SEQ Table \* ARABIC </w:instrText>
      </w:r>
      <w:r w:rsidRPr="008A64E5">
        <w:rPr>
          <w:b/>
        </w:rPr>
        <w:fldChar w:fldCharType="separate"/>
      </w:r>
      <w:r w:rsidR="009771DA">
        <w:rPr>
          <w:b/>
          <w:noProof/>
        </w:rPr>
        <w:t>2</w:t>
      </w:r>
      <w:r w:rsidRPr="008A64E5">
        <w:rPr>
          <w:b/>
        </w:rPr>
        <w:fldChar w:fldCharType="end"/>
      </w:r>
      <w:r w:rsidRPr="008A64E5">
        <w:rPr>
          <w:b/>
        </w:rPr>
        <w:t>: Pulmonary Embolism and Deep Vein Thrombosis Working Group Members</w:t>
      </w:r>
      <w:bookmarkEnd w:id="24"/>
    </w:p>
    <w:tbl>
      <w:tblPr>
        <w:tblStyle w:val="TableGrid"/>
        <w:tblW w:w="5000"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2 lists the members of the pulmonary embolism and deep vein thrombosis working group, their positions and any declared conflicts of interest.This table contains three columns for name, position/organisation and their declared conflict of interest."/>
      </w:tblPr>
      <w:tblGrid>
        <w:gridCol w:w="2354"/>
        <w:gridCol w:w="3982"/>
        <w:gridCol w:w="2690"/>
      </w:tblGrid>
      <w:tr w:rsidR="004D72E6" w:rsidRPr="00F648DD" w14:paraId="5FD72D77" w14:textId="77777777" w:rsidTr="0006464C">
        <w:trPr>
          <w:tblHeader/>
        </w:trPr>
        <w:tc>
          <w:tcPr>
            <w:tcW w:w="1304" w:type="pct"/>
            <w:shd w:val="clear" w:color="auto" w:fill="auto"/>
          </w:tcPr>
          <w:p w14:paraId="5595EAA7" w14:textId="77777777" w:rsidR="004D72E6" w:rsidRPr="00F648DD" w:rsidRDefault="004D72E6" w:rsidP="00F648DD">
            <w:pPr>
              <w:rPr>
                <w:b/>
              </w:rPr>
            </w:pPr>
            <w:r w:rsidRPr="00F648DD">
              <w:rPr>
                <w:b/>
              </w:rPr>
              <w:t>Name</w:t>
            </w:r>
          </w:p>
        </w:tc>
        <w:tc>
          <w:tcPr>
            <w:tcW w:w="2206" w:type="pct"/>
            <w:shd w:val="clear" w:color="auto" w:fill="auto"/>
          </w:tcPr>
          <w:p w14:paraId="7357FF21" w14:textId="77777777" w:rsidR="004D72E6" w:rsidRPr="00F648DD" w:rsidRDefault="004D72E6" w:rsidP="00F648DD">
            <w:pPr>
              <w:rPr>
                <w:b/>
              </w:rPr>
            </w:pPr>
            <w:r w:rsidRPr="00F648DD">
              <w:rPr>
                <w:b/>
              </w:rPr>
              <w:t>Position/Organisation</w:t>
            </w:r>
          </w:p>
        </w:tc>
        <w:tc>
          <w:tcPr>
            <w:tcW w:w="1490" w:type="pct"/>
            <w:shd w:val="clear" w:color="auto" w:fill="auto"/>
          </w:tcPr>
          <w:p w14:paraId="11E380F7" w14:textId="77777777" w:rsidR="004D72E6" w:rsidRPr="00F648DD" w:rsidRDefault="004D72E6" w:rsidP="00F648DD">
            <w:pPr>
              <w:rPr>
                <w:b/>
              </w:rPr>
            </w:pPr>
            <w:r w:rsidRPr="00F648DD">
              <w:rPr>
                <w:b/>
              </w:rPr>
              <w:t>Declared conflict of interest</w:t>
            </w:r>
          </w:p>
        </w:tc>
      </w:tr>
      <w:tr w:rsidR="00A74C6B" w:rsidRPr="00DA7BF2" w14:paraId="5B3D033B" w14:textId="77777777" w:rsidTr="0006464C">
        <w:tc>
          <w:tcPr>
            <w:tcW w:w="1304" w:type="pct"/>
          </w:tcPr>
          <w:p w14:paraId="5CF80EBD" w14:textId="66745C20" w:rsidR="00A74C6B" w:rsidRPr="00A74C6B" w:rsidRDefault="001D66DB" w:rsidP="006A286B">
            <w:pPr>
              <w:autoSpaceDE w:val="0"/>
              <w:autoSpaceDN w:val="0"/>
              <w:adjustRightInd w:val="0"/>
              <w:spacing w:before="60" w:line="276" w:lineRule="auto"/>
              <w:rPr>
                <w:color w:val="000000"/>
              </w:rPr>
            </w:pPr>
            <w:r w:rsidRPr="001D66DB">
              <w:rPr>
                <w:color w:val="000000"/>
              </w:rPr>
              <w:t>Professor Alexander Pitman (Chair)</w:t>
            </w:r>
          </w:p>
        </w:tc>
        <w:tc>
          <w:tcPr>
            <w:tcW w:w="2206" w:type="pct"/>
          </w:tcPr>
          <w:p w14:paraId="400AEC2E" w14:textId="77777777" w:rsidR="001D66DB" w:rsidRPr="001D66DB" w:rsidRDefault="001D66DB" w:rsidP="001D66DB">
            <w:pPr>
              <w:autoSpaceDE w:val="0"/>
              <w:autoSpaceDN w:val="0"/>
              <w:adjustRightInd w:val="0"/>
              <w:spacing w:before="60" w:line="276" w:lineRule="auto"/>
              <w:rPr>
                <w:color w:val="000000"/>
              </w:rPr>
            </w:pPr>
            <w:r w:rsidRPr="001D66DB">
              <w:rPr>
                <w:color w:val="000000"/>
              </w:rPr>
              <w:t>Director of Nuclear Medicine and PET, Lake Imaging</w:t>
            </w:r>
          </w:p>
          <w:p w14:paraId="2870FD47" w14:textId="7E137B25" w:rsidR="00A74C6B" w:rsidRPr="00A74C6B" w:rsidRDefault="001D66DB" w:rsidP="001D66DB">
            <w:pPr>
              <w:autoSpaceDE w:val="0"/>
              <w:autoSpaceDN w:val="0"/>
              <w:adjustRightInd w:val="0"/>
              <w:spacing w:before="60" w:line="276" w:lineRule="auto"/>
              <w:rPr>
                <w:color w:val="000000"/>
              </w:rPr>
            </w:pPr>
            <w:r w:rsidRPr="001D66DB">
              <w:rPr>
                <w:color w:val="000000"/>
              </w:rPr>
              <w:t>Professor, Medical Imaging, University of Notre Dame; Professor, Rural Clinical School and Department of Anatomy, the University of Melbourne</w:t>
            </w:r>
          </w:p>
        </w:tc>
        <w:tc>
          <w:tcPr>
            <w:tcW w:w="1490" w:type="pct"/>
          </w:tcPr>
          <w:p w14:paraId="0FBB9FF1" w14:textId="63441D8F" w:rsidR="001D66DB" w:rsidRPr="001D66DB" w:rsidRDefault="001D66DB" w:rsidP="001D66DB">
            <w:pPr>
              <w:spacing w:before="60"/>
              <w:rPr>
                <w:color w:val="000000"/>
                <w:lang w:val="en-GB"/>
              </w:rPr>
            </w:pPr>
            <w:r w:rsidRPr="001D66DB">
              <w:rPr>
                <w:color w:val="000000"/>
                <w:lang w:val="en-GB"/>
              </w:rPr>
              <w:t>None to declare</w:t>
            </w:r>
          </w:p>
          <w:p w14:paraId="11B15600" w14:textId="2BF38BF0" w:rsidR="00A74C6B" w:rsidRPr="00A74C6B" w:rsidRDefault="001D66DB" w:rsidP="001D66DB">
            <w:pPr>
              <w:spacing w:before="60"/>
              <w:rPr>
                <w:color w:val="000000"/>
              </w:rPr>
            </w:pPr>
            <w:r w:rsidRPr="001D66DB">
              <w:rPr>
                <w:color w:val="000000"/>
                <w:lang w:val="en-GB"/>
              </w:rPr>
              <w:t>(Employed as a radiologist and nuclear medicine specialist, and reports CTPA, VQ and DVT US studies as a fractional part of generalist clinical work)</w:t>
            </w:r>
          </w:p>
        </w:tc>
      </w:tr>
      <w:tr w:rsidR="00A74C6B" w:rsidRPr="00DA7BF2" w14:paraId="3791A1C4" w14:textId="77777777" w:rsidTr="0006464C">
        <w:tc>
          <w:tcPr>
            <w:tcW w:w="1304" w:type="pct"/>
          </w:tcPr>
          <w:p w14:paraId="4EB1E857" w14:textId="22AB22F1" w:rsidR="00A74C6B" w:rsidRPr="00A74C6B" w:rsidRDefault="001D66DB" w:rsidP="00A74C6B">
            <w:pPr>
              <w:autoSpaceDE w:val="0"/>
              <w:autoSpaceDN w:val="0"/>
              <w:adjustRightInd w:val="0"/>
              <w:spacing w:before="60" w:line="276" w:lineRule="auto"/>
              <w:rPr>
                <w:color w:val="000000"/>
              </w:rPr>
            </w:pPr>
            <w:r w:rsidRPr="001D66DB">
              <w:rPr>
                <w:color w:val="000000"/>
              </w:rPr>
              <w:t xml:space="preserve">Dr Walid </w:t>
            </w:r>
            <w:proofErr w:type="spellStart"/>
            <w:r w:rsidRPr="001D66DB">
              <w:rPr>
                <w:color w:val="000000"/>
              </w:rPr>
              <w:t>Jammal</w:t>
            </w:r>
            <w:proofErr w:type="spellEnd"/>
          </w:p>
        </w:tc>
        <w:tc>
          <w:tcPr>
            <w:tcW w:w="2206" w:type="pct"/>
          </w:tcPr>
          <w:p w14:paraId="05DAB9AE" w14:textId="77777777" w:rsidR="001D66DB" w:rsidRPr="001D66DB" w:rsidRDefault="001D66DB" w:rsidP="001D66DB">
            <w:pPr>
              <w:autoSpaceDE w:val="0"/>
              <w:autoSpaceDN w:val="0"/>
              <w:adjustRightInd w:val="0"/>
              <w:spacing w:before="60" w:line="276" w:lineRule="auto"/>
              <w:rPr>
                <w:color w:val="000000"/>
              </w:rPr>
            </w:pPr>
            <w:r w:rsidRPr="001D66DB">
              <w:rPr>
                <w:color w:val="000000"/>
              </w:rPr>
              <w:t>Clinical Lecturer, Faculty of Medicine, University of Sydney</w:t>
            </w:r>
          </w:p>
          <w:p w14:paraId="331206ED" w14:textId="77777777" w:rsidR="001D66DB" w:rsidRPr="001D66DB" w:rsidRDefault="001D66DB" w:rsidP="001D66DB">
            <w:pPr>
              <w:autoSpaceDE w:val="0"/>
              <w:autoSpaceDN w:val="0"/>
              <w:adjustRightInd w:val="0"/>
              <w:spacing w:before="60" w:line="276" w:lineRule="auto"/>
              <w:rPr>
                <w:color w:val="000000"/>
              </w:rPr>
            </w:pPr>
            <w:r w:rsidRPr="001D66DB">
              <w:rPr>
                <w:color w:val="000000"/>
              </w:rPr>
              <w:lastRenderedPageBreak/>
              <w:t>Conjoint Senior Lecturer, School of Medicine, University of Western Sydney</w:t>
            </w:r>
          </w:p>
          <w:p w14:paraId="2164EBC1" w14:textId="65AC4A9A" w:rsidR="00A74C6B" w:rsidRPr="00A74C6B" w:rsidRDefault="001D66DB" w:rsidP="00A74C6B">
            <w:pPr>
              <w:autoSpaceDE w:val="0"/>
              <w:autoSpaceDN w:val="0"/>
              <w:adjustRightInd w:val="0"/>
              <w:spacing w:before="60" w:line="276" w:lineRule="auto"/>
              <w:rPr>
                <w:color w:val="000000"/>
              </w:rPr>
            </w:pPr>
            <w:r w:rsidRPr="001D66DB">
              <w:rPr>
                <w:color w:val="000000"/>
              </w:rPr>
              <w:t>Private practice</w:t>
            </w:r>
          </w:p>
        </w:tc>
        <w:tc>
          <w:tcPr>
            <w:tcW w:w="1490" w:type="pct"/>
          </w:tcPr>
          <w:p w14:paraId="37B50BC7" w14:textId="0734B72E" w:rsidR="00A74C6B" w:rsidRPr="00A74C6B" w:rsidRDefault="001D66DB" w:rsidP="00A74C6B">
            <w:pPr>
              <w:autoSpaceDE w:val="0"/>
              <w:autoSpaceDN w:val="0"/>
              <w:adjustRightInd w:val="0"/>
              <w:spacing w:before="60" w:line="276" w:lineRule="auto"/>
              <w:rPr>
                <w:color w:val="000000"/>
              </w:rPr>
            </w:pPr>
            <w:r w:rsidRPr="001D66DB">
              <w:rPr>
                <w:rFonts w:cs="Arial"/>
                <w:szCs w:val="20"/>
                <w:lang w:val="en-GB"/>
              </w:rPr>
              <w:lastRenderedPageBreak/>
              <w:t>Uses the MBS items under review</w:t>
            </w:r>
          </w:p>
        </w:tc>
      </w:tr>
      <w:tr w:rsidR="001D66DB" w:rsidRPr="00DA7BF2" w14:paraId="5F13038E" w14:textId="77777777" w:rsidTr="00A74C6B">
        <w:trPr>
          <w:trHeight w:val="1695"/>
        </w:trPr>
        <w:tc>
          <w:tcPr>
            <w:tcW w:w="1304" w:type="pct"/>
          </w:tcPr>
          <w:p w14:paraId="68F7B930" w14:textId="7BED175C" w:rsidR="001D66DB" w:rsidRPr="00A74C6B" w:rsidRDefault="001D66DB" w:rsidP="00A74C6B">
            <w:pPr>
              <w:autoSpaceDE w:val="0"/>
              <w:autoSpaceDN w:val="0"/>
              <w:adjustRightInd w:val="0"/>
              <w:spacing w:before="60" w:line="276" w:lineRule="auto"/>
              <w:rPr>
                <w:color w:val="000000"/>
              </w:rPr>
            </w:pPr>
            <w:r w:rsidRPr="001D66DB">
              <w:rPr>
                <w:color w:val="000000"/>
              </w:rPr>
              <w:t xml:space="preserve">A/Professor </w:t>
            </w:r>
            <w:r w:rsidRPr="001D66DB">
              <w:rPr>
                <w:color w:val="000000"/>
              </w:rPr>
              <w:br/>
              <w:t xml:space="preserve">Taryn </w:t>
            </w:r>
            <w:proofErr w:type="spellStart"/>
            <w:r w:rsidRPr="001D66DB">
              <w:rPr>
                <w:color w:val="000000"/>
              </w:rPr>
              <w:t>Bessen</w:t>
            </w:r>
            <w:proofErr w:type="spellEnd"/>
          </w:p>
        </w:tc>
        <w:tc>
          <w:tcPr>
            <w:tcW w:w="2206" w:type="pct"/>
          </w:tcPr>
          <w:p w14:paraId="79EC1C8F" w14:textId="77777777" w:rsidR="001D66DB" w:rsidRPr="001D66DB" w:rsidRDefault="001D66DB" w:rsidP="001D66DB">
            <w:pPr>
              <w:autoSpaceDE w:val="0"/>
              <w:autoSpaceDN w:val="0"/>
              <w:adjustRightInd w:val="0"/>
              <w:spacing w:before="60" w:line="276" w:lineRule="auto"/>
              <w:rPr>
                <w:color w:val="000000"/>
              </w:rPr>
            </w:pPr>
            <w:r w:rsidRPr="001D66DB">
              <w:rPr>
                <w:color w:val="000000"/>
              </w:rPr>
              <w:t>Consultant Radiologist, Royal Adelaide Hospital, SA</w:t>
            </w:r>
          </w:p>
          <w:p w14:paraId="7210889E" w14:textId="77777777" w:rsidR="001D66DB" w:rsidRPr="001D66DB" w:rsidRDefault="001D66DB" w:rsidP="001D66DB">
            <w:pPr>
              <w:autoSpaceDE w:val="0"/>
              <w:autoSpaceDN w:val="0"/>
              <w:adjustRightInd w:val="0"/>
              <w:spacing w:before="60" w:line="276" w:lineRule="auto"/>
              <w:rPr>
                <w:color w:val="000000"/>
              </w:rPr>
            </w:pPr>
            <w:r w:rsidRPr="001D66DB">
              <w:rPr>
                <w:color w:val="000000"/>
              </w:rPr>
              <w:t>Head, Quality and Safety, SA Medical Imaging</w:t>
            </w:r>
          </w:p>
          <w:p w14:paraId="02D28A56" w14:textId="7F55FA2C" w:rsidR="001D66DB" w:rsidRPr="00A74C6B" w:rsidRDefault="001D66DB" w:rsidP="001D66DB">
            <w:pPr>
              <w:autoSpaceDE w:val="0"/>
              <w:autoSpaceDN w:val="0"/>
              <w:adjustRightInd w:val="0"/>
              <w:spacing w:before="60" w:line="276" w:lineRule="auto"/>
              <w:rPr>
                <w:color w:val="000000"/>
              </w:rPr>
            </w:pPr>
            <w:r w:rsidRPr="001D66DB">
              <w:rPr>
                <w:color w:val="000000"/>
              </w:rPr>
              <w:t>Associate Professor, Faculty of Health Sciences, University of Adelaide</w:t>
            </w:r>
          </w:p>
        </w:tc>
        <w:tc>
          <w:tcPr>
            <w:tcW w:w="1490" w:type="pct"/>
          </w:tcPr>
          <w:p w14:paraId="6211C72D" w14:textId="1B4FAAA8" w:rsidR="001D66DB" w:rsidRPr="00A74C6B" w:rsidRDefault="001D66DB" w:rsidP="00A74C6B">
            <w:pPr>
              <w:autoSpaceDE w:val="0"/>
              <w:autoSpaceDN w:val="0"/>
              <w:adjustRightInd w:val="0"/>
              <w:spacing w:before="60" w:line="276" w:lineRule="auto"/>
              <w:rPr>
                <w:color w:val="000000"/>
              </w:rPr>
            </w:pPr>
            <w:r w:rsidRPr="001D66DB">
              <w:rPr>
                <w:rFonts w:cs="Arial"/>
                <w:szCs w:val="20"/>
                <w:lang w:val="en-GB"/>
              </w:rPr>
              <w:t>Uses the MBS items under review</w:t>
            </w:r>
          </w:p>
        </w:tc>
      </w:tr>
      <w:tr w:rsidR="001D66DB" w:rsidRPr="00DA7BF2" w14:paraId="7A17B69D" w14:textId="77777777" w:rsidTr="0006464C">
        <w:tc>
          <w:tcPr>
            <w:tcW w:w="1304" w:type="pct"/>
          </w:tcPr>
          <w:p w14:paraId="777C593E" w14:textId="23846D5E" w:rsidR="001D66DB" w:rsidRPr="00A74C6B" w:rsidRDefault="001D66DB" w:rsidP="00A74C6B">
            <w:pPr>
              <w:autoSpaceDE w:val="0"/>
              <w:autoSpaceDN w:val="0"/>
              <w:adjustRightInd w:val="0"/>
              <w:spacing w:before="60" w:line="276" w:lineRule="auto"/>
              <w:rPr>
                <w:color w:val="000000"/>
              </w:rPr>
            </w:pPr>
            <w:r w:rsidRPr="001D66DB">
              <w:rPr>
                <w:color w:val="000000"/>
              </w:rPr>
              <w:t xml:space="preserve">A/Professor </w:t>
            </w:r>
            <w:r w:rsidRPr="001D66DB">
              <w:rPr>
                <w:color w:val="000000"/>
              </w:rPr>
              <w:br/>
              <w:t>John Troupis</w:t>
            </w:r>
          </w:p>
        </w:tc>
        <w:tc>
          <w:tcPr>
            <w:tcW w:w="2206" w:type="pct"/>
          </w:tcPr>
          <w:p w14:paraId="7878869F" w14:textId="462E0C34" w:rsidR="001D66DB" w:rsidRPr="00A74C6B" w:rsidRDefault="001D66DB" w:rsidP="006A286B">
            <w:pPr>
              <w:autoSpaceDE w:val="0"/>
              <w:autoSpaceDN w:val="0"/>
              <w:adjustRightInd w:val="0"/>
              <w:spacing w:before="60" w:line="276" w:lineRule="auto"/>
              <w:rPr>
                <w:color w:val="000000"/>
              </w:rPr>
            </w:pPr>
            <w:r w:rsidRPr="001D66DB">
              <w:rPr>
                <w:color w:val="000000"/>
              </w:rPr>
              <w:t>Consultant Radiologist, Monash Health</w:t>
            </w:r>
          </w:p>
        </w:tc>
        <w:tc>
          <w:tcPr>
            <w:tcW w:w="1490" w:type="pct"/>
          </w:tcPr>
          <w:p w14:paraId="42D17F91" w14:textId="0A108BE3" w:rsidR="001D66DB" w:rsidRPr="00A74C6B" w:rsidRDefault="001D66DB" w:rsidP="00A74C6B">
            <w:pPr>
              <w:autoSpaceDE w:val="0"/>
              <w:autoSpaceDN w:val="0"/>
              <w:adjustRightInd w:val="0"/>
              <w:spacing w:before="60" w:line="276" w:lineRule="auto"/>
              <w:rPr>
                <w:color w:val="000000"/>
              </w:rPr>
            </w:pPr>
            <w:r w:rsidRPr="001D66DB">
              <w:rPr>
                <w:rFonts w:cs="Arial"/>
                <w:szCs w:val="20"/>
                <w:lang w:val="en-GB"/>
              </w:rPr>
              <w:t>Uses the MBS items under review</w:t>
            </w:r>
          </w:p>
        </w:tc>
      </w:tr>
      <w:tr w:rsidR="001D66DB" w:rsidRPr="00DA7BF2" w14:paraId="780CD8AF" w14:textId="77777777" w:rsidTr="0006464C">
        <w:tc>
          <w:tcPr>
            <w:tcW w:w="1304" w:type="pct"/>
          </w:tcPr>
          <w:p w14:paraId="7AC5962C" w14:textId="081E9D5B" w:rsidR="001D66DB" w:rsidRPr="00A74C6B" w:rsidRDefault="00312BF9" w:rsidP="00A74C6B">
            <w:pPr>
              <w:autoSpaceDE w:val="0"/>
              <w:autoSpaceDN w:val="0"/>
              <w:adjustRightInd w:val="0"/>
              <w:spacing w:before="60" w:line="276" w:lineRule="auto"/>
              <w:rPr>
                <w:color w:val="000000"/>
              </w:rPr>
            </w:pPr>
            <w:r w:rsidRPr="00312BF9">
              <w:rPr>
                <w:color w:val="000000"/>
              </w:rPr>
              <w:t xml:space="preserve">A/Professor </w:t>
            </w:r>
            <w:r w:rsidRPr="00312BF9">
              <w:rPr>
                <w:color w:val="000000"/>
              </w:rPr>
              <w:br/>
              <w:t>Mark Howard</w:t>
            </w:r>
          </w:p>
        </w:tc>
        <w:tc>
          <w:tcPr>
            <w:tcW w:w="2206" w:type="pct"/>
          </w:tcPr>
          <w:p w14:paraId="5432CF6A" w14:textId="77777777" w:rsidR="00312BF9" w:rsidRPr="00312BF9" w:rsidRDefault="00312BF9" w:rsidP="00312BF9">
            <w:pPr>
              <w:autoSpaceDE w:val="0"/>
              <w:autoSpaceDN w:val="0"/>
              <w:adjustRightInd w:val="0"/>
              <w:spacing w:before="60" w:line="276" w:lineRule="auto"/>
              <w:rPr>
                <w:color w:val="000000"/>
              </w:rPr>
            </w:pPr>
            <w:r w:rsidRPr="00312BF9">
              <w:rPr>
                <w:color w:val="000000"/>
              </w:rPr>
              <w:t>Director, Victorian Respiratory Support Service, Austin Health</w:t>
            </w:r>
          </w:p>
          <w:p w14:paraId="091F20FB" w14:textId="3C4BF56B" w:rsidR="001D66DB" w:rsidRPr="00A74C6B" w:rsidRDefault="00312BF9" w:rsidP="00312BF9">
            <w:pPr>
              <w:autoSpaceDE w:val="0"/>
              <w:autoSpaceDN w:val="0"/>
              <w:adjustRightInd w:val="0"/>
              <w:spacing w:before="60" w:line="276" w:lineRule="auto"/>
              <w:rPr>
                <w:color w:val="000000"/>
              </w:rPr>
            </w:pPr>
            <w:r w:rsidRPr="00312BF9">
              <w:rPr>
                <w:color w:val="000000"/>
              </w:rPr>
              <w:t>Board Member, Australasian Sleep Association</w:t>
            </w:r>
          </w:p>
        </w:tc>
        <w:tc>
          <w:tcPr>
            <w:tcW w:w="1490" w:type="pct"/>
          </w:tcPr>
          <w:p w14:paraId="0A40EE91" w14:textId="2BA81F2B" w:rsidR="001D66DB" w:rsidRPr="00A74C6B" w:rsidRDefault="001D66DB" w:rsidP="00A74C6B">
            <w:pPr>
              <w:autoSpaceDE w:val="0"/>
              <w:autoSpaceDN w:val="0"/>
              <w:adjustRightInd w:val="0"/>
              <w:spacing w:before="60" w:line="276" w:lineRule="auto"/>
              <w:rPr>
                <w:color w:val="000000"/>
              </w:rPr>
            </w:pPr>
            <w:r w:rsidRPr="001D66DB">
              <w:rPr>
                <w:rFonts w:cs="Arial"/>
                <w:szCs w:val="20"/>
                <w:lang w:val="en-GB"/>
              </w:rPr>
              <w:t>Uses the MBS items under review</w:t>
            </w:r>
          </w:p>
        </w:tc>
      </w:tr>
      <w:tr w:rsidR="00312BF9" w:rsidRPr="00DA7BF2" w14:paraId="4A28BADD" w14:textId="77777777" w:rsidTr="0006464C">
        <w:tc>
          <w:tcPr>
            <w:tcW w:w="1304" w:type="pct"/>
          </w:tcPr>
          <w:p w14:paraId="6BC94DAE" w14:textId="062BB59D" w:rsidR="00312BF9" w:rsidRPr="00312BF9" w:rsidRDefault="00312BF9" w:rsidP="00A74C6B">
            <w:pPr>
              <w:autoSpaceDE w:val="0"/>
              <w:autoSpaceDN w:val="0"/>
              <w:adjustRightInd w:val="0"/>
              <w:spacing w:before="60" w:line="276" w:lineRule="auto"/>
              <w:rPr>
                <w:color w:val="000000"/>
              </w:rPr>
            </w:pPr>
            <w:r w:rsidRPr="00312BF9">
              <w:rPr>
                <w:color w:val="000000"/>
              </w:rPr>
              <w:t xml:space="preserve">A/Professor </w:t>
            </w:r>
            <w:r w:rsidRPr="00312BF9">
              <w:rPr>
                <w:color w:val="000000"/>
              </w:rPr>
              <w:br/>
              <w:t>David McClure</w:t>
            </w:r>
          </w:p>
        </w:tc>
        <w:tc>
          <w:tcPr>
            <w:tcW w:w="2206" w:type="pct"/>
          </w:tcPr>
          <w:p w14:paraId="2295BFE7" w14:textId="7B7E27BA" w:rsidR="00312BF9" w:rsidRPr="00312BF9" w:rsidRDefault="00312BF9" w:rsidP="00312BF9">
            <w:pPr>
              <w:autoSpaceDE w:val="0"/>
              <w:autoSpaceDN w:val="0"/>
              <w:adjustRightInd w:val="0"/>
              <w:spacing w:before="60" w:line="276" w:lineRule="auto"/>
              <w:rPr>
                <w:color w:val="000000"/>
              </w:rPr>
            </w:pPr>
            <w:r w:rsidRPr="00312BF9">
              <w:rPr>
                <w:color w:val="000000"/>
              </w:rPr>
              <w:t xml:space="preserve">Consultant Vascular &amp; Endovascular Surgeon, Barwon Health, Geelong </w:t>
            </w:r>
          </w:p>
          <w:p w14:paraId="3935C95D" w14:textId="504665D5" w:rsidR="00312BF9" w:rsidRPr="00312BF9" w:rsidRDefault="00312BF9" w:rsidP="00312BF9">
            <w:pPr>
              <w:autoSpaceDE w:val="0"/>
              <w:autoSpaceDN w:val="0"/>
              <w:adjustRightInd w:val="0"/>
              <w:spacing w:before="60" w:line="276" w:lineRule="auto"/>
              <w:rPr>
                <w:color w:val="000000"/>
              </w:rPr>
            </w:pPr>
            <w:r w:rsidRPr="00312BF9">
              <w:rPr>
                <w:color w:val="000000"/>
              </w:rPr>
              <w:t>Associate Professor Vascular Surgery, Deakin University</w:t>
            </w:r>
          </w:p>
          <w:p w14:paraId="24B5F064" w14:textId="5F7ABC7D" w:rsidR="00312BF9" w:rsidRPr="00312BF9" w:rsidRDefault="00312BF9" w:rsidP="00312BF9">
            <w:pPr>
              <w:autoSpaceDE w:val="0"/>
              <w:autoSpaceDN w:val="0"/>
              <w:adjustRightInd w:val="0"/>
              <w:spacing w:before="60" w:line="276" w:lineRule="auto"/>
              <w:rPr>
                <w:color w:val="000000"/>
              </w:rPr>
            </w:pPr>
            <w:r w:rsidRPr="00312BF9">
              <w:rPr>
                <w:color w:val="000000"/>
              </w:rPr>
              <w:t>Director, Geelong Vascular Service</w:t>
            </w:r>
          </w:p>
        </w:tc>
        <w:tc>
          <w:tcPr>
            <w:tcW w:w="1490" w:type="pct"/>
          </w:tcPr>
          <w:p w14:paraId="72D4009F" w14:textId="1652A0FB" w:rsidR="00312BF9" w:rsidRPr="001D66DB" w:rsidRDefault="00312BF9" w:rsidP="00A74C6B">
            <w:pPr>
              <w:autoSpaceDE w:val="0"/>
              <w:autoSpaceDN w:val="0"/>
              <w:adjustRightInd w:val="0"/>
              <w:spacing w:before="60" w:line="276" w:lineRule="auto"/>
              <w:rPr>
                <w:rFonts w:cs="Arial"/>
                <w:szCs w:val="20"/>
                <w:lang w:val="en-GB"/>
              </w:rPr>
            </w:pPr>
            <w:r w:rsidRPr="001D66DB">
              <w:rPr>
                <w:rFonts w:cs="Arial"/>
                <w:szCs w:val="20"/>
                <w:lang w:val="en-GB"/>
              </w:rPr>
              <w:t>Uses the MBS items under review</w:t>
            </w:r>
          </w:p>
        </w:tc>
      </w:tr>
      <w:tr w:rsidR="00312BF9" w:rsidRPr="00DA7BF2" w14:paraId="59AF806D" w14:textId="77777777" w:rsidTr="0006464C">
        <w:tc>
          <w:tcPr>
            <w:tcW w:w="1304" w:type="pct"/>
          </w:tcPr>
          <w:p w14:paraId="0ED7E7BD" w14:textId="4ABF692A" w:rsidR="00312BF9" w:rsidRPr="00312BF9" w:rsidRDefault="00312BF9" w:rsidP="00A74C6B">
            <w:pPr>
              <w:autoSpaceDE w:val="0"/>
              <w:autoSpaceDN w:val="0"/>
              <w:adjustRightInd w:val="0"/>
              <w:spacing w:before="60" w:line="276" w:lineRule="auto"/>
              <w:rPr>
                <w:color w:val="000000"/>
              </w:rPr>
            </w:pPr>
            <w:r w:rsidRPr="00312BF9">
              <w:rPr>
                <w:color w:val="000000"/>
              </w:rPr>
              <w:t>Dr Harry Gibbs</w:t>
            </w:r>
          </w:p>
        </w:tc>
        <w:tc>
          <w:tcPr>
            <w:tcW w:w="2206" w:type="pct"/>
          </w:tcPr>
          <w:p w14:paraId="0BE20705" w14:textId="75424678" w:rsidR="00312BF9" w:rsidRPr="00312BF9" w:rsidRDefault="00312BF9" w:rsidP="00312BF9">
            <w:pPr>
              <w:autoSpaceDE w:val="0"/>
              <w:autoSpaceDN w:val="0"/>
              <w:adjustRightInd w:val="0"/>
              <w:spacing w:before="60" w:line="276" w:lineRule="auto"/>
              <w:rPr>
                <w:color w:val="000000"/>
              </w:rPr>
            </w:pPr>
            <w:r w:rsidRPr="00312BF9">
              <w:rPr>
                <w:color w:val="000000"/>
              </w:rPr>
              <w:t>Medical Director, Vascular Laboratory, Alfred Hospital</w:t>
            </w:r>
          </w:p>
        </w:tc>
        <w:tc>
          <w:tcPr>
            <w:tcW w:w="1490" w:type="pct"/>
          </w:tcPr>
          <w:p w14:paraId="7933F79F" w14:textId="7AF681F7" w:rsidR="00312BF9" w:rsidRPr="001D66DB" w:rsidRDefault="00312BF9" w:rsidP="00A74C6B">
            <w:pPr>
              <w:autoSpaceDE w:val="0"/>
              <w:autoSpaceDN w:val="0"/>
              <w:adjustRightInd w:val="0"/>
              <w:spacing w:before="60" w:line="276" w:lineRule="auto"/>
              <w:rPr>
                <w:rFonts w:cs="Arial"/>
                <w:szCs w:val="20"/>
                <w:lang w:val="en-GB"/>
              </w:rPr>
            </w:pPr>
            <w:r w:rsidRPr="001D66DB">
              <w:rPr>
                <w:rFonts w:cs="Arial"/>
                <w:szCs w:val="20"/>
                <w:lang w:val="en-GB"/>
              </w:rPr>
              <w:t>Uses the MBS items under review</w:t>
            </w:r>
          </w:p>
        </w:tc>
      </w:tr>
    </w:tbl>
    <w:p w14:paraId="27F71296" w14:textId="65A37B8D" w:rsidR="004D72E6" w:rsidRPr="009200D8" w:rsidRDefault="004D72E6" w:rsidP="006A286B">
      <w:pPr>
        <w:pStyle w:val="Heading2"/>
      </w:pPr>
      <w:bookmarkStart w:id="25" w:name="_Toc468787464"/>
      <w:r>
        <w:t>Conflicts of i</w:t>
      </w:r>
      <w:r w:rsidRPr="009200D8">
        <w:t>nterest</w:t>
      </w:r>
      <w:bookmarkEnd w:id="25"/>
    </w:p>
    <w:p w14:paraId="5D08B510" w14:textId="51488D7E" w:rsidR="004D72E6" w:rsidRPr="007C5386" w:rsidRDefault="004D72E6" w:rsidP="006A286B">
      <w:pPr>
        <w:spacing w:before="120" w:after="120"/>
        <w:rPr>
          <w:rFonts w:eastAsiaTheme="minorHAnsi"/>
        </w:rPr>
      </w:pPr>
      <w:r w:rsidRPr="009D0EED">
        <w:rPr>
          <w:rFonts w:cs="Arial"/>
          <w:lang w:val="en-US" w:eastAsia="en-US"/>
        </w:rPr>
        <w:t>All members of the Taskforce, Clinical Committees and Working Groups are asked to declare any conflicts of interest at the start of their involvement and reminded to update their declarations periodically.</w:t>
      </w:r>
      <w:r w:rsidRPr="007C5386">
        <w:br w:type="page"/>
      </w:r>
    </w:p>
    <w:p w14:paraId="28813964" w14:textId="6BC60698" w:rsidR="004D72E6" w:rsidRPr="009200D8" w:rsidRDefault="004D72E6" w:rsidP="007E02E9">
      <w:pPr>
        <w:pStyle w:val="Heading1"/>
      </w:pPr>
      <w:bookmarkStart w:id="26" w:name="_Toc468787465"/>
      <w:r w:rsidRPr="009200D8">
        <w:lastRenderedPageBreak/>
        <w:t xml:space="preserve">Areas of responsibility of the </w:t>
      </w:r>
      <w:r w:rsidR="007E07CE">
        <w:t>PE and DVT Working Group</w:t>
      </w:r>
      <w:bookmarkEnd w:id="26"/>
    </w:p>
    <w:p w14:paraId="18A6B600" w14:textId="77777777" w:rsidR="00466D09" w:rsidRPr="00603B1F" w:rsidRDefault="00466D09" w:rsidP="00466D09">
      <w:pPr>
        <w:rPr>
          <w:rStyle w:val="IntenseEmphasis"/>
          <w:b w:val="0"/>
          <w:i w:val="0"/>
          <w:color w:val="auto"/>
        </w:rPr>
      </w:pPr>
      <w:r w:rsidRPr="00603B1F">
        <w:rPr>
          <w:rStyle w:val="IntenseEmphasis"/>
          <w:b w:val="0"/>
          <w:i w:val="0"/>
          <w:color w:val="auto"/>
        </w:rPr>
        <w:t>The principal purpose of this review was to consider:</w:t>
      </w:r>
    </w:p>
    <w:p w14:paraId="4EA0EF5F" w14:textId="77777777" w:rsidR="00466D09" w:rsidRPr="009310A5" w:rsidRDefault="00466D09" w:rsidP="009310A5">
      <w:pPr>
        <w:pStyle w:val="ListParagraph"/>
        <w:numPr>
          <w:ilvl w:val="0"/>
          <w:numId w:val="24"/>
        </w:numPr>
        <w:rPr>
          <w:rStyle w:val="IntenseEmphasis"/>
          <w:i w:val="0"/>
          <w:color w:val="auto"/>
        </w:rPr>
      </w:pPr>
      <w:r w:rsidRPr="000001F1">
        <w:rPr>
          <w:rStyle w:val="IntenseEmphasis"/>
          <w:i w:val="0"/>
          <w:color w:val="auto"/>
        </w:rPr>
        <w:t>whether current items reflect contemporary best clinical practice based on scientific data</w:t>
      </w:r>
    </w:p>
    <w:p w14:paraId="0F0BF365" w14:textId="77777777" w:rsidR="00466D09" w:rsidRPr="009310A5" w:rsidRDefault="00466D09" w:rsidP="009310A5">
      <w:pPr>
        <w:pStyle w:val="ListParagraph"/>
        <w:numPr>
          <w:ilvl w:val="0"/>
          <w:numId w:val="24"/>
        </w:numPr>
        <w:rPr>
          <w:rStyle w:val="IntenseEmphasis"/>
          <w:i w:val="0"/>
          <w:color w:val="auto"/>
        </w:rPr>
      </w:pPr>
      <w:r w:rsidRPr="000001F1">
        <w:rPr>
          <w:rStyle w:val="IntenseEmphasis"/>
          <w:i w:val="0"/>
          <w:color w:val="auto"/>
        </w:rPr>
        <w:t>whether patients have access to health services that have the potential to improve health outcomes through improved diagnostic accuracy and decision-makin</w:t>
      </w:r>
      <w:r w:rsidRPr="00031BE6">
        <w:rPr>
          <w:rStyle w:val="IntenseEmphasis"/>
          <w:i w:val="0"/>
          <w:color w:val="auto"/>
        </w:rPr>
        <w:t>g and/or harm reduction</w:t>
      </w:r>
    </w:p>
    <w:p w14:paraId="58852209" w14:textId="77777777" w:rsidR="00466D09" w:rsidRPr="009310A5" w:rsidRDefault="00466D09" w:rsidP="009310A5">
      <w:pPr>
        <w:pStyle w:val="ListParagraph"/>
        <w:numPr>
          <w:ilvl w:val="0"/>
          <w:numId w:val="24"/>
        </w:numPr>
        <w:rPr>
          <w:rStyle w:val="IntenseEmphasis"/>
          <w:i w:val="0"/>
          <w:color w:val="auto"/>
        </w:rPr>
      </w:pPr>
      <w:r w:rsidRPr="000001F1">
        <w:rPr>
          <w:rStyle w:val="IntenseEmphasis"/>
          <w:i w:val="0"/>
          <w:color w:val="auto"/>
        </w:rPr>
        <w:t xml:space="preserve">whether changes to item descriptors, item existence, scope of referral privileges and location of items in clinical sections would support evidence-based practice and more appropriate utilisation or would allow more accurate evaluation of utilisation patterns. </w:t>
      </w:r>
    </w:p>
    <w:p w14:paraId="3E62ACA0" w14:textId="7A91F896" w:rsidR="00FD52C7" w:rsidRPr="00FD52C7" w:rsidRDefault="00297246" w:rsidP="00FD52C7">
      <w:pPr>
        <w:rPr>
          <w:lang w:val="en-GB" w:eastAsia="en-US"/>
        </w:rPr>
      </w:pPr>
      <w:r>
        <w:rPr>
          <w:lang w:val="en-GB"/>
        </w:rPr>
        <w:t xml:space="preserve">Relevant </w:t>
      </w:r>
      <w:r w:rsidR="007E07CE" w:rsidRPr="00E84C0B">
        <w:rPr>
          <w:lang w:val="en-GB"/>
        </w:rPr>
        <w:t>MBS items</w:t>
      </w:r>
      <w:r w:rsidR="007E07CE">
        <w:rPr>
          <w:lang w:val="en-GB"/>
        </w:rPr>
        <w:t xml:space="preserve"> </w:t>
      </w:r>
      <w:r>
        <w:rPr>
          <w:lang w:val="en-GB"/>
        </w:rPr>
        <w:t xml:space="preserve">for </w:t>
      </w:r>
      <w:r w:rsidR="007E07CE">
        <w:rPr>
          <w:lang w:val="en-GB"/>
        </w:rPr>
        <w:t>PE</w:t>
      </w:r>
      <w:r w:rsidR="007E07CE" w:rsidRPr="00E84C0B">
        <w:rPr>
          <w:lang w:val="en-GB"/>
        </w:rPr>
        <w:t xml:space="preserve"> and </w:t>
      </w:r>
      <w:r w:rsidR="007E07CE">
        <w:rPr>
          <w:lang w:val="en-GB"/>
        </w:rPr>
        <w:t xml:space="preserve">DVT </w:t>
      </w:r>
      <w:r>
        <w:rPr>
          <w:lang w:val="en-GB"/>
        </w:rPr>
        <w:t>were reviewed</w:t>
      </w:r>
      <w:r w:rsidR="007E07CE" w:rsidRPr="00E84C0B">
        <w:rPr>
          <w:lang w:val="en-GB"/>
        </w:rPr>
        <w:t>.</w:t>
      </w:r>
      <w:r w:rsidR="00733234">
        <w:rPr>
          <w:lang w:val="en-GB"/>
        </w:rPr>
        <w:t xml:space="preserve">  </w:t>
      </w:r>
      <w:r w:rsidR="00FD52C7" w:rsidRPr="00FD52C7">
        <w:rPr>
          <w:lang w:val="en-GB" w:eastAsia="en-US"/>
        </w:rPr>
        <w:t xml:space="preserve">The review drew on various types of MBS data, including data on utilisation of items (services, benefits, patients, providers and growth rates); service provision (type of provider, geography of service provision); patients (demographics and services per patient); co-claiming or episodes of services (same-day claiming and claiming with specific items over time); and additional provider and patient-level data, when required. The review also drew on data presented in the relevant literature and clinical guidelines, all of which are referenced in the report. Guidelines and literature were sourced </w:t>
      </w:r>
      <w:r w:rsidR="000636EF">
        <w:rPr>
          <w:lang w:val="en-GB" w:eastAsia="en-US"/>
        </w:rPr>
        <w:t xml:space="preserve">primarily </w:t>
      </w:r>
      <w:r w:rsidR="00FD52C7" w:rsidRPr="00FD52C7">
        <w:rPr>
          <w:lang w:val="en-GB" w:eastAsia="en-US"/>
        </w:rPr>
        <w:t>from</w:t>
      </w:r>
      <w:r w:rsidR="000636EF">
        <w:rPr>
          <w:lang w:val="en-GB" w:eastAsia="en-US"/>
        </w:rPr>
        <w:t xml:space="preserve"> </w:t>
      </w:r>
      <w:r w:rsidR="00733234">
        <w:rPr>
          <w:lang w:val="en-GB" w:eastAsia="en-US"/>
        </w:rPr>
        <w:t>Choosing Wisely Australia.</w:t>
      </w:r>
    </w:p>
    <w:p w14:paraId="38F53412" w14:textId="77777777" w:rsidR="002C7EE0" w:rsidRDefault="002C7EE0">
      <w:pPr>
        <w:spacing w:before="0" w:after="0" w:line="240" w:lineRule="auto"/>
        <w:rPr>
          <w:rFonts w:eastAsiaTheme="minorHAnsi" w:cs="Arial"/>
          <w:b/>
          <w:bCs/>
          <w:color w:val="01653F"/>
          <w:kern w:val="32"/>
          <w:sz w:val="32"/>
          <w:szCs w:val="28"/>
          <w:lang w:eastAsia="en-US"/>
        </w:rPr>
      </w:pPr>
      <w:bookmarkStart w:id="27" w:name="_Toc462814790"/>
      <w:r>
        <w:br w:type="page"/>
      </w:r>
    </w:p>
    <w:p w14:paraId="4DFEB2E8" w14:textId="5F880D52" w:rsidR="00342BF0" w:rsidRPr="005F4355" w:rsidRDefault="00342BF0" w:rsidP="005F4355">
      <w:pPr>
        <w:pStyle w:val="Heading1"/>
        <w:rPr>
          <w:lang w:val="en-GB"/>
        </w:rPr>
      </w:pPr>
      <w:bookmarkStart w:id="28" w:name="_Toc468787466"/>
      <w:r w:rsidRPr="00342BF0">
        <w:rPr>
          <w:lang w:val="en-AU"/>
        </w:rPr>
        <w:lastRenderedPageBreak/>
        <w:t>Duplex Ultrasound for DVT</w:t>
      </w:r>
      <w:bookmarkEnd w:id="27"/>
      <w:bookmarkEnd w:id="28"/>
    </w:p>
    <w:p w14:paraId="36991FB4" w14:textId="0978C813" w:rsidR="00342BF0" w:rsidRPr="00342BF0" w:rsidRDefault="00342BF0" w:rsidP="00342BF0">
      <w:r w:rsidRPr="00342BF0">
        <w:t>The principal purpose of this review was to consider the appropriate use of diagnostic imaging for PE and DVT. Appropriate use is defined as use which reaches a clinically meaningful diagnosis at a sufficient level of certainty in the least number of diagnostic steps, with due regard to patient safety, radiation dose, local expertise and accessibility, and cost to Medicare.</w:t>
      </w:r>
    </w:p>
    <w:p w14:paraId="6B1E92BE" w14:textId="6C2CB06A" w:rsidR="004D72E6" w:rsidRPr="00342BF0" w:rsidRDefault="00342BF0" w:rsidP="00342BF0">
      <w:pPr>
        <w:spacing w:line="240" w:lineRule="auto"/>
        <w:rPr>
          <w:lang w:val="en-GB" w:eastAsia="en-US"/>
        </w:rPr>
      </w:pPr>
      <w:r w:rsidRPr="00342BF0">
        <w:rPr>
          <w:lang w:val="en-GB" w:eastAsia="en-US"/>
        </w:rPr>
        <w:t xml:space="preserve">The recommendations are presented in item groups below, with higher priority groups presented first. </w:t>
      </w:r>
    </w:p>
    <w:p w14:paraId="7BDD5D50" w14:textId="37AF0A1E" w:rsidR="00840606" w:rsidRPr="008A64E5" w:rsidRDefault="00840606" w:rsidP="005F4355">
      <w:pPr>
        <w:pStyle w:val="Heading2"/>
      </w:pPr>
      <w:bookmarkStart w:id="29" w:name="_Toc468787467"/>
      <w:r>
        <w:t>MBS items for duplex ultrasound for DVT</w:t>
      </w:r>
      <w:bookmarkEnd w:id="29"/>
    </w:p>
    <w:p w14:paraId="1890823C" w14:textId="1573D8D1" w:rsidR="008A64E5" w:rsidRPr="008A64E5" w:rsidRDefault="008A64E5" w:rsidP="008A64E5">
      <w:pPr>
        <w:pStyle w:val="Caption"/>
        <w:rPr>
          <w:b/>
        </w:rPr>
      </w:pPr>
      <w:bookmarkStart w:id="30" w:name="_Toc468787424"/>
      <w:r w:rsidRPr="008A64E5">
        <w:rPr>
          <w:b/>
        </w:rPr>
        <w:t xml:space="preserve">Table </w:t>
      </w:r>
      <w:r w:rsidRPr="008A64E5">
        <w:rPr>
          <w:b/>
        </w:rPr>
        <w:fldChar w:fldCharType="begin"/>
      </w:r>
      <w:r w:rsidRPr="008A64E5">
        <w:rPr>
          <w:b/>
        </w:rPr>
        <w:instrText xml:space="preserve"> SEQ Table \* ARABIC </w:instrText>
      </w:r>
      <w:r w:rsidRPr="008A64E5">
        <w:rPr>
          <w:b/>
        </w:rPr>
        <w:fldChar w:fldCharType="separate"/>
      </w:r>
      <w:r w:rsidR="009771DA">
        <w:rPr>
          <w:b/>
          <w:noProof/>
        </w:rPr>
        <w:t>3</w:t>
      </w:r>
      <w:r w:rsidRPr="008A64E5">
        <w:rPr>
          <w:b/>
        </w:rPr>
        <w:fldChar w:fldCharType="end"/>
      </w:r>
      <w:r w:rsidRPr="008A64E5">
        <w:rPr>
          <w:b/>
        </w:rPr>
        <w:t>: Items for duplex ultrasound for DVT introduction table</w:t>
      </w:r>
      <w:bookmarkEnd w:id="30"/>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able 3 provides the items, their descriptor and schedule fees for duplex ultrasound in the DVT introduction table."/>
      </w:tblPr>
      <w:tblGrid>
        <w:gridCol w:w="901"/>
        <w:gridCol w:w="6295"/>
        <w:gridCol w:w="1559"/>
      </w:tblGrid>
      <w:tr w:rsidR="002C7EE0" w:rsidRPr="00E2102F" w14:paraId="08D68935" w14:textId="77777777" w:rsidTr="009B59B0">
        <w:trPr>
          <w:tblHeader/>
        </w:trPr>
        <w:tc>
          <w:tcPr>
            <w:tcW w:w="901" w:type="dxa"/>
          </w:tcPr>
          <w:p w14:paraId="7651CECE" w14:textId="77777777" w:rsidR="002C7EE0" w:rsidRPr="00E2102F" w:rsidRDefault="002C7EE0" w:rsidP="00BB60E5">
            <w:pPr>
              <w:spacing w:before="140" w:after="40"/>
              <w:jc w:val="center"/>
              <w:rPr>
                <w:b/>
                <w:bCs/>
                <w:sz w:val="20"/>
                <w:szCs w:val="20"/>
                <w:lang w:val="en-US"/>
              </w:rPr>
            </w:pPr>
            <w:r>
              <w:rPr>
                <w:b/>
                <w:bCs/>
                <w:sz w:val="20"/>
                <w:szCs w:val="20"/>
                <w:lang w:val="en-US"/>
              </w:rPr>
              <w:t>I</w:t>
            </w:r>
            <w:r w:rsidRPr="00E2102F">
              <w:rPr>
                <w:b/>
                <w:bCs/>
                <w:sz w:val="20"/>
                <w:szCs w:val="20"/>
                <w:lang w:val="en-US"/>
              </w:rPr>
              <w:t>tem</w:t>
            </w:r>
          </w:p>
        </w:tc>
        <w:tc>
          <w:tcPr>
            <w:tcW w:w="6295" w:type="dxa"/>
          </w:tcPr>
          <w:p w14:paraId="1FE89739" w14:textId="1AB3DBAE" w:rsidR="002C7EE0" w:rsidRPr="00E2102F" w:rsidRDefault="002C7EE0" w:rsidP="002C7EE0">
            <w:pPr>
              <w:spacing w:before="140" w:after="40"/>
              <w:rPr>
                <w:b/>
                <w:bCs/>
                <w:sz w:val="20"/>
                <w:szCs w:val="20"/>
                <w:lang w:val="en-US"/>
              </w:rPr>
            </w:pPr>
            <w:r>
              <w:rPr>
                <w:b/>
                <w:bCs/>
                <w:sz w:val="20"/>
                <w:szCs w:val="20"/>
                <w:lang w:val="en-US"/>
              </w:rPr>
              <w:t>Descriptor</w:t>
            </w:r>
          </w:p>
        </w:tc>
        <w:tc>
          <w:tcPr>
            <w:tcW w:w="1559" w:type="dxa"/>
          </w:tcPr>
          <w:p w14:paraId="38FE24CC" w14:textId="044AA837" w:rsidR="002C7EE0" w:rsidRPr="00E2102F" w:rsidRDefault="002C7EE0" w:rsidP="00BB60E5">
            <w:pPr>
              <w:spacing w:before="140" w:after="40"/>
              <w:jc w:val="center"/>
              <w:rPr>
                <w:b/>
                <w:bCs/>
                <w:sz w:val="20"/>
                <w:szCs w:val="20"/>
                <w:lang w:val="en-US"/>
              </w:rPr>
            </w:pPr>
            <w:r>
              <w:rPr>
                <w:b/>
                <w:bCs/>
                <w:sz w:val="20"/>
                <w:szCs w:val="20"/>
                <w:lang w:val="en-US"/>
              </w:rPr>
              <w:t>Schedule fee</w:t>
            </w:r>
          </w:p>
        </w:tc>
      </w:tr>
      <w:tr w:rsidR="00840606" w:rsidRPr="00E2102F" w14:paraId="31CF8204" w14:textId="77777777" w:rsidTr="00446520">
        <w:tc>
          <w:tcPr>
            <w:tcW w:w="901" w:type="dxa"/>
          </w:tcPr>
          <w:p w14:paraId="295A5F04" w14:textId="49E46BF3" w:rsidR="00840606" w:rsidRPr="00E2102F" w:rsidRDefault="00840606" w:rsidP="00BB60E5">
            <w:pPr>
              <w:spacing w:before="140" w:after="40"/>
              <w:jc w:val="center"/>
              <w:rPr>
                <w:b/>
                <w:bCs/>
                <w:sz w:val="20"/>
                <w:szCs w:val="20"/>
                <w:lang w:val="en-US"/>
              </w:rPr>
            </w:pPr>
            <w:r>
              <w:rPr>
                <w:b/>
                <w:bCs/>
                <w:sz w:val="20"/>
                <w:szCs w:val="20"/>
                <w:lang w:val="en-US"/>
              </w:rPr>
              <w:t>55244</w:t>
            </w:r>
          </w:p>
        </w:tc>
        <w:tc>
          <w:tcPr>
            <w:tcW w:w="6295" w:type="dxa"/>
          </w:tcPr>
          <w:p w14:paraId="0ADF652F" w14:textId="092C2E58" w:rsidR="00840606" w:rsidRPr="00E2102F" w:rsidRDefault="00446520" w:rsidP="009B59B0">
            <w:pPr>
              <w:tabs>
                <w:tab w:val="left" w:pos="405"/>
              </w:tabs>
              <w:spacing w:before="140" w:after="40"/>
              <w:rPr>
                <w:bCs/>
                <w:sz w:val="20"/>
                <w:szCs w:val="20"/>
                <w:lang w:val="en-US"/>
              </w:rPr>
            </w:pPr>
            <w:r w:rsidRPr="00446520">
              <w:rPr>
                <w:bCs/>
                <w:sz w:val="20"/>
                <w:szCs w:val="20"/>
                <w:lang w:val="en-US"/>
              </w:rPr>
              <w:t xml:space="preserve">Duplex scanning, unilateral, involving B mode ultrasound imaging and integrated doppler flow measurements by spectral analysis of veins in the lower limb, below the inguinal ligament, for acute venous thrombosis, not being a service associated with a service to which an item in Subgroup 1 (with the exception of item 55054) or 4 applies (R) </w:t>
            </w:r>
          </w:p>
        </w:tc>
        <w:tc>
          <w:tcPr>
            <w:tcW w:w="1559" w:type="dxa"/>
          </w:tcPr>
          <w:p w14:paraId="373971CC" w14:textId="6EF093B7" w:rsidR="00840606" w:rsidRPr="00E2102F" w:rsidRDefault="00446520" w:rsidP="00BB60E5">
            <w:pPr>
              <w:spacing w:before="140" w:after="40"/>
              <w:jc w:val="center"/>
              <w:rPr>
                <w:bCs/>
                <w:sz w:val="20"/>
                <w:szCs w:val="20"/>
                <w:lang w:val="en-US"/>
              </w:rPr>
            </w:pPr>
            <w:r w:rsidRPr="00446520">
              <w:rPr>
                <w:bCs/>
                <w:sz w:val="20"/>
                <w:szCs w:val="20"/>
              </w:rPr>
              <w:t>$169.50</w:t>
            </w:r>
          </w:p>
        </w:tc>
      </w:tr>
      <w:tr w:rsidR="00840606" w:rsidRPr="00E2102F" w14:paraId="53910777" w14:textId="77777777" w:rsidTr="00446520">
        <w:tc>
          <w:tcPr>
            <w:tcW w:w="901" w:type="dxa"/>
          </w:tcPr>
          <w:p w14:paraId="00BBA44E" w14:textId="7B83AF51" w:rsidR="00840606" w:rsidRPr="00E2102F" w:rsidRDefault="00840606" w:rsidP="00BB60E5">
            <w:pPr>
              <w:spacing w:before="140" w:after="40"/>
              <w:jc w:val="center"/>
              <w:rPr>
                <w:b/>
                <w:bCs/>
                <w:sz w:val="20"/>
                <w:szCs w:val="20"/>
                <w:lang w:val="en-US"/>
              </w:rPr>
            </w:pPr>
            <w:r>
              <w:rPr>
                <w:b/>
                <w:bCs/>
                <w:sz w:val="20"/>
                <w:szCs w:val="20"/>
                <w:lang w:val="en-US"/>
              </w:rPr>
              <w:t>55221</w:t>
            </w:r>
          </w:p>
        </w:tc>
        <w:tc>
          <w:tcPr>
            <w:tcW w:w="6295" w:type="dxa"/>
          </w:tcPr>
          <w:p w14:paraId="5A35B76D" w14:textId="502D7686" w:rsidR="00840606" w:rsidRPr="00E2102F" w:rsidRDefault="00446520" w:rsidP="00446520">
            <w:pPr>
              <w:spacing w:before="140" w:after="40"/>
              <w:rPr>
                <w:bCs/>
                <w:sz w:val="20"/>
                <w:szCs w:val="20"/>
                <w:lang w:val="en-US"/>
              </w:rPr>
            </w:pPr>
            <w:r w:rsidRPr="00446520">
              <w:rPr>
                <w:bCs/>
                <w:sz w:val="20"/>
                <w:szCs w:val="20"/>
              </w:rPr>
              <w:t>DUPLEX SCANNING, unilateral, involving B mode ultrasound imaging and integrated Doppler flow measurements by spectral analysis of veins in the lower limb, below the inguinal ligament, for acute venous thrombosis, not being a service associated with a service to which an item in Subgroups 1 (with the exception of items 55026 and 55054) or 4 of this Group applies (R) (NK)</w:t>
            </w:r>
          </w:p>
        </w:tc>
        <w:tc>
          <w:tcPr>
            <w:tcW w:w="1559" w:type="dxa"/>
          </w:tcPr>
          <w:p w14:paraId="59CAC915" w14:textId="09442668" w:rsidR="00446520" w:rsidRDefault="00446520" w:rsidP="00BB60E5">
            <w:pPr>
              <w:spacing w:before="140" w:after="40"/>
              <w:jc w:val="center"/>
              <w:rPr>
                <w:bCs/>
                <w:sz w:val="20"/>
                <w:szCs w:val="20"/>
                <w:lang w:val="en-US"/>
              </w:rPr>
            </w:pPr>
            <w:r w:rsidRPr="00446520">
              <w:rPr>
                <w:bCs/>
                <w:sz w:val="20"/>
                <w:szCs w:val="20"/>
              </w:rPr>
              <w:t>$84.75</w:t>
            </w:r>
          </w:p>
          <w:p w14:paraId="136448A9" w14:textId="77777777" w:rsidR="00840606" w:rsidRPr="00446520" w:rsidRDefault="00840606" w:rsidP="00446520">
            <w:pPr>
              <w:jc w:val="center"/>
              <w:rPr>
                <w:sz w:val="20"/>
                <w:szCs w:val="20"/>
                <w:lang w:val="en-US"/>
              </w:rPr>
            </w:pPr>
          </w:p>
        </w:tc>
      </w:tr>
      <w:tr w:rsidR="00840606" w:rsidRPr="00E2102F" w14:paraId="68EF69A7" w14:textId="77777777" w:rsidTr="00446520">
        <w:tc>
          <w:tcPr>
            <w:tcW w:w="901" w:type="dxa"/>
          </w:tcPr>
          <w:p w14:paraId="5939CA2B" w14:textId="05E9AB65" w:rsidR="00840606" w:rsidRPr="00E2102F" w:rsidRDefault="00840606" w:rsidP="00BB60E5">
            <w:pPr>
              <w:spacing w:before="140" w:after="40"/>
              <w:jc w:val="center"/>
              <w:rPr>
                <w:b/>
                <w:bCs/>
                <w:sz w:val="20"/>
                <w:szCs w:val="20"/>
                <w:lang w:val="en-US"/>
              </w:rPr>
            </w:pPr>
            <w:r>
              <w:rPr>
                <w:b/>
                <w:bCs/>
                <w:sz w:val="20"/>
                <w:szCs w:val="20"/>
                <w:lang w:val="en-US"/>
              </w:rPr>
              <w:t>55246</w:t>
            </w:r>
          </w:p>
        </w:tc>
        <w:tc>
          <w:tcPr>
            <w:tcW w:w="6295" w:type="dxa"/>
          </w:tcPr>
          <w:p w14:paraId="1BB5F978" w14:textId="7EFA92EC" w:rsidR="00840606" w:rsidRPr="00E2102F" w:rsidRDefault="00446520" w:rsidP="009B59B0">
            <w:pPr>
              <w:spacing w:before="140" w:after="40"/>
              <w:rPr>
                <w:bCs/>
                <w:sz w:val="20"/>
                <w:szCs w:val="20"/>
                <w:lang w:val="en-US"/>
              </w:rPr>
            </w:pPr>
            <w:r w:rsidRPr="00446520">
              <w:rPr>
                <w:bCs/>
                <w:sz w:val="20"/>
                <w:szCs w:val="20"/>
              </w:rPr>
              <w:t xml:space="preserve">Duplex scanning, unilateral, involving B mode ultrasound imaging and integrated doppler flow measurements by spectral analysis of veins in the lower limb, below the inguinal ligament, for chronic venous disease, not being a service associated with a service to which an item in Subgroup 1 (with the exception of item 55054) or 4 applies (R) </w:t>
            </w:r>
          </w:p>
        </w:tc>
        <w:tc>
          <w:tcPr>
            <w:tcW w:w="1559" w:type="dxa"/>
          </w:tcPr>
          <w:p w14:paraId="2F303F0C" w14:textId="51D5E79B" w:rsidR="00840606" w:rsidRPr="00E2102F" w:rsidRDefault="00446520" w:rsidP="00BB60E5">
            <w:pPr>
              <w:spacing w:before="140" w:after="40"/>
              <w:jc w:val="center"/>
              <w:rPr>
                <w:bCs/>
                <w:sz w:val="20"/>
                <w:szCs w:val="20"/>
                <w:lang w:val="en-US"/>
              </w:rPr>
            </w:pPr>
            <w:r w:rsidRPr="00446520">
              <w:rPr>
                <w:bCs/>
                <w:sz w:val="20"/>
                <w:szCs w:val="20"/>
              </w:rPr>
              <w:t>$169.50</w:t>
            </w:r>
          </w:p>
        </w:tc>
      </w:tr>
      <w:tr w:rsidR="00840606" w:rsidRPr="00E2102F" w14:paraId="0CD67F48" w14:textId="77777777" w:rsidTr="00446520">
        <w:tc>
          <w:tcPr>
            <w:tcW w:w="901" w:type="dxa"/>
          </w:tcPr>
          <w:p w14:paraId="78F8808F" w14:textId="7060E3A2" w:rsidR="00840606" w:rsidRPr="00E2102F" w:rsidRDefault="00840606" w:rsidP="00BB60E5">
            <w:pPr>
              <w:spacing w:before="140" w:after="40"/>
              <w:jc w:val="center"/>
              <w:rPr>
                <w:b/>
                <w:bCs/>
                <w:sz w:val="20"/>
                <w:szCs w:val="20"/>
                <w:lang w:val="en-US"/>
              </w:rPr>
            </w:pPr>
            <w:r>
              <w:rPr>
                <w:b/>
                <w:bCs/>
                <w:sz w:val="20"/>
                <w:szCs w:val="20"/>
                <w:lang w:val="en-US"/>
              </w:rPr>
              <w:t>55222</w:t>
            </w:r>
          </w:p>
        </w:tc>
        <w:tc>
          <w:tcPr>
            <w:tcW w:w="6295" w:type="dxa"/>
          </w:tcPr>
          <w:p w14:paraId="6573D9CD" w14:textId="1EDAE05E" w:rsidR="00840606" w:rsidRPr="00E2102F" w:rsidRDefault="00446520" w:rsidP="00446520">
            <w:pPr>
              <w:tabs>
                <w:tab w:val="left" w:pos="390"/>
              </w:tabs>
              <w:spacing w:before="140" w:after="40"/>
              <w:rPr>
                <w:bCs/>
                <w:sz w:val="20"/>
                <w:szCs w:val="20"/>
                <w:lang w:val="en-US"/>
              </w:rPr>
            </w:pPr>
            <w:r w:rsidRPr="00446520">
              <w:rPr>
                <w:bCs/>
                <w:sz w:val="20"/>
                <w:szCs w:val="20"/>
              </w:rPr>
              <w:t>DUPLEX SCANNING, unilateral, involving B mode ultrasound imaging and integrated Doppler flow measurements by spectral analysis of veins in the lower limb, below the inguinal ligament, for chronic venous disease, not being a service associated with a service to which an item in Subgroups 1 (with the exception of items 55026 and 55054) or 4 of this Group applies (R) (NK)</w:t>
            </w:r>
          </w:p>
        </w:tc>
        <w:tc>
          <w:tcPr>
            <w:tcW w:w="1559" w:type="dxa"/>
          </w:tcPr>
          <w:p w14:paraId="2877892E" w14:textId="189EC439" w:rsidR="00840606" w:rsidRPr="00E2102F" w:rsidRDefault="00446520" w:rsidP="00BB60E5">
            <w:pPr>
              <w:spacing w:before="140" w:after="40"/>
              <w:jc w:val="center"/>
              <w:rPr>
                <w:bCs/>
                <w:sz w:val="20"/>
                <w:szCs w:val="20"/>
                <w:lang w:val="en-US"/>
              </w:rPr>
            </w:pPr>
            <w:r w:rsidRPr="00446520">
              <w:rPr>
                <w:bCs/>
                <w:sz w:val="20"/>
                <w:szCs w:val="20"/>
              </w:rPr>
              <w:t>$84.75</w:t>
            </w:r>
          </w:p>
        </w:tc>
      </w:tr>
    </w:tbl>
    <w:p w14:paraId="100658D2" w14:textId="071E333E" w:rsidR="00DF3369" w:rsidRDefault="00DF3369" w:rsidP="00B85FC7">
      <w:pPr>
        <w:pStyle w:val="03Tableundertext"/>
        <w:spacing w:after="0"/>
        <w:rPr>
          <w:bCs w:val="0"/>
          <w:sz w:val="22"/>
          <w:szCs w:val="24"/>
        </w:rPr>
      </w:pPr>
      <w:r>
        <w:rPr>
          <w:bCs w:val="0"/>
          <w:sz w:val="22"/>
          <w:szCs w:val="24"/>
        </w:rPr>
        <w:br w:type="page"/>
      </w:r>
    </w:p>
    <w:p w14:paraId="5E8A3778" w14:textId="34CEA1B4" w:rsidR="00A74C6B" w:rsidRDefault="00DF3369" w:rsidP="00D05862">
      <w:pPr>
        <w:pStyle w:val="Heading2"/>
      </w:pPr>
      <w:bookmarkStart w:id="31" w:name="_Toc468787468"/>
      <w:r>
        <w:lastRenderedPageBreak/>
        <w:t>MBS Data</w:t>
      </w:r>
      <w:r w:rsidR="00F24657">
        <w:t xml:space="preserve"> for DVT imaging</w:t>
      </w:r>
      <w:bookmarkEnd w:id="31"/>
    </w:p>
    <w:p w14:paraId="32C7E33D" w14:textId="22ED6ABD" w:rsidR="00DF3369" w:rsidRPr="00615A94" w:rsidRDefault="00615A94" w:rsidP="00615A94">
      <w:pPr>
        <w:pStyle w:val="Caption"/>
        <w:rPr>
          <w:b/>
        </w:rPr>
      </w:pPr>
      <w:bookmarkStart w:id="32" w:name="_Toc468787425"/>
      <w:r w:rsidRPr="00615A94">
        <w:rPr>
          <w:b/>
        </w:rPr>
        <w:t>Table 4</w:t>
      </w:r>
      <w:r w:rsidR="00DF3369" w:rsidRPr="00615A94">
        <w:rPr>
          <w:b/>
        </w:rPr>
        <w:t xml:space="preserve">: </w:t>
      </w:r>
      <w:r>
        <w:rPr>
          <w:b/>
        </w:rPr>
        <w:t>MBS 2014-15 Statistics - Duplex ultrasound items for DVT</w:t>
      </w:r>
      <w:bookmarkEnd w:id="32"/>
      <w:r>
        <w:rPr>
          <w:b/>
        </w:rPr>
        <w:t xml:space="preserve"> </w:t>
      </w:r>
    </w:p>
    <w:tbl>
      <w:tblPr>
        <w:tblStyle w:val="TableGrid"/>
        <w:tblW w:w="9461" w:type="dxa"/>
        <w:tblLook w:val="04A0" w:firstRow="1" w:lastRow="0" w:firstColumn="1" w:lastColumn="0" w:noHBand="0" w:noVBand="1"/>
        <w:tblDescription w:val="Table 4 shows the MBS data 2014-15 for items 55244, 55221, 55246 and 55222 showing, Service, Benefits, number of patients and number of providers and growth from 2011-12"/>
      </w:tblPr>
      <w:tblGrid>
        <w:gridCol w:w="2150"/>
        <w:gridCol w:w="1986"/>
        <w:gridCol w:w="1796"/>
        <w:gridCol w:w="1487"/>
        <w:gridCol w:w="2042"/>
      </w:tblGrid>
      <w:tr w:rsidR="00DF3369" w:rsidRPr="005A38CE" w14:paraId="0186A254" w14:textId="77777777" w:rsidTr="00633597">
        <w:trPr>
          <w:tblHeader/>
        </w:trPr>
        <w:tc>
          <w:tcPr>
            <w:tcW w:w="2150" w:type="dxa"/>
            <w:shd w:val="clear" w:color="auto" w:fill="F2F2F2" w:themeFill="background1" w:themeFillShade="F2"/>
          </w:tcPr>
          <w:p w14:paraId="5E4E8CD3" w14:textId="77777777" w:rsidR="00DF3369" w:rsidRPr="005A38CE" w:rsidRDefault="00DF3369" w:rsidP="00615A94">
            <w:pPr>
              <w:rPr>
                <w:b/>
                <w:i/>
              </w:rPr>
            </w:pPr>
            <w:r w:rsidRPr="005A38CE">
              <w:rPr>
                <w:b/>
                <w:i/>
              </w:rPr>
              <w:t>Items</w:t>
            </w:r>
          </w:p>
        </w:tc>
        <w:tc>
          <w:tcPr>
            <w:tcW w:w="1986" w:type="dxa"/>
            <w:shd w:val="clear" w:color="auto" w:fill="F2F2F2" w:themeFill="background1" w:themeFillShade="F2"/>
            <w:vAlign w:val="center"/>
          </w:tcPr>
          <w:p w14:paraId="067D577E" w14:textId="77777777" w:rsidR="00DF3369" w:rsidRPr="005A38CE" w:rsidRDefault="00DF3369" w:rsidP="00615A94">
            <w:pPr>
              <w:jc w:val="right"/>
              <w:rPr>
                <w:b/>
              </w:rPr>
            </w:pPr>
            <w:r w:rsidRPr="005A38CE">
              <w:rPr>
                <w:b/>
              </w:rPr>
              <w:t>55244</w:t>
            </w:r>
          </w:p>
        </w:tc>
        <w:tc>
          <w:tcPr>
            <w:tcW w:w="1796" w:type="dxa"/>
            <w:shd w:val="clear" w:color="auto" w:fill="F2F2F2" w:themeFill="background1" w:themeFillShade="F2"/>
          </w:tcPr>
          <w:p w14:paraId="11923247" w14:textId="77777777" w:rsidR="00DF3369" w:rsidRPr="005A38CE" w:rsidRDefault="00DF3369" w:rsidP="00615A94">
            <w:pPr>
              <w:jc w:val="right"/>
              <w:rPr>
                <w:b/>
              </w:rPr>
            </w:pPr>
            <w:r w:rsidRPr="005A38CE">
              <w:rPr>
                <w:b/>
              </w:rPr>
              <w:t>55221</w:t>
            </w:r>
          </w:p>
        </w:tc>
        <w:tc>
          <w:tcPr>
            <w:tcW w:w="1487" w:type="dxa"/>
            <w:shd w:val="clear" w:color="auto" w:fill="F2F2F2" w:themeFill="background1" w:themeFillShade="F2"/>
          </w:tcPr>
          <w:p w14:paraId="309F756E" w14:textId="77777777" w:rsidR="00DF3369" w:rsidRPr="005A38CE" w:rsidRDefault="00DF3369" w:rsidP="00615A94">
            <w:pPr>
              <w:jc w:val="right"/>
              <w:rPr>
                <w:b/>
              </w:rPr>
            </w:pPr>
            <w:r w:rsidRPr="005A38CE">
              <w:rPr>
                <w:b/>
              </w:rPr>
              <w:t>55246</w:t>
            </w:r>
          </w:p>
        </w:tc>
        <w:tc>
          <w:tcPr>
            <w:tcW w:w="2042" w:type="dxa"/>
            <w:shd w:val="clear" w:color="auto" w:fill="F2F2F2" w:themeFill="background1" w:themeFillShade="F2"/>
          </w:tcPr>
          <w:p w14:paraId="7068DA2B" w14:textId="77777777" w:rsidR="00DF3369" w:rsidRPr="005A38CE" w:rsidRDefault="00DF3369" w:rsidP="00615A94">
            <w:pPr>
              <w:jc w:val="right"/>
              <w:rPr>
                <w:b/>
              </w:rPr>
            </w:pPr>
            <w:r w:rsidRPr="005A38CE">
              <w:rPr>
                <w:b/>
              </w:rPr>
              <w:t>55222</w:t>
            </w:r>
          </w:p>
        </w:tc>
      </w:tr>
      <w:tr w:rsidR="00DF3369" w:rsidRPr="005A38CE" w14:paraId="5CBCCED4" w14:textId="77777777" w:rsidTr="00633597">
        <w:tc>
          <w:tcPr>
            <w:tcW w:w="2150" w:type="dxa"/>
          </w:tcPr>
          <w:p w14:paraId="250E29FD" w14:textId="77777777" w:rsidR="00DF3369" w:rsidRPr="005A38CE" w:rsidRDefault="00DF3369" w:rsidP="00615A94">
            <w:pPr>
              <w:rPr>
                <w:b/>
                <w:i/>
              </w:rPr>
            </w:pPr>
            <w:r w:rsidRPr="005A38CE">
              <w:rPr>
                <w:b/>
                <w:i/>
              </w:rPr>
              <w:t>Services 2014-15</w:t>
            </w:r>
          </w:p>
        </w:tc>
        <w:tc>
          <w:tcPr>
            <w:tcW w:w="1986" w:type="dxa"/>
            <w:vAlign w:val="center"/>
          </w:tcPr>
          <w:p w14:paraId="2B6D8E9A" w14:textId="77777777" w:rsidR="00DF3369" w:rsidRPr="005A38CE" w:rsidRDefault="00DF3369" w:rsidP="00615A94">
            <w:pPr>
              <w:jc w:val="right"/>
            </w:pPr>
            <w:r w:rsidRPr="005A38CE">
              <w:t>299,191</w:t>
            </w:r>
          </w:p>
        </w:tc>
        <w:tc>
          <w:tcPr>
            <w:tcW w:w="1796" w:type="dxa"/>
            <w:vAlign w:val="center"/>
          </w:tcPr>
          <w:p w14:paraId="2504780F" w14:textId="77777777" w:rsidR="00DF3369" w:rsidRPr="005A38CE" w:rsidRDefault="00DF3369" w:rsidP="00615A94">
            <w:pPr>
              <w:jc w:val="right"/>
            </w:pPr>
            <w:r w:rsidRPr="005A38CE">
              <w:t>405</w:t>
            </w:r>
          </w:p>
        </w:tc>
        <w:tc>
          <w:tcPr>
            <w:tcW w:w="1487" w:type="dxa"/>
            <w:vAlign w:val="center"/>
          </w:tcPr>
          <w:p w14:paraId="377EABEF" w14:textId="77777777" w:rsidR="00DF3369" w:rsidRPr="005A38CE" w:rsidRDefault="00DF3369" w:rsidP="00615A94">
            <w:pPr>
              <w:jc w:val="right"/>
            </w:pPr>
            <w:r w:rsidRPr="005A38CE">
              <w:t>127,318</w:t>
            </w:r>
          </w:p>
        </w:tc>
        <w:tc>
          <w:tcPr>
            <w:tcW w:w="2042" w:type="dxa"/>
          </w:tcPr>
          <w:p w14:paraId="1196AECE" w14:textId="77777777" w:rsidR="00DF3369" w:rsidRPr="005A38CE" w:rsidRDefault="00DF3369" w:rsidP="00615A94">
            <w:pPr>
              <w:jc w:val="right"/>
            </w:pPr>
            <w:r w:rsidRPr="005A38CE">
              <w:t>276</w:t>
            </w:r>
          </w:p>
        </w:tc>
      </w:tr>
      <w:tr w:rsidR="00DF3369" w:rsidRPr="005A38CE" w14:paraId="42A0E57F" w14:textId="77777777" w:rsidTr="00633597">
        <w:tc>
          <w:tcPr>
            <w:tcW w:w="2150" w:type="dxa"/>
          </w:tcPr>
          <w:p w14:paraId="52578B7B" w14:textId="77777777" w:rsidR="00DF3369" w:rsidRPr="005A38CE" w:rsidRDefault="00DF3369" w:rsidP="00615A94">
            <w:pPr>
              <w:rPr>
                <w:b/>
                <w:i/>
              </w:rPr>
            </w:pPr>
            <w:r w:rsidRPr="005A38CE">
              <w:rPr>
                <w:b/>
                <w:i/>
              </w:rPr>
              <w:t>Benefits 2014-15</w:t>
            </w:r>
          </w:p>
        </w:tc>
        <w:tc>
          <w:tcPr>
            <w:tcW w:w="1986" w:type="dxa"/>
            <w:vAlign w:val="center"/>
          </w:tcPr>
          <w:p w14:paraId="038EE02E" w14:textId="77777777" w:rsidR="00DF3369" w:rsidRPr="005A38CE" w:rsidRDefault="00DF3369" w:rsidP="00615A94">
            <w:pPr>
              <w:jc w:val="right"/>
            </w:pPr>
            <w:r w:rsidRPr="005A38CE">
              <w:t>$44.6 million</w:t>
            </w:r>
          </w:p>
        </w:tc>
        <w:tc>
          <w:tcPr>
            <w:tcW w:w="1796" w:type="dxa"/>
            <w:vAlign w:val="center"/>
          </w:tcPr>
          <w:p w14:paraId="1B3AE6CE" w14:textId="77777777" w:rsidR="00DF3369" w:rsidRPr="005A38CE" w:rsidRDefault="00DF3369" w:rsidP="00615A94">
            <w:pPr>
              <w:jc w:val="right"/>
            </w:pPr>
            <w:r w:rsidRPr="005A38CE">
              <w:t>$33,019</w:t>
            </w:r>
          </w:p>
        </w:tc>
        <w:tc>
          <w:tcPr>
            <w:tcW w:w="1487" w:type="dxa"/>
            <w:vAlign w:val="center"/>
          </w:tcPr>
          <w:p w14:paraId="3DB5391D" w14:textId="77777777" w:rsidR="00DF3369" w:rsidRPr="005A38CE" w:rsidRDefault="00DF3369" w:rsidP="00615A94">
            <w:pPr>
              <w:jc w:val="right"/>
            </w:pPr>
            <w:r w:rsidRPr="005A38CE">
              <w:t>$18.1 million</w:t>
            </w:r>
          </w:p>
        </w:tc>
        <w:tc>
          <w:tcPr>
            <w:tcW w:w="2042" w:type="dxa"/>
          </w:tcPr>
          <w:p w14:paraId="6C5CE3ED" w14:textId="77777777" w:rsidR="00DF3369" w:rsidRPr="005A38CE" w:rsidRDefault="00DF3369" w:rsidP="00615A94">
            <w:pPr>
              <w:jc w:val="right"/>
            </w:pPr>
            <w:r w:rsidRPr="005A38CE">
              <w:t>$17,084</w:t>
            </w:r>
          </w:p>
        </w:tc>
      </w:tr>
      <w:tr w:rsidR="00DF3369" w:rsidRPr="005A38CE" w14:paraId="7C24B5D1" w14:textId="77777777" w:rsidTr="00633597">
        <w:tc>
          <w:tcPr>
            <w:tcW w:w="2150" w:type="dxa"/>
          </w:tcPr>
          <w:p w14:paraId="31911048" w14:textId="77777777" w:rsidR="00DF3369" w:rsidRPr="005A38CE" w:rsidRDefault="00DF3369" w:rsidP="00615A94">
            <w:pPr>
              <w:rPr>
                <w:b/>
                <w:i/>
              </w:rPr>
            </w:pPr>
            <w:r w:rsidRPr="005A38CE">
              <w:rPr>
                <w:b/>
                <w:i/>
              </w:rPr>
              <w:t xml:space="preserve">2011-12 to 2014-15 growth in benefits </w:t>
            </w:r>
          </w:p>
        </w:tc>
        <w:tc>
          <w:tcPr>
            <w:tcW w:w="1986" w:type="dxa"/>
            <w:vAlign w:val="center"/>
          </w:tcPr>
          <w:p w14:paraId="252A5726" w14:textId="77777777" w:rsidR="00DF3369" w:rsidRPr="005A38CE" w:rsidRDefault="00DF3369" w:rsidP="00615A94">
            <w:pPr>
              <w:jc w:val="right"/>
            </w:pPr>
            <w:r w:rsidRPr="005A38CE">
              <w:t>25.4%</w:t>
            </w:r>
          </w:p>
        </w:tc>
        <w:tc>
          <w:tcPr>
            <w:tcW w:w="1796" w:type="dxa"/>
            <w:vAlign w:val="center"/>
          </w:tcPr>
          <w:p w14:paraId="645E2119" w14:textId="77777777" w:rsidR="00DF3369" w:rsidRPr="005A38CE" w:rsidRDefault="00DF3369" w:rsidP="00615A94">
            <w:pPr>
              <w:jc w:val="right"/>
            </w:pPr>
            <w:r w:rsidRPr="005A38CE">
              <w:t>8477.3%</w:t>
            </w:r>
          </w:p>
        </w:tc>
        <w:tc>
          <w:tcPr>
            <w:tcW w:w="1487" w:type="dxa"/>
            <w:vAlign w:val="center"/>
          </w:tcPr>
          <w:p w14:paraId="0A28A330" w14:textId="77777777" w:rsidR="00DF3369" w:rsidRPr="005A38CE" w:rsidRDefault="00DF3369" w:rsidP="00615A94">
            <w:pPr>
              <w:jc w:val="right"/>
            </w:pPr>
            <w:r w:rsidRPr="005A38CE">
              <w:t>17.4%</w:t>
            </w:r>
          </w:p>
        </w:tc>
        <w:tc>
          <w:tcPr>
            <w:tcW w:w="2042" w:type="dxa"/>
          </w:tcPr>
          <w:p w14:paraId="54091984" w14:textId="77777777" w:rsidR="00DF3369" w:rsidRPr="005A38CE" w:rsidRDefault="00DF3369" w:rsidP="00615A94">
            <w:pPr>
              <w:jc w:val="right"/>
            </w:pPr>
            <w:r w:rsidRPr="005A38CE">
              <w:t>N/A</w:t>
            </w:r>
          </w:p>
        </w:tc>
      </w:tr>
      <w:tr w:rsidR="00DF3369" w:rsidRPr="005A38CE" w14:paraId="21FAC74E" w14:textId="77777777" w:rsidTr="00633597">
        <w:tc>
          <w:tcPr>
            <w:tcW w:w="2150" w:type="dxa"/>
          </w:tcPr>
          <w:p w14:paraId="275FFD1A" w14:textId="77777777" w:rsidR="00DF3369" w:rsidRPr="005A38CE" w:rsidRDefault="00DF3369" w:rsidP="00615A94">
            <w:pPr>
              <w:rPr>
                <w:b/>
                <w:i/>
              </w:rPr>
            </w:pPr>
            <w:r w:rsidRPr="005A38CE">
              <w:rPr>
                <w:b/>
                <w:i/>
              </w:rPr>
              <w:t xml:space="preserve">Number of patients </w:t>
            </w:r>
          </w:p>
        </w:tc>
        <w:tc>
          <w:tcPr>
            <w:tcW w:w="1986" w:type="dxa"/>
            <w:vAlign w:val="center"/>
          </w:tcPr>
          <w:p w14:paraId="287D90C2" w14:textId="77777777" w:rsidR="00DF3369" w:rsidRPr="005A38CE" w:rsidRDefault="00DF3369" w:rsidP="00615A94">
            <w:pPr>
              <w:jc w:val="right"/>
            </w:pPr>
            <w:r w:rsidRPr="005A38CE">
              <w:t>213,028</w:t>
            </w:r>
          </w:p>
        </w:tc>
        <w:tc>
          <w:tcPr>
            <w:tcW w:w="1796" w:type="dxa"/>
            <w:vAlign w:val="center"/>
          </w:tcPr>
          <w:p w14:paraId="742732CC" w14:textId="77777777" w:rsidR="00DF3369" w:rsidRPr="005A38CE" w:rsidRDefault="00DF3369" w:rsidP="00615A94">
            <w:pPr>
              <w:jc w:val="right"/>
            </w:pPr>
            <w:r w:rsidRPr="005A38CE">
              <w:t>274</w:t>
            </w:r>
          </w:p>
        </w:tc>
        <w:tc>
          <w:tcPr>
            <w:tcW w:w="1487" w:type="dxa"/>
            <w:vAlign w:val="center"/>
          </w:tcPr>
          <w:p w14:paraId="1ED4B186" w14:textId="77777777" w:rsidR="00DF3369" w:rsidRPr="005A38CE" w:rsidRDefault="00DF3369" w:rsidP="00615A94">
            <w:pPr>
              <w:jc w:val="right"/>
            </w:pPr>
            <w:r w:rsidRPr="005A38CE">
              <w:t>71,053</w:t>
            </w:r>
          </w:p>
        </w:tc>
        <w:tc>
          <w:tcPr>
            <w:tcW w:w="2042" w:type="dxa"/>
          </w:tcPr>
          <w:p w14:paraId="60AB2D6E" w14:textId="77777777" w:rsidR="00DF3369" w:rsidRPr="005A38CE" w:rsidRDefault="00DF3369" w:rsidP="00615A94">
            <w:pPr>
              <w:jc w:val="right"/>
            </w:pPr>
            <w:r w:rsidRPr="005A38CE">
              <w:t>172</w:t>
            </w:r>
          </w:p>
        </w:tc>
      </w:tr>
      <w:tr w:rsidR="00DF3369" w:rsidRPr="005A38CE" w14:paraId="0F571CC7" w14:textId="77777777" w:rsidTr="00633597">
        <w:tc>
          <w:tcPr>
            <w:tcW w:w="2150" w:type="dxa"/>
          </w:tcPr>
          <w:p w14:paraId="2CBCB5DB" w14:textId="77777777" w:rsidR="00DF3369" w:rsidRPr="005A38CE" w:rsidRDefault="00DF3369" w:rsidP="00615A94">
            <w:pPr>
              <w:rPr>
                <w:b/>
                <w:i/>
              </w:rPr>
            </w:pPr>
            <w:r w:rsidRPr="005A38CE">
              <w:rPr>
                <w:b/>
                <w:i/>
              </w:rPr>
              <w:t xml:space="preserve">Number of providers </w:t>
            </w:r>
          </w:p>
        </w:tc>
        <w:tc>
          <w:tcPr>
            <w:tcW w:w="1986" w:type="dxa"/>
            <w:vAlign w:val="center"/>
          </w:tcPr>
          <w:p w14:paraId="5E996713" w14:textId="77777777" w:rsidR="00DF3369" w:rsidRPr="005A38CE" w:rsidRDefault="00DF3369" w:rsidP="00615A94">
            <w:pPr>
              <w:jc w:val="right"/>
            </w:pPr>
            <w:r w:rsidRPr="005A38CE">
              <w:t>3,399</w:t>
            </w:r>
          </w:p>
        </w:tc>
        <w:tc>
          <w:tcPr>
            <w:tcW w:w="1796" w:type="dxa"/>
            <w:vAlign w:val="center"/>
          </w:tcPr>
          <w:p w14:paraId="3E143FE9" w14:textId="77777777" w:rsidR="00DF3369" w:rsidRPr="005A38CE" w:rsidRDefault="00DF3369" w:rsidP="00615A94">
            <w:pPr>
              <w:jc w:val="right"/>
            </w:pPr>
            <w:r w:rsidRPr="005A38CE">
              <w:t>6</w:t>
            </w:r>
          </w:p>
        </w:tc>
        <w:tc>
          <w:tcPr>
            <w:tcW w:w="1487" w:type="dxa"/>
            <w:vAlign w:val="center"/>
          </w:tcPr>
          <w:p w14:paraId="29E498B9" w14:textId="77777777" w:rsidR="00DF3369" w:rsidRPr="005A38CE" w:rsidRDefault="00DF3369" w:rsidP="00615A94">
            <w:pPr>
              <w:jc w:val="right"/>
            </w:pPr>
            <w:r w:rsidRPr="005A38CE">
              <w:t>2,147</w:t>
            </w:r>
          </w:p>
        </w:tc>
        <w:tc>
          <w:tcPr>
            <w:tcW w:w="2042" w:type="dxa"/>
          </w:tcPr>
          <w:p w14:paraId="41C3CB32" w14:textId="77777777" w:rsidR="00DF3369" w:rsidRPr="005A38CE" w:rsidRDefault="00DF3369" w:rsidP="00615A94">
            <w:pPr>
              <w:jc w:val="right"/>
            </w:pPr>
            <w:r w:rsidRPr="005A38CE">
              <w:t>Less than 5</w:t>
            </w:r>
          </w:p>
        </w:tc>
      </w:tr>
    </w:tbl>
    <w:p w14:paraId="1C422A11" w14:textId="6C8B210F" w:rsidR="00615A94" w:rsidRDefault="00633597" w:rsidP="00615A94">
      <w:pPr>
        <w:pStyle w:val="Tabletext9"/>
        <w:numPr>
          <w:ilvl w:val="0"/>
          <w:numId w:val="0"/>
        </w:numPr>
        <w:rPr>
          <w:sz w:val="22"/>
        </w:rPr>
      </w:pPr>
      <w:bookmarkStart w:id="33" w:name="_Toc454959782"/>
      <w:r>
        <w:t>Source: Department of Health, published and unpublished data, based on date of processing data for financial year 2014-15</w:t>
      </w:r>
    </w:p>
    <w:p w14:paraId="1CD115E8" w14:textId="77777777" w:rsidR="00615A94" w:rsidRPr="00371437" w:rsidRDefault="00615A94" w:rsidP="00615A94">
      <w:pPr>
        <w:pStyle w:val="Tabletext9"/>
        <w:numPr>
          <w:ilvl w:val="0"/>
          <w:numId w:val="0"/>
        </w:numPr>
        <w:rPr>
          <w:sz w:val="22"/>
        </w:rPr>
      </w:pPr>
      <w:r w:rsidRPr="004B0747">
        <w:rPr>
          <w:sz w:val="22"/>
        </w:rPr>
        <w:t xml:space="preserve">There were no concerns with the data provided for MBS items for DVT imaging, including data on the number of services for DVT items performed in 2014–2015 by requester's clinical specialty. The MBS data for the items </w:t>
      </w:r>
      <w:proofErr w:type="gramStart"/>
      <w:r w:rsidRPr="004B0747">
        <w:rPr>
          <w:sz w:val="22"/>
        </w:rPr>
        <w:t>was considered to be</w:t>
      </w:r>
      <w:proofErr w:type="gramEnd"/>
      <w:r w:rsidRPr="004B0747">
        <w:rPr>
          <w:sz w:val="22"/>
        </w:rPr>
        <w:t xml:space="preserve"> reasonable and compatible with clinically appropriate imaging use. </w:t>
      </w:r>
      <w:bookmarkEnd w:id="33"/>
    </w:p>
    <w:p w14:paraId="5E994626" w14:textId="52FD7C1A" w:rsidR="00615A94" w:rsidRPr="00615A94" w:rsidRDefault="00615A94" w:rsidP="00615A94">
      <w:pPr>
        <w:pStyle w:val="Caption"/>
        <w:rPr>
          <w:b/>
        </w:rPr>
      </w:pPr>
      <w:bookmarkStart w:id="34" w:name="_Toc432581023"/>
      <w:bookmarkStart w:id="35" w:name="_Toc468787426"/>
      <w:r>
        <w:rPr>
          <w:b/>
        </w:rPr>
        <w:t xml:space="preserve">Table 5 </w:t>
      </w:r>
      <w:r w:rsidRPr="00615A94">
        <w:rPr>
          <w:b/>
        </w:rPr>
        <w:t>Co-claiming of duplex scanning for DVT and chronic venous disease on the same patient same day (2014-15)</w:t>
      </w:r>
      <w:bookmarkEnd w:id="34"/>
      <w:bookmarkEnd w:id="35"/>
    </w:p>
    <w:tbl>
      <w:tblPr>
        <w:tblW w:w="8623" w:type="dxa"/>
        <w:tblInd w:w="-23" w:type="dxa"/>
        <w:tblCellMar>
          <w:left w:w="0" w:type="dxa"/>
          <w:right w:w="0" w:type="dxa"/>
        </w:tblCellMar>
        <w:tblLook w:val="04A0" w:firstRow="1" w:lastRow="0" w:firstColumn="1" w:lastColumn="0" w:noHBand="0" w:noVBand="1"/>
      </w:tblPr>
      <w:tblGrid>
        <w:gridCol w:w="2060"/>
        <w:gridCol w:w="2700"/>
        <w:gridCol w:w="1136"/>
        <w:gridCol w:w="1115"/>
        <w:gridCol w:w="1612"/>
      </w:tblGrid>
      <w:tr w:rsidR="00633597" w14:paraId="65555FD4" w14:textId="77777777" w:rsidTr="00633597">
        <w:trPr>
          <w:trHeight w:val="409"/>
        </w:trPr>
        <w:tc>
          <w:tcPr>
            <w:tcW w:w="4760" w:type="dxa"/>
            <w:gridSpan w:val="2"/>
            <w:vMerge w:val="restart"/>
            <w:tcBorders>
              <w:top w:val="single" w:sz="8" w:space="0" w:color="auto"/>
              <w:left w:val="single" w:sz="8" w:space="0" w:color="auto"/>
              <w:bottom w:val="single" w:sz="8" w:space="0" w:color="000000"/>
              <w:right w:val="single" w:sz="8" w:space="0" w:color="000000"/>
            </w:tcBorders>
            <w:shd w:val="clear" w:color="auto" w:fill="F2F2F2"/>
            <w:noWrap/>
            <w:tcMar>
              <w:top w:w="0" w:type="dxa"/>
              <w:left w:w="108" w:type="dxa"/>
              <w:bottom w:w="0" w:type="dxa"/>
              <w:right w:w="108" w:type="dxa"/>
            </w:tcMar>
            <w:vAlign w:val="center"/>
            <w:hideMark/>
          </w:tcPr>
          <w:p w14:paraId="30A1E4BB" w14:textId="77777777" w:rsidR="00633597" w:rsidRDefault="00633597">
            <w:pPr>
              <w:rPr>
                <w:rFonts w:ascii="Calibri" w:eastAsiaTheme="minorHAnsi" w:hAnsi="Calibri"/>
                <w:b/>
                <w:bCs/>
                <w:color w:val="000000"/>
                <w:szCs w:val="22"/>
                <w:lang w:eastAsia="en-US"/>
              </w:rPr>
            </w:pPr>
            <w:r>
              <w:rPr>
                <w:b/>
                <w:bCs/>
                <w:color w:val="000000"/>
              </w:rPr>
              <w:t>In 2014/15, same patient same day</w:t>
            </w:r>
          </w:p>
        </w:tc>
        <w:tc>
          <w:tcPr>
            <w:tcW w:w="1041" w:type="dxa"/>
            <w:vMerge w:val="restart"/>
            <w:tcBorders>
              <w:top w:val="single" w:sz="8" w:space="0" w:color="auto"/>
              <w:left w:val="nil"/>
              <w:bottom w:val="single" w:sz="8" w:space="0" w:color="000000"/>
              <w:right w:val="single" w:sz="8" w:space="0" w:color="auto"/>
            </w:tcBorders>
            <w:shd w:val="clear" w:color="auto" w:fill="F2F2F2"/>
            <w:tcMar>
              <w:top w:w="0" w:type="dxa"/>
              <w:left w:w="108" w:type="dxa"/>
              <w:bottom w:w="0" w:type="dxa"/>
              <w:right w:w="108" w:type="dxa"/>
            </w:tcMar>
            <w:vAlign w:val="center"/>
            <w:hideMark/>
          </w:tcPr>
          <w:p w14:paraId="4DD0A28A" w14:textId="77777777" w:rsidR="00633597" w:rsidRDefault="00633597">
            <w:pPr>
              <w:rPr>
                <w:rFonts w:ascii="Calibri" w:eastAsiaTheme="minorHAnsi" w:hAnsi="Calibri"/>
                <w:b/>
                <w:bCs/>
                <w:color w:val="000000"/>
                <w:szCs w:val="22"/>
                <w:lang w:eastAsia="en-US"/>
              </w:rPr>
            </w:pPr>
            <w:r>
              <w:rPr>
                <w:b/>
                <w:bCs/>
                <w:color w:val="000000"/>
              </w:rPr>
              <w:t>Episodes</w:t>
            </w:r>
          </w:p>
        </w:tc>
        <w:tc>
          <w:tcPr>
            <w:tcW w:w="981" w:type="dxa"/>
            <w:vMerge w:val="restart"/>
            <w:tcBorders>
              <w:top w:val="single" w:sz="8" w:space="0" w:color="auto"/>
              <w:left w:val="nil"/>
              <w:bottom w:val="single" w:sz="8" w:space="0" w:color="000000"/>
              <w:right w:val="single" w:sz="8" w:space="0" w:color="auto"/>
            </w:tcBorders>
            <w:shd w:val="clear" w:color="auto" w:fill="F2F2F2"/>
            <w:tcMar>
              <w:top w:w="0" w:type="dxa"/>
              <w:left w:w="108" w:type="dxa"/>
              <w:bottom w:w="0" w:type="dxa"/>
              <w:right w:w="108" w:type="dxa"/>
            </w:tcMar>
            <w:vAlign w:val="center"/>
            <w:hideMark/>
          </w:tcPr>
          <w:p w14:paraId="57F86258" w14:textId="77777777" w:rsidR="00633597" w:rsidRDefault="00633597">
            <w:pPr>
              <w:rPr>
                <w:rFonts w:ascii="Calibri" w:eastAsiaTheme="minorHAnsi" w:hAnsi="Calibri"/>
                <w:b/>
                <w:bCs/>
                <w:color w:val="000000"/>
                <w:szCs w:val="22"/>
                <w:lang w:eastAsia="en-US"/>
              </w:rPr>
            </w:pPr>
            <w:r>
              <w:rPr>
                <w:b/>
                <w:bCs/>
                <w:color w:val="000000"/>
              </w:rPr>
              <w:t>Number Services</w:t>
            </w:r>
          </w:p>
        </w:tc>
        <w:tc>
          <w:tcPr>
            <w:tcW w:w="1841" w:type="dxa"/>
            <w:vMerge w:val="restart"/>
            <w:tcBorders>
              <w:top w:val="single" w:sz="8" w:space="0" w:color="auto"/>
              <w:left w:val="nil"/>
              <w:bottom w:val="single" w:sz="8" w:space="0" w:color="000000"/>
              <w:right w:val="single" w:sz="8" w:space="0" w:color="auto"/>
            </w:tcBorders>
            <w:shd w:val="clear" w:color="auto" w:fill="F2F2F2"/>
            <w:tcMar>
              <w:top w:w="0" w:type="dxa"/>
              <w:left w:w="108" w:type="dxa"/>
              <w:bottom w:w="0" w:type="dxa"/>
              <w:right w:w="108" w:type="dxa"/>
            </w:tcMar>
            <w:vAlign w:val="center"/>
            <w:hideMark/>
          </w:tcPr>
          <w:p w14:paraId="6EE1BE7B" w14:textId="77777777" w:rsidR="00633597" w:rsidRDefault="00633597">
            <w:pPr>
              <w:rPr>
                <w:rFonts w:ascii="Calibri" w:eastAsiaTheme="minorHAnsi" w:hAnsi="Calibri"/>
                <w:b/>
                <w:bCs/>
                <w:color w:val="000000"/>
                <w:szCs w:val="22"/>
                <w:lang w:eastAsia="en-US"/>
              </w:rPr>
            </w:pPr>
            <w:r>
              <w:rPr>
                <w:b/>
                <w:bCs/>
                <w:color w:val="000000"/>
              </w:rPr>
              <w:t>Benefits Paid</w:t>
            </w:r>
          </w:p>
        </w:tc>
      </w:tr>
      <w:tr w:rsidR="00633597" w14:paraId="0C5A6E73" w14:textId="77777777" w:rsidTr="00633597">
        <w:trPr>
          <w:trHeight w:val="589"/>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174A3E7B" w14:textId="77777777" w:rsidR="00633597" w:rsidRDefault="00633597">
            <w:pPr>
              <w:rPr>
                <w:rFonts w:ascii="Calibri" w:eastAsiaTheme="minorHAnsi" w:hAnsi="Calibri"/>
                <w:b/>
                <w:bCs/>
                <w:color w:val="000000"/>
                <w:szCs w:val="22"/>
                <w:lang w:eastAsia="en-US"/>
              </w:rPr>
            </w:pPr>
          </w:p>
        </w:tc>
        <w:tc>
          <w:tcPr>
            <w:tcW w:w="0" w:type="auto"/>
            <w:vMerge/>
            <w:tcBorders>
              <w:top w:val="single" w:sz="8" w:space="0" w:color="auto"/>
              <w:left w:val="nil"/>
              <w:bottom w:val="single" w:sz="8" w:space="0" w:color="000000"/>
              <w:right w:val="single" w:sz="8" w:space="0" w:color="auto"/>
            </w:tcBorders>
            <w:vAlign w:val="center"/>
            <w:hideMark/>
          </w:tcPr>
          <w:p w14:paraId="164BAED5" w14:textId="77777777" w:rsidR="00633597" w:rsidRDefault="00633597">
            <w:pPr>
              <w:rPr>
                <w:rFonts w:ascii="Calibri" w:eastAsiaTheme="minorHAnsi" w:hAnsi="Calibri"/>
                <w:b/>
                <w:bCs/>
                <w:color w:val="000000"/>
                <w:szCs w:val="22"/>
                <w:lang w:eastAsia="en-US"/>
              </w:rPr>
            </w:pPr>
          </w:p>
        </w:tc>
        <w:tc>
          <w:tcPr>
            <w:tcW w:w="0" w:type="auto"/>
            <w:vMerge/>
            <w:tcBorders>
              <w:top w:val="single" w:sz="8" w:space="0" w:color="auto"/>
              <w:left w:val="nil"/>
              <w:bottom w:val="single" w:sz="8" w:space="0" w:color="000000"/>
              <w:right w:val="single" w:sz="8" w:space="0" w:color="auto"/>
            </w:tcBorders>
            <w:vAlign w:val="center"/>
            <w:hideMark/>
          </w:tcPr>
          <w:p w14:paraId="707ED30E" w14:textId="77777777" w:rsidR="00633597" w:rsidRDefault="00633597">
            <w:pPr>
              <w:rPr>
                <w:rFonts w:ascii="Calibri" w:eastAsiaTheme="minorHAnsi" w:hAnsi="Calibri"/>
                <w:b/>
                <w:bCs/>
                <w:color w:val="000000"/>
                <w:szCs w:val="22"/>
                <w:lang w:eastAsia="en-US"/>
              </w:rPr>
            </w:pPr>
          </w:p>
        </w:tc>
        <w:tc>
          <w:tcPr>
            <w:tcW w:w="0" w:type="auto"/>
            <w:vMerge/>
            <w:tcBorders>
              <w:top w:val="single" w:sz="8" w:space="0" w:color="auto"/>
              <w:left w:val="nil"/>
              <w:bottom w:val="single" w:sz="8" w:space="0" w:color="000000"/>
              <w:right w:val="single" w:sz="8" w:space="0" w:color="auto"/>
            </w:tcBorders>
            <w:vAlign w:val="center"/>
            <w:hideMark/>
          </w:tcPr>
          <w:p w14:paraId="4C73AA55" w14:textId="77777777" w:rsidR="00633597" w:rsidRDefault="00633597">
            <w:pPr>
              <w:rPr>
                <w:rFonts w:ascii="Calibri" w:eastAsiaTheme="minorHAnsi" w:hAnsi="Calibri"/>
                <w:b/>
                <w:bCs/>
                <w:color w:val="000000"/>
                <w:szCs w:val="22"/>
                <w:lang w:eastAsia="en-US"/>
              </w:rPr>
            </w:pPr>
          </w:p>
        </w:tc>
      </w:tr>
      <w:tr w:rsidR="00633597" w14:paraId="6DD4DF01" w14:textId="77777777" w:rsidTr="00633597">
        <w:trPr>
          <w:trHeight w:val="315"/>
        </w:trPr>
        <w:tc>
          <w:tcPr>
            <w:tcW w:w="206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44BF704" w14:textId="77777777" w:rsidR="00633597" w:rsidRDefault="00633597">
            <w:pPr>
              <w:jc w:val="center"/>
              <w:rPr>
                <w:rFonts w:ascii="Calibri" w:eastAsiaTheme="minorHAnsi" w:hAnsi="Calibri"/>
                <w:color w:val="000000"/>
                <w:szCs w:val="22"/>
                <w:lang w:eastAsia="en-US"/>
              </w:rPr>
            </w:pPr>
            <w:r>
              <w:rPr>
                <w:color w:val="000000"/>
              </w:rPr>
              <w:t>Same or Different providers</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5001A2" w14:textId="77777777" w:rsidR="00633597" w:rsidRDefault="00633597">
            <w:pPr>
              <w:rPr>
                <w:rFonts w:ascii="Calibri" w:eastAsiaTheme="minorHAnsi" w:hAnsi="Calibri"/>
                <w:color w:val="000000"/>
                <w:szCs w:val="22"/>
                <w:lang w:eastAsia="en-US"/>
              </w:rPr>
            </w:pPr>
            <w:r>
              <w:rPr>
                <w:color w:val="000000"/>
              </w:rPr>
              <w:t>55246C, 55244T</w:t>
            </w:r>
          </w:p>
        </w:tc>
        <w:tc>
          <w:tcPr>
            <w:tcW w:w="1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B9200" w14:textId="77777777" w:rsidR="00633597" w:rsidRDefault="00633597">
            <w:pPr>
              <w:jc w:val="right"/>
              <w:rPr>
                <w:rFonts w:ascii="Calibri" w:eastAsiaTheme="minorHAnsi" w:hAnsi="Calibri"/>
                <w:color w:val="000000"/>
                <w:szCs w:val="22"/>
                <w:lang w:eastAsia="en-US"/>
              </w:rPr>
            </w:pPr>
            <w:r>
              <w:rPr>
                <w:color w:val="000000"/>
              </w:rPr>
              <w:t>2,356</w:t>
            </w: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FCBDED" w14:textId="77777777" w:rsidR="00633597" w:rsidRDefault="00633597">
            <w:pPr>
              <w:jc w:val="right"/>
              <w:rPr>
                <w:rFonts w:ascii="Calibri" w:eastAsiaTheme="minorHAnsi" w:hAnsi="Calibri"/>
                <w:color w:val="000000"/>
                <w:szCs w:val="22"/>
                <w:lang w:eastAsia="en-US"/>
              </w:rPr>
            </w:pPr>
            <w:r>
              <w:rPr>
                <w:color w:val="000000"/>
              </w:rPr>
              <w:t>5,911</w:t>
            </w:r>
          </w:p>
        </w:tc>
        <w:tc>
          <w:tcPr>
            <w:tcW w:w="1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F0238" w14:textId="77777777" w:rsidR="00633597" w:rsidRDefault="00633597">
            <w:pPr>
              <w:jc w:val="right"/>
              <w:rPr>
                <w:rFonts w:ascii="Calibri" w:eastAsiaTheme="minorHAnsi" w:hAnsi="Calibri"/>
                <w:color w:val="000000"/>
                <w:szCs w:val="22"/>
                <w:lang w:eastAsia="en-US"/>
              </w:rPr>
            </w:pPr>
            <w:r>
              <w:rPr>
                <w:color w:val="000000"/>
              </w:rPr>
              <w:t>$701,558</w:t>
            </w:r>
          </w:p>
        </w:tc>
      </w:tr>
      <w:tr w:rsidR="00633597" w14:paraId="487440F0" w14:textId="77777777" w:rsidTr="00633597">
        <w:trPr>
          <w:trHeight w:val="1110"/>
        </w:trPr>
        <w:tc>
          <w:tcPr>
            <w:tcW w:w="0" w:type="auto"/>
            <w:vMerge/>
            <w:tcBorders>
              <w:top w:val="nil"/>
              <w:left w:val="single" w:sz="8" w:space="0" w:color="auto"/>
              <w:bottom w:val="single" w:sz="8" w:space="0" w:color="000000"/>
              <w:right w:val="single" w:sz="8" w:space="0" w:color="auto"/>
            </w:tcBorders>
            <w:vAlign w:val="center"/>
            <w:hideMark/>
          </w:tcPr>
          <w:p w14:paraId="1A7C2034" w14:textId="77777777" w:rsidR="00633597" w:rsidRDefault="00633597">
            <w:pPr>
              <w:rPr>
                <w:rFonts w:ascii="Calibri" w:eastAsiaTheme="minorHAnsi" w:hAnsi="Calibri"/>
                <w:color w:val="000000"/>
                <w:szCs w:val="22"/>
                <w:lang w:eastAsia="en-US"/>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EC2184" w14:textId="77777777" w:rsidR="00633597" w:rsidRDefault="00633597">
            <w:pPr>
              <w:rPr>
                <w:rFonts w:ascii="Calibri" w:eastAsiaTheme="minorHAnsi" w:hAnsi="Calibri"/>
                <w:color w:val="000000"/>
                <w:szCs w:val="22"/>
                <w:lang w:eastAsia="en-US"/>
              </w:rPr>
            </w:pPr>
            <w:r>
              <w:rPr>
                <w:color w:val="000000"/>
              </w:rPr>
              <w:t>Other combinations of the duplex scanning for DVT and chronic venous disease</w:t>
            </w:r>
          </w:p>
        </w:tc>
        <w:tc>
          <w:tcPr>
            <w:tcW w:w="1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CE8863" w14:textId="77777777" w:rsidR="00633597" w:rsidRDefault="00633597">
            <w:pPr>
              <w:jc w:val="right"/>
              <w:rPr>
                <w:rFonts w:ascii="Calibri" w:eastAsiaTheme="minorHAnsi" w:hAnsi="Calibri"/>
                <w:color w:val="000000"/>
                <w:szCs w:val="22"/>
                <w:lang w:eastAsia="en-US"/>
              </w:rPr>
            </w:pPr>
            <w:r>
              <w:rPr>
                <w:color w:val="000000"/>
              </w:rPr>
              <w:t xml:space="preserve">              93 </w:t>
            </w: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32A16" w14:textId="77777777" w:rsidR="00633597" w:rsidRDefault="00633597">
            <w:pPr>
              <w:jc w:val="right"/>
              <w:rPr>
                <w:rFonts w:ascii="Calibri" w:eastAsiaTheme="minorHAnsi" w:hAnsi="Calibri"/>
                <w:color w:val="000000"/>
                <w:szCs w:val="22"/>
                <w:lang w:eastAsia="en-US"/>
              </w:rPr>
            </w:pPr>
            <w:r>
              <w:rPr>
                <w:color w:val="000000"/>
              </w:rPr>
              <w:t xml:space="preserve">           228 </w:t>
            </w:r>
          </w:p>
        </w:tc>
        <w:tc>
          <w:tcPr>
            <w:tcW w:w="1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26BF5" w14:textId="77777777" w:rsidR="00633597" w:rsidRDefault="00633597">
            <w:pPr>
              <w:jc w:val="right"/>
              <w:rPr>
                <w:rFonts w:ascii="Calibri" w:eastAsiaTheme="minorHAnsi" w:hAnsi="Calibri"/>
                <w:color w:val="000000"/>
                <w:szCs w:val="22"/>
                <w:lang w:eastAsia="en-US"/>
              </w:rPr>
            </w:pPr>
            <w:r>
              <w:rPr>
                <w:color w:val="000000"/>
              </w:rPr>
              <w:t>$31,268</w:t>
            </w:r>
          </w:p>
        </w:tc>
      </w:tr>
      <w:tr w:rsidR="00633597" w14:paraId="1C8E7386" w14:textId="77777777" w:rsidTr="00633597">
        <w:trPr>
          <w:trHeight w:val="315"/>
        </w:trPr>
        <w:tc>
          <w:tcPr>
            <w:tcW w:w="0" w:type="auto"/>
            <w:vMerge/>
            <w:tcBorders>
              <w:top w:val="nil"/>
              <w:left w:val="single" w:sz="8" w:space="0" w:color="auto"/>
              <w:bottom w:val="single" w:sz="8" w:space="0" w:color="000000"/>
              <w:right w:val="single" w:sz="8" w:space="0" w:color="auto"/>
            </w:tcBorders>
            <w:vAlign w:val="center"/>
            <w:hideMark/>
          </w:tcPr>
          <w:p w14:paraId="2EEC141A" w14:textId="77777777" w:rsidR="00633597" w:rsidRDefault="00633597">
            <w:pPr>
              <w:rPr>
                <w:rFonts w:ascii="Calibri" w:eastAsiaTheme="minorHAnsi" w:hAnsi="Calibri"/>
                <w:color w:val="000000"/>
                <w:szCs w:val="22"/>
                <w:lang w:eastAsia="en-US"/>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BE5EA" w14:textId="77777777" w:rsidR="00633597" w:rsidRDefault="00633597">
            <w:pPr>
              <w:rPr>
                <w:rFonts w:ascii="Calibri" w:eastAsiaTheme="minorHAnsi" w:hAnsi="Calibri"/>
                <w:b/>
                <w:bCs/>
                <w:color w:val="000000"/>
                <w:szCs w:val="22"/>
                <w:lang w:eastAsia="en-US"/>
              </w:rPr>
            </w:pPr>
            <w:r>
              <w:rPr>
                <w:b/>
                <w:bCs/>
                <w:color w:val="000000"/>
              </w:rPr>
              <w:t xml:space="preserve">Total </w:t>
            </w:r>
          </w:p>
        </w:tc>
        <w:tc>
          <w:tcPr>
            <w:tcW w:w="1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00BE2" w14:textId="77777777" w:rsidR="00633597" w:rsidRDefault="00633597">
            <w:pPr>
              <w:jc w:val="right"/>
              <w:rPr>
                <w:rFonts w:ascii="Calibri" w:eastAsiaTheme="minorHAnsi" w:hAnsi="Calibri"/>
                <w:color w:val="000000"/>
                <w:szCs w:val="22"/>
                <w:lang w:eastAsia="en-US"/>
              </w:rPr>
            </w:pPr>
            <w:r>
              <w:rPr>
                <w:color w:val="000000"/>
              </w:rPr>
              <w:t xml:space="preserve">        2,449 </w:t>
            </w: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4E10E" w14:textId="77777777" w:rsidR="00633597" w:rsidRDefault="00633597">
            <w:pPr>
              <w:jc w:val="right"/>
              <w:rPr>
                <w:rFonts w:ascii="Calibri" w:eastAsiaTheme="minorHAnsi" w:hAnsi="Calibri"/>
                <w:color w:val="000000"/>
                <w:szCs w:val="22"/>
                <w:lang w:eastAsia="en-US"/>
              </w:rPr>
            </w:pPr>
            <w:r>
              <w:rPr>
                <w:color w:val="000000"/>
              </w:rPr>
              <w:t xml:space="preserve">        6,139 </w:t>
            </w:r>
          </w:p>
        </w:tc>
        <w:tc>
          <w:tcPr>
            <w:tcW w:w="1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0A849E" w14:textId="77777777" w:rsidR="00633597" w:rsidRDefault="00633597">
            <w:pPr>
              <w:jc w:val="right"/>
              <w:rPr>
                <w:rFonts w:ascii="Calibri" w:eastAsiaTheme="minorHAnsi" w:hAnsi="Calibri"/>
                <w:color w:val="000000"/>
                <w:szCs w:val="22"/>
                <w:lang w:eastAsia="en-US"/>
              </w:rPr>
            </w:pPr>
            <w:r>
              <w:rPr>
                <w:color w:val="000000"/>
              </w:rPr>
              <w:t>$732,826</w:t>
            </w:r>
          </w:p>
        </w:tc>
      </w:tr>
      <w:tr w:rsidR="00633597" w14:paraId="5736514B" w14:textId="77777777" w:rsidTr="00633597">
        <w:trPr>
          <w:trHeight w:val="315"/>
        </w:trPr>
        <w:tc>
          <w:tcPr>
            <w:tcW w:w="206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1FF29228" w14:textId="77777777" w:rsidR="00633597" w:rsidRDefault="00633597">
            <w:pPr>
              <w:jc w:val="center"/>
              <w:rPr>
                <w:rFonts w:ascii="Calibri" w:eastAsiaTheme="minorHAnsi" w:hAnsi="Calibri"/>
                <w:color w:val="000000"/>
                <w:szCs w:val="22"/>
                <w:lang w:eastAsia="en-US"/>
              </w:rPr>
            </w:pPr>
            <w:r>
              <w:rPr>
                <w:color w:val="000000"/>
              </w:rPr>
              <w:t>Same provider</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DBE08" w14:textId="77777777" w:rsidR="00633597" w:rsidRDefault="00633597">
            <w:pPr>
              <w:rPr>
                <w:rFonts w:ascii="Calibri" w:eastAsiaTheme="minorHAnsi" w:hAnsi="Calibri"/>
                <w:color w:val="000000"/>
                <w:szCs w:val="22"/>
                <w:lang w:eastAsia="en-US"/>
              </w:rPr>
            </w:pPr>
            <w:r>
              <w:rPr>
                <w:color w:val="000000"/>
              </w:rPr>
              <w:t>55246C, 55244T</w:t>
            </w:r>
          </w:p>
        </w:tc>
        <w:tc>
          <w:tcPr>
            <w:tcW w:w="1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006E8" w14:textId="77777777" w:rsidR="00633597" w:rsidRDefault="00633597">
            <w:pPr>
              <w:jc w:val="right"/>
              <w:rPr>
                <w:rFonts w:ascii="Calibri" w:eastAsiaTheme="minorHAnsi" w:hAnsi="Calibri"/>
                <w:color w:val="000000"/>
                <w:szCs w:val="22"/>
                <w:lang w:eastAsia="en-US"/>
              </w:rPr>
            </w:pPr>
            <w:r>
              <w:rPr>
                <w:color w:val="000000"/>
              </w:rPr>
              <w:t>2,349</w:t>
            </w: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5CF7E" w14:textId="77777777" w:rsidR="00633597" w:rsidRDefault="00633597">
            <w:pPr>
              <w:jc w:val="right"/>
              <w:rPr>
                <w:rFonts w:ascii="Calibri" w:eastAsiaTheme="minorHAnsi" w:hAnsi="Calibri"/>
                <w:color w:val="000000"/>
                <w:szCs w:val="22"/>
                <w:lang w:eastAsia="en-US"/>
              </w:rPr>
            </w:pPr>
            <w:r>
              <w:rPr>
                <w:color w:val="000000"/>
              </w:rPr>
              <w:t>5,895</w:t>
            </w:r>
          </w:p>
        </w:tc>
        <w:tc>
          <w:tcPr>
            <w:tcW w:w="1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5ED1E" w14:textId="77777777" w:rsidR="00633597" w:rsidRDefault="00633597">
            <w:pPr>
              <w:jc w:val="right"/>
              <w:rPr>
                <w:rFonts w:ascii="Calibri" w:eastAsiaTheme="minorHAnsi" w:hAnsi="Calibri"/>
                <w:color w:val="000000"/>
                <w:szCs w:val="22"/>
                <w:lang w:eastAsia="en-US"/>
              </w:rPr>
            </w:pPr>
            <w:r>
              <w:rPr>
                <w:color w:val="000000"/>
              </w:rPr>
              <w:t>$699,005</w:t>
            </w:r>
          </w:p>
        </w:tc>
      </w:tr>
      <w:tr w:rsidR="00633597" w14:paraId="71A5B0D2" w14:textId="77777777" w:rsidTr="00633597">
        <w:trPr>
          <w:trHeight w:val="915"/>
        </w:trPr>
        <w:tc>
          <w:tcPr>
            <w:tcW w:w="0" w:type="auto"/>
            <w:vMerge/>
            <w:tcBorders>
              <w:top w:val="nil"/>
              <w:left w:val="single" w:sz="8" w:space="0" w:color="auto"/>
              <w:bottom w:val="single" w:sz="8" w:space="0" w:color="000000"/>
              <w:right w:val="single" w:sz="8" w:space="0" w:color="auto"/>
            </w:tcBorders>
            <w:vAlign w:val="center"/>
            <w:hideMark/>
          </w:tcPr>
          <w:p w14:paraId="59D98954" w14:textId="77777777" w:rsidR="00633597" w:rsidRDefault="00633597">
            <w:pPr>
              <w:rPr>
                <w:rFonts w:ascii="Calibri" w:eastAsiaTheme="minorHAnsi" w:hAnsi="Calibri"/>
                <w:color w:val="000000"/>
                <w:szCs w:val="22"/>
                <w:lang w:eastAsia="en-US"/>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76489D" w14:textId="77777777" w:rsidR="00633597" w:rsidRDefault="00633597">
            <w:pPr>
              <w:rPr>
                <w:rFonts w:ascii="Calibri" w:eastAsiaTheme="minorHAnsi" w:hAnsi="Calibri"/>
                <w:color w:val="000000"/>
                <w:szCs w:val="22"/>
                <w:lang w:eastAsia="en-US"/>
              </w:rPr>
            </w:pPr>
            <w:r>
              <w:rPr>
                <w:color w:val="000000"/>
              </w:rPr>
              <w:t>Other combinations of the duplex scanning for DVT and chronic venous disease</w:t>
            </w:r>
          </w:p>
        </w:tc>
        <w:tc>
          <w:tcPr>
            <w:tcW w:w="1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C747F" w14:textId="77777777" w:rsidR="00633597" w:rsidRDefault="00633597">
            <w:pPr>
              <w:jc w:val="right"/>
              <w:rPr>
                <w:rFonts w:ascii="Calibri" w:eastAsiaTheme="minorHAnsi" w:hAnsi="Calibri"/>
                <w:color w:val="000000"/>
                <w:szCs w:val="22"/>
                <w:lang w:eastAsia="en-US"/>
              </w:rPr>
            </w:pPr>
            <w:r>
              <w:rPr>
                <w:color w:val="000000"/>
              </w:rPr>
              <w:t>12</w:t>
            </w: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DEE39" w14:textId="77777777" w:rsidR="00633597" w:rsidRDefault="00633597">
            <w:pPr>
              <w:jc w:val="right"/>
              <w:rPr>
                <w:rFonts w:ascii="Calibri" w:eastAsiaTheme="minorHAnsi" w:hAnsi="Calibri"/>
                <w:color w:val="000000"/>
                <w:szCs w:val="22"/>
                <w:lang w:eastAsia="en-US"/>
              </w:rPr>
            </w:pPr>
            <w:r>
              <w:rPr>
                <w:color w:val="000000"/>
              </w:rPr>
              <w:t>32</w:t>
            </w:r>
          </w:p>
        </w:tc>
        <w:tc>
          <w:tcPr>
            <w:tcW w:w="1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C8E27C" w14:textId="77777777" w:rsidR="00633597" w:rsidRDefault="00633597">
            <w:pPr>
              <w:jc w:val="right"/>
              <w:rPr>
                <w:rFonts w:ascii="Calibri" w:eastAsiaTheme="minorHAnsi" w:hAnsi="Calibri"/>
                <w:color w:val="000000"/>
                <w:szCs w:val="22"/>
                <w:lang w:eastAsia="en-US"/>
              </w:rPr>
            </w:pPr>
            <w:r>
              <w:rPr>
                <w:color w:val="000000"/>
              </w:rPr>
              <w:t>$1,856</w:t>
            </w:r>
          </w:p>
        </w:tc>
      </w:tr>
      <w:tr w:rsidR="00633597" w14:paraId="008C7A35" w14:textId="77777777" w:rsidTr="00633597">
        <w:trPr>
          <w:trHeight w:val="315"/>
        </w:trPr>
        <w:tc>
          <w:tcPr>
            <w:tcW w:w="0" w:type="auto"/>
            <w:vMerge/>
            <w:tcBorders>
              <w:top w:val="nil"/>
              <w:left w:val="single" w:sz="8" w:space="0" w:color="auto"/>
              <w:bottom w:val="single" w:sz="8" w:space="0" w:color="000000"/>
              <w:right w:val="single" w:sz="8" w:space="0" w:color="auto"/>
            </w:tcBorders>
            <w:vAlign w:val="center"/>
            <w:hideMark/>
          </w:tcPr>
          <w:p w14:paraId="7C7D5934" w14:textId="77777777" w:rsidR="00633597" w:rsidRDefault="00633597">
            <w:pPr>
              <w:rPr>
                <w:rFonts w:ascii="Calibri" w:eastAsiaTheme="minorHAnsi" w:hAnsi="Calibri"/>
                <w:color w:val="000000"/>
                <w:szCs w:val="22"/>
                <w:lang w:eastAsia="en-US"/>
              </w:rPr>
            </w:pP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415E6" w14:textId="77777777" w:rsidR="00633597" w:rsidRDefault="00633597">
            <w:pPr>
              <w:rPr>
                <w:rFonts w:ascii="Calibri" w:eastAsiaTheme="minorHAnsi" w:hAnsi="Calibri"/>
                <w:b/>
                <w:bCs/>
                <w:color w:val="000000"/>
                <w:szCs w:val="22"/>
                <w:lang w:eastAsia="en-US"/>
              </w:rPr>
            </w:pPr>
            <w:r>
              <w:rPr>
                <w:b/>
                <w:bCs/>
                <w:color w:val="000000"/>
              </w:rPr>
              <w:t>Total</w:t>
            </w:r>
          </w:p>
        </w:tc>
        <w:tc>
          <w:tcPr>
            <w:tcW w:w="1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91C0E" w14:textId="77777777" w:rsidR="00633597" w:rsidRDefault="00633597">
            <w:pPr>
              <w:jc w:val="right"/>
              <w:rPr>
                <w:rFonts w:ascii="Calibri" w:eastAsiaTheme="minorHAnsi" w:hAnsi="Calibri"/>
                <w:color w:val="000000"/>
                <w:szCs w:val="22"/>
                <w:lang w:eastAsia="en-US"/>
              </w:rPr>
            </w:pPr>
            <w:r>
              <w:rPr>
                <w:color w:val="000000"/>
              </w:rPr>
              <w:t>2,361</w:t>
            </w: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961689" w14:textId="77777777" w:rsidR="00633597" w:rsidRDefault="00633597">
            <w:pPr>
              <w:jc w:val="right"/>
              <w:rPr>
                <w:rFonts w:ascii="Calibri" w:eastAsiaTheme="minorHAnsi" w:hAnsi="Calibri"/>
                <w:color w:val="000000"/>
                <w:szCs w:val="22"/>
                <w:lang w:eastAsia="en-US"/>
              </w:rPr>
            </w:pPr>
            <w:r>
              <w:rPr>
                <w:color w:val="000000"/>
              </w:rPr>
              <w:t>5,927</w:t>
            </w:r>
          </w:p>
        </w:tc>
        <w:tc>
          <w:tcPr>
            <w:tcW w:w="1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EB4A40" w14:textId="77777777" w:rsidR="00633597" w:rsidRDefault="00633597">
            <w:pPr>
              <w:jc w:val="right"/>
              <w:rPr>
                <w:rFonts w:ascii="Calibri" w:eastAsiaTheme="minorHAnsi" w:hAnsi="Calibri"/>
                <w:color w:val="000000"/>
                <w:szCs w:val="22"/>
                <w:lang w:eastAsia="en-US"/>
              </w:rPr>
            </w:pPr>
            <w:r>
              <w:rPr>
                <w:color w:val="000000"/>
              </w:rPr>
              <w:t>$700,861</w:t>
            </w:r>
          </w:p>
        </w:tc>
      </w:tr>
    </w:tbl>
    <w:p w14:paraId="0B07B38A" w14:textId="77777777" w:rsidR="00633597" w:rsidRDefault="00633597" w:rsidP="00633597">
      <w:pPr>
        <w:pStyle w:val="NormalBulleted"/>
        <w:numPr>
          <w:ilvl w:val="0"/>
          <w:numId w:val="0"/>
        </w:numPr>
        <w:rPr>
          <w:sz w:val="18"/>
          <w:szCs w:val="18"/>
        </w:rPr>
      </w:pPr>
      <w:r>
        <w:rPr>
          <w:sz w:val="18"/>
          <w:szCs w:val="18"/>
        </w:rPr>
        <w:t>Source: Department of Health, unpublished data, based on date of service using data processed up to 30 August 2015</w:t>
      </w:r>
    </w:p>
    <w:p w14:paraId="37413B77" w14:textId="5CD4D2B5" w:rsidR="008E40AB" w:rsidRPr="00FF51E9" w:rsidRDefault="008E40AB" w:rsidP="00925924">
      <w:pPr>
        <w:pStyle w:val="Tabletext9"/>
        <w:numPr>
          <w:ilvl w:val="0"/>
          <w:numId w:val="0"/>
        </w:numPr>
        <w:ind w:hanging="5"/>
        <w:rPr>
          <w:sz w:val="22"/>
          <w:lang w:val="en-US" w:eastAsia="en-US"/>
        </w:rPr>
      </w:pPr>
      <w:r w:rsidRPr="00FF51E9">
        <w:rPr>
          <w:sz w:val="22"/>
          <w:lang w:val="en-US" w:eastAsia="en-US"/>
        </w:rPr>
        <w:lastRenderedPageBreak/>
        <w:t xml:space="preserve">Additional data on the number of services for DVT items requested by different provider </w:t>
      </w:r>
      <w:proofErr w:type="spellStart"/>
      <w:r w:rsidRPr="00FF51E9">
        <w:rPr>
          <w:sz w:val="22"/>
          <w:lang w:val="en-US" w:eastAsia="en-US"/>
        </w:rPr>
        <w:t>specialities</w:t>
      </w:r>
      <w:proofErr w:type="spellEnd"/>
      <w:r w:rsidRPr="00FF51E9">
        <w:rPr>
          <w:sz w:val="22"/>
          <w:lang w:val="en-US" w:eastAsia="en-US"/>
        </w:rPr>
        <w:t xml:space="preserve"> show that a larger number of services are requested, particularly in the primary care setting, where approximately 158,000 services were ordered by general </w:t>
      </w:r>
      <w:r w:rsidR="00925924">
        <w:rPr>
          <w:sz w:val="22"/>
          <w:lang w:val="en-US" w:eastAsia="en-US"/>
        </w:rPr>
        <w:t xml:space="preserve">practitioners during 2014–2015. This is </w:t>
      </w:r>
      <w:r w:rsidRPr="00FF51E9">
        <w:rPr>
          <w:sz w:val="22"/>
          <w:lang w:val="en-US" w:eastAsia="en-US"/>
        </w:rPr>
        <w:t>compatible with appropriate clinical use of diagnostic imaging.</w:t>
      </w:r>
    </w:p>
    <w:p w14:paraId="6FDEE791" w14:textId="7D808495" w:rsidR="00DF3369" w:rsidRPr="00615A94" w:rsidRDefault="00DF3369" w:rsidP="00DF3369">
      <w:pPr>
        <w:pStyle w:val="Heading2"/>
      </w:pPr>
      <w:bookmarkStart w:id="36" w:name="_Toc468787469"/>
      <w:r>
        <w:t>Issues</w:t>
      </w:r>
      <w:bookmarkEnd w:id="36"/>
    </w:p>
    <w:p w14:paraId="04E25C2F" w14:textId="1416D438" w:rsidR="00446520" w:rsidRPr="00446520" w:rsidRDefault="00446520" w:rsidP="00174F63">
      <w:pPr>
        <w:pStyle w:val="Bullet1"/>
        <w:rPr>
          <w:b/>
          <w:lang w:val="en-GB"/>
        </w:rPr>
      </w:pPr>
      <w:r w:rsidRPr="00446520">
        <w:rPr>
          <w:lang w:val="en-US"/>
        </w:rPr>
        <w:t xml:space="preserve">The MBS </w:t>
      </w:r>
      <w:r w:rsidR="00733234">
        <w:rPr>
          <w:lang w:val="en-US"/>
        </w:rPr>
        <w:t>G</w:t>
      </w:r>
      <w:r w:rsidRPr="00446520">
        <w:rPr>
          <w:lang w:val="en-US"/>
        </w:rPr>
        <w:t xml:space="preserve">roup I1 </w:t>
      </w:r>
      <w:r w:rsidR="00733234">
        <w:rPr>
          <w:lang w:val="en-US"/>
        </w:rPr>
        <w:t>U</w:t>
      </w:r>
      <w:r w:rsidRPr="00446520">
        <w:rPr>
          <w:lang w:val="en-US"/>
        </w:rPr>
        <w:t xml:space="preserve">ltrasound </w:t>
      </w:r>
      <w:r w:rsidR="00733234">
        <w:rPr>
          <w:lang w:val="en-US"/>
        </w:rPr>
        <w:t>S</w:t>
      </w:r>
      <w:r w:rsidRPr="00446520">
        <w:rPr>
          <w:lang w:val="en-US"/>
        </w:rPr>
        <w:t xml:space="preserve">ubgroup 3 </w:t>
      </w:r>
      <w:r w:rsidR="00733234">
        <w:rPr>
          <w:lang w:val="en-US"/>
        </w:rPr>
        <w:t>V</w:t>
      </w:r>
      <w:r w:rsidRPr="00446520">
        <w:rPr>
          <w:lang w:val="en-US"/>
        </w:rPr>
        <w:t xml:space="preserve">ascular contains </w:t>
      </w:r>
      <w:proofErr w:type="gramStart"/>
      <w:r w:rsidRPr="00446520">
        <w:rPr>
          <w:lang w:val="en-US"/>
        </w:rPr>
        <w:t>a number of</w:t>
      </w:r>
      <w:proofErr w:type="gramEnd"/>
      <w:r w:rsidRPr="00446520">
        <w:rPr>
          <w:lang w:val="en-US"/>
        </w:rPr>
        <w:t xml:space="preserve"> items that describe the same procedure and have the same MBS fees for different vessels</w:t>
      </w:r>
      <w:r w:rsidR="00733234">
        <w:rPr>
          <w:lang w:val="en-US"/>
        </w:rPr>
        <w:t xml:space="preserve"> and for subsequent pathologies</w:t>
      </w:r>
      <w:r w:rsidRPr="00446520">
        <w:rPr>
          <w:lang w:val="en-US"/>
        </w:rPr>
        <w:t>. Anecdotal evidence suggests that some providers have been claiming the wrong items of the same value due to the complexity of this part of the schedule.</w:t>
      </w:r>
    </w:p>
    <w:p w14:paraId="7AF730EA" w14:textId="1F4B31E3" w:rsidR="00446520" w:rsidRPr="00446520" w:rsidRDefault="00AD4F45" w:rsidP="00174F63">
      <w:pPr>
        <w:pStyle w:val="Bullet1"/>
        <w:rPr>
          <w:b/>
          <w:lang w:val="en-GB"/>
        </w:rPr>
      </w:pPr>
      <w:r>
        <w:rPr>
          <w:lang w:val="en-US"/>
        </w:rPr>
        <w:t>There was also concern that vascular imaging may be done for a screening purpose noting that</w:t>
      </w:r>
      <w:r w:rsidR="00446520" w:rsidRPr="00446520">
        <w:rPr>
          <w:lang w:val="en-US"/>
        </w:rPr>
        <w:t>, Medicare does not support screening ultrasound.</w:t>
      </w:r>
    </w:p>
    <w:p w14:paraId="781C89E6" w14:textId="77777777" w:rsidR="00446520" w:rsidRPr="00446520" w:rsidRDefault="00446520" w:rsidP="00174F63">
      <w:pPr>
        <w:pStyle w:val="Bullet1"/>
        <w:rPr>
          <w:b/>
          <w:lang w:val="en-GB"/>
        </w:rPr>
      </w:pPr>
      <w:r w:rsidRPr="00446520">
        <w:rPr>
          <w:lang w:val="en-US"/>
        </w:rPr>
        <w:t>The principal purpose of this review of duplex ultrasound for DVT was to consider:</w:t>
      </w:r>
    </w:p>
    <w:p w14:paraId="79E3375C" w14:textId="77777777" w:rsidR="00446520" w:rsidRPr="004B0747" w:rsidRDefault="00446520" w:rsidP="00893438">
      <w:pPr>
        <w:numPr>
          <w:ilvl w:val="1"/>
          <w:numId w:val="13"/>
        </w:numPr>
        <w:spacing w:line="240" w:lineRule="auto"/>
        <w:rPr>
          <w:lang w:val="en-US"/>
        </w:rPr>
      </w:pPr>
      <w:r w:rsidRPr="004B0747">
        <w:rPr>
          <w:lang w:val="en-US"/>
        </w:rPr>
        <w:t>whether changes should be made to the MBS items to support the Choosing Wisely recommendations (below) for duplex compression ultrasound for suspected lower limb DVT</w:t>
      </w:r>
    </w:p>
    <w:p w14:paraId="1CCFB98A" w14:textId="77777777" w:rsidR="00446520" w:rsidRPr="004B0747" w:rsidRDefault="00446520" w:rsidP="00893438">
      <w:pPr>
        <w:numPr>
          <w:ilvl w:val="1"/>
          <w:numId w:val="13"/>
        </w:numPr>
        <w:spacing w:line="240" w:lineRule="auto"/>
        <w:rPr>
          <w:lang w:val="en-US"/>
        </w:rPr>
      </w:pPr>
      <w:r w:rsidRPr="004B0747">
        <w:rPr>
          <w:lang w:val="en-US"/>
        </w:rPr>
        <w:t>whether the USA and Canada Choosing Wisely recommendations that do not support routine vascular ultrasound in post-operative knee and hip arthroplasty patients should be supported</w:t>
      </w:r>
    </w:p>
    <w:p w14:paraId="680D9303" w14:textId="77777777" w:rsidR="00446520" w:rsidRPr="00446520" w:rsidRDefault="00446520" w:rsidP="00893438">
      <w:pPr>
        <w:numPr>
          <w:ilvl w:val="1"/>
          <w:numId w:val="13"/>
        </w:numPr>
      </w:pPr>
      <w:r w:rsidRPr="00446520">
        <w:t>the necessity of having different ultrasound items for different vascular systems; and</w:t>
      </w:r>
    </w:p>
    <w:p w14:paraId="17E7DC38" w14:textId="22C5999F" w:rsidR="00446520" w:rsidRPr="00446520" w:rsidRDefault="00446520" w:rsidP="00893438">
      <w:pPr>
        <w:numPr>
          <w:ilvl w:val="1"/>
          <w:numId w:val="13"/>
        </w:numPr>
        <w:spacing w:line="240" w:lineRule="auto"/>
      </w:pPr>
      <w:r w:rsidRPr="00446520">
        <w:t xml:space="preserve">the appropriateness of co-claiming duplex scanning for </w:t>
      </w:r>
      <w:r w:rsidR="00AD4F45">
        <w:t xml:space="preserve">acute </w:t>
      </w:r>
      <w:r w:rsidRPr="00446520">
        <w:t>DVT and chronic venous disease for the same patient on the same day.</w:t>
      </w:r>
    </w:p>
    <w:p w14:paraId="517E7AE5" w14:textId="50F4D97D" w:rsidR="00A74C6B" w:rsidRPr="009662CD" w:rsidRDefault="00A74C6B" w:rsidP="00D05862">
      <w:pPr>
        <w:pStyle w:val="Heading2"/>
      </w:pPr>
      <w:bookmarkStart w:id="37" w:name="_Toc456613787"/>
      <w:bookmarkStart w:id="38" w:name="_Toc468787470"/>
      <w:r w:rsidRPr="009662CD">
        <w:t>Recommendation</w:t>
      </w:r>
      <w:bookmarkEnd w:id="37"/>
      <w:r w:rsidR="004B0747">
        <w:t xml:space="preserve"> 1 </w:t>
      </w:r>
      <w:r w:rsidR="004B0747" w:rsidRPr="00C01C61">
        <w:t>MBS explanatory notes for the MBS items dealing with diagnostic imaging for DVT</w:t>
      </w:r>
      <w:bookmarkEnd w:id="38"/>
    </w:p>
    <w:p w14:paraId="5AD77D45" w14:textId="5C487423" w:rsidR="00174F63" w:rsidRPr="00C01C61" w:rsidRDefault="00C572F7" w:rsidP="00C01C61">
      <w:pPr>
        <w:pStyle w:val="Heading3Numbered"/>
      </w:pPr>
      <w:bookmarkStart w:id="39" w:name="_Toc456613788"/>
      <w:r>
        <w:t xml:space="preserve">Recommendation </w:t>
      </w:r>
    </w:p>
    <w:p w14:paraId="517B06B9" w14:textId="21456580" w:rsidR="00174F63" w:rsidRPr="00006F0E" w:rsidRDefault="00B01C42" w:rsidP="00893438">
      <w:pPr>
        <w:pStyle w:val="Tabletext9"/>
        <w:rPr>
          <w:rStyle w:val="Hyperlink"/>
          <w:sz w:val="22"/>
        </w:rPr>
      </w:pPr>
      <w:r w:rsidRPr="00893438">
        <w:rPr>
          <w:sz w:val="22"/>
        </w:rPr>
        <w:t xml:space="preserve">Introduce an </w:t>
      </w:r>
      <w:r w:rsidR="00BC5996">
        <w:rPr>
          <w:sz w:val="22"/>
        </w:rPr>
        <w:t xml:space="preserve">MBS </w:t>
      </w:r>
      <w:r w:rsidRPr="00893438">
        <w:rPr>
          <w:sz w:val="22"/>
        </w:rPr>
        <w:t xml:space="preserve">explanatory </w:t>
      </w:r>
      <w:r w:rsidR="00BC5996">
        <w:rPr>
          <w:sz w:val="22"/>
        </w:rPr>
        <w:t xml:space="preserve">note stating that </w:t>
      </w:r>
      <w:r w:rsidR="00174F63" w:rsidRPr="00893438">
        <w:rPr>
          <w:sz w:val="22"/>
        </w:rPr>
        <w:t xml:space="preserve">medical practitioners referring patients for duplex ultrasound for suspected lower limb DVT (items 55221, 55244) should read and consider the following Royal Australian and New Zealand College of Radiologists </w:t>
      </w:r>
      <w:r w:rsidR="00006F0E">
        <w:rPr>
          <w:sz w:val="22"/>
        </w:rPr>
        <w:fldChar w:fldCharType="begin"/>
      </w:r>
      <w:r w:rsidR="00006F0E">
        <w:rPr>
          <w:sz w:val="22"/>
        </w:rPr>
        <w:instrText xml:space="preserve"> HYPERLINK "http://www.choosingwisely.org.au/recommendations/ranzcr" </w:instrText>
      </w:r>
      <w:r w:rsidR="00006F0E">
        <w:rPr>
          <w:sz w:val="22"/>
        </w:rPr>
        <w:fldChar w:fldCharType="separate"/>
      </w:r>
      <w:r w:rsidR="00174F63" w:rsidRPr="00006F0E">
        <w:rPr>
          <w:rStyle w:val="Hyperlink"/>
          <w:sz w:val="22"/>
        </w:rPr>
        <w:t>RANZCR 2015 Choosing Wisely recommendations</w:t>
      </w:r>
      <w:r w:rsidR="00006F0E" w:rsidRPr="00006F0E">
        <w:rPr>
          <w:rStyle w:val="Hyperlink"/>
          <w:sz w:val="22"/>
        </w:rPr>
        <w:t>:</w:t>
      </w:r>
      <w:r w:rsidR="00174F63" w:rsidRPr="00006F0E">
        <w:rPr>
          <w:rStyle w:val="Hyperlink"/>
          <w:sz w:val="22"/>
        </w:rPr>
        <w:t xml:space="preserve"> </w:t>
      </w:r>
    </w:p>
    <w:p w14:paraId="7DB9122C" w14:textId="77777777" w:rsidR="00584FF7" w:rsidRPr="00584FF7" w:rsidRDefault="00006F0E" w:rsidP="00584FF7">
      <w:pPr>
        <w:pStyle w:val="Tabletext9"/>
        <w:numPr>
          <w:ilvl w:val="0"/>
          <w:numId w:val="0"/>
        </w:numPr>
        <w:tabs>
          <w:tab w:val="clear" w:pos="1728"/>
          <w:tab w:val="left" w:pos="1843"/>
        </w:tabs>
        <w:spacing w:line="240" w:lineRule="auto"/>
        <w:rPr>
          <w:sz w:val="22"/>
          <w:lang w:val="en-GB" w:eastAsia="en-US"/>
        </w:rPr>
      </w:pPr>
      <w:r>
        <w:rPr>
          <w:sz w:val="22"/>
        </w:rPr>
        <w:fldChar w:fldCharType="end"/>
      </w:r>
    </w:p>
    <w:p w14:paraId="655D5D7D" w14:textId="3FFB0A82" w:rsidR="00893438" w:rsidRDefault="00174F63" w:rsidP="00584FF7">
      <w:pPr>
        <w:pStyle w:val="Tabletext9"/>
        <w:numPr>
          <w:ilvl w:val="0"/>
          <w:numId w:val="16"/>
        </w:numPr>
        <w:tabs>
          <w:tab w:val="clear" w:pos="1728"/>
          <w:tab w:val="left" w:pos="1843"/>
        </w:tabs>
        <w:spacing w:line="360" w:lineRule="auto"/>
        <w:ind w:left="1797" w:hanging="357"/>
        <w:rPr>
          <w:sz w:val="22"/>
          <w:lang w:val="en-GB" w:eastAsia="en-US"/>
        </w:rPr>
      </w:pPr>
      <w:r w:rsidRPr="00371437">
        <w:rPr>
          <w:sz w:val="22"/>
          <w:lang w:val="en-GB" w:eastAsia="en-US"/>
        </w:rPr>
        <w:t xml:space="preserve">Don’t request duplex compression ultrasound </w:t>
      </w:r>
      <w:r w:rsidRPr="00006F0E">
        <w:rPr>
          <w:sz w:val="22"/>
        </w:rPr>
        <w:t>for</w:t>
      </w:r>
      <w:r w:rsidRPr="00371437">
        <w:rPr>
          <w:sz w:val="22"/>
          <w:lang w:val="en-GB" w:eastAsia="en-US"/>
        </w:rPr>
        <w:t xml:space="preserve"> suspected lower limb deep venous thrombosis in ambulatory outpatients unless the Wells Score (deep venous thrombosis risk assessment score) is greater than 2, OR if less than 2, D dimer assay is positive.</w:t>
      </w:r>
    </w:p>
    <w:p w14:paraId="63FA4EE3" w14:textId="77777777" w:rsidR="00584FF7" w:rsidRPr="00371437" w:rsidRDefault="00584FF7" w:rsidP="00584FF7">
      <w:pPr>
        <w:pStyle w:val="Tabletext9"/>
        <w:numPr>
          <w:ilvl w:val="0"/>
          <w:numId w:val="0"/>
        </w:numPr>
        <w:tabs>
          <w:tab w:val="clear" w:pos="1728"/>
          <w:tab w:val="left" w:pos="1843"/>
        </w:tabs>
        <w:spacing w:line="240" w:lineRule="auto"/>
        <w:ind w:left="1797"/>
        <w:rPr>
          <w:sz w:val="22"/>
          <w:lang w:val="en-GB" w:eastAsia="en-US"/>
        </w:rPr>
      </w:pPr>
    </w:p>
    <w:p w14:paraId="4EA348AE" w14:textId="6928125A" w:rsidR="003E41F3" w:rsidRPr="00893438" w:rsidRDefault="003E41F3" w:rsidP="00584FF7">
      <w:pPr>
        <w:pStyle w:val="Tabletext9"/>
        <w:rPr>
          <w:sz w:val="22"/>
        </w:rPr>
      </w:pPr>
      <w:r w:rsidRPr="00893438">
        <w:rPr>
          <w:sz w:val="22"/>
        </w:rPr>
        <w:t>Education of target referrers on the Choosing Wisely Recommendations should be implemented. The provision of educational strategies is not within the remit of the MBS but rather the MBS could leverage off educational strategies developed by the Colleges or a third-party organisation such as NPS MedicineWise whose primary role is to provide general education to health professionals.</w:t>
      </w:r>
    </w:p>
    <w:p w14:paraId="2BD06348" w14:textId="77777777" w:rsidR="004B0747" w:rsidRDefault="004B0747" w:rsidP="00584FF7">
      <w:pPr>
        <w:pStyle w:val="Bullet1"/>
        <w:numPr>
          <w:ilvl w:val="0"/>
          <w:numId w:val="0"/>
        </w:numPr>
        <w:spacing w:before="40"/>
        <w:ind w:left="431"/>
        <w:rPr>
          <w:lang w:val="en-US"/>
        </w:rPr>
      </w:pPr>
    </w:p>
    <w:p w14:paraId="46A7D1FB" w14:textId="77777777" w:rsidR="004B0747" w:rsidRPr="003367CA" w:rsidRDefault="004B0747" w:rsidP="004B0747">
      <w:pPr>
        <w:pStyle w:val="Heading3Numbered"/>
      </w:pPr>
      <w:r w:rsidRPr="003367CA">
        <w:lastRenderedPageBreak/>
        <w:t>R</w:t>
      </w:r>
      <w:r>
        <w:t>ationale</w:t>
      </w:r>
    </w:p>
    <w:p w14:paraId="1A9811D2" w14:textId="0AC1751F" w:rsidR="003D32C2" w:rsidRPr="003D32C2" w:rsidRDefault="004B0747" w:rsidP="003D32C2">
      <w:pPr>
        <w:pStyle w:val="Tabletext9"/>
        <w:rPr>
          <w:sz w:val="22"/>
        </w:rPr>
      </w:pPr>
      <w:r w:rsidRPr="00446520">
        <w:rPr>
          <w:sz w:val="22"/>
        </w:rPr>
        <w:t>The Choosing Wisely recommendations from the USA and Canada as they are currently written have not been supported</w:t>
      </w:r>
      <w:r w:rsidR="003D32C2">
        <w:rPr>
          <w:sz w:val="22"/>
        </w:rPr>
        <w:t xml:space="preserve">.  </w:t>
      </w:r>
      <w:r w:rsidR="003D32C2" w:rsidRPr="003D32C2">
        <w:rPr>
          <w:sz w:val="22"/>
          <w:lang w:val="en-GB" w:eastAsia="en-US"/>
        </w:rPr>
        <w:t>There are several issues with scientific validity of the Choosing Wisely recommendations from the USA and Canada and the American Academy of Orthopaedic Surgeons (AAOS) guidelines as they apply to DVT US, in particular:</w:t>
      </w:r>
    </w:p>
    <w:p w14:paraId="54D97108" w14:textId="20AE8816" w:rsidR="00584FF7" w:rsidRPr="00584FF7" w:rsidRDefault="00584FF7" w:rsidP="00584FF7">
      <w:pPr>
        <w:numPr>
          <w:ilvl w:val="1"/>
          <w:numId w:val="13"/>
        </w:numPr>
        <w:spacing w:line="240" w:lineRule="auto"/>
        <w:rPr>
          <w:lang w:val="en-US"/>
        </w:rPr>
      </w:pPr>
      <w:r w:rsidRPr="00371437">
        <w:rPr>
          <w:lang w:val="en-US"/>
        </w:rPr>
        <w:t xml:space="preserve">these recommendations and guidelines do not allow for clinical situations where ultrasound requests are justified by clinical </w:t>
      </w:r>
      <w:r w:rsidRPr="00584FF7">
        <w:t>judgement</w:t>
      </w:r>
      <w:r w:rsidRPr="00371437">
        <w:rPr>
          <w:lang w:val="en-US"/>
        </w:rPr>
        <w:t>.</w:t>
      </w:r>
    </w:p>
    <w:p w14:paraId="56F067C0" w14:textId="77777777" w:rsidR="003D32C2" w:rsidRPr="00371437" w:rsidRDefault="003D32C2" w:rsidP="00371437">
      <w:pPr>
        <w:numPr>
          <w:ilvl w:val="1"/>
          <w:numId w:val="13"/>
        </w:numPr>
        <w:spacing w:line="240" w:lineRule="auto"/>
        <w:rPr>
          <w:lang w:val="en-US"/>
        </w:rPr>
      </w:pPr>
      <w:r w:rsidRPr="00371437">
        <w:rPr>
          <w:lang w:val="en-US"/>
        </w:rPr>
        <w:t xml:space="preserve">Choosing Wisely recommendations are biased in that they are </w:t>
      </w:r>
      <w:proofErr w:type="spellStart"/>
      <w:r w:rsidRPr="00371437">
        <w:rPr>
          <w:lang w:val="en-US"/>
        </w:rPr>
        <w:t>orthopaedic</w:t>
      </w:r>
      <w:proofErr w:type="spellEnd"/>
      <w:r w:rsidRPr="00371437">
        <w:rPr>
          <w:lang w:val="en-US"/>
        </w:rPr>
        <w:t xml:space="preserve">-centric and make a number of unjustified assumptions about DVT </w:t>
      </w:r>
      <w:proofErr w:type="gramStart"/>
      <w:r w:rsidRPr="00371437">
        <w:rPr>
          <w:lang w:val="en-US"/>
        </w:rPr>
        <w:t>ultrasound;</w:t>
      </w:r>
      <w:proofErr w:type="gramEnd"/>
    </w:p>
    <w:p w14:paraId="5FC90F02" w14:textId="77777777" w:rsidR="003D32C2" w:rsidRPr="00371437" w:rsidRDefault="003D32C2" w:rsidP="00371437">
      <w:pPr>
        <w:numPr>
          <w:ilvl w:val="1"/>
          <w:numId w:val="13"/>
        </w:numPr>
        <w:spacing w:line="240" w:lineRule="auto"/>
        <w:rPr>
          <w:lang w:val="en-US"/>
        </w:rPr>
      </w:pPr>
      <w:r w:rsidRPr="00371437">
        <w:rPr>
          <w:lang w:val="en-US"/>
        </w:rPr>
        <w:t>AAOS guidelines do not reflect Australian practice</w:t>
      </w:r>
    </w:p>
    <w:p w14:paraId="3F51ACE6" w14:textId="77777777" w:rsidR="003D32C2" w:rsidRPr="00371437" w:rsidRDefault="003D32C2" w:rsidP="00371437">
      <w:pPr>
        <w:numPr>
          <w:ilvl w:val="1"/>
          <w:numId w:val="13"/>
        </w:numPr>
        <w:spacing w:line="240" w:lineRule="auto"/>
        <w:rPr>
          <w:lang w:val="en-US"/>
        </w:rPr>
      </w:pPr>
      <w:r w:rsidRPr="00371437">
        <w:rPr>
          <w:lang w:val="en-US"/>
        </w:rPr>
        <w:t>AAOS guidelines are primarily concerned with reducing mortality rather than reducing morbidity and potential costs associated with post-surgery venous thromboembolism</w:t>
      </w:r>
    </w:p>
    <w:p w14:paraId="34648EEC" w14:textId="17E92191" w:rsidR="003D32C2" w:rsidRPr="00893438" w:rsidRDefault="003D32C2" w:rsidP="003D32C2">
      <w:pPr>
        <w:pStyle w:val="Tabletext9"/>
        <w:rPr>
          <w:sz w:val="22"/>
        </w:rPr>
      </w:pPr>
      <w:r>
        <w:rPr>
          <w:sz w:val="22"/>
        </w:rPr>
        <w:t>The Committee a</w:t>
      </w:r>
      <w:r w:rsidRPr="00893438">
        <w:rPr>
          <w:sz w:val="22"/>
        </w:rPr>
        <w:t xml:space="preserve">dvised against restricting the use of duplex compression ultrasound only to the circumstances outlined </w:t>
      </w:r>
      <w:r w:rsidR="00371437">
        <w:rPr>
          <w:sz w:val="22"/>
        </w:rPr>
        <w:t xml:space="preserve">in </w:t>
      </w:r>
      <w:r w:rsidRPr="00893438">
        <w:rPr>
          <w:sz w:val="22"/>
        </w:rPr>
        <w:t>the RANZCR Choosing Wisely recommendations for suspected lower limb DVT</w:t>
      </w:r>
      <w:r w:rsidR="00371437">
        <w:rPr>
          <w:sz w:val="22"/>
        </w:rPr>
        <w:t>,</w:t>
      </w:r>
      <w:r w:rsidRPr="00893438">
        <w:rPr>
          <w:sz w:val="22"/>
        </w:rPr>
        <w:t xml:space="preserve"> because doing so may inadvertently lead to poorer patient outcomes.  The RANZCR Choosing Wisely recommendations apply to ambulatory adult outpatients with suspected DVT who are not excluded from the Wells score on its exclusion criteria.  The RANZCR Choosing Wisely recommendations can</w:t>
      </w:r>
      <w:r w:rsidR="00CE121F">
        <w:rPr>
          <w:sz w:val="22"/>
        </w:rPr>
        <w:t>’</w:t>
      </w:r>
      <w:r w:rsidRPr="00893438">
        <w:rPr>
          <w:sz w:val="22"/>
        </w:rPr>
        <w:t>t be applied to non-ambulatory patients; paediatric or pregnant patients; inpatients; or patients excluded from the Wells score.</w:t>
      </w:r>
    </w:p>
    <w:p w14:paraId="7494BDD7" w14:textId="24F60355" w:rsidR="003D32C2" w:rsidRPr="006E3FA9" w:rsidRDefault="003D32C2" w:rsidP="003D32C2">
      <w:pPr>
        <w:pStyle w:val="Tabletext9"/>
        <w:rPr>
          <w:sz w:val="22"/>
          <w:lang w:val="en-GB" w:eastAsia="en-US"/>
        </w:rPr>
      </w:pPr>
      <w:r w:rsidRPr="006E3FA9">
        <w:rPr>
          <w:sz w:val="22"/>
          <w:lang w:val="en-GB" w:eastAsia="en-US"/>
        </w:rPr>
        <w:t>The</w:t>
      </w:r>
      <w:r w:rsidRPr="006E3FA9">
        <w:rPr>
          <w:sz w:val="22"/>
          <w:lang w:val="en-US" w:eastAsia="en-US"/>
        </w:rPr>
        <w:t xml:space="preserve"> </w:t>
      </w:r>
      <w:r w:rsidR="00371437">
        <w:rPr>
          <w:sz w:val="22"/>
          <w:lang w:val="en-US" w:eastAsia="en-US"/>
        </w:rPr>
        <w:t xml:space="preserve">RANZCR </w:t>
      </w:r>
      <w:r w:rsidRPr="006E3FA9">
        <w:rPr>
          <w:sz w:val="22"/>
          <w:lang w:val="en-US" w:eastAsia="en-US"/>
        </w:rPr>
        <w:t>Choosing Wisely recommendations for suspected lower limb DVT are based on the best evidence currently available to guide clinical practice. However</w:t>
      </w:r>
      <w:r>
        <w:rPr>
          <w:sz w:val="22"/>
          <w:lang w:val="en-US" w:eastAsia="en-US"/>
        </w:rPr>
        <w:t>,</w:t>
      </w:r>
      <w:r w:rsidRPr="006E3FA9">
        <w:rPr>
          <w:sz w:val="22"/>
          <w:lang w:val="en-US" w:eastAsia="en-US"/>
        </w:rPr>
        <w:t xml:space="preserve"> </w:t>
      </w:r>
      <w:r>
        <w:rPr>
          <w:sz w:val="22"/>
          <w:lang w:val="en-US" w:eastAsia="en-US"/>
        </w:rPr>
        <w:t xml:space="preserve">the Committee was </w:t>
      </w:r>
      <w:r w:rsidRPr="006E3FA9">
        <w:rPr>
          <w:sz w:val="22"/>
          <w:lang w:val="en-US" w:eastAsia="en-US"/>
        </w:rPr>
        <w:t>concerned with:</w:t>
      </w:r>
    </w:p>
    <w:p w14:paraId="0943D83F" w14:textId="77777777" w:rsidR="003D32C2" w:rsidRPr="003D32C2" w:rsidRDefault="003D32C2" w:rsidP="003D32C2">
      <w:pPr>
        <w:pStyle w:val="Tabletext9"/>
        <w:numPr>
          <w:ilvl w:val="0"/>
          <w:numId w:val="16"/>
        </w:numPr>
        <w:rPr>
          <w:sz w:val="22"/>
          <w:lang w:val="en-GB" w:eastAsia="en-US"/>
        </w:rPr>
      </w:pPr>
      <w:r w:rsidRPr="003D32C2">
        <w:rPr>
          <w:sz w:val="22"/>
          <w:lang w:val="en-GB" w:eastAsia="en-US"/>
        </w:rPr>
        <w:t xml:space="preserve">the availability of </w:t>
      </w:r>
      <w:proofErr w:type="gramStart"/>
      <w:r w:rsidRPr="003D32C2">
        <w:rPr>
          <w:sz w:val="22"/>
          <w:lang w:val="en-GB" w:eastAsia="en-US"/>
        </w:rPr>
        <w:t>highly-sensitive</w:t>
      </w:r>
      <w:proofErr w:type="gramEnd"/>
      <w:r w:rsidRPr="003D32C2">
        <w:rPr>
          <w:sz w:val="22"/>
          <w:lang w:val="en-GB" w:eastAsia="en-US"/>
        </w:rPr>
        <w:t xml:space="preserve"> D-dimer assays within varying health care settings</w:t>
      </w:r>
    </w:p>
    <w:p w14:paraId="0ACB9506" w14:textId="77777777" w:rsidR="003D32C2" w:rsidRPr="003D32C2" w:rsidRDefault="003D32C2" w:rsidP="003D32C2">
      <w:pPr>
        <w:pStyle w:val="Tabletext9"/>
        <w:numPr>
          <w:ilvl w:val="0"/>
          <w:numId w:val="16"/>
        </w:numPr>
        <w:rPr>
          <w:sz w:val="22"/>
          <w:lang w:val="en-GB" w:eastAsia="en-US"/>
        </w:rPr>
      </w:pPr>
      <w:r w:rsidRPr="003D32C2">
        <w:rPr>
          <w:sz w:val="22"/>
          <w:lang w:val="en-GB" w:eastAsia="en-US"/>
        </w:rPr>
        <w:t>that the RANZCR Choosing Wisely recommendations are not applicable to non-ambulatory patients; paediatric or pregnant patients; inpatients; or patients excluded from the Wells score.</w:t>
      </w:r>
    </w:p>
    <w:p w14:paraId="71E934B6" w14:textId="5B153316" w:rsidR="003D32C2" w:rsidRPr="003D32C2" w:rsidRDefault="003D32C2" w:rsidP="003D32C2">
      <w:pPr>
        <w:pStyle w:val="Tabletext9"/>
        <w:numPr>
          <w:ilvl w:val="0"/>
          <w:numId w:val="16"/>
        </w:numPr>
        <w:rPr>
          <w:sz w:val="22"/>
        </w:rPr>
      </w:pPr>
      <w:r w:rsidRPr="003D32C2">
        <w:rPr>
          <w:sz w:val="22"/>
          <w:lang w:val="en-GB" w:eastAsia="en-US"/>
        </w:rPr>
        <w:t>real world limitations on patients and resources</w:t>
      </w:r>
      <w:r w:rsidRPr="003D32C2">
        <w:rPr>
          <w:sz w:val="22"/>
        </w:rPr>
        <w:t>.</w:t>
      </w:r>
    </w:p>
    <w:p w14:paraId="7202C229" w14:textId="580F901E" w:rsidR="005F4355" w:rsidRPr="00371437" w:rsidRDefault="00BA114F" w:rsidP="00371437">
      <w:pPr>
        <w:pStyle w:val="Tabletext9"/>
        <w:rPr>
          <w:sz w:val="22"/>
        </w:rPr>
      </w:pPr>
      <w:r>
        <w:rPr>
          <w:sz w:val="22"/>
        </w:rPr>
        <w:t>The Committee noted the</w:t>
      </w:r>
      <w:r w:rsidR="00371437">
        <w:rPr>
          <w:sz w:val="22"/>
        </w:rPr>
        <w:t xml:space="preserve"> USA and Canada Choosing Wisely recommendations that do not support routine </w:t>
      </w:r>
      <w:r w:rsidR="00371437" w:rsidRPr="00371437">
        <w:rPr>
          <w:sz w:val="22"/>
        </w:rPr>
        <w:t>vascular ultrasound in post-operative knee and hip arthroplasty patients</w:t>
      </w:r>
      <w:r w:rsidR="00351780">
        <w:rPr>
          <w:sz w:val="22"/>
        </w:rPr>
        <w:t xml:space="preserve">. However, </w:t>
      </w:r>
      <w:r w:rsidR="00CE144E">
        <w:rPr>
          <w:sz w:val="22"/>
        </w:rPr>
        <w:t>they recommended</w:t>
      </w:r>
      <w:r>
        <w:rPr>
          <w:sz w:val="22"/>
        </w:rPr>
        <w:t xml:space="preserve"> </w:t>
      </w:r>
      <w:r w:rsidR="00351780">
        <w:rPr>
          <w:sz w:val="22"/>
        </w:rPr>
        <w:t xml:space="preserve">the </w:t>
      </w:r>
      <w:r>
        <w:rPr>
          <w:sz w:val="22"/>
        </w:rPr>
        <w:t>i</w:t>
      </w:r>
      <w:r w:rsidR="005F4355" w:rsidRPr="00446520">
        <w:rPr>
          <w:sz w:val="22"/>
        </w:rPr>
        <w:t xml:space="preserve">nclusion of a statement </w:t>
      </w:r>
      <w:r w:rsidR="00351780" w:rsidRPr="00446520">
        <w:rPr>
          <w:sz w:val="22"/>
        </w:rPr>
        <w:t xml:space="preserve">in the MBS item </w:t>
      </w:r>
      <w:r w:rsidR="00351780">
        <w:rPr>
          <w:sz w:val="22"/>
        </w:rPr>
        <w:t>descriptor or explanatory notes</w:t>
      </w:r>
      <w:r w:rsidR="00CE144E">
        <w:rPr>
          <w:sz w:val="22"/>
        </w:rPr>
        <w:t xml:space="preserve">, stating </w:t>
      </w:r>
      <w:r w:rsidR="005F4355" w:rsidRPr="00446520">
        <w:rPr>
          <w:sz w:val="22"/>
        </w:rPr>
        <w:t>that</w:t>
      </w:r>
      <w:r w:rsidR="00CE144E">
        <w:rPr>
          <w:sz w:val="22"/>
        </w:rPr>
        <w:t xml:space="preserve"> </w:t>
      </w:r>
      <w:r w:rsidR="005F4355" w:rsidRPr="00446520">
        <w:rPr>
          <w:sz w:val="22"/>
        </w:rPr>
        <w:t>ultrasound</w:t>
      </w:r>
      <w:r w:rsidR="00CE144E">
        <w:rPr>
          <w:sz w:val="22"/>
        </w:rPr>
        <w:t xml:space="preserve"> is not to be used for screening, </w:t>
      </w:r>
      <w:r w:rsidR="00CB0E70">
        <w:rPr>
          <w:sz w:val="22"/>
        </w:rPr>
        <w:t xml:space="preserve">as </w:t>
      </w:r>
      <w:r w:rsidR="005F4355" w:rsidRPr="00446520">
        <w:rPr>
          <w:sz w:val="22"/>
        </w:rPr>
        <w:t>sufficient to prompt consideration prior to requesting ultrasounds for DVT in post-operative knee and hip arthrop</w:t>
      </w:r>
      <w:r w:rsidR="00371437">
        <w:rPr>
          <w:sz w:val="22"/>
        </w:rPr>
        <w:t>lasty patients.</w:t>
      </w:r>
    </w:p>
    <w:p w14:paraId="0FDD98D2" w14:textId="28806DE4" w:rsidR="004B0747" w:rsidRPr="00925924" w:rsidRDefault="00893438" w:rsidP="00CB0E70">
      <w:pPr>
        <w:pStyle w:val="Tabletext9"/>
        <w:rPr>
          <w:sz w:val="22"/>
          <w:lang w:val="en-US" w:eastAsia="en-US"/>
        </w:rPr>
      </w:pPr>
      <w:r w:rsidRPr="00925924">
        <w:rPr>
          <w:sz w:val="22"/>
          <w:lang w:val="en-US" w:eastAsia="en-US"/>
        </w:rPr>
        <w:t>While it is reasonable for referrers to be reminded to indicate the reasons for referral, enforcing the inclusion of clinical notes for investigation would be logistically difficult.</w:t>
      </w:r>
    </w:p>
    <w:p w14:paraId="6569D8E5" w14:textId="11568C95" w:rsidR="00B01C42" w:rsidRDefault="00C572F7" w:rsidP="004B0747">
      <w:pPr>
        <w:pStyle w:val="Heading2"/>
      </w:pPr>
      <w:bookmarkStart w:id="40" w:name="_Toc468787471"/>
      <w:r>
        <w:lastRenderedPageBreak/>
        <w:t xml:space="preserve">Recommendation 2 - </w:t>
      </w:r>
      <w:r w:rsidR="00B01C42" w:rsidRPr="0051634C">
        <w:t>Co-claiming duplex scanning for DVT and chronic venous disease</w:t>
      </w:r>
      <w:bookmarkEnd w:id="40"/>
    </w:p>
    <w:p w14:paraId="600E9E01" w14:textId="77777777" w:rsidR="004B0747" w:rsidRPr="00C01C61" w:rsidRDefault="004B0747" w:rsidP="004B0747">
      <w:pPr>
        <w:pStyle w:val="Heading3Numbered"/>
      </w:pPr>
      <w:r>
        <w:t xml:space="preserve">Recommendation </w:t>
      </w:r>
    </w:p>
    <w:p w14:paraId="4E674909" w14:textId="5175C495" w:rsidR="00891CD3" w:rsidRPr="00893438" w:rsidRDefault="00891CD3" w:rsidP="00893438">
      <w:pPr>
        <w:pStyle w:val="Tabletext9"/>
        <w:rPr>
          <w:sz w:val="22"/>
        </w:rPr>
      </w:pPr>
      <w:r w:rsidRPr="00893438">
        <w:rPr>
          <w:sz w:val="22"/>
        </w:rPr>
        <w:t xml:space="preserve">Provide the following clarification on the </w:t>
      </w:r>
      <w:r w:rsidR="00CE20B2" w:rsidRPr="00893438">
        <w:rPr>
          <w:sz w:val="22"/>
        </w:rPr>
        <w:t xml:space="preserve">appropriateness and application of co-claiming rules in </w:t>
      </w:r>
      <w:r w:rsidRPr="00893438">
        <w:rPr>
          <w:sz w:val="22"/>
        </w:rPr>
        <w:t>the case</w:t>
      </w:r>
      <w:r w:rsidR="00C572F7" w:rsidRPr="00893438">
        <w:rPr>
          <w:sz w:val="22"/>
        </w:rPr>
        <w:t xml:space="preserve"> of </w:t>
      </w:r>
      <w:r w:rsidR="00633597">
        <w:rPr>
          <w:sz w:val="22"/>
        </w:rPr>
        <w:t xml:space="preserve">the same </w:t>
      </w:r>
      <w:r w:rsidR="00C572F7" w:rsidRPr="00893438">
        <w:rPr>
          <w:sz w:val="22"/>
        </w:rPr>
        <w:t>provider undertaking venous ultrasound for the same patient on the same day</w:t>
      </w:r>
      <w:r w:rsidRPr="00893438">
        <w:rPr>
          <w:sz w:val="22"/>
        </w:rPr>
        <w:t>:</w:t>
      </w:r>
    </w:p>
    <w:p w14:paraId="1882D20F" w14:textId="67C543E8" w:rsidR="00C572F7" w:rsidRPr="00893438" w:rsidRDefault="00C572F7" w:rsidP="00893438">
      <w:pPr>
        <w:numPr>
          <w:ilvl w:val="1"/>
          <w:numId w:val="13"/>
        </w:numPr>
        <w:spacing w:line="240" w:lineRule="auto"/>
      </w:pPr>
      <w:r w:rsidRPr="00893438">
        <w:t>it is inappropriate to claim ultrasound items for both acute DVT and chronic venous disease on the same leg in t</w:t>
      </w:r>
      <w:r w:rsidR="00891CD3" w:rsidRPr="00893438">
        <w:t>he same patient on the same day</w:t>
      </w:r>
    </w:p>
    <w:p w14:paraId="6DC14038" w14:textId="666B8EF8" w:rsidR="00C572F7" w:rsidRDefault="00157D2C" w:rsidP="00893438">
      <w:pPr>
        <w:numPr>
          <w:ilvl w:val="1"/>
          <w:numId w:val="13"/>
        </w:numPr>
        <w:spacing w:line="240" w:lineRule="auto"/>
      </w:pPr>
      <w:r w:rsidRPr="00893438">
        <w:t>t</w:t>
      </w:r>
      <w:r w:rsidR="00C572F7" w:rsidRPr="00893438">
        <w:t xml:space="preserve">he only exception to the above recommendation is a patient being actively prepared with ultrasound for superficial varicose vein ablation (by whatever method), where the deep venous system of the same leg </w:t>
      </w:r>
      <w:proofErr w:type="gramStart"/>
      <w:r w:rsidR="00C572F7" w:rsidRPr="00893438">
        <w:t>has to</w:t>
      </w:r>
      <w:proofErr w:type="gramEnd"/>
      <w:r w:rsidR="00C572F7" w:rsidRPr="00893438">
        <w:t xml:space="preserve"> also be scanned on th</w:t>
      </w:r>
      <w:r w:rsidR="00891CD3" w:rsidRPr="00893438">
        <w:t>e same day to exclude fresh DVT</w:t>
      </w:r>
    </w:p>
    <w:p w14:paraId="4003F8FE" w14:textId="08B557A1" w:rsidR="00CE144E" w:rsidRPr="00893438" w:rsidRDefault="00CE144E" w:rsidP="00CE144E">
      <w:pPr>
        <w:numPr>
          <w:ilvl w:val="1"/>
          <w:numId w:val="13"/>
        </w:numPr>
        <w:spacing w:line="240" w:lineRule="auto"/>
      </w:pPr>
      <w:r w:rsidRPr="00893438">
        <w:t>the multiple services rules for diagnostic ultrasound apply and should be adhered to</w:t>
      </w:r>
    </w:p>
    <w:p w14:paraId="2D53A2B6" w14:textId="77777777" w:rsidR="004B0747" w:rsidRPr="003367CA" w:rsidRDefault="004B0747" w:rsidP="004B0747">
      <w:pPr>
        <w:pStyle w:val="Heading3Numbered"/>
      </w:pPr>
      <w:r w:rsidRPr="003367CA">
        <w:t>R</w:t>
      </w:r>
      <w:r>
        <w:t>ationale</w:t>
      </w:r>
    </w:p>
    <w:p w14:paraId="3673B025" w14:textId="281957FF" w:rsidR="006E0D51" w:rsidRPr="006E0D51" w:rsidRDefault="006E0D51" w:rsidP="006E0D51">
      <w:pPr>
        <w:pStyle w:val="Tabletext9"/>
        <w:rPr>
          <w:sz w:val="22"/>
          <w:lang w:val="en-US" w:eastAsia="en-US"/>
        </w:rPr>
      </w:pPr>
      <w:r w:rsidRPr="006E3FA9">
        <w:rPr>
          <w:sz w:val="22"/>
          <w:lang w:val="en-US" w:eastAsia="en-US"/>
        </w:rPr>
        <w:t xml:space="preserve">MBS statistics suggested that, while the majority of patients only had one duplex scanning (either for DVT or chronic venous disease) within one day, there were 2,449 episodes (accounting for 0.38% of total services for item 55244) of co-claiming of duplex scanning for DVT and chronic venous </w:t>
      </w:r>
      <w:r>
        <w:rPr>
          <w:sz w:val="22"/>
          <w:lang w:val="en-US" w:eastAsia="en-US"/>
        </w:rPr>
        <w:t>disease on same day in 2014–15.</w:t>
      </w:r>
    </w:p>
    <w:p w14:paraId="3B54B114" w14:textId="2BBFAD95" w:rsidR="004A28D0" w:rsidRPr="006E3FA9" w:rsidRDefault="004A28D0" w:rsidP="004A28D0">
      <w:pPr>
        <w:pStyle w:val="Tabletext9"/>
        <w:rPr>
          <w:sz w:val="22"/>
          <w:lang w:val="en-US" w:eastAsia="en-US"/>
        </w:rPr>
      </w:pPr>
      <w:r w:rsidRPr="006E3FA9">
        <w:rPr>
          <w:sz w:val="22"/>
          <w:lang w:val="en-US" w:eastAsia="en-US"/>
        </w:rPr>
        <w:t xml:space="preserve">The requirement to perform duplex scanning for </w:t>
      </w:r>
      <w:r w:rsidR="00FF51E9">
        <w:rPr>
          <w:sz w:val="22"/>
          <w:lang w:val="en-US" w:eastAsia="en-US"/>
        </w:rPr>
        <w:t xml:space="preserve">acute </w:t>
      </w:r>
      <w:r w:rsidRPr="006E3FA9">
        <w:rPr>
          <w:sz w:val="22"/>
          <w:lang w:val="en-US" w:eastAsia="en-US"/>
        </w:rPr>
        <w:t xml:space="preserve">DVT and for chronic venous </w:t>
      </w:r>
      <w:proofErr w:type="gramStart"/>
      <w:r w:rsidRPr="006E3FA9">
        <w:rPr>
          <w:sz w:val="22"/>
          <w:lang w:val="en-US" w:eastAsia="en-US"/>
        </w:rPr>
        <w:t>disease  where</w:t>
      </w:r>
      <w:proofErr w:type="gramEnd"/>
      <w:r w:rsidRPr="006E3FA9">
        <w:rPr>
          <w:sz w:val="22"/>
          <w:lang w:val="en-US" w:eastAsia="en-US"/>
        </w:rPr>
        <w:t xml:space="preserve"> both legs are examined in the same patient on the same day occurs very infrequently and therefore routine co-claiming of these two items is not appropriate clinical practice. However, co-claiming may occur when there are different providers involved. Therefore, </w:t>
      </w:r>
      <w:r>
        <w:rPr>
          <w:sz w:val="22"/>
          <w:lang w:val="en-US" w:eastAsia="en-US"/>
        </w:rPr>
        <w:t xml:space="preserve">there was </w:t>
      </w:r>
      <w:r w:rsidRPr="006E3FA9">
        <w:rPr>
          <w:sz w:val="22"/>
          <w:lang w:val="en-US" w:eastAsia="en-US"/>
        </w:rPr>
        <w:t>consider</w:t>
      </w:r>
      <w:r>
        <w:rPr>
          <w:sz w:val="22"/>
          <w:lang w:val="en-US" w:eastAsia="en-US"/>
        </w:rPr>
        <w:t xml:space="preserve">ation of </w:t>
      </w:r>
      <w:r w:rsidRPr="006E3FA9">
        <w:rPr>
          <w:sz w:val="22"/>
          <w:lang w:val="en-US" w:eastAsia="en-US"/>
        </w:rPr>
        <w:t>the appropriateness of co-claiming for acute and chronic indications in the same patient on the same day when the same or different providers deliver this service.</w:t>
      </w:r>
    </w:p>
    <w:p w14:paraId="3B1A176B" w14:textId="77777777" w:rsidR="004A28D0" w:rsidRPr="006E3FA9" w:rsidRDefault="004A28D0" w:rsidP="004A28D0">
      <w:pPr>
        <w:pStyle w:val="Tabletext9"/>
        <w:rPr>
          <w:sz w:val="22"/>
          <w:lang w:val="en-US" w:eastAsia="en-US"/>
        </w:rPr>
      </w:pPr>
      <w:r w:rsidRPr="006E3FA9">
        <w:rPr>
          <w:sz w:val="22"/>
          <w:lang w:val="en-US" w:eastAsia="en-US"/>
        </w:rPr>
        <w:t xml:space="preserve">Acute DVT and chronic venous disease items are two alternative MBS items and therefore </w:t>
      </w:r>
      <w:r>
        <w:rPr>
          <w:sz w:val="22"/>
          <w:lang w:val="en-US" w:eastAsia="en-US"/>
        </w:rPr>
        <w:t xml:space="preserve">it is </w:t>
      </w:r>
      <w:r w:rsidRPr="006E3FA9">
        <w:rPr>
          <w:sz w:val="22"/>
          <w:lang w:val="en-US" w:eastAsia="en-US"/>
        </w:rPr>
        <w:t>recommended that it is inappropriate to claim both items on the same leg of the same patient on the same day.</w:t>
      </w:r>
    </w:p>
    <w:p w14:paraId="2DCF9318" w14:textId="25E9FA2A" w:rsidR="00157D2C" w:rsidRDefault="00615A94" w:rsidP="004B0747">
      <w:pPr>
        <w:pStyle w:val="Heading2"/>
      </w:pPr>
      <w:bookmarkStart w:id="41" w:name="_Toc468787472"/>
      <w:r>
        <w:t xml:space="preserve">Recommendation 3 </w:t>
      </w:r>
      <w:r w:rsidR="00157D2C" w:rsidRPr="00157D2C">
        <w:t>Redundant items for DVT imaging</w:t>
      </w:r>
      <w:bookmarkEnd w:id="41"/>
    </w:p>
    <w:p w14:paraId="7B9B45BA" w14:textId="0ECEDA4C" w:rsidR="004B0747" w:rsidRDefault="004B0747" w:rsidP="004B0747">
      <w:pPr>
        <w:pStyle w:val="Heading3Numbered"/>
      </w:pPr>
      <w:r>
        <w:t>Recommendation</w:t>
      </w:r>
    </w:p>
    <w:p w14:paraId="6506F08D" w14:textId="156FE7F0" w:rsidR="00CE144E" w:rsidRDefault="004B0747" w:rsidP="00CE144E">
      <w:r w:rsidRPr="004B0747">
        <w:t xml:space="preserve">It is recommended </w:t>
      </w:r>
      <w:r w:rsidR="00925924">
        <w:t xml:space="preserve">that </w:t>
      </w:r>
      <w:r w:rsidRPr="004B0747">
        <w:t>a mechanism is identified to reduce the number of NK (services performed on old equipment), which duplicate regular items and lengthen the Diagnostic Imaging Services Table (DIST), as a class solution.</w:t>
      </w:r>
      <w:r w:rsidR="00CE144E">
        <w:t xml:space="preserve"> The </w:t>
      </w:r>
      <w:r w:rsidR="009F458C">
        <w:t xml:space="preserve">Committee </w:t>
      </w:r>
      <w:r w:rsidR="00CE144E">
        <w:t xml:space="preserve">will separately consult on recommendations about capital sensitivity. </w:t>
      </w:r>
    </w:p>
    <w:p w14:paraId="465FA286" w14:textId="0E9AD5C0" w:rsidR="004B0747" w:rsidRPr="004B0747" w:rsidRDefault="004B0747" w:rsidP="00CE144E">
      <w:pPr>
        <w:pStyle w:val="Tabletext9"/>
        <w:numPr>
          <w:ilvl w:val="0"/>
          <w:numId w:val="0"/>
        </w:numPr>
        <w:ind w:left="431"/>
        <w:rPr>
          <w:sz w:val="22"/>
        </w:rPr>
      </w:pPr>
    </w:p>
    <w:p w14:paraId="185D0C88" w14:textId="44B677DA" w:rsidR="004B0747" w:rsidRPr="004B0747" w:rsidRDefault="004B0747" w:rsidP="004B0747">
      <w:pPr>
        <w:pStyle w:val="Heading3Numbered"/>
      </w:pPr>
      <w:r>
        <w:t xml:space="preserve">Rationale </w:t>
      </w:r>
    </w:p>
    <w:p w14:paraId="70FB7719" w14:textId="7A14F4F6" w:rsidR="004B0747" w:rsidRDefault="004B0747" w:rsidP="004B0747">
      <w:pPr>
        <w:pStyle w:val="Tabletext9"/>
        <w:rPr>
          <w:sz w:val="22"/>
        </w:rPr>
      </w:pPr>
      <w:r w:rsidRPr="004B0747">
        <w:rPr>
          <w:sz w:val="22"/>
        </w:rPr>
        <w:t xml:space="preserve">A broader review of the vascular ultrasound items (Group I1 </w:t>
      </w:r>
      <w:proofErr w:type="gramStart"/>
      <w:r w:rsidRPr="004B0747">
        <w:rPr>
          <w:sz w:val="22"/>
        </w:rPr>
        <w:t>Ultrasound ,</w:t>
      </w:r>
      <w:proofErr w:type="gramEnd"/>
      <w:r w:rsidRPr="004B0747">
        <w:rPr>
          <w:sz w:val="22"/>
        </w:rPr>
        <w:t xml:space="preserve"> Subgroup 3)with a view to fragment or consolidate MBS items is required and will be done at a later stage in the review.</w:t>
      </w:r>
    </w:p>
    <w:p w14:paraId="460F5307" w14:textId="77777777" w:rsidR="00893438" w:rsidRDefault="00893438" w:rsidP="00893438">
      <w:pPr>
        <w:pStyle w:val="Tabletext9"/>
        <w:rPr>
          <w:sz w:val="22"/>
        </w:rPr>
      </w:pPr>
      <w:r w:rsidRPr="006E3FA9">
        <w:rPr>
          <w:sz w:val="22"/>
        </w:rPr>
        <w:lastRenderedPageBreak/>
        <w:t>Fragmenting ultrasound items for different vascular systems offers a theoretical potential to collect utility data. However, the consolidation of MBS item numbers will simplify the DIST and will facilitate good clinical practice.</w:t>
      </w:r>
    </w:p>
    <w:p w14:paraId="56474E34" w14:textId="791725EF" w:rsidR="00CE144E" w:rsidRDefault="00CE144E" w:rsidP="00CE144E">
      <w:pPr>
        <w:pStyle w:val="Tabletext9"/>
        <w:numPr>
          <w:ilvl w:val="0"/>
          <w:numId w:val="0"/>
        </w:numPr>
        <w:ind w:left="431"/>
        <w:rPr>
          <w:sz w:val="22"/>
        </w:rPr>
      </w:pPr>
      <w:r>
        <w:rPr>
          <w:sz w:val="22"/>
        </w:rPr>
        <w:br w:type="page"/>
      </w:r>
    </w:p>
    <w:p w14:paraId="664D5FD4" w14:textId="62999D51" w:rsidR="00A74C6B" w:rsidRPr="00905497" w:rsidRDefault="006E3FA9" w:rsidP="006E3FA9">
      <w:pPr>
        <w:pStyle w:val="Heading1"/>
      </w:pPr>
      <w:bookmarkStart w:id="42" w:name="_Toc454959791"/>
      <w:bookmarkStart w:id="43" w:name="_Toc456613789"/>
      <w:bookmarkStart w:id="44" w:name="_Toc468787473"/>
      <w:bookmarkEnd w:id="39"/>
      <w:r>
        <w:lastRenderedPageBreak/>
        <w:t>PE Imaging Items</w:t>
      </w:r>
      <w:bookmarkEnd w:id="42"/>
      <w:bookmarkEnd w:id="43"/>
      <w:bookmarkEnd w:id="44"/>
      <w:r w:rsidR="003C1F67" w:rsidRPr="00905497">
        <w:t xml:space="preserve"> </w:t>
      </w:r>
    </w:p>
    <w:p w14:paraId="3F24B998" w14:textId="5860A4BF" w:rsidR="00900944" w:rsidRPr="008A64E5" w:rsidRDefault="00D93805" w:rsidP="008A64E5">
      <w:pPr>
        <w:pStyle w:val="Heading2"/>
      </w:pPr>
      <w:bookmarkStart w:id="45" w:name="_Toc468787474"/>
      <w:r>
        <w:t>MBS items for PE Imaging</w:t>
      </w:r>
      <w:bookmarkEnd w:id="45"/>
    </w:p>
    <w:p w14:paraId="39F13FD8" w14:textId="4DF441EE" w:rsidR="008A64E5" w:rsidRPr="008A64E5" w:rsidRDefault="008A64E5" w:rsidP="008A64E5">
      <w:pPr>
        <w:pStyle w:val="Caption"/>
        <w:rPr>
          <w:b/>
        </w:rPr>
      </w:pPr>
      <w:bookmarkStart w:id="46" w:name="_Toc468787427"/>
      <w:r w:rsidRPr="008A64E5">
        <w:rPr>
          <w:b/>
        </w:rPr>
        <w:t xml:space="preserve">Table </w:t>
      </w:r>
      <w:r w:rsidR="00F24657">
        <w:rPr>
          <w:b/>
        </w:rPr>
        <w:t>6</w:t>
      </w:r>
      <w:r w:rsidRPr="008A64E5">
        <w:rPr>
          <w:b/>
        </w:rPr>
        <w:t xml:space="preserve"> Items for PE imaging introduction table</w:t>
      </w:r>
      <w:bookmarkEnd w:id="46"/>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able 6 provides the items, their descriptors and schedule fees for PE imaging introduction."/>
      </w:tblPr>
      <w:tblGrid>
        <w:gridCol w:w="817"/>
        <w:gridCol w:w="6521"/>
        <w:gridCol w:w="1417"/>
      </w:tblGrid>
      <w:tr w:rsidR="00D93805" w:rsidRPr="00E2102F" w14:paraId="1559ECC6" w14:textId="77777777" w:rsidTr="00CE144E">
        <w:trPr>
          <w:tblHeader/>
        </w:trPr>
        <w:tc>
          <w:tcPr>
            <w:tcW w:w="817" w:type="dxa"/>
          </w:tcPr>
          <w:p w14:paraId="7EF0DCDF" w14:textId="77777777" w:rsidR="00D93805" w:rsidRPr="00E2102F" w:rsidRDefault="00D93805" w:rsidP="00BB60E5">
            <w:pPr>
              <w:spacing w:before="140" w:after="40"/>
              <w:jc w:val="center"/>
              <w:rPr>
                <w:b/>
                <w:bCs/>
                <w:sz w:val="20"/>
                <w:szCs w:val="20"/>
                <w:lang w:val="en-US"/>
              </w:rPr>
            </w:pPr>
            <w:r>
              <w:rPr>
                <w:b/>
                <w:bCs/>
                <w:sz w:val="20"/>
                <w:szCs w:val="20"/>
                <w:lang w:val="en-US"/>
              </w:rPr>
              <w:t>I</w:t>
            </w:r>
            <w:r w:rsidRPr="00E2102F">
              <w:rPr>
                <w:b/>
                <w:bCs/>
                <w:sz w:val="20"/>
                <w:szCs w:val="20"/>
                <w:lang w:val="en-US"/>
              </w:rPr>
              <w:t>tem</w:t>
            </w:r>
          </w:p>
        </w:tc>
        <w:tc>
          <w:tcPr>
            <w:tcW w:w="6521" w:type="dxa"/>
          </w:tcPr>
          <w:p w14:paraId="36CF0DA3" w14:textId="08DCF8DF" w:rsidR="00D93805" w:rsidRPr="00E2102F" w:rsidRDefault="00D93805" w:rsidP="00D93805">
            <w:pPr>
              <w:spacing w:before="140" w:after="40"/>
              <w:rPr>
                <w:b/>
                <w:bCs/>
                <w:sz w:val="20"/>
                <w:szCs w:val="20"/>
                <w:lang w:val="en-US"/>
              </w:rPr>
            </w:pPr>
            <w:r>
              <w:rPr>
                <w:b/>
                <w:bCs/>
                <w:sz w:val="20"/>
                <w:szCs w:val="20"/>
                <w:lang w:val="en-US"/>
              </w:rPr>
              <w:t>Descriptor [date last amended]</w:t>
            </w:r>
          </w:p>
        </w:tc>
        <w:tc>
          <w:tcPr>
            <w:tcW w:w="1417" w:type="dxa"/>
          </w:tcPr>
          <w:p w14:paraId="404AEC59" w14:textId="77777777" w:rsidR="00D93805" w:rsidRPr="00E2102F" w:rsidRDefault="00D93805" w:rsidP="00BB60E5">
            <w:pPr>
              <w:spacing w:before="140" w:after="40"/>
              <w:jc w:val="center"/>
              <w:rPr>
                <w:b/>
                <w:bCs/>
                <w:sz w:val="20"/>
                <w:szCs w:val="20"/>
                <w:lang w:val="en-US"/>
              </w:rPr>
            </w:pPr>
            <w:r>
              <w:rPr>
                <w:b/>
                <w:bCs/>
                <w:sz w:val="20"/>
                <w:szCs w:val="20"/>
                <w:lang w:val="en-US"/>
              </w:rPr>
              <w:t>Schedule fee</w:t>
            </w:r>
          </w:p>
        </w:tc>
      </w:tr>
      <w:tr w:rsidR="00900944" w:rsidRPr="00E2102F" w14:paraId="2D4A8D93" w14:textId="77777777" w:rsidTr="00CE144E">
        <w:tc>
          <w:tcPr>
            <w:tcW w:w="817" w:type="dxa"/>
          </w:tcPr>
          <w:p w14:paraId="35DD249F" w14:textId="4B2D94B5" w:rsidR="00900944" w:rsidRPr="00E2102F" w:rsidRDefault="00900944" w:rsidP="00D93805">
            <w:pPr>
              <w:spacing w:before="140" w:after="40"/>
              <w:jc w:val="center"/>
              <w:rPr>
                <w:b/>
                <w:bCs/>
                <w:sz w:val="20"/>
                <w:szCs w:val="20"/>
                <w:lang w:val="en-US"/>
              </w:rPr>
            </w:pPr>
            <w:r>
              <w:rPr>
                <w:b/>
                <w:bCs/>
                <w:sz w:val="20"/>
                <w:szCs w:val="20"/>
                <w:lang w:val="en-US"/>
              </w:rPr>
              <w:t>5</w:t>
            </w:r>
            <w:r w:rsidR="00D93805">
              <w:rPr>
                <w:b/>
                <w:bCs/>
                <w:sz w:val="20"/>
                <w:szCs w:val="20"/>
                <w:lang w:val="en-US"/>
              </w:rPr>
              <w:t>7351</w:t>
            </w:r>
          </w:p>
        </w:tc>
        <w:tc>
          <w:tcPr>
            <w:tcW w:w="6521" w:type="dxa"/>
          </w:tcPr>
          <w:p w14:paraId="4312C28B" w14:textId="77777777" w:rsidR="009B59B0" w:rsidRDefault="00D93805" w:rsidP="009B59B0">
            <w:pPr>
              <w:tabs>
                <w:tab w:val="left" w:pos="405"/>
              </w:tabs>
              <w:spacing w:before="140" w:after="40"/>
              <w:rPr>
                <w:bCs/>
                <w:sz w:val="20"/>
                <w:szCs w:val="20"/>
              </w:rPr>
            </w:pPr>
            <w:r w:rsidRPr="00D93805">
              <w:rPr>
                <w:bCs/>
                <w:sz w:val="20"/>
                <w:szCs w:val="20"/>
              </w:rPr>
              <w:t xml:space="preserve">COMPUTED TOMOGRAPHY - spiral angiography with intravenous contrast medium, including any scans performed before intravenous contrast injection - 1 or more spiral data acquisitions, including image editing, and maximum intensity projections or </w:t>
            </w:r>
            <w:proofErr w:type="gramStart"/>
            <w:r w:rsidRPr="00D93805">
              <w:rPr>
                <w:bCs/>
                <w:sz w:val="20"/>
                <w:szCs w:val="20"/>
              </w:rPr>
              <w:t>3 dimensional</w:t>
            </w:r>
            <w:proofErr w:type="gramEnd"/>
            <w:r w:rsidRPr="00D93805">
              <w:rPr>
                <w:bCs/>
                <w:sz w:val="20"/>
                <w:szCs w:val="20"/>
              </w:rPr>
              <w:t xml:space="preserve"> surface shaded display, with hardcopy recording of multiple projections, where:</w:t>
            </w:r>
          </w:p>
          <w:p w14:paraId="7FD2C68B" w14:textId="19DEBAB2" w:rsidR="00900944" w:rsidRPr="009B59B0" w:rsidRDefault="00D93805" w:rsidP="00CB3B8E">
            <w:pPr>
              <w:tabs>
                <w:tab w:val="left" w:pos="405"/>
              </w:tabs>
              <w:spacing w:before="140" w:after="40"/>
              <w:rPr>
                <w:bCs/>
                <w:sz w:val="20"/>
                <w:szCs w:val="20"/>
              </w:rPr>
            </w:pPr>
            <w:r w:rsidRPr="00D93805">
              <w:rPr>
                <w:bCs/>
                <w:sz w:val="20"/>
                <w:szCs w:val="20"/>
              </w:rPr>
              <w:t>a) the service is not a service to which another item in this group applies; and</w:t>
            </w:r>
            <w:r w:rsidRPr="00D93805">
              <w:rPr>
                <w:bCs/>
                <w:sz w:val="20"/>
                <w:szCs w:val="20"/>
              </w:rPr>
              <w:br/>
              <w:t xml:space="preserve">(b) the service is performed for the exclusion of acute or recurrent pulmonary embolism; acute symptomatic arterial occlusion; </w:t>
            </w:r>
            <w:proofErr w:type="spellStart"/>
            <w:r w:rsidRPr="00D93805">
              <w:rPr>
                <w:bCs/>
                <w:sz w:val="20"/>
                <w:szCs w:val="20"/>
              </w:rPr>
              <w:t>post operative</w:t>
            </w:r>
            <w:proofErr w:type="spellEnd"/>
            <w:r w:rsidRPr="00D93805">
              <w:rPr>
                <w:bCs/>
                <w:sz w:val="20"/>
                <w:szCs w:val="20"/>
              </w:rPr>
              <w:t xml:space="preserve"> complication of arterial surgery; acute ruptured aneurysm; or acute dissection of the aorta, carotid or vertebral artery; and</w:t>
            </w:r>
            <w:r w:rsidRPr="00D93805">
              <w:rPr>
                <w:bCs/>
                <w:sz w:val="20"/>
                <w:szCs w:val="20"/>
              </w:rPr>
              <w:br/>
              <w:t>(c)</w:t>
            </w:r>
            <w:r w:rsidR="009B59B0">
              <w:rPr>
                <w:bCs/>
                <w:sz w:val="20"/>
                <w:szCs w:val="20"/>
              </w:rPr>
              <w:t xml:space="preserve"> </w:t>
            </w:r>
            <w:r w:rsidRPr="00D93805">
              <w:rPr>
                <w:bCs/>
                <w:sz w:val="20"/>
                <w:szCs w:val="20"/>
              </w:rPr>
              <w:t xml:space="preserve"> the services to which 57350 or 57355 apply have been performed on the same patient within the previous 12 months; and</w:t>
            </w:r>
            <w:r w:rsidRPr="00D93805">
              <w:rPr>
                <w:bCs/>
                <w:sz w:val="20"/>
                <w:szCs w:val="20"/>
              </w:rPr>
              <w:br/>
              <w:t>(d) the service is not a study performed to image the coronary arteries (R) (K) (</w:t>
            </w:r>
            <w:proofErr w:type="spellStart"/>
            <w:r w:rsidRPr="00D93805">
              <w:rPr>
                <w:bCs/>
                <w:sz w:val="20"/>
                <w:szCs w:val="20"/>
              </w:rPr>
              <w:t>Anaes</w:t>
            </w:r>
            <w:proofErr w:type="spellEnd"/>
            <w:r w:rsidRPr="00D93805">
              <w:rPr>
                <w:bCs/>
                <w:sz w:val="20"/>
                <w:szCs w:val="20"/>
              </w:rPr>
              <w:t>.)</w:t>
            </w:r>
          </w:p>
        </w:tc>
        <w:tc>
          <w:tcPr>
            <w:tcW w:w="1417" w:type="dxa"/>
          </w:tcPr>
          <w:p w14:paraId="5417BA15" w14:textId="14DE178A" w:rsidR="00900944" w:rsidRPr="00E2102F" w:rsidRDefault="00900944" w:rsidP="00D93805">
            <w:pPr>
              <w:spacing w:before="140" w:after="40"/>
              <w:jc w:val="center"/>
              <w:rPr>
                <w:bCs/>
                <w:sz w:val="20"/>
                <w:szCs w:val="20"/>
                <w:lang w:val="en-US"/>
              </w:rPr>
            </w:pPr>
            <w:r w:rsidRPr="00446520">
              <w:rPr>
                <w:bCs/>
                <w:sz w:val="20"/>
                <w:szCs w:val="20"/>
              </w:rPr>
              <w:t>$</w:t>
            </w:r>
            <w:r w:rsidR="00D93805">
              <w:rPr>
                <w:bCs/>
                <w:sz w:val="20"/>
                <w:szCs w:val="20"/>
              </w:rPr>
              <w:t>510.00</w:t>
            </w:r>
          </w:p>
        </w:tc>
      </w:tr>
      <w:tr w:rsidR="00900944" w:rsidRPr="00E2102F" w14:paraId="310329F7" w14:textId="77777777" w:rsidTr="00CE144E">
        <w:tc>
          <w:tcPr>
            <w:tcW w:w="817" w:type="dxa"/>
          </w:tcPr>
          <w:p w14:paraId="202600FE" w14:textId="5E25C9FB" w:rsidR="00900944" w:rsidRPr="00E2102F" w:rsidRDefault="00F24657" w:rsidP="00BB60E5">
            <w:pPr>
              <w:spacing w:before="140" w:after="40"/>
              <w:jc w:val="center"/>
              <w:rPr>
                <w:b/>
                <w:bCs/>
                <w:sz w:val="20"/>
                <w:szCs w:val="20"/>
                <w:lang w:val="en-US"/>
              </w:rPr>
            </w:pPr>
            <w:r>
              <w:rPr>
                <w:b/>
                <w:bCs/>
                <w:sz w:val="20"/>
                <w:szCs w:val="20"/>
                <w:lang w:val="en-US"/>
              </w:rPr>
              <w:t>57356</w:t>
            </w:r>
          </w:p>
        </w:tc>
        <w:tc>
          <w:tcPr>
            <w:tcW w:w="6521" w:type="dxa"/>
          </w:tcPr>
          <w:p w14:paraId="6D00D9C7" w14:textId="260907BE" w:rsidR="00900944" w:rsidRPr="00E2102F" w:rsidRDefault="00D93805" w:rsidP="00CB3B8E">
            <w:pPr>
              <w:spacing w:before="140" w:after="40"/>
              <w:rPr>
                <w:bCs/>
                <w:sz w:val="20"/>
                <w:szCs w:val="20"/>
                <w:lang w:val="en-US"/>
              </w:rPr>
            </w:pPr>
            <w:r w:rsidRPr="00D93805">
              <w:rPr>
                <w:bCs/>
                <w:sz w:val="20"/>
                <w:szCs w:val="20"/>
              </w:rPr>
              <w:t>COMPUTED TOMOGRAPHY - spiral angiography with intravenous contrast medium, including any scans performed before intravenous contrast injection - 1 or more spiral data acquisitions, including image editing, and maximum intensity projections or 3 dimensional surface shaded display, with hardcopy recording of multiple projections, where:</w:t>
            </w:r>
            <w:r w:rsidRPr="00D93805">
              <w:rPr>
                <w:bCs/>
                <w:sz w:val="20"/>
                <w:szCs w:val="20"/>
              </w:rPr>
              <w:br/>
              <w:t>a) the service is not a service to which another item in this group applies; an</w:t>
            </w:r>
            <w:r w:rsidRPr="00D93805">
              <w:rPr>
                <w:bCs/>
                <w:sz w:val="20"/>
                <w:szCs w:val="20"/>
              </w:rPr>
              <w:br/>
              <w:t xml:space="preserve">b) the service is performed for the exclusion of acute or recurrent pulmonary embolism; acute symptomatic arterial occlusion; </w:t>
            </w:r>
            <w:proofErr w:type="spellStart"/>
            <w:r w:rsidRPr="00D93805">
              <w:rPr>
                <w:bCs/>
                <w:sz w:val="20"/>
                <w:szCs w:val="20"/>
              </w:rPr>
              <w:t>post operative</w:t>
            </w:r>
            <w:proofErr w:type="spellEnd"/>
            <w:r w:rsidRPr="00D93805">
              <w:rPr>
                <w:bCs/>
                <w:sz w:val="20"/>
                <w:szCs w:val="20"/>
              </w:rPr>
              <w:t xml:space="preserve"> complication of arterial surgery; or acute ruptured aneurysm; acute dissection of the aorta, carotid or vertebral artery; and</w:t>
            </w:r>
            <w:r w:rsidRPr="00D93805">
              <w:rPr>
                <w:bCs/>
                <w:sz w:val="20"/>
                <w:szCs w:val="20"/>
              </w:rPr>
              <w:br/>
              <w:t>(c) the services to which 57350 or 57355 apply have been performed on the same patient within the previous 12 months; and</w:t>
            </w:r>
            <w:r w:rsidRPr="00D93805">
              <w:rPr>
                <w:bCs/>
                <w:sz w:val="20"/>
                <w:szCs w:val="20"/>
              </w:rPr>
              <w:br/>
              <w:t>(d) the service is not a study performed to image the coronary arteries (R) (NK) (</w:t>
            </w:r>
            <w:proofErr w:type="spellStart"/>
            <w:r w:rsidRPr="00D93805">
              <w:rPr>
                <w:bCs/>
                <w:sz w:val="20"/>
                <w:szCs w:val="20"/>
              </w:rPr>
              <w:t>Anaes</w:t>
            </w:r>
            <w:proofErr w:type="spellEnd"/>
            <w:r w:rsidRPr="00D93805">
              <w:rPr>
                <w:bCs/>
                <w:sz w:val="20"/>
                <w:szCs w:val="20"/>
              </w:rPr>
              <w:t>.)</w:t>
            </w:r>
          </w:p>
        </w:tc>
        <w:tc>
          <w:tcPr>
            <w:tcW w:w="1417" w:type="dxa"/>
          </w:tcPr>
          <w:p w14:paraId="54AF8866" w14:textId="443657A9" w:rsidR="00900944" w:rsidRDefault="00900944" w:rsidP="00BB60E5">
            <w:pPr>
              <w:spacing w:before="140" w:after="40"/>
              <w:jc w:val="center"/>
              <w:rPr>
                <w:bCs/>
                <w:sz w:val="20"/>
                <w:szCs w:val="20"/>
                <w:lang w:val="en-US"/>
              </w:rPr>
            </w:pPr>
            <w:r w:rsidRPr="00446520">
              <w:rPr>
                <w:bCs/>
                <w:sz w:val="20"/>
                <w:szCs w:val="20"/>
              </w:rPr>
              <w:t>$</w:t>
            </w:r>
            <w:r w:rsidR="00D93805">
              <w:rPr>
                <w:bCs/>
                <w:sz w:val="20"/>
                <w:szCs w:val="20"/>
              </w:rPr>
              <w:t>264.15</w:t>
            </w:r>
          </w:p>
          <w:p w14:paraId="6D109A7A" w14:textId="77777777" w:rsidR="00900944" w:rsidRPr="00446520" w:rsidRDefault="00900944" w:rsidP="00BB60E5">
            <w:pPr>
              <w:jc w:val="center"/>
              <w:rPr>
                <w:sz w:val="20"/>
                <w:szCs w:val="20"/>
                <w:lang w:val="en-US"/>
              </w:rPr>
            </w:pPr>
          </w:p>
        </w:tc>
      </w:tr>
      <w:tr w:rsidR="00900944" w:rsidRPr="00E2102F" w14:paraId="5B69138C" w14:textId="77777777" w:rsidTr="00CE144E">
        <w:tc>
          <w:tcPr>
            <w:tcW w:w="817" w:type="dxa"/>
          </w:tcPr>
          <w:p w14:paraId="616DB4EE" w14:textId="32AFBF64" w:rsidR="00900944" w:rsidRPr="00E2102F" w:rsidRDefault="00D93805" w:rsidP="00BB60E5">
            <w:pPr>
              <w:spacing w:before="140" w:after="40"/>
              <w:jc w:val="center"/>
              <w:rPr>
                <w:b/>
                <w:bCs/>
                <w:sz w:val="20"/>
                <w:szCs w:val="20"/>
                <w:lang w:val="en-US"/>
              </w:rPr>
            </w:pPr>
            <w:r>
              <w:rPr>
                <w:b/>
                <w:bCs/>
                <w:sz w:val="20"/>
                <w:szCs w:val="20"/>
                <w:lang w:val="en-US"/>
              </w:rPr>
              <w:t>61328</w:t>
            </w:r>
          </w:p>
        </w:tc>
        <w:tc>
          <w:tcPr>
            <w:tcW w:w="6521" w:type="dxa"/>
          </w:tcPr>
          <w:p w14:paraId="48C3043F" w14:textId="437AD3D2" w:rsidR="00900944" w:rsidRPr="00E2102F" w:rsidRDefault="00D93805" w:rsidP="00CB3B8E">
            <w:pPr>
              <w:spacing w:before="140" w:after="40"/>
              <w:rPr>
                <w:bCs/>
                <w:sz w:val="20"/>
                <w:szCs w:val="20"/>
                <w:lang w:val="en-US"/>
              </w:rPr>
            </w:pPr>
            <w:r w:rsidRPr="00D93805">
              <w:rPr>
                <w:bCs/>
                <w:sz w:val="20"/>
                <w:szCs w:val="20"/>
              </w:rPr>
              <w:t xml:space="preserve">Lung perfusion study, with planar imaging and single photon emission tomography or planar imaging, or single photon emission tomography (R) </w:t>
            </w:r>
          </w:p>
        </w:tc>
        <w:tc>
          <w:tcPr>
            <w:tcW w:w="1417" w:type="dxa"/>
          </w:tcPr>
          <w:p w14:paraId="7C86D367" w14:textId="54621B97" w:rsidR="00900944" w:rsidRPr="00E2102F" w:rsidRDefault="00900944" w:rsidP="00D93805">
            <w:pPr>
              <w:spacing w:before="140" w:after="40"/>
              <w:jc w:val="center"/>
              <w:rPr>
                <w:bCs/>
                <w:sz w:val="20"/>
                <w:szCs w:val="20"/>
                <w:lang w:val="en-US"/>
              </w:rPr>
            </w:pPr>
            <w:r w:rsidRPr="00446520">
              <w:rPr>
                <w:bCs/>
                <w:sz w:val="20"/>
                <w:szCs w:val="20"/>
              </w:rPr>
              <w:t>$</w:t>
            </w:r>
            <w:r w:rsidR="00D93805">
              <w:rPr>
                <w:bCs/>
                <w:sz w:val="20"/>
                <w:szCs w:val="20"/>
              </w:rPr>
              <w:t>227.65</w:t>
            </w:r>
          </w:p>
        </w:tc>
      </w:tr>
      <w:tr w:rsidR="00900944" w:rsidRPr="00E2102F" w14:paraId="04D74162" w14:textId="77777777" w:rsidTr="00CE144E">
        <w:tc>
          <w:tcPr>
            <w:tcW w:w="817" w:type="dxa"/>
          </w:tcPr>
          <w:p w14:paraId="691FC8BC" w14:textId="4D4438D7" w:rsidR="00900944" w:rsidRPr="00E2102F" w:rsidRDefault="00D93805" w:rsidP="00BB60E5">
            <w:pPr>
              <w:spacing w:before="140" w:after="40"/>
              <w:jc w:val="center"/>
              <w:rPr>
                <w:b/>
                <w:bCs/>
                <w:sz w:val="20"/>
                <w:szCs w:val="20"/>
                <w:lang w:val="en-US"/>
              </w:rPr>
            </w:pPr>
            <w:r>
              <w:rPr>
                <w:b/>
                <w:bCs/>
                <w:sz w:val="20"/>
                <w:szCs w:val="20"/>
                <w:lang w:val="en-US"/>
              </w:rPr>
              <w:t>61340</w:t>
            </w:r>
          </w:p>
        </w:tc>
        <w:tc>
          <w:tcPr>
            <w:tcW w:w="6521" w:type="dxa"/>
          </w:tcPr>
          <w:p w14:paraId="0364BD33" w14:textId="06CA5138" w:rsidR="00900944" w:rsidRPr="00D93805" w:rsidRDefault="00D93805" w:rsidP="00BB60E5">
            <w:pPr>
              <w:tabs>
                <w:tab w:val="left" w:pos="390"/>
              </w:tabs>
              <w:spacing w:before="140" w:after="40"/>
              <w:rPr>
                <w:bCs/>
                <w:sz w:val="20"/>
                <w:szCs w:val="20"/>
              </w:rPr>
            </w:pPr>
            <w:r w:rsidRPr="00D93805">
              <w:rPr>
                <w:bCs/>
                <w:sz w:val="20"/>
                <w:szCs w:val="20"/>
              </w:rPr>
              <w:t xml:space="preserve">Lung ventilation study using aerosol, </w:t>
            </w:r>
            <w:proofErr w:type="spellStart"/>
            <w:r w:rsidRPr="00D93805">
              <w:rPr>
                <w:bCs/>
                <w:sz w:val="20"/>
                <w:szCs w:val="20"/>
              </w:rPr>
              <w:t>technegas</w:t>
            </w:r>
            <w:proofErr w:type="spellEnd"/>
            <w:r w:rsidRPr="00D93805">
              <w:rPr>
                <w:bCs/>
                <w:sz w:val="20"/>
                <w:szCs w:val="20"/>
              </w:rPr>
              <w:t xml:space="preserve"> or xenon gas, with planar imaging and single photon emission tomography or planar imaging or single photon emission tomography (R) </w:t>
            </w:r>
          </w:p>
        </w:tc>
        <w:tc>
          <w:tcPr>
            <w:tcW w:w="1417" w:type="dxa"/>
          </w:tcPr>
          <w:p w14:paraId="4ABB0C64" w14:textId="60BAF017" w:rsidR="00900944" w:rsidRPr="00E2102F" w:rsidRDefault="00900944" w:rsidP="00D93805">
            <w:pPr>
              <w:spacing w:before="140" w:after="40"/>
              <w:jc w:val="center"/>
              <w:rPr>
                <w:bCs/>
                <w:sz w:val="20"/>
                <w:szCs w:val="20"/>
                <w:lang w:val="en-US"/>
              </w:rPr>
            </w:pPr>
            <w:r w:rsidRPr="00446520">
              <w:rPr>
                <w:bCs/>
                <w:sz w:val="20"/>
                <w:szCs w:val="20"/>
              </w:rPr>
              <w:t>$</w:t>
            </w:r>
            <w:r w:rsidR="00D93805">
              <w:rPr>
                <w:bCs/>
                <w:sz w:val="20"/>
                <w:szCs w:val="20"/>
              </w:rPr>
              <w:t>253.00</w:t>
            </w:r>
          </w:p>
        </w:tc>
      </w:tr>
      <w:tr w:rsidR="00D93805" w:rsidRPr="00E2102F" w14:paraId="40B90932" w14:textId="77777777" w:rsidTr="00CE144E">
        <w:tc>
          <w:tcPr>
            <w:tcW w:w="817" w:type="dxa"/>
          </w:tcPr>
          <w:p w14:paraId="5075C1CE" w14:textId="7E999DFC" w:rsidR="00D93805" w:rsidRDefault="00D93805" w:rsidP="00BB60E5">
            <w:pPr>
              <w:spacing w:before="140" w:after="40"/>
              <w:jc w:val="center"/>
              <w:rPr>
                <w:b/>
                <w:bCs/>
                <w:sz w:val="20"/>
                <w:szCs w:val="20"/>
                <w:lang w:val="en-US"/>
              </w:rPr>
            </w:pPr>
            <w:r>
              <w:rPr>
                <w:b/>
                <w:bCs/>
                <w:sz w:val="20"/>
                <w:szCs w:val="20"/>
                <w:lang w:val="en-US"/>
              </w:rPr>
              <w:t>61348</w:t>
            </w:r>
          </w:p>
        </w:tc>
        <w:tc>
          <w:tcPr>
            <w:tcW w:w="6521" w:type="dxa"/>
          </w:tcPr>
          <w:p w14:paraId="5098D33D" w14:textId="7418D64C" w:rsidR="00D93805" w:rsidRPr="00446520" w:rsidRDefault="00D93805" w:rsidP="00BB60E5">
            <w:pPr>
              <w:tabs>
                <w:tab w:val="left" w:pos="390"/>
              </w:tabs>
              <w:spacing w:before="140" w:after="40"/>
              <w:rPr>
                <w:bCs/>
                <w:sz w:val="20"/>
                <w:szCs w:val="20"/>
              </w:rPr>
            </w:pPr>
            <w:r w:rsidRPr="00D93805">
              <w:rPr>
                <w:bCs/>
                <w:sz w:val="20"/>
                <w:szCs w:val="20"/>
              </w:rPr>
              <w:t xml:space="preserve">Lung perfusion study and lung ventilation study using aerosol, </w:t>
            </w:r>
            <w:proofErr w:type="spellStart"/>
            <w:r w:rsidRPr="00D93805">
              <w:rPr>
                <w:bCs/>
                <w:sz w:val="20"/>
                <w:szCs w:val="20"/>
              </w:rPr>
              <w:t>technegas</w:t>
            </w:r>
            <w:proofErr w:type="spellEnd"/>
            <w:r w:rsidRPr="00D93805">
              <w:rPr>
                <w:bCs/>
                <w:sz w:val="20"/>
                <w:szCs w:val="20"/>
              </w:rPr>
              <w:t xml:space="preserve"> or xenon gas, with planar imaging and single photon emission tomography, or planar imaging, or single photon emission tomography (R)</w:t>
            </w:r>
          </w:p>
        </w:tc>
        <w:tc>
          <w:tcPr>
            <w:tcW w:w="1417" w:type="dxa"/>
          </w:tcPr>
          <w:p w14:paraId="11ECB3C3" w14:textId="270252B7" w:rsidR="00D93805" w:rsidRPr="00446520" w:rsidRDefault="00D93805" w:rsidP="00BB60E5">
            <w:pPr>
              <w:spacing w:before="140" w:after="40"/>
              <w:jc w:val="center"/>
              <w:rPr>
                <w:bCs/>
                <w:sz w:val="20"/>
                <w:szCs w:val="20"/>
              </w:rPr>
            </w:pPr>
            <w:r w:rsidRPr="00D93805">
              <w:rPr>
                <w:bCs/>
                <w:sz w:val="20"/>
                <w:szCs w:val="20"/>
              </w:rPr>
              <w:t>$443.35</w:t>
            </w:r>
          </w:p>
        </w:tc>
      </w:tr>
    </w:tbl>
    <w:p w14:paraId="0B2884BA" w14:textId="3EE00FE5" w:rsidR="00F24657" w:rsidRDefault="00F24657" w:rsidP="00F24657">
      <w:pPr>
        <w:pStyle w:val="Heading2"/>
      </w:pPr>
      <w:bookmarkStart w:id="47" w:name="_Toc468787475"/>
      <w:bookmarkStart w:id="48" w:name="_Toc456613791"/>
      <w:r>
        <w:lastRenderedPageBreak/>
        <w:t>MBS data for PE Imaging</w:t>
      </w:r>
      <w:bookmarkEnd w:id="47"/>
    </w:p>
    <w:p w14:paraId="45BD3A14" w14:textId="348C3E53" w:rsidR="00F24657" w:rsidRPr="00615A94" w:rsidRDefault="00F24657" w:rsidP="00F24657">
      <w:pPr>
        <w:pStyle w:val="Caption"/>
        <w:rPr>
          <w:b/>
        </w:rPr>
      </w:pPr>
      <w:bookmarkStart w:id="49" w:name="_Toc468787428"/>
      <w:r w:rsidRPr="00615A94">
        <w:rPr>
          <w:b/>
        </w:rPr>
        <w:t xml:space="preserve">Table </w:t>
      </w:r>
      <w:r>
        <w:rPr>
          <w:b/>
        </w:rPr>
        <w:t>7</w:t>
      </w:r>
      <w:r w:rsidRPr="00615A94">
        <w:rPr>
          <w:b/>
        </w:rPr>
        <w:t xml:space="preserve">: </w:t>
      </w:r>
      <w:r>
        <w:rPr>
          <w:b/>
        </w:rPr>
        <w:t>MBS 2014-15 Statistics – Computed Tomography Pulmonary Angiography</w:t>
      </w:r>
      <w:bookmarkEnd w:id="49"/>
      <w:r>
        <w:rPr>
          <w:b/>
        </w:rPr>
        <w:t xml:space="preserve"> </w:t>
      </w:r>
    </w:p>
    <w:tbl>
      <w:tblPr>
        <w:tblStyle w:val="TableGrid"/>
        <w:tblW w:w="0" w:type="auto"/>
        <w:tblInd w:w="-34" w:type="dxa"/>
        <w:tblLook w:val="04A0" w:firstRow="1" w:lastRow="0" w:firstColumn="1" w:lastColumn="0" w:noHBand="0" w:noVBand="1"/>
        <w:tblDescription w:val="Table 7 contains the MBS data 2014-15 for items 57351 and 57356 showing, Service, Benefits, number of patients and number of providers and growth from 2011-12"/>
      </w:tblPr>
      <w:tblGrid>
        <w:gridCol w:w="3669"/>
        <w:gridCol w:w="2792"/>
        <w:gridCol w:w="2589"/>
      </w:tblGrid>
      <w:tr w:rsidR="00F24657" w:rsidRPr="005A38CE" w14:paraId="6C9790A8" w14:textId="77777777" w:rsidTr="00202722">
        <w:trPr>
          <w:tblHeader/>
        </w:trPr>
        <w:tc>
          <w:tcPr>
            <w:tcW w:w="3763" w:type="dxa"/>
            <w:shd w:val="clear" w:color="auto" w:fill="F2F2F2" w:themeFill="background1" w:themeFillShade="F2"/>
          </w:tcPr>
          <w:p w14:paraId="4A437608" w14:textId="77777777" w:rsidR="00F24657" w:rsidRPr="005A38CE" w:rsidRDefault="00F24657" w:rsidP="00B44107">
            <w:pPr>
              <w:rPr>
                <w:b/>
                <w:i/>
              </w:rPr>
            </w:pPr>
            <w:r w:rsidRPr="005A38CE">
              <w:rPr>
                <w:b/>
                <w:i/>
              </w:rPr>
              <w:t>Item numbers</w:t>
            </w:r>
          </w:p>
        </w:tc>
        <w:tc>
          <w:tcPr>
            <w:tcW w:w="2864" w:type="dxa"/>
            <w:shd w:val="clear" w:color="auto" w:fill="F2F2F2" w:themeFill="background1" w:themeFillShade="F2"/>
            <w:vAlign w:val="center"/>
          </w:tcPr>
          <w:p w14:paraId="1913FAA2" w14:textId="77777777" w:rsidR="00F24657" w:rsidRPr="005A38CE" w:rsidRDefault="00F24657" w:rsidP="00B44107">
            <w:pPr>
              <w:jc w:val="right"/>
              <w:rPr>
                <w:b/>
              </w:rPr>
            </w:pPr>
            <w:r w:rsidRPr="005A38CE">
              <w:rPr>
                <w:b/>
              </w:rPr>
              <w:t>57351</w:t>
            </w:r>
          </w:p>
        </w:tc>
        <w:tc>
          <w:tcPr>
            <w:tcW w:w="2649" w:type="dxa"/>
            <w:shd w:val="clear" w:color="auto" w:fill="F2F2F2" w:themeFill="background1" w:themeFillShade="F2"/>
          </w:tcPr>
          <w:p w14:paraId="2E82D7A5" w14:textId="77777777" w:rsidR="00F24657" w:rsidRPr="005A38CE" w:rsidRDefault="00F24657" w:rsidP="00B44107">
            <w:pPr>
              <w:jc w:val="right"/>
              <w:rPr>
                <w:b/>
              </w:rPr>
            </w:pPr>
            <w:r w:rsidRPr="005A38CE">
              <w:rPr>
                <w:b/>
              </w:rPr>
              <w:t>57356</w:t>
            </w:r>
          </w:p>
        </w:tc>
      </w:tr>
      <w:tr w:rsidR="00F24657" w:rsidRPr="005A38CE" w14:paraId="63EA45A4" w14:textId="77777777" w:rsidTr="00B44107">
        <w:trPr>
          <w:trHeight w:val="333"/>
        </w:trPr>
        <w:tc>
          <w:tcPr>
            <w:tcW w:w="3763" w:type="dxa"/>
          </w:tcPr>
          <w:p w14:paraId="0D957452" w14:textId="77777777" w:rsidR="00F24657" w:rsidRPr="005A38CE" w:rsidRDefault="00F24657" w:rsidP="00B44107">
            <w:pPr>
              <w:rPr>
                <w:b/>
                <w:i/>
              </w:rPr>
            </w:pPr>
            <w:r w:rsidRPr="005A38CE">
              <w:rPr>
                <w:b/>
                <w:i/>
              </w:rPr>
              <w:t>Services 2014/15</w:t>
            </w:r>
          </w:p>
        </w:tc>
        <w:tc>
          <w:tcPr>
            <w:tcW w:w="2864" w:type="dxa"/>
            <w:vAlign w:val="center"/>
          </w:tcPr>
          <w:p w14:paraId="399C27DC" w14:textId="3FD30E05" w:rsidR="00F24657" w:rsidRPr="005A38CE" w:rsidRDefault="00F24657" w:rsidP="00B44107">
            <w:pPr>
              <w:jc w:val="right"/>
            </w:pPr>
            <w:r w:rsidRPr="005A38CE">
              <w:t xml:space="preserve">9,949 </w:t>
            </w:r>
          </w:p>
        </w:tc>
        <w:tc>
          <w:tcPr>
            <w:tcW w:w="2649" w:type="dxa"/>
          </w:tcPr>
          <w:p w14:paraId="36B1F3FF" w14:textId="77777777" w:rsidR="00F24657" w:rsidRPr="005A38CE" w:rsidRDefault="00F24657" w:rsidP="00B44107">
            <w:pPr>
              <w:jc w:val="right"/>
            </w:pPr>
            <w:r w:rsidRPr="005A38CE">
              <w:t>57</w:t>
            </w:r>
          </w:p>
        </w:tc>
      </w:tr>
      <w:tr w:rsidR="00F24657" w:rsidRPr="005A38CE" w14:paraId="6E8F957A" w14:textId="77777777" w:rsidTr="00B44107">
        <w:tc>
          <w:tcPr>
            <w:tcW w:w="3763" w:type="dxa"/>
          </w:tcPr>
          <w:p w14:paraId="2D7E93C6" w14:textId="77777777" w:rsidR="00F24657" w:rsidRPr="005A38CE" w:rsidRDefault="00F24657" w:rsidP="00B44107">
            <w:pPr>
              <w:rPr>
                <w:b/>
                <w:i/>
              </w:rPr>
            </w:pPr>
            <w:r w:rsidRPr="005A38CE">
              <w:rPr>
                <w:b/>
                <w:i/>
              </w:rPr>
              <w:t>Benefits 2014/15</w:t>
            </w:r>
          </w:p>
        </w:tc>
        <w:tc>
          <w:tcPr>
            <w:tcW w:w="2864" w:type="dxa"/>
            <w:vAlign w:val="center"/>
          </w:tcPr>
          <w:p w14:paraId="6BF7DBAF" w14:textId="77777777" w:rsidR="00F24657" w:rsidRPr="005A38CE" w:rsidRDefault="00F24657" w:rsidP="00B44107">
            <w:pPr>
              <w:jc w:val="right"/>
            </w:pPr>
            <w:r w:rsidRPr="005A38CE">
              <w:t>$4.5 million</w:t>
            </w:r>
          </w:p>
        </w:tc>
        <w:tc>
          <w:tcPr>
            <w:tcW w:w="2649" w:type="dxa"/>
          </w:tcPr>
          <w:p w14:paraId="1EB3B0BA" w14:textId="77777777" w:rsidR="00F24657" w:rsidRPr="005A38CE" w:rsidRDefault="00F24657" w:rsidP="00B44107">
            <w:pPr>
              <w:jc w:val="right"/>
            </w:pPr>
            <w:r w:rsidRPr="005A38CE">
              <w:t>$12,224</w:t>
            </w:r>
          </w:p>
        </w:tc>
      </w:tr>
      <w:tr w:rsidR="00F24657" w:rsidRPr="005A38CE" w14:paraId="07471445" w14:textId="77777777" w:rsidTr="00B44107">
        <w:tc>
          <w:tcPr>
            <w:tcW w:w="3763" w:type="dxa"/>
          </w:tcPr>
          <w:p w14:paraId="15665538" w14:textId="77777777" w:rsidR="00F24657" w:rsidRPr="005A38CE" w:rsidRDefault="00F24657" w:rsidP="00B44107">
            <w:pPr>
              <w:rPr>
                <w:b/>
                <w:i/>
              </w:rPr>
            </w:pPr>
            <w:r w:rsidRPr="005A38CE">
              <w:rPr>
                <w:b/>
                <w:i/>
              </w:rPr>
              <w:t>2011-12 to 2014-15 growth in benefits</w:t>
            </w:r>
          </w:p>
        </w:tc>
        <w:tc>
          <w:tcPr>
            <w:tcW w:w="2864" w:type="dxa"/>
            <w:vAlign w:val="center"/>
          </w:tcPr>
          <w:p w14:paraId="11E00E67" w14:textId="77777777" w:rsidR="00F24657" w:rsidRPr="005A38CE" w:rsidRDefault="00F24657" w:rsidP="00B44107">
            <w:pPr>
              <w:jc w:val="right"/>
            </w:pPr>
            <w:r w:rsidRPr="005A38CE">
              <w:t>40.1%</w:t>
            </w:r>
          </w:p>
        </w:tc>
        <w:tc>
          <w:tcPr>
            <w:tcW w:w="2649" w:type="dxa"/>
          </w:tcPr>
          <w:p w14:paraId="5B953CB7" w14:textId="77777777" w:rsidR="00F24657" w:rsidRPr="005A38CE" w:rsidRDefault="00F24657" w:rsidP="00B44107">
            <w:pPr>
              <w:jc w:val="right"/>
            </w:pPr>
            <w:r w:rsidRPr="005A38CE">
              <w:t>550.1%</w:t>
            </w:r>
          </w:p>
        </w:tc>
      </w:tr>
      <w:tr w:rsidR="00F24657" w:rsidRPr="005A38CE" w14:paraId="794F213C" w14:textId="77777777" w:rsidTr="00B44107">
        <w:tc>
          <w:tcPr>
            <w:tcW w:w="3763" w:type="dxa"/>
          </w:tcPr>
          <w:p w14:paraId="4CE16219" w14:textId="77777777" w:rsidR="00F24657" w:rsidRPr="005A38CE" w:rsidRDefault="00F24657" w:rsidP="00B44107">
            <w:pPr>
              <w:rPr>
                <w:b/>
                <w:i/>
              </w:rPr>
            </w:pPr>
            <w:r w:rsidRPr="005A38CE">
              <w:rPr>
                <w:b/>
                <w:i/>
              </w:rPr>
              <w:t xml:space="preserve">Number of patients </w:t>
            </w:r>
          </w:p>
        </w:tc>
        <w:tc>
          <w:tcPr>
            <w:tcW w:w="2864" w:type="dxa"/>
            <w:vAlign w:val="center"/>
          </w:tcPr>
          <w:p w14:paraId="7D7D3A69" w14:textId="1ECDBE7E" w:rsidR="00F24657" w:rsidRPr="005A38CE" w:rsidRDefault="00F24657" w:rsidP="00B44107">
            <w:pPr>
              <w:jc w:val="right"/>
            </w:pPr>
            <w:r w:rsidRPr="005A38CE">
              <w:t xml:space="preserve">8,870 </w:t>
            </w:r>
          </w:p>
        </w:tc>
        <w:tc>
          <w:tcPr>
            <w:tcW w:w="2649" w:type="dxa"/>
          </w:tcPr>
          <w:p w14:paraId="4836CC79" w14:textId="77777777" w:rsidR="00F24657" w:rsidRPr="005A38CE" w:rsidRDefault="00F24657" w:rsidP="00B44107">
            <w:pPr>
              <w:jc w:val="right"/>
            </w:pPr>
            <w:r w:rsidRPr="005A38CE">
              <w:t>48</w:t>
            </w:r>
          </w:p>
        </w:tc>
      </w:tr>
      <w:tr w:rsidR="00F24657" w:rsidRPr="005A38CE" w14:paraId="3F26B0AF" w14:textId="77777777" w:rsidTr="00B44107">
        <w:tc>
          <w:tcPr>
            <w:tcW w:w="3763" w:type="dxa"/>
          </w:tcPr>
          <w:p w14:paraId="6BBAEE7C" w14:textId="77777777" w:rsidR="00F24657" w:rsidRPr="005A38CE" w:rsidRDefault="00F24657" w:rsidP="00B44107">
            <w:pPr>
              <w:rPr>
                <w:b/>
                <w:i/>
              </w:rPr>
            </w:pPr>
            <w:r w:rsidRPr="005A38CE">
              <w:rPr>
                <w:b/>
                <w:i/>
              </w:rPr>
              <w:t xml:space="preserve">Number of providers </w:t>
            </w:r>
          </w:p>
        </w:tc>
        <w:tc>
          <w:tcPr>
            <w:tcW w:w="2864" w:type="dxa"/>
            <w:vAlign w:val="center"/>
          </w:tcPr>
          <w:p w14:paraId="7D5BF644" w14:textId="5611B818" w:rsidR="00F24657" w:rsidRPr="005A38CE" w:rsidRDefault="00F24657" w:rsidP="00B44107">
            <w:pPr>
              <w:jc w:val="right"/>
            </w:pPr>
            <w:r w:rsidRPr="005A38CE">
              <w:t xml:space="preserve">1,737 </w:t>
            </w:r>
          </w:p>
        </w:tc>
        <w:tc>
          <w:tcPr>
            <w:tcW w:w="2649" w:type="dxa"/>
          </w:tcPr>
          <w:p w14:paraId="4C038C35" w14:textId="77777777" w:rsidR="00F24657" w:rsidRPr="005A38CE" w:rsidRDefault="00F24657" w:rsidP="00B44107">
            <w:pPr>
              <w:jc w:val="right"/>
            </w:pPr>
            <w:r w:rsidRPr="005A38CE">
              <w:t>25</w:t>
            </w:r>
          </w:p>
        </w:tc>
      </w:tr>
    </w:tbl>
    <w:p w14:paraId="4A5504D6" w14:textId="15DF5679" w:rsidR="00F24657" w:rsidRPr="005A38CE" w:rsidRDefault="00633597" w:rsidP="00F24657">
      <w:r>
        <w:rPr>
          <w:sz w:val="18"/>
          <w:szCs w:val="18"/>
        </w:rPr>
        <w:t>Source: Department of Health, published and unpublished data, based on date of processing data for financial year 2014-15</w:t>
      </w:r>
    </w:p>
    <w:p w14:paraId="31979957" w14:textId="7094A2F7" w:rsidR="00F24657" w:rsidRPr="00615A94" w:rsidRDefault="00F24657" w:rsidP="00F24657">
      <w:pPr>
        <w:pStyle w:val="Caption"/>
        <w:rPr>
          <w:b/>
        </w:rPr>
      </w:pPr>
      <w:bookmarkStart w:id="50" w:name="_Toc468787429"/>
      <w:r w:rsidRPr="00615A94">
        <w:rPr>
          <w:b/>
        </w:rPr>
        <w:t xml:space="preserve">Table </w:t>
      </w:r>
      <w:r>
        <w:rPr>
          <w:b/>
        </w:rPr>
        <w:t>8</w:t>
      </w:r>
      <w:r w:rsidRPr="00615A94">
        <w:rPr>
          <w:b/>
        </w:rPr>
        <w:t xml:space="preserve">: </w:t>
      </w:r>
      <w:r>
        <w:rPr>
          <w:b/>
        </w:rPr>
        <w:t>MBS 2014-15 Statistics – Ventilation Perfusion (V/Q) Scans</w:t>
      </w:r>
      <w:bookmarkEnd w:id="50"/>
      <w:r>
        <w:rPr>
          <w:b/>
        </w:rPr>
        <w:t xml:space="preserve"> </w:t>
      </w:r>
    </w:p>
    <w:tbl>
      <w:tblPr>
        <w:tblStyle w:val="TableGrid"/>
        <w:tblW w:w="9276" w:type="dxa"/>
        <w:tblInd w:w="-34" w:type="dxa"/>
        <w:tblLook w:val="04A0" w:firstRow="1" w:lastRow="0" w:firstColumn="1" w:lastColumn="0" w:noHBand="0" w:noVBand="1"/>
        <w:tblDescription w:val="Table 8 contains the MBS data 2014-15 for items 61328, 61340 and 61348 showing, Service, Benefits, number of patients and number of providers and growth from 2011-12"/>
      </w:tblPr>
      <w:tblGrid>
        <w:gridCol w:w="3190"/>
        <w:gridCol w:w="2262"/>
        <w:gridCol w:w="1912"/>
        <w:gridCol w:w="1912"/>
      </w:tblGrid>
      <w:tr w:rsidR="00F24657" w:rsidRPr="005A38CE" w14:paraId="6182C088" w14:textId="77777777" w:rsidTr="00202722">
        <w:trPr>
          <w:tblHeader/>
        </w:trPr>
        <w:tc>
          <w:tcPr>
            <w:tcW w:w="3190" w:type="dxa"/>
            <w:shd w:val="clear" w:color="auto" w:fill="F2F2F2" w:themeFill="background1" w:themeFillShade="F2"/>
          </w:tcPr>
          <w:p w14:paraId="43695906" w14:textId="77777777" w:rsidR="00F24657" w:rsidRPr="005A38CE" w:rsidRDefault="00F24657" w:rsidP="00B44107">
            <w:pPr>
              <w:rPr>
                <w:b/>
                <w:i/>
              </w:rPr>
            </w:pPr>
            <w:r w:rsidRPr="005A38CE">
              <w:rPr>
                <w:b/>
                <w:i/>
              </w:rPr>
              <w:t>Item numbers</w:t>
            </w:r>
          </w:p>
        </w:tc>
        <w:tc>
          <w:tcPr>
            <w:tcW w:w="2262" w:type="dxa"/>
            <w:shd w:val="clear" w:color="auto" w:fill="F2F2F2" w:themeFill="background1" w:themeFillShade="F2"/>
            <w:vAlign w:val="center"/>
          </w:tcPr>
          <w:p w14:paraId="3B891086" w14:textId="77777777" w:rsidR="00F24657" w:rsidRPr="005A38CE" w:rsidRDefault="00F24657" w:rsidP="00B44107">
            <w:pPr>
              <w:jc w:val="right"/>
            </w:pPr>
            <w:r w:rsidRPr="005A38CE">
              <w:t>61328</w:t>
            </w:r>
          </w:p>
        </w:tc>
        <w:tc>
          <w:tcPr>
            <w:tcW w:w="1912" w:type="dxa"/>
            <w:shd w:val="clear" w:color="auto" w:fill="F2F2F2" w:themeFill="background1" w:themeFillShade="F2"/>
          </w:tcPr>
          <w:p w14:paraId="144BBA40" w14:textId="77777777" w:rsidR="00F24657" w:rsidRPr="005A38CE" w:rsidRDefault="00F24657" w:rsidP="00B44107">
            <w:pPr>
              <w:jc w:val="right"/>
            </w:pPr>
            <w:r w:rsidRPr="005A38CE">
              <w:t>61340</w:t>
            </w:r>
          </w:p>
        </w:tc>
        <w:tc>
          <w:tcPr>
            <w:tcW w:w="1912" w:type="dxa"/>
            <w:shd w:val="clear" w:color="auto" w:fill="F2F2F2" w:themeFill="background1" w:themeFillShade="F2"/>
            <w:vAlign w:val="center"/>
          </w:tcPr>
          <w:p w14:paraId="3834ED5C" w14:textId="77777777" w:rsidR="00F24657" w:rsidRPr="005A38CE" w:rsidRDefault="00F24657" w:rsidP="00B44107">
            <w:pPr>
              <w:jc w:val="right"/>
            </w:pPr>
            <w:r w:rsidRPr="005A38CE">
              <w:t>61348</w:t>
            </w:r>
          </w:p>
        </w:tc>
      </w:tr>
      <w:tr w:rsidR="00F24657" w:rsidRPr="005A38CE" w14:paraId="3CF458B3" w14:textId="77777777" w:rsidTr="00B44107">
        <w:tc>
          <w:tcPr>
            <w:tcW w:w="3190" w:type="dxa"/>
          </w:tcPr>
          <w:p w14:paraId="702100A3" w14:textId="77777777" w:rsidR="00F24657" w:rsidRPr="005A38CE" w:rsidRDefault="00F24657" w:rsidP="00B44107">
            <w:pPr>
              <w:rPr>
                <w:b/>
                <w:i/>
              </w:rPr>
            </w:pPr>
            <w:r w:rsidRPr="005A38CE">
              <w:rPr>
                <w:b/>
                <w:i/>
              </w:rPr>
              <w:t>Services 2014/15</w:t>
            </w:r>
          </w:p>
        </w:tc>
        <w:tc>
          <w:tcPr>
            <w:tcW w:w="2262" w:type="dxa"/>
            <w:vAlign w:val="center"/>
          </w:tcPr>
          <w:p w14:paraId="3D22683F" w14:textId="77777777" w:rsidR="00F24657" w:rsidRPr="005A38CE" w:rsidRDefault="00F24657" w:rsidP="00B44107">
            <w:pPr>
              <w:jc w:val="right"/>
            </w:pPr>
            <w:r w:rsidRPr="005A38CE">
              <w:t xml:space="preserve">465 </w:t>
            </w:r>
          </w:p>
        </w:tc>
        <w:tc>
          <w:tcPr>
            <w:tcW w:w="1912" w:type="dxa"/>
          </w:tcPr>
          <w:p w14:paraId="6C061C77" w14:textId="77777777" w:rsidR="00F24657" w:rsidRPr="005A38CE" w:rsidRDefault="00F24657" w:rsidP="00B44107">
            <w:pPr>
              <w:jc w:val="right"/>
            </w:pPr>
            <w:r w:rsidRPr="005A38CE">
              <w:t>135</w:t>
            </w:r>
          </w:p>
        </w:tc>
        <w:tc>
          <w:tcPr>
            <w:tcW w:w="1912" w:type="dxa"/>
            <w:vAlign w:val="center"/>
          </w:tcPr>
          <w:p w14:paraId="417EEA6E" w14:textId="77777777" w:rsidR="00F24657" w:rsidRPr="005A38CE" w:rsidRDefault="00F24657" w:rsidP="00B44107">
            <w:pPr>
              <w:jc w:val="right"/>
            </w:pPr>
            <w:r w:rsidRPr="005A38CE">
              <w:t xml:space="preserve">20,841 </w:t>
            </w:r>
          </w:p>
        </w:tc>
      </w:tr>
      <w:tr w:rsidR="00F24657" w:rsidRPr="005A38CE" w14:paraId="5B2CECAA" w14:textId="77777777" w:rsidTr="00B44107">
        <w:tc>
          <w:tcPr>
            <w:tcW w:w="3190" w:type="dxa"/>
          </w:tcPr>
          <w:p w14:paraId="04FBA399" w14:textId="77777777" w:rsidR="00F24657" w:rsidRPr="005A38CE" w:rsidRDefault="00F24657" w:rsidP="00B44107">
            <w:pPr>
              <w:rPr>
                <w:b/>
                <w:i/>
              </w:rPr>
            </w:pPr>
            <w:r w:rsidRPr="005A38CE">
              <w:rPr>
                <w:b/>
                <w:i/>
              </w:rPr>
              <w:t>Benefits 2014/15</w:t>
            </w:r>
          </w:p>
        </w:tc>
        <w:tc>
          <w:tcPr>
            <w:tcW w:w="2262" w:type="dxa"/>
            <w:vAlign w:val="center"/>
          </w:tcPr>
          <w:p w14:paraId="44BFCC85" w14:textId="77777777" w:rsidR="00F24657" w:rsidRPr="005A38CE" w:rsidRDefault="00F24657" w:rsidP="00B44107">
            <w:pPr>
              <w:jc w:val="right"/>
            </w:pPr>
            <w:r w:rsidRPr="005A38CE">
              <w:t>$94,688</w:t>
            </w:r>
          </w:p>
        </w:tc>
        <w:tc>
          <w:tcPr>
            <w:tcW w:w="1912" w:type="dxa"/>
          </w:tcPr>
          <w:p w14:paraId="0D15DD0A" w14:textId="77777777" w:rsidR="00F24657" w:rsidRPr="005A38CE" w:rsidRDefault="00F24657" w:rsidP="00B44107">
            <w:pPr>
              <w:jc w:val="right"/>
            </w:pPr>
            <w:r w:rsidRPr="005A38CE">
              <w:t>$31,142</w:t>
            </w:r>
          </w:p>
        </w:tc>
        <w:tc>
          <w:tcPr>
            <w:tcW w:w="1912" w:type="dxa"/>
            <w:vAlign w:val="center"/>
          </w:tcPr>
          <w:p w14:paraId="1ACD907E" w14:textId="77777777" w:rsidR="00F24657" w:rsidRPr="005A38CE" w:rsidRDefault="00F24657" w:rsidP="00B44107">
            <w:pPr>
              <w:jc w:val="right"/>
            </w:pPr>
            <w:r w:rsidRPr="005A38CE">
              <w:t>$8.3 million</w:t>
            </w:r>
          </w:p>
        </w:tc>
      </w:tr>
      <w:tr w:rsidR="00F24657" w:rsidRPr="005A38CE" w14:paraId="4F531C88" w14:textId="77777777" w:rsidTr="00B44107">
        <w:tc>
          <w:tcPr>
            <w:tcW w:w="3190" w:type="dxa"/>
          </w:tcPr>
          <w:p w14:paraId="65802D1E" w14:textId="77777777" w:rsidR="00F24657" w:rsidRPr="005A38CE" w:rsidRDefault="00F24657" w:rsidP="00B44107">
            <w:pPr>
              <w:rPr>
                <w:b/>
                <w:i/>
              </w:rPr>
            </w:pPr>
            <w:r w:rsidRPr="005A38CE">
              <w:rPr>
                <w:b/>
                <w:i/>
              </w:rPr>
              <w:t>2011-12 to 2014-15 growth in benefits</w:t>
            </w:r>
          </w:p>
        </w:tc>
        <w:tc>
          <w:tcPr>
            <w:tcW w:w="2262" w:type="dxa"/>
            <w:vAlign w:val="center"/>
          </w:tcPr>
          <w:p w14:paraId="014FBF4E" w14:textId="77777777" w:rsidR="00F24657" w:rsidRPr="005A38CE" w:rsidRDefault="00F24657" w:rsidP="00B44107">
            <w:pPr>
              <w:jc w:val="right"/>
            </w:pPr>
            <w:r w:rsidRPr="005A38CE">
              <w:t>20.9%</w:t>
            </w:r>
          </w:p>
        </w:tc>
        <w:tc>
          <w:tcPr>
            <w:tcW w:w="1912" w:type="dxa"/>
          </w:tcPr>
          <w:p w14:paraId="6B6AB9EC" w14:textId="77777777" w:rsidR="00F24657" w:rsidRPr="005A38CE" w:rsidRDefault="00F24657" w:rsidP="00B44107">
            <w:pPr>
              <w:jc w:val="right"/>
            </w:pPr>
            <w:r w:rsidRPr="005A38CE">
              <w:t>-32.3%</w:t>
            </w:r>
          </w:p>
        </w:tc>
        <w:tc>
          <w:tcPr>
            <w:tcW w:w="1912" w:type="dxa"/>
            <w:vAlign w:val="center"/>
          </w:tcPr>
          <w:p w14:paraId="786B817A" w14:textId="77777777" w:rsidR="00F24657" w:rsidRPr="005A38CE" w:rsidRDefault="00F24657" w:rsidP="00B44107">
            <w:pPr>
              <w:jc w:val="right"/>
            </w:pPr>
            <w:r w:rsidRPr="005A38CE">
              <w:t>15.5%</w:t>
            </w:r>
          </w:p>
        </w:tc>
      </w:tr>
      <w:tr w:rsidR="00F24657" w:rsidRPr="005A38CE" w14:paraId="7AAC7499" w14:textId="77777777" w:rsidTr="00B44107">
        <w:tc>
          <w:tcPr>
            <w:tcW w:w="3190" w:type="dxa"/>
          </w:tcPr>
          <w:p w14:paraId="427A66F2" w14:textId="77777777" w:rsidR="00F24657" w:rsidRPr="005A38CE" w:rsidRDefault="00F24657" w:rsidP="00B44107">
            <w:pPr>
              <w:rPr>
                <w:b/>
                <w:i/>
              </w:rPr>
            </w:pPr>
            <w:r w:rsidRPr="005A38CE">
              <w:rPr>
                <w:b/>
                <w:i/>
              </w:rPr>
              <w:t xml:space="preserve">Number of patients </w:t>
            </w:r>
          </w:p>
        </w:tc>
        <w:tc>
          <w:tcPr>
            <w:tcW w:w="2262" w:type="dxa"/>
            <w:vAlign w:val="center"/>
          </w:tcPr>
          <w:p w14:paraId="6CCC2E13" w14:textId="77777777" w:rsidR="00F24657" w:rsidRPr="005A38CE" w:rsidRDefault="00F24657" w:rsidP="00B44107">
            <w:pPr>
              <w:jc w:val="right"/>
            </w:pPr>
            <w:r w:rsidRPr="005A38CE">
              <w:t xml:space="preserve">452 </w:t>
            </w:r>
          </w:p>
        </w:tc>
        <w:tc>
          <w:tcPr>
            <w:tcW w:w="1912" w:type="dxa"/>
          </w:tcPr>
          <w:p w14:paraId="701078C6" w14:textId="77777777" w:rsidR="00F24657" w:rsidRPr="005A38CE" w:rsidRDefault="00F24657" w:rsidP="00B44107">
            <w:pPr>
              <w:jc w:val="right"/>
            </w:pPr>
            <w:r w:rsidRPr="005A38CE">
              <w:t>134</w:t>
            </w:r>
          </w:p>
        </w:tc>
        <w:tc>
          <w:tcPr>
            <w:tcW w:w="1912" w:type="dxa"/>
            <w:vAlign w:val="center"/>
          </w:tcPr>
          <w:p w14:paraId="42F63718" w14:textId="77777777" w:rsidR="00F24657" w:rsidRPr="005A38CE" w:rsidRDefault="00F24657" w:rsidP="00B44107">
            <w:pPr>
              <w:jc w:val="right"/>
            </w:pPr>
            <w:r w:rsidRPr="005A38CE">
              <w:t xml:space="preserve">19,275 </w:t>
            </w:r>
          </w:p>
        </w:tc>
      </w:tr>
      <w:tr w:rsidR="00F24657" w:rsidRPr="005A38CE" w14:paraId="6B30F798" w14:textId="77777777" w:rsidTr="00B44107">
        <w:tc>
          <w:tcPr>
            <w:tcW w:w="3190" w:type="dxa"/>
          </w:tcPr>
          <w:p w14:paraId="45020C77" w14:textId="77777777" w:rsidR="00F24657" w:rsidRPr="005A38CE" w:rsidRDefault="00F24657" w:rsidP="00B44107">
            <w:pPr>
              <w:rPr>
                <w:b/>
                <w:i/>
              </w:rPr>
            </w:pPr>
            <w:r w:rsidRPr="005A38CE">
              <w:rPr>
                <w:b/>
                <w:i/>
              </w:rPr>
              <w:t xml:space="preserve">Number of providers </w:t>
            </w:r>
          </w:p>
        </w:tc>
        <w:tc>
          <w:tcPr>
            <w:tcW w:w="2262" w:type="dxa"/>
            <w:vAlign w:val="center"/>
          </w:tcPr>
          <w:p w14:paraId="7AA506DF" w14:textId="77777777" w:rsidR="00F24657" w:rsidRPr="005A38CE" w:rsidRDefault="00F24657" w:rsidP="00B44107">
            <w:pPr>
              <w:jc w:val="right"/>
            </w:pPr>
            <w:r w:rsidRPr="005A38CE">
              <w:t>139</w:t>
            </w:r>
          </w:p>
        </w:tc>
        <w:tc>
          <w:tcPr>
            <w:tcW w:w="1912" w:type="dxa"/>
          </w:tcPr>
          <w:p w14:paraId="28058A74" w14:textId="77777777" w:rsidR="00F24657" w:rsidRPr="005A38CE" w:rsidRDefault="00F24657" w:rsidP="00B44107">
            <w:pPr>
              <w:jc w:val="right"/>
            </w:pPr>
            <w:r w:rsidRPr="005A38CE">
              <w:t>63</w:t>
            </w:r>
          </w:p>
        </w:tc>
        <w:tc>
          <w:tcPr>
            <w:tcW w:w="1912" w:type="dxa"/>
            <w:vAlign w:val="center"/>
          </w:tcPr>
          <w:p w14:paraId="779D5E20" w14:textId="77777777" w:rsidR="00F24657" w:rsidRPr="005A38CE" w:rsidRDefault="00F24657" w:rsidP="00B44107">
            <w:pPr>
              <w:jc w:val="right"/>
            </w:pPr>
            <w:r w:rsidRPr="005A38CE">
              <w:t>428</w:t>
            </w:r>
          </w:p>
        </w:tc>
      </w:tr>
    </w:tbl>
    <w:p w14:paraId="340522B8" w14:textId="7E57D2D2" w:rsidR="00633597" w:rsidRDefault="00633597" w:rsidP="003035F4">
      <w:r>
        <w:rPr>
          <w:sz w:val="18"/>
          <w:szCs w:val="18"/>
        </w:rPr>
        <w:t>Source: Department of Health, published and unpublished data, based on date of processing data for financial year 2014-15</w:t>
      </w:r>
    </w:p>
    <w:p w14:paraId="4DD210E9" w14:textId="77777777" w:rsidR="003035F4" w:rsidRDefault="00BC5996" w:rsidP="003035F4">
      <w:r w:rsidRPr="004B0747">
        <w:t xml:space="preserve">There were no concerns with the data provided for MBS items for PE imaging, including data on the number of services performed in 2014–2015 by requester's clinical specialty. The MBS data for the items </w:t>
      </w:r>
      <w:proofErr w:type="gramStart"/>
      <w:r w:rsidRPr="004B0747">
        <w:t>was considered to be</w:t>
      </w:r>
      <w:proofErr w:type="gramEnd"/>
      <w:r w:rsidRPr="004B0747">
        <w:t xml:space="preserve"> reasonable and compatible with clinically appropriate imaging use. Additionally, it was noted that the number of PE items was relatively small, on a per capita basis, likely because the majority are performed outside of Medicare, while most DVT items were requested in primary care</w:t>
      </w:r>
      <w:r>
        <w:t>.</w:t>
      </w:r>
    </w:p>
    <w:p w14:paraId="278CAF50" w14:textId="2F7B577C" w:rsidR="003035F4" w:rsidRPr="003035F4" w:rsidRDefault="003035F4" w:rsidP="00F24657">
      <w:r w:rsidRPr="00902A8C">
        <w:rPr>
          <w:lang w:val="en-US"/>
        </w:rPr>
        <w:t xml:space="preserve">Additional data on the number of services for PE items requested by different provider </w:t>
      </w:r>
      <w:proofErr w:type="spellStart"/>
      <w:r w:rsidRPr="00902A8C">
        <w:rPr>
          <w:lang w:val="en-US"/>
        </w:rPr>
        <w:t>specialities</w:t>
      </w:r>
      <w:proofErr w:type="spellEnd"/>
      <w:r w:rsidRPr="00902A8C">
        <w:rPr>
          <w:lang w:val="en-US"/>
        </w:rPr>
        <w:t xml:space="preserve"> showed a relatively small number of services for PE diagnosis in comparison to DVT. This small number of Medicare services can be attributed to the large number of PE diagnoses conducted in the public hospital emergency department setting, where services are not billed to Medicare.</w:t>
      </w:r>
    </w:p>
    <w:p w14:paraId="28969560" w14:textId="022CCDCD" w:rsidR="00F24657" w:rsidRDefault="00F24657" w:rsidP="00F24657">
      <w:pPr>
        <w:pStyle w:val="Heading2"/>
      </w:pPr>
      <w:bookmarkStart w:id="51" w:name="_Toc468787476"/>
      <w:r>
        <w:lastRenderedPageBreak/>
        <w:t>Issues</w:t>
      </w:r>
      <w:bookmarkEnd w:id="51"/>
      <w:r>
        <w:t xml:space="preserve"> </w:t>
      </w:r>
    </w:p>
    <w:p w14:paraId="0D13CC45" w14:textId="77777777" w:rsidR="00F24657" w:rsidRDefault="00F24657" w:rsidP="00F24657">
      <w:r>
        <w:t>Through the Choosing Wisely initiative, the Royal Australian and New Zealand College of Radiologists (RANZCR) recommends that PE diagnosis should be commenced by using PE-rule out tools, including negative D dimer results, before applying imaging tests, such as computed tomography pulmonary angiography (CTPA).</w:t>
      </w:r>
    </w:p>
    <w:p w14:paraId="4B903CB8" w14:textId="77777777" w:rsidR="00F24657" w:rsidRDefault="00F24657" w:rsidP="00F24657">
      <w:r>
        <w:t>For patients who do require imaging there is a need to consider the relative clinical utility of CTPA and ventilation perfusion (V/Q) scans in the broad population and in specific groups such as pregnant women.</w:t>
      </w:r>
    </w:p>
    <w:p w14:paraId="77764DE2" w14:textId="77777777" w:rsidR="00F24657" w:rsidRPr="001F2AA1" w:rsidRDefault="00F24657" w:rsidP="00F24657">
      <w:r w:rsidRPr="001F2AA1">
        <w:t>The principal purpose of this review</w:t>
      </w:r>
      <w:r>
        <w:t xml:space="preserve"> of imaging (including CTPA and V/Q) to exclude PE</w:t>
      </w:r>
      <w:r w:rsidRPr="001F2AA1">
        <w:t xml:space="preserve"> was to consider:</w:t>
      </w:r>
    </w:p>
    <w:p w14:paraId="1096DEA6" w14:textId="77777777" w:rsidR="00F24657" w:rsidRPr="00B762D5" w:rsidRDefault="00F24657" w:rsidP="00F24657">
      <w:pPr>
        <w:pStyle w:val="NormalBulleted"/>
      </w:pPr>
      <w:r w:rsidRPr="00B762D5">
        <w:t>whether PE should be diagnosed using PE-rule out tools, including negative D dimer results, rather than imaging tests such as CTPA</w:t>
      </w:r>
    </w:p>
    <w:p w14:paraId="06E8506A" w14:textId="77777777" w:rsidR="00F24657" w:rsidRPr="00B762D5" w:rsidRDefault="00F24657" w:rsidP="00F24657">
      <w:pPr>
        <w:pStyle w:val="NormalBulleted"/>
      </w:pPr>
      <w:r w:rsidRPr="00B762D5">
        <w:t>the relative utility of V/Q lung scans versus CTPA in various patient populations including pregnant women</w:t>
      </w:r>
    </w:p>
    <w:p w14:paraId="19619846" w14:textId="77777777" w:rsidR="00F24657" w:rsidRPr="00B762D5" w:rsidRDefault="00F24657" w:rsidP="00F24657">
      <w:pPr>
        <w:pStyle w:val="NormalBulleted"/>
      </w:pPr>
      <w:r w:rsidRPr="00B762D5">
        <w:t>if explicit guidance on prerequisites for testing are required for the MBS items.</w:t>
      </w:r>
    </w:p>
    <w:p w14:paraId="501B7DE2" w14:textId="77777777" w:rsidR="00F24657" w:rsidRPr="00FA6358" w:rsidRDefault="00F24657" w:rsidP="00F24657">
      <w:r>
        <w:t>Using the MBS data, it is not possible to know the indication for the use of the imaging tests. Similarly, a data request which looks at the claiming of a D dimer test for patients that had either of the below imaging tests is not possible, as the D dimer test is bundled in an item with other coagulation studies.</w:t>
      </w:r>
    </w:p>
    <w:p w14:paraId="2A154564" w14:textId="638A78B0" w:rsidR="00F24657" w:rsidRPr="00BC5996" w:rsidRDefault="00BC5996" w:rsidP="00BC5996">
      <w:pPr>
        <w:pStyle w:val="Heading2"/>
      </w:pPr>
      <w:bookmarkStart w:id="52" w:name="_Toc468787477"/>
      <w:r>
        <w:t xml:space="preserve">Recommendation </w:t>
      </w:r>
      <w:r w:rsidR="001805EA">
        <w:t>4</w:t>
      </w:r>
      <w:r>
        <w:t xml:space="preserve"> - </w:t>
      </w:r>
      <w:r w:rsidRPr="00C01C61">
        <w:t xml:space="preserve">MBS explanatory notes for the MBS items dealing with diagnostic imaging for </w:t>
      </w:r>
      <w:r>
        <w:t>PE</w:t>
      </w:r>
      <w:bookmarkEnd w:id="52"/>
    </w:p>
    <w:p w14:paraId="323CDDA8" w14:textId="60A1F3E2" w:rsidR="00F24657" w:rsidRPr="008A64E5" w:rsidRDefault="00BC5996" w:rsidP="00F24657">
      <w:pPr>
        <w:pStyle w:val="Heading3Numbered"/>
      </w:pPr>
      <w:r>
        <w:t xml:space="preserve">Recommendation </w:t>
      </w:r>
    </w:p>
    <w:p w14:paraId="02CBEB34" w14:textId="2F632CC6" w:rsidR="00BC5996" w:rsidRPr="00BC5996" w:rsidRDefault="00BC5996" w:rsidP="00BC5996">
      <w:pPr>
        <w:pStyle w:val="Tabletext9"/>
        <w:rPr>
          <w:sz w:val="22"/>
        </w:rPr>
      </w:pPr>
      <w:r w:rsidRPr="00893438">
        <w:rPr>
          <w:sz w:val="22"/>
        </w:rPr>
        <w:t xml:space="preserve">Introduce an </w:t>
      </w:r>
      <w:r>
        <w:rPr>
          <w:sz w:val="22"/>
        </w:rPr>
        <w:t xml:space="preserve">MBS </w:t>
      </w:r>
      <w:r w:rsidRPr="00893438">
        <w:rPr>
          <w:sz w:val="22"/>
        </w:rPr>
        <w:t xml:space="preserve">explanatory </w:t>
      </w:r>
      <w:r>
        <w:rPr>
          <w:sz w:val="22"/>
        </w:rPr>
        <w:t xml:space="preserve">stating that </w:t>
      </w:r>
      <w:r w:rsidRPr="00893438">
        <w:rPr>
          <w:sz w:val="22"/>
        </w:rPr>
        <w:t xml:space="preserve">medical practitioners referring patients for </w:t>
      </w:r>
      <w:r w:rsidR="00256837" w:rsidRPr="00BC5996">
        <w:rPr>
          <w:sz w:val="22"/>
        </w:rPr>
        <w:t>suspected PE (items 57351, 57356, 61328, 61340, 61348)</w:t>
      </w:r>
      <w:r w:rsidRPr="00893438">
        <w:rPr>
          <w:sz w:val="22"/>
        </w:rPr>
        <w:t xml:space="preserve"> should read and consider the following Royal Australian and New Zealand College of Radiologists </w:t>
      </w:r>
      <w:hyperlink r:id="rId10" w:history="1">
        <w:r w:rsidRPr="00006F0E">
          <w:rPr>
            <w:rStyle w:val="Hyperlink"/>
            <w:sz w:val="22"/>
          </w:rPr>
          <w:t>RANZCR 2015 Choosing Wisely recommendations:</w:t>
        </w:r>
      </w:hyperlink>
    </w:p>
    <w:p w14:paraId="1A3F92FF" w14:textId="5FA01AEC" w:rsidR="00BC5996" w:rsidRPr="00371437" w:rsidRDefault="00BC5996" w:rsidP="00BC5996">
      <w:pPr>
        <w:numPr>
          <w:ilvl w:val="2"/>
          <w:numId w:val="14"/>
        </w:numPr>
        <w:rPr>
          <w:lang w:val="en-GB"/>
        </w:rPr>
      </w:pPr>
      <w:r w:rsidRPr="00BC5996">
        <w:rPr>
          <w:lang w:val="en-GB"/>
        </w:rPr>
        <w:t>Don’t request any diagnostic testing for suspected pulmonary embolism (PE) unless indicated by Wells Score (or Charlotte Rule) followed by PE Rule-out Criteria (in patients not pregnant). Low risk patients in whom diagnostic testing is indicated should have PE excluded by a negative D dimer, not imaging.</w:t>
      </w:r>
    </w:p>
    <w:p w14:paraId="13F70AAB" w14:textId="77777777" w:rsidR="00BC5996" w:rsidRPr="00893438" w:rsidRDefault="00BC5996" w:rsidP="00BC5996">
      <w:pPr>
        <w:pStyle w:val="Tabletext9"/>
        <w:rPr>
          <w:sz w:val="22"/>
        </w:rPr>
      </w:pPr>
      <w:r w:rsidRPr="00893438">
        <w:rPr>
          <w:sz w:val="22"/>
        </w:rPr>
        <w:t>Education of target referrers on the Choosing Wisely Recommendations should be implemented. The provision of educational strategies is not within the remit of the MBS but rather the MBS could leverage off educational strategies developed by the Colleges or a third-party organisation such as NPS MedicineWise whose primary role is to provide general education to health professionals.</w:t>
      </w:r>
    </w:p>
    <w:bookmarkEnd w:id="48"/>
    <w:p w14:paraId="44244317" w14:textId="3155A9A6" w:rsidR="00A74C6B" w:rsidRDefault="00BC5996" w:rsidP="00A15C12">
      <w:pPr>
        <w:pStyle w:val="Heading3Numbered"/>
      </w:pPr>
      <w:r>
        <w:lastRenderedPageBreak/>
        <w:t xml:space="preserve">Rationale </w:t>
      </w:r>
    </w:p>
    <w:p w14:paraId="4531246A" w14:textId="46FF4DA9" w:rsidR="003035F4" w:rsidRPr="00B762D5" w:rsidRDefault="003035F4" w:rsidP="003035F4">
      <w:pPr>
        <w:pStyle w:val="NormalBulleted"/>
        <w:rPr>
          <w:rFonts w:eastAsiaTheme="minorHAnsi"/>
          <w:lang w:val="en-US"/>
        </w:rPr>
      </w:pPr>
      <w:r>
        <w:rPr>
          <w:rFonts w:eastAsiaTheme="minorHAnsi"/>
          <w:lang w:val="en-US"/>
        </w:rPr>
        <w:t>The Committee a</w:t>
      </w:r>
      <w:r w:rsidRPr="00B762D5">
        <w:rPr>
          <w:rFonts w:eastAsiaTheme="minorHAnsi"/>
          <w:lang w:val="en-US"/>
        </w:rPr>
        <w:t>dvised against replacing imaging tests with PE-rule out tools for the diagnosis of PE.</w:t>
      </w:r>
    </w:p>
    <w:p w14:paraId="08DAABD2" w14:textId="77777777" w:rsidR="00BC5996" w:rsidRPr="00902A8C" w:rsidRDefault="00BC5996" w:rsidP="00BC5996">
      <w:pPr>
        <w:pStyle w:val="NormalBulleted"/>
        <w:rPr>
          <w:lang w:val="en-GB"/>
        </w:rPr>
      </w:pPr>
      <w:r w:rsidRPr="00902A8C">
        <w:rPr>
          <w:lang w:val="en-US"/>
        </w:rPr>
        <w:t>PE-rule out tools can guide the appropriate use of diagnostic imaging in patients whose clinical indication and circumstance fit the diagnostic rules. However, PE-rule out tools are not designed to replace imaging tests, as they are not applicable to all clinical circumstances</w:t>
      </w:r>
      <w:r w:rsidRPr="00902A8C">
        <w:rPr>
          <w:lang w:val="en-GB"/>
        </w:rPr>
        <w:t>.</w:t>
      </w:r>
    </w:p>
    <w:p w14:paraId="47FE53FB" w14:textId="77777777" w:rsidR="00BC5996" w:rsidRPr="00902A8C" w:rsidRDefault="00BC5996" w:rsidP="00BC5996">
      <w:pPr>
        <w:pStyle w:val="NormalBulleted"/>
        <w:rPr>
          <w:lang w:val="en-GB"/>
        </w:rPr>
      </w:pPr>
      <w:r w:rsidRPr="00902A8C">
        <w:rPr>
          <w:lang w:val="en-GB"/>
        </w:rPr>
        <w:t>Incorporating the Choosing Wisely recommendations on the use of PE-rule out tools into MBS item descriptors would be difficult as:</w:t>
      </w:r>
    </w:p>
    <w:p w14:paraId="02E8A2F9" w14:textId="77777777" w:rsidR="00BC5996" w:rsidRPr="00902A8C" w:rsidRDefault="00BC5996" w:rsidP="00BC5996">
      <w:pPr>
        <w:numPr>
          <w:ilvl w:val="2"/>
          <w:numId w:val="14"/>
        </w:numPr>
        <w:rPr>
          <w:lang w:val="en-GB"/>
        </w:rPr>
      </w:pPr>
      <w:r w:rsidRPr="00902A8C">
        <w:rPr>
          <w:lang w:val="en-GB"/>
        </w:rPr>
        <w:t>PE-rule out tools, written in clinical guidance language, are not readily adaptable to linear-list MBS DIST descriptors which are written in legislative regulatory language and can result in inappropriate patient inclusion or exclusion.</w:t>
      </w:r>
    </w:p>
    <w:p w14:paraId="31C0D551" w14:textId="77777777" w:rsidR="00BC5996" w:rsidRPr="00902A8C" w:rsidRDefault="00BC5996" w:rsidP="00BC5996">
      <w:pPr>
        <w:numPr>
          <w:ilvl w:val="2"/>
          <w:numId w:val="14"/>
        </w:numPr>
        <w:rPr>
          <w:lang w:val="en-GB"/>
        </w:rPr>
      </w:pPr>
      <w:r w:rsidRPr="00902A8C">
        <w:rPr>
          <w:lang w:val="en-GB"/>
        </w:rPr>
        <w:t>MBS item descriptors are static while PE-rule out tools should be regularly revised in response to change in patient demographics, evolution of disease pathology and new research.</w:t>
      </w:r>
    </w:p>
    <w:p w14:paraId="3028B8A8" w14:textId="333E03E1" w:rsidR="003035F4" w:rsidRPr="003035F4" w:rsidRDefault="003035F4" w:rsidP="003035F4">
      <w:pPr>
        <w:pStyle w:val="NormalBulleted"/>
        <w:rPr>
          <w:lang w:val="en-US"/>
        </w:rPr>
      </w:pPr>
      <w:r>
        <w:rPr>
          <w:lang w:val="en-US"/>
        </w:rPr>
        <w:t>The Committee a</w:t>
      </w:r>
      <w:r w:rsidRPr="003035F4">
        <w:rPr>
          <w:lang w:val="en-US"/>
        </w:rPr>
        <w:t xml:space="preserve">dvised against incorporating the RANZCR Choosing Wisely recommendations into the MBS item descriptors used for PE diagnostic imaging because in the future these recommendations may no longer be consistent with good clinical practice. </w:t>
      </w:r>
    </w:p>
    <w:p w14:paraId="31EEBD3C" w14:textId="6D279684" w:rsidR="003035F4" w:rsidRPr="003035F4" w:rsidRDefault="003035F4" w:rsidP="003035F4">
      <w:pPr>
        <w:pStyle w:val="NormalBulleted"/>
        <w:rPr>
          <w:lang w:val="en-US"/>
        </w:rPr>
      </w:pPr>
      <w:r>
        <w:rPr>
          <w:lang w:val="en-US"/>
        </w:rPr>
        <w:t xml:space="preserve">The Committee noted that </w:t>
      </w:r>
      <w:r w:rsidRPr="003035F4">
        <w:rPr>
          <w:lang w:val="en-US"/>
        </w:rPr>
        <w:t xml:space="preserve">V/Q studies should not be restricted to pregnant patients as there are </w:t>
      </w:r>
      <w:proofErr w:type="gramStart"/>
      <w:r w:rsidRPr="003035F4">
        <w:rPr>
          <w:lang w:val="en-US"/>
        </w:rPr>
        <w:t>a number of</w:t>
      </w:r>
      <w:proofErr w:type="gramEnd"/>
      <w:r w:rsidRPr="003035F4">
        <w:rPr>
          <w:lang w:val="en-US"/>
        </w:rPr>
        <w:t xml:space="preserve"> valid indications for these studies in non-pregnant patients.</w:t>
      </w:r>
    </w:p>
    <w:p w14:paraId="6272496C" w14:textId="77777777" w:rsidR="003035F4" w:rsidRPr="00902A8C" w:rsidRDefault="003035F4" w:rsidP="003035F4">
      <w:pPr>
        <w:pStyle w:val="NormalBulleted"/>
        <w:rPr>
          <w:lang w:val="en-GB"/>
        </w:rPr>
      </w:pPr>
      <w:proofErr w:type="gramStart"/>
      <w:r w:rsidRPr="00902A8C">
        <w:rPr>
          <w:lang w:val="en-US"/>
        </w:rPr>
        <w:t>In regard to</w:t>
      </w:r>
      <w:proofErr w:type="gramEnd"/>
      <w:r w:rsidRPr="00902A8C">
        <w:rPr>
          <w:lang w:val="en-US"/>
        </w:rPr>
        <w:t xml:space="preserve"> the relative clinical utility of V/Q and CTPA in their use to diagnose PE, it was observed that:</w:t>
      </w:r>
    </w:p>
    <w:p w14:paraId="55778DC6" w14:textId="77777777" w:rsidR="003035F4" w:rsidRPr="00902A8C" w:rsidRDefault="003035F4" w:rsidP="003035F4">
      <w:pPr>
        <w:numPr>
          <w:ilvl w:val="2"/>
          <w:numId w:val="15"/>
        </w:numPr>
        <w:rPr>
          <w:lang w:val="en-US"/>
        </w:rPr>
      </w:pPr>
      <w:r w:rsidRPr="00902A8C">
        <w:rPr>
          <w:lang w:val="en-US"/>
        </w:rPr>
        <w:t xml:space="preserve">patient populations and valid clinical scenarios exist where one test is clinically advantageous over the </w:t>
      </w:r>
      <w:proofErr w:type="gramStart"/>
      <w:r w:rsidRPr="00902A8C">
        <w:rPr>
          <w:lang w:val="en-US"/>
        </w:rPr>
        <w:t>other;</w:t>
      </w:r>
      <w:proofErr w:type="gramEnd"/>
    </w:p>
    <w:p w14:paraId="6686C117" w14:textId="77777777" w:rsidR="003035F4" w:rsidRPr="00902A8C" w:rsidRDefault="003035F4" w:rsidP="003035F4">
      <w:pPr>
        <w:numPr>
          <w:ilvl w:val="2"/>
          <w:numId w:val="15"/>
        </w:numPr>
        <w:rPr>
          <w:lang w:val="en-US"/>
        </w:rPr>
      </w:pPr>
      <w:r w:rsidRPr="00902A8C">
        <w:rPr>
          <w:lang w:val="en-US"/>
        </w:rPr>
        <w:t>patients and valid clinical scenarios exist where one of the two tests cannot be used at all on safety or practical grounds, and the other test must be used instead; for example, patients who are unable to lie down, patients who require a lower radiation dose or patients who may have contraindications to CTPA;</w:t>
      </w:r>
    </w:p>
    <w:p w14:paraId="5AAA793A" w14:textId="77777777" w:rsidR="003035F4" w:rsidRPr="00902A8C" w:rsidRDefault="003035F4" w:rsidP="003035F4">
      <w:pPr>
        <w:numPr>
          <w:ilvl w:val="2"/>
          <w:numId w:val="15"/>
        </w:numPr>
        <w:rPr>
          <w:lang w:val="en-US"/>
        </w:rPr>
      </w:pPr>
      <w:r w:rsidRPr="00902A8C">
        <w:rPr>
          <w:lang w:val="en-US"/>
        </w:rPr>
        <w:t xml:space="preserve">a small non-zero technical failure and indeterminacy rate for each test exists, </w:t>
      </w:r>
      <w:r w:rsidRPr="00902A8C">
        <w:t xml:space="preserve">which may necessitate using the other test as </w:t>
      </w:r>
      <w:proofErr w:type="gramStart"/>
      <w:r w:rsidRPr="00902A8C">
        <w:t>backup</w:t>
      </w:r>
      <w:r w:rsidRPr="00902A8C">
        <w:rPr>
          <w:lang w:val="en-US"/>
        </w:rPr>
        <w:t>;</w:t>
      </w:r>
      <w:proofErr w:type="gramEnd"/>
    </w:p>
    <w:p w14:paraId="58F99929" w14:textId="77777777" w:rsidR="003035F4" w:rsidRPr="00902A8C" w:rsidRDefault="003035F4" w:rsidP="003035F4">
      <w:pPr>
        <w:numPr>
          <w:ilvl w:val="2"/>
          <w:numId w:val="15"/>
        </w:numPr>
        <w:rPr>
          <w:lang w:val="en-US"/>
        </w:rPr>
      </w:pPr>
      <w:r w:rsidRPr="00902A8C">
        <w:rPr>
          <w:lang w:val="en-US"/>
        </w:rPr>
        <w:t xml:space="preserve">patient populations and valid clinical scenarios (typically complex and chronic) exist, where combined </w:t>
      </w:r>
      <w:proofErr w:type="spellStart"/>
      <w:r w:rsidRPr="00902A8C">
        <w:rPr>
          <w:lang w:val="en-US"/>
        </w:rPr>
        <w:t>utilisation</w:t>
      </w:r>
      <w:proofErr w:type="spellEnd"/>
      <w:r w:rsidRPr="00902A8C">
        <w:rPr>
          <w:lang w:val="en-US"/>
        </w:rPr>
        <w:t xml:space="preserve"> of both the tests is clinically appropriate and </w:t>
      </w:r>
      <w:proofErr w:type="gramStart"/>
      <w:r w:rsidRPr="00902A8C">
        <w:rPr>
          <w:lang w:val="en-US"/>
        </w:rPr>
        <w:t>correct;</w:t>
      </w:r>
      <w:proofErr w:type="gramEnd"/>
    </w:p>
    <w:p w14:paraId="40507676" w14:textId="372C671B" w:rsidR="00CE144E" w:rsidRDefault="003035F4" w:rsidP="00CE144E">
      <w:pPr>
        <w:numPr>
          <w:ilvl w:val="2"/>
          <w:numId w:val="15"/>
        </w:numPr>
        <w:rPr>
          <w:lang w:val="en-US"/>
        </w:rPr>
      </w:pPr>
      <w:r w:rsidRPr="00902A8C">
        <w:rPr>
          <w:lang w:val="en-US"/>
        </w:rPr>
        <w:t xml:space="preserve">the two tests provide equivalent diagnostic information in </w:t>
      </w:r>
      <w:proofErr w:type="gramStart"/>
      <w:r w:rsidRPr="00902A8C">
        <w:rPr>
          <w:lang w:val="en-US"/>
        </w:rPr>
        <w:t>the majority of</w:t>
      </w:r>
      <w:proofErr w:type="gramEnd"/>
      <w:r w:rsidRPr="00902A8C">
        <w:rPr>
          <w:lang w:val="en-US"/>
        </w:rPr>
        <w:t xml:space="preserve"> patients and clinical circumstances, and the relative </w:t>
      </w:r>
      <w:proofErr w:type="spellStart"/>
      <w:r w:rsidRPr="00902A8C">
        <w:rPr>
          <w:lang w:val="en-US"/>
        </w:rPr>
        <w:t>utilisation</w:t>
      </w:r>
      <w:proofErr w:type="spellEnd"/>
      <w:r w:rsidRPr="00902A8C">
        <w:rPr>
          <w:lang w:val="en-US"/>
        </w:rPr>
        <w:t xml:space="preserve"> reflects local expertise and availability.</w:t>
      </w:r>
      <w:r w:rsidR="00CE144E">
        <w:rPr>
          <w:lang w:val="en-US"/>
        </w:rPr>
        <w:br w:type="page"/>
      </w:r>
    </w:p>
    <w:p w14:paraId="4CF11381" w14:textId="57862C68" w:rsidR="00902A8C" w:rsidRDefault="00902A8C" w:rsidP="00902A8C">
      <w:pPr>
        <w:pStyle w:val="Heading1"/>
      </w:pPr>
      <w:bookmarkStart w:id="53" w:name="_Toc468787478"/>
      <w:r>
        <w:lastRenderedPageBreak/>
        <w:t>Stakeholder impact statement</w:t>
      </w:r>
      <w:bookmarkEnd w:id="53"/>
    </w:p>
    <w:p w14:paraId="076F358F" w14:textId="07D1E1E3" w:rsidR="00902A8C" w:rsidRDefault="00902A8C" w:rsidP="00902A8C">
      <w:pPr>
        <w:rPr>
          <w:lang w:val="en-US" w:eastAsia="en-US"/>
        </w:rPr>
      </w:pPr>
      <w:r w:rsidRPr="00902A8C">
        <w:rPr>
          <w:lang w:val="en-US" w:eastAsia="en-US"/>
        </w:rPr>
        <w:t xml:space="preserve">Patients and providers are expected to benefit from the recommendations, as fewer and clearer item descriptors (supported by explanatory notes) will </w:t>
      </w:r>
      <w:proofErr w:type="spellStart"/>
      <w:r w:rsidRPr="00902A8C">
        <w:rPr>
          <w:lang w:val="en-US" w:eastAsia="en-US"/>
        </w:rPr>
        <w:t>minimise</w:t>
      </w:r>
      <w:proofErr w:type="spellEnd"/>
      <w:r w:rsidRPr="00902A8C">
        <w:rPr>
          <w:lang w:val="en-US" w:eastAsia="en-US"/>
        </w:rPr>
        <w:t xml:space="preserve"> confusion for providers and facilitates best-practice clinical care for patients.</w:t>
      </w:r>
    </w:p>
    <w:p w14:paraId="30216419" w14:textId="0C09EA27" w:rsidR="00902A8C" w:rsidRPr="00902A8C" w:rsidRDefault="00902A8C" w:rsidP="00902A8C">
      <w:pPr>
        <w:pStyle w:val="Heading1"/>
      </w:pPr>
      <w:bookmarkStart w:id="54" w:name="_Toc468787479"/>
      <w:r>
        <w:t>Conclusion</w:t>
      </w:r>
      <w:bookmarkEnd w:id="54"/>
    </w:p>
    <w:p w14:paraId="1EA36FFB" w14:textId="4D5B1F65" w:rsidR="00902A8C" w:rsidRPr="001F0952" w:rsidRDefault="00902A8C" w:rsidP="00902A8C">
      <w:pPr>
        <w:rPr>
          <w:rFonts w:eastAsiaTheme="minorHAnsi" w:cs="Arial"/>
          <w:bCs/>
          <w:szCs w:val="22"/>
          <w:lang w:val="en-US"/>
        </w:rPr>
      </w:pPr>
      <w:r w:rsidRPr="00902A8C">
        <w:rPr>
          <w:rFonts w:eastAsiaTheme="minorHAnsi" w:cs="Arial"/>
          <w:bCs/>
          <w:szCs w:val="22"/>
          <w:lang w:val="en-US"/>
        </w:rPr>
        <w:t>The</w:t>
      </w:r>
      <w:r w:rsidR="00297246">
        <w:rPr>
          <w:rFonts w:eastAsiaTheme="minorHAnsi" w:cs="Arial"/>
          <w:bCs/>
          <w:szCs w:val="22"/>
          <w:lang w:val="en-US"/>
        </w:rPr>
        <w:t xml:space="preserve">se </w:t>
      </w:r>
      <w:r w:rsidRPr="00902A8C">
        <w:rPr>
          <w:rFonts w:eastAsiaTheme="minorHAnsi" w:cs="Arial"/>
          <w:bCs/>
          <w:szCs w:val="22"/>
          <w:lang w:val="en-US"/>
        </w:rPr>
        <w:t xml:space="preserve">recommendations </w:t>
      </w:r>
      <w:r w:rsidR="00297246">
        <w:rPr>
          <w:rFonts w:eastAsiaTheme="minorHAnsi" w:cs="Arial"/>
          <w:bCs/>
          <w:szCs w:val="22"/>
          <w:lang w:val="en-US"/>
        </w:rPr>
        <w:t xml:space="preserve">are submitted </w:t>
      </w:r>
      <w:r w:rsidRPr="00902A8C">
        <w:rPr>
          <w:rFonts w:eastAsiaTheme="minorHAnsi" w:cs="Arial"/>
          <w:bCs/>
          <w:szCs w:val="22"/>
          <w:lang w:val="en-US"/>
        </w:rPr>
        <w:t>for consultation in the hope that they improve access to affordable, best-practice health services and help to ensure high-value care for patients and the healthcare system. It welcomes any feedback or comments on the recommendations, particularly if any of the recommendations appear contrary to this aspiration.</w:t>
      </w:r>
    </w:p>
    <w:p w14:paraId="0C5E0AF6" w14:textId="26653137" w:rsidR="00184199" w:rsidRPr="00EF3ADB" w:rsidRDefault="00184199" w:rsidP="00A9745D">
      <w:bookmarkStart w:id="55" w:name="_Toc456613831"/>
      <w:r w:rsidRPr="00EF3ADB">
        <w:br w:type="page"/>
      </w:r>
    </w:p>
    <w:p w14:paraId="253CBB66" w14:textId="3524A152" w:rsidR="00686517" w:rsidRPr="009200D8" w:rsidRDefault="00A66B73" w:rsidP="00061127">
      <w:pPr>
        <w:pStyle w:val="Heading1"/>
      </w:pPr>
      <w:bookmarkStart w:id="56" w:name="_Toc468787480"/>
      <w:bookmarkEnd w:id="55"/>
      <w:r w:rsidRPr="009200D8">
        <w:lastRenderedPageBreak/>
        <w:t>References</w:t>
      </w:r>
      <w:bookmarkEnd w:id="56"/>
    </w:p>
    <w:p w14:paraId="25EDFB58" w14:textId="77777777" w:rsidR="00A66B73" w:rsidRDefault="00601415" w:rsidP="00F678A7">
      <w:r w:rsidRPr="009D0EED">
        <w:t>This contains references to sources and materials referenced in this report.</w:t>
      </w:r>
    </w:p>
    <w:p w14:paraId="52C52C46" w14:textId="77777777" w:rsidR="00341403" w:rsidRPr="00341403" w:rsidRDefault="00341403" w:rsidP="00893438">
      <w:pPr>
        <w:numPr>
          <w:ilvl w:val="0"/>
          <w:numId w:val="12"/>
        </w:numPr>
        <w:rPr>
          <w:sz w:val="20"/>
          <w:szCs w:val="20"/>
        </w:rPr>
      </w:pPr>
      <w:proofErr w:type="spellStart"/>
      <w:r w:rsidRPr="00341403">
        <w:rPr>
          <w:sz w:val="20"/>
          <w:szCs w:val="20"/>
        </w:rPr>
        <w:t>Elshaug</w:t>
      </w:r>
      <w:proofErr w:type="spellEnd"/>
      <w:r w:rsidRPr="00341403">
        <w:rPr>
          <w:sz w:val="20"/>
          <w:szCs w:val="20"/>
        </w:rPr>
        <w:t xml:space="preserve">, A et al (2016), “Appropriate Use Criteria”. Professor </w:t>
      </w:r>
      <w:proofErr w:type="spellStart"/>
      <w:r w:rsidRPr="00341403">
        <w:rPr>
          <w:sz w:val="20"/>
          <w:szCs w:val="20"/>
        </w:rPr>
        <w:t>Elshaug</w:t>
      </w:r>
      <w:proofErr w:type="spellEnd"/>
      <w:r w:rsidRPr="00341403">
        <w:rPr>
          <w:sz w:val="20"/>
          <w:szCs w:val="20"/>
        </w:rPr>
        <w:t xml:space="preserve"> is an internationally recognised health researcher and policy advisor from the University of Sydney and ministerial appointee to the Taskforce.</w:t>
      </w:r>
    </w:p>
    <w:p w14:paraId="71406879" w14:textId="77777777" w:rsidR="00341403" w:rsidRPr="00341403" w:rsidRDefault="00341403" w:rsidP="00893438">
      <w:pPr>
        <w:numPr>
          <w:ilvl w:val="0"/>
          <w:numId w:val="12"/>
        </w:numPr>
        <w:rPr>
          <w:sz w:val="20"/>
          <w:szCs w:val="20"/>
        </w:rPr>
      </w:pPr>
      <w:r w:rsidRPr="00341403">
        <w:rPr>
          <w:sz w:val="20"/>
          <w:szCs w:val="20"/>
        </w:rPr>
        <w:t>American Medical Society for Sports Medicine. Choosing Wisely: Five Things Physicians and Patients Should Question. 2014. (accessed 16 August 2016).</w:t>
      </w:r>
    </w:p>
    <w:p w14:paraId="4EF4CB23" w14:textId="77777777" w:rsidR="00341403" w:rsidRPr="00341403" w:rsidRDefault="00341403" w:rsidP="00893438">
      <w:pPr>
        <w:numPr>
          <w:ilvl w:val="0"/>
          <w:numId w:val="12"/>
        </w:numPr>
        <w:rPr>
          <w:sz w:val="20"/>
          <w:szCs w:val="20"/>
        </w:rPr>
      </w:pPr>
      <w:r w:rsidRPr="00341403">
        <w:rPr>
          <w:sz w:val="20"/>
          <w:szCs w:val="20"/>
        </w:rPr>
        <w:t xml:space="preserve">The Royal Australian and New Zealand College of Radiologists. Choosing Wisely: tests, treatments and procedures clinicians and consumers should question. 2015. (accessed 16 August 2016) at: </w:t>
      </w:r>
      <w:hyperlink r:id="rId11" w:history="1">
        <w:r w:rsidRPr="00341403">
          <w:rPr>
            <w:rStyle w:val="Hyperlink"/>
            <w:sz w:val="20"/>
            <w:szCs w:val="20"/>
          </w:rPr>
          <w:t>http://www.choosingwisely.org.au/recommendations/ranzcr</w:t>
        </w:r>
      </w:hyperlink>
    </w:p>
    <w:p w14:paraId="2021EE2F" w14:textId="77777777" w:rsidR="00341403" w:rsidRPr="00341403" w:rsidRDefault="00341403" w:rsidP="00893438">
      <w:pPr>
        <w:numPr>
          <w:ilvl w:val="0"/>
          <w:numId w:val="12"/>
        </w:numPr>
        <w:rPr>
          <w:sz w:val="20"/>
          <w:szCs w:val="20"/>
        </w:rPr>
      </w:pPr>
      <w:r w:rsidRPr="00341403">
        <w:rPr>
          <w:sz w:val="20"/>
          <w:szCs w:val="20"/>
          <w:lang w:val="en-GB"/>
        </w:rPr>
        <w:t>American Academy of Orthopaedic Surgeons</w:t>
      </w:r>
      <w:r w:rsidRPr="00341403">
        <w:rPr>
          <w:sz w:val="20"/>
          <w:szCs w:val="20"/>
        </w:rPr>
        <w:t xml:space="preserve">. Clinical Practice Guidelines. Preventing Venous Thromboembolic Disease in Patients Undergoing Elective Hip and Knee Arthroplasty. 2011. (accessed 16 August 2016) at: </w:t>
      </w:r>
      <w:hyperlink r:id="rId12" w:history="1">
        <w:r w:rsidRPr="00341403">
          <w:rPr>
            <w:rStyle w:val="Hyperlink"/>
            <w:sz w:val="20"/>
            <w:szCs w:val="20"/>
          </w:rPr>
          <w:t>http://www.aaos.org/research/guidelines/VTE/VTE_full_guideline.pdf</w:t>
        </w:r>
      </w:hyperlink>
    </w:p>
    <w:p w14:paraId="50BB4D33" w14:textId="77777777" w:rsidR="00341403" w:rsidRPr="00341403" w:rsidRDefault="00341403" w:rsidP="00893438">
      <w:pPr>
        <w:numPr>
          <w:ilvl w:val="0"/>
          <w:numId w:val="12"/>
        </w:numPr>
        <w:rPr>
          <w:sz w:val="20"/>
          <w:szCs w:val="20"/>
        </w:rPr>
      </w:pPr>
      <w:r w:rsidRPr="00341403">
        <w:rPr>
          <w:sz w:val="20"/>
          <w:szCs w:val="20"/>
        </w:rPr>
        <w:t xml:space="preserve">The Australian Commission on Quality and Safety in Health Care’s (ACQSHC). Atlas of Clinical Variation. </w:t>
      </w:r>
      <w:proofErr w:type="gramStart"/>
      <w:r w:rsidRPr="00341403">
        <w:rPr>
          <w:sz w:val="20"/>
          <w:szCs w:val="20"/>
        </w:rPr>
        <w:t>2015;</w:t>
      </w:r>
      <w:proofErr w:type="gramEnd"/>
    </w:p>
    <w:p w14:paraId="3C8D8C59" w14:textId="7BA6CC0E" w:rsidR="00341403" w:rsidRPr="00341403" w:rsidRDefault="00341403" w:rsidP="00893438">
      <w:pPr>
        <w:numPr>
          <w:ilvl w:val="0"/>
          <w:numId w:val="12"/>
        </w:numPr>
        <w:rPr>
          <w:sz w:val="20"/>
          <w:szCs w:val="20"/>
        </w:rPr>
      </w:pPr>
      <w:r w:rsidRPr="00341403">
        <w:rPr>
          <w:sz w:val="20"/>
          <w:szCs w:val="20"/>
        </w:rPr>
        <w:t>Department of Health. Various Medicare Aust</w:t>
      </w:r>
      <w:r w:rsidR="006E3FA9">
        <w:rPr>
          <w:sz w:val="20"/>
          <w:szCs w:val="20"/>
        </w:rPr>
        <w:t xml:space="preserve">ralia </w:t>
      </w:r>
      <w:r w:rsidRPr="00341403">
        <w:rPr>
          <w:sz w:val="20"/>
          <w:szCs w:val="20"/>
        </w:rPr>
        <w:t>Data Medicare Australia 2016.</w:t>
      </w:r>
    </w:p>
    <w:p w14:paraId="67B8B74E" w14:textId="77777777" w:rsidR="00FB4F61" w:rsidRPr="009D0EED" w:rsidRDefault="00FB4F61" w:rsidP="00F678A7"/>
    <w:p w14:paraId="0A801828" w14:textId="77777777" w:rsidR="0072705E" w:rsidRDefault="0072705E" w:rsidP="003F788A">
      <w:pPr>
        <w:spacing w:before="120" w:after="120"/>
        <w:rPr>
          <w:rFonts w:cs="Arial"/>
        </w:rPr>
        <w:sectPr w:rsidR="0072705E" w:rsidSect="00703DC7">
          <w:footerReference w:type="default" r:id="rId13"/>
          <w:endnotePr>
            <w:numFmt w:val="decimal"/>
          </w:endnotePr>
          <w:pgSz w:w="11906" w:h="16838" w:code="9"/>
          <w:pgMar w:top="1021" w:right="1440" w:bottom="1021" w:left="1440" w:header="567" w:footer="170" w:gutter="0"/>
          <w:paperSrc w:first="2" w:other="2"/>
          <w:pgNumType w:start="1"/>
          <w:cols w:space="720"/>
          <w:docGrid w:linePitch="326"/>
        </w:sectPr>
      </w:pPr>
    </w:p>
    <w:p w14:paraId="76400C4B" w14:textId="73BA21B0" w:rsidR="00EF59A1" w:rsidRPr="0060697D" w:rsidRDefault="00DE588D" w:rsidP="0060697D">
      <w:pPr>
        <w:pStyle w:val="Heading1"/>
      </w:pPr>
      <w:bookmarkStart w:id="57" w:name="_Toc468787481"/>
      <w:r w:rsidRPr="0060697D">
        <w:lastRenderedPageBreak/>
        <w:t>Glossary</w:t>
      </w:r>
      <w:bookmarkEnd w:id="57"/>
    </w:p>
    <w:tbl>
      <w:tblPr>
        <w:tblStyle w:val="TableGrid3"/>
        <w:tblW w:w="0" w:type="auto"/>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Glossary table contains 2 heading columns: Terms and their decriptions."/>
      </w:tblPr>
      <w:tblGrid>
        <w:gridCol w:w="2754"/>
        <w:gridCol w:w="6272"/>
      </w:tblGrid>
      <w:tr w:rsidR="00FB4F61" w:rsidRPr="00FB4F61" w14:paraId="5498E4B8" w14:textId="77777777" w:rsidTr="00FB4F61">
        <w:trPr>
          <w:tblHeader/>
        </w:trPr>
        <w:tc>
          <w:tcPr>
            <w:tcW w:w="2802" w:type="dxa"/>
          </w:tcPr>
          <w:p w14:paraId="73554637" w14:textId="088B42B6" w:rsidR="00FB4F61" w:rsidRPr="00FB4F61" w:rsidRDefault="00FB4F61" w:rsidP="0060697D">
            <w:pPr>
              <w:spacing w:before="120" w:after="0"/>
              <w:rPr>
                <w:b/>
                <w:sz w:val="20"/>
                <w:szCs w:val="20"/>
              </w:rPr>
            </w:pPr>
            <w:r w:rsidRPr="00FB4F61">
              <w:rPr>
                <w:b/>
                <w:sz w:val="20"/>
                <w:szCs w:val="20"/>
              </w:rPr>
              <w:t>Term</w:t>
            </w:r>
          </w:p>
        </w:tc>
        <w:tc>
          <w:tcPr>
            <w:tcW w:w="6440" w:type="dxa"/>
          </w:tcPr>
          <w:p w14:paraId="2973A54B" w14:textId="618AE7C1" w:rsidR="00FB4F61" w:rsidRPr="00FB4F61" w:rsidRDefault="00FB4F61" w:rsidP="0060697D">
            <w:pPr>
              <w:spacing w:before="120" w:after="0"/>
              <w:rPr>
                <w:rFonts w:cs="Arial"/>
                <w:b/>
                <w:color w:val="000000" w:themeColor="text1"/>
                <w:sz w:val="20"/>
                <w:szCs w:val="20"/>
              </w:rPr>
            </w:pPr>
            <w:r w:rsidRPr="00FB4F61">
              <w:rPr>
                <w:rFonts w:cs="Arial"/>
                <w:b/>
                <w:color w:val="000000" w:themeColor="text1"/>
                <w:sz w:val="20"/>
                <w:szCs w:val="20"/>
              </w:rPr>
              <w:t>Description</w:t>
            </w:r>
          </w:p>
        </w:tc>
      </w:tr>
      <w:tr w:rsidR="0072705E" w:rsidRPr="00984BFF" w14:paraId="43D21BD2" w14:textId="77777777" w:rsidTr="0006464C">
        <w:tc>
          <w:tcPr>
            <w:tcW w:w="2802" w:type="dxa"/>
          </w:tcPr>
          <w:p w14:paraId="12249E66" w14:textId="37BBBFC8" w:rsidR="0072705E" w:rsidRPr="0072705E" w:rsidRDefault="002C67F4" w:rsidP="0060697D">
            <w:pPr>
              <w:spacing w:before="120" w:after="0"/>
              <w:rPr>
                <w:rFonts w:cs="Arial"/>
                <w:b/>
                <w:sz w:val="20"/>
                <w:szCs w:val="20"/>
              </w:rPr>
            </w:pPr>
            <w:r w:rsidRPr="002C67F4">
              <w:rPr>
                <w:b/>
                <w:sz w:val="20"/>
                <w:szCs w:val="20"/>
                <w:lang w:val="en-GB"/>
              </w:rPr>
              <w:t>CTPA</w:t>
            </w:r>
          </w:p>
        </w:tc>
        <w:tc>
          <w:tcPr>
            <w:tcW w:w="6440" w:type="dxa"/>
          </w:tcPr>
          <w:p w14:paraId="21DD59FE" w14:textId="1CA8A6F4" w:rsidR="0072705E" w:rsidRPr="0072705E" w:rsidRDefault="002C67F4" w:rsidP="0060697D">
            <w:pPr>
              <w:spacing w:before="120" w:after="0"/>
              <w:rPr>
                <w:rFonts w:cs="Arial"/>
                <w:color w:val="000000" w:themeColor="text1"/>
                <w:sz w:val="20"/>
                <w:szCs w:val="20"/>
              </w:rPr>
            </w:pPr>
            <w:r w:rsidRPr="002C67F4">
              <w:rPr>
                <w:rFonts w:cs="Arial"/>
                <w:color w:val="000000" w:themeColor="text1"/>
                <w:sz w:val="20"/>
                <w:szCs w:val="20"/>
              </w:rPr>
              <w:t>Computed Tomography Pulmonary Angiogram</w:t>
            </w:r>
          </w:p>
        </w:tc>
      </w:tr>
      <w:tr w:rsidR="0072705E" w:rsidRPr="00984BFF" w14:paraId="3A168FD0" w14:textId="77777777" w:rsidTr="0006464C">
        <w:tc>
          <w:tcPr>
            <w:tcW w:w="2802" w:type="dxa"/>
          </w:tcPr>
          <w:p w14:paraId="6E822A1E" w14:textId="514B0DF1" w:rsidR="0072705E" w:rsidRPr="0072705E" w:rsidRDefault="002C67F4" w:rsidP="0060697D">
            <w:pPr>
              <w:spacing w:before="120" w:after="0"/>
              <w:rPr>
                <w:rFonts w:cs="Arial"/>
                <w:b/>
                <w:sz w:val="20"/>
                <w:szCs w:val="20"/>
              </w:rPr>
            </w:pPr>
            <w:r w:rsidRPr="0072705E">
              <w:rPr>
                <w:b/>
                <w:sz w:val="20"/>
                <w:szCs w:val="20"/>
              </w:rPr>
              <w:t>Department, The</w:t>
            </w:r>
          </w:p>
        </w:tc>
        <w:tc>
          <w:tcPr>
            <w:tcW w:w="6440" w:type="dxa"/>
          </w:tcPr>
          <w:p w14:paraId="1296B125" w14:textId="019EAEAF" w:rsidR="0072705E" w:rsidRPr="0072705E" w:rsidRDefault="00733234" w:rsidP="0060697D">
            <w:pPr>
              <w:spacing w:before="120" w:after="0"/>
              <w:rPr>
                <w:rFonts w:cs="Arial"/>
                <w:color w:val="000000" w:themeColor="text1"/>
                <w:sz w:val="20"/>
                <w:szCs w:val="20"/>
              </w:rPr>
            </w:pPr>
            <w:r w:rsidRPr="008505D6">
              <w:rPr>
                <w:rFonts w:cs="Arial"/>
                <w:color w:val="000000" w:themeColor="text1"/>
                <w:sz w:val="20"/>
              </w:rPr>
              <w:t>Australian Government Department of Health</w:t>
            </w:r>
          </w:p>
        </w:tc>
      </w:tr>
      <w:tr w:rsidR="0072705E" w:rsidRPr="00984BFF" w14:paraId="181ED9BD" w14:textId="77777777" w:rsidTr="0006464C">
        <w:tc>
          <w:tcPr>
            <w:tcW w:w="2802" w:type="dxa"/>
          </w:tcPr>
          <w:p w14:paraId="0E980152" w14:textId="5EC62F43" w:rsidR="0072705E" w:rsidRPr="0072705E" w:rsidRDefault="00B431B2" w:rsidP="0060697D">
            <w:pPr>
              <w:spacing w:before="120" w:after="0"/>
              <w:rPr>
                <w:rFonts w:cs="Arial"/>
                <w:b/>
                <w:sz w:val="20"/>
                <w:szCs w:val="20"/>
              </w:rPr>
            </w:pPr>
            <w:r w:rsidRPr="00B431B2">
              <w:rPr>
                <w:b/>
                <w:sz w:val="20"/>
                <w:szCs w:val="20"/>
                <w:lang w:val="en-GB"/>
              </w:rPr>
              <w:t>DHS</w:t>
            </w:r>
          </w:p>
        </w:tc>
        <w:tc>
          <w:tcPr>
            <w:tcW w:w="6440" w:type="dxa"/>
          </w:tcPr>
          <w:p w14:paraId="787769B2" w14:textId="3A527A8A" w:rsidR="0072705E" w:rsidRPr="0072705E" w:rsidRDefault="00B431B2" w:rsidP="0060697D">
            <w:pPr>
              <w:spacing w:before="120" w:after="0"/>
              <w:rPr>
                <w:rFonts w:cs="Arial"/>
                <w:color w:val="000000" w:themeColor="text1"/>
                <w:sz w:val="20"/>
                <w:szCs w:val="20"/>
              </w:rPr>
            </w:pPr>
            <w:r w:rsidRPr="00B431B2">
              <w:rPr>
                <w:rFonts w:cs="Arial"/>
                <w:color w:val="000000" w:themeColor="text1"/>
                <w:sz w:val="20"/>
                <w:szCs w:val="20"/>
                <w:lang w:val="en-GB"/>
              </w:rPr>
              <w:t>Australian Government Department of Human Services</w:t>
            </w:r>
          </w:p>
        </w:tc>
      </w:tr>
      <w:tr w:rsidR="0072705E" w:rsidRPr="00984BFF" w14:paraId="1F03AA61" w14:textId="77777777" w:rsidTr="0006464C">
        <w:tc>
          <w:tcPr>
            <w:tcW w:w="2802" w:type="dxa"/>
          </w:tcPr>
          <w:p w14:paraId="7293D5BD" w14:textId="1A53D40A" w:rsidR="0072705E" w:rsidRPr="0072705E" w:rsidRDefault="00B431B2" w:rsidP="0060697D">
            <w:pPr>
              <w:spacing w:before="120" w:after="0"/>
              <w:rPr>
                <w:rFonts w:cs="Arial"/>
                <w:b/>
                <w:sz w:val="20"/>
                <w:szCs w:val="20"/>
              </w:rPr>
            </w:pPr>
            <w:r w:rsidRPr="00B431B2">
              <w:rPr>
                <w:b/>
                <w:sz w:val="20"/>
                <w:szCs w:val="20"/>
                <w:lang w:val="en-GB"/>
              </w:rPr>
              <w:t>DICC</w:t>
            </w:r>
          </w:p>
        </w:tc>
        <w:tc>
          <w:tcPr>
            <w:tcW w:w="6440" w:type="dxa"/>
          </w:tcPr>
          <w:p w14:paraId="2C7BA8B3" w14:textId="31E69778" w:rsidR="0072705E" w:rsidRPr="0072705E" w:rsidRDefault="00B431B2" w:rsidP="0060697D">
            <w:pPr>
              <w:spacing w:before="120" w:after="0"/>
              <w:rPr>
                <w:rFonts w:cs="Arial"/>
                <w:color w:val="000000" w:themeColor="text1"/>
                <w:sz w:val="20"/>
                <w:szCs w:val="20"/>
              </w:rPr>
            </w:pPr>
            <w:r w:rsidRPr="00B431B2">
              <w:rPr>
                <w:rFonts w:cs="Arial"/>
                <w:color w:val="000000" w:themeColor="text1"/>
                <w:sz w:val="20"/>
                <w:szCs w:val="20"/>
                <w:lang w:val="en-GB"/>
              </w:rPr>
              <w:t>Diagnostic Imaging Clinical Committee</w:t>
            </w:r>
          </w:p>
        </w:tc>
      </w:tr>
      <w:tr w:rsidR="0072705E" w:rsidRPr="00984BFF" w14:paraId="03CB578E" w14:textId="77777777" w:rsidTr="0006464C">
        <w:tc>
          <w:tcPr>
            <w:tcW w:w="2802" w:type="dxa"/>
          </w:tcPr>
          <w:p w14:paraId="6AAC0C6C" w14:textId="63C6BFE1" w:rsidR="0072705E" w:rsidRPr="0072705E" w:rsidRDefault="00B431B2" w:rsidP="0060697D">
            <w:pPr>
              <w:spacing w:before="120" w:after="0"/>
              <w:rPr>
                <w:rFonts w:cs="Arial"/>
                <w:b/>
                <w:sz w:val="20"/>
                <w:szCs w:val="20"/>
              </w:rPr>
            </w:pPr>
            <w:r w:rsidRPr="00B431B2">
              <w:rPr>
                <w:b/>
                <w:sz w:val="20"/>
                <w:szCs w:val="20"/>
                <w:lang w:val="en-GB"/>
              </w:rPr>
              <w:t>DIST</w:t>
            </w:r>
          </w:p>
        </w:tc>
        <w:tc>
          <w:tcPr>
            <w:tcW w:w="6440" w:type="dxa"/>
          </w:tcPr>
          <w:p w14:paraId="65658C7C" w14:textId="598E0AB3" w:rsidR="0072705E" w:rsidRPr="0072705E" w:rsidRDefault="00F96AB6" w:rsidP="0060697D">
            <w:pPr>
              <w:spacing w:before="120" w:after="0"/>
              <w:rPr>
                <w:rFonts w:cs="Arial"/>
                <w:color w:val="000000" w:themeColor="text1"/>
                <w:sz w:val="20"/>
                <w:szCs w:val="20"/>
              </w:rPr>
            </w:pPr>
            <w:r w:rsidRPr="00F96AB6">
              <w:rPr>
                <w:rFonts w:cs="Arial"/>
                <w:color w:val="000000" w:themeColor="text1"/>
                <w:sz w:val="20"/>
                <w:szCs w:val="20"/>
                <w:lang w:val="en-GB"/>
              </w:rPr>
              <w:t>Diagnostic Imaging Services Table</w:t>
            </w:r>
          </w:p>
        </w:tc>
      </w:tr>
      <w:tr w:rsidR="00946446" w:rsidRPr="00984BFF" w14:paraId="53D389C3" w14:textId="77777777" w:rsidTr="0006464C">
        <w:tc>
          <w:tcPr>
            <w:tcW w:w="2802" w:type="dxa"/>
          </w:tcPr>
          <w:p w14:paraId="0097FFCC" w14:textId="588B55CF" w:rsidR="00946446" w:rsidRPr="00B431B2" w:rsidRDefault="00946446" w:rsidP="0060697D">
            <w:pPr>
              <w:spacing w:before="120" w:after="0"/>
              <w:rPr>
                <w:b/>
                <w:sz w:val="20"/>
                <w:szCs w:val="20"/>
                <w:lang w:val="en-GB"/>
              </w:rPr>
            </w:pPr>
            <w:r w:rsidRPr="00946446">
              <w:rPr>
                <w:b/>
                <w:sz w:val="20"/>
                <w:szCs w:val="20"/>
                <w:lang w:val="en-GB"/>
              </w:rPr>
              <w:t>DVT</w:t>
            </w:r>
          </w:p>
        </w:tc>
        <w:tc>
          <w:tcPr>
            <w:tcW w:w="6440" w:type="dxa"/>
          </w:tcPr>
          <w:p w14:paraId="623CDC12" w14:textId="4ED6DA5B" w:rsidR="00946446" w:rsidRPr="00F96AB6" w:rsidRDefault="00946446" w:rsidP="0060697D">
            <w:pPr>
              <w:spacing w:before="120" w:after="0"/>
              <w:rPr>
                <w:rFonts w:cs="Arial"/>
                <w:color w:val="000000" w:themeColor="text1"/>
                <w:sz w:val="20"/>
                <w:szCs w:val="20"/>
                <w:lang w:val="en-GB"/>
              </w:rPr>
            </w:pPr>
            <w:r w:rsidRPr="00946446">
              <w:rPr>
                <w:rFonts w:cs="Arial"/>
                <w:color w:val="000000" w:themeColor="text1"/>
                <w:sz w:val="20"/>
                <w:szCs w:val="20"/>
                <w:lang w:val="en-GB"/>
              </w:rPr>
              <w:t>Deep vein thrombosis</w:t>
            </w:r>
          </w:p>
        </w:tc>
      </w:tr>
      <w:tr w:rsidR="0072705E" w:rsidRPr="00984BFF" w14:paraId="4620FC4D" w14:textId="77777777" w:rsidTr="0006464C">
        <w:tc>
          <w:tcPr>
            <w:tcW w:w="2802" w:type="dxa"/>
          </w:tcPr>
          <w:p w14:paraId="2AEA8248" w14:textId="6EE82305" w:rsidR="0072705E" w:rsidRPr="0072705E" w:rsidRDefault="0072705E" w:rsidP="0060697D">
            <w:pPr>
              <w:spacing w:before="120" w:after="0"/>
              <w:rPr>
                <w:rFonts w:cs="Arial"/>
                <w:b/>
                <w:sz w:val="20"/>
                <w:szCs w:val="20"/>
              </w:rPr>
            </w:pPr>
            <w:r w:rsidRPr="0072705E">
              <w:rPr>
                <w:b/>
                <w:sz w:val="20"/>
                <w:szCs w:val="20"/>
              </w:rPr>
              <w:t>GP</w:t>
            </w:r>
          </w:p>
        </w:tc>
        <w:tc>
          <w:tcPr>
            <w:tcW w:w="6440" w:type="dxa"/>
          </w:tcPr>
          <w:p w14:paraId="0194D7A1" w14:textId="0CD1EAB4" w:rsidR="0072705E" w:rsidRPr="0072705E" w:rsidRDefault="0072705E" w:rsidP="0060697D">
            <w:pPr>
              <w:spacing w:before="120" w:after="0"/>
              <w:rPr>
                <w:rFonts w:cs="Arial"/>
                <w:color w:val="000000" w:themeColor="text1"/>
                <w:sz w:val="20"/>
                <w:szCs w:val="20"/>
              </w:rPr>
            </w:pPr>
            <w:r w:rsidRPr="0072705E">
              <w:rPr>
                <w:rFonts w:cs="Arial"/>
                <w:color w:val="000000" w:themeColor="text1"/>
                <w:sz w:val="20"/>
                <w:szCs w:val="20"/>
              </w:rPr>
              <w:t>General practitioner</w:t>
            </w:r>
          </w:p>
        </w:tc>
      </w:tr>
      <w:tr w:rsidR="0072705E" w:rsidRPr="00984BFF" w14:paraId="45DF6EBB" w14:textId="77777777" w:rsidTr="0006464C">
        <w:tc>
          <w:tcPr>
            <w:tcW w:w="2802" w:type="dxa"/>
          </w:tcPr>
          <w:p w14:paraId="7A7BF461" w14:textId="7B33FD84" w:rsidR="0072705E" w:rsidRPr="0072705E" w:rsidRDefault="0072705E" w:rsidP="0060697D">
            <w:pPr>
              <w:spacing w:before="120" w:after="0"/>
              <w:rPr>
                <w:rFonts w:cs="Arial"/>
                <w:b/>
                <w:sz w:val="20"/>
                <w:szCs w:val="20"/>
              </w:rPr>
            </w:pPr>
            <w:r w:rsidRPr="0072705E">
              <w:rPr>
                <w:rFonts w:eastAsiaTheme="minorHAnsi" w:cstheme="minorBidi"/>
                <w:b/>
                <w:sz w:val="20"/>
                <w:szCs w:val="20"/>
                <w:lang w:eastAsia="en-US"/>
              </w:rPr>
              <w:t>High-value care</w:t>
            </w:r>
          </w:p>
        </w:tc>
        <w:tc>
          <w:tcPr>
            <w:tcW w:w="6440" w:type="dxa"/>
          </w:tcPr>
          <w:p w14:paraId="005B33D0" w14:textId="35DE4AEA" w:rsidR="0072705E" w:rsidRPr="0072705E" w:rsidRDefault="0072705E" w:rsidP="0060697D">
            <w:pPr>
              <w:spacing w:before="120" w:after="0"/>
              <w:rPr>
                <w:rFonts w:cs="Arial"/>
                <w:color w:val="000000" w:themeColor="text1"/>
                <w:sz w:val="20"/>
                <w:szCs w:val="20"/>
              </w:rPr>
            </w:pPr>
            <w:r w:rsidRPr="0072705E">
              <w:rPr>
                <w:rFonts w:cs="Arial"/>
                <w:color w:val="000000" w:themeColor="text1"/>
                <w:sz w:val="20"/>
                <w:szCs w:val="20"/>
              </w:rPr>
              <w:t>Services of proven efficacy reflecting current best medical practice, or for which the potential benefit to consumers exceeds the risk and costs</w:t>
            </w:r>
            <w:r w:rsidRPr="0072705E">
              <w:rPr>
                <w:rFonts w:eastAsiaTheme="minorHAnsi" w:cs="Arial"/>
                <w:color w:val="000000" w:themeColor="text1"/>
                <w:sz w:val="20"/>
                <w:szCs w:val="20"/>
                <w:lang w:eastAsia="en-US"/>
              </w:rPr>
              <w:t>.</w:t>
            </w:r>
          </w:p>
        </w:tc>
      </w:tr>
      <w:tr w:rsidR="0072705E" w:rsidRPr="00984BFF" w14:paraId="4E3C487C" w14:textId="77777777" w:rsidTr="0006464C">
        <w:tc>
          <w:tcPr>
            <w:tcW w:w="2802" w:type="dxa"/>
          </w:tcPr>
          <w:p w14:paraId="27A7D04E" w14:textId="35FFD811" w:rsidR="0072705E" w:rsidRPr="0072705E" w:rsidRDefault="0072705E" w:rsidP="0060697D">
            <w:pPr>
              <w:spacing w:before="120" w:after="0"/>
              <w:rPr>
                <w:rFonts w:cs="Arial"/>
                <w:b/>
                <w:sz w:val="20"/>
                <w:szCs w:val="20"/>
              </w:rPr>
            </w:pPr>
            <w:r w:rsidRPr="0072705E">
              <w:rPr>
                <w:rFonts w:eastAsiaTheme="minorHAnsi" w:cstheme="minorBidi"/>
                <w:b/>
                <w:sz w:val="20"/>
                <w:szCs w:val="20"/>
                <w:lang w:eastAsia="en-US"/>
              </w:rPr>
              <w:t>Inappropriate use / misuse</w:t>
            </w:r>
          </w:p>
        </w:tc>
        <w:tc>
          <w:tcPr>
            <w:tcW w:w="6440" w:type="dxa"/>
          </w:tcPr>
          <w:p w14:paraId="6BEF166D" w14:textId="26E04B1F" w:rsidR="0072705E" w:rsidRPr="0072705E" w:rsidRDefault="0072705E" w:rsidP="0060697D">
            <w:pPr>
              <w:spacing w:before="120" w:after="0"/>
              <w:rPr>
                <w:rFonts w:cs="Arial"/>
                <w:sz w:val="20"/>
                <w:szCs w:val="20"/>
              </w:rPr>
            </w:pPr>
            <w:r w:rsidRPr="0072705E">
              <w:rPr>
                <w:rFonts w:eastAsiaTheme="minorHAnsi" w:cs="Arial"/>
                <w:sz w:val="20"/>
                <w:szCs w:val="20"/>
                <w:lang w:eastAsia="en-US"/>
              </w:rPr>
              <w:t xml:space="preserve">The use of MBS services for purposes other than those intended. This includes a range of behaviours ranging from failing to adhere to </w:t>
            </w:r>
            <w:proofErr w:type="gramStart"/>
            <w:r w:rsidRPr="0072705E">
              <w:rPr>
                <w:rFonts w:eastAsiaTheme="minorHAnsi" w:cs="Arial"/>
                <w:sz w:val="20"/>
                <w:szCs w:val="20"/>
                <w:lang w:eastAsia="en-US"/>
              </w:rPr>
              <w:t>particular item</w:t>
            </w:r>
            <w:proofErr w:type="gramEnd"/>
            <w:r w:rsidRPr="0072705E">
              <w:rPr>
                <w:rFonts w:eastAsiaTheme="minorHAnsi" w:cs="Arial"/>
                <w:sz w:val="20"/>
                <w:szCs w:val="20"/>
                <w:lang w:eastAsia="en-US"/>
              </w:rPr>
              <w:t xml:space="preserve"> descriptors or rules, through to deliberate fraud.</w:t>
            </w:r>
          </w:p>
        </w:tc>
      </w:tr>
      <w:tr w:rsidR="0072705E" w:rsidRPr="00984BFF" w14:paraId="3AC6B823" w14:textId="77777777" w:rsidTr="0006464C">
        <w:tc>
          <w:tcPr>
            <w:tcW w:w="2802" w:type="dxa"/>
          </w:tcPr>
          <w:p w14:paraId="79B5A4AB" w14:textId="1955B8ED" w:rsidR="0072705E" w:rsidRPr="0072705E" w:rsidRDefault="0072705E" w:rsidP="0060697D">
            <w:pPr>
              <w:spacing w:before="120" w:after="0"/>
              <w:rPr>
                <w:rFonts w:cs="Arial"/>
                <w:b/>
                <w:sz w:val="20"/>
                <w:szCs w:val="20"/>
              </w:rPr>
            </w:pPr>
            <w:r w:rsidRPr="0072705E">
              <w:rPr>
                <w:rFonts w:eastAsiaTheme="minorHAnsi" w:cstheme="minorBidi"/>
                <w:b/>
                <w:sz w:val="20"/>
                <w:szCs w:val="20"/>
                <w:lang w:eastAsia="en-US"/>
              </w:rPr>
              <w:t>Low-value care</w:t>
            </w:r>
          </w:p>
        </w:tc>
        <w:tc>
          <w:tcPr>
            <w:tcW w:w="6440" w:type="dxa"/>
          </w:tcPr>
          <w:p w14:paraId="487B3C57" w14:textId="1971E684" w:rsidR="0072705E" w:rsidRPr="0072705E" w:rsidRDefault="0072705E" w:rsidP="0060697D">
            <w:pPr>
              <w:spacing w:before="120" w:after="0"/>
              <w:rPr>
                <w:rFonts w:cs="Arial"/>
                <w:sz w:val="20"/>
                <w:szCs w:val="20"/>
              </w:rPr>
            </w:pPr>
            <w:r w:rsidRPr="0072705E">
              <w:rPr>
                <w:rFonts w:cs="Arial"/>
                <w:color w:val="000000" w:themeColor="text1"/>
                <w:sz w:val="20"/>
                <w:szCs w:val="20"/>
                <w:shd w:val="clear" w:color="auto" w:fill="FFFFFF"/>
              </w:rPr>
              <w:t>The use of an intervention which evidence suggests confers no or very little benefit on patients, or that the risk of harm exceeds the likely benefit, or, more broadly, that the added costs of the intervention do not provide proportional added benefits.</w:t>
            </w:r>
          </w:p>
        </w:tc>
      </w:tr>
      <w:tr w:rsidR="00946446" w:rsidRPr="00984BFF" w14:paraId="172AA66A" w14:textId="77777777" w:rsidTr="0006464C">
        <w:tc>
          <w:tcPr>
            <w:tcW w:w="2802" w:type="dxa"/>
          </w:tcPr>
          <w:p w14:paraId="7797C819" w14:textId="5A3EE182" w:rsidR="00946446" w:rsidRPr="0072705E" w:rsidRDefault="00946446" w:rsidP="0060697D">
            <w:pPr>
              <w:spacing w:before="120" w:after="0"/>
              <w:rPr>
                <w:b/>
                <w:sz w:val="20"/>
                <w:szCs w:val="20"/>
              </w:rPr>
            </w:pPr>
            <w:r>
              <w:rPr>
                <w:b/>
                <w:sz w:val="20"/>
                <w:szCs w:val="20"/>
              </w:rPr>
              <w:t>MBS</w:t>
            </w:r>
          </w:p>
        </w:tc>
        <w:tc>
          <w:tcPr>
            <w:tcW w:w="6440" w:type="dxa"/>
          </w:tcPr>
          <w:p w14:paraId="14E458AD" w14:textId="076238D6" w:rsidR="00946446" w:rsidRPr="0072705E" w:rsidRDefault="00946446" w:rsidP="0060697D">
            <w:pPr>
              <w:spacing w:before="120" w:after="0"/>
              <w:rPr>
                <w:rFonts w:cs="Arial"/>
                <w:color w:val="000000" w:themeColor="text1"/>
                <w:sz w:val="20"/>
                <w:szCs w:val="20"/>
              </w:rPr>
            </w:pPr>
            <w:r w:rsidRPr="00946446">
              <w:rPr>
                <w:rFonts w:cs="Arial"/>
                <w:color w:val="000000" w:themeColor="text1"/>
                <w:sz w:val="20"/>
                <w:szCs w:val="20"/>
                <w:lang w:val="en-GB"/>
              </w:rPr>
              <w:t>Medicare Benefits Schedule</w:t>
            </w:r>
          </w:p>
        </w:tc>
      </w:tr>
      <w:tr w:rsidR="0072705E" w:rsidRPr="00984BFF" w14:paraId="26AA106D" w14:textId="77777777" w:rsidTr="0006464C">
        <w:tc>
          <w:tcPr>
            <w:tcW w:w="2802" w:type="dxa"/>
          </w:tcPr>
          <w:p w14:paraId="7492EB15" w14:textId="7586DA30" w:rsidR="0072705E" w:rsidRPr="0072705E" w:rsidRDefault="0072705E" w:rsidP="0060697D">
            <w:pPr>
              <w:spacing w:before="120" w:after="0"/>
              <w:rPr>
                <w:rFonts w:cs="Arial"/>
                <w:b/>
                <w:sz w:val="20"/>
                <w:szCs w:val="20"/>
              </w:rPr>
            </w:pPr>
            <w:r w:rsidRPr="0072705E">
              <w:rPr>
                <w:b/>
                <w:sz w:val="20"/>
                <w:szCs w:val="20"/>
              </w:rPr>
              <w:t>MBS item</w:t>
            </w:r>
          </w:p>
        </w:tc>
        <w:tc>
          <w:tcPr>
            <w:tcW w:w="6440" w:type="dxa"/>
          </w:tcPr>
          <w:p w14:paraId="435172B3" w14:textId="6AC59138" w:rsidR="0072705E" w:rsidRPr="0072705E" w:rsidRDefault="0072705E" w:rsidP="0060697D">
            <w:pPr>
              <w:spacing w:before="120" w:after="0"/>
              <w:rPr>
                <w:rFonts w:cs="Arial"/>
                <w:b/>
                <w:sz w:val="20"/>
                <w:szCs w:val="20"/>
              </w:rPr>
            </w:pPr>
            <w:r w:rsidRPr="0072705E">
              <w:rPr>
                <w:rFonts w:cs="Arial"/>
                <w:color w:val="000000" w:themeColor="text1"/>
                <w:sz w:val="20"/>
                <w:szCs w:val="20"/>
              </w:rPr>
              <w:t>An administrative object listed in the MBS and used for the purposes of claiming and paying Medicare benefits, comprising an item number, service descriptor and supporting information, Schedule fee and Medicare benefits.</w:t>
            </w:r>
          </w:p>
        </w:tc>
      </w:tr>
      <w:tr w:rsidR="0072705E" w:rsidRPr="00984BFF" w14:paraId="1EB42C80" w14:textId="77777777" w:rsidTr="0006464C">
        <w:tc>
          <w:tcPr>
            <w:tcW w:w="2802" w:type="dxa"/>
          </w:tcPr>
          <w:p w14:paraId="6544DF71" w14:textId="7CE2B116" w:rsidR="0072705E" w:rsidRPr="0072705E" w:rsidRDefault="0072705E" w:rsidP="0060697D">
            <w:pPr>
              <w:spacing w:before="120" w:after="0"/>
              <w:rPr>
                <w:rFonts w:cs="Arial"/>
                <w:b/>
                <w:sz w:val="20"/>
                <w:szCs w:val="20"/>
              </w:rPr>
            </w:pPr>
            <w:r w:rsidRPr="0072705E">
              <w:rPr>
                <w:b/>
                <w:sz w:val="20"/>
                <w:szCs w:val="20"/>
              </w:rPr>
              <w:t>MBS service</w:t>
            </w:r>
          </w:p>
        </w:tc>
        <w:tc>
          <w:tcPr>
            <w:tcW w:w="6440" w:type="dxa"/>
          </w:tcPr>
          <w:p w14:paraId="1E3CD495" w14:textId="53C41290" w:rsidR="0072705E" w:rsidRPr="0072705E" w:rsidRDefault="0072705E" w:rsidP="0060697D">
            <w:pPr>
              <w:spacing w:before="120" w:after="0"/>
              <w:rPr>
                <w:rFonts w:cs="Arial"/>
                <w:sz w:val="20"/>
                <w:szCs w:val="20"/>
              </w:rPr>
            </w:pPr>
            <w:r w:rsidRPr="0072705E">
              <w:rPr>
                <w:rFonts w:cs="Arial"/>
                <w:color w:val="000000" w:themeColor="text1"/>
                <w:sz w:val="20"/>
                <w:szCs w:val="20"/>
              </w:rPr>
              <w:t>The actual medical consultation, procedure, test to which the relevant MBS item refers.</w:t>
            </w:r>
          </w:p>
        </w:tc>
      </w:tr>
      <w:tr w:rsidR="0072705E" w:rsidRPr="00984BFF" w14:paraId="302B1C72" w14:textId="77777777" w:rsidTr="0006464C">
        <w:tc>
          <w:tcPr>
            <w:tcW w:w="2802" w:type="dxa"/>
          </w:tcPr>
          <w:p w14:paraId="48AE83BB" w14:textId="3A6EBFE4" w:rsidR="0072705E" w:rsidRPr="0072705E" w:rsidRDefault="0072705E" w:rsidP="0060697D">
            <w:pPr>
              <w:spacing w:before="120" w:after="0"/>
              <w:rPr>
                <w:rFonts w:eastAsiaTheme="minorHAnsi" w:cs="Arial"/>
                <w:b/>
                <w:sz w:val="20"/>
                <w:szCs w:val="20"/>
                <w:lang w:eastAsia="en-US"/>
              </w:rPr>
            </w:pPr>
            <w:r w:rsidRPr="0072705E">
              <w:rPr>
                <w:rFonts w:eastAsiaTheme="minorHAnsi" w:cstheme="minorBidi"/>
                <w:b/>
                <w:sz w:val="20"/>
                <w:szCs w:val="20"/>
                <w:lang w:eastAsia="en-US"/>
              </w:rPr>
              <w:t>MSAC</w:t>
            </w:r>
          </w:p>
        </w:tc>
        <w:tc>
          <w:tcPr>
            <w:tcW w:w="6440" w:type="dxa"/>
          </w:tcPr>
          <w:p w14:paraId="6A007F93" w14:textId="1A87BFC5" w:rsidR="0072705E" w:rsidRPr="0072705E" w:rsidRDefault="0072705E" w:rsidP="0060697D">
            <w:pPr>
              <w:spacing w:before="120" w:after="0"/>
              <w:rPr>
                <w:rFonts w:cs="Arial"/>
                <w:sz w:val="20"/>
                <w:szCs w:val="20"/>
              </w:rPr>
            </w:pPr>
            <w:r w:rsidRPr="0072705E">
              <w:rPr>
                <w:rFonts w:eastAsiaTheme="minorHAnsi" w:cstheme="minorBidi"/>
                <w:sz w:val="20"/>
                <w:szCs w:val="20"/>
                <w:lang w:eastAsia="en-US"/>
              </w:rPr>
              <w:t>Medical Services Advisory Committee</w:t>
            </w:r>
          </w:p>
        </w:tc>
      </w:tr>
      <w:tr w:rsidR="0072705E" w:rsidRPr="00984BFF" w14:paraId="72B7F24E" w14:textId="77777777" w:rsidTr="0006464C">
        <w:tc>
          <w:tcPr>
            <w:tcW w:w="2802" w:type="dxa"/>
          </w:tcPr>
          <w:p w14:paraId="00EF066D" w14:textId="33D1B65E" w:rsidR="0072705E" w:rsidRPr="0072705E" w:rsidRDefault="00946446" w:rsidP="0060697D">
            <w:pPr>
              <w:spacing w:before="120" w:after="0"/>
              <w:rPr>
                <w:rFonts w:eastAsiaTheme="minorHAnsi" w:cs="Arial"/>
                <w:b/>
                <w:sz w:val="20"/>
                <w:szCs w:val="20"/>
                <w:lang w:eastAsia="en-US"/>
              </w:rPr>
            </w:pPr>
            <w:r>
              <w:rPr>
                <w:b/>
                <w:sz w:val="20"/>
                <w:szCs w:val="20"/>
              </w:rPr>
              <w:t>NK</w:t>
            </w:r>
          </w:p>
        </w:tc>
        <w:tc>
          <w:tcPr>
            <w:tcW w:w="6440" w:type="dxa"/>
          </w:tcPr>
          <w:p w14:paraId="6CD6423C" w14:textId="19DCFF6C" w:rsidR="0072705E" w:rsidRPr="00946446" w:rsidRDefault="00946446" w:rsidP="00946446">
            <w:pPr>
              <w:spacing w:before="120" w:after="0"/>
              <w:rPr>
                <w:sz w:val="20"/>
                <w:szCs w:val="20"/>
              </w:rPr>
            </w:pPr>
            <w:r w:rsidRPr="00946446">
              <w:rPr>
                <w:color w:val="000000" w:themeColor="text1"/>
                <w:sz w:val="20"/>
                <w:szCs w:val="20"/>
                <w:lang w:val="en-GB"/>
              </w:rPr>
              <w:t>Services performed on old equipment</w:t>
            </w:r>
          </w:p>
        </w:tc>
      </w:tr>
      <w:tr w:rsidR="0072705E" w:rsidRPr="00984BFF" w14:paraId="7F82411C" w14:textId="77777777" w:rsidTr="0006464C">
        <w:tc>
          <w:tcPr>
            <w:tcW w:w="2802" w:type="dxa"/>
          </w:tcPr>
          <w:p w14:paraId="15D77F1E" w14:textId="2F23FD5E" w:rsidR="0072705E" w:rsidRPr="0072705E" w:rsidRDefault="00C66C1C" w:rsidP="0060697D">
            <w:pPr>
              <w:spacing w:before="120" w:after="0"/>
              <w:rPr>
                <w:rFonts w:eastAsiaTheme="minorHAnsi" w:cs="Arial"/>
                <w:b/>
                <w:sz w:val="20"/>
                <w:szCs w:val="20"/>
                <w:lang w:eastAsia="en-US"/>
              </w:rPr>
            </w:pPr>
            <w:r>
              <w:rPr>
                <w:b/>
                <w:sz w:val="20"/>
                <w:szCs w:val="20"/>
              </w:rPr>
              <w:t>NR</w:t>
            </w:r>
          </w:p>
        </w:tc>
        <w:tc>
          <w:tcPr>
            <w:tcW w:w="6440" w:type="dxa"/>
          </w:tcPr>
          <w:p w14:paraId="07346137" w14:textId="16B70F5B" w:rsidR="0072705E" w:rsidRPr="0072705E" w:rsidRDefault="00C66C1C" w:rsidP="0060697D">
            <w:pPr>
              <w:spacing w:before="120" w:after="0"/>
              <w:rPr>
                <w:rFonts w:cs="Arial"/>
                <w:color w:val="000000" w:themeColor="text1"/>
                <w:sz w:val="20"/>
                <w:szCs w:val="20"/>
              </w:rPr>
            </w:pPr>
            <w:r>
              <w:rPr>
                <w:rFonts w:cs="Arial"/>
                <w:color w:val="000000" w:themeColor="text1"/>
                <w:sz w:val="20"/>
                <w:szCs w:val="20"/>
              </w:rPr>
              <w:t>Not requested</w:t>
            </w:r>
          </w:p>
        </w:tc>
      </w:tr>
      <w:tr w:rsidR="0072705E" w:rsidRPr="00984BFF" w14:paraId="45517608" w14:textId="77777777" w:rsidTr="0006464C">
        <w:tc>
          <w:tcPr>
            <w:tcW w:w="2802" w:type="dxa"/>
          </w:tcPr>
          <w:p w14:paraId="440AEAD9" w14:textId="5D4F65DF" w:rsidR="0072705E" w:rsidRPr="0072705E" w:rsidRDefault="00C66C1C" w:rsidP="0060697D">
            <w:pPr>
              <w:spacing w:before="120" w:after="0"/>
              <w:rPr>
                <w:b/>
                <w:sz w:val="20"/>
                <w:szCs w:val="20"/>
              </w:rPr>
            </w:pPr>
            <w:r>
              <w:rPr>
                <w:rFonts w:eastAsiaTheme="minorHAnsi" w:cstheme="minorBidi"/>
                <w:b/>
                <w:sz w:val="20"/>
                <w:szCs w:val="20"/>
                <w:lang w:eastAsia="en-US"/>
              </w:rPr>
              <w:t>PBS</w:t>
            </w:r>
          </w:p>
        </w:tc>
        <w:tc>
          <w:tcPr>
            <w:tcW w:w="6440" w:type="dxa"/>
          </w:tcPr>
          <w:p w14:paraId="71E04F5C" w14:textId="51C118F3" w:rsidR="0072705E" w:rsidRPr="0072705E" w:rsidRDefault="00C66C1C" w:rsidP="0060697D">
            <w:pPr>
              <w:spacing w:before="120" w:after="0"/>
              <w:rPr>
                <w:rFonts w:cs="Arial"/>
                <w:color w:val="000000" w:themeColor="text1"/>
                <w:sz w:val="20"/>
                <w:szCs w:val="20"/>
              </w:rPr>
            </w:pPr>
            <w:r w:rsidRPr="00C66C1C">
              <w:rPr>
                <w:rFonts w:cs="Arial"/>
                <w:color w:val="000000" w:themeColor="text1"/>
                <w:sz w:val="20"/>
                <w:szCs w:val="20"/>
                <w:lang w:val="en-GB"/>
              </w:rPr>
              <w:t>Pharmaceutical Benefits Scheme</w:t>
            </w:r>
          </w:p>
        </w:tc>
      </w:tr>
      <w:tr w:rsidR="0072705E" w:rsidRPr="00984BFF" w14:paraId="598BACBB" w14:textId="77777777" w:rsidTr="0006464C">
        <w:tc>
          <w:tcPr>
            <w:tcW w:w="2802" w:type="dxa"/>
          </w:tcPr>
          <w:p w14:paraId="5E0C82C5" w14:textId="7AE4D0F9" w:rsidR="0072705E" w:rsidRPr="0072705E" w:rsidRDefault="00C66C1C" w:rsidP="0060697D">
            <w:pPr>
              <w:spacing w:before="120" w:after="0"/>
              <w:rPr>
                <w:b/>
                <w:sz w:val="20"/>
                <w:szCs w:val="20"/>
              </w:rPr>
            </w:pPr>
            <w:r w:rsidRPr="00C66C1C">
              <w:rPr>
                <w:rFonts w:eastAsiaTheme="minorHAnsi" w:cstheme="minorBidi"/>
                <w:b/>
                <w:sz w:val="20"/>
                <w:szCs w:val="20"/>
                <w:lang w:val="en-GB" w:eastAsia="en-US"/>
              </w:rPr>
              <w:t>PCC</w:t>
            </w:r>
          </w:p>
        </w:tc>
        <w:tc>
          <w:tcPr>
            <w:tcW w:w="6440" w:type="dxa"/>
          </w:tcPr>
          <w:p w14:paraId="2101B50E" w14:textId="300F0F1B" w:rsidR="0072705E" w:rsidRPr="0072705E" w:rsidRDefault="00C66C1C" w:rsidP="0060697D">
            <w:pPr>
              <w:spacing w:before="120" w:after="0"/>
              <w:rPr>
                <w:rFonts w:cs="Arial"/>
                <w:color w:val="000000" w:themeColor="text1"/>
                <w:sz w:val="20"/>
                <w:szCs w:val="20"/>
              </w:rPr>
            </w:pPr>
            <w:r w:rsidRPr="00C66C1C">
              <w:rPr>
                <w:rFonts w:cs="Arial"/>
                <w:color w:val="000000" w:themeColor="text1"/>
                <w:sz w:val="20"/>
                <w:szCs w:val="20"/>
                <w:lang w:val="en-GB"/>
              </w:rPr>
              <w:t>Pathology Clinical Committee</w:t>
            </w:r>
          </w:p>
        </w:tc>
      </w:tr>
      <w:tr w:rsidR="0072705E" w:rsidRPr="00984BFF" w14:paraId="2D907C66" w14:textId="77777777" w:rsidTr="0006464C">
        <w:tc>
          <w:tcPr>
            <w:tcW w:w="2802" w:type="dxa"/>
          </w:tcPr>
          <w:p w14:paraId="6631D3C3" w14:textId="5E296722" w:rsidR="0072705E" w:rsidRPr="0072705E" w:rsidRDefault="00C66C1C" w:rsidP="0060697D">
            <w:pPr>
              <w:spacing w:before="120" w:after="0"/>
              <w:rPr>
                <w:b/>
                <w:sz w:val="20"/>
                <w:szCs w:val="20"/>
              </w:rPr>
            </w:pPr>
            <w:r w:rsidRPr="00C66C1C">
              <w:rPr>
                <w:rFonts w:eastAsiaTheme="minorHAnsi" w:cstheme="minorBidi"/>
                <w:b/>
                <w:sz w:val="20"/>
                <w:szCs w:val="20"/>
                <w:lang w:val="en-GB" w:eastAsia="en-US"/>
              </w:rPr>
              <w:t>PE</w:t>
            </w:r>
          </w:p>
        </w:tc>
        <w:tc>
          <w:tcPr>
            <w:tcW w:w="6440" w:type="dxa"/>
          </w:tcPr>
          <w:p w14:paraId="2095CAC4" w14:textId="10655615" w:rsidR="0072705E" w:rsidRPr="0072705E" w:rsidRDefault="00C66C1C" w:rsidP="0060697D">
            <w:pPr>
              <w:spacing w:before="120" w:after="0"/>
              <w:rPr>
                <w:rFonts w:cs="Arial"/>
                <w:color w:val="000000" w:themeColor="text1"/>
                <w:sz w:val="20"/>
                <w:szCs w:val="20"/>
              </w:rPr>
            </w:pPr>
            <w:r w:rsidRPr="00C66C1C">
              <w:rPr>
                <w:rFonts w:cs="Arial"/>
                <w:color w:val="000000" w:themeColor="text1"/>
                <w:sz w:val="20"/>
                <w:szCs w:val="20"/>
                <w:lang w:val="en-GB"/>
              </w:rPr>
              <w:t>Pulmonary embolism</w:t>
            </w:r>
          </w:p>
        </w:tc>
      </w:tr>
      <w:tr w:rsidR="0072705E" w:rsidRPr="00984BFF" w14:paraId="3F30AD74" w14:textId="77777777" w:rsidTr="0006464C">
        <w:tc>
          <w:tcPr>
            <w:tcW w:w="2802" w:type="dxa"/>
          </w:tcPr>
          <w:p w14:paraId="3C45B7E2" w14:textId="0CBAB56F" w:rsidR="0072705E" w:rsidRPr="0072705E" w:rsidRDefault="00C66C1C" w:rsidP="0060697D">
            <w:pPr>
              <w:spacing w:before="120" w:after="0"/>
              <w:rPr>
                <w:b/>
                <w:sz w:val="20"/>
                <w:szCs w:val="20"/>
              </w:rPr>
            </w:pPr>
            <w:r w:rsidRPr="00C66C1C">
              <w:rPr>
                <w:b/>
                <w:sz w:val="20"/>
                <w:szCs w:val="20"/>
                <w:lang w:val="en-GB"/>
              </w:rPr>
              <w:t>RACGP</w:t>
            </w:r>
          </w:p>
        </w:tc>
        <w:tc>
          <w:tcPr>
            <w:tcW w:w="6440" w:type="dxa"/>
          </w:tcPr>
          <w:p w14:paraId="59AC39C2" w14:textId="1956F04F" w:rsidR="0072705E" w:rsidRPr="0072705E" w:rsidRDefault="00C66C1C" w:rsidP="0060697D">
            <w:pPr>
              <w:spacing w:before="120" w:after="0"/>
              <w:rPr>
                <w:rFonts w:cs="Arial"/>
                <w:color w:val="000000" w:themeColor="text1"/>
                <w:sz w:val="20"/>
                <w:szCs w:val="20"/>
              </w:rPr>
            </w:pPr>
            <w:r w:rsidRPr="00C66C1C">
              <w:rPr>
                <w:sz w:val="20"/>
                <w:szCs w:val="20"/>
                <w:lang w:val="en-GB"/>
              </w:rPr>
              <w:t>Royal Australian College of General Practitioners</w:t>
            </w:r>
          </w:p>
        </w:tc>
      </w:tr>
      <w:tr w:rsidR="0072705E" w:rsidRPr="00984BFF" w14:paraId="1A9D1FD7" w14:textId="77777777" w:rsidTr="0006464C">
        <w:tc>
          <w:tcPr>
            <w:tcW w:w="2802" w:type="dxa"/>
          </w:tcPr>
          <w:p w14:paraId="68356B07" w14:textId="0BA778EB" w:rsidR="0072705E" w:rsidRPr="0072705E" w:rsidRDefault="00C66C1C" w:rsidP="0060697D">
            <w:pPr>
              <w:spacing w:before="120" w:after="0"/>
              <w:rPr>
                <w:b/>
                <w:sz w:val="20"/>
                <w:szCs w:val="20"/>
              </w:rPr>
            </w:pPr>
            <w:r w:rsidRPr="00C66C1C">
              <w:rPr>
                <w:b/>
                <w:sz w:val="20"/>
                <w:szCs w:val="20"/>
                <w:lang w:val="en-GB"/>
              </w:rPr>
              <w:t>RANZCR</w:t>
            </w:r>
          </w:p>
        </w:tc>
        <w:tc>
          <w:tcPr>
            <w:tcW w:w="6440" w:type="dxa"/>
          </w:tcPr>
          <w:p w14:paraId="6457E29A" w14:textId="496F2D17" w:rsidR="0072705E" w:rsidRPr="0072705E" w:rsidRDefault="00C66C1C" w:rsidP="0060697D">
            <w:pPr>
              <w:spacing w:before="120" w:after="0"/>
              <w:rPr>
                <w:rFonts w:cs="Arial"/>
                <w:color w:val="000000" w:themeColor="text1"/>
                <w:sz w:val="20"/>
                <w:szCs w:val="20"/>
              </w:rPr>
            </w:pPr>
            <w:r w:rsidRPr="00C66C1C">
              <w:rPr>
                <w:sz w:val="20"/>
                <w:szCs w:val="20"/>
                <w:lang w:val="en-GB"/>
              </w:rPr>
              <w:t>The Royal Australian and New Zealand College of Radiologists</w:t>
            </w:r>
          </w:p>
        </w:tc>
      </w:tr>
      <w:tr w:rsidR="0072705E" w:rsidRPr="00984BFF" w14:paraId="6E4BAB0E" w14:textId="77777777" w:rsidTr="0006464C">
        <w:tc>
          <w:tcPr>
            <w:tcW w:w="2802" w:type="dxa"/>
          </w:tcPr>
          <w:p w14:paraId="02AEFB9E" w14:textId="4EB1B7B4" w:rsidR="0072705E" w:rsidRPr="0072705E" w:rsidRDefault="00C66C1C" w:rsidP="0060697D">
            <w:pPr>
              <w:spacing w:before="120" w:after="0"/>
              <w:rPr>
                <w:b/>
                <w:sz w:val="20"/>
                <w:szCs w:val="20"/>
              </w:rPr>
            </w:pPr>
            <w:r>
              <w:rPr>
                <w:rFonts w:eastAsiaTheme="minorHAnsi" w:cstheme="minorBidi"/>
                <w:b/>
                <w:sz w:val="20"/>
                <w:szCs w:val="20"/>
                <w:lang w:eastAsia="en-US"/>
              </w:rPr>
              <w:t>Taskforce, The</w:t>
            </w:r>
          </w:p>
        </w:tc>
        <w:tc>
          <w:tcPr>
            <w:tcW w:w="6440" w:type="dxa"/>
          </w:tcPr>
          <w:p w14:paraId="0DF7963F" w14:textId="4168F7E4" w:rsidR="0072705E" w:rsidRPr="0072705E" w:rsidRDefault="00C66C1C" w:rsidP="0060697D">
            <w:pPr>
              <w:spacing w:before="120" w:after="0"/>
              <w:rPr>
                <w:rFonts w:cs="Arial"/>
                <w:color w:val="000000" w:themeColor="text1"/>
                <w:sz w:val="20"/>
                <w:szCs w:val="20"/>
              </w:rPr>
            </w:pPr>
            <w:r w:rsidRPr="00C66C1C">
              <w:rPr>
                <w:rFonts w:cs="Arial"/>
                <w:color w:val="000000" w:themeColor="text1"/>
                <w:sz w:val="20"/>
                <w:szCs w:val="20"/>
                <w:lang w:val="en-GB"/>
              </w:rPr>
              <w:t>MBS Review Taskforce</w:t>
            </w:r>
          </w:p>
        </w:tc>
      </w:tr>
      <w:tr w:rsidR="00C66C1C" w:rsidRPr="00984BFF" w14:paraId="043F1AFD" w14:textId="77777777" w:rsidTr="0006464C">
        <w:tc>
          <w:tcPr>
            <w:tcW w:w="2802" w:type="dxa"/>
          </w:tcPr>
          <w:p w14:paraId="34FD8D4B" w14:textId="49E04D8B" w:rsidR="00C66C1C" w:rsidRDefault="00C66C1C" w:rsidP="0060697D">
            <w:pPr>
              <w:spacing w:before="120" w:after="0"/>
              <w:rPr>
                <w:rFonts w:eastAsiaTheme="minorHAnsi" w:cstheme="minorBidi"/>
                <w:b/>
                <w:sz w:val="20"/>
                <w:szCs w:val="20"/>
                <w:lang w:eastAsia="en-US"/>
              </w:rPr>
            </w:pPr>
            <w:r w:rsidRPr="00C66C1C">
              <w:rPr>
                <w:rFonts w:eastAsiaTheme="minorHAnsi" w:cstheme="minorBidi"/>
                <w:b/>
                <w:sz w:val="20"/>
                <w:szCs w:val="20"/>
                <w:lang w:val="en-GB" w:eastAsia="en-US"/>
              </w:rPr>
              <w:lastRenderedPageBreak/>
              <w:t>V/Q</w:t>
            </w:r>
          </w:p>
        </w:tc>
        <w:tc>
          <w:tcPr>
            <w:tcW w:w="6440" w:type="dxa"/>
          </w:tcPr>
          <w:p w14:paraId="7E22485D" w14:textId="697EFE60" w:rsidR="00C66C1C" w:rsidRPr="00C66C1C" w:rsidRDefault="00C66C1C" w:rsidP="0060697D">
            <w:pPr>
              <w:spacing w:before="120" w:after="0"/>
              <w:rPr>
                <w:rFonts w:cs="Arial"/>
                <w:color w:val="000000" w:themeColor="text1"/>
                <w:sz w:val="20"/>
                <w:szCs w:val="20"/>
                <w:lang w:val="en-GB"/>
              </w:rPr>
            </w:pPr>
            <w:r w:rsidRPr="00C66C1C">
              <w:rPr>
                <w:rFonts w:cs="Arial"/>
                <w:color w:val="000000" w:themeColor="text1"/>
                <w:sz w:val="20"/>
                <w:szCs w:val="20"/>
              </w:rPr>
              <w:t>Ventilation–perfusion</w:t>
            </w:r>
          </w:p>
        </w:tc>
      </w:tr>
    </w:tbl>
    <w:p w14:paraId="580FAE32" w14:textId="2BCC368E" w:rsidR="00A23C74" w:rsidRPr="00B44107" w:rsidRDefault="00BB60E5" w:rsidP="00A23C74">
      <w:pPr>
        <w:pStyle w:val="AppendixStyle1"/>
        <w:ind w:left="2268" w:hanging="2268"/>
      </w:pPr>
      <w:bookmarkStart w:id="58" w:name="_Toc468787482"/>
      <w:r>
        <w:t>PE and DVT items: Recommendations list</w:t>
      </w:r>
      <w:bookmarkEnd w:id="58"/>
    </w:p>
    <w:tbl>
      <w:tblPr>
        <w:tblStyle w:val="PlainTable21"/>
        <w:tblW w:w="10031" w:type="dxa"/>
        <w:tblLayout w:type="fixed"/>
        <w:tblLook w:val="04A0" w:firstRow="1" w:lastRow="0" w:firstColumn="1" w:lastColumn="0" w:noHBand="0" w:noVBand="1"/>
        <w:tblDescription w:val="Appendix A table lists DVT MBS items considered by the Working Group. The table contains four columns for item, item descriptor, recommendation and page reference."/>
      </w:tblPr>
      <w:tblGrid>
        <w:gridCol w:w="1242"/>
        <w:gridCol w:w="4820"/>
        <w:gridCol w:w="2268"/>
        <w:gridCol w:w="1701"/>
      </w:tblGrid>
      <w:tr w:rsidR="00BB60E5" w:rsidRPr="007F7B48" w14:paraId="7D69970E" w14:textId="075D52E8" w:rsidTr="008A64E5">
        <w:trPr>
          <w:cnfStyle w:val="100000000000" w:firstRow="1" w:lastRow="0" w:firstColumn="0" w:lastColumn="0" w:oddVBand="0" w:evenVBand="0" w:oddHBand="0" w:evenHBand="0" w:firstRowFirstColumn="0" w:firstRowLastColumn="0" w:lastRowFirstColumn="0" w:lastRowLastColumn="0"/>
          <w:trHeight w:val="563"/>
          <w:tblHeader/>
        </w:trPr>
        <w:tc>
          <w:tcPr>
            <w:cnfStyle w:val="001000000000" w:firstRow="0" w:lastRow="0" w:firstColumn="1" w:lastColumn="0" w:oddVBand="0" w:evenVBand="0" w:oddHBand="0" w:evenHBand="0" w:firstRowFirstColumn="0" w:firstRowLastColumn="0" w:lastRowFirstColumn="0" w:lastRowLastColumn="0"/>
            <w:tcW w:w="1242" w:type="dxa"/>
          </w:tcPr>
          <w:p w14:paraId="64701C05" w14:textId="0C3D7D1C" w:rsidR="00BB60E5" w:rsidRPr="00B206AE" w:rsidRDefault="00BB60E5" w:rsidP="0079394C">
            <w:r w:rsidRPr="00B206AE">
              <w:t>Item</w:t>
            </w:r>
          </w:p>
        </w:tc>
        <w:tc>
          <w:tcPr>
            <w:tcW w:w="4820" w:type="dxa"/>
          </w:tcPr>
          <w:p w14:paraId="3BEFE679" w14:textId="2C3F6947" w:rsidR="00BB60E5" w:rsidRPr="00B206AE" w:rsidRDefault="00BB60E5" w:rsidP="00BB60E5">
            <w:pPr>
              <w:cnfStyle w:val="100000000000" w:firstRow="1" w:lastRow="0" w:firstColumn="0" w:lastColumn="0" w:oddVBand="0" w:evenVBand="0" w:oddHBand="0" w:evenHBand="0" w:firstRowFirstColumn="0" w:firstRowLastColumn="0" w:lastRowFirstColumn="0" w:lastRowLastColumn="0"/>
            </w:pPr>
            <w:r w:rsidRPr="00B206AE">
              <w:t>Item Description</w:t>
            </w:r>
          </w:p>
        </w:tc>
        <w:tc>
          <w:tcPr>
            <w:tcW w:w="2268" w:type="dxa"/>
          </w:tcPr>
          <w:p w14:paraId="3AE49104" w14:textId="2FC2332E" w:rsidR="00BB60E5" w:rsidRPr="00B206AE" w:rsidRDefault="00BB60E5" w:rsidP="0079394C">
            <w:pPr>
              <w:cnfStyle w:val="100000000000" w:firstRow="1" w:lastRow="0" w:firstColumn="0" w:lastColumn="0" w:oddVBand="0" w:evenVBand="0" w:oddHBand="0" w:evenHBand="0" w:firstRowFirstColumn="0" w:firstRowLastColumn="0" w:lastRowFirstColumn="0" w:lastRowLastColumn="0"/>
            </w:pPr>
            <w:r w:rsidRPr="00B206AE">
              <w:t>Recommendation</w:t>
            </w:r>
          </w:p>
        </w:tc>
        <w:tc>
          <w:tcPr>
            <w:tcW w:w="1701" w:type="dxa"/>
          </w:tcPr>
          <w:p w14:paraId="22423758" w14:textId="2300D0CC" w:rsidR="00BB60E5" w:rsidRPr="00B206AE" w:rsidRDefault="00BB60E5" w:rsidP="0040678A">
            <w:pPr>
              <w:ind w:right="-86"/>
              <w:cnfStyle w:val="100000000000" w:firstRow="1" w:lastRow="0" w:firstColumn="0" w:lastColumn="0" w:oddVBand="0" w:evenVBand="0" w:oddHBand="0" w:evenHBand="0" w:firstRowFirstColumn="0" w:firstRowLastColumn="0" w:lastRowFirstColumn="0" w:lastRowLastColumn="0"/>
            </w:pPr>
            <w:r w:rsidRPr="00B206AE">
              <w:t>Page reference</w:t>
            </w:r>
          </w:p>
        </w:tc>
      </w:tr>
      <w:tr w:rsidR="00BB60E5" w:rsidRPr="00361E69" w14:paraId="2F711036" w14:textId="454E8834" w:rsidTr="008A64E5">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242" w:type="dxa"/>
          </w:tcPr>
          <w:p w14:paraId="74C795BD" w14:textId="4AB74303" w:rsidR="00BB60E5" w:rsidRPr="00995D3F" w:rsidRDefault="008204AA" w:rsidP="005727D3">
            <w:pPr>
              <w:spacing w:before="40" w:after="40"/>
              <w:rPr>
                <w:b w:val="0"/>
                <w:sz w:val="18"/>
                <w:szCs w:val="18"/>
              </w:rPr>
            </w:pPr>
            <w:r>
              <w:rPr>
                <w:b w:val="0"/>
                <w:sz w:val="18"/>
                <w:szCs w:val="18"/>
              </w:rPr>
              <w:t>55221</w:t>
            </w:r>
          </w:p>
        </w:tc>
        <w:tc>
          <w:tcPr>
            <w:tcW w:w="4820" w:type="dxa"/>
          </w:tcPr>
          <w:p w14:paraId="0AB796EE" w14:textId="77777777" w:rsidR="008204AA" w:rsidRPr="008204AA" w:rsidRDefault="008204AA" w:rsidP="008204AA">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8204AA">
              <w:rPr>
                <w:bCs/>
                <w:color w:val="000000"/>
                <w:sz w:val="18"/>
                <w:szCs w:val="18"/>
              </w:rPr>
              <w:t>DUPLEX SCANNING, unilateral, involving B mode ultrasound imaging and integrated Doppler flow measurements by spectral analysis of veins in the lower limb, below the inguinal ligament, for acute venous thrombosis, not being a service associated with a service to which an item in Subgroups 1 (with the exception of items 55026 and 55054) or 4 of this Group applies (R) (NK)</w:t>
            </w:r>
          </w:p>
          <w:p w14:paraId="36A69363" w14:textId="4025ED3F" w:rsidR="00BB60E5" w:rsidRPr="003F4FE2" w:rsidRDefault="008204AA" w:rsidP="008204AA">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204AA">
              <w:rPr>
                <w:bCs/>
                <w:i/>
                <w:color w:val="000000"/>
                <w:sz w:val="18"/>
                <w:szCs w:val="18"/>
              </w:rPr>
              <w:t>(See para DIQ of explanatory notes to this Category)</w:t>
            </w:r>
          </w:p>
        </w:tc>
        <w:tc>
          <w:tcPr>
            <w:tcW w:w="2268" w:type="dxa"/>
          </w:tcPr>
          <w:p w14:paraId="0249E44B" w14:textId="6D5A7B1B" w:rsidR="00BB60E5" w:rsidRPr="003F4FE2" w:rsidRDefault="008204AA" w:rsidP="00E7006B">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sz w:val="18"/>
                <w:szCs w:val="18"/>
              </w:rPr>
              <w:t>Change</w:t>
            </w:r>
          </w:p>
        </w:tc>
        <w:tc>
          <w:tcPr>
            <w:tcW w:w="1701" w:type="dxa"/>
          </w:tcPr>
          <w:p w14:paraId="70CC1BCA" w14:textId="27DB25FD" w:rsidR="00BB60E5" w:rsidRPr="008647AB" w:rsidRDefault="00CE1FE3" w:rsidP="008204AA">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bCs/>
                <w:color w:val="000000"/>
                <w:sz w:val="18"/>
                <w:szCs w:val="18"/>
              </w:rPr>
            </w:pPr>
            <w:r>
              <w:rPr>
                <w:bCs/>
                <w:color w:val="000000"/>
                <w:sz w:val="18"/>
                <w:szCs w:val="18"/>
              </w:rPr>
              <w:t>14</w:t>
            </w:r>
          </w:p>
        </w:tc>
      </w:tr>
      <w:tr w:rsidR="00BB60E5" w:rsidRPr="00361E69" w14:paraId="624C74A4" w14:textId="6152F99C" w:rsidTr="008A64E5">
        <w:trPr>
          <w:trHeight w:val="563"/>
        </w:trPr>
        <w:tc>
          <w:tcPr>
            <w:cnfStyle w:val="001000000000" w:firstRow="0" w:lastRow="0" w:firstColumn="1" w:lastColumn="0" w:oddVBand="0" w:evenVBand="0" w:oddHBand="0" w:evenHBand="0" w:firstRowFirstColumn="0" w:firstRowLastColumn="0" w:lastRowFirstColumn="0" w:lastRowLastColumn="0"/>
            <w:tcW w:w="1242" w:type="dxa"/>
          </w:tcPr>
          <w:p w14:paraId="1F87B9E4" w14:textId="725BA188" w:rsidR="00BB60E5" w:rsidRPr="00995D3F" w:rsidRDefault="008204AA" w:rsidP="005727D3">
            <w:pPr>
              <w:spacing w:before="40" w:after="40"/>
              <w:rPr>
                <w:b w:val="0"/>
                <w:sz w:val="18"/>
                <w:szCs w:val="18"/>
              </w:rPr>
            </w:pPr>
            <w:r>
              <w:rPr>
                <w:b w:val="0"/>
                <w:sz w:val="18"/>
                <w:szCs w:val="18"/>
              </w:rPr>
              <w:t>55222</w:t>
            </w:r>
          </w:p>
        </w:tc>
        <w:tc>
          <w:tcPr>
            <w:tcW w:w="4820" w:type="dxa"/>
          </w:tcPr>
          <w:p w14:paraId="7BC4D5FC" w14:textId="77777777" w:rsidR="008204AA" w:rsidRPr="008204AA" w:rsidRDefault="008204AA" w:rsidP="008204AA">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8204AA">
              <w:rPr>
                <w:sz w:val="18"/>
                <w:szCs w:val="18"/>
              </w:rPr>
              <w:t>DUPLEX SCANNING, unilateral, involving B mode ultrasound imaging and integrated Doppler flow measurements by spectral analysis of veins in the lower limb, below the inguinal ligament, for chronic venous disease, not being a service associated with a service to which an item in Subgroups 1 (with the exception of items 55026 and 55054) or 4 of this Group applies (R) (NK)</w:t>
            </w:r>
          </w:p>
          <w:p w14:paraId="40AA5A06" w14:textId="49522DBE" w:rsidR="00BB60E5" w:rsidRPr="003F4FE2" w:rsidRDefault="008204AA" w:rsidP="008204AA">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b/>
                <w:bCs/>
                <w:color w:val="000000"/>
                <w:sz w:val="18"/>
                <w:szCs w:val="18"/>
              </w:rPr>
            </w:pPr>
            <w:r w:rsidRPr="008204AA">
              <w:rPr>
                <w:i/>
                <w:sz w:val="18"/>
                <w:szCs w:val="18"/>
              </w:rPr>
              <w:t>(See para DIQ of explanatory notes to this Category)</w:t>
            </w:r>
          </w:p>
        </w:tc>
        <w:tc>
          <w:tcPr>
            <w:tcW w:w="2268" w:type="dxa"/>
          </w:tcPr>
          <w:p w14:paraId="77932AB4" w14:textId="2494F470" w:rsidR="00BB60E5" w:rsidRPr="003F4FE2" w:rsidRDefault="008204AA" w:rsidP="00E7006B">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Change</w:t>
            </w:r>
          </w:p>
        </w:tc>
        <w:tc>
          <w:tcPr>
            <w:tcW w:w="1701" w:type="dxa"/>
          </w:tcPr>
          <w:p w14:paraId="473EBECC" w14:textId="1E81E32D" w:rsidR="00BB60E5" w:rsidRPr="008647AB" w:rsidRDefault="00CE1FE3" w:rsidP="00E7006B">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bCs/>
                <w:color w:val="000000"/>
                <w:sz w:val="18"/>
                <w:szCs w:val="18"/>
              </w:rPr>
              <w:t>16</w:t>
            </w:r>
          </w:p>
        </w:tc>
      </w:tr>
      <w:tr w:rsidR="00BB60E5" w:rsidRPr="00361E69" w14:paraId="2C3E555C" w14:textId="4D2A6BE1" w:rsidTr="008A64E5">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242" w:type="dxa"/>
          </w:tcPr>
          <w:p w14:paraId="2A2396F7" w14:textId="2A4F4264" w:rsidR="00BB60E5" w:rsidRPr="00995D3F" w:rsidRDefault="008204AA" w:rsidP="005727D3">
            <w:pPr>
              <w:spacing w:before="40" w:after="40"/>
              <w:rPr>
                <w:b w:val="0"/>
                <w:sz w:val="18"/>
                <w:szCs w:val="18"/>
              </w:rPr>
            </w:pPr>
            <w:r>
              <w:rPr>
                <w:b w:val="0"/>
                <w:sz w:val="18"/>
                <w:szCs w:val="18"/>
              </w:rPr>
              <w:t>55244</w:t>
            </w:r>
          </w:p>
        </w:tc>
        <w:tc>
          <w:tcPr>
            <w:tcW w:w="4820" w:type="dxa"/>
          </w:tcPr>
          <w:p w14:paraId="2CB8CC86" w14:textId="77777777" w:rsidR="008204AA" w:rsidRPr="008204AA" w:rsidRDefault="008204AA" w:rsidP="008204AA">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204AA">
              <w:rPr>
                <w:sz w:val="18"/>
                <w:szCs w:val="18"/>
              </w:rPr>
              <w:t>DUPLEX SCANNING, unilateral, involving B mode ultrasound imaging and integrated Doppler flow measurements by spectral analysis of veins in the lower limb, below the inguinal ligament, for acute venous thrombosis, not being a service associated with a service to which an item in Subgroups 1 (with the exception of item 55054) or 4 of this Group applies - (R)</w:t>
            </w:r>
          </w:p>
          <w:p w14:paraId="45BAD9B2" w14:textId="488B0161" w:rsidR="00BB60E5" w:rsidRPr="003F4FE2" w:rsidRDefault="008204AA" w:rsidP="008204AA">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8204AA">
              <w:rPr>
                <w:i/>
                <w:sz w:val="18"/>
                <w:szCs w:val="18"/>
              </w:rPr>
              <w:t>(See para DIQ of explanatory notes to this Category)</w:t>
            </w:r>
          </w:p>
        </w:tc>
        <w:tc>
          <w:tcPr>
            <w:tcW w:w="2268" w:type="dxa"/>
          </w:tcPr>
          <w:p w14:paraId="4532F324" w14:textId="76A207BB" w:rsidR="00BB60E5" w:rsidRPr="003F4FE2" w:rsidRDefault="008204AA" w:rsidP="00E7006B">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Change</w:t>
            </w:r>
          </w:p>
        </w:tc>
        <w:tc>
          <w:tcPr>
            <w:tcW w:w="1701" w:type="dxa"/>
          </w:tcPr>
          <w:p w14:paraId="6F79736C" w14:textId="5BD206DB" w:rsidR="00BB60E5" w:rsidRPr="008647AB" w:rsidRDefault="00CE1FE3" w:rsidP="00E7006B">
            <w:pPr>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bCs/>
                <w:color w:val="000000"/>
                <w:sz w:val="18"/>
                <w:szCs w:val="18"/>
              </w:rPr>
              <w:t>14</w:t>
            </w:r>
          </w:p>
        </w:tc>
      </w:tr>
      <w:tr w:rsidR="00BB60E5" w:rsidRPr="00361E69" w14:paraId="14EE8B75" w14:textId="214DEA86" w:rsidTr="008A64E5">
        <w:trPr>
          <w:trHeight w:val="563"/>
        </w:trPr>
        <w:tc>
          <w:tcPr>
            <w:cnfStyle w:val="001000000000" w:firstRow="0" w:lastRow="0" w:firstColumn="1" w:lastColumn="0" w:oddVBand="0" w:evenVBand="0" w:oddHBand="0" w:evenHBand="0" w:firstRowFirstColumn="0" w:firstRowLastColumn="0" w:lastRowFirstColumn="0" w:lastRowLastColumn="0"/>
            <w:tcW w:w="1242" w:type="dxa"/>
          </w:tcPr>
          <w:p w14:paraId="6E5D8023" w14:textId="7F9EACB2" w:rsidR="00BB60E5" w:rsidRPr="00995D3F" w:rsidRDefault="008204AA" w:rsidP="005727D3">
            <w:pPr>
              <w:spacing w:before="40" w:after="40"/>
              <w:rPr>
                <w:b w:val="0"/>
                <w:sz w:val="18"/>
                <w:szCs w:val="18"/>
              </w:rPr>
            </w:pPr>
            <w:r>
              <w:rPr>
                <w:b w:val="0"/>
                <w:sz w:val="18"/>
                <w:szCs w:val="18"/>
              </w:rPr>
              <w:t>55246</w:t>
            </w:r>
          </w:p>
        </w:tc>
        <w:tc>
          <w:tcPr>
            <w:tcW w:w="4820" w:type="dxa"/>
          </w:tcPr>
          <w:p w14:paraId="1326A3C9" w14:textId="77777777" w:rsidR="008204AA" w:rsidRPr="008204AA" w:rsidRDefault="008204AA" w:rsidP="008204AA">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8204AA">
              <w:rPr>
                <w:sz w:val="18"/>
                <w:szCs w:val="18"/>
              </w:rPr>
              <w:t>DUPLEX SCANNING, unilateral, involving B mode ultrasound imaging and integrated Doppler flow measurements by spectral analysis of veins in the lower limb, below the inguinal ligament, for chronic venous disease, not being a service associated with a service to which an item in Subgroups 1 (with the exception of item 55054) or 4 of this Group applies - (R)</w:t>
            </w:r>
          </w:p>
          <w:p w14:paraId="4E7C62FE" w14:textId="4C660406" w:rsidR="00BB60E5" w:rsidRPr="003F4FE2" w:rsidRDefault="008204AA" w:rsidP="008204AA">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8204AA">
              <w:rPr>
                <w:i/>
                <w:sz w:val="18"/>
                <w:szCs w:val="18"/>
              </w:rPr>
              <w:t>(See para DIQ of explanatory notes to this Category)</w:t>
            </w:r>
          </w:p>
        </w:tc>
        <w:tc>
          <w:tcPr>
            <w:tcW w:w="2268" w:type="dxa"/>
          </w:tcPr>
          <w:p w14:paraId="6757E3ED" w14:textId="0B6B3278" w:rsidR="00BB60E5" w:rsidRPr="003F4FE2" w:rsidRDefault="008204AA" w:rsidP="00E7006B">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Change</w:t>
            </w:r>
          </w:p>
        </w:tc>
        <w:tc>
          <w:tcPr>
            <w:tcW w:w="1701" w:type="dxa"/>
          </w:tcPr>
          <w:p w14:paraId="452AECEC" w14:textId="7A172882" w:rsidR="00BB60E5" w:rsidRPr="008647AB" w:rsidRDefault="00CE1FE3" w:rsidP="008204AA">
            <w:pPr>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bCs/>
                <w:color w:val="000000"/>
                <w:sz w:val="18"/>
                <w:szCs w:val="18"/>
              </w:rPr>
              <w:t>16</w:t>
            </w:r>
          </w:p>
        </w:tc>
      </w:tr>
    </w:tbl>
    <w:p w14:paraId="1FA58F2F" w14:textId="77DFD2CD" w:rsidR="00A23C74" w:rsidRPr="00B44107" w:rsidRDefault="008A64E5" w:rsidP="00B44107">
      <w:pPr>
        <w:spacing w:before="0" w:after="0" w:line="240" w:lineRule="auto"/>
        <w:rPr>
          <w:rFonts w:eastAsiaTheme="minorHAnsi" w:cs="Arial"/>
          <w:b/>
          <w:i/>
          <w:sz w:val="20"/>
          <w:szCs w:val="22"/>
          <w:lang w:eastAsia="en-US"/>
        </w:rPr>
      </w:pPr>
      <w:r>
        <w:rPr>
          <w:b/>
        </w:rPr>
        <w:br w:type="page"/>
      </w:r>
    </w:p>
    <w:tbl>
      <w:tblPr>
        <w:tblStyle w:val="PlainTable21"/>
        <w:tblW w:w="10031" w:type="dxa"/>
        <w:tblLayout w:type="fixed"/>
        <w:tblLook w:val="04A0" w:firstRow="1" w:lastRow="0" w:firstColumn="1" w:lastColumn="0" w:noHBand="0" w:noVBand="1"/>
        <w:tblDescription w:val="Appendix A, table 5 lists PE MBS items considered by the Working Group. The table contains four columns for item, item descriptor, recommendation and page reference."/>
      </w:tblPr>
      <w:tblGrid>
        <w:gridCol w:w="1242"/>
        <w:gridCol w:w="5103"/>
        <w:gridCol w:w="1985"/>
        <w:gridCol w:w="1701"/>
      </w:tblGrid>
      <w:tr w:rsidR="00A23C74" w:rsidRPr="00361E69" w14:paraId="6CCBF716" w14:textId="77777777" w:rsidTr="00B206AE">
        <w:trPr>
          <w:cnfStyle w:val="100000000000" w:firstRow="1" w:lastRow="0" w:firstColumn="0" w:lastColumn="0" w:oddVBand="0" w:evenVBand="0" w:oddHBand="0" w:evenHBand="0" w:firstRowFirstColumn="0" w:firstRowLastColumn="0" w:lastRowFirstColumn="0" w:lastRowLastColumn="0"/>
          <w:trHeight w:val="563"/>
          <w:tblHeader/>
        </w:trPr>
        <w:tc>
          <w:tcPr>
            <w:cnfStyle w:val="001000000000" w:firstRow="0" w:lastRow="0" w:firstColumn="1" w:lastColumn="0" w:oddVBand="0" w:evenVBand="0" w:oddHBand="0" w:evenHBand="0" w:firstRowFirstColumn="0" w:firstRowLastColumn="0" w:lastRowFirstColumn="0" w:lastRowLastColumn="0"/>
            <w:tcW w:w="1242" w:type="dxa"/>
          </w:tcPr>
          <w:p w14:paraId="2EA16AF5" w14:textId="30DB94B3" w:rsidR="00A23C74" w:rsidRPr="00B206AE" w:rsidRDefault="00A23C74" w:rsidP="005727D3">
            <w:pPr>
              <w:spacing w:before="40" w:after="40"/>
              <w:rPr>
                <w:sz w:val="18"/>
                <w:szCs w:val="18"/>
              </w:rPr>
            </w:pPr>
            <w:r w:rsidRPr="00B206AE">
              <w:lastRenderedPageBreak/>
              <w:t>Item</w:t>
            </w:r>
          </w:p>
        </w:tc>
        <w:tc>
          <w:tcPr>
            <w:tcW w:w="5103" w:type="dxa"/>
          </w:tcPr>
          <w:p w14:paraId="019101C3" w14:textId="72E463E7" w:rsidR="00A23C74" w:rsidRPr="00B206AE" w:rsidRDefault="00A23C74" w:rsidP="008204AA">
            <w:pPr>
              <w:pStyle w:val="Tabletext9"/>
              <w:ind w:left="7"/>
              <w:cnfStyle w:val="100000000000" w:firstRow="1" w:lastRow="0" w:firstColumn="0" w:lastColumn="0" w:oddVBand="0" w:evenVBand="0" w:oddHBand="0" w:evenHBand="0" w:firstRowFirstColumn="0" w:firstRowLastColumn="0" w:lastRowFirstColumn="0" w:lastRowLastColumn="0"/>
            </w:pPr>
            <w:r w:rsidRPr="00B206AE">
              <w:t>Item Description</w:t>
            </w:r>
          </w:p>
        </w:tc>
        <w:tc>
          <w:tcPr>
            <w:tcW w:w="1985" w:type="dxa"/>
          </w:tcPr>
          <w:p w14:paraId="32FD57A1" w14:textId="3ED97CB2" w:rsidR="00A23C74" w:rsidRPr="00B206AE" w:rsidRDefault="00A23C7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B206AE">
              <w:t>Recommendation</w:t>
            </w:r>
          </w:p>
        </w:tc>
        <w:tc>
          <w:tcPr>
            <w:tcW w:w="1701" w:type="dxa"/>
          </w:tcPr>
          <w:p w14:paraId="3C178166" w14:textId="3891822B" w:rsidR="00A23C74" w:rsidRPr="00B206AE" w:rsidRDefault="00A23C74"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cnfStyle w:val="100000000000" w:firstRow="1" w:lastRow="0" w:firstColumn="0" w:lastColumn="0" w:oddVBand="0" w:evenVBand="0" w:oddHBand="0" w:evenHBand="0" w:firstRowFirstColumn="0" w:firstRowLastColumn="0" w:lastRowFirstColumn="0" w:lastRowLastColumn="0"/>
              <w:rPr>
                <w:bCs w:val="0"/>
                <w:color w:val="000000"/>
                <w:sz w:val="18"/>
                <w:szCs w:val="18"/>
              </w:rPr>
            </w:pPr>
            <w:r w:rsidRPr="00B206AE">
              <w:t>Page reference</w:t>
            </w:r>
          </w:p>
        </w:tc>
      </w:tr>
      <w:tr w:rsidR="00BB60E5" w:rsidRPr="00361E69" w14:paraId="267AE37B" w14:textId="173BCC78" w:rsidTr="00B206AE">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242" w:type="dxa"/>
          </w:tcPr>
          <w:p w14:paraId="1BC64041" w14:textId="42E0D0F6" w:rsidR="00BB60E5" w:rsidRPr="00995D3F" w:rsidRDefault="008204AA" w:rsidP="005727D3">
            <w:pPr>
              <w:spacing w:before="40" w:after="40"/>
              <w:rPr>
                <w:b w:val="0"/>
                <w:sz w:val="18"/>
                <w:szCs w:val="18"/>
              </w:rPr>
            </w:pPr>
            <w:r>
              <w:rPr>
                <w:b w:val="0"/>
                <w:sz w:val="18"/>
                <w:szCs w:val="18"/>
              </w:rPr>
              <w:t>61328</w:t>
            </w:r>
          </w:p>
        </w:tc>
        <w:tc>
          <w:tcPr>
            <w:tcW w:w="5103" w:type="dxa"/>
          </w:tcPr>
          <w:p w14:paraId="1F82F0FE" w14:textId="77777777" w:rsidR="008204AA" w:rsidRPr="008204AA" w:rsidRDefault="008204AA" w:rsidP="008204AA">
            <w:pPr>
              <w:pStyle w:val="Tabletext9"/>
              <w:ind w:left="7"/>
              <w:cnfStyle w:val="000000100000" w:firstRow="0" w:lastRow="0" w:firstColumn="0" w:lastColumn="0" w:oddVBand="0" w:evenVBand="0" w:oddHBand="1" w:evenHBand="0" w:firstRowFirstColumn="0" w:firstRowLastColumn="0" w:lastRowFirstColumn="0" w:lastRowLastColumn="0"/>
            </w:pPr>
            <w:r w:rsidRPr="008204AA">
              <w:t>LUNG PERFUSION STUDY, with planar imaging and single photon emission tomography OR planar imaging, or single photon emission tomography (R)</w:t>
            </w:r>
          </w:p>
          <w:p w14:paraId="3B5E29EB" w14:textId="7D63F073" w:rsidR="00BB60E5" w:rsidRPr="003F4FE2" w:rsidRDefault="008204AA" w:rsidP="008204AA">
            <w:pPr>
              <w:pStyle w:val="Tabletext9"/>
              <w:numPr>
                <w:ilvl w:val="0"/>
                <w:numId w:val="0"/>
              </w:numPr>
              <w:ind w:left="7"/>
              <w:cnfStyle w:val="000000100000" w:firstRow="0" w:lastRow="0" w:firstColumn="0" w:lastColumn="0" w:oddVBand="0" w:evenVBand="0" w:oddHBand="1" w:evenHBand="0" w:firstRowFirstColumn="0" w:firstRowLastColumn="0" w:lastRowFirstColumn="0" w:lastRowLastColumn="0"/>
            </w:pPr>
            <w:r w:rsidRPr="008204AA">
              <w:rPr>
                <w:b/>
                <w:bCs/>
              </w:rPr>
              <w:t>Fee:</w:t>
            </w:r>
            <w:r w:rsidRPr="008204AA">
              <w:t> $227.65 </w:t>
            </w:r>
            <w:r w:rsidRPr="008204AA">
              <w:rPr>
                <w:b/>
                <w:bCs/>
              </w:rPr>
              <w:t>Benefit:</w:t>
            </w:r>
            <w:r w:rsidRPr="008204AA">
              <w:t> 75% = $170.75 85% = $193.55</w:t>
            </w:r>
          </w:p>
        </w:tc>
        <w:tc>
          <w:tcPr>
            <w:tcW w:w="1985" w:type="dxa"/>
          </w:tcPr>
          <w:p w14:paraId="04E73492" w14:textId="4D107F2E" w:rsidR="00BB60E5" w:rsidRPr="003F4FE2" w:rsidRDefault="008204AA"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000000"/>
                <w:sz w:val="18"/>
                <w:szCs w:val="18"/>
              </w:rPr>
            </w:pPr>
            <w:r>
              <w:rPr>
                <w:sz w:val="18"/>
                <w:szCs w:val="18"/>
              </w:rPr>
              <w:t>Change</w:t>
            </w:r>
          </w:p>
        </w:tc>
        <w:tc>
          <w:tcPr>
            <w:tcW w:w="1701" w:type="dxa"/>
          </w:tcPr>
          <w:p w14:paraId="6C1FCC91" w14:textId="629E57AD" w:rsidR="00BB60E5" w:rsidRPr="008647AB" w:rsidRDefault="00CE144E"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000000"/>
                <w:sz w:val="18"/>
                <w:szCs w:val="18"/>
              </w:rPr>
            </w:pPr>
            <w:r>
              <w:rPr>
                <w:bCs/>
                <w:color w:val="000000"/>
                <w:sz w:val="18"/>
                <w:szCs w:val="18"/>
              </w:rPr>
              <w:t>20</w:t>
            </w:r>
          </w:p>
        </w:tc>
      </w:tr>
      <w:tr w:rsidR="00BB60E5" w:rsidRPr="003A605D" w14:paraId="24D83663" w14:textId="1AF7C0A1" w:rsidTr="00B206AE">
        <w:trPr>
          <w:trHeight w:val="563"/>
        </w:trPr>
        <w:tc>
          <w:tcPr>
            <w:cnfStyle w:val="001000000000" w:firstRow="0" w:lastRow="0" w:firstColumn="1" w:lastColumn="0" w:oddVBand="0" w:evenVBand="0" w:oddHBand="0" w:evenHBand="0" w:firstRowFirstColumn="0" w:firstRowLastColumn="0" w:lastRowFirstColumn="0" w:lastRowLastColumn="0"/>
            <w:tcW w:w="1242" w:type="dxa"/>
          </w:tcPr>
          <w:p w14:paraId="5375A79F" w14:textId="431887C3" w:rsidR="00BB60E5" w:rsidRPr="00995D3F" w:rsidRDefault="008204AA" w:rsidP="005727D3">
            <w:pPr>
              <w:spacing w:before="40" w:after="40"/>
              <w:rPr>
                <w:b w:val="0"/>
                <w:sz w:val="18"/>
                <w:szCs w:val="18"/>
              </w:rPr>
            </w:pPr>
            <w:r>
              <w:rPr>
                <w:b w:val="0"/>
                <w:sz w:val="18"/>
                <w:szCs w:val="18"/>
              </w:rPr>
              <w:t>57351</w:t>
            </w:r>
          </w:p>
        </w:tc>
        <w:tc>
          <w:tcPr>
            <w:tcW w:w="5103" w:type="dxa"/>
          </w:tcPr>
          <w:p w14:paraId="27207B0C" w14:textId="77777777" w:rsidR="00CB3B8E" w:rsidRDefault="008204AA" w:rsidP="00CB3B8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color w:val="000000"/>
                <w:sz w:val="18"/>
                <w:szCs w:val="18"/>
              </w:rPr>
            </w:pPr>
            <w:r w:rsidRPr="008204AA">
              <w:rPr>
                <w:color w:val="000000"/>
                <w:sz w:val="18"/>
                <w:szCs w:val="18"/>
              </w:rPr>
              <w:t xml:space="preserve">COMPUTED TOMOGRAPHY - spiral angiography with intravenous contrast medium, including any scans performed before intravenous contrast injection - 1 or more spiral data acquisitions, including image editing, and maximum intensity projections or </w:t>
            </w:r>
            <w:proofErr w:type="gramStart"/>
            <w:r w:rsidRPr="008204AA">
              <w:rPr>
                <w:color w:val="000000"/>
                <w:sz w:val="18"/>
                <w:szCs w:val="18"/>
              </w:rPr>
              <w:t>3 dimensional</w:t>
            </w:r>
            <w:proofErr w:type="gramEnd"/>
            <w:r w:rsidRPr="008204AA">
              <w:rPr>
                <w:color w:val="000000"/>
                <w:sz w:val="18"/>
                <w:szCs w:val="18"/>
              </w:rPr>
              <w:t xml:space="preserve"> surface shaded display, with hardcopy recording of multiple projections, where:</w:t>
            </w:r>
          </w:p>
          <w:p w14:paraId="7C74B888" w14:textId="56C70FD6" w:rsidR="00BB60E5" w:rsidRPr="003F4FE2" w:rsidRDefault="008204AA" w:rsidP="00CB3B8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b/>
                <w:color w:val="000000"/>
                <w:sz w:val="18"/>
                <w:szCs w:val="18"/>
              </w:rPr>
            </w:pPr>
            <w:r w:rsidRPr="008204AA">
              <w:rPr>
                <w:color w:val="000000"/>
                <w:sz w:val="18"/>
                <w:szCs w:val="18"/>
              </w:rPr>
              <w:t xml:space="preserve"> (a) the service is not a service to which another item in this group applies; and</w:t>
            </w:r>
            <w:r w:rsidRPr="008204AA">
              <w:rPr>
                <w:color w:val="000000"/>
                <w:sz w:val="18"/>
                <w:szCs w:val="18"/>
              </w:rPr>
              <w:br/>
              <w:t xml:space="preserve">(b) the service is performed for the exclusion of acute or recurrent pulmonary embolism; acute symptomatic arterial occlusion; </w:t>
            </w:r>
            <w:proofErr w:type="spellStart"/>
            <w:r w:rsidRPr="008204AA">
              <w:rPr>
                <w:color w:val="000000"/>
                <w:sz w:val="18"/>
                <w:szCs w:val="18"/>
              </w:rPr>
              <w:t>post operative</w:t>
            </w:r>
            <w:proofErr w:type="spellEnd"/>
            <w:r w:rsidRPr="008204AA">
              <w:rPr>
                <w:color w:val="000000"/>
                <w:sz w:val="18"/>
                <w:szCs w:val="18"/>
              </w:rPr>
              <w:t xml:space="preserve"> complication of arterial surgery; acute ruptured aneurysm; or acute dissection of the aorta, carotid or vertebral artery; and</w:t>
            </w:r>
            <w:r w:rsidRPr="008204AA">
              <w:rPr>
                <w:color w:val="000000"/>
                <w:sz w:val="18"/>
                <w:szCs w:val="18"/>
              </w:rPr>
              <w:br/>
              <w:t>(c) the services to which 57350 or 57355 apply have been performed on the same patient within the previous 12 months; and</w:t>
            </w:r>
            <w:r w:rsidRPr="008204AA">
              <w:rPr>
                <w:color w:val="000000"/>
                <w:sz w:val="18"/>
                <w:szCs w:val="18"/>
              </w:rPr>
              <w:br/>
              <w:t>(d) the service is not a study performed to image the coronary arteries (R) (K) (</w:t>
            </w:r>
            <w:proofErr w:type="spellStart"/>
            <w:r w:rsidRPr="008204AA">
              <w:rPr>
                <w:color w:val="000000"/>
                <w:sz w:val="18"/>
                <w:szCs w:val="18"/>
              </w:rPr>
              <w:t>Anaes</w:t>
            </w:r>
            <w:proofErr w:type="spellEnd"/>
            <w:r w:rsidRPr="008204AA">
              <w:rPr>
                <w:color w:val="000000"/>
                <w:sz w:val="18"/>
                <w:szCs w:val="18"/>
              </w:rPr>
              <w:t>.)</w:t>
            </w:r>
          </w:p>
        </w:tc>
        <w:tc>
          <w:tcPr>
            <w:tcW w:w="1985" w:type="dxa"/>
          </w:tcPr>
          <w:p w14:paraId="6CE81067" w14:textId="1B33F4AA" w:rsidR="00BB60E5" w:rsidRPr="003F4FE2" w:rsidRDefault="008204AA"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color w:val="000000"/>
                <w:sz w:val="18"/>
                <w:szCs w:val="18"/>
              </w:rPr>
            </w:pPr>
            <w:r>
              <w:rPr>
                <w:sz w:val="18"/>
                <w:szCs w:val="18"/>
              </w:rPr>
              <w:t>Change</w:t>
            </w:r>
          </w:p>
        </w:tc>
        <w:tc>
          <w:tcPr>
            <w:tcW w:w="1701" w:type="dxa"/>
          </w:tcPr>
          <w:p w14:paraId="2DA58DF9" w14:textId="77CC877E" w:rsidR="00BB60E5" w:rsidRPr="008647AB" w:rsidRDefault="00CE144E" w:rsidP="008204AA">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color w:val="000000"/>
                <w:sz w:val="18"/>
                <w:szCs w:val="18"/>
              </w:rPr>
            </w:pPr>
            <w:r>
              <w:rPr>
                <w:bCs/>
                <w:color w:val="000000"/>
                <w:sz w:val="18"/>
                <w:szCs w:val="18"/>
              </w:rPr>
              <w:t>20</w:t>
            </w:r>
          </w:p>
        </w:tc>
      </w:tr>
      <w:tr w:rsidR="00BB60E5" w:rsidRPr="003A605D" w14:paraId="5EB29D73" w14:textId="434446C0" w:rsidTr="00B206AE">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242" w:type="dxa"/>
          </w:tcPr>
          <w:p w14:paraId="15AB4CE8" w14:textId="097B7610" w:rsidR="00BB60E5" w:rsidRPr="00995D3F" w:rsidRDefault="008204AA" w:rsidP="005727D3">
            <w:pPr>
              <w:spacing w:before="40" w:after="40"/>
              <w:rPr>
                <w:b w:val="0"/>
                <w:sz w:val="18"/>
                <w:szCs w:val="18"/>
              </w:rPr>
            </w:pPr>
            <w:r>
              <w:rPr>
                <w:b w:val="0"/>
                <w:sz w:val="18"/>
                <w:szCs w:val="18"/>
              </w:rPr>
              <w:t>57356</w:t>
            </w:r>
          </w:p>
        </w:tc>
        <w:tc>
          <w:tcPr>
            <w:tcW w:w="5103" w:type="dxa"/>
          </w:tcPr>
          <w:p w14:paraId="3884EE31" w14:textId="66866ADA" w:rsidR="00BB60E5" w:rsidRPr="003F4FE2" w:rsidRDefault="008204AA" w:rsidP="00CB3B8E">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b/>
                <w:color w:val="000000"/>
                <w:sz w:val="18"/>
                <w:szCs w:val="18"/>
              </w:rPr>
            </w:pPr>
            <w:r w:rsidRPr="008204AA">
              <w:rPr>
                <w:color w:val="000000"/>
                <w:sz w:val="18"/>
                <w:szCs w:val="18"/>
              </w:rPr>
              <w:t>COMPUTED TOMOGRAPHY - spiral angiography with intravenous contrast medium, including any scans performed before intravenous contrast injection - 1 or more spiral data acquisitions, including image editing, and maximum intensity projections or 3 dimensional surface shaded display, with hardcopy recording of multiple projections, where:</w:t>
            </w:r>
            <w:r w:rsidRPr="008204AA">
              <w:rPr>
                <w:color w:val="000000"/>
                <w:sz w:val="18"/>
                <w:szCs w:val="18"/>
              </w:rPr>
              <w:br/>
              <w:t>a) the service is not a service to which another item in this group applies; an</w:t>
            </w:r>
            <w:r w:rsidRPr="008204AA">
              <w:rPr>
                <w:color w:val="000000"/>
                <w:sz w:val="18"/>
                <w:szCs w:val="18"/>
              </w:rPr>
              <w:br/>
              <w:t xml:space="preserve">b) the service is performed for the exclusion of acute or recurrent pulmonary embolism; acute symptomatic arterial occlusion; </w:t>
            </w:r>
            <w:proofErr w:type="spellStart"/>
            <w:r w:rsidRPr="008204AA">
              <w:rPr>
                <w:color w:val="000000"/>
                <w:sz w:val="18"/>
                <w:szCs w:val="18"/>
              </w:rPr>
              <w:t>post operative</w:t>
            </w:r>
            <w:proofErr w:type="spellEnd"/>
            <w:r w:rsidRPr="008204AA">
              <w:rPr>
                <w:color w:val="000000"/>
                <w:sz w:val="18"/>
                <w:szCs w:val="18"/>
              </w:rPr>
              <w:t xml:space="preserve"> complication of arterial surgery; or acute ruptured aneurysm; acute dissection of the aorta, carotid or vertebral artery; and</w:t>
            </w:r>
            <w:r w:rsidRPr="008204AA">
              <w:rPr>
                <w:color w:val="000000"/>
                <w:sz w:val="18"/>
                <w:szCs w:val="18"/>
              </w:rPr>
              <w:br/>
              <w:t>(c) the services to which 57350 or 57355 apply have been performed on the same patient within the previous 12 months; and</w:t>
            </w:r>
            <w:r w:rsidRPr="008204AA">
              <w:rPr>
                <w:color w:val="000000"/>
                <w:sz w:val="18"/>
                <w:szCs w:val="18"/>
              </w:rPr>
              <w:br/>
              <w:t>(d) the service is not a study performed to image the coronary arteries (R) (NK) (</w:t>
            </w:r>
            <w:proofErr w:type="spellStart"/>
            <w:r w:rsidRPr="008204AA">
              <w:rPr>
                <w:color w:val="000000"/>
                <w:sz w:val="18"/>
                <w:szCs w:val="18"/>
              </w:rPr>
              <w:t>Anaes</w:t>
            </w:r>
            <w:proofErr w:type="spellEnd"/>
            <w:r w:rsidRPr="008204AA">
              <w:rPr>
                <w:color w:val="000000"/>
                <w:sz w:val="18"/>
                <w:szCs w:val="18"/>
              </w:rPr>
              <w:t>.)</w:t>
            </w:r>
          </w:p>
        </w:tc>
        <w:tc>
          <w:tcPr>
            <w:tcW w:w="1985" w:type="dxa"/>
          </w:tcPr>
          <w:p w14:paraId="706825FE" w14:textId="42BD875A" w:rsidR="00BB60E5" w:rsidRPr="003F4FE2" w:rsidRDefault="008204AA"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000000"/>
                <w:sz w:val="18"/>
                <w:szCs w:val="18"/>
              </w:rPr>
            </w:pPr>
            <w:r>
              <w:rPr>
                <w:sz w:val="18"/>
                <w:szCs w:val="18"/>
              </w:rPr>
              <w:t>Change</w:t>
            </w:r>
          </w:p>
        </w:tc>
        <w:tc>
          <w:tcPr>
            <w:tcW w:w="1701" w:type="dxa"/>
          </w:tcPr>
          <w:p w14:paraId="2D5AFD8E" w14:textId="79E6BF22" w:rsidR="00BB60E5" w:rsidRPr="008647AB" w:rsidRDefault="00CE144E"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000000"/>
                <w:sz w:val="18"/>
                <w:szCs w:val="18"/>
              </w:rPr>
            </w:pPr>
            <w:r>
              <w:rPr>
                <w:bCs/>
                <w:color w:val="000000"/>
                <w:sz w:val="18"/>
                <w:szCs w:val="18"/>
              </w:rPr>
              <w:t>20</w:t>
            </w:r>
          </w:p>
        </w:tc>
      </w:tr>
      <w:tr w:rsidR="00BB60E5" w:rsidRPr="003A605D" w14:paraId="5B020C8E" w14:textId="16BE0735" w:rsidTr="00B206AE">
        <w:trPr>
          <w:trHeight w:val="563"/>
        </w:trPr>
        <w:tc>
          <w:tcPr>
            <w:cnfStyle w:val="001000000000" w:firstRow="0" w:lastRow="0" w:firstColumn="1" w:lastColumn="0" w:oddVBand="0" w:evenVBand="0" w:oddHBand="0" w:evenHBand="0" w:firstRowFirstColumn="0" w:firstRowLastColumn="0" w:lastRowFirstColumn="0" w:lastRowLastColumn="0"/>
            <w:tcW w:w="1242" w:type="dxa"/>
          </w:tcPr>
          <w:p w14:paraId="054F21D8" w14:textId="33193555" w:rsidR="00BB60E5" w:rsidRPr="00995D3F" w:rsidRDefault="008204AA" w:rsidP="005727D3">
            <w:pPr>
              <w:spacing w:before="40" w:after="40"/>
              <w:rPr>
                <w:b w:val="0"/>
                <w:sz w:val="18"/>
                <w:szCs w:val="18"/>
              </w:rPr>
            </w:pPr>
            <w:r>
              <w:rPr>
                <w:b w:val="0"/>
                <w:sz w:val="18"/>
                <w:szCs w:val="18"/>
              </w:rPr>
              <w:t>61340</w:t>
            </w:r>
          </w:p>
        </w:tc>
        <w:tc>
          <w:tcPr>
            <w:tcW w:w="5103" w:type="dxa"/>
          </w:tcPr>
          <w:p w14:paraId="661D3102" w14:textId="77777777" w:rsidR="008204AA" w:rsidRPr="008204AA" w:rsidRDefault="008204AA" w:rsidP="008204AA">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color w:val="000000"/>
                <w:sz w:val="18"/>
                <w:szCs w:val="18"/>
              </w:rPr>
            </w:pPr>
            <w:r w:rsidRPr="008204AA">
              <w:rPr>
                <w:color w:val="000000"/>
                <w:sz w:val="18"/>
                <w:szCs w:val="18"/>
              </w:rPr>
              <w:t xml:space="preserve">LUNG VENTILATION STUDY using aerosol, </w:t>
            </w:r>
            <w:proofErr w:type="spellStart"/>
            <w:r w:rsidRPr="008204AA">
              <w:rPr>
                <w:color w:val="000000"/>
                <w:sz w:val="18"/>
                <w:szCs w:val="18"/>
              </w:rPr>
              <w:t>technegas</w:t>
            </w:r>
            <w:proofErr w:type="spellEnd"/>
            <w:r w:rsidRPr="008204AA">
              <w:rPr>
                <w:color w:val="000000"/>
                <w:sz w:val="18"/>
                <w:szCs w:val="18"/>
              </w:rPr>
              <w:t xml:space="preserve"> or xenon gas, with planar imaging and single photon emission tomography OR planar imaging or single photon emission tomography (R)</w:t>
            </w:r>
          </w:p>
          <w:p w14:paraId="72AFBD67" w14:textId="08EDFAB9" w:rsidR="00BB60E5" w:rsidRPr="003F4FE2" w:rsidRDefault="008204AA" w:rsidP="008204AA">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b/>
                <w:color w:val="000000"/>
                <w:sz w:val="18"/>
                <w:szCs w:val="18"/>
              </w:rPr>
            </w:pPr>
            <w:r w:rsidRPr="008204AA">
              <w:rPr>
                <w:b/>
                <w:bCs/>
                <w:color w:val="000000"/>
                <w:sz w:val="18"/>
                <w:szCs w:val="18"/>
              </w:rPr>
              <w:t>Fee:</w:t>
            </w:r>
            <w:r w:rsidRPr="008204AA">
              <w:rPr>
                <w:color w:val="000000"/>
                <w:sz w:val="18"/>
                <w:szCs w:val="18"/>
              </w:rPr>
              <w:t> $253.00 </w:t>
            </w:r>
            <w:r w:rsidRPr="008204AA">
              <w:rPr>
                <w:b/>
                <w:bCs/>
                <w:color w:val="000000"/>
                <w:sz w:val="18"/>
                <w:szCs w:val="18"/>
              </w:rPr>
              <w:t>Benefit:</w:t>
            </w:r>
            <w:r w:rsidRPr="008204AA">
              <w:rPr>
                <w:color w:val="000000"/>
                <w:sz w:val="18"/>
                <w:szCs w:val="18"/>
              </w:rPr>
              <w:t> 75% = $189.75 85% = $215.05</w:t>
            </w:r>
          </w:p>
        </w:tc>
        <w:tc>
          <w:tcPr>
            <w:tcW w:w="1985" w:type="dxa"/>
          </w:tcPr>
          <w:p w14:paraId="4F30AD84" w14:textId="71259DD5" w:rsidR="00BB60E5" w:rsidRPr="003F4FE2" w:rsidRDefault="008204AA"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color w:val="000000"/>
                <w:sz w:val="18"/>
                <w:szCs w:val="18"/>
              </w:rPr>
            </w:pPr>
            <w:r>
              <w:rPr>
                <w:sz w:val="18"/>
                <w:szCs w:val="18"/>
              </w:rPr>
              <w:t>Change</w:t>
            </w:r>
          </w:p>
        </w:tc>
        <w:tc>
          <w:tcPr>
            <w:tcW w:w="1701" w:type="dxa"/>
          </w:tcPr>
          <w:p w14:paraId="13272ED5" w14:textId="307F9ED6" w:rsidR="00BB60E5" w:rsidRPr="008647AB" w:rsidRDefault="00CE144E"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color w:val="000000"/>
                <w:sz w:val="18"/>
                <w:szCs w:val="18"/>
              </w:rPr>
            </w:pPr>
            <w:r>
              <w:rPr>
                <w:bCs/>
                <w:color w:val="000000"/>
                <w:sz w:val="18"/>
                <w:szCs w:val="18"/>
              </w:rPr>
              <w:t>20</w:t>
            </w:r>
          </w:p>
        </w:tc>
      </w:tr>
      <w:tr w:rsidR="00BB60E5" w:rsidRPr="003A605D" w14:paraId="3B265037" w14:textId="613C6C28" w:rsidTr="00B206AE">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242" w:type="dxa"/>
          </w:tcPr>
          <w:p w14:paraId="78A89240" w14:textId="352D00D8" w:rsidR="00BB60E5" w:rsidRPr="00995D3F" w:rsidRDefault="008204AA" w:rsidP="005727D3">
            <w:pPr>
              <w:spacing w:before="40" w:after="40"/>
              <w:rPr>
                <w:b w:val="0"/>
                <w:sz w:val="18"/>
                <w:szCs w:val="18"/>
              </w:rPr>
            </w:pPr>
            <w:r>
              <w:rPr>
                <w:b w:val="0"/>
                <w:sz w:val="18"/>
                <w:szCs w:val="18"/>
              </w:rPr>
              <w:lastRenderedPageBreak/>
              <w:t>61348</w:t>
            </w:r>
          </w:p>
        </w:tc>
        <w:tc>
          <w:tcPr>
            <w:tcW w:w="5103" w:type="dxa"/>
          </w:tcPr>
          <w:p w14:paraId="4ADDF8F7" w14:textId="77777777" w:rsidR="008204AA" w:rsidRPr="008204AA" w:rsidRDefault="008204AA" w:rsidP="008204AA">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000000"/>
                <w:sz w:val="18"/>
                <w:szCs w:val="18"/>
              </w:rPr>
            </w:pPr>
            <w:r w:rsidRPr="008204AA">
              <w:rPr>
                <w:color w:val="000000"/>
                <w:sz w:val="18"/>
                <w:szCs w:val="18"/>
              </w:rPr>
              <w:t xml:space="preserve">LUNG PERFUSION STUDY AND LUNG VENTILATION STUDY using aerosol, </w:t>
            </w:r>
            <w:proofErr w:type="spellStart"/>
            <w:r w:rsidRPr="008204AA">
              <w:rPr>
                <w:color w:val="000000"/>
                <w:sz w:val="18"/>
                <w:szCs w:val="18"/>
              </w:rPr>
              <w:t>technegas</w:t>
            </w:r>
            <w:proofErr w:type="spellEnd"/>
            <w:r w:rsidRPr="008204AA">
              <w:rPr>
                <w:color w:val="000000"/>
                <w:sz w:val="18"/>
                <w:szCs w:val="18"/>
              </w:rPr>
              <w:t xml:space="preserve"> or xenon gas, with planar imaging and single photon emission tomography, OR planar imaging, or single photon emission tomography (R)</w:t>
            </w:r>
          </w:p>
          <w:p w14:paraId="652AEF2C" w14:textId="40A50BAC" w:rsidR="00BB60E5" w:rsidRPr="003F4FE2" w:rsidRDefault="008204AA" w:rsidP="008204AA">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b/>
                <w:color w:val="000000"/>
                <w:sz w:val="18"/>
                <w:szCs w:val="18"/>
              </w:rPr>
            </w:pPr>
            <w:r w:rsidRPr="008204AA">
              <w:rPr>
                <w:b/>
                <w:bCs/>
                <w:color w:val="000000"/>
                <w:sz w:val="18"/>
                <w:szCs w:val="18"/>
              </w:rPr>
              <w:t>Fee:</w:t>
            </w:r>
            <w:r w:rsidRPr="008204AA">
              <w:rPr>
                <w:color w:val="000000"/>
                <w:sz w:val="18"/>
                <w:szCs w:val="18"/>
              </w:rPr>
              <w:t> $443.35 </w:t>
            </w:r>
            <w:r w:rsidRPr="008204AA">
              <w:rPr>
                <w:b/>
                <w:bCs/>
                <w:color w:val="000000"/>
                <w:sz w:val="18"/>
                <w:szCs w:val="18"/>
              </w:rPr>
              <w:t>Benefit:</w:t>
            </w:r>
            <w:r w:rsidRPr="008204AA">
              <w:rPr>
                <w:color w:val="000000"/>
                <w:sz w:val="18"/>
                <w:szCs w:val="18"/>
              </w:rPr>
              <w:t> 75% = $332.55 85% = $376.85</w:t>
            </w:r>
          </w:p>
        </w:tc>
        <w:tc>
          <w:tcPr>
            <w:tcW w:w="1985" w:type="dxa"/>
          </w:tcPr>
          <w:p w14:paraId="7D7DB3AF" w14:textId="33C8C28F" w:rsidR="00BB60E5" w:rsidRPr="003F4FE2" w:rsidRDefault="008204AA"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000000"/>
                <w:sz w:val="18"/>
                <w:szCs w:val="18"/>
              </w:rPr>
            </w:pPr>
            <w:r>
              <w:rPr>
                <w:sz w:val="18"/>
                <w:szCs w:val="18"/>
              </w:rPr>
              <w:t>Change</w:t>
            </w:r>
          </w:p>
        </w:tc>
        <w:tc>
          <w:tcPr>
            <w:tcW w:w="1701" w:type="dxa"/>
          </w:tcPr>
          <w:p w14:paraId="660E1F02" w14:textId="52637BFB" w:rsidR="00BB60E5" w:rsidRPr="008647AB" w:rsidRDefault="00CE144E" w:rsidP="00E7006B">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color w:val="000000"/>
                <w:sz w:val="18"/>
                <w:szCs w:val="18"/>
              </w:rPr>
            </w:pPr>
            <w:r>
              <w:rPr>
                <w:bCs/>
                <w:color w:val="000000"/>
                <w:sz w:val="18"/>
                <w:szCs w:val="18"/>
              </w:rPr>
              <w:t>20</w:t>
            </w:r>
          </w:p>
        </w:tc>
      </w:tr>
    </w:tbl>
    <w:p w14:paraId="60843240" w14:textId="28703D81" w:rsidR="00327C01" w:rsidRPr="00BB60E5" w:rsidRDefault="00327C01" w:rsidP="007F7B48">
      <w:pPr>
        <w:sectPr w:rsidR="00327C01" w:rsidRPr="00BB60E5" w:rsidSect="00475E69">
          <w:footerReference w:type="default" r:id="rId14"/>
          <w:pgSz w:w="11906" w:h="16838" w:code="9"/>
          <w:pgMar w:top="1440" w:right="1440" w:bottom="1276" w:left="1440" w:header="720" w:footer="720" w:gutter="0"/>
          <w:paperSrc w:first="2" w:other="2"/>
          <w:cols w:space="720"/>
          <w:docGrid w:linePitch="326"/>
        </w:sectPr>
      </w:pPr>
    </w:p>
    <w:p w14:paraId="761EE16F" w14:textId="0A986DCC" w:rsidR="00A23C74" w:rsidRPr="00B44107" w:rsidRDefault="00D83530" w:rsidP="00A23C74">
      <w:pPr>
        <w:pStyle w:val="AppendixStyle1"/>
      </w:pPr>
      <w:bookmarkStart w:id="59" w:name="_Toc468787483"/>
      <w:r>
        <w:lastRenderedPageBreak/>
        <w:t>Vascular Ultrasound</w:t>
      </w:r>
      <w:r w:rsidR="004636DD">
        <w:t xml:space="preserve"> items</w:t>
      </w:r>
      <w:r w:rsidR="00EF2268" w:rsidRPr="000B6732">
        <w:t xml:space="preserve"> </w:t>
      </w:r>
      <w:r>
        <w:t>(Group I1 Subgroup 3)</w:t>
      </w:r>
      <w:r w:rsidR="00A05073">
        <w:t xml:space="preserve"> and Urological Ultrasound</w:t>
      </w:r>
      <w:bookmarkEnd w:id="59"/>
      <w:r w:rsidR="00A05073">
        <w:t xml:space="preserve"> </w:t>
      </w:r>
    </w:p>
    <w:tbl>
      <w:tblPr>
        <w:tblStyle w:val="TableGrid"/>
        <w:tblW w:w="8989" w:type="dxa"/>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ayout w:type="fixed"/>
        <w:tblCellMar>
          <w:left w:w="58" w:type="dxa"/>
          <w:right w:w="58" w:type="dxa"/>
        </w:tblCellMar>
        <w:tblLook w:val="04A0" w:firstRow="1" w:lastRow="0" w:firstColumn="1" w:lastColumn="0" w:noHBand="0" w:noVBand="1"/>
        <w:tblDescription w:val="Appendix B DVT items, table lists ultrasound items for different vascular systems. The table contains two columns for items and descriptors."/>
      </w:tblPr>
      <w:tblGrid>
        <w:gridCol w:w="1192"/>
        <w:gridCol w:w="7797"/>
      </w:tblGrid>
      <w:tr w:rsidR="00EF2268" w:rsidRPr="00EF2268" w14:paraId="165CCB36" w14:textId="77777777" w:rsidTr="00EF2268">
        <w:trPr>
          <w:tblHeader/>
        </w:trPr>
        <w:tc>
          <w:tcPr>
            <w:tcW w:w="1192" w:type="dxa"/>
            <w:vAlign w:val="bottom"/>
          </w:tcPr>
          <w:p w14:paraId="1FFB498D" w14:textId="77777777" w:rsidR="00EF2268" w:rsidRPr="00EF2268" w:rsidRDefault="00EF2268" w:rsidP="00EF2268">
            <w:pPr>
              <w:rPr>
                <w:b/>
                <w:sz w:val="18"/>
              </w:rPr>
            </w:pPr>
            <w:r w:rsidRPr="00EF2268">
              <w:rPr>
                <w:b/>
                <w:sz w:val="18"/>
              </w:rPr>
              <w:t xml:space="preserve">Item </w:t>
            </w:r>
          </w:p>
        </w:tc>
        <w:tc>
          <w:tcPr>
            <w:tcW w:w="7797" w:type="dxa"/>
            <w:vAlign w:val="bottom"/>
          </w:tcPr>
          <w:p w14:paraId="064168C4" w14:textId="34B410A4" w:rsidR="00EF2268" w:rsidRPr="00EF2268" w:rsidRDefault="00EF2268" w:rsidP="00EF2268">
            <w:pPr>
              <w:rPr>
                <w:b/>
                <w:sz w:val="18"/>
              </w:rPr>
            </w:pPr>
            <w:r w:rsidRPr="00EF2268">
              <w:rPr>
                <w:b/>
                <w:sz w:val="18"/>
              </w:rPr>
              <w:t xml:space="preserve">Descriptor </w:t>
            </w:r>
          </w:p>
        </w:tc>
      </w:tr>
      <w:tr w:rsidR="00EF2268" w:rsidRPr="00EF2268" w14:paraId="4D30BF21" w14:textId="77777777" w:rsidTr="00EF2268">
        <w:tc>
          <w:tcPr>
            <w:tcW w:w="1192" w:type="dxa"/>
          </w:tcPr>
          <w:p w14:paraId="00EC8198" w14:textId="70086960" w:rsidR="00EF2268" w:rsidRPr="00EF2268" w:rsidRDefault="00EF2268" w:rsidP="00EF2268">
            <w:pPr>
              <w:rPr>
                <w:b/>
                <w:sz w:val="18"/>
              </w:rPr>
            </w:pPr>
            <w:r w:rsidRPr="00EF2268">
              <w:rPr>
                <w:b/>
                <w:sz w:val="18"/>
              </w:rPr>
              <w:t>55220</w:t>
            </w:r>
          </w:p>
        </w:tc>
        <w:tc>
          <w:tcPr>
            <w:tcW w:w="7797" w:type="dxa"/>
          </w:tcPr>
          <w:p w14:paraId="52A560C1" w14:textId="77777777" w:rsidR="00EF2268" w:rsidRPr="00EF2268" w:rsidRDefault="00EF2268" w:rsidP="00EF2268">
            <w:pPr>
              <w:rPr>
                <w:sz w:val="18"/>
              </w:rPr>
            </w:pPr>
            <w:r w:rsidRPr="00EF2268">
              <w:rPr>
                <w:sz w:val="18"/>
              </w:rPr>
              <w:t>DUPLEX SCANNING, unilateral, involving B mode ultrasound imaging and integrated Doppler flow measurements by spectral analysis of arteries or bypass grafts in the lower limb OR of arteries and bypass grafts in the lower limb, below the inguinal ligament, not being a service associated with a service to which an item in Subgroups 1 (with the exception of items 55026 and 55054) or 4 of this Group applies  (R) (NK)</w:t>
            </w:r>
          </w:p>
          <w:p w14:paraId="0C344B13" w14:textId="2D7DA8A7" w:rsidR="00EF2268" w:rsidRPr="00EF2268" w:rsidRDefault="00EF2268" w:rsidP="00EF2268">
            <w:pPr>
              <w:rPr>
                <w:sz w:val="18"/>
              </w:rPr>
            </w:pPr>
            <w:r w:rsidRPr="00EF2268">
              <w:rPr>
                <w:i/>
                <w:sz w:val="18"/>
              </w:rPr>
              <w:t>(See para DIQ of explanatory notes to this Category)</w:t>
            </w:r>
          </w:p>
        </w:tc>
      </w:tr>
      <w:tr w:rsidR="00A05073" w:rsidRPr="00EF2268" w14:paraId="5E30681D" w14:textId="77777777" w:rsidTr="00EF2268">
        <w:tc>
          <w:tcPr>
            <w:tcW w:w="1192" w:type="dxa"/>
          </w:tcPr>
          <w:p w14:paraId="3AA9C428" w14:textId="32A05D25" w:rsidR="00A05073" w:rsidRPr="00EF2268" w:rsidRDefault="00A05073" w:rsidP="00EF2268">
            <w:pPr>
              <w:rPr>
                <w:b/>
                <w:sz w:val="18"/>
              </w:rPr>
            </w:pPr>
            <w:r>
              <w:rPr>
                <w:b/>
                <w:sz w:val="18"/>
              </w:rPr>
              <w:t>55221</w:t>
            </w:r>
          </w:p>
        </w:tc>
        <w:tc>
          <w:tcPr>
            <w:tcW w:w="7797" w:type="dxa"/>
          </w:tcPr>
          <w:p w14:paraId="6D133F2F" w14:textId="77777777" w:rsidR="00A05073" w:rsidRPr="00A05073" w:rsidRDefault="00A05073" w:rsidP="00A05073">
            <w:pPr>
              <w:rPr>
                <w:sz w:val="18"/>
              </w:rPr>
            </w:pPr>
            <w:r w:rsidRPr="00A05073">
              <w:rPr>
                <w:sz w:val="18"/>
              </w:rPr>
              <w:t>DUPLEX SCANNING, unilateral, involving B mode ultrasound imaging and integrated Doppler flow measurements by spectral analysis of veins in the lower limb, below the inguinal ligament, for acute venous thrombosis, not being a service associated with a service to which an item in Subgroups 1 (with the exception of items 55026 and 55054) or 4 of this Group applies (R) (NK)</w:t>
            </w:r>
          </w:p>
          <w:p w14:paraId="1DD70D92" w14:textId="6479E057" w:rsidR="00A05073" w:rsidRPr="00EF2268" w:rsidRDefault="00A05073" w:rsidP="00A05073">
            <w:pPr>
              <w:rPr>
                <w:sz w:val="18"/>
              </w:rPr>
            </w:pPr>
            <w:r w:rsidRPr="00A05073">
              <w:rPr>
                <w:i/>
                <w:sz w:val="18"/>
              </w:rPr>
              <w:t>(See para DIQ of explanatory notes to this Category)</w:t>
            </w:r>
          </w:p>
        </w:tc>
      </w:tr>
      <w:tr w:rsidR="00A05073" w:rsidRPr="00EF2268" w14:paraId="37C1C274" w14:textId="77777777" w:rsidTr="00EF2268">
        <w:tc>
          <w:tcPr>
            <w:tcW w:w="1192" w:type="dxa"/>
          </w:tcPr>
          <w:p w14:paraId="62351260" w14:textId="5F2BBB4B" w:rsidR="00A05073" w:rsidRDefault="00A05073" w:rsidP="00EF2268">
            <w:pPr>
              <w:rPr>
                <w:b/>
                <w:sz w:val="18"/>
              </w:rPr>
            </w:pPr>
            <w:r>
              <w:rPr>
                <w:b/>
                <w:sz w:val="18"/>
              </w:rPr>
              <w:t>55222</w:t>
            </w:r>
          </w:p>
        </w:tc>
        <w:tc>
          <w:tcPr>
            <w:tcW w:w="7797" w:type="dxa"/>
          </w:tcPr>
          <w:p w14:paraId="778BB6F8" w14:textId="77777777" w:rsidR="00A05073" w:rsidRPr="00A05073" w:rsidRDefault="00A05073" w:rsidP="00A05073">
            <w:pPr>
              <w:rPr>
                <w:sz w:val="18"/>
              </w:rPr>
            </w:pPr>
            <w:r w:rsidRPr="00A05073">
              <w:rPr>
                <w:sz w:val="18"/>
              </w:rPr>
              <w:t>DUPLEX SCANNING, unilateral, involving B mode ultrasound imaging and integrated Doppler flow measurements by spectral analysis of veins in the lower limb, below the inguinal ligament, for chronic venous disease, not being a service associated with a service to which an item in Subgroups 1 (with the exception of items 55026 and 55054) or 4 of this Group applies (R) (NK)</w:t>
            </w:r>
          </w:p>
          <w:p w14:paraId="290ECC56" w14:textId="2BBD24A8" w:rsidR="00A05073" w:rsidRPr="00A05073" w:rsidRDefault="00A05073" w:rsidP="00A05073">
            <w:pPr>
              <w:rPr>
                <w:sz w:val="18"/>
              </w:rPr>
            </w:pPr>
            <w:r w:rsidRPr="00A05073">
              <w:rPr>
                <w:i/>
                <w:sz w:val="18"/>
              </w:rPr>
              <w:t>(See para DIQ of explanatory notes to this Category)</w:t>
            </w:r>
          </w:p>
        </w:tc>
      </w:tr>
      <w:tr w:rsidR="00EF2268" w:rsidRPr="00EF2268" w14:paraId="67F3418F" w14:textId="77777777" w:rsidTr="00EF2268">
        <w:tc>
          <w:tcPr>
            <w:tcW w:w="1192" w:type="dxa"/>
          </w:tcPr>
          <w:p w14:paraId="62212A8E" w14:textId="57D468D1" w:rsidR="00EF2268" w:rsidRPr="00EF2268" w:rsidRDefault="00EF2268" w:rsidP="00EF2268">
            <w:pPr>
              <w:rPr>
                <w:b/>
                <w:sz w:val="18"/>
              </w:rPr>
            </w:pPr>
            <w:r w:rsidRPr="00EF2268">
              <w:rPr>
                <w:b/>
                <w:sz w:val="18"/>
              </w:rPr>
              <w:t>55223</w:t>
            </w:r>
          </w:p>
        </w:tc>
        <w:tc>
          <w:tcPr>
            <w:tcW w:w="7797" w:type="dxa"/>
          </w:tcPr>
          <w:p w14:paraId="2A9D82A3" w14:textId="77777777" w:rsidR="00EF2268" w:rsidRPr="00EF2268" w:rsidRDefault="00EF2268" w:rsidP="00EF2268">
            <w:pPr>
              <w:rPr>
                <w:sz w:val="18"/>
              </w:rPr>
            </w:pPr>
            <w:r w:rsidRPr="00EF2268">
              <w:rPr>
                <w:sz w:val="18"/>
              </w:rPr>
              <w:t>DUPLEX SCANNING, unilateral, involving B mode ultrasound imaging and integrated Doppler flow measurements by spectral analysis of arteries or bypass grafts in the upper limb OR of arteries and bypass grafts in the upper limb, not being a service associated with a service to which an item in Subgroups 1 (with the exception of items 55026 and 55054) or 4 of this Group applies (R) (NK)</w:t>
            </w:r>
          </w:p>
          <w:p w14:paraId="2D6A740F" w14:textId="77A967A6" w:rsidR="00EF2268" w:rsidRPr="00EF2268" w:rsidRDefault="00EF2268" w:rsidP="00EF2268">
            <w:pPr>
              <w:rPr>
                <w:sz w:val="18"/>
              </w:rPr>
            </w:pPr>
            <w:r w:rsidRPr="00EF2268">
              <w:rPr>
                <w:i/>
                <w:sz w:val="18"/>
              </w:rPr>
              <w:t>(See para DIQ of explanatory notes to this Category)</w:t>
            </w:r>
          </w:p>
        </w:tc>
      </w:tr>
      <w:tr w:rsidR="00EF2268" w:rsidRPr="00EF2268" w14:paraId="1DCB199B" w14:textId="77777777" w:rsidTr="00EF2268">
        <w:tc>
          <w:tcPr>
            <w:tcW w:w="1192" w:type="dxa"/>
          </w:tcPr>
          <w:p w14:paraId="7A26EA2E" w14:textId="0AC6065A" w:rsidR="00EF2268" w:rsidRPr="00EF2268" w:rsidRDefault="00EF2268" w:rsidP="00EF2268">
            <w:pPr>
              <w:rPr>
                <w:b/>
                <w:sz w:val="18"/>
              </w:rPr>
            </w:pPr>
            <w:r w:rsidRPr="00EF2268">
              <w:rPr>
                <w:b/>
                <w:sz w:val="18"/>
              </w:rPr>
              <w:t>55224</w:t>
            </w:r>
          </w:p>
        </w:tc>
        <w:tc>
          <w:tcPr>
            <w:tcW w:w="7797" w:type="dxa"/>
          </w:tcPr>
          <w:p w14:paraId="111F9EF4" w14:textId="77777777" w:rsidR="00EF2268" w:rsidRPr="00EF2268" w:rsidRDefault="00EF2268" w:rsidP="00EF2268">
            <w:pPr>
              <w:rPr>
                <w:sz w:val="18"/>
              </w:rPr>
            </w:pPr>
            <w:r w:rsidRPr="00EF2268">
              <w:rPr>
                <w:sz w:val="18"/>
              </w:rPr>
              <w:t>DUPLEX SCANNING, unilateral, involving B mode ultrasound imaging and integrated Doppler flow measurements by spectral analysis of veins in the upper limb, not being a service associated with a service to which an item in Subgroups 1 (with the exception of items 55026 and 55054) or 4 of this Group applies (R) (NK)</w:t>
            </w:r>
          </w:p>
          <w:p w14:paraId="41F2E1BE" w14:textId="0521C432" w:rsidR="00EF2268" w:rsidRPr="00EF2268" w:rsidRDefault="00EF2268" w:rsidP="00EF2268">
            <w:pPr>
              <w:rPr>
                <w:sz w:val="18"/>
              </w:rPr>
            </w:pPr>
            <w:r w:rsidRPr="00EF2268">
              <w:rPr>
                <w:i/>
                <w:sz w:val="18"/>
              </w:rPr>
              <w:t>(See para DIQ of explanatory notes to this Category)</w:t>
            </w:r>
          </w:p>
        </w:tc>
      </w:tr>
      <w:tr w:rsidR="00EF2268" w:rsidRPr="00EF2268" w14:paraId="2B70ED47" w14:textId="77777777" w:rsidTr="00EF2268">
        <w:tc>
          <w:tcPr>
            <w:tcW w:w="1192" w:type="dxa"/>
          </w:tcPr>
          <w:p w14:paraId="13A21226" w14:textId="69EE57CD" w:rsidR="00EF2268" w:rsidRPr="00EF2268" w:rsidRDefault="00EF2268" w:rsidP="00EF2268">
            <w:pPr>
              <w:rPr>
                <w:b/>
                <w:sz w:val="18"/>
              </w:rPr>
            </w:pPr>
            <w:r w:rsidRPr="00EF2268">
              <w:rPr>
                <w:b/>
                <w:sz w:val="18"/>
              </w:rPr>
              <w:t>55226</w:t>
            </w:r>
          </w:p>
        </w:tc>
        <w:tc>
          <w:tcPr>
            <w:tcW w:w="7797" w:type="dxa"/>
          </w:tcPr>
          <w:p w14:paraId="236C8B22" w14:textId="77777777" w:rsidR="00EF2268" w:rsidRPr="00EF2268" w:rsidRDefault="00EF2268" w:rsidP="00EF2268">
            <w:pPr>
              <w:rPr>
                <w:sz w:val="18"/>
              </w:rPr>
            </w:pPr>
            <w:r w:rsidRPr="00EF2268">
              <w:rPr>
                <w:sz w:val="18"/>
              </w:rPr>
              <w:t xml:space="preserve">DUPLEX SCANNING, bilateral, involving B mode ultrasound imaging and integrated Doppler flow measurements by spectral analysis of extra-cranial bilateral carotid and vertebral vessels, with or without subclavian and innominate vessels, with or without </w:t>
            </w:r>
            <w:proofErr w:type="spellStart"/>
            <w:r w:rsidRPr="00EF2268">
              <w:rPr>
                <w:sz w:val="18"/>
              </w:rPr>
              <w:t>oculoplethysmography</w:t>
            </w:r>
            <w:proofErr w:type="spellEnd"/>
            <w:r w:rsidRPr="00EF2268">
              <w:rPr>
                <w:sz w:val="18"/>
              </w:rPr>
              <w:t xml:space="preserve"> or peri-orbital Doppler examination, not being a service associated with a service to which an item in Subgroups 1 (with the exception of items 55026 and 55054) or 4 of this Groups applies (R) (NK)</w:t>
            </w:r>
          </w:p>
          <w:p w14:paraId="4B9EF02E" w14:textId="16225804" w:rsidR="00EF2268" w:rsidRPr="00EF2268" w:rsidRDefault="00EF2268" w:rsidP="00EF2268">
            <w:pPr>
              <w:rPr>
                <w:sz w:val="18"/>
              </w:rPr>
            </w:pPr>
            <w:r w:rsidRPr="00EF2268">
              <w:rPr>
                <w:i/>
                <w:sz w:val="18"/>
              </w:rPr>
              <w:t>(See para DIQ of explanatory notes to this Category)</w:t>
            </w:r>
          </w:p>
        </w:tc>
      </w:tr>
      <w:tr w:rsidR="00EF2268" w:rsidRPr="00EF2268" w14:paraId="6BE5B8E8" w14:textId="77777777" w:rsidTr="00EF2268">
        <w:tc>
          <w:tcPr>
            <w:tcW w:w="1192" w:type="dxa"/>
          </w:tcPr>
          <w:p w14:paraId="264B8B18" w14:textId="77AB3AA5" w:rsidR="00EF2268" w:rsidRPr="00EF2268" w:rsidRDefault="00EF2268" w:rsidP="00EF2268">
            <w:pPr>
              <w:rPr>
                <w:b/>
                <w:sz w:val="18"/>
              </w:rPr>
            </w:pPr>
            <w:r w:rsidRPr="00EF2268">
              <w:rPr>
                <w:b/>
                <w:sz w:val="18"/>
              </w:rPr>
              <w:t>55227</w:t>
            </w:r>
          </w:p>
        </w:tc>
        <w:tc>
          <w:tcPr>
            <w:tcW w:w="7797" w:type="dxa"/>
          </w:tcPr>
          <w:p w14:paraId="26E50928" w14:textId="77777777" w:rsidR="00EF2268" w:rsidRPr="00EF2268" w:rsidRDefault="00EF2268" w:rsidP="00EF2268">
            <w:pPr>
              <w:rPr>
                <w:sz w:val="18"/>
              </w:rPr>
            </w:pPr>
            <w:r w:rsidRPr="00EF2268">
              <w:rPr>
                <w:sz w:val="18"/>
              </w:rPr>
              <w:t xml:space="preserve">DUPLEX SCANNING involving B mode ultrasound imaging and integrated Doppler flow measurements by spectral analysis of intra-abdominal, aorta and iliac arteries or inferior vena cava and iliac veins OR of </w:t>
            </w:r>
            <w:r w:rsidRPr="00EF2268">
              <w:rPr>
                <w:sz w:val="18"/>
              </w:rPr>
              <w:lastRenderedPageBreak/>
              <w:t>intra-abdominal, aorta and iliac arteries and inferior vena cava and iliac veins, excluding pregnancy related studies, not being a service associated with a service to which an item in Subgroups 1 (with the exception of items 55026 and 55054) or 4 of this Group applies (R) (NK)</w:t>
            </w:r>
          </w:p>
          <w:p w14:paraId="3B23EA71" w14:textId="3B9D0BE0" w:rsidR="00EF2268" w:rsidRPr="00EF2268" w:rsidRDefault="00EF2268" w:rsidP="00EF2268">
            <w:pPr>
              <w:rPr>
                <w:sz w:val="18"/>
              </w:rPr>
            </w:pPr>
            <w:r w:rsidRPr="00EF2268">
              <w:rPr>
                <w:i/>
                <w:sz w:val="18"/>
              </w:rPr>
              <w:t>(See para DIQ of explanatory notes to this Category)</w:t>
            </w:r>
          </w:p>
        </w:tc>
      </w:tr>
      <w:tr w:rsidR="00E54409" w:rsidRPr="00EF2268" w14:paraId="1F1CF372" w14:textId="77777777" w:rsidTr="00827413">
        <w:tc>
          <w:tcPr>
            <w:tcW w:w="1192" w:type="dxa"/>
            <w:vAlign w:val="center"/>
          </w:tcPr>
          <w:p w14:paraId="2346C648" w14:textId="21302399" w:rsidR="00E54409" w:rsidRPr="00EF2268" w:rsidRDefault="00E54409" w:rsidP="00E54409">
            <w:pPr>
              <w:rPr>
                <w:b/>
                <w:sz w:val="18"/>
              </w:rPr>
            </w:pPr>
            <w:r w:rsidRPr="00E54409">
              <w:rPr>
                <w:rFonts w:cs="Arial"/>
                <w:b/>
                <w:sz w:val="18"/>
                <w:szCs w:val="18"/>
              </w:rPr>
              <w:lastRenderedPageBreak/>
              <w:t>55228</w:t>
            </w:r>
          </w:p>
        </w:tc>
        <w:tc>
          <w:tcPr>
            <w:tcW w:w="7797" w:type="dxa"/>
            <w:vAlign w:val="center"/>
          </w:tcPr>
          <w:p w14:paraId="4ED2726F" w14:textId="77777777" w:rsidR="00E54409" w:rsidRPr="00AC79E2" w:rsidRDefault="00E54409" w:rsidP="00E54409">
            <w:pPr>
              <w:jc w:val="both"/>
              <w:rPr>
                <w:rFonts w:cs="Arial"/>
                <w:sz w:val="18"/>
                <w:szCs w:val="18"/>
              </w:rPr>
            </w:pPr>
            <w:r w:rsidRPr="00AC79E2">
              <w:rPr>
                <w:rFonts w:cs="Arial"/>
                <w:sz w:val="18"/>
                <w:szCs w:val="18"/>
              </w:rPr>
              <w:t>DUPLEX SCANNING involving B mode ultrasound imaging and integrated Doppler flow measurements by spectral analysis of renal or visceral vessels OR of renal and visceral vessels, including aorta, inferior vena cava and iliac vessels as required excluding pregnancy related studies, not being a service associated with a service to which an item in Subgroups 1 (with the exception of items 55026 and 55054) or 4 of this Group applies (R) (NK)</w:t>
            </w:r>
          </w:p>
          <w:p w14:paraId="6D318089" w14:textId="7A7CDB98" w:rsidR="00E54409" w:rsidRPr="00EF2268" w:rsidRDefault="00E54409" w:rsidP="00E54409">
            <w:pPr>
              <w:rPr>
                <w:sz w:val="18"/>
              </w:rPr>
            </w:pPr>
            <w:r w:rsidRPr="00AC79E2">
              <w:rPr>
                <w:rFonts w:cs="Arial"/>
                <w:i/>
                <w:sz w:val="18"/>
                <w:szCs w:val="18"/>
              </w:rPr>
              <w:t>(See para DIQ of explanatory notes to this Category)</w:t>
            </w:r>
          </w:p>
        </w:tc>
      </w:tr>
      <w:tr w:rsidR="00E54409" w:rsidRPr="00EF2268" w14:paraId="26BE9559" w14:textId="77777777" w:rsidTr="00827413">
        <w:tc>
          <w:tcPr>
            <w:tcW w:w="1192" w:type="dxa"/>
            <w:vAlign w:val="center"/>
          </w:tcPr>
          <w:p w14:paraId="5C463E37" w14:textId="23015D2B" w:rsidR="00E54409" w:rsidRPr="00E54409" w:rsidRDefault="00E54409" w:rsidP="00E54409">
            <w:pPr>
              <w:rPr>
                <w:b/>
                <w:sz w:val="18"/>
              </w:rPr>
            </w:pPr>
            <w:r w:rsidRPr="00E54409">
              <w:rPr>
                <w:rFonts w:cs="Arial"/>
                <w:b/>
                <w:sz w:val="18"/>
                <w:szCs w:val="18"/>
              </w:rPr>
              <w:t>55229</w:t>
            </w:r>
          </w:p>
        </w:tc>
        <w:tc>
          <w:tcPr>
            <w:tcW w:w="7797" w:type="dxa"/>
            <w:vAlign w:val="center"/>
          </w:tcPr>
          <w:p w14:paraId="065FF358" w14:textId="77777777" w:rsidR="00E54409" w:rsidRPr="00AC79E2" w:rsidRDefault="00E54409" w:rsidP="00E54409">
            <w:pPr>
              <w:jc w:val="both"/>
              <w:rPr>
                <w:rFonts w:cs="Arial"/>
                <w:sz w:val="18"/>
                <w:szCs w:val="18"/>
              </w:rPr>
            </w:pPr>
            <w:r w:rsidRPr="00AC79E2">
              <w:rPr>
                <w:rFonts w:cs="Arial"/>
                <w:sz w:val="18"/>
                <w:szCs w:val="18"/>
              </w:rPr>
              <w:t>DUPLEX SCANNING involving B mode ultrasound imaging and integrated Doppler flow measurements by spectral analysis of intra-cranial vessels, not being a service associated with a service to which an item in Subgroups 1 (with the exception of items 55026 and 55054) or 4 of this Group applies (R) (NK)</w:t>
            </w:r>
          </w:p>
          <w:p w14:paraId="0DCDAEFB" w14:textId="2A073DB4" w:rsidR="00E54409" w:rsidRPr="00EF2268" w:rsidRDefault="00E54409" w:rsidP="00E54409">
            <w:pPr>
              <w:rPr>
                <w:sz w:val="18"/>
              </w:rPr>
            </w:pPr>
            <w:r w:rsidRPr="00AC79E2">
              <w:rPr>
                <w:rFonts w:cs="Arial"/>
                <w:i/>
                <w:sz w:val="18"/>
                <w:szCs w:val="18"/>
              </w:rPr>
              <w:t>(See para DIQ of explanatory notes to this Category)</w:t>
            </w:r>
          </w:p>
        </w:tc>
      </w:tr>
      <w:tr w:rsidR="00E54409" w:rsidRPr="00EF2268" w14:paraId="73125F03" w14:textId="77777777" w:rsidTr="00827413">
        <w:tc>
          <w:tcPr>
            <w:tcW w:w="1192" w:type="dxa"/>
            <w:vAlign w:val="center"/>
          </w:tcPr>
          <w:p w14:paraId="60D24CB7" w14:textId="17EA9292" w:rsidR="00E54409" w:rsidRPr="00E54409" w:rsidRDefault="00E54409" w:rsidP="00E54409">
            <w:pPr>
              <w:rPr>
                <w:b/>
                <w:sz w:val="18"/>
              </w:rPr>
            </w:pPr>
            <w:r w:rsidRPr="00E54409">
              <w:rPr>
                <w:rFonts w:cs="Arial"/>
                <w:b/>
                <w:sz w:val="18"/>
                <w:szCs w:val="18"/>
              </w:rPr>
              <w:t>55230</w:t>
            </w:r>
          </w:p>
        </w:tc>
        <w:tc>
          <w:tcPr>
            <w:tcW w:w="7797" w:type="dxa"/>
            <w:vAlign w:val="center"/>
          </w:tcPr>
          <w:p w14:paraId="1D05A616" w14:textId="77777777" w:rsidR="00E54409" w:rsidRPr="00AC79E2" w:rsidRDefault="00E54409" w:rsidP="00E54409">
            <w:pPr>
              <w:jc w:val="both"/>
              <w:rPr>
                <w:rFonts w:cs="Arial"/>
                <w:sz w:val="18"/>
                <w:szCs w:val="18"/>
              </w:rPr>
            </w:pPr>
            <w:r w:rsidRPr="00AC79E2">
              <w:rPr>
                <w:rFonts w:cs="Arial"/>
                <w:sz w:val="18"/>
                <w:szCs w:val="18"/>
              </w:rPr>
              <w:t xml:space="preserve">DUPLEX SCANNING involving B mode ultrasound imaging and integrated Doppler flow measurements by spectral analysis of </w:t>
            </w:r>
            <w:proofErr w:type="spellStart"/>
            <w:r w:rsidRPr="00AC79E2">
              <w:rPr>
                <w:rFonts w:cs="Arial"/>
                <w:sz w:val="18"/>
                <w:szCs w:val="18"/>
              </w:rPr>
              <w:t>cavernosal</w:t>
            </w:r>
            <w:proofErr w:type="spellEnd"/>
            <w:r w:rsidRPr="00AC79E2">
              <w:rPr>
                <w:rFonts w:cs="Arial"/>
                <w:sz w:val="18"/>
                <w:szCs w:val="18"/>
              </w:rPr>
              <w:t xml:space="preserve"> artery of the penis following </w:t>
            </w:r>
            <w:proofErr w:type="spellStart"/>
            <w:r w:rsidRPr="00AC79E2">
              <w:rPr>
                <w:rFonts w:cs="Arial"/>
                <w:sz w:val="18"/>
                <w:szCs w:val="18"/>
              </w:rPr>
              <w:t>intracavernosal</w:t>
            </w:r>
            <w:proofErr w:type="spellEnd"/>
            <w:r w:rsidRPr="00AC79E2">
              <w:rPr>
                <w:rFonts w:cs="Arial"/>
                <w:sz w:val="18"/>
                <w:szCs w:val="18"/>
              </w:rPr>
              <w:t xml:space="preserve"> administration of a vasoactive agent, performed during the period of pharmacological activity of the injected agent, to confirm a diagnosis of vascular aetiology for impotence, where a specialist in diagnostic radiology, nuclear medicine, urology, general surgery (sub-specialising in vascular surgery) or a consultant physician in nuclear medicine attends the patient in person at the practice location where the service is rendered, immediately prior to or for a period during the rendering of the service, and that specialist or consultant physician interprets the results and prepares a report, not being a service associated with a service to which an item in Subgroups 1 (with the exception of items 55026 and 55054) or 4 of this Group applies (R) (NK)</w:t>
            </w:r>
          </w:p>
          <w:p w14:paraId="7ED601DC" w14:textId="7CC1528F" w:rsidR="00E54409" w:rsidRPr="00EF2268" w:rsidRDefault="00E54409" w:rsidP="00E54409">
            <w:pPr>
              <w:rPr>
                <w:sz w:val="18"/>
              </w:rPr>
            </w:pPr>
            <w:r w:rsidRPr="00AC79E2">
              <w:rPr>
                <w:rFonts w:cs="Arial"/>
                <w:i/>
                <w:sz w:val="18"/>
                <w:szCs w:val="18"/>
              </w:rPr>
              <w:t>(See para DIQ of explanatory notes to this Category)</w:t>
            </w:r>
          </w:p>
        </w:tc>
      </w:tr>
      <w:tr w:rsidR="00E54409" w:rsidRPr="00EF2268" w14:paraId="363FEADA" w14:textId="77777777" w:rsidTr="00827413">
        <w:tc>
          <w:tcPr>
            <w:tcW w:w="1192" w:type="dxa"/>
            <w:vAlign w:val="center"/>
          </w:tcPr>
          <w:p w14:paraId="330C89C1" w14:textId="1F893D79" w:rsidR="00E54409" w:rsidRPr="00E54409" w:rsidRDefault="00E54409" w:rsidP="00E54409">
            <w:pPr>
              <w:rPr>
                <w:b/>
                <w:sz w:val="18"/>
              </w:rPr>
            </w:pPr>
            <w:r w:rsidRPr="00E54409">
              <w:rPr>
                <w:rFonts w:cs="Arial"/>
                <w:b/>
                <w:sz w:val="18"/>
                <w:szCs w:val="18"/>
              </w:rPr>
              <w:t>55232</w:t>
            </w:r>
          </w:p>
        </w:tc>
        <w:tc>
          <w:tcPr>
            <w:tcW w:w="7797" w:type="dxa"/>
            <w:vAlign w:val="center"/>
          </w:tcPr>
          <w:p w14:paraId="6F0818A8" w14:textId="77777777" w:rsidR="00E54409" w:rsidRPr="00AC79E2" w:rsidRDefault="00E54409" w:rsidP="00E54409">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jc w:val="both"/>
              <w:rPr>
                <w:rFonts w:cs="Arial"/>
                <w:sz w:val="18"/>
                <w:szCs w:val="18"/>
              </w:rPr>
            </w:pPr>
            <w:r w:rsidRPr="00AC79E2">
              <w:rPr>
                <w:rFonts w:cs="Arial"/>
                <w:sz w:val="18"/>
                <w:szCs w:val="18"/>
              </w:rPr>
              <w:t xml:space="preserve">DUPLEX SCANNING involving B mode ultrasound imaging and integrated Doppler flow measurements by spectral analysis of </w:t>
            </w:r>
            <w:proofErr w:type="spellStart"/>
            <w:r w:rsidRPr="00AC79E2">
              <w:rPr>
                <w:rFonts w:cs="Arial"/>
                <w:sz w:val="18"/>
                <w:szCs w:val="18"/>
              </w:rPr>
              <w:t>cavernosal</w:t>
            </w:r>
            <w:proofErr w:type="spellEnd"/>
            <w:r w:rsidRPr="00AC79E2">
              <w:rPr>
                <w:rFonts w:cs="Arial"/>
                <w:sz w:val="18"/>
                <w:szCs w:val="18"/>
              </w:rPr>
              <w:t xml:space="preserve"> tissue of the penis to confirm a diagnosis and, where indicated, assess the progress and management of:</w:t>
            </w:r>
          </w:p>
          <w:p w14:paraId="24A6CCBC" w14:textId="77777777" w:rsidR="00E54409" w:rsidRPr="00AC79E2" w:rsidRDefault="00E54409" w:rsidP="00E54409">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jc w:val="both"/>
              <w:rPr>
                <w:rFonts w:cs="Arial"/>
                <w:sz w:val="18"/>
                <w:szCs w:val="18"/>
              </w:rPr>
            </w:pPr>
            <w:r w:rsidRPr="00AC79E2">
              <w:rPr>
                <w:rFonts w:cs="Arial"/>
                <w:sz w:val="18"/>
                <w:szCs w:val="18"/>
              </w:rPr>
              <w:t>(a) priapism; or</w:t>
            </w:r>
          </w:p>
          <w:p w14:paraId="2E090AC2" w14:textId="77777777" w:rsidR="00E54409" w:rsidRPr="00AC79E2" w:rsidRDefault="00E54409" w:rsidP="00E54409">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jc w:val="both"/>
              <w:rPr>
                <w:rFonts w:cs="Arial"/>
                <w:sz w:val="18"/>
                <w:szCs w:val="18"/>
              </w:rPr>
            </w:pPr>
            <w:r w:rsidRPr="00AC79E2">
              <w:rPr>
                <w:rFonts w:cs="Arial"/>
                <w:sz w:val="18"/>
                <w:szCs w:val="18"/>
              </w:rPr>
              <w:t>(b) fibrosis of any type; or</w:t>
            </w:r>
          </w:p>
          <w:p w14:paraId="2BEE92BD" w14:textId="77777777" w:rsidR="00E54409" w:rsidRPr="00AC79E2" w:rsidRDefault="00E54409" w:rsidP="00E54409">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jc w:val="both"/>
              <w:rPr>
                <w:rFonts w:cs="Arial"/>
                <w:sz w:val="18"/>
                <w:szCs w:val="18"/>
              </w:rPr>
            </w:pPr>
            <w:r w:rsidRPr="00AC79E2">
              <w:rPr>
                <w:rFonts w:cs="Arial"/>
                <w:sz w:val="18"/>
                <w:szCs w:val="18"/>
              </w:rPr>
              <w:t>(c) fracture of the tunica; or</w:t>
            </w:r>
          </w:p>
          <w:p w14:paraId="7A802377" w14:textId="77777777" w:rsidR="00E54409" w:rsidRPr="00AC79E2" w:rsidRDefault="00E54409" w:rsidP="00E54409">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jc w:val="both"/>
              <w:rPr>
                <w:rFonts w:cs="Arial"/>
                <w:sz w:val="18"/>
                <w:szCs w:val="18"/>
              </w:rPr>
            </w:pPr>
            <w:r w:rsidRPr="00AC79E2">
              <w:rPr>
                <w:rFonts w:cs="Arial"/>
                <w:sz w:val="18"/>
                <w:szCs w:val="18"/>
              </w:rPr>
              <w:t xml:space="preserve">(d) arteriovenous </w:t>
            </w:r>
            <w:proofErr w:type="gramStart"/>
            <w:r w:rsidRPr="00AC79E2">
              <w:rPr>
                <w:rFonts w:cs="Arial"/>
                <w:sz w:val="18"/>
                <w:szCs w:val="18"/>
              </w:rPr>
              <w:t>malformations;</w:t>
            </w:r>
            <w:proofErr w:type="gramEnd"/>
          </w:p>
          <w:p w14:paraId="20DD7F06" w14:textId="77777777" w:rsidR="00E54409" w:rsidRPr="00AC79E2" w:rsidRDefault="00E54409" w:rsidP="00E54409">
            <w:pPr>
              <w:jc w:val="both"/>
              <w:rPr>
                <w:rFonts w:cs="Arial"/>
                <w:sz w:val="18"/>
                <w:szCs w:val="18"/>
              </w:rPr>
            </w:pPr>
            <w:r w:rsidRPr="00AC79E2">
              <w:rPr>
                <w:rFonts w:cs="Arial"/>
                <w:sz w:val="18"/>
                <w:szCs w:val="18"/>
              </w:rPr>
              <w:t>where a specialist in diagnostic radiology, nuclear medicine, urology, general surgery (sub-specialising in vascular surgery) or a consultant physician in nuclear medicine attends the patient in person at the practice location where the service is rendered, immediately prior to or for a period during the rendering of the service, and that specialist or consultant physician interprets the results and prepares a report, not being a service associated with a service to which an item in Subgroups 1 (with the exception of items 55026 and 55054) or 4 of this Groups applies (R) (NK)</w:t>
            </w:r>
          </w:p>
          <w:p w14:paraId="030D74A1" w14:textId="6C5EC725" w:rsidR="00E54409" w:rsidRPr="00EF2268" w:rsidRDefault="00E54409" w:rsidP="00E54409">
            <w:pPr>
              <w:rPr>
                <w:sz w:val="18"/>
              </w:rPr>
            </w:pPr>
            <w:r w:rsidRPr="00AC79E2">
              <w:rPr>
                <w:rFonts w:cs="Arial"/>
                <w:i/>
                <w:sz w:val="18"/>
                <w:szCs w:val="18"/>
              </w:rPr>
              <w:lastRenderedPageBreak/>
              <w:t>(See para DIQ of explanatory notes to this Category)</w:t>
            </w:r>
          </w:p>
        </w:tc>
      </w:tr>
      <w:tr w:rsidR="00E54409" w:rsidRPr="00EF2268" w14:paraId="482C5A4B" w14:textId="77777777" w:rsidTr="00827413">
        <w:tc>
          <w:tcPr>
            <w:tcW w:w="1192" w:type="dxa"/>
            <w:vAlign w:val="center"/>
          </w:tcPr>
          <w:p w14:paraId="1602B03D" w14:textId="0B0AB89A" w:rsidR="00E54409" w:rsidRPr="00E54409" w:rsidRDefault="00E54409" w:rsidP="00E54409">
            <w:pPr>
              <w:rPr>
                <w:b/>
                <w:sz w:val="18"/>
              </w:rPr>
            </w:pPr>
            <w:r w:rsidRPr="00E54409">
              <w:rPr>
                <w:rFonts w:cs="Arial"/>
                <w:b/>
                <w:sz w:val="18"/>
                <w:szCs w:val="18"/>
              </w:rPr>
              <w:lastRenderedPageBreak/>
              <w:t>55233</w:t>
            </w:r>
          </w:p>
        </w:tc>
        <w:tc>
          <w:tcPr>
            <w:tcW w:w="7797" w:type="dxa"/>
            <w:vAlign w:val="center"/>
          </w:tcPr>
          <w:p w14:paraId="35589D79" w14:textId="77777777" w:rsidR="00E54409" w:rsidRPr="00AC79E2" w:rsidRDefault="00E54409" w:rsidP="00E54409">
            <w:pPr>
              <w:jc w:val="both"/>
              <w:rPr>
                <w:rFonts w:cs="Arial"/>
                <w:sz w:val="18"/>
                <w:szCs w:val="18"/>
              </w:rPr>
            </w:pPr>
            <w:r w:rsidRPr="00AC79E2">
              <w:rPr>
                <w:rFonts w:cs="Arial"/>
                <w:sz w:val="18"/>
                <w:szCs w:val="18"/>
              </w:rPr>
              <w:t>DUPLEX SCANNING, unilateral, involving B mode ultrasound imaging and integrated Doppler flow measurements by spectral analysis of surgically created arteriovenous fistula or surgically created arteriovenous access graft in the upper or lower limb, not being a service associated with a service to which an item in Subgroups 1 (with the exception of items 55026 and 55054) or 4 of this Group applies (R) (NK)</w:t>
            </w:r>
          </w:p>
          <w:p w14:paraId="002FE337" w14:textId="239E0745" w:rsidR="00E54409" w:rsidRPr="00EF2268" w:rsidRDefault="00E54409" w:rsidP="00E54409">
            <w:pPr>
              <w:rPr>
                <w:sz w:val="18"/>
              </w:rPr>
            </w:pPr>
            <w:r w:rsidRPr="00AC79E2">
              <w:rPr>
                <w:rFonts w:cs="Arial"/>
                <w:i/>
                <w:sz w:val="18"/>
                <w:szCs w:val="18"/>
              </w:rPr>
              <w:t>(See para DIQ of explanatory notes to this Category)</w:t>
            </w:r>
          </w:p>
        </w:tc>
      </w:tr>
      <w:tr w:rsidR="00E54409" w:rsidRPr="00EF2268" w14:paraId="057156F0" w14:textId="77777777" w:rsidTr="00827413">
        <w:tc>
          <w:tcPr>
            <w:tcW w:w="1192" w:type="dxa"/>
            <w:vAlign w:val="center"/>
          </w:tcPr>
          <w:p w14:paraId="17E65EBC" w14:textId="0089B385" w:rsidR="00E54409" w:rsidRPr="00E54409" w:rsidRDefault="00E54409" w:rsidP="00E54409">
            <w:pPr>
              <w:rPr>
                <w:b/>
                <w:sz w:val="18"/>
              </w:rPr>
            </w:pPr>
            <w:r w:rsidRPr="00E54409">
              <w:rPr>
                <w:rFonts w:cs="Arial"/>
                <w:b/>
                <w:sz w:val="18"/>
                <w:szCs w:val="18"/>
              </w:rPr>
              <w:t>55235</w:t>
            </w:r>
          </w:p>
        </w:tc>
        <w:tc>
          <w:tcPr>
            <w:tcW w:w="7797" w:type="dxa"/>
            <w:vAlign w:val="center"/>
          </w:tcPr>
          <w:p w14:paraId="3DB89370" w14:textId="77777777" w:rsidR="00E54409" w:rsidRPr="00AC79E2" w:rsidRDefault="00E54409" w:rsidP="00E54409">
            <w:pPr>
              <w:jc w:val="both"/>
              <w:rPr>
                <w:rFonts w:cs="Arial"/>
                <w:sz w:val="18"/>
                <w:szCs w:val="18"/>
              </w:rPr>
            </w:pPr>
            <w:r w:rsidRPr="00AC79E2">
              <w:rPr>
                <w:rFonts w:cs="Arial"/>
                <w:sz w:val="18"/>
                <w:szCs w:val="18"/>
              </w:rPr>
              <w:t>DUPLEX SCANNING, involving B mode ultrasound imaging and integrated Doppler flow measurements by spectral analysis of arteries or veins OR arteries and veins, for mapping of bypass conduit prior to vascular surgery, not being a service associated with a service to which an item in Subgroups 1 (with the exception of items 55026 and 55054), 3 or 4 of this Group applies - including any associated skin marking (R) (NK)</w:t>
            </w:r>
          </w:p>
          <w:p w14:paraId="7BCD137B" w14:textId="6CFD0A46" w:rsidR="00E54409" w:rsidRPr="00EF2268" w:rsidRDefault="00E54409" w:rsidP="00E54409">
            <w:pPr>
              <w:rPr>
                <w:sz w:val="18"/>
              </w:rPr>
            </w:pPr>
            <w:r w:rsidRPr="00AC79E2">
              <w:rPr>
                <w:rFonts w:cs="Arial"/>
                <w:i/>
                <w:sz w:val="18"/>
                <w:szCs w:val="18"/>
              </w:rPr>
              <w:t>(See para DIQ of explanatory notes to this Category)</w:t>
            </w:r>
          </w:p>
        </w:tc>
      </w:tr>
      <w:tr w:rsidR="00E54409" w:rsidRPr="00EF2268" w14:paraId="21DDAC38" w14:textId="77777777" w:rsidTr="00827413">
        <w:tc>
          <w:tcPr>
            <w:tcW w:w="1192" w:type="dxa"/>
            <w:vAlign w:val="center"/>
          </w:tcPr>
          <w:p w14:paraId="07090DC4" w14:textId="42801BE3" w:rsidR="00E54409" w:rsidRPr="00E54409" w:rsidRDefault="00E54409" w:rsidP="00E54409">
            <w:pPr>
              <w:rPr>
                <w:b/>
                <w:sz w:val="18"/>
              </w:rPr>
            </w:pPr>
            <w:r w:rsidRPr="00E54409">
              <w:rPr>
                <w:rFonts w:cs="Arial"/>
                <w:b/>
                <w:sz w:val="18"/>
                <w:szCs w:val="18"/>
              </w:rPr>
              <w:t>55236</w:t>
            </w:r>
          </w:p>
        </w:tc>
        <w:tc>
          <w:tcPr>
            <w:tcW w:w="7797" w:type="dxa"/>
            <w:vAlign w:val="center"/>
          </w:tcPr>
          <w:p w14:paraId="47BAA211" w14:textId="77777777" w:rsidR="00E54409" w:rsidRPr="00AC79E2" w:rsidRDefault="00E54409" w:rsidP="00E54409">
            <w:pPr>
              <w:jc w:val="both"/>
              <w:rPr>
                <w:rFonts w:cs="Arial"/>
                <w:sz w:val="18"/>
                <w:szCs w:val="18"/>
              </w:rPr>
            </w:pPr>
            <w:r w:rsidRPr="00AC79E2">
              <w:rPr>
                <w:rFonts w:cs="Arial"/>
                <w:sz w:val="18"/>
                <w:szCs w:val="18"/>
              </w:rPr>
              <w:t>DUPLEX SCANNING, unilateral, involving B mode ultrasound imaging and integrated Doppler flow spectral analysis and marking of veins in the lower limb below the inguinal ligament prior to varicose vein surgery, not being a service associated with a service to which an item in Subgroups 1 (with the exception of items 55026 and 55054), 3 or 4 of this Group applies - including any associated skin marking (R) (NK)</w:t>
            </w:r>
          </w:p>
          <w:p w14:paraId="0161D965" w14:textId="5DE82E68" w:rsidR="00E54409" w:rsidRPr="00EF2268" w:rsidRDefault="00E54409" w:rsidP="00E54409">
            <w:pPr>
              <w:rPr>
                <w:sz w:val="18"/>
              </w:rPr>
            </w:pPr>
            <w:r w:rsidRPr="00AC79E2">
              <w:rPr>
                <w:rFonts w:cs="Arial"/>
                <w:i/>
                <w:sz w:val="18"/>
                <w:szCs w:val="18"/>
              </w:rPr>
              <w:t>(See para DIQ of explanatory notes to this Category)</w:t>
            </w:r>
          </w:p>
        </w:tc>
      </w:tr>
      <w:tr w:rsidR="00E54409" w:rsidRPr="00EF2268" w14:paraId="2A7DF4A6" w14:textId="77777777" w:rsidTr="00827413">
        <w:tc>
          <w:tcPr>
            <w:tcW w:w="1192" w:type="dxa"/>
            <w:vAlign w:val="center"/>
          </w:tcPr>
          <w:p w14:paraId="7591CA76" w14:textId="2F492985" w:rsidR="00E54409" w:rsidRPr="00E54409" w:rsidRDefault="00E54409" w:rsidP="00E54409">
            <w:pPr>
              <w:rPr>
                <w:b/>
                <w:sz w:val="18"/>
              </w:rPr>
            </w:pPr>
            <w:r w:rsidRPr="00E54409">
              <w:rPr>
                <w:rFonts w:cs="Arial"/>
                <w:b/>
                <w:sz w:val="18"/>
                <w:szCs w:val="18"/>
              </w:rPr>
              <w:t>55238</w:t>
            </w:r>
          </w:p>
        </w:tc>
        <w:tc>
          <w:tcPr>
            <w:tcW w:w="7797" w:type="dxa"/>
            <w:vAlign w:val="center"/>
          </w:tcPr>
          <w:p w14:paraId="24CA8FB6" w14:textId="77777777" w:rsidR="00E54409" w:rsidRPr="00AC79E2" w:rsidRDefault="00E54409" w:rsidP="00E54409">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Arial"/>
                <w:color w:val="000000"/>
                <w:sz w:val="18"/>
                <w:szCs w:val="18"/>
              </w:rPr>
            </w:pPr>
            <w:r w:rsidRPr="00AC79E2">
              <w:rPr>
                <w:rFonts w:cs="Arial"/>
                <w:color w:val="000000"/>
                <w:sz w:val="18"/>
                <w:szCs w:val="18"/>
              </w:rPr>
              <w:t>DUPLEX SCANNING, unilateral, involving B mode ultrasound imaging and integrated Doppler flow measurements by spectral analysis of arteries or bypass grafts in the lower limb OR of arteries and bypass grafts in the lower limb, below the inguinal ligament, not being a service associated with a service to which an item in Subgroups 1 (with the exception of item 55054) or 4 of this Group applies - (R)</w:t>
            </w:r>
          </w:p>
          <w:p w14:paraId="75110F1E" w14:textId="09F7FC08" w:rsidR="00E54409" w:rsidRPr="00EF2268" w:rsidRDefault="00E54409" w:rsidP="00E54409">
            <w:pPr>
              <w:rPr>
                <w:sz w:val="18"/>
              </w:rPr>
            </w:pPr>
            <w:r w:rsidRPr="00AC79E2">
              <w:rPr>
                <w:rFonts w:cs="Arial"/>
                <w:i/>
                <w:sz w:val="18"/>
                <w:szCs w:val="18"/>
              </w:rPr>
              <w:t>(See para DIQ of explanatory notes to this Category)</w:t>
            </w:r>
          </w:p>
        </w:tc>
      </w:tr>
      <w:tr w:rsidR="00A05073" w:rsidRPr="00EF2268" w14:paraId="47C16133" w14:textId="77777777" w:rsidTr="00827413">
        <w:tc>
          <w:tcPr>
            <w:tcW w:w="1192" w:type="dxa"/>
            <w:vAlign w:val="center"/>
          </w:tcPr>
          <w:p w14:paraId="2B615CC3" w14:textId="0202DF56" w:rsidR="00A05073" w:rsidRPr="00E54409" w:rsidRDefault="00A05073" w:rsidP="00E54409">
            <w:pPr>
              <w:rPr>
                <w:rFonts w:cs="Arial"/>
                <w:b/>
                <w:sz w:val="18"/>
                <w:szCs w:val="18"/>
              </w:rPr>
            </w:pPr>
            <w:r>
              <w:rPr>
                <w:rFonts w:cs="Arial"/>
                <w:b/>
                <w:sz w:val="18"/>
                <w:szCs w:val="18"/>
              </w:rPr>
              <w:t>55244</w:t>
            </w:r>
          </w:p>
        </w:tc>
        <w:tc>
          <w:tcPr>
            <w:tcW w:w="7797" w:type="dxa"/>
            <w:vAlign w:val="center"/>
          </w:tcPr>
          <w:p w14:paraId="08C265C7" w14:textId="77777777" w:rsidR="00A05073" w:rsidRPr="00A05073" w:rsidRDefault="00A05073" w:rsidP="00A05073">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Arial"/>
                <w:color w:val="000000"/>
                <w:sz w:val="18"/>
                <w:szCs w:val="18"/>
              </w:rPr>
            </w:pPr>
            <w:r w:rsidRPr="00A05073">
              <w:rPr>
                <w:rFonts w:cs="Arial"/>
                <w:color w:val="000000"/>
                <w:sz w:val="18"/>
                <w:szCs w:val="18"/>
              </w:rPr>
              <w:t>DUPLEX SCANNING, unilateral, involving B mode ultrasound imaging and integrated Doppler flow measurements by spectral analysis of veins in the lower limb, below the inguinal ligament, for acute venous thrombosis, not being a service associated with a service to which an item in Subgroups 1 (with the exception of item 55054) or 4 of this Group applies - (R)</w:t>
            </w:r>
          </w:p>
          <w:p w14:paraId="51305F35" w14:textId="0FCE8CF9" w:rsidR="00A05073" w:rsidRPr="00AC79E2" w:rsidRDefault="00A05073" w:rsidP="00A05073">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Arial"/>
                <w:color w:val="000000"/>
                <w:sz w:val="18"/>
                <w:szCs w:val="18"/>
              </w:rPr>
            </w:pPr>
            <w:r w:rsidRPr="00A05073">
              <w:rPr>
                <w:rFonts w:cs="Arial"/>
                <w:i/>
                <w:color w:val="000000"/>
                <w:sz w:val="18"/>
                <w:szCs w:val="18"/>
              </w:rPr>
              <w:t>(See para DIQ of explanatory notes to this Category)</w:t>
            </w:r>
          </w:p>
        </w:tc>
      </w:tr>
      <w:tr w:rsidR="00A05073" w:rsidRPr="00EF2268" w14:paraId="3529AE73" w14:textId="77777777" w:rsidTr="00827413">
        <w:tc>
          <w:tcPr>
            <w:tcW w:w="1192" w:type="dxa"/>
            <w:vAlign w:val="center"/>
          </w:tcPr>
          <w:p w14:paraId="4AC8E8A6" w14:textId="1B16439A" w:rsidR="00A05073" w:rsidRDefault="00A05073" w:rsidP="00E54409">
            <w:pPr>
              <w:rPr>
                <w:rFonts w:cs="Arial"/>
                <w:b/>
                <w:sz w:val="18"/>
                <w:szCs w:val="18"/>
              </w:rPr>
            </w:pPr>
            <w:r>
              <w:rPr>
                <w:rFonts w:cs="Arial"/>
                <w:b/>
                <w:sz w:val="18"/>
                <w:szCs w:val="18"/>
              </w:rPr>
              <w:t>55246</w:t>
            </w:r>
          </w:p>
        </w:tc>
        <w:tc>
          <w:tcPr>
            <w:tcW w:w="7797" w:type="dxa"/>
            <w:vAlign w:val="center"/>
          </w:tcPr>
          <w:p w14:paraId="23049FFE" w14:textId="77777777" w:rsidR="00A05073" w:rsidRPr="00A05073" w:rsidRDefault="00A05073" w:rsidP="00A05073">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Arial"/>
                <w:color w:val="000000"/>
                <w:sz w:val="18"/>
                <w:szCs w:val="18"/>
              </w:rPr>
            </w:pPr>
            <w:r w:rsidRPr="00A05073">
              <w:rPr>
                <w:rFonts w:cs="Arial"/>
                <w:color w:val="000000"/>
                <w:sz w:val="18"/>
                <w:szCs w:val="18"/>
              </w:rPr>
              <w:t>DUPLEX SCANNING, unilateral, involving B mode ultrasound imaging and integrated Doppler flow measurements by spectral analysis of veins in the lower limb, below the inguinal ligament, for chronic venous disease, not being a service associated with a service to which an item in Subgroups 1 (with the exception of item 55054) or 4 of this Group applies - (R)</w:t>
            </w:r>
          </w:p>
          <w:p w14:paraId="1892072B" w14:textId="34D92CCC" w:rsidR="00A05073" w:rsidRPr="00A05073" w:rsidRDefault="00A05073" w:rsidP="00A05073">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Arial"/>
                <w:color w:val="000000"/>
                <w:sz w:val="18"/>
                <w:szCs w:val="18"/>
              </w:rPr>
            </w:pPr>
            <w:r w:rsidRPr="00A05073">
              <w:rPr>
                <w:rFonts w:cs="Arial"/>
                <w:i/>
                <w:color w:val="000000"/>
                <w:sz w:val="18"/>
                <w:szCs w:val="18"/>
              </w:rPr>
              <w:t>(See para DIQ of explanatory notes to this Category)</w:t>
            </w:r>
          </w:p>
        </w:tc>
      </w:tr>
      <w:tr w:rsidR="00E54409" w:rsidRPr="00EF2268" w14:paraId="0398F48C" w14:textId="77777777" w:rsidTr="00827413">
        <w:tc>
          <w:tcPr>
            <w:tcW w:w="1192" w:type="dxa"/>
            <w:vAlign w:val="center"/>
          </w:tcPr>
          <w:p w14:paraId="4A99E011" w14:textId="5188BC05" w:rsidR="00E54409" w:rsidRPr="00E54409" w:rsidRDefault="00E54409" w:rsidP="00E54409">
            <w:pPr>
              <w:rPr>
                <w:b/>
                <w:sz w:val="18"/>
              </w:rPr>
            </w:pPr>
            <w:r w:rsidRPr="00E54409">
              <w:rPr>
                <w:rFonts w:cs="Arial"/>
                <w:b/>
                <w:sz w:val="18"/>
                <w:szCs w:val="18"/>
              </w:rPr>
              <w:t>55248</w:t>
            </w:r>
          </w:p>
        </w:tc>
        <w:tc>
          <w:tcPr>
            <w:tcW w:w="7797" w:type="dxa"/>
            <w:vAlign w:val="center"/>
          </w:tcPr>
          <w:p w14:paraId="05A1DB9E" w14:textId="77777777" w:rsidR="00E54409" w:rsidRPr="00AC79E2" w:rsidRDefault="00E54409" w:rsidP="00E54409">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Arial"/>
                <w:color w:val="000000"/>
                <w:sz w:val="18"/>
                <w:szCs w:val="18"/>
              </w:rPr>
            </w:pPr>
            <w:r w:rsidRPr="00AC79E2">
              <w:rPr>
                <w:rFonts w:cs="Arial"/>
                <w:color w:val="000000"/>
                <w:sz w:val="18"/>
                <w:szCs w:val="18"/>
              </w:rPr>
              <w:t>DUPLEX SCANNING, unilateral, involving B mode ultrasound imaging and integrated Doppler flow measurements by spectral analysis of arteries or bypass grafts in the upper limb OR of arteries and bypass grafts in the upper limb, not being a service associated with a service to which an item in Subgroups 1 (with the exception of item 55054) or 4 of this Group applies - (R)</w:t>
            </w:r>
          </w:p>
          <w:p w14:paraId="0C35B622" w14:textId="2D730109" w:rsidR="00E54409" w:rsidRPr="00EF2268" w:rsidRDefault="00E54409" w:rsidP="00E54409">
            <w:pPr>
              <w:rPr>
                <w:sz w:val="18"/>
              </w:rPr>
            </w:pPr>
            <w:r w:rsidRPr="00AC79E2">
              <w:rPr>
                <w:rFonts w:cs="Arial"/>
                <w:i/>
                <w:sz w:val="18"/>
                <w:szCs w:val="18"/>
              </w:rPr>
              <w:lastRenderedPageBreak/>
              <w:t>(See para DIQ of explanatory notes to this Category)</w:t>
            </w:r>
          </w:p>
        </w:tc>
      </w:tr>
      <w:tr w:rsidR="00E54409" w:rsidRPr="00EF2268" w14:paraId="30DB7DE4" w14:textId="77777777" w:rsidTr="00827413">
        <w:tc>
          <w:tcPr>
            <w:tcW w:w="1192" w:type="dxa"/>
            <w:vAlign w:val="center"/>
          </w:tcPr>
          <w:p w14:paraId="603439BC" w14:textId="2FFB786F" w:rsidR="00E54409" w:rsidRPr="00E54409" w:rsidRDefault="00E54409" w:rsidP="00E54409">
            <w:pPr>
              <w:rPr>
                <w:b/>
                <w:sz w:val="18"/>
              </w:rPr>
            </w:pPr>
            <w:r w:rsidRPr="00E54409">
              <w:rPr>
                <w:rFonts w:cs="Arial"/>
                <w:b/>
                <w:sz w:val="18"/>
                <w:szCs w:val="18"/>
              </w:rPr>
              <w:lastRenderedPageBreak/>
              <w:t>55252</w:t>
            </w:r>
          </w:p>
        </w:tc>
        <w:tc>
          <w:tcPr>
            <w:tcW w:w="7797" w:type="dxa"/>
            <w:vAlign w:val="center"/>
          </w:tcPr>
          <w:p w14:paraId="5D47FCB6" w14:textId="77777777" w:rsidR="00E54409" w:rsidRPr="00AC79E2" w:rsidRDefault="00E54409" w:rsidP="00E54409">
            <w:pPr>
              <w:tabs>
                <w:tab w:val="left" w:pos="540"/>
                <w:tab w:val="left" w:pos="1170"/>
                <w:tab w:val="left" w:pos="1710"/>
                <w:tab w:val="left" w:pos="2340"/>
                <w:tab w:val="left" w:pos="2880"/>
                <w:tab w:val="left" w:pos="3420"/>
                <w:tab w:val="left" w:pos="4050"/>
                <w:tab w:val="left" w:pos="4590"/>
                <w:tab w:val="left" w:pos="5040"/>
                <w:tab w:val="left" w:pos="5580"/>
                <w:tab w:val="left" w:pos="6210"/>
                <w:tab w:val="left" w:pos="6750"/>
                <w:tab w:val="left" w:pos="7380"/>
                <w:tab w:val="left" w:pos="7920"/>
                <w:tab w:val="left" w:pos="8480"/>
              </w:tabs>
              <w:autoSpaceDE w:val="0"/>
              <w:autoSpaceDN w:val="0"/>
              <w:adjustRightInd w:val="0"/>
              <w:jc w:val="both"/>
              <w:rPr>
                <w:rFonts w:cs="Arial"/>
                <w:color w:val="000000"/>
                <w:sz w:val="18"/>
                <w:szCs w:val="18"/>
              </w:rPr>
            </w:pPr>
            <w:r w:rsidRPr="00AC79E2">
              <w:rPr>
                <w:rFonts w:cs="Arial"/>
                <w:color w:val="000000"/>
                <w:sz w:val="18"/>
                <w:szCs w:val="18"/>
              </w:rPr>
              <w:t>DUPLEX SCANNING, unilateral, involving B mode ultrasound imaging and integrated Doppler flow measurements by spectral analysis of veins in the upper limb, not being a service associated with a service to which an item in Subgroups 1 (with the exception of item 55054) or 4 of this Group applies - (R)</w:t>
            </w:r>
          </w:p>
          <w:p w14:paraId="4E97CE8B" w14:textId="2DB6A969" w:rsidR="00E54409" w:rsidRPr="00EF2268" w:rsidRDefault="00E54409" w:rsidP="00E54409">
            <w:pPr>
              <w:rPr>
                <w:sz w:val="18"/>
              </w:rPr>
            </w:pPr>
            <w:r w:rsidRPr="00AC79E2">
              <w:rPr>
                <w:rFonts w:cs="Arial"/>
                <w:i/>
                <w:sz w:val="18"/>
                <w:szCs w:val="18"/>
              </w:rPr>
              <w:t>(See para DIQ of explanatory notes to this Category)</w:t>
            </w:r>
          </w:p>
        </w:tc>
      </w:tr>
      <w:tr w:rsidR="00E54409" w:rsidRPr="00EF2268" w14:paraId="3224908F" w14:textId="77777777" w:rsidTr="00827413">
        <w:tc>
          <w:tcPr>
            <w:tcW w:w="1192" w:type="dxa"/>
            <w:vAlign w:val="center"/>
          </w:tcPr>
          <w:p w14:paraId="49190FEB" w14:textId="538DEC12" w:rsidR="00E54409" w:rsidRPr="00E54409" w:rsidRDefault="00E54409" w:rsidP="00E54409">
            <w:pPr>
              <w:rPr>
                <w:b/>
                <w:sz w:val="18"/>
              </w:rPr>
            </w:pPr>
            <w:r w:rsidRPr="00E54409">
              <w:rPr>
                <w:rFonts w:cs="Arial"/>
                <w:b/>
                <w:sz w:val="18"/>
                <w:szCs w:val="18"/>
              </w:rPr>
              <w:t>55274</w:t>
            </w:r>
          </w:p>
        </w:tc>
        <w:tc>
          <w:tcPr>
            <w:tcW w:w="7797" w:type="dxa"/>
            <w:vAlign w:val="center"/>
          </w:tcPr>
          <w:p w14:paraId="06A660F5" w14:textId="77777777" w:rsidR="00E54409" w:rsidRPr="00AC79E2" w:rsidRDefault="00E54409" w:rsidP="00E54409">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Arial"/>
                <w:color w:val="000000"/>
                <w:sz w:val="18"/>
                <w:szCs w:val="18"/>
              </w:rPr>
            </w:pPr>
            <w:r w:rsidRPr="00AC79E2">
              <w:rPr>
                <w:rFonts w:cs="Arial"/>
                <w:color w:val="000000"/>
                <w:sz w:val="18"/>
                <w:szCs w:val="18"/>
              </w:rPr>
              <w:t xml:space="preserve">DUPLEX SCANNING, bilateral, involving B mode ultrasound imaging and integrated Doppler flow measurements by spectral analysis of extra-cranial bilateral carotid and vertebral vessels, with or without subclavian and innominate vessels, with or without </w:t>
            </w:r>
            <w:proofErr w:type="spellStart"/>
            <w:r w:rsidRPr="00AC79E2">
              <w:rPr>
                <w:rFonts w:cs="Arial"/>
                <w:color w:val="000000"/>
                <w:sz w:val="18"/>
                <w:szCs w:val="18"/>
              </w:rPr>
              <w:t>oculoplethysmography</w:t>
            </w:r>
            <w:proofErr w:type="spellEnd"/>
            <w:r w:rsidRPr="00AC79E2">
              <w:rPr>
                <w:rFonts w:cs="Arial"/>
                <w:color w:val="000000"/>
                <w:sz w:val="18"/>
                <w:szCs w:val="18"/>
              </w:rPr>
              <w:t xml:space="preserve"> or peri-orbital Doppler examination, not being a service associated with a service to which an item in Subgroups 1 (with the exception of item 55054) or 4 of this Groups applies - (R)</w:t>
            </w:r>
          </w:p>
          <w:p w14:paraId="6184790B" w14:textId="37E2587E" w:rsidR="00E54409" w:rsidRPr="00EF2268" w:rsidRDefault="00E54409" w:rsidP="00E54409">
            <w:pPr>
              <w:rPr>
                <w:sz w:val="18"/>
              </w:rPr>
            </w:pPr>
            <w:r w:rsidRPr="00AC79E2">
              <w:rPr>
                <w:rFonts w:cs="Arial"/>
                <w:i/>
                <w:sz w:val="18"/>
                <w:szCs w:val="18"/>
              </w:rPr>
              <w:t>(See para DIQ of explanatory notes to this Category)</w:t>
            </w:r>
          </w:p>
        </w:tc>
      </w:tr>
      <w:tr w:rsidR="00E54409" w:rsidRPr="00EF2268" w14:paraId="0791E899" w14:textId="77777777" w:rsidTr="00827413">
        <w:tc>
          <w:tcPr>
            <w:tcW w:w="1192" w:type="dxa"/>
            <w:vAlign w:val="center"/>
          </w:tcPr>
          <w:p w14:paraId="47E85DEC" w14:textId="0394E46B" w:rsidR="00E54409" w:rsidRPr="00E54409" w:rsidRDefault="00E54409" w:rsidP="00E54409">
            <w:pPr>
              <w:rPr>
                <w:rFonts w:cs="Arial"/>
                <w:b/>
                <w:sz w:val="18"/>
                <w:szCs w:val="18"/>
              </w:rPr>
            </w:pPr>
            <w:r w:rsidRPr="00E54409">
              <w:rPr>
                <w:rFonts w:cs="Arial"/>
                <w:b/>
                <w:sz w:val="18"/>
                <w:szCs w:val="18"/>
              </w:rPr>
              <w:t>55276</w:t>
            </w:r>
          </w:p>
        </w:tc>
        <w:tc>
          <w:tcPr>
            <w:tcW w:w="7797" w:type="dxa"/>
            <w:vAlign w:val="center"/>
          </w:tcPr>
          <w:p w14:paraId="020B7E25" w14:textId="77777777" w:rsidR="00E54409" w:rsidRPr="00AC79E2" w:rsidRDefault="00E54409" w:rsidP="00E54409">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Arial"/>
                <w:color w:val="000000"/>
                <w:sz w:val="18"/>
                <w:szCs w:val="18"/>
              </w:rPr>
            </w:pPr>
            <w:r w:rsidRPr="00AC79E2">
              <w:rPr>
                <w:rFonts w:cs="Arial"/>
                <w:color w:val="000000"/>
                <w:sz w:val="18"/>
                <w:szCs w:val="18"/>
              </w:rPr>
              <w:t>DUPLEX SCANNING involving B mode ultrasound imaging and integrated Doppler flow measurements by spectral analysis of intra-abdominal, aorta and iliac arteries or inferior vena cava and iliac veins OR of intra-abdominal, aorta and iliac arteries and inferior vena cava and iliac veins, excluding pregnancy related studies, not being a service associated with a service to which an item in Subgroups 1 (with the exception of item 55054) or 4 of this Group applies - (R)</w:t>
            </w:r>
          </w:p>
          <w:p w14:paraId="3867F795" w14:textId="0DF2F76F" w:rsidR="00E54409" w:rsidRPr="00AC79E2" w:rsidRDefault="00E54409" w:rsidP="00E54409">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Arial"/>
                <w:color w:val="000000"/>
                <w:sz w:val="18"/>
                <w:szCs w:val="18"/>
              </w:rPr>
            </w:pPr>
            <w:r w:rsidRPr="00AC79E2">
              <w:rPr>
                <w:rFonts w:cs="Arial"/>
                <w:i/>
                <w:sz w:val="18"/>
                <w:szCs w:val="18"/>
              </w:rPr>
              <w:t>(See para DIQ of explanatory notes to this Category)</w:t>
            </w:r>
          </w:p>
        </w:tc>
      </w:tr>
      <w:tr w:rsidR="00E54409" w:rsidRPr="00EF2268" w14:paraId="4E4E1986" w14:textId="77777777" w:rsidTr="00827413">
        <w:tc>
          <w:tcPr>
            <w:tcW w:w="1192" w:type="dxa"/>
            <w:vAlign w:val="center"/>
          </w:tcPr>
          <w:p w14:paraId="3B3EFFFD" w14:textId="25360791" w:rsidR="00E54409" w:rsidRPr="00E54409" w:rsidRDefault="00E54409" w:rsidP="00E54409">
            <w:pPr>
              <w:rPr>
                <w:rFonts w:cs="Arial"/>
                <w:b/>
                <w:sz w:val="18"/>
                <w:szCs w:val="18"/>
              </w:rPr>
            </w:pPr>
            <w:r w:rsidRPr="00E54409">
              <w:rPr>
                <w:rFonts w:cs="Arial"/>
                <w:b/>
                <w:sz w:val="18"/>
                <w:szCs w:val="18"/>
              </w:rPr>
              <w:t>55278</w:t>
            </w:r>
          </w:p>
        </w:tc>
        <w:tc>
          <w:tcPr>
            <w:tcW w:w="7797" w:type="dxa"/>
            <w:vAlign w:val="center"/>
          </w:tcPr>
          <w:p w14:paraId="24CD1002" w14:textId="77777777" w:rsidR="00E54409" w:rsidRPr="00AC79E2" w:rsidRDefault="00E54409" w:rsidP="00E54409">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Arial"/>
                <w:color w:val="000000"/>
                <w:sz w:val="18"/>
                <w:szCs w:val="18"/>
              </w:rPr>
            </w:pPr>
            <w:r w:rsidRPr="00AC79E2">
              <w:rPr>
                <w:rFonts w:cs="Arial"/>
                <w:color w:val="000000"/>
                <w:sz w:val="18"/>
                <w:szCs w:val="18"/>
              </w:rPr>
              <w:t>DUPLEX SCANNING involving B mode ultrasound imaging and integrated Doppler flow measurements by spectral analysis of renal or visceral vessels OR of renal and visceral vessels, including aorta, inferior vena cava and iliac vessels as required excluding pregnancy related studies, not being a service associated with a service to which an item in Subgroups 1 (with the exception of item 55054) or 4 of this Group applies - (R)</w:t>
            </w:r>
          </w:p>
          <w:p w14:paraId="7AEF6DA4" w14:textId="69EBD765" w:rsidR="00E54409" w:rsidRPr="00AC79E2" w:rsidRDefault="00E54409" w:rsidP="00E54409">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Arial"/>
                <w:color w:val="000000"/>
                <w:sz w:val="18"/>
                <w:szCs w:val="18"/>
              </w:rPr>
            </w:pPr>
            <w:r w:rsidRPr="00AC79E2">
              <w:rPr>
                <w:rFonts w:cs="Arial"/>
                <w:i/>
                <w:sz w:val="18"/>
                <w:szCs w:val="18"/>
              </w:rPr>
              <w:t>(See para DIQ of explanatory notes to this Category)</w:t>
            </w:r>
          </w:p>
        </w:tc>
      </w:tr>
      <w:tr w:rsidR="00E54409" w:rsidRPr="00EF2268" w14:paraId="7742FC29" w14:textId="77777777" w:rsidTr="00827413">
        <w:tc>
          <w:tcPr>
            <w:tcW w:w="1192" w:type="dxa"/>
            <w:vAlign w:val="center"/>
          </w:tcPr>
          <w:p w14:paraId="69EB0014" w14:textId="5FD0AC26" w:rsidR="00E54409" w:rsidRPr="00E54409" w:rsidRDefault="00E54409" w:rsidP="00E54409">
            <w:pPr>
              <w:rPr>
                <w:rFonts w:cs="Arial"/>
                <w:b/>
                <w:sz w:val="18"/>
                <w:szCs w:val="18"/>
              </w:rPr>
            </w:pPr>
            <w:r w:rsidRPr="00E54409">
              <w:rPr>
                <w:rFonts w:cs="Arial"/>
                <w:b/>
                <w:sz w:val="18"/>
                <w:szCs w:val="18"/>
              </w:rPr>
              <w:t>55280</w:t>
            </w:r>
          </w:p>
        </w:tc>
        <w:tc>
          <w:tcPr>
            <w:tcW w:w="7797" w:type="dxa"/>
            <w:vAlign w:val="center"/>
          </w:tcPr>
          <w:p w14:paraId="6369265D" w14:textId="77777777" w:rsidR="00E54409" w:rsidRPr="00AC79E2" w:rsidRDefault="00E54409" w:rsidP="00E54409">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Arial"/>
                <w:color w:val="000000"/>
                <w:sz w:val="18"/>
                <w:szCs w:val="18"/>
              </w:rPr>
            </w:pPr>
            <w:r w:rsidRPr="00AC79E2">
              <w:rPr>
                <w:rFonts w:cs="Arial"/>
                <w:color w:val="000000"/>
                <w:sz w:val="18"/>
                <w:szCs w:val="18"/>
              </w:rPr>
              <w:t>DUPLEX SCANNING involving B mode ultrasound imaging and integrated Doppler flow measurements by spectral analysis of intra-cranial vessels, not being a service associated with a service to which an item in Subgroups 1 (with the exception of item 55054) or 4 of this Group applies - (R)</w:t>
            </w:r>
          </w:p>
          <w:p w14:paraId="776EF892" w14:textId="53F1A197" w:rsidR="00E54409" w:rsidRPr="00AC79E2" w:rsidRDefault="00E54409" w:rsidP="00E54409">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Arial"/>
                <w:color w:val="000000"/>
                <w:sz w:val="18"/>
                <w:szCs w:val="18"/>
              </w:rPr>
            </w:pPr>
            <w:r w:rsidRPr="00AC79E2">
              <w:rPr>
                <w:rFonts w:cs="Arial"/>
                <w:i/>
                <w:sz w:val="18"/>
                <w:szCs w:val="18"/>
              </w:rPr>
              <w:t>(See para DIQ of explanatory notes to this Category)</w:t>
            </w:r>
          </w:p>
        </w:tc>
      </w:tr>
      <w:tr w:rsidR="00E54409" w:rsidRPr="00EF2268" w14:paraId="4B3F96B0" w14:textId="77777777" w:rsidTr="00827413">
        <w:tc>
          <w:tcPr>
            <w:tcW w:w="1192" w:type="dxa"/>
            <w:vAlign w:val="center"/>
          </w:tcPr>
          <w:p w14:paraId="67DFDCB1" w14:textId="6184AB69" w:rsidR="00E54409" w:rsidRPr="00E54409" w:rsidRDefault="00E54409" w:rsidP="00E54409">
            <w:pPr>
              <w:rPr>
                <w:rFonts w:cs="Arial"/>
                <w:b/>
                <w:sz w:val="18"/>
                <w:szCs w:val="18"/>
              </w:rPr>
            </w:pPr>
            <w:r w:rsidRPr="00E54409">
              <w:rPr>
                <w:rFonts w:cs="Arial"/>
                <w:b/>
                <w:sz w:val="18"/>
                <w:szCs w:val="18"/>
              </w:rPr>
              <w:t>55282</w:t>
            </w:r>
          </w:p>
        </w:tc>
        <w:tc>
          <w:tcPr>
            <w:tcW w:w="7797" w:type="dxa"/>
            <w:vAlign w:val="center"/>
          </w:tcPr>
          <w:p w14:paraId="39B0D44E" w14:textId="77777777" w:rsidR="00E54409" w:rsidRPr="00AC79E2" w:rsidRDefault="00E54409" w:rsidP="00E54409">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Arial"/>
                <w:color w:val="000000"/>
                <w:sz w:val="18"/>
                <w:szCs w:val="18"/>
              </w:rPr>
            </w:pPr>
            <w:r w:rsidRPr="00AC79E2">
              <w:rPr>
                <w:rFonts w:cs="Arial"/>
                <w:color w:val="000000"/>
                <w:sz w:val="18"/>
                <w:szCs w:val="18"/>
              </w:rPr>
              <w:t xml:space="preserve">DUPLEX SCANNING involving B mode ultrasound imaging and integrated Doppler flow measurements by spectral analysis of </w:t>
            </w:r>
            <w:proofErr w:type="spellStart"/>
            <w:r w:rsidRPr="00AC79E2">
              <w:rPr>
                <w:rFonts w:cs="Arial"/>
                <w:color w:val="000000"/>
                <w:sz w:val="18"/>
                <w:szCs w:val="18"/>
              </w:rPr>
              <w:t>cavernosal</w:t>
            </w:r>
            <w:proofErr w:type="spellEnd"/>
            <w:r w:rsidRPr="00AC79E2">
              <w:rPr>
                <w:rFonts w:cs="Arial"/>
                <w:color w:val="000000"/>
                <w:sz w:val="18"/>
                <w:szCs w:val="18"/>
              </w:rPr>
              <w:t xml:space="preserve"> artery of the penis following </w:t>
            </w:r>
            <w:proofErr w:type="spellStart"/>
            <w:r w:rsidRPr="00AC79E2">
              <w:rPr>
                <w:rFonts w:cs="Arial"/>
                <w:color w:val="000000"/>
                <w:sz w:val="18"/>
                <w:szCs w:val="18"/>
              </w:rPr>
              <w:t>intracavernosal</w:t>
            </w:r>
            <w:proofErr w:type="spellEnd"/>
            <w:r w:rsidRPr="00AC79E2">
              <w:rPr>
                <w:rFonts w:cs="Arial"/>
                <w:color w:val="000000"/>
                <w:sz w:val="18"/>
                <w:szCs w:val="18"/>
              </w:rPr>
              <w:t xml:space="preserve"> administration of a vasoactive agent, performed during the period of pharmacological activity of the injected agent, to confirm a diagnosis of vascular aetiology for impotence, where a specialist in diagnostic radiology, nuclear medicine, urology, general surgery (sub-specialising in vascular surgery) or a consultant physician in nuclear medicine attends the patient in person at the practice location where the service is rendered, immediately prior to or for a period during the rendering of the service, and that specialist or consultant physician interprets the results and prepares a report, not being a service associated with a service to which an item in Subgroups 1 (with the exception of item 55054) or 4 of this Group applies - (R)</w:t>
            </w:r>
          </w:p>
          <w:p w14:paraId="12225C67" w14:textId="4FCD8329" w:rsidR="00E54409" w:rsidRPr="00AC79E2" w:rsidRDefault="00E54409" w:rsidP="00E54409">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jc w:val="both"/>
              <w:rPr>
                <w:rFonts w:cs="Arial"/>
                <w:color w:val="000000"/>
                <w:sz w:val="18"/>
                <w:szCs w:val="18"/>
              </w:rPr>
            </w:pPr>
            <w:r w:rsidRPr="00AC79E2">
              <w:rPr>
                <w:rFonts w:cs="Arial"/>
                <w:i/>
                <w:sz w:val="18"/>
                <w:szCs w:val="18"/>
              </w:rPr>
              <w:t>(See para DIQ of explanatory notes to this Category)</w:t>
            </w:r>
          </w:p>
        </w:tc>
      </w:tr>
    </w:tbl>
    <w:p w14:paraId="7DD0702C" w14:textId="77777777" w:rsidR="00126B1C" w:rsidRDefault="00126B1C" w:rsidP="0076706F">
      <w:pPr>
        <w:pStyle w:val="AppendixStyle2"/>
        <w:sectPr w:rsidR="00126B1C" w:rsidSect="00327C01">
          <w:pgSz w:w="11906" w:h="16838" w:code="9"/>
          <w:pgMar w:top="1440" w:right="1440" w:bottom="1276" w:left="1440" w:header="720" w:footer="720" w:gutter="0"/>
          <w:paperSrc w:first="2" w:other="2"/>
          <w:cols w:space="720"/>
          <w:docGrid w:linePitch="326"/>
        </w:sectPr>
      </w:pPr>
    </w:p>
    <w:p w14:paraId="7AE65E5D" w14:textId="77777777" w:rsidR="00A761B6" w:rsidRPr="001825EC" w:rsidRDefault="00A761B6" w:rsidP="00A23C74">
      <w:pPr>
        <w:pStyle w:val="AppendixStyle1"/>
      </w:pPr>
      <w:bookmarkStart w:id="60" w:name="_Toc459913041"/>
      <w:bookmarkStart w:id="61" w:name="_Toc463529156"/>
      <w:bookmarkStart w:id="62" w:name="_Toc468787484"/>
      <w:r>
        <w:lastRenderedPageBreak/>
        <w:t>Summary for consumers</w:t>
      </w:r>
      <w:bookmarkEnd w:id="60"/>
      <w:bookmarkEnd w:id="61"/>
      <w:bookmarkEnd w:id="62"/>
    </w:p>
    <w:p w14:paraId="23A37562" w14:textId="4DD4FE46" w:rsidR="00A578B3" w:rsidRDefault="00A761B6" w:rsidP="00594078">
      <w:pPr>
        <w:rPr>
          <w:sz w:val="14"/>
        </w:rPr>
      </w:pPr>
      <w:r w:rsidRPr="00C8004A">
        <w:t>This table describes the medical service, recommendations of the Clinical Experts and why the recommendation has been made.</w:t>
      </w:r>
      <w:r w:rsidR="00126B1C">
        <w:rPr>
          <w:sz w:val="14"/>
        </w:rPr>
        <w:tab/>
      </w:r>
    </w:p>
    <w:p w14:paraId="7DE6F666" w14:textId="7B0A0555" w:rsidR="001805EA" w:rsidRPr="00594078" w:rsidRDefault="001805EA" w:rsidP="001805EA">
      <w:pPr>
        <w:pStyle w:val="Caption"/>
        <w:rPr>
          <w:b/>
        </w:rPr>
      </w:pPr>
      <w:bookmarkStart w:id="63" w:name="_Toc468787430"/>
      <w:r w:rsidRPr="00594078">
        <w:rPr>
          <w:b/>
        </w:rPr>
        <w:t xml:space="preserve">Recommendation </w:t>
      </w:r>
      <w:r>
        <w:rPr>
          <w:b/>
        </w:rPr>
        <w:t>1</w:t>
      </w:r>
      <w:r w:rsidR="007155B5" w:rsidRPr="007155B5">
        <w:rPr>
          <w:b/>
        </w:rPr>
        <w:t xml:space="preserve"> </w:t>
      </w:r>
      <w:r w:rsidR="00296E52" w:rsidRPr="00296E52">
        <w:rPr>
          <w:b/>
        </w:rPr>
        <w:t>MBS explanatory notes for the MBS items dealing with diagnostic imaging for DVT</w:t>
      </w:r>
      <w:bookmarkEnd w:id="63"/>
    </w:p>
    <w:tbl>
      <w:tblPr>
        <w:tblStyle w:val="TableGrid"/>
        <w:tblW w:w="14129"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C, Recommendation 1 table looks at item numbers 55224 and 55221 in regards to duplex scanning for suspected lower limb deep vein thrombosis. This table contains 5 column headings: column 1. List of items, column 2. What it does, column 3. Committee Recommendation, column 4. What would be different and column 5 Why."/>
      </w:tblPr>
      <w:tblGrid>
        <w:gridCol w:w="1724"/>
        <w:gridCol w:w="2637"/>
        <w:gridCol w:w="2551"/>
        <w:gridCol w:w="3971"/>
        <w:gridCol w:w="3246"/>
      </w:tblGrid>
      <w:tr w:rsidR="001805EA" w:rsidRPr="00505D08" w14:paraId="0796A7C1" w14:textId="77777777" w:rsidTr="00B44107">
        <w:trPr>
          <w:cantSplit/>
          <w:trHeight w:val="491"/>
          <w:tblHeader/>
        </w:trPr>
        <w:tc>
          <w:tcPr>
            <w:tcW w:w="1724" w:type="dxa"/>
          </w:tcPr>
          <w:p w14:paraId="2087B173" w14:textId="77777777" w:rsidR="001805EA" w:rsidRPr="00505D08" w:rsidRDefault="001805EA" w:rsidP="00B44107">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2637" w:type="dxa"/>
          </w:tcPr>
          <w:p w14:paraId="10AF4F23" w14:textId="77777777" w:rsidR="001805EA" w:rsidRPr="00505D08" w:rsidRDefault="001805EA" w:rsidP="00B44107">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551" w:type="dxa"/>
          </w:tcPr>
          <w:p w14:paraId="307BBAB2" w14:textId="77777777" w:rsidR="001805EA" w:rsidRPr="00505D08" w:rsidRDefault="001805EA" w:rsidP="00B44107">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971" w:type="dxa"/>
          </w:tcPr>
          <w:p w14:paraId="15B6155C" w14:textId="77777777" w:rsidR="001805EA" w:rsidRPr="00505D08" w:rsidRDefault="001805EA" w:rsidP="00B44107">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246" w:type="dxa"/>
          </w:tcPr>
          <w:p w14:paraId="055E23F9" w14:textId="77777777" w:rsidR="001805EA" w:rsidRPr="00505D08" w:rsidRDefault="001805EA" w:rsidP="00B44107">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1805EA" w:rsidRPr="00505D08" w14:paraId="2BD057C6" w14:textId="77777777" w:rsidTr="00B44107">
        <w:trPr>
          <w:cantSplit/>
          <w:trHeight w:val="905"/>
        </w:trPr>
        <w:tc>
          <w:tcPr>
            <w:tcW w:w="1724" w:type="dxa"/>
          </w:tcPr>
          <w:p w14:paraId="39AE559B" w14:textId="17D6B68C" w:rsidR="001805EA" w:rsidRPr="00505D08" w:rsidRDefault="001805EA">
            <w:pPr>
              <w:spacing w:before="40" w:after="40" w:line="240" w:lineRule="auto"/>
              <w:rPr>
                <w:rFonts w:cs="Arial"/>
                <w:b/>
                <w:sz w:val="18"/>
                <w:szCs w:val="18"/>
                <w:lang w:val="en-US" w:eastAsia="en-US"/>
              </w:rPr>
            </w:pPr>
            <w:r>
              <w:rPr>
                <w:rFonts w:cs="Arial"/>
                <w:b/>
                <w:sz w:val="18"/>
                <w:szCs w:val="18"/>
                <w:lang w:val="en-US" w:eastAsia="en-US"/>
              </w:rPr>
              <w:t>552</w:t>
            </w:r>
            <w:r w:rsidR="00031BE6">
              <w:rPr>
                <w:rFonts w:cs="Arial"/>
                <w:b/>
                <w:sz w:val="18"/>
                <w:szCs w:val="18"/>
                <w:lang w:val="en-US" w:eastAsia="en-US"/>
              </w:rPr>
              <w:t>4</w:t>
            </w:r>
            <w:r>
              <w:rPr>
                <w:rFonts w:cs="Arial"/>
                <w:b/>
                <w:sz w:val="18"/>
                <w:szCs w:val="18"/>
                <w:lang w:val="en-US" w:eastAsia="en-US"/>
              </w:rPr>
              <w:t xml:space="preserve">4, 55221 </w:t>
            </w:r>
          </w:p>
        </w:tc>
        <w:tc>
          <w:tcPr>
            <w:tcW w:w="2637" w:type="dxa"/>
          </w:tcPr>
          <w:p w14:paraId="7016E184" w14:textId="77777777" w:rsidR="001805EA" w:rsidRPr="00505D08" w:rsidRDefault="001805EA" w:rsidP="00B44107">
            <w:pPr>
              <w:spacing w:before="40" w:after="40" w:line="240" w:lineRule="auto"/>
              <w:rPr>
                <w:rFonts w:cs="Arial"/>
                <w:sz w:val="18"/>
                <w:szCs w:val="18"/>
              </w:rPr>
            </w:pPr>
            <w:r>
              <w:rPr>
                <w:rFonts w:cs="Arial"/>
                <w:sz w:val="18"/>
                <w:szCs w:val="18"/>
              </w:rPr>
              <w:t xml:space="preserve">Duplex scanning for suspected lower limb deep vein thrombosis </w:t>
            </w:r>
          </w:p>
        </w:tc>
        <w:tc>
          <w:tcPr>
            <w:tcW w:w="2551" w:type="dxa"/>
          </w:tcPr>
          <w:p w14:paraId="40C0F775" w14:textId="0FC02B31" w:rsidR="00812BA9" w:rsidRDefault="00812BA9" w:rsidP="00812BA9">
            <w:pPr>
              <w:spacing w:before="40" w:after="40" w:line="240" w:lineRule="auto"/>
              <w:rPr>
                <w:rFonts w:cs="Arial"/>
                <w:sz w:val="18"/>
                <w:szCs w:val="18"/>
                <w:lang w:val="en-US" w:eastAsia="en-US"/>
              </w:rPr>
            </w:pPr>
            <w:r>
              <w:rPr>
                <w:rFonts w:cs="Arial"/>
                <w:sz w:val="18"/>
                <w:szCs w:val="18"/>
                <w:lang w:val="en-US" w:eastAsia="en-US"/>
              </w:rPr>
              <w:t xml:space="preserve">The Committee recommends that </w:t>
            </w:r>
            <w:r w:rsidRPr="00585FB5">
              <w:rPr>
                <w:rFonts w:cs="Arial"/>
                <w:sz w:val="18"/>
                <w:szCs w:val="18"/>
                <w:lang w:val="en-US" w:eastAsia="en-US"/>
              </w:rPr>
              <w:t>Reference</w:t>
            </w:r>
            <w:r>
              <w:rPr>
                <w:rFonts w:cs="Arial"/>
                <w:sz w:val="18"/>
                <w:szCs w:val="18"/>
                <w:lang w:val="en-US" w:eastAsia="en-US"/>
              </w:rPr>
              <w:t xml:space="preserve"> to</w:t>
            </w:r>
            <w:r w:rsidRPr="00585FB5">
              <w:rPr>
                <w:rFonts w:cs="Arial"/>
                <w:sz w:val="18"/>
                <w:szCs w:val="18"/>
                <w:lang w:val="en-US" w:eastAsia="en-US"/>
              </w:rPr>
              <w:t xml:space="preserve"> the RANZCR Choosing Wisely recommendations</w:t>
            </w:r>
            <w:r>
              <w:rPr>
                <w:rFonts w:cs="Arial"/>
                <w:sz w:val="18"/>
                <w:szCs w:val="18"/>
                <w:lang w:val="en-US" w:eastAsia="en-US"/>
              </w:rPr>
              <w:t xml:space="preserve"> be made </w:t>
            </w:r>
            <w:r w:rsidRPr="00585FB5">
              <w:rPr>
                <w:rFonts w:cs="Arial"/>
                <w:sz w:val="18"/>
                <w:szCs w:val="18"/>
                <w:lang w:val="en-US" w:eastAsia="en-US"/>
              </w:rPr>
              <w:t>in the explanatory notes to MBS item descriptors</w:t>
            </w:r>
            <w:r>
              <w:rPr>
                <w:rFonts w:cs="Arial"/>
                <w:sz w:val="18"/>
                <w:szCs w:val="18"/>
                <w:lang w:val="en-US" w:eastAsia="en-US"/>
              </w:rPr>
              <w:t xml:space="preserve"> for DVT ultrasound.</w:t>
            </w:r>
          </w:p>
          <w:p w14:paraId="38D6665C" w14:textId="7D32D6F4" w:rsidR="001805EA" w:rsidRPr="00812BA9" w:rsidRDefault="00AD6462" w:rsidP="00812BA9">
            <w:pPr>
              <w:pStyle w:val="Tabletext9"/>
              <w:numPr>
                <w:ilvl w:val="0"/>
                <w:numId w:val="0"/>
              </w:numPr>
              <w:tabs>
                <w:tab w:val="clear" w:pos="576"/>
              </w:tabs>
              <w:spacing w:line="240" w:lineRule="auto"/>
              <w:ind w:left="-4"/>
              <w:rPr>
                <w:rFonts w:cs="Arial"/>
                <w:color w:val="auto"/>
                <w:lang w:val="en-US" w:eastAsia="en-US"/>
              </w:rPr>
            </w:pPr>
            <w:r>
              <w:rPr>
                <w:rFonts w:cs="Arial"/>
                <w:color w:val="auto"/>
                <w:lang w:val="en-US" w:eastAsia="en-US"/>
              </w:rPr>
              <w:t xml:space="preserve">Current clinical evidence suggests that </w:t>
            </w:r>
            <w:r w:rsidRPr="00AD6462">
              <w:rPr>
                <w:rFonts w:cs="Arial"/>
                <w:color w:val="auto"/>
                <w:lang w:val="en-US" w:eastAsia="en-US"/>
              </w:rPr>
              <w:t xml:space="preserve">duplex compression ultrasound </w:t>
            </w:r>
            <w:r>
              <w:rPr>
                <w:rFonts w:cs="Arial"/>
                <w:color w:val="auto"/>
                <w:lang w:val="en-US" w:eastAsia="en-US"/>
              </w:rPr>
              <w:t xml:space="preserve">should not be requested </w:t>
            </w:r>
            <w:r w:rsidRPr="00AD6462">
              <w:rPr>
                <w:rFonts w:cs="Arial"/>
                <w:color w:val="auto"/>
                <w:lang w:val="en-US" w:eastAsia="en-US"/>
              </w:rPr>
              <w:t>for suspected lower limb deep venous thrombosis in ambulatory outpatients unless the Wells Score (deep venous thrombosis risk assessment score) is greater than 2, OR if less tha</w:t>
            </w:r>
            <w:r w:rsidR="00812BA9">
              <w:rPr>
                <w:rFonts w:cs="Arial"/>
                <w:color w:val="auto"/>
                <w:lang w:val="en-US" w:eastAsia="en-US"/>
              </w:rPr>
              <w:t>n 2, D dimer assay is positive.</w:t>
            </w:r>
          </w:p>
        </w:tc>
        <w:tc>
          <w:tcPr>
            <w:tcW w:w="3971" w:type="dxa"/>
          </w:tcPr>
          <w:p w14:paraId="1421B65C" w14:textId="77777777" w:rsidR="001805EA" w:rsidRPr="00393FB5" w:rsidRDefault="001805EA" w:rsidP="00B44107">
            <w:pPr>
              <w:spacing w:before="40" w:after="40" w:line="240" w:lineRule="auto"/>
              <w:ind w:left="57" w:right="57"/>
              <w:rPr>
                <w:rFonts w:cs="Arial"/>
                <w:sz w:val="18"/>
                <w:szCs w:val="18"/>
                <w:lang w:val="en-US" w:eastAsia="en-US"/>
              </w:rPr>
            </w:pPr>
            <w:r>
              <w:rPr>
                <w:rFonts w:cs="Arial"/>
                <w:sz w:val="18"/>
                <w:szCs w:val="18"/>
                <w:lang w:val="en-US" w:eastAsia="en-US"/>
              </w:rPr>
              <w:t>T</w:t>
            </w:r>
            <w:r w:rsidRPr="00393FB5">
              <w:rPr>
                <w:rFonts w:cs="Arial"/>
                <w:sz w:val="18"/>
                <w:szCs w:val="18"/>
                <w:lang w:val="en-US" w:eastAsia="en-US"/>
              </w:rPr>
              <w:t>o prompt consideration to clinical guidelines</w:t>
            </w:r>
            <w:r>
              <w:rPr>
                <w:rFonts w:cs="Arial"/>
                <w:sz w:val="18"/>
                <w:szCs w:val="18"/>
                <w:lang w:val="en-US" w:eastAsia="en-US"/>
              </w:rPr>
              <w:t>.</w:t>
            </w:r>
          </w:p>
          <w:p w14:paraId="6C5DA037" w14:textId="77777777" w:rsidR="001805EA" w:rsidRPr="00505D08" w:rsidRDefault="001805EA" w:rsidP="00B44107">
            <w:pPr>
              <w:spacing w:before="40" w:after="40" w:line="240" w:lineRule="auto"/>
              <w:ind w:left="57" w:right="57"/>
              <w:rPr>
                <w:rFonts w:cs="Arial"/>
                <w:b/>
                <w:sz w:val="18"/>
                <w:szCs w:val="18"/>
                <w:lang w:val="en-US" w:eastAsia="en-US"/>
              </w:rPr>
            </w:pPr>
          </w:p>
        </w:tc>
        <w:tc>
          <w:tcPr>
            <w:tcW w:w="3246" w:type="dxa"/>
          </w:tcPr>
          <w:p w14:paraId="5ED8520B" w14:textId="77777777" w:rsidR="001805EA" w:rsidRPr="00393FB5" w:rsidRDefault="001805EA" w:rsidP="00B44107">
            <w:pPr>
              <w:spacing w:before="40" w:after="40" w:line="240" w:lineRule="auto"/>
              <w:rPr>
                <w:rFonts w:cs="Arial"/>
                <w:sz w:val="18"/>
                <w:szCs w:val="18"/>
                <w:lang w:val="en-US" w:eastAsia="en-US"/>
              </w:rPr>
            </w:pPr>
            <w:r w:rsidRPr="00393FB5">
              <w:rPr>
                <w:rFonts w:cs="Arial"/>
                <w:sz w:val="18"/>
                <w:szCs w:val="18"/>
                <w:lang w:val="en-US" w:eastAsia="en-US"/>
              </w:rPr>
              <w:t>To promote best clinical practice in accordance to</w:t>
            </w:r>
            <w:r>
              <w:rPr>
                <w:rFonts w:cs="Arial"/>
                <w:sz w:val="18"/>
                <w:szCs w:val="18"/>
                <w:lang w:val="en-US" w:eastAsia="en-US"/>
              </w:rPr>
              <w:t xml:space="preserve"> current evidence.</w:t>
            </w:r>
          </w:p>
        </w:tc>
      </w:tr>
    </w:tbl>
    <w:p w14:paraId="72C4105B" w14:textId="35084495" w:rsidR="007155B5" w:rsidRDefault="007155B5" w:rsidP="001805EA">
      <w:pPr>
        <w:pStyle w:val="AppendixStyle2"/>
        <w:spacing w:line="240" w:lineRule="auto"/>
        <w:contextualSpacing/>
        <w:rPr>
          <w:sz w:val="8"/>
        </w:rPr>
      </w:pPr>
      <w:r>
        <w:rPr>
          <w:sz w:val="8"/>
        </w:rPr>
        <w:br w:type="page"/>
      </w:r>
    </w:p>
    <w:p w14:paraId="3D18C929" w14:textId="7AEA012F" w:rsidR="007155B5" w:rsidRPr="007155B5" w:rsidRDefault="001805EA" w:rsidP="007155B5">
      <w:pPr>
        <w:pStyle w:val="Caption"/>
        <w:rPr>
          <w:b/>
        </w:rPr>
      </w:pPr>
      <w:bookmarkStart w:id="64" w:name="_Toc468787431"/>
      <w:r w:rsidRPr="00594078">
        <w:rPr>
          <w:b/>
        </w:rPr>
        <w:lastRenderedPageBreak/>
        <w:t xml:space="preserve">Recommendation </w:t>
      </w:r>
      <w:r w:rsidR="00AD6462">
        <w:rPr>
          <w:b/>
        </w:rPr>
        <w:t>2</w:t>
      </w:r>
      <w:r w:rsidR="007155B5" w:rsidRPr="007155B5">
        <w:rPr>
          <w:b/>
        </w:rPr>
        <w:t xml:space="preserve"> Co-claiming duplex scanning for DVT and chronic venous disease</w:t>
      </w:r>
      <w:bookmarkEnd w:id="64"/>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C, Recommendation 2 table looks at item numbers 55224, 55221, 55246 and 55222 in regards to duplex scanning for deep vein thrombosis and chronic venous disease. This table contains 5 column headings: column 1. List of items, column 2. What it does, column 3. Committee Recommendation, column 4. What would be different and column 5 Why."/>
      </w:tblPr>
      <w:tblGrid>
        <w:gridCol w:w="1636"/>
        <w:gridCol w:w="2719"/>
        <w:gridCol w:w="2549"/>
        <w:gridCol w:w="3962"/>
        <w:gridCol w:w="3256"/>
      </w:tblGrid>
      <w:tr w:rsidR="001805EA" w:rsidRPr="00505D08" w14:paraId="44643D2E" w14:textId="77777777" w:rsidTr="00B44107">
        <w:trPr>
          <w:cantSplit/>
          <w:trHeight w:val="488"/>
          <w:tblHeader/>
        </w:trPr>
        <w:tc>
          <w:tcPr>
            <w:tcW w:w="1638" w:type="dxa"/>
          </w:tcPr>
          <w:p w14:paraId="5D88B4DD" w14:textId="77777777" w:rsidR="001805EA" w:rsidRPr="00505D08" w:rsidRDefault="001805EA" w:rsidP="00B44107">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2723" w:type="dxa"/>
          </w:tcPr>
          <w:p w14:paraId="608F6F14" w14:textId="77777777" w:rsidR="001805EA" w:rsidRPr="00505D08" w:rsidRDefault="001805EA" w:rsidP="00B44107">
            <w:pPr>
              <w:spacing w:before="40" w:after="40" w:line="240" w:lineRule="auto"/>
              <w:jc w:val="center"/>
              <w:rPr>
                <w:rFonts w:cs="Arial"/>
                <w:b/>
                <w:sz w:val="18"/>
                <w:szCs w:val="18"/>
                <w:lang w:val="en-US" w:eastAsia="en-US"/>
              </w:rPr>
            </w:pPr>
            <w:r>
              <w:rPr>
                <w:rFonts w:cs="Arial"/>
                <w:b/>
                <w:sz w:val="18"/>
                <w:szCs w:val="18"/>
                <w:lang w:val="en-US" w:eastAsia="en-US"/>
              </w:rPr>
              <w:t>W</w:t>
            </w:r>
            <w:r w:rsidRPr="00505D08">
              <w:rPr>
                <w:rFonts w:cs="Arial"/>
                <w:b/>
                <w:sz w:val="18"/>
                <w:szCs w:val="18"/>
                <w:lang w:val="en-US" w:eastAsia="en-US"/>
              </w:rPr>
              <w:t>hat it does</w:t>
            </w:r>
          </w:p>
        </w:tc>
        <w:tc>
          <w:tcPr>
            <w:tcW w:w="2551" w:type="dxa"/>
          </w:tcPr>
          <w:p w14:paraId="79A54893" w14:textId="77777777" w:rsidR="001805EA" w:rsidRPr="00505D08" w:rsidRDefault="001805EA" w:rsidP="00B44107">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969" w:type="dxa"/>
          </w:tcPr>
          <w:p w14:paraId="54DE2856" w14:textId="77777777" w:rsidR="001805EA" w:rsidRPr="00505D08" w:rsidRDefault="001805EA" w:rsidP="00B44107">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261" w:type="dxa"/>
          </w:tcPr>
          <w:p w14:paraId="69BE4B86" w14:textId="77777777" w:rsidR="001805EA" w:rsidRPr="00505D08" w:rsidRDefault="001805EA" w:rsidP="00B44107">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1805EA" w:rsidRPr="00505D08" w14:paraId="5CA16A84" w14:textId="77777777" w:rsidTr="00B44107">
        <w:trPr>
          <w:cantSplit/>
          <w:trHeight w:val="899"/>
        </w:trPr>
        <w:tc>
          <w:tcPr>
            <w:tcW w:w="1638" w:type="dxa"/>
          </w:tcPr>
          <w:p w14:paraId="548BDDF5" w14:textId="2325E64C" w:rsidR="001805EA" w:rsidRPr="00505D08" w:rsidRDefault="001805EA" w:rsidP="00B44107">
            <w:pPr>
              <w:spacing w:before="40" w:after="40" w:line="240" w:lineRule="auto"/>
              <w:rPr>
                <w:rFonts w:cs="Arial"/>
                <w:b/>
                <w:sz w:val="18"/>
                <w:szCs w:val="18"/>
                <w:lang w:val="en-US" w:eastAsia="en-US"/>
              </w:rPr>
            </w:pPr>
            <w:r w:rsidRPr="00465D16">
              <w:rPr>
                <w:rFonts w:cs="Arial"/>
                <w:b/>
                <w:sz w:val="18"/>
                <w:szCs w:val="18"/>
                <w:lang w:val="en-US" w:eastAsia="en-US"/>
              </w:rPr>
              <w:t>552</w:t>
            </w:r>
            <w:r w:rsidR="00031BE6">
              <w:rPr>
                <w:rFonts w:cs="Arial"/>
                <w:b/>
                <w:sz w:val="18"/>
                <w:szCs w:val="18"/>
                <w:lang w:val="en-US" w:eastAsia="en-US"/>
              </w:rPr>
              <w:t>4</w:t>
            </w:r>
            <w:r w:rsidRPr="00465D16">
              <w:rPr>
                <w:rFonts w:cs="Arial"/>
                <w:b/>
                <w:sz w:val="18"/>
                <w:szCs w:val="18"/>
                <w:lang w:val="en-US" w:eastAsia="en-US"/>
              </w:rPr>
              <w:t>4, 55221, 55246, 55222</w:t>
            </w:r>
          </w:p>
        </w:tc>
        <w:tc>
          <w:tcPr>
            <w:tcW w:w="2723" w:type="dxa"/>
          </w:tcPr>
          <w:p w14:paraId="14CEEE73" w14:textId="77777777" w:rsidR="001805EA" w:rsidRPr="00505D08" w:rsidRDefault="001805EA" w:rsidP="00B44107">
            <w:pPr>
              <w:spacing w:before="40" w:after="40" w:line="240" w:lineRule="auto"/>
              <w:rPr>
                <w:rFonts w:cs="Arial"/>
                <w:sz w:val="18"/>
                <w:szCs w:val="18"/>
              </w:rPr>
            </w:pPr>
            <w:r w:rsidRPr="00465D16">
              <w:rPr>
                <w:rFonts w:cs="Arial"/>
                <w:sz w:val="18"/>
                <w:szCs w:val="18"/>
              </w:rPr>
              <w:t>Duplex scanning for acute and chronic venous disease.</w:t>
            </w:r>
          </w:p>
        </w:tc>
        <w:tc>
          <w:tcPr>
            <w:tcW w:w="2551" w:type="dxa"/>
          </w:tcPr>
          <w:p w14:paraId="68104555" w14:textId="6A422BA6" w:rsidR="00812BA9" w:rsidRPr="00812BA9" w:rsidRDefault="00812BA9" w:rsidP="00812BA9">
            <w:pPr>
              <w:spacing w:before="40" w:after="40" w:line="240" w:lineRule="auto"/>
              <w:ind w:left="34"/>
              <w:rPr>
                <w:rFonts w:cs="Arial"/>
                <w:sz w:val="18"/>
                <w:szCs w:val="18"/>
                <w:lang w:eastAsia="en-US"/>
              </w:rPr>
            </w:pPr>
            <w:r>
              <w:rPr>
                <w:rFonts w:cs="Arial"/>
                <w:sz w:val="18"/>
                <w:szCs w:val="18"/>
                <w:lang w:eastAsia="en-US"/>
              </w:rPr>
              <w:t>I</w:t>
            </w:r>
            <w:r w:rsidRPr="00812BA9">
              <w:rPr>
                <w:rFonts w:cs="Arial"/>
                <w:sz w:val="18"/>
                <w:szCs w:val="18"/>
                <w:lang w:eastAsia="en-US"/>
              </w:rPr>
              <w:t>t is inappropriate to claim ultrasound items for both acute DVT and chronic venous disease on the same leg in the same patient on the same day</w:t>
            </w:r>
            <w:r w:rsidR="00173551">
              <w:rPr>
                <w:rFonts w:cs="Arial"/>
                <w:sz w:val="18"/>
                <w:szCs w:val="18"/>
                <w:lang w:eastAsia="en-US"/>
              </w:rPr>
              <w:t>.</w:t>
            </w:r>
          </w:p>
          <w:p w14:paraId="5340C29E" w14:textId="0000BD1B" w:rsidR="00812BA9" w:rsidRPr="00812BA9" w:rsidRDefault="00173551" w:rsidP="00812BA9">
            <w:pPr>
              <w:spacing w:before="40" w:after="40" w:line="240" w:lineRule="auto"/>
              <w:ind w:left="34"/>
              <w:rPr>
                <w:rFonts w:cs="Arial"/>
                <w:sz w:val="18"/>
                <w:szCs w:val="18"/>
                <w:lang w:eastAsia="en-US"/>
              </w:rPr>
            </w:pPr>
            <w:r>
              <w:rPr>
                <w:rFonts w:cs="Arial"/>
                <w:sz w:val="18"/>
                <w:szCs w:val="18"/>
                <w:lang w:eastAsia="en-US"/>
              </w:rPr>
              <w:t>T</w:t>
            </w:r>
            <w:r w:rsidR="00812BA9" w:rsidRPr="00812BA9">
              <w:rPr>
                <w:rFonts w:cs="Arial"/>
                <w:sz w:val="18"/>
                <w:szCs w:val="18"/>
                <w:lang w:eastAsia="en-US"/>
              </w:rPr>
              <w:t>he only exception to the above recommendation is a patient being actively prepared with ultrasound for superficial varicose vein ablation (by whatever method), where the deep venous system of the same leg has to also be scanned on the same day to exclude fresh DVT</w:t>
            </w:r>
            <w:r w:rsidR="00812BA9">
              <w:rPr>
                <w:rFonts w:cs="Arial"/>
                <w:sz w:val="18"/>
                <w:szCs w:val="18"/>
                <w:lang w:eastAsia="en-US"/>
              </w:rPr>
              <w:t>.</w:t>
            </w:r>
          </w:p>
          <w:p w14:paraId="46B00686" w14:textId="77777777" w:rsidR="005530D8" w:rsidRDefault="005530D8" w:rsidP="00812BA9">
            <w:pPr>
              <w:spacing w:before="40" w:after="40" w:line="240" w:lineRule="auto"/>
              <w:rPr>
                <w:rFonts w:cs="Arial"/>
                <w:sz w:val="18"/>
                <w:szCs w:val="18"/>
                <w:lang w:eastAsia="en-US"/>
              </w:rPr>
            </w:pPr>
          </w:p>
          <w:p w14:paraId="619E8193" w14:textId="7273DFCD" w:rsidR="001805EA" w:rsidRPr="00A578B3" w:rsidRDefault="00812BA9" w:rsidP="00812BA9">
            <w:pPr>
              <w:spacing w:before="40" w:after="40" w:line="240" w:lineRule="auto"/>
              <w:rPr>
                <w:rFonts w:cs="Arial"/>
                <w:sz w:val="18"/>
                <w:szCs w:val="18"/>
                <w:lang w:val="en-US" w:eastAsia="en-US"/>
              </w:rPr>
            </w:pPr>
            <w:r>
              <w:rPr>
                <w:rFonts w:cs="Arial"/>
                <w:sz w:val="18"/>
                <w:szCs w:val="18"/>
                <w:lang w:eastAsia="en-US"/>
              </w:rPr>
              <w:t xml:space="preserve">In </w:t>
            </w:r>
            <w:proofErr w:type="gramStart"/>
            <w:r>
              <w:rPr>
                <w:rFonts w:cs="Arial"/>
                <w:sz w:val="18"/>
                <w:szCs w:val="18"/>
                <w:lang w:eastAsia="en-US"/>
              </w:rPr>
              <w:t>addition</w:t>
            </w:r>
            <w:proofErr w:type="gramEnd"/>
            <w:r>
              <w:rPr>
                <w:rFonts w:cs="Arial"/>
                <w:sz w:val="18"/>
                <w:szCs w:val="18"/>
                <w:lang w:eastAsia="en-US"/>
              </w:rPr>
              <w:t xml:space="preserve"> t</w:t>
            </w:r>
            <w:r w:rsidRPr="00812BA9">
              <w:rPr>
                <w:rFonts w:cs="Arial"/>
                <w:sz w:val="18"/>
                <w:szCs w:val="18"/>
                <w:lang w:eastAsia="en-US"/>
              </w:rPr>
              <w:t>he multiple services rules for diagnostic ultrasound apply and should be adhered to</w:t>
            </w:r>
            <w:r w:rsidR="00173551">
              <w:rPr>
                <w:rFonts w:cs="Arial"/>
                <w:sz w:val="18"/>
                <w:szCs w:val="18"/>
                <w:lang w:eastAsia="en-US"/>
              </w:rPr>
              <w:t>.</w:t>
            </w:r>
          </w:p>
        </w:tc>
        <w:tc>
          <w:tcPr>
            <w:tcW w:w="3969" w:type="dxa"/>
          </w:tcPr>
          <w:p w14:paraId="4D9FF5BB" w14:textId="3E3A44ED" w:rsidR="00812BA9" w:rsidRPr="00EC4FD5" w:rsidRDefault="00812BA9" w:rsidP="00812BA9">
            <w:pPr>
              <w:spacing w:before="40" w:after="40" w:line="240" w:lineRule="auto"/>
              <w:rPr>
                <w:rFonts w:cs="Arial"/>
                <w:sz w:val="18"/>
                <w:szCs w:val="18"/>
                <w:lang w:eastAsia="en-US"/>
              </w:rPr>
            </w:pPr>
            <w:r>
              <w:rPr>
                <w:rFonts w:cs="Arial"/>
                <w:sz w:val="18"/>
                <w:szCs w:val="18"/>
                <w:lang w:eastAsia="en-US"/>
              </w:rPr>
              <w:t xml:space="preserve">Acute </w:t>
            </w:r>
            <w:r w:rsidRPr="00EC4FD5">
              <w:rPr>
                <w:rFonts w:cs="Arial"/>
                <w:sz w:val="18"/>
                <w:szCs w:val="18"/>
                <w:lang w:eastAsia="en-US"/>
              </w:rPr>
              <w:t xml:space="preserve">DVT and chronic venous disease items </w:t>
            </w:r>
            <w:r>
              <w:rPr>
                <w:rFonts w:cs="Arial"/>
                <w:sz w:val="18"/>
                <w:szCs w:val="18"/>
                <w:lang w:eastAsia="en-US"/>
              </w:rPr>
              <w:t xml:space="preserve">would </w:t>
            </w:r>
            <w:r w:rsidRPr="00EC4FD5">
              <w:rPr>
                <w:rFonts w:cs="Arial"/>
                <w:sz w:val="18"/>
                <w:szCs w:val="18"/>
                <w:lang w:eastAsia="en-US"/>
              </w:rPr>
              <w:t xml:space="preserve">not be </w:t>
            </w:r>
            <w:r>
              <w:rPr>
                <w:rFonts w:cs="Arial"/>
                <w:sz w:val="18"/>
                <w:szCs w:val="18"/>
                <w:lang w:eastAsia="en-US"/>
              </w:rPr>
              <w:t>able to be co-</w:t>
            </w:r>
            <w:r w:rsidRPr="00EC4FD5">
              <w:rPr>
                <w:rFonts w:cs="Arial"/>
                <w:sz w:val="18"/>
                <w:szCs w:val="18"/>
                <w:lang w:eastAsia="en-US"/>
              </w:rPr>
              <w:t>claimed on the same leg of the same patient on th</w:t>
            </w:r>
            <w:r>
              <w:rPr>
                <w:rFonts w:cs="Arial"/>
                <w:sz w:val="18"/>
                <w:szCs w:val="18"/>
                <w:lang w:eastAsia="en-US"/>
              </w:rPr>
              <w:t xml:space="preserve">e same day by a </w:t>
            </w:r>
            <w:r w:rsidR="00633597">
              <w:rPr>
                <w:rFonts w:cs="Arial"/>
                <w:sz w:val="18"/>
                <w:szCs w:val="18"/>
                <w:lang w:eastAsia="en-US"/>
              </w:rPr>
              <w:t>same</w:t>
            </w:r>
            <w:r>
              <w:rPr>
                <w:rFonts w:cs="Arial"/>
                <w:sz w:val="18"/>
                <w:szCs w:val="18"/>
                <w:lang w:eastAsia="en-US"/>
              </w:rPr>
              <w:t xml:space="preserve"> provider, except where </w:t>
            </w:r>
            <w:r w:rsidRPr="00812BA9">
              <w:rPr>
                <w:rFonts w:cs="Arial"/>
                <w:sz w:val="18"/>
                <w:szCs w:val="18"/>
                <w:lang w:eastAsia="en-US"/>
              </w:rPr>
              <w:t xml:space="preserve">a patient </w:t>
            </w:r>
            <w:r>
              <w:rPr>
                <w:rFonts w:cs="Arial"/>
                <w:sz w:val="18"/>
                <w:szCs w:val="18"/>
                <w:lang w:eastAsia="en-US"/>
              </w:rPr>
              <w:t xml:space="preserve">is </w:t>
            </w:r>
            <w:r w:rsidRPr="00812BA9">
              <w:rPr>
                <w:rFonts w:cs="Arial"/>
                <w:sz w:val="18"/>
                <w:szCs w:val="18"/>
                <w:lang w:eastAsia="en-US"/>
              </w:rPr>
              <w:t>being actively prepared with ultrasound for superficial varicose vein ablation (by whatever method), where the deep venous system of the same leg has to also be scanned on the same day to exclude fresh DVT</w:t>
            </w:r>
            <w:r>
              <w:rPr>
                <w:rFonts w:cs="Arial"/>
                <w:sz w:val="18"/>
                <w:szCs w:val="18"/>
                <w:lang w:eastAsia="en-US"/>
              </w:rPr>
              <w:t>.</w:t>
            </w:r>
          </w:p>
          <w:p w14:paraId="18DDCF67" w14:textId="635BA398" w:rsidR="001805EA" w:rsidRPr="00505D08" w:rsidRDefault="001805EA" w:rsidP="00B44107">
            <w:pPr>
              <w:spacing w:before="40" w:after="40" w:line="240" w:lineRule="auto"/>
              <w:ind w:left="57" w:right="57"/>
              <w:rPr>
                <w:rFonts w:cs="Arial"/>
                <w:b/>
                <w:sz w:val="18"/>
                <w:szCs w:val="18"/>
                <w:lang w:val="en-US" w:eastAsia="en-US"/>
              </w:rPr>
            </w:pPr>
          </w:p>
        </w:tc>
        <w:tc>
          <w:tcPr>
            <w:tcW w:w="3261" w:type="dxa"/>
          </w:tcPr>
          <w:p w14:paraId="106A6495" w14:textId="0D830924" w:rsidR="001805EA" w:rsidRPr="00393FB5" w:rsidRDefault="001805EA" w:rsidP="00B44107">
            <w:pPr>
              <w:spacing w:before="40" w:after="40" w:line="240" w:lineRule="auto"/>
              <w:rPr>
                <w:rFonts w:cs="Arial"/>
                <w:sz w:val="18"/>
                <w:szCs w:val="18"/>
                <w:lang w:val="en-US" w:eastAsia="en-US"/>
              </w:rPr>
            </w:pPr>
            <w:r w:rsidRPr="00465D16">
              <w:rPr>
                <w:rFonts w:cs="Arial"/>
                <w:sz w:val="18"/>
                <w:szCs w:val="18"/>
                <w:lang w:val="en-US" w:eastAsia="en-US"/>
              </w:rPr>
              <w:t>To promote best clinical practice - routine co-claiming of these two items is not appropriate clinical practice</w:t>
            </w:r>
            <w:r w:rsidR="00173551">
              <w:rPr>
                <w:rFonts w:cs="Arial"/>
                <w:sz w:val="18"/>
                <w:szCs w:val="18"/>
                <w:lang w:val="en-US" w:eastAsia="en-US"/>
              </w:rPr>
              <w:t>.</w:t>
            </w:r>
          </w:p>
        </w:tc>
      </w:tr>
    </w:tbl>
    <w:p w14:paraId="76F71577" w14:textId="77777777" w:rsidR="000001F1" w:rsidRDefault="000001F1" w:rsidP="00594078">
      <w:pPr>
        <w:pStyle w:val="Caption"/>
        <w:rPr>
          <w:b/>
        </w:rPr>
      </w:pPr>
    </w:p>
    <w:p w14:paraId="7FFF5FE0" w14:textId="77777777" w:rsidR="000001F1" w:rsidRPr="00C63763" w:rsidRDefault="000001F1" w:rsidP="000001F1">
      <w:pPr>
        <w:pStyle w:val="Caption"/>
        <w:rPr>
          <w:b/>
        </w:rPr>
      </w:pPr>
      <w:r w:rsidRPr="00C63763">
        <w:rPr>
          <w:b/>
        </w:rPr>
        <w:t>Recommendation 3 Redundant items for DVT imaging</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C, recommendation 3 table contains information on redundant items for deep vein thrombosis imaging."/>
      </w:tblPr>
      <w:tblGrid>
        <w:gridCol w:w="1635"/>
        <w:gridCol w:w="2719"/>
        <w:gridCol w:w="2549"/>
        <w:gridCol w:w="3963"/>
        <w:gridCol w:w="3256"/>
      </w:tblGrid>
      <w:tr w:rsidR="000001F1" w:rsidRPr="00505D08" w14:paraId="4556AE79" w14:textId="77777777" w:rsidTr="00633597">
        <w:trPr>
          <w:cantSplit/>
          <w:trHeight w:val="488"/>
          <w:tblHeader/>
        </w:trPr>
        <w:tc>
          <w:tcPr>
            <w:tcW w:w="1638" w:type="dxa"/>
            <w:shd w:val="clear" w:color="auto" w:fill="auto"/>
          </w:tcPr>
          <w:p w14:paraId="030E18ED" w14:textId="77777777" w:rsidR="000001F1" w:rsidRPr="00505D08" w:rsidRDefault="000001F1" w:rsidP="00633597">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2723" w:type="dxa"/>
            <w:shd w:val="clear" w:color="auto" w:fill="auto"/>
          </w:tcPr>
          <w:p w14:paraId="4EDEFC03" w14:textId="77777777" w:rsidR="000001F1" w:rsidRPr="00505D08" w:rsidRDefault="000001F1" w:rsidP="00633597">
            <w:pPr>
              <w:spacing w:before="40" w:after="40" w:line="240" w:lineRule="auto"/>
              <w:jc w:val="center"/>
              <w:rPr>
                <w:rFonts w:cs="Arial"/>
                <w:b/>
                <w:sz w:val="18"/>
                <w:szCs w:val="18"/>
                <w:lang w:val="en-US" w:eastAsia="en-US"/>
              </w:rPr>
            </w:pPr>
            <w:r>
              <w:rPr>
                <w:rFonts w:cs="Arial"/>
                <w:b/>
                <w:sz w:val="18"/>
                <w:szCs w:val="18"/>
                <w:lang w:val="en-US" w:eastAsia="en-US"/>
              </w:rPr>
              <w:t>W</w:t>
            </w:r>
            <w:r w:rsidRPr="00505D08">
              <w:rPr>
                <w:rFonts w:cs="Arial"/>
                <w:b/>
                <w:sz w:val="18"/>
                <w:szCs w:val="18"/>
                <w:lang w:val="en-US" w:eastAsia="en-US"/>
              </w:rPr>
              <w:t>hat it does</w:t>
            </w:r>
          </w:p>
        </w:tc>
        <w:tc>
          <w:tcPr>
            <w:tcW w:w="2551" w:type="dxa"/>
            <w:shd w:val="clear" w:color="auto" w:fill="auto"/>
          </w:tcPr>
          <w:p w14:paraId="5B76D69B" w14:textId="77777777" w:rsidR="000001F1" w:rsidRPr="00505D08" w:rsidRDefault="000001F1" w:rsidP="00633597">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969" w:type="dxa"/>
            <w:shd w:val="clear" w:color="auto" w:fill="auto"/>
          </w:tcPr>
          <w:p w14:paraId="7913EF24" w14:textId="77777777" w:rsidR="000001F1" w:rsidRPr="00505D08" w:rsidRDefault="000001F1" w:rsidP="00633597">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261" w:type="dxa"/>
            <w:shd w:val="clear" w:color="auto" w:fill="auto"/>
          </w:tcPr>
          <w:p w14:paraId="0CCA3B6E" w14:textId="77777777" w:rsidR="000001F1" w:rsidRPr="00505D08" w:rsidRDefault="000001F1" w:rsidP="00633597">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0001F1" w:rsidRPr="00505D08" w14:paraId="74C0DF2D" w14:textId="77777777" w:rsidTr="00633597">
        <w:trPr>
          <w:cantSplit/>
          <w:trHeight w:val="899"/>
        </w:trPr>
        <w:tc>
          <w:tcPr>
            <w:tcW w:w="14142" w:type="dxa"/>
            <w:gridSpan w:val="5"/>
            <w:shd w:val="clear" w:color="auto" w:fill="auto"/>
          </w:tcPr>
          <w:p w14:paraId="297024AF" w14:textId="77777777" w:rsidR="000001F1" w:rsidRPr="00C63763" w:rsidRDefault="000001F1" w:rsidP="00633597">
            <w:pPr>
              <w:rPr>
                <w:sz w:val="18"/>
                <w:szCs w:val="18"/>
              </w:rPr>
            </w:pPr>
            <w:r w:rsidRPr="00C63763">
              <w:rPr>
                <w:sz w:val="18"/>
                <w:szCs w:val="18"/>
              </w:rPr>
              <w:t xml:space="preserve">It is recommended that a mechanism is identified to reduce the number of NK (services performed on old equipment), which duplicate regular items and lengthen the Diagnostic Imaging Services Table (DIST), as a class solution. The </w:t>
            </w:r>
            <w:r>
              <w:rPr>
                <w:sz w:val="18"/>
                <w:szCs w:val="18"/>
              </w:rPr>
              <w:t>Committee</w:t>
            </w:r>
            <w:r w:rsidRPr="00C63763">
              <w:rPr>
                <w:sz w:val="18"/>
                <w:szCs w:val="18"/>
              </w:rPr>
              <w:t xml:space="preserve"> will separately consult on recommendations about capital sensitivity. </w:t>
            </w:r>
          </w:p>
          <w:p w14:paraId="4E3C276A" w14:textId="77777777" w:rsidR="000001F1" w:rsidRPr="00393FB5" w:rsidRDefault="000001F1" w:rsidP="00633597">
            <w:pPr>
              <w:spacing w:before="40" w:after="40" w:line="240" w:lineRule="auto"/>
              <w:rPr>
                <w:rFonts w:cs="Arial"/>
                <w:sz w:val="18"/>
                <w:szCs w:val="18"/>
                <w:lang w:val="en-US" w:eastAsia="en-US"/>
              </w:rPr>
            </w:pPr>
          </w:p>
        </w:tc>
      </w:tr>
    </w:tbl>
    <w:p w14:paraId="4BC77BA1" w14:textId="5082D0BF" w:rsidR="00296E52" w:rsidRDefault="000001F1" w:rsidP="00594078">
      <w:pPr>
        <w:pStyle w:val="Caption"/>
        <w:rPr>
          <w:b/>
        </w:rPr>
      </w:pPr>
      <w:r>
        <w:rPr>
          <w:b/>
        </w:rPr>
        <w:br w:type="page"/>
      </w:r>
    </w:p>
    <w:p w14:paraId="02DB0457" w14:textId="16714CCC" w:rsidR="00296E52" w:rsidRPr="00594078" w:rsidRDefault="00296E52" w:rsidP="00296E52">
      <w:pPr>
        <w:pStyle w:val="Caption"/>
        <w:rPr>
          <w:b/>
        </w:rPr>
      </w:pPr>
      <w:bookmarkStart w:id="65" w:name="_Toc468787432"/>
      <w:r w:rsidRPr="00594078">
        <w:rPr>
          <w:b/>
        </w:rPr>
        <w:lastRenderedPageBreak/>
        <w:t xml:space="preserve">Recommendation </w:t>
      </w:r>
      <w:r>
        <w:rPr>
          <w:b/>
        </w:rPr>
        <w:t>4</w:t>
      </w:r>
      <w:r w:rsidRPr="007155B5">
        <w:rPr>
          <w:b/>
        </w:rPr>
        <w:t xml:space="preserve"> </w:t>
      </w:r>
      <w:r w:rsidRPr="00296E52">
        <w:rPr>
          <w:b/>
        </w:rPr>
        <w:t xml:space="preserve">MBS explanatory notes for the MBS items dealing with diagnostic imaging for </w:t>
      </w:r>
      <w:r>
        <w:rPr>
          <w:b/>
        </w:rPr>
        <w:t>PE</w:t>
      </w:r>
      <w:bookmarkEnd w:id="65"/>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ppendix C, recommendation 4 table looks at item numbers 57351, 57356, 61328, 61340 and 61348 in regards to ventilation perfusion scans and CTPA for the diagnosis of pulmonary embolism. This table contains 5 column headings: column 1. List of items, column 2. What it does, column 3. Committee Recommendation, column 4. What would be different and column 5 Why."/>
      </w:tblPr>
      <w:tblGrid>
        <w:gridCol w:w="1625"/>
        <w:gridCol w:w="2730"/>
        <w:gridCol w:w="2613"/>
        <w:gridCol w:w="3898"/>
        <w:gridCol w:w="3256"/>
      </w:tblGrid>
      <w:tr w:rsidR="00126B1C" w:rsidRPr="00ED7D2E" w14:paraId="78686078" w14:textId="77777777" w:rsidTr="00A3458C">
        <w:trPr>
          <w:cantSplit/>
          <w:trHeight w:val="520"/>
          <w:tblHeader/>
        </w:trPr>
        <w:tc>
          <w:tcPr>
            <w:tcW w:w="1627" w:type="dxa"/>
          </w:tcPr>
          <w:p w14:paraId="5A8804C0" w14:textId="77777777" w:rsidR="00EC4FD5" w:rsidRPr="00505D08" w:rsidRDefault="00EC4FD5" w:rsidP="00632E76">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2734" w:type="dxa"/>
          </w:tcPr>
          <w:p w14:paraId="2F2B2B0B" w14:textId="77777777" w:rsidR="00EC4FD5" w:rsidRPr="00505D08" w:rsidRDefault="00EC4FD5" w:rsidP="00632E76">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616" w:type="dxa"/>
          </w:tcPr>
          <w:p w14:paraId="261F110D" w14:textId="77777777" w:rsidR="00EC4FD5" w:rsidRPr="00505D08" w:rsidRDefault="00EC4FD5" w:rsidP="00632E76">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904" w:type="dxa"/>
          </w:tcPr>
          <w:p w14:paraId="10DDE137" w14:textId="77777777" w:rsidR="00EC4FD5" w:rsidRPr="00505D08" w:rsidRDefault="00EC4FD5" w:rsidP="00632E76">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261" w:type="dxa"/>
          </w:tcPr>
          <w:p w14:paraId="2B15A504" w14:textId="77777777" w:rsidR="00EC4FD5" w:rsidRPr="00505D08" w:rsidRDefault="00EC4FD5" w:rsidP="00632E76">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126B1C" w:rsidRPr="00ED7D2E" w14:paraId="6E3A5C62" w14:textId="77777777" w:rsidTr="00A3458C">
        <w:trPr>
          <w:cantSplit/>
          <w:trHeight w:val="1602"/>
        </w:trPr>
        <w:tc>
          <w:tcPr>
            <w:tcW w:w="1627" w:type="dxa"/>
          </w:tcPr>
          <w:p w14:paraId="5749C983" w14:textId="3E7A9CA7" w:rsidR="00EC4FD5" w:rsidRPr="00C477C9" w:rsidRDefault="00C477C9" w:rsidP="00632E76">
            <w:pPr>
              <w:spacing w:before="40" w:after="40" w:line="240" w:lineRule="auto"/>
              <w:rPr>
                <w:rFonts w:cs="Arial"/>
                <w:b/>
                <w:sz w:val="18"/>
                <w:szCs w:val="18"/>
                <w:lang w:val="en-US" w:eastAsia="en-US"/>
              </w:rPr>
            </w:pPr>
            <w:r w:rsidRPr="00C477C9">
              <w:rPr>
                <w:rFonts w:eastAsiaTheme="minorHAnsi"/>
                <w:b/>
                <w:sz w:val="18"/>
                <w:lang w:val="en-US"/>
              </w:rPr>
              <w:t>57351, 57356, 61328, 61340, 61348</w:t>
            </w:r>
          </w:p>
        </w:tc>
        <w:tc>
          <w:tcPr>
            <w:tcW w:w="2734" w:type="dxa"/>
          </w:tcPr>
          <w:p w14:paraId="44C49269" w14:textId="247AD564" w:rsidR="00EC4FD5" w:rsidRPr="00505D08" w:rsidRDefault="00126B1C" w:rsidP="00632E76">
            <w:pPr>
              <w:spacing w:before="40" w:after="40" w:line="240" w:lineRule="auto"/>
              <w:rPr>
                <w:rFonts w:cs="Arial"/>
                <w:sz w:val="18"/>
                <w:szCs w:val="18"/>
              </w:rPr>
            </w:pPr>
            <w:r>
              <w:rPr>
                <w:sz w:val="18"/>
              </w:rPr>
              <w:t>V</w:t>
            </w:r>
            <w:r w:rsidRPr="00126B1C">
              <w:rPr>
                <w:sz w:val="18"/>
              </w:rPr>
              <w:t xml:space="preserve">entilation perfusion (V/Q) scans and CTPA for the diagnosis of pulmonary embolism </w:t>
            </w:r>
          </w:p>
        </w:tc>
        <w:tc>
          <w:tcPr>
            <w:tcW w:w="2616" w:type="dxa"/>
          </w:tcPr>
          <w:p w14:paraId="6C031E3D" w14:textId="24DFFEFA" w:rsidR="007155B5" w:rsidRDefault="007155B5" w:rsidP="00393FB5">
            <w:pPr>
              <w:spacing w:before="40" w:after="40" w:line="240" w:lineRule="auto"/>
              <w:rPr>
                <w:rFonts w:cs="Arial"/>
                <w:sz w:val="18"/>
                <w:szCs w:val="18"/>
                <w:lang w:val="en-US" w:eastAsia="en-US"/>
              </w:rPr>
            </w:pPr>
            <w:r w:rsidRPr="007155B5">
              <w:rPr>
                <w:rFonts w:cs="Arial"/>
                <w:sz w:val="18"/>
                <w:szCs w:val="18"/>
                <w:lang w:val="en-US" w:eastAsia="en-US"/>
              </w:rPr>
              <w:t>Current clinical evidence suggests that</w:t>
            </w:r>
            <w:r w:rsidRPr="007155B5">
              <w:rPr>
                <w:rFonts w:cs="Arial"/>
                <w:sz w:val="18"/>
                <w:szCs w:val="18"/>
                <w:lang w:eastAsia="en-US"/>
              </w:rPr>
              <w:t xml:space="preserve"> diagnostic testing for suspected pulmonary embolism (PE) </w:t>
            </w:r>
            <w:r>
              <w:rPr>
                <w:rFonts w:cs="Arial"/>
                <w:sz w:val="18"/>
                <w:szCs w:val="18"/>
                <w:lang w:eastAsia="en-US"/>
              </w:rPr>
              <w:t xml:space="preserve">should not be requested </w:t>
            </w:r>
            <w:r w:rsidRPr="007155B5">
              <w:rPr>
                <w:rFonts w:cs="Arial"/>
                <w:sz w:val="18"/>
                <w:szCs w:val="18"/>
                <w:lang w:eastAsia="en-US"/>
              </w:rPr>
              <w:t>unless indicated by Wells Score (or Charlotte Rule) followed by PE Rule-out Criteria (in patients not pregnant). Low risk patients in whom diagnostic testing is indicated should have PE excluded by a negative D dimer, not imaging.</w:t>
            </w:r>
          </w:p>
          <w:p w14:paraId="4431AE98" w14:textId="2AB48FF3" w:rsidR="00EC4FD5" w:rsidRPr="000255A0" w:rsidRDefault="007155B5" w:rsidP="00393FB5">
            <w:pPr>
              <w:spacing w:before="40" w:after="40" w:line="240" w:lineRule="auto"/>
              <w:rPr>
                <w:rFonts w:cs="Arial"/>
                <w:sz w:val="18"/>
                <w:szCs w:val="18"/>
                <w:lang w:val="en-US" w:eastAsia="en-US"/>
              </w:rPr>
            </w:pPr>
            <w:r>
              <w:rPr>
                <w:rFonts w:cs="Arial"/>
                <w:sz w:val="18"/>
                <w:szCs w:val="18"/>
                <w:lang w:val="en-US" w:eastAsia="en-US"/>
              </w:rPr>
              <w:t xml:space="preserve">To reflect this, the Committee recommends that </w:t>
            </w:r>
            <w:r w:rsidRPr="00585FB5">
              <w:rPr>
                <w:rFonts w:cs="Arial"/>
                <w:sz w:val="18"/>
                <w:szCs w:val="18"/>
                <w:lang w:val="en-US" w:eastAsia="en-US"/>
              </w:rPr>
              <w:t>Reference</w:t>
            </w:r>
            <w:r>
              <w:rPr>
                <w:rFonts w:cs="Arial"/>
                <w:sz w:val="18"/>
                <w:szCs w:val="18"/>
                <w:lang w:val="en-US" w:eastAsia="en-US"/>
              </w:rPr>
              <w:t xml:space="preserve"> to</w:t>
            </w:r>
            <w:r w:rsidRPr="00585FB5">
              <w:rPr>
                <w:rFonts w:cs="Arial"/>
                <w:sz w:val="18"/>
                <w:szCs w:val="18"/>
                <w:lang w:val="en-US" w:eastAsia="en-US"/>
              </w:rPr>
              <w:t xml:space="preserve"> the RANZCR Choosing Wisely recommendations</w:t>
            </w:r>
            <w:r>
              <w:rPr>
                <w:rFonts w:cs="Arial"/>
                <w:sz w:val="18"/>
                <w:szCs w:val="18"/>
                <w:lang w:val="en-US" w:eastAsia="en-US"/>
              </w:rPr>
              <w:t xml:space="preserve"> be made </w:t>
            </w:r>
            <w:r w:rsidRPr="00585FB5">
              <w:rPr>
                <w:rFonts w:cs="Arial"/>
                <w:sz w:val="18"/>
                <w:szCs w:val="18"/>
                <w:lang w:val="en-US" w:eastAsia="en-US"/>
              </w:rPr>
              <w:t xml:space="preserve">in the explanatory notes </w:t>
            </w:r>
            <w:r w:rsidR="00585FB5" w:rsidRPr="00585FB5">
              <w:rPr>
                <w:rFonts w:cs="Arial"/>
                <w:sz w:val="18"/>
                <w:szCs w:val="18"/>
                <w:lang w:val="en-US" w:eastAsia="en-US"/>
              </w:rPr>
              <w:t xml:space="preserve">used for PE diagnostic imaging </w:t>
            </w:r>
            <w:r w:rsidR="000211A2">
              <w:rPr>
                <w:rFonts w:cs="Arial"/>
                <w:sz w:val="18"/>
                <w:szCs w:val="18"/>
                <w:lang w:val="en-US" w:eastAsia="en-US"/>
              </w:rPr>
              <w:t>items.</w:t>
            </w:r>
          </w:p>
        </w:tc>
        <w:tc>
          <w:tcPr>
            <w:tcW w:w="3904" w:type="dxa"/>
          </w:tcPr>
          <w:p w14:paraId="65B5511E" w14:textId="78C8FB1A" w:rsidR="00393FB5" w:rsidRPr="00393FB5" w:rsidRDefault="001C4EF9" w:rsidP="00393FB5">
            <w:pPr>
              <w:spacing w:before="40" w:after="40" w:line="240" w:lineRule="auto"/>
              <w:ind w:left="57" w:right="57"/>
              <w:rPr>
                <w:rFonts w:cs="Arial"/>
                <w:sz w:val="18"/>
                <w:szCs w:val="18"/>
                <w:lang w:val="en-US" w:eastAsia="en-US"/>
              </w:rPr>
            </w:pPr>
            <w:r>
              <w:rPr>
                <w:rFonts w:cs="Arial"/>
                <w:sz w:val="18"/>
                <w:szCs w:val="18"/>
                <w:lang w:val="en-US" w:eastAsia="en-US"/>
              </w:rPr>
              <w:t>Updating explanatory notes will</w:t>
            </w:r>
            <w:r w:rsidR="00393FB5" w:rsidRPr="00393FB5">
              <w:rPr>
                <w:rFonts w:cs="Arial"/>
                <w:sz w:val="18"/>
                <w:szCs w:val="18"/>
                <w:lang w:val="en-US" w:eastAsia="en-US"/>
              </w:rPr>
              <w:t xml:space="preserve"> prompt consideration to</w:t>
            </w:r>
            <w:r>
              <w:rPr>
                <w:rFonts w:cs="Arial"/>
                <w:sz w:val="18"/>
                <w:szCs w:val="18"/>
                <w:lang w:val="en-US" w:eastAsia="en-US"/>
              </w:rPr>
              <w:t xml:space="preserve"> be given to</w:t>
            </w:r>
            <w:r w:rsidR="00393FB5" w:rsidRPr="00393FB5">
              <w:rPr>
                <w:rFonts w:cs="Arial"/>
                <w:sz w:val="18"/>
                <w:szCs w:val="18"/>
                <w:lang w:val="en-US" w:eastAsia="en-US"/>
              </w:rPr>
              <w:t xml:space="preserve"> clinical guidelines.</w:t>
            </w:r>
          </w:p>
          <w:p w14:paraId="4C8EDE69" w14:textId="77777777" w:rsidR="00EC4FD5" w:rsidRPr="000255A0" w:rsidRDefault="00EC4FD5" w:rsidP="00632E76">
            <w:pPr>
              <w:spacing w:before="40" w:after="40" w:line="240" w:lineRule="auto"/>
              <w:ind w:left="57" w:right="57"/>
              <w:rPr>
                <w:rFonts w:cs="Arial"/>
                <w:sz w:val="18"/>
                <w:szCs w:val="18"/>
                <w:lang w:val="en-US" w:eastAsia="en-US"/>
              </w:rPr>
            </w:pPr>
          </w:p>
        </w:tc>
        <w:tc>
          <w:tcPr>
            <w:tcW w:w="3261" w:type="dxa"/>
          </w:tcPr>
          <w:p w14:paraId="1FF75310" w14:textId="162C63AC" w:rsidR="00EC4FD5" w:rsidRPr="000255A0" w:rsidRDefault="00393FB5" w:rsidP="00632E76">
            <w:pPr>
              <w:spacing w:before="40" w:after="40" w:line="240" w:lineRule="auto"/>
              <w:rPr>
                <w:rFonts w:cs="Arial"/>
                <w:sz w:val="18"/>
                <w:szCs w:val="18"/>
                <w:lang w:val="en-US" w:eastAsia="en-US"/>
              </w:rPr>
            </w:pPr>
            <w:r w:rsidRPr="00393FB5">
              <w:rPr>
                <w:rFonts w:cs="Arial"/>
                <w:sz w:val="18"/>
                <w:szCs w:val="18"/>
                <w:lang w:val="en-US" w:eastAsia="en-US"/>
              </w:rPr>
              <w:t>To promote best clinical practice in accordance to</w:t>
            </w:r>
            <w:r>
              <w:rPr>
                <w:rFonts w:cs="Arial"/>
                <w:sz w:val="18"/>
                <w:szCs w:val="18"/>
                <w:lang w:val="en-US" w:eastAsia="en-US"/>
              </w:rPr>
              <w:t xml:space="preserve"> current evidence.</w:t>
            </w:r>
          </w:p>
        </w:tc>
      </w:tr>
    </w:tbl>
    <w:p w14:paraId="4625C4E4" w14:textId="77777777" w:rsidR="00A3458C" w:rsidRDefault="00A3458C" w:rsidP="00B206AE">
      <w:pPr>
        <w:spacing w:before="0" w:after="0" w:line="240" w:lineRule="auto"/>
        <w:rPr>
          <w:b/>
        </w:rPr>
      </w:pPr>
    </w:p>
    <w:p w14:paraId="4C388074" w14:textId="77777777" w:rsidR="007155B5" w:rsidRDefault="007155B5">
      <w:pPr>
        <w:spacing w:before="0" w:after="0" w:line="240" w:lineRule="auto"/>
        <w:rPr>
          <w:b/>
        </w:rPr>
      </w:pPr>
    </w:p>
    <w:p w14:paraId="00D66BE1" w14:textId="77777777" w:rsidR="00465D16" w:rsidRPr="00B206AE" w:rsidRDefault="00465D16" w:rsidP="001C4EF9">
      <w:pPr>
        <w:spacing w:before="0" w:after="0" w:line="240" w:lineRule="auto"/>
      </w:pPr>
    </w:p>
    <w:sectPr w:rsidR="00465D16" w:rsidRPr="00B206AE" w:rsidSect="00126B1C">
      <w:pgSz w:w="16838" w:h="11906" w:orient="landscape" w:code="9"/>
      <w:pgMar w:top="1440" w:right="1440" w:bottom="1440" w:left="1276"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D9B07" w14:textId="77777777" w:rsidR="00633597" w:rsidRDefault="00633597" w:rsidP="000D1CF6">
      <w:r>
        <w:separator/>
      </w:r>
    </w:p>
    <w:p w14:paraId="30E12A85" w14:textId="77777777" w:rsidR="00633597" w:rsidRDefault="00633597" w:rsidP="000D1CF6"/>
    <w:p w14:paraId="4928F507" w14:textId="77777777" w:rsidR="00633597" w:rsidRDefault="00633597"/>
  </w:endnote>
  <w:endnote w:type="continuationSeparator" w:id="0">
    <w:p w14:paraId="75D4691C" w14:textId="77777777" w:rsidR="00633597" w:rsidRDefault="00633597" w:rsidP="000D1CF6">
      <w:r>
        <w:continuationSeparator/>
      </w:r>
    </w:p>
    <w:p w14:paraId="70D15533" w14:textId="77777777" w:rsidR="00633597" w:rsidRDefault="00633597" w:rsidP="000D1CF6"/>
    <w:p w14:paraId="29BE7373" w14:textId="77777777" w:rsidR="00633597" w:rsidRDefault="00633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swiss"/>
    <w:notTrueType/>
    <w:pitch w:val="variable"/>
    <w:sig w:usb0="00000003" w:usb1="00000001" w:usb2="00000000" w:usb3="00000000" w:csb0="0000019F" w:csb1="00000000"/>
  </w:font>
  <w:font w:name="Arial Bold">
    <w:panose1 w:val="020B0704020202020204"/>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3D039" w14:textId="3D63CF32" w:rsidR="00633597" w:rsidRDefault="00633597" w:rsidP="00381125">
    <w:pPr>
      <w:pStyle w:val="Footer"/>
      <w:pBdr>
        <w:top w:val="single" w:sz="4" w:space="1" w:color="B56012"/>
      </w:pBdr>
      <w:tabs>
        <w:tab w:val="clear" w:pos="4513"/>
      </w:tabs>
      <w:jc w:val="center"/>
    </w:pPr>
    <w:r w:rsidRPr="000869E6">
      <w:rPr>
        <w:color w:val="01653F"/>
        <w:sz w:val="16"/>
      </w:rPr>
      <w:t xml:space="preserve">Report from the </w:t>
    </w:r>
    <w:r w:rsidRPr="00297246">
      <w:rPr>
        <w:color w:val="01653F"/>
        <w:sz w:val="16"/>
      </w:rPr>
      <w:t xml:space="preserve">Diagnostic Imaging Clinical Committee </w:t>
    </w:r>
    <w:r>
      <w:rPr>
        <w:color w:val="01653F"/>
        <w:sz w:val="16"/>
      </w:rPr>
      <w:t>– PE and DVT – December</w:t>
    </w:r>
    <w:r w:rsidRPr="000869E6">
      <w:rPr>
        <w:color w:val="01653F"/>
        <w:sz w:val="16"/>
      </w:rPr>
      <w:t xml:space="preserve"> 2016</w:t>
    </w:r>
    <w:r>
      <w:rPr>
        <w:color w:val="01653F"/>
        <w:sz w:val="16"/>
      </w:rPr>
      <w:tab/>
    </w:r>
    <w:r w:rsidRPr="003B1222">
      <w:rPr>
        <w:color w:val="01653F"/>
        <w:sz w:val="16"/>
      </w:rPr>
      <w:t xml:space="preserve">Page </w:t>
    </w:r>
    <w:r w:rsidRPr="003B1222">
      <w:rPr>
        <w:color w:val="01653F"/>
      </w:rPr>
      <w:fldChar w:fldCharType="begin"/>
    </w:r>
    <w:r w:rsidRPr="003B1222">
      <w:rPr>
        <w:color w:val="01653F"/>
      </w:rPr>
      <w:instrText xml:space="preserve"> PAGE   \* MERGEFORMAT </w:instrText>
    </w:r>
    <w:r w:rsidRPr="003B1222">
      <w:rPr>
        <w:color w:val="01653F"/>
      </w:rPr>
      <w:fldChar w:fldCharType="separate"/>
    </w:r>
    <w:r w:rsidR="00DC4611" w:rsidRPr="00DC4611">
      <w:rPr>
        <w:rFonts w:eastAsiaTheme="majorEastAsia"/>
        <w:noProof/>
        <w:color w:val="01653F"/>
        <w:sz w:val="16"/>
      </w:rPr>
      <w:t>19</w:t>
    </w:r>
    <w:r w:rsidRPr="003B1222">
      <w:rPr>
        <w:rFonts w:eastAsiaTheme="majorEastAsia"/>
        <w:noProof/>
        <w:color w:val="01653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4218A" w14:textId="71767AB6" w:rsidR="00633597" w:rsidRPr="003B1222" w:rsidRDefault="00633597" w:rsidP="00381125">
    <w:pPr>
      <w:pStyle w:val="Footer"/>
      <w:pBdr>
        <w:top w:val="single" w:sz="4" w:space="1" w:color="B56012"/>
      </w:pBdr>
      <w:tabs>
        <w:tab w:val="clear" w:pos="4513"/>
      </w:tabs>
      <w:jc w:val="center"/>
      <w:rPr>
        <w:color w:val="01653F"/>
        <w:sz w:val="16"/>
      </w:rPr>
    </w:pPr>
    <w:r w:rsidRPr="003B1222">
      <w:rPr>
        <w:color w:val="01653F"/>
        <w:sz w:val="16"/>
      </w:rPr>
      <w:t xml:space="preserve"> </w:t>
    </w:r>
    <w:r w:rsidRPr="000869E6">
      <w:rPr>
        <w:color w:val="01653F"/>
        <w:sz w:val="16"/>
      </w:rPr>
      <w:t xml:space="preserve">Report from the </w:t>
    </w:r>
    <w:r w:rsidRPr="00297246">
      <w:rPr>
        <w:color w:val="01653F"/>
        <w:sz w:val="16"/>
      </w:rPr>
      <w:t xml:space="preserve">Diagnostic Imaging Clinical Committee </w:t>
    </w:r>
    <w:r>
      <w:rPr>
        <w:color w:val="01653F"/>
        <w:sz w:val="16"/>
      </w:rPr>
      <w:t>– PE and DVT – December</w:t>
    </w:r>
    <w:r w:rsidRPr="000869E6">
      <w:rPr>
        <w:color w:val="01653F"/>
        <w:sz w:val="16"/>
      </w:rPr>
      <w:t xml:space="preserve"> 2016</w:t>
    </w:r>
    <w:r w:rsidRPr="003B1222">
      <w:rPr>
        <w:color w:val="01653F"/>
        <w:sz w:val="16"/>
      </w:rPr>
      <w:tab/>
      <w:t xml:space="preserve">Page </w:t>
    </w:r>
    <w:r w:rsidRPr="003B1222">
      <w:rPr>
        <w:color w:val="01653F"/>
      </w:rPr>
      <w:fldChar w:fldCharType="begin"/>
    </w:r>
    <w:r w:rsidRPr="003B1222">
      <w:rPr>
        <w:color w:val="01653F"/>
      </w:rPr>
      <w:instrText xml:space="preserve"> PAGE   \* MERGEFORMAT </w:instrText>
    </w:r>
    <w:r w:rsidRPr="003B1222">
      <w:rPr>
        <w:color w:val="01653F"/>
      </w:rPr>
      <w:fldChar w:fldCharType="separate"/>
    </w:r>
    <w:r w:rsidR="00DC4611" w:rsidRPr="00DC4611">
      <w:rPr>
        <w:rFonts w:eastAsiaTheme="majorEastAsia"/>
        <w:noProof/>
        <w:color w:val="01653F"/>
        <w:sz w:val="16"/>
      </w:rPr>
      <w:t>35</w:t>
    </w:r>
    <w:r w:rsidRPr="003B1222">
      <w:rPr>
        <w:rFonts w:eastAsiaTheme="majorEastAsia"/>
        <w:noProof/>
        <w:color w:val="01653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34B83" w14:textId="77777777" w:rsidR="00633597" w:rsidRDefault="00633597" w:rsidP="000D1CF6">
      <w:r>
        <w:separator/>
      </w:r>
    </w:p>
    <w:p w14:paraId="2D448635" w14:textId="77777777" w:rsidR="00633597" w:rsidRDefault="00633597" w:rsidP="000D1CF6"/>
    <w:p w14:paraId="38DD59C6" w14:textId="77777777" w:rsidR="00633597" w:rsidRDefault="00633597"/>
  </w:footnote>
  <w:footnote w:type="continuationSeparator" w:id="0">
    <w:p w14:paraId="400E726C" w14:textId="77777777" w:rsidR="00633597" w:rsidRDefault="00633597" w:rsidP="000D1CF6">
      <w:r>
        <w:continuationSeparator/>
      </w:r>
    </w:p>
    <w:p w14:paraId="05486451" w14:textId="77777777" w:rsidR="00633597" w:rsidRDefault="00633597" w:rsidP="000D1CF6"/>
    <w:p w14:paraId="453D2B0D" w14:textId="77777777" w:rsidR="00633597" w:rsidRDefault="006335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4955"/>
    <w:multiLevelType w:val="hybridMultilevel"/>
    <w:tmpl w:val="02D64512"/>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E8717A"/>
    <w:multiLevelType w:val="hybridMultilevel"/>
    <w:tmpl w:val="3D509020"/>
    <w:lvl w:ilvl="0" w:tplc="1B641CCE">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13D62010"/>
    <w:multiLevelType w:val="hybridMultilevel"/>
    <w:tmpl w:val="3D648BFE"/>
    <w:lvl w:ilvl="0" w:tplc="E0689C7E">
      <w:start w:val="1"/>
      <w:numFmt w:val="lowerRoman"/>
      <w:pStyle w:val="TableBulletrom"/>
      <w:lvlText w:val="(%1)"/>
      <w:lvlJc w:val="left"/>
      <w:pPr>
        <w:ind w:left="936" w:hanging="360"/>
      </w:pPr>
      <w:rPr>
        <w:rFonts w:hint="default"/>
        <w:color w:val="000000" w:themeColor="text1"/>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16BB4224"/>
    <w:multiLevelType w:val="hybridMultilevel"/>
    <w:tmpl w:val="1B0610DC"/>
    <w:lvl w:ilvl="0" w:tplc="1CD09CAE">
      <w:start w:val="1"/>
      <w:numFmt w:val="bullet"/>
      <w:pStyle w:val="BoxBullet"/>
      <w:lvlText w:val="∆"/>
      <w:lvlJc w:val="left"/>
      <w:pPr>
        <w:tabs>
          <w:tab w:val="num" w:pos="357"/>
        </w:tabs>
        <w:ind w:left="357" w:hanging="357"/>
      </w:pPr>
      <w:rPr>
        <w:rFonts w:ascii="Calibri" w:hAnsi="Calibri" w:hint="default"/>
        <w:color w:val="B560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23834"/>
    <w:multiLevelType w:val="hybridMultilevel"/>
    <w:tmpl w:val="9E6E81A2"/>
    <w:lvl w:ilvl="0" w:tplc="BEF08704">
      <w:start w:val="1"/>
      <w:numFmt w:val="upperLetter"/>
      <w:pStyle w:val="AppendixStyle1"/>
      <w:lvlText w:val="Appendix %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422B04"/>
    <w:multiLevelType w:val="hybridMultilevel"/>
    <w:tmpl w:val="448861B4"/>
    <w:lvl w:ilvl="0" w:tplc="CD40B07C">
      <w:start w:val="1"/>
      <w:numFmt w:val="decimal"/>
      <w:lvlText w:val="%1."/>
      <w:lvlJc w:val="left"/>
      <w:pPr>
        <w:ind w:left="360" w:hanging="360"/>
      </w:pPr>
      <w:rPr>
        <w:rFonts w:hint="default"/>
        <w:b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B27BFD"/>
    <w:multiLevelType w:val="multilevel"/>
    <w:tmpl w:val="B3C89B00"/>
    <w:lvl w:ilvl="0">
      <w:start w:val="1"/>
      <w:numFmt w:val="bullet"/>
      <w:pStyle w:val="01squarebullet"/>
      <w:lvlText w:val=""/>
      <w:lvlJc w:val="left"/>
      <w:pPr>
        <w:tabs>
          <w:tab w:val="num" w:pos="357"/>
        </w:tabs>
        <w:ind w:left="360" w:hanging="360"/>
      </w:pPr>
      <w:rPr>
        <w:rFonts w:ascii="Symbol" w:hAnsi="Symbol"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7" w15:restartNumberingAfterBreak="0">
    <w:nsid w:val="21131BE9"/>
    <w:multiLevelType w:val="hybridMultilevel"/>
    <w:tmpl w:val="6638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D4EE7C6">
      <w:start w:val="1"/>
      <w:numFmt w:val="bullet"/>
      <w:pStyle w:val="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593547"/>
    <w:multiLevelType w:val="multilevel"/>
    <w:tmpl w:val="8DB4AC64"/>
    <w:styleLink w:val="Style2"/>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9" w15:restartNumberingAfterBreak="0">
    <w:nsid w:val="23A10146"/>
    <w:multiLevelType w:val="hybridMultilevel"/>
    <w:tmpl w:val="1680B3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F968D9"/>
    <w:multiLevelType w:val="hybridMultilevel"/>
    <w:tmpl w:val="1B026312"/>
    <w:lvl w:ilvl="0" w:tplc="0C1E34B8">
      <w:start w:val="1"/>
      <w:numFmt w:val="decimal"/>
      <w:pStyle w:val="Number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DC71B52"/>
    <w:multiLevelType w:val="hybridMultilevel"/>
    <w:tmpl w:val="3758939A"/>
    <w:lvl w:ilvl="0" w:tplc="FAAAE8F6">
      <w:start w:val="1"/>
      <w:numFmt w:val="bullet"/>
      <w:pStyle w:val="Bulleted"/>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3" w15:restartNumberingAfterBreak="0">
    <w:nsid w:val="54F63125"/>
    <w:multiLevelType w:val="hybridMultilevel"/>
    <w:tmpl w:val="1C74F96A"/>
    <w:lvl w:ilvl="0" w:tplc="58087DCE">
      <w:start w:val="1"/>
      <w:numFmt w:val="bullet"/>
      <w:lvlText w:val="–"/>
      <w:lvlJc w:val="left"/>
      <w:pPr>
        <w:ind w:left="720" w:hanging="360"/>
      </w:pPr>
      <w:rPr>
        <w:rFonts w:ascii="Calibri" w:hAnsi="Calibri" w:hint="default"/>
      </w:rPr>
    </w:lvl>
    <w:lvl w:ilvl="1" w:tplc="1B641CC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2E141C"/>
    <w:multiLevelType w:val="multilevel"/>
    <w:tmpl w:val="4F1E91C8"/>
    <w:lvl w:ilvl="0">
      <w:start w:val="1"/>
      <w:numFmt w:val="bullet"/>
      <w:lvlText w:val=""/>
      <w:lvlJc w:val="left"/>
      <w:pPr>
        <w:tabs>
          <w:tab w:val="num" w:pos="357"/>
        </w:tabs>
        <w:ind w:left="360" w:hanging="360"/>
      </w:pPr>
      <w:rPr>
        <w:rFonts w:ascii="Symbol" w:hAnsi="Symbol" w:hint="default"/>
        <w:color w:val="auto"/>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Courier New" w:hAnsi="Courier New"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5" w15:restartNumberingAfterBreak="0">
    <w:nsid w:val="614C727D"/>
    <w:multiLevelType w:val="multilevel"/>
    <w:tmpl w:val="D2FE1C1A"/>
    <w:lvl w:ilvl="0">
      <w:start w:val="1"/>
      <w:numFmt w:val="bullet"/>
      <w:lvlText w:val=""/>
      <w:lvlJc w:val="left"/>
      <w:pPr>
        <w:tabs>
          <w:tab w:val="num" w:pos="357"/>
        </w:tabs>
        <w:ind w:left="360" w:hanging="360"/>
      </w:pPr>
      <w:rPr>
        <w:rFonts w:ascii="Symbol" w:hAnsi="Symbol" w:hint="default"/>
        <w:color w:val="auto"/>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Courier New" w:hAnsi="Courier New"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6" w15:restartNumberingAfterBreak="0">
    <w:nsid w:val="67E9153F"/>
    <w:multiLevelType w:val="hybridMultilevel"/>
    <w:tmpl w:val="84E02334"/>
    <w:lvl w:ilvl="0" w:tplc="F976D4BA">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E02197"/>
    <w:multiLevelType w:val="multilevel"/>
    <w:tmpl w:val="76201C88"/>
    <w:lvl w:ilvl="0">
      <w:start w:val="1"/>
      <w:numFmt w:val="decimal"/>
      <w:pStyle w:val="Numbered"/>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3.%2"/>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D0575B2"/>
    <w:multiLevelType w:val="multilevel"/>
    <w:tmpl w:val="B44443D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7"/>
  </w:num>
  <w:num w:numId="2">
    <w:abstractNumId w:val="10"/>
  </w:num>
  <w:num w:numId="3">
    <w:abstractNumId w:val="6"/>
  </w:num>
  <w:num w:numId="4">
    <w:abstractNumId w:val="4"/>
  </w:num>
  <w:num w:numId="5">
    <w:abstractNumId w:val="11"/>
  </w:num>
  <w:num w:numId="6">
    <w:abstractNumId w:val="18"/>
  </w:num>
  <w:num w:numId="7">
    <w:abstractNumId w:val="16"/>
  </w:num>
  <w:num w:numId="8">
    <w:abstractNumId w:val="12"/>
  </w:num>
  <w:num w:numId="9">
    <w:abstractNumId w:val="17"/>
  </w:num>
  <w:num w:numId="10">
    <w:abstractNumId w:val="3"/>
  </w:num>
  <w:num w:numId="11">
    <w:abstractNumId w:val="2"/>
  </w:num>
  <w:num w:numId="12">
    <w:abstractNumId w:val="0"/>
  </w:num>
  <w:num w:numId="13">
    <w:abstractNumId w:val="13"/>
  </w:num>
  <w:num w:numId="14">
    <w:abstractNumId w:val="14"/>
  </w:num>
  <w:num w:numId="15">
    <w:abstractNumId w:val="15"/>
  </w:num>
  <w:num w:numId="16">
    <w:abstractNumId w:val="1"/>
  </w:num>
  <w:num w:numId="17">
    <w:abstractNumId w:val="8"/>
  </w:num>
  <w:num w:numId="18">
    <w:abstractNumId w:val="5"/>
  </w:num>
  <w:num w:numId="19">
    <w:abstractNumId w:val="18"/>
  </w:num>
  <w:num w:numId="20">
    <w:abstractNumId w:val="16"/>
  </w:num>
  <w:num w:numId="21">
    <w:abstractNumId w:val="16"/>
  </w:num>
  <w:num w:numId="22">
    <w:abstractNumId w:val="18"/>
  </w:num>
  <w:num w:numId="23">
    <w:abstractNumId w:val="16"/>
  </w:num>
  <w:num w:numId="24">
    <w:abstractNumId w:val="9"/>
  </w:num>
  <w:num w:numId="2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characterSpacingControl w:val="doNotCompress"/>
  <w:hdrShapeDefaults>
    <o:shapedefaults v:ext="edit" spidmax="3481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sNewDoc" w:val="No"/>
  </w:docVars>
  <w:rsids>
    <w:rsidRoot w:val="00093404"/>
    <w:rsid w:val="000001F1"/>
    <w:rsid w:val="000006E3"/>
    <w:rsid w:val="0000150F"/>
    <w:rsid w:val="00001F7B"/>
    <w:rsid w:val="00002477"/>
    <w:rsid w:val="00002678"/>
    <w:rsid w:val="00002A0C"/>
    <w:rsid w:val="000036E5"/>
    <w:rsid w:val="000044E9"/>
    <w:rsid w:val="00004920"/>
    <w:rsid w:val="00004CCA"/>
    <w:rsid w:val="0000566B"/>
    <w:rsid w:val="00006915"/>
    <w:rsid w:val="0000693D"/>
    <w:rsid w:val="00006AE9"/>
    <w:rsid w:val="00006F0E"/>
    <w:rsid w:val="00007CFB"/>
    <w:rsid w:val="000107B3"/>
    <w:rsid w:val="0001084A"/>
    <w:rsid w:val="00012F36"/>
    <w:rsid w:val="00013881"/>
    <w:rsid w:val="0001393A"/>
    <w:rsid w:val="000140C8"/>
    <w:rsid w:val="00014712"/>
    <w:rsid w:val="0001545C"/>
    <w:rsid w:val="00015973"/>
    <w:rsid w:val="00017563"/>
    <w:rsid w:val="00020196"/>
    <w:rsid w:val="00020431"/>
    <w:rsid w:val="00020587"/>
    <w:rsid w:val="000206BB"/>
    <w:rsid w:val="00020E0E"/>
    <w:rsid w:val="000211A2"/>
    <w:rsid w:val="00021A9A"/>
    <w:rsid w:val="00022E87"/>
    <w:rsid w:val="0002353D"/>
    <w:rsid w:val="00023C89"/>
    <w:rsid w:val="00024FE0"/>
    <w:rsid w:val="000253EC"/>
    <w:rsid w:val="000255A0"/>
    <w:rsid w:val="00027148"/>
    <w:rsid w:val="000278CF"/>
    <w:rsid w:val="00027C07"/>
    <w:rsid w:val="0003055F"/>
    <w:rsid w:val="000309CE"/>
    <w:rsid w:val="00031095"/>
    <w:rsid w:val="00031ADE"/>
    <w:rsid w:val="00031BE6"/>
    <w:rsid w:val="00031F0C"/>
    <w:rsid w:val="00032108"/>
    <w:rsid w:val="000337EF"/>
    <w:rsid w:val="00033DA4"/>
    <w:rsid w:val="0003544F"/>
    <w:rsid w:val="00035A74"/>
    <w:rsid w:val="00036C0E"/>
    <w:rsid w:val="00040EAC"/>
    <w:rsid w:val="00042A17"/>
    <w:rsid w:val="000436A9"/>
    <w:rsid w:val="00043742"/>
    <w:rsid w:val="000440C2"/>
    <w:rsid w:val="00045495"/>
    <w:rsid w:val="000459AD"/>
    <w:rsid w:val="00045F1B"/>
    <w:rsid w:val="00045F6B"/>
    <w:rsid w:val="00046522"/>
    <w:rsid w:val="00046AF0"/>
    <w:rsid w:val="00046C9C"/>
    <w:rsid w:val="00047145"/>
    <w:rsid w:val="00047FB5"/>
    <w:rsid w:val="000501C9"/>
    <w:rsid w:val="00050ED2"/>
    <w:rsid w:val="00050EF0"/>
    <w:rsid w:val="000537C0"/>
    <w:rsid w:val="00054036"/>
    <w:rsid w:val="000544D2"/>
    <w:rsid w:val="00054D62"/>
    <w:rsid w:val="0005522D"/>
    <w:rsid w:val="0005557F"/>
    <w:rsid w:val="000558E5"/>
    <w:rsid w:val="00056CF7"/>
    <w:rsid w:val="00057AB0"/>
    <w:rsid w:val="00057F0D"/>
    <w:rsid w:val="00060C76"/>
    <w:rsid w:val="00061127"/>
    <w:rsid w:val="000612DC"/>
    <w:rsid w:val="0006140B"/>
    <w:rsid w:val="0006177C"/>
    <w:rsid w:val="00062B74"/>
    <w:rsid w:val="0006309D"/>
    <w:rsid w:val="000636EF"/>
    <w:rsid w:val="00064465"/>
    <w:rsid w:val="0006464C"/>
    <w:rsid w:val="0006504A"/>
    <w:rsid w:val="000653C1"/>
    <w:rsid w:val="000655C1"/>
    <w:rsid w:val="00065ADB"/>
    <w:rsid w:val="00066AF2"/>
    <w:rsid w:val="00067BEC"/>
    <w:rsid w:val="00070239"/>
    <w:rsid w:val="000703EC"/>
    <w:rsid w:val="000707D3"/>
    <w:rsid w:val="00070CD8"/>
    <w:rsid w:val="0007194A"/>
    <w:rsid w:val="0007261D"/>
    <w:rsid w:val="00072D68"/>
    <w:rsid w:val="00073660"/>
    <w:rsid w:val="000737C9"/>
    <w:rsid w:val="00074357"/>
    <w:rsid w:val="000744E0"/>
    <w:rsid w:val="0007506F"/>
    <w:rsid w:val="0007623D"/>
    <w:rsid w:val="000765ED"/>
    <w:rsid w:val="00076AB6"/>
    <w:rsid w:val="00081875"/>
    <w:rsid w:val="00081F8E"/>
    <w:rsid w:val="000831DB"/>
    <w:rsid w:val="000838B7"/>
    <w:rsid w:val="00083CF7"/>
    <w:rsid w:val="00083E2A"/>
    <w:rsid w:val="0008448B"/>
    <w:rsid w:val="00084B53"/>
    <w:rsid w:val="00084F7A"/>
    <w:rsid w:val="0008648C"/>
    <w:rsid w:val="000869E6"/>
    <w:rsid w:val="00086AFF"/>
    <w:rsid w:val="00086C40"/>
    <w:rsid w:val="00086FD0"/>
    <w:rsid w:val="0008778F"/>
    <w:rsid w:val="00087975"/>
    <w:rsid w:val="000923EA"/>
    <w:rsid w:val="00092463"/>
    <w:rsid w:val="0009284F"/>
    <w:rsid w:val="00092AB5"/>
    <w:rsid w:val="00093404"/>
    <w:rsid w:val="00094411"/>
    <w:rsid w:val="000959B5"/>
    <w:rsid w:val="00097A82"/>
    <w:rsid w:val="000A0939"/>
    <w:rsid w:val="000A0B5C"/>
    <w:rsid w:val="000A0C01"/>
    <w:rsid w:val="000A126D"/>
    <w:rsid w:val="000A2C3B"/>
    <w:rsid w:val="000A38E3"/>
    <w:rsid w:val="000A3C55"/>
    <w:rsid w:val="000A3FBE"/>
    <w:rsid w:val="000A4EF9"/>
    <w:rsid w:val="000A5376"/>
    <w:rsid w:val="000A705B"/>
    <w:rsid w:val="000B0FB3"/>
    <w:rsid w:val="000B167F"/>
    <w:rsid w:val="000B197F"/>
    <w:rsid w:val="000B2534"/>
    <w:rsid w:val="000B2AAD"/>
    <w:rsid w:val="000B30AF"/>
    <w:rsid w:val="000B3DCA"/>
    <w:rsid w:val="000B3F4F"/>
    <w:rsid w:val="000B48DB"/>
    <w:rsid w:val="000B4B1F"/>
    <w:rsid w:val="000B4CE8"/>
    <w:rsid w:val="000B4D61"/>
    <w:rsid w:val="000B4EB8"/>
    <w:rsid w:val="000B5054"/>
    <w:rsid w:val="000B52C9"/>
    <w:rsid w:val="000B544F"/>
    <w:rsid w:val="000B6732"/>
    <w:rsid w:val="000B710A"/>
    <w:rsid w:val="000B7216"/>
    <w:rsid w:val="000B76F2"/>
    <w:rsid w:val="000B7E2F"/>
    <w:rsid w:val="000B7F3F"/>
    <w:rsid w:val="000C0CE4"/>
    <w:rsid w:val="000C10BE"/>
    <w:rsid w:val="000C2086"/>
    <w:rsid w:val="000C2699"/>
    <w:rsid w:val="000C2768"/>
    <w:rsid w:val="000C366C"/>
    <w:rsid w:val="000C4035"/>
    <w:rsid w:val="000C41CB"/>
    <w:rsid w:val="000C421B"/>
    <w:rsid w:val="000C4756"/>
    <w:rsid w:val="000C498A"/>
    <w:rsid w:val="000C548F"/>
    <w:rsid w:val="000C54E8"/>
    <w:rsid w:val="000C565E"/>
    <w:rsid w:val="000C5F18"/>
    <w:rsid w:val="000C70F5"/>
    <w:rsid w:val="000C7A37"/>
    <w:rsid w:val="000C7B86"/>
    <w:rsid w:val="000D1176"/>
    <w:rsid w:val="000D14E3"/>
    <w:rsid w:val="000D1905"/>
    <w:rsid w:val="000D1CF6"/>
    <w:rsid w:val="000D25AD"/>
    <w:rsid w:val="000D2E96"/>
    <w:rsid w:val="000D3691"/>
    <w:rsid w:val="000D4345"/>
    <w:rsid w:val="000D4490"/>
    <w:rsid w:val="000D5132"/>
    <w:rsid w:val="000D532B"/>
    <w:rsid w:val="000D5C22"/>
    <w:rsid w:val="000D5E90"/>
    <w:rsid w:val="000D677B"/>
    <w:rsid w:val="000D68B2"/>
    <w:rsid w:val="000D6BFF"/>
    <w:rsid w:val="000D6C33"/>
    <w:rsid w:val="000D73DF"/>
    <w:rsid w:val="000D7716"/>
    <w:rsid w:val="000D7F4F"/>
    <w:rsid w:val="000E015A"/>
    <w:rsid w:val="000E03E7"/>
    <w:rsid w:val="000E0690"/>
    <w:rsid w:val="000E07AD"/>
    <w:rsid w:val="000E0950"/>
    <w:rsid w:val="000E13E8"/>
    <w:rsid w:val="000E1934"/>
    <w:rsid w:val="000E1B03"/>
    <w:rsid w:val="000E28DA"/>
    <w:rsid w:val="000E2F64"/>
    <w:rsid w:val="000E4A79"/>
    <w:rsid w:val="000E5530"/>
    <w:rsid w:val="000E5E69"/>
    <w:rsid w:val="000E6B0A"/>
    <w:rsid w:val="000E6C56"/>
    <w:rsid w:val="000E70E3"/>
    <w:rsid w:val="000E7727"/>
    <w:rsid w:val="000F0B7D"/>
    <w:rsid w:val="000F0D2A"/>
    <w:rsid w:val="000F0F68"/>
    <w:rsid w:val="000F0F7F"/>
    <w:rsid w:val="000F2CDA"/>
    <w:rsid w:val="000F2E2B"/>
    <w:rsid w:val="000F2E9B"/>
    <w:rsid w:val="000F3C1E"/>
    <w:rsid w:val="000F3F4F"/>
    <w:rsid w:val="000F4DB6"/>
    <w:rsid w:val="000F5115"/>
    <w:rsid w:val="000F705F"/>
    <w:rsid w:val="000F72BF"/>
    <w:rsid w:val="000F7608"/>
    <w:rsid w:val="000F7D1F"/>
    <w:rsid w:val="0010003C"/>
    <w:rsid w:val="0010008F"/>
    <w:rsid w:val="00101268"/>
    <w:rsid w:val="00101410"/>
    <w:rsid w:val="00101DE4"/>
    <w:rsid w:val="00101E86"/>
    <w:rsid w:val="00103DA5"/>
    <w:rsid w:val="00104311"/>
    <w:rsid w:val="001057E0"/>
    <w:rsid w:val="00105EB2"/>
    <w:rsid w:val="00106078"/>
    <w:rsid w:val="0010664E"/>
    <w:rsid w:val="00106987"/>
    <w:rsid w:val="00107B15"/>
    <w:rsid w:val="001104FA"/>
    <w:rsid w:val="0011099B"/>
    <w:rsid w:val="0011158E"/>
    <w:rsid w:val="0011166D"/>
    <w:rsid w:val="00111A0E"/>
    <w:rsid w:val="001121E7"/>
    <w:rsid w:val="001122B9"/>
    <w:rsid w:val="00112C49"/>
    <w:rsid w:val="00113907"/>
    <w:rsid w:val="001141BB"/>
    <w:rsid w:val="001143E8"/>
    <w:rsid w:val="00114E0F"/>
    <w:rsid w:val="001156AF"/>
    <w:rsid w:val="00115F6A"/>
    <w:rsid w:val="00116136"/>
    <w:rsid w:val="00116BB6"/>
    <w:rsid w:val="0011770F"/>
    <w:rsid w:val="001201D4"/>
    <w:rsid w:val="00120E25"/>
    <w:rsid w:val="00122E25"/>
    <w:rsid w:val="00123147"/>
    <w:rsid w:val="00123D3B"/>
    <w:rsid w:val="00124A29"/>
    <w:rsid w:val="00125F82"/>
    <w:rsid w:val="00126B1C"/>
    <w:rsid w:val="00126E67"/>
    <w:rsid w:val="00127BD9"/>
    <w:rsid w:val="00131578"/>
    <w:rsid w:val="00132336"/>
    <w:rsid w:val="001329BB"/>
    <w:rsid w:val="00132F58"/>
    <w:rsid w:val="00135D05"/>
    <w:rsid w:val="0013638A"/>
    <w:rsid w:val="00136C3E"/>
    <w:rsid w:val="00142C57"/>
    <w:rsid w:val="0014315F"/>
    <w:rsid w:val="00143948"/>
    <w:rsid w:val="00145358"/>
    <w:rsid w:val="001453BB"/>
    <w:rsid w:val="001461F3"/>
    <w:rsid w:val="0014694A"/>
    <w:rsid w:val="001472FA"/>
    <w:rsid w:val="00150C38"/>
    <w:rsid w:val="0015141E"/>
    <w:rsid w:val="001514D7"/>
    <w:rsid w:val="001518DA"/>
    <w:rsid w:val="00151AAE"/>
    <w:rsid w:val="00151F01"/>
    <w:rsid w:val="00152849"/>
    <w:rsid w:val="00152C99"/>
    <w:rsid w:val="00153816"/>
    <w:rsid w:val="001545AB"/>
    <w:rsid w:val="001548FB"/>
    <w:rsid w:val="0015505E"/>
    <w:rsid w:val="001553A5"/>
    <w:rsid w:val="001560F9"/>
    <w:rsid w:val="00157102"/>
    <w:rsid w:val="00157337"/>
    <w:rsid w:val="0015789A"/>
    <w:rsid w:val="00157D2C"/>
    <w:rsid w:val="00157F85"/>
    <w:rsid w:val="00160601"/>
    <w:rsid w:val="001614A0"/>
    <w:rsid w:val="001631CB"/>
    <w:rsid w:val="00163874"/>
    <w:rsid w:val="00163AA0"/>
    <w:rsid w:val="001643F5"/>
    <w:rsid w:val="00164423"/>
    <w:rsid w:val="0016604A"/>
    <w:rsid w:val="0016694A"/>
    <w:rsid w:val="00166CAF"/>
    <w:rsid w:val="00166D14"/>
    <w:rsid w:val="00167150"/>
    <w:rsid w:val="001672F2"/>
    <w:rsid w:val="001700F4"/>
    <w:rsid w:val="001701C0"/>
    <w:rsid w:val="001704D2"/>
    <w:rsid w:val="00170846"/>
    <w:rsid w:val="0017098E"/>
    <w:rsid w:val="00171193"/>
    <w:rsid w:val="001717C6"/>
    <w:rsid w:val="00171BA8"/>
    <w:rsid w:val="001722C6"/>
    <w:rsid w:val="0017270D"/>
    <w:rsid w:val="001727E3"/>
    <w:rsid w:val="00172A0E"/>
    <w:rsid w:val="00173551"/>
    <w:rsid w:val="00174822"/>
    <w:rsid w:val="00174940"/>
    <w:rsid w:val="00174BD7"/>
    <w:rsid w:val="00174F63"/>
    <w:rsid w:val="00176080"/>
    <w:rsid w:val="00176F32"/>
    <w:rsid w:val="00177E5A"/>
    <w:rsid w:val="00177E9F"/>
    <w:rsid w:val="001805EA"/>
    <w:rsid w:val="0018075E"/>
    <w:rsid w:val="001807AC"/>
    <w:rsid w:val="001807ED"/>
    <w:rsid w:val="00181C5E"/>
    <w:rsid w:val="001825EC"/>
    <w:rsid w:val="00182A9B"/>
    <w:rsid w:val="00182CAC"/>
    <w:rsid w:val="00183251"/>
    <w:rsid w:val="0018384D"/>
    <w:rsid w:val="0018389D"/>
    <w:rsid w:val="00184199"/>
    <w:rsid w:val="001842C4"/>
    <w:rsid w:val="001849D5"/>
    <w:rsid w:val="00186CD0"/>
    <w:rsid w:val="00187050"/>
    <w:rsid w:val="001871A8"/>
    <w:rsid w:val="00187333"/>
    <w:rsid w:val="00187F36"/>
    <w:rsid w:val="00190347"/>
    <w:rsid w:val="001906B0"/>
    <w:rsid w:val="00191078"/>
    <w:rsid w:val="0019117E"/>
    <w:rsid w:val="00192413"/>
    <w:rsid w:val="001925E8"/>
    <w:rsid w:val="00192F97"/>
    <w:rsid w:val="001937BB"/>
    <w:rsid w:val="001938F8"/>
    <w:rsid w:val="001951F7"/>
    <w:rsid w:val="00195D92"/>
    <w:rsid w:val="00196AA8"/>
    <w:rsid w:val="00196F67"/>
    <w:rsid w:val="00197283"/>
    <w:rsid w:val="0019747D"/>
    <w:rsid w:val="0019781D"/>
    <w:rsid w:val="00197F7F"/>
    <w:rsid w:val="001A10D5"/>
    <w:rsid w:val="001A1B51"/>
    <w:rsid w:val="001A2772"/>
    <w:rsid w:val="001A2F4C"/>
    <w:rsid w:val="001A3164"/>
    <w:rsid w:val="001A3D86"/>
    <w:rsid w:val="001A5017"/>
    <w:rsid w:val="001A71AB"/>
    <w:rsid w:val="001A7644"/>
    <w:rsid w:val="001B0195"/>
    <w:rsid w:val="001B05C2"/>
    <w:rsid w:val="001B0EFC"/>
    <w:rsid w:val="001B1416"/>
    <w:rsid w:val="001B21CA"/>
    <w:rsid w:val="001B3443"/>
    <w:rsid w:val="001B44C3"/>
    <w:rsid w:val="001B4762"/>
    <w:rsid w:val="001B5B16"/>
    <w:rsid w:val="001B7A86"/>
    <w:rsid w:val="001B7D4C"/>
    <w:rsid w:val="001B7DCA"/>
    <w:rsid w:val="001C032F"/>
    <w:rsid w:val="001C1428"/>
    <w:rsid w:val="001C152C"/>
    <w:rsid w:val="001C1650"/>
    <w:rsid w:val="001C172A"/>
    <w:rsid w:val="001C1BDF"/>
    <w:rsid w:val="001C2780"/>
    <w:rsid w:val="001C2AA1"/>
    <w:rsid w:val="001C2B5E"/>
    <w:rsid w:val="001C2CAA"/>
    <w:rsid w:val="001C2D99"/>
    <w:rsid w:val="001C2FE0"/>
    <w:rsid w:val="001C37C5"/>
    <w:rsid w:val="001C4EF9"/>
    <w:rsid w:val="001C5E1D"/>
    <w:rsid w:val="001C5E2F"/>
    <w:rsid w:val="001C610D"/>
    <w:rsid w:val="001C79A8"/>
    <w:rsid w:val="001D0D1A"/>
    <w:rsid w:val="001D0F3F"/>
    <w:rsid w:val="001D1098"/>
    <w:rsid w:val="001D226A"/>
    <w:rsid w:val="001D2AF1"/>
    <w:rsid w:val="001D4C7C"/>
    <w:rsid w:val="001D507E"/>
    <w:rsid w:val="001D658B"/>
    <w:rsid w:val="001D66DB"/>
    <w:rsid w:val="001D7199"/>
    <w:rsid w:val="001D73E5"/>
    <w:rsid w:val="001D7C3C"/>
    <w:rsid w:val="001D7C4E"/>
    <w:rsid w:val="001D7F51"/>
    <w:rsid w:val="001E0A42"/>
    <w:rsid w:val="001E0B5F"/>
    <w:rsid w:val="001E146E"/>
    <w:rsid w:val="001E1B30"/>
    <w:rsid w:val="001E2467"/>
    <w:rsid w:val="001E26B2"/>
    <w:rsid w:val="001E2778"/>
    <w:rsid w:val="001E2E7D"/>
    <w:rsid w:val="001E2FA6"/>
    <w:rsid w:val="001E3134"/>
    <w:rsid w:val="001E3544"/>
    <w:rsid w:val="001E3E01"/>
    <w:rsid w:val="001E3E7E"/>
    <w:rsid w:val="001E59A7"/>
    <w:rsid w:val="001E68C9"/>
    <w:rsid w:val="001E7BD7"/>
    <w:rsid w:val="001F051E"/>
    <w:rsid w:val="001F0F85"/>
    <w:rsid w:val="001F1135"/>
    <w:rsid w:val="001F134F"/>
    <w:rsid w:val="001F1810"/>
    <w:rsid w:val="001F297A"/>
    <w:rsid w:val="001F45A9"/>
    <w:rsid w:val="001F50C1"/>
    <w:rsid w:val="001F7873"/>
    <w:rsid w:val="002009CD"/>
    <w:rsid w:val="00200F16"/>
    <w:rsid w:val="00201125"/>
    <w:rsid w:val="0020199E"/>
    <w:rsid w:val="00202722"/>
    <w:rsid w:val="00202BC7"/>
    <w:rsid w:val="00202DB4"/>
    <w:rsid w:val="00204534"/>
    <w:rsid w:val="00204BEE"/>
    <w:rsid w:val="0020555B"/>
    <w:rsid w:val="00205BC3"/>
    <w:rsid w:val="00205C46"/>
    <w:rsid w:val="002065AE"/>
    <w:rsid w:val="00206F6E"/>
    <w:rsid w:val="00206FF1"/>
    <w:rsid w:val="002074CE"/>
    <w:rsid w:val="0020796B"/>
    <w:rsid w:val="002105F7"/>
    <w:rsid w:val="0021097C"/>
    <w:rsid w:val="00210A7C"/>
    <w:rsid w:val="00211A73"/>
    <w:rsid w:val="00211FE7"/>
    <w:rsid w:val="002129AE"/>
    <w:rsid w:val="00212AF8"/>
    <w:rsid w:val="00212BB5"/>
    <w:rsid w:val="002132C5"/>
    <w:rsid w:val="00213592"/>
    <w:rsid w:val="002147B7"/>
    <w:rsid w:val="00214AF6"/>
    <w:rsid w:val="00215607"/>
    <w:rsid w:val="00215CDD"/>
    <w:rsid w:val="002161AE"/>
    <w:rsid w:val="00216340"/>
    <w:rsid w:val="00216DD6"/>
    <w:rsid w:val="002173D9"/>
    <w:rsid w:val="002175F5"/>
    <w:rsid w:val="0021772A"/>
    <w:rsid w:val="00221664"/>
    <w:rsid w:val="0022219C"/>
    <w:rsid w:val="002227B6"/>
    <w:rsid w:val="002229DB"/>
    <w:rsid w:val="00222B69"/>
    <w:rsid w:val="00222E2F"/>
    <w:rsid w:val="0022331C"/>
    <w:rsid w:val="00224135"/>
    <w:rsid w:val="00224AC8"/>
    <w:rsid w:val="00225887"/>
    <w:rsid w:val="002262DB"/>
    <w:rsid w:val="002269B5"/>
    <w:rsid w:val="00226CA6"/>
    <w:rsid w:val="0022729C"/>
    <w:rsid w:val="00227512"/>
    <w:rsid w:val="00230619"/>
    <w:rsid w:val="0023138C"/>
    <w:rsid w:val="00233CC6"/>
    <w:rsid w:val="002345FA"/>
    <w:rsid w:val="002355B4"/>
    <w:rsid w:val="00235840"/>
    <w:rsid w:val="00235DD0"/>
    <w:rsid w:val="00236BB7"/>
    <w:rsid w:val="00236FB1"/>
    <w:rsid w:val="00237403"/>
    <w:rsid w:val="002378DB"/>
    <w:rsid w:val="00237BA5"/>
    <w:rsid w:val="002400C9"/>
    <w:rsid w:val="002407CB"/>
    <w:rsid w:val="00240A81"/>
    <w:rsid w:val="00240CAF"/>
    <w:rsid w:val="00241429"/>
    <w:rsid w:val="00241D60"/>
    <w:rsid w:val="00241E3C"/>
    <w:rsid w:val="002429D9"/>
    <w:rsid w:val="00243A06"/>
    <w:rsid w:val="00243BE2"/>
    <w:rsid w:val="00244641"/>
    <w:rsid w:val="00244CFB"/>
    <w:rsid w:val="002454FD"/>
    <w:rsid w:val="0024720B"/>
    <w:rsid w:val="002477A3"/>
    <w:rsid w:val="002478C9"/>
    <w:rsid w:val="00250831"/>
    <w:rsid w:val="002508D0"/>
    <w:rsid w:val="0025096F"/>
    <w:rsid w:val="002513F9"/>
    <w:rsid w:val="00251B9C"/>
    <w:rsid w:val="00251EEE"/>
    <w:rsid w:val="00251FF0"/>
    <w:rsid w:val="0025322B"/>
    <w:rsid w:val="00253414"/>
    <w:rsid w:val="00253780"/>
    <w:rsid w:val="00253F2C"/>
    <w:rsid w:val="00254BE8"/>
    <w:rsid w:val="002552B6"/>
    <w:rsid w:val="00255AD3"/>
    <w:rsid w:val="00255E89"/>
    <w:rsid w:val="00256837"/>
    <w:rsid w:val="00256FEA"/>
    <w:rsid w:val="0025740C"/>
    <w:rsid w:val="002575B0"/>
    <w:rsid w:val="00257CB6"/>
    <w:rsid w:val="0026010C"/>
    <w:rsid w:val="00262127"/>
    <w:rsid w:val="00264364"/>
    <w:rsid w:val="002647E1"/>
    <w:rsid w:val="00264A6B"/>
    <w:rsid w:val="00265446"/>
    <w:rsid w:val="00265DC7"/>
    <w:rsid w:val="00266013"/>
    <w:rsid w:val="00266262"/>
    <w:rsid w:val="00266516"/>
    <w:rsid w:val="0026678E"/>
    <w:rsid w:val="00266968"/>
    <w:rsid w:val="00267E18"/>
    <w:rsid w:val="0027084B"/>
    <w:rsid w:val="00270866"/>
    <w:rsid w:val="00270DA4"/>
    <w:rsid w:val="00270E97"/>
    <w:rsid w:val="00270F66"/>
    <w:rsid w:val="00272695"/>
    <w:rsid w:val="00273B42"/>
    <w:rsid w:val="002741EF"/>
    <w:rsid w:val="0027474C"/>
    <w:rsid w:val="002755AF"/>
    <w:rsid w:val="00276A36"/>
    <w:rsid w:val="00277043"/>
    <w:rsid w:val="00277BC0"/>
    <w:rsid w:val="0028172C"/>
    <w:rsid w:val="00281A36"/>
    <w:rsid w:val="0028345C"/>
    <w:rsid w:val="002843C6"/>
    <w:rsid w:val="00284E84"/>
    <w:rsid w:val="00285E03"/>
    <w:rsid w:val="002866D5"/>
    <w:rsid w:val="00286DBC"/>
    <w:rsid w:val="00287FA4"/>
    <w:rsid w:val="00290D04"/>
    <w:rsid w:val="00291A31"/>
    <w:rsid w:val="00291BF6"/>
    <w:rsid w:val="002926F0"/>
    <w:rsid w:val="00292C7A"/>
    <w:rsid w:val="0029368F"/>
    <w:rsid w:val="00293AD6"/>
    <w:rsid w:val="00293C64"/>
    <w:rsid w:val="002945B4"/>
    <w:rsid w:val="00294895"/>
    <w:rsid w:val="00295167"/>
    <w:rsid w:val="00295954"/>
    <w:rsid w:val="00295AF0"/>
    <w:rsid w:val="00296439"/>
    <w:rsid w:val="00296C96"/>
    <w:rsid w:val="00296E52"/>
    <w:rsid w:val="00297246"/>
    <w:rsid w:val="00297CD3"/>
    <w:rsid w:val="002A0BF1"/>
    <w:rsid w:val="002A1546"/>
    <w:rsid w:val="002A1756"/>
    <w:rsid w:val="002A293E"/>
    <w:rsid w:val="002A3863"/>
    <w:rsid w:val="002A389E"/>
    <w:rsid w:val="002A53CD"/>
    <w:rsid w:val="002A5C75"/>
    <w:rsid w:val="002A5E16"/>
    <w:rsid w:val="002A614A"/>
    <w:rsid w:val="002A62B0"/>
    <w:rsid w:val="002B03B0"/>
    <w:rsid w:val="002B11A3"/>
    <w:rsid w:val="002B137D"/>
    <w:rsid w:val="002B1D8A"/>
    <w:rsid w:val="002B1F64"/>
    <w:rsid w:val="002B2866"/>
    <w:rsid w:val="002B2D5B"/>
    <w:rsid w:val="002B2D9F"/>
    <w:rsid w:val="002B2E9C"/>
    <w:rsid w:val="002B462B"/>
    <w:rsid w:val="002B51FB"/>
    <w:rsid w:val="002B65D4"/>
    <w:rsid w:val="002B7C6B"/>
    <w:rsid w:val="002C289D"/>
    <w:rsid w:val="002C2A74"/>
    <w:rsid w:val="002C3AA9"/>
    <w:rsid w:val="002C450D"/>
    <w:rsid w:val="002C4900"/>
    <w:rsid w:val="002C4BDA"/>
    <w:rsid w:val="002C5616"/>
    <w:rsid w:val="002C5905"/>
    <w:rsid w:val="002C5916"/>
    <w:rsid w:val="002C635C"/>
    <w:rsid w:val="002C67F4"/>
    <w:rsid w:val="002C7C8F"/>
    <w:rsid w:val="002C7EE0"/>
    <w:rsid w:val="002D19FB"/>
    <w:rsid w:val="002D2021"/>
    <w:rsid w:val="002D2F76"/>
    <w:rsid w:val="002D2FD2"/>
    <w:rsid w:val="002D3019"/>
    <w:rsid w:val="002D3642"/>
    <w:rsid w:val="002D60CE"/>
    <w:rsid w:val="002D63AE"/>
    <w:rsid w:val="002D6FCA"/>
    <w:rsid w:val="002E0FC2"/>
    <w:rsid w:val="002E1BB1"/>
    <w:rsid w:val="002E28FD"/>
    <w:rsid w:val="002E2F45"/>
    <w:rsid w:val="002E372E"/>
    <w:rsid w:val="002E3CF7"/>
    <w:rsid w:val="002E4168"/>
    <w:rsid w:val="002E4513"/>
    <w:rsid w:val="002E531B"/>
    <w:rsid w:val="002E5508"/>
    <w:rsid w:val="002E5CDA"/>
    <w:rsid w:val="002E7F34"/>
    <w:rsid w:val="002F08F3"/>
    <w:rsid w:val="002F0CCD"/>
    <w:rsid w:val="002F17BA"/>
    <w:rsid w:val="002F24B5"/>
    <w:rsid w:val="002F300D"/>
    <w:rsid w:val="002F4265"/>
    <w:rsid w:val="002F5A7A"/>
    <w:rsid w:val="002F5F27"/>
    <w:rsid w:val="00301524"/>
    <w:rsid w:val="00301CAE"/>
    <w:rsid w:val="00302F55"/>
    <w:rsid w:val="003035F4"/>
    <w:rsid w:val="00303AE1"/>
    <w:rsid w:val="00304630"/>
    <w:rsid w:val="00304A10"/>
    <w:rsid w:val="0030505E"/>
    <w:rsid w:val="00305745"/>
    <w:rsid w:val="00305D5C"/>
    <w:rsid w:val="003067E4"/>
    <w:rsid w:val="00306AC2"/>
    <w:rsid w:val="00306D5B"/>
    <w:rsid w:val="00306EF2"/>
    <w:rsid w:val="003072CD"/>
    <w:rsid w:val="0030786C"/>
    <w:rsid w:val="0030796F"/>
    <w:rsid w:val="00307B0B"/>
    <w:rsid w:val="0031002A"/>
    <w:rsid w:val="00310DC6"/>
    <w:rsid w:val="003126DB"/>
    <w:rsid w:val="00312BF9"/>
    <w:rsid w:val="0031317F"/>
    <w:rsid w:val="003136F2"/>
    <w:rsid w:val="00314F69"/>
    <w:rsid w:val="00316D32"/>
    <w:rsid w:val="003174CF"/>
    <w:rsid w:val="0031799A"/>
    <w:rsid w:val="0032076A"/>
    <w:rsid w:val="003215D3"/>
    <w:rsid w:val="003216B7"/>
    <w:rsid w:val="00322482"/>
    <w:rsid w:val="0032320C"/>
    <w:rsid w:val="00323267"/>
    <w:rsid w:val="003237F6"/>
    <w:rsid w:val="00323AE8"/>
    <w:rsid w:val="00323B09"/>
    <w:rsid w:val="00324415"/>
    <w:rsid w:val="003246CB"/>
    <w:rsid w:val="00324818"/>
    <w:rsid w:val="0032559C"/>
    <w:rsid w:val="00326D7D"/>
    <w:rsid w:val="0032742C"/>
    <w:rsid w:val="00327C01"/>
    <w:rsid w:val="003304D6"/>
    <w:rsid w:val="00331ED5"/>
    <w:rsid w:val="0033219A"/>
    <w:rsid w:val="00332A99"/>
    <w:rsid w:val="00332C4D"/>
    <w:rsid w:val="00334A38"/>
    <w:rsid w:val="00334DB3"/>
    <w:rsid w:val="00334FFC"/>
    <w:rsid w:val="003362F6"/>
    <w:rsid w:val="003367CA"/>
    <w:rsid w:val="00336BD9"/>
    <w:rsid w:val="00341403"/>
    <w:rsid w:val="00341948"/>
    <w:rsid w:val="003420BD"/>
    <w:rsid w:val="00342BF0"/>
    <w:rsid w:val="00342E98"/>
    <w:rsid w:val="00342F35"/>
    <w:rsid w:val="003444D2"/>
    <w:rsid w:val="00344975"/>
    <w:rsid w:val="00344A70"/>
    <w:rsid w:val="00344F28"/>
    <w:rsid w:val="0034674B"/>
    <w:rsid w:val="00346F24"/>
    <w:rsid w:val="00346FA4"/>
    <w:rsid w:val="00350453"/>
    <w:rsid w:val="00350813"/>
    <w:rsid w:val="00350D59"/>
    <w:rsid w:val="00351780"/>
    <w:rsid w:val="0035187A"/>
    <w:rsid w:val="00353206"/>
    <w:rsid w:val="00354190"/>
    <w:rsid w:val="003549AB"/>
    <w:rsid w:val="00354AC7"/>
    <w:rsid w:val="00355E4D"/>
    <w:rsid w:val="003562BD"/>
    <w:rsid w:val="0036052D"/>
    <w:rsid w:val="00360B7A"/>
    <w:rsid w:val="0036177A"/>
    <w:rsid w:val="00361E69"/>
    <w:rsid w:val="003627A4"/>
    <w:rsid w:val="00362D8A"/>
    <w:rsid w:val="00364BB7"/>
    <w:rsid w:val="00366D0C"/>
    <w:rsid w:val="00370DEF"/>
    <w:rsid w:val="00371437"/>
    <w:rsid w:val="0037183B"/>
    <w:rsid w:val="00372460"/>
    <w:rsid w:val="00372A48"/>
    <w:rsid w:val="00372BF0"/>
    <w:rsid w:val="00372E34"/>
    <w:rsid w:val="003744D6"/>
    <w:rsid w:val="00374D9F"/>
    <w:rsid w:val="003767F0"/>
    <w:rsid w:val="00381125"/>
    <w:rsid w:val="00381526"/>
    <w:rsid w:val="00382C96"/>
    <w:rsid w:val="00382CC5"/>
    <w:rsid w:val="003837AF"/>
    <w:rsid w:val="00384A6E"/>
    <w:rsid w:val="00386D66"/>
    <w:rsid w:val="00387321"/>
    <w:rsid w:val="0039008B"/>
    <w:rsid w:val="00390BD4"/>
    <w:rsid w:val="00390F34"/>
    <w:rsid w:val="00391B78"/>
    <w:rsid w:val="00391B9B"/>
    <w:rsid w:val="003922A8"/>
    <w:rsid w:val="00392464"/>
    <w:rsid w:val="00392A02"/>
    <w:rsid w:val="00393A1C"/>
    <w:rsid w:val="00393FB5"/>
    <w:rsid w:val="00394EAE"/>
    <w:rsid w:val="0039568A"/>
    <w:rsid w:val="00396B69"/>
    <w:rsid w:val="003970A7"/>
    <w:rsid w:val="003A0046"/>
    <w:rsid w:val="003A1AEE"/>
    <w:rsid w:val="003A2586"/>
    <w:rsid w:val="003A418B"/>
    <w:rsid w:val="003A46D2"/>
    <w:rsid w:val="003A527D"/>
    <w:rsid w:val="003A5728"/>
    <w:rsid w:val="003A605D"/>
    <w:rsid w:val="003A6B42"/>
    <w:rsid w:val="003B00FD"/>
    <w:rsid w:val="003B04C3"/>
    <w:rsid w:val="003B0AAD"/>
    <w:rsid w:val="003B0B47"/>
    <w:rsid w:val="003B1222"/>
    <w:rsid w:val="003B23E5"/>
    <w:rsid w:val="003B2657"/>
    <w:rsid w:val="003B2972"/>
    <w:rsid w:val="003B2C42"/>
    <w:rsid w:val="003B2E5C"/>
    <w:rsid w:val="003B3C7F"/>
    <w:rsid w:val="003B44E3"/>
    <w:rsid w:val="003B4C9E"/>
    <w:rsid w:val="003B54BC"/>
    <w:rsid w:val="003B59C4"/>
    <w:rsid w:val="003B5AC1"/>
    <w:rsid w:val="003B6012"/>
    <w:rsid w:val="003B60A7"/>
    <w:rsid w:val="003B620A"/>
    <w:rsid w:val="003B797C"/>
    <w:rsid w:val="003C0856"/>
    <w:rsid w:val="003C0974"/>
    <w:rsid w:val="003C1DD5"/>
    <w:rsid w:val="003C1F67"/>
    <w:rsid w:val="003C2F8E"/>
    <w:rsid w:val="003C36FF"/>
    <w:rsid w:val="003C3E2A"/>
    <w:rsid w:val="003C502B"/>
    <w:rsid w:val="003C51B9"/>
    <w:rsid w:val="003C6180"/>
    <w:rsid w:val="003C729B"/>
    <w:rsid w:val="003C736D"/>
    <w:rsid w:val="003D0BA7"/>
    <w:rsid w:val="003D0D1C"/>
    <w:rsid w:val="003D282A"/>
    <w:rsid w:val="003D2E0F"/>
    <w:rsid w:val="003D2F8F"/>
    <w:rsid w:val="003D3218"/>
    <w:rsid w:val="003D32C2"/>
    <w:rsid w:val="003D3E15"/>
    <w:rsid w:val="003D5E45"/>
    <w:rsid w:val="003D64D2"/>
    <w:rsid w:val="003D6BC1"/>
    <w:rsid w:val="003E058B"/>
    <w:rsid w:val="003E1403"/>
    <w:rsid w:val="003E36C5"/>
    <w:rsid w:val="003E39C7"/>
    <w:rsid w:val="003E3BEF"/>
    <w:rsid w:val="003E41F3"/>
    <w:rsid w:val="003E4622"/>
    <w:rsid w:val="003E4EDB"/>
    <w:rsid w:val="003E577A"/>
    <w:rsid w:val="003E63E6"/>
    <w:rsid w:val="003E6B4C"/>
    <w:rsid w:val="003E7AB4"/>
    <w:rsid w:val="003E7ADD"/>
    <w:rsid w:val="003F03D0"/>
    <w:rsid w:val="003F06B0"/>
    <w:rsid w:val="003F09FF"/>
    <w:rsid w:val="003F19D4"/>
    <w:rsid w:val="003F1DC7"/>
    <w:rsid w:val="003F2A8D"/>
    <w:rsid w:val="003F35FA"/>
    <w:rsid w:val="003F485A"/>
    <w:rsid w:val="003F4CF2"/>
    <w:rsid w:val="003F4E26"/>
    <w:rsid w:val="003F4FE2"/>
    <w:rsid w:val="003F6163"/>
    <w:rsid w:val="003F64B4"/>
    <w:rsid w:val="003F777B"/>
    <w:rsid w:val="003F7882"/>
    <w:rsid w:val="003F788A"/>
    <w:rsid w:val="003F7A83"/>
    <w:rsid w:val="004004C3"/>
    <w:rsid w:val="0040164D"/>
    <w:rsid w:val="00401DCE"/>
    <w:rsid w:val="00401E59"/>
    <w:rsid w:val="00402D30"/>
    <w:rsid w:val="00403E1A"/>
    <w:rsid w:val="00404475"/>
    <w:rsid w:val="0040678A"/>
    <w:rsid w:val="00406ED1"/>
    <w:rsid w:val="004072A8"/>
    <w:rsid w:val="004074E1"/>
    <w:rsid w:val="004115AD"/>
    <w:rsid w:val="00411892"/>
    <w:rsid w:val="00412122"/>
    <w:rsid w:val="00412607"/>
    <w:rsid w:val="00413087"/>
    <w:rsid w:val="00414954"/>
    <w:rsid w:val="00415812"/>
    <w:rsid w:val="00416622"/>
    <w:rsid w:val="00417FDF"/>
    <w:rsid w:val="0042033B"/>
    <w:rsid w:val="00420391"/>
    <w:rsid w:val="0042071B"/>
    <w:rsid w:val="00420A01"/>
    <w:rsid w:val="00422829"/>
    <w:rsid w:val="00423928"/>
    <w:rsid w:val="00424DB2"/>
    <w:rsid w:val="00425D06"/>
    <w:rsid w:val="00425D4B"/>
    <w:rsid w:val="0042614A"/>
    <w:rsid w:val="0042696C"/>
    <w:rsid w:val="0042753C"/>
    <w:rsid w:val="004307C5"/>
    <w:rsid w:val="00430D5B"/>
    <w:rsid w:val="00430EC1"/>
    <w:rsid w:val="0043134E"/>
    <w:rsid w:val="00432023"/>
    <w:rsid w:val="0043303C"/>
    <w:rsid w:val="0043359F"/>
    <w:rsid w:val="00434D9D"/>
    <w:rsid w:val="00435810"/>
    <w:rsid w:val="00435A5F"/>
    <w:rsid w:val="0043636D"/>
    <w:rsid w:val="00436C63"/>
    <w:rsid w:val="00437620"/>
    <w:rsid w:val="004378E1"/>
    <w:rsid w:val="00437F91"/>
    <w:rsid w:val="004405D1"/>
    <w:rsid w:val="0044076B"/>
    <w:rsid w:val="00440815"/>
    <w:rsid w:val="00441295"/>
    <w:rsid w:val="00441FC2"/>
    <w:rsid w:val="0044224F"/>
    <w:rsid w:val="0044292D"/>
    <w:rsid w:val="00443623"/>
    <w:rsid w:val="00444173"/>
    <w:rsid w:val="00445169"/>
    <w:rsid w:val="00445CC7"/>
    <w:rsid w:val="00446520"/>
    <w:rsid w:val="004465C8"/>
    <w:rsid w:val="00446CE4"/>
    <w:rsid w:val="004477BE"/>
    <w:rsid w:val="00450311"/>
    <w:rsid w:val="00450784"/>
    <w:rsid w:val="00451065"/>
    <w:rsid w:val="00451CA2"/>
    <w:rsid w:val="004520E6"/>
    <w:rsid w:val="00452C36"/>
    <w:rsid w:val="00454FE1"/>
    <w:rsid w:val="00456EEC"/>
    <w:rsid w:val="00457661"/>
    <w:rsid w:val="00457693"/>
    <w:rsid w:val="00457A12"/>
    <w:rsid w:val="00460A32"/>
    <w:rsid w:val="00462C69"/>
    <w:rsid w:val="00462CB1"/>
    <w:rsid w:val="00463319"/>
    <w:rsid w:val="00463683"/>
    <w:rsid w:val="004636DD"/>
    <w:rsid w:val="00463B1C"/>
    <w:rsid w:val="00463CE2"/>
    <w:rsid w:val="004644A3"/>
    <w:rsid w:val="004644F9"/>
    <w:rsid w:val="0046512B"/>
    <w:rsid w:val="00465D16"/>
    <w:rsid w:val="004660CC"/>
    <w:rsid w:val="00466953"/>
    <w:rsid w:val="00466A0E"/>
    <w:rsid w:val="00466D09"/>
    <w:rsid w:val="0046737D"/>
    <w:rsid w:val="00470B37"/>
    <w:rsid w:val="00470CDE"/>
    <w:rsid w:val="00472534"/>
    <w:rsid w:val="0047256D"/>
    <w:rsid w:val="00472743"/>
    <w:rsid w:val="00472BEA"/>
    <w:rsid w:val="00472C91"/>
    <w:rsid w:val="00474686"/>
    <w:rsid w:val="004749E9"/>
    <w:rsid w:val="00474ADC"/>
    <w:rsid w:val="00474DAD"/>
    <w:rsid w:val="00475785"/>
    <w:rsid w:val="00475E69"/>
    <w:rsid w:val="0047654A"/>
    <w:rsid w:val="00476C07"/>
    <w:rsid w:val="00477345"/>
    <w:rsid w:val="0048125A"/>
    <w:rsid w:val="0048144C"/>
    <w:rsid w:val="00481FDB"/>
    <w:rsid w:val="00482932"/>
    <w:rsid w:val="0048386A"/>
    <w:rsid w:val="00484218"/>
    <w:rsid w:val="004859A5"/>
    <w:rsid w:val="004859DF"/>
    <w:rsid w:val="00485D21"/>
    <w:rsid w:val="004862D3"/>
    <w:rsid w:val="004867E2"/>
    <w:rsid w:val="00486A7D"/>
    <w:rsid w:val="00490F36"/>
    <w:rsid w:val="00491F70"/>
    <w:rsid w:val="0049247B"/>
    <w:rsid w:val="00494B98"/>
    <w:rsid w:val="004963B8"/>
    <w:rsid w:val="00496CD3"/>
    <w:rsid w:val="00497603"/>
    <w:rsid w:val="004A1D0D"/>
    <w:rsid w:val="004A253B"/>
    <w:rsid w:val="004A28D0"/>
    <w:rsid w:val="004A29C3"/>
    <w:rsid w:val="004A2F14"/>
    <w:rsid w:val="004A40A5"/>
    <w:rsid w:val="004A411E"/>
    <w:rsid w:val="004A43F3"/>
    <w:rsid w:val="004A6E95"/>
    <w:rsid w:val="004B0747"/>
    <w:rsid w:val="004B0928"/>
    <w:rsid w:val="004B2987"/>
    <w:rsid w:val="004B2C8D"/>
    <w:rsid w:val="004B2F46"/>
    <w:rsid w:val="004B4440"/>
    <w:rsid w:val="004B4D10"/>
    <w:rsid w:val="004B6382"/>
    <w:rsid w:val="004B6F11"/>
    <w:rsid w:val="004B7242"/>
    <w:rsid w:val="004C0614"/>
    <w:rsid w:val="004C13B1"/>
    <w:rsid w:val="004C27C1"/>
    <w:rsid w:val="004C2904"/>
    <w:rsid w:val="004C29CE"/>
    <w:rsid w:val="004C4891"/>
    <w:rsid w:val="004C4951"/>
    <w:rsid w:val="004C4CAD"/>
    <w:rsid w:val="004C5E9C"/>
    <w:rsid w:val="004C6985"/>
    <w:rsid w:val="004C724D"/>
    <w:rsid w:val="004D0A22"/>
    <w:rsid w:val="004D2469"/>
    <w:rsid w:val="004D2602"/>
    <w:rsid w:val="004D2685"/>
    <w:rsid w:val="004D2C42"/>
    <w:rsid w:val="004D4525"/>
    <w:rsid w:val="004D482B"/>
    <w:rsid w:val="004D5156"/>
    <w:rsid w:val="004D57AE"/>
    <w:rsid w:val="004D584F"/>
    <w:rsid w:val="004D6453"/>
    <w:rsid w:val="004D67AF"/>
    <w:rsid w:val="004D69BB"/>
    <w:rsid w:val="004D6FB9"/>
    <w:rsid w:val="004D72E6"/>
    <w:rsid w:val="004D781D"/>
    <w:rsid w:val="004D7CBA"/>
    <w:rsid w:val="004E14A4"/>
    <w:rsid w:val="004E1F3F"/>
    <w:rsid w:val="004E21F8"/>
    <w:rsid w:val="004E4471"/>
    <w:rsid w:val="004E49EA"/>
    <w:rsid w:val="004E5C08"/>
    <w:rsid w:val="004E705F"/>
    <w:rsid w:val="004E72CB"/>
    <w:rsid w:val="004E72CC"/>
    <w:rsid w:val="004E734A"/>
    <w:rsid w:val="004E7548"/>
    <w:rsid w:val="004F0267"/>
    <w:rsid w:val="004F0CC7"/>
    <w:rsid w:val="004F3775"/>
    <w:rsid w:val="004F50BA"/>
    <w:rsid w:val="004F56EF"/>
    <w:rsid w:val="004F6D63"/>
    <w:rsid w:val="00501A51"/>
    <w:rsid w:val="00502A2A"/>
    <w:rsid w:val="005040B7"/>
    <w:rsid w:val="005049DD"/>
    <w:rsid w:val="005051FD"/>
    <w:rsid w:val="005057EB"/>
    <w:rsid w:val="00505D08"/>
    <w:rsid w:val="005065CA"/>
    <w:rsid w:val="00507402"/>
    <w:rsid w:val="00507F8F"/>
    <w:rsid w:val="00510445"/>
    <w:rsid w:val="00510D4D"/>
    <w:rsid w:val="00511214"/>
    <w:rsid w:val="00512065"/>
    <w:rsid w:val="0051250F"/>
    <w:rsid w:val="00512DE7"/>
    <w:rsid w:val="005130A6"/>
    <w:rsid w:val="005149E5"/>
    <w:rsid w:val="00515C8C"/>
    <w:rsid w:val="00515FDE"/>
    <w:rsid w:val="00516298"/>
    <w:rsid w:val="0051650E"/>
    <w:rsid w:val="00516F16"/>
    <w:rsid w:val="00517383"/>
    <w:rsid w:val="005173EC"/>
    <w:rsid w:val="00517D3C"/>
    <w:rsid w:val="005211BA"/>
    <w:rsid w:val="0052142D"/>
    <w:rsid w:val="00522B51"/>
    <w:rsid w:val="00523499"/>
    <w:rsid w:val="00523BE9"/>
    <w:rsid w:val="005262C3"/>
    <w:rsid w:val="00526832"/>
    <w:rsid w:val="005269F1"/>
    <w:rsid w:val="00526E5C"/>
    <w:rsid w:val="00527034"/>
    <w:rsid w:val="0053053F"/>
    <w:rsid w:val="005307BB"/>
    <w:rsid w:val="00530ED3"/>
    <w:rsid w:val="00532271"/>
    <w:rsid w:val="00532D8C"/>
    <w:rsid w:val="005332A5"/>
    <w:rsid w:val="00533CFE"/>
    <w:rsid w:val="00534C4A"/>
    <w:rsid w:val="00535E22"/>
    <w:rsid w:val="005364D9"/>
    <w:rsid w:val="005366A2"/>
    <w:rsid w:val="0053694B"/>
    <w:rsid w:val="00536C27"/>
    <w:rsid w:val="00536EB8"/>
    <w:rsid w:val="0053791D"/>
    <w:rsid w:val="00540534"/>
    <w:rsid w:val="00541E6E"/>
    <w:rsid w:val="00542990"/>
    <w:rsid w:val="0054443F"/>
    <w:rsid w:val="00544C04"/>
    <w:rsid w:val="0054559B"/>
    <w:rsid w:val="0054627D"/>
    <w:rsid w:val="00546C8D"/>
    <w:rsid w:val="00547427"/>
    <w:rsid w:val="00550612"/>
    <w:rsid w:val="005508A4"/>
    <w:rsid w:val="00550D28"/>
    <w:rsid w:val="005521F7"/>
    <w:rsid w:val="0055285B"/>
    <w:rsid w:val="00552935"/>
    <w:rsid w:val="00552F9E"/>
    <w:rsid w:val="005530D8"/>
    <w:rsid w:val="0055338F"/>
    <w:rsid w:val="0055458C"/>
    <w:rsid w:val="00555BA9"/>
    <w:rsid w:val="0055643B"/>
    <w:rsid w:val="005577C4"/>
    <w:rsid w:val="00557E9F"/>
    <w:rsid w:val="00561614"/>
    <w:rsid w:val="0056191C"/>
    <w:rsid w:val="00562F23"/>
    <w:rsid w:val="00563284"/>
    <w:rsid w:val="005632B5"/>
    <w:rsid w:val="00563CCC"/>
    <w:rsid w:val="00564DA4"/>
    <w:rsid w:val="00565224"/>
    <w:rsid w:val="0056522B"/>
    <w:rsid w:val="0056626E"/>
    <w:rsid w:val="00566467"/>
    <w:rsid w:val="00566CE0"/>
    <w:rsid w:val="005673D8"/>
    <w:rsid w:val="00567A33"/>
    <w:rsid w:val="005703A3"/>
    <w:rsid w:val="00570845"/>
    <w:rsid w:val="00570A1E"/>
    <w:rsid w:val="005717BB"/>
    <w:rsid w:val="005719DA"/>
    <w:rsid w:val="005727D3"/>
    <w:rsid w:val="00572B5D"/>
    <w:rsid w:val="00573D95"/>
    <w:rsid w:val="005749DC"/>
    <w:rsid w:val="005755AF"/>
    <w:rsid w:val="00575C2E"/>
    <w:rsid w:val="00575F16"/>
    <w:rsid w:val="0057605A"/>
    <w:rsid w:val="00576D6E"/>
    <w:rsid w:val="005801CC"/>
    <w:rsid w:val="00580207"/>
    <w:rsid w:val="00580263"/>
    <w:rsid w:val="0058196D"/>
    <w:rsid w:val="00581CB6"/>
    <w:rsid w:val="005825D0"/>
    <w:rsid w:val="00583ACA"/>
    <w:rsid w:val="00583C98"/>
    <w:rsid w:val="00584AFC"/>
    <w:rsid w:val="00584C97"/>
    <w:rsid w:val="00584FF7"/>
    <w:rsid w:val="00585A1A"/>
    <w:rsid w:val="00585C90"/>
    <w:rsid w:val="00585F54"/>
    <w:rsid w:val="00585FB5"/>
    <w:rsid w:val="00587227"/>
    <w:rsid w:val="005901F2"/>
    <w:rsid w:val="005913C5"/>
    <w:rsid w:val="00591EB8"/>
    <w:rsid w:val="005921B6"/>
    <w:rsid w:val="0059223F"/>
    <w:rsid w:val="00593BB7"/>
    <w:rsid w:val="00593ED0"/>
    <w:rsid w:val="00594078"/>
    <w:rsid w:val="0059489D"/>
    <w:rsid w:val="005953AE"/>
    <w:rsid w:val="005955C5"/>
    <w:rsid w:val="00595811"/>
    <w:rsid w:val="00595B9E"/>
    <w:rsid w:val="00595F78"/>
    <w:rsid w:val="0059628F"/>
    <w:rsid w:val="005962BE"/>
    <w:rsid w:val="00596777"/>
    <w:rsid w:val="00597C04"/>
    <w:rsid w:val="005A1A12"/>
    <w:rsid w:val="005A25E8"/>
    <w:rsid w:val="005A4485"/>
    <w:rsid w:val="005A45A3"/>
    <w:rsid w:val="005A462A"/>
    <w:rsid w:val="005A47E9"/>
    <w:rsid w:val="005A52F2"/>
    <w:rsid w:val="005A5416"/>
    <w:rsid w:val="005A58DE"/>
    <w:rsid w:val="005A6179"/>
    <w:rsid w:val="005A623E"/>
    <w:rsid w:val="005A6B6A"/>
    <w:rsid w:val="005A6D6D"/>
    <w:rsid w:val="005A6EAF"/>
    <w:rsid w:val="005B006C"/>
    <w:rsid w:val="005B107D"/>
    <w:rsid w:val="005B2E79"/>
    <w:rsid w:val="005B2EB9"/>
    <w:rsid w:val="005B2F78"/>
    <w:rsid w:val="005B30E9"/>
    <w:rsid w:val="005B3495"/>
    <w:rsid w:val="005B3D3B"/>
    <w:rsid w:val="005B4FEA"/>
    <w:rsid w:val="005B7582"/>
    <w:rsid w:val="005B7D85"/>
    <w:rsid w:val="005C0054"/>
    <w:rsid w:val="005C1005"/>
    <w:rsid w:val="005C11B4"/>
    <w:rsid w:val="005C1B8E"/>
    <w:rsid w:val="005C2988"/>
    <w:rsid w:val="005C3D54"/>
    <w:rsid w:val="005C43A3"/>
    <w:rsid w:val="005C4DFD"/>
    <w:rsid w:val="005C5C4A"/>
    <w:rsid w:val="005C5C96"/>
    <w:rsid w:val="005C6FFC"/>
    <w:rsid w:val="005D0181"/>
    <w:rsid w:val="005D0441"/>
    <w:rsid w:val="005D05B3"/>
    <w:rsid w:val="005D0B18"/>
    <w:rsid w:val="005D0C65"/>
    <w:rsid w:val="005D1190"/>
    <w:rsid w:val="005D1B05"/>
    <w:rsid w:val="005D24EC"/>
    <w:rsid w:val="005D2C6E"/>
    <w:rsid w:val="005D2E12"/>
    <w:rsid w:val="005D3B21"/>
    <w:rsid w:val="005D4CF7"/>
    <w:rsid w:val="005D7699"/>
    <w:rsid w:val="005E06D0"/>
    <w:rsid w:val="005E1695"/>
    <w:rsid w:val="005E18FB"/>
    <w:rsid w:val="005E2CF2"/>
    <w:rsid w:val="005E2D5A"/>
    <w:rsid w:val="005E3627"/>
    <w:rsid w:val="005E3726"/>
    <w:rsid w:val="005E379F"/>
    <w:rsid w:val="005E4E94"/>
    <w:rsid w:val="005E5468"/>
    <w:rsid w:val="005E55C2"/>
    <w:rsid w:val="005E6F21"/>
    <w:rsid w:val="005E78AE"/>
    <w:rsid w:val="005F0181"/>
    <w:rsid w:val="005F16AA"/>
    <w:rsid w:val="005F1818"/>
    <w:rsid w:val="005F2885"/>
    <w:rsid w:val="005F2D6B"/>
    <w:rsid w:val="005F2DD9"/>
    <w:rsid w:val="005F3C7E"/>
    <w:rsid w:val="005F40D3"/>
    <w:rsid w:val="005F4355"/>
    <w:rsid w:val="005F5744"/>
    <w:rsid w:val="005F6683"/>
    <w:rsid w:val="005F7C4B"/>
    <w:rsid w:val="0060075E"/>
    <w:rsid w:val="006010BC"/>
    <w:rsid w:val="006013F1"/>
    <w:rsid w:val="00601415"/>
    <w:rsid w:val="00601C45"/>
    <w:rsid w:val="00601DA4"/>
    <w:rsid w:val="0060242C"/>
    <w:rsid w:val="00602566"/>
    <w:rsid w:val="00602753"/>
    <w:rsid w:val="00602D00"/>
    <w:rsid w:val="00603050"/>
    <w:rsid w:val="00605812"/>
    <w:rsid w:val="00605A06"/>
    <w:rsid w:val="00605B07"/>
    <w:rsid w:val="00605DF3"/>
    <w:rsid w:val="0060697D"/>
    <w:rsid w:val="0061043D"/>
    <w:rsid w:val="006111F0"/>
    <w:rsid w:val="00611EC0"/>
    <w:rsid w:val="0061248A"/>
    <w:rsid w:val="00613143"/>
    <w:rsid w:val="00613533"/>
    <w:rsid w:val="00614121"/>
    <w:rsid w:val="00614A82"/>
    <w:rsid w:val="00615102"/>
    <w:rsid w:val="00615A94"/>
    <w:rsid w:val="006161C7"/>
    <w:rsid w:val="006163D8"/>
    <w:rsid w:val="00616D3D"/>
    <w:rsid w:val="00620F24"/>
    <w:rsid w:val="00622642"/>
    <w:rsid w:val="006234D9"/>
    <w:rsid w:val="006237E2"/>
    <w:rsid w:val="00623C5D"/>
    <w:rsid w:val="00625801"/>
    <w:rsid w:val="0062643F"/>
    <w:rsid w:val="00630391"/>
    <w:rsid w:val="00631795"/>
    <w:rsid w:val="0063279E"/>
    <w:rsid w:val="00632E76"/>
    <w:rsid w:val="00633420"/>
    <w:rsid w:val="00633424"/>
    <w:rsid w:val="00633597"/>
    <w:rsid w:val="0063478C"/>
    <w:rsid w:val="00634B44"/>
    <w:rsid w:val="00634E32"/>
    <w:rsid w:val="00634FA3"/>
    <w:rsid w:val="006351E8"/>
    <w:rsid w:val="00635B53"/>
    <w:rsid w:val="006361A4"/>
    <w:rsid w:val="00636C93"/>
    <w:rsid w:val="00636DBA"/>
    <w:rsid w:val="00636EE9"/>
    <w:rsid w:val="00640207"/>
    <w:rsid w:val="006408F4"/>
    <w:rsid w:val="00640EF8"/>
    <w:rsid w:val="00641651"/>
    <w:rsid w:val="00643356"/>
    <w:rsid w:val="0064346B"/>
    <w:rsid w:val="00643535"/>
    <w:rsid w:val="0064373A"/>
    <w:rsid w:val="00644D64"/>
    <w:rsid w:val="0064562F"/>
    <w:rsid w:val="006458E6"/>
    <w:rsid w:val="00645949"/>
    <w:rsid w:val="00645CCE"/>
    <w:rsid w:val="00645ED4"/>
    <w:rsid w:val="00646F70"/>
    <w:rsid w:val="00647973"/>
    <w:rsid w:val="0065067D"/>
    <w:rsid w:val="00650725"/>
    <w:rsid w:val="00650915"/>
    <w:rsid w:val="006514AB"/>
    <w:rsid w:val="00651739"/>
    <w:rsid w:val="006519CA"/>
    <w:rsid w:val="0065281F"/>
    <w:rsid w:val="0065351B"/>
    <w:rsid w:val="00653785"/>
    <w:rsid w:val="00654236"/>
    <w:rsid w:val="00655054"/>
    <w:rsid w:val="00655586"/>
    <w:rsid w:val="00657C74"/>
    <w:rsid w:val="00660142"/>
    <w:rsid w:val="00662AF3"/>
    <w:rsid w:val="00662D4A"/>
    <w:rsid w:val="006637C7"/>
    <w:rsid w:val="006646CB"/>
    <w:rsid w:val="00664A0A"/>
    <w:rsid w:val="006655DE"/>
    <w:rsid w:val="00666241"/>
    <w:rsid w:val="006673E0"/>
    <w:rsid w:val="00670376"/>
    <w:rsid w:val="00670C77"/>
    <w:rsid w:val="0067213C"/>
    <w:rsid w:val="00672333"/>
    <w:rsid w:val="0067299F"/>
    <w:rsid w:val="006734A7"/>
    <w:rsid w:val="006748B5"/>
    <w:rsid w:val="00675304"/>
    <w:rsid w:val="00675F01"/>
    <w:rsid w:val="006771AD"/>
    <w:rsid w:val="006776FE"/>
    <w:rsid w:val="00677E98"/>
    <w:rsid w:val="00677EBB"/>
    <w:rsid w:val="00681471"/>
    <w:rsid w:val="00682C10"/>
    <w:rsid w:val="0068387C"/>
    <w:rsid w:val="00683966"/>
    <w:rsid w:val="00683B78"/>
    <w:rsid w:val="00685CE3"/>
    <w:rsid w:val="00685E41"/>
    <w:rsid w:val="00686517"/>
    <w:rsid w:val="00686778"/>
    <w:rsid w:val="00686FA0"/>
    <w:rsid w:val="0068729A"/>
    <w:rsid w:val="006877D3"/>
    <w:rsid w:val="00691C5B"/>
    <w:rsid w:val="00691D24"/>
    <w:rsid w:val="00692057"/>
    <w:rsid w:val="0069342F"/>
    <w:rsid w:val="00696295"/>
    <w:rsid w:val="00696AEF"/>
    <w:rsid w:val="00696E97"/>
    <w:rsid w:val="0069737A"/>
    <w:rsid w:val="006976AE"/>
    <w:rsid w:val="00697EAF"/>
    <w:rsid w:val="00697F76"/>
    <w:rsid w:val="006A0DD6"/>
    <w:rsid w:val="006A24C9"/>
    <w:rsid w:val="006A26B8"/>
    <w:rsid w:val="006A286B"/>
    <w:rsid w:val="006A2BC3"/>
    <w:rsid w:val="006A3A98"/>
    <w:rsid w:val="006A3BF1"/>
    <w:rsid w:val="006A48FC"/>
    <w:rsid w:val="006A4BB7"/>
    <w:rsid w:val="006A5170"/>
    <w:rsid w:val="006A5E0F"/>
    <w:rsid w:val="006A7406"/>
    <w:rsid w:val="006A7956"/>
    <w:rsid w:val="006A7AB2"/>
    <w:rsid w:val="006B034B"/>
    <w:rsid w:val="006B0D15"/>
    <w:rsid w:val="006B1119"/>
    <w:rsid w:val="006B15BC"/>
    <w:rsid w:val="006B16BF"/>
    <w:rsid w:val="006B2E99"/>
    <w:rsid w:val="006B2EB4"/>
    <w:rsid w:val="006B31A8"/>
    <w:rsid w:val="006B383C"/>
    <w:rsid w:val="006B3C13"/>
    <w:rsid w:val="006B4430"/>
    <w:rsid w:val="006B5552"/>
    <w:rsid w:val="006B58BF"/>
    <w:rsid w:val="006B6787"/>
    <w:rsid w:val="006B68E2"/>
    <w:rsid w:val="006B6DBF"/>
    <w:rsid w:val="006C0049"/>
    <w:rsid w:val="006C02B8"/>
    <w:rsid w:val="006C1FA2"/>
    <w:rsid w:val="006C2C37"/>
    <w:rsid w:val="006C3338"/>
    <w:rsid w:val="006C3F52"/>
    <w:rsid w:val="006C509C"/>
    <w:rsid w:val="006C5359"/>
    <w:rsid w:val="006C65D4"/>
    <w:rsid w:val="006C688E"/>
    <w:rsid w:val="006C751B"/>
    <w:rsid w:val="006C7FE8"/>
    <w:rsid w:val="006D0012"/>
    <w:rsid w:val="006D0BEA"/>
    <w:rsid w:val="006D0DAE"/>
    <w:rsid w:val="006D1D8A"/>
    <w:rsid w:val="006D1EEA"/>
    <w:rsid w:val="006D218D"/>
    <w:rsid w:val="006D3040"/>
    <w:rsid w:val="006D306A"/>
    <w:rsid w:val="006D39E1"/>
    <w:rsid w:val="006D4747"/>
    <w:rsid w:val="006D4902"/>
    <w:rsid w:val="006D4EEF"/>
    <w:rsid w:val="006D4FA4"/>
    <w:rsid w:val="006D5B9D"/>
    <w:rsid w:val="006D624B"/>
    <w:rsid w:val="006D65A1"/>
    <w:rsid w:val="006D6A5D"/>
    <w:rsid w:val="006D73D5"/>
    <w:rsid w:val="006D7C35"/>
    <w:rsid w:val="006D7C4B"/>
    <w:rsid w:val="006D7C75"/>
    <w:rsid w:val="006E043E"/>
    <w:rsid w:val="006E08C4"/>
    <w:rsid w:val="006E0D20"/>
    <w:rsid w:val="006E0D51"/>
    <w:rsid w:val="006E182E"/>
    <w:rsid w:val="006E1CA6"/>
    <w:rsid w:val="006E2919"/>
    <w:rsid w:val="006E2B84"/>
    <w:rsid w:val="006E2C4B"/>
    <w:rsid w:val="006E312A"/>
    <w:rsid w:val="006E3FA9"/>
    <w:rsid w:val="006E4A8A"/>
    <w:rsid w:val="006E4BDB"/>
    <w:rsid w:val="006E6C19"/>
    <w:rsid w:val="006E720B"/>
    <w:rsid w:val="006E799D"/>
    <w:rsid w:val="006F0082"/>
    <w:rsid w:val="006F02A9"/>
    <w:rsid w:val="006F05BD"/>
    <w:rsid w:val="006F07CC"/>
    <w:rsid w:val="006F15BF"/>
    <w:rsid w:val="006F2792"/>
    <w:rsid w:val="006F2A16"/>
    <w:rsid w:val="006F3E20"/>
    <w:rsid w:val="006F57E6"/>
    <w:rsid w:val="006F61CF"/>
    <w:rsid w:val="006F6592"/>
    <w:rsid w:val="006F6B91"/>
    <w:rsid w:val="006F7E2D"/>
    <w:rsid w:val="00700D3F"/>
    <w:rsid w:val="00701F36"/>
    <w:rsid w:val="00702E8E"/>
    <w:rsid w:val="00703DC7"/>
    <w:rsid w:val="00704DAA"/>
    <w:rsid w:val="00704E29"/>
    <w:rsid w:val="007058EE"/>
    <w:rsid w:val="007060DA"/>
    <w:rsid w:val="0070687A"/>
    <w:rsid w:val="00710394"/>
    <w:rsid w:val="00710E4D"/>
    <w:rsid w:val="00710E65"/>
    <w:rsid w:val="007131DD"/>
    <w:rsid w:val="00713594"/>
    <w:rsid w:val="00713662"/>
    <w:rsid w:val="00713875"/>
    <w:rsid w:val="00713E66"/>
    <w:rsid w:val="0071481F"/>
    <w:rsid w:val="00714C81"/>
    <w:rsid w:val="00714DBD"/>
    <w:rsid w:val="0071509B"/>
    <w:rsid w:val="007154E8"/>
    <w:rsid w:val="007155B5"/>
    <w:rsid w:val="00715996"/>
    <w:rsid w:val="00715CA7"/>
    <w:rsid w:val="00715EC9"/>
    <w:rsid w:val="00716A19"/>
    <w:rsid w:val="007171C6"/>
    <w:rsid w:val="0072016D"/>
    <w:rsid w:val="007203D1"/>
    <w:rsid w:val="007205DF"/>
    <w:rsid w:val="0072176A"/>
    <w:rsid w:val="007220D9"/>
    <w:rsid w:val="00722B05"/>
    <w:rsid w:val="007237A9"/>
    <w:rsid w:val="00723932"/>
    <w:rsid w:val="00725D11"/>
    <w:rsid w:val="007260AE"/>
    <w:rsid w:val="007266CB"/>
    <w:rsid w:val="0072705E"/>
    <w:rsid w:val="007274A9"/>
    <w:rsid w:val="00730545"/>
    <w:rsid w:val="00730C7B"/>
    <w:rsid w:val="00732EDC"/>
    <w:rsid w:val="00733070"/>
    <w:rsid w:val="00733234"/>
    <w:rsid w:val="0073374D"/>
    <w:rsid w:val="007342BE"/>
    <w:rsid w:val="00735B38"/>
    <w:rsid w:val="00737491"/>
    <w:rsid w:val="00737AEE"/>
    <w:rsid w:val="00737B23"/>
    <w:rsid w:val="007405AB"/>
    <w:rsid w:val="0074117E"/>
    <w:rsid w:val="007411EF"/>
    <w:rsid w:val="0074171E"/>
    <w:rsid w:val="00741959"/>
    <w:rsid w:val="00741C5B"/>
    <w:rsid w:val="007427F3"/>
    <w:rsid w:val="00742EAD"/>
    <w:rsid w:val="00743D9C"/>
    <w:rsid w:val="00743F5B"/>
    <w:rsid w:val="00744949"/>
    <w:rsid w:val="00744FBE"/>
    <w:rsid w:val="0074538E"/>
    <w:rsid w:val="007457F2"/>
    <w:rsid w:val="00745ABC"/>
    <w:rsid w:val="00746466"/>
    <w:rsid w:val="00746AF2"/>
    <w:rsid w:val="00746E5F"/>
    <w:rsid w:val="0074754E"/>
    <w:rsid w:val="007502D6"/>
    <w:rsid w:val="007512B4"/>
    <w:rsid w:val="007524C0"/>
    <w:rsid w:val="00753466"/>
    <w:rsid w:val="00753B3C"/>
    <w:rsid w:val="00754383"/>
    <w:rsid w:val="00755971"/>
    <w:rsid w:val="00755FE9"/>
    <w:rsid w:val="00756090"/>
    <w:rsid w:val="00757C05"/>
    <w:rsid w:val="007623ED"/>
    <w:rsid w:val="007627E0"/>
    <w:rsid w:val="00762D5B"/>
    <w:rsid w:val="007630B3"/>
    <w:rsid w:val="0076332F"/>
    <w:rsid w:val="0076349B"/>
    <w:rsid w:val="00763CD7"/>
    <w:rsid w:val="00764AC0"/>
    <w:rsid w:val="00764D6C"/>
    <w:rsid w:val="0076511E"/>
    <w:rsid w:val="00765536"/>
    <w:rsid w:val="007655EC"/>
    <w:rsid w:val="00765E19"/>
    <w:rsid w:val="007660C1"/>
    <w:rsid w:val="0076619C"/>
    <w:rsid w:val="007668FB"/>
    <w:rsid w:val="0076706F"/>
    <w:rsid w:val="00767868"/>
    <w:rsid w:val="00767C3E"/>
    <w:rsid w:val="00770854"/>
    <w:rsid w:val="007712D0"/>
    <w:rsid w:val="0077174E"/>
    <w:rsid w:val="007717A5"/>
    <w:rsid w:val="00771FCC"/>
    <w:rsid w:val="0077228B"/>
    <w:rsid w:val="0077269E"/>
    <w:rsid w:val="007728EB"/>
    <w:rsid w:val="00774B99"/>
    <w:rsid w:val="00774D10"/>
    <w:rsid w:val="00775BF0"/>
    <w:rsid w:val="00776ADA"/>
    <w:rsid w:val="00777701"/>
    <w:rsid w:val="007777EE"/>
    <w:rsid w:val="0077793C"/>
    <w:rsid w:val="00777D66"/>
    <w:rsid w:val="00777DB4"/>
    <w:rsid w:val="00783285"/>
    <w:rsid w:val="00783F83"/>
    <w:rsid w:val="00784B22"/>
    <w:rsid w:val="00784EAE"/>
    <w:rsid w:val="007851E8"/>
    <w:rsid w:val="00785236"/>
    <w:rsid w:val="00785C6E"/>
    <w:rsid w:val="00785FF2"/>
    <w:rsid w:val="007869A5"/>
    <w:rsid w:val="00787F86"/>
    <w:rsid w:val="00790C75"/>
    <w:rsid w:val="00790CE0"/>
    <w:rsid w:val="00791154"/>
    <w:rsid w:val="00791B88"/>
    <w:rsid w:val="00791CA7"/>
    <w:rsid w:val="00791ECC"/>
    <w:rsid w:val="0079203B"/>
    <w:rsid w:val="00792521"/>
    <w:rsid w:val="00792914"/>
    <w:rsid w:val="007929E6"/>
    <w:rsid w:val="00792A2F"/>
    <w:rsid w:val="0079346C"/>
    <w:rsid w:val="007934E1"/>
    <w:rsid w:val="0079394C"/>
    <w:rsid w:val="00794CCB"/>
    <w:rsid w:val="00795937"/>
    <w:rsid w:val="00797801"/>
    <w:rsid w:val="007A1647"/>
    <w:rsid w:val="007A1A79"/>
    <w:rsid w:val="007A2143"/>
    <w:rsid w:val="007A21EF"/>
    <w:rsid w:val="007A2741"/>
    <w:rsid w:val="007A287F"/>
    <w:rsid w:val="007A2FA7"/>
    <w:rsid w:val="007A3124"/>
    <w:rsid w:val="007A41A7"/>
    <w:rsid w:val="007A52F9"/>
    <w:rsid w:val="007A60FA"/>
    <w:rsid w:val="007A64FB"/>
    <w:rsid w:val="007A673E"/>
    <w:rsid w:val="007A6B19"/>
    <w:rsid w:val="007A7A34"/>
    <w:rsid w:val="007B1CE4"/>
    <w:rsid w:val="007B31A4"/>
    <w:rsid w:val="007B3382"/>
    <w:rsid w:val="007B4508"/>
    <w:rsid w:val="007B46FC"/>
    <w:rsid w:val="007B4FA2"/>
    <w:rsid w:val="007B57A1"/>
    <w:rsid w:val="007B5EF6"/>
    <w:rsid w:val="007B65A2"/>
    <w:rsid w:val="007B7F33"/>
    <w:rsid w:val="007C0A8D"/>
    <w:rsid w:val="007C0B33"/>
    <w:rsid w:val="007C2345"/>
    <w:rsid w:val="007C3F89"/>
    <w:rsid w:val="007C49F1"/>
    <w:rsid w:val="007C5386"/>
    <w:rsid w:val="007C5DFA"/>
    <w:rsid w:val="007C6DD5"/>
    <w:rsid w:val="007C7016"/>
    <w:rsid w:val="007C787B"/>
    <w:rsid w:val="007D03B6"/>
    <w:rsid w:val="007D15E7"/>
    <w:rsid w:val="007D1735"/>
    <w:rsid w:val="007D2992"/>
    <w:rsid w:val="007D2F6A"/>
    <w:rsid w:val="007D3156"/>
    <w:rsid w:val="007D36B9"/>
    <w:rsid w:val="007D4032"/>
    <w:rsid w:val="007D4373"/>
    <w:rsid w:val="007D49F1"/>
    <w:rsid w:val="007D5BB4"/>
    <w:rsid w:val="007D642B"/>
    <w:rsid w:val="007D669C"/>
    <w:rsid w:val="007D7E91"/>
    <w:rsid w:val="007E02E9"/>
    <w:rsid w:val="007E07CE"/>
    <w:rsid w:val="007E1027"/>
    <w:rsid w:val="007E1388"/>
    <w:rsid w:val="007E1461"/>
    <w:rsid w:val="007E2B6C"/>
    <w:rsid w:val="007E2BD5"/>
    <w:rsid w:val="007E356A"/>
    <w:rsid w:val="007E4154"/>
    <w:rsid w:val="007E47EF"/>
    <w:rsid w:val="007E588A"/>
    <w:rsid w:val="007E69FC"/>
    <w:rsid w:val="007E74DC"/>
    <w:rsid w:val="007E79CE"/>
    <w:rsid w:val="007E7FC8"/>
    <w:rsid w:val="007F00FB"/>
    <w:rsid w:val="007F0B1F"/>
    <w:rsid w:val="007F1243"/>
    <w:rsid w:val="007F136B"/>
    <w:rsid w:val="007F1641"/>
    <w:rsid w:val="007F178F"/>
    <w:rsid w:val="007F43E9"/>
    <w:rsid w:val="007F59A2"/>
    <w:rsid w:val="007F5F99"/>
    <w:rsid w:val="007F60DE"/>
    <w:rsid w:val="007F637C"/>
    <w:rsid w:val="007F65AE"/>
    <w:rsid w:val="007F6814"/>
    <w:rsid w:val="007F6EF6"/>
    <w:rsid w:val="007F70DE"/>
    <w:rsid w:val="007F7B48"/>
    <w:rsid w:val="00800A30"/>
    <w:rsid w:val="008034AA"/>
    <w:rsid w:val="008037F6"/>
    <w:rsid w:val="00803A38"/>
    <w:rsid w:val="00803CBB"/>
    <w:rsid w:val="00803DA5"/>
    <w:rsid w:val="00804630"/>
    <w:rsid w:val="00804BC5"/>
    <w:rsid w:val="00805802"/>
    <w:rsid w:val="008059EE"/>
    <w:rsid w:val="008066EC"/>
    <w:rsid w:val="008066FB"/>
    <w:rsid w:val="00806C64"/>
    <w:rsid w:val="0080700E"/>
    <w:rsid w:val="00807E7B"/>
    <w:rsid w:val="008108CB"/>
    <w:rsid w:val="00811E9A"/>
    <w:rsid w:val="00812570"/>
    <w:rsid w:val="00812BA9"/>
    <w:rsid w:val="00812DD2"/>
    <w:rsid w:val="008133E9"/>
    <w:rsid w:val="00814F3A"/>
    <w:rsid w:val="00817A04"/>
    <w:rsid w:val="00817E9E"/>
    <w:rsid w:val="008204AA"/>
    <w:rsid w:val="008204EF"/>
    <w:rsid w:val="008207D4"/>
    <w:rsid w:val="00822C57"/>
    <w:rsid w:val="00823299"/>
    <w:rsid w:val="00823A9D"/>
    <w:rsid w:val="00824C50"/>
    <w:rsid w:val="00824D9D"/>
    <w:rsid w:val="00825F02"/>
    <w:rsid w:val="008260BD"/>
    <w:rsid w:val="0082638A"/>
    <w:rsid w:val="008264EB"/>
    <w:rsid w:val="00827413"/>
    <w:rsid w:val="0082788A"/>
    <w:rsid w:val="00827F65"/>
    <w:rsid w:val="00830160"/>
    <w:rsid w:val="00830811"/>
    <w:rsid w:val="008309AF"/>
    <w:rsid w:val="00830C05"/>
    <w:rsid w:val="00831390"/>
    <w:rsid w:val="00832045"/>
    <w:rsid w:val="00832763"/>
    <w:rsid w:val="00833C60"/>
    <w:rsid w:val="008342B2"/>
    <w:rsid w:val="00835456"/>
    <w:rsid w:val="00835D9F"/>
    <w:rsid w:val="00837097"/>
    <w:rsid w:val="00837815"/>
    <w:rsid w:val="00837D41"/>
    <w:rsid w:val="00840606"/>
    <w:rsid w:val="0084061A"/>
    <w:rsid w:val="00840B1E"/>
    <w:rsid w:val="00840C6F"/>
    <w:rsid w:val="008410EF"/>
    <w:rsid w:val="00841D33"/>
    <w:rsid w:val="00842862"/>
    <w:rsid w:val="00842A4F"/>
    <w:rsid w:val="008435C9"/>
    <w:rsid w:val="008435F7"/>
    <w:rsid w:val="0084368A"/>
    <w:rsid w:val="00843A5D"/>
    <w:rsid w:val="008452AC"/>
    <w:rsid w:val="008459AA"/>
    <w:rsid w:val="00847488"/>
    <w:rsid w:val="00847675"/>
    <w:rsid w:val="0084793A"/>
    <w:rsid w:val="00850E21"/>
    <w:rsid w:val="00851353"/>
    <w:rsid w:val="008516C0"/>
    <w:rsid w:val="008521D9"/>
    <w:rsid w:val="0085231C"/>
    <w:rsid w:val="00853D82"/>
    <w:rsid w:val="00854A50"/>
    <w:rsid w:val="008552C6"/>
    <w:rsid w:val="0085559A"/>
    <w:rsid w:val="00855EAE"/>
    <w:rsid w:val="008568E7"/>
    <w:rsid w:val="00856FC4"/>
    <w:rsid w:val="008572E4"/>
    <w:rsid w:val="00857893"/>
    <w:rsid w:val="00857A32"/>
    <w:rsid w:val="00857BDF"/>
    <w:rsid w:val="0086028B"/>
    <w:rsid w:val="008606E8"/>
    <w:rsid w:val="00861063"/>
    <w:rsid w:val="0086173B"/>
    <w:rsid w:val="00861DAE"/>
    <w:rsid w:val="00863EB5"/>
    <w:rsid w:val="008646FE"/>
    <w:rsid w:val="008647AB"/>
    <w:rsid w:val="008653C3"/>
    <w:rsid w:val="00865620"/>
    <w:rsid w:val="008670E5"/>
    <w:rsid w:val="00870A5E"/>
    <w:rsid w:val="00871F92"/>
    <w:rsid w:val="00872175"/>
    <w:rsid w:val="00873E30"/>
    <w:rsid w:val="00874222"/>
    <w:rsid w:val="008745D9"/>
    <w:rsid w:val="0087668E"/>
    <w:rsid w:val="00876D06"/>
    <w:rsid w:val="008770DF"/>
    <w:rsid w:val="008775F2"/>
    <w:rsid w:val="00880178"/>
    <w:rsid w:val="00880466"/>
    <w:rsid w:val="008810D4"/>
    <w:rsid w:val="00881532"/>
    <w:rsid w:val="00881B7D"/>
    <w:rsid w:val="00882515"/>
    <w:rsid w:val="00882EE8"/>
    <w:rsid w:val="00884CCE"/>
    <w:rsid w:val="00885022"/>
    <w:rsid w:val="00885208"/>
    <w:rsid w:val="00885AEE"/>
    <w:rsid w:val="00885DB4"/>
    <w:rsid w:val="00885DBA"/>
    <w:rsid w:val="00885E8E"/>
    <w:rsid w:val="00890920"/>
    <w:rsid w:val="00890C8B"/>
    <w:rsid w:val="008912C3"/>
    <w:rsid w:val="00891863"/>
    <w:rsid w:val="00891CD3"/>
    <w:rsid w:val="00892950"/>
    <w:rsid w:val="0089315C"/>
    <w:rsid w:val="00893242"/>
    <w:rsid w:val="0089331C"/>
    <w:rsid w:val="00893438"/>
    <w:rsid w:val="00893D9A"/>
    <w:rsid w:val="00894C15"/>
    <w:rsid w:val="00894EDF"/>
    <w:rsid w:val="008958D6"/>
    <w:rsid w:val="00896BCD"/>
    <w:rsid w:val="00897111"/>
    <w:rsid w:val="0089791F"/>
    <w:rsid w:val="00897EBD"/>
    <w:rsid w:val="00897F3D"/>
    <w:rsid w:val="008A00F0"/>
    <w:rsid w:val="008A05B8"/>
    <w:rsid w:val="008A06C4"/>
    <w:rsid w:val="008A06D6"/>
    <w:rsid w:val="008A0BC2"/>
    <w:rsid w:val="008A0E18"/>
    <w:rsid w:val="008A0E33"/>
    <w:rsid w:val="008A13AB"/>
    <w:rsid w:val="008A1730"/>
    <w:rsid w:val="008A1DDC"/>
    <w:rsid w:val="008A2C6F"/>
    <w:rsid w:val="008A34CC"/>
    <w:rsid w:val="008A34DC"/>
    <w:rsid w:val="008A3542"/>
    <w:rsid w:val="008A375C"/>
    <w:rsid w:val="008A3E3C"/>
    <w:rsid w:val="008A405A"/>
    <w:rsid w:val="008A44F4"/>
    <w:rsid w:val="008A44FF"/>
    <w:rsid w:val="008A49F1"/>
    <w:rsid w:val="008A52D0"/>
    <w:rsid w:val="008A5B18"/>
    <w:rsid w:val="008A64E5"/>
    <w:rsid w:val="008A6F0F"/>
    <w:rsid w:val="008A6FE6"/>
    <w:rsid w:val="008A7D3D"/>
    <w:rsid w:val="008A7F46"/>
    <w:rsid w:val="008B02B4"/>
    <w:rsid w:val="008B1083"/>
    <w:rsid w:val="008B153E"/>
    <w:rsid w:val="008B1627"/>
    <w:rsid w:val="008B1A29"/>
    <w:rsid w:val="008B1FB3"/>
    <w:rsid w:val="008B25EE"/>
    <w:rsid w:val="008B29D9"/>
    <w:rsid w:val="008B4C7C"/>
    <w:rsid w:val="008B536D"/>
    <w:rsid w:val="008B5A18"/>
    <w:rsid w:val="008B6081"/>
    <w:rsid w:val="008B688D"/>
    <w:rsid w:val="008B6E11"/>
    <w:rsid w:val="008B77B8"/>
    <w:rsid w:val="008B7D64"/>
    <w:rsid w:val="008B7ECE"/>
    <w:rsid w:val="008B7F44"/>
    <w:rsid w:val="008C0BCB"/>
    <w:rsid w:val="008C0D51"/>
    <w:rsid w:val="008C19D9"/>
    <w:rsid w:val="008C1C68"/>
    <w:rsid w:val="008C2008"/>
    <w:rsid w:val="008C2413"/>
    <w:rsid w:val="008C24EF"/>
    <w:rsid w:val="008C298B"/>
    <w:rsid w:val="008C455F"/>
    <w:rsid w:val="008C6042"/>
    <w:rsid w:val="008C7145"/>
    <w:rsid w:val="008C7548"/>
    <w:rsid w:val="008C7A6C"/>
    <w:rsid w:val="008D0B7C"/>
    <w:rsid w:val="008D14EF"/>
    <w:rsid w:val="008D1C6A"/>
    <w:rsid w:val="008D35CA"/>
    <w:rsid w:val="008D5138"/>
    <w:rsid w:val="008D5E8C"/>
    <w:rsid w:val="008D62E8"/>
    <w:rsid w:val="008D6D51"/>
    <w:rsid w:val="008D6EB1"/>
    <w:rsid w:val="008D7374"/>
    <w:rsid w:val="008E0DBE"/>
    <w:rsid w:val="008E135B"/>
    <w:rsid w:val="008E182B"/>
    <w:rsid w:val="008E2AFF"/>
    <w:rsid w:val="008E2BA5"/>
    <w:rsid w:val="008E3373"/>
    <w:rsid w:val="008E34E5"/>
    <w:rsid w:val="008E3992"/>
    <w:rsid w:val="008E3F75"/>
    <w:rsid w:val="008E40AB"/>
    <w:rsid w:val="008E45AF"/>
    <w:rsid w:val="008E5BB3"/>
    <w:rsid w:val="008E5CD4"/>
    <w:rsid w:val="008E5F3E"/>
    <w:rsid w:val="008E6265"/>
    <w:rsid w:val="008E6267"/>
    <w:rsid w:val="008E64F4"/>
    <w:rsid w:val="008E7940"/>
    <w:rsid w:val="008E7B76"/>
    <w:rsid w:val="008E7F61"/>
    <w:rsid w:val="008F0798"/>
    <w:rsid w:val="008F0A08"/>
    <w:rsid w:val="008F0C06"/>
    <w:rsid w:val="008F2B47"/>
    <w:rsid w:val="008F2EA0"/>
    <w:rsid w:val="008F30CB"/>
    <w:rsid w:val="008F3899"/>
    <w:rsid w:val="008F38FF"/>
    <w:rsid w:val="008F39AA"/>
    <w:rsid w:val="008F3EBA"/>
    <w:rsid w:val="008F4ADC"/>
    <w:rsid w:val="008F5442"/>
    <w:rsid w:val="008F549A"/>
    <w:rsid w:val="008F54ED"/>
    <w:rsid w:val="008F6371"/>
    <w:rsid w:val="008F6552"/>
    <w:rsid w:val="008F6710"/>
    <w:rsid w:val="008F6C85"/>
    <w:rsid w:val="008F6FD0"/>
    <w:rsid w:val="008F7722"/>
    <w:rsid w:val="008F7C32"/>
    <w:rsid w:val="008F7F39"/>
    <w:rsid w:val="00900944"/>
    <w:rsid w:val="009009D6"/>
    <w:rsid w:val="00901615"/>
    <w:rsid w:val="00901F5F"/>
    <w:rsid w:val="00902A8C"/>
    <w:rsid w:val="009035E7"/>
    <w:rsid w:val="009038F8"/>
    <w:rsid w:val="0090481D"/>
    <w:rsid w:val="009051BC"/>
    <w:rsid w:val="00905497"/>
    <w:rsid w:val="00905988"/>
    <w:rsid w:val="00905EE9"/>
    <w:rsid w:val="00907139"/>
    <w:rsid w:val="009105CD"/>
    <w:rsid w:val="00910E7D"/>
    <w:rsid w:val="009134EC"/>
    <w:rsid w:val="00913704"/>
    <w:rsid w:val="00913B3A"/>
    <w:rsid w:val="00913EA8"/>
    <w:rsid w:val="009155BF"/>
    <w:rsid w:val="009155EC"/>
    <w:rsid w:val="009161FF"/>
    <w:rsid w:val="009164DA"/>
    <w:rsid w:val="00916D6A"/>
    <w:rsid w:val="00916FCF"/>
    <w:rsid w:val="009175F7"/>
    <w:rsid w:val="009200D8"/>
    <w:rsid w:val="009205CE"/>
    <w:rsid w:val="00921343"/>
    <w:rsid w:val="00922481"/>
    <w:rsid w:val="00923829"/>
    <w:rsid w:val="009238AF"/>
    <w:rsid w:val="00923912"/>
    <w:rsid w:val="009255F9"/>
    <w:rsid w:val="00925674"/>
    <w:rsid w:val="009257E1"/>
    <w:rsid w:val="00925924"/>
    <w:rsid w:val="009269B5"/>
    <w:rsid w:val="00927C34"/>
    <w:rsid w:val="00931038"/>
    <w:rsid w:val="009310A5"/>
    <w:rsid w:val="00931BC4"/>
    <w:rsid w:val="00934174"/>
    <w:rsid w:val="00934DB0"/>
    <w:rsid w:val="00936307"/>
    <w:rsid w:val="0093778C"/>
    <w:rsid w:val="00940ABC"/>
    <w:rsid w:val="00940EF6"/>
    <w:rsid w:val="009413D0"/>
    <w:rsid w:val="00941426"/>
    <w:rsid w:val="00942A79"/>
    <w:rsid w:val="00943C8C"/>
    <w:rsid w:val="00943E9E"/>
    <w:rsid w:val="00944A96"/>
    <w:rsid w:val="009461A9"/>
    <w:rsid w:val="00946446"/>
    <w:rsid w:val="009506CB"/>
    <w:rsid w:val="00953116"/>
    <w:rsid w:val="0095439D"/>
    <w:rsid w:val="009574FF"/>
    <w:rsid w:val="00957F67"/>
    <w:rsid w:val="0096034E"/>
    <w:rsid w:val="00960863"/>
    <w:rsid w:val="00960B35"/>
    <w:rsid w:val="00960BFE"/>
    <w:rsid w:val="00961902"/>
    <w:rsid w:val="009620AE"/>
    <w:rsid w:val="00962257"/>
    <w:rsid w:val="00962D55"/>
    <w:rsid w:val="0096360D"/>
    <w:rsid w:val="00963F67"/>
    <w:rsid w:val="0096427B"/>
    <w:rsid w:val="0096579B"/>
    <w:rsid w:val="009662CD"/>
    <w:rsid w:val="00966933"/>
    <w:rsid w:val="00966D11"/>
    <w:rsid w:val="00966E90"/>
    <w:rsid w:val="00967D1B"/>
    <w:rsid w:val="0097029A"/>
    <w:rsid w:val="00971680"/>
    <w:rsid w:val="0097248F"/>
    <w:rsid w:val="009724E3"/>
    <w:rsid w:val="009734E5"/>
    <w:rsid w:val="00974038"/>
    <w:rsid w:val="00974127"/>
    <w:rsid w:val="009757D0"/>
    <w:rsid w:val="00977136"/>
    <w:rsid w:val="009771DA"/>
    <w:rsid w:val="009778EA"/>
    <w:rsid w:val="00977D13"/>
    <w:rsid w:val="00977EF3"/>
    <w:rsid w:val="0098021F"/>
    <w:rsid w:val="00981051"/>
    <w:rsid w:val="0098301E"/>
    <w:rsid w:val="009834B1"/>
    <w:rsid w:val="009837DB"/>
    <w:rsid w:val="00983ED8"/>
    <w:rsid w:val="00984488"/>
    <w:rsid w:val="00984BFF"/>
    <w:rsid w:val="00984F36"/>
    <w:rsid w:val="00985BE6"/>
    <w:rsid w:val="00986C5C"/>
    <w:rsid w:val="00987088"/>
    <w:rsid w:val="009871F7"/>
    <w:rsid w:val="009904A3"/>
    <w:rsid w:val="00990C93"/>
    <w:rsid w:val="00991750"/>
    <w:rsid w:val="00992A69"/>
    <w:rsid w:val="00992E2B"/>
    <w:rsid w:val="00994589"/>
    <w:rsid w:val="00994B8F"/>
    <w:rsid w:val="00995D3F"/>
    <w:rsid w:val="009A07C4"/>
    <w:rsid w:val="009A08AF"/>
    <w:rsid w:val="009A0DC4"/>
    <w:rsid w:val="009A1898"/>
    <w:rsid w:val="009A1BED"/>
    <w:rsid w:val="009A211B"/>
    <w:rsid w:val="009A2569"/>
    <w:rsid w:val="009A3684"/>
    <w:rsid w:val="009A44BC"/>
    <w:rsid w:val="009A5A94"/>
    <w:rsid w:val="009A5E50"/>
    <w:rsid w:val="009A622D"/>
    <w:rsid w:val="009B04B4"/>
    <w:rsid w:val="009B0EBB"/>
    <w:rsid w:val="009B156A"/>
    <w:rsid w:val="009B187F"/>
    <w:rsid w:val="009B2C53"/>
    <w:rsid w:val="009B3221"/>
    <w:rsid w:val="009B34F1"/>
    <w:rsid w:val="009B3678"/>
    <w:rsid w:val="009B3C70"/>
    <w:rsid w:val="009B4240"/>
    <w:rsid w:val="009B5010"/>
    <w:rsid w:val="009B54FC"/>
    <w:rsid w:val="009B5671"/>
    <w:rsid w:val="009B59B0"/>
    <w:rsid w:val="009B5C97"/>
    <w:rsid w:val="009B63F5"/>
    <w:rsid w:val="009B73FD"/>
    <w:rsid w:val="009B7443"/>
    <w:rsid w:val="009B7570"/>
    <w:rsid w:val="009B75CF"/>
    <w:rsid w:val="009B7FA7"/>
    <w:rsid w:val="009C02D2"/>
    <w:rsid w:val="009C10DF"/>
    <w:rsid w:val="009C162C"/>
    <w:rsid w:val="009C1E32"/>
    <w:rsid w:val="009C3086"/>
    <w:rsid w:val="009C4001"/>
    <w:rsid w:val="009C5628"/>
    <w:rsid w:val="009C5D84"/>
    <w:rsid w:val="009C5E85"/>
    <w:rsid w:val="009C62F9"/>
    <w:rsid w:val="009C78B5"/>
    <w:rsid w:val="009D0EED"/>
    <w:rsid w:val="009D10FE"/>
    <w:rsid w:val="009D11A6"/>
    <w:rsid w:val="009D40D0"/>
    <w:rsid w:val="009D4807"/>
    <w:rsid w:val="009D4966"/>
    <w:rsid w:val="009D4B37"/>
    <w:rsid w:val="009D58C6"/>
    <w:rsid w:val="009D594E"/>
    <w:rsid w:val="009D743C"/>
    <w:rsid w:val="009D74AB"/>
    <w:rsid w:val="009E104E"/>
    <w:rsid w:val="009E14B4"/>
    <w:rsid w:val="009E196E"/>
    <w:rsid w:val="009E2932"/>
    <w:rsid w:val="009E44AC"/>
    <w:rsid w:val="009E4B27"/>
    <w:rsid w:val="009E55D9"/>
    <w:rsid w:val="009E55F6"/>
    <w:rsid w:val="009E6AF3"/>
    <w:rsid w:val="009F0534"/>
    <w:rsid w:val="009F095A"/>
    <w:rsid w:val="009F2552"/>
    <w:rsid w:val="009F29CF"/>
    <w:rsid w:val="009F3C66"/>
    <w:rsid w:val="009F3E64"/>
    <w:rsid w:val="009F458C"/>
    <w:rsid w:val="009F47A9"/>
    <w:rsid w:val="009F50FB"/>
    <w:rsid w:val="009F5C9B"/>
    <w:rsid w:val="009F6AD3"/>
    <w:rsid w:val="009F6FE8"/>
    <w:rsid w:val="009F7F00"/>
    <w:rsid w:val="00A00387"/>
    <w:rsid w:val="00A00EED"/>
    <w:rsid w:val="00A02134"/>
    <w:rsid w:val="00A036E6"/>
    <w:rsid w:val="00A05073"/>
    <w:rsid w:val="00A054C8"/>
    <w:rsid w:val="00A05C35"/>
    <w:rsid w:val="00A05C88"/>
    <w:rsid w:val="00A060E2"/>
    <w:rsid w:val="00A06ABB"/>
    <w:rsid w:val="00A0716B"/>
    <w:rsid w:val="00A07547"/>
    <w:rsid w:val="00A07684"/>
    <w:rsid w:val="00A07AFD"/>
    <w:rsid w:val="00A07BDB"/>
    <w:rsid w:val="00A10A0E"/>
    <w:rsid w:val="00A10A35"/>
    <w:rsid w:val="00A118D9"/>
    <w:rsid w:val="00A11A63"/>
    <w:rsid w:val="00A11A6D"/>
    <w:rsid w:val="00A123B4"/>
    <w:rsid w:val="00A124A8"/>
    <w:rsid w:val="00A12B82"/>
    <w:rsid w:val="00A12E59"/>
    <w:rsid w:val="00A131B1"/>
    <w:rsid w:val="00A13577"/>
    <w:rsid w:val="00A139D1"/>
    <w:rsid w:val="00A13A3C"/>
    <w:rsid w:val="00A13E71"/>
    <w:rsid w:val="00A142BC"/>
    <w:rsid w:val="00A1504E"/>
    <w:rsid w:val="00A15C12"/>
    <w:rsid w:val="00A15F0A"/>
    <w:rsid w:val="00A17352"/>
    <w:rsid w:val="00A220E4"/>
    <w:rsid w:val="00A22251"/>
    <w:rsid w:val="00A22961"/>
    <w:rsid w:val="00A23571"/>
    <w:rsid w:val="00A238C4"/>
    <w:rsid w:val="00A23C74"/>
    <w:rsid w:val="00A24BDF"/>
    <w:rsid w:val="00A258E2"/>
    <w:rsid w:val="00A2602A"/>
    <w:rsid w:val="00A264A4"/>
    <w:rsid w:val="00A3257B"/>
    <w:rsid w:val="00A33C45"/>
    <w:rsid w:val="00A33EC8"/>
    <w:rsid w:val="00A3408F"/>
    <w:rsid w:val="00A3458C"/>
    <w:rsid w:val="00A3532E"/>
    <w:rsid w:val="00A359D7"/>
    <w:rsid w:val="00A3613D"/>
    <w:rsid w:val="00A3648B"/>
    <w:rsid w:val="00A36E34"/>
    <w:rsid w:val="00A373EB"/>
    <w:rsid w:val="00A40548"/>
    <w:rsid w:val="00A40942"/>
    <w:rsid w:val="00A41A93"/>
    <w:rsid w:val="00A421A7"/>
    <w:rsid w:val="00A424A5"/>
    <w:rsid w:val="00A4292D"/>
    <w:rsid w:val="00A431A9"/>
    <w:rsid w:val="00A434BE"/>
    <w:rsid w:val="00A436A7"/>
    <w:rsid w:val="00A44957"/>
    <w:rsid w:val="00A44DD3"/>
    <w:rsid w:val="00A458A5"/>
    <w:rsid w:val="00A458F0"/>
    <w:rsid w:val="00A46223"/>
    <w:rsid w:val="00A473A6"/>
    <w:rsid w:val="00A474A3"/>
    <w:rsid w:val="00A477B2"/>
    <w:rsid w:val="00A50D60"/>
    <w:rsid w:val="00A50E42"/>
    <w:rsid w:val="00A5186F"/>
    <w:rsid w:val="00A532F3"/>
    <w:rsid w:val="00A533DD"/>
    <w:rsid w:val="00A535EF"/>
    <w:rsid w:val="00A54073"/>
    <w:rsid w:val="00A54260"/>
    <w:rsid w:val="00A54322"/>
    <w:rsid w:val="00A54423"/>
    <w:rsid w:val="00A54D9E"/>
    <w:rsid w:val="00A54DCA"/>
    <w:rsid w:val="00A55586"/>
    <w:rsid w:val="00A55818"/>
    <w:rsid w:val="00A55880"/>
    <w:rsid w:val="00A56BA1"/>
    <w:rsid w:val="00A571E5"/>
    <w:rsid w:val="00A578B3"/>
    <w:rsid w:val="00A57B65"/>
    <w:rsid w:val="00A60598"/>
    <w:rsid w:val="00A6080D"/>
    <w:rsid w:val="00A60C06"/>
    <w:rsid w:val="00A61061"/>
    <w:rsid w:val="00A62C01"/>
    <w:rsid w:val="00A63C7F"/>
    <w:rsid w:val="00A65A53"/>
    <w:rsid w:val="00A65E61"/>
    <w:rsid w:val="00A665B0"/>
    <w:rsid w:val="00A6692E"/>
    <w:rsid w:val="00A66B73"/>
    <w:rsid w:val="00A66F52"/>
    <w:rsid w:val="00A66F54"/>
    <w:rsid w:val="00A705CE"/>
    <w:rsid w:val="00A70995"/>
    <w:rsid w:val="00A721D5"/>
    <w:rsid w:val="00A73F8C"/>
    <w:rsid w:val="00A74C6B"/>
    <w:rsid w:val="00A74CA8"/>
    <w:rsid w:val="00A761B6"/>
    <w:rsid w:val="00A764EE"/>
    <w:rsid w:val="00A7663E"/>
    <w:rsid w:val="00A76A8C"/>
    <w:rsid w:val="00A776BC"/>
    <w:rsid w:val="00A77A65"/>
    <w:rsid w:val="00A77B0E"/>
    <w:rsid w:val="00A80493"/>
    <w:rsid w:val="00A80D97"/>
    <w:rsid w:val="00A81878"/>
    <w:rsid w:val="00A81F14"/>
    <w:rsid w:val="00A8370E"/>
    <w:rsid w:val="00A83C08"/>
    <w:rsid w:val="00A84213"/>
    <w:rsid w:val="00A8492E"/>
    <w:rsid w:val="00A84E01"/>
    <w:rsid w:val="00A8511C"/>
    <w:rsid w:val="00A8574C"/>
    <w:rsid w:val="00A85B7F"/>
    <w:rsid w:val="00A86B37"/>
    <w:rsid w:val="00A874C4"/>
    <w:rsid w:val="00A87A21"/>
    <w:rsid w:val="00A908EE"/>
    <w:rsid w:val="00A91510"/>
    <w:rsid w:val="00A9291A"/>
    <w:rsid w:val="00A932C0"/>
    <w:rsid w:val="00A93E8C"/>
    <w:rsid w:val="00A94BF6"/>
    <w:rsid w:val="00A94CA2"/>
    <w:rsid w:val="00A94D08"/>
    <w:rsid w:val="00A9543E"/>
    <w:rsid w:val="00A95BB9"/>
    <w:rsid w:val="00A962D1"/>
    <w:rsid w:val="00A968C7"/>
    <w:rsid w:val="00A96BC1"/>
    <w:rsid w:val="00A9711F"/>
    <w:rsid w:val="00A9745D"/>
    <w:rsid w:val="00A97632"/>
    <w:rsid w:val="00AA209F"/>
    <w:rsid w:val="00AA22FA"/>
    <w:rsid w:val="00AA2CA4"/>
    <w:rsid w:val="00AA33B9"/>
    <w:rsid w:val="00AA37FF"/>
    <w:rsid w:val="00AA448A"/>
    <w:rsid w:val="00AA464B"/>
    <w:rsid w:val="00AA47FF"/>
    <w:rsid w:val="00AA488B"/>
    <w:rsid w:val="00AA57AC"/>
    <w:rsid w:val="00AA7F29"/>
    <w:rsid w:val="00AB0D64"/>
    <w:rsid w:val="00AB10FF"/>
    <w:rsid w:val="00AB2FDB"/>
    <w:rsid w:val="00AB3003"/>
    <w:rsid w:val="00AB425A"/>
    <w:rsid w:val="00AB4A94"/>
    <w:rsid w:val="00AB4F71"/>
    <w:rsid w:val="00AB626B"/>
    <w:rsid w:val="00AB6963"/>
    <w:rsid w:val="00AB755D"/>
    <w:rsid w:val="00AC01F0"/>
    <w:rsid w:val="00AC02A4"/>
    <w:rsid w:val="00AC1913"/>
    <w:rsid w:val="00AC2DAE"/>
    <w:rsid w:val="00AC34EA"/>
    <w:rsid w:val="00AC42B0"/>
    <w:rsid w:val="00AC49DB"/>
    <w:rsid w:val="00AC6474"/>
    <w:rsid w:val="00AC70AF"/>
    <w:rsid w:val="00AC78FF"/>
    <w:rsid w:val="00AC7B3F"/>
    <w:rsid w:val="00AC7CE1"/>
    <w:rsid w:val="00AD08E4"/>
    <w:rsid w:val="00AD11E1"/>
    <w:rsid w:val="00AD135B"/>
    <w:rsid w:val="00AD231E"/>
    <w:rsid w:val="00AD4F19"/>
    <w:rsid w:val="00AD4F45"/>
    <w:rsid w:val="00AD5464"/>
    <w:rsid w:val="00AD59C8"/>
    <w:rsid w:val="00AD5A19"/>
    <w:rsid w:val="00AD5AD7"/>
    <w:rsid w:val="00AD6462"/>
    <w:rsid w:val="00AD64D3"/>
    <w:rsid w:val="00AD6D4B"/>
    <w:rsid w:val="00AE066B"/>
    <w:rsid w:val="00AE07D5"/>
    <w:rsid w:val="00AE0B4C"/>
    <w:rsid w:val="00AE0D45"/>
    <w:rsid w:val="00AE112B"/>
    <w:rsid w:val="00AE1A40"/>
    <w:rsid w:val="00AE208F"/>
    <w:rsid w:val="00AE2319"/>
    <w:rsid w:val="00AE2340"/>
    <w:rsid w:val="00AE2637"/>
    <w:rsid w:val="00AE2918"/>
    <w:rsid w:val="00AE2DDA"/>
    <w:rsid w:val="00AE2F8A"/>
    <w:rsid w:val="00AE3203"/>
    <w:rsid w:val="00AE385C"/>
    <w:rsid w:val="00AE3E09"/>
    <w:rsid w:val="00AE3E7C"/>
    <w:rsid w:val="00AE5197"/>
    <w:rsid w:val="00AE5BA9"/>
    <w:rsid w:val="00AE5CB3"/>
    <w:rsid w:val="00AE69AC"/>
    <w:rsid w:val="00AE70E3"/>
    <w:rsid w:val="00AE7424"/>
    <w:rsid w:val="00AF127F"/>
    <w:rsid w:val="00AF1799"/>
    <w:rsid w:val="00AF1AD0"/>
    <w:rsid w:val="00AF1CB0"/>
    <w:rsid w:val="00AF306D"/>
    <w:rsid w:val="00AF38C6"/>
    <w:rsid w:val="00AF3B5D"/>
    <w:rsid w:val="00AF4007"/>
    <w:rsid w:val="00AF4746"/>
    <w:rsid w:val="00AF4A98"/>
    <w:rsid w:val="00AF5A7C"/>
    <w:rsid w:val="00AF78EC"/>
    <w:rsid w:val="00B001E1"/>
    <w:rsid w:val="00B00B0E"/>
    <w:rsid w:val="00B010CF"/>
    <w:rsid w:val="00B01949"/>
    <w:rsid w:val="00B01C42"/>
    <w:rsid w:val="00B0275C"/>
    <w:rsid w:val="00B02A29"/>
    <w:rsid w:val="00B02B1E"/>
    <w:rsid w:val="00B03886"/>
    <w:rsid w:val="00B04A5D"/>
    <w:rsid w:val="00B04DBB"/>
    <w:rsid w:val="00B056C0"/>
    <w:rsid w:val="00B05CDF"/>
    <w:rsid w:val="00B05E6E"/>
    <w:rsid w:val="00B05FC9"/>
    <w:rsid w:val="00B06138"/>
    <w:rsid w:val="00B063DE"/>
    <w:rsid w:val="00B06965"/>
    <w:rsid w:val="00B06970"/>
    <w:rsid w:val="00B06F3E"/>
    <w:rsid w:val="00B06F73"/>
    <w:rsid w:val="00B079FF"/>
    <w:rsid w:val="00B12310"/>
    <w:rsid w:val="00B12EC5"/>
    <w:rsid w:val="00B14528"/>
    <w:rsid w:val="00B147CC"/>
    <w:rsid w:val="00B158C8"/>
    <w:rsid w:val="00B15962"/>
    <w:rsid w:val="00B15A00"/>
    <w:rsid w:val="00B15C98"/>
    <w:rsid w:val="00B15F35"/>
    <w:rsid w:val="00B16069"/>
    <w:rsid w:val="00B16CF2"/>
    <w:rsid w:val="00B16FA4"/>
    <w:rsid w:val="00B206AE"/>
    <w:rsid w:val="00B20A72"/>
    <w:rsid w:val="00B214E2"/>
    <w:rsid w:val="00B2187A"/>
    <w:rsid w:val="00B219CC"/>
    <w:rsid w:val="00B22CEC"/>
    <w:rsid w:val="00B23133"/>
    <w:rsid w:val="00B23740"/>
    <w:rsid w:val="00B23C0A"/>
    <w:rsid w:val="00B23F69"/>
    <w:rsid w:val="00B26719"/>
    <w:rsid w:val="00B270E2"/>
    <w:rsid w:val="00B2737F"/>
    <w:rsid w:val="00B31AF5"/>
    <w:rsid w:val="00B31FD6"/>
    <w:rsid w:val="00B32323"/>
    <w:rsid w:val="00B33615"/>
    <w:rsid w:val="00B33E5C"/>
    <w:rsid w:val="00B34008"/>
    <w:rsid w:val="00B34C66"/>
    <w:rsid w:val="00B35A1C"/>
    <w:rsid w:val="00B35A36"/>
    <w:rsid w:val="00B365F6"/>
    <w:rsid w:val="00B377E5"/>
    <w:rsid w:val="00B378D5"/>
    <w:rsid w:val="00B41592"/>
    <w:rsid w:val="00B4171E"/>
    <w:rsid w:val="00B41781"/>
    <w:rsid w:val="00B42851"/>
    <w:rsid w:val="00B431B2"/>
    <w:rsid w:val="00B44107"/>
    <w:rsid w:val="00B45329"/>
    <w:rsid w:val="00B4585C"/>
    <w:rsid w:val="00B45DFF"/>
    <w:rsid w:val="00B46BCD"/>
    <w:rsid w:val="00B504B8"/>
    <w:rsid w:val="00B51979"/>
    <w:rsid w:val="00B51BE0"/>
    <w:rsid w:val="00B5270F"/>
    <w:rsid w:val="00B52AC5"/>
    <w:rsid w:val="00B532A0"/>
    <w:rsid w:val="00B55000"/>
    <w:rsid w:val="00B56411"/>
    <w:rsid w:val="00B56612"/>
    <w:rsid w:val="00B5767E"/>
    <w:rsid w:val="00B57FBD"/>
    <w:rsid w:val="00B6036B"/>
    <w:rsid w:val="00B603FC"/>
    <w:rsid w:val="00B618B6"/>
    <w:rsid w:val="00B62FF8"/>
    <w:rsid w:val="00B63371"/>
    <w:rsid w:val="00B637A1"/>
    <w:rsid w:val="00B63B4B"/>
    <w:rsid w:val="00B63B54"/>
    <w:rsid w:val="00B64518"/>
    <w:rsid w:val="00B64ED3"/>
    <w:rsid w:val="00B6569C"/>
    <w:rsid w:val="00B65AAE"/>
    <w:rsid w:val="00B66245"/>
    <w:rsid w:val="00B66EB2"/>
    <w:rsid w:val="00B67B47"/>
    <w:rsid w:val="00B67C79"/>
    <w:rsid w:val="00B70497"/>
    <w:rsid w:val="00B72624"/>
    <w:rsid w:val="00B7489E"/>
    <w:rsid w:val="00B75853"/>
    <w:rsid w:val="00B762D5"/>
    <w:rsid w:val="00B766C6"/>
    <w:rsid w:val="00B76F43"/>
    <w:rsid w:val="00B77015"/>
    <w:rsid w:val="00B775FF"/>
    <w:rsid w:val="00B77743"/>
    <w:rsid w:val="00B778D1"/>
    <w:rsid w:val="00B800D5"/>
    <w:rsid w:val="00B812A8"/>
    <w:rsid w:val="00B81A4D"/>
    <w:rsid w:val="00B81C2F"/>
    <w:rsid w:val="00B8219B"/>
    <w:rsid w:val="00B8389D"/>
    <w:rsid w:val="00B838EB"/>
    <w:rsid w:val="00B83E4D"/>
    <w:rsid w:val="00B84517"/>
    <w:rsid w:val="00B84DBA"/>
    <w:rsid w:val="00B84E2A"/>
    <w:rsid w:val="00B85FC7"/>
    <w:rsid w:val="00B8617B"/>
    <w:rsid w:val="00B86CF8"/>
    <w:rsid w:val="00B86E92"/>
    <w:rsid w:val="00B86FB9"/>
    <w:rsid w:val="00B871A5"/>
    <w:rsid w:val="00B90041"/>
    <w:rsid w:val="00B90986"/>
    <w:rsid w:val="00B913F6"/>
    <w:rsid w:val="00B914CC"/>
    <w:rsid w:val="00B9160A"/>
    <w:rsid w:val="00B9169A"/>
    <w:rsid w:val="00B92132"/>
    <w:rsid w:val="00B92EB8"/>
    <w:rsid w:val="00B93419"/>
    <w:rsid w:val="00B93BAF"/>
    <w:rsid w:val="00B94179"/>
    <w:rsid w:val="00B9445F"/>
    <w:rsid w:val="00B9558A"/>
    <w:rsid w:val="00B9570C"/>
    <w:rsid w:val="00B95F30"/>
    <w:rsid w:val="00B962EC"/>
    <w:rsid w:val="00B9770B"/>
    <w:rsid w:val="00B97B76"/>
    <w:rsid w:val="00B97ECB"/>
    <w:rsid w:val="00BA075B"/>
    <w:rsid w:val="00BA0B9A"/>
    <w:rsid w:val="00BA114F"/>
    <w:rsid w:val="00BA1621"/>
    <w:rsid w:val="00BA189B"/>
    <w:rsid w:val="00BA23FB"/>
    <w:rsid w:val="00BA2755"/>
    <w:rsid w:val="00BA361F"/>
    <w:rsid w:val="00BA3F0C"/>
    <w:rsid w:val="00BA4A55"/>
    <w:rsid w:val="00BA4D9B"/>
    <w:rsid w:val="00BA4E11"/>
    <w:rsid w:val="00BA7415"/>
    <w:rsid w:val="00BA7E18"/>
    <w:rsid w:val="00BB01CC"/>
    <w:rsid w:val="00BB0CD7"/>
    <w:rsid w:val="00BB13C7"/>
    <w:rsid w:val="00BB2271"/>
    <w:rsid w:val="00BB22D8"/>
    <w:rsid w:val="00BB359F"/>
    <w:rsid w:val="00BB3C7D"/>
    <w:rsid w:val="00BB4EFA"/>
    <w:rsid w:val="00BB514E"/>
    <w:rsid w:val="00BB53DB"/>
    <w:rsid w:val="00BB5ECA"/>
    <w:rsid w:val="00BB60E5"/>
    <w:rsid w:val="00BB69EC"/>
    <w:rsid w:val="00BB6E50"/>
    <w:rsid w:val="00BB6FDC"/>
    <w:rsid w:val="00BC1241"/>
    <w:rsid w:val="00BC1374"/>
    <w:rsid w:val="00BC14DA"/>
    <w:rsid w:val="00BC1747"/>
    <w:rsid w:val="00BC2570"/>
    <w:rsid w:val="00BC2920"/>
    <w:rsid w:val="00BC339C"/>
    <w:rsid w:val="00BC4FD0"/>
    <w:rsid w:val="00BC5996"/>
    <w:rsid w:val="00BC5AE0"/>
    <w:rsid w:val="00BC6531"/>
    <w:rsid w:val="00BC669B"/>
    <w:rsid w:val="00BC6C34"/>
    <w:rsid w:val="00BC715C"/>
    <w:rsid w:val="00BC7F4F"/>
    <w:rsid w:val="00BD1440"/>
    <w:rsid w:val="00BD172F"/>
    <w:rsid w:val="00BD25D9"/>
    <w:rsid w:val="00BD3C3A"/>
    <w:rsid w:val="00BD3C93"/>
    <w:rsid w:val="00BD4FEC"/>
    <w:rsid w:val="00BD5456"/>
    <w:rsid w:val="00BD56DF"/>
    <w:rsid w:val="00BD5B35"/>
    <w:rsid w:val="00BD5C8D"/>
    <w:rsid w:val="00BD6486"/>
    <w:rsid w:val="00BD7AB1"/>
    <w:rsid w:val="00BD7AF2"/>
    <w:rsid w:val="00BD7EE7"/>
    <w:rsid w:val="00BE118A"/>
    <w:rsid w:val="00BE151A"/>
    <w:rsid w:val="00BE1658"/>
    <w:rsid w:val="00BE3064"/>
    <w:rsid w:val="00BE3771"/>
    <w:rsid w:val="00BE5FCF"/>
    <w:rsid w:val="00BE62DE"/>
    <w:rsid w:val="00BE63C7"/>
    <w:rsid w:val="00BE6DAC"/>
    <w:rsid w:val="00BE6F03"/>
    <w:rsid w:val="00BE742A"/>
    <w:rsid w:val="00BF0E4D"/>
    <w:rsid w:val="00BF0F88"/>
    <w:rsid w:val="00BF3CB8"/>
    <w:rsid w:val="00BF3D48"/>
    <w:rsid w:val="00BF58D5"/>
    <w:rsid w:val="00BF682D"/>
    <w:rsid w:val="00BF7113"/>
    <w:rsid w:val="00BF746B"/>
    <w:rsid w:val="00C01B17"/>
    <w:rsid w:val="00C01C61"/>
    <w:rsid w:val="00C026B8"/>
    <w:rsid w:val="00C02DC8"/>
    <w:rsid w:val="00C04D55"/>
    <w:rsid w:val="00C0506F"/>
    <w:rsid w:val="00C052A6"/>
    <w:rsid w:val="00C05302"/>
    <w:rsid w:val="00C0550A"/>
    <w:rsid w:val="00C069D4"/>
    <w:rsid w:val="00C072AB"/>
    <w:rsid w:val="00C076CA"/>
    <w:rsid w:val="00C07B75"/>
    <w:rsid w:val="00C100FB"/>
    <w:rsid w:val="00C11F5A"/>
    <w:rsid w:val="00C127DA"/>
    <w:rsid w:val="00C12862"/>
    <w:rsid w:val="00C12CE5"/>
    <w:rsid w:val="00C14752"/>
    <w:rsid w:val="00C1610A"/>
    <w:rsid w:val="00C172DC"/>
    <w:rsid w:val="00C17978"/>
    <w:rsid w:val="00C17B3E"/>
    <w:rsid w:val="00C21485"/>
    <w:rsid w:val="00C221B9"/>
    <w:rsid w:val="00C222A1"/>
    <w:rsid w:val="00C225D2"/>
    <w:rsid w:val="00C22709"/>
    <w:rsid w:val="00C233FF"/>
    <w:rsid w:val="00C23C1D"/>
    <w:rsid w:val="00C24060"/>
    <w:rsid w:val="00C24897"/>
    <w:rsid w:val="00C25432"/>
    <w:rsid w:val="00C260E5"/>
    <w:rsid w:val="00C27BA2"/>
    <w:rsid w:val="00C30340"/>
    <w:rsid w:val="00C30D83"/>
    <w:rsid w:val="00C313DD"/>
    <w:rsid w:val="00C31AF4"/>
    <w:rsid w:val="00C32C5F"/>
    <w:rsid w:val="00C3352B"/>
    <w:rsid w:val="00C33A00"/>
    <w:rsid w:val="00C344C9"/>
    <w:rsid w:val="00C35BB3"/>
    <w:rsid w:val="00C35D19"/>
    <w:rsid w:val="00C365BC"/>
    <w:rsid w:val="00C36771"/>
    <w:rsid w:val="00C37227"/>
    <w:rsid w:val="00C374DB"/>
    <w:rsid w:val="00C37CC0"/>
    <w:rsid w:val="00C37DE8"/>
    <w:rsid w:val="00C40520"/>
    <w:rsid w:val="00C40A4A"/>
    <w:rsid w:val="00C40BE7"/>
    <w:rsid w:val="00C411DE"/>
    <w:rsid w:val="00C41365"/>
    <w:rsid w:val="00C43CD8"/>
    <w:rsid w:val="00C440BC"/>
    <w:rsid w:val="00C44417"/>
    <w:rsid w:val="00C445BF"/>
    <w:rsid w:val="00C4554C"/>
    <w:rsid w:val="00C47132"/>
    <w:rsid w:val="00C477C9"/>
    <w:rsid w:val="00C47D6C"/>
    <w:rsid w:val="00C50AC0"/>
    <w:rsid w:val="00C50B0E"/>
    <w:rsid w:val="00C50FA9"/>
    <w:rsid w:val="00C516B5"/>
    <w:rsid w:val="00C51E67"/>
    <w:rsid w:val="00C52368"/>
    <w:rsid w:val="00C52786"/>
    <w:rsid w:val="00C53A92"/>
    <w:rsid w:val="00C53E01"/>
    <w:rsid w:val="00C53F26"/>
    <w:rsid w:val="00C548D0"/>
    <w:rsid w:val="00C54A35"/>
    <w:rsid w:val="00C55B70"/>
    <w:rsid w:val="00C55BBF"/>
    <w:rsid w:val="00C569E2"/>
    <w:rsid w:val="00C56D96"/>
    <w:rsid w:val="00C56DF9"/>
    <w:rsid w:val="00C56EAB"/>
    <w:rsid w:val="00C572F7"/>
    <w:rsid w:val="00C60857"/>
    <w:rsid w:val="00C60A3A"/>
    <w:rsid w:val="00C60D93"/>
    <w:rsid w:val="00C61149"/>
    <w:rsid w:val="00C62E46"/>
    <w:rsid w:val="00C635A8"/>
    <w:rsid w:val="00C63824"/>
    <w:rsid w:val="00C63BD1"/>
    <w:rsid w:val="00C64174"/>
    <w:rsid w:val="00C65670"/>
    <w:rsid w:val="00C6642D"/>
    <w:rsid w:val="00C6692D"/>
    <w:rsid w:val="00C66C1C"/>
    <w:rsid w:val="00C70845"/>
    <w:rsid w:val="00C70E55"/>
    <w:rsid w:val="00C71194"/>
    <w:rsid w:val="00C7191E"/>
    <w:rsid w:val="00C71B13"/>
    <w:rsid w:val="00C71C59"/>
    <w:rsid w:val="00C71DCD"/>
    <w:rsid w:val="00C727A8"/>
    <w:rsid w:val="00C72869"/>
    <w:rsid w:val="00C733C8"/>
    <w:rsid w:val="00C74CDD"/>
    <w:rsid w:val="00C7683D"/>
    <w:rsid w:val="00C76A58"/>
    <w:rsid w:val="00C775AB"/>
    <w:rsid w:val="00C80CC5"/>
    <w:rsid w:val="00C81211"/>
    <w:rsid w:val="00C812B0"/>
    <w:rsid w:val="00C81D1F"/>
    <w:rsid w:val="00C82065"/>
    <w:rsid w:val="00C82112"/>
    <w:rsid w:val="00C822BD"/>
    <w:rsid w:val="00C827A6"/>
    <w:rsid w:val="00C83A7C"/>
    <w:rsid w:val="00C8560D"/>
    <w:rsid w:val="00C87E83"/>
    <w:rsid w:val="00C87F79"/>
    <w:rsid w:val="00C913FB"/>
    <w:rsid w:val="00C9194B"/>
    <w:rsid w:val="00C91AB0"/>
    <w:rsid w:val="00C92003"/>
    <w:rsid w:val="00C92234"/>
    <w:rsid w:val="00C925B7"/>
    <w:rsid w:val="00C92B63"/>
    <w:rsid w:val="00C93A12"/>
    <w:rsid w:val="00C95253"/>
    <w:rsid w:val="00C958D4"/>
    <w:rsid w:val="00C95CBF"/>
    <w:rsid w:val="00C96B34"/>
    <w:rsid w:val="00C96B5F"/>
    <w:rsid w:val="00C96D9A"/>
    <w:rsid w:val="00C976DA"/>
    <w:rsid w:val="00CA0275"/>
    <w:rsid w:val="00CA027C"/>
    <w:rsid w:val="00CA17FD"/>
    <w:rsid w:val="00CA2A25"/>
    <w:rsid w:val="00CA2C99"/>
    <w:rsid w:val="00CA2D15"/>
    <w:rsid w:val="00CA30DC"/>
    <w:rsid w:val="00CA3169"/>
    <w:rsid w:val="00CA3500"/>
    <w:rsid w:val="00CA47CB"/>
    <w:rsid w:val="00CA4C2B"/>
    <w:rsid w:val="00CA52CF"/>
    <w:rsid w:val="00CA5B2A"/>
    <w:rsid w:val="00CA6263"/>
    <w:rsid w:val="00CA6426"/>
    <w:rsid w:val="00CA6865"/>
    <w:rsid w:val="00CA6BB7"/>
    <w:rsid w:val="00CA70FA"/>
    <w:rsid w:val="00CA74B7"/>
    <w:rsid w:val="00CA780C"/>
    <w:rsid w:val="00CB0621"/>
    <w:rsid w:val="00CB078E"/>
    <w:rsid w:val="00CB087E"/>
    <w:rsid w:val="00CB0E70"/>
    <w:rsid w:val="00CB1299"/>
    <w:rsid w:val="00CB257F"/>
    <w:rsid w:val="00CB2FA9"/>
    <w:rsid w:val="00CB3B18"/>
    <w:rsid w:val="00CB3B8E"/>
    <w:rsid w:val="00CB462C"/>
    <w:rsid w:val="00CB4FDB"/>
    <w:rsid w:val="00CB564E"/>
    <w:rsid w:val="00CB5B1A"/>
    <w:rsid w:val="00CB7689"/>
    <w:rsid w:val="00CC12BC"/>
    <w:rsid w:val="00CC1C86"/>
    <w:rsid w:val="00CC260D"/>
    <w:rsid w:val="00CC2A09"/>
    <w:rsid w:val="00CC33E0"/>
    <w:rsid w:val="00CC3504"/>
    <w:rsid w:val="00CC3ADA"/>
    <w:rsid w:val="00CC4E66"/>
    <w:rsid w:val="00CC52F5"/>
    <w:rsid w:val="00CC5791"/>
    <w:rsid w:val="00CC64E0"/>
    <w:rsid w:val="00CC6A8E"/>
    <w:rsid w:val="00CC6BC9"/>
    <w:rsid w:val="00CC73BE"/>
    <w:rsid w:val="00CD049D"/>
    <w:rsid w:val="00CD1177"/>
    <w:rsid w:val="00CD1B21"/>
    <w:rsid w:val="00CD2948"/>
    <w:rsid w:val="00CD2964"/>
    <w:rsid w:val="00CD2BB5"/>
    <w:rsid w:val="00CD40A2"/>
    <w:rsid w:val="00CD412F"/>
    <w:rsid w:val="00CD4146"/>
    <w:rsid w:val="00CD5F84"/>
    <w:rsid w:val="00CD65BA"/>
    <w:rsid w:val="00CD6F63"/>
    <w:rsid w:val="00CD75F2"/>
    <w:rsid w:val="00CD75FB"/>
    <w:rsid w:val="00CE07D1"/>
    <w:rsid w:val="00CE0E68"/>
    <w:rsid w:val="00CE1022"/>
    <w:rsid w:val="00CE121F"/>
    <w:rsid w:val="00CE144E"/>
    <w:rsid w:val="00CE1453"/>
    <w:rsid w:val="00CE1FE3"/>
    <w:rsid w:val="00CE20B2"/>
    <w:rsid w:val="00CE22F2"/>
    <w:rsid w:val="00CE284B"/>
    <w:rsid w:val="00CE2C06"/>
    <w:rsid w:val="00CE4491"/>
    <w:rsid w:val="00CE4B31"/>
    <w:rsid w:val="00CE4D00"/>
    <w:rsid w:val="00CE4E0D"/>
    <w:rsid w:val="00CE4E66"/>
    <w:rsid w:val="00CE55D5"/>
    <w:rsid w:val="00CE5614"/>
    <w:rsid w:val="00CE59AE"/>
    <w:rsid w:val="00CE5DBC"/>
    <w:rsid w:val="00CE62A9"/>
    <w:rsid w:val="00CE72C4"/>
    <w:rsid w:val="00CE7A79"/>
    <w:rsid w:val="00CF1342"/>
    <w:rsid w:val="00CF1E64"/>
    <w:rsid w:val="00CF2779"/>
    <w:rsid w:val="00CF3A42"/>
    <w:rsid w:val="00CF4495"/>
    <w:rsid w:val="00CF4741"/>
    <w:rsid w:val="00CF522D"/>
    <w:rsid w:val="00CF5C1B"/>
    <w:rsid w:val="00CF65A1"/>
    <w:rsid w:val="00CF7668"/>
    <w:rsid w:val="00CF7CBD"/>
    <w:rsid w:val="00D000CB"/>
    <w:rsid w:val="00D014E4"/>
    <w:rsid w:val="00D0377A"/>
    <w:rsid w:val="00D03E5F"/>
    <w:rsid w:val="00D04243"/>
    <w:rsid w:val="00D045EB"/>
    <w:rsid w:val="00D049FB"/>
    <w:rsid w:val="00D05157"/>
    <w:rsid w:val="00D05862"/>
    <w:rsid w:val="00D059C5"/>
    <w:rsid w:val="00D05C23"/>
    <w:rsid w:val="00D063EB"/>
    <w:rsid w:val="00D06CCE"/>
    <w:rsid w:val="00D07A3B"/>
    <w:rsid w:val="00D07A66"/>
    <w:rsid w:val="00D07CF7"/>
    <w:rsid w:val="00D07D5F"/>
    <w:rsid w:val="00D1056D"/>
    <w:rsid w:val="00D115BA"/>
    <w:rsid w:val="00D11ABF"/>
    <w:rsid w:val="00D11D80"/>
    <w:rsid w:val="00D12771"/>
    <w:rsid w:val="00D134D3"/>
    <w:rsid w:val="00D14062"/>
    <w:rsid w:val="00D14876"/>
    <w:rsid w:val="00D14986"/>
    <w:rsid w:val="00D160BB"/>
    <w:rsid w:val="00D168B6"/>
    <w:rsid w:val="00D169E5"/>
    <w:rsid w:val="00D2036F"/>
    <w:rsid w:val="00D21154"/>
    <w:rsid w:val="00D21E79"/>
    <w:rsid w:val="00D237B1"/>
    <w:rsid w:val="00D2599A"/>
    <w:rsid w:val="00D266B5"/>
    <w:rsid w:val="00D26C6F"/>
    <w:rsid w:val="00D26F50"/>
    <w:rsid w:val="00D274D9"/>
    <w:rsid w:val="00D27978"/>
    <w:rsid w:val="00D31932"/>
    <w:rsid w:val="00D31B6B"/>
    <w:rsid w:val="00D327B2"/>
    <w:rsid w:val="00D328FA"/>
    <w:rsid w:val="00D3527C"/>
    <w:rsid w:val="00D355A5"/>
    <w:rsid w:val="00D36EA6"/>
    <w:rsid w:val="00D40B6B"/>
    <w:rsid w:val="00D40F17"/>
    <w:rsid w:val="00D42FB0"/>
    <w:rsid w:val="00D43403"/>
    <w:rsid w:val="00D4365D"/>
    <w:rsid w:val="00D43ECE"/>
    <w:rsid w:val="00D447C6"/>
    <w:rsid w:val="00D474F9"/>
    <w:rsid w:val="00D4773F"/>
    <w:rsid w:val="00D47A26"/>
    <w:rsid w:val="00D47E23"/>
    <w:rsid w:val="00D505B9"/>
    <w:rsid w:val="00D50A53"/>
    <w:rsid w:val="00D51BF3"/>
    <w:rsid w:val="00D51E7F"/>
    <w:rsid w:val="00D530FE"/>
    <w:rsid w:val="00D53AF2"/>
    <w:rsid w:val="00D54593"/>
    <w:rsid w:val="00D5694F"/>
    <w:rsid w:val="00D56A62"/>
    <w:rsid w:val="00D56BBF"/>
    <w:rsid w:val="00D5751F"/>
    <w:rsid w:val="00D575A9"/>
    <w:rsid w:val="00D57793"/>
    <w:rsid w:val="00D5799B"/>
    <w:rsid w:val="00D6052F"/>
    <w:rsid w:val="00D61068"/>
    <w:rsid w:val="00D622EB"/>
    <w:rsid w:val="00D62CC5"/>
    <w:rsid w:val="00D63537"/>
    <w:rsid w:val="00D64073"/>
    <w:rsid w:val="00D641B6"/>
    <w:rsid w:val="00D6526B"/>
    <w:rsid w:val="00D65CC9"/>
    <w:rsid w:val="00D65EFF"/>
    <w:rsid w:val="00D66FEC"/>
    <w:rsid w:val="00D705EC"/>
    <w:rsid w:val="00D70F17"/>
    <w:rsid w:val="00D71E2C"/>
    <w:rsid w:val="00D71EE3"/>
    <w:rsid w:val="00D7333E"/>
    <w:rsid w:val="00D73FC2"/>
    <w:rsid w:val="00D74397"/>
    <w:rsid w:val="00D74415"/>
    <w:rsid w:val="00D74580"/>
    <w:rsid w:val="00D765A7"/>
    <w:rsid w:val="00D76C93"/>
    <w:rsid w:val="00D7711C"/>
    <w:rsid w:val="00D77149"/>
    <w:rsid w:val="00D800A9"/>
    <w:rsid w:val="00D80E78"/>
    <w:rsid w:val="00D8120A"/>
    <w:rsid w:val="00D81B43"/>
    <w:rsid w:val="00D81DC6"/>
    <w:rsid w:val="00D8261A"/>
    <w:rsid w:val="00D82D2D"/>
    <w:rsid w:val="00D83327"/>
    <w:rsid w:val="00D8332E"/>
    <w:rsid w:val="00D83530"/>
    <w:rsid w:val="00D83D36"/>
    <w:rsid w:val="00D84272"/>
    <w:rsid w:val="00D85783"/>
    <w:rsid w:val="00D85BC0"/>
    <w:rsid w:val="00D861C5"/>
    <w:rsid w:val="00D8622A"/>
    <w:rsid w:val="00D86941"/>
    <w:rsid w:val="00D8706D"/>
    <w:rsid w:val="00D871F1"/>
    <w:rsid w:val="00D874EC"/>
    <w:rsid w:val="00D87B34"/>
    <w:rsid w:val="00D87B61"/>
    <w:rsid w:val="00D87CA3"/>
    <w:rsid w:val="00D937FC"/>
    <w:rsid w:val="00D93805"/>
    <w:rsid w:val="00D93A69"/>
    <w:rsid w:val="00D95278"/>
    <w:rsid w:val="00D95BF2"/>
    <w:rsid w:val="00D97389"/>
    <w:rsid w:val="00DA0337"/>
    <w:rsid w:val="00DA07F9"/>
    <w:rsid w:val="00DA2146"/>
    <w:rsid w:val="00DA393D"/>
    <w:rsid w:val="00DA4E59"/>
    <w:rsid w:val="00DA579E"/>
    <w:rsid w:val="00DA5BBC"/>
    <w:rsid w:val="00DA5C11"/>
    <w:rsid w:val="00DA5E04"/>
    <w:rsid w:val="00DA6737"/>
    <w:rsid w:val="00DA7BF2"/>
    <w:rsid w:val="00DB2DF5"/>
    <w:rsid w:val="00DB3145"/>
    <w:rsid w:val="00DB4977"/>
    <w:rsid w:val="00DB5E33"/>
    <w:rsid w:val="00DB6523"/>
    <w:rsid w:val="00DC0FA6"/>
    <w:rsid w:val="00DC130C"/>
    <w:rsid w:val="00DC2292"/>
    <w:rsid w:val="00DC459C"/>
    <w:rsid w:val="00DC4611"/>
    <w:rsid w:val="00DC4992"/>
    <w:rsid w:val="00DC4BB8"/>
    <w:rsid w:val="00DC508E"/>
    <w:rsid w:val="00DC5487"/>
    <w:rsid w:val="00DC5DC9"/>
    <w:rsid w:val="00DC6B2C"/>
    <w:rsid w:val="00DC714C"/>
    <w:rsid w:val="00DC79ED"/>
    <w:rsid w:val="00DC7F60"/>
    <w:rsid w:val="00DC7F96"/>
    <w:rsid w:val="00DD0342"/>
    <w:rsid w:val="00DD119F"/>
    <w:rsid w:val="00DD2F7B"/>
    <w:rsid w:val="00DD4A2C"/>
    <w:rsid w:val="00DD4C42"/>
    <w:rsid w:val="00DD6A4B"/>
    <w:rsid w:val="00DD6A85"/>
    <w:rsid w:val="00DD6E24"/>
    <w:rsid w:val="00DE04FA"/>
    <w:rsid w:val="00DE0C23"/>
    <w:rsid w:val="00DE14A2"/>
    <w:rsid w:val="00DE23C8"/>
    <w:rsid w:val="00DE25AF"/>
    <w:rsid w:val="00DE29BA"/>
    <w:rsid w:val="00DE2E79"/>
    <w:rsid w:val="00DE31BD"/>
    <w:rsid w:val="00DE34B7"/>
    <w:rsid w:val="00DE38F1"/>
    <w:rsid w:val="00DE3939"/>
    <w:rsid w:val="00DE418C"/>
    <w:rsid w:val="00DE5060"/>
    <w:rsid w:val="00DE52B0"/>
    <w:rsid w:val="00DE588D"/>
    <w:rsid w:val="00DE74B8"/>
    <w:rsid w:val="00DE7BE0"/>
    <w:rsid w:val="00DF1623"/>
    <w:rsid w:val="00DF16CC"/>
    <w:rsid w:val="00DF2D3E"/>
    <w:rsid w:val="00DF2D9E"/>
    <w:rsid w:val="00DF3369"/>
    <w:rsid w:val="00DF366C"/>
    <w:rsid w:val="00DF36FD"/>
    <w:rsid w:val="00DF3A8E"/>
    <w:rsid w:val="00DF3BB9"/>
    <w:rsid w:val="00DF3F89"/>
    <w:rsid w:val="00DF4216"/>
    <w:rsid w:val="00DF46C4"/>
    <w:rsid w:val="00DF4E88"/>
    <w:rsid w:val="00DF6A92"/>
    <w:rsid w:val="00E025F8"/>
    <w:rsid w:val="00E027FF"/>
    <w:rsid w:val="00E038C5"/>
    <w:rsid w:val="00E03E3B"/>
    <w:rsid w:val="00E04589"/>
    <w:rsid w:val="00E04D05"/>
    <w:rsid w:val="00E05480"/>
    <w:rsid w:val="00E065FF"/>
    <w:rsid w:val="00E06B38"/>
    <w:rsid w:val="00E07340"/>
    <w:rsid w:val="00E0747D"/>
    <w:rsid w:val="00E078BB"/>
    <w:rsid w:val="00E102DF"/>
    <w:rsid w:val="00E128D8"/>
    <w:rsid w:val="00E12C42"/>
    <w:rsid w:val="00E132D9"/>
    <w:rsid w:val="00E155A9"/>
    <w:rsid w:val="00E15E54"/>
    <w:rsid w:val="00E165B5"/>
    <w:rsid w:val="00E1688A"/>
    <w:rsid w:val="00E170B3"/>
    <w:rsid w:val="00E1728C"/>
    <w:rsid w:val="00E17A0A"/>
    <w:rsid w:val="00E17ED6"/>
    <w:rsid w:val="00E20EEF"/>
    <w:rsid w:val="00E2102F"/>
    <w:rsid w:val="00E219DF"/>
    <w:rsid w:val="00E227DA"/>
    <w:rsid w:val="00E232AF"/>
    <w:rsid w:val="00E232B1"/>
    <w:rsid w:val="00E232BB"/>
    <w:rsid w:val="00E2333B"/>
    <w:rsid w:val="00E24145"/>
    <w:rsid w:val="00E24353"/>
    <w:rsid w:val="00E248AC"/>
    <w:rsid w:val="00E25107"/>
    <w:rsid w:val="00E251ED"/>
    <w:rsid w:val="00E25B33"/>
    <w:rsid w:val="00E26053"/>
    <w:rsid w:val="00E26758"/>
    <w:rsid w:val="00E27F81"/>
    <w:rsid w:val="00E300E3"/>
    <w:rsid w:val="00E30D9B"/>
    <w:rsid w:val="00E3128A"/>
    <w:rsid w:val="00E324C1"/>
    <w:rsid w:val="00E328DF"/>
    <w:rsid w:val="00E32AD7"/>
    <w:rsid w:val="00E33D3B"/>
    <w:rsid w:val="00E3560E"/>
    <w:rsid w:val="00E37140"/>
    <w:rsid w:val="00E37193"/>
    <w:rsid w:val="00E37CBC"/>
    <w:rsid w:val="00E37CC1"/>
    <w:rsid w:val="00E409C1"/>
    <w:rsid w:val="00E40F5E"/>
    <w:rsid w:val="00E415E8"/>
    <w:rsid w:val="00E416FC"/>
    <w:rsid w:val="00E42214"/>
    <w:rsid w:val="00E422FF"/>
    <w:rsid w:val="00E42848"/>
    <w:rsid w:val="00E42CF8"/>
    <w:rsid w:val="00E4305E"/>
    <w:rsid w:val="00E432AF"/>
    <w:rsid w:val="00E44494"/>
    <w:rsid w:val="00E44920"/>
    <w:rsid w:val="00E45B37"/>
    <w:rsid w:val="00E45E54"/>
    <w:rsid w:val="00E4669C"/>
    <w:rsid w:val="00E46FDA"/>
    <w:rsid w:val="00E47078"/>
    <w:rsid w:val="00E47A1E"/>
    <w:rsid w:val="00E50262"/>
    <w:rsid w:val="00E50712"/>
    <w:rsid w:val="00E51F1C"/>
    <w:rsid w:val="00E525AB"/>
    <w:rsid w:val="00E52FA6"/>
    <w:rsid w:val="00E54409"/>
    <w:rsid w:val="00E544F8"/>
    <w:rsid w:val="00E553A5"/>
    <w:rsid w:val="00E55613"/>
    <w:rsid w:val="00E570AC"/>
    <w:rsid w:val="00E57444"/>
    <w:rsid w:val="00E57E79"/>
    <w:rsid w:val="00E57EEC"/>
    <w:rsid w:val="00E601E9"/>
    <w:rsid w:val="00E606C4"/>
    <w:rsid w:val="00E6090F"/>
    <w:rsid w:val="00E60AF7"/>
    <w:rsid w:val="00E615DE"/>
    <w:rsid w:val="00E61D87"/>
    <w:rsid w:val="00E62D84"/>
    <w:rsid w:val="00E63C7B"/>
    <w:rsid w:val="00E64099"/>
    <w:rsid w:val="00E64120"/>
    <w:rsid w:val="00E65C68"/>
    <w:rsid w:val="00E65F02"/>
    <w:rsid w:val="00E66BEB"/>
    <w:rsid w:val="00E7006B"/>
    <w:rsid w:val="00E700D9"/>
    <w:rsid w:val="00E70C63"/>
    <w:rsid w:val="00E72680"/>
    <w:rsid w:val="00E72B34"/>
    <w:rsid w:val="00E736CD"/>
    <w:rsid w:val="00E7391A"/>
    <w:rsid w:val="00E745B7"/>
    <w:rsid w:val="00E750EC"/>
    <w:rsid w:val="00E75A44"/>
    <w:rsid w:val="00E76018"/>
    <w:rsid w:val="00E768C2"/>
    <w:rsid w:val="00E77470"/>
    <w:rsid w:val="00E82938"/>
    <w:rsid w:val="00E844D0"/>
    <w:rsid w:val="00E848C1"/>
    <w:rsid w:val="00E84DA3"/>
    <w:rsid w:val="00E85EF5"/>
    <w:rsid w:val="00E85F04"/>
    <w:rsid w:val="00E86C0D"/>
    <w:rsid w:val="00E871B1"/>
    <w:rsid w:val="00E876DE"/>
    <w:rsid w:val="00E877F8"/>
    <w:rsid w:val="00E8795E"/>
    <w:rsid w:val="00E87967"/>
    <w:rsid w:val="00E90059"/>
    <w:rsid w:val="00E9147D"/>
    <w:rsid w:val="00E918DD"/>
    <w:rsid w:val="00E91DF2"/>
    <w:rsid w:val="00E9258F"/>
    <w:rsid w:val="00E9398C"/>
    <w:rsid w:val="00E93BA0"/>
    <w:rsid w:val="00E9426D"/>
    <w:rsid w:val="00E9479E"/>
    <w:rsid w:val="00E94A47"/>
    <w:rsid w:val="00E95AC3"/>
    <w:rsid w:val="00E95CD4"/>
    <w:rsid w:val="00E96B47"/>
    <w:rsid w:val="00E9791F"/>
    <w:rsid w:val="00E97B6F"/>
    <w:rsid w:val="00E97DDD"/>
    <w:rsid w:val="00EA01FF"/>
    <w:rsid w:val="00EA0A9F"/>
    <w:rsid w:val="00EA1022"/>
    <w:rsid w:val="00EA104A"/>
    <w:rsid w:val="00EA1AA2"/>
    <w:rsid w:val="00EA1B94"/>
    <w:rsid w:val="00EA25B4"/>
    <w:rsid w:val="00EA2BE7"/>
    <w:rsid w:val="00EA2D62"/>
    <w:rsid w:val="00EA2D6F"/>
    <w:rsid w:val="00EA3B1C"/>
    <w:rsid w:val="00EA3D4E"/>
    <w:rsid w:val="00EA42F9"/>
    <w:rsid w:val="00EA5FC2"/>
    <w:rsid w:val="00EA7863"/>
    <w:rsid w:val="00EA7928"/>
    <w:rsid w:val="00EA7C92"/>
    <w:rsid w:val="00EB01FC"/>
    <w:rsid w:val="00EB0B1F"/>
    <w:rsid w:val="00EB2648"/>
    <w:rsid w:val="00EB2703"/>
    <w:rsid w:val="00EB3AD2"/>
    <w:rsid w:val="00EB5466"/>
    <w:rsid w:val="00EB5FB8"/>
    <w:rsid w:val="00EB6655"/>
    <w:rsid w:val="00EB71F8"/>
    <w:rsid w:val="00EC2575"/>
    <w:rsid w:val="00EC276B"/>
    <w:rsid w:val="00EC2805"/>
    <w:rsid w:val="00EC2B54"/>
    <w:rsid w:val="00EC2F3C"/>
    <w:rsid w:val="00EC38DD"/>
    <w:rsid w:val="00EC3C52"/>
    <w:rsid w:val="00EC44FB"/>
    <w:rsid w:val="00EC4FD5"/>
    <w:rsid w:val="00EC5495"/>
    <w:rsid w:val="00EC5882"/>
    <w:rsid w:val="00EC5AAE"/>
    <w:rsid w:val="00EC5D6D"/>
    <w:rsid w:val="00EC72E6"/>
    <w:rsid w:val="00EC7580"/>
    <w:rsid w:val="00EC78C3"/>
    <w:rsid w:val="00EC7EB9"/>
    <w:rsid w:val="00ED0B2F"/>
    <w:rsid w:val="00ED0B96"/>
    <w:rsid w:val="00ED0D10"/>
    <w:rsid w:val="00ED1A48"/>
    <w:rsid w:val="00ED1AC3"/>
    <w:rsid w:val="00ED323D"/>
    <w:rsid w:val="00ED4E0B"/>
    <w:rsid w:val="00ED550D"/>
    <w:rsid w:val="00ED61B9"/>
    <w:rsid w:val="00ED6303"/>
    <w:rsid w:val="00ED69D0"/>
    <w:rsid w:val="00ED7217"/>
    <w:rsid w:val="00ED7D2E"/>
    <w:rsid w:val="00EE0FA7"/>
    <w:rsid w:val="00EE1D4E"/>
    <w:rsid w:val="00EE2830"/>
    <w:rsid w:val="00EE2F90"/>
    <w:rsid w:val="00EE3070"/>
    <w:rsid w:val="00EE3563"/>
    <w:rsid w:val="00EE3CA8"/>
    <w:rsid w:val="00EE3CDA"/>
    <w:rsid w:val="00EE6F77"/>
    <w:rsid w:val="00EE704A"/>
    <w:rsid w:val="00EF1063"/>
    <w:rsid w:val="00EF164F"/>
    <w:rsid w:val="00EF2268"/>
    <w:rsid w:val="00EF2424"/>
    <w:rsid w:val="00EF297B"/>
    <w:rsid w:val="00EF37C6"/>
    <w:rsid w:val="00EF3ADB"/>
    <w:rsid w:val="00EF4A69"/>
    <w:rsid w:val="00EF5612"/>
    <w:rsid w:val="00EF56F5"/>
    <w:rsid w:val="00EF59A1"/>
    <w:rsid w:val="00EF5A5C"/>
    <w:rsid w:val="00EF616C"/>
    <w:rsid w:val="00EF7738"/>
    <w:rsid w:val="00EF78A5"/>
    <w:rsid w:val="00EF7FE0"/>
    <w:rsid w:val="00F00159"/>
    <w:rsid w:val="00F03092"/>
    <w:rsid w:val="00F03530"/>
    <w:rsid w:val="00F04924"/>
    <w:rsid w:val="00F06CE3"/>
    <w:rsid w:val="00F071B9"/>
    <w:rsid w:val="00F110B3"/>
    <w:rsid w:val="00F11BEC"/>
    <w:rsid w:val="00F126D9"/>
    <w:rsid w:val="00F12760"/>
    <w:rsid w:val="00F12EA2"/>
    <w:rsid w:val="00F145D2"/>
    <w:rsid w:val="00F1477A"/>
    <w:rsid w:val="00F14897"/>
    <w:rsid w:val="00F165D1"/>
    <w:rsid w:val="00F16ECB"/>
    <w:rsid w:val="00F175FB"/>
    <w:rsid w:val="00F17F69"/>
    <w:rsid w:val="00F209DE"/>
    <w:rsid w:val="00F22529"/>
    <w:rsid w:val="00F227B3"/>
    <w:rsid w:val="00F22B98"/>
    <w:rsid w:val="00F23C3D"/>
    <w:rsid w:val="00F23ECB"/>
    <w:rsid w:val="00F24657"/>
    <w:rsid w:val="00F249F7"/>
    <w:rsid w:val="00F24F0D"/>
    <w:rsid w:val="00F2524B"/>
    <w:rsid w:val="00F26056"/>
    <w:rsid w:val="00F2657C"/>
    <w:rsid w:val="00F26807"/>
    <w:rsid w:val="00F26C10"/>
    <w:rsid w:val="00F26F67"/>
    <w:rsid w:val="00F304A5"/>
    <w:rsid w:val="00F30888"/>
    <w:rsid w:val="00F30ABD"/>
    <w:rsid w:val="00F30D6A"/>
    <w:rsid w:val="00F31FF4"/>
    <w:rsid w:val="00F322C3"/>
    <w:rsid w:val="00F32BD9"/>
    <w:rsid w:val="00F334B7"/>
    <w:rsid w:val="00F3356D"/>
    <w:rsid w:val="00F33FCE"/>
    <w:rsid w:val="00F341F6"/>
    <w:rsid w:val="00F34483"/>
    <w:rsid w:val="00F347A4"/>
    <w:rsid w:val="00F3485F"/>
    <w:rsid w:val="00F35627"/>
    <w:rsid w:val="00F359B3"/>
    <w:rsid w:val="00F36E8C"/>
    <w:rsid w:val="00F37139"/>
    <w:rsid w:val="00F37832"/>
    <w:rsid w:val="00F401D5"/>
    <w:rsid w:val="00F40CD8"/>
    <w:rsid w:val="00F417F4"/>
    <w:rsid w:val="00F41AB2"/>
    <w:rsid w:val="00F41ADB"/>
    <w:rsid w:val="00F42A00"/>
    <w:rsid w:val="00F42F6A"/>
    <w:rsid w:val="00F42FEE"/>
    <w:rsid w:val="00F438FE"/>
    <w:rsid w:val="00F43DE6"/>
    <w:rsid w:val="00F43E18"/>
    <w:rsid w:val="00F4473E"/>
    <w:rsid w:val="00F45065"/>
    <w:rsid w:val="00F46AC1"/>
    <w:rsid w:val="00F5086A"/>
    <w:rsid w:val="00F51121"/>
    <w:rsid w:val="00F51405"/>
    <w:rsid w:val="00F521A4"/>
    <w:rsid w:val="00F52FB1"/>
    <w:rsid w:val="00F5342F"/>
    <w:rsid w:val="00F536BE"/>
    <w:rsid w:val="00F53CEE"/>
    <w:rsid w:val="00F5447B"/>
    <w:rsid w:val="00F54549"/>
    <w:rsid w:val="00F5626C"/>
    <w:rsid w:val="00F5628B"/>
    <w:rsid w:val="00F56A78"/>
    <w:rsid w:val="00F56D5F"/>
    <w:rsid w:val="00F6025D"/>
    <w:rsid w:val="00F6068B"/>
    <w:rsid w:val="00F61588"/>
    <w:rsid w:val="00F61591"/>
    <w:rsid w:val="00F61657"/>
    <w:rsid w:val="00F619E2"/>
    <w:rsid w:val="00F623CB"/>
    <w:rsid w:val="00F630C5"/>
    <w:rsid w:val="00F63723"/>
    <w:rsid w:val="00F6386A"/>
    <w:rsid w:val="00F638BF"/>
    <w:rsid w:val="00F64150"/>
    <w:rsid w:val="00F648DD"/>
    <w:rsid w:val="00F65753"/>
    <w:rsid w:val="00F6710C"/>
    <w:rsid w:val="00F6736B"/>
    <w:rsid w:val="00F678A7"/>
    <w:rsid w:val="00F678B6"/>
    <w:rsid w:val="00F67F82"/>
    <w:rsid w:val="00F7058B"/>
    <w:rsid w:val="00F71753"/>
    <w:rsid w:val="00F72872"/>
    <w:rsid w:val="00F7303D"/>
    <w:rsid w:val="00F73773"/>
    <w:rsid w:val="00F751E0"/>
    <w:rsid w:val="00F753F8"/>
    <w:rsid w:val="00F75546"/>
    <w:rsid w:val="00F7598D"/>
    <w:rsid w:val="00F76364"/>
    <w:rsid w:val="00F7755E"/>
    <w:rsid w:val="00F77DB4"/>
    <w:rsid w:val="00F83821"/>
    <w:rsid w:val="00F83854"/>
    <w:rsid w:val="00F838F8"/>
    <w:rsid w:val="00F83D74"/>
    <w:rsid w:val="00F83D8B"/>
    <w:rsid w:val="00F85057"/>
    <w:rsid w:val="00F86057"/>
    <w:rsid w:val="00F86C58"/>
    <w:rsid w:val="00F90583"/>
    <w:rsid w:val="00F90EA1"/>
    <w:rsid w:val="00F91893"/>
    <w:rsid w:val="00F91DF3"/>
    <w:rsid w:val="00F91E13"/>
    <w:rsid w:val="00F9213E"/>
    <w:rsid w:val="00F92E88"/>
    <w:rsid w:val="00F93D47"/>
    <w:rsid w:val="00F94293"/>
    <w:rsid w:val="00F9641B"/>
    <w:rsid w:val="00F96AB6"/>
    <w:rsid w:val="00F971B5"/>
    <w:rsid w:val="00F9779A"/>
    <w:rsid w:val="00FA0B99"/>
    <w:rsid w:val="00FA1975"/>
    <w:rsid w:val="00FA1CB9"/>
    <w:rsid w:val="00FA1E20"/>
    <w:rsid w:val="00FA250B"/>
    <w:rsid w:val="00FA2B97"/>
    <w:rsid w:val="00FA2D3A"/>
    <w:rsid w:val="00FA3786"/>
    <w:rsid w:val="00FA3DB2"/>
    <w:rsid w:val="00FA3E39"/>
    <w:rsid w:val="00FA42FC"/>
    <w:rsid w:val="00FA4670"/>
    <w:rsid w:val="00FA48FD"/>
    <w:rsid w:val="00FA4BD8"/>
    <w:rsid w:val="00FA57C3"/>
    <w:rsid w:val="00FA6357"/>
    <w:rsid w:val="00FA67F4"/>
    <w:rsid w:val="00FA68E4"/>
    <w:rsid w:val="00FA7EC2"/>
    <w:rsid w:val="00FB11A7"/>
    <w:rsid w:val="00FB205F"/>
    <w:rsid w:val="00FB21EE"/>
    <w:rsid w:val="00FB2D84"/>
    <w:rsid w:val="00FB34AE"/>
    <w:rsid w:val="00FB3604"/>
    <w:rsid w:val="00FB3EE7"/>
    <w:rsid w:val="00FB40AE"/>
    <w:rsid w:val="00FB467E"/>
    <w:rsid w:val="00FB4F61"/>
    <w:rsid w:val="00FB59AE"/>
    <w:rsid w:val="00FB5DA8"/>
    <w:rsid w:val="00FB64A3"/>
    <w:rsid w:val="00FB65B6"/>
    <w:rsid w:val="00FB69AB"/>
    <w:rsid w:val="00FB70FC"/>
    <w:rsid w:val="00FB7BAA"/>
    <w:rsid w:val="00FC0267"/>
    <w:rsid w:val="00FC04C9"/>
    <w:rsid w:val="00FC17F7"/>
    <w:rsid w:val="00FC1E45"/>
    <w:rsid w:val="00FC21C7"/>
    <w:rsid w:val="00FC3592"/>
    <w:rsid w:val="00FC39DF"/>
    <w:rsid w:val="00FC3BE9"/>
    <w:rsid w:val="00FC3D55"/>
    <w:rsid w:val="00FC44A0"/>
    <w:rsid w:val="00FC44E2"/>
    <w:rsid w:val="00FC49BA"/>
    <w:rsid w:val="00FC4B99"/>
    <w:rsid w:val="00FC5119"/>
    <w:rsid w:val="00FC53C1"/>
    <w:rsid w:val="00FC54D0"/>
    <w:rsid w:val="00FC6ADB"/>
    <w:rsid w:val="00FC75AC"/>
    <w:rsid w:val="00FC77CF"/>
    <w:rsid w:val="00FC77D1"/>
    <w:rsid w:val="00FD1000"/>
    <w:rsid w:val="00FD195E"/>
    <w:rsid w:val="00FD30FB"/>
    <w:rsid w:val="00FD326D"/>
    <w:rsid w:val="00FD52C7"/>
    <w:rsid w:val="00FD5BC3"/>
    <w:rsid w:val="00FD5BF3"/>
    <w:rsid w:val="00FD657C"/>
    <w:rsid w:val="00FD6EF7"/>
    <w:rsid w:val="00FD7609"/>
    <w:rsid w:val="00FE0180"/>
    <w:rsid w:val="00FE088C"/>
    <w:rsid w:val="00FE08C4"/>
    <w:rsid w:val="00FE1486"/>
    <w:rsid w:val="00FE2A0B"/>
    <w:rsid w:val="00FE32FE"/>
    <w:rsid w:val="00FE3A56"/>
    <w:rsid w:val="00FE414F"/>
    <w:rsid w:val="00FE5321"/>
    <w:rsid w:val="00FE5B59"/>
    <w:rsid w:val="00FE60E9"/>
    <w:rsid w:val="00FE6404"/>
    <w:rsid w:val="00FE6651"/>
    <w:rsid w:val="00FE6F32"/>
    <w:rsid w:val="00FE7163"/>
    <w:rsid w:val="00FE71EF"/>
    <w:rsid w:val="00FE77C6"/>
    <w:rsid w:val="00FF0018"/>
    <w:rsid w:val="00FF03CA"/>
    <w:rsid w:val="00FF0DE2"/>
    <w:rsid w:val="00FF2899"/>
    <w:rsid w:val="00FF356A"/>
    <w:rsid w:val="00FF3F3E"/>
    <w:rsid w:val="00FF4A69"/>
    <w:rsid w:val="00FF51E9"/>
    <w:rsid w:val="00FF5283"/>
    <w:rsid w:val="00FF5CCC"/>
    <w:rsid w:val="00FF5E8C"/>
    <w:rsid w:val="00FF669C"/>
    <w:rsid w:val="00FF6756"/>
    <w:rsid w:val="00FF67C8"/>
    <w:rsid w:val="00FF689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39F66C0"/>
  <w15:docId w15:val="{79FC0E68-3F09-4898-9E3B-D56919B6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A35"/>
    <w:pPr>
      <w:spacing w:before="180" w:after="60" w:line="312" w:lineRule="auto"/>
    </w:pPr>
    <w:rPr>
      <w:rFonts w:asciiTheme="minorHAnsi" w:hAnsiTheme="minorHAnsi"/>
      <w:sz w:val="22"/>
      <w:szCs w:val="24"/>
    </w:rPr>
  </w:style>
  <w:style w:type="paragraph" w:styleId="Heading1">
    <w:name w:val="heading 1"/>
    <w:basedOn w:val="Normal"/>
    <w:next w:val="Normal"/>
    <w:qFormat/>
    <w:rsid w:val="00E2102F"/>
    <w:pPr>
      <w:keepNext/>
      <w:numPr>
        <w:numId w:val="6"/>
      </w:numPr>
      <w:spacing w:before="120" w:after="0"/>
      <w:ind w:left="567" w:hanging="567"/>
      <w:outlineLvl w:val="0"/>
    </w:pPr>
    <w:rPr>
      <w:rFonts w:eastAsiaTheme="minorHAnsi" w:cs="Arial"/>
      <w:b/>
      <w:bCs/>
      <w:color w:val="01653F"/>
      <w:kern w:val="32"/>
      <w:sz w:val="32"/>
      <w:szCs w:val="28"/>
      <w:lang w:val="en-US" w:eastAsia="en-US"/>
    </w:rPr>
  </w:style>
  <w:style w:type="paragraph" w:styleId="Heading2">
    <w:name w:val="heading 2"/>
    <w:basedOn w:val="Normal"/>
    <w:next w:val="Normal"/>
    <w:qFormat/>
    <w:rsid w:val="00F623CB"/>
    <w:pPr>
      <w:keepNext/>
      <w:numPr>
        <w:ilvl w:val="1"/>
        <w:numId w:val="6"/>
      </w:numPr>
      <w:spacing w:before="120" w:after="120"/>
      <w:outlineLvl w:val="1"/>
    </w:pPr>
    <w:rPr>
      <w:rFonts w:eastAsiaTheme="minorHAnsi" w:cs="Arial"/>
      <w:b/>
      <w:bCs/>
      <w:iCs/>
      <w:color w:val="01653F"/>
      <w:sz w:val="26"/>
      <w:szCs w:val="22"/>
      <w:lang w:val="en-US" w:eastAsia="en-US"/>
    </w:rPr>
  </w:style>
  <w:style w:type="paragraph" w:styleId="Heading3">
    <w:name w:val="heading 3"/>
    <w:basedOn w:val="Normal"/>
    <w:next w:val="Normal"/>
    <w:link w:val="Heading3Char"/>
    <w:qFormat/>
    <w:rsid w:val="003B1222"/>
    <w:pPr>
      <w:keepNext/>
      <w:spacing w:before="120"/>
      <w:outlineLvl w:val="2"/>
    </w:pPr>
    <w:rPr>
      <w:rFonts w:eastAsiaTheme="minorHAnsi" w:cs="Arial"/>
      <w:b/>
      <w:bCs/>
      <w:i/>
      <w:color w:val="B56012"/>
      <w:sz w:val="24"/>
      <w:szCs w:val="26"/>
      <w:lang w:val="en-US" w:eastAsia="en-US"/>
    </w:rPr>
  </w:style>
  <w:style w:type="paragraph" w:styleId="Heading4">
    <w:name w:val="heading 4"/>
    <w:basedOn w:val="Heading3"/>
    <w:next w:val="Normal"/>
    <w:uiPriority w:val="9"/>
    <w:qFormat/>
    <w:rsid w:val="004F50BA"/>
    <w:pPr>
      <w:spacing w:before="240" w:line="240" w:lineRule="auto"/>
      <w:outlineLvl w:val="3"/>
    </w:pPr>
    <w:rPr>
      <w:b w:val="0"/>
      <w:sz w:val="22"/>
    </w:rPr>
  </w:style>
  <w:style w:type="paragraph" w:styleId="Heading5">
    <w:name w:val="heading 5"/>
    <w:basedOn w:val="Normal"/>
    <w:next w:val="Normal"/>
    <w:uiPriority w:val="9"/>
    <w:qFormat/>
    <w:rsid w:val="00E2102F"/>
    <w:pPr>
      <w:numPr>
        <w:ilvl w:val="4"/>
        <w:numId w:val="6"/>
      </w:numPr>
      <w:spacing w:before="240"/>
      <w:outlineLvl w:val="4"/>
    </w:pPr>
    <w:rPr>
      <w:rFonts w:eastAsiaTheme="minorHAnsi" w:cs="Arial"/>
      <w:b/>
      <w:bCs/>
      <w:iCs/>
      <w:sz w:val="26"/>
      <w:szCs w:val="26"/>
      <w:lang w:val="en-US" w:eastAsia="en-US"/>
    </w:rPr>
  </w:style>
  <w:style w:type="paragraph" w:styleId="Heading6">
    <w:name w:val="heading 6"/>
    <w:basedOn w:val="Normal"/>
    <w:next w:val="Normal"/>
    <w:uiPriority w:val="9"/>
    <w:qFormat/>
    <w:rsid w:val="00E2102F"/>
    <w:pPr>
      <w:numPr>
        <w:ilvl w:val="5"/>
        <w:numId w:val="6"/>
      </w:numPr>
      <w:spacing w:before="240"/>
      <w:outlineLvl w:val="5"/>
    </w:pPr>
    <w:rPr>
      <w:rFonts w:eastAsiaTheme="minorHAnsi" w:cs="Arial"/>
      <w:b/>
      <w:bCs/>
      <w:i/>
      <w:szCs w:val="22"/>
      <w:lang w:val="en-US" w:eastAsia="en-US"/>
    </w:rPr>
  </w:style>
  <w:style w:type="paragraph" w:styleId="Heading7">
    <w:name w:val="heading 7"/>
    <w:basedOn w:val="Normal"/>
    <w:next w:val="Normal"/>
    <w:link w:val="Heading7Char"/>
    <w:uiPriority w:val="9"/>
    <w:unhideWhenUsed/>
    <w:qFormat/>
    <w:rsid w:val="00E2102F"/>
    <w:pPr>
      <w:keepNext/>
      <w:keepLines/>
      <w:numPr>
        <w:ilvl w:val="6"/>
        <w:numId w:val="6"/>
      </w:numPr>
      <w:spacing w:before="200"/>
      <w:outlineLvl w:val="6"/>
    </w:pPr>
    <w:rPr>
      <w:rFonts w:asciiTheme="majorHAnsi" w:eastAsiaTheme="majorEastAsia" w:hAnsiTheme="majorHAnsi" w:cstheme="majorBidi"/>
      <w:i/>
      <w:iCs/>
      <w:color w:val="404040" w:themeColor="text1" w:themeTint="BF"/>
      <w:szCs w:val="22"/>
      <w:lang w:val="en-US" w:eastAsia="en-US"/>
    </w:rPr>
  </w:style>
  <w:style w:type="paragraph" w:styleId="Heading8">
    <w:name w:val="heading 8"/>
    <w:basedOn w:val="Normal"/>
    <w:next w:val="Normal"/>
    <w:link w:val="Heading8Char"/>
    <w:uiPriority w:val="9"/>
    <w:unhideWhenUsed/>
    <w:qFormat/>
    <w:rsid w:val="00E2102F"/>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E2102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127F"/>
    <w:rPr>
      <w:i/>
      <w:iCs/>
    </w:rPr>
  </w:style>
  <w:style w:type="character" w:styleId="Strong">
    <w:name w:val="Strong"/>
    <w:aliases w:val="Table Heading"/>
    <w:basedOn w:val="DefaultParagraphFont"/>
    <w:uiPriority w:val="22"/>
    <w:qFormat/>
    <w:rsid w:val="00AF127F"/>
    <w:rPr>
      <w:b/>
      <w:bCs/>
    </w:rPr>
  </w:style>
  <w:style w:type="paragraph" w:styleId="Subtitle">
    <w:name w:val="Subtitle"/>
    <w:basedOn w:val="Normal"/>
    <w:next w:val="Normal"/>
    <w:link w:val="SubtitleChar"/>
    <w:rsid w:val="00F623CB"/>
    <w:pPr>
      <w:pBdr>
        <w:top w:val="double" w:sz="12" w:space="31" w:color="B66113"/>
        <w:bottom w:val="double" w:sz="12" w:space="1" w:color="B66113"/>
      </w:pBdr>
      <w:spacing w:before="120" w:after="120"/>
      <w:jc w:val="center"/>
    </w:pPr>
    <w:rPr>
      <w:rFonts w:cs="Arial"/>
      <w:b/>
      <w:color w:val="01653F"/>
      <w:spacing w:val="5"/>
      <w:sz w:val="48"/>
      <w:szCs w:val="48"/>
    </w:rPr>
  </w:style>
  <w:style w:type="character" w:customStyle="1" w:styleId="SubtitleChar">
    <w:name w:val="Subtitle Char"/>
    <w:basedOn w:val="DefaultParagraphFont"/>
    <w:link w:val="Subtitle"/>
    <w:rsid w:val="00F623CB"/>
    <w:rPr>
      <w:rFonts w:asciiTheme="minorHAnsi" w:hAnsiTheme="minorHAnsi" w:cs="Arial"/>
      <w:b/>
      <w:color w:val="01653F"/>
      <w:spacing w:val="5"/>
      <w:sz w:val="48"/>
      <w:szCs w:val="48"/>
    </w:rPr>
  </w:style>
  <w:style w:type="paragraph" w:styleId="Title">
    <w:name w:val="Title"/>
    <w:basedOn w:val="Normal"/>
    <w:next w:val="Normal"/>
    <w:link w:val="TitleChar"/>
    <w:rsid w:val="00F623CB"/>
    <w:pPr>
      <w:pBdr>
        <w:top w:val="double" w:sz="12" w:space="31" w:color="B66113"/>
        <w:bottom w:val="double" w:sz="12" w:space="1" w:color="B66113"/>
      </w:pBdr>
      <w:spacing w:before="840" w:after="360"/>
      <w:contextualSpacing/>
      <w:jc w:val="center"/>
    </w:pPr>
    <w:rPr>
      <w:rFonts w:cs="Arial"/>
      <w:b/>
      <w:spacing w:val="5"/>
      <w:sz w:val="72"/>
      <w:szCs w:val="72"/>
    </w:rPr>
  </w:style>
  <w:style w:type="character" w:customStyle="1" w:styleId="TitleChar">
    <w:name w:val="Title Char"/>
    <w:basedOn w:val="DefaultParagraphFont"/>
    <w:link w:val="Title"/>
    <w:rsid w:val="00F623CB"/>
    <w:rPr>
      <w:rFonts w:asciiTheme="minorHAnsi" w:hAnsiTheme="minorHAnsi" w:cs="Arial"/>
      <w:b/>
      <w:spacing w:val="5"/>
      <w:sz w:val="72"/>
      <w:szCs w:val="72"/>
    </w:rPr>
  </w:style>
  <w:style w:type="paragraph" w:styleId="NoSpacing">
    <w:name w:val="No Spacing"/>
    <w:uiPriority w:val="1"/>
    <w:qFormat/>
    <w:rsid w:val="00AF127F"/>
    <w:rPr>
      <w:sz w:val="24"/>
      <w:szCs w:val="24"/>
      <w:lang w:eastAsia="en-US"/>
    </w:rPr>
  </w:style>
  <w:style w:type="character" w:styleId="SubtleEmphasis">
    <w:name w:val="Subtle Emphasis"/>
    <w:basedOn w:val="DefaultParagraphFont"/>
    <w:uiPriority w:val="19"/>
    <w:qFormat/>
    <w:rsid w:val="00AF127F"/>
    <w:rPr>
      <w:i/>
      <w:iCs/>
      <w:color w:val="808080" w:themeColor="text1" w:themeTint="7F"/>
    </w:rPr>
  </w:style>
  <w:style w:type="character" w:styleId="IntenseEmphasis">
    <w:name w:val="Intense Emphasis"/>
    <w:basedOn w:val="DefaultParagraphFont"/>
    <w:uiPriority w:val="21"/>
    <w:qFormat/>
    <w:rsid w:val="00AF127F"/>
    <w:rPr>
      <w:b/>
      <w:bCs/>
      <w:i/>
      <w:iCs/>
      <w:color w:val="4F81BD" w:themeColor="accent1"/>
    </w:rPr>
  </w:style>
  <w:style w:type="paragraph" w:styleId="Quote">
    <w:name w:val="Quote"/>
    <w:basedOn w:val="Normal"/>
    <w:next w:val="Normal"/>
    <w:link w:val="QuoteChar"/>
    <w:uiPriority w:val="29"/>
    <w:qFormat/>
    <w:rsid w:val="00AA7F29"/>
    <w:pPr>
      <w:ind w:left="567"/>
    </w:pPr>
    <w:rPr>
      <w:rFonts w:eastAsiaTheme="minorHAnsi" w:cs="Arial"/>
      <w:i/>
      <w:iCs/>
      <w:color w:val="000000" w:themeColor="text1"/>
      <w:szCs w:val="20"/>
      <w:lang w:val="en-US"/>
    </w:rPr>
  </w:style>
  <w:style w:type="character" w:customStyle="1" w:styleId="QuoteChar">
    <w:name w:val="Quote Char"/>
    <w:basedOn w:val="DefaultParagraphFont"/>
    <w:link w:val="Quote"/>
    <w:uiPriority w:val="29"/>
    <w:rsid w:val="00AA7F29"/>
    <w:rPr>
      <w:rFonts w:asciiTheme="minorHAnsi" w:eastAsiaTheme="minorHAnsi" w:hAnsiTheme="minorHAnsi" w:cs="Arial"/>
      <w:i/>
      <w:iCs/>
      <w:color w:val="000000" w:themeColor="text1"/>
      <w:sz w:val="22"/>
      <w:lang w:val="en-US"/>
    </w:rPr>
  </w:style>
  <w:style w:type="paragraph" w:styleId="IntenseQuote">
    <w:name w:val="Intense Quote"/>
    <w:basedOn w:val="Normal"/>
    <w:next w:val="Normal"/>
    <w:link w:val="IntenseQuoteChar"/>
    <w:uiPriority w:val="30"/>
    <w:qFormat/>
    <w:rsid w:val="00AF127F"/>
    <w:pPr>
      <w:pBdr>
        <w:bottom w:val="single" w:sz="4" w:space="4" w:color="4F81BD" w:themeColor="accent1"/>
      </w:pBdr>
      <w:spacing w:before="200" w:after="280"/>
      <w:ind w:left="936" w:right="936"/>
    </w:pPr>
    <w:rPr>
      <w:rFonts w:eastAsiaTheme="minorHAnsi" w:cs="Arial"/>
      <w:b/>
      <w:bCs/>
      <w:i/>
      <w:iCs/>
      <w:color w:val="4F81BD" w:themeColor="accent1"/>
      <w:szCs w:val="20"/>
    </w:rPr>
  </w:style>
  <w:style w:type="character" w:customStyle="1" w:styleId="IntenseQuoteChar">
    <w:name w:val="Intense Quote Char"/>
    <w:basedOn w:val="DefaultParagraphFont"/>
    <w:link w:val="IntenseQuote"/>
    <w:uiPriority w:val="30"/>
    <w:rsid w:val="00AF127F"/>
    <w:rPr>
      <w:rFonts w:ascii="Arial" w:hAnsi="Arial"/>
      <w:b/>
      <w:bCs/>
      <w:i/>
      <w:iCs/>
      <w:color w:val="4F81BD" w:themeColor="accent1"/>
      <w:sz w:val="24"/>
    </w:rPr>
  </w:style>
  <w:style w:type="character" w:styleId="SubtleReference">
    <w:name w:val="Subtle Reference"/>
    <w:basedOn w:val="DefaultParagraphFont"/>
    <w:uiPriority w:val="31"/>
    <w:qFormat/>
    <w:rsid w:val="00AF127F"/>
    <w:rPr>
      <w:smallCaps/>
      <w:color w:val="C0504D" w:themeColor="accent2"/>
      <w:u w:val="single"/>
    </w:rPr>
  </w:style>
  <w:style w:type="character" w:styleId="IntenseReference">
    <w:name w:val="Intense Reference"/>
    <w:basedOn w:val="DefaultParagraphFont"/>
    <w:uiPriority w:val="32"/>
    <w:qFormat/>
    <w:rsid w:val="00AF127F"/>
    <w:rPr>
      <w:b/>
      <w:bCs/>
      <w:i/>
      <w:smallCaps/>
      <w:color w:val="C0504D" w:themeColor="accent2"/>
      <w:spacing w:val="5"/>
      <w:u w:val="none"/>
    </w:rPr>
  </w:style>
  <w:style w:type="character" w:styleId="BookTitle">
    <w:name w:val="Book Title"/>
    <w:basedOn w:val="DefaultParagraphFont"/>
    <w:uiPriority w:val="33"/>
    <w:qFormat/>
    <w:rsid w:val="00AF127F"/>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0869E6"/>
    <w:pPr>
      <w:contextualSpacing/>
    </w:pPr>
    <w:rPr>
      <w:rFonts w:eastAsiaTheme="minorHAnsi" w:cs="Arial"/>
      <w:b/>
      <w:szCs w:val="22"/>
    </w:rPr>
  </w:style>
  <w:style w:type="table" w:styleId="TableGrid">
    <w:name w:val="Table Grid"/>
    <w:basedOn w:val="TableNormal"/>
    <w:rsid w:val="00AF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AF127F"/>
    <w:rPr>
      <w:rFonts w:eastAsiaTheme="minorHAnsi" w:cs="Arial"/>
      <w:sz w:val="20"/>
      <w:szCs w:val="20"/>
    </w:rPr>
  </w:style>
  <w:style w:type="character" w:customStyle="1" w:styleId="FootnoteTextChar">
    <w:name w:val="Footnote Text Char"/>
    <w:basedOn w:val="DefaultParagraphFont"/>
    <w:link w:val="FootnoteText"/>
    <w:uiPriority w:val="99"/>
    <w:rsid w:val="00AF127F"/>
    <w:rPr>
      <w:rFonts w:ascii="Arial" w:hAnsi="Arial"/>
    </w:rPr>
  </w:style>
  <w:style w:type="character" w:styleId="FootnoteReference">
    <w:name w:val="footnote reference"/>
    <w:uiPriority w:val="99"/>
    <w:rsid w:val="00AF127F"/>
    <w:rPr>
      <w:vertAlign w:val="superscript"/>
    </w:rPr>
  </w:style>
  <w:style w:type="paragraph" w:styleId="TOCHeading">
    <w:name w:val="TOC Heading"/>
    <w:basedOn w:val="Heading1"/>
    <w:next w:val="Normal"/>
    <w:uiPriority w:val="39"/>
    <w:unhideWhenUsed/>
    <w:qFormat/>
    <w:rsid w:val="00E2102F"/>
    <w:pPr>
      <w:keepLines/>
      <w:pBdr>
        <w:bottom w:val="single" w:sz="4" w:space="1" w:color="auto"/>
      </w:pBdr>
      <w:spacing w:before="480" w:line="276" w:lineRule="auto"/>
      <w:outlineLvl w:val="9"/>
    </w:pPr>
    <w:rPr>
      <w:rFonts w:asciiTheme="majorHAnsi" w:eastAsiaTheme="majorEastAsia" w:hAnsiTheme="majorHAnsi" w:cstheme="majorBidi"/>
      <w:color w:val="365F91" w:themeColor="accent1" w:themeShade="BF"/>
      <w:kern w:val="0"/>
      <w:sz w:val="24"/>
      <w:lang w:eastAsia="ja-JP"/>
    </w:rPr>
  </w:style>
  <w:style w:type="paragraph" w:styleId="TOC1">
    <w:name w:val="toc 1"/>
    <w:basedOn w:val="Normal"/>
    <w:next w:val="Normal"/>
    <w:autoRedefine/>
    <w:uiPriority w:val="39"/>
    <w:qFormat/>
    <w:rsid w:val="002345FA"/>
    <w:pPr>
      <w:spacing w:before="120" w:after="0"/>
    </w:pPr>
    <w:rPr>
      <w:b/>
      <w:szCs w:val="22"/>
    </w:rPr>
  </w:style>
  <w:style w:type="paragraph" w:styleId="TOC2">
    <w:name w:val="toc 2"/>
    <w:basedOn w:val="Normal"/>
    <w:next w:val="Normal"/>
    <w:autoRedefine/>
    <w:uiPriority w:val="39"/>
    <w:qFormat/>
    <w:rsid w:val="002345FA"/>
    <w:pPr>
      <w:tabs>
        <w:tab w:val="left" w:pos="880"/>
        <w:tab w:val="right" w:leader="dot" w:pos="9016"/>
      </w:tabs>
      <w:spacing w:before="0" w:after="0"/>
      <w:ind w:left="220"/>
    </w:pPr>
    <w:rPr>
      <w:szCs w:val="22"/>
    </w:rPr>
  </w:style>
  <w:style w:type="character" w:styleId="Hyperlink">
    <w:name w:val="Hyperlink"/>
    <w:basedOn w:val="DefaultParagraphFont"/>
    <w:uiPriority w:val="99"/>
    <w:unhideWhenUsed/>
    <w:rsid w:val="00AF127F"/>
    <w:rPr>
      <w:color w:val="0000FF" w:themeColor="hyperlink"/>
      <w:u w:val="single"/>
    </w:rPr>
  </w:style>
  <w:style w:type="paragraph" w:styleId="BalloonText">
    <w:name w:val="Balloon Text"/>
    <w:basedOn w:val="Normal"/>
    <w:link w:val="BalloonTextChar"/>
    <w:rsid w:val="00AF127F"/>
    <w:rPr>
      <w:rFonts w:ascii="Tahoma" w:eastAsiaTheme="minorHAnsi" w:hAnsi="Tahoma" w:cs="Tahoma"/>
      <w:sz w:val="16"/>
      <w:szCs w:val="16"/>
    </w:rPr>
  </w:style>
  <w:style w:type="character" w:customStyle="1" w:styleId="BalloonTextChar">
    <w:name w:val="Balloon Text Char"/>
    <w:basedOn w:val="DefaultParagraphFont"/>
    <w:link w:val="BalloonText"/>
    <w:rsid w:val="00AF127F"/>
    <w:rPr>
      <w:rFonts w:ascii="Tahoma" w:hAnsi="Tahoma" w:cs="Tahoma"/>
      <w:sz w:val="16"/>
      <w:szCs w:val="16"/>
    </w:rPr>
  </w:style>
  <w:style w:type="paragraph" w:styleId="Header">
    <w:name w:val="header"/>
    <w:basedOn w:val="Normal"/>
    <w:link w:val="HeaderChar"/>
    <w:uiPriority w:val="99"/>
    <w:rsid w:val="00AF127F"/>
    <w:pPr>
      <w:tabs>
        <w:tab w:val="center" w:pos="4513"/>
        <w:tab w:val="right" w:pos="9026"/>
      </w:tabs>
    </w:pPr>
    <w:rPr>
      <w:rFonts w:eastAsiaTheme="minorHAnsi" w:cs="Arial"/>
      <w:szCs w:val="20"/>
    </w:rPr>
  </w:style>
  <w:style w:type="character" w:customStyle="1" w:styleId="HeaderChar">
    <w:name w:val="Header Char"/>
    <w:basedOn w:val="DefaultParagraphFont"/>
    <w:link w:val="Header"/>
    <w:uiPriority w:val="99"/>
    <w:rsid w:val="00AF127F"/>
    <w:rPr>
      <w:rFonts w:ascii="Arial" w:hAnsi="Arial"/>
      <w:sz w:val="24"/>
    </w:rPr>
  </w:style>
  <w:style w:type="paragraph" w:styleId="Footer">
    <w:name w:val="footer"/>
    <w:basedOn w:val="Normal"/>
    <w:link w:val="FooterChar"/>
    <w:uiPriority w:val="99"/>
    <w:rsid w:val="00AF127F"/>
    <w:pPr>
      <w:tabs>
        <w:tab w:val="center" w:pos="4513"/>
        <w:tab w:val="right" w:pos="9026"/>
      </w:tabs>
    </w:pPr>
    <w:rPr>
      <w:rFonts w:eastAsiaTheme="minorHAnsi" w:cs="Arial"/>
      <w:szCs w:val="20"/>
    </w:rPr>
  </w:style>
  <w:style w:type="character" w:customStyle="1" w:styleId="FooterChar">
    <w:name w:val="Footer Char"/>
    <w:basedOn w:val="DefaultParagraphFont"/>
    <w:link w:val="Footer"/>
    <w:uiPriority w:val="99"/>
    <w:rsid w:val="00AF127F"/>
    <w:rPr>
      <w:rFonts w:ascii="Arial" w:hAnsi="Arial"/>
      <w:sz w:val="24"/>
    </w:rPr>
  </w:style>
  <w:style w:type="paragraph" w:styleId="Caption">
    <w:name w:val="caption"/>
    <w:basedOn w:val="Normal"/>
    <w:next w:val="Normal"/>
    <w:uiPriority w:val="35"/>
    <w:unhideWhenUsed/>
    <w:qFormat/>
    <w:rsid w:val="00C96B34"/>
    <w:pPr>
      <w:keepNext/>
      <w:spacing w:before="120" w:after="0"/>
    </w:pPr>
    <w:rPr>
      <w:rFonts w:eastAsiaTheme="minorHAnsi" w:cs="Arial"/>
      <w:i/>
      <w:sz w:val="20"/>
      <w:szCs w:val="22"/>
      <w:lang w:eastAsia="en-US"/>
    </w:rPr>
  </w:style>
  <w:style w:type="paragraph" w:customStyle="1" w:styleId="Default">
    <w:name w:val="Default"/>
    <w:rsid w:val="00AF127F"/>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0869E6"/>
    <w:rPr>
      <w:rFonts w:asciiTheme="minorHAnsi" w:eastAsiaTheme="minorHAnsi" w:hAnsiTheme="minorHAnsi" w:cs="Arial"/>
      <w:b/>
      <w:sz w:val="22"/>
      <w:szCs w:val="22"/>
    </w:rPr>
  </w:style>
  <w:style w:type="paragraph" w:styleId="TableofFigures">
    <w:name w:val="table of figures"/>
    <w:basedOn w:val="Normal"/>
    <w:next w:val="Normal"/>
    <w:uiPriority w:val="99"/>
    <w:rsid w:val="002345FA"/>
    <w:pPr>
      <w:spacing w:before="0" w:after="0"/>
      <w:ind w:left="440" w:hanging="440"/>
    </w:pPr>
    <w:rPr>
      <w:sz w:val="20"/>
      <w:szCs w:val="20"/>
    </w:rPr>
  </w:style>
  <w:style w:type="paragraph" w:styleId="TOC3">
    <w:name w:val="toc 3"/>
    <w:basedOn w:val="Normal"/>
    <w:next w:val="Normal"/>
    <w:autoRedefine/>
    <w:uiPriority w:val="39"/>
    <w:qFormat/>
    <w:rsid w:val="00AF127F"/>
    <w:pPr>
      <w:spacing w:before="0" w:after="0"/>
      <w:ind w:left="440"/>
    </w:pPr>
    <w:rPr>
      <w:i/>
      <w:szCs w:val="22"/>
    </w:rPr>
  </w:style>
  <w:style w:type="character" w:styleId="PageNumber">
    <w:name w:val="page number"/>
    <w:basedOn w:val="DefaultParagraphFont"/>
    <w:rsid w:val="006C0049"/>
  </w:style>
  <w:style w:type="paragraph" w:styleId="BodyText">
    <w:name w:val="Body Text"/>
    <w:basedOn w:val="Normal"/>
    <w:link w:val="BodyTextChar"/>
    <w:rsid w:val="006C0049"/>
    <w:pPr>
      <w:spacing w:after="120"/>
    </w:pPr>
    <w:rPr>
      <w:rFonts w:eastAsiaTheme="minorHAnsi" w:cs="Arial"/>
      <w:szCs w:val="20"/>
    </w:rPr>
  </w:style>
  <w:style w:type="character" w:customStyle="1" w:styleId="BodyTextChar">
    <w:name w:val="Body Text Char"/>
    <w:basedOn w:val="DefaultParagraphFont"/>
    <w:link w:val="BodyText"/>
    <w:rsid w:val="006C0049"/>
    <w:rPr>
      <w:rFonts w:ascii="Arial" w:hAnsi="Arial"/>
      <w:sz w:val="24"/>
    </w:rPr>
  </w:style>
  <w:style w:type="paragraph" w:customStyle="1" w:styleId="departmentalnormal">
    <w:name w:val="departmentalnormal"/>
    <w:basedOn w:val="Normal"/>
    <w:rsid w:val="006C0049"/>
    <w:pPr>
      <w:spacing w:before="100" w:beforeAutospacing="1" w:after="100" w:afterAutospacing="1"/>
    </w:pPr>
    <w:rPr>
      <w:rFonts w:eastAsiaTheme="minorHAnsi" w:cs="Arial"/>
      <w:szCs w:val="22"/>
    </w:rPr>
  </w:style>
  <w:style w:type="paragraph" w:styleId="BodyText3">
    <w:name w:val="Body Text 3"/>
    <w:basedOn w:val="Normal"/>
    <w:link w:val="BodyText3Char"/>
    <w:rsid w:val="006C0049"/>
    <w:pPr>
      <w:spacing w:after="120"/>
    </w:pPr>
    <w:rPr>
      <w:rFonts w:eastAsiaTheme="minorHAnsi" w:cs="Arial"/>
      <w:sz w:val="16"/>
      <w:szCs w:val="16"/>
    </w:rPr>
  </w:style>
  <w:style w:type="character" w:customStyle="1" w:styleId="BodyText3Char">
    <w:name w:val="Body Text 3 Char"/>
    <w:basedOn w:val="DefaultParagraphFont"/>
    <w:link w:val="BodyText3"/>
    <w:rsid w:val="006C0049"/>
    <w:rPr>
      <w:rFonts w:ascii="Arial" w:hAnsi="Arial"/>
      <w:sz w:val="16"/>
      <w:szCs w:val="16"/>
    </w:rPr>
  </w:style>
  <w:style w:type="paragraph" w:styleId="BodyTextIndent">
    <w:name w:val="Body Text Indent"/>
    <w:basedOn w:val="Normal"/>
    <w:link w:val="BodyTextIndentChar"/>
    <w:rsid w:val="006C0049"/>
    <w:pPr>
      <w:spacing w:after="120"/>
      <w:ind w:left="283"/>
    </w:pPr>
    <w:rPr>
      <w:rFonts w:eastAsiaTheme="minorHAnsi" w:cs="Arial"/>
      <w:szCs w:val="20"/>
    </w:rPr>
  </w:style>
  <w:style w:type="character" w:customStyle="1" w:styleId="BodyTextIndentChar">
    <w:name w:val="Body Text Indent Char"/>
    <w:basedOn w:val="DefaultParagraphFont"/>
    <w:link w:val="BodyTextIndent"/>
    <w:rsid w:val="006C0049"/>
    <w:rPr>
      <w:rFonts w:ascii="Arial" w:hAnsi="Arial"/>
      <w:sz w:val="24"/>
    </w:rPr>
  </w:style>
  <w:style w:type="paragraph" w:customStyle="1" w:styleId="DepartmentalNormal0">
    <w:name w:val="Departmental Normal"/>
    <w:basedOn w:val="Normal"/>
    <w:rsid w:val="006C0049"/>
    <w:rPr>
      <w:rFonts w:eastAsiaTheme="minorHAnsi" w:cs="Arial"/>
      <w:szCs w:val="20"/>
    </w:rPr>
  </w:style>
  <w:style w:type="paragraph" w:customStyle="1" w:styleId="CharCharChar">
    <w:name w:val="Char Char Char"/>
    <w:basedOn w:val="Normal"/>
    <w:rsid w:val="006C0049"/>
    <w:rPr>
      <w:rFonts w:eastAsiaTheme="minorHAnsi" w:cs="Arial"/>
      <w:szCs w:val="22"/>
      <w:lang w:eastAsia="en-US"/>
    </w:rPr>
  </w:style>
  <w:style w:type="character" w:customStyle="1" w:styleId="apple-converted-space">
    <w:name w:val="apple-converted-space"/>
    <w:basedOn w:val="DefaultParagraphFont"/>
    <w:rsid w:val="006C0049"/>
  </w:style>
  <w:style w:type="paragraph" w:styleId="NormalWeb">
    <w:name w:val="Normal (Web)"/>
    <w:basedOn w:val="Normal"/>
    <w:uiPriority w:val="99"/>
    <w:unhideWhenUsed/>
    <w:rsid w:val="006C0049"/>
    <w:pPr>
      <w:spacing w:before="100" w:beforeAutospacing="1" w:after="100" w:afterAutospacing="1"/>
    </w:pPr>
    <w:rPr>
      <w:rFonts w:eastAsiaTheme="minorHAnsi" w:cs="Arial"/>
      <w:szCs w:val="22"/>
    </w:rPr>
  </w:style>
  <w:style w:type="character" w:customStyle="1" w:styleId="source-copyright1">
    <w:name w:val="source-copyright1"/>
    <w:basedOn w:val="DefaultParagraphFont"/>
    <w:rsid w:val="006C0049"/>
    <w:rPr>
      <w:sz w:val="20"/>
      <w:szCs w:val="20"/>
    </w:rPr>
  </w:style>
  <w:style w:type="character" w:customStyle="1" w:styleId="lexicon-term">
    <w:name w:val="lexicon-term"/>
    <w:basedOn w:val="DefaultParagraphFont"/>
    <w:rsid w:val="006C0049"/>
  </w:style>
  <w:style w:type="paragraph" w:customStyle="1" w:styleId="NormalBulleted">
    <w:name w:val="Normal Bulleted"/>
    <w:basedOn w:val="ListContinue"/>
    <w:link w:val="NormalBulletedChar"/>
    <w:qFormat/>
    <w:rsid w:val="00E2102F"/>
    <w:pPr>
      <w:numPr>
        <w:numId w:val="7"/>
      </w:numPr>
    </w:pPr>
  </w:style>
  <w:style w:type="character" w:customStyle="1" w:styleId="NormalBulletedChar">
    <w:name w:val="Normal Bulleted Char"/>
    <w:basedOn w:val="DefaultParagraphFont"/>
    <w:link w:val="NormalBulleted"/>
    <w:rsid w:val="00E2102F"/>
    <w:rPr>
      <w:rFonts w:asciiTheme="minorHAnsi" w:hAnsiTheme="minorHAnsi"/>
      <w:sz w:val="22"/>
      <w:szCs w:val="24"/>
    </w:rPr>
  </w:style>
  <w:style w:type="character" w:customStyle="1" w:styleId="Heading7Char">
    <w:name w:val="Heading 7 Char"/>
    <w:basedOn w:val="DefaultParagraphFont"/>
    <w:link w:val="Heading7"/>
    <w:uiPriority w:val="9"/>
    <w:rsid w:val="00E2102F"/>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E2102F"/>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E2102F"/>
    <w:rPr>
      <w:rFonts w:asciiTheme="majorHAnsi" w:eastAsiaTheme="majorEastAsia" w:hAnsiTheme="majorHAnsi" w:cstheme="majorBidi"/>
      <w:i/>
      <w:iCs/>
      <w:color w:val="404040" w:themeColor="text1" w:themeTint="BF"/>
      <w:lang w:val="en-US" w:eastAsia="en-US"/>
    </w:rPr>
  </w:style>
  <w:style w:type="paragraph" w:styleId="z-BottomofForm">
    <w:name w:val="HTML Bottom of Form"/>
    <w:basedOn w:val="Normal"/>
    <w:next w:val="Normal"/>
    <w:link w:val="z-BottomofFormChar"/>
    <w:hidden/>
    <w:uiPriority w:val="99"/>
    <w:unhideWhenUsed/>
    <w:rsid w:val="002D6FCA"/>
    <w:pPr>
      <w:pBdr>
        <w:top w:val="single" w:sz="6" w:space="1" w:color="auto"/>
      </w:pBdr>
      <w:jc w:val="center"/>
    </w:pPr>
    <w:rPr>
      <w:rFonts w:eastAsiaTheme="minorHAnsi" w:cs="Arial"/>
      <w:vanish/>
      <w:sz w:val="16"/>
      <w:szCs w:val="16"/>
    </w:rPr>
  </w:style>
  <w:style w:type="character" w:customStyle="1" w:styleId="z-BottomofFormChar">
    <w:name w:val="z-Bottom of Form Char"/>
    <w:basedOn w:val="DefaultParagraphFont"/>
    <w:link w:val="z-BottomofForm"/>
    <w:uiPriority w:val="99"/>
    <w:rsid w:val="002D6FCA"/>
    <w:rPr>
      <w:rFonts w:ascii="Arial" w:hAnsi="Arial" w:cs="Arial"/>
      <w:vanish/>
      <w:sz w:val="16"/>
      <w:szCs w:val="16"/>
    </w:rPr>
  </w:style>
  <w:style w:type="paragraph" w:styleId="BodyTextIndent2">
    <w:name w:val="Body Text Indent 2"/>
    <w:basedOn w:val="Normal"/>
    <w:link w:val="BodyTextIndent2Char"/>
    <w:rsid w:val="003C2F8E"/>
    <w:pPr>
      <w:spacing w:after="120" w:line="480" w:lineRule="auto"/>
      <w:ind w:left="283"/>
    </w:pPr>
    <w:rPr>
      <w:rFonts w:eastAsiaTheme="minorHAnsi" w:cs="Arial"/>
      <w:szCs w:val="22"/>
      <w:lang w:val="en-US" w:eastAsia="en-US"/>
    </w:rPr>
  </w:style>
  <w:style w:type="character" w:customStyle="1" w:styleId="BodyTextIndent2Char">
    <w:name w:val="Body Text Indent 2 Char"/>
    <w:basedOn w:val="DefaultParagraphFont"/>
    <w:link w:val="BodyTextIndent2"/>
    <w:rsid w:val="003C2F8E"/>
    <w:rPr>
      <w:sz w:val="24"/>
      <w:szCs w:val="24"/>
      <w:lang w:val="en-US" w:eastAsia="en-US"/>
    </w:rPr>
  </w:style>
  <w:style w:type="paragraph" w:customStyle="1" w:styleId="02Tabletext">
    <w:name w:val="02. Table text"/>
    <w:basedOn w:val="Normal"/>
    <w:next w:val="Normal"/>
    <w:link w:val="02TabletextChar"/>
    <w:qFormat/>
    <w:rsid w:val="004D7CBA"/>
    <w:pPr>
      <w:spacing w:before="140" w:after="40"/>
    </w:pPr>
  </w:style>
  <w:style w:type="character" w:customStyle="1" w:styleId="02TabletextChar">
    <w:name w:val="02. Table text Char"/>
    <w:basedOn w:val="DefaultParagraphFont"/>
    <w:link w:val="02Tabletext"/>
    <w:rsid w:val="004D7CBA"/>
    <w:rPr>
      <w:rFonts w:asciiTheme="minorHAnsi" w:hAnsiTheme="minorHAnsi"/>
      <w:sz w:val="22"/>
      <w:szCs w:val="24"/>
    </w:rPr>
  </w:style>
  <w:style w:type="paragraph" w:customStyle="1" w:styleId="01Tableheaderrow">
    <w:name w:val="01. Table header row"/>
    <w:link w:val="01TableheaderrowChar"/>
    <w:qFormat/>
    <w:rsid w:val="00386D66"/>
    <w:pPr>
      <w:keepNext/>
      <w:spacing w:before="40"/>
    </w:pPr>
    <w:rPr>
      <w:rFonts w:ascii="Arial" w:eastAsiaTheme="minorHAnsi" w:hAnsi="Arial"/>
      <w:b/>
      <w:sz w:val="18"/>
      <w:szCs w:val="22"/>
      <w:lang w:eastAsia="en-US"/>
    </w:rPr>
  </w:style>
  <w:style w:type="character" w:customStyle="1" w:styleId="01TableheaderrowChar">
    <w:name w:val="01. Table header row Char"/>
    <w:basedOn w:val="02TabletextChar"/>
    <w:link w:val="01Tableheaderrow"/>
    <w:rsid w:val="00386D66"/>
    <w:rPr>
      <w:rFonts w:ascii="Arial" w:eastAsiaTheme="minorHAnsi" w:hAnsi="Arial"/>
      <w:b/>
      <w:sz w:val="18"/>
      <w:szCs w:val="22"/>
      <w:lang w:eastAsia="en-US"/>
    </w:rPr>
  </w:style>
  <w:style w:type="character" w:styleId="FollowedHyperlink">
    <w:name w:val="FollowedHyperlink"/>
    <w:basedOn w:val="DefaultParagraphFont"/>
    <w:rsid w:val="009B5C97"/>
    <w:rPr>
      <w:color w:val="800080" w:themeColor="followedHyperlink"/>
      <w:u w:val="single"/>
    </w:rPr>
  </w:style>
  <w:style w:type="table" w:customStyle="1" w:styleId="TableGrid1">
    <w:name w:val="Table Grid1"/>
    <w:basedOn w:val="TableNormal"/>
    <w:next w:val="TableGrid"/>
    <w:uiPriority w:val="59"/>
    <w:rsid w:val="00BA07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Bulleted"/>
    <w:autoRedefine/>
    <w:qFormat/>
    <w:rsid w:val="00174F63"/>
    <w:pPr>
      <w:spacing w:before="0" w:after="0" w:line="240" w:lineRule="auto"/>
    </w:pPr>
  </w:style>
  <w:style w:type="paragraph" w:customStyle="1" w:styleId="Bullet2">
    <w:name w:val="Bullet 2"/>
    <w:basedOn w:val="ListParagraph"/>
    <w:rsid w:val="002345FA"/>
    <w:pPr>
      <w:numPr>
        <w:ilvl w:val="1"/>
        <w:numId w:val="2"/>
      </w:numPr>
      <w:spacing w:before="120"/>
      <w:contextualSpacing w:val="0"/>
    </w:pPr>
    <w:rPr>
      <w:b w:val="0"/>
    </w:rPr>
  </w:style>
  <w:style w:type="paragraph" w:customStyle="1" w:styleId="Bullet3">
    <w:name w:val="Bullet 3"/>
    <w:basedOn w:val="ListParagraph"/>
    <w:qFormat/>
    <w:rsid w:val="00E2102F"/>
    <w:pPr>
      <w:numPr>
        <w:ilvl w:val="2"/>
        <w:numId w:val="1"/>
      </w:numPr>
      <w:spacing w:before="120"/>
      <w:ind w:left="1797" w:hanging="357"/>
      <w:contextualSpacing w:val="0"/>
    </w:pPr>
  </w:style>
  <w:style w:type="paragraph" w:styleId="TOC4">
    <w:name w:val="toc 4"/>
    <w:basedOn w:val="Normal"/>
    <w:next w:val="Normal"/>
    <w:autoRedefine/>
    <w:uiPriority w:val="39"/>
    <w:unhideWhenUsed/>
    <w:rsid w:val="00C56DF9"/>
    <w:pPr>
      <w:spacing w:before="0" w:after="0"/>
      <w:ind w:left="660"/>
    </w:pPr>
    <w:rPr>
      <w:sz w:val="18"/>
      <w:szCs w:val="18"/>
    </w:rPr>
  </w:style>
  <w:style w:type="paragraph" w:styleId="TOC5">
    <w:name w:val="toc 5"/>
    <w:basedOn w:val="Normal"/>
    <w:next w:val="Normal"/>
    <w:autoRedefine/>
    <w:uiPriority w:val="39"/>
    <w:unhideWhenUsed/>
    <w:rsid w:val="00C56DF9"/>
    <w:pPr>
      <w:spacing w:before="0" w:after="0"/>
      <w:ind w:left="880"/>
    </w:pPr>
    <w:rPr>
      <w:sz w:val="18"/>
      <w:szCs w:val="18"/>
    </w:rPr>
  </w:style>
  <w:style w:type="paragraph" w:styleId="TOC6">
    <w:name w:val="toc 6"/>
    <w:basedOn w:val="Normal"/>
    <w:next w:val="Normal"/>
    <w:autoRedefine/>
    <w:uiPriority w:val="39"/>
    <w:unhideWhenUsed/>
    <w:rsid w:val="00C56DF9"/>
    <w:pPr>
      <w:spacing w:before="0" w:after="0"/>
      <w:ind w:left="1100"/>
    </w:pPr>
    <w:rPr>
      <w:sz w:val="18"/>
      <w:szCs w:val="18"/>
    </w:rPr>
  </w:style>
  <w:style w:type="paragraph" w:styleId="TOC7">
    <w:name w:val="toc 7"/>
    <w:basedOn w:val="Normal"/>
    <w:next w:val="Normal"/>
    <w:autoRedefine/>
    <w:uiPriority w:val="39"/>
    <w:unhideWhenUsed/>
    <w:rsid w:val="00C56DF9"/>
    <w:pPr>
      <w:spacing w:before="0" w:after="0"/>
      <w:ind w:left="1320"/>
    </w:pPr>
    <w:rPr>
      <w:sz w:val="18"/>
      <w:szCs w:val="18"/>
    </w:rPr>
  </w:style>
  <w:style w:type="paragraph" w:styleId="TOC8">
    <w:name w:val="toc 8"/>
    <w:basedOn w:val="Normal"/>
    <w:next w:val="Normal"/>
    <w:autoRedefine/>
    <w:uiPriority w:val="39"/>
    <w:unhideWhenUsed/>
    <w:rsid w:val="00C56DF9"/>
    <w:pPr>
      <w:spacing w:before="0" w:after="0"/>
      <w:ind w:left="1540"/>
    </w:pPr>
    <w:rPr>
      <w:sz w:val="18"/>
      <w:szCs w:val="18"/>
    </w:rPr>
  </w:style>
  <w:style w:type="paragraph" w:styleId="TOC9">
    <w:name w:val="toc 9"/>
    <w:basedOn w:val="Normal"/>
    <w:next w:val="Normal"/>
    <w:autoRedefine/>
    <w:uiPriority w:val="39"/>
    <w:unhideWhenUsed/>
    <w:rsid w:val="00C56DF9"/>
    <w:pPr>
      <w:spacing w:before="0" w:after="0"/>
      <w:ind w:left="1760"/>
    </w:pPr>
    <w:rPr>
      <w:sz w:val="18"/>
      <w:szCs w:val="18"/>
    </w:rPr>
  </w:style>
  <w:style w:type="character" w:styleId="CommentReference">
    <w:name w:val="annotation reference"/>
    <w:basedOn w:val="DefaultParagraphFont"/>
    <w:semiHidden/>
    <w:unhideWhenUsed/>
    <w:rsid w:val="000337EF"/>
    <w:rPr>
      <w:sz w:val="16"/>
      <w:szCs w:val="16"/>
    </w:rPr>
  </w:style>
  <w:style w:type="paragraph" w:styleId="CommentText">
    <w:name w:val="annotation text"/>
    <w:basedOn w:val="Normal"/>
    <w:link w:val="CommentTextChar"/>
    <w:semiHidden/>
    <w:unhideWhenUsed/>
    <w:rsid w:val="000337EF"/>
    <w:rPr>
      <w:sz w:val="20"/>
      <w:szCs w:val="20"/>
    </w:rPr>
  </w:style>
  <w:style w:type="character" w:customStyle="1" w:styleId="CommentTextChar">
    <w:name w:val="Comment Text Char"/>
    <w:basedOn w:val="DefaultParagraphFont"/>
    <w:link w:val="CommentText"/>
    <w:semiHidden/>
    <w:rsid w:val="000337EF"/>
    <w:rPr>
      <w:rFonts w:ascii="Arial" w:hAnsi="Arial"/>
    </w:rPr>
  </w:style>
  <w:style w:type="paragraph" w:styleId="CommentSubject">
    <w:name w:val="annotation subject"/>
    <w:basedOn w:val="CommentText"/>
    <w:next w:val="CommentText"/>
    <w:link w:val="CommentSubjectChar"/>
    <w:semiHidden/>
    <w:unhideWhenUsed/>
    <w:rsid w:val="000337EF"/>
    <w:rPr>
      <w:b/>
      <w:bCs/>
    </w:rPr>
  </w:style>
  <w:style w:type="character" w:customStyle="1" w:styleId="CommentSubjectChar">
    <w:name w:val="Comment Subject Char"/>
    <w:basedOn w:val="CommentTextChar"/>
    <w:link w:val="CommentSubject"/>
    <w:semiHidden/>
    <w:rsid w:val="000337EF"/>
    <w:rPr>
      <w:rFonts w:ascii="Arial" w:hAnsi="Arial"/>
      <w:b/>
      <w:bCs/>
    </w:rPr>
  </w:style>
  <w:style w:type="paragraph" w:customStyle="1" w:styleId="60exhnormal">
    <w:name w:val="60 exh normal"/>
    <w:basedOn w:val="Normal"/>
    <w:rsid w:val="00F26056"/>
    <w:pPr>
      <w:spacing w:before="0" w:after="0"/>
    </w:pPr>
    <w:rPr>
      <w:szCs w:val="20"/>
      <w:lang w:val="en-US" w:eastAsia="en-US"/>
    </w:rPr>
  </w:style>
  <w:style w:type="paragraph" w:customStyle="1" w:styleId="70exhtblnormal">
    <w:name w:val="70 exh tbl normal"/>
    <w:basedOn w:val="Normal"/>
    <w:rsid w:val="00F26056"/>
    <w:pPr>
      <w:spacing w:before="60"/>
      <w:ind w:left="144" w:right="289"/>
    </w:pPr>
    <w:rPr>
      <w:sz w:val="24"/>
      <w:szCs w:val="20"/>
      <w:lang w:val="en-US" w:eastAsia="en-US"/>
    </w:rPr>
  </w:style>
  <w:style w:type="table" w:customStyle="1" w:styleId="TableGrid2">
    <w:name w:val="Table Grid2"/>
    <w:basedOn w:val="TableNormal"/>
    <w:next w:val="TableGrid"/>
    <w:rsid w:val="00585C9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quarebullet">
    <w:name w:val="01 square bullet"/>
    <w:basedOn w:val="Normal"/>
    <w:uiPriority w:val="4"/>
    <w:qFormat/>
    <w:rsid w:val="00E2102F"/>
    <w:pPr>
      <w:numPr>
        <w:numId w:val="3"/>
      </w:numPr>
      <w:spacing w:before="120"/>
      <w:ind w:right="142"/>
    </w:pPr>
    <w:rPr>
      <w:szCs w:val="20"/>
      <w:lang w:val="en-US" w:eastAsia="en-US"/>
    </w:rPr>
  </w:style>
  <w:style w:type="paragraph" w:customStyle="1" w:styleId="02dash">
    <w:name w:val="02 dash"/>
    <w:basedOn w:val="01squarebullet"/>
    <w:uiPriority w:val="4"/>
    <w:qFormat/>
    <w:rsid w:val="00E2102F"/>
    <w:pPr>
      <w:numPr>
        <w:ilvl w:val="1"/>
      </w:numPr>
    </w:pPr>
  </w:style>
  <w:style w:type="paragraph" w:customStyle="1" w:styleId="03opensquarebullet">
    <w:name w:val="03 open square bullet"/>
    <w:basedOn w:val="02dash"/>
    <w:uiPriority w:val="5"/>
    <w:qFormat/>
    <w:rsid w:val="00E2102F"/>
    <w:pPr>
      <w:numPr>
        <w:ilvl w:val="2"/>
      </w:numPr>
    </w:pPr>
  </w:style>
  <w:style w:type="paragraph" w:customStyle="1" w:styleId="04shortdash">
    <w:name w:val="04 short dash"/>
    <w:basedOn w:val="03opensquarebullet"/>
    <w:uiPriority w:val="6"/>
    <w:qFormat/>
    <w:rsid w:val="00E2102F"/>
    <w:pPr>
      <w:numPr>
        <w:ilvl w:val="3"/>
      </w:numPr>
    </w:pPr>
  </w:style>
  <w:style w:type="paragraph" w:styleId="Bibliography">
    <w:name w:val="Bibliography"/>
    <w:basedOn w:val="Normal"/>
    <w:next w:val="Normal"/>
    <w:uiPriority w:val="37"/>
    <w:unhideWhenUsed/>
    <w:rsid w:val="007D2992"/>
  </w:style>
  <w:style w:type="table" w:customStyle="1" w:styleId="PlainTable21">
    <w:name w:val="Plain Table 21"/>
    <w:basedOn w:val="TableNormal"/>
    <w:uiPriority w:val="42"/>
    <w:rsid w:val="007634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76349B"/>
    <w:rPr>
      <w:rFonts w:ascii="Arial" w:hAnsi="Arial"/>
      <w:sz w:val="18"/>
    </w:rPr>
    <w:tblPr>
      <w:tblBorders>
        <w:top w:val="single" w:sz="4" w:space="0" w:color="auto"/>
        <w:bottom w:val="single" w:sz="4" w:space="0" w:color="auto"/>
      </w:tblBorders>
    </w:tblPr>
  </w:style>
  <w:style w:type="table" w:customStyle="1" w:styleId="PlainTable41">
    <w:name w:val="Plain Table 41"/>
    <w:basedOn w:val="TableNormal"/>
    <w:uiPriority w:val="44"/>
    <w:rsid w:val="003C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04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2Report">
    <w:name w:val="Heading 2 Report"/>
    <w:basedOn w:val="Heading2"/>
    <w:link w:val="Heading2ReportChar"/>
    <w:qFormat/>
    <w:rsid w:val="00E2102F"/>
    <w:pPr>
      <w:spacing w:after="60"/>
    </w:pPr>
  </w:style>
  <w:style w:type="character" w:customStyle="1" w:styleId="Heading2ReportChar">
    <w:name w:val="Heading 2 Report Char"/>
    <w:basedOn w:val="DefaultParagraphFont"/>
    <w:link w:val="Heading2Report"/>
    <w:rsid w:val="00E2102F"/>
    <w:rPr>
      <w:rFonts w:asciiTheme="minorHAnsi" w:eastAsiaTheme="minorHAnsi" w:hAnsiTheme="minorHAnsi" w:cs="Arial"/>
      <w:b/>
      <w:bCs/>
      <w:iCs/>
      <w:color w:val="01653F"/>
      <w:sz w:val="26"/>
      <w:szCs w:val="22"/>
      <w:lang w:val="en-US" w:eastAsia="en-US"/>
    </w:rPr>
  </w:style>
  <w:style w:type="paragraph" w:customStyle="1" w:styleId="AppendixStyle1">
    <w:name w:val="Appendix Style 1"/>
    <w:basedOn w:val="Normal"/>
    <w:next w:val="Normal"/>
    <w:qFormat/>
    <w:rsid w:val="002345FA"/>
    <w:pPr>
      <w:numPr>
        <w:numId w:val="4"/>
      </w:numPr>
      <w:spacing w:before="0" w:after="0"/>
      <w:outlineLvl w:val="0"/>
    </w:pPr>
    <w:rPr>
      <w:rFonts w:cs="Arial"/>
      <w:b/>
      <w:color w:val="016500"/>
      <w:sz w:val="32"/>
      <w:lang w:val="en-US" w:eastAsia="en-US"/>
    </w:rPr>
  </w:style>
  <w:style w:type="table" w:customStyle="1" w:styleId="TableGrid3">
    <w:name w:val="Table Grid3"/>
    <w:basedOn w:val="TableNormal"/>
    <w:next w:val="TableGrid"/>
    <w:rsid w:val="0053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label">
    <w:name w:val="ref-label"/>
    <w:basedOn w:val="DefaultParagraphFont"/>
    <w:rsid w:val="00F417F4"/>
  </w:style>
  <w:style w:type="paragraph" w:customStyle="1" w:styleId="bulletindent1">
    <w:name w:val="bulletindent1"/>
    <w:basedOn w:val="Normal"/>
    <w:rsid w:val="00F417F4"/>
    <w:pPr>
      <w:spacing w:before="100" w:beforeAutospacing="1" w:after="100" w:afterAutospacing="1"/>
    </w:pPr>
    <w:rPr>
      <w:rFonts w:ascii="Times New Roman" w:hAnsi="Times New Roman"/>
      <w:sz w:val="24"/>
    </w:rPr>
  </w:style>
  <w:style w:type="paragraph" w:customStyle="1" w:styleId="Numbering">
    <w:name w:val="Numbering"/>
    <w:basedOn w:val="ListParagraph"/>
    <w:link w:val="NumberingChar"/>
    <w:rsid w:val="00E2102F"/>
    <w:pPr>
      <w:numPr>
        <w:numId w:val="5"/>
      </w:numPr>
      <w:spacing w:before="120" w:after="120"/>
    </w:pPr>
    <w:rPr>
      <w:lang w:val="en-US" w:eastAsia="en-US"/>
    </w:rPr>
  </w:style>
  <w:style w:type="character" w:customStyle="1" w:styleId="NumberingChar">
    <w:name w:val="Numbering Char"/>
    <w:basedOn w:val="ListParagraphChar"/>
    <w:link w:val="Numbering"/>
    <w:rsid w:val="00E2102F"/>
    <w:rPr>
      <w:rFonts w:asciiTheme="minorHAnsi" w:eastAsiaTheme="minorHAnsi" w:hAnsiTheme="minorHAnsi" w:cs="Arial"/>
      <w:b/>
      <w:sz w:val="22"/>
      <w:szCs w:val="22"/>
      <w:lang w:val="en-US" w:eastAsia="en-US"/>
    </w:rPr>
  </w:style>
  <w:style w:type="paragraph" w:styleId="DocumentMap">
    <w:name w:val="Document Map"/>
    <w:basedOn w:val="Normal"/>
    <w:link w:val="DocumentMapChar"/>
    <w:semiHidden/>
    <w:unhideWhenUsed/>
    <w:rsid w:val="0060697D"/>
    <w:pPr>
      <w:spacing w:before="0" w:after="0" w:line="240" w:lineRule="auto"/>
    </w:pPr>
    <w:rPr>
      <w:rFonts w:ascii="Times New Roman" w:hAnsi="Times New Roman"/>
      <w:sz w:val="24"/>
    </w:rPr>
  </w:style>
  <w:style w:type="character" w:customStyle="1" w:styleId="DocumentMapChar">
    <w:name w:val="Document Map Char"/>
    <w:basedOn w:val="DefaultParagraphFont"/>
    <w:link w:val="DocumentMap"/>
    <w:semiHidden/>
    <w:rsid w:val="0060697D"/>
    <w:rPr>
      <w:sz w:val="24"/>
      <w:szCs w:val="24"/>
    </w:rPr>
  </w:style>
  <w:style w:type="paragraph" w:styleId="EndnoteText">
    <w:name w:val="endnote text"/>
    <w:basedOn w:val="Normal"/>
    <w:link w:val="EndnoteTextChar"/>
    <w:unhideWhenUsed/>
    <w:rsid w:val="00303AE1"/>
    <w:pPr>
      <w:spacing w:before="0" w:after="0" w:line="240" w:lineRule="auto"/>
    </w:pPr>
    <w:rPr>
      <w:sz w:val="24"/>
    </w:rPr>
  </w:style>
  <w:style w:type="character" w:customStyle="1" w:styleId="EndnoteTextChar">
    <w:name w:val="Endnote Text Char"/>
    <w:basedOn w:val="DefaultParagraphFont"/>
    <w:link w:val="EndnoteText"/>
    <w:rsid w:val="00303AE1"/>
    <w:rPr>
      <w:rFonts w:asciiTheme="minorHAnsi" w:hAnsiTheme="minorHAnsi"/>
      <w:sz w:val="24"/>
      <w:szCs w:val="24"/>
    </w:rPr>
  </w:style>
  <w:style w:type="character" w:styleId="EndnoteReference">
    <w:name w:val="endnote reference"/>
    <w:basedOn w:val="DefaultParagraphFont"/>
    <w:unhideWhenUsed/>
    <w:rsid w:val="00303AE1"/>
    <w:rPr>
      <w:vertAlign w:val="superscript"/>
    </w:rPr>
  </w:style>
  <w:style w:type="paragraph" w:customStyle="1" w:styleId="Rec">
    <w:name w:val="Rec"/>
    <w:basedOn w:val="Heading3Numbered"/>
    <w:qFormat/>
    <w:rsid w:val="00331ED5"/>
    <w:pPr>
      <w:numPr>
        <w:ilvl w:val="0"/>
        <w:numId w:val="0"/>
      </w:numPr>
      <w:outlineLvl w:val="3"/>
    </w:pPr>
    <w:rPr>
      <w:color w:val="016500"/>
    </w:rPr>
  </w:style>
  <w:style w:type="paragraph" w:styleId="PlainText">
    <w:name w:val="Plain Text"/>
    <w:basedOn w:val="Normal"/>
    <w:link w:val="PlainTextChar"/>
    <w:uiPriority w:val="99"/>
    <w:unhideWhenUsed/>
    <w:rsid w:val="000869E6"/>
    <w:pPr>
      <w:spacing w:before="0"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0869E6"/>
    <w:rPr>
      <w:rFonts w:ascii="Calibri" w:eastAsiaTheme="minorHAnsi" w:hAnsi="Calibri"/>
      <w:sz w:val="22"/>
      <w:szCs w:val="21"/>
    </w:rPr>
  </w:style>
  <w:style w:type="paragraph" w:customStyle="1" w:styleId="Bulleted">
    <w:name w:val="Bulleted"/>
    <w:basedOn w:val="Normal"/>
    <w:link w:val="BulletedChar"/>
    <w:qFormat/>
    <w:rsid w:val="00E2102F"/>
    <w:pPr>
      <w:numPr>
        <w:numId w:val="8"/>
      </w:numPr>
      <w:autoSpaceDE w:val="0"/>
      <w:autoSpaceDN w:val="0"/>
      <w:adjustRightInd w:val="0"/>
      <w:spacing w:after="200" w:line="300" w:lineRule="auto"/>
    </w:pPr>
    <w:rPr>
      <w:rFonts w:ascii="Arial" w:eastAsia="MS Mincho" w:hAnsi="Arial" w:cs="Arial"/>
      <w:szCs w:val="22"/>
      <w:lang w:eastAsia="en-US"/>
    </w:rPr>
  </w:style>
  <w:style w:type="character" w:customStyle="1" w:styleId="BulletedChar">
    <w:name w:val="Bulleted Char"/>
    <w:basedOn w:val="DefaultParagraphFont"/>
    <w:link w:val="Bulleted"/>
    <w:rsid w:val="00E2102F"/>
    <w:rPr>
      <w:rFonts w:ascii="Arial" w:eastAsia="MS Mincho" w:hAnsi="Arial" w:cs="Arial"/>
      <w:sz w:val="22"/>
      <w:szCs w:val="22"/>
      <w:lang w:eastAsia="en-US"/>
    </w:rPr>
  </w:style>
  <w:style w:type="paragraph" w:customStyle="1" w:styleId="tabletext">
    <w:name w:val="tabletext"/>
    <w:basedOn w:val="Normal"/>
    <w:rsid w:val="000869E6"/>
    <w:pPr>
      <w:spacing w:before="100" w:beforeAutospacing="1" w:after="100" w:afterAutospacing="1" w:line="240" w:lineRule="auto"/>
    </w:pPr>
    <w:rPr>
      <w:rFonts w:ascii="Times New Roman" w:hAnsi="Times New Roman"/>
      <w:sz w:val="24"/>
    </w:rPr>
  </w:style>
  <w:style w:type="character" w:customStyle="1" w:styleId="A3">
    <w:name w:val="A3"/>
    <w:uiPriority w:val="99"/>
    <w:rsid w:val="00A74C6B"/>
    <w:rPr>
      <w:rFonts w:cs="Myriad Pro"/>
      <w:color w:val="000000"/>
      <w:sz w:val="18"/>
      <w:szCs w:val="18"/>
      <w:u w:val="single"/>
    </w:rPr>
  </w:style>
  <w:style w:type="paragraph" w:styleId="ListContinue">
    <w:name w:val="List Continue"/>
    <w:basedOn w:val="Normal"/>
    <w:semiHidden/>
    <w:unhideWhenUsed/>
    <w:rsid w:val="000869E6"/>
    <w:pPr>
      <w:spacing w:after="120"/>
      <w:ind w:left="283"/>
      <w:contextualSpacing/>
    </w:pPr>
  </w:style>
  <w:style w:type="table" w:styleId="TableClassic1">
    <w:name w:val="Table Classic 1"/>
    <w:basedOn w:val="TableNormal"/>
    <w:rsid w:val="00A74C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ubGroupHeader">
    <w:name w:val="SubGroupHeader"/>
    <w:basedOn w:val="Normal"/>
    <w:rsid w:val="00A74C6B"/>
    <w:pPr>
      <w:spacing w:before="0" w:after="0" w:line="240" w:lineRule="auto"/>
      <w:jc w:val="right"/>
    </w:pPr>
    <w:rPr>
      <w:rFonts w:ascii="Times New Roman" w:hAnsi="Times New Roman"/>
      <w:b/>
      <w:caps/>
      <w:sz w:val="18"/>
      <w:szCs w:val="20"/>
    </w:rPr>
  </w:style>
  <w:style w:type="paragraph" w:customStyle="1" w:styleId="GroupHeader">
    <w:name w:val="GroupHeader"/>
    <w:basedOn w:val="Normal"/>
    <w:rsid w:val="00A74C6B"/>
    <w:pPr>
      <w:spacing w:before="0" w:after="0" w:line="240" w:lineRule="auto"/>
    </w:pPr>
    <w:rPr>
      <w:rFonts w:ascii="Times New Roman" w:hAnsi="Times New Roman"/>
      <w:b/>
      <w:caps/>
      <w:sz w:val="18"/>
      <w:szCs w:val="20"/>
    </w:rPr>
  </w:style>
  <w:style w:type="paragraph" w:customStyle="1" w:styleId="GroupDescription">
    <w:name w:val="GroupDescription"/>
    <w:basedOn w:val="Heading1"/>
    <w:link w:val="GroupDescriptionChar"/>
    <w:autoRedefine/>
    <w:rsid w:val="00A74C6B"/>
    <w:pPr>
      <w:numPr>
        <w:numId w:val="0"/>
      </w:numPr>
      <w:spacing w:after="60" w:line="240" w:lineRule="auto"/>
    </w:pPr>
    <w:rPr>
      <w:rFonts w:ascii="Arial Bold" w:eastAsia="Times New Roman" w:hAnsi="Arial Bold"/>
      <w:smallCaps/>
      <w:color w:val="auto"/>
      <w:sz w:val="20"/>
      <w:szCs w:val="20"/>
      <w:lang w:val="en-AU" w:eastAsia="en-AU"/>
    </w:rPr>
  </w:style>
  <w:style w:type="character" w:customStyle="1" w:styleId="GroupDescriptionChar">
    <w:name w:val="GroupDescription Char"/>
    <w:link w:val="GroupDescription"/>
    <w:locked/>
    <w:rsid w:val="00A74C6B"/>
    <w:rPr>
      <w:rFonts w:ascii="Arial Bold" w:hAnsi="Arial Bold" w:cs="Arial"/>
      <w:b/>
      <w:bCs/>
      <w:smallCaps/>
      <w:kern w:val="32"/>
    </w:rPr>
  </w:style>
  <w:style w:type="paragraph" w:customStyle="1" w:styleId="SubGroupDescription">
    <w:name w:val="SubGroupDescription"/>
    <w:basedOn w:val="Heading2"/>
    <w:autoRedefine/>
    <w:rsid w:val="00A74C6B"/>
    <w:pPr>
      <w:numPr>
        <w:ilvl w:val="0"/>
        <w:numId w:val="0"/>
      </w:numPr>
      <w:spacing w:after="60" w:line="240" w:lineRule="auto"/>
      <w:jc w:val="center"/>
    </w:pPr>
    <w:rPr>
      <w:rFonts w:ascii="Arial" w:eastAsia="Times New Roman" w:hAnsi="Arial"/>
      <w:b w:val="0"/>
      <w:i/>
      <w:sz w:val="20"/>
      <w:szCs w:val="28"/>
      <w:lang w:val="en-AU" w:eastAsia="en-AU"/>
    </w:rPr>
  </w:style>
  <w:style w:type="character" w:customStyle="1" w:styleId="Heading3Char">
    <w:name w:val="Heading 3 Char"/>
    <w:basedOn w:val="DefaultParagraphFont"/>
    <w:link w:val="Heading3"/>
    <w:rsid w:val="00ED7D2E"/>
    <w:rPr>
      <w:rFonts w:asciiTheme="minorHAnsi" w:eastAsiaTheme="minorHAnsi" w:hAnsiTheme="minorHAnsi" w:cs="Arial"/>
      <w:b/>
      <w:bCs/>
      <w:i/>
      <w:color w:val="B56012"/>
      <w:sz w:val="24"/>
      <w:szCs w:val="26"/>
      <w:lang w:val="en-US" w:eastAsia="en-US"/>
    </w:rPr>
  </w:style>
  <w:style w:type="paragraph" w:customStyle="1" w:styleId="Heading3Numbered">
    <w:name w:val="Heading 3 Numbered"/>
    <w:basedOn w:val="Heading2"/>
    <w:qFormat/>
    <w:rsid w:val="00331ED5"/>
    <w:pPr>
      <w:numPr>
        <w:ilvl w:val="2"/>
      </w:numPr>
      <w:outlineLvl w:val="2"/>
    </w:pPr>
    <w:rPr>
      <w:i/>
      <w:color w:val="B56011"/>
      <w:sz w:val="24"/>
    </w:rPr>
  </w:style>
  <w:style w:type="paragraph" w:customStyle="1" w:styleId="03Tableundertext">
    <w:name w:val="03 Table under text"/>
    <w:basedOn w:val="Normal"/>
    <w:qFormat/>
    <w:rsid w:val="00E2102F"/>
    <w:pPr>
      <w:spacing w:before="0"/>
    </w:pPr>
    <w:rPr>
      <w:bCs/>
      <w:sz w:val="18"/>
      <w:szCs w:val="16"/>
      <w:lang w:val="en-US"/>
    </w:rPr>
  </w:style>
  <w:style w:type="paragraph" w:customStyle="1" w:styleId="FigureCaption">
    <w:name w:val="Figure Caption"/>
    <w:basedOn w:val="Caption"/>
    <w:qFormat/>
    <w:rsid w:val="009662CD"/>
    <w:rPr>
      <w:noProof/>
      <w:lang w:val="en-US"/>
    </w:rPr>
  </w:style>
  <w:style w:type="paragraph" w:customStyle="1" w:styleId="Numbered">
    <w:name w:val="Numbered"/>
    <w:basedOn w:val="ListParagraph"/>
    <w:qFormat/>
    <w:rsid w:val="00A15C12"/>
    <w:pPr>
      <w:numPr>
        <w:numId w:val="9"/>
      </w:numPr>
    </w:pPr>
    <w:rPr>
      <w:b w:val="0"/>
      <w:lang w:val="en-US"/>
    </w:rPr>
  </w:style>
  <w:style w:type="paragraph" w:styleId="Revision">
    <w:name w:val="Revision"/>
    <w:hidden/>
    <w:uiPriority w:val="99"/>
    <w:semiHidden/>
    <w:rsid w:val="00A118D9"/>
    <w:rPr>
      <w:rFonts w:asciiTheme="minorHAnsi" w:hAnsiTheme="minorHAnsi"/>
      <w:sz w:val="22"/>
      <w:szCs w:val="24"/>
    </w:rPr>
  </w:style>
  <w:style w:type="paragraph" w:customStyle="1" w:styleId="BoxText">
    <w:name w:val="BoxText"/>
    <w:basedOn w:val="Normal"/>
    <w:qFormat/>
    <w:rsid w:val="00F623CB"/>
    <w:pPr>
      <w:pBdr>
        <w:top w:val="single" w:sz="12" w:space="4" w:color="C75F09"/>
        <w:left w:val="single" w:sz="12" w:space="4" w:color="C75F09"/>
        <w:bottom w:val="single" w:sz="12" w:space="4" w:color="C75F09"/>
        <w:right w:val="single" w:sz="12" w:space="4" w:color="C75F09"/>
      </w:pBdr>
      <w:spacing w:before="0" w:after="120" w:line="240" w:lineRule="auto"/>
    </w:pPr>
    <w:rPr>
      <w:rFonts w:ascii="Calibri" w:hAnsi="Calibri"/>
      <w:color w:val="000000"/>
      <w:szCs w:val="20"/>
    </w:rPr>
  </w:style>
  <w:style w:type="paragraph" w:customStyle="1" w:styleId="BoxBullet">
    <w:name w:val="BoxBullet"/>
    <w:basedOn w:val="BoxText"/>
    <w:rsid w:val="00F623CB"/>
    <w:pPr>
      <w:numPr>
        <w:numId w:val="10"/>
      </w:numPr>
    </w:pPr>
  </w:style>
  <w:style w:type="paragraph" w:customStyle="1" w:styleId="AppendixStyle2">
    <w:name w:val="Appendix Style2"/>
    <w:basedOn w:val="Heading2Report"/>
    <w:qFormat/>
    <w:rsid w:val="00C96B34"/>
    <w:pPr>
      <w:numPr>
        <w:ilvl w:val="0"/>
        <w:numId w:val="0"/>
      </w:numPr>
    </w:pPr>
    <w:rPr>
      <w:color w:val="auto"/>
    </w:rPr>
  </w:style>
  <w:style w:type="paragraph" w:customStyle="1" w:styleId="TableBullet">
    <w:name w:val="TableBullet"/>
    <w:basedOn w:val="NormalBulleted"/>
    <w:qFormat/>
    <w:rsid w:val="00017563"/>
    <w:pPr>
      <w:spacing w:before="40" w:after="40" w:line="240" w:lineRule="auto"/>
    </w:pPr>
    <w:rPr>
      <w:rFonts w:cs="Arial"/>
      <w:color w:val="000000" w:themeColor="text1"/>
      <w:sz w:val="18"/>
      <w:szCs w:val="18"/>
    </w:rPr>
  </w:style>
  <w:style w:type="character" w:customStyle="1" w:styleId="Underline">
    <w:name w:val="Underline"/>
    <w:basedOn w:val="DefaultParagraphFont"/>
    <w:uiPriority w:val="1"/>
    <w:qFormat/>
    <w:rsid w:val="00381125"/>
    <w:rPr>
      <w:bCs/>
      <w:color w:val="000000" w:themeColor="text1"/>
      <w:szCs w:val="22"/>
      <w:u w:val="single"/>
      <w:lang w:val="en-US"/>
    </w:rPr>
  </w:style>
  <w:style w:type="paragraph" w:customStyle="1" w:styleId="Tabletext9">
    <w:name w:val="Table text9"/>
    <w:basedOn w:val="NormalBulleted"/>
    <w:qFormat/>
    <w:rsid w:val="007712D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pPr>
    <w:rPr>
      <w:color w:val="000000"/>
      <w:sz w:val="18"/>
      <w:szCs w:val="18"/>
    </w:rPr>
  </w:style>
  <w:style w:type="paragraph" w:customStyle="1" w:styleId="TableBulletrom">
    <w:name w:val="Table Bullet rom"/>
    <w:basedOn w:val="Tabletext9"/>
    <w:qFormat/>
    <w:rsid w:val="00856FC4"/>
    <w:pPr>
      <w:numPr>
        <w:numId w:val="11"/>
      </w:numPr>
      <w:tabs>
        <w:tab w:val="clear" w:pos="576"/>
        <w:tab w:val="clear" w:pos="1152"/>
        <w:tab w:val="clear" w:pos="1728"/>
        <w:tab w:val="clear" w:pos="2304"/>
        <w:tab w:val="clear" w:pos="2880"/>
        <w:tab w:val="clear" w:pos="3456"/>
        <w:tab w:val="clear" w:pos="4032"/>
        <w:tab w:val="clear" w:pos="4608"/>
        <w:tab w:val="clear" w:pos="5040"/>
        <w:tab w:val="clear" w:pos="5616"/>
        <w:tab w:val="clear" w:pos="6192"/>
        <w:tab w:val="clear" w:pos="6768"/>
        <w:tab w:val="clear" w:pos="7344"/>
        <w:tab w:val="clear" w:pos="7920"/>
        <w:tab w:val="clear" w:pos="8496"/>
        <w:tab w:val="right" w:pos="432"/>
      </w:tabs>
      <w:spacing w:line="240" w:lineRule="auto"/>
    </w:pPr>
    <w:rPr>
      <w:rFonts w:cs="Arial"/>
      <w:sz w:val="17"/>
      <w:szCs w:val="17"/>
    </w:rPr>
  </w:style>
  <w:style w:type="paragraph" w:customStyle="1" w:styleId="TableTextDecimalAlign">
    <w:name w:val="TableTextDecimalAlign"/>
    <w:basedOn w:val="tabletext"/>
    <w:rsid w:val="00C54A35"/>
    <w:pPr>
      <w:keepNext/>
      <w:tabs>
        <w:tab w:val="decimal" w:pos="1119"/>
      </w:tabs>
      <w:spacing w:before="60" w:beforeAutospacing="0" w:after="60" w:afterAutospacing="0"/>
    </w:pPr>
    <w:rPr>
      <w:rFonts w:ascii="Calibri" w:hAnsi="Calibri"/>
      <w:color w:val="000000"/>
      <w:szCs w:val="21"/>
    </w:rPr>
  </w:style>
  <w:style w:type="numbering" w:customStyle="1" w:styleId="Style2">
    <w:name w:val="Style2"/>
    <w:uiPriority w:val="99"/>
    <w:rsid w:val="00704DAA"/>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691">
      <w:bodyDiv w:val="1"/>
      <w:marLeft w:val="0"/>
      <w:marRight w:val="0"/>
      <w:marTop w:val="0"/>
      <w:marBottom w:val="0"/>
      <w:divBdr>
        <w:top w:val="none" w:sz="0" w:space="0" w:color="auto"/>
        <w:left w:val="none" w:sz="0" w:space="0" w:color="auto"/>
        <w:bottom w:val="none" w:sz="0" w:space="0" w:color="auto"/>
        <w:right w:val="none" w:sz="0" w:space="0" w:color="auto"/>
      </w:divBdr>
    </w:div>
    <w:div w:id="8067757">
      <w:bodyDiv w:val="1"/>
      <w:marLeft w:val="0"/>
      <w:marRight w:val="0"/>
      <w:marTop w:val="0"/>
      <w:marBottom w:val="0"/>
      <w:divBdr>
        <w:top w:val="none" w:sz="0" w:space="0" w:color="auto"/>
        <w:left w:val="none" w:sz="0" w:space="0" w:color="auto"/>
        <w:bottom w:val="none" w:sz="0" w:space="0" w:color="auto"/>
        <w:right w:val="none" w:sz="0" w:space="0" w:color="auto"/>
      </w:divBdr>
    </w:div>
    <w:div w:id="31732114">
      <w:bodyDiv w:val="1"/>
      <w:marLeft w:val="0"/>
      <w:marRight w:val="0"/>
      <w:marTop w:val="0"/>
      <w:marBottom w:val="0"/>
      <w:divBdr>
        <w:top w:val="none" w:sz="0" w:space="0" w:color="auto"/>
        <w:left w:val="none" w:sz="0" w:space="0" w:color="auto"/>
        <w:bottom w:val="none" w:sz="0" w:space="0" w:color="auto"/>
        <w:right w:val="none" w:sz="0" w:space="0" w:color="auto"/>
      </w:divBdr>
    </w:div>
    <w:div w:id="47270253">
      <w:bodyDiv w:val="1"/>
      <w:marLeft w:val="0"/>
      <w:marRight w:val="0"/>
      <w:marTop w:val="0"/>
      <w:marBottom w:val="0"/>
      <w:divBdr>
        <w:top w:val="none" w:sz="0" w:space="0" w:color="auto"/>
        <w:left w:val="none" w:sz="0" w:space="0" w:color="auto"/>
        <w:bottom w:val="none" w:sz="0" w:space="0" w:color="auto"/>
        <w:right w:val="none" w:sz="0" w:space="0" w:color="auto"/>
      </w:divBdr>
    </w:div>
    <w:div w:id="61104068">
      <w:bodyDiv w:val="1"/>
      <w:marLeft w:val="0"/>
      <w:marRight w:val="0"/>
      <w:marTop w:val="0"/>
      <w:marBottom w:val="0"/>
      <w:divBdr>
        <w:top w:val="none" w:sz="0" w:space="0" w:color="auto"/>
        <w:left w:val="none" w:sz="0" w:space="0" w:color="auto"/>
        <w:bottom w:val="none" w:sz="0" w:space="0" w:color="auto"/>
        <w:right w:val="none" w:sz="0" w:space="0" w:color="auto"/>
      </w:divBdr>
    </w:div>
    <w:div w:id="73670213">
      <w:bodyDiv w:val="1"/>
      <w:marLeft w:val="0"/>
      <w:marRight w:val="0"/>
      <w:marTop w:val="0"/>
      <w:marBottom w:val="0"/>
      <w:divBdr>
        <w:top w:val="none" w:sz="0" w:space="0" w:color="auto"/>
        <w:left w:val="none" w:sz="0" w:space="0" w:color="auto"/>
        <w:bottom w:val="none" w:sz="0" w:space="0" w:color="auto"/>
        <w:right w:val="none" w:sz="0" w:space="0" w:color="auto"/>
      </w:divBdr>
    </w:div>
    <w:div w:id="91897007">
      <w:bodyDiv w:val="1"/>
      <w:marLeft w:val="0"/>
      <w:marRight w:val="0"/>
      <w:marTop w:val="0"/>
      <w:marBottom w:val="0"/>
      <w:divBdr>
        <w:top w:val="none" w:sz="0" w:space="0" w:color="auto"/>
        <w:left w:val="none" w:sz="0" w:space="0" w:color="auto"/>
        <w:bottom w:val="none" w:sz="0" w:space="0" w:color="auto"/>
        <w:right w:val="none" w:sz="0" w:space="0" w:color="auto"/>
      </w:divBdr>
    </w:div>
    <w:div w:id="97255464">
      <w:bodyDiv w:val="1"/>
      <w:marLeft w:val="0"/>
      <w:marRight w:val="0"/>
      <w:marTop w:val="0"/>
      <w:marBottom w:val="0"/>
      <w:divBdr>
        <w:top w:val="none" w:sz="0" w:space="0" w:color="auto"/>
        <w:left w:val="none" w:sz="0" w:space="0" w:color="auto"/>
        <w:bottom w:val="none" w:sz="0" w:space="0" w:color="auto"/>
        <w:right w:val="none" w:sz="0" w:space="0" w:color="auto"/>
      </w:divBdr>
    </w:div>
    <w:div w:id="98375142">
      <w:bodyDiv w:val="1"/>
      <w:marLeft w:val="0"/>
      <w:marRight w:val="0"/>
      <w:marTop w:val="0"/>
      <w:marBottom w:val="0"/>
      <w:divBdr>
        <w:top w:val="none" w:sz="0" w:space="0" w:color="auto"/>
        <w:left w:val="none" w:sz="0" w:space="0" w:color="auto"/>
        <w:bottom w:val="none" w:sz="0" w:space="0" w:color="auto"/>
        <w:right w:val="none" w:sz="0" w:space="0" w:color="auto"/>
      </w:divBdr>
    </w:div>
    <w:div w:id="106852845">
      <w:bodyDiv w:val="1"/>
      <w:marLeft w:val="0"/>
      <w:marRight w:val="0"/>
      <w:marTop w:val="0"/>
      <w:marBottom w:val="0"/>
      <w:divBdr>
        <w:top w:val="none" w:sz="0" w:space="0" w:color="auto"/>
        <w:left w:val="none" w:sz="0" w:space="0" w:color="auto"/>
        <w:bottom w:val="none" w:sz="0" w:space="0" w:color="auto"/>
        <w:right w:val="none" w:sz="0" w:space="0" w:color="auto"/>
      </w:divBdr>
    </w:div>
    <w:div w:id="123546653">
      <w:bodyDiv w:val="1"/>
      <w:marLeft w:val="0"/>
      <w:marRight w:val="0"/>
      <w:marTop w:val="0"/>
      <w:marBottom w:val="0"/>
      <w:divBdr>
        <w:top w:val="none" w:sz="0" w:space="0" w:color="auto"/>
        <w:left w:val="none" w:sz="0" w:space="0" w:color="auto"/>
        <w:bottom w:val="none" w:sz="0" w:space="0" w:color="auto"/>
        <w:right w:val="none" w:sz="0" w:space="0" w:color="auto"/>
      </w:divBdr>
    </w:div>
    <w:div w:id="161243583">
      <w:bodyDiv w:val="1"/>
      <w:marLeft w:val="0"/>
      <w:marRight w:val="0"/>
      <w:marTop w:val="0"/>
      <w:marBottom w:val="0"/>
      <w:divBdr>
        <w:top w:val="none" w:sz="0" w:space="0" w:color="auto"/>
        <w:left w:val="none" w:sz="0" w:space="0" w:color="auto"/>
        <w:bottom w:val="none" w:sz="0" w:space="0" w:color="auto"/>
        <w:right w:val="none" w:sz="0" w:space="0" w:color="auto"/>
      </w:divBdr>
    </w:div>
    <w:div w:id="168180599">
      <w:bodyDiv w:val="1"/>
      <w:marLeft w:val="0"/>
      <w:marRight w:val="0"/>
      <w:marTop w:val="0"/>
      <w:marBottom w:val="0"/>
      <w:divBdr>
        <w:top w:val="none" w:sz="0" w:space="0" w:color="auto"/>
        <w:left w:val="none" w:sz="0" w:space="0" w:color="auto"/>
        <w:bottom w:val="none" w:sz="0" w:space="0" w:color="auto"/>
        <w:right w:val="none" w:sz="0" w:space="0" w:color="auto"/>
      </w:divBdr>
    </w:div>
    <w:div w:id="208881965">
      <w:bodyDiv w:val="1"/>
      <w:marLeft w:val="0"/>
      <w:marRight w:val="0"/>
      <w:marTop w:val="0"/>
      <w:marBottom w:val="0"/>
      <w:divBdr>
        <w:top w:val="none" w:sz="0" w:space="0" w:color="auto"/>
        <w:left w:val="none" w:sz="0" w:space="0" w:color="auto"/>
        <w:bottom w:val="none" w:sz="0" w:space="0" w:color="auto"/>
        <w:right w:val="none" w:sz="0" w:space="0" w:color="auto"/>
      </w:divBdr>
    </w:div>
    <w:div w:id="215121331">
      <w:bodyDiv w:val="1"/>
      <w:marLeft w:val="0"/>
      <w:marRight w:val="0"/>
      <w:marTop w:val="0"/>
      <w:marBottom w:val="0"/>
      <w:divBdr>
        <w:top w:val="none" w:sz="0" w:space="0" w:color="auto"/>
        <w:left w:val="none" w:sz="0" w:space="0" w:color="auto"/>
        <w:bottom w:val="none" w:sz="0" w:space="0" w:color="auto"/>
        <w:right w:val="none" w:sz="0" w:space="0" w:color="auto"/>
      </w:divBdr>
    </w:div>
    <w:div w:id="250895780">
      <w:bodyDiv w:val="1"/>
      <w:marLeft w:val="0"/>
      <w:marRight w:val="0"/>
      <w:marTop w:val="0"/>
      <w:marBottom w:val="0"/>
      <w:divBdr>
        <w:top w:val="none" w:sz="0" w:space="0" w:color="auto"/>
        <w:left w:val="none" w:sz="0" w:space="0" w:color="auto"/>
        <w:bottom w:val="none" w:sz="0" w:space="0" w:color="auto"/>
        <w:right w:val="none" w:sz="0" w:space="0" w:color="auto"/>
      </w:divBdr>
    </w:div>
    <w:div w:id="261955232">
      <w:bodyDiv w:val="1"/>
      <w:marLeft w:val="0"/>
      <w:marRight w:val="0"/>
      <w:marTop w:val="0"/>
      <w:marBottom w:val="0"/>
      <w:divBdr>
        <w:top w:val="none" w:sz="0" w:space="0" w:color="auto"/>
        <w:left w:val="none" w:sz="0" w:space="0" w:color="auto"/>
        <w:bottom w:val="none" w:sz="0" w:space="0" w:color="auto"/>
        <w:right w:val="none" w:sz="0" w:space="0" w:color="auto"/>
      </w:divBdr>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95456502">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23556138">
      <w:bodyDiv w:val="1"/>
      <w:marLeft w:val="0"/>
      <w:marRight w:val="0"/>
      <w:marTop w:val="0"/>
      <w:marBottom w:val="0"/>
      <w:divBdr>
        <w:top w:val="none" w:sz="0" w:space="0" w:color="auto"/>
        <w:left w:val="none" w:sz="0" w:space="0" w:color="auto"/>
        <w:bottom w:val="none" w:sz="0" w:space="0" w:color="auto"/>
        <w:right w:val="none" w:sz="0" w:space="0" w:color="auto"/>
      </w:divBdr>
    </w:div>
    <w:div w:id="324207556">
      <w:bodyDiv w:val="1"/>
      <w:marLeft w:val="0"/>
      <w:marRight w:val="0"/>
      <w:marTop w:val="0"/>
      <w:marBottom w:val="0"/>
      <w:divBdr>
        <w:top w:val="none" w:sz="0" w:space="0" w:color="auto"/>
        <w:left w:val="none" w:sz="0" w:space="0" w:color="auto"/>
        <w:bottom w:val="none" w:sz="0" w:space="0" w:color="auto"/>
        <w:right w:val="none" w:sz="0" w:space="0" w:color="auto"/>
      </w:divBdr>
    </w:div>
    <w:div w:id="324359780">
      <w:bodyDiv w:val="1"/>
      <w:marLeft w:val="0"/>
      <w:marRight w:val="0"/>
      <w:marTop w:val="0"/>
      <w:marBottom w:val="0"/>
      <w:divBdr>
        <w:top w:val="none" w:sz="0" w:space="0" w:color="auto"/>
        <w:left w:val="none" w:sz="0" w:space="0" w:color="auto"/>
        <w:bottom w:val="none" w:sz="0" w:space="0" w:color="auto"/>
        <w:right w:val="none" w:sz="0" w:space="0" w:color="auto"/>
      </w:divBdr>
    </w:div>
    <w:div w:id="348141111">
      <w:bodyDiv w:val="1"/>
      <w:marLeft w:val="0"/>
      <w:marRight w:val="0"/>
      <w:marTop w:val="0"/>
      <w:marBottom w:val="0"/>
      <w:divBdr>
        <w:top w:val="none" w:sz="0" w:space="0" w:color="auto"/>
        <w:left w:val="none" w:sz="0" w:space="0" w:color="auto"/>
        <w:bottom w:val="none" w:sz="0" w:space="0" w:color="auto"/>
        <w:right w:val="none" w:sz="0" w:space="0" w:color="auto"/>
      </w:divBdr>
    </w:div>
    <w:div w:id="348529493">
      <w:bodyDiv w:val="1"/>
      <w:marLeft w:val="0"/>
      <w:marRight w:val="0"/>
      <w:marTop w:val="0"/>
      <w:marBottom w:val="0"/>
      <w:divBdr>
        <w:top w:val="none" w:sz="0" w:space="0" w:color="auto"/>
        <w:left w:val="none" w:sz="0" w:space="0" w:color="auto"/>
        <w:bottom w:val="none" w:sz="0" w:space="0" w:color="auto"/>
        <w:right w:val="none" w:sz="0" w:space="0" w:color="auto"/>
      </w:divBdr>
    </w:div>
    <w:div w:id="382414444">
      <w:bodyDiv w:val="1"/>
      <w:marLeft w:val="0"/>
      <w:marRight w:val="0"/>
      <w:marTop w:val="0"/>
      <w:marBottom w:val="0"/>
      <w:divBdr>
        <w:top w:val="none" w:sz="0" w:space="0" w:color="auto"/>
        <w:left w:val="none" w:sz="0" w:space="0" w:color="auto"/>
        <w:bottom w:val="none" w:sz="0" w:space="0" w:color="auto"/>
        <w:right w:val="none" w:sz="0" w:space="0" w:color="auto"/>
      </w:divBdr>
    </w:div>
    <w:div w:id="407075630">
      <w:bodyDiv w:val="1"/>
      <w:marLeft w:val="0"/>
      <w:marRight w:val="0"/>
      <w:marTop w:val="0"/>
      <w:marBottom w:val="0"/>
      <w:divBdr>
        <w:top w:val="none" w:sz="0" w:space="0" w:color="auto"/>
        <w:left w:val="none" w:sz="0" w:space="0" w:color="auto"/>
        <w:bottom w:val="none" w:sz="0" w:space="0" w:color="auto"/>
        <w:right w:val="none" w:sz="0" w:space="0" w:color="auto"/>
      </w:divBdr>
    </w:div>
    <w:div w:id="427238775">
      <w:bodyDiv w:val="1"/>
      <w:marLeft w:val="0"/>
      <w:marRight w:val="0"/>
      <w:marTop w:val="0"/>
      <w:marBottom w:val="0"/>
      <w:divBdr>
        <w:top w:val="none" w:sz="0" w:space="0" w:color="auto"/>
        <w:left w:val="none" w:sz="0" w:space="0" w:color="auto"/>
        <w:bottom w:val="none" w:sz="0" w:space="0" w:color="auto"/>
        <w:right w:val="none" w:sz="0" w:space="0" w:color="auto"/>
      </w:divBdr>
    </w:div>
    <w:div w:id="447310634">
      <w:bodyDiv w:val="1"/>
      <w:marLeft w:val="0"/>
      <w:marRight w:val="0"/>
      <w:marTop w:val="0"/>
      <w:marBottom w:val="0"/>
      <w:divBdr>
        <w:top w:val="none" w:sz="0" w:space="0" w:color="auto"/>
        <w:left w:val="none" w:sz="0" w:space="0" w:color="auto"/>
        <w:bottom w:val="none" w:sz="0" w:space="0" w:color="auto"/>
        <w:right w:val="none" w:sz="0" w:space="0" w:color="auto"/>
      </w:divBdr>
    </w:div>
    <w:div w:id="450051275">
      <w:bodyDiv w:val="1"/>
      <w:marLeft w:val="0"/>
      <w:marRight w:val="0"/>
      <w:marTop w:val="0"/>
      <w:marBottom w:val="0"/>
      <w:divBdr>
        <w:top w:val="none" w:sz="0" w:space="0" w:color="auto"/>
        <w:left w:val="none" w:sz="0" w:space="0" w:color="auto"/>
        <w:bottom w:val="none" w:sz="0" w:space="0" w:color="auto"/>
        <w:right w:val="none" w:sz="0" w:space="0" w:color="auto"/>
      </w:divBdr>
    </w:div>
    <w:div w:id="450131353">
      <w:bodyDiv w:val="1"/>
      <w:marLeft w:val="0"/>
      <w:marRight w:val="0"/>
      <w:marTop w:val="0"/>
      <w:marBottom w:val="0"/>
      <w:divBdr>
        <w:top w:val="none" w:sz="0" w:space="0" w:color="auto"/>
        <w:left w:val="none" w:sz="0" w:space="0" w:color="auto"/>
        <w:bottom w:val="none" w:sz="0" w:space="0" w:color="auto"/>
        <w:right w:val="none" w:sz="0" w:space="0" w:color="auto"/>
      </w:divBdr>
    </w:div>
    <w:div w:id="496655445">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56597761">
      <w:bodyDiv w:val="1"/>
      <w:marLeft w:val="0"/>
      <w:marRight w:val="0"/>
      <w:marTop w:val="0"/>
      <w:marBottom w:val="0"/>
      <w:divBdr>
        <w:top w:val="none" w:sz="0" w:space="0" w:color="auto"/>
        <w:left w:val="none" w:sz="0" w:space="0" w:color="auto"/>
        <w:bottom w:val="none" w:sz="0" w:space="0" w:color="auto"/>
        <w:right w:val="none" w:sz="0" w:space="0" w:color="auto"/>
      </w:divBdr>
    </w:div>
    <w:div w:id="557546890">
      <w:bodyDiv w:val="1"/>
      <w:marLeft w:val="0"/>
      <w:marRight w:val="0"/>
      <w:marTop w:val="0"/>
      <w:marBottom w:val="0"/>
      <w:divBdr>
        <w:top w:val="none" w:sz="0" w:space="0" w:color="auto"/>
        <w:left w:val="none" w:sz="0" w:space="0" w:color="auto"/>
        <w:bottom w:val="none" w:sz="0" w:space="0" w:color="auto"/>
        <w:right w:val="none" w:sz="0" w:space="0" w:color="auto"/>
      </w:divBdr>
    </w:div>
    <w:div w:id="586036538">
      <w:bodyDiv w:val="1"/>
      <w:marLeft w:val="0"/>
      <w:marRight w:val="0"/>
      <w:marTop w:val="0"/>
      <w:marBottom w:val="0"/>
      <w:divBdr>
        <w:top w:val="none" w:sz="0" w:space="0" w:color="auto"/>
        <w:left w:val="none" w:sz="0" w:space="0" w:color="auto"/>
        <w:bottom w:val="none" w:sz="0" w:space="0" w:color="auto"/>
        <w:right w:val="none" w:sz="0" w:space="0" w:color="auto"/>
      </w:divBdr>
    </w:div>
    <w:div w:id="603421191">
      <w:bodyDiv w:val="1"/>
      <w:marLeft w:val="0"/>
      <w:marRight w:val="0"/>
      <w:marTop w:val="0"/>
      <w:marBottom w:val="0"/>
      <w:divBdr>
        <w:top w:val="none" w:sz="0" w:space="0" w:color="auto"/>
        <w:left w:val="none" w:sz="0" w:space="0" w:color="auto"/>
        <w:bottom w:val="none" w:sz="0" w:space="0" w:color="auto"/>
        <w:right w:val="none" w:sz="0" w:space="0" w:color="auto"/>
      </w:divBdr>
    </w:div>
    <w:div w:id="605112079">
      <w:bodyDiv w:val="1"/>
      <w:marLeft w:val="0"/>
      <w:marRight w:val="0"/>
      <w:marTop w:val="0"/>
      <w:marBottom w:val="0"/>
      <w:divBdr>
        <w:top w:val="none" w:sz="0" w:space="0" w:color="auto"/>
        <w:left w:val="none" w:sz="0" w:space="0" w:color="auto"/>
        <w:bottom w:val="none" w:sz="0" w:space="0" w:color="auto"/>
        <w:right w:val="none" w:sz="0" w:space="0" w:color="auto"/>
      </w:divBdr>
    </w:div>
    <w:div w:id="644510575">
      <w:bodyDiv w:val="1"/>
      <w:marLeft w:val="0"/>
      <w:marRight w:val="0"/>
      <w:marTop w:val="0"/>
      <w:marBottom w:val="0"/>
      <w:divBdr>
        <w:top w:val="none" w:sz="0" w:space="0" w:color="auto"/>
        <w:left w:val="none" w:sz="0" w:space="0" w:color="auto"/>
        <w:bottom w:val="none" w:sz="0" w:space="0" w:color="auto"/>
        <w:right w:val="none" w:sz="0" w:space="0" w:color="auto"/>
      </w:divBdr>
    </w:div>
    <w:div w:id="655719887">
      <w:bodyDiv w:val="1"/>
      <w:marLeft w:val="0"/>
      <w:marRight w:val="0"/>
      <w:marTop w:val="0"/>
      <w:marBottom w:val="0"/>
      <w:divBdr>
        <w:top w:val="none" w:sz="0" w:space="0" w:color="auto"/>
        <w:left w:val="none" w:sz="0" w:space="0" w:color="auto"/>
        <w:bottom w:val="none" w:sz="0" w:space="0" w:color="auto"/>
        <w:right w:val="none" w:sz="0" w:space="0" w:color="auto"/>
      </w:divBdr>
    </w:div>
    <w:div w:id="681709713">
      <w:bodyDiv w:val="1"/>
      <w:marLeft w:val="0"/>
      <w:marRight w:val="0"/>
      <w:marTop w:val="0"/>
      <w:marBottom w:val="0"/>
      <w:divBdr>
        <w:top w:val="none" w:sz="0" w:space="0" w:color="auto"/>
        <w:left w:val="none" w:sz="0" w:space="0" w:color="auto"/>
        <w:bottom w:val="none" w:sz="0" w:space="0" w:color="auto"/>
        <w:right w:val="none" w:sz="0" w:space="0" w:color="auto"/>
      </w:divBdr>
    </w:div>
    <w:div w:id="683090741">
      <w:bodyDiv w:val="1"/>
      <w:marLeft w:val="0"/>
      <w:marRight w:val="0"/>
      <w:marTop w:val="0"/>
      <w:marBottom w:val="0"/>
      <w:divBdr>
        <w:top w:val="none" w:sz="0" w:space="0" w:color="auto"/>
        <w:left w:val="none" w:sz="0" w:space="0" w:color="auto"/>
        <w:bottom w:val="none" w:sz="0" w:space="0" w:color="auto"/>
        <w:right w:val="none" w:sz="0" w:space="0" w:color="auto"/>
      </w:divBdr>
    </w:div>
    <w:div w:id="698970073">
      <w:bodyDiv w:val="1"/>
      <w:marLeft w:val="0"/>
      <w:marRight w:val="0"/>
      <w:marTop w:val="0"/>
      <w:marBottom w:val="0"/>
      <w:divBdr>
        <w:top w:val="none" w:sz="0" w:space="0" w:color="auto"/>
        <w:left w:val="none" w:sz="0" w:space="0" w:color="auto"/>
        <w:bottom w:val="none" w:sz="0" w:space="0" w:color="auto"/>
        <w:right w:val="none" w:sz="0" w:space="0" w:color="auto"/>
      </w:divBdr>
    </w:div>
    <w:div w:id="705983148">
      <w:bodyDiv w:val="1"/>
      <w:marLeft w:val="0"/>
      <w:marRight w:val="0"/>
      <w:marTop w:val="0"/>
      <w:marBottom w:val="0"/>
      <w:divBdr>
        <w:top w:val="none" w:sz="0" w:space="0" w:color="auto"/>
        <w:left w:val="none" w:sz="0" w:space="0" w:color="auto"/>
        <w:bottom w:val="none" w:sz="0" w:space="0" w:color="auto"/>
        <w:right w:val="none" w:sz="0" w:space="0" w:color="auto"/>
      </w:divBdr>
    </w:div>
    <w:div w:id="719134470">
      <w:bodyDiv w:val="1"/>
      <w:marLeft w:val="0"/>
      <w:marRight w:val="0"/>
      <w:marTop w:val="0"/>
      <w:marBottom w:val="0"/>
      <w:divBdr>
        <w:top w:val="none" w:sz="0" w:space="0" w:color="auto"/>
        <w:left w:val="none" w:sz="0" w:space="0" w:color="auto"/>
        <w:bottom w:val="none" w:sz="0" w:space="0" w:color="auto"/>
        <w:right w:val="none" w:sz="0" w:space="0" w:color="auto"/>
      </w:divBdr>
    </w:div>
    <w:div w:id="721372298">
      <w:bodyDiv w:val="1"/>
      <w:marLeft w:val="0"/>
      <w:marRight w:val="0"/>
      <w:marTop w:val="0"/>
      <w:marBottom w:val="0"/>
      <w:divBdr>
        <w:top w:val="none" w:sz="0" w:space="0" w:color="auto"/>
        <w:left w:val="none" w:sz="0" w:space="0" w:color="auto"/>
        <w:bottom w:val="none" w:sz="0" w:space="0" w:color="auto"/>
        <w:right w:val="none" w:sz="0" w:space="0" w:color="auto"/>
      </w:divBdr>
    </w:div>
    <w:div w:id="735322854">
      <w:bodyDiv w:val="1"/>
      <w:marLeft w:val="0"/>
      <w:marRight w:val="0"/>
      <w:marTop w:val="0"/>
      <w:marBottom w:val="0"/>
      <w:divBdr>
        <w:top w:val="none" w:sz="0" w:space="0" w:color="auto"/>
        <w:left w:val="none" w:sz="0" w:space="0" w:color="auto"/>
        <w:bottom w:val="none" w:sz="0" w:space="0" w:color="auto"/>
        <w:right w:val="none" w:sz="0" w:space="0" w:color="auto"/>
      </w:divBdr>
    </w:div>
    <w:div w:id="740716157">
      <w:bodyDiv w:val="1"/>
      <w:marLeft w:val="0"/>
      <w:marRight w:val="0"/>
      <w:marTop w:val="0"/>
      <w:marBottom w:val="0"/>
      <w:divBdr>
        <w:top w:val="none" w:sz="0" w:space="0" w:color="auto"/>
        <w:left w:val="none" w:sz="0" w:space="0" w:color="auto"/>
        <w:bottom w:val="none" w:sz="0" w:space="0" w:color="auto"/>
        <w:right w:val="none" w:sz="0" w:space="0" w:color="auto"/>
      </w:divBdr>
    </w:div>
    <w:div w:id="811210938">
      <w:bodyDiv w:val="1"/>
      <w:marLeft w:val="0"/>
      <w:marRight w:val="0"/>
      <w:marTop w:val="0"/>
      <w:marBottom w:val="0"/>
      <w:divBdr>
        <w:top w:val="none" w:sz="0" w:space="0" w:color="auto"/>
        <w:left w:val="none" w:sz="0" w:space="0" w:color="auto"/>
        <w:bottom w:val="none" w:sz="0" w:space="0" w:color="auto"/>
        <w:right w:val="none" w:sz="0" w:space="0" w:color="auto"/>
      </w:divBdr>
    </w:div>
    <w:div w:id="841823400">
      <w:bodyDiv w:val="1"/>
      <w:marLeft w:val="0"/>
      <w:marRight w:val="0"/>
      <w:marTop w:val="0"/>
      <w:marBottom w:val="0"/>
      <w:divBdr>
        <w:top w:val="none" w:sz="0" w:space="0" w:color="auto"/>
        <w:left w:val="none" w:sz="0" w:space="0" w:color="auto"/>
        <w:bottom w:val="none" w:sz="0" w:space="0" w:color="auto"/>
        <w:right w:val="none" w:sz="0" w:space="0" w:color="auto"/>
      </w:divBdr>
    </w:div>
    <w:div w:id="868030096">
      <w:bodyDiv w:val="1"/>
      <w:marLeft w:val="0"/>
      <w:marRight w:val="0"/>
      <w:marTop w:val="0"/>
      <w:marBottom w:val="0"/>
      <w:divBdr>
        <w:top w:val="none" w:sz="0" w:space="0" w:color="auto"/>
        <w:left w:val="none" w:sz="0" w:space="0" w:color="auto"/>
        <w:bottom w:val="none" w:sz="0" w:space="0" w:color="auto"/>
        <w:right w:val="none" w:sz="0" w:space="0" w:color="auto"/>
      </w:divBdr>
    </w:div>
    <w:div w:id="901524996">
      <w:bodyDiv w:val="1"/>
      <w:marLeft w:val="0"/>
      <w:marRight w:val="0"/>
      <w:marTop w:val="0"/>
      <w:marBottom w:val="0"/>
      <w:divBdr>
        <w:top w:val="none" w:sz="0" w:space="0" w:color="auto"/>
        <w:left w:val="none" w:sz="0" w:space="0" w:color="auto"/>
        <w:bottom w:val="none" w:sz="0" w:space="0" w:color="auto"/>
        <w:right w:val="none" w:sz="0" w:space="0" w:color="auto"/>
      </w:divBdr>
    </w:div>
    <w:div w:id="902835136">
      <w:bodyDiv w:val="1"/>
      <w:marLeft w:val="0"/>
      <w:marRight w:val="0"/>
      <w:marTop w:val="0"/>
      <w:marBottom w:val="0"/>
      <w:divBdr>
        <w:top w:val="none" w:sz="0" w:space="0" w:color="auto"/>
        <w:left w:val="none" w:sz="0" w:space="0" w:color="auto"/>
        <w:bottom w:val="none" w:sz="0" w:space="0" w:color="auto"/>
        <w:right w:val="none" w:sz="0" w:space="0" w:color="auto"/>
      </w:divBdr>
    </w:div>
    <w:div w:id="907544114">
      <w:bodyDiv w:val="1"/>
      <w:marLeft w:val="0"/>
      <w:marRight w:val="0"/>
      <w:marTop w:val="0"/>
      <w:marBottom w:val="0"/>
      <w:divBdr>
        <w:top w:val="none" w:sz="0" w:space="0" w:color="auto"/>
        <w:left w:val="none" w:sz="0" w:space="0" w:color="auto"/>
        <w:bottom w:val="none" w:sz="0" w:space="0" w:color="auto"/>
        <w:right w:val="none" w:sz="0" w:space="0" w:color="auto"/>
      </w:divBdr>
    </w:div>
    <w:div w:id="942147021">
      <w:bodyDiv w:val="1"/>
      <w:marLeft w:val="0"/>
      <w:marRight w:val="0"/>
      <w:marTop w:val="0"/>
      <w:marBottom w:val="0"/>
      <w:divBdr>
        <w:top w:val="none" w:sz="0" w:space="0" w:color="auto"/>
        <w:left w:val="none" w:sz="0" w:space="0" w:color="auto"/>
        <w:bottom w:val="none" w:sz="0" w:space="0" w:color="auto"/>
        <w:right w:val="none" w:sz="0" w:space="0" w:color="auto"/>
      </w:divBdr>
    </w:div>
    <w:div w:id="975255940">
      <w:bodyDiv w:val="1"/>
      <w:marLeft w:val="0"/>
      <w:marRight w:val="0"/>
      <w:marTop w:val="0"/>
      <w:marBottom w:val="0"/>
      <w:divBdr>
        <w:top w:val="none" w:sz="0" w:space="0" w:color="auto"/>
        <w:left w:val="none" w:sz="0" w:space="0" w:color="auto"/>
        <w:bottom w:val="none" w:sz="0" w:space="0" w:color="auto"/>
        <w:right w:val="none" w:sz="0" w:space="0" w:color="auto"/>
      </w:divBdr>
    </w:div>
    <w:div w:id="1015496147">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22322433">
      <w:bodyDiv w:val="1"/>
      <w:marLeft w:val="0"/>
      <w:marRight w:val="0"/>
      <w:marTop w:val="0"/>
      <w:marBottom w:val="0"/>
      <w:divBdr>
        <w:top w:val="none" w:sz="0" w:space="0" w:color="auto"/>
        <w:left w:val="none" w:sz="0" w:space="0" w:color="auto"/>
        <w:bottom w:val="none" w:sz="0" w:space="0" w:color="auto"/>
        <w:right w:val="none" w:sz="0" w:space="0" w:color="auto"/>
      </w:divBdr>
    </w:div>
    <w:div w:id="1033264943">
      <w:bodyDiv w:val="1"/>
      <w:marLeft w:val="0"/>
      <w:marRight w:val="0"/>
      <w:marTop w:val="0"/>
      <w:marBottom w:val="0"/>
      <w:divBdr>
        <w:top w:val="none" w:sz="0" w:space="0" w:color="auto"/>
        <w:left w:val="none" w:sz="0" w:space="0" w:color="auto"/>
        <w:bottom w:val="none" w:sz="0" w:space="0" w:color="auto"/>
        <w:right w:val="none" w:sz="0" w:space="0" w:color="auto"/>
      </w:divBdr>
    </w:div>
    <w:div w:id="1039401304">
      <w:bodyDiv w:val="1"/>
      <w:marLeft w:val="0"/>
      <w:marRight w:val="0"/>
      <w:marTop w:val="0"/>
      <w:marBottom w:val="0"/>
      <w:divBdr>
        <w:top w:val="none" w:sz="0" w:space="0" w:color="auto"/>
        <w:left w:val="none" w:sz="0" w:space="0" w:color="auto"/>
        <w:bottom w:val="none" w:sz="0" w:space="0" w:color="auto"/>
        <w:right w:val="none" w:sz="0" w:space="0" w:color="auto"/>
      </w:divBdr>
    </w:div>
    <w:div w:id="1042906393">
      <w:bodyDiv w:val="1"/>
      <w:marLeft w:val="0"/>
      <w:marRight w:val="0"/>
      <w:marTop w:val="0"/>
      <w:marBottom w:val="0"/>
      <w:divBdr>
        <w:top w:val="none" w:sz="0" w:space="0" w:color="auto"/>
        <w:left w:val="none" w:sz="0" w:space="0" w:color="auto"/>
        <w:bottom w:val="none" w:sz="0" w:space="0" w:color="auto"/>
        <w:right w:val="none" w:sz="0" w:space="0" w:color="auto"/>
      </w:divBdr>
    </w:div>
    <w:div w:id="1046833436">
      <w:bodyDiv w:val="1"/>
      <w:marLeft w:val="0"/>
      <w:marRight w:val="0"/>
      <w:marTop w:val="0"/>
      <w:marBottom w:val="0"/>
      <w:divBdr>
        <w:top w:val="none" w:sz="0" w:space="0" w:color="auto"/>
        <w:left w:val="none" w:sz="0" w:space="0" w:color="auto"/>
        <w:bottom w:val="none" w:sz="0" w:space="0" w:color="auto"/>
        <w:right w:val="none" w:sz="0" w:space="0" w:color="auto"/>
      </w:divBdr>
    </w:div>
    <w:div w:id="1058939625">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
    <w:div w:id="1067070068">
      <w:bodyDiv w:val="1"/>
      <w:marLeft w:val="0"/>
      <w:marRight w:val="0"/>
      <w:marTop w:val="0"/>
      <w:marBottom w:val="0"/>
      <w:divBdr>
        <w:top w:val="none" w:sz="0" w:space="0" w:color="auto"/>
        <w:left w:val="none" w:sz="0" w:space="0" w:color="auto"/>
        <w:bottom w:val="none" w:sz="0" w:space="0" w:color="auto"/>
        <w:right w:val="none" w:sz="0" w:space="0" w:color="auto"/>
      </w:divBdr>
    </w:div>
    <w:div w:id="1106653859">
      <w:bodyDiv w:val="1"/>
      <w:marLeft w:val="0"/>
      <w:marRight w:val="0"/>
      <w:marTop w:val="0"/>
      <w:marBottom w:val="0"/>
      <w:divBdr>
        <w:top w:val="none" w:sz="0" w:space="0" w:color="auto"/>
        <w:left w:val="none" w:sz="0" w:space="0" w:color="auto"/>
        <w:bottom w:val="none" w:sz="0" w:space="0" w:color="auto"/>
        <w:right w:val="none" w:sz="0" w:space="0" w:color="auto"/>
      </w:divBdr>
    </w:div>
    <w:div w:id="1118526074">
      <w:bodyDiv w:val="1"/>
      <w:marLeft w:val="0"/>
      <w:marRight w:val="0"/>
      <w:marTop w:val="0"/>
      <w:marBottom w:val="0"/>
      <w:divBdr>
        <w:top w:val="none" w:sz="0" w:space="0" w:color="auto"/>
        <w:left w:val="none" w:sz="0" w:space="0" w:color="auto"/>
        <w:bottom w:val="none" w:sz="0" w:space="0" w:color="auto"/>
        <w:right w:val="none" w:sz="0" w:space="0" w:color="auto"/>
      </w:divBdr>
    </w:div>
    <w:div w:id="1134635492">
      <w:bodyDiv w:val="1"/>
      <w:marLeft w:val="0"/>
      <w:marRight w:val="0"/>
      <w:marTop w:val="0"/>
      <w:marBottom w:val="0"/>
      <w:divBdr>
        <w:top w:val="none" w:sz="0" w:space="0" w:color="auto"/>
        <w:left w:val="none" w:sz="0" w:space="0" w:color="auto"/>
        <w:bottom w:val="none" w:sz="0" w:space="0" w:color="auto"/>
        <w:right w:val="none" w:sz="0" w:space="0" w:color="auto"/>
      </w:divBdr>
    </w:div>
    <w:div w:id="1142774681">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205867088">
      <w:bodyDiv w:val="1"/>
      <w:marLeft w:val="0"/>
      <w:marRight w:val="0"/>
      <w:marTop w:val="0"/>
      <w:marBottom w:val="0"/>
      <w:divBdr>
        <w:top w:val="none" w:sz="0" w:space="0" w:color="auto"/>
        <w:left w:val="none" w:sz="0" w:space="0" w:color="auto"/>
        <w:bottom w:val="none" w:sz="0" w:space="0" w:color="auto"/>
        <w:right w:val="none" w:sz="0" w:space="0" w:color="auto"/>
      </w:divBdr>
    </w:div>
    <w:div w:id="1210655295">
      <w:bodyDiv w:val="1"/>
      <w:marLeft w:val="0"/>
      <w:marRight w:val="0"/>
      <w:marTop w:val="0"/>
      <w:marBottom w:val="0"/>
      <w:divBdr>
        <w:top w:val="none" w:sz="0" w:space="0" w:color="auto"/>
        <w:left w:val="none" w:sz="0" w:space="0" w:color="auto"/>
        <w:bottom w:val="none" w:sz="0" w:space="0" w:color="auto"/>
        <w:right w:val="none" w:sz="0" w:space="0" w:color="auto"/>
      </w:divBdr>
    </w:div>
    <w:div w:id="1231425233">
      <w:bodyDiv w:val="1"/>
      <w:marLeft w:val="0"/>
      <w:marRight w:val="0"/>
      <w:marTop w:val="0"/>
      <w:marBottom w:val="0"/>
      <w:divBdr>
        <w:top w:val="none" w:sz="0" w:space="0" w:color="auto"/>
        <w:left w:val="none" w:sz="0" w:space="0" w:color="auto"/>
        <w:bottom w:val="none" w:sz="0" w:space="0" w:color="auto"/>
        <w:right w:val="none" w:sz="0" w:space="0" w:color="auto"/>
      </w:divBdr>
    </w:div>
    <w:div w:id="1244025958">
      <w:bodyDiv w:val="1"/>
      <w:marLeft w:val="0"/>
      <w:marRight w:val="0"/>
      <w:marTop w:val="0"/>
      <w:marBottom w:val="0"/>
      <w:divBdr>
        <w:top w:val="none" w:sz="0" w:space="0" w:color="auto"/>
        <w:left w:val="none" w:sz="0" w:space="0" w:color="auto"/>
        <w:bottom w:val="none" w:sz="0" w:space="0" w:color="auto"/>
        <w:right w:val="none" w:sz="0" w:space="0" w:color="auto"/>
      </w:divBdr>
    </w:div>
    <w:div w:id="1279751669">
      <w:bodyDiv w:val="1"/>
      <w:marLeft w:val="0"/>
      <w:marRight w:val="0"/>
      <w:marTop w:val="0"/>
      <w:marBottom w:val="0"/>
      <w:divBdr>
        <w:top w:val="none" w:sz="0" w:space="0" w:color="auto"/>
        <w:left w:val="none" w:sz="0" w:space="0" w:color="auto"/>
        <w:bottom w:val="none" w:sz="0" w:space="0" w:color="auto"/>
        <w:right w:val="none" w:sz="0" w:space="0" w:color="auto"/>
      </w:divBdr>
    </w:div>
    <w:div w:id="1285842014">
      <w:marLeft w:val="0"/>
      <w:marRight w:val="0"/>
      <w:marTop w:val="0"/>
      <w:marBottom w:val="0"/>
      <w:divBdr>
        <w:top w:val="none" w:sz="0" w:space="0" w:color="auto"/>
        <w:left w:val="none" w:sz="0" w:space="0" w:color="auto"/>
        <w:bottom w:val="none" w:sz="0" w:space="0" w:color="auto"/>
        <w:right w:val="none" w:sz="0" w:space="0" w:color="auto"/>
      </w:divBdr>
      <w:divsChild>
        <w:div w:id="463083437">
          <w:marLeft w:val="0"/>
          <w:marRight w:val="0"/>
          <w:marTop w:val="0"/>
          <w:marBottom w:val="0"/>
          <w:divBdr>
            <w:top w:val="none" w:sz="0" w:space="0" w:color="auto"/>
            <w:left w:val="none" w:sz="0" w:space="0" w:color="auto"/>
            <w:bottom w:val="none" w:sz="0" w:space="0" w:color="auto"/>
            <w:right w:val="none" w:sz="0" w:space="0" w:color="auto"/>
          </w:divBdr>
        </w:div>
      </w:divsChild>
    </w:div>
    <w:div w:id="1300300974">
      <w:bodyDiv w:val="1"/>
      <w:marLeft w:val="0"/>
      <w:marRight w:val="0"/>
      <w:marTop w:val="0"/>
      <w:marBottom w:val="0"/>
      <w:divBdr>
        <w:top w:val="none" w:sz="0" w:space="0" w:color="auto"/>
        <w:left w:val="none" w:sz="0" w:space="0" w:color="auto"/>
        <w:bottom w:val="none" w:sz="0" w:space="0" w:color="auto"/>
        <w:right w:val="none" w:sz="0" w:space="0" w:color="auto"/>
      </w:divBdr>
    </w:div>
    <w:div w:id="1313750116">
      <w:bodyDiv w:val="1"/>
      <w:marLeft w:val="0"/>
      <w:marRight w:val="0"/>
      <w:marTop w:val="0"/>
      <w:marBottom w:val="0"/>
      <w:divBdr>
        <w:top w:val="none" w:sz="0" w:space="0" w:color="auto"/>
        <w:left w:val="none" w:sz="0" w:space="0" w:color="auto"/>
        <w:bottom w:val="none" w:sz="0" w:space="0" w:color="auto"/>
        <w:right w:val="none" w:sz="0" w:space="0" w:color="auto"/>
      </w:divBdr>
    </w:div>
    <w:div w:id="1320689705">
      <w:bodyDiv w:val="1"/>
      <w:marLeft w:val="0"/>
      <w:marRight w:val="0"/>
      <w:marTop w:val="0"/>
      <w:marBottom w:val="0"/>
      <w:divBdr>
        <w:top w:val="none" w:sz="0" w:space="0" w:color="auto"/>
        <w:left w:val="none" w:sz="0" w:space="0" w:color="auto"/>
        <w:bottom w:val="none" w:sz="0" w:space="0" w:color="auto"/>
        <w:right w:val="none" w:sz="0" w:space="0" w:color="auto"/>
      </w:divBdr>
    </w:div>
    <w:div w:id="1330017236">
      <w:bodyDiv w:val="1"/>
      <w:marLeft w:val="0"/>
      <w:marRight w:val="0"/>
      <w:marTop w:val="0"/>
      <w:marBottom w:val="0"/>
      <w:divBdr>
        <w:top w:val="none" w:sz="0" w:space="0" w:color="auto"/>
        <w:left w:val="none" w:sz="0" w:space="0" w:color="auto"/>
        <w:bottom w:val="none" w:sz="0" w:space="0" w:color="auto"/>
        <w:right w:val="none" w:sz="0" w:space="0" w:color="auto"/>
      </w:divBdr>
    </w:div>
    <w:div w:id="1335953819">
      <w:bodyDiv w:val="1"/>
      <w:marLeft w:val="0"/>
      <w:marRight w:val="0"/>
      <w:marTop w:val="0"/>
      <w:marBottom w:val="0"/>
      <w:divBdr>
        <w:top w:val="none" w:sz="0" w:space="0" w:color="auto"/>
        <w:left w:val="none" w:sz="0" w:space="0" w:color="auto"/>
        <w:bottom w:val="none" w:sz="0" w:space="0" w:color="auto"/>
        <w:right w:val="none" w:sz="0" w:space="0" w:color="auto"/>
      </w:divBdr>
    </w:div>
    <w:div w:id="1338651502">
      <w:bodyDiv w:val="1"/>
      <w:marLeft w:val="0"/>
      <w:marRight w:val="0"/>
      <w:marTop w:val="0"/>
      <w:marBottom w:val="0"/>
      <w:divBdr>
        <w:top w:val="none" w:sz="0" w:space="0" w:color="auto"/>
        <w:left w:val="none" w:sz="0" w:space="0" w:color="auto"/>
        <w:bottom w:val="none" w:sz="0" w:space="0" w:color="auto"/>
        <w:right w:val="none" w:sz="0" w:space="0" w:color="auto"/>
      </w:divBdr>
    </w:div>
    <w:div w:id="1365015797">
      <w:bodyDiv w:val="1"/>
      <w:marLeft w:val="0"/>
      <w:marRight w:val="0"/>
      <w:marTop w:val="0"/>
      <w:marBottom w:val="0"/>
      <w:divBdr>
        <w:top w:val="none" w:sz="0" w:space="0" w:color="auto"/>
        <w:left w:val="none" w:sz="0" w:space="0" w:color="auto"/>
        <w:bottom w:val="none" w:sz="0" w:space="0" w:color="auto"/>
        <w:right w:val="none" w:sz="0" w:space="0" w:color="auto"/>
      </w:divBdr>
    </w:div>
    <w:div w:id="1378581469">
      <w:bodyDiv w:val="1"/>
      <w:marLeft w:val="0"/>
      <w:marRight w:val="0"/>
      <w:marTop w:val="0"/>
      <w:marBottom w:val="0"/>
      <w:divBdr>
        <w:top w:val="none" w:sz="0" w:space="0" w:color="auto"/>
        <w:left w:val="none" w:sz="0" w:space="0" w:color="auto"/>
        <w:bottom w:val="none" w:sz="0" w:space="0" w:color="auto"/>
        <w:right w:val="none" w:sz="0" w:space="0" w:color="auto"/>
      </w:divBdr>
    </w:div>
    <w:div w:id="1394547568">
      <w:bodyDiv w:val="1"/>
      <w:marLeft w:val="0"/>
      <w:marRight w:val="0"/>
      <w:marTop w:val="0"/>
      <w:marBottom w:val="0"/>
      <w:divBdr>
        <w:top w:val="none" w:sz="0" w:space="0" w:color="auto"/>
        <w:left w:val="none" w:sz="0" w:space="0" w:color="auto"/>
        <w:bottom w:val="none" w:sz="0" w:space="0" w:color="auto"/>
        <w:right w:val="none" w:sz="0" w:space="0" w:color="auto"/>
      </w:divBdr>
    </w:div>
    <w:div w:id="1432820587">
      <w:bodyDiv w:val="1"/>
      <w:marLeft w:val="0"/>
      <w:marRight w:val="0"/>
      <w:marTop w:val="0"/>
      <w:marBottom w:val="0"/>
      <w:divBdr>
        <w:top w:val="none" w:sz="0" w:space="0" w:color="auto"/>
        <w:left w:val="none" w:sz="0" w:space="0" w:color="auto"/>
        <w:bottom w:val="none" w:sz="0" w:space="0" w:color="auto"/>
        <w:right w:val="none" w:sz="0" w:space="0" w:color="auto"/>
      </w:divBdr>
    </w:div>
    <w:div w:id="1479496191">
      <w:bodyDiv w:val="1"/>
      <w:marLeft w:val="0"/>
      <w:marRight w:val="0"/>
      <w:marTop w:val="0"/>
      <w:marBottom w:val="0"/>
      <w:divBdr>
        <w:top w:val="none" w:sz="0" w:space="0" w:color="auto"/>
        <w:left w:val="none" w:sz="0" w:space="0" w:color="auto"/>
        <w:bottom w:val="none" w:sz="0" w:space="0" w:color="auto"/>
        <w:right w:val="none" w:sz="0" w:space="0" w:color="auto"/>
      </w:divBdr>
    </w:div>
    <w:div w:id="1517189983">
      <w:bodyDiv w:val="1"/>
      <w:marLeft w:val="0"/>
      <w:marRight w:val="0"/>
      <w:marTop w:val="0"/>
      <w:marBottom w:val="0"/>
      <w:divBdr>
        <w:top w:val="none" w:sz="0" w:space="0" w:color="auto"/>
        <w:left w:val="none" w:sz="0" w:space="0" w:color="auto"/>
        <w:bottom w:val="none" w:sz="0" w:space="0" w:color="auto"/>
        <w:right w:val="none" w:sz="0" w:space="0" w:color="auto"/>
      </w:divBdr>
    </w:div>
    <w:div w:id="1532955109">
      <w:bodyDiv w:val="1"/>
      <w:marLeft w:val="0"/>
      <w:marRight w:val="0"/>
      <w:marTop w:val="0"/>
      <w:marBottom w:val="0"/>
      <w:divBdr>
        <w:top w:val="none" w:sz="0" w:space="0" w:color="auto"/>
        <w:left w:val="none" w:sz="0" w:space="0" w:color="auto"/>
        <w:bottom w:val="none" w:sz="0" w:space="0" w:color="auto"/>
        <w:right w:val="none" w:sz="0" w:space="0" w:color="auto"/>
      </w:divBdr>
    </w:div>
    <w:div w:id="1545824877">
      <w:bodyDiv w:val="1"/>
      <w:marLeft w:val="0"/>
      <w:marRight w:val="0"/>
      <w:marTop w:val="0"/>
      <w:marBottom w:val="0"/>
      <w:divBdr>
        <w:top w:val="none" w:sz="0" w:space="0" w:color="auto"/>
        <w:left w:val="none" w:sz="0" w:space="0" w:color="auto"/>
        <w:bottom w:val="none" w:sz="0" w:space="0" w:color="auto"/>
        <w:right w:val="none" w:sz="0" w:space="0" w:color="auto"/>
      </w:divBdr>
    </w:div>
    <w:div w:id="1575816168">
      <w:bodyDiv w:val="1"/>
      <w:marLeft w:val="0"/>
      <w:marRight w:val="0"/>
      <w:marTop w:val="0"/>
      <w:marBottom w:val="0"/>
      <w:divBdr>
        <w:top w:val="none" w:sz="0" w:space="0" w:color="auto"/>
        <w:left w:val="none" w:sz="0" w:space="0" w:color="auto"/>
        <w:bottom w:val="none" w:sz="0" w:space="0" w:color="auto"/>
        <w:right w:val="none" w:sz="0" w:space="0" w:color="auto"/>
      </w:divBdr>
    </w:div>
    <w:div w:id="1580670494">
      <w:bodyDiv w:val="1"/>
      <w:marLeft w:val="0"/>
      <w:marRight w:val="0"/>
      <w:marTop w:val="0"/>
      <w:marBottom w:val="0"/>
      <w:divBdr>
        <w:top w:val="none" w:sz="0" w:space="0" w:color="auto"/>
        <w:left w:val="none" w:sz="0" w:space="0" w:color="auto"/>
        <w:bottom w:val="none" w:sz="0" w:space="0" w:color="auto"/>
        <w:right w:val="none" w:sz="0" w:space="0" w:color="auto"/>
      </w:divBdr>
    </w:div>
    <w:div w:id="1589651827">
      <w:bodyDiv w:val="1"/>
      <w:marLeft w:val="0"/>
      <w:marRight w:val="0"/>
      <w:marTop w:val="0"/>
      <w:marBottom w:val="0"/>
      <w:divBdr>
        <w:top w:val="none" w:sz="0" w:space="0" w:color="auto"/>
        <w:left w:val="none" w:sz="0" w:space="0" w:color="auto"/>
        <w:bottom w:val="none" w:sz="0" w:space="0" w:color="auto"/>
        <w:right w:val="none" w:sz="0" w:space="0" w:color="auto"/>
      </w:divBdr>
    </w:div>
    <w:div w:id="1596286245">
      <w:bodyDiv w:val="1"/>
      <w:marLeft w:val="0"/>
      <w:marRight w:val="0"/>
      <w:marTop w:val="0"/>
      <w:marBottom w:val="0"/>
      <w:divBdr>
        <w:top w:val="none" w:sz="0" w:space="0" w:color="auto"/>
        <w:left w:val="none" w:sz="0" w:space="0" w:color="auto"/>
        <w:bottom w:val="none" w:sz="0" w:space="0" w:color="auto"/>
        <w:right w:val="none" w:sz="0" w:space="0" w:color="auto"/>
      </w:divBdr>
    </w:div>
    <w:div w:id="1607536975">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22880641">
      <w:bodyDiv w:val="1"/>
      <w:marLeft w:val="0"/>
      <w:marRight w:val="0"/>
      <w:marTop w:val="0"/>
      <w:marBottom w:val="0"/>
      <w:divBdr>
        <w:top w:val="none" w:sz="0" w:space="0" w:color="auto"/>
        <w:left w:val="none" w:sz="0" w:space="0" w:color="auto"/>
        <w:bottom w:val="none" w:sz="0" w:space="0" w:color="auto"/>
        <w:right w:val="none" w:sz="0" w:space="0" w:color="auto"/>
      </w:divBdr>
    </w:div>
    <w:div w:id="1654674404">
      <w:bodyDiv w:val="1"/>
      <w:marLeft w:val="0"/>
      <w:marRight w:val="0"/>
      <w:marTop w:val="0"/>
      <w:marBottom w:val="0"/>
      <w:divBdr>
        <w:top w:val="none" w:sz="0" w:space="0" w:color="auto"/>
        <w:left w:val="none" w:sz="0" w:space="0" w:color="auto"/>
        <w:bottom w:val="none" w:sz="0" w:space="0" w:color="auto"/>
        <w:right w:val="none" w:sz="0" w:space="0" w:color="auto"/>
      </w:divBdr>
    </w:div>
    <w:div w:id="1661621683">
      <w:bodyDiv w:val="1"/>
      <w:marLeft w:val="0"/>
      <w:marRight w:val="0"/>
      <w:marTop w:val="0"/>
      <w:marBottom w:val="0"/>
      <w:divBdr>
        <w:top w:val="none" w:sz="0" w:space="0" w:color="auto"/>
        <w:left w:val="none" w:sz="0" w:space="0" w:color="auto"/>
        <w:bottom w:val="none" w:sz="0" w:space="0" w:color="auto"/>
        <w:right w:val="none" w:sz="0" w:space="0" w:color="auto"/>
      </w:divBdr>
    </w:div>
    <w:div w:id="1662614243">
      <w:bodyDiv w:val="1"/>
      <w:marLeft w:val="0"/>
      <w:marRight w:val="0"/>
      <w:marTop w:val="0"/>
      <w:marBottom w:val="0"/>
      <w:divBdr>
        <w:top w:val="none" w:sz="0" w:space="0" w:color="auto"/>
        <w:left w:val="none" w:sz="0" w:space="0" w:color="auto"/>
        <w:bottom w:val="none" w:sz="0" w:space="0" w:color="auto"/>
        <w:right w:val="none" w:sz="0" w:space="0" w:color="auto"/>
      </w:divBdr>
    </w:div>
    <w:div w:id="1671788531">
      <w:bodyDiv w:val="1"/>
      <w:marLeft w:val="0"/>
      <w:marRight w:val="0"/>
      <w:marTop w:val="0"/>
      <w:marBottom w:val="0"/>
      <w:divBdr>
        <w:top w:val="none" w:sz="0" w:space="0" w:color="auto"/>
        <w:left w:val="none" w:sz="0" w:space="0" w:color="auto"/>
        <w:bottom w:val="none" w:sz="0" w:space="0" w:color="auto"/>
        <w:right w:val="none" w:sz="0" w:space="0" w:color="auto"/>
      </w:divBdr>
    </w:div>
    <w:div w:id="1678845332">
      <w:bodyDiv w:val="1"/>
      <w:marLeft w:val="0"/>
      <w:marRight w:val="0"/>
      <w:marTop w:val="0"/>
      <w:marBottom w:val="0"/>
      <w:divBdr>
        <w:top w:val="none" w:sz="0" w:space="0" w:color="auto"/>
        <w:left w:val="none" w:sz="0" w:space="0" w:color="auto"/>
        <w:bottom w:val="none" w:sz="0" w:space="0" w:color="auto"/>
        <w:right w:val="none" w:sz="0" w:space="0" w:color="auto"/>
      </w:divBdr>
    </w:div>
    <w:div w:id="1686397619">
      <w:bodyDiv w:val="1"/>
      <w:marLeft w:val="0"/>
      <w:marRight w:val="0"/>
      <w:marTop w:val="0"/>
      <w:marBottom w:val="0"/>
      <w:divBdr>
        <w:top w:val="none" w:sz="0" w:space="0" w:color="auto"/>
        <w:left w:val="none" w:sz="0" w:space="0" w:color="auto"/>
        <w:bottom w:val="none" w:sz="0" w:space="0" w:color="auto"/>
        <w:right w:val="none" w:sz="0" w:space="0" w:color="auto"/>
      </w:divBdr>
    </w:div>
    <w:div w:id="1712874645">
      <w:bodyDiv w:val="1"/>
      <w:marLeft w:val="0"/>
      <w:marRight w:val="0"/>
      <w:marTop w:val="0"/>
      <w:marBottom w:val="0"/>
      <w:divBdr>
        <w:top w:val="none" w:sz="0" w:space="0" w:color="auto"/>
        <w:left w:val="none" w:sz="0" w:space="0" w:color="auto"/>
        <w:bottom w:val="none" w:sz="0" w:space="0" w:color="auto"/>
        <w:right w:val="none" w:sz="0" w:space="0" w:color="auto"/>
      </w:divBdr>
    </w:div>
    <w:div w:id="1718159631">
      <w:bodyDiv w:val="1"/>
      <w:marLeft w:val="0"/>
      <w:marRight w:val="0"/>
      <w:marTop w:val="0"/>
      <w:marBottom w:val="0"/>
      <w:divBdr>
        <w:top w:val="none" w:sz="0" w:space="0" w:color="auto"/>
        <w:left w:val="none" w:sz="0" w:space="0" w:color="auto"/>
        <w:bottom w:val="none" w:sz="0" w:space="0" w:color="auto"/>
        <w:right w:val="none" w:sz="0" w:space="0" w:color="auto"/>
      </w:divBdr>
    </w:div>
    <w:div w:id="1792281014">
      <w:bodyDiv w:val="1"/>
      <w:marLeft w:val="0"/>
      <w:marRight w:val="0"/>
      <w:marTop w:val="0"/>
      <w:marBottom w:val="0"/>
      <w:divBdr>
        <w:top w:val="none" w:sz="0" w:space="0" w:color="auto"/>
        <w:left w:val="none" w:sz="0" w:space="0" w:color="auto"/>
        <w:bottom w:val="none" w:sz="0" w:space="0" w:color="auto"/>
        <w:right w:val="none" w:sz="0" w:space="0" w:color="auto"/>
      </w:divBdr>
    </w:div>
    <w:div w:id="1821114450">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435821">
      <w:bodyDiv w:val="1"/>
      <w:marLeft w:val="0"/>
      <w:marRight w:val="0"/>
      <w:marTop w:val="0"/>
      <w:marBottom w:val="0"/>
      <w:divBdr>
        <w:top w:val="none" w:sz="0" w:space="0" w:color="auto"/>
        <w:left w:val="none" w:sz="0" w:space="0" w:color="auto"/>
        <w:bottom w:val="none" w:sz="0" w:space="0" w:color="auto"/>
        <w:right w:val="none" w:sz="0" w:space="0" w:color="auto"/>
      </w:divBdr>
    </w:div>
    <w:div w:id="1868247752">
      <w:bodyDiv w:val="1"/>
      <w:marLeft w:val="0"/>
      <w:marRight w:val="0"/>
      <w:marTop w:val="0"/>
      <w:marBottom w:val="0"/>
      <w:divBdr>
        <w:top w:val="none" w:sz="0" w:space="0" w:color="auto"/>
        <w:left w:val="none" w:sz="0" w:space="0" w:color="auto"/>
        <w:bottom w:val="none" w:sz="0" w:space="0" w:color="auto"/>
        <w:right w:val="none" w:sz="0" w:space="0" w:color="auto"/>
      </w:divBdr>
    </w:div>
    <w:div w:id="1870215295">
      <w:bodyDiv w:val="1"/>
      <w:marLeft w:val="0"/>
      <w:marRight w:val="0"/>
      <w:marTop w:val="0"/>
      <w:marBottom w:val="0"/>
      <w:divBdr>
        <w:top w:val="none" w:sz="0" w:space="0" w:color="auto"/>
        <w:left w:val="none" w:sz="0" w:space="0" w:color="auto"/>
        <w:bottom w:val="none" w:sz="0" w:space="0" w:color="auto"/>
        <w:right w:val="none" w:sz="0" w:space="0" w:color="auto"/>
      </w:divBdr>
    </w:div>
    <w:div w:id="1915241799">
      <w:bodyDiv w:val="1"/>
      <w:marLeft w:val="0"/>
      <w:marRight w:val="0"/>
      <w:marTop w:val="0"/>
      <w:marBottom w:val="0"/>
      <w:divBdr>
        <w:top w:val="none" w:sz="0" w:space="0" w:color="auto"/>
        <w:left w:val="none" w:sz="0" w:space="0" w:color="auto"/>
        <w:bottom w:val="none" w:sz="0" w:space="0" w:color="auto"/>
        <w:right w:val="none" w:sz="0" w:space="0" w:color="auto"/>
      </w:divBdr>
    </w:div>
    <w:div w:id="1931548291">
      <w:bodyDiv w:val="1"/>
      <w:marLeft w:val="0"/>
      <w:marRight w:val="0"/>
      <w:marTop w:val="0"/>
      <w:marBottom w:val="0"/>
      <w:divBdr>
        <w:top w:val="none" w:sz="0" w:space="0" w:color="auto"/>
        <w:left w:val="none" w:sz="0" w:space="0" w:color="auto"/>
        <w:bottom w:val="none" w:sz="0" w:space="0" w:color="auto"/>
        <w:right w:val="none" w:sz="0" w:space="0" w:color="auto"/>
      </w:divBdr>
    </w:div>
    <w:div w:id="1961184936">
      <w:bodyDiv w:val="1"/>
      <w:marLeft w:val="0"/>
      <w:marRight w:val="0"/>
      <w:marTop w:val="0"/>
      <w:marBottom w:val="0"/>
      <w:divBdr>
        <w:top w:val="none" w:sz="0" w:space="0" w:color="auto"/>
        <w:left w:val="none" w:sz="0" w:space="0" w:color="auto"/>
        <w:bottom w:val="none" w:sz="0" w:space="0" w:color="auto"/>
        <w:right w:val="none" w:sz="0" w:space="0" w:color="auto"/>
      </w:divBdr>
    </w:div>
    <w:div w:id="1986082330">
      <w:bodyDiv w:val="1"/>
      <w:marLeft w:val="0"/>
      <w:marRight w:val="0"/>
      <w:marTop w:val="0"/>
      <w:marBottom w:val="0"/>
      <w:divBdr>
        <w:top w:val="none" w:sz="0" w:space="0" w:color="auto"/>
        <w:left w:val="none" w:sz="0" w:space="0" w:color="auto"/>
        <w:bottom w:val="none" w:sz="0" w:space="0" w:color="auto"/>
        <w:right w:val="none" w:sz="0" w:space="0" w:color="auto"/>
      </w:divBdr>
    </w:div>
    <w:div w:id="1997760970">
      <w:bodyDiv w:val="1"/>
      <w:marLeft w:val="0"/>
      <w:marRight w:val="0"/>
      <w:marTop w:val="0"/>
      <w:marBottom w:val="0"/>
      <w:divBdr>
        <w:top w:val="none" w:sz="0" w:space="0" w:color="auto"/>
        <w:left w:val="none" w:sz="0" w:space="0" w:color="auto"/>
        <w:bottom w:val="none" w:sz="0" w:space="0" w:color="auto"/>
        <w:right w:val="none" w:sz="0" w:space="0" w:color="auto"/>
      </w:divBdr>
    </w:div>
    <w:div w:id="2039426917">
      <w:bodyDiv w:val="1"/>
      <w:marLeft w:val="0"/>
      <w:marRight w:val="0"/>
      <w:marTop w:val="0"/>
      <w:marBottom w:val="0"/>
      <w:divBdr>
        <w:top w:val="none" w:sz="0" w:space="0" w:color="auto"/>
        <w:left w:val="none" w:sz="0" w:space="0" w:color="auto"/>
        <w:bottom w:val="none" w:sz="0" w:space="0" w:color="auto"/>
        <w:right w:val="none" w:sz="0" w:space="0" w:color="auto"/>
      </w:divBdr>
    </w:div>
    <w:div w:id="2049257308">
      <w:bodyDiv w:val="1"/>
      <w:marLeft w:val="0"/>
      <w:marRight w:val="0"/>
      <w:marTop w:val="0"/>
      <w:marBottom w:val="0"/>
      <w:divBdr>
        <w:top w:val="none" w:sz="0" w:space="0" w:color="auto"/>
        <w:left w:val="none" w:sz="0" w:space="0" w:color="auto"/>
        <w:bottom w:val="none" w:sz="0" w:space="0" w:color="auto"/>
        <w:right w:val="none" w:sz="0" w:space="0" w:color="auto"/>
      </w:divBdr>
    </w:div>
    <w:div w:id="2060549197">
      <w:bodyDiv w:val="1"/>
      <w:marLeft w:val="0"/>
      <w:marRight w:val="0"/>
      <w:marTop w:val="0"/>
      <w:marBottom w:val="0"/>
      <w:divBdr>
        <w:top w:val="none" w:sz="0" w:space="0" w:color="auto"/>
        <w:left w:val="none" w:sz="0" w:space="0" w:color="auto"/>
        <w:bottom w:val="none" w:sz="0" w:space="0" w:color="auto"/>
        <w:right w:val="none" w:sz="0" w:space="0" w:color="auto"/>
      </w:divBdr>
    </w:div>
    <w:div w:id="2094661831">
      <w:bodyDiv w:val="1"/>
      <w:marLeft w:val="0"/>
      <w:marRight w:val="0"/>
      <w:marTop w:val="0"/>
      <w:marBottom w:val="0"/>
      <w:divBdr>
        <w:top w:val="none" w:sz="0" w:space="0" w:color="auto"/>
        <w:left w:val="none" w:sz="0" w:space="0" w:color="auto"/>
        <w:bottom w:val="none" w:sz="0" w:space="0" w:color="auto"/>
        <w:right w:val="none" w:sz="0" w:space="0" w:color="auto"/>
      </w:divBdr>
    </w:div>
    <w:div w:id="2112582399">
      <w:bodyDiv w:val="1"/>
      <w:marLeft w:val="0"/>
      <w:marRight w:val="0"/>
      <w:marTop w:val="0"/>
      <w:marBottom w:val="0"/>
      <w:divBdr>
        <w:top w:val="none" w:sz="0" w:space="0" w:color="auto"/>
        <w:left w:val="none" w:sz="0" w:space="0" w:color="auto"/>
        <w:bottom w:val="none" w:sz="0" w:space="0" w:color="auto"/>
        <w:right w:val="none" w:sz="0" w:space="0" w:color="auto"/>
      </w:divBdr>
    </w:div>
    <w:div w:id="211663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oosingwisely.org.au/recommendations/ranzc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os.org/research/guidelines/VTE/VTE_full_guidelin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oosingwisely.org.au/recommendations/ranzc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oosingwisely.org.au/recommendations/ranzcr" TargetMode="External"/><Relationship Id="rId4" Type="http://schemas.openxmlformats.org/officeDocument/2006/relationships/settings" Target="settings.xml"/><Relationship Id="rId9" Type="http://schemas.openxmlformats.org/officeDocument/2006/relationships/hyperlink" Target="http://www.choosingwisely.org.au/recommendations/ranzc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NIC16</b:Tag>
    <b:SourceType>InternetSite</b:SourceType>
    <b:Guid>{8071DF23-72EB-4714-87A9-258035AE728B}</b:Guid>
    <b:Author>
      <b:Author>
        <b:NameList>
          <b:Person>
            <b:Last>NICE</b:Last>
          </b:Person>
        </b:NameList>
      </b:Author>
    </b:Author>
    <b:Title>Phototherapy for Psoriasis</b:Title>
    <b:Year>2016</b:Year>
    <b:InternetSiteTitle>NICE</b:InternetSiteTitle>
    <b:Month>n/a</b:Month>
    <b:Day>n/a</b:Day>
    <b:URL>http://pathways.nice.org.uk/pathways/psoriasis#path=view%3A/pathways/psoriasis/phototherapy-for-psoriasis.xml&amp;content=view-index</b:URL>
    <b:RefOrder>2</b:RefOrder>
  </b:Source>
  <b:Source>
    <b:Tag>Els12</b:Tag>
    <b:SourceType>JournalArticle</b:SourceType>
    <b:Guid>{FB4A0FA1-A159-41FB-A146-018DBE1723D2}</b:Guid>
    <b:Title>Over 150 potentially low-value health care practices: an Australian study</b:Title>
    <b:Year>2012</b:Year>
    <b:Author>
      <b:Author>
        <b:NameList>
          <b:Person>
            <b:Last>Elshaug</b:Last>
            <b:First>Adam </b:First>
          </b:Person>
          <b:Person>
            <b:Last>Watt</b:Last>
            <b:First>Amber</b:First>
          </b:Person>
          <b:Person>
            <b:Last>Mundy</b:Last>
            <b:First>Linder</b:First>
          </b:Person>
          <b:Person>
            <b:Last>Willis </b:Last>
            <b:First>Cameron</b:First>
          </b:Person>
        </b:NameList>
      </b:Author>
    </b:Author>
    <b:JournalName>The Medical Journal of Australia</b:JournalName>
    <b:Pages>556-560</b:Pages>
    <b:RefOrder>3</b:RefOrder>
  </b:Source>
</b:Sources>
</file>

<file path=customXml/itemProps1.xml><?xml version="1.0" encoding="utf-8"?>
<ds:datastoreItem xmlns:ds="http://schemas.openxmlformats.org/officeDocument/2006/customXml" ds:itemID="{A8C4FFBA-2B1C-4FE9-A2B7-9F049449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10819</Words>
  <Characters>59506</Characters>
  <Application>Microsoft Office Word</Application>
  <DocSecurity>0</DocSecurity>
  <Lines>1416</Lines>
  <Paragraphs>837</Paragraphs>
  <ScaleCrop>false</ScaleCrop>
  <HeadingPairs>
    <vt:vector size="2" baseType="variant">
      <vt:variant>
        <vt:lpstr>Title</vt:lpstr>
      </vt:variant>
      <vt:variant>
        <vt:i4>1</vt:i4>
      </vt:variant>
    </vt:vector>
  </HeadingPairs>
  <TitlesOfParts>
    <vt:vector size="1" baseType="lpstr">
      <vt:lpstr>Medicare Benefits Schedule Review Taskforce Fourth report from the Diagnostic Imaging Clinical Committee – Pulmonary Embolism and Deep Vein Thrombosis</vt:lpstr>
    </vt:vector>
  </TitlesOfParts>
  <Company/>
  <LinksUpToDate>false</LinksUpToDate>
  <CharactersWithSpaces>69488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Fourth report from the Diagnostic Imaging Clinical Committee – Pulmonary Embolism and Deep Vein Thrombosis</dc:title>
  <dc:subject>Medicare Benefits Schedule </dc:subject>
  <dc:creator>Australian Government Department of Health</dc:creator>
  <cp:keywords/>
  <dc:description>_x000d_
</dc:description>
  <cp:lastModifiedBy>SMEDLEY, Tyne</cp:lastModifiedBy>
  <cp:revision>3</cp:revision>
  <cp:lastPrinted>2016-12-07T00:29:00Z</cp:lastPrinted>
  <dcterms:created xsi:type="dcterms:W3CDTF">2021-06-28T23:00:00Z</dcterms:created>
  <dcterms:modified xsi:type="dcterms:W3CDTF">2021-06-30T00:44:00Z</dcterms:modified>
  <cp:category/>
  <cp:contentStatus>Final</cp:contentStatus>
</cp:coreProperties>
</file>